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18175D">
      <w:pPr>
        <w:spacing w:line="540" w:lineRule="exact"/>
        <w:rPr>
          <w:rFonts w:eastAsia="仿宋_GB2312"/>
          <w:color w:val="auto"/>
          <w:sz w:val="28"/>
          <w:szCs w:val="28"/>
          <w:highlight w:val="none"/>
        </w:rPr>
      </w:pPr>
      <w:r>
        <w:rPr>
          <w:rFonts w:hint="eastAsia" w:eastAsia="仿宋_GB2312"/>
          <w:color w:val="auto"/>
          <w:sz w:val="28"/>
          <w:szCs w:val="28"/>
          <w:highlight w:val="none"/>
        </w:rPr>
        <w:t xml:space="preserve"> </w:t>
      </w:r>
    </w:p>
    <w:p w14:paraId="1992075C">
      <w:pPr>
        <w:jc w:val="center"/>
        <w:rPr>
          <w:rFonts w:hint="eastAsia" w:ascii="宋体" w:hAnsi="宋体" w:cs="宋体"/>
          <w:b/>
          <w:bCs/>
          <w:color w:val="auto"/>
          <w:sz w:val="44"/>
          <w:szCs w:val="44"/>
          <w:highlight w:val="none"/>
          <w:lang w:val="en-US" w:eastAsia="zh-CN"/>
        </w:rPr>
      </w:pPr>
      <w:bookmarkStart w:id="0" w:name="OLE_LINK20"/>
      <w:bookmarkStart w:id="1" w:name="OLE_LINK3"/>
      <w:bookmarkStart w:id="2" w:name="OLE_LINK2"/>
      <w:r>
        <w:rPr>
          <w:rFonts w:hint="eastAsia" w:ascii="宋体" w:hAnsi="宋体" w:cs="宋体"/>
          <w:b/>
          <w:bCs/>
          <w:color w:val="auto"/>
          <w:sz w:val="44"/>
          <w:szCs w:val="44"/>
          <w:highlight w:val="none"/>
          <w:lang w:val="en-US" w:eastAsia="zh-CN"/>
        </w:rPr>
        <w:t>新街镇坪地营溜溜塘易迁安置点基础设施</w:t>
      </w:r>
    </w:p>
    <w:p w14:paraId="5A347E35">
      <w:pPr>
        <w:jc w:val="center"/>
        <w:rPr>
          <w:rFonts w:hint="default" w:ascii="宋体" w:hAnsi="宋体" w:cs="宋体"/>
          <w:b/>
          <w:bCs/>
          <w:color w:val="auto"/>
          <w:sz w:val="28"/>
          <w:szCs w:val="40"/>
          <w:highlight w:val="none"/>
          <w:lang w:val="en-US"/>
        </w:rPr>
      </w:pPr>
      <w:r>
        <w:rPr>
          <w:rFonts w:hint="eastAsia" w:ascii="宋体" w:hAnsi="宋体" w:cs="宋体"/>
          <w:b/>
          <w:bCs/>
          <w:color w:val="auto"/>
          <w:sz w:val="44"/>
          <w:szCs w:val="44"/>
          <w:highlight w:val="none"/>
          <w:lang w:val="en-US" w:eastAsia="zh-CN"/>
        </w:rPr>
        <w:t>提升项目</w:t>
      </w:r>
    </w:p>
    <w:p w14:paraId="58F6F5E0">
      <w:pPr>
        <w:spacing w:line="460" w:lineRule="exact"/>
        <w:jc w:val="center"/>
        <w:rPr>
          <w:rFonts w:hint="default"/>
          <w:color w:val="auto"/>
          <w:szCs w:val="21"/>
          <w:highlight w:val="none"/>
          <w:lang w:val="en-US"/>
        </w:rPr>
      </w:pPr>
      <w:r>
        <w:rPr>
          <w:rFonts w:hint="eastAsia" w:ascii="宋体" w:hAnsi="宋体" w:cs="宋体"/>
          <w:b/>
          <w:bCs/>
          <w:color w:val="auto"/>
          <w:sz w:val="28"/>
          <w:szCs w:val="40"/>
          <w:highlight w:val="none"/>
        </w:rPr>
        <w:t>项目编号：</w:t>
      </w:r>
      <w:bookmarkStart w:id="3" w:name="OLE_LINK19"/>
      <w:r>
        <w:rPr>
          <w:rFonts w:hint="eastAsia" w:ascii="宋体" w:hAnsi="宋体" w:cs="宋体"/>
          <w:b/>
          <w:bCs/>
          <w:color w:val="auto"/>
          <w:sz w:val="28"/>
          <w:szCs w:val="40"/>
          <w:highlight w:val="none"/>
        </w:rPr>
        <w:t>JC（招标）ZT2026-045</w:t>
      </w:r>
    </w:p>
    <w:bookmarkEnd w:id="0"/>
    <w:bookmarkEnd w:id="3"/>
    <w:p w14:paraId="69344978">
      <w:pPr>
        <w:spacing w:line="460" w:lineRule="exact"/>
        <w:rPr>
          <w:color w:val="auto"/>
          <w:szCs w:val="21"/>
          <w:highlight w:val="none"/>
        </w:rPr>
      </w:pPr>
    </w:p>
    <w:p w14:paraId="5111CEF8">
      <w:pPr>
        <w:pStyle w:val="9"/>
        <w:rPr>
          <w:color w:val="auto"/>
          <w:szCs w:val="21"/>
          <w:highlight w:val="none"/>
        </w:rPr>
      </w:pPr>
    </w:p>
    <w:p w14:paraId="73C757A4">
      <w:pPr>
        <w:pStyle w:val="12"/>
        <w:rPr>
          <w:color w:val="auto"/>
          <w:szCs w:val="21"/>
          <w:highlight w:val="none"/>
        </w:rPr>
      </w:pPr>
    </w:p>
    <w:p w14:paraId="160E7AF4">
      <w:pPr>
        <w:rPr>
          <w:color w:val="auto"/>
          <w:highlight w:val="none"/>
        </w:rPr>
      </w:pPr>
      <w:r>
        <w:rPr>
          <w:rFonts w:hint="eastAsia"/>
          <w:color w:val="auto"/>
          <w:szCs w:val="21"/>
          <w:highlight w:val="none"/>
        </w:rPr>
        <w:drawing>
          <wp:anchor distT="0" distB="0" distL="114300" distR="114300" simplePos="0" relativeHeight="251660288" behindDoc="1" locked="0" layoutInCell="1" allowOverlap="1">
            <wp:simplePos x="0" y="0"/>
            <wp:positionH relativeFrom="column">
              <wp:posOffset>1372870</wp:posOffset>
            </wp:positionH>
            <wp:positionV relativeFrom="paragraph">
              <wp:posOffset>60960</wp:posOffset>
            </wp:positionV>
            <wp:extent cx="3168015" cy="3086100"/>
            <wp:effectExtent l="0" t="0" r="0" b="0"/>
            <wp:wrapNone/>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9"/>
                    <a:stretch>
                      <a:fillRect/>
                    </a:stretch>
                  </pic:blipFill>
                  <pic:spPr>
                    <a:xfrm>
                      <a:off x="0" y="0"/>
                      <a:ext cx="3168015" cy="3086100"/>
                    </a:xfrm>
                    <a:prstGeom prst="rect">
                      <a:avLst/>
                    </a:prstGeom>
                  </pic:spPr>
                </pic:pic>
              </a:graphicData>
            </a:graphic>
          </wp:anchor>
        </w:drawing>
      </w:r>
    </w:p>
    <w:p w14:paraId="737A4184">
      <w:pPr>
        <w:rPr>
          <w:color w:val="auto"/>
          <w:szCs w:val="21"/>
          <w:highlight w:val="none"/>
        </w:rPr>
      </w:pPr>
    </w:p>
    <w:p w14:paraId="5E731E78">
      <w:pPr>
        <w:spacing w:line="540" w:lineRule="exact"/>
        <w:rPr>
          <w:color w:val="auto"/>
          <w:szCs w:val="21"/>
          <w:highlight w:val="none"/>
        </w:rPr>
      </w:pPr>
    </w:p>
    <w:p w14:paraId="21C0548F">
      <w:pPr>
        <w:jc w:val="center"/>
        <w:rPr>
          <w:rFonts w:eastAsia="黑体"/>
          <w:b/>
          <w:bCs/>
          <w:color w:val="auto"/>
          <w:sz w:val="52"/>
          <w:szCs w:val="52"/>
          <w:highlight w:val="none"/>
        </w:rPr>
      </w:pPr>
    </w:p>
    <w:p w14:paraId="3ACF4A7B">
      <w:pPr>
        <w:jc w:val="center"/>
        <w:rPr>
          <w:rFonts w:eastAsia="黑体"/>
          <w:b/>
          <w:bCs/>
          <w:color w:val="auto"/>
          <w:sz w:val="52"/>
          <w:szCs w:val="52"/>
          <w:highlight w:val="none"/>
        </w:rPr>
      </w:pPr>
      <w:r>
        <w:rPr>
          <w:rFonts w:eastAsia="黑体"/>
          <w:b/>
          <w:bCs/>
          <w:color w:val="auto"/>
          <w:sz w:val="52"/>
          <w:szCs w:val="52"/>
          <w:highlight w:val="none"/>
        </w:rPr>
        <w:t>竞争性磋商文件</w:t>
      </w:r>
    </w:p>
    <w:p w14:paraId="3BF66BE8">
      <w:pPr>
        <w:jc w:val="center"/>
        <w:rPr>
          <w:rFonts w:eastAsia="黑体"/>
          <w:b/>
          <w:color w:val="auto"/>
          <w:sz w:val="72"/>
          <w:szCs w:val="72"/>
          <w:highlight w:val="none"/>
        </w:rPr>
      </w:pPr>
    </w:p>
    <w:bookmarkEnd w:id="1"/>
    <w:bookmarkEnd w:id="2"/>
    <w:p w14:paraId="562FA16D">
      <w:pPr>
        <w:spacing w:line="540" w:lineRule="exact"/>
        <w:ind w:firstLine="437"/>
        <w:rPr>
          <w:color w:val="auto"/>
          <w:szCs w:val="21"/>
          <w:highlight w:val="none"/>
        </w:rPr>
      </w:pPr>
    </w:p>
    <w:p w14:paraId="70802D4C">
      <w:pPr>
        <w:spacing w:line="540" w:lineRule="exact"/>
        <w:ind w:firstLine="437"/>
        <w:rPr>
          <w:color w:val="auto"/>
          <w:szCs w:val="21"/>
          <w:highlight w:val="none"/>
        </w:rPr>
      </w:pPr>
    </w:p>
    <w:p w14:paraId="56E0BD86">
      <w:pPr>
        <w:spacing w:line="540" w:lineRule="exact"/>
        <w:ind w:firstLine="437"/>
        <w:rPr>
          <w:color w:val="auto"/>
          <w:szCs w:val="21"/>
          <w:highlight w:val="none"/>
        </w:rPr>
      </w:pPr>
    </w:p>
    <w:p w14:paraId="531E9B5F">
      <w:pPr>
        <w:spacing w:line="600" w:lineRule="auto"/>
        <w:ind w:firstLine="1400"/>
        <w:rPr>
          <w:rFonts w:eastAsia="黑体"/>
          <w:color w:val="auto"/>
          <w:sz w:val="30"/>
          <w:szCs w:val="30"/>
          <w:highlight w:val="none"/>
        </w:rPr>
      </w:pPr>
    </w:p>
    <w:p w14:paraId="71582C3F">
      <w:pPr>
        <w:spacing w:line="600" w:lineRule="auto"/>
        <w:ind w:firstLine="1400"/>
        <w:rPr>
          <w:rFonts w:eastAsia="黑体"/>
          <w:color w:val="auto"/>
          <w:sz w:val="30"/>
          <w:szCs w:val="30"/>
          <w:highlight w:val="none"/>
        </w:rPr>
      </w:pPr>
    </w:p>
    <w:p w14:paraId="300D53F9">
      <w:pPr>
        <w:spacing w:line="600" w:lineRule="auto"/>
        <w:ind w:firstLine="1400"/>
        <w:rPr>
          <w:rFonts w:hint="eastAsia" w:eastAsia="黑体"/>
          <w:color w:val="auto"/>
          <w:sz w:val="30"/>
          <w:szCs w:val="30"/>
          <w:highlight w:val="none"/>
          <w:lang w:val="en-US" w:eastAsia="zh-CN"/>
        </w:rPr>
      </w:pPr>
      <w:bookmarkStart w:id="4" w:name="OLE_LINK21"/>
      <w:r>
        <w:rPr>
          <w:rFonts w:hint="eastAsia" w:eastAsia="黑体"/>
          <w:color w:val="auto"/>
          <w:sz w:val="30"/>
          <w:szCs w:val="30"/>
          <w:highlight w:val="none"/>
        </w:rPr>
        <w:t>采 购 人</w:t>
      </w:r>
      <w:r>
        <w:rPr>
          <w:rFonts w:hint="eastAsia" w:eastAsia="黑体"/>
          <w:color w:val="auto"/>
          <w:sz w:val="30"/>
          <w:szCs w:val="30"/>
          <w:highlight w:val="none"/>
          <w:lang w:eastAsia="zh-CN"/>
        </w:rPr>
        <w:t>：</w:t>
      </w:r>
      <w:r>
        <w:rPr>
          <w:rFonts w:hint="eastAsia" w:eastAsia="黑体"/>
          <w:color w:val="auto"/>
          <w:sz w:val="30"/>
          <w:szCs w:val="30"/>
          <w:highlight w:val="none"/>
          <w:lang w:val="en-US" w:eastAsia="zh-CN"/>
        </w:rPr>
        <w:t>鲁甸县新街镇人民政府</w:t>
      </w:r>
    </w:p>
    <w:p w14:paraId="501964EE">
      <w:pPr>
        <w:spacing w:line="600" w:lineRule="auto"/>
        <w:ind w:firstLine="1400"/>
        <w:rPr>
          <w:b/>
          <w:color w:val="auto"/>
          <w:sz w:val="32"/>
          <w:szCs w:val="32"/>
          <w:highlight w:val="none"/>
          <w:u w:val="single"/>
        </w:rPr>
      </w:pPr>
      <w:r>
        <w:rPr>
          <w:rFonts w:hint="eastAsia" w:eastAsia="黑体"/>
          <w:color w:val="auto"/>
          <w:sz w:val="30"/>
          <w:szCs w:val="30"/>
          <w:highlight w:val="none"/>
        </w:rPr>
        <w:t>采购</w:t>
      </w:r>
      <w:r>
        <w:rPr>
          <w:rFonts w:eastAsia="黑体"/>
          <w:color w:val="auto"/>
          <w:sz w:val="30"/>
          <w:szCs w:val="30"/>
          <w:highlight w:val="none"/>
        </w:rPr>
        <w:t>代理机构</w:t>
      </w:r>
      <w:r>
        <w:rPr>
          <w:rFonts w:hint="eastAsia" w:eastAsia="黑体"/>
          <w:color w:val="auto"/>
          <w:sz w:val="30"/>
          <w:szCs w:val="30"/>
          <w:highlight w:val="none"/>
          <w:lang w:eastAsia="zh-CN"/>
        </w:rPr>
        <w:t>：</w:t>
      </w:r>
      <w:r>
        <w:rPr>
          <w:rFonts w:hint="eastAsia" w:eastAsia="黑体"/>
          <w:color w:val="auto"/>
          <w:sz w:val="30"/>
          <w:szCs w:val="30"/>
          <w:highlight w:val="none"/>
        </w:rPr>
        <w:t>云南集诚建设工程招标代理有限公司</w:t>
      </w:r>
    </w:p>
    <w:bookmarkEnd w:id="4"/>
    <w:p w14:paraId="5B4FF336">
      <w:pPr>
        <w:spacing w:line="600" w:lineRule="auto"/>
        <w:jc w:val="center"/>
        <w:rPr>
          <w:rFonts w:eastAsia="黑体"/>
          <w:color w:val="auto"/>
          <w:sz w:val="30"/>
          <w:szCs w:val="30"/>
          <w:highlight w:val="none"/>
        </w:rPr>
      </w:pPr>
      <w:r>
        <w:rPr>
          <w:rFonts w:hint="eastAsia" w:eastAsia="黑体"/>
          <w:color w:val="auto"/>
          <w:sz w:val="30"/>
          <w:szCs w:val="30"/>
          <w:highlight w:val="none"/>
        </w:rPr>
        <w:t>202</w:t>
      </w:r>
      <w:r>
        <w:rPr>
          <w:rFonts w:hint="eastAsia" w:eastAsia="黑体"/>
          <w:color w:val="auto"/>
          <w:sz w:val="30"/>
          <w:szCs w:val="30"/>
          <w:highlight w:val="none"/>
          <w:lang w:val="en-US" w:eastAsia="zh-CN"/>
        </w:rPr>
        <w:t>6</w:t>
      </w:r>
      <w:r>
        <w:rPr>
          <w:rFonts w:hint="eastAsia" w:eastAsia="黑体"/>
          <w:color w:val="auto"/>
          <w:sz w:val="30"/>
          <w:szCs w:val="30"/>
          <w:highlight w:val="none"/>
        </w:rPr>
        <w:t>年</w:t>
      </w:r>
      <w:r>
        <w:rPr>
          <w:rFonts w:hint="eastAsia" w:eastAsia="黑体"/>
          <w:color w:val="auto"/>
          <w:sz w:val="30"/>
          <w:szCs w:val="30"/>
          <w:highlight w:val="none"/>
          <w:lang w:val="en-US" w:eastAsia="zh-CN"/>
        </w:rPr>
        <w:t>5</w:t>
      </w:r>
      <w:r>
        <w:rPr>
          <w:rFonts w:hint="eastAsia" w:eastAsia="黑体"/>
          <w:color w:val="auto"/>
          <w:sz w:val="30"/>
          <w:szCs w:val="30"/>
          <w:highlight w:val="none"/>
        </w:rPr>
        <w:t>月</w:t>
      </w:r>
    </w:p>
    <w:p w14:paraId="0CC4FE8C">
      <w:pPr>
        <w:spacing w:after="360" w:afterLines="150" w:line="360" w:lineRule="auto"/>
        <w:jc w:val="center"/>
        <w:rPr>
          <w:rFonts w:hint="eastAsia" w:ascii="宋体" w:hAnsi="宋体"/>
          <w:b/>
          <w:color w:val="auto"/>
          <w:kern w:val="11"/>
          <w:sz w:val="32"/>
          <w:szCs w:val="32"/>
          <w:highlight w:val="none"/>
        </w:rPr>
        <w:sectPr>
          <w:footerReference r:id="rId3" w:type="default"/>
          <w:pgSz w:w="11906" w:h="16838"/>
          <w:pgMar w:top="1418" w:right="1247" w:bottom="1418" w:left="1247" w:header="851" w:footer="992" w:gutter="0"/>
          <w:pgNumType w:start="1"/>
          <w:cols w:space="720" w:num="1"/>
          <w:docGrid w:linePitch="312" w:charSpace="0"/>
        </w:sectPr>
      </w:pPr>
    </w:p>
    <w:p w14:paraId="1451309D">
      <w:pPr>
        <w:spacing w:after="360" w:afterLines="150" w:line="360" w:lineRule="auto"/>
        <w:jc w:val="center"/>
        <w:rPr>
          <w:rFonts w:hint="eastAsia" w:ascii="宋体" w:hAnsi="宋体"/>
          <w:b/>
          <w:color w:val="auto"/>
          <w:kern w:val="11"/>
          <w:sz w:val="32"/>
          <w:szCs w:val="32"/>
          <w:highlight w:val="none"/>
        </w:rPr>
      </w:pPr>
      <w:r>
        <w:rPr>
          <w:rFonts w:ascii="宋体" w:hAnsi="宋体"/>
          <w:b/>
          <w:color w:val="auto"/>
          <w:kern w:val="11"/>
          <w:sz w:val="32"/>
          <w:szCs w:val="32"/>
          <w:highlight w:val="none"/>
        </w:rPr>
        <w:t>目  录</w:t>
      </w:r>
    </w:p>
    <w:p w14:paraId="333E6385">
      <w:pPr>
        <w:pStyle w:val="17"/>
        <w:tabs>
          <w:tab w:val="right" w:leader="dot" w:pos="9412"/>
          <w:tab w:val="clear" w:pos="9402"/>
        </w:tabs>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Style w:val="32"/>
          <w:rFonts w:hint="eastAsia" w:ascii="宋体" w:hAnsi="宋体" w:eastAsia="宋体" w:cs="宋体"/>
          <w:b w:val="0"/>
          <w:bCs w:val="0"/>
          <w:color w:val="auto"/>
          <w:sz w:val="24"/>
          <w:szCs w:val="24"/>
          <w:highlight w:val="none"/>
        </w:rPr>
        <w:instrText xml:space="preserve"> TOC \o "1-2" \h \z \u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_Toc29652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第一章 竞争性磋商公告</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PAGEREF _Toc29652 \h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7</w:t>
      </w:r>
      <w:r>
        <w:rPr>
          <w:rFonts w:hint="eastAsia" w:ascii="宋体" w:hAnsi="宋体" w:eastAsia="宋体" w:cs="宋体"/>
          <w:b w:val="0"/>
          <w:bCs w:val="0"/>
          <w:color w:val="auto"/>
          <w:sz w:val="24"/>
          <w:szCs w:val="24"/>
          <w:highlight w:val="none"/>
        </w:rPr>
        <w:fldChar w:fldCharType="end"/>
      </w:r>
      <w:r>
        <w:rPr>
          <w:rFonts w:hint="eastAsia" w:ascii="宋体" w:hAnsi="宋体" w:eastAsia="宋体" w:cs="宋体"/>
          <w:b w:val="0"/>
          <w:bCs w:val="0"/>
          <w:color w:val="auto"/>
          <w:sz w:val="24"/>
          <w:szCs w:val="24"/>
          <w:highlight w:val="none"/>
        </w:rPr>
        <w:fldChar w:fldCharType="end"/>
      </w:r>
    </w:p>
    <w:p w14:paraId="2923DC4E">
      <w:pPr>
        <w:pStyle w:val="17"/>
        <w:tabs>
          <w:tab w:val="right" w:leader="dot" w:pos="9412"/>
          <w:tab w:val="clear" w:pos="9402"/>
        </w:tabs>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_Toc25315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第二章 供应商须知</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PAGEREF _Toc25315 \h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11</w:t>
      </w:r>
      <w:r>
        <w:rPr>
          <w:rFonts w:hint="eastAsia" w:ascii="宋体" w:hAnsi="宋体" w:eastAsia="宋体" w:cs="宋体"/>
          <w:b w:val="0"/>
          <w:bCs w:val="0"/>
          <w:color w:val="auto"/>
          <w:sz w:val="24"/>
          <w:szCs w:val="24"/>
          <w:highlight w:val="none"/>
        </w:rPr>
        <w:fldChar w:fldCharType="end"/>
      </w:r>
      <w:r>
        <w:rPr>
          <w:rFonts w:hint="eastAsia" w:ascii="宋体" w:hAnsi="宋体" w:eastAsia="宋体" w:cs="宋体"/>
          <w:b w:val="0"/>
          <w:bCs w:val="0"/>
          <w:color w:val="auto"/>
          <w:sz w:val="24"/>
          <w:szCs w:val="24"/>
          <w:highlight w:val="none"/>
        </w:rPr>
        <w:fldChar w:fldCharType="end"/>
      </w:r>
    </w:p>
    <w:p w14:paraId="455CF464">
      <w:pPr>
        <w:pStyle w:val="17"/>
        <w:tabs>
          <w:tab w:val="right" w:leader="dot" w:pos="9412"/>
          <w:tab w:val="clear" w:pos="9402"/>
        </w:tabs>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_Toc10356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第三章 评审办法</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PAGEREF _Toc10356 \h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30</w:t>
      </w:r>
      <w:r>
        <w:rPr>
          <w:rFonts w:hint="eastAsia" w:ascii="宋体" w:hAnsi="宋体" w:eastAsia="宋体" w:cs="宋体"/>
          <w:b w:val="0"/>
          <w:bCs w:val="0"/>
          <w:color w:val="auto"/>
          <w:sz w:val="24"/>
          <w:szCs w:val="24"/>
          <w:highlight w:val="none"/>
        </w:rPr>
        <w:fldChar w:fldCharType="end"/>
      </w:r>
      <w:r>
        <w:rPr>
          <w:rFonts w:hint="eastAsia" w:ascii="宋体" w:hAnsi="宋体" w:eastAsia="宋体" w:cs="宋体"/>
          <w:b w:val="0"/>
          <w:bCs w:val="0"/>
          <w:color w:val="auto"/>
          <w:sz w:val="24"/>
          <w:szCs w:val="24"/>
          <w:highlight w:val="none"/>
        </w:rPr>
        <w:fldChar w:fldCharType="end"/>
      </w:r>
    </w:p>
    <w:p w14:paraId="34A9E4AC">
      <w:pPr>
        <w:pStyle w:val="17"/>
        <w:tabs>
          <w:tab w:val="right" w:leader="dot" w:pos="9412"/>
          <w:tab w:val="clear" w:pos="9402"/>
        </w:tabs>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_Toc14192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第四章 合同主要条款及格式</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PAGEREF _Toc14192 \h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42</w:t>
      </w:r>
      <w:r>
        <w:rPr>
          <w:rFonts w:hint="eastAsia" w:ascii="宋体" w:hAnsi="宋体" w:eastAsia="宋体" w:cs="宋体"/>
          <w:b w:val="0"/>
          <w:bCs w:val="0"/>
          <w:color w:val="auto"/>
          <w:sz w:val="24"/>
          <w:szCs w:val="24"/>
          <w:highlight w:val="none"/>
        </w:rPr>
        <w:fldChar w:fldCharType="end"/>
      </w:r>
      <w:r>
        <w:rPr>
          <w:rFonts w:hint="eastAsia" w:ascii="宋体" w:hAnsi="宋体" w:eastAsia="宋体" w:cs="宋体"/>
          <w:b w:val="0"/>
          <w:bCs w:val="0"/>
          <w:color w:val="auto"/>
          <w:sz w:val="24"/>
          <w:szCs w:val="24"/>
          <w:highlight w:val="none"/>
        </w:rPr>
        <w:fldChar w:fldCharType="end"/>
      </w:r>
    </w:p>
    <w:p w14:paraId="541CBA2C">
      <w:pPr>
        <w:pStyle w:val="17"/>
        <w:tabs>
          <w:tab w:val="right" w:leader="dot" w:pos="9412"/>
          <w:tab w:val="clear" w:pos="9402"/>
        </w:tabs>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_Toc7887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第五章 采购需求</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PAGEREF _Toc7887 \h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116</w:t>
      </w:r>
      <w:r>
        <w:rPr>
          <w:rFonts w:hint="eastAsia" w:ascii="宋体" w:hAnsi="宋体" w:eastAsia="宋体" w:cs="宋体"/>
          <w:b w:val="0"/>
          <w:bCs w:val="0"/>
          <w:color w:val="auto"/>
          <w:sz w:val="24"/>
          <w:szCs w:val="24"/>
          <w:highlight w:val="none"/>
        </w:rPr>
        <w:fldChar w:fldCharType="end"/>
      </w:r>
      <w:r>
        <w:rPr>
          <w:rFonts w:hint="eastAsia" w:ascii="宋体" w:hAnsi="宋体" w:eastAsia="宋体" w:cs="宋体"/>
          <w:b w:val="0"/>
          <w:bCs w:val="0"/>
          <w:color w:val="auto"/>
          <w:sz w:val="24"/>
          <w:szCs w:val="24"/>
          <w:highlight w:val="none"/>
        </w:rPr>
        <w:fldChar w:fldCharType="end"/>
      </w:r>
    </w:p>
    <w:p w14:paraId="7145748A">
      <w:pPr>
        <w:pStyle w:val="17"/>
        <w:tabs>
          <w:tab w:val="right" w:leader="dot" w:pos="9412"/>
          <w:tab w:val="clear" w:pos="9402"/>
        </w:tabs>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_Toc32586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iCs/>
          <w:color w:val="auto"/>
          <w:sz w:val="24"/>
          <w:szCs w:val="24"/>
          <w:highlight w:val="none"/>
        </w:rPr>
        <w:t>第</w:t>
      </w:r>
      <w:r>
        <w:rPr>
          <w:rFonts w:hint="eastAsia" w:ascii="宋体" w:hAnsi="宋体" w:eastAsia="宋体" w:cs="宋体"/>
          <w:b w:val="0"/>
          <w:bCs w:val="0"/>
          <w:iCs/>
          <w:color w:val="auto"/>
          <w:sz w:val="24"/>
          <w:szCs w:val="24"/>
          <w:highlight w:val="none"/>
          <w:lang w:val="en-US" w:eastAsia="zh-CN"/>
        </w:rPr>
        <w:t>六</w:t>
      </w:r>
      <w:r>
        <w:rPr>
          <w:rFonts w:hint="eastAsia" w:ascii="宋体" w:hAnsi="宋体" w:eastAsia="宋体" w:cs="宋体"/>
          <w:b w:val="0"/>
          <w:bCs w:val="0"/>
          <w:iCs/>
          <w:color w:val="auto"/>
          <w:sz w:val="24"/>
          <w:szCs w:val="24"/>
          <w:highlight w:val="none"/>
        </w:rPr>
        <w:t>章</w:t>
      </w:r>
      <w:r>
        <w:rPr>
          <w:rFonts w:hint="eastAsia" w:ascii="宋体" w:hAnsi="宋体" w:eastAsia="宋体" w:cs="宋体"/>
          <w:b w:val="0"/>
          <w:bCs w:val="0"/>
          <w:iCs/>
          <w:color w:val="auto"/>
          <w:sz w:val="24"/>
          <w:szCs w:val="24"/>
          <w:highlight w:val="none"/>
          <w:lang w:val="en-US" w:eastAsia="zh-CN"/>
        </w:rPr>
        <w:t xml:space="preserve"> </w:t>
      </w:r>
      <w:r>
        <w:rPr>
          <w:rFonts w:hint="eastAsia" w:ascii="宋体" w:hAnsi="宋体" w:eastAsia="宋体" w:cs="宋体"/>
          <w:b w:val="0"/>
          <w:bCs w:val="0"/>
          <w:iCs/>
          <w:color w:val="auto"/>
          <w:sz w:val="24"/>
          <w:szCs w:val="24"/>
          <w:highlight w:val="none"/>
        </w:rPr>
        <w:t>响应文件格式</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PAGEREF _Toc32586 \h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132</w:t>
      </w:r>
      <w:r>
        <w:rPr>
          <w:rFonts w:hint="eastAsia" w:ascii="宋体" w:hAnsi="宋体" w:eastAsia="宋体" w:cs="宋体"/>
          <w:b w:val="0"/>
          <w:bCs w:val="0"/>
          <w:color w:val="auto"/>
          <w:sz w:val="24"/>
          <w:szCs w:val="24"/>
          <w:highlight w:val="none"/>
        </w:rPr>
        <w:fldChar w:fldCharType="end"/>
      </w:r>
      <w:r>
        <w:rPr>
          <w:rFonts w:hint="eastAsia" w:ascii="宋体" w:hAnsi="宋体" w:eastAsia="宋体" w:cs="宋体"/>
          <w:b w:val="0"/>
          <w:bCs w:val="0"/>
          <w:color w:val="auto"/>
          <w:sz w:val="24"/>
          <w:szCs w:val="24"/>
          <w:highlight w:val="none"/>
        </w:rPr>
        <w:fldChar w:fldCharType="end"/>
      </w:r>
    </w:p>
    <w:p w14:paraId="44FC96CF">
      <w:pPr>
        <w:pStyle w:val="17"/>
        <w:tabs>
          <w:tab w:val="right" w:leader="dot" w:pos="9412"/>
          <w:tab w:val="clear" w:pos="9402"/>
        </w:tabs>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_Toc25476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lang w:val="en-US" w:eastAsia="zh-CN"/>
        </w:rPr>
        <w:t>第七章 图纸</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PAGEREF _Toc25476 \h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160</w:t>
      </w:r>
      <w:r>
        <w:rPr>
          <w:rFonts w:hint="eastAsia" w:ascii="宋体" w:hAnsi="宋体" w:eastAsia="宋体" w:cs="宋体"/>
          <w:b w:val="0"/>
          <w:bCs w:val="0"/>
          <w:color w:val="auto"/>
          <w:sz w:val="24"/>
          <w:szCs w:val="24"/>
          <w:highlight w:val="none"/>
        </w:rPr>
        <w:fldChar w:fldCharType="end"/>
      </w:r>
      <w:r>
        <w:rPr>
          <w:rFonts w:hint="eastAsia" w:ascii="宋体" w:hAnsi="宋体" w:eastAsia="宋体" w:cs="宋体"/>
          <w:b w:val="0"/>
          <w:bCs w:val="0"/>
          <w:color w:val="auto"/>
          <w:sz w:val="24"/>
          <w:szCs w:val="24"/>
          <w:highlight w:val="none"/>
        </w:rPr>
        <w:fldChar w:fldCharType="end"/>
      </w:r>
    </w:p>
    <w:p w14:paraId="2B0FD35C">
      <w:pPr>
        <w:spacing w:line="480" w:lineRule="auto"/>
        <w:rPr>
          <w:rFonts w:hint="eastAsia" w:ascii="宋体" w:hAnsi="宋体"/>
          <w:color w:val="auto"/>
          <w:sz w:val="21"/>
          <w:szCs w:val="21"/>
          <w:highlight w:val="none"/>
        </w:rPr>
        <w:sectPr>
          <w:headerReference r:id="rId4" w:type="default"/>
          <w:footerReference r:id="rId5" w:type="default"/>
          <w:pgSz w:w="11906" w:h="16838"/>
          <w:pgMar w:top="1418" w:right="1247" w:bottom="1418" w:left="1247" w:header="851" w:footer="992" w:gutter="0"/>
          <w:pgNumType w:fmt="decimal" w:start="1"/>
          <w:cols w:space="720" w:num="1"/>
          <w:docGrid w:linePitch="312" w:charSpace="0"/>
        </w:sectPr>
      </w:pPr>
      <w:r>
        <w:rPr>
          <w:rFonts w:hint="eastAsia" w:ascii="宋体" w:hAnsi="宋体" w:eastAsia="宋体" w:cs="宋体"/>
          <w:b w:val="0"/>
          <w:bCs w:val="0"/>
          <w:color w:val="auto"/>
          <w:sz w:val="24"/>
          <w:szCs w:val="24"/>
          <w:highlight w:val="none"/>
        </w:rPr>
        <w:fldChar w:fldCharType="end"/>
      </w:r>
    </w:p>
    <w:p w14:paraId="127F4789">
      <w:pPr>
        <w:tabs>
          <w:tab w:val="left" w:pos="8231"/>
          <w:tab w:val="left" w:pos="8640"/>
        </w:tabs>
        <w:spacing w:line="360" w:lineRule="auto"/>
        <w:ind w:firstLine="643" w:firstLineChars="20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注意事项</w:t>
      </w:r>
    </w:p>
    <w:p w14:paraId="09FFBA49">
      <w:pPr>
        <w:tabs>
          <w:tab w:val="left" w:pos="8231"/>
          <w:tab w:val="left" w:pos="8640"/>
        </w:tabs>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各供应商：</w:t>
      </w:r>
    </w:p>
    <w:p w14:paraId="0A38736F">
      <w:pPr>
        <w:tabs>
          <w:tab w:val="left" w:pos="8231"/>
          <w:tab w:val="left" w:pos="864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一、本项目采用网上开标，最后报价为线上填报，供应商需在政采云电子投标客户端 </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政采云电子投标客户端下载路径：</w:t>
      </w:r>
      <w:r>
        <w:rPr>
          <w:color w:val="auto"/>
          <w:highlight w:val="none"/>
        </w:rPr>
        <w:fldChar w:fldCharType="begin"/>
      </w:r>
      <w:r>
        <w:rPr>
          <w:color w:val="auto"/>
          <w:highlight w:val="none"/>
        </w:rPr>
        <w:instrText xml:space="preserve"> HYPERLINK "https://customer.zcygov.cn/CA-driver-download?utm=web-cafront.3ddc8fbb.0.0.87133ef03d" </w:instrText>
      </w:r>
      <w:r>
        <w:rPr>
          <w:color w:val="auto"/>
          <w:highlight w:val="none"/>
        </w:rPr>
        <w:fldChar w:fldCharType="separate"/>
      </w:r>
      <w:r>
        <w:rPr>
          <w:rFonts w:hint="eastAsia" w:ascii="宋体" w:hAnsi="宋体" w:cs="宋体"/>
          <w:color w:val="auto"/>
          <w:sz w:val="24"/>
          <w:szCs w:val="24"/>
          <w:highlight w:val="none"/>
        </w:rPr>
        <w:t>https://customer.zcygov.cn/CA-driver-download?utm=web-cafront.3ddc8fbb.0.0.87133ef03d</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5611eca03abdd942cbc4e6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上传响应文件后，在系统上等待代理机构通知最后报价，无需到现场参加开标会。请各供应商仔细阅读“供应商政府采购电子交易平台操作指南”，因供应商操作带来的损失由供应商自行承担。</w:t>
      </w:r>
    </w:p>
    <w:p w14:paraId="30478755">
      <w:pPr>
        <w:tabs>
          <w:tab w:val="left" w:pos="8231"/>
          <w:tab w:val="left" w:pos="8640"/>
        </w:tabs>
        <w:spacing w:line="360" w:lineRule="auto"/>
        <w:ind w:firstLine="480" w:firstLineChars="200"/>
        <w:jc w:val="both"/>
        <w:rPr>
          <w:rFonts w:eastAsia="黑体"/>
          <w:color w:val="auto"/>
          <w:sz w:val="36"/>
          <w:szCs w:val="36"/>
          <w:highlight w:val="none"/>
        </w:rPr>
        <w:sectPr>
          <w:pgSz w:w="11906" w:h="16838"/>
          <w:pgMar w:top="1418" w:right="1247" w:bottom="1418" w:left="1247" w:header="851" w:footer="992" w:gutter="0"/>
          <w:pgNumType w:fmt="decimal"/>
          <w:cols w:space="720" w:num="1"/>
          <w:docGrid w:linePitch="312" w:charSpace="0"/>
        </w:sectPr>
      </w:pPr>
      <w:r>
        <w:rPr>
          <w:rFonts w:hint="eastAsia" w:ascii="宋体" w:hAnsi="宋体" w:cs="宋体"/>
          <w:color w:val="auto"/>
          <w:sz w:val="24"/>
          <w:szCs w:val="24"/>
          <w:highlight w:val="none"/>
        </w:rPr>
        <w:t>二、因本项目采用全电子化采购，采购人或代理机构无法主动联系潜在供应商，供应商应时常关注云南省政府采购网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http://www.yngp.com/</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或政府采购云平台</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https://www.zcygov.cn/)，查看本项目</w:t>
      </w:r>
      <w:r>
        <w:rPr>
          <w:rFonts w:hint="eastAsia" w:ascii="宋体" w:hAnsi="宋体" w:cs="宋体"/>
          <w:color w:val="auto"/>
          <w:sz w:val="24"/>
          <w:szCs w:val="24"/>
          <w:highlight w:val="none"/>
          <w:lang w:eastAsia="zh-CN"/>
        </w:rPr>
        <w:t>是否</w:t>
      </w:r>
      <w:r>
        <w:rPr>
          <w:rFonts w:hint="eastAsia" w:ascii="宋体" w:hAnsi="宋体" w:cs="宋体"/>
          <w:color w:val="auto"/>
          <w:sz w:val="24"/>
          <w:szCs w:val="24"/>
          <w:highlight w:val="none"/>
        </w:rPr>
        <w:t>有补遗、答疑文件、延期组织磋商通知或发布终止公告等情形</w:t>
      </w:r>
      <w:bookmarkStart w:id="5" w:name="_Toc305846479"/>
    </w:p>
    <w:p w14:paraId="793766F8">
      <w:pPr>
        <w:pStyle w:val="2"/>
        <w:jc w:val="both"/>
        <w:rPr>
          <w:rFonts w:hint="eastAsia" w:ascii="方正仿宋_GB2312" w:hAnsi="方正仿宋_GB2312" w:eastAsia="方正仿宋_GB2312" w:cs="方正仿宋_GB2312"/>
          <w:color w:val="auto"/>
          <w:sz w:val="36"/>
          <w:szCs w:val="36"/>
          <w:highlight w:val="none"/>
        </w:rPr>
      </w:pPr>
    </w:p>
    <w:p w14:paraId="07877B78">
      <w:pPr>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br w:type="page"/>
      </w:r>
    </w:p>
    <w:p w14:paraId="13EAC611">
      <w:pPr>
        <w:pStyle w:val="2"/>
        <w:rPr>
          <w:rFonts w:hint="eastAsia" w:ascii="宋体" w:hAnsi="宋体" w:eastAsia="宋体" w:cs="宋体"/>
          <w:b/>
          <w:bCs w:val="0"/>
          <w:color w:val="auto"/>
          <w:sz w:val="36"/>
          <w:szCs w:val="36"/>
          <w:highlight w:val="none"/>
        </w:rPr>
      </w:pPr>
      <w:bookmarkStart w:id="6" w:name="_Toc29652"/>
      <w:r>
        <w:rPr>
          <w:rFonts w:hint="eastAsia" w:ascii="宋体" w:hAnsi="宋体" w:eastAsia="宋体" w:cs="宋体"/>
          <w:b/>
          <w:bCs w:val="0"/>
          <w:color w:val="auto"/>
          <w:sz w:val="36"/>
          <w:szCs w:val="36"/>
          <w:highlight w:val="none"/>
        </w:rPr>
        <w:t xml:space="preserve">第一章 </w:t>
      </w:r>
      <w:bookmarkEnd w:id="5"/>
      <w:r>
        <w:rPr>
          <w:rFonts w:hint="eastAsia" w:ascii="宋体" w:hAnsi="宋体" w:eastAsia="宋体" w:cs="宋体"/>
          <w:b/>
          <w:bCs w:val="0"/>
          <w:color w:val="auto"/>
          <w:sz w:val="36"/>
          <w:szCs w:val="36"/>
          <w:highlight w:val="none"/>
        </w:rPr>
        <w:t>竞争性磋商公告</w:t>
      </w:r>
      <w:bookmarkEnd w:id="6"/>
    </w:p>
    <w:p w14:paraId="5496C6B5">
      <w:pPr>
        <w:adjustRightInd w:val="0"/>
        <w:snapToGrid w:val="0"/>
        <w:spacing w:line="360" w:lineRule="auto"/>
        <w:jc w:val="both"/>
        <w:rPr>
          <w:rFonts w:hint="eastAsia" w:ascii="宋体" w:hAnsi="宋体" w:cs="宋体"/>
          <w:b/>
          <w:color w:val="auto"/>
          <w:sz w:val="32"/>
          <w:szCs w:val="32"/>
          <w:highlight w:val="none"/>
        </w:rPr>
      </w:pPr>
      <w:bookmarkStart w:id="7" w:name="OLE_LINK23"/>
      <w:r>
        <w:rPr>
          <w:rFonts w:hint="eastAsia" w:ascii="宋体" w:hAnsi="宋体" w:cs="宋体"/>
          <w:b/>
          <w:color w:val="auto"/>
          <w:sz w:val="32"/>
          <w:szCs w:val="32"/>
          <w:highlight w:val="none"/>
          <w:lang w:val="en-US" w:eastAsia="zh-CN"/>
        </w:rPr>
        <w:t>新街镇坪地营溜溜塘易迁安置点基础设施提升项目</w:t>
      </w:r>
      <w:r>
        <w:rPr>
          <w:rFonts w:hint="eastAsia" w:ascii="宋体" w:hAnsi="宋体" w:cs="宋体"/>
          <w:b/>
          <w:color w:val="auto"/>
          <w:sz w:val="32"/>
          <w:szCs w:val="32"/>
          <w:highlight w:val="none"/>
        </w:rPr>
        <w:t>竞争性磋商公告</w:t>
      </w:r>
    </w:p>
    <w:bookmarkEnd w:id="7"/>
    <w:p w14:paraId="0F0A4E92">
      <w:pPr>
        <w:pBdr>
          <w:top w:val="single" w:color="auto" w:sz="4" w:space="1"/>
          <w:left w:val="single" w:color="auto" w:sz="4" w:space="4"/>
          <w:bottom w:val="single" w:color="auto" w:sz="4" w:space="1"/>
          <w:right w:val="single" w:color="auto" w:sz="4" w:space="4"/>
        </w:pBd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32BAB4C0">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新街镇坪地营溜溜塘易迁安置点基础设施提升项目</w:t>
      </w:r>
      <w:r>
        <w:rPr>
          <w:rFonts w:hint="eastAsia" w:ascii="宋体" w:hAnsi="宋体" w:cs="宋体"/>
          <w:color w:val="auto"/>
          <w:sz w:val="24"/>
          <w:szCs w:val="24"/>
          <w:highlight w:val="none"/>
        </w:rPr>
        <w:t>的潜在供应商应在</w:t>
      </w:r>
      <w:r>
        <w:rPr>
          <w:rFonts w:hint="eastAsia" w:ascii="宋体" w:hAnsi="宋体" w:cs="宋体"/>
          <w:color w:val="auto"/>
          <w:sz w:val="24"/>
          <w:highlight w:val="none"/>
          <w:u w:val="single"/>
        </w:rPr>
        <w:t>政采云平台（https://www.zcygov.cn/）</w:t>
      </w:r>
      <w:r>
        <w:rPr>
          <w:rFonts w:hint="eastAsia" w:ascii="宋体" w:hAnsi="宋体" w:cs="宋体"/>
          <w:color w:val="auto"/>
          <w:sz w:val="24"/>
          <w:highlight w:val="none"/>
        </w:rPr>
        <w:t>报名获取竞争性磋商文件，</w:t>
      </w:r>
      <w:r>
        <w:rPr>
          <w:rFonts w:hint="eastAsia" w:ascii="宋体" w:hAnsi="宋体" w:cs="宋体"/>
          <w:color w:val="auto"/>
          <w:sz w:val="24"/>
          <w:szCs w:val="24"/>
          <w:highlight w:val="none"/>
        </w:rPr>
        <w:t>并于</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6</w:t>
      </w:r>
      <w:r>
        <w:rPr>
          <w:rFonts w:hint="eastAsia" w:ascii="宋体" w:hAnsi="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6</w:t>
      </w:r>
      <w:r>
        <w:rPr>
          <w:rFonts w:hint="eastAsia" w:ascii="宋体" w:hAnsi="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12</w:t>
      </w:r>
      <w:r>
        <w:rPr>
          <w:rFonts w:hint="eastAsia" w:ascii="宋体" w:hAnsi="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09</w:t>
      </w:r>
      <w:r>
        <w:rPr>
          <w:rFonts w:hint="eastAsia" w:ascii="宋体" w:hAnsi="宋体" w:cs="宋体"/>
          <w:bCs/>
          <w:color w:val="auto"/>
          <w:sz w:val="24"/>
          <w:szCs w:val="24"/>
          <w:highlight w:val="none"/>
          <w:u w:val="single"/>
        </w:rPr>
        <w:t>点30分（</w:t>
      </w:r>
      <w:r>
        <w:rPr>
          <w:rFonts w:hint="eastAsia" w:ascii="宋体" w:hAnsi="宋体" w:cs="宋体"/>
          <w:bCs/>
          <w:color w:val="auto"/>
          <w:sz w:val="24"/>
          <w:szCs w:val="24"/>
          <w:highlight w:val="none"/>
        </w:rPr>
        <w:t>北京时间）前递交</w:t>
      </w:r>
      <w:r>
        <w:rPr>
          <w:rFonts w:hint="eastAsia" w:ascii="宋体" w:hAnsi="宋体" w:cs="宋体"/>
          <w:bCs/>
          <w:color w:val="auto"/>
          <w:sz w:val="24"/>
          <w:szCs w:val="24"/>
          <w:highlight w:val="none"/>
          <w:lang w:val="en-US" w:eastAsia="zh-CN"/>
        </w:rPr>
        <w:t>响应</w:t>
      </w:r>
      <w:r>
        <w:rPr>
          <w:rFonts w:hint="eastAsia" w:ascii="宋体" w:hAnsi="宋体" w:cs="宋体"/>
          <w:bCs/>
          <w:color w:val="auto"/>
          <w:sz w:val="24"/>
          <w:szCs w:val="24"/>
          <w:highlight w:val="none"/>
        </w:rPr>
        <w:t>文件</w:t>
      </w:r>
      <w:r>
        <w:rPr>
          <w:rFonts w:hint="eastAsia" w:ascii="宋体" w:hAnsi="宋体" w:cs="宋体"/>
          <w:color w:val="auto"/>
          <w:sz w:val="24"/>
          <w:szCs w:val="24"/>
          <w:highlight w:val="none"/>
        </w:rPr>
        <w:t>。</w:t>
      </w:r>
    </w:p>
    <w:p w14:paraId="765BB7CB">
      <w:pPr>
        <w:adjustRightInd w:val="0"/>
        <w:snapToGrid w:val="0"/>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rPr>
        <w:t>一、项目概况与采购范围：</w:t>
      </w:r>
    </w:p>
    <w:p w14:paraId="7A0BCA4C">
      <w:pPr>
        <w:widowControl w:val="0"/>
        <w:adjustRightInd w:val="0"/>
        <w:snapToGrid w:val="0"/>
        <w:spacing w:line="360" w:lineRule="auto"/>
        <w:ind w:firstLine="480" w:firstLineChars="200"/>
        <w:rPr>
          <w:rFonts w:hint="eastAsia" w:ascii="宋体" w:hAnsi="宋体" w:cs="宋体"/>
          <w:color w:val="auto"/>
          <w:kern w:val="2"/>
          <w:sz w:val="24"/>
          <w:szCs w:val="21"/>
          <w:highlight w:val="none"/>
          <w:lang w:val="en-US" w:eastAsia="zh-CN" w:bidi="zh-CN"/>
        </w:rPr>
      </w:pPr>
      <w:bookmarkStart w:id="8" w:name="OLE_LINK33"/>
      <w:bookmarkStart w:id="9" w:name="OLE_LINK28"/>
      <w:r>
        <w:rPr>
          <w:rFonts w:hint="eastAsia" w:ascii="宋体" w:hAnsi="宋体" w:cs="宋体"/>
          <w:color w:val="auto"/>
          <w:kern w:val="2"/>
          <w:sz w:val="24"/>
          <w:szCs w:val="21"/>
          <w:highlight w:val="none"/>
          <w:lang w:bidi="zh-CN"/>
        </w:rPr>
        <w:t>1.项目名称：</w:t>
      </w:r>
      <w:r>
        <w:rPr>
          <w:rFonts w:hint="eastAsia" w:ascii="宋体" w:hAnsi="宋体" w:cs="宋体"/>
          <w:color w:val="auto"/>
          <w:kern w:val="2"/>
          <w:sz w:val="24"/>
          <w:szCs w:val="21"/>
          <w:highlight w:val="none"/>
          <w:lang w:val="en-US" w:eastAsia="zh-CN" w:bidi="zh-CN"/>
        </w:rPr>
        <w:t>新街镇坪地营溜溜塘易迁安置点基础设施提升项目</w:t>
      </w:r>
    </w:p>
    <w:p w14:paraId="0E0EC45B">
      <w:pPr>
        <w:widowControl w:val="0"/>
        <w:adjustRightInd w:val="0"/>
        <w:snapToGrid w:val="0"/>
        <w:spacing w:line="360" w:lineRule="auto"/>
        <w:ind w:firstLine="480" w:firstLineChars="200"/>
        <w:rPr>
          <w:rFonts w:hint="default" w:ascii="宋体" w:hAnsi="宋体" w:cs="宋体"/>
          <w:color w:val="auto"/>
          <w:kern w:val="2"/>
          <w:sz w:val="24"/>
          <w:szCs w:val="21"/>
          <w:highlight w:val="none"/>
          <w:lang w:val="en-US" w:bidi="zh-CN"/>
        </w:rPr>
      </w:pPr>
      <w:r>
        <w:rPr>
          <w:rFonts w:hint="eastAsia" w:ascii="宋体" w:hAnsi="宋体" w:cs="宋体"/>
          <w:color w:val="auto"/>
          <w:kern w:val="2"/>
          <w:sz w:val="24"/>
          <w:szCs w:val="21"/>
          <w:highlight w:val="none"/>
          <w:lang w:val="en-US" w:bidi="zh-CN"/>
        </w:rPr>
        <w:t>2.</w:t>
      </w:r>
      <w:bookmarkStart w:id="10" w:name="OLE_LINK25"/>
      <w:r>
        <w:rPr>
          <w:rFonts w:hint="eastAsia" w:ascii="宋体" w:hAnsi="宋体" w:cs="宋体"/>
          <w:color w:val="auto"/>
          <w:kern w:val="2"/>
          <w:sz w:val="24"/>
          <w:szCs w:val="21"/>
          <w:highlight w:val="none"/>
          <w:lang w:bidi="zh-CN"/>
        </w:rPr>
        <w:t>预算资金</w:t>
      </w:r>
      <w:bookmarkEnd w:id="10"/>
      <w:r>
        <w:rPr>
          <w:rFonts w:hint="eastAsia" w:ascii="宋体" w:hAnsi="宋体" w:cs="宋体"/>
          <w:color w:val="auto"/>
          <w:kern w:val="2"/>
          <w:sz w:val="24"/>
          <w:szCs w:val="21"/>
          <w:highlight w:val="none"/>
          <w:lang w:bidi="zh-CN"/>
        </w:rPr>
        <w:t>：</w:t>
      </w:r>
      <w:r>
        <w:rPr>
          <w:rFonts w:hint="eastAsia" w:ascii="宋体" w:hAnsi="宋体" w:cs="宋体"/>
          <w:color w:val="auto"/>
          <w:kern w:val="2"/>
          <w:sz w:val="24"/>
          <w:szCs w:val="21"/>
          <w:highlight w:val="none"/>
          <w:lang w:val="en-US" w:eastAsia="zh-CN" w:bidi="zh-CN"/>
        </w:rPr>
        <w:t>54.1</w:t>
      </w:r>
      <w:r>
        <w:rPr>
          <w:rFonts w:hint="eastAsia" w:ascii="宋体" w:hAnsi="宋体" w:cs="宋体"/>
          <w:color w:val="auto"/>
          <w:kern w:val="2"/>
          <w:sz w:val="24"/>
          <w:szCs w:val="21"/>
          <w:highlight w:val="none"/>
          <w:lang w:bidi="zh-CN"/>
        </w:rPr>
        <w:t>万元</w:t>
      </w:r>
      <w:r>
        <w:rPr>
          <w:rFonts w:hint="eastAsia" w:ascii="宋体" w:hAnsi="宋体" w:cs="宋体"/>
          <w:color w:val="auto"/>
          <w:kern w:val="2"/>
          <w:sz w:val="24"/>
          <w:szCs w:val="21"/>
          <w:highlight w:val="none"/>
          <w:lang w:val="en-US" w:bidi="zh-CN"/>
        </w:rPr>
        <w:t>。</w:t>
      </w:r>
    </w:p>
    <w:p w14:paraId="34AE9FD9">
      <w:pPr>
        <w:widowControl w:val="0"/>
        <w:adjustRightInd w:val="0"/>
        <w:snapToGrid w:val="0"/>
        <w:spacing w:line="360" w:lineRule="auto"/>
        <w:ind w:firstLine="480" w:firstLineChars="200"/>
        <w:rPr>
          <w:rFonts w:hint="default" w:ascii="宋体" w:hAnsi="宋体" w:eastAsia="宋体" w:cs="宋体"/>
          <w:color w:val="auto"/>
          <w:kern w:val="2"/>
          <w:sz w:val="24"/>
          <w:szCs w:val="21"/>
          <w:highlight w:val="none"/>
          <w:lang w:val="en-US" w:bidi="zh-CN"/>
        </w:rPr>
      </w:pPr>
      <w:bookmarkStart w:id="11" w:name="OLE_LINK24"/>
      <w:r>
        <w:rPr>
          <w:rFonts w:hint="eastAsia" w:ascii="宋体" w:hAnsi="宋体" w:cs="宋体"/>
          <w:color w:val="auto"/>
          <w:kern w:val="2"/>
          <w:sz w:val="24"/>
          <w:szCs w:val="21"/>
          <w:highlight w:val="none"/>
          <w:lang w:val="en-US" w:bidi="zh-CN"/>
        </w:rPr>
        <w:t>3.项目最高限价：</w:t>
      </w:r>
      <w:r>
        <w:rPr>
          <w:rFonts w:hint="eastAsia" w:ascii="宋体" w:hAnsi="宋体" w:cs="宋体"/>
          <w:color w:val="auto"/>
          <w:kern w:val="2"/>
          <w:sz w:val="24"/>
          <w:szCs w:val="21"/>
          <w:highlight w:val="none"/>
          <w:lang w:val="en-US" w:eastAsia="zh-CN" w:bidi="zh-CN"/>
        </w:rPr>
        <w:t>540084.80元</w:t>
      </w:r>
    </w:p>
    <w:p w14:paraId="2D88FA30">
      <w:pPr>
        <w:widowControl w:val="0"/>
        <w:adjustRightInd w:val="0"/>
        <w:snapToGrid w:val="0"/>
        <w:spacing w:line="360" w:lineRule="auto"/>
        <w:ind w:firstLine="480" w:firstLineChars="200"/>
        <w:rPr>
          <w:rFonts w:hint="eastAsia" w:eastAsia="宋体"/>
          <w:color w:val="auto"/>
          <w:highlight w:val="none"/>
          <w:lang w:val="en-US" w:eastAsia="zh-CN"/>
        </w:rPr>
      </w:pPr>
      <w:r>
        <w:rPr>
          <w:rFonts w:hint="eastAsia" w:ascii="宋体" w:hAnsi="宋体" w:cs="宋体"/>
          <w:color w:val="auto"/>
          <w:kern w:val="2"/>
          <w:sz w:val="24"/>
          <w:szCs w:val="21"/>
          <w:highlight w:val="none"/>
          <w:lang w:val="en-US" w:bidi="zh-CN"/>
        </w:rPr>
        <w:t>4</w:t>
      </w:r>
      <w:r>
        <w:rPr>
          <w:rFonts w:hint="eastAsia" w:ascii="宋体" w:hAnsi="宋体" w:eastAsia="宋体" w:cs="宋体"/>
          <w:color w:val="auto"/>
          <w:kern w:val="2"/>
          <w:sz w:val="24"/>
          <w:szCs w:val="21"/>
          <w:highlight w:val="none"/>
          <w:lang w:bidi="zh-CN"/>
        </w:rPr>
        <w:t>.</w:t>
      </w:r>
      <w:bookmarkStart w:id="12" w:name="OLE_LINK41"/>
      <w:bookmarkStart w:id="13" w:name="OLE_LINK17"/>
      <w:r>
        <w:rPr>
          <w:rFonts w:hint="eastAsia" w:ascii="宋体" w:hAnsi="宋体" w:eastAsia="宋体" w:cs="宋体"/>
          <w:color w:val="auto"/>
          <w:kern w:val="2"/>
          <w:sz w:val="24"/>
          <w:szCs w:val="21"/>
          <w:highlight w:val="none"/>
          <w:lang w:bidi="zh-CN"/>
        </w:rPr>
        <w:t>建设</w:t>
      </w:r>
      <w:r>
        <w:rPr>
          <w:rFonts w:hint="eastAsia" w:ascii="宋体" w:hAnsi="宋体" w:eastAsia="宋体" w:cs="宋体"/>
          <w:color w:val="auto"/>
          <w:kern w:val="2"/>
          <w:sz w:val="24"/>
          <w:szCs w:val="21"/>
          <w:highlight w:val="none"/>
          <w:lang w:eastAsia="zh-CN" w:bidi="zh-CN"/>
        </w:rPr>
        <w:t>内容及</w:t>
      </w:r>
      <w:r>
        <w:rPr>
          <w:rFonts w:hint="eastAsia" w:ascii="宋体" w:hAnsi="宋体" w:eastAsia="宋体" w:cs="宋体"/>
          <w:color w:val="auto"/>
          <w:kern w:val="2"/>
          <w:sz w:val="24"/>
          <w:szCs w:val="21"/>
          <w:highlight w:val="none"/>
          <w:lang w:bidi="zh-CN"/>
        </w:rPr>
        <w:t>规模：</w:t>
      </w:r>
      <w:r>
        <w:rPr>
          <w:rFonts w:hint="eastAsia" w:ascii="宋体" w:hAnsi="宋体" w:eastAsia="宋体" w:cs="宋体"/>
          <w:color w:val="auto"/>
          <w:kern w:val="2"/>
          <w:sz w:val="24"/>
          <w:szCs w:val="21"/>
          <w:highlight w:val="none"/>
          <w:lang w:val="en-US" w:eastAsia="zh-CN" w:bidi="zh-CN"/>
        </w:rPr>
        <w:t>新建20盏（6米高、80W）；维修更换10盏（6米高、80W）</w:t>
      </w:r>
      <w:r>
        <w:rPr>
          <w:rFonts w:hint="eastAsia" w:ascii="宋体" w:hAnsi="宋体" w:cs="宋体"/>
          <w:color w:val="auto"/>
          <w:kern w:val="2"/>
          <w:sz w:val="24"/>
          <w:szCs w:val="21"/>
          <w:highlight w:val="none"/>
          <w:lang w:val="en-US" w:eastAsia="zh-CN" w:bidi="zh-CN"/>
        </w:rPr>
        <w:t>、</w:t>
      </w:r>
      <w:r>
        <w:rPr>
          <w:rFonts w:hint="eastAsia" w:ascii="宋体" w:hAnsi="宋体" w:eastAsia="宋体" w:cs="宋体"/>
          <w:color w:val="auto"/>
          <w:kern w:val="2"/>
          <w:sz w:val="24"/>
          <w:szCs w:val="21"/>
          <w:highlight w:val="none"/>
          <w:lang w:val="en-US" w:eastAsia="zh-CN" w:bidi="zh-CN"/>
        </w:rPr>
        <w:t>侧沟126米（清理、硬化、加盖板）；排水沟850米（清理、C25混凝土浇筑、砂浆抹面）</w:t>
      </w:r>
      <w:r>
        <w:rPr>
          <w:rFonts w:hint="eastAsia" w:ascii="宋体" w:hAnsi="宋体" w:cs="宋体"/>
          <w:color w:val="auto"/>
          <w:kern w:val="2"/>
          <w:sz w:val="24"/>
          <w:szCs w:val="21"/>
          <w:highlight w:val="none"/>
          <w:lang w:val="en-US" w:eastAsia="zh-CN" w:bidi="zh-CN"/>
        </w:rPr>
        <w:t>、</w:t>
      </w:r>
      <w:r>
        <w:rPr>
          <w:rFonts w:hint="eastAsia" w:ascii="宋体" w:hAnsi="宋体" w:eastAsia="宋体" w:cs="宋体"/>
          <w:color w:val="auto"/>
          <w:kern w:val="2"/>
          <w:sz w:val="24"/>
          <w:szCs w:val="21"/>
          <w:highlight w:val="none"/>
          <w:lang w:val="en-US" w:eastAsia="zh-CN" w:bidi="zh-CN"/>
        </w:rPr>
        <w:t>1座100立方米、1座50立方米，采用C25混凝土浇筑</w:t>
      </w:r>
      <w:r>
        <w:rPr>
          <w:rFonts w:hint="eastAsia" w:ascii="宋体" w:hAnsi="宋体" w:cs="宋体"/>
          <w:color w:val="auto"/>
          <w:kern w:val="2"/>
          <w:sz w:val="24"/>
          <w:szCs w:val="21"/>
          <w:highlight w:val="none"/>
          <w:lang w:val="en-US" w:eastAsia="zh-CN" w:bidi="zh-CN"/>
        </w:rPr>
        <w:t>、M7.5浆砌石砌筑挡土墙长24米、平均高2.5米，总工程量62.2立方米、路面硬化及配套场地平整370平方米（C25混凝土、18cm厚），分三段（28×7.6m、9×4m、27×4.5m）。</w:t>
      </w:r>
      <w:r>
        <w:rPr>
          <w:rFonts w:hint="eastAsia" w:ascii="宋体" w:hAnsi="宋体" w:eastAsia="宋体" w:cs="宋体"/>
          <w:color w:val="auto"/>
          <w:kern w:val="2"/>
          <w:sz w:val="24"/>
          <w:szCs w:val="21"/>
          <w:highlight w:val="none"/>
          <w:lang w:val="en-US" w:eastAsia="zh-CN" w:bidi="zh-CN"/>
        </w:rPr>
        <w:t>具体内容详见</w:t>
      </w:r>
      <w:r>
        <w:rPr>
          <w:rFonts w:hint="eastAsia" w:asciiTheme="minorEastAsia" w:hAnsiTheme="minorEastAsia" w:cstheme="minorEastAsia"/>
          <w:color w:val="auto"/>
          <w:sz w:val="24"/>
          <w:highlight w:val="none"/>
        </w:rPr>
        <w:t>招标工程量清单</w:t>
      </w:r>
      <w:r>
        <w:rPr>
          <w:rFonts w:hint="eastAsia" w:asciiTheme="minorEastAsia" w:hAnsiTheme="minorEastAsia" w:cstheme="minorEastAsia"/>
          <w:color w:val="auto"/>
          <w:sz w:val="24"/>
          <w:highlight w:val="none"/>
          <w:lang w:val="en-US" w:eastAsia="zh-CN"/>
        </w:rPr>
        <w:t>及图纸要求</w:t>
      </w:r>
      <w:r>
        <w:rPr>
          <w:rFonts w:hint="eastAsia" w:asciiTheme="minorEastAsia" w:hAnsiTheme="minorEastAsia" w:cstheme="minorEastAsia"/>
          <w:color w:val="auto"/>
          <w:sz w:val="24"/>
          <w:highlight w:val="none"/>
          <w:lang w:eastAsia="zh-CN"/>
        </w:rPr>
        <w:t>。</w:t>
      </w:r>
    </w:p>
    <w:bookmarkEnd w:id="12"/>
    <w:p w14:paraId="1955773A">
      <w:pPr>
        <w:pStyle w:val="9"/>
        <w:ind w:firstLine="480" w:firstLineChars="200"/>
        <w:rPr>
          <w:rFonts w:hint="default"/>
          <w:color w:val="auto"/>
          <w:highlight w:val="none"/>
          <w:lang w:val="en-US"/>
        </w:rPr>
      </w:pPr>
      <w:r>
        <w:rPr>
          <w:rFonts w:hint="eastAsia" w:ascii="宋体" w:hAnsi="宋体" w:cs="宋体"/>
          <w:color w:val="auto"/>
          <w:kern w:val="2"/>
          <w:sz w:val="24"/>
          <w:szCs w:val="21"/>
          <w:highlight w:val="none"/>
          <w:lang w:val="en-US" w:bidi="zh-CN"/>
        </w:rPr>
        <w:t>5.</w:t>
      </w:r>
      <w:bookmarkStart w:id="14" w:name="OLE_LINK16"/>
      <w:r>
        <w:rPr>
          <w:rFonts w:hint="eastAsia" w:ascii="宋体" w:hAnsi="宋体" w:cs="宋体"/>
          <w:color w:val="auto"/>
          <w:kern w:val="2"/>
          <w:sz w:val="24"/>
          <w:szCs w:val="21"/>
          <w:highlight w:val="none"/>
          <w:lang w:val="en-US" w:bidi="zh-CN"/>
        </w:rPr>
        <w:t>招标范围：</w:t>
      </w:r>
      <w:bookmarkStart w:id="15" w:name="OLE_LINK11"/>
      <w:bookmarkStart w:id="16" w:name="OLE_LINK5"/>
      <w:r>
        <w:rPr>
          <w:rFonts w:hint="eastAsia" w:asciiTheme="minorEastAsia" w:hAnsiTheme="minorEastAsia" w:cstheme="minorEastAsia"/>
          <w:color w:val="auto"/>
          <w:sz w:val="24"/>
          <w:highlight w:val="none"/>
        </w:rPr>
        <w:t>招标工程量清单</w:t>
      </w:r>
      <w:r>
        <w:rPr>
          <w:rFonts w:hint="eastAsia" w:asciiTheme="minorEastAsia" w:hAnsiTheme="minorEastAsia" w:cstheme="minorEastAsia"/>
          <w:color w:val="auto"/>
          <w:sz w:val="24"/>
          <w:highlight w:val="none"/>
          <w:lang w:val="en-US" w:eastAsia="zh-CN"/>
        </w:rPr>
        <w:t>及图纸</w:t>
      </w:r>
      <w:r>
        <w:rPr>
          <w:rFonts w:hint="eastAsia" w:asciiTheme="minorEastAsia" w:hAnsiTheme="minorEastAsia" w:cstheme="minorEastAsia"/>
          <w:color w:val="auto"/>
          <w:sz w:val="24"/>
          <w:highlight w:val="none"/>
        </w:rPr>
        <w:t>包含的全部内容</w:t>
      </w:r>
      <w:bookmarkEnd w:id="15"/>
    </w:p>
    <w:bookmarkEnd w:id="14"/>
    <w:bookmarkEnd w:id="16"/>
    <w:p w14:paraId="15163418">
      <w:pPr>
        <w:widowControl w:val="0"/>
        <w:adjustRightInd w:val="0"/>
        <w:snapToGrid w:val="0"/>
        <w:spacing w:line="360" w:lineRule="auto"/>
        <w:ind w:firstLine="480" w:firstLineChars="200"/>
        <w:rPr>
          <w:rFonts w:hint="default" w:ascii="宋体" w:hAnsi="宋体" w:eastAsia="宋体" w:cs="宋体"/>
          <w:color w:val="auto"/>
          <w:kern w:val="2"/>
          <w:sz w:val="24"/>
          <w:szCs w:val="21"/>
          <w:highlight w:val="none"/>
          <w:lang w:val="en-US" w:eastAsia="zh-CN" w:bidi="zh-CN"/>
        </w:rPr>
      </w:pPr>
      <w:r>
        <w:rPr>
          <w:rFonts w:hint="eastAsia" w:ascii="宋体" w:hAnsi="宋体" w:cs="宋体"/>
          <w:color w:val="auto"/>
          <w:kern w:val="2"/>
          <w:sz w:val="24"/>
          <w:szCs w:val="21"/>
          <w:highlight w:val="none"/>
          <w:lang w:val="en-US" w:bidi="zh-CN"/>
        </w:rPr>
        <w:t>6</w:t>
      </w:r>
      <w:r>
        <w:rPr>
          <w:rFonts w:hint="eastAsia" w:ascii="宋体" w:hAnsi="宋体" w:cs="宋体"/>
          <w:color w:val="auto"/>
          <w:kern w:val="2"/>
          <w:sz w:val="24"/>
          <w:szCs w:val="21"/>
          <w:highlight w:val="none"/>
          <w:lang w:bidi="zh-CN"/>
        </w:rPr>
        <w:t>.</w:t>
      </w:r>
      <w:r>
        <w:rPr>
          <w:rFonts w:hint="eastAsia" w:ascii="宋体" w:hAnsi="宋体" w:cs="宋体"/>
          <w:color w:val="auto"/>
          <w:kern w:val="2"/>
          <w:sz w:val="24"/>
          <w:szCs w:val="21"/>
          <w:highlight w:val="none"/>
          <w:lang w:val="en-US" w:bidi="zh-CN"/>
        </w:rPr>
        <w:t>质量</w:t>
      </w:r>
      <w:r>
        <w:rPr>
          <w:rFonts w:hint="eastAsia" w:ascii="宋体" w:hAnsi="宋体"/>
          <w:color w:val="auto"/>
          <w:sz w:val="24"/>
          <w:szCs w:val="24"/>
          <w:highlight w:val="none"/>
        </w:rPr>
        <w:t>要求：</w:t>
      </w:r>
      <w:bookmarkStart w:id="17" w:name="OLE_LINK36"/>
      <w:r>
        <w:rPr>
          <w:rFonts w:hint="eastAsia" w:ascii="宋体" w:hAnsi="宋体"/>
          <w:color w:val="auto"/>
          <w:sz w:val="24"/>
          <w:szCs w:val="24"/>
          <w:highlight w:val="none"/>
        </w:rPr>
        <w:t>符合国家、行业及地方现行的相关标准及规范，并</w:t>
      </w:r>
      <w:r>
        <w:rPr>
          <w:rFonts w:hint="eastAsia" w:ascii="宋体" w:hAnsi="宋体"/>
          <w:color w:val="auto"/>
          <w:sz w:val="24"/>
          <w:szCs w:val="24"/>
          <w:highlight w:val="none"/>
          <w:lang w:val="en-US" w:eastAsia="zh-CN"/>
        </w:rPr>
        <w:t>一次性验收合格。</w:t>
      </w:r>
      <w:bookmarkEnd w:id="17"/>
    </w:p>
    <w:bookmarkEnd w:id="13"/>
    <w:p w14:paraId="123F8364">
      <w:pPr>
        <w:widowControl w:val="0"/>
        <w:adjustRightInd w:val="0"/>
        <w:snapToGrid w:val="0"/>
        <w:spacing w:line="360" w:lineRule="auto"/>
        <w:ind w:firstLine="480" w:firstLineChars="200"/>
        <w:rPr>
          <w:rFonts w:hint="eastAsia" w:ascii="宋体" w:hAnsi="宋体" w:cs="宋体"/>
          <w:color w:val="auto"/>
          <w:kern w:val="2"/>
          <w:sz w:val="24"/>
          <w:szCs w:val="21"/>
          <w:highlight w:val="none"/>
          <w:lang w:bidi="zh-CN"/>
        </w:rPr>
      </w:pPr>
      <w:r>
        <w:rPr>
          <w:rFonts w:hint="eastAsia" w:ascii="宋体" w:hAnsi="宋体" w:cs="宋体"/>
          <w:color w:val="auto"/>
          <w:kern w:val="2"/>
          <w:sz w:val="24"/>
          <w:szCs w:val="21"/>
          <w:highlight w:val="none"/>
          <w:lang w:val="en-US" w:bidi="zh-CN"/>
        </w:rPr>
        <w:t>7</w:t>
      </w:r>
      <w:r>
        <w:rPr>
          <w:rFonts w:hint="eastAsia" w:ascii="宋体" w:hAnsi="宋体" w:cs="宋体"/>
          <w:color w:val="auto"/>
          <w:kern w:val="2"/>
          <w:sz w:val="24"/>
          <w:szCs w:val="21"/>
          <w:highlight w:val="none"/>
          <w:lang w:bidi="zh-CN"/>
        </w:rPr>
        <w:t>.</w:t>
      </w:r>
      <w:r>
        <w:rPr>
          <w:rFonts w:hint="eastAsia" w:ascii="宋体" w:hAnsi="宋体" w:cs="宋体"/>
          <w:color w:val="auto"/>
          <w:kern w:val="2"/>
          <w:sz w:val="24"/>
          <w:szCs w:val="21"/>
          <w:highlight w:val="none"/>
          <w:lang w:val="en-US" w:bidi="zh-CN"/>
        </w:rPr>
        <w:t>计划工期</w:t>
      </w:r>
      <w:r>
        <w:rPr>
          <w:rFonts w:hint="eastAsia" w:ascii="宋体" w:hAnsi="宋体" w:cs="宋体"/>
          <w:color w:val="auto"/>
          <w:kern w:val="2"/>
          <w:sz w:val="24"/>
          <w:szCs w:val="21"/>
          <w:highlight w:val="none"/>
          <w:lang w:bidi="zh-CN"/>
        </w:rPr>
        <w:t>：</w:t>
      </w:r>
      <w:bookmarkStart w:id="18" w:name="OLE_LINK10"/>
      <w:bookmarkStart w:id="19" w:name="OLE_LINK18"/>
      <w:r>
        <w:rPr>
          <w:rFonts w:hint="eastAsia" w:ascii="宋体" w:hAnsi="宋体" w:eastAsia="宋体" w:cs="宋体"/>
          <w:color w:val="auto"/>
          <w:sz w:val="24"/>
          <w:szCs w:val="24"/>
          <w:highlight w:val="none"/>
        </w:rPr>
        <w:t>自合同签订之日起</w:t>
      </w:r>
      <w:r>
        <w:rPr>
          <w:rFonts w:hint="eastAsia" w:ascii="宋体" w:hAnsi="宋体" w:eastAsia="宋体" w:cs="宋体"/>
          <w:color w:val="auto"/>
          <w:sz w:val="24"/>
          <w:szCs w:val="24"/>
          <w:highlight w:val="none"/>
          <w:lang w:val="en-US" w:eastAsia="zh-CN"/>
        </w:rPr>
        <w:t>约</w:t>
      </w:r>
      <w:r>
        <w:rPr>
          <w:rFonts w:hint="eastAsia" w:ascii="宋体" w:hAnsi="宋体" w:cs="宋体"/>
          <w:color w:val="auto"/>
          <w:sz w:val="24"/>
          <w:szCs w:val="24"/>
          <w:highlight w:val="none"/>
          <w:lang w:val="en-US" w:eastAsia="zh-CN"/>
        </w:rPr>
        <w:t>120</w:t>
      </w:r>
      <w:r>
        <w:rPr>
          <w:rFonts w:hint="eastAsia" w:ascii="宋体" w:hAnsi="宋体" w:eastAsia="宋体" w:cs="宋体"/>
          <w:color w:val="auto"/>
          <w:sz w:val="24"/>
          <w:szCs w:val="24"/>
          <w:highlight w:val="none"/>
        </w:rPr>
        <w:t>日历天</w:t>
      </w:r>
      <w:r>
        <w:rPr>
          <w:rFonts w:hint="eastAsia" w:ascii="宋体" w:hAnsi="宋体" w:cs="宋体"/>
          <w:color w:val="auto"/>
          <w:kern w:val="2"/>
          <w:sz w:val="24"/>
          <w:szCs w:val="21"/>
          <w:highlight w:val="none"/>
          <w:lang w:bidi="zh-CN"/>
        </w:rPr>
        <w:t>。</w:t>
      </w:r>
      <w:bookmarkEnd w:id="18"/>
    </w:p>
    <w:bookmarkEnd w:id="19"/>
    <w:p w14:paraId="307237B8">
      <w:pPr>
        <w:widowControl w:val="0"/>
        <w:adjustRightInd w:val="0"/>
        <w:snapToGrid w:val="0"/>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建设地点</w:t>
      </w:r>
      <w:r>
        <w:rPr>
          <w:rFonts w:hint="eastAsia" w:ascii="宋体" w:hAnsi="宋体"/>
          <w:color w:val="auto"/>
          <w:sz w:val="24"/>
          <w:szCs w:val="24"/>
          <w:highlight w:val="none"/>
        </w:rPr>
        <w:t>：</w:t>
      </w:r>
      <w:r>
        <w:rPr>
          <w:rFonts w:hint="eastAsia" w:ascii="宋体" w:hAnsi="宋体"/>
          <w:color w:val="auto"/>
          <w:sz w:val="24"/>
          <w:szCs w:val="24"/>
          <w:highlight w:val="none"/>
          <w:lang w:eastAsia="zh-CN"/>
        </w:rPr>
        <w:t>鲁甸县新街镇坪地营村委会</w:t>
      </w:r>
      <w:r>
        <w:rPr>
          <w:rFonts w:hint="eastAsia" w:ascii="宋体" w:hAnsi="宋体"/>
          <w:color w:val="auto"/>
          <w:sz w:val="24"/>
          <w:szCs w:val="24"/>
          <w:highlight w:val="none"/>
          <w:lang w:val="en-US" w:eastAsia="zh-CN"/>
        </w:rPr>
        <w:t>。</w:t>
      </w:r>
    </w:p>
    <w:bookmarkEnd w:id="8"/>
    <w:p w14:paraId="2DE4E6FC">
      <w:pPr>
        <w:widowControl w:val="0"/>
        <w:adjustRightInd w:val="0"/>
        <w:snapToGrid w:val="0"/>
        <w:spacing w:line="360" w:lineRule="auto"/>
        <w:ind w:firstLine="480" w:firstLineChars="200"/>
        <w:rPr>
          <w:rFonts w:hint="eastAsia" w:ascii="宋体" w:hAnsi="宋体" w:cs="宋体"/>
          <w:color w:val="auto"/>
          <w:kern w:val="2"/>
          <w:sz w:val="24"/>
          <w:szCs w:val="21"/>
          <w:highlight w:val="none"/>
          <w:lang w:bidi="zh-CN"/>
        </w:rPr>
      </w:pPr>
      <w:r>
        <w:rPr>
          <w:rFonts w:hint="eastAsia" w:ascii="宋体" w:hAnsi="宋体" w:cs="宋体"/>
          <w:color w:val="auto"/>
          <w:kern w:val="2"/>
          <w:sz w:val="24"/>
          <w:szCs w:val="21"/>
          <w:highlight w:val="none"/>
          <w:lang w:val="en-US" w:bidi="zh-CN"/>
        </w:rPr>
        <w:t>9</w:t>
      </w:r>
      <w:r>
        <w:rPr>
          <w:rFonts w:hint="eastAsia" w:ascii="宋体" w:hAnsi="宋体" w:cs="宋体"/>
          <w:color w:val="auto"/>
          <w:kern w:val="2"/>
          <w:sz w:val="24"/>
          <w:szCs w:val="21"/>
          <w:highlight w:val="none"/>
          <w:lang w:bidi="zh-CN"/>
        </w:rPr>
        <w:t>.招标方式： 竞争性磋商；</w:t>
      </w:r>
    </w:p>
    <w:bookmarkEnd w:id="9"/>
    <w:bookmarkEnd w:id="11"/>
    <w:p w14:paraId="33472A8B">
      <w:pPr>
        <w:adjustRightInd w:val="0"/>
        <w:snapToGrid w:val="0"/>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rPr>
        <w:t>二、供应商应具备的资格要求：</w:t>
      </w:r>
    </w:p>
    <w:p w14:paraId="1BE570D3">
      <w:pPr>
        <w:widowControl w:val="0"/>
        <w:adjustRightInd w:val="0"/>
        <w:snapToGrid w:val="0"/>
        <w:spacing w:line="360" w:lineRule="auto"/>
        <w:ind w:firstLine="480" w:firstLineChars="200"/>
        <w:rPr>
          <w:rFonts w:hint="eastAsia" w:ascii="宋体" w:hAnsi="宋体" w:cs="宋体"/>
          <w:color w:val="auto"/>
          <w:kern w:val="2"/>
          <w:sz w:val="24"/>
          <w:szCs w:val="21"/>
          <w:highlight w:val="none"/>
          <w:lang w:bidi="zh-CN"/>
        </w:rPr>
      </w:pPr>
      <w:bookmarkStart w:id="20" w:name="OLE_LINK26"/>
      <w:bookmarkStart w:id="21" w:name="_Hlk12462271"/>
      <w:r>
        <w:rPr>
          <w:rFonts w:hint="eastAsia" w:ascii="宋体" w:hAnsi="宋体" w:cs="宋体"/>
          <w:color w:val="auto"/>
          <w:kern w:val="2"/>
          <w:sz w:val="24"/>
          <w:szCs w:val="21"/>
          <w:highlight w:val="none"/>
          <w:lang w:bidi="zh-CN"/>
        </w:rPr>
        <w:t>1.符合《中华人民共和国政府采购法》第二十二条规定：</w:t>
      </w:r>
    </w:p>
    <w:p w14:paraId="51557374">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（一）具有独立承担民事责任的能力；</w:t>
      </w:r>
    </w:p>
    <w:p w14:paraId="16E0FDC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（二）具有良好的商业信誉和健全的财务会计制度； </w:t>
      </w:r>
    </w:p>
    <w:p w14:paraId="4F6B7D67">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（三）具有履行合同所必需的设备和专业技术能力</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供应商需提供声明函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w:t>
      </w:r>
    </w:p>
    <w:p w14:paraId="074BA5E7">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（四）有依法缴纳税收和社会保障资金的良好记录； </w:t>
      </w:r>
    </w:p>
    <w:p w14:paraId="60CF501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（五）参加政府采购活动前三年内，在经营活动中没有重大违法记录</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需提供声明函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w:t>
      </w:r>
    </w:p>
    <w:p w14:paraId="4D729237">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（六）法律、行政法规规定的其他条件。 </w:t>
      </w:r>
    </w:p>
    <w:p w14:paraId="1D94340B">
      <w:pPr>
        <w:widowControl w:val="0"/>
        <w:adjustRightInd w:val="0"/>
        <w:snapToGrid w:val="0"/>
        <w:spacing w:line="360" w:lineRule="auto"/>
        <w:ind w:firstLine="480" w:firstLineChars="200"/>
        <w:rPr>
          <w:rFonts w:hint="eastAsia" w:ascii="宋体" w:hAnsi="宋体" w:cs="宋体"/>
          <w:color w:val="auto"/>
          <w:kern w:val="2"/>
          <w:sz w:val="24"/>
          <w:szCs w:val="21"/>
          <w:highlight w:val="none"/>
          <w:lang w:bidi="zh-CN"/>
        </w:rPr>
      </w:pPr>
      <w:r>
        <w:rPr>
          <w:rFonts w:hint="eastAsia" w:ascii="宋体" w:hAnsi="宋体" w:cs="宋体"/>
          <w:color w:val="auto"/>
          <w:kern w:val="2"/>
          <w:sz w:val="24"/>
          <w:szCs w:val="21"/>
          <w:highlight w:val="none"/>
          <w:lang w:bidi="zh-CN"/>
        </w:rPr>
        <w:t>2.落实政府采购政策需满足的资格要求：</w:t>
      </w:r>
    </w:p>
    <w:p w14:paraId="767F4463">
      <w:pPr>
        <w:widowControl w:val="0"/>
        <w:adjustRightInd w:val="0"/>
        <w:snapToGrid w:val="0"/>
        <w:spacing w:line="360" w:lineRule="auto"/>
        <w:ind w:firstLine="480" w:firstLineChars="200"/>
        <w:rPr>
          <w:rFonts w:hint="eastAsia" w:ascii="宋体" w:hAnsi="宋体" w:eastAsia="宋体" w:cs="宋体"/>
          <w:color w:val="auto"/>
          <w:kern w:val="2"/>
          <w:sz w:val="24"/>
          <w:szCs w:val="21"/>
          <w:highlight w:val="none"/>
          <w:lang w:val="en-US" w:eastAsia="zh-CN" w:bidi="zh-CN"/>
        </w:rPr>
      </w:pPr>
      <w:r>
        <w:rPr>
          <w:rFonts w:hint="eastAsia" w:ascii="宋体" w:hAnsi="宋体" w:eastAsia="宋体" w:cs="宋体"/>
          <w:color w:val="auto"/>
          <w:kern w:val="2"/>
          <w:sz w:val="24"/>
          <w:szCs w:val="21"/>
          <w:highlight w:val="none"/>
          <w:lang w:val="en-US" w:eastAsia="zh-CN" w:bidi="zh-CN"/>
        </w:rPr>
        <w:t>2.1中小企业政策</w:t>
      </w:r>
    </w:p>
    <w:p w14:paraId="5778A50B">
      <w:pPr>
        <w:widowControl w:val="0"/>
        <w:adjustRightInd w:val="0"/>
        <w:snapToGrid w:val="0"/>
        <w:spacing w:line="360" w:lineRule="auto"/>
        <w:ind w:firstLine="480" w:firstLineChars="200"/>
        <w:rPr>
          <w:rFonts w:hint="eastAsia" w:ascii="宋体" w:hAnsi="宋体" w:eastAsia="宋体" w:cs="宋体"/>
          <w:color w:val="auto"/>
          <w:kern w:val="2"/>
          <w:sz w:val="24"/>
          <w:szCs w:val="21"/>
          <w:highlight w:val="none"/>
          <w:lang w:val="en-US" w:eastAsia="zh-CN" w:bidi="zh-CN"/>
        </w:rPr>
      </w:pPr>
      <w:r>
        <w:rPr>
          <w:rFonts w:hint="eastAsia" w:ascii="宋体" w:hAnsi="宋体" w:eastAsia="宋体" w:cs="宋体"/>
          <w:color w:val="auto"/>
          <w:kern w:val="2"/>
          <w:sz w:val="24"/>
          <w:szCs w:val="21"/>
          <w:highlight w:val="none"/>
          <w:lang w:val="en-US" w:eastAsia="zh-CN" w:bidi="zh-CN"/>
        </w:rPr>
        <w:t>□本项目不专门面向中小企业预留采购份额。</w:t>
      </w:r>
    </w:p>
    <w:p w14:paraId="25497BB8">
      <w:pPr>
        <w:widowControl w:val="0"/>
        <w:adjustRightInd w:val="0"/>
        <w:snapToGrid w:val="0"/>
        <w:spacing w:line="360" w:lineRule="auto"/>
        <w:ind w:firstLine="480" w:firstLineChars="200"/>
        <w:rPr>
          <w:rFonts w:hint="eastAsia" w:ascii="宋体" w:hAnsi="宋体" w:eastAsia="宋体" w:cs="宋体"/>
          <w:color w:val="auto"/>
          <w:kern w:val="2"/>
          <w:sz w:val="24"/>
          <w:szCs w:val="21"/>
          <w:highlight w:val="none"/>
          <w:lang w:bidi="zh-CN"/>
        </w:rPr>
      </w:pPr>
      <w:r>
        <w:rPr>
          <w:rFonts w:hint="eastAsia" w:ascii="宋体" w:hAnsi="宋体" w:eastAsia="宋体" w:cs="宋体"/>
          <w:color w:val="auto"/>
          <w:kern w:val="2"/>
          <w:sz w:val="24"/>
          <w:szCs w:val="21"/>
          <w:highlight w:val="none"/>
          <w:lang w:val="en-US" w:eastAsia="zh-CN" w:bidi="zh-CN"/>
        </w:rPr>
        <w:t>☑本项目专门面向 ☑中小企业 □小微企业 采购。即：工程由符合政策要求的中小/小微企业承建；</w:t>
      </w:r>
    </w:p>
    <w:p w14:paraId="04BC81AD">
      <w:pPr>
        <w:widowControl w:val="0"/>
        <w:adjustRightInd w:val="0"/>
        <w:snapToGrid w:val="0"/>
        <w:spacing w:line="360" w:lineRule="auto"/>
        <w:ind w:firstLine="480" w:firstLineChars="200"/>
        <w:rPr>
          <w:rFonts w:hint="eastAsia" w:ascii="宋体" w:hAnsi="宋体" w:cs="宋体"/>
          <w:color w:val="auto"/>
          <w:kern w:val="2"/>
          <w:sz w:val="24"/>
          <w:szCs w:val="21"/>
          <w:highlight w:val="none"/>
          <w:lang w:bidi="zh-CN"/>
        </w:rPr>
      </w:pPr>
      <w:r>
        <w:rPr>
          <w:rFonts w:hint="eastAsia" w:ascii="宋体" w:hAnsi="宋体" w:eastAsia="宋体" w:cs="宋体"/>
          <w:color w:val="auto"/>
          <w:kern w:val="2"/>
          <w:sz w:val="24"/>
          <w:szCs w:val="21"/>
          <w:highlight w:val="none"/>
          <w:lang w:val="en-US" w:bidi="zh-CN"/>
        </w:rPr>
        <w:t>3</w:t>
      </w:r>
      <w:r>
        <w:rPr>
          <w:rFonts w:hint="eastAsia" w:ascii="宋体" w:hAnsi="宋体" w:eastAsia="宋体" w:cs="宋体"/>
          <w:color w:val="auto"/>
          <w:kern w:val="2"/>
          <w:sz w:val="24"/>
          <w:szCs w:val="21"/>
          <w:highlight w:val="none"/>
          <w:lang w:bidi="zh-CN"/>
        </w:rPr>
        <w:t>.营业执照：供应商须具有独立法人资格及独立承担民事责任的能力，具有有效的《营业执照》（三证合一）或</w:t>
      </w:r>
      <w:r>
        <w:rPr>
          <w:rFonts w:hint="eastAsia" w:ascii="宋体" w:hAnsi="宋体" w:cs="宋体"/>
          <w:color w:val="auto"/>
          <w:kern w:val="2"/>
          <w:sz w:val="24"/>
          <w:szCs w:val="21"/>
          <w:highlight w:val="none"/>
          <w:lang w:bidi="zh-CN"/>
        </w:rPr>
        <w:t>事业单位法人证书或其他组织。</w:t>
      </w:r>
    </w:p>
    <w:p w14:paraId="3E49D78D">
      <w:pPr>
        <w:pStyle w:val="27"/>
        <w:keepNext w:val="0"/>
        <w:keepLines w:val="0"/>
        <w:pageBreakBefore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Times New Roman"/>
          <w:color w:val="auto"/>
          <w:sz w:val="24"/>
          <w:szCs w:val="24"/>
          <w:highlight w:val="none"/>
        </w:rPr>
      </w:pPr>
      <w:r>
        <w:rPr>
          <w:rFonts w:hint="eastAsia" w:ascii="宋体" w:hAnsi="宋体" w:cs="宋体"/>
          <w:color w:val="auto"/>
          <w:kern w:val="2"/>
          <w:sz w:val="24"/>
          <w:szCs w:val="21"/>
          <w:highlight w:val="none"/>
          <w:lang w:val="en-US" w:bidi="zh-CN"/>
        </w:rPr>
        <w:t>4</w:t>
      </w:r>
      <w:r>
        <w:rPr>
          <w:rFonts w:hint="eastAsia" w:ascii="宋体" w:hAnsi="宋体" w:cs="宋体"/>
          <w:color w:val="auto"/>
          <w:kern w:val="2"/>
          <w:sz w:val="24"/>
          <w:szCs w:val="21"/>
          <w:highlight w:val="none"/>
          <w:lang w:bidi="zh-CN"/>
        </w:rPr>
        <w:t>.信誉要求：</w:t>
      </w:r>
      <w:r>
        <w:rPr>
          <w:rFonts w:hint="eastAsia" w:ascii="宋体" w:hAnsi="宋体" w:eastAsia="宋体" w:cs="Times New Roman"/>
          <w:color w:val="auto"/>
          <w:sz w:val="24"/>
          <w:szCs w:val="24"/>
          <w:highlight w:val="none"/>
          <w:lang w:val="zh-CN"/>
        </w:rPr>
        <w:t>供应商信用良好，</w:t>
      </w:r>
      <w:r>
        <w:rPr>
          <w:rFonts w:hint="eastAsia" w:ascii="宋体" w:hAnsi="宋体" w:eastAsia="宋体" w:cs="宋体"/>
          <w:color w:val="auto"/>
          <w:sz w:val="24"/>
          <w:highlight w:val="none"/>
        </w:rPr>
        <w:t>未</w:t>
      </w:r>
      <w:r>
        <w:rPr>
          <w:rFonts w:hint="eastAsia" w:ascii="宋体" w:hAnsi="宋体" w:cs="宋体"/>
          <w:color w:val="auto"/>
          <w:sz w:val="24"/>
          <w:highlight w:val="none"/>
        </w:rPr>
        <w:t>列入</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拖欠农民工工资失信联合惩戒对象名单</w:t>
      </w:r>
      <w:r>
        <w:rPr>
          <w:rFonts w:hint="eastAsia" w:ascii="宋体" w:hAnsi="宋体" w:eastAsia="宋体" w:cs="宋体"/>
          <w:color w:val="auto"/>
          <w:sz w:val="24"/>
          <w:highlight w:val="none"/>
          <w:lang w:eastAsia="zh-CN"/>
        </w:rPr>
        <w:t>、</w:t>
      </w:r>
      <w:r>
        <w:rPr>
          <w:rFonts w:hint="eastAsia" w:ascii="宋体" w:hAnsi="宋体" w:eastAsia="宋体" w:cs="Times New Roman"/>
          <w:color w:val="auto"/>
          <w:sz w:val="24"/>
          <w:szCs w:val="24"/>
          <w:highlight w:val="none"/>
          <w:lang w:val="zh-CN"/>
        </w:rPr>
        <w:t>未被列入失信被执行人、重大税收违法失信主体、经营异常名录、严重失信主体名单，政府采购严重违法失信行为记录名单</w:t>
      </w:r>
      <w:r>
        <w:rPr>
          <w:rFonts w:hint="eastAsia" w:ascii="宋体" w:hAnsi="宋体" w:cs="Times New Roman"/>
          <w:color w:val="auto"/>
          <w:sz w:val="24"/>
          <w:szCs w:val="24"/>
          <w:highlight w:val="none"/>
          <w:lang w:val="zh-CN"/>
        </w:rPr>
        <w:t>”</w:t>
      </w:r>
      <w:r>
        <w:rPr>
          <w:rFonts w:hint="eastAsia" w:ascii="宋体" w:hAnsi="宋体" w:eastAsia="宋体" w:cs="Times New Roman"/>
          <w:color w:val="auto"/>
          <w:sz w:val="24"/>
          <w:szCs w:val="24"/>
          <w:highlight w:val="none"/>
          <w:lang w:val="zh-CN"/>
        </w:rPr>
        <w:t>，供应商须提供承诺函，最终以采购人及采购代理机构在开标时查询《信用中国》网站的结果为准。</w:t>
      </w:r>
    </w:p>
    <w:p w14:paraId="3A742ED2">
      <w:pPr>
        <w:kinsoku w:val="0"/>
        <w:autoSpaceDE w:val="0"/>
        <w:autoSpaceDN w:val="0"/>
        <w:adjustRightInd w:val="0"/>
        <w:snapToGrid w:val="0"/>
        <w:spacing w:line="360" w:lineRule="auto"/>
        <w:ind w:firstLine="480" w:firstLineChars="200"/>
        <w:textAlignment w:val="baseline"/>
        <w:rPr>
          <w:rFonts w:hint="eastAsia" w:ascii="宋体" w:hAnsi="宋体" w:cs="宋体"/>
          <w:color w:val="auto"/>
          <w:kern w:val="2"/>
          <w:sz w:val="24"/>
          <w:szCs w:val="21"/>
          <w:highlight w:val="none"/>
          <w:lang w:bidi="zh-CN"/>
        </w:rPr>
      </w:pPr>
      <w:r>
        <w:rPr>
          <w:rFonts w:hint="eastAsia" w:ascii="宋体" w:hAnsi="宋体" w:cs="宋体"/>
          <w:color w:val="auto"/>
          <w:kern w:val="2"/>
          <w:sz w:val="24"/>
          <w:szCs w:val="21"/>
          <w:highlight w:val="none"/>
          <w:lang w:val="en-US" w:bidi="zh-CN"/>
        </w:rPr>
        <w:t>5</w:t>
      </w:r>
      <w:r>
        <w:rPr>
          <w:rFonts w:hint="eastAsia" w:ascii="宋体" w:hAnsi="宋体" w:cs="宋体"/>
          <w:color w:val="auto"/>
          <w:kern w:val="2"/>
          <w:sz w:val="24"/>
          <w:szCs w:val="21"/>
          <w:highlight w:val="none"/>
          <w:lang w:bidi="zh-CN"/>
        </w:rPr>
        <w:t>.本项目的特定资格要求：</w:t>
      </w:r>
    </w:p>
    <w:p w14:paraId="7D55C3DC">
      <w:pPr>
        <w:kinsoku w:val="0"/>
        <w:autoSpaceDE w:val="0"/>
        <w:autoSpaceDN w:val="0"/>
        <w:adjustRightInd w:val="0"/>
        <w:snapToGrid w:val="0"/>
        <w:spacing w:line="360" w:lineRule="auto"/>
        <w:ind w:firstLine="480" w:firstLineChars="200"/>
        <w:textAlignment w:val="baseline"/>
        <w:rPr>
          <w:rFonts w:hint="eastAsia" w:ascii="宋体" w:hAnsi="宋体" w:cs="宋体"/>
          <w:color w:val="auto"/>
          <w:spacing w:val="6"/>
          <w:sz w:val="24"/>
          <w:szCs w:val="24"/>
          <w:highlight w:val="none"/>
        </w:rPr>
      </w:pPr>
      <w:r>
        <w:rPr>
          <w:rFonts w:hint="eastAsia" w:ascii="宋体" w:hAnsi="宋体" w:cs="宋体"/>
          <w:color w:val="auto"/>
          <w:kern w:val="2"/>
          <w:sz w:val="24"/>
          <w:szCs w:val="21"/>
          <w:highlight w:val="none"/>
          <w:lang w:bidi="zh-CN"/>
        </w:rPr>
        <w:t>（1）</w:t>
      </w:r>
      <w:r>
        <w:rPr>
          <w:rFonts w:hint="eastAsia" w:ascii="宋体" w:hAnsi="宋体" w:cs="宋体"/>
          <w:color w:val="auto"/>
          <w:kern w:val="2"/>
          <w:sz w:val="24"/>
          <w:szCs w:val="21"/>
          <w:highlight w:val="none"/>
          <w:lang w:val="en-US" w:bidi="zh-CN"/>
        </w:rPr>
        <w:t>供应商</w:t>
      </w:r>
      <w:r>
        <w:rPr>
          <w:rFonts w:hint="eastAsia" w:ascii="宋体" w:hAnsi="宋体" w:cs="宋体"/>
          <w:color w:val="auto"/>
          <w:kern w:val="2"/>
          <w:sz w:val="24"/>
          <w:szCs w:val="21"/>
          <w:highlight w:val="none"/>
          <w:lang w:bidi="zh-CN"/>
        </w:rPr>
        <w:t>须具有建设行政主管部门颁发的水利水电工程施工总承包叁级及以上（含叁级）</w:t>
      </w:r>
      <w:r>
        <w:rPr>
          <w:rFonts w:hint="eastAsia" w:ascii="宋体" w:hAnsi="宋体" w:cs="宋体"/>
          <w:color w:val="auto"/>
          <w:kern w:val="2"/>
          <w:sz w:val="24"/>
          <w:szCs w:val="21"/>
          <w:highlight w:val="none"/>
          <w:lang w:val="en-US" w:bidi="zh-CN"/>
        </w:rPr>
        <w:t>或市政公用工程施工总承包叁级及以上（含叁级）</w:t>
      </w:r>
      <w:r>
        <w:rPr>
          <w:rFonts w:hint="eastAsia" w:ascii="宋体" w:hAnsi="宋体" w:cs="宋体"/>
          <w:color w:val="auto"/>
          <w:kern w:val="2"/>
          <w:sz w:val="24"/>
          <w:szCs w:val="21"/>
          <w:highlight w:val="none"/>
          <w:lang w:bidi="zh-CN"/>
        </w:rPr>
        <w:t>资质，具有有效的企业安全生产许可证；</w:t>
      </w:r>
    </w:p>
    <w:p w14:paraId="7B1ED824">
      <w:pPr>
        <w:kinsoku w:val="0"/>
        <w:autoSpaceDE w:val="0"/>
        <w:autoSpaceDN w:val="0"/>
        <w:adjustRightInd w:val="0"/>
        <w:snapToGrid w:val="0"/>
        <w:spacing w:line="360" w:lineRule="auto"/>
        <w:ind w:firstLine="504" w:firstLineChars="200"/>
        <w:textAlignment w:val="baseline"/>
        <w:rPr>
          <w:rFonts w:hint="eastAsia" w:ascii="宋体" w:hAnsi="宋体" w:cs="宋体"/>
          <w:color w:val="auto"/>
          <w:sz w:val="24"/>
          <w:szCs w:val="24"/>
          <w:highlight w:val="none"/>
        </w:rPr>
      </w:pPr>
      <w:r>
        <w:rPr>
          <w:rFonts w:hint="eastAsia" w:ascii="宋体" w:hAnsi="宋体" w:cs="宋体"/>
          <w:color w:val="auto"/>
          <w:spacing w:val="6"/>
          <w:sz w:val="24"/>
          <w:szCs w:val="24"/>
          <w:highlight w:val="none"/>
        </w:rPr>
        <w:t>（2）</w:t>
      </w:r>
      <w:r>
        <w:rPr>
          <w:rFonts w:hint="eastAsia" w:ascii="宋体" w:hAnsi="宋体" w:cs="宋体"/>
          <w:color w:val="auto"/>
          <w:spacing w:val="6"/>
          <w:sz w:val="24"/>
          <w:szCs w:val="24"/>
          <w:highlight w:val="none"/>
          <w:lang w:val="en-US" w:eastAsia="zh-CN"/>
        </w:rPr>
        <w:t>项目负责人</w:t>
      </w:r>
      <w:r>
        <w:rPr>
          <w:rFonts w:hint="eastAsia" w:ascii="宋体" w:hAnsi="宋体" w:eastAsia="宋体" w:cs="宋体"/>
          <w:color w:val="auto"/>
          <w:sz w:val="24"/>
          <w:highlight w:val="none"/>
        </w:rPr>
        <w:t>须具有</w:t>
      </w:r>
      <w:r>
        <w:rPr>
          <w:rFonts w:hint="eastAsia" w:ascii="宋体" w:hAnsi="宋体" w:eastAsia="宋体" w:cs="宋体"/>
          <w:b w:val="0"/>
          <w:bCs w:val="0"/>
          <w:color w:val="auto"/>
          <w:kern w:val="0"/>
          <w:sz w:val="24"/>
          <w:szCs w:val="24"/>
          <w:highlight w:val="none"/>
        </w:rPr>
        <w:t>水利水电工程专业</w:t>
      </w:r>
      <w:r>
        <w:rPr>
          <w:rFonts w:hint="eastAsia" w:ascii="宋体" w:hAnsi="宋体" w:eastAsia="宋体" w:cs="宋体"/>
          <w:color w:val="auto"/>
          <w:sz w:val="24"/>
          <w:highlight w:val="none"/>
        </w:rPr>
        <w:t>二级注册建造师证书</w:t>
      </w:r>
      <w:r>
        <w:rPr>
          <w:rFonts w:hint="eastAsia" w:ascii="宋体" w:hAnsi="宋体" w:cs="宋体"/>
          <w:color w:val="auto"/>
          <w:sz w:val="24"/>
          <w:highlight w:val="none"/>
          <w:lang w:val="en-US" w:eastAsia="zh-CN"/>
        </w:rPr>
        <w:t>或市政公用工程专业二级注册建造师证书</w:t>
      </w:r>
      <w:r>
        <w:rPr>
          <w:rFonts w:hint="eastAsia" w:ascii="宋体" w:hAnsi="宋体" w:eastAsia="宋体" w:cs="宋体"/>
          <w:color w:val="auto"/>
          <w:sz w:val="24"/>
          <w:highlight w:val="none"/>
        </w:rPr>
        <w:t>和有效的安全生产考核合格证书；并在本企业注册，且未担任其他在建工程项目的项目负责人</w:t>
      </w:r>
      <w:r>
        <w:rPr>
          <w:rFonts w:hint="eastAsia" w:ascii="宋体" w:hAnsi="宋体" w:cs="宋体"/>
          <w:color w:val="auto"/>
          <w:spacing w:val="6"/>
          <w:sz w:val="24"/>
          <w:szCs w:val="24"/>
          <w:highlight w:val="none"/>
        </w:rPr>
        <w:t>。</w:t>
      </w:r>
    </w:p>
    <w:p w14:paraId="199DDC6E">
      <w:pPr>
        <w:tabs>
          <w:tab w:val="left" w:pos="900"/>
          <w:tab w:val="left" w:pos="1134"/>
          <w:tab w:val="left" w:pos="1589"/>
          <w:tab w:val="left" w:pos="5521"/>
        </w:tabs>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.其他要求：</w:t>
      </w:r>
    </w:p>
    <w:p w14:paraId="6F3BE547">
      <w:pPr>
        <w:tabs>
          <w:tab w:val="left" w:pos="900"/>
          <w:tab w:val="left" w:pos="1134"/>
          <w:tab w:val="left" w:pos="1589"/>
          <w:tab w:val="left" w:pos="5521"/>
        </w:tabs>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（1）单位负责人为同一人或者存在直接控股、管理关系的不同供应商，不得参加同一项目的政府采购活动</w:t>
      </w:r>
      <w:r>
        <w:rPr>
          <w:rFonts w:hint="eastAsia" w:ascii="宋体" w:hAnsi="宋体" w:cs="宋体"/>
          <w:color w:val="auto"/>
          <w:sz w:val="24"/>
          <w:highlight w:val="none"/>
          <w:lang w:eastAsia="zh-CN"/>
        </w:rPr>
        <w:t>；</w:t>
      </w:r>
      <w:r>
        <w:rPr>
          <w:rFonts w:ascii="Times New Roman" w:hAnsi="Times New Roman" w:cs="Times New Roman"/>
          <w:color w:val="auto"/>
          <w:sz w:val="24"/>
          <w:szCs w:val="24"/>
          <w:highlight w:val="none"/>
          <w:lang w:eastAsia="zh-CN"/>
        </w:rPr>
        <w:t>为采购项目提供整体设计、规范编制或者项目管理、监理、检测等服务后不得再参加该采购项目的其他采购活动。</w:t>
      </w:r>
    </w:p>
    <w:p w14:paraId="6877025D">
      <w:pPr>
        <w:pStyle w:val="7"/>
        <w:adjustRightInd w:val="0"/>
        <w:snapToGrid w:val="0"/>
        <w:spacing w:line="360" w:lineRule="auto"/>
        <w:rPr>
          <w:color w:val="auto"/>
          <w:highlight w:val="none"/>
        </w:rPr>
      </w:pPr>
      <w:r>
        <w:rPr>
          <w:rFonts w:hint="eastAsia" w:ascii="宋体" w:hAnsi="宋体" w:cs="宋体"/>
          <w:color w:val="auto"/>
          <w:sz w:val="24"/>
          <w:highlight w:val="none"/>
        </w:rPr>
        <w:t>（2）</w:t>
      </w:r>
      <w:r>
        <w:rPr>
          <w:rFonts w:hint="eastAsia" w:ascii="宋体" w:hAnsi="宋体" w:cs="宋体"/>
          <w:color w:val="auto"/>
          <w:kern w:val="2"/>
          <w:sz w:val="24"/>
          <w:szCs w:val="24"/>
          <w:highlight w:val="none"/>
        </w:rPr>
        <w:t>供应商应对其提交的证照及相关承诺内容的真实性、合法性及有效性负责。</w:t>
      </w:r>
    </w:p>
    <w:bookmarkEnd w:id="20"/>
    <w:p w14:paraId="1B159E9D">
      <w:pPr>
        <w:adjustRightInd w:val="0"/>
        <w:snapToGrid w:val="0"/>
        <w:spacing w:line="360" w:lineRule="auto"/>
        <w:ind w:firstLine="480" w:firstLineChars="200"/>
        <w:rPr>
          <w:rFonts w:hint="eastAsia" w:ascii="宋体" w:hAnsi="宋体" w:cs="宋体"/>
          <w:bCs/>
          <w:color w:val="auto"/>
          <w:highlight w:val="none"/>
        </w:rPr>
      </w:pPr>
      <w:r>
        <w:rPr>
          <w:rFonts w:hint="eastAsia" w:ascii="宋体" w:hAnsi="宋体" w:cs="宋体"/>
          <w:bCs/>
          <w:color w:val="auto"/>
          <w:kern w:val="2"/>
          <w:sz w:val="24"/>
          <w:szCs w:val="24"/>
          <w:highlight w:val="none"/>
          <w:lang w:val="en-US" w:eastAsia="zh-CN"/>
        </w:rPr>
        <w:t>7</w:t>
      </w:r>
      <w:r>
        <w:rPr>
          <w:rFonts w:hint="eastAsia" w:ascii="宋体" w:hAnsi="宋体" w:cs="宋体"/>
          <w:bCs/>
          <w:color w:val="auto"/>
          <w:kern w:val="2"/>
          <w:sz w:val="24"/>
          <w:szCs w:val="24"/>
          <w:highlight w:val="none"/>
        </w:rPr>
        <w:t>.</w:t>
      </w:r>
      <w:r>
        <w:rPr>
          <w:rFonts w:hint="eastAsia" w:ascii="宋体" w:hAnsi="宋体" w:cs="宋体"/>
          <w:bCs/>
          <w:color w:val="auto"/>
          <w:sz w:val="24"/>
          <w:szCs w:val="24"/>
          <w:highlight w:val="none"/>
        </w:rPr>
        <w:t>本次招标</w:t>
      </w:r>
      <w:r>
        <w:rPr>
          <w:rFonts w:hint="eastAsia" w:ascii="宋体" w:hAnsi="宋体" w:cs="宋体"/>
          <w:bCs/>
          <w:color w:val="auto"/>
          <w:sz w:val="24"/>
          <w:szCs w:val="24"/>
          <w:highlight w:val="none"/>
          <w:u w:val="single"/>
        </w:rPr>
        <w:t>（不接受）</w:t>
      </w:r>
      <w:r>
        <w:rPr>
          <w:rFonts w:hint="eastAsia" w:ascii="宋体" w:hAnsi="宋体" w:cs="宋体"/>
          <w:bCs/>
          <w:color w:val="auto"/>
          <w:sz w:val="24"/>
          <w:szCs w:val="24"/>
          <w:highlight w:val="none"/>
        </w:rPr>
        <w:t>联合体投标。</w:t>
      </w:r>
    </w:p>
    <w:p w14:paraId="02DA07C1">
      <w:pPr>
        <w:adjustRightInd w:val="0"/>
        <w:snapToGrid w:val="0"/>
        <w:spacing w:line="360" w:lineRule="auto"/>
        <w:ind w:firstLine="480" w:firstLineChars="200"/>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.资格审查方法：本次招标采用资格后审的方式进行资格审查。</w:t>
      </w:r>
    </w:p>
    <w:bookmarkEnd w:id="21"/>
    <w:p w14:paraId="42B90B15">
      <w:pPr>
        <w:adjustRightInd w:val="0"/>
        <w:snapToGrid w:val="0"/>
        <w:spacing w:line="360" w:lineRule="auto"/>
        <w:rPr>
          <w:rFonts w:hint="eastAsia" w:ascii="宋体" w:hAnsi="宋体" w:cs="宋体"/>
          <w:b/>
          <w:bCs/>
          <w:color w:val="auto"/>
          <w:sz w:val="24"/>
          <w:szCs w:val="24"/>
          <w:highlight w:val="none"/>
        </w:rPr>
      </w:pPr>
      <w:r>
        <w:rPr>
          <w:rFonts w:hint="eastAsia" w:ascii="宋体" w:hAnsi="宋体"/>
          <w:b/>
          <w:bCs/>
          <w:color w:val="auto"/>
          <w:sz w:val="24"/>
          <w:szCs w:val="24"/>
          <w:highlight w:val="none"/>
        </w:rPr>
        <w:t>三、</w:t>
      </w:r>
      <w:r>
        <w:rPr>
          <w:rFonts w:hint="eastAsia" w:ascii="宋体" w:hAnsi="宋体" w:cs="宋体"/>
          <w:b/>
          <w:bCs/>
          <w:color w:val="auto"/>
          <w:sz w:val="24"/>
          <w:szCs w:val="24"/>
          <w:highlight w:val="none"/>
        </w:rPr>
        <w:t>竞争性磋商文件的获取：</w:t>
      </w:r>
    </w:p>
    <w:p w14:paraId="61F07413">
      <w:pPr>
        <w:adjustRightInd w:val="0"/>
        <w:snapToGrid w:val="0"/>
        <w:spacing w:line="360" w:lineRule="auto"/>
        <w:ind w:firstLine="480" w:firstLineChars="200"/>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1.时间</w:t>
      </w:r>
      <w:r>
        <w:rPr>
          <w:rFonts w:hint="eastAsia" w:ascii="宋体" w:hAnsi="宋体" w:cs="宋体"/>
          <w:bCs/>
          <w:color w:val="auto"/>
          <w:kern w:val="2"/>
          <w:sz w:val="24"/>
          <w:szCs w:val="24"/>
          <w:highlight w:val="none"/>
          <w:lang w:eastAsia="zh-CN"/>
        </w:rPr>
        <w:t>：</w:t>
      </w:r>
      <w:r>
        <w:rPr>
          <w:rFonts w:hint="eastAsia" w:ascii="宋体" w:hAnsi="宋体" w:cs="宋体"/>
          <w:bCs/>
          <w:color w:val="auto"/>
          <w:kern w:val="2"/>
          <w:sz w:val="24"/>
          <w:szCs w:val="24"/>
          <w:highlight w:val="none"/>
          <w:u w:val="single"/>
        </w:rPr>
        <w:t>202</w:t>
      </w:r>
      <w:r>
        <w:rPr>
          <w:rFonts w:hint="eastAsia" w:ascii="宋体" w:hAnsi="宋体" w:cs="宋体"/>
          <w:bCs/>
          <w:color w:val="auto"/>
          <w:kern w:val="2"/>
          <w:sz w:val="24"/>
          <w:szCs w:val="24"/>
          <w:highlight w:val="none"/>
          <w:u w:val="single"/>
          <w:lang w:val="en-US" w:eastAsia="zh-CN"/>
        </w:rPr>
        <w:t>6</w:t>
      </w:r>
      <w:r>
        <w:rPr>
          <w:rFonts w:hint="eastAsia" w:ascii="宋体" w:hAnsi="宋体" w:cs="宋体"/>
          <w:bCs/>
          <w:color w:val="auto"/>
          <w:kern w:val="2"/>
          <w:sz w:val="24"/>
          <w:szCs w:val="24"/>
          <w:highlight w:val="none"/>
        </w:rPr>
        <w:t>年</w:t>
      </w:r>
      <w:r>
        <w:rPr>
          <w:rFonts w:hint="eastAsia" w:ascii="宋体" w:hAnsi="宋体" w:cs="宋体"/>
          <w:bCs/>
          <w:color w:val="auto"/>
          <w:kern w:val="2"/>
          <w:sz w:val="24"/>
          <w:szCs w:val="24"/>
          <w:highlight w:val="none"/>
          <w:u w:val="single"/>
          <w:lang w:val="en-US" w:eastAsia="zh-CN"/>
        </w:rPr>
        <w:t xml:space="preserve"> 6 </w:t>
      </w:r>
      <w:r>
        <w:rPr>
          <w:rFonts w:hint="eastAsia" w:ascii="宋体" w:hAnsi="宋体" w:cs="宋体"/>
          <w:bCs/>
          <w:color w:val="auto"/>
          <w:kern w:val="2"/>
          <w:sz w:val="24"/>
          <w:szCs w:val="24"/>
          <w:highlight w:val="none"/>
        </w:rPr>
        <w:t>月</w:t>
      </w:r>
      <w:r>
        <w:rPr>
          <w:rFonts w:hint="eastAsia" w:ascii="宋体" w:hAnsi="宋体" w:cs="宋体"/>
          <w:bCs/>
          <w:color w:val="auto"/>
          <w:kern w:val="2"/>
          <w:sz w:val="24"/>
          <w:szCs w:val="24"/>
          <w:highlight w:val="none"/>
          <w:u w:val="single"/>
          <w:lang w:val="en-US" w:eastAsia="zh-CN"/>
        </w:rPr>
        <w:t>1</w:t>
      </w:r>
      <w:r>
        <w:rPr>
          <w:rFonts w:hint="eastAsia" w:ascii="宋体" w:hAnsi="宋体" w:cs="宋体"/>
          <w:bCs/>
          <w:color w:val="auto"/>
          <w:kern w:val="2"/>
          <w:sz w:val="24"/>
          <w:szCs w:val="24"/>
          <w:highlight w:val="none"/>
        </w:rPr>
        <w:t>日至</w:t>
      </w:r>
      <w:r>
        <w:rPr>
          <w:rFonts w:hint="eastAsia" w:ascii="宋体" w:hAnsi="宋体" w:cs="宋体"/>
          <w:bCs/>
          <w:color w:val="auto"/>
          <w:kern w:val="2"/>
          <w:sz w:val="24"/>
          <w:szCs w:val="24"/>
          <w:highlight w:val="none"/>
          <w:u w:val="single"/>
        </w:rPr>
        <w:t>202</w:t>
      </w:r>
      <w:r>
        <w:rPr>
          <w:rFonts w:hint="eastAsia" w:ascii="宋体" w:hAnsi="宋体" w:cs="宋体"/>
          <w:bCs/>
          <w:color w:val="auto"/>
          <w:kern w:val="2"/>
          <w:sz w:val="24"/>
          <w:szCs w:val="24"/>
          <w:highlight w:val="none"/>
          <w:u w:val="single"/>
          <w:lang w:val="en-US" w:eastAsia="zh-CN"/>
        </w:rPr>
        <w:t>6</w:t>
      </w:r>
      <w:r>
        <w:rPr>
          <w:rFonts w:hint="eastAsia" w:ascii="宋体" w:hAnsi="宋体" w:cs="宋体"/>
          <w:bCs/>
          <w:color w:val="auto"/>
          <w:kern w:val="2"/>
          <w:sz w:val="24"/>
          <w:szCs w:val="24"/>
          <w:highlight w:val="none"/>
        </w:rPr>
        <w:t>年</w:t>
      </w:r>
      <w:r>
        <w:rPr>
          <w:rFonts w:hint="eastAsia" w:ascii="宋体" w:hAnsi="宋体" w:cs="宋体"/>
          <w:bCs/>
          <w:color w:val="auto"/>
          <w:kern w:val="2"/>
          <w:sz w:val="24"/>
          <w:szCs w:val="24"/>
          <w:highlight w:val="none"/>
          <w:u w:val="single"/>
          <w:lang w:val="en-US" w:eastAsia="zh-CN"/>
        </w:rPr>
        <w:t>6</w:t>
      </w:r>
      <w:r>
        <w:rPr>
          <w:rFonts w:hint="eastAsia" w:ascii="宋体" w:hAnsi="宋体" w:cs="宋体"/>
          <w:bCs/>
          <w:color w:val="auto"/>
          <w:kern w:val="2"/>
          <w:sz w:val="24"/>
          <w:szCs w:val="24"/>
          <w:highlight w:val="none"/>
        </w:rPr>
        <w:t>月</w:t>
      </w:r>
      <w:r>
        <w:rPr>
          <w:rFonts w:hint="eastAsia" w:ascii="宋体" w:hAnsi="宋体" w:cs="宋体"/>
          <w:bCs/>
          <w:color w:val="auto"/>
          <w:kern w:val="2"/>
          <w:sz w:val="24"/>
          <w:szCs w:val="24"/>
          <w:highlight w:val="none"/>
          <w:u w:val="single"/>
          <w:lang w:val="en-US" w:eastAsia="zh-CN"/>
        </w:rPr>
        <w:t>5</w:t>
      </w:r>
      <w:r>
        <w:rPr>
          <w:rFonts w:hint="eastAsia" w:ascii="宋体" w:hAnsi="宋体" w:cs="宋体"/>
          <w:bCs/>
          <w:color w:val="auto"/>
          <w:kern w:val="2"/>
          <w:sz w:val="24"/>
          <w:szCs w:val="24"/>
          <w:highlight w:val="none"/>
        </w:rPr>
        <w:t>日，</w:t>
      </w:r>
      <w:bookmarkStart w:id="22" w:name="OLE_LINK27"/>
      <w:r>
        <w:rPr>
          <w:rFonts w:hint="eastAsia" w:ascii="宋体" w:hAnsi="宋体" w:cs="宋体"/>
          <w:bCs/>
          <w:color w:val="auto"/>
          <w:kern w:val="2"/>
          <w:sz w:val="24"/>
          <w:szCs w:val="24"/>
          <w:highlight w:val="none"/>
        </w:rPr>
        <w:t>每天 00:00 至 23:59（北京时间</w:t>
      </w:r>
      <w:r>
        <w:rPr>
          <w:rFonts w:hint="eastAsia" w:ascii="宋体" w:hAnsi="宋体" w:cs="宋体"/>
          <w:bCs/>
          <w:color w:val="auto"/>
          <w:kern w:val="2"/>
          <w:sz w:val="24"/>
          <w:szCs w:val="24"/>
          <w:highlight w:val="none"/>
          <w:lang w:eastAsia="zh-CN"/>
        </w:rPr>
        <w:t>，法定节假日除外</w:t>
      </w:r>
      <w:r>
        <w:rPr>
          <w:rFonts w:hint="eastAsia" w:ascii="宋体" w:hAnsi="宋体" w:cs="宋体"/>
          <w:bCs/>
          <w:color w:val="auto"/>
          <w:kern w:val="2"/>
          <w:sz w:val="24"/>
          <w:szCs w:val="24"/>
          <w:highlight w:val="none"/>
        </w:rPr>
        <w:t>）。</w:t>
      </w:r>
    </w:p>
    <w:bookmarkEnd w:id="22"/>
    <w:p w14:paraId="4FDD4E0E">
      <w:pPr>
        <w:adjustRightInd w:val="0"/>
        <w:snapToGrid w:val="0"/>
        <w:spacing w:line="360" w:lineRule="auto"/>
        <w:ind w:firstLine="480" w:firstLineChars="200"/>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2.地点：“政采云”平台（http：//www.zcygov.cn）（操作路径：登录“政采云”平台-项目采购-获取采购文件 -找到本项目</w:t>
      </w:r>
      <w:r>
        <w:rPr>
          <w:rFonts w:hint="eastAsia" w:ascii="宋体" w:hAnsi="宋体" w:cs="宋体"/>
          <w:bCs/>
          <w:color w:val="auto"/>
          <w:kern w:val="2"/>
          <w:sz w:val="24"/>
          <w:szCs w:val="24"/>
          <w:highlight w:val="none"/>
          <w:lang w:eastAsia="zh-CN"/>
        </w:rPr>
        <w:t>－</w:t>
      </w:r>
      <w:r>
        <w:rPr>
          <w:rFonts w:hint="eastAsia" w:ascii="宋体" w:hAnsi="宋体" w:cs="宋体"/>
          <w:bCs/>
          <w:color w:val="auto"/>
          <w:kern w:val="2"/>
          <w:sz w:val="24"/>
          <w:szCs w:val="24"/>
          <w:highlight w:val="none"/>
        </w:rPr>
        <w:t>点击“申请获取采购文件”）。</w:t>
      </w:r>
    </w:p>
    <w:p w14:paraId="538EE2A4">
      <w:pPr>
        <w:adjustRightInd w:val="0"/>
        <w:snapToGrid w:val="0"/>
        <w:spacing w:line="360" w:lineRule="auto"/>
        <w:ind w:firstLine="480" w:firstLineChars="200"/>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3.方式：</w:t>
      </w:r>
    </w:p>
    <w:p w14:paraId="42B79A3A">
      <w:pPr>
        <w:adjustRightInd w:val="0"/>
        <w:snapToGrid w:val="0"/>
        <w:spacing w:line="360" w:lineRule="auto"/>
        <w:ind w:firstLine="480" w:firstLineChars="200"/>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（1）凡有意参加投标者，须在政采云平台办理数字证书（CA</w:t>
      </w:r>
      <w:r>
        <w:rPr>
          <w:rFonts w:hint="eastAsia" w:ascii="宋体" w:hAnsi="宋体" w:cs="宋体"/>
          <w:bCs/>
          <w:color w:val="auto"/>
          <w:kern w:val="2"/>
          <w:sz w:val="24"/>
          <w:szCs w:val="24"/>
          <w:highlight w:val="none"/>
          <w:lang w:eastAsia="zh-CN"/>
        </w:rPr>
        <w:t>）</w:t>
      </w:r>
      <w:r>
        <w:rPr>
          <w:rFonts w:hint="eastAsia" w:ascii="宋体" w:hAnsi="宋体" w:cs="宋体"/>
          <w:bCs/>
          <w:color w:val="auto"/>
          <w:kern w:val="2"/>
          <w:sz w:val="24"/>
          <w:szCs w:val="24"/>
          <w:highlight w:val="none"/>
        </w:rPr>
        <w:t>，CA申领链接：</w:t>
      </w:r>
      <w:r>
        <w:rPr>
          <w:color w:val="auto"/>
          <w:highlight w:val="none"/>
        </w:rPr>
        <w:fldChar w:fldCharType="begin"/>
      </w:r>
      <w:r>
        <w:rPr>
          <w:color w:val="auto"/>
          <w:highlight w:val="none"/>
        </w:rPr>
        <w:instrText xml:space="preserve"> HYPERLINK "https://middle.zcygov.cn/ca/apply/list?_app_=zcy.sys,并在政采云绑定数字证书（CA）后在网上获取采购文件及其他采购资料，数字证书（CA）详见其办理流程。" </w:instrText>
      </w:r>
      <w:r>
        <w:rPr>
          <w:color w:val="auto"/>
          <w:highlight w:val="none"/>
        </w:rPr>
        <w:fldChar w:fldCharType="separate"/>
      </w:r>
      <w:r>
        <w:rPr>
          <w:rFonts w:hint="eastAsia" w:ascii="宋体" w:hAnsi="宋体" w:cs="宋体"/>
          <w:bCs/>
          <w:color w:val="auto"/>
          <w:kern w:val="2"/>
          <w:sz w:val="24"/>
          <w:szCs w:val="24"/>
          <w:highlight w:val="none"/>
        </w:rPr>
        <w:t>https://middle.zcygov.cn/ca/apply/list?_app_=zcy.sys,并在政采云绑定数字证书（CA）后在网上获取采购文件及其他采购资料，数字证书（CA）详见其办理流程。</w:t>
      </w:r>
      <w:r>
        <w:rPr>
          <w:rFonts w:hint="eastAsia" w:ascii="宋体" w:hAnsi="宋体" w:cs="宋体"/>
          <w:bCs/>
          <w:color w:val="auto"/>
          <w:kern w:val="2"/>
          <w:sz w:val="24"/>
          <w:szCs w:val="24"/>
          <w:highlight w:val="none"/>
        </w:rPr>
        <w:fldChar w:fldCharType="end"/>
      </w:r>
    </w:p>
    <w:p w14:paraId="620184F2">
      <w:pPr>
        <w:adjustRightInd w:val="0"/>
        <w:snapToGrid w:val="0"/>
        <w:spacing w:line="360" w:lineRule="auto"/>
        <w:ind w:firstLine="480" w:firstLineChars="200"/>
        <w:jc w:val="both"/>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（2）凡有意参加投标（磋商或谈判）者，注册政采云平台账号并登录办理数字证书（CA），若供应商未办理数字证书（CA）的，可选择办理云南壹证通CA。CA申领链接：</w:t>
      </w:r>
      <w:r>
        <w:rPr>
          <w:color w:val="auto"/>
          <w:highlight w:val="none"/>
        </w:rPr>
        <w:fldChar w:fldCharType="begin"/>
      </w:r>
      <w:r>
        <w:rPr>
          <w:color w:val="auto"/>
          <w:highlight w:val="none"/>
        </w:rPr>
        <w:instrText xml:space="preserve"> HYPERLINK "http://yzt.ynsmartcert.cn/cms/yztynjcjs3.html" </w:instrText>
      </w:r>
      <w:r>
        <w:rPr>
          <w:color w:val="auto"/>
          <w:highlight w:val="none"/>
        </w:rPr>
        <w:fldChar w:fldCharType="separate"/>
      </w:r>
      <w:r>
        <w:rPr>
          <w:rFonts w:hint="eastAsia" w:ascii="宋体" w:hAnsi="宋体" w:cs="宋体"/>
          <w:bCs/>
          <w:color w:val="auto"/>
          <w:kern w:val="2"/>
          <w:sz w:val="24"/>
          <w:szCs w:val="24"/>
          <w:highlight w:val="none"/>
        </w:rPr>
        <w:t>http://yzt.ynsmartcert.cn/cms/yztynjcjs3.html</w:t>
      </w:r>
      <w:r>
        <w:rPr>
          <w:rFonts w:hint="eastAsia" w:ascii="宋体" w:hAnsi="宋体" w:cs="宋体"/>
          <w:bCs/>
          <w:color w:val="auto"/>
          <w:kern w:val="2"/>
          <w:sz w:val="24"/>
          <w:szCs w:val="24"/>
          <w:highlight w:val="none"/>
        </w:rPr>
        <w:fldChar w:fldCharType="end"/>
      </w:r>
      <w:r>
        <w:rPr>
          <w:rFonts w:hint="eastAsia" w:ascii="宋体" w:hAnsi="宋体" w:cs="宋体"/>
          <w:bCs/>
          <w:color w:val="auto"/>
          <w:kern w:val="2"/>
          <w:sz w:val="24"/>
          <w:szCs w:val="24"/>
          <w:highlight w:val="none"/>
        </w:rPr>
        <w:t>云南壹证通CA 可支持线上、线下办理方式，并提供7*24小时全天候客户服务支持，客服热线400-004-0628（紧急CA办理电话：19988166369）政府采购云平台支持多家CA服务商，供应商可自行选择。</w:t>
      </w:r>
    </w:p>
    <w:p w14:paraId="4593066E">
      <w:pPr>
        <w:adjustRightInd w:val="0"/>
        <w:snapToGrid w:val="0"/>
        <w:spacing w:line="360" w:lineRule="auto"/>
        <w:ind w:firstLine="480" w:firstLineChars="200"/>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（3）数字证书（CA）申领完成之后进入政采云平台，企业账号与CA进行绑定，凭CA进行项目报名并免费下载竞争性磋商文件。</w:t>
      </w:r>
    </w:p>
    <w:p w14:paraId="0F38BF5F">
      <w:pPr>
        <w:adjustRightInd w:val="0"/>
        <w:snapToGrid w:val="0"/>
        <w:spacing w:line="360" w:lineRule="auto"/>
        <w:ind w:firstLine="480" w:firstLineChars="200"/>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（4）按上述要求获取文件的供应商视为已合法获取本项目采购文件，具备本项目的投标竞争性磋商资格。</w:t>
      </w:r>
    </w:p>
    <w:p w14:paraId="1FAC4E23">
      <w:pPr>
        <w:adjustRightInd w:val="0"/>
        <w:snapToGrid w:val="0"/>
        <w:spacing w:line="360" w:lineRule="auto"/>
        <w:ind w:firstLine="480" w:firstLineChars="200"/>
        <w:jc w:val="both"/>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（5）如有问题可拨打政采云客户服务热线95763进行咨询，数字证书（CA）问题可咨询24小时技术支持热线400-004-0628（紧急办理可拨：19988166369）。</w:t>
      </w:r>
    </w:p>
    <w:p w14:paraId="1597BBDA">
      <w:pPr>
        <w:adjustRightInd w:val="0"/>
        <w:snapToGrid w:val="0"/>
        <w:spacing w:line="360" w:lineRule="auto"/>
        <w:ind w:firstLine="480" w:firstLineChars="200"/>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注：供应商如已在云南 CA办理过企业数字证书（CA）的，直接绑定即可，无需重复办理。云南省外供应商在政采云平台办理的其他CA可直接使用，无需重复办理。</w:t>
      </w:r>
    </w:p>
    <w:p w14:paraId="76AEC467">
      <w:pPr>
        <w:adjustRightInd w:val="0"/>
        <w:snapToGrid w:val="0"/>
        <w:spacing w:line="360" w:lineRule="auto"/>
        <w:ind w:firstLine="480" w:firstLineChars="200"/>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4.按上述要求获取文件的供应商视为合法获取了本项目采购文件，具备本项目的投标资格。</w:t>
      </w:r>
    </w:p>
    <w:p w14:paraId="6EF5E3C5">
      <w:pPr>
        <w:pStyle w:val="34"/>
        <w:spacing w:line="360" w:lineRule="auto"/>
        <w:ind w:left="240" w:leftChars="120" w:firstLine="180" w:firstLineChars="75"/>
        <w:rPr>
          <w:rFonts w:hint="eastAsia" w:ascii="宋体" w:hAnsi="宋体" w:eastAsia="宋体"/>
          <w:color w:val="auto"/>
          <w:sz w:val="24"/>
          <w:szCs w:val="24"/>
          <w:highlight w:val="none"/>
        </w:rPr>
      </w:pPr>
      <w:r>
        <w:rPr>
          <w:rFonts w:hint="eastAsia" w:ascii="宋体" w:hAnsi="宋体" w:eastAsia="宋体" w:cs="宋体"/>
          <w:bCs/>
          <w:color w:val="auto"/>
          <w:kern w:val="2"/>
          <w:sz w:val="24"/>
          <w:szCs w:val="24"/>
          <w:highlight w:val="none"/>
        </w:rPr>
        <w:t>5.竞争性磋商文件费用:0元/份。</w:t>
      </w:r>
    </w:p>
    <w:p w14:paraId="569724E5">
      <w:pPr>
        <w:adjustRightInd w:val="0"/>
        <w:snapToGrid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四、响应文件的递交：</w:t>
      </w:r>
    </w:p>
    <w:p w14:paraId="68FEF00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1.响应文件递交截止时间：</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lang w:val="en-US" w:eastAsia="zh-CN"/>
        </w:rPr>
        <w:t xml:space="preserve"> 6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lang w:val="en-US" w:eastAsia="zh-CN"/>
        </w:rPr>
        <w:t>12</w:t>
      </w:r>
      <w:r>
        <w:rPr>
          <w:rFonts w:hint="eastAsia" w:ascii="宋体" w:hAnsi="宋体" w:cs="宋体"/>
          <w:color w:val="auto"/>
          <w:sz w:val="24"/>
          <w:szCs w:val="24"/>
          <w:highlight w:val="none"/>
        </w:rPr>
        <w:t>日</w:t>
      </w:r>
      <w:r>
        <w:rPr>
          <w:rFonts w:hint="eastAsia" w:ascii="宋体" w:hAnsi="宋体" w:cs="宋体"/>
          <w:color w:val="auto"/>
          <w:sz w:val="24"/>
          <w:szCs w:val="24"/>
          <w:highlight w:val="none"/>
          <w:u w:val="single"/>
          <w:lang w:val="en-US" w:eastAsia="zh-CN"/>
        </w:rPr>
        <w:t>09</w:t>
      </w:r>
      <w:r>
        <w:rPr>
          <w:rFonts w:hint="eastAsia" w:ascii="宋体" w:hAnsi="宋体" w:cs="宋体"/>
          <w:color w:val="auto"/>
          <w:sz w:val="24"/>
          <w:szCs w:val="24"/>
          <w:highlight w:val="none"/>
        </w:rPr>
        <w:t>时</w:t>
      </w:r>
      <w:r>
        <w:rPr>
          <w:rFonts w:hint="eastAsia" w:ascii="宋体" w:hAnsi="宋体" w:cs="宋体"/>
          <w:color w:val="auto"/>
          <w:sz w:val="24"/>
          <w:szCs w:val="24"/>
          <w:highlight w:val="none"/>
          <w:u w:val="single"/>
        </w:rPr>
        <w:t>30</w:t>
      </w:r>
      <w:r>
        <w:rPr>
          <w:rFonts w:hint="eastAsia" w:ascii="宋体" w:hAnsi="宋体" w:cs="宋体"/>
          <w:color w:val="auto"/>
          <w:sz w:val="24"/>
          <w:szCs w:val="24"/>
          <w:highlight w:val="none"/>
        </w:rPr>
        <w:t>分(北京时间)。</w:t>
      </w:r>
    </w:p>
    <w:p w14:paraId="2E68DBAF">
      <w:pPr>
        <w:adjustRightInd w:val="0"/>
        <w:snapToGrid w:val="0"/>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2.响应文件递交地点：供应商应按照本项目磋商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62C5464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3.逾期上传的或者未按照要求上传的响应文件，采购人不予受理。</w:t>
      </w:r>
    </w:p>
    <w:p w14:paraId="36C92151">
      <w:pPr>
        <w:pStyle w:val="9"/>
        <w:adjustRightInd w:val="0"/>
        <w:snapToGrid w:val="0"/>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五、其他补充事宜</w:t>
      </w:r>
    </w:p>
    <w:p w14:paraId="634D99FF">
      <w:pPr>
        <w:adjustRightInd w:val="0"/>
        <w:snapToGrid w:val="0"/>
        <w:spacing w:line="360" w:lineRule="auto"/>
        <w:ind w:firstLine="480" w:firstLineChars="200"/>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 xml:space="preserve">1.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 </w:t>
      </w:r>
    </w:p>
    <w:p w14:paraId="61B52523">
      <w:pPr>
        <w:adjustRightInd w:val="0"/>
        <w:snapToGrid w:val="0"/>
        <w:spacing w:line="360" w:lineRule="auto"/>
        <w:ind w:firstLine="480" w:firstLineChars="200"/>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 xml:space="preserve">CA数字证书服务热线 </w:t>
      </w:r>
    </w:p>
    <w:p w14:paraId="0D2ECAD4">
      <w:pPr>
        <w:adjustRightInd w:val="0"/>
        <w:snapToGrid w:val="0"/>
        <w:spacing w:line="360" w:lineRule="auto"/>
        <w:ind w:firstLine="480" w:firstLineChars="200"/>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汇信CA：0571-88350735</w:t>
      </w:r>
    </w:p>
    <w:p w14:paraId="5A0AFEE4">
      <w:pPr>
        <w:adjustRightInd w:val="0"/>
        <w:snapToGrid w:val="0"/>
        <w:spacing w:line="360" w:lineRule="auto"/>
        <w:ind w:firstLine="480" w:firstLineChars="200"/>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云南CA:4006727666</w:t>
      </w:r>
    </w:p>
    <w:p w14:paraId="6DBCF7AC">
      <w:pPr>
        <w:adjustRightInd w:val="0"/>
        <w:snapToGrid w:val="0"/>
        <w:spacing w:line="360" w:lineRule="auto"/>
        <w:ind w:firstLine="480" w:firstLineChars="200"/>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云南壹证通：4000040628</w:t>
      </w:r>
    </w:p>
    <w:p w14:paraId="6F11AEDF">
      <w:pPr>
        <w:adjustRightInd w:val="0"/>
        <w:snapToGrid w:val="0"/>
        <w:spacing w:line="360" w:lineRule="auto"/>
        <w:ind w:firstLine="480" w:firstLineChars="200"/>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福建CA：0591-87760022</w:t>
      </w:r>
    </w:p>
    <w:p w14:paraId="1CBFF9F8">
      <w:pPr>
        <w:adjustRightInd w:val="0"/>
        <w:snapToGrid w:val="0"/>
        <w:spacing w:line="360" w:lineRule="auto"/>
        <w:ind w:firstLine="480" w:firstLineChars="200"/>
        <w:rPr>
          <w:rFonts w:hint="eastAsia" w:ascii="宋体" w:hAnsi="宋体" w:cs="宋体"/>
          <w:bCs/>
          <w:color w:val="auto"/>
          <w:kern w:val="2"/>
          <w:sz w:val="24"/>
          <w:szCs w:val="24"/>
          <w:highlight w:val="none"/>
        </w:rPr>
      </w:pPr>
      <w:r>
        <w:rPr>
          <w:rFonts w:hint="eastAsia" w:ascii="宋体" w:hAnsi="宋体" w:cs="宋体"/>
          <w:bCs/>
          <w:color w:val="auto"/>
          <w:kern w:val="2"/>
          <w:sz w:val="24"/>
          <w:szCs w:val="24"/>
          <w:highlight w:val="none"/>
        </w:rPr>
        <w:t>3.办理 CA 数字证书，供应商登录云南省省级政府采购电子交易平台查阅操作指南—入驻与配置—CA管理。使用操作指南，按照程序要求办理。</w:t>
      </w:r>
    </w:p>
    <w:p w14:paraId="4F51D6B1">
      <w:pPr>
        <w:adjustRightInd w:val="0"/>
        <w:snapToGrid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六、发布公告的媒介</w:t>
      </w:r>
    </w:p>
    <w:p w14:paraId="058F2EF0">
      <w:pPr>
        <w:adjustRightInd w:val="0"/>
        <w:snapToGrid w:val="0"/>
        <w:spacing w:line="360" w:lineRule="auto"/>
        <w:ind w:firstLine="480" w:firstLineChars="200"/>
        <w:rPr>
          <w:rFonts w:hint="eastAsia" w:ascii="宋体" w:hAnsi="宋体" w:cs="宋体"/>
          <w:b/>
          <w:bCs/>
          <w:color w:val="auto"/>
          <w:sz w:val="24"/>
          <w:szCs w:val="24"/>
          <w:highlight w:val="none"/>
        </w:rPr>
      </w:pPr>
      <w:r>
        <w:rPr>
          <w:rFonts w:hint="eastAsia" w:ascii="宋体" w:hAnsi="宋体" w:cs="宋体"/>
          <w:color w:val="auto"/>
          <w:sz w:val="24"/>
          <w:szCs w:val="24"/>
          <w:highlight w:val="none"/>
        </w:rPr>
        <w:t>本次竞争性磋商公告在云南省政府采购网（http：//www.yngp.com/）、</w:t>
      </w:r>
      <w:r>
        <w:rPr>
          <w:rFonts w:hint="eastAsia" w:ascii="宋体" w:hAnsi="宋体" w:cs="宋体"/>
          <w:iCs/>
          <w:color w:val="auto"/>
          <w:sz w:val="24"/>
          <w:szCs w:val="24"/>
          <w:highlight w:val="none"/>
        </w:rPr>
        <w:t>“政采云”平台 （http：//www.zcygov.cn/）上同时</w:t>
      </w:r>
      <w:r>
        <w:rPr>
          <w:rFonts w:hint="eastAsia" w:ascii="宋体" w:hAnsi="宋体" w:cs="宋体"/>
          <w:color w:val="auto"/>
          <w:sz w:val="24"/>
          <w:szCs w:val="24"/>
          <w:highlight w:val="none"/>
        </w:rPr>
        <w:t>发布，其他网站或媒体转载的公告及公告内容信息，采购人及采购代理机构不承担任何责任</w:t>
      </w:r>
      <w:r>
        <w:rPr>
          <w:rFonts w:hint="eastAsia" w:ascii="宋体" w:hAnsi="宋体"/>
          <w:color w:val="auto"/>
          <w:sz w:val="24"/>
          <w:szCs w:val="24"/>
          <w:highlight w:val="none"/>
        </w:rPr>
        <w:t>。</w:t>
      </w:r>
    </w:p>
    <w:p w14:paraId="41E9D0A1">
      <w:pPr>
        <w:adjustRightInd w:val="0"/>
        <w:snapToGrid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七、联系方式</w:t>
      </w:r>
    </w:p>
    <w:p w14:paraId="2FACEE5A">
      <w:pPr>
        <w:adjustRightInd w:val="0"/>
        <w:snapToGrid w:val="0"/>
        <w:spacing w:line="360" w:lineRule="auto"/>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1.采购人信息</w:t>
      </w:r>
    </w:p>
    <w:p w14:paraId="00EEF350">
      <w:pPr>
        <w:adjustRightInd w:val="0"/>
        <w:snapToGrid w:val="0"/>
        <w:spacing w:line="360" w:lineRule="auto"/>
        <w:ind w:firstLine="480" w:firstLineChars="200"/>
        <w:rPr>
          <w:rFonts w:hint="eastAsia" w:ascii="宋体" w:hAnsi="宋体" w:cs="宋体"/>
          <w:color w:val="auto"/>
          <w:sz w:val="24"/>
          <w:szCs w:val="24"/>
          <w:highlight w:val="none"/>
          <w:lang w:val="en-US" w:eastAsia="zh-CN"/>
        </w:rPr>
      </w:pPr>
      <w:bookmarkStart w:id="23" w:name="OLE_LINK35"/>
      <w:r>
        <w:rPr>
          <w:rFonts w:hint="eastAsia" w:ascii="宋体" w:hAnsi="宋体" w:cs="宋体"/>
          <w:color w:val="auto"/>
          <w:sz w:val="24"/>
          <w:szCs w:val="24"/>
          <w:highlight w:val="none"/>
          <w:lang w:val="en-US" w:eastAsia="zh-CN"/>
        </w:rPr>
        <w:t>采购人</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鲁甸县新街镇人民政府</w:t>
      </w:r>
    </w:p>
    <w:p w14:paraId="728E48E1">
      <w:pPr>
        <w:adjustRightInd w:val="0"/>
        <w:snapToGrid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地 址：</w:t>
      </w:r>
      <w:bookmarkStart w:id="24" w:name="OLE_LINK32"/>
      <w:r>
        <w:rPr>
          <w:rFonts w:hint="eastAsia" w:ascii="宋体" w:hAnsi="宋体" w:cs="宋体"/>
          <w:color w:val="auto"/>
          <w:sz w:val="24"/>
          <w:szCs w:val="24"/>
          <w:highlight w:val="none"/>
          <w:lang w:val="en-US" w:eastAsia="zh-CN"/>
        </w:rPr>
        <w:t xml:space="preserve">鲁甸县新街镇新街社区居民委员会第10村民小组 </w:t>
      </w:r>
    </w:p>
    <w:bookmarkEnd w:id="24"/>
    <w:p w14:paraId="3D9BF209">
      <w:pPr>
        <w:adjustRightInd w:val="0"/>
        <w:snapToGrid w:val="0"/>
        <w:spacing w:line="360" w:lineRule="auto"/>
        <w:ind w:firstLine="480" w:firstLineChars="200"/>
        <w:rPr>
          <w:rFonts w:hint="eastAsia" w:ascii="宋体" w:hAnsi="宋体" w:cs="宋体"/>
          <w:color w:val="auto"/>
          <w:sz w:val="24"/>
          <w:szCs w:val="24"/>
          <w:highlight w:val="none"/>
        </w:rPr>
      </w:pPr>
      <w:bookmarkStart w:id="25" w:name="OLE_LINK40"/>
      <w:r>
        <w:rPr>
          <w:rFonts w:hint="eastAsia" w:ascii="宋体" w:hAnsi="宋体" w:cs="宋体"/>
          <w:color w:val="auto"/>
          <w:sz w:val="24"/>
          <w:szCs w:val="24"/>
          <w:highlight w:val="none"/>
        </w:rPr>
        <w:t>联系人：</w:t>
      </w:r>
      <w:bookmarkStart w:id="26" w:name="OLE_LINK39"/>
      <w:r>
        <w:rPr>
          <w:rFonts w:hint="eastAsia" w:ascii="宋体" w:hAnsi="宋体" w:cs="宋体"/>
          <w:color w:val="auto"/>
          <w:sz w:val="24"/>
          <w:szCs w:val="24"/>
          <w:highlight w:val="none"/>
        </w:rPr>
        <w:t xml:space="preserve">李泽瑞 </w:t>
      </w:r>
    </w:p>
    <w:bookmarkEnd w:id="26"/>
    <w:p w14:paraId="285DD99A">
      <w:pPr>
        <w:adjustRightInd w:val="0"/>
        <w:snapToGrid w:val="0"/>
        <w:spacing w:line="360" w:lineRule="auto"/>
        <w:ind w:firstLine="480" w:firstLineChars="200"/>
        <w:rPr>
          <w:rFonts w:hint="eastAsia"/>
          <w:color w:val="auto"/>
          <w:highlight w:val="none"/>
        </w:rPr>
      </w:pPr>
      <w:r>
        <w:rPr>
          <w:rFonts w:hint="eastAsia" w:ascii="宋体" w:hAnsi="宋体" w:cs="宋体"/>
          <w:color w:val="auto"/>
          <w:sz w:val="24"/>
          <w:szCs w:val="24"/>
          <w:highlight w:val="none"/>
        </w:rPr>
        <w:t>联系方式：</w:t>
      </w:r>
      <w:bookmarkEnd w:id="25"/>
      <w:bookmarkStart w:id="27" w:name="_Toc28359086"/>
      <w:bookmarkStart w:id="28" w:name="_Toc28359009"/>
      <w:r>
        <w:rPr>
          <w:rFonts w:hint="eastAsia" w:ascii="宋体" w:hAnsi="宋体" w:cs="宋体"/>
          <w:color w:val="auto"/>
          <w:sz w:val="24"/>
          <w:szCs w:val="24"/>
          <w:highlight w:val="none"/>
        </w:rPr>
        <w:t>19995909184</w:t>
      </w:r>
    </w:p>
    <w:bookmarkEnd w:id="23"/>
    <w:p w14:paraId="17160F14">
      <w:pPr>
        <w:adjustRightInd w:val="0"/>
        <w:snapToGri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2.采购代理机构信息</w:t>
      </w:r>
      <w:bookmarkEnd w:id="27"/>
      <w:bookmarkEnd w:id="28"/>
    </w:p>
    <w:p w14:paraId="7C8A8C3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名 称：云南集诚建设工程招标代理有限公司</w:t>
      </w:r>
    </w:p>
    <w:p w14:paraId="3282918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 址：昭阳区迎宾大道59号附16号12幢407室（远大广场）</w:t>
      </w:r>
    </w:p>
    <w:p w14:paraId="24BCC754">
      <w:pPr>
        <w:pStyle w:val="27"/>
        <w:adjustRightInd w:val="0"/>
        <w:snapToGrid w:val="0"/>
        <w:spacing w:after="0" w:line="360" w:lineRule="auto"/>
        <w:ind w:left="0" w:leftChars="0"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联系人：李鹏、</w:t>
      </w:r>
      <w:r>
        <w:rPr>
          <w:rFonts w:hint="eastAsia" w:ascii="宋体" w:hAnsi="宋体" w:cs="宋体"/>
          <w:color w:val="auto"/>
          <w:sz w:val="24"/>
          <w:szCs w:val="24"/>
          <w:highlight w:val="none"/>
          <w:lang w:val="en-US" w:eastAsia="zh-CN"/>
        </w:rPr>
        <w:t>王庆玲</w:t>
      </w:r>
    </w:p>
    <w:p w14:paraId="60569B1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bookmarkStart w:id="29" w:name="_Toc28359010"/>
      <w:bookmarkStart w:id="30" w:name="_Toc28359087"/>
      <w:r>
        <w:rPr>
          <w:rFonts w:hint="eastAsia" w:ascii="宋体" w:hAnsi="宋体" w:cs="宋体"/>
          <w:color w:val="auto"/>
          <w:sz w:val="24"/>
          <w:szCs w:val="24"/>
          <w:highlight w:val="none"/>
        </w:rPr>
        <w:t>0870-2861366</w:t>
      </w:r>
    </w:p>
    <w:p w14:paraId="36FBBF7E">
      <w:pPr>
        <w:adjustRightInd w:val="0"/>
        <w:snapToGrid w:val="0"/>
        <w:spacing w:line="360" w:lineRule="auto"/>
        <w:ind w:firstLine="480" w:firstLineChars="200"/>
        <w:rPr>
          <w:rFonts w:hint="eastAsia"/>
          <w:color w:val="auto"/>
          <w:highlight w:val="none"/>
        </w:rPr>
      </w:pPr>
      <w:r>
        <w:rPr>
          <w:rFonts w:hint="eastAsia" w:ascii="宋体" w:hAnsi="宋体" w:cs="宋体"/>
          <w:color w:val="auto"/>
          <w:sz w:val="24"/>
          <w:szCs w:val="24"/>
          <w:highlight w:val="none"/>
        </w:rPr>
        <w:t>电子邮箱：</w:t>
      </w:r>
      <w:r>
        <w:rPr>
          <w:color w:val="auto"/>
          <w:highlight w:val="none"/>
        </w:rPr>
        <w:fldChar w:fldCharType="begin"/>
      </w:r>
      <w:r>
        <w:rPr>
          <w:color w:val="auto"/>
          <w:highlight w:val="none"/>
        </w:rPr>
        <w:instrText xml:space="preserve"> HYPERLINK "mailto:ynjczbzt@163.com" </w:instrText>
      </w:r>
      <w:r>
        <w:rPr>
          <w:color w:val="auto"/>
          <w:highlight w:val="none"/>
        </w:rPr>
        <w:fldChar w:fldCharType="separate"/>
      </w:r>
      <w:r>
        <w:rPr>
          <w:rStyle w:val="32"/>
          <w:rFonts w:hint="default" w:ascii="宋体" w:hAnsi="宋体" w:eastAsia="宋体" w:cs="宋体"/>
          <w:color w:val="auto"/>
          <w:sz w:val="24"/>
          <w:szCs w:val="24"/>
          <w:highlight w:val="none"/>
        </w:rPr>
        <w:t>ynjczbzt@163.com</w:t>
      </w:r>
      <w:r>
        <w:rPr>
          <w:rStyle w:val="32"/>
          <w:rFonts w:hint="default" w:ascii="宋体" w:hAnsi="宋体" w:eastAsia="宋体" w:cs="宋体"/>
          <w:color w:val="auto"/>
          <w:sz w:val="24"/>
          <w:szCs w:val="24"/>
          <w:highlight w:val="none"/>
        </w:rPr>
        <w:fldChar w:fldCharType="end"/>
      </w:r>
    </w:p>
    <w:p w14:paraId="44544E2C">
      <w:pPr>
        <w:adjustRightInd w:val="0"/>
        <w:snapToGrid w:val="0"/>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3.项目联系方式</w:t>
      </w:r>
      <w:bookmarkEnd w:id="29"/>
      <w:bookmarkEnd w:id="30"/>
    </w:p>
    <w:p w14:paraId="5B4F56B9">
      <w:pPr>
        <w:pStyle w:val="27"/>
        <w:adjustRightInd w:val="0"/>
        <w:snapToGrid w:val="0"/>
        <w:spacing w:after="0" w:line="360" w:lineRule="auto"/>
        <w:ind w:left="0" w:leftChars="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项目联系人：李泽瑞</w:t>
      </w:r>
    </w:p>
    <w:p w14:paraId="307CEBA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电　话：19995909184</w:t>
      </w:r>
    </w:p>
    <w:p w14:paraId="2E83DF12">
      <w:pPr>
        <w:snapToGrid w:val="0"/>
        <w:spacing w:line="360" w:lineRule="auto"/>
        <w:ind w:firstLine="420" w:firstLineChars="200"/>
        <w:rPr>
          <w:rFonts w:hint="eastAsia" w:ascii="宋体" w:hAnsi="宋体"/>
          <w:color w:val="auto"/>
          <w:sz w:val="21"/>
          <w:szCs w:val="21"/>
          <w:highlight w:val="none"/>
        </w:rPr>
        <w:sectPr>
          <w:type w:val="continuous"/>
          <w:pgSz w:w="11906" w:h="16838"/>
          <w:pgMar w:top="1418" w:right="1247" w:bottom="1418" w:left="1247" w:header="851" w:footer="992" w:gutter="0"/>
          <w:pgNumType w:fmt="decimal"/>
          <w:cols w:space="720" w:num="1"/>
          <w:docGrid w:linePitch="312" w:charSpace="0"/>
        </w:sectPr>
      </w:pPr>
    </w:p>
    <w:p w14:paraId="49E8E685">
      <w:pPr>
        <w:pStyle w:val="2"/>
        <w:numPr>
          <w:ilvl w:val="0"/>
          <w:numId w:val="2"/>
        </w:numPr>
        <w:adjustRightInd w:val="0"/>
        <w:snapToGrid w:val="0"/>
        <w:rPr>
          <w:rFonts w:eastAsia="黑体"/>
          <w:color w:val="auto"/>
          <w:sz w:val="36"/>
          <w:szCs w:val="36"/>
          <w:highlight w:val="none"/>
        </w:rPr>
      </w:pPr>
      <w:bookmarkStart w:id="31" w:name="_Toc25315"/>
      <w:r>
        <w:rPr>
          <w:rFonts w:eastAsia="黑体"/>
          <w:color w:val="auto"/>
          <w:sz w:val="36"/>
          <w:szCs w:val="36"/>
          <w:highlight w:val="none"/>
        </w:rPr>
        <w:t>供应商须知</w:t>
      </w:r>
      <w:bookmarkEnd w:id="31"/>
    </w:p>
    <w:p w14:paraId="1B1E91C8">
      <w:pPr>
        <w:numPr>
          <w:ilvl w:val="0"/>
          <w:numId w:val="0"/>
        </w:numPr>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供应商须知前附表</w:t>
      </w:r>
    </w:p>
    <w:tbl>
      <w:tblPr>
        <w:tblStyle w:val="48"/>
        <w:tblW w:w="9533"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7"/>
        <w:gridCol w:w="1701"/>
        <w:gridCol w:w="6635"/>
      </w:tblGrid>
      <w:tr w14:paraId="52C03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1197" w:type="dxa"/>
            <w:vAlign w:val="center"/>
          </w:tcPr>
          <w:p w14:paraId="33A4C766">
            <w:pPr>
              <w:adjustRightInd w:val="0"/>
              <w:snapToGrid w:val="0"/>
              <w:spacing w:line="360" w:lineRule="auto"/>
              <w:jc w:val="center"/>
              <w:rPr>
                <w:rFonts w:hint="eastAsia" w:ascii="宋体" w:hAnsi="宋体" w:cs="宋体"/>
                <w:color w:val="auto"/>
                <w:sz w:val="24"/>
                <w:szCs w:val="24"/>
                <w:highlight w:val="none"/>
              </w:rPr>
            </w:pPr>
            <w:bookmarkStart w:id="32" w:name="_Toc303168487"/>
            <w:bookmarkStart w:id="33" w:name="_Toc229583199"/>
            <w:bookmarkStart w:id="34" w:name="_Toc305846481"/>
            <w:bookmarkStart w:id="35" w:name="_Toc144974404"/>
            <w:bookmarkStart w:id="36" w:name="_Toc179715693"/>
            <w:bookmarkStart w:id="37" w:name="_Toc152047200"/>
            <w:r>
              <w:rPr>
                <w:rFonts w:hint="eastAsia" w:ascii="宋体" w:hAnsi="宋体" w:cs="宋体"/>
                <w:color w:val="auto"/>
                <w:sz w:val="24"/>
                <w:szCs w:val="24"/>
                <w:highlight w:val="none"/>
              </w:rPr>
              <w:t>条款号</w:t>
            </w:r>
          </w:p>
        </w:tc>
        <w:tc>
          <w:tcPr>
            <w:tcW w:w="1701" w:type="dxa"/>
            <w:vAlign w:val="center"/>
          </w:tcPr>
          <w:p w14:paraId="11ECDA9F">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条目</w:t>
            </w:r>
          </w:p>
        </w:tc>
        <w:tc>
          <w:tcPr>
            <w:tcW w:w="6635" w:type="dxa"/>
            <w:vAlign w:val="center"/>
          </w:tcPr>
          <w:p w14:paraId="2D1E784A">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内容</w:t>
            </w:r>
          </w:p>
        </w:tc>
      </w:tr>
      <w:tr w14:paraId="5CFF7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197" w:type="dxa"/>
            <w:vAlign w:val="center"/>
          </w:tcPr>
          <w:p w14:paraId="727B0DF1">
            <w:pPr>
              <w:adjustRightInd w:val="0"/>
              <w:snapToGrid w:val="0"/>
              <w:spacing w:line="360" w:lineRule="auto"/>
              <w:jc w:val="center"/>
              <w:rPr>
                <w:rFonts w:hint="eastAsia" w:ascii="宋体" w:hAnsi="宋体" w:eastAsia="宋体" w:cs="宋体"/>
                <w:color w:val="auto"/>
                <w:sz w:val="24"/>
                <w:szCs w:val="24"/>
                <w:highlight w:val="none"/>
                <w:lang w:val="en-US" w:eastAsia="zh-CN"/>
              </w:rPr>
            </w:pPr>
            <w:bookmarkStart w:id="38" w:name="OLE_LINK34" w:colFirst="0" w:colLast="2"/>
            <w:r>
              <w:rPr>
                <w:rFonts w:hint="eastAsia" w:ascii="宋体" w:hAnsi="宋体" w:cs="宋体"/>
                <w:color w:val="auto"/>
                <w:sz w:val="24"/>
                <w:szCs w:val="24"/>
                <w:highlight w:val="none"/>
                <w:lang w:val="en-US" w:eastAsia="zh-CN"/>
              </w:rPr>
              <w:t>1</w:t>
            </w:r>
          </w:p>
        </w:tc>
        <w:tc>
          <w:tcPr>
            <w:tcW w:w="1701" w:type="dxa"/>
            <w:vAlign w:val="center"/>
          </w:tcPr>
          <w:p w14:paraId="2BBFF7FE">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采购人</w:t>
            </w:r>
          </w:p>
        </w:tc>
        <w:tc>
          <w:tcPr>
            <w:tcW w:w="6635" w:type="dxa"/>
            <w:vAlign w:val="center"/>
          </w:tcPr>
          <w:p w14:paraId="4B596C8E">
            <w:pPr>
              <w:adjustRightInd w:val="0"/>
              <w:snapToGrid w:val="0"/>
              <w:spacing w:line="360" w:lineRule="auto"/>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采购人</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鲁甸县新街镇人民政府</w:t>
            </w:r>
          </w:p>
          <w:p w14:paraId="27EF249D">
            <w:pPr>
              <w:pageBreakBefore w:val="0"/>
              <w:widowControl/>
              <w:kinsoku/>
              <w:wordWrap/>
              <w:overflowPunct/>
              <w:topLinePunct w:val="0"/>
              <w:bidi w:val="0"/>
              <w:spacing w:after="0" w:line="36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val="en-US" w:eastAsia="zh-CN"/>
              </w:rPr>
              <w:t>鲁甸县新街镇新街社区居民委员会第10村民小组</w:t>
            </w:r>
          </w:p>
          <w:p w14:paraId="0DF2AF94">
            <w:pPr>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联系人：李泽瑞 </w:t>
            </w:r>
          </w:p>
          <w:p w14:paraId="53C1EC72">
            <w:pPr>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联系方式：19995909184</w:t>
            </w:r>
          </w:p>
        </w:tc>
      </w:tr>
      <w:bookmarkEnd w:id="38"/>
      <w:tr w14:paraId="304D8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197" w:type="dxa"/>
            <w:vAlign w:val="center"/>
          </w:tcPr>
          <w:p w14:paraId="05828D5A">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1701" w:type="dxa"/>
            <w:vAlign w:val="center"/>
          </w:tcPr>
          <w:p w14:paraId="5356BC81">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采购代理机构</w:t>
            </w:r>
          </w:p>
        </w:tc>
        <w:tc>
          <w:tcPr>
            <w:tcW w:w="6635" w:type="dxa"/>
            <w:vAlign w:val="center"/>
          </w:tcPr>
          <w:p w14:paraId="15FB29C0">
            <w:pPr>
              <w:spacing w:line="360" w:lineRule="auto"/>
              <w:rPr>
                <w:rFonts w:hint="eastAsia" w:eastAsia="宋体"/>
                <w:color w:val="auto"/>
                <w:sz w:val="24"/>
                <w:szCs w:val="24"/>
                <w:highlight w:val="none"/>
                <w:lang w:eastAsia="zh-CN"/>
              </w:rPr>
            </w:pPr>
            <w:r>
              <w:rPr>
                <w:rFonts w:hint="eastAsia"/>
                <w:color w:val="auto"/>
                <w:sz w:val="24"/>
                <w:szCs w:val="24"/>
                <w:highlight w:val="none"/>
              </w:rPr>
              <w:t>采购</w:t>
            </w:r>
            <w:r>
              <w:rPr>
                <w:color w:val="auto"/>
                <w:sz w:val="24"/>
                <w:szCs w:val="24"/>
                <w:highlight w:val="none"/>
              </w:rPr>
              <w:t>代理机构：</w:t>
            </w:r>
            <w:r>
              <w:rPr>
                <w:rFonts w:hint="eastAsia"/>
                <w:color w:val="auto"/>
                <w:sz w:val="24"/>
                <w:szCs w:val="24"/>
                <w:highlight w:val="none"/>
                <w:lang w:eastAsia="zh-CN"/>
              </w:rPr>
              <w:t>云南集诚建设工程招标代理有限公司</w:t>
            </w:r>
          </w:p>
          <w:p w14:paraId="6FEB25F8">
            <w:pPr>
              <w:spacing w:line="360" w:lineRule="auto"/>
              <w:rPr>
                <w:rFonts w:hint="eastAsia" w:eastAsia="宋体"/>
                <w:color w:val="auto"/>
                <w:sz w:val="24"/>
                <w:szCs w:val="24"/>
                <w:highlight w:val="none"/>
                <w:lang w:eastAsia="zh-CN"/>
              </w:rPr>
            </w:pPr>
            <w:r>
              <w:rPr>
                <w:color w:val="auto"/>
                <w:sz w:val="24"/>
                <w:szCs w:val="24"/>
                <w:highlight w:val="none"/>
              </w:rPr>
              <w:t>地   址：</w:t>
            </w:r>
            <w:r>
              <w:rPr>
                <w:rFonts w:hint="eastAsia"/>
                <w:color w:val="auto"/>
                <w:sz w:val="24"/>
                <w:szCs w:val="24"/>
                <w:highlight w:val="none"/>
                <w:lang w:eastAsia="zh-CN"/>
              </w:rPr>
              <w:t>昭阳区迎宾大道59号附16号12幢407室（远大广场）</w:t>
            </w:r>
          </w:p>
          <w:p w14:paraId="466FC211">
            <w:pPr>
              <w:spacing w:line="360" w:lineRule="auto"/>
              <w:rPr>
                <w:rFonts w:hint="eastAsia" w:eastAsia="宋体"/>
                <w:color w:val="auto"/>
                <w:sz w:val="24"/>
                <w:szCs w:val="24"/>
                <w:highlight w:val="none"/>
                <w:lang w:eastAsia="zh-CN"/>
              </w:rPr>
            </w:pPr>
            <w:r>
              <w:rPr>
                <w:color w:val="auto"/>
                <w:sz w:val="24"/>
                <w:szCs w:val="24"/>
                <w:highlight w:val="none"/>
              </w:rPr>
              <w:t>联 系 人：</w:t>
            </w:r>
            <w:r>
              <w:rPr>
                <w:rFonts w:hint="eastAsia" w:ascii="宋体" w:hAnsi="宋体"/>
                <w:color w:val="auto"/>
                <w:sz w:val="24"/>
                <w:szCs w:val="24"/>
                <w:highlight w:val="none"/>
                <w:lang w:eastAsia="zh-CN"/>
              </w:rPr>
              <w:t>李鹏、王庆玲</w:t>
            </w:r>
          </w:p>
          <w:p w14:paraId="324C9549">
            <w:pPr>
              <w:spacing w:line="360" w:lineRule="auto"/>
              <w:rPr>
                <w:rFonts w:hint="eastAsia" w:eastAsia="宋体"/>
                <w:color w:val="auto"/>
                <w:sz w:val="24"/>
                <w:szCs w:val="24"/>
                <w:highlight w:val="none"/>
                <w:lang w:eastAsia="zh-CN"/>
              </w:rPr>
            </w:pPr>
            <w:r>
              <w:rPr>
                <w:color w:val="auto"/>
                <w:sz w:val="24"/>
                <w:szCs w:val="24"/>
                <w:highlight w:val="none"/>
              </w:rPr>
              <w:t>联系电话：</w:t>
            </w:r>
            <w:r>
              <w:rPr>
                <w:rFonts w:hint="eastAsia" w:ascii="宋体" w:hAnsi="宋体" w:eastAsia="宋体" w:cs="宋体"/>
                <w:color w:val="auto"/>
                <w:sz w:val="24"/>
                <w:szCs w:val="24"/>
                <w:highlight w:val="none"/>
                <w:lang w:eastAsia="zh-CN"/>
              </w:rPr>
              <w:t>0870-2861366</w:t>
            </w:r>
          </w:p>
          <w:p w14:paraId="26536720">
            <w:pPr>
              <w:spacing w:line="360" w:lineRule="auto"/>
              <w:rPr>
                <w:rFonts w:hint="eastAsia" w:ascii="宋体" w:hAnsi="宋体" w:eastAsia="宋体" w:cs="宋体"/>
                <w:color w:val="auto"/>
                <w:sz w:val="24"/>
                <w:szCs w:val="24"/>
                <w:highlight w:val="none"/>
                <w:lang w:val="en-US" w:eastAsia="zh-CN" w:bidi="ar-SA"/>
              </w:rPr>
            </w:pPr>
            <w:r>
              <w:rPr>
                <w:color w:val="auto"/>
                <w:sz w:val="24"/>
                <w:szCs w:val="24"/>
                <w:highlight w:val="none"/>
              </w:rPr>
              <w:t>电子邮箱：</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"mailto:ynjczbzt@163.com"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ynjczbzt@163.com</w:t>
            </w:r>
            <w:r>
              <w:rPr>
                <w:rFonts w:hint="eastAsia" w:ascii="宋体" w:hAnsi="宋体" w:eastAsia="宋体" w:cs="宋体"/>
                <w:color w:val="auto"/>
                <w:sz w:val="24"/>
                <w:szCs w:val="24"/>
                <w:highlight w:val="none"/>
              </w:rPr>
              <w:fldChar w:fldCharType="end"/>
            </w:r>
          </w:p>
        </w:tc>
      </w:tr>
      <w:tr w14:paraId="6ED20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197" w:type="dxa"/>
            <w:vAlign w:val="center"/>
          </w:tcPr>
          <w:p w14:paraId="542BC644">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701" w:type="dxa"/>
            <w:vAlign w:val="center"/>
          </w:tcPr>
          <w:p w14:paraId="324EA9B5">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建设内容及</w:t>
            </w:r>
          </w:p>
          <w:p w14:paraId="494F2E20">
            <w:pPr>
              <w:spacing w:line="360" w:lineRule="auto"/>
              <w:jc w:val="center"/>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规模</w:t>
            </w:r>
          </w:p>
        </w:tc>
        <w:tc>
          <w:tcPr>
            <w:tcW w:w="6635" w:type="dxa"/>
            <w:vAlign w:val="center"/>
          </w:tcPr>
          <w:p w14:paraId="6988C4A2">
            <w:pPr>
              <w:widowControl w:val="0"/>
              <w:adjustRightInd w:val="0"/>
              <w:snapToGrid w:val="0"/>
              <w:spacing w:line="360" w:lineRule="auto"/>
              <w:rPr>
                <w:rFonts w:hint="eastAsia" w:ascii="宋体" w:hAnsi="宋体" w:cs="宋体"/>
                <w:color w:val="auto"/>
                <w:sz w:val="24"/>
                <w:szCs w:val="24"/>
                <w:highlight w:val="none"/>
              </w:rPr>
            </w:pPr>
            <w:r>
              <w:rPr>
                <w:rFonts w:hint="eastAsia" w:ascii="宋体" w:hAnsi="宋体" w:eastAsia="宋体" w:cs="宋体"/>
                <w:color w:val="auto"/>
                <w:kern w:val="2"/>
                <w:sz w:val="24"/>
                <w:szCs w:val="21"/>
                <w:highlight w:val="none"/>
                <w:lang w:val="en-US" w:eastAsia="zh-CN" w:bidi="zh-CN"/>
              </w:rPr>
              <w:t>新建20盏（6米高、80W）；维修更换10盏（6米高、80W）</w:t>
            </w:r>
            <w:r>
              <w:rPr>
                <w:rFonts w:hint="eastAsia" w:ascii="宋体" w:hAnsi="宋体" w:cs="宋体"/>
                <w:color w:val="auto"/>
                <w:kern w:val="2"/>
                <w:sz w:val="24"/>
                <w:szCs w:val="21"/>
                <w:highlight w:val="none"/>
                <w:lang w:val="en-US" w:eastAsia="zh-CN" w:bidi="zh-CN"/>
              </w:rPr>
              <w:t>、</w:t>
            </w:r>
            <w:r>
              <w:rPr>
                <w:rFonts w:hint="eastAsia" w:ascii="宋体" w:hAnsi="宋体" w:eastAsia="宋体" w:cs="宋体"/>
                <w:color w:val="auto"/>
                <w:kern w:val="2"/>
                <w:sz w:val="24"/>
                <w:szCs w:val="21"/>
                <w:highlight w:val="none"/>
                <w:lang w:val="en-US" w:eastAsia="zh-CN" w:bidi="zh-CN"/>
              </w:rPr>
              <w:t>侧沟126米（清理、硬化、加盖板）；排水沟850米（清理、C25混凝土浇筑、砂浆抹面）</w:t>
            </w:r>
            <w:r>
              <w:rPr>
                <w:rFonts w:hint="eastAsia" w:ascii="宋体" w:hAnsi="宋体" w:cs="宋体"/>
                <w:color w:val="auto"/>
                <w:kern w:val="2"/>
                <w:sz w:val="24"/>
                <w:szCs w:val="21"/>
                <w:highlight w:val="none"/>
                <w:lang w:val="en-US" w:eastAsia="zh-CN" w:bidi="zh-CN"/>
              </w:rPr>
              <w:t>、</w:t>
            </w:r>
            <w:r>
              <w:rPr>
                <w:rFonts w:hint="eastAsia" w:ascii="宋体" w:hAnsi="宋体" w:eastAsia="宋体" w:cs="宋体"/>
                <w:color w:val="auto"/>
                <w:kern w:val="2"/>
                <w:sz w:val="24"/>
                <w:szCs w:val="21"/>
                <w:highlight w:val="none"/>
                <w:lang w:val="en-US" w:eastAsia="zh-CN" w:bidi="zh-CN"/>
              </w:rPr>
              <w:t>1座100立方米、1座50立方米，采用C25混凝土浇筑</w:t>
            </w:r>
            <w:r>
              <w:rPr>
                <w:rFonts w:hint="eastAsia" w:ascii="宋体" w:hAnsi="宋体" w:cs="宋体"/>
                <w:color w:val="auto"/>
                <w:kern w:val="2"/>
                <w:sz w:val="24"/>
                <w:szCs w:val="21"/>
                <w:highlight w:val="none"/>
                <w:lang w:val="en-US" w:eastAsia="zh-CN" w:bidi="zh-CN"/>
              </w:rPr>
              <w:t>、M7.5浆砌石砌筑挡土墙长24米、平均高2.5米，总工程量62.2立方米、路面硬化及配套场地平整370平方米（C25混凝土、18cm厚），分三段（28×7.6m、9×4m、27×4.5m）。</w:t>
            </w:r>
            <w:r>
              <w:rPr>
                <w:rFonts w:hint="eastAsia" w:ascii="宋体" w:hAnsi="宋体" w:eastAsia="宋体" w:cs="宋体"/>
                <w:color w:val="auto"/>
                <w:kern w:val="2"/>
                <w:sz w:val="24"/>
                <w:szCs w:val="21"/>
                <w:highlight w:val="none"/>
                <w:lang w:val="en-US" w:eastAsia="zh-CN" w:bidi="zh-CN"/>
              </w:rPr>
              <w:t>具体内容详见</w:t>
            </w:r>
            <w:r>
              <w:rPr>
                <w:rFonts w:hint="eastAsia" w:asciiTheme="minorEastAsia" w:hAnsiTheme="minorEastAsia" w:cstheme="minorEastAsia"/>
                <w:color w:val="auto"/>
                <w:sz w:val="24"/>
                <w:highlight w:val="none"/>
              </w:rPr>
              <w:t>招标工程量清单</w:t>
            </w:r>
            <w:r>
              <w:rPr>
                <w:rFonts w:hint="eastAsia" w:asciiTheme="minorEastAsia" w:hAnsiTheme="minorEastAsia" w:cstheme="minorEastAsia"/>
                <w:color w:val="auto"/>
                <w:sz w:val="24"/>
                <w:highlight w:val="none"/>
                <w:lang w:val="en-US" w:eastAsia="zh-CN"/>
              </w:rPr>
              <w:t>及图纸要求</w:t>
            </w:r>
            <w:r>
              <w:rPr>
                <w:rFonts w:hint="eastAsia" w:ascii="宋体" w:hAnsi="宋体" w:cs="宋体"/>
                <w:color w:val="auto"/>
                <w:sz w:val="24"/>
                <w:szCs w:val="24"/>
                <w:highlight w:val="none"/>
                <w:lang w:eastAsia="zh-CN"/>
              </w:rPr>
              <w:t>。</w:t>
            </w:r>
          </w:p>
        </w:tc>
      </w:tr>
      <w:tr w14:paraId="6CC26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197" w:type="dxa"/>
            <w:vAlign w:val="center"/>
          </w:tcPr>
          <w:p w14:paraId="7C039FDF">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701" w:type="dxa"/>
            <w:vAlign w:val="center"/>
          </w:tcPr>
          <w:p w14:paraId="21F98BE4">
            <w:pPr>
              <w:spacing w:line="360" w:lineRule="auto"/>
              <w:jc w:val="center"/>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资金来源</w:t>
            </w:r>
          </w:p>
        </w:tc>
        <w:tc>
          <w:tcPr>
            <w:tcW w:w="6635" w:type="dxa"/>
            <w:vAlign w:val="center"/>
          </w:tcPr>
          <w:p w14:paraId="0B48689A">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2026年常态化帮扶</w:t>
            </w:r>
            <w:r>
              <w:rPr>
                <w:rFonts w:hint="eastAsia" w:ascii="宋体" w:hAnsi="宋体" w:cs="宋体"/>
                <w:color w:val="auto"/>
                <w:sz w:val="24"/>
                <w:szCs w:val="24"/>
                <w:highlight w:val="none"/>
                <w:lang w:eastAsia="zh-CN"/>
              </w:rPr>
              <w:t>资金</w:t>
            </w:r>
          </w:p>
        </w:tc>
      </w:tr>
      <w:tr w14:paraId="29C9F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197" w:type="dxa"/>
            <w:vAlign w:val="center"/>
          </w:tcPr>
          <w:p w14:paraId="57E02EBC">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701" w:type="dxa"/>
            <w:vAlign w:val="center"/>
          </w:tcPr>
          <w:p w14:paraId="6DF2F999">
            <w:pPr>
              <w:spacing w:line="360" w:lineRule="auto"/>
              <w:jc w:val="center"/>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出资比例</w:t>
            </w:r>
          </w:p>
        </w:tc>
        <w:tc>
          <w:tcPr>
            <w:tcW w:w="6635" w:type="dxa"/>
            <w:vAlign w:val="center"/>
          </w:tcPr>
          <w:p w14:paraId="29BDC93C">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100%</w:t>
            </w:r>
          </w:p>
        </w:tc>
      </w:tr>
      <w:tr w14:paraId="61009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197" w:type="dxa"/>
            <w:vAlign w:val="center"/>
          </w:tcPr>
          <w:p w14:paraId="1868257A">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701" w:type="dxa"/>
            <w:vAlign w:val="center"/>
          </w:tcPr>
          <w:p w14:paraId="5E356CB7">
            <w:pPr>
              <w:spacing w:line="360" w:lineRule="auto"/>
              <w:jc w:val="center"/>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资金落实情况</w:t>
            </w:r>
          </w:p>
        </w:tc>
        <w:tc>
          <w:tcPr>
            <w:tcW w:w="6635" w:type="dxa"/>
            <w:vAlign w:val="center"/>
          </w:tcPr>
          <w:p w14:paraId="03CE286F">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已落实</w:t>
            </w:r>
          </w:p>
        </w:tc>
      </w:tr>
      <w:tr w14:paraId="5DE89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197" w:type="dxa"/>
            <w:vAlign w:val="center"/>
          </w:tcPr>
          <w:p w14:paraId="7FEBC076">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1701" w:type="dxa"/>
            <w:vAlign w:val="center"/>
          </w:tcPr>
          <w:p w14:paraId="0634911A">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计划</w:t>
            </w:r>
            <w:r>
              <w:rPr>
                <w:rFonts w:hint="eastAsia" w:ascii="宋体" w:hAnsi="宋体" w:eastAsia="宋体" w:cs="宋体"/>
                <w:color w:val="auto"/>
                <w:sz w:val="24"/>
                <w:szCs w:val="24"/>
                <w:highlight w:val="none"/>
                <w:lang w:val="en-US" w:eastAsia="zh-CN"/>
              </w:rPr>
              <w:t>工期</w:t>
            </w:r>
          </w:p>
        </w:tc>
        <w:tc>
          <w:tcPr>
            <w:tcW w:w="6635" w:type="dxa"/>
            <w:vAlign w:val="center"/>
          </w:tcPr>
          <w:p w14:paraId="51B00526">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自合同签订之日起</w:t>
            </w:r>
            <w:r>
              <w:rPr>
                <w:rFonts w:hint="eastAsia" w:ascii="宋体" w:hAnsi="宋体" w:eastAsia="宋体" w:cs="宋体"/>
                <w:color w:val="auto"/>
                <w:sz w:val="24"/>
                <w:szCs w:val="24"/>
                <w:highlight w:val="none"/>
                <w:lang w:val="en-US" w:eastAsia="zh-CN"/>
              </w:rPr>
              <w:t>约</w:t>
            </w:r>
            <w:r>
              <w:rPr>
                <w:rFonts w:hint="eastAsia" w:ascii="宋体" w:hAnsi="宋体" w:cs="宋体"/>
                <w:color w:val="auto"/>
                <w:sz w:val="24"/>
                <w:szCs w:val="24"/>
                <w:highlight w:val="none"/>
                <w:lang w:val="en-US" w:eastAsia="zh-CN"/>
              </w:rPr>
              <w:t>120</w:t>
            </w:r>
            <w:r>
              <w:rPr>
                <w:rFonts w:hint="eastAsia" w:ascii="宋体" w:hAnsi="宋体" w:eastAsia="宋体" w:cs="宋体"/>
                <w:color w:val="auto"/>
                <w:sz w:val="24"/>
                <w:szCs w:val="24"/>
                <w:highlight w:val="none"/>
              </w:rPr>
              <w:t>日历天</w:t>
            </w:r>
          </w:p>
        </w:tc>
      </w:tr>
      <w:tr w14:paraId="1D325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1197" w:type="dxa"/>
            <w:vAlign w:val="center"/>
          </w:tcPr>
          <w:p w14:paraId="29C3CD0E">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1701" w:type="dxa"/>
            <w:vAlign w:val="center"/>
          </w:tcPr>
          <w:p w14:paraId="6E469829">
            <w:pPr>
              <w:spacing w:line="360" w:lineRule="auto"/>
              <w:jc w:val="center"/>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项目实施地点</w:t>
            </w:r>
          </w:p>
        </w:tc>
        <w:tc>
          <w:tcPr>
            <w:tcW w:w="6635" w:type="dxa"/>
            <w:vAlign w:val="center"/>
          </w:tcPr>
          <w:p w14:paraId="58356181">
            <w:pPr>
              <w:spacing w:line="360" w:lineRule="auto"/>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lang w:eastAsia="zh-CN"/>
              </w:rPr>
              <w:t>鲁甸县新街镇坪地营村委会</w:t>
            </w:r>
          </w:p>
        </w:tc>
      </w:tr>
      <w:tr w14:paraId="3D00A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1197" w:type="dxa"/>
            <w:vAlign w:val="center"/>
          </w:tcPr>
          <w:p w14:paraId="3D356B90">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1701" w:type="dxa"/>
            <w:vAlign w:val="center"/>
          </w:tcPr>
          <w:p w14:paraId="6E0CE0ED">
            <w:pPr>
              <w:spacing w:line="360" w:lineRule="auto"/>
              <w:jc w:val="center"/>
              <w:rPr>
                <w:rFonts w:hint="eastAsia" w:ascii="宋体" w:hAnsi="宋体" w:cs="宋体"/>
                <w:color w:val="auto"/>
                <w:sz w:val="24"/>
                <w:szCs w:val="24"/>
                <w:highlight w:val="none"/>
              </w:rPr>
            </w:pPr>
            <w:r>
              <w:rPr>
                <w:rFonts w:hint="eastAsia" w:ascii="宋体" w:hAnsi="宋体" w:eastAsia="宋体" w:cs="宋体"/>
                <w:color w:val="auto"/>
                <w:kern w:val="2"/>
                <w:sz w:val="24"/>
                <w:szCs w:val="24"/>
                <w:highlight w:val="none"/>
              </w:rPr>
              <w:t>质量标准</w:t>
            </w:r>
          </w:p>
        </w:tc>
        <w:tc>
          <w:tcPr>
            <w:tcW w:w="6635" w:type="dxa"/>
            <w:vAlign w:val="center"/>
          </w:tcPr>
          <w:p w14:paraId="70C974FA">
            <w:pPr>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符合国家、行业及地方现行的相关标准及规范，并</w:t>
            </w:r>
            <w:r>
              <w:rPr>
                <w:rFonts w:hint="eastAsia" w:ascii="宋体" w:hAnsi="宋体"/>
                <w:color w:val="auto"/>
                <w:sz w:val="24"/>
                <w:szCs w:val="24"/>
                <w:highlight w:val="none"/>
                <w:lang w:val="en-US" w:eastAsia="zh-CN"/>
              </w:rPr>
              <w:t>一次性验收合格。</w:t>
            </w:r>
          </w:p>
        </w:tc>
      </w:tr>
      <w:tr w14:paraId="20C31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1197" w:type="dxa"/>
            <w:vAlign w:val="center"/>
          </w:tcPr>
          <w:p w14:paraId="7ABF4FCF">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1701" w:type="dxa"/>
            <w:vAlign w:val="center"/>
          </w:tcPr>
          <w:p w14:paraId="7BA3A44F">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供应商资格要求</w:t>
            </w:r>
          </w:p>
        </w:tc>
        <w:tc>
          <w:tcPr>
            <w:tcW w:w="6635" w:type="dxa"/>
            <w:vAlign w:val="center"/>
          </w:tcPr>
          <w:p w14:paraId="490FB9C6">
            <w:pPr>
              <w:spacing w:line="360" w:lineRule="auto"/>
              <w:rPr>
                <w:rFonts w:hint="eastAsia" w:ascii="宋体" w:hAnsi="宋体"/>
                <w:color w:val="auto"/>
                <w:sz w:val="24"/>
                <w:szCs w:val="24"/>
                <w:highlight w:val="none"/>
              </w:rPr>
            </w:pPr>
            <w:r>
              <w:rPr>
                <w:rFonts w:hint="eastAsia" w:ascii="宋体" w:hAnsi="宋体" w:eastAsia="宋体" w:cs="宋体"/>
                <w:bCs/>
                <w:color w:val="auto"/>
                <w:sz w:val="24"/>
                <w:szCs w:val="24"/>
                <w:highlight w:val="none"/>
              </w:rPr>
              <w:t>详见“竞争性磋商公告”第二条</w:t>
            </w:r>
          </w:p>
        </w:tc>
      </w:tr>
      <w:tr w14:paraId="71223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3" w:hRule="atLeast"/>
        </w:trPr>
        <w:tc>
          <w:tcPr>
            <w:tcW w:w="1197" w:type="dxa"/>
            <w:vAlign w:val="center"/>
          </w:tcPr>
          <w:p w14:paraId="10A460DC">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c>
          <w:tcPr>
            <w:tcW w:w="1701" w:type="dxa"/>
            <w:vAlign w:val="center"/>
          </w:tcPr>
          <w:p w14:paraId="1B637F64">
            <w:pPr>
              <w:spacing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构成竞争性磋商文件的其他材料</w:t>
            </w:r>
          </w:p>
        </w:tc>
        <w:tc>
          <w:tcPr>
            <w:tcW w:w="6635" w:type="dxa"/>
            <w:vAlign w:val="center"/>
          </w:tcPr>
          <w:p w14:paraId="31726523">
            <w:pPr>
              <w:widowControl w:val="0"/>
              <w:spacing w:line="360" w:lineRule="auto"/>
              <w:jc w:val="both"/>
              <w:rPr>
                <w:rFonts w:hint="eastAsia" w:ascii="宋体" w:hAnsi="宋体"/>
                <w:color w:val="auto"/>
                <w:sz w:val="24"/>
                <w:szCs w:val="24"/>
                <w:highlight w:val="none"/>
              </w:rPr>
            </w:pPr>
            <w:r>
              <w:rPr>
                <w:rFonts w:hint="eastAsia" w:ascii="宋体" w:hAnsi="宋体" w:eastAsia="宋体" w:cs="宋体"/>
                <w:color w:val="auto"/>
                <w:sz w:val="24"/>
                <w:szCs w:val="24"/>
                <w:highlight w:val="none"/>
              </w:rPr>
              <w:t>采购人以书面形式发出的答疑书、补遗书或通知等</w:t>
            </w:r>
          </w:p>
        </w:tc>
      </w:tr>
      <w:tr w14:paraId="00B3A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atLeast"/>
        </w:trPr>
        <w:tc>
          <w:tcPr>
            <w:tcW w:w="1197" w:type="dxa"/>
            <w:vAlign w:val="center"/>
          </w:tcPr>
          <w:p w14:paraId="4CCB3C04">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1701" w:type="dxa"/>
            <w:vAlign w:val="center"/>
          </w:tcPr>
          <w:p w14:paraId="1C278FE8">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项目属性</w:t>
            </w:r>
          </w:p>
        </w:tc>
        <w:tc>
          <w:tcPr>
            <w:tcW w:w="6635" w:type="dxa"/>
            <w:vAlign w:val="center"/>
          </w:tcPr>
          <w:p w14:paraId="425542E1">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项目属性：</w:t>
            </w:r>
          </w:p>
          <w:p w14:paraId="65A44FFA">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服务</w:t>
            </w:r>
          </w:p>
          <w:p w14:paraId="069BE8E7">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□货物：单一产品或核心产品为：/，核心产品相关内容参照财政部87号令有关规定执行。</w:t>
            </w:r>
          </w:p>
          <w:p w14:paraId="6088C21C">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☑工程</w:t>
            </w:r>
          </w:p>
        </w:tc>
      </w:tr>
      <w:tr w14:paraId="4E7DE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197" w:type="dxa"/>
            <w:vMerge w:val="restart"/>
            <w:vAlign w:val="center"/>
          </w:tcPr>
          <w:p w14:paraId="320F520B">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p>
        </w:tc>
        <w:tc>
          <w:tcPr>
            <w:tcW w:w="1701" w:type="dxa"/>
            <w:vAlign w:val="center"/>
          </w:tcPr>
          <w:p w14:paraId="5F36B0C8">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现场考察</w:t>
            </w:r>
          </w:p>
        </w:tc>
        <w:tc>
          <w:tcPr>
            <w:tcW w:w="6635" w:type="dxa"/>
            <w:vAlign w:val="center"/>
          </w:tcPr>
          <w:p w14:paraId="36DCCEB6">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☑不组织</w:t>
            </w:r>
          </w:p>
          <w:p w14:paraId="5CC8806E">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□组织，考察时间： </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年 </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月 </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日 </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点 </w:t>
            </w:r>
            <w:r>
              <w:rPr>
                <w:rFonts w:hint="eastAsia" w:ascii="宋体" w:hAnsi="宋体" w:cs="宋体"/>
                <w:color w:val="auto"/>
                <w:sz w:val="24"/>
                <w:szCs w:val="24"/>
                <w:highlight w:val="none"/>
              </w:rPr>
              <w:tab/>
            </w:r>
            <w:r>
              <w:rPr>
                <w:rFonts w:hint="eastAsia" w:ascii="宋体" w:hAnsi="宋体" w:cs="宋体"/>
                <w:color w:val="auto"/>
                <w:sz w:val="24"/>
                <w:szCs w:val="24"/>
                <w:highlight w:val="none"/>
              </w:rPr>
              <w:t>分</w:t>
            </w:r>
          </w:p>
          <w:p w14:paraId="762C8F9D">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考察地点： </w:t>
            </w:r>
            <w:r>
              <w:rPr>
                <w:rFonts w:hint="eastAsia" w:ascii="宋体" w:hAnsi="宋体" w:cs="宋体"/>
                <w:color w:val="auto"/>
                <w:sz w:val="24"/>
                <w:szCs w:val="24"/>
                <w:highlight w:val="none"/>
              </w:rPr>
              <w:tab/>
            </w:r>
            <w:r>
              <w:rPr>
                <w:rFonts w:hint="eastAsia" w:ascii="宋体" w:hAnsi="宋体" w:cs="宋体"/>
                <w:color w:val="auto"/>
                <w:sz w:val="24"/>
                <w:szCs w:val="24"/>
                <w:highlight w:val="none"/>
              </w:rPr>
              <w:t>。</w:t>
            </w:r>
          </w:p>
        </w:tc>
      </w:tr>
      <w:tr w14:paraId="75C8E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197" w:type="dxa"/>
            <w:vMerge w:val="continue"/>
            <w:tcBorders>
              <w:top w:val="nil"/>
            </w:tcBorders>
            <w:vAlign w:val="center"/>
          </w:tcPr>
          <w:p w14:paraId="2C3DD8B3">
            <w:pPr>
              <w:adjustRightInd w:val="0"/>
              <w:snapToGrid w:val="0"/>
              <w:spacing w:line="360" w:lineRule="auto"/>
              <w:jc w:val="center"/>
              <w:rPr>
                <w:rFonts w:hint="eastAsia" w:ascii="宋体" w:hAnsi="宋体" w:cs="宋体"/>
                <w:color w:val="auto"/>
                <w:sz w:val="24"/>
                <w:szCs w:val="24"/>
                <w:highlight w:val="none"/>
              </w:rPr>
            </w:pPr>
          </w:p>
        </w:tc>
        <w:tc>
          <w:tcPr>
            <w:tcW w:w="1701" w:type="dxa"/>
            <w:vAlign w:val="center"/>
          </w:tcPr>
          <w:p w14:paraId="14185371">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磋商前答疑会</w:t>
            </w:r>
          </w:p>
        </w:tc>
        <w:tc>
          <w:tcPr>
            <w:tcW w:w="6635" w:type="dxa"/>
            <w:vAlign w:val="center"/>
          </w:tcPr>
          <w:p w14:paraId="7E1AABC6">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☑不召开</w:t>
            </w:r>
          </w:p>
          <w:p w14:paraId="2CAD6DB6">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□召开，召开时间：</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年 </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月 </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日 </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点 </w:t>
            </w:r>
            <w:r>
              <w:rPr>
                <w:rFonts w:hint="eastAsia" w:ascii="宋体" w:hAnsi="宋体" w:cs="宋体"/>
                <w:color w:val="auto"/>
                <w:sz w:val="24"/>
                <w:szCs w:val="24"/>
                <w:highlight w:val="none"/>
              </w:rPr>
              <w:tab/>
            </w:r>
            <w:r>
              <w:rPr>
                <w:rFonts w:hint="eastAsia" w:ascii="宋体" w:hAnsi="宋体" w:cs="宋体"/>
                <w:color w:val="auto"/>
                <w:sz w:val="24"/>
                <w:szCs w:val="24"/>
                <w:highlight w:val="none"/>
              </w:rPr>
              <w:t>分</w:t>
            </w:r>
          </w:p>
          <w:p w14:paraId="6223A2FA">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召开地点： </w:t>
            </w:r>
            <w:r>
              <w:rPr>
                <w:rFonts w:hint="eastAsia" w:ascii="宋体" w:hAnsi="宋体" w:cs="宋体"/>
                <w:color w:val="auto"/>
                <w:sz w:val="24"/>
                <w:szCs w:val="24"/>
                <w:highlight w:val="none"/>
              </w:rPr>
              <w:tab/>
            </w:r>
            <w:r>
              <w:rPr>
                <w:rFonts w:hint="eastAsia" w:ascii="宋体" w:hAnsi="宋体" w:cs="宋体"/>
                <w:color w:val="auto"/>
                <w:sz w:val="24"/>
                <w:szCs w:val="24"/>
                <w:highlight w:val="none"/>
              </w:rPr>
              <w:t>。</w:t>
            </w:r>
          </w:p>
        </w:tc>
      </w:tr>
      <w:tr w14:paraId="13AF1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197" w:type="dxa"/>
            <w:tcBorders>
              <w:top w:val="nil"/>
            </w:tcBorders>
            <w:vAlign w:val="center"/>
          </w:tcPr>
          <w:p w14:paraId="41DF10B4">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14</w:t>
            </w:r>
          </w:p>
        </w:tc>
        <w:tc>
          <w:tcPr>
            <w:tcW w:w="1701" w:type="dxa"/>
            <w:vAlign w:val="center"/>
          </w:tcPr>
          <w:p w14:paraId="43762EAA">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电子签章要求</w:t>
            </w:r>
          </w:p>
        </w:tc>
        <w:tc>
          <w:tcPr>
            <w:tcW w:w="6635" w:type="dxa"/>
            <w:vAlign w:val="center"/>
          </w:tcPr>
          <w:p w14:paraId="32FC6E1B">
            <w:pPr>
              <w:adjustRightInd w:val="0"/>
              <w:snapToGrid w:val="0"/>
              <w:spacing w:after="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响应</w:t>
            </w:r>
            <w:r>
              <w:rPr>
                <w:rFonts w:hint="eastAsia" w:ascii="宋体" w:hAnsi="宋体" w:cs="宋体"/>
                <w:bCs/>
                <w:color w:val="auto"/>
                <w:sz w:val="24"/>
                <w:szCs w:val="24"/>
                <w:highlight w:val="none"/>
              </w:rPr>
              <w:t>文件应按</w:t>
            </w:r>
            <w:r>
              <w:rPr>
                <w:rFonts w:hint="eastAsia" w:ascii="宋体" w:hAnsi="宋体" w:cs="宋体"/>
                <w:bCs/>
                <w:color w:val="auto"/>
                <w:sz w:val="24"/>
                <w:szCs w:val="24"/>
                <w:highlight w:val="none"/>
                <w:lang w:val="en-US" w:eastAsia="zh-CN"/>
              </w:rPr>
              <w:t>竞争性磋商</w:t>
            </w:r>
            <w:r>
              <w:rPr>
                <w:rFonts w:hint="eastAsia" w:ascii="宋体" w:hAnsi="宋体" w:cs="宋体"/>
                <w:bCs/>
                <w:color w:val="auto"/>
                <w:sz w:val="24"/>
                <w:szCs w:val="24"/>
                <w:highlight w:val="none"/>
              </w:rPr>
              <w:t>文件格式部分要求，应加盖</w:t>
            </w:r>
            <w:r>
              <w:rPr>
                <w:rFonts w:hint="eastAsia" w:ascii="宋体" w:hAnsi="宋体" w:cs="宋体"/>
                <w:bCs/>
                <w:color w:val="auto"/>
                <w:sz w:val="24"/>
                <w:szCs w:val="24"/>
                <w:highlight w:val="none"/>
                <w:lang w:val="en-US" w:eastAsia="zh-CN"/>
              </w:rPr>
              <w:t>供应商</w:t>
            </w:r>
            <w:r>
              <w:rPr>
                <w:rFonts w:hint="eastAsia" w:ascii="宋体" w:hAnsi="宋体" w:cs="宋体"/>
                <w:bCs/>
                <w:color w:val="auto"/>
                <w:sz w:val="24"/>
                <w:szCs w:val="24"/>
                <w:highlight w:val="none"/>
              </w:rPr>
              <w:t>电子签章或法定代表人</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或</w:t>
            </w:r>
            <w:r>
              <w:rPr>
                <w:rFonts w:hint="eastAsia" w:ascii="宋体" w:hAnsi="宋体" w:cs="宋体"/>
                <w:bCs/>
                <w:color w:val="auto"/>
                <w:sz w:val="24"/>
                <w:szCs w:val="24"/>
                <w:highlight w:val="none"/>
              </w:rPr>
              <w:t>负责人</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电子签章。由委托代理人电子签章的在投标文件中须同时提交授权委托书。授权委托书格式、签字、电子签章及内容均应符合要求，否则授权委托书无效。</w:t>
            </w:r>
          </w:p>
          <w:p w14:paraId="5B1807D7">
            <w:pPr>
              <w:adjustRightInd w:val="0"/>
              <w:snapToGrid w:val="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注：在需要电子签章的地方进行电子签章，无需逐页电子签章。</w:t>
            </w:r>
          </w:p>
        </w:tc>
      </w:tr>
      <w:tr w14:paraId="32643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45" w:hRule="atLeast"/>
        </w:trPr>
        <w:tc>
          <w:tcPr>
            <w:tcW w:w="1197" w:type="dxa"/>
            <w:vAlign w:val="center"/>
          </w:tcPr>
          <w:p w14:paraId="73418598">
            <w:pPr>
              <w:adjustRightInd w:val="0"/>
              <w:snapToGrid w:val="0"/>
              <w:spacing w:line="360" w:lineRule="auto"/>
              <w:jc w:val="center"/>
              <w:rPr>
                <w:rFonts w:hint="default" w:ascii="宋体" w:hAnsi="宋体" w:eastAsia="宋体" w:cs="宋体"/>
                <w:color w:val="auto"/>
                <w:sz w:val="24"/>
                <w:szCs w:val="24"/>
                <w:highlight w:val="none"/>
                <w:lang w:val="en-US" w:eastAsia="zh-CN"/>
              </w:rPr>
            </w:pPr>
            <w:bookmarkStart w:id="39" w:name="OLE_LINK37" w:colFirst="0" w:colLast="2"/>
            <w:r>
              <w:rPr>
                <w:rFonts w:hint="eastAsia" w:ascii="宋体" w:hAnsi="宋体" w:cs="宋体"/>
                <w:color w:val="auto"/>
                <w:sz w:val="24"/>
                <w:szCs w:val="24"/>
                <w:highlight w:val="none"/>
                <w:lang w:val="en-US" w:eastAsia="zh-CN"/>
              </w:rPr>
              <w:t>15</w:t>
            </w:r>
          </w:p>
        </w:tc>
        <w:tc>
          <w:tcPr>
            <w:tcW w:w="1701" w:type="dxa"/>
            <w:vAlign w:val="center"/>
          </w:tcPr>
          <w:p w14:paraId="2220F954">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标的名称及所属行业</w:t>
            </w:r>
          </w:p>
        </w:tc>
        <w:tc>
          <w:tcPr>
            <w:tcW w:w="6635" w:type="dxa"/>
            <w:vAlign w:val="center"/>
          </w:tcPr>
          <w:p w14:paraId="122A2FAF">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page">
                        <wp:posOffset>65405</wp:posOffset>
                      </wp:positionH>
                      <wp:positionV relativeFrom="page">
                        <wp:posOffset>280035</wp:posOffset>
                      </wp:positionV>
                      <wp:extent cx="4159250" cy="126682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159250" cy="1266825"/>
                              </a:xfrm>
                              <a:prstGeom prst="rect">
                                <a:avLst/>
                              </a:prstGeom>
                              <a:noFill/>
                              <a:ln>
                                <a:noFill/>
                              </a:ln>
                            </wps:spPr>
                            <wps:txbx>
                              <w:txbxContent>
                                <w:tbl>
                                  <w:tblPr>
                                    <w:tblStyle w:val="48"/>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33"/>
                                    <w:gridCol w:w="2690"/>
                                    <w:gridCol w:w="3112"/>
                                  </w:tblGrid>
                                  <w:tr w14:paraId="30AA0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733" w:type="dxa"/>
                                      </w:tcPr>
                                      <w:p w14:paraId="15D06DBE">
                                        <w:pPr>
                                          <w:pStyle w:val="50"/>
                                          <w:spacing w:before="72"/>
                                          <w:ind w:left="124"/>
                                          <w:rPr>
                                            <w:sz w:val="24"/>
                                          </w:rPr>
                                        </w:pPr>
                                        <w:r>
                                          <w:rPr>
                                            <w:sz w:val="24"/>
                                          </w:rPr>
                                          <w:t>包号</w:t>
                                        </w:r>
                                      </w:p>
                                    </w:tc>
                                    <w:tc>
                                      <w:tcPr>
                                        <w:tcW w:w="2690" w:type="dxa"/>
                                      </w:tcPr>
                                      <w:p w14:paraId="6DABE350">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标的名称</w:t>
                                        </w:r>
                                      </w:p>
                                    </w:tc>
                                    <w:tc>
                                      <w:tcPr>
                                        <w:tcW w:w="3112" w:type="dxa"/>
                                      </w:tcPr>
                                      <w:p w14:paraId="365A7EFF">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中小企业划分标准所属行业</w:t>
                                        </w:r>
                                      </w:p>
                                    </w:tc>
                                  </w:tr>
                                  <w:tr w14:paraId="1BBB8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3" w:hRule="atLeast"/>
                                    </w:trPr>
                                    <w:tc>
                                      <w:tcPr>
                                        <w:tcW w:w="733" w:type="dxa"/>
                                        <w:vAlign w:val="center"/>
                                      </w:tcPr>
                                      <w:p w14:paraId="083807FA">
                                        <w:pPr>
                                          <w:pStyle w:val="50"/>
                                          <w:jc w:val="center"/>
                                          <w:rPr>
                                            <w:highlight w:val="none"/>
                                          </w:rPr>
                                        </w:pPr>
                                        <w:r>
                                          <w:rPr>
                                            <w:rFonts w:hint="eastAsia"/>
                                            <w:highlight w:val="none"/>
                                          </w:rPr>
                                          <w:t>1</w:t>
                                        </w:r>
                                      </w:p>
                                    </w:tc>
                                    <w:tc>
                                      <w:tcPr>
                                        <w:tcW w:w="2690" w:type="dxa"/>
                                        <w:vAlign w:val="center"/>
                                      </w:tcPr>
                                      <w:p w14:paraId="5875F96A">
                                        <w:pPr>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lang w:val="en-US" w:eastAsia="zh-CN"/>
                                          </w:rPr>
                                          <w:t>新街镇坪地营溜溜塘易迁安置点基础设施提升项目</w:t>
                                        </w:r>
                                      </w:p>
                                    </w:tc>
                                    <w:tc>
                                      <w:tcPr>
                                        <w:tcW w:w="3112" w:type="dxa"/>
                                        <w:vAlign w:val="center"/>
                                      </w:tcPr>
                                      <w:p w14:paraId="255D6755">
                                        <w:pPr>
                                          <w:adjustRightInd w:val="0"/>
                                          <w:snapToGrid w:val="0"/>
                                          <w:spacing w:line="360" w:lineRule="auto"/>
                                          <w:jc w:val="center"/>
                                          <w:rPr>
                                            <w:rFonts w:hint="eastAsia" w:ascii="宋体" w:hAnsi="宋体" w:eastAsia="宋体" w:cs="宋体"/>
                                            <w:sz w:val="24"/>
                                            <w:szCs w:val="24"/>
                                            <w:highlight w:val="none"/>
                                            <w:lang w:val="en-US" w:eastAsia="zh-CN"/>
                                          </w:rPr>
                                        </w:pPr>
                                        <w:bookmarkStart w:id="4710" w:name="OLE_LINK4"/>
                                        <w:r>
                                          <w:rPr>
                                            <w:rFonts w:hint="eastAsia" w:ascii="宋体" w:hAnsi="宋体" w:cs="宋体"/>
                                            <w:sz w:val="24"/>
                                            <w:szCs w:val="24"/>
                                            <w:highlight w:val="none"/>
                                            <w:lang w:val="en-US" w:eastAsia="zh-CN"/>
                                          </w:rPr>
                                          <w:t>建筑业</w:t>
                                        </w:r>
                                        <w:bookmarkEnd w:id="4710"/>
                                      </w:p>
                                    </w:tc>
                                  </w:tr>
                                </w:tbl>
                                <w:p w14:paraId="14650F9F">
                                  <w:pPr>
                                    <w:pStyle w:val="9"/>
                                  </w:pPr>
                                </w:p>
                              </w:txbxContent>
                            </wps:txbx>
                            <wps:bodyPr lIns="0" tIns="0" rIns="0" bIns="0" upright="1"/>
                          </wps:wsp>
                        </a:graphicData>
                      </a:graphic>
                    </wp:anchor>
                  </w:drawing>
                </mc:Choice>
                <mc:Fallback>
                  <w:pict>
                    <v:shape id="_x0000_s1026" o:spid="_x0000_s1026" o:spt="202" type="#_x0000_t202" style="position:absolute;left:0pt;margin-left:5.15pt;margin-top:22.05pt;height:99.75pt;width:327.5pt;mso-position-horizontal-relative:page;mso-position-vertical-relative:page;z-index:251662336;mso-width-relative:page;mso-height-relative:page;" filled="f" stroked="f" coordsize="21600,21600" o:gfxdata="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nY7wdtcAAAAJAQAADwAAAAAAAAABACAAAAAiAAAAZHJzL2Rvd25yZXYueG1sUEsBAhQA&#10;FAAAAAgAh07iQAWE2b26AQAAcwMAAA4AAAAAAAAAAQAgAAAAJgEAAGRycy9lMm9Eb2MueG1sUEsF&#10;BgAAAAAGAAYAWQEAAFIFAAAAAA==&#10;">
                      <v:fill on="f" focussize="0,0"/>
                      <v:stroke on="f"/>
                      <v:imagedata o:title=""/>
                      <o:lock v:ext="edit" aspectratio="f"/>
                      <v:textbox inset="0mm,0mm,0mm,0mm">
                        <w:txbxContent>
                          <w:tbl>
                            <w:tblPr>
                              <w:tblStyle w:val="48"/>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33"/>
                              <w:gridCol w:w="2690"/>
                              <w:gridCol w:w="3112"/>
                            </w:tblGrid>
                            <w:tr w14:paraId="30AA0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733" w:type="dxa"/>
                                </w:tcPr>
                                <w:p w14:paraId="15D06DBE">
                                  <w:pPr>
                                    <w:pStyle w:val="50"/>
                                    <w:spacing w:before="72"/>
                                    <w:ind w:left="124"/>
                                    <w:rPr>
                                      <w:sz w:val="24"/>
                                    </w:rPr>
                                  </w:pPr>
                                  <w:r>
                                    <w:rPr>
                                      <w:sz w:val="24"/>
                                    </w:rPr>
                                    <w:t>包号</w:t>
                                  </w:r>
                                </w:p>
                              </w:tc>
                              <w:tc>
                                <w:tcPr>
                                  <w:tcW w:w="2690" w:type="dxa"/>
                                </w:tcPr>
                                <w:p w14:paraId="6DABE350">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标的名称</w:t>
                                  </w:r>
                                </w:p>
                              </w:tc>
                              <w:tc>
                                <w:tcPr>
                                  <w:tcW w:w="3112" w:type="dxa"/>
                                </w:tcPr>
                                <w:p w14:paraId="365A7EFF">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中小企业划分标准所属行业</w:t>
                                  </w:r>
                                </w:p>
                              </w:tc>
                            </w:tr>
                            <w:tr w14:paraId="1BBB8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3" w:hRule="atLeast"/>
                              </w:trPr>
                              <w:tc>
                                <w:tcPr>
                                  <w:tcW w:w="733" w:type="dxa"/>
                                  <w:vAlign w:val="center"/>
                                </w:tcPr>
                                <w:p w14:paraId="083807FA">
                                  <w:pPr>
                                    <w:pStyle w:val="50"/>
                                    <w:jc w:val="center"/>
                                    <w:rPr>
                                      <w:highlight w:val="none"/>
                                    </w:rPr>
                                  </w:pPr>
                                  <w:r>
                                    <w:rPr>
                                      <w:rFonts w:hint="eastAsia"/>
                                      <w:highlight w:val="none"/>
                                    </w:rPr>
                                    <w:t>1</w:t>
                                  </w:r>
                                </w:p>
                              </w:tc>
                              <w:tc>
                                <w:tcPr>
                                  <w:tcW w:w="2690" w:type="dxa"/>
                                  <w:vAlign w:val="center"/>
                                </w:tcPr>
                                <w:p w14:paraId="5875F96A">
                                  <w:pPr>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lang w:val="en-US" w:eastAsia="zh-CN"/>
                                    </w:rPr>
                                    <w:t>新街镇坪地营溜溜塘易迁安置点基础设施提升项目</w:t>
                                  </w:r>
                                </w:p>
                              </w:tc>
                              <w:tc>
                                <w:tcPr>
                                  <w:tcW w:w="3112" w:type="dxa"/>
                                  <w:vAlign w:val="center"/>
                                </w:tcPr>
                                <w:p w14:paraId="255D6755">
                                  <w:pPr>
                                    <w:adjustRightInd w:val="0"/>
                                    <w:snapToGrid w:val="0"/>
                                    <w:spacing w:line="360" w:lineRule="auto"/>
                                    <w:jc w:val="center"/>
                                    <w:rPr>
                                      <w:rFonts w:hint="eastAsia" w:ascii="宋体" w:hAnsi="宋体" w:eastAsia="宋体" w:cs="宋体"/>
                                      <w:sz w:val="24"/>
                                      <w:szCs w:val="24"/>
                                      <w:highlight w:val="none"/>
                                      <w:lang w:val="en-US" w:eastAsia="zh-CN"/>
                                    </w:rPr>
                                  </w:pPr>
                                  <w:bookmarkStart w:id="4710" w:name="OLE_LINK4"/>
                                  <w:r>
                                    <w:rPr>
                                      <w:rFonts w:hint="eastAsia" w:ascii="宋体" w:hAnsi="宋体" w:cs="宋体"/>
                                      <w:sz w:val="24"/>
                                      <w:szCs w:val="24"/>
                                      <w:highlight w:val="none"/>
                                      <w:lang w:val="en-US" w:eastAsia="zh-CN"/>
                                    </w:rPr>
                                    <w:t>建筑业</w:t>
                                  </w:r>
                                  <w:bookmarkEnd w:id="4710"/>
                                </w:p>
                              </w:tc>
                            </w:tr>
                          </w:tbl>
                          <w:p w14:paraId="14650F9F">
                            <w:pPr>
                              <w:pStyle w:val="9"/>
                            </w:pPr>
                          </w:p>
                        </w:txbxContent>
                      </v:textbox>
                    </v:shape>
                  </w:pict>
                </mc:Fallback>
              </mc:AlternateContent>
            </w:r>
            <w:r>
              <w:rPr>
                <w:rFonts w:hint="eastAsia" w:ascii="宋体" w:hAnsi="宋体" w:cs="宋体"/>
                <w:color w:val="auto"/>
                <w:sz w:val="24"/>
                <w:szCs w:val="24"/>
                <w:highlight w:val="none"/>
              </w:rPr>
              <w:t>本项目采购标的对应的中小企业划分标准所属行业：</w:t>
            </w:r>
          </w:p>
        </w:tc>
      </w:tr>
      <w:tr w14:paraId="5CD12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1197" w:type="dxa"/>
            <w:vAlign w:val="center"/>
          </w:tcPr>
          <w:p w14:paraId="385EE815">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16</w:t>
            </w:r>
          </w:p>
        </w:tc>
        <w:tc>
          <w:tcPr>
            <w:tcW w:w="1701" w:type="dxa"/>
            <w:vAlign w:val="center"/>
          </w:tcPr>
          <w:p w14:paraId="2A886813">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报价</w:t>
            </w:r>
          </w:p>
        </w:tc>
        <w:tc>
          <w:tcPr>
            <w:tcW w:w="6635" w:type="dxa"/>
            <w:vAlign w:val="center"/>
          </w:tcPr>
          <w:p w14:paraId="5266E0A8">
            <w:pPr>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本项目为工程量清单的方式进行报价，采用</w:t>
            </w:r>
            <w:r>
              <w:rPr>
                <w:rFonts w:hint="eastAsia" w:ascii="宋体" w:hAnsi="宋体" w:eastAsia="宋体" w:cs="宋体"/>
                <w:color w:val="auto"/>
                <w:sz w:val="24"/>
                <w:szCs w:val="24"/>
                <w:highlight w:val="none"/>
              </w:rPr>
              <w:t>全费用总价报价，最终填报暂定总价</w:t>
            </w:r>
            <w:r>
              <w:rPr>
                <w:rFonts w:hint="eastAsia" w:ascii="宋体" w:hAnsi="宋体" w:eastAsia="宋体" w:cs="宋体"/>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总价仅作为评标价，不作为最终结算价，结算以已标价工程量清单中单价进行据实结算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tc>
      </w:tr>
      <w:tr w14:paraId="06D8B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atLeast"/>
        </w:trPr>
        <w:tc>
          <w:tcPr>
            <w:tcW w:w="1197" w:type="dxa"/>
            <w:vAlign w:val="center"/>
          </w:tcPr>
          <w:p w14:paraId="63A2FF7F">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17</w:t>
            </w:r>
          </w:p>
        </w:tc>
        <w:tc>
          <w:tcPr>
            <w:tcW w:w="1701" w:type="dxa"/>
            <w:vAlign w:val="center"/>
          </w:tcPr>
          <w:p w14:paraId="1766C5EC">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控制价</w:t>
            </w:r>
          </w:p>
        </w:tc>
        <w:tc>
          <w:tcPr>
            <w:tcW w:w="6635" w:type="dxa"/>
            <w:vAlign w:val="center"/>
          </w:tcPr>
          <w:p w14:paraId="2AA4534C">
            <w:pPr>
              <w:keepNext w:val="0"/>
              <w:keepLines w:val="0"/>
              <w:widowControl/>
              <w:suppressLineNumbers w:val="0"/>
              <w:jc w:val="left"/>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rPr>
              <w:t>¥：</w:t>
            </w:r>
            <w:r>
              <w:rPr>
                <w:rFonts w:hint="eastAsia" w:ascii="宋体" w:hAnsi="宋体" w:cs="宋体"/>
                <w:color w:val="auto"/>
                <w:kern w:val="2"/>
                <w:sz w:val="24"/>
                <w:szCs w:val="21"/>
                <w:highlight w:val="none"/>
                <w:lang w:val="en-US" w:eastAsia="zh-CN" w:bidi="zh-CN"/>
              </w:rPr>
              <w:t>540084.80</w:t>
            </w:r>
            <w:r>
              <w:rPr>
                <w:rFonts w:hint="eastAsia" w:ascii="宋体" w:hAnsi="宋体" w:eastAsia="宋体" w:cs="宋体"/>
                <w:b w:val="0"/>
                <w:bCs/>
                <w:color w:val="auto"/>
                <w:kern w:val="2"/>
                <w:sz w:val="24"/>
                <w:szCs w:val="24"/>
                <w:highlight w:val="none"/>
                <w:lang w:val="en-US" w:eastAsia="zh-CN"/>
              </w:rPr>
              <w:t>元</w:t>
            </w:r>
            <w:r>
              <w:rPr>
                <w:rFonts w:hint="eastAsia" w:ascii="宋体" w:hAnsi="宋体" w:eastAsia="宋体" w:cs="宋体"/>
                <w:b w:val="0"/>
                <w:bCs/>
                <w:color w:val="auto"/>
                <w:sz w:val="24"/>
                <w:szCs w:val="24"/>
                <w:highlight w:val="none"/>
                <w:lang w:val="en-US" w:eastAsia="zh-CN"/>
              </w:rPr>
              <w:t>，大写：</w:t>
            </w:r>
            <w:r>
              <w:rPr>
                <w:rFonts w:hint="eastAsia" w:ascii="宋体" w:hAnsi="宋体" w:cs="宋体"/>
                <w:b w:val="0"/>
                <w:bCs/>
                <w:color w:val="auto"/>
                <w:sz w:val="24"/>
                <w:szCs w:val="24"/>
                <w:highlight w:val="none"/>
                <w:lang w:val="en-US" w:eastAsia="zh-CN"/>
              </w:rPr>
              <w:t>伍拾肆万零捌拾肆元捌角整</w:t>
            </w:r>
            <w:r>
              <w:rPr>
                <w:rFonts w:hint="eastAsia" w:ascii="宋体" w:hAnsi="宋体" w:eastAsia="宋体" w:cs="宋体"/>
                <w:b/>
                <w:bCs/>
                <w:color w:val="auto"/>
                <w:kern w:val="0"/>
                <w:sz w:val="24"/>
                <w:szCs w:val="24"/>
                <w:highlight w:val="none"/>
                <w:lang w:val="en-US" w:eastAsia="zh-CN" w:bidi="ar"/>
              </w:rPr>
              <w:t>。</w:t>
            </w:r>
          </w:p>
          <w:p w14:paraId="36F69F2C">
            <w:pPr>
              <w:pStyle w:val="9"/>
              <w:rPr>
                <w:rFonts w:hint="eastAsia"/>
                <w:color w:val="auto"/>
                <w:highlight w:val="none"/>
                <w:lang w:val="en-US" w:eastAsia="zh-CN"/>
              </w:rPr>
            </w:pPr>
          </w:p>
          <w:p w14:paraId="58CC02D0">
            <w:pPr>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rPr>
              <w:t>供应商报价不得超过本项目最高限价，否则响应文件按无效处理。</w:t>
            </w:r>
          </w:p>
        </w:tc>
      </w:tr>
      <w:bookmarkEnd w:id="39"/>
      <w:tr w14:paraId="320BD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197" w:type="dxa"/>
            <w:vAlign w:val="center"/>
          </w:tcPr>
          <w:p w14:paraId="0FE284B6">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18</w:t>
            </w:r>
          </w:p>
        </w:tc>
        <w:tc>
          <w:tcPr>
            <w:tcW w:w="1701" w:type="dxa"/>
            <w:vMerge w:val="restart"/>
            <w:vAlign w:val="center"/>
          </w:tcPr>
          <w:p w14:paraId="27A26235">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磋商保证金</w:t>
            </w:r>
          </w:p>
        </w:tc>
        <w:tc>
          <w:tcPr>
            <w:tcW w:w="6635" w:type="dxa"/>
            <w:tcBorders>
              <w:bottom w:val="single" w:color="auto" w:sz="4" w:space="0"/>
            </w:tcBorders>
            <w:vAlign w:val="center"/>
          </w:tcPr>
          <w:p w14:paraId="2E3F3C9A">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一、</w:t>
            </w:r>
            <w:r>
              <w:rPr>
                <w:rFonts w:hint="eastAsia" w:ascii="宋体" w:hAnsi="宋体" w:cs="宋体"/>
                <w:color w:val="auto"/>
                <w:sz w:val="24"/>
                <w:szCs w:val="24"/>
                <w:highlight w:val="none"/>
                <w:lang w:val="zh-TW" w:eastAsia="zh-TW"/>
              </w:rPr>
              <w:t>保证金的提交方式：支票、汇票、本票、</w:t>
            </w:r>
            <w:r>
              <w:rPr>
                <w:rFonts w:hint="eastAsia" w:ascii="宋体" w:hAnsi="宋体" w:cs="宋体"/>
                <w:color w:val="auto"/>
                <w:sz w:val="24"/>
                <w:szCs w:val="24"/>
                <w:highlight w:val="none"/>
              </w:rPr>
              <w:t>银行</w:t>
            </w:r>
            <w:r>
              <w:rPr>
                <w:rFonts w:hint="eastAsia" w:ascii="宋体" w:hAnsi="宋体" w:cs="宋体"/>
                <w:color w:val="auto"/>
                <w:sz w:val="24"/>
                <w:szCs w:val="24"/>
                <w:highlight w:val="none"/>
                <w:lang w:val="zh-TW" w:eastAsia="zh-TW"/>
              </w:rPr>
              <w:t>保函、</w:t>
            </w:r>
            <w:r>
              <w:rPr>
                <w:rFonts w:hint="eastAsia" w:ascii="宋体" w:hAnsi="宋体" w:cs="宋体"/>
                <w:color w:val="auto"/>
                <w:sz w:val="24"/>
                <w:szCs w:val="24"/>
                <w:highlight w:val="none"/>
              </w:rPr>
              <w:t>保证保险、</w:t>
            </w:r>
            <w:r>
              <w:rPr>
                <w:rFonts w:hint="eastAsia" w:ascii="宋体" w:hAnsi="宋体" w:cs="宋体"/>
                <w:color w:val="auto"/>
                <w:sz w:val="24"/>
                <w:szCs w:val="24"/>
                <w:highlight w:val="none"/>
                <w:lang w:val="zh-TW" w:eastAsia="zh-TW"/>
              </w:rPr>
              <w:t>银行转账</w:t>
            </w:r>
            <w:r>
              <w:rPr>
                <w:rFonts w:hint="eastAsia" w:ascii="宋体" w:hAnsi="宋体" w:cs="宋体"/>
                <w:color w:val="auto"/>
                <w:sz w:val="24"/>
                <w:szCs w:val="24"/>
                <w:highlight w:val="none"/>
              </w:rPr>
              <w:t>等非现金形式，银行转账必须从本单位基本账户转出。</w:t>
            </w:r>
          </w:p>
          <w:p w14:paraId="778C0899">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二、各供应商磋商保证金采用银行转账的必须从其公司基本账户以转账的方式缴存，必须在交纳截止时间前到账，交纳截止时间为</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6</w:t>
            </w:r>
            <w:r>
              <w:rPr>
                <w:rFonts w:hint="eastAsia" w:ascii="宋体" w:hAnsi="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6</w:t>
            </w:r>
            <w:r>
              <w:rPr>
                <w:rFonts w:hint="eastAsia" w:ascii="宋体" w:hAnsi="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12</w:t>
            </w:r>
            <w:r>
              <w:rPr>
                <w:rFonts w:hint="eastAsia" w:ascii="宋体" w:hAnsi="宋体" w:cs="宋体"/>
                <w:color w:val="auto"/>
                <w:sz w:val="24"/>
                <w:szCs w:val="24"/>
                <w:highlight w:val="none"/>
                <w:u w:val="single"/>
              </w:rPr>
              <w:t>日</w:t>
            </w:r>
            <w:r>
              <w:rPr>
                <w:rFonts w:hint="eastAsia" w:ascii="宋体" w:hAnsi="宋体" w:cs="宋体"/>
                <w:color w:val="auto"/>
                <w:sz w:val="24"/>
                <w:szCs w:val="24"/>
                <w:highlight w:val="none"/>
                <w:u w:val="single"/>
                <w:lang w:val="en-US" w:eastAsia="zh-CN"/>
              </w:rPr>
              <w:t>09</w:t>
            </w:r>
            <w:r>
              <w:rPr>
                <w:rFonts w:hint="eastAsia" w:ascii="宋体" w:hAnsi="宋体" w:cs="宋体"/>
                <w:color w:val="auto"/>
                <w:sz w:val="24"/>
                <w:szCs w:val="24"/>
                <w:highlight w:val="none"/>
                <w:u w:val="single"/>
              </w:rPr>
              <w:t>:30</w:t>
            </w:r>
            <w:r>
              <w:rPr>
                <w:rFonts w:hint="eastAsia" w:ascii="宋体" w:hAnsi="宋体" w:cs="宋体"/>
                <w:color w:val="auto"/>
                <w:sz w:val="24"/>
                <w:szCs w:val="24"/>
                <w:highlight w:val="none"/>
              </w:rPr>
              <w:t>时。磋商保证金交纳信息如下：</w:t>
            </w:r>
          </w:p>
          <w:p w14:paraId="27E31E82">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账户名称：云南集诚建设工程招标代理有限公司</w:t>
            </w:r>
          </w:p>
          <w:p w14:paraId="17D6470F">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开 户 行：中国建设银行股份有限公司昭通昭阳支行</w:t>
            </w:r>
          </w:p>
          <w:p w14:paraId="3FF52338">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账    号：53050163613600000372</w:t>
            </w:r>
          </w:p>
          <w:p w14:paraId="5EBAD9BE">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磋商保证金金额：</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000.00元</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大写：贰仟元整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14:paraId="72F284AD">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备注：各供应商缴存保证金，备注需填写</w:t>
            </w:r>
            <w:r>
              <w:rPr>
                <w:rFonts w:hint="eastAsia" w:ascii="宋体" w:hAnsi="宋体" w:cs="宋体"/>
                <w:color w:val="auto"/>
                <w:sz w:val="24"/>
                <w:szCs w:val="24"/>
                <w:highlight w:val="none"/>
                <w:lang w:val="en-US" w:eastAsia="zh-CN"/>
              </w:rPr>
              <w:t>项目</w:t>
            </w:r>
            <w:r>
              <w:rPr>
                <w:rFonts w:hint="eastAsia" w:ascii="宋体" w:hAnsi="宋体" w:cs="宋体"/>
                <w:color w:val="auto"/>
                <w:sz w:val="24"/>
                <w:szCs w:val="24"/>
                <w:highlight w:val="none"/>
              </w:rPr>
              <w:t>名称或</w:t>
            </w:r>
            <w:r>
              <w:rPr>
                <w:rFonts w:hint="eastAsia" w:ascii="宋体" w:hAnsi="宋体" w:cs="宋体"/>
                <w:color w:val="auto"/>
                <w:sz w:val="24"/>
                <w:szCs w:val="24"/>
                <w:highlight w:val="none"/>
                <w:lang w:val="en-US" w:eastAsia="zh-CN"/>
              </w:rPr>
              <w:t>项目</w:t>
            </w:r>
            <w:r>
              <w:rPr>
                <w:rFonts w:hint="eastAsia" w:ascii="宋体" w:hAnsi="宋体" w:cs="宋体"/>
                <w:color w:val="auto"/>
                <w:sz w:val="24"/>
                <w:szCs w:val="24"/>
                <w:highlight w:val="none"/>
              </w:rPr>
              <w:t>编号并严格按规定</w:t>
            </w:r>
            <w:r>
              <w:rPr>
                <w:rFonts w:hint="eastAsia" w:ascii="宋体" w:hAnsi="宋体" w:cs="宋体"/>
                <w:color w:val="auto"/>
                <w:sz w:val="24"/>
                <w:szCs w:val="24"/>
                <w:highlight w:val="none"/>
                <w:lang w:val="en-US" w:eastAsia="zh-CN"/>
              </w:rPr>
              <w:t>缴纳</w:t>
            </w:r>
            <w:r>
              <w:rPr>
                <w:rFonts w:hint="eastAsia" w:ascii="宋体" w:hAnsi="宋体" w:cs="宋体"/>
                <w:color w:val="auto"/>
                <w:sz w:val="24"/>
                <w:szCs w:val="24"/>
                <w:highlight w:val="none"/>
              </w:rPr>
              <w:t>磋商保证金，响应文件中装订各供应商转账回执（如因供应商原因未按规定交</w:t>
            </w:r>
            <w:r>
              <w:rPr>
                <w:rFonts w:hint="eastAsia" w:ascii="宋体" w:hAnsi="宋体" w:cs="宋体"/>
                <w:color w:val="auto"/>
                <w:sz w:val="24"/>
                <w:szCs w:val="24"/>
                <w:highlight w:val="none"/>
                <w:lang w:val="en-US" w:eastAsia="zh-CN"/>
              </w:rPr>
              <w:t>缴</w:t>
            </w:r>
            <w:r>
              <w:rPr>
                <w:rFonts w:hint="eastAsia" w:ascii="宋体" w:hAnsi="宋体" w:cs="宋体"/>
                <w:color w:val="auto"/>
                <w:sz w:val="24"/>
                <w:szCs w:val="24"/>
                <w:highlight w:val="none"/>
              </w:rPr>
              <w:t>纳磋商保证金导致磋商无效，责任自负）。</w:t>
            </w:r>
          </w:p>
          <w:p w14:paraId="4BE66B5C">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三、磋商保证金退还：</w:t>
            </w:r>
          </w:p>
          <w:p w14:paraId="6B22DCE9">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成交供应商</w:t>
            </w:r>
            <w:r>
              <w:rPr>
                <w:rFonts w:hint="eastAsia" w:ascii="宋体" w:hAnsi="宋体" w:eastAsia="宋体" w:cs="宋体"/>
                <w:color w:val="auto"/>
                <w:sz w:val="24"/>
                <w:szCs w:val="24"/>
                <w:highlight w:val="none"/>
              </w:rPr>
              <w:t>的保证金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应当在采购合同签订后</w:t>
            </w:r>
            <w:r>
              <w:rPr>
                <w:rFonts w:hint="eastAsia" w:ascii="宋体" w:hAnsi="宋体" w:cs="宋体"/>
                <w:color w:val="auto"/>
                <w:sz w:val="24"/>
                <w:szCs w:val="24"/>
                <w:highlight w:val="none"/>
                <w:lang w:val="en-US" w:eastAsia="zh-CN"/>
              </w:rPr>
              <w:t>五</w:t>
            </w:r>
            <w:r>
              <w:rPr>
                <w:rFonts w:hint="eastAsia" w:ascii="宋体" w:hAnsi="宋体" w:eastAsia="宋体" w:cs="宋体"/>
                <w:color w:val="auto"/>
                <w:sz w:val="24"/>
                <w:szCs w:val="24"/>
                <w:highlight w:val="none"/>
                <w:lang w:val="en-US" w:eastAsia="zh-CN"/>
              </w:rPr>
              <w:t>个工作日内退还</w:t>
            </w:r>
          </w:p>
          <w:p w14:paraId="1213FF3E">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未</w:t>
            </w:r>
            <w:r>
              <w:rPr>
                <w:rFonts w:hint="eastAsia" w:ascii="宋体" w:hAnsi="宋体" w:cs="宋体"/>
                <w:color w:val="auto"/>
                <w:sz w:val="24"/>
                <w:szCs w:val="24"/>
                <w:highlight w:val="none"/>
                <w:lang w:eastAsia="zh-CN"/>
              </w:rPr>
              <w:t>成交供应商</w:t>
            </w:r>
            <w:r>
              <w:rPr>
                <w:rFonts w:hint="eastAsia" w:ascii="宋体" w:hAnsi="宋体" w:eastAsia="宋体" w:cs="宋体"/>
                <w:color w:val="auto"/>
                <w:sz w:val="24"/>
                <w:szCs w:val="24"/>
                <w:highlight w:val="none"/>
              </w:rPr>
              <w:t>的保证金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在</w:t>
            </w:r>
            <w:r>
              <w:rPr>
                <w:rFonts w:hint="eastAsia" w:ascii="宋体" w:hAnsi="宋体" w:cs="宋体"/>
                <w:color w:val="auto"/>
                <w:sz w:val="24"/>
                <w:szCs w:val="24"/>
                <w:highlight w:val="none"/>
                <w:lang w:val="en-US" w:eastAsia="zh-CN"/>
              </w:rPr>
              <w:t>成交通知书发放后</w:t>
            </w:r>
            <w:r>
              <w:rPr>
                <w:rFonts w:hint="eastAsia" w:ascii="宋体" w:hAnsi="宋体" w:eastAsia="宋体" w:cs="宋体"/>
                <w:color w:val="auto"/>
                <w:sz w:val="24"/>
                <w:szCs w:val="24"/>
                <w:highlight w:val="none"/>
              </w:rPr>
              <w:t>五个工作日内退还。</w:t>
            </w:r>
          </w:p>
          <w:p w14:paraId="25E4FD21">
            <w:pPr>
              <w:adjustRightInd w:val="0"/>
              <w:snapToGrid w:val="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招标失败或取消招标的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在流标公示结束后五个工作日内退还。</w:t>
            </w:r>
            <w:r>
              <w:rPr>
                <w:rFonts w:hint="eastAsia" w:ascii="宋体" w:hAnsi="宋体" w:cs="宋体"/>
                <w:color w:val="auto"/>
                <w:sz w:val="24"/>
                <w:szCs w:val="24"/>
                <w:highlight w:val="none"/>
              </w:rPr>
              <w:t>。</w:t>
            </w:r>
          </w:p>
        </w:tc>
      </w:tr>
      <w:tr w14:paraId="2CDBF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1197" w:type="dxa"/>
            <w:vAlign w:val="center"/>
          </w:tcPr>
          <w:p w14:paraId="2C6BE65F">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18.1</w:t>
            </w:r>
          </w:p>
        </w:tc>
        <w:tc>
          <w:tcPr>
            <w:tcW w:w="1701" w:type="dxa"/>
            <w:vMerge w:val="continue"/>
            <w:tcBorders>
              <w:top w:val="nil"/>
              <w:right w:val="single" w:color="auto" w:sz="4" w:space="0"/>
            </w:tcBorders>
            <w:vAlign w:val="center"/>
          </w:tcPr>
          <w:p w14:paraId="27EC7EED">
            <w:pPr>
              <w:adjustRightInd w:val="0"/>
              <w:snapToGrid w:val="0"/>
              <w:spacing w:line="360" w:lineRule="auto"/>
              <w:jc w:val="center"/>
              <w:rPr>
                <w:rFonts w:hint="eastAsia" w:ascii="宋体" w:hAnsi="宋体" w:cs="宋体"/>
                <w:color w:val="auto"/>
                <w:sz w:val="24"/>
                <w:szCs w:val="24"/>
                <w:highlight w:val="none"/>
              </w:rPr>
            </w:pPr>
          </w:p>
        </w:tc>
        <w:tc>
          <w:tcPr>
            <w:tcW w:w="6635" w:type="dxa"/>
            <w:tcBorders>
              <w:top w:val="single" w:color="auto" w:sz="4" w:space="0"/>
              <w:left w:val="single" w:color="auto" w:sz="4" w:space="0"/>
              <w:bottom w:val="single" w:color="auto" w:sz="4" w:space="0"/>
              <w:right w:val="single" w:color="auto" w:sz="4" w:space="0"/>
            </w:tcBorders>
            <w:vAlign w:val="center"/>
          </w:tcPr>
          <w:p w14:paraId="7E33BFF1">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磋商保证金不予退还的其他情形：</w:t>
            </w:r>
          </w:p>
          <w:p w14:paraId="00927400">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□无</w:t>
            </w:r>
          </w:p>
          <w:p w14:paraId="514DE2B6">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☑有，具体情形：供应商出现下列响应保证金不予退还情形的，采购人或者采购代理机构将向本级财政部门报告有关情况，并建议将其列入政府采购不良行为记录名单：</w:t>
            </w:r>
          </w:p>
          <w:p w14:paraId="0D80AC30">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（1）供应商在响应文件提交截止时间后撤回响应文件的；</w:t>
            </w:r>
          </w:p>
          <w:p w14:paraId="40F2811E">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（2）供应商在响应文件中提供虚假材料的；</w:t>
            </w:r>
          </w:p>
          <w:p w14:paraId="54D88D20">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（3）除因不可抗力或采购文件认可的情形以外，</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人不与采购人签订合同的；</w:t>
            </w:r>
          </w:p>
          <w:p w14:paraId="6B8CF445">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（4）供应商与采购人、其他供应商或者采购代理机构恶意串通的；</w:t>
            </w:r>
          </w:p>
          <w:p w14:paraId="3EEDB988">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（5）采购文件规定的其他情形。</w:t>
            </w:r>
          </w:p>
          <w:p w14:paraId="5ED1E81F">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（6）财务室联系人及联系电话：0870-2125225。</w:t>
            </w:r>
          </w:p>
        </w:tc>
      </w:tr>
      <w:tr w14:paraId="4EFDD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97" w:type="dxa"/>
            <w:vAlign w:val="center"/>
          </w:tcPr>
          <w:p w14:paraId="17BA96CC">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19</w:t>
            </w:r>
          </w:p>
        </w:tc>
        <w:tc>
          <w:tcPr>
            <w:tcW w:w="1701" w:type="dxa"/>
            <w:vAlign w:val="center"/>
          </w:tcPr>
          <w:p w14:paraId="6605F12A">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响应有效期</w:t>
            </w:r>
          </w:p>
        </w:tc>
        <w:tc>
          <w:tcPr>
            <w:tcW w:w="6635" w:type="dxa"/>
            <w:tcBorders>
              <w:top w:val="single" w:color="auto" w:sz="4" w:space="0"/>
            </w:tcBorders>
            <w:vAlign w:val="center"/>
          </w:tcPr>
          <w:p w14:paraId="0CA8F742">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自响应文件提交截止之日起</w:t>
            </w:r>
            <w:r>
              <w:rPr>
                <w:rFonts w:hint="eastAsia" w:ascii="宋体" w:hAnsi="宋体" w:cs="宋体"/>
                <w:color w:val="auto"/>
                <w:sz w:val="24"/>
                <w:szCs w:val="24"/>
                <w:highlight w:val="none"/>
                <w:lang w:val="en-US" w:eastAsia="zh-CN"/>
              </w:rPr>
              <w:t>算</w:t>
            </w:r>
            <w:r>
              <w:rPr>
                <w:rFonts w:hint="eastAsia" w:ascii="宋体" w:hAnsi="宋体" w:cs="宋体"/>
                <w:color w:val="auto"/>
                <w:sz w:val="24"/>
                <w:szCs w:val="24"/>
                <w:highlight w:val="none"/>
              </w:rPr>
              <w:t xml:space="preserve"> 90日历天。</w:t>
            </w:r>
          </w:p>
        </w:tc>
      </w:tr>
      <w:tr w14:paraId="6547D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97" w:type="dxa"/>
            <w:vAlign w:val="center"/>
          </w:tcPr>
          <w:p w14:paraId="2455C1AA">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w:t>
            </w:r>
          </w:p>
        </w:tc>
        <w:tc>
          <w:tcPr>
            <w:tcW w:w="1701" w:type="dxa"/>
            <w:vAlign w:val="center"/>
          </w:tcPr>
          <w:p w14:paraId="33F85A3F">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响应文件的签署、盖章</w:t>
            </w:r>
          </w:p>
        </w:tc>
        <w:tc>
          <w:tcPr>
            <w:tcW w:w="6635" w:type="dxa"/>
            <w:vAlign w:val="center"/>
          </w:tcPr>
          <w:p w14:paraId="25C8A65C">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响应文件的签盖章的其他要求：</w:t>
            </w:r>
          </w:p>
          <w:p w14:paraId="2F6BF15A">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□无</w:t>
            </w:r>
          </w:p>
          <w:p w14:paraId="07D65300">
            <w:pPr>
              <w:adjustRightInd w:val="0"/>
              <w:snapToGrid w:val="0"/>
              <w:spacing w:after="0"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☑有，具体要求：</w:t>
            </w:r>
            <w:r>
              <w:rPr>
                <w:rFonts w:hint="eastAsia" w:ascii="宋体" w:hAnsi="宋体" w:cs="宋体"/>
                <w:bCs/>
                <w:color w:val="auto"/>
                <w:sz w:val="24"/>
                <w:szCs w:val="24"/>
                <w:highlight w:val="none"/>
                <w:lang w:val="en-US" w:eastAsia="zh-CN"/>
              </w:rPr>
              <w:t>响应</w:t>
            </w:r>
            <w:r>
              <w:rPr>
                <w:rFonts w:hint="eastAsia" w:ascii="宋体" w:hAnsi="宋体" w:cs="宋体"/>
                <w:bCs/>
                <w:color w:val="auto"/>
                <w:sz w:val="24"/>
                <w:szCs w:val="24"/>
                <w:highlight w:val="none"/>
              </w:rPr>
              <w:t>文件应按</w:t>
            </w:r>
            <w:r>
              <w:rPr>
                <w:rFonts w:hint="eastAsia" w:ascii="宋体" w:hAnsi="宋体" w:cs="宋体"/>
                <w:bCs/>
                <w:color w:val="auto"/>
                <w:sz w:val="24"/>
                <w:szCs w:val="24"/>
                <w:highlight w:val="none"/>
                <w:lang w:val="en-US" w:eastAsia="zh-CN"/>
              </w:rPr>
              <w:t>竞争性磋商</w:t>
            </w:r>
            <w:r>
              <w:rPr>
                <w:rFonts w:hint="eastAsia" w:ascii="宋体" w:hAnsi="宋体" w:cs="宋体"/>
                <w:bCs/>
                <w:color w:val="auto"/>
                <w:sz w:val="24"/>
                <w:szCs w:val="24"/>
                <w:highlight w:val="none"/>
              </w:rPr>
              <w:t>文件格式部分要求，应加盖</w:t>
            </w:r>
            <w:r>
              <w:rPr>
                <w:rFonts w:hint="eastAsia" w:ascii="宋体" w:hAnsi="宋体" w:cs="宋体"/>
                <w:bCs/>
                <w:color w:val="auto"/>
                <w:sz w:val="24"/>
                <w:szCs w:val="24"/>
                <w:highlight w:val="none"/>
                <w:lang w:val="en-US" w:eastAsia="zh-CN"/>
              </w:rPr>
              <w:t>供应商</w:t>
            </w:r>
            <w:r>
              <w:rPr>
                <w:rFonts w:hint="eastAsia" w:ascii="宋体" w:hAnsi="宋体" w:cs="宋体"/>
                <w:bCs/>
                <w:color w:val="auto"/>
                <w:sz w:val="24"/>
                <w:szCs w:val="24"/>
                <w:highlight w:val="none"/>
              </w:rPr>
              <w:t>电子签章或法定代表人</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或</w:t>
            </w:r>
            <w:r>
              <w:rPr>
                <w:rFonts w:hint="eastAsia" w:ascii="宋体" w:hAnsi="宋体" w:cs="宋体"/>
                <w:bCs/>
                <w:color w:val="auto"/>
                <w:sz w:val="24"/>
                <w:szCs w:val="24"/>
                <w:highlight w:val="none"/>
              </w:rPr>
              <w:t>负责人</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电子签章。由委托代理人电子签章的在</w:t>
            </w:r>
            <w:r>
              <w:rPr>
                <w:rFonts w:hint="eastAsia" w:ascii="宋体" w:hAnsi="宋体" w:cs="宋体"/>
                <w:bCs/>
                <w:color w:val="auto"/>
                <w:sz w:val="24"/>
                <w:szCs w:val="24"/>
                <w:highlight w:val="none"/>
                <w:lang w:val="en-US" w:eastAsia="zh-CN"/>
              </w:rPr>
              <w:t>响应</w:t>
            </w:r>
            <w:r>
              <w:rPr>
                <w:rFonts w:hint="eastAsia" w:ascii="宋体" w:hAnsi="宋体" w:cs="宋体"/>
                <w:bCs/>
                <w:color w:val="auto"/>
                <w:sz w:val="24"/>
                <w:szCs w:val="24"/>
                <w:highlight w:val="none"/>
              </w:rPr>
              <w:t>文件中须同时提交授权委托书。授权委托书格式、签字、电子签章及内容均应符合要求，否则授权委托书无效。</w:t>
            </w:r>
          </w:p>
          <w:p w14:paraId="5A7F7352">
            <w:pPr>
              <w:adjustRightInd w:val="0"/>
              <w:snapToGrid w:val="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注：在需要电子签章的地方进行电子签章，无需逐页电子签章。</w:t>
            </w:r>
          </w:p>
        </w:tc>
      </w:tr>
      <w:tr w14:paraId="0719F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197" w:type="dxa"/>
            <w:vAlign w:val="center"/>
          </w:tcPr>
          <w:p w14:paraId="35FA9A06">
            <w:pPr>
              <w:adjustRightInd w:val="0"/>
              <w:snapToGrid w:val="0"/>
              <w:spacing w:line="360" w:lineRule="auto"/>
              <w:jc w:val="center"/>
              <w:rPr>
                <w:rFonts w:hint="eastAsia" w:ascii="宋体" w:hAnsi="宋体" w:cs="宋体"/>
                <w:color w:val="auto"/>
                <w:sz w:val="24"/>
                <w:szCs w:val="24"/>
                <w:highlight w:val="none"/>
              </w:rPr>
            </w:pPr>
          </w:p>
          <w:p w14:paraId="09011304">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21</w:t>
            </w:r>
          </w:p>
        </w:tc>
        <w:tc>
          <w:tcPr>
            <w:tcW w:w="1701" w:type="dxa"/>
            <w:vAlign w:val="center"/>
          </w:tcPr>
          <w:p w14:paraId="1DC5F0F4">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确定</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w:t>
            </w:r>
          </w:p>
          <w:p w14:paraId="3D24E871">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应商</w:t>
            </w:r>
          </w:p>
        </w:tc>
        <w:tc>
          <w:tcPr>
            <w:tcW w:w="6635" w:type="dxa"/>
            <w:vAlign w:val="center"/>
          </w:tcPr>
          <w:p w14:paraId="17A2DA8D">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采购人是否授权磋商小组直接确定</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w:t>
            </w:r>
          </w:p>
          <w:p w14:paraId="7B895D19">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□否</w:t>
            </w:r>
          </w:p>
          <w:p w14:paraId="6698DA99">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☑是</w:t>
            </w:r>
          </w:p>
          <w:p w14:paraId="0F57F171">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候选人并列的，</w:t>
            </w:r>
            <w:r>
              <w:rPr>
                <w:rFonts w:hint="eastAsia" w:ascii="宋体" w:hAnsi="宋体" w:cs="宋体"/>
                <w:color w:val="auto"/>
                <w:sz w:val="24"/>
                <w:szCs w:val="24"/>
                <w:highlight w:val="none"/>
                <w:u w:val="single"/>
              </w:rPr>
              <w:t>按照以下方式确定</w:t>
            </w:r>
            <w:r>
              <w:rPr>
                <w:rFonts w:hint="eastAsia" w:ascii="宋体" w:hAnsi="宋体" w:cs="宋体"/>
                <w:color w:val="auto"/>
                <w:sz w:val="24"/>
                <w:szCs w:val="24"/>
                <w:highlight w:val="none"/>
                <w:u w:val="single"/>
                <w:lang w:val="en-US" w:eastAsia="zh-CN"/>
              </w:rPr>
              <w:t>成交</w:t>
            </w:r>
            <w:r>
              <w:rPr>
                <w:rFonts w:hint="eastAsia" w:ascii="宋体" w:hAnsi="宋体" w:cs="宋体"/>
                <w:color w:val="auto"/>
                <w:sz w:val="24"/>
                <w:szCs w:val="24"/>
                <w:highlight w:val="none"/>
                <w:u w:val="single"/>
              </w:rPr>
              <w:t>供应商：按技术部分评分高优先、若技术得分一致的，按商务部分得分由高到低推荐</w:t>
            </w:r>
            <w:r>
              <w:rPr>
                <w:rFonts w:hint="eastAsia" w:ascii="宋体" w:hAnsi="宋体" w:cs="宋体"/>
                <w:color w:val="auto"/>
                <w:sz w:val="24"/>
                <w:szCs w:val="24"/>
                <w:highlight w:val="none"/>
              </w:rPr>
              <w:t>。</w:t>
            </w:r>
          </w:p>
        </w:tc>
      </w:tr>
      <w:tr w14:paraId="7743B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97" w:type="dxa"/>
            <w:vAlign w:val="center"/>
          </w:tcPr>
          <w:p w14:paraId="4766D8C4">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22</w:t>
            </w:r>
          </w:p>
        </w:tc>
        <w:tc>
          <w:tcPr>
            <w:tcW w:w="1701" w:type="dxa"/>
            <w:vAlign w:val="center"/>
          </w:tcPr>
          <w:p w14:paraId="38681843">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分包</w:t>
            </w:r>
          </w:p>
        </w:tc>
        <w:tc>
          <w:tcPr>
            <w:tcW w:w="6635" w:type="dxa"/>
            <w:vAlign w:val="center"/>
          </w:tcPr>
          <w:p w14:paraId="4D081E53">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本项目是否允许分包：</w:t>
            </w:r>
          </w:p>
          <w:p w14:paraId="6FE12B26">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☑不允许</w:t>
            </w:r>
          </w:p>
          <w:p w14:paraId="689E2492">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□允许，具体要求： </w:t>
            </w:r>
            <w:r>
              <w:rPr>
                <w:rFonts w:hint="eastAsia" w:ascii="宋体" w:hAnsi="宋体" w:cs="宋体"/>
                <w:color w:val="auto"/>
                <w:sz w:val="24"/>
                <w:szCs w:val="24"/>
                <w:highlight w:val="none"/>
              </w:rPr>
              <w:tab/>
            </w:r>
            <w:r>
              <w:rPr>
                <w:rFonts w:hint="eastAsia" w:ascii="宋体" w:hAnsi="宋体" w:cs="宋体"/>
                <w:color w:val="auto"/>
                <w:sz w:val="24"/>
                <w:szCs w:val="24"/>
                <w:highlight w:val="none"/>
              </w:rPr>
              <w:t>。</w:t>
            </w:r>
          </w:p>
          <w:p w14:paraId="1251BE7F">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可以分包履行的具体内容： </w:t>
            </w:r>
            <w:r>
              <w:rPr>
                <w:rFonts w:hint="eastAsia" w:ascii="宋体" w:hAnsi="宋体" w:cs="宋体"/>
                <w:color w:val="auto"/>
                <w:sz w:val="24"/>
                <w:szCs w:val="24"/>
                <w:highlight w:val="none"/>
              </w:rPr>
              <w:tab/>
            </w:r>
            <w:r>
              <w:rPr>
                <w:rFonts w:hint="eastAsia" w:ascii="宋体" w:hAnsi="宋体" w:cs="宋体"/>
                <w:color w:val="auto"/>
                <w:sz w:val="24"/>
                <w:szCs w:val="24"/>
                <w:highlight w:val="none"/>
              </w:rPr>
              <w:t>；</w:t>
            </w:r>
          </w:p>
          <w:p w14:paraId="1FEC9E7C">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允许分包的金额或者比例： </w:t>
            </w:r>
            <w:r>
              <w:rPr>
                <w:rFonts w:hint="eastAsia" w:ascii="宋体" w:hAnsi="宋体" w:cs="宋体"/>
                <w:color w:val="auto"/>
                <w:sz w:val="24"/>
                <w:szCs w:val="24"/>
                <w:highlight w:val="none"/>
              </w:rPr>
              <w:tab/>
            </w:r>
            <w:r>
              <w:rPr>
                <w:rFonts w:hint="eastAsia" w:ascii="宋体" w:hAnsi="宋体" w:cs="宋体"/>
                <w:color w:val="auto"/>
                <w:sz w:val="24"/>
                <w:szCs w:val="24"/>
                <w:highlight w:val="none"/>
              </w:rPr>
              <w:t>；</w:t>
            </w:r>
          </w:p>
          <w:p w14:paraId="2CE23670">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（3）其他要求：           </w:t>
            </w:r>
            <w:r>
              <w:rPr>
                <w:rFonts w:hint="eastAsia" w:ascii="宋体" w:hAnsi="宋体" w:cs="宋体"/>
                <w:color w:val="auto"/>
                <w:sz w:val="24"/>
                <w:szCs w:val="24"/>
                <w:highlight w:val="none"/>
              </w:rPr>
              <w:tab/>
            </w:r>
            <w:r>
              <w:rPr>
                <w:rFonts w:hint="eastAsia" w:ascii="宋体" w:hAnsi="宋体" w:cs="宋体"/>
                <w:color w:val="auto"/>
                <w:sz w:val="24"/>
                <w:szCs w:val="24"/>
                <w:highlight w:val="none"/>
              </w:rPr>
              <w:t>。</w:t>
            </w:r>
          </w:p>
        </w:tc>
      </w:tr>
      <w:tr w14:paraId="57B2F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1197" w:type="dxa"/>
            <w:vAlign w:val="center"/>
          </w:tcPr>
          <w:p w14:paraId="29765717">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23</w:t>
            </w:r>
          </w:p>
        </w:tc>
        <w:tc>
          <w:tcPr>
            <w:tcW w:w="1701" w:type="dxa"/>
            <w:vAlign w:val="center"/>
          </w:tcPr>
          <w:p w14:paraId="21186532">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询问</w:t>
            </w:r>
          </w:p>
        </w:tc>
        <w:tc>
          <w:tcPr>
            <w:tcW w:w="6635" w:type="dxa"/>
          </w:tcPr>
          <w:p w14:paraId="2F057F00">
            <w:pPr>
              <w:adjustRightInd w:val="0"/>
              <w:snapToGrid w:val="0"/>
              <w:spacing w:line="360" w:lineRule="auto"/>
              <w:rPr>
                <w:rFonts w:hint="eastAsia" w:ascii="宋体" w:hAnsi="宋体" w:cs="宋体"/>
                <w:color w:val="auto"/>
                <w:sz w:val="24"/>
                <w:szCs w:val="24"/>
                <w:highlight w:val="none"/>
              </w:rPr>
            </w:pPr>
            <w:bookmarkStart w:id="40" w:name="OLE_LINK8"/>
            <w:r>
              <w:rPr>
                <w:rFonts w:hint="eastAsia" w:ascii="宋体" w:hAnsi="宋体" w:cs="宋体"/>
                <w:color w:val="auto"/>
                <w:sz w:val="24"/>
                <w:szCs w:val="24"/>
                <w:highlight w:val="none"/>
              </w:rPr>
              <w:t>询问送达形式：</w:t>
            </w:r>
            <w:r>
              <w:rPr>
                <w:rFonts w:hint="eastAsia" w:ascii="宋体" w:hAnsi="宋体" w:cs="宋体"/>
                <w:color w:val="auto"/>
                <w:sz w:val="24"/>
                <w:szCs w:val="24"/>
                <w:highlight w:val="none"/>
                <w:u w:val="single"/>
              </w:rPr>
              <w:t xml:space="preserve"> 邮件或纸质版送达</w:t>
            </w:r>
            <w:r>
              <w:rPr>
                <w:rFonts w:hint="eastAsia" w:ascii="宋体" w:hAnsi="宋体" w:cs="宋体"/>
                <w:color w:val="auto"/>
                <w:sz w:val="24"/>
                <w:szCs w:val="24"/>
                <w:highlight w:val="none"/>
              </w:rPr>
              <w:tab/>
            </w:r>
            <w:r>
              <w:rPr>
                <w:rFonts w:hint="eastAsia" w:ascii="宋体" w:hAnsi="宋体" w:cs="宋体"/>
                <w:color w:val="auto"/>
                <w:sz w:val="24"/>
                <w:szCs w:val="24"/>
                <w:highlight w:val="none"/>
              </w:rPr>
              <w:t>。</w:t>
            </w:r>
            <w:bookmarkEnd w:id="40"/>
          </w:p>
        </w:tc>
      </w:tr>
      <w:tr w14:paraId="55230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97" w:type="dxa"/>
            <w:vAlign w:val="center"/>
          </w:tcPr>
          <w:p w14:paraId="025A46FE">
            <w:pPr>
              <w:adjustRightInd w:val="0"/>
              <w:snapToGrid w:val="0"/>
              <w:spacing w:line="360" w:lineRule="auto"/>
              <w:jc w:val="center"/>
              <w:rPr>
                <w:rFonts w:hint="eastAsia" w:ascii="宋体" w:hAnsi="宋体" w:cs="宋体"/>
                <w:color w:val="auto"/>
                <w:sz w:val="24"/>
                <w:szCs w:val="24"/>
                <w:highlight w:val="none"/>
              </w:rPr>
            </w:pPr>
          </w:p>
          <w:p w14:paraId="393FDF6C">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24</w:t>
            </w:r>
          </w:p>
        </w:tc>
        <w:tc>
          <w:tcPr>
            <w:tcW w:w="1701" w:type="dxa"/>
            <w:vAlign w:val="center"/>
          </w:tcPr>
          <w:p w14:paraId="5EE7617E">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6635" w:type="dxa"/>
          </w:tcPr>
          <w:p w14:paraId="63575F65">
            <w:pPr>
              <w:adjustRightInd w:val="0"/>
              <w:snapToGrid w:val="0"/>
              <w:spacing w:line="360" w:lineRule="auto"/>
              <w:rPr>
                <w:rFonts w:hint="eastAsia" w:ascii="宋体" w:hAnsi="宋体" w:cs="宋体"/>
                <w:color w:val="auto"/>
                <w:sz w:val="24"/>
                <w:szCs w:val="24"/>
                <w:highlight w:val="none"/>
              </w:rPr>
            </w:pPr>
            <w:bookmarkStart w:id="41" w:name="OLE_LINK9"/>
            <w:r>
              <w:rPr>
                <w:rFonts w:hint="eastAsia" w:ascii="宋体" w:hAnsi="宋体" w:cs="宋体"/>
                <w:color w:val="auto"/>
                <w:sz w:val="24"/>
                <w:szCs w:val="24"/>
                <w:highlight w:val="none"/>
              </w:rPr>
              <w:t>接收询问和质疑的联系方式</w:t>
            </w:r>
          </w:p>
          <w:p w14:paraId="5379BE93">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联系部门：</w:t>
            </w:r>
            <w:r>
              <w:rPr>
                <w:rFonts w:hint="eastAsia" w:ascii="宋体" w:hAnsi="宋体" w:cs="宋体"/>
                <w:color w:val="auto"/>
                <w:sz w:val="24"/>
                <w:szCs w:val="24"/>
                <w:highlight w:val="none"/>
                <w:u w:val="single"/>
              </w:rPr>
              <w:t>云南集诚建设工程招标代理有限公司-招标部</w:t>
            </w:r>
            <w:r>
              <w:rPr>
                <w:rFonts w:hint="eastAsia" w:ascii="宋体" w:hAnsi="宋体" w:cs="宋体"/>
                <w:color w:val="auto"/>
                <w:sz w:val="24"/>
                <w:szCs w:val="24"/>
                <w:highlight w:val="none"/>
              </w:rPr>
              <w:t>；</w:t>
            </w:r>
          </w:p>
          <w:p w14:paraId="16CE7D4F">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0870-2861366</w:t>
            </w:r>
            <w:r>
              <w:rPr>
                <w:rFonts w:hint="eastAsia" w:ascii="宋体" w:hAnsi="宋体" w:cs="宋体"/>
                <w:color w:val="auto"/>
                <w:sz w:val="24"/>
                <w:szCs w:val="24"/>
                <w:highlight w:val="none"/>
              </w:rPr>
              <w:t>；</w:t>
            </w:r>
          </w:p>
          <w:p w14:paraId="7E8CDD8A">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通讯地址：</w:t>
            </w:r>
            <w:r>
              <w:rPr>
                <w:rFonts w:hint="eastAsia" w:ascii="宋体" w:hAnsi="宋体" w:cs="宋体"/>
                <w:color w:val="auto"/>
                <w:sz w:val="24"/>
                <w:szCs w:val="24"/>
                <w:highlight w:val="none"/>
                <w:u w:val="single"/>
              </w:rPr>
              <w:t>昭通市昭阳区迎宾大道59号附16号12幢407室（远大广场）</w:t>
            </w:r>
            <w:r>
              <w:rPr>
                <w:rFonts w:hint="eastAsia" w:ascii="宋体" w:hAnsi="宋体" w:cs="宋体"/>
                <w:color w:val="auto"/>
                <w:sz w:val="24"/>
                <w:szCs w:val="24"/>
                <w:highlight w:val="none"/>
              </w:rPr>
              <w:t>。</w:t>
            </w:r>
            <w:bookmarkEnd w:id="41"/>
          </w:p>
        </w:tc>
      </w:tr>
      <w:tr w14:paraId="298DD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97" w:type="dxa"/>
            <w:vAlign w:val="center"/>
          </w:tcPr>
          <w:p w14:paraId="572164C0">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25</w:t>
            </w:r>
          </w:p>
        </w:tc>
        <w:tc>
          <w:tcPr>
            <w:tcW w:w="1701" w:type="dxa"/>
            <w:vAlign w:val="center"/>
          </w:tcPr>
          <w:p w14:paraId="3B04CA6A">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代理费</w:t>
            </w:r>
          </w:p>
        </w:tc>
        <w:tc>
          <w:tcPr>
            <w:tcW w:w="6635" w:type="dxa"/>
          </w:tcPr>
          <w:p w14:paraId="68C33B6A">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收费对象：</w:t>
            </w:r>
          </w:p>
          <w:p w14:paraId="33A466D7">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□采购人</w:t>
            </w:r>
          </w:p>
          <w:p w14:paraId="109B620F">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w:t>
            </w:r>
          </w:p>
          <w:p w14:paraId="077B28B0">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收费标准和金额：</w:t>
            </w:r>
            <w:r>
              <w:rPr>
                <w:rFonts w:hint="eastAsia" w:ascii="宋体" w:hAnsi="宋体" w:eastAsia="宋体" w:cs="宋体"/>
                <w:color w:val="auto"/>
                <w:kern w:val="2"/>
                <w:sz w:val="24"/>
                <w:szCs w:val="24"/>
                <w:highlight w:val="none"/>
              </w:rPr>
              <w:t>采购代理服务费按采购人与采购代理机构签订的合同约定，</w:t>
            </w:r>
            <w:r>
              <w:rPr>
                <w:rFonts w:hint="eastAsia" w:ascii="宋体" w:hAnsi="宋体" w:eastAsia="宋体" w:cs="宋体"/>
                <w:color w:val="auto"/>
                <w:kern w:val="2"/>
                <w:sz w:val="24"/>
                <w:szCs w:val="24"/>
                <w:highlight w:val="none"/>
                <w:lang w:val="en-US" w:eastAsia="zh-CN"/>
              </w:rPr>
              <w:t>参照云南省建设工程招标投标行业协会（云建招协〔2024〕58号）《云南省招标代理服务收费参考意见》</w:t>
            </w:r>
            <w:r>
              <w:rPr>
                <w:rFonts w:hint="eastAsia" w:ascii="宋体" w:hAnsi="宋体" w:eastAsia="宋体" w:cs="宋体"/>
                <w:color w:val="auto"/>
                <w:kern w:val="2"/>
                <w:sz w:val="24"/>
                <w:szCs w:val="24"/>
                <w:highlight w:val="none"/>
              </w:rPr>
              <w:t>以</w:t>
            </w:r>
            <w:r>
              <w:rPr>
                <w:rFonts w:hint="eastAsia" w:ascii="宋体" w:hAnsi="宋体" w:eastAsia="宋体" w:cs="宋体"/>
                <w:color w:val="auto"/>
                <w:kern w:val="2"/>
                <w:sz w:val="24"/>
                <w:szCs w:val="24"/>
                <w:highlight w:val="none"/>
                <w:lang w:val="en-US" w:eastAsia="zh-CN"/>
              </w:rPr>
              <w:t>成交</w:t>
            </w:r>
            <w:r>
              <w:rPr>
                <w:rFonts w:hint="eastAsia" w:ascii="宋体" w:hAnsi="宋体" w:eastAsia="宋体" w:cs="宋体"/>
                <w:color w:val="auto"/>
                <w:kern w:val="2"/>
                <w:sz w:val="24"/>
                <w:szCs w:val="24"/>
                <w:highlight w:val="none"/>
              </w:rPr>
              <w:t>金额为计算基数标准向</w:t>
            </w:r>
            <w:r>
              <w:rPr>
                <w:rFonts w:hint="eastAsia" w:ascii="宋体" w:hAnsi="宋体" w:eastAsia="宋体" w:cs="宋体"/>
                <w:color w:val="auto"/>
                <w:kern w:val="2"/>
                <w:sz w:val="24"/>
                <w:szCs w:val="24"/>
                <w:highlight w:val="none"/>
                <w:lang w:val="en-US" w:eastAsia="zh-CN"/>
              </w:rPr>
              <w:t>成交供应商</w:t>
            </w:r>
            <w:r>
              <w:rPr>
                <w:rFonts w:hint="eastAsia" w:ascii="宋体" w:hAnsi="宋体" w:eastAsia="宋体" w:cs="宋体"/>
                <w:color w:val="auto"/>
                <w:kern w:val="2"/>
                <w:sz w:val="24"/>
                <w:szCs w:val="24"/>
                <w:highlight w:val="none"/>
              </w:rPr>
              <w:t>收取</w:t>
            </w:r>
            <w:r>
              <w:rPr>
                <w:rFonts w:hint="eastAsia" w:ascii="宋体" w:hAnsi="宋体" w:eastAsia="宋体" w:cs="宋体"/>
                <w:bCs/>
                <w:color w:val="auto"/>
                <w:sz w:val="24"/>
                <w:highlight w:val="none"/>
              </w:rPr>
              <w:t>。</w:t>
            </w:r>
            <w:r>
              <w:rPr>
                <w:rFonts w:hint="eastAsia" w:ascii="宋体" w:hAnsi="宋体" w:cs="宋体"/>
                <w:color w:val="auto"/>
                <w:sz w:val="24"/>
                <w:szCs w:val="24"/>
                <w:highlight w:val="none"/>
              </w:rPr>
              <w:t>缴纳时间：</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人在领取</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通知书时一次性支付给代理机构。</w:t>
            </w:r>
          </w:p>
        </w:tc>
      </w:tr>
      <w:tr w14:paraId="17DEB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1197" w:type="dxa"/>
            <w:vAlign w:val="center"/>
          </w:tcPr>
          <w:p w14:paraId="768B953D">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26</w:t>
            </w:r>
          </w:p>
        </w:tc>
        <w:tc>
          <w:tcPr>
            <w:tcW w:w="1701" w:type="dxa"/>
            <w:vAlign w:val="center"/>
          </w:tcPr>
          <w:p w14:paraId="1DA0C162">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信用信息查询</w:t>
            </w:r>
          </w:p>
        </w:tc>
        <w:tc>
          <w:tcPr>
            <w:tcW w:w="6635" w:type="dxa"/>
            <w:vAlign w:val="center"/>
          </w:tcPr>
          <w:p w14:paraId="7F3BE6EB">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（1）信用信息查询渠道及截止时间：采购代理机构将在开标时通过“信用中国”网站(www.creditchina.gov.cn)、中国政府采购网(www.ccgp.gov.cn)渠道查询供应商接受资格审查时的信用记录。</w:t>
            </w:r>
          </w:p>
          <w:p w14:paraId="6D2A8B2A">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信用信息查询记录和证据留存的具体方式：采购代理机构在“信用中国”网站（www.creditchina.gov.cn）对供应商进行失信被执行人、重大税收违法失信主体和政府采购严重违法失信行为记录名单的信用信息查询；在中国政府采购网（www.ccgp.gov.cn）对供应商进行“政府采购严重违法失信行为信息记录”的信用信息查询。查询的供应商信用记录、查询结果经确认后将与采购文件一起存档。</w:t>
            </w:r>
          </w:p>
          <w:p w14:paraId="1D5D52FE">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（3）信用信息的使用规则：经查询列入失信被执行人名单或者重大税收违法案件当事人名单或者政府采购严重违法失信行为记录名单的供应商将被拒绝参与政府采购活动。</w:t>
            </w:r>
          </w:p>
          <w:p w14:paraId="07B8C14D">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42F30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197" w:type="dxa"/>
            <w:vAlign w:val="center"/>
          </w:tcPr>
          <w:p w14:paraId="10805B4F">
            <w:pPr>
              <w:adjustRightInd w:val="0"/>
              <w:snapToGrid w:val="0"/>
              <w:spacing w:line="360" w:lineRule="auto"/>
              <w:ind w:left="241" w:hanging="240" w:hangingChars="100"/>
              <w:jc w:val="center"/>
              <w:rPr>
                <w:rFonts w:hint="default" w:ascii="宋体" w:hAnsi="宋体" w:eastAsia="宋体" w:cs="宋体"/>
                <w:color w:val="auto"/>
                <w:sz w:val="28"/>
                <w:szCs w:val="28"/>
                <w:highlight w:val="none"/>
                <w:lang w:val="en-US" w:eastAsia="zh-CN"/>
              </w:rPr>
            </w:pPr>
            <w:bookmarkStart w:id="42" w:name="OLE_LINK30" w:colFirst="1" w:colLast="1"/>
            <w:r>
              <w:rPr>
                <w:rFonts w:hint="eastAsia" w:ascii="宋体" w:hAnsi="宋体" w:cs="宋体"/>
                <w:b w:val="0"/>
                <w:bCs w:val="0"/>
                <w:color w:val="auto"/>
                <w:sz w:val="24"/>
                <w:highlight w:val="none"/>
                <w:lang w:val="en-US" w:eastAsia="zh-CN"/>
              </w:rPr>
              <w:t>27</w:t>
            </w:r>
          </w:p>
        </w:tc>
        <w:tc>
          <w:tcPr>
            <w:tcW w:w="1701" w:type="dxa"/>
            <w:vAlign w:val="center"/>
          </w:tcPr>
          <w:p w14:paraId="2B6ED86C">
            <w:pPr>
              <w:spacing w:line="360" w:lineRule="auto"/>
              <w:jc w:val="center"/>
              <w:rPr>
                <w:rFonts w:hint="eastAsia" w:ascii="宋体" w:hAnsi="宋体" w:cs="宋体"/>
                <w:color w:val="auto"/>
                <w:sz w:val="24"/>
                <w:highlight w:val="none"/>
              </w:rPr>
            </w:pPr>
            <w:r>
              <w:rPr>
                <w:rFonts w:hint="eastAsia" w:ascii="宋体" w:hAnsi="宋体" w:eastAsia="宋体" w:cs="宋体"/>
                <w:color w:val="auto"/>
                <w:sz w:val="24"/>
                <w:szCs w:val="24"/>
                <w:highlight w:val="none"/>
              </w:rPr>
              <w:t>磋商小组的组建</w:t>
            </w:r>
          </w:p>
        </w:tc>
        <w:tc>
          <w:tcPr>
            <w:tcW w:w="6635" w:type="dxa"/>
            <w:vAlign w:val="center"/>
          </w:tcPr>
          <w:p w14:paraId="7072D2AD">
            <w:pPr>
              <w:widowControl w:val="0"/>
              <w:spacing w:line="36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磋商小组</w:t>
            </w:r>
            <w:r>
              <w:rPr>
                <w:rFonts w:hint="eastAsia" w:ascii="宋体" w:hAnsi="宋体" w:eastAsia="宋体" w:cs="宋体"/>
                <w:color w:val="auto"/>
                <w:sz w:val="24"/>
                <w:szCs w:val="24"/>
                <w:highlight w:val="none"/>
                <w:lang w:val="en-US" w:eastAsia="zh-CN"/>
              </w:rPr>
              <w:t>的构成：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7EE17B62">
            <w:pPr>
              <w:widowControl w:val="0"/>
              <w:spacing w:line="360" w:lineRule="auto"/>
              <w:jc w:val="both"/>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评标专家确定方式：</w:t>
            </w:r>
            <w:r>
              <w:rPr>
                <w:rFonts w:hint="eastAsia" w:ascii="宋体" w:hAnsi="宋体" w:cs="宋体"/>
                <w:color w:val="auto"/>
                <w:sz w:val="24"/>
                <w:szCs w:val="24"/>
                <w:highlight w:val="none"/>
              </w:rPr>
              <w:t>在</w:t>
            </w:r>
            <w:r>
              <w:rPr>
                <w:rFonts w:hint="eastAsia" w:ascii="宋体" w:hAnsi="宋体" w:cs="宋体"/>
                <w:color w:val="auto"/>
                <w:sz w:val="24"/>
                <w:szCs w:val="24"/>
                <w:highlight w:val="none"/>
                <w:lang w:val="en-US" w:eastAsia="zh-CN"/>
              </w:rPr>
              <w:t>云南省</w:t>
            </w:r>
            <w:r>
              <w:rPr>
                <w:rFonts w:hint="eastAsia" w:ascii="宋体" w:hAnsi="宋体" w:cs="宋体"/>
                <w:color w:val="auto"/>
                <w:sz w:val="24"/>
                <w:szCs w:val="24"/>
                <w:highlight w:val="none"/>
              </w:rPr>
              <w:t>政府采购评标专家库中随机抽取。</w:t>
            </w:r>
          </w:p>
        </w:tc>
      </w:tr>
      <w:tr w14:paraId="0966A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1197" w:type="dxa"/>
            <w:vAlign w:val="center"/>
          </w:tcPr>
          <w:p w14:paraId="5224169A">
            <w:pPr>
              <w:adjustRightInd w:val="0"/>
              <w:snapToGrid w:val="0"/>
              <w:spacing w:line="360" w:lineRule="auto"/>
              <w:ind w:left="241" w:hanging="240" w:hangingChars="100"/>
              <w:jc w:val="center"/>
              <w:rPr>
                <w:rFonts w:hint="default" w:ascii="宋体" w:hAnsi="宋体" w:cs="宋体"/>
                <w:b/>
                <w:bCs/>
                <w:color w:val="auto"/>
                <w:sz w:val="24"/>
                <w:highlight w:val="none"/>
                <w:lang w:val="en-US" w:eastAsia="zh-CN"/>
              </w:rPr>
            </w:pPr>
            <w:r>
              <w:rPr>
                <w:rFonts w:hint="eastAsia" w:ascii="宋体" w:hAnsi="宋体" w:cs="宋体"/>
                <w:b w:val="0"/>
                <w:bCs w:val="0"/>
                <w:color w:val="auto"/>
                <w:sz w:val="24"/>
                <w:highlight w:val="none"/>
                <w:lang w:val="en-US" w:eastAsia="zh-CN"/>
              </w:rPr>
              <w:t>28</w:t>
            </w:r>
          </w:p>
        </w:tc>
        <w:tc>
          <w:tcPr>
            <w:tcW w:w="1701" w:type="dxa"/>
            <w:vAlign w:val="center"/>
          </w:tcPr>
          <w:p w14:paraId="05EE9E61">
            <w:pPr>
              <w:spacing w:line="360" w:lineRule="auto"/>
              <w:jc w:val="center"/>
              <w:rPr>
                <w:rFonts w:hint="eastAsia" w:ascii="宋体" w:hAnsi="宋体" w:cs="宋体"/>
                <w:b/>
                <w:bCs/>
                <w:color w:val="auto"/>
                <w:sz w:val="24"/>
                <w:highlight w:val="none"/>
                <w:lang w:val="en-US" w:eastAsia="zh-CN"/>
              </w:rPr>
            </w:pPr>
            <w:r>
              <w:rPr>
                <w:rFonts w:hint="eastAsia" w:ascii="宋体" w:hAnsi="宋体" w:eastAsia="宋体" w:cs="宋体"/>
                <w:color w:val="auto"/>
                <w:sz w:val="24"/>
                <w:szCs w:val="24"/>
                <w:highlight w:val="none"/>
              </w:rPr>
              <w:t>磋商时间和地点</w:t>
            </w:r>
          </w:p>
        </w:tc>
        <w:tc>
          <w:tcPr>
            <w:tcW w:w="6635" w:type="dxa"/>
            <w:vAlign w:val="center"/>
          </w:tcPr>
          <w:p w14:paraId="684AA3FB">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磋商时间：</w:t>
            </w:r>
            <w:r>
              <w:rPr>
                <w:rFonts w:hint="eastAsia" w:ascii="宋体" w:hAnsi="宋体" w:eastAsia="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u w:val="single"/>
                <w:lang w:val="en-US" w:eastAsia="zh-CN"/>
              </w:rPr>
              <w:t>12</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u w:val="single"/>
                <w:lang w:val="en-US" w:eastAsia="zh-CN"/>
              </w:rPr>
              <w:t>09</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u w:val="single"/>
                <w:lang w:val="en-US" w:eastAsia="zh-CN"/>
              </w:rPr>
              <w:t>30</w:t>
            </w:r>
            <w:r>
              <w:rPr>
                <w:rFonts w:hint="eastAsia" w:ascii="宋体" w:hAnsi="宋体" w:eastAsia="宋体" w:cs="宋体"/>
                <w:color w:val="auto"/>
                <w:sz w:val="24"/>
                <w:szCs w:val="24"/>
                <w:highlight w:val="none"/>
              </w:rPr>
              <w:t>分（同递交截止时间）</w:t>
            </w:r>
          </w:p>
          <w:p w14:paraId="666D30EB">
            <w:pPr>
              <w:spacing w:line="360" w:lineRule="auto"/>
              <w:jc w:val="both"/>
              <w:rPr>
                <w:rFonts w:hint="eastAsia" w:ascii="宋体" w:hAnsi="宋体" w:cs="宋体"/>
                <w:color w:val="auto"/>
                <w:sz w:val="24"/>
                <w:highlight w:val="none"/>
              </w:rPr>
            </w:pPr>
            <w:r>
              <w:rPr>
                <w:rFonts w:hint="eastAsia" w:ascii="宋体" w:hAnsi="宋体" w:eastAsia="宋体" w:cs="宋体"/>
                <w:color w:val="auto"/>
                <w:sz w:val="24"/>
                <w:szCs w:val="24"/>
                <w:highlight w:val="none"/>
              </w:rPr>
              <w:t>磋商地点：</w:t>
            </w:r>
            <w:r>
              <w:rPr>
                <w:rFonts w:hint="eastAsia" w:ascii="宋体" w:hAnsi="宋体" w:eastAsia="宋体" w:cs="宋体"/>
                <w:bCs/>
                <w:color w:val="auto"/>
                <w:sz w:val="24"/>
                <w:highlight w:val="none"/>
              </w:rPr>
              <w:t>政府采购云平台（https://www.zcygov.cn/）</w:t>
            </w:r>
            <w:r>
              <w:rPr>
                <w:rFonts w:hint="eastAsia" w:ascii="宋体" w:hAnsi="宋体" w:cs="宋体"/>
                <w:bCs/>
                <w:color w:val="auto"/>
                <w:sz w:val="24"/>
                <w:highlight w:val="none"/>
                <w:lang w:val="en-US" w:eastAsia="zh-CN"/>
              </w:rPr>
              <w:t>投标客户端</w:t>
            </w:r>
            <w:r>
              <w:rPr>
                <w:rFonts w:hint="eastAsia" w:ascii="宋体" w:hAnsi="宋体" w:cs="宋体"/>
                <w:bCs/>
                <w:color w:val="auto"/>
                <w:sz w:val="24"/>
                <w:szCs w:val="24"/>
                <w:highlight w:val="none"/>
              </w:rPr>
              <w:t>。</w:t>
            </w:r>
          </w:p>
        </w:tc>
      </w:tr>
      <w:bookmarkEnd w:id="42"/>
      <w:tr w14:paraId="75AB7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1197" w:type="dxa"/>
            <w:vAlign w:val="center"/>
          </w:tcPr>
          <w:p w14:paraId="18402D86">
            <w:pPr>
              <w:adjustRightInd w:val="0"/>
              <w:snapToGrid w:val="0"/>
              <w:spacing w:line="360" w:lineRule="auto"/>
              <w:ind w:left="241" w:hanging="240" w:hangingChars="100"/>
              <w:jc w:val="center"/>
              <w:rPr>
                <w:rFonts w:hint="default" w:ascii="宋体" w:hAnsi="宋体" w:eastAsia="宋体" w:cs="宋体"/>
                <w:b/>
                <w:bCs/>
                <w:color w:val="auto"/>
                <w:sz w:val="24"/>
                <w:highlight w:val="none"/>
                <w:lang w:val="en-US" w:eastAsia="zh-CN"/>
              </w:rPr>
            </w:pPr>
            <w:bookmarkStart w:id="43" w:name="OLE_LINK38" w:colFirst="1" w:colLast="2"/>
            <w:r>
              <w:rPr>
                <w:rFonts w:hint="eastAsia" w:ascii="宋体" w:hAnsi="宋体" w:cs="宋体"/>
                <w:b w:val="0"/>
                <w:bCs w:val="0"/>
                <w:color w:val="auto"/>
                <w:sz w:val="24"/>
                <w:highlight w:val="none"/>
                <w:lang w:val="en-US" w:eastAsia="zh-CN"/>
              </w:rPr>
              <w:t>29</w:t>
            </w:r>
          </w:p>
        </w:tc>
        <w:tc>
          <w:tcPr>
            <w:tcW w:w="1701" w:type="dxa"/>
            <w:vAlign w:val="center"/>
          </w:tcPr>
          <w:p w14:paraId="65FC96F7">
            <w:pPr>
              <w:spacing w:line="360" w:lineRule="auto"/>
              <w:jc w:val="center"/>
              <w:rPr>
                <w:rFonts w:hint="eastAsia" w:ascii="宋体" w:hAnsi="宋体" w:cs="宋体"/>
                <w:b/>
                <w:bCs/>
                <w:color w:val="auto"/>
                <w:sz w:val="24"/>
                <w:highlight w:val="none"/>
                <w:lang w:val="en-US" w:eastAsia="zh-CN"/>
              </w:rPr>
            </w:pPr>
            <w:r>
              <w:rPr>
                <w:rFonts w:hint="eastAsia" w:ascii="宋体" w:hAnsi="宋体" w:eastAsia="宋体" w:cs="宋体"/>
                <w:color w:val="auto"/>
                <w:sz w:val="24"/>
                <w:szCs w:val="24"/>
                <w:highlight w:val="none"/>
              </w:rPr>
              <w:t>是否授权磋商小组确定</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供应商</w:t>
            </w:r>
          </w:p>
        </w:tc>
        <w:tc>
          <w:tcPr>
            <w:tcW w:w="6635" w:type="dxa"/>
            <w:vAlign w:val="center"/>
          </w:tcPr>
          <w:p w14:paraId="5D5D7DB9">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p w14:paraId="6329E5E5">
            <w:pPr>
              <w:spacing w:line="360" w:lineRule="auto"/>
              <w:jc w:val="both"/>
              <w:rPr>
                <w:rFonts w:hint="eastAsia" w:ascii="宋体" w:hAnsi="宋体" w:cs="宋体"/>
                <w:color w:val="auto"/>
                <w:sz w:val="24"/>
                <w:highlight w:val="none"/>
              </w:rPr>
            </w:pPr>
            <w:r>
              <w:rPr>
                <w:rFonts w:hint="eastAsia" w:ascii="宋体" w:hAnsi="宋体" w:cs="宋体"/>
                <w:color w:val="auto"/>
                <w:sz w:val="24"/>
                <w:szCs w:val="24"/>
                <w:highlight w:val="none"/>
              </w:rPr>
              <w:t>由磋商小组根据“第三章 磋商程序和方法”的相关规定推荐1</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3名成交候选</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w:t>
            </w:r>
          </w:p>
        </w:tc>
      </w:tr>
      <w:bookmarkEnd w:id="43"/>
      <w:tr w14:paraId="124A8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1197" w:type="dxa"/>
            <w:vAlign w:val="center"/>
          </w:tcPr>
          <w:p w14:paraId="12015EAB">
            <w:pPr>
              <w:adjustRightInd w:val="0"/>
              <w:snapToGrid w:val="0"/>
              <w:spacing w:line="360" w:lineRule="auto"/>
              <w:ind w:left="241" w:hanging="240" w:hangingChars="100"/>
              <w:jc w:val="center"/>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30</w:t>
            </w:r>
          </w:p>
        </w:tc>
        <w:tc>
          <w:tcPr>
            <w:tcW w:w="1701" w:type="dxa"/>
            <w:vAlign w:val="center"/>
          </w:tcPr>
          <w:p w14:paraId="2DCAE8E5">
            <w:pPr>
              <w:adjustRightInd w:val="0"/>
              <w:snapToGrid w:val="0"/>
              <w:spacing w:line="360" w:lineRule="auto"/>
              <w:jc w:val="center"/>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成交</w:t>
            </w:r>
            <w:r>
              <w:rPr>
                <w:rFonts w:hint="eastAsia" w:ascii="宋体" w:hAnsi="宋体" w:cs="宋体"/>
                <w:b w:val="0"/>
                <w:bCs w:val="0"/>
                <w:color w:val="auto"/>
                <w:sz w:val="24"/>
                <w:highlight w:val="none"/>
              </w:rPr>
              <w:t>结果公示</w:t>
            </w:r>
          </w:p>
        </w:tc>
        <w:tc>
          <w:tcPr>
            <w:tcW w:w="6635" w:type="dxa"/>
            <w:vAlign w:val="center"/>
          </w:tcPr>
          <w:p w14:paraId="78800C23">
            <w:pPr>
              <w:adjustRightInd w:val="0"/>
              <w:snapToGrid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在本项目公告发布的同一媒介予以公示，公示期不少于</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个工作日。</w:t>
            </w:r>
          </w:p>
        </w:tc>
      </w:tr>
      <w:tr w14:paraId="6D29D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1197" w:type="dxa"/>
            <w:vAlign w:val="center"/>
          </w:tcPr>
          <w:p w14:paraId="0713DEFF">
            <w:pPr>
              <w:adjustRightInd w:val="0"/>
              <w:snapToGrid w:val="0"/>
              <w:spacing w:line="360" w:lineRule="auto"/>
              <w:ind w:left="241" w:hanging="240" w:hangingChars="100"/>
              <w:jc w:val="center"/>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31</w:t>
            </w:r>
          </w:p>
        </w:tc>
        <w:tc>
          <w:tcPr>
            <w:tcW w:w="1701" w:type="dxa"/>
            <w:vAlign w:val="center"/>
          </w:tcPr>
          <w:p w14:paraId="031F2C3C">
            <w:pPr>
              <w:adjustRightInd w:val="0"/>
              <w:snapToGrid w:val="0"/>
              <w:spacing w:line="360" w:lineRule="auto"/>
              <w:jc w:val="center"/>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成交</w:t>
            </w:r>
            <w:r>
              <w:rPr>
                <w:rFonts w:hint="eastAsia" w:ascii="宋体" w:hAnsi="宋体" w:cs="宋体"/>
                <w:b w:val="0"/>
                <w:bCs w:val="0"/>
                <w:color w:val="auto"/>
                <w:sz w:val="24"/>
                <w:highlight w:val="none"/>
              </w:rPr>
              <w:t>单位纸质版文件数量</w:t>
            </w:r>
          </w:p>
        </w:tc>
        <w:tc>
          <w:tcPr>
            <w:tcW w:w="6635" w:type="dxa"/>
            <w:vAlign w:val="center"/>
          </w:tcPr>
          <w:p w14:paraId="0BE454D5">
            <w:pPr>
              <w:spacing w:line="360" w:lineRule="auto"/>
              <w:jc w:val="both"/>
              <w:rPr>
                <w:rFonts w:hint="eastAsia" w:ascii="宋体" w:hAnsi="宋体" w:cs="宋体"/>
                <w:color w:val="auto"/>
                <w:sz w:val="24"/>
                <w:highlight w:val="none"/>
              </w:rPr>
            </w:pPr>
            <w:r>
              <w:rPr>
                <w:rFonts w:hint="eastAsia" w:ascii="宋体" w:hAnsi="宋体" w:cs="宋体"/>
                <w:color w:val="auto"/>
                <w:sz w:val="24"/>
                <w:highlight w:val="none"/>
              </w:rPr>
              <w:t>为了开展工作需要</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rPr>
              <w:t>单位领取</w:t>
            </w:r>
            <w:r>
              <w:rPr>
                <w:rFonts w:hint="eastAsia" w:ascii="宋体" w:hAnsi="宋体" w:cs="宋体"/>
                <w:color w:val="auto"/>
                <w:sz w:val="24"/>
                <w:highlight w:val="none"/>
                <w:lang w:val="en-US" w:eastAsia="zh-CN"/>
              </w:rPr>
              <w:t>成交</w:t>
            </w:r>
            <w:r>
              <w:rPr>
                <w:rFonts w:hint="eastAsia" w:ascii="宋体" w:hAnsi="宋体" w:cs="宋体"/>
                <w:color w:val="auto"/>
                <w:sz w:val="24"/>
                <w:highlight w:val="none"/>
              </w:rPr>
              <w:t>通知书时须提交</w:t>
            </w:r>
            <w:r>
              <w:rPr>
                <w:rFonts w:hAnsi="宋体"/>
                <w:color w:val="auto"/>
                <w:sz w:val="24"/>
                <w:szCs w:val="24"/>
                <w:highlight w:val="none"/>
              </w:rPr>
              <w:t>文档响应文件：</w:t>
            </w:r>
            <w:r>
              <w:rPr>
                <w:rFonts w:hint="eastAsia" w:hAnsi="宋体"/>
                <w:color w:val="auto"/>
                <w:sz w:val="24"/>
                <w:szCs w:val="24"/>
                <w:highlight w:val="none"/>
                <w:u w:val="single"/>
              </w:rPr>
              <w:t xml:space="preserve"> 壹 </w:t>
            </w:r>
            <w:r>
              <w:rPr>
                <w:rFonts w:hAnsi="宋体"/>
                <w:color w:val="auto"/>
                <w:sz w:val="24"/>
                <w:szCs w:val="24"/>
                <w:highlight w:val="none"/>
              </w:rPr>
              <w:t>份正本，</w:t>
            </w:r>
            <w:r>
              <w:rPr>
                <w:color w:val="auto"/>
                <w:sz w:val="24"/>
                <w:szCs w:val="24"/>
                <w:highlight w:val="none"/>
                <w:u w:val="single"/>
              </w:rPr>
              <w:t xml:space="preserve"> </w:t>
            </w:r>
            <w:r>
              <w:rPr>
                <w:rFonts w:hint="eastAsia"/>
                <w:color w:val="auto"/>
                <w:sz w:val="24"/>
                <w:szCs w:val="24"/>
                <w:highlight w:val="none"/>
                <w:u w:val="single"/>
                <w:lang w:val="en-US" w:eastAsia="zh-CN"/>
              </w:rPr>
              <w:t>壹</w:t>
            </w:r>
            <w:r>
              <w:rPr>
                <w:color w:val="auto"/>
                <w:sz w:val="24"/>
                <w:szCs w:val="24"/>
                <w:highlight w:val="none"/>
                <w:u w:val="single"/>
              </w:rPr>
              <w:t xml:space="preserve"> </w:t>
            </w:r>
            <w:r>
              <w:rPr>
                <w:rFonts w:hAnsi="宋体"/>
                <w:color w:val="auto"/>
                <w:sz w:val="24"/>
                <w:szCs w:val="24"/>
                <w:highlight w:val="none"/>
              </w:rPr>
              <w:t>份副本</w:t>
            </w:r>
            <w:r>
              <w:rPr>
                <w:rFonts w:hint="eastAsia" w:hAnsi="宋体"/>
                <w:color w:val="auto"/>
                <w:sz w:val="24"/>
                <w:szCs w:val="24"/>
                <w:highlight w:val="none"/>
              </w:rPr>
              <w:t>。</w:t>
            </w:r>
          </w:p>
        </w:tc>
      </w:tr>
      <w:tr w14:paraId="62431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1197" w:type="dxa"/>
            <w:vAlign w:val="center"/>
          </w:tcPr>
          <w:p w14:paraId="2F284FE5">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32</w:t>
            </w:r>
          </w:p>
        </w:tc>
        <w:tc>
          <w:tcPr>
            <w:tcW w:w="1701" w:type="dxa"/>
            <w:vAlign w:val="center"/>
          </w:tcPr>
          <w:p w14:paraId="72595D4E">
            <w:pPr>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质疑</w:t>
            </w:r>
          </w:p>
        </w:tc>
        <w:tc>
          <w:tcPr>
            <w:tcW w:w="6635" w:type="dxa"/>
            <w:vAlign w:val="center"/>
          </w:tcPr>
          <w:p w14:paraId="18482146">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供应商提供的质疑书应符合中华人民共和国财政部令第 94 号--政府采购质疑和投诉办法的规定。 </w:t>
            </w:r>
          </w:p>
          <w:p w14:paraId="7D5C1A33">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（1）供应商认为磋商文件、磋商过程和</w:t>
            </w:r>
            <w:r>
              <w:rPr>
                <w:rFonts w:hint="eastAsia" w:ascii="宋体" w:hAnsi="宋体" w:cs="宋体"/>
                <w:color w:val="auto"/>
                <w:sz w:val="24"/>
                <w:szCs w:val="24"/>
                <w:highlight w:val="none"/>
                <w:lang w:eastAsia="zh-CN"/>
              </w:rPr>
              <w:t>成交</w:t>
            </w:r>
            <w:r>
              <w:rPr>
                <w:rFonts w:hint="eastAsia" w:ascii="宋体" w:hAnsi="宋体" w:cs="宋体"/>
                <w:color w:val="auto"/>
                <w:sz w:val="24"/>
                <w:szCs w:val="24"/>
                <w:highlight w:val="none"/>
              </w:rPr>
              <w:t>（成交）结果使自己的权益受到损害的，应当在知道或者应知其权益受到损害之日起七个工作日内，以书面形式向采购人、采购代理机构提出质疑。质疑内容不得含有虚假、恶意成分。当事人对自己提出的主张，有责任提供证据， 提出质疑时应同时提交相关证据材料和注明事实的确切来源。</w:t>
            </w:r>
          </w:p>
          <w:p w14:paraId="7311F03F">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（2）质疑的提出： 供应商在法定质疑期内一次性提出针对同一采购程序环节的质疑。供应商对同一采购程序环节的质疑必须一次性提出，采购代理机构、采购人不多次接受同一采购程序环节的质疑。</w:t>
            </w:r>
          </w:p>
          <w:p w14:paraId="1161C70B">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质疑送达方式：以书面形式的原件送达代理机构接收质疑联系人处。</w:t>
            </w:r>
          </w:p>
          <w:p w14:paraId="40A3406A">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（3）质疑供应商：提出质疑的供应商（以下简称质疑供应商） 应当是参与所质疑项目采购活动的供应商。</w:t>
            </w:r>
          </w:p>
          <w:p w14:paraId="78E98C58">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潜在供应商已依法获取其可质疑的磋商文件的，可以对该文件提出质疑。</w:t>
            </w:r>
          </w:p>
        </w:tc>
      </w:tr>
    </w:tbl>
    <w:p w14:paraId="670927DB">
      <w:pPr>
        <w:adjustRightInd w:val="0"/>
        <w:snapToGrid w:val="0"/>
        <w:spacing w:line="360" w:lineRule="auto"/>
        <w:jc w:val="center"/>
        <w:rPr>
          <w:rFonts w:eastAsia="黑体"/>
          <w:color w:val="auto"/>
          <w:sz w:val="30"/>
          <w:szCs w:val="30"/>
          <w:highlight w:val="none"/>
        </w:rPr>
      </w:pPr>
    </w:p>
    <w:bookmarkEnd w:id="32"/>
    <w:bookmarkEnd w:id="33"/>
    <w:bookmarkEnd w:id="34"/>
    <w:p w14:paraId="63EA9BC4">
      <w:pPr>
        <w:rPr>
          <w:color w:val="auto"/>
          <w:highlight w:val="none"/>
        </w:rPr>
      </w:pPr>
    </w:p>
    <w:p w14:paraId="3BDA7CC8">
      <w:pPr>
        <w:pStyle w:val="3"/>
        <w:rPr>
          <w:color w:val="auto"/>
          <w:highlight w:val="none"/>
        </w:rPr>
        <w:sectPr>
          <w:pgSz w:w="11906" w:h="16838"/>
          <w:pgMar w:top="1418" w:right="1247" w:bottom="1418" w:left="1247" w:header="851" w:footer="992" w:gutter="0"/>
          <w:pgNumType w:fmt="decimal"/>
          <w:cols w:space="720" w:num="1"/>
          <w:docGrid w:linePitch="312" w:charSpace="0"/>
        </w:sectPr>
      </w:pPr>
      <w:bookmarkStart w:id="44" w:name="_Toc16853"/>
      <w:bookmarkStart w:id="45" w:name="_Toc14353"/>
    </w:p>
    <w:bookmarkEnd w:id="35"/>
    <w:bookmarkEnd w:id="36"/>
    <w:bookmarkEnd w:id="37"/>
    <w:bookmarkEnd w:id="44"/>
    <w:bookmarkEnd w:id="45"/>
    <w:p w14:paraId="3847C3F2">
      <w:pPr>
        <w:adjustRightInd w:val="0"/>
        <w:snapToGrid w:val="0"/>
        <w:spacing w:line="360" w:lineRule="auto"/>
        <w:ind w:firstLine="482" w:firstLineChars="2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 说明</w:t>
      </w:r>
    </w:p>
    <w:p w14:paraId="250F58E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1采购人、采购代理机构、供应商、负责人、联合体、电子签名、电子交易平台</w:t>
      </w:r>
    </w:p>
    <w:p w14:paraId="07B9ED8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1.1采购人、采购代理机构：指依法进行政府采购的国家机关、事业单位、团体组织，及其委托的采购代理机构。本项目采购人、采购代理机构见第一章《</w:t>
      </w:r>
      <w:r>
        <w:rPr>
          <w:rFonts w:hint="eastAsia" w:ascii="宋体" w:hAnsi="宋体" w:cs="宋体"/>
          <w:color w:val="auto"/>
          <w:sz w:val="24"/>
          <w:szCs w:val="24"/>
          <w:highlight w:val="none"/>
          <w:lang w:val="en-US" w:eastAsia="zh-CN"/>
        </w:rPr>
        <w:t>竞争性磋商公告</w:t>
      </w:r>
      <w:r>
        <w:rPr>
          <w:rFonts w:hint="eastAsia" w:ascii="宋体" w:hAnsi="宋体" w:cs="宋体"/>
          <w:color w:val="auto"/>
          <w:sz w:val="24"/>
          <w:szCs w:val="24"/>
          <w:highlight w:val="none"/>
        </w:rPr>
        <w:t>》。</w:t>
      </w:r>
    </w:p>
    <w:p w14:paraId="72B38DCC">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1.2供应商（也称“申请人”）：指向采购人提供货物、工程或者服务的法人、其他组织或者自然人。</w:t>
      </w:r>
      <w:r>
        <w:rPr>
          <w:rFonts w:hint="eastAsia" w:ascii="宋体" w:hAnsi="宋体" w:cs="宋体"/>
          <w:color w:val="auto"/>
          <w:sz w:val="24"/>
          <w:szCs w:val="24"/>
          <w:highlight w:val="none"/>
          <w:lang w:val="en-US" w:eastAsia="zh-CN"/>
        </w:rPr>
        <w:t xml:space="preserve"> </w:t>
      </w:r>
    </w:p>
    <w:p w14:paraId="026A3D9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1.3负责人：指法人企业的法定负责人，或其他组织为法律、行政法规规定代表单位行使职权的主要负责人，或自然人本人。</w:t>
      </w:r>
    </w:p>
    <w:p w14:paraId="439FDB2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1.4联合体：指两个以上的自然人、法人或者其他组织组成一个联合体，以一个供应商的身份共同参加政府采购。</w:t>
      </w:r>
    </w:p>
    <w:p w14:paraId="4659E04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1.5电子签章：指数据电文中以电子形式所含、所附用于识别签名人身份并表明签名人认可其中内容的数据；“公章”系指单位法定名称章。</w:t>
      </w:r>
    </w:p>
    <w:p w14:paraId="7B06911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1.6电子交易平台：指本项目政府采购活动所依托的政府采购云平台（https://www.zcygov.cn/）（简称“政采云平台”）。</w:t>
      </w:r>
    </w:p>
    <w:p w14:paraId="7ADCBD1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2资金来源、项目属性</w:t>
      </w:r>
    </w:p>
    <w:p w14:paraId="0BB8F15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2.1资金来源为</w:t>
      </w:r>
      <w:r>
        <w:rPr>
          <w:rFonts w:hint="eastAsia" w:ascii="宋体" w:hAnsi="宋体" w:cs="宋体"/>
          <w:color w:val="auto"/>
          <w:sz w:val="24"/>
          <w:szCs w:val="24"/>
          <w:highlight w:val="none"/>
          <w:lang w:val="en-US" w:eastAsia="zh-CN"/>
        </w:rPr>
        <w:t>2026年常态化帮扶资金</w:t>
      </w:r>
      <w:r>
        <w:rPr>
          <w:rFonts w:hint="eastAsia" w:ascii="宋体" w:hAnsi="宋体" w:cs="宋体"/>
          <w:color w:val="auto"/>
          <w:sz w:val="24"/>
          <w:szCs w:val="24"/>
          <w:highlight w:val="none"/>
        </w:rPr>
        <w:t>。</w:t>
      </w:r>
    </w:p>
    <w:p w14:paraId="25D213A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2.2项目属性见《供应商须知》。</w:t>
      </w:r>
    </w:p>
    <w:p w14:paraId="128A803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3现场考察、磋商前答疑会</w:t>
      </w:r>
    </w:p>
    <w:p w14:paraId="5CAFD48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3.1若《供应商须知》中规定了组织现场考察、召开磋商前答疑会，则供应商应按要求在规定的时间和地点参加。</w:t>
      </w:r>
    </w:p>
    <w:p w14:paraId="32C53B92">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3.2由于未参加现场考察或磋商前答疑会而导致对项目实际情况不了解，影响响应文件编制、报价准确性、综合因素响应不全面等问题的，由供应商自行承担不利评审后果。</w:t>
      </w:r>
    </w:p>
    <w:p w14:paraId="7B1197B7">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4政府采购政策（包括但不限于下列具体政策要求）</w:t>
      </w:r>
    </w:p>
    <w:p w14:paraId="07832A7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4.1采购本国货物、工程和服务</w:t>
      </w:r>
    </w:p>
    <w:p w14:paraId="5E1618E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4.1.1政府采购应当采购本国货物、工程和服务。但有《中华人民共和国政府采购法》第十条规定情形的除外。</w:t>
      </w:r>
    </w:p>
    <w:p w14:paraId="1ABF7B2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4.1.2本项目如接受非本国货物、工程、服务参与磋商，则具体要求见第</w:t>
      </w:r>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rPr>
        <w:t>章《采购需求》。</w:t>
      </w:r>
    </w:p>
    <w:p w14:paraId="43C528F9">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4.2中小企业、监狱企业及残疾人福利性单位</w:t>
      </w:r>
    </w:p>
    <w:p w14:paraId="7D304F89">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4.2.1中小企业定义：</w:t>
      </w:r>
    </w:p>
    <w:p w14:paraId="17BDAD34">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4467EA6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4.2.1.2供应商提供的货物、工程或者服务符合下列情形的，享受中小企业扶持政策：</w:t>
      </w:r>
    </w:p>
    <w:p w14:paraId="2E08A224">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（1）在货物采购项目中，货物由中小企业制造，即货物由中小企业生产且使用该中小企业商号或者注册商标；</w:t>
      </w:r>
    </w:p>
    <w:p w14:paraId="3A108BB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（2）在工程采购项目中，工程由中小企业承建，即工程施工单位为中小企业；</w:t>
      </w:r>
    </w:p>
    <w:p w14:paraId="554F795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（3）在服务采购项目中，服务由中小企业承接，即提供服务的人员为中小企业依照《中华人民共和国劳动合同法》订立劳动合同的从业人员。</w:t>
      </w:r>
    </w:p>
    <w:p w14:paraId="1814E9B6">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4.2.1.3在货物采购项目中，供应商提供的货物既有中小企业制造货物，也有大型企业制造货物的，不享受中小企业扶持政策。</w:t>
      </w:r>
    </w:p>
    <w:p w14:paraId="332EF68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4.2.1.4以联合体形式参加政府采购活动，联合体各方均为中小企业的，联合体视同中小企业。其中，联合体各方均为小微企业的，联合体视同小微企业。</w:t>
      </w:r>
    </w:p>
    <w:p w14:paraId="0A1C81C9">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91FE94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4.2.3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D538CE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4.2.3.1安置的残疾人占本单位在职职工人数的比例不低于 25%（含 25%），并且安置的残疾人人数不少于 10人（含10人）；</w:t>
      </w:r>
    </w:p>
    <w:p w14:paraId="7AAE4B4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4.2.3.2依法与安置的每位残疾人签订了一年以上（含一年）的劳动合同或服务协议；</w:t>
      </w:r>
    </w:p>
    <w:p w14:paraId="3FD07907">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4.2.3.3为安置的每位残疾人按月足额缴纳了基本养老保险、基本医疗保险、失业保险、工伤保险和生育保险等社会保险费；</w:t>
      </w:r>
    </w:p>
    <w:p w14:paraId="69CAAF94">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4.2.3.4通过银行等金融机构向安置的每位残疾人，按月支付了不低于单位所在区县适用的经省级人民政府批准的月最低工资标准的工资；</w:t>
      </w:r>
    </w:p>
    <w:p w14:paraId="09D88C0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4.2.3.5提供本单位制造的货物、承担的工程或者服务（以下简称产品），或者提供其他残疾人福利性单位制造的货物（不包括使用非残疾人福利性单位注册商标的货物）；</w:t>
      </w:r>
    </w:p>
    <w:p w14:paraId="49694ED6">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4.2.3.6前款所称残疾人是指法定劳动年龄内，持有《中华人民共和国残疾人证》或者《中华人民共和国残疾军人证（1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44B06185">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4.2.4本项目是否专门面向中小企业预留采购份额见第一章《</w:t>
      </w:r>
      <w:r>
        <w:rPr>
          <w:rFonts w:hint="eastAsia" w:ascii="宋体" w:hAnsi="宋体" w:cs="宋体"/>
          <w:color w:val="auto"/>
          <w:sz w:val="24"/>
          <w:szCs w:val="24"/>
          <w:highlight w:val="none"/>
          <w:lang w:val="en-US" w:eastAsia="zh-CN"/>
        </w:rPr>
        <w:t>竞争性磋商公告</w:t>
      </w:r>
      <w:r>
        <w:rPr>
          <w:rFonts w:hint="eastAsia" w:ascii="宋体" w:hAnsi="宋体" w:cs="宋体"/>
          <w:color w:val="auto"/>
          <w:sz w:val="24"/>
          <w:szCs w:val="24"/>
          <w:highlight w:val="none"/>
        </w:rPr>
        <w:t>》。</w:t>
      </w:r>
    </w:p>
    <w:p w14:paraId="4A218C3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4.2.5采购标的对应的中小企业划分标准所属行业见《供应商须知》。</w:t>
      </w:r>
    </w:p>
    <w:p w14:paraId="086608E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4.2.6小微企业价格评审优惠的政策调整：见第三章《评审方法和评审标准》。</w:t>
      </w:r>
    </w:p>
    <w:p w14:paraId="343E3EC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4.3政府采购节能产品、环境标志产品</w:t>
      </w:r>
    </w:p>
    <w:p w14:paraId="2976440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AB090A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p>
    <w:p w14:paraId="6365F842">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〔2019〕9 号）。</w:t>
      </w:r>
    </w:p>
    <w:p w14:paraId="4AE64306">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4.3.3如本项目采购产品属于实施政府强制采购品目清单范围的节能产品， 则供应商所报产品必须获得国家确定的认证机构出具的、处于有效期之内的节能产品认证证书，否则响应无效；</w:t>
      </w:r>
    </w:p>
    <w:p w14:paraId="4EA67BB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4.3.4非政府强制采购的节能产品或环境标志产品，依据品目清单和认证证书实施政府优先采购。优先采购的具体规定见第三章《评审方法和评审标准》（如涉及）。</w:t>
      </w:r>
    </w:p>
    <w:p w14:paraId="3007C87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4.4正版软件</w:t>
      </w:r>
    </w:p>
    <w:p w14:paraId="5FC0B3E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4.4.1依据《财政部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F83EEA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4.4.2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w:t>
      </w:r>
    </w:p>
    <w:p w14:paraId="64D2EB6C">
      <w:pPr>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（国办发〔2010〕47 号）、《财政部关于进一步做好政府机关使用正版软件工作的通知》（财预〔2010〕536 号）。</w:t>
      </w:r>
    </w:p>
    <w:p w14:paraId="24B9D4A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4.5网络安全专用产品</w:t>
      </w:r>
    </w:p>
    <w:p w14:paraId="3653E16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5E079DB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4.6采购需求标准</w:t>
      </w:r>
    </w:p>
    <w:p w14:paraId="43812E6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4.6.1商品包装、快递包装政府采购需求标准（试行）</w:t>
      </w:r>
    </w:p>
    <w:p w14:paraId="50CE16D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309932F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4.6.2绿色数据中心政府采购需求标准（试行）</w:t>
      </w:r>
    </w:p>
    <w:p w14:paraId="6B5E9B7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为加快数据中心绿色转型，根据财政部、生态环境部 工业和信息化部关于印发《绿色数据中心政府采购需求标准（试行）》的通知（财库〔2023〕7 号），本项目如涉及绿色数据中心，则具体要求见第</w:t>
      </w:r>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rPr>
        <w:t>章《采购需求》。</w:t>
      </w:r>
    </w:p>
    <w:p w14:paraId="08C35BB7">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4.6.3 工作站政府采购需求标准（2023版）</w:t>
      </w:r>
    </w:p>
    <w:p w14:paraId="57B8626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为提高工作站政府采购需求管理的科学化、规范化水平，财政部、工业和信息化部关于印发《工作站政府采购需求标准（2023年版）》的通知（财库〔2023〕32号），本项目如涉及工作站，则具体要求见第</w:t>
      </w:r>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rPr>
        <w:t>章《采购需求》。</w:t>
      </w:r>
    </w:p>
    <w:p w14:paraId="4D4E9DB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4.6.4  通用服务器政府采购需求标准（2023版）</w:t>
      </w:r>
    </w:p>
    <w:p w14:paraId="2E2C17D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为提高通用服务器政府采购需求管理的科学化、规范化水平，财政部、工业和信息化部关于印发《通用服务器政府采购需求标准（2023年版）》的通知（财库〔2023〕33号），本项目如涉及通用服务器，则具体要求见第</w:t>
      </w:r>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rPr>
        <w:t>章《采购需求》。</w:t>
      </w:r>
    </w:p>
    <w:p w14:paraId="3EB34E5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4.6.5  操作系统政府采购需求标准（2023版）</w:t>
      </w:r>
    </w:p>
    <w:p w14:paraId="18C7528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为提高操作系统的科学化、规范化水平，财政部、工业和信息化部关于印发《操作系统政府采购需求标准（2023年版）》的通知（财库〔2023〕34号），本项目如涉及操作系统，则具体要求见第</w:t>
      </w:r>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rPr>
        <w:t>章《采购需求》。</w:t>
      </w:r>
    </w:p>
    <w:p w14:paraId="35C57EA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4.6.6  数据库政府采购需求标准（2023版）</w:t>
      </w:r>
    </w:p>
    <w:p w14:paraId="1DA54A9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为提高数据库政府采购需求管理的科学化、规范化水平，财政部、工业和信息化部关于印发《数据库政府采购需求标准（2023年版）》的通知（财库〔2023〕35号），本项目如涉及数据库，则具体要求见第</w:t>
      </w:r>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rPr>
        <w:t>章《采购需求》。</w:t>
      </w:r>
    </w:p>
    <w:p w14:paraId="4511CA4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5响应费用</w:t>
      </w:r>
    </w:p>
    <w:p w14:paraId="7EF3B8F7">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5.1供应商应自行承担所有与准备和参加磋商有关的费用，无论磋商的结果如何， 采购人或采购代理机构在任何情况下均无承担这些费用的义务和责任。</w:t>
      </w:r>
    </w:p>
    <w:p w14:paraId="3D82B6BC">
      <w:pPr>
        <w:adjustRightInd w:val="0"/>
        <w:snapToGrid w:val="0"/>
        <w:spacing w:line="360" w:lineRule="auto"/>
        <w:ind w:firstLine="480" w:firstLineChars="200"/>
        <w:rPr>
          <w:rFonts w:hint="eastAsia" w:ascii="宋体" w:hAnsi="宋体" w:cs="宋体"/>
          <w:color w:val="auto"/>
          <w:sz w:val="24"/>
          <w:szCs w:val="24"/>
          <w:highlight w:val="none"/>
        </w:rPr>
      </w:pPr>
    </w:p>
    <w:p w14:paraId="4DFF9CFB">
      <w:pPr>
        <w:adjustRightInd w:val="0"/>
        <w:snapToGrid w:val="0"/>
        <w:spacing w:line="360" w:lineRule="auto"/>
        <w:ind w:firstLine="480" w:firstLineChars="200"/>
        <w:rPr>
          <w:rFonts w:hint="eastAsia" w:ascii="宋体" w:hAnsi="宋体" w:cs="宋体"/>
          <w:color w:val="auto"/>
          <w:sz w:val="24"/>
          <w:szCs w:val="24"/>
          <w:highlight w:val="none"/>
        </w:rPr>
      </w:pPr>
    </w:p>
    <w:p w14:paraId="3635F0B2">
      <w:pPr>
        <w:adjustRightInd w:val="0"/>
        <w:snapToGrid w:val="0"/>
        <w:spacing w:line="360" w:lineRule="auto"/>
        <w:ind w:firstLine="482" w:firstLineChars="200"/>
        <w:jc w:val="center"/>
        <w:rPr>
          <w:rFonts w:hint="eastAsia" w:ascii="宋体" w:hAnsi="宋体" w:cs="宋体"/>
          <w:b/>
          <w:bCs/>
          <w:color w:val="auto"/>
          <w:sz w:val="24"/>
          <w:szCs w:val="24"/>
          <w:highlight w:val="none"/>
        </w:rPr>
      </w:pPr>
    </w:p>
    <w:p w14:paraId="689B26E8">
      <w:pPr>
        <w:adjustRightInd w:val="0"/>
        <w:snapToGrid w:val="0"/>
        <w:spacing w:line="360" w:lineRule="auto"/>
        <w:ind w:firstLine="482" w:firstLineChars="2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竞争性磋商文件</w:t>
      </w:r>
    </w:p>
    <w:p w14:paraId="5797145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6竞争性磋商文件构成</w:t>
      </w:r>
    </w:p>
    <w:p w14:paraId="223D49E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6.1竞争性磋商文件包括以下部分： </w:t>
      </w:r>
    </w:p>
    <w:p w14:paraId="76D42D4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第一章</w:t>
      </w:r>
      <w:r>
        <w:rPr>
          <w:rFonts w:hint="eastAsia" w:ascii="宋体" w:hAnsi="宋体" w:cs="宋体"/>
          <w:color w:val="auto"/>
          <w:sz w:val="24"/>
          <w:szCs w:val="24"/>
          <w:highlight w:val="none"/>
        </w:rPr>
        <w:tab/>
      </w:r>
      <w:r>
        <w:rPr>
          <w:rFonts w:hint="eastAsia" w:ascii="宋体" w:hAnsi="宋体" w:cs="宋体"/>
          <w:color w:val="auto"/>
          <w:sz w:val="24"/>
          <w:szCs w:val="24"/>
          <w:highlight w:val="none"/>
        </w:rPr>
        <w:t>磋商公告</w:t>
      </w:r>
    </w:p>
    <w:p w14:paraId="4CF8E1C6">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第二章</w:t>
      </w:r>
      <w:r>
        <w:rPr>
          <w:rFonts w:hint="eastAsia" w:ascii="宋体" w:hAnsi="宋体" w:cs="宋体"/>
          <w:color w:val="auto"/>
          <w:sz w:val="24"/>
          <w:szCs w:val="24"/>
          <w:highlight w:val="none"/>
        </w:rPr>
        <w:tab/>
      </w:r>
      <w:r>
        <w:rPr>
          <w:rFonts w:hint="eastAsia" w:ascii="宋体" w:hAnsi="宋体" w:cs="宋体"/>
          <w:color w:val="auto"/>
          <w:sz w:val="24"/>
          <w:szCs w:val="24"/>
          <w:highlight w:val="none"/>
        </w:rPr>
        <w:t>供应商须知</w:t>
      </w:r>
    </w:p>
    <w:p w14:paraId="4546D33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第三章</w:t>
      </w:r>
      <w:r>
        <w:rPr>
          <w:rFonts w:hint="eastAsia" w:ascii="宋体" w:hAnsi="宋体" w:cs="宋体"/>
          <w:color w:val="auto"/>
          <w:sz w:val="24"/>
          <w:szCs w:val="24"/>
          <w:highlight w:val="none"/>
        </w:rPr>
        <w:tab/>
      </w:r>
      <w:r>
        <w:rPr>
          <w:rFonts w:hint="eastAsia" w:ascii="宋体" w:hAnsi="宋体" w:cs="宋体"/>
          <w:color w:val="auto"/>
          <w:sz w:val="24"/>
          <w:szCs w:val="24"/>
          <w:highlight w:val="none"/>
        </w:rPr>
        <w:t>评审方法和评审标准</w:t>
      </w:r>
    </w:p>
    <w:p w14:paraId="765CCCBB">
      <w:pPr>
        <w:adjustRightInd w:val="0"/>
        <w:snapToGrid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第四章</w:t>
      </w:r>
      <w:r>
        <w:rPr>
          <w:rFonts w:hint="eastAsia" w:ascii="宋体" w:hAnsi="宋体" w:cs="宋体"/>
          <w:color w:val="auto"/>
          <w:sz w:val="24"/>
          <w:szCs w:val="24"/>
          <w:highlight w:val="none"/>
        </w:rPr>
        <w:tab/>
      </w:r>
      <w:r>
        <w:rPr>
          <w:rFonts w:hint="eastAsia" w:ascii="宋体" w:hAnsi="宋体" w:cs="宋体"/>
          <w:color w:val="auto"/>
          <w:sz w:val="24"/>
          <w:szCs w:val="24"/>
          <w:highlight w:val="none"/>
        </w:rPr>
        <w:t>合同</w:t>
      </w:r>
      <w:r>
        <w:rPr>
          <w:rFonts w:hint="eastAsia" w:ascii="宋体" w:hAnsi="宋体" w:cs="宋体"/>
          <w:color w:val="auto"/>
          <w:sz w:val="24"/>
          <w:szCs w:val="24"/>
          <w:highlight w:val="none"/>
          <w:lang w:val="en-US" w:eastAsia="zh-CN"/>
        </w:rPr>
        <w:t>主要</w:t>
      </w:r>
      <w:r>
        <w:rPr>
          <w:rFonts w:hint="eastAsia" w:ascii="宋体" w:hAnsi="宋体" w:cs="宋体"/>
          <w:color w:val="auto"/>
          <w:sz w:val="24"/>
          <w:szCs w:val="24"/>
          <w:highlight w:val="none"/>
        </w:rPr>
        <w:t>条款</w:t>
      </w:r>
      <w:r>
        <w:rPr>
          <w:rFonts w:hint="eastAsia" w:ascii="宋体" w:hAnsi="宋体" w:cs="宋体"/>
          <w:color w:val="auto"/>
          <w:sz w:val="24"/>
          <w:szCs w:val="24"/>
          <w:highlight w:val="none"/>
          <w:lang w:val="en-US" w:eastAsia="zh-CN"/>
        </w:rPr>
        <w:t>及格式</w:t>
      </w:r>
    </w:p>
    <w:p w14:paraId="03CF30F7">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第五章</w:t>
      </w:r>
      <w:r>
        <w:rPr>
          <w:rFonts w:hint="eastAsia" w:ascii="宋体" w:hAnsi="宋体" w:cs="宋体"/>
          <w:color w:val="auto"/>
          <w:sz w:val="24"/>
          <w:szCs w:val="24"/>
          <w:highlight w:val="none"/>
        </w:rPr>
        <w:tab/>
      </w:r>
      <w:r>
        <w:rPr>
          <w:rFonts w:hint="eastAsia" w:ascii="宋体" w:hAnsi="宋体" w:cs="宋体"/>
          <w:color w:val="auto"/>
          <w:sz w:val="24"/>
          <w:szCs w:val="24"/>
          <w:highlight w:val="none"/>
        </w:rPr>
        <w:t>采购需求</w:t>
      </w:r>
    </w:p>
    <w:p w14:paraId="78DE2756">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第六章</w:t>
      </w:r>
      <w:r>
        <w:rPr>
          <w:rFonts w:hint="eastAsia" w:ascii="宋体" w:hAnsi="宋体" w:cs="宋体"/>
          <w:color w:val="auto"/>
          <w:sz w:val="24"/>
          <w:szCs w:val="24"/>
          <w:highlight w:val="none"/>
        </w:rPr>
        <w:tab/>
      </w:r>
      <w:r>
        <w:rPr>
          <w:rFonts w:hint="eastAsia" w:ascii="宋体" w:hAnsi="宋体" w:cs="宋体"/>
          <w:color w:val="auto"/>
          <w:sz w:val="24"/>
          <w:szCs w:val="24"/>
          <w:highlight w:val="none"/>
        </w:rPr>
        <w:t>响应文件格式</w:t>
      </w:r>
    </w:p>
    <w:p w14:paraId="1EE894C0">
      <w:pPr>
        <w:adjustRightInd w:val="0"/>
        <w:snapToGrid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第七章 图纸</w:t>
      </w:r>
    </w:p>
    <w:p w14:paraId="0CD94CC6">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6.2与本项目有关的澄清或者修改的内容为磋商文件的组成部分</w:t>
      </w:r>
    </w:p>
    <w:p w14:paraId="2E29E174">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6.3供应商应认真阅读竞争性磋商文件的全部内容。供应商应按照竞争性磋商文件要求提交响应文件并保证所提供的全部资料的真实性，并对竞争性磋商文件做出实质性响应，否则响应无效。</w:t>
      </w:r>
    </w:p>
    <w:p w14:paraId="1D48CD8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7对竞争性磋商文件的澄清或修改</w:t>
      </w:r>
    </w:p>
    <w:p w14:paraId="1816AC67">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7.1采购人、采购代理机构或者磋商小组对已发出的竞争性磋商文件进行必要澄清或者修改的，以电子交易平台通知所有获取竞争性磋商文件的潜在供应商。采用公告方式邀请供应商参与的，还将在原公告发布媒体上发布更正公告。</w:t>
      </w:r>
    </w:p>
    <w:p w14:paraId="160FE31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7.2澄清或者修改的内容为竞争性磋商文件的组成部分，并对所有获取竞争性磋商文件的潜在供应商具有约束力。澄清或者修改的内容可能影响响应文件编制的，将在提交首次响应文件截止之日 5日前，通过电子交易平台通知所有获取磋商文件的供应商；不足上述时间的，将顺延提交响应文件截止时间。</w:t>
      </w:r>
    </w:p>
    <w:p w14:paraId="5412A9A6">
      <w:pPr>
        <w:adjustRightInd w:val="0"/>
        <w:snapToGrid w:val="0"/>
        <w:spacing w:line="360" w:lineRule="auto"/>
        <w:ind w:firstLine="482" w:firstLineChars="200"/>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三</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响应文件的编制</w:t>
      </w:r>
    </w:p>
    <w:p w14:paraId="7387FD9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8响应范围、竞争性磋商文件中计量单位的使用及磋商语言</w:t>
      </w:r>
    </w:p>
    <w:p w14:paraId="35AE3F5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8.1本项目如划分采购包，供应商可以对本项目的其中一个采购包进行响应，也可同时对多个采购包进行响应。供应商应当对所参与采购包对应第</w:t>
      </w:r>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rPr>
        <w:t>章《采购需求》所列的全部内容进行响应，不得将一个采购包中的内容拆分响应， 否则其对该采购包的响应将被认定为无效响应。响应文件全部采用电子文档，供应商应安装客户端软件—“政采云电子交易客户端”，并按照磋商文件和政采云平台的要求编制并加密。</w:t>
      </w:r>
    </w:p>
    <w:p w14:paraId="01AE3144">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8.2除竞争性磋商文件有特殊要求外，本项目磋商所使用的计量单位，应采用中华人民共和国法定计量单位。</w:t>
      </w:r>
    </w:p>
    <w:p w14:paraId="0D6E190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001AAF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9响应文件构成</w:t>
      </w:r>
    </w:p>
    <w:p w14:paraId="026FF83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9.1供应商应当按照竞争性磋商文件的要求编制响应文件，并对其提交的响应文件的真实性、合法性承担法律责任。响应文件的部分格式要求，见第六章《响应文件格式》。</w:t>
      </w:r>
    </w:p>
    <w:p w14:paraId="0982937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9.2对于竞争性磋商文件</w:t>
      </w:r>
      <w:r>
        <w:rPr>
          <w:rFonts w:hint="eastAsia" w:ascii="宋体" w:hAnsi="宋体" w:cs="宋体"/>
          <w:color w:val="auto"/>
          <w:sz w:val="24"/>
          <w:szCs w:val="24"/>
          <w:highlight w:val="none"/>
          <w:lang w:eastAsia="zh-CN"/>
        </w:rPr>
        <w:t>成交</w:t>
      </w:r>
      <w:r>
        <w:rPr>
          <w:rFonts w:hint="eastAsia" w:ascii="宋体" w:hAnsi="宋体" w:cs="宋体"/>
          <w:color w:val="auto"/>
          <w:sz w:val="24"/>
          <w:szCs w:val="24"/>
          <w:highlight w:val="none"/>
        </w:rPr>
        <w:t>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p>
    <w:p w14:paraId="41AD0E49">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9.3第三章《评审方法和评审标准》中涉及的证明文件。</w:t>
      </w:r>
    </w:p>
    <w:p w14:paraId="47F22BF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9.4对照第五章《采购需求》，说明所提供货物和服务已对第五章《采购需求》做出了响应，或申明与第五章《采购需求》的偏差和例外。如第五章《采购需求》中要求提供证明文件的，供应商应当按具体要求提供证明文件。</w:t>
      </w:r>
    </w:p>
    <w:p w14:paraId="0C7BE47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9.5供应商认为应附的其他材料。</w:t>
      </w:r>
    </w:p>
    <w:p w14:paraId="5EEFB85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10报价</w:t>
      </w:r>
    </w:p>
    <w:p w14:paraId="5098C3E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10.1所有响应均以人民币报价。</w:t>
      </w:r>
    </w:p>
    <w:p w14:paraId="730B1786">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10.2供应商的报价为竞争性磋商文件要求完成本项目的全部相关费用，应包括为完成本项目所发生的一切费用和税费，采购人将不再支付报价以外的任何费用。供应商的报价应包括但不限于下列内容，《供应商须知》中有特殊规定的，从其规定。</w:t>
      </w:r>
    </w:p>
    <w:p w14:paraId="4381425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10.3采购人不得向供应商索要或者接受其给予的赠品、回扣或者与采购无关的其他商品、服务。</w:t>
      </w:r>
    </w:p>
    <w:p w14:paraId="742CD13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10.4供应商不能提供任何有选择性或可调整的最后报价（竞争性磋商文件另有规定的除外），否则其响应无效。</w:t>
      </w:r>
    </w:p>
    <w:p w14:paraId="694E696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11磋商保证金</w:t>
      </w:r>
    </w:p>
    <w:p w14:paraId="663B596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11.1供应商应按《供应商须知》中规定的金额及要求交纳磋商保证金。</w:t>
      </w:r>
    </w:p>
    <w:p w14:paraId="6A3EA9B5">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11.2交纳磋商保证金可采用的形式：政府采购法律法规接受的支票、汇票、本票、网上银行支付或者金融机构、担保机构出具的保函、保证保险等非现金形式。</w:t>
      </w:r>
    </w:p>
    <w:p w14:paraId="0F547E7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11.3磋商保证金到账（保函提交）截止时间同首次响应文件提交截止时间。以支票、汇票、本票、网上银行支付等形式提交保证金的，应在首次响应文件提交截止时间前到账；以金融机构、担保机构出具的保函、保证保险等形式提交保证金的，应在首次响应文件提交截止时间前将原件提交至采购代理机构</w:t>
      </w:r>
      <w:r>
        <w:rPr>
          <w:rFonts w:hint="eastAsia" w:ascii="宋体" w:hAnsi="宋体" w:cs="宋体"/>
          <w:b/>
          <w:bCs/>
          <w:color w:val="auto"/>
          <w:sz w:val="24"/>
          <w:szCs w:val="24"/>
          <w:highlight w:val="none"/>
          <w:lang w:val="en-US" w:eastAsia="zh-CN"/>
        </w:rPr>
        <w:t>或邮箱发送至采购代理机构邮箱（</w:t>
      </w:r>
      <w:r>
        <w:rPr>
          <w:rFonts w:hint="eastAsia" w:ascii="宋体" w:hAnsi="宋体" w:cs="宋体"/>
          <w:b/>
          <w:bCs/>
          <w:color w:val="auto"/>
          <w:sz w:val="24"/>
          <w:szCs w:val="24"/>
          <w:highlight w:val="none"/>
          <w:lang w:val="en-US" w:eastAsia="zh-CN"/>
        </w:rPr>
        <w:fldChar w:fldCharType="begin"/>
      </w:r>
      <w:r>
        <w:rPr>
          <w:rFonts w:hint="eastAsia" w:ascii="宋体" w:hAnsi="宋体" w:cs="宋体"/>
          <w:b/>
          <w:bCs/>
          <w:color w:val="auto"/>
          <w:sz w:val="24"/>
          <w:szCs w:val="24"/>
          <w:highlight w:val="none"/>
          <w:lang w:val="en-US" w:eastAsia="zh-CN"/>
        </w:rPr>
        <w:instrText xml:space="preserve"> HYPERLINK "mailto:ynjczbzt@163.com" </w:instrText>
      </w:r>
      <w:r>
        <w:rPr>
          <w:rFonts w:hint="eastAsia" w:ascii="宋体" w:hAnsi="宋体" w:cs="宋体"/>
          <w:b/>
          <w:bCs/>
          <w:color w:val="auto"/>
          <w:sz w:val="24"/>
          <w:szCs w:val="24"/>
          <w:highlight w:val="none"/>
          <w:lang w:val="en-US" w:eastAsia="zh-CN"/>
        </w:rPr>
        <w:fldChar w:fldCharType="separate"/>
      </w:r>
      <w:r>
        <w:rPr>
          <w:rFonts w:hint="eastAsia" w:ascii="宋体" w:hAnsi="宋体" w:cs="宋体"/>
          <w:b/>
          <w:bCs/>
          <w:color w:val="auto"/>
          <w:sz w:val="24"/>
          <w:szCs w:val="24"/>
          <w:highlight w:val="none"/>
          <w:lang w:val="en-US" w:eastAsia="zh-CN"/>
        </w:rPr>
        <w:t>ynjczbzt@163.com</w:t>
      </w:r>
      <w:r>
        <w:rPr>
          <w:rFonts w:hint="eastAsia" w:ascii="宋体" w:hAnsi="宋体" w:cs="宋体"/>
          <w:b/>
          <w:bCs/>
          <w:color w:val="auto"/>
          <w:sz w:val="24"/>
          <w:szCs w:val="24"/>
          <w:highlight w:val="none"/>
          <w:lang w:val="en-US" w:eastAsia="zh-CN"/>
        </w:rPr>
        <w:fldChar w:fldCharType="end"/>
      </w:r>
      <w:r>
        <w:rPr>
          <w:rFonts w:hint="eastAsia" w:ascii="宋体" w:hAnsi="宋体" w:cs="宋体"/>
          <w:b/>
          <w:bCs/>
          <w:color w:val="auto"/>
          <w:sz w:val="24"/>
          <w:szCs w:val="24"/>
          <w:highlight w:val="none"/>
          <w:lang w:val="en-US" w:eastAsia="zh-CN"/>
        </w:rPr>
        <w:t>）</w:t>
      </w:r>
      <w:r>
        <w:rPr>
          <w:rFonts w:hint="eastAsia" w:ascii="宋体" w:hAnsi="宋体" w:cs="宋体"/>
          <w:color w:val="auto"/>
          <w:sz w:val="24"/>
          <w:szCs w:val="24"/>
          <w:highlight w:val="none"/>
        </w:rPr>
        <w:t>；由于到账时间晚于首次响应文件提交截止时间的，或者票据错误、印鉴不清等原因导致不能到账的，其响应无效。</w:t>
      </w:r>
    </w:p>
    <w:p w14:paraId="4487DA1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11.4磋商保证金有效期同响应有效期。</w:t>
      </w:r>
    </w:p>
    <w:p w14:paraId="17B6BD4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11.5供应商为联合体的，可以由联合体中的一方或者多方共同交纳磋商保证金， 其交纳的保证金对联合体各方均具有约束力。</w:t>
      </w:r>
    </w:p>
    <w:p w14:paraId="4EFDFAE4">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11.6采购人、采购代理机构将及时退还供应商的保证金，采用支票、汇票、本票、网上银行支付等形式提交的保证金，采购人、采购代理机构以网银对公转账的方式退还到投供应商的汇款账户；采用银行保函、担保机构担保函等形式提交的保证金，经供应商同意后采购人、采购代理机构可以不再退还；但因供应商自身原因导致无法及时退还的除外：</w:t>
      </w:r>
    </w:p>
    <w:p w14:paraId="6DEF0027">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11.6.1已提交响应文件的供应商，在提交最后报价之前，可以根据磋商情况退出磋商。采购人、采购代理机构将退还退出磋商的供应商的磋商保证金；</w:t>
      </w:r>
    </w:p>
    <w:p w14:paraId="5A0A3B1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11.6.2</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供应商的磋商保证金，在采购合同签订后 5 个工作日内退还</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w:t>
      </w:r>
    </w:p>
    <w:p w14:paraId="0229C579">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11.6.3未</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供应商的磋商保证金，在</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通知书发出后 5 个工作日内退还。</w:t>
      </w:r>
    </w:p>
    <w:p w14:paraId="534062E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11.7有下列情形之一的，采购人或采购代理机构不予退还磋商保证金：</w:t>
      </w:r>
    </w:p>
    <w:p w14:paraId="3E0FD5B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11.7.1供应商在提交响应文件截止时间后撤回响应文件的；</w:t>
      </w:r>
    </w:p>
    <w:p w14:paraId="165F73C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11.7.2供应商在响应文件中提供虚假材料的；</w:t>
      </w:r>
    </w:p>
    <w:p w14:paraId="3B4795A9">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11.7.3除因不可抗力或磋商文件认可的情形以外，</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供应商不与采购人签订合同的；</w:t>
      </w:r>
    </w:p>
    <w:p w14:paraId="02CD3297">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11.7.4供应商与采购人、其他供应商或者采购代理机构恶意串通的；</w:t>
      </w:r>
    </w:p>
    <w:p w14:paraId="5B07DDB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11.7.5《供应商须知》规定的其他情形。</w:t>
      </w:r>
    </w:p>
    <w:p w14:paraId="06415E4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12响应有效期</w:t>
      </w:r>
    </w:p>
    <w:p w14:paraId="35EE51F5">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12.1响应文件应在本竞争性磋商文件《供应商须知》中规定的响应有效期内保持有效，响应有效期少于竞争性磋商文件规定期限的，其响应无效。</w:t>
      </w:r>
    </w:p>
    <w:p w14:paraId="46CFB1B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13响应文件的签署、盖章</w:t>
      </w:r>
    </w:p>
    <w:p w14:paraId="48A01887">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0F2CEE25">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13.2竞争性磋商文件要求盖章的内容，可以通过文件编制工具加盖电子签章。</w:t>
      </w:r>
    </w:p>
    <w:p w14:paraId="0EDD210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13.3《供应商须知》规定的其他情形</w:t>
      </w:r>
    </w:p>
    <w:p w14:paraId="536E7249">
      <w:pPr>
        <w:adjustRightInd w:val="0"/>
        <w:snapToGrid w:val="0"/>
        <w:spacing w:line="360" w:lineRule="auto"/>
        <w:ind w:firstLine="482" w:firstLineChars="2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四</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响应文件的提交</w:t>
      </w:r>
    </w:p>
    <w:p w14:paraId="19A55969">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14响应文件的提交</w:t>
      </w:r>
    </w:p>
    <w:p w14:paraId="7EC14056">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14.1本项目使用政采云平台。供应商根据竞争性磋商文件及电子交易平台供应商操作手册要求编制、生成并提交电子响应文件，并按照采购文件和电子交易平台的要求编制并加密响应文件。供应商未按规定加密的响应文件，电子交易平台将拒收并提示。。</w:t>
      </w:r>
    </w:p>
    <w:p w14:paraId="2C1EB012">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14.2为确保网上操作合法、有效和安全，供应商应当在响应文件提交截止时间前完成在“政采云平台”的身份认证，确保在电子交易过程中能够对相关数据电文进行加密和使用电子签名。</w:t>
      </w:r>
    </w:p>
    <w:p w14:paraId="384C211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14.3采购人及采购代理机构拒绝接受通过电子交易平台以外任何形式提交的响应文件，磋商保证金除外。</w:t>
      </w:r>
    </w:p>
    <w:p w14:paraId="450FC1C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15响应文件提交截止时间</w:t>
      </w:r>
    </w:p>
    <w:p w14:paraId="18464B5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15.1供应商应在竞争性磋商文件要求响应文件提交截止时间前，将电子响应文件提交至电子交易平台。</w:t>
      </w:r>
    </w:p>
    <w:p w14:paraId="0C1AF59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16响应文件的修改与撤回</w:t>
      </w:r>
    </w:p>
    <w:p w14:paraId="7FC80DC2">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17A0675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16.2供应商对响应文件的补充、修改的内容应当按照竞争性磋商文件要求签署、盖章，作为响应文件的组成部分。补充、修改的内容与响应文件不一致的， 以补充、修改的内容为准。</w:t>
      </w:r>
    </w:p>
    <w:p w14:paraId="0E30DE17">
      <w:pPr>
        <w:adjustRightInd w:val="0"/>
        <w:snapToGrid w:val="0"/>
        <w:spacing w:line="360" w:lineRule="auto"/>
        <w:ind w:firstLine="482" w:firstLineChars="2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评审</w:t>
      </w:r>
    </w:p>
    <w:p w14:paraId="4D76828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17响应文件的解密与开启</w:t>
      </w:r>
    </w:p>
    <w:p w14:paraId="6F083D9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17.1采购人或采购代理机构将按竞争性磋商文件的规定，在响应文件提交截止时间的同一时间和竞争性磋商文件预先确定的地点开启响应文件。</w:t>
      </w:r>
    </w:p>
    <w:p w14:paraId="71D2D60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17.2本项目解密使用政采云平台。采购代理机构依托该电子交易平台发起开始解密指令，供应商须使用加密时所用的CA锁按平台提示和采购文件的规定登录到政采云平台电子开标大厅签到，并在发起解密指令之时起</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分钟内完成对电子响应文件在线解密。</w:t>
      </w:r>
    </w:p>
    <w:p w14:paraId="33D94DE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17.3发起解密指令之时起5分钟内供应商还未进行解密的，代理机构可通知供应商，供应商未预留联系方式或预留联系方式无效，导致代理机构无法联系到供应商进行解密的，视为撤回响应文件。</w:t>
      </w:r>
    </w:p>
    <w:p w14:paraId="0794940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17.4供应商应在规定的时间内对响应文件进行解密，因非系统原因导致的解密失败，视为无效响应。</w:t>
      </w:r>
    </w:p>
    <w:p w14:paraId="52FA3A2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17.5电子交易活动的中止</w:t>
      </w:r>
    </w:p>
    <w:p w14:paraId="5D268844">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采购过程中出现以下情形，导致电子交易平台无法正常运行，或者无法保证电子交易的公平、公正和安全时，采购代理机构可中止电子交易活动：</w:t>
      </w:r>
    </w:p>
    <w:p w14:paraId="5FA23E1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（1）电子交易平台发生故障而无法登录访问的；</w:t>
      </w:r>
    </w:p>
    <w:p w14:paraId="192BC2E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（2）电子交易平台应用或数据库出现错误，不能进行正常操作的；</w:t>
      </w:r>
    </w:p>
    <w:p w14:paraId="705C57B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（3）电子交易平台发现严重安全漏洞，有潜在泄密危险的；</w:t>
      </w:r>
    </w:p>
    <w:p w14:paraId="5530E776">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（4）病毒发作导致不能进行正常操作的；</w:t>
      </w:r>
    </w:p>
    <w:p w14:paraId="689626C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（5）其他无法保证电子交易的公平、公正和安全的情况。</w:t>
      </w:r>
    </w:p>
    <w:p w14:paraId="11C6408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17.6出现17.5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53329B3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17.7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3F79E6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17.8供应商不足 3 家的，不予解密。</w:t>
      </w:r>
    </w:p>
    <w:p w14:paraId="7FFA1B2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17.9本项目不公开报价。</w:t>
      </w:r>
    </w:p>
    <w:p w14:paraId="39298379">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18磋商小组</w:t>
      </w:r>
    </w:p>
    <w:p w14:paraId="5567779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18.1磋商小组根据政府采购有关规定和本次采购项目的特点进行组建，并负责具体评审与磋商事务，独立履行职责。</w:t>
      </w:r>
    </w:p>
    <w:p w14:paraId="0E085177">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18.2评审专家须符合《财政部关于在政府采购活动中查询及使用信用记录有关问题的通知》（财库〔2016〕125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56BF9D66">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19评审方法和评审标准</w:t>
      </w:r>
    </w:p>
    <w:p w14:paraId="55117C6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19.1见第三章《评审方法和评审标准》。</w:t>
      </w:r>
    </w:p>
    <w:p w14:paraId="22CD50EC">
      <w:pPr>
        <w:adjustRightInd w:val="0"/>
        <w:snapToGrid w:val="0"/>
        <w:spacing w:line="360" w:lineRule="auto"/>
        <w:ind w:firstLine="482" w:firstLineChars="2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六</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确定成交</w:t>
      </w:r>
    </w:p>
    <w:p w14:paraId="5279A0F2">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20确定</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w:t>
      </w:r>
    </w:p>
    <w:p w14:paraId="0CE10D12">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20.1采购人将在收到评审报告后，从评审报告提出的</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候选供应商中，按照排序由高到低的原则确定</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供应商。采购人是否授权磋商小组直接确定成交供应商，见《供应商须知》。</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候选人并列的，按照《供应商须知》要求确定成交供应商。</w:t>
      </w:r>
    </w:p>
    <w:p w14:paraId="4C322B3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公告与</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通知书</w:t>
      </w:r>
    </w:p>
    <w:p w14:paraId="35B024A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21.1采购人或采购代理机构将在</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供应商确定后 2 个工作日内，在云南省政府采购网公告</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结果，同时向</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供应商发出</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通知书，</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 xml:space="preserve">公告期限为 </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个工作日。</w:t>
      </w:r>
    </w:p>
    <w:p w14:paraId="72DA38E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21.2</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通知书对采购人和</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供应商均具有法律效力。</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通知书发出后，采购人改变</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结果的，或者</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供应商放弃</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项目的，应当依法承担法律责任。</w:t>
      </w:r>
    </w:p>
    <w:p w14:paraId="7587FA5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22终止</w:t>
      </w:r>
    </w:p>
    <w:p w14:paraId="3E729572">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22.1出现下列情形之一的，采购人或采购代理机构将终止竞争性磋商采购活动， 发布项目终止公告并说明原因，重新开展采购活动：</w:t>
      </w:r>
    </w:p>
    <w:p w14:paraId="2422266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22.1.1因情况变化，不再符合规定的竞争性磋商采购方式适用情形的；</w:t>
      </w:r>
    </w:p>
    <w:p w14:paraId="133E115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22.1.2出现影响采购公正的违法、违规行为的；</w:t>
      </w:r>
    </w:p>
    <w:p w14:paraId="46375E1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22.1.3除了“市场竞争不充分的科研项目，以及需要扶持的科技成果转化项目，提交最后报价的供应商可以为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14:paraId="0E0623E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23签订合同</w:t>
      </w:r>
    </w:p>
    <w:p w14:paraId="17FAEFB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23.1采购人与</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供应商应当在</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通知书发出之日起 30 日内，按照磋商文件确定的合同文本以及采购标的、规格型号、采购金额、采购数量、技术和服务要求（或工程项目的工程范围、工期、质量标准、技术标准和要求）等事项签订政府采购合同。</w:t>
      </w:r>
    </w:p>
    <w:p w14:paraId="10DB1F8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23.2</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供应商拒绝签订政府采购合同的，采购人可以按照评审报告推荐的</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候选人名单排序，确定下一候选人为</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供应商，也可以重新开展采购活动。拒绝签订政府采购合同的成交供应商不得参加对该项目重新开展的采购活动。</w:t>
      </w:r>
    </w:p>
    <w:p w14:paraId="3404322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23.3联合体</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的，联合体各方应当共同与采购人签订合同，就采购合同约定的事项向采购人承担连带责任。</w:t>
      </w:r>
    </w:p>
    <w:p w14:paraId="4DC8A0F7">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23.4政府采购合同不能转包。</w:t>
      </w:r>
    </w:p>
    <w:p w14:paraId="014D8CB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23.5采购人允许采用分包方式履行合同的，</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可以依法采取分包方式履行合同。本项目是否允许分包，见《供应商须知》。政府采购合同分包履行的，应当在响应文件中载明分包承担主体，分包承担主体应当具备相应资质条件且不得再次分包，否则响应无效。</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供应商就采购项目和分包项目向采购人负责，分包供应商就分包项目承担责任。</w:t>
      </w:r>
    </w:p>
    <w:p w14:paraId="4AEE47D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24询问与质疑</w:t>
      </w:r>
    </w:p>
    <w:p w14:paraId="22355BA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24.1询问</w:t>
      </w:r>
    </w:p>
    <w:p w14:paraId="256A11C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24.1.1供应商对政府采购活动事项有疑问的，可依法提出询问，并按《供应商须知》载明的形式送达采购人或采购代理机构。</w:t>
      </w:r>
    </w:p>
    <w:p w14:paraId="6082CB02">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24.1.2采购人或采购代理机构对供应商依法提出的询问，在 3 个工作日内作出答复，但答复的内容不得涉及商业秘密。</w:t>
      </w:r>
    </w:p>
    <w:p w14:paraId="02272C3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24.2质疑</w:t>
      </w:r>
    </w:p>
    <w:p w14:paraId="7BC46C8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24.2.1供应商认为竞争性磋商文件、采购过程、</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结果使自己的权益受到损害的，可以在知道或者应知其权益受到损害之日起 7 个工作日内，以书面形式向采购人、采购代理机构提出质疑。质疑内容不得含有虚假、恶意成分。当事人对自己提出的主张，有责任提供证据，提出质疑时应同时提交相关证据材料和注明事实的确切来源。采购人、采购代理机构在收到质疑函后 7 个工作日内作出答复。</w:t>
      </w:r>
    </w:p>
    <w:p w14:paraId="2841F8D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24.2.2供应商应知其权益受到损害之日，是指：</w:t>
      </w:r>
    </w:p>
    <w:p w14:paraId="3EB71D8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（1）对可以质疑的采购文件提出质疑的，质疑时效期间的起算日期为公告期限届满之日；</w:t>
      </w:r>
    </w:p>
    <w:p w14:paraId="7C64E60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（2）对采购过程提出质疑的，为各采购程序环节结束之日；</w:t>
      </w:r>
    </w:p>
    <w:p w14:paraId="28A6383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（3）对</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结果提出质疑的，为</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结果公告期限届满之日。</w:t>
      </w:r>
    </w:p>
    <w:p w14:paraId="2461EF2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24.2.3质疑函须使用财政部制定的范本文件。供应商为自然人的，质疑函应当由本人签字；供应商为法人或者其他组织的，质疑函应当由法定代表人、主要负责人，或者其授权代表签字或者盖章，并加盖公章。</w:t>
      </w:r>
    </w:p>
    <w:p w14:paraId="4DBE1C6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24.2.4供应商委托代理人进行质疑的，应当随质疑函同时提交供应商签署的授权委托书。授权委托书应当载明代理人的姓名或者名称、代理事项、具体权限、期限和相关事项。供应商为自然人的，应当由本人签字； 供应商为法人或者其他组织的，应当由法定代表人、主要负责人签字或者盖章，并加盖公章。</w:t>
      </w:r>
    </w:p>
    <w:p w14:paraId="6E9D604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24.2.5供应商应在法定质疑期内一次性提出针对同一采购程序环节的质疑，法定质疑期内针对同一采购程序环节再次提出的质疑，采购人、采购代理机构有权不予答复。</w:t>
      </w:r>
    </w:p>
    <w:p w14:paraId="2458343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24.3接收询问和质疑的联系部门、联系电话和通讯地址见《供应商须知》。</w:t>
      </w:r>
    </w:p>
    <w:p w14:paraId="2DFC671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25代理费</w:t>
      </w:r>
    </w:p>
    <w:p w14:paraId="3C738E6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25.1收费对象、收费标准及缴纳时间见《供应商须知》。由</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供应商支付的，</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供应商须一次性向采购代理机构缴纳代理费，报价应包含代理费及其他相关费用。</w:t>
      </w:r>
    </w:p>
    <w:p w14:paraId="3789499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26其他：见《供应商须知》</w:t>
      </w:r>
      <w:r>
        <w:rPr>
          <w:color w:val="auto"/>
          <w:spacing w:val="-10"/>
          <w:sz w:val="24"/>
          <w:highlight w:val="none"/>
        </w:rPr>
        <w:t>。</w:t>
      </w:r>
    </w:p>
    <w:p w14:paraId="7C1C75BC">
      <w:pPr>
        <w:spacing w:line="360" w:lineRule="auto"/>
        <w:ind w:firstLine="472" w:firstLineChars="225"/>
        <w:rPr>
          <w:color w:val="auto"/>
          <w:sz w:val="21"/>
          <w:szCs w:val="21"/>
          <w:highlight w:val="none"/>
        </w:rPr>
      </w:pPr>
    </w:p>
    <w:p w14:paraId="6B5887CC">
      <w:pPr>
        <w:pStyle w:val="2"/>
        <w:rPr>
          <w:rFonts w:eastAsia="黑体"/>
          <w:color w:val="auto"/>
          <w:sz w:val="36"/>
          <w:szCs w:val="36"/>
          <w:highlight w:val="none"/>
        </w:rPr>
        <w:sectPr>
          <w:pgSz w:w="11906" w:h="16838"/>
          <w:pgMar w:top="1418" w:right="1247" w:bottom="1418" w:left="1247" w:header="851" w:footer="992" w:gutter="0"/>
          <w:pgNumType w:fmt="decimal"/>
          <w:cols w:space="720" w:num="1"/>
          <w:docGrid w:linePitch="312" w:charSpace="0"/>
        </w:sectPr>
      </w:pPr>
      <w:bookmarkStart w:id="46" w:name="_Toc302769230"/>
    </w:p>
    <w:p w14:paraId="79566A3B">
      <w:pPr>
        <w:pStyle w:val="2"/>
        <w:numPr>
          <w:ilvl w:val="0"/>
          <w:numId w:val="3"/>
        </w:numPr>
        <w:spacing w:line="240" w:lineRule="auto"/>
        <w:rPr>
          <w:rFonts w:eastAsia="黑体"/>
          <w:color w:val="auto"/>
          <w:sz w:val="36"/>
          <w:szCs w:val="36"/>
          <w:highlight w:val="none"/>
        </w:rPr>
      </w:pPr>
      <w:bookmarkStart w:id="47" w:name="_Toc10356"/>
      <w:bookmarkStart w:id="48" w:name="OLE_LINK43"/>
      <w:r>
        <w:rPr>
          <w:rFonts w:eastAsia="黑体"/>
          <w:color w:val="auto"/>
          <w:sz w:val="36"/>
          <w:szCs w:val="36"/>
          <w:highlight w:val="none"/>
        </w:rPr>
        <w:t>评</w:t>
      </w:r>
      <w:r>
        <w:rPr>
          <w:rFonts w:hint="eastAsia" w:eastAsia="黑体"/>
          <w:color w:val="auto"/>
          <w:sz w:val="36"/>
          <w:szCs w:val="36"/>
          <w:highlight w:val="none"/>
        </w:rPr>
        <w:t>审</w:t>
      </w:r>
      <w:r>
        <w:rPr>
          <w:rFonts w:eastAsia="黑体"/>
          <w:color w:val="auto"/>
          <w:sz w:val="36"/>
          <w:szCs w:val="36"/>
          <w:highlight w:val="none"/>
        </w:rPr>
        <w:t>办法</w:t>
      </w:r>
      <w:bookmarkEnd w:id="46"/>
      <w:bookmarkEnd w:id="47"/>
    </w:p>
    <w:bookmarkEnd w:id="48"/>
    <w:p w14:paraId="41942A43">
      <w:pPr>
        <w:numPr>
          <w:ilvl w:val="0"/>
          <w:numId w:val="0"/>
        </w:numPr>
        <w:rPr>
          <w:color w:val="auto"/>
          <w:highlight w:val="none"/>
        </w:rPr>
      </w:pPr>
    </w:p>
    <w:p w14:paraId="49FCEEE4">
      <w:pPr>
        <w:pStyle w:val="3"/>
        <w:keepNext/>
        <w:keepLines/>
        <w:pageBreakBefore w:val="0"/>
        <w:widowControl/>
        <w:kinsoku/>
        <w:wordWrap/>
        <w:overflowPunct/>
        <w:topLinePunct w:val="0"/>
        <w:autoSpaceDE/>
        <w:autoSpaceDN/>
        <w:bidi w:val="0"/>
        <w:adjustRightInd w:val="0"/>
        <w:snapToGrid/>
        <w:spacing w:line="240" w:lineRule="auto"/>
        <w:textAlignment w:val="baseline"/>
        <w:rPr>
          <w:color w:val="auto"/>
          <w:highlight w:val="none"/>
        </w:rPr>
      </w:pPr>
      <w:bookmarkStart w:id="49" w:name="_Toc18424"/>
      <w:bookmarkStart w:id="50" w:name="_Toc13590"/>
      <w:bookmarkStart w:id="51" w:name="_Toc5364"/>
      <w:bookmarkStart w:id="52" w:name="_Toc302769231"/>
      <w:r>
        <w:rPr>
          <w:rFonts w:hint="eastAsia"/>
          <w:color w:val="auto"/>
          <w:highlight w:val="none"/>
        </w:rPr>
        <w:t>一、</w:t>
      </w:r>
      <w:r>
        <w:rPr>
          <w:color w:val="auto"/>
          <w:highlight w:val="none"/>
        </w:rPr>
        <w:t>评</w:t>
      </w:r>
      <w:r>
        <w:rPr>
          <w:rFonts w:hint="eastAsia"/>
          <w:color w:val="auto"/>
          <w:highlight w:val="none"/>
        </w:rPr>
        <w:t>审</w:t>
      </w:r>
      <w:r>
        <w:rPr>
          <w:color w:val="auto"/>
          <w:highlight w:val="none"/>
        </w:rPr>
        <w:t>办法前附表</w:t>
      </w:r>
      <w:bookmarkEnd w:id="49"/>
      <w:bookmarkEnd w:id="50"/>
      <w:bookmarkEnd w:id="51"/>
      <w:bookmarkEnd w:id="52"/>
    </w:p>
    <w:tbl>
      <w:tblPr>
        <w:tblStyle w:val="28"/>
        <w:tblW w:w="54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5"/>
        <w:gridCol w:w="3079"/>
        <w:gridCol w:w="5143"/>
      </w:tblGrid>
      <w:tr w14:paraId="0E2A3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578" w:type="pct"/>
            <w:vAlign w:val="center"/>
          </w:tcPr>
          <w:p w14:paraId="1887D232">
            <w:pPr>
              <w:autoSpaceDE w:val="0"/>
              <w:autoSpaceDN w:val="0"/>
              <w:adjustRightInd w:val="0"/>
              <w:spacing w:line="360" w:lineRule="auto"/>
              <w:jc w:val="center"/>
              <w:rPr>
                <w:color w:val="auto"/>
                <w:sz w:val="24"/>
                <w:szCs w:val="24"/>
                <w:highlight w:val="none"/>
              </w:rPr>
            </w:pPr>
            <w:r>
              <w:rPr>
                <w:rFonts w:hint="eastAsia"/>
                <w:color w:val="auto"/>
                <w:sz w:val="24"/>
                <w:szCs w:val="24"/>
                <w:highlight w:val="none"/>
              </w:rPr>
              <w:t>评审程序</w:t>
            </w:r>
          </w:p>
        </w:tc>
        <w:tc>
          <w:tcPr>
            <w:tcW w:w="1655" w:type="pct"/>
            <w:vAlign w:val="center"/>
          </w:tcPr>
          <w:p w14:paraId="0AD16D08">
            <w:pPr>
              <w:autoSpaceDE w:val="0"/>
              <w:autoSpaceDN w:val="0"/>
              <w:adjustRightInd w:val="0"/>
              <w:spacing w:line="360" w:lineRule="auto"/>
              <w:jc w:val="center"/>
              <w:rPr>
                <w:color w:val="auto"/>
                <w:sz w:val="24"/>
                <w:szCs w:val="24"/>
                <w:highlight w:val="none"/>
              </w:rPr>
            </w:pPr>
            <w:r>
              <w:rPr>
                <w:color w:val="auto"/>
                <w:sz w:val="24"/>
                <w:szCs w:val="24"/>
                <w:highlight w:val="none"/>
              </w:rPr>
              <w:t>评审因素</w:t>
            </w:r>
          </w:p>
        </w:tc>
        <w:tc>
          <w:tcPr>
            <w:tcW w:w="2765" w:type="pct"/>
            <w:vAlign w:val="center"/>
          </w:tcPr>
          <w:p w14:paraId="464216BF">
            <w:pPr>
              <w:autoSpaceDE w:val="0"/>
              <w:autoSpaceDN w:val="0"/>
              <w:adjustRightInd w:val="0"/>
              <w:spacing w:line="360" w:lineRule="auto"/>
              <w:jc w:val="center"/>
              <w:rPr>
                <w:color w:val="auto"/>
                <w:sz w:val="24"/>
                <w:szCs w:val="24"/>
                <w:highlight w:val="none"/>
              </w:rPr>
            </w:pPr>
            <w:r>
              <w:rPr>
                <w:color w:val="auto"/>
                <w:sz w:val="24"/>
                <w:szCs w:val="24"/>
                <w:highlight w:val="none"/>
              </w:rPr>
              <w:t>评审标准</w:t>
            </w:r>
          </w:p>
        </w:tc>
      </w:tr>
      <w:tr w14:paraId="6A963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8" w:type="pct"/>
            <w:vMerge w:val="restart"/>
            <w:vAlign w:val="center"/>
          </w:tcPr>
          <w:p w14:paraId="07DB4756">
            <w:pPr>
              <w:autoSpaceDE w:val="0"/>
              <w:autoSpaceDN w:val="0"/>
              <w:adjustRightInd w:val="0"/>
              <w:spacing w:line="360" w:lineRule="auto"/>
              <w:jc w:val="center"/>
              <w:rPr>
                <w:color w:val="auto"/>
                <w:sz w:val="24"/>
                <w:szCs w:val="24"/>
                <w:highlight w:val="none"/>
              </w:rPr>
            </w:pPr>
            <w:bookmarkStart w:id="53" w:name="OLE_LINK44"/>
            <w:r>
              <w:rPr>
                <w:rFonts w:hint="eastAsia" w:asciiTheme="minorEastAsia" w:hAnsiTheme="minorEastAsia" w:eastAsiaTheme="minorEastAsia"/>
                <w:color w:val="auto"/>
                <w:sz w:val="24"/>
                <w:szCs w:val="24"/>
                <w:highlight w:val="none"/>
              </w:rPr>
              <w:t>资格审查要求</w:t>
            </w:r>
            <w:bookmarkEnd w:id="53"/>
          </w:p>
        </w:tc>
        <w:tc>
          <w:tcPr>
            <w:tcW w:w="1655" w:type="pct"/>
            <w:vAlign w:val="center"/>
          </w:tcPr>
          <w:p w14:paraId="5C9B68D0">
            <w:pPr>
              <w:autoSpaceDE w:val="0"/>
              <w:autoSpaceDN w:val="0"/>
              <w:adjustRightInd w:val="0"/>
              <w:spacing w:line="360" w:lineRule="auto"/>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营业执照</w:t>
            </w:r>
          </w:p>
        </w:tc>
        <w:tc>
          <w:tcPr>
            <w:tcW w:w="2765" w:type="pct"/>
            <w:vAlign w:val="center"/>
          </w:tcPr>
          <w:p w14:paraId="456D4E7D">
            <w:pPr>
              <w:autoSpaceDE w:val="0"/>
              <w:autoSpaceDN w:val="0"/>
              <w:adjustRightInd w:val="0"/>
              <w:spacing w:line="360" w:lineRule="auto"/>
              <w:jc w:val="center"/>
              <w:rPr>
                <w:color w:val="auto"/>
                <w:sz w:val="24"/>
                <w:szCs w:val="24"/>
                <w:highlight w:val="none"/>
              </w:rPr>
            </w:pPr>
            <w:r>
              <w:rPr>
                <w:rFonts w:hint="eastAsia"/>
                <w:color w:val="auto"/>
                <w:sz w:val="24"/>
                <w:szCs w:val="24"/>
                <w:highlight w:val="none"/>
              </w:rPr>
              <w:t>具有有效的营业执照</w:t>
            </w:r>
          </w:p>
        </w:tc>
      </w:tr>
      <w:tr w14:paraId="00E89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8" w:type="pct"/>
            <w:vMerge w:val="continue"/>
            <w:vAlign w:val="top"/>
          </w:tcPr>
          <w:p w14:paraId="591DA869">
            <w:pPr>
              <w:autoSpaceDE w:val="0"/>
              <w:autoSpaceDN w:val="0"/>
              <w:adjustRightInd w:val="0"/>
              <w:spacing w:line="360" w:lineRule="auto"/>
              <w:jc w:val="left"/>
              <w:rPr>
                <w:rFonts w:hint="eastAsia" w:asciiTheme="minorEastAsia" w:hAnsiTheme="minorEastAsia" w:eastAsiaTheme="minorEastAsia"/>
                <w:color w:val="auto"/>
                <w:sz w:val="24"/>
                <w:szCs w:val="24"/>
                <w:highlight w:val="none"/>
              </w:rPr>
            </w:pPr>
          </w:p>
        </w:tc>
        <w:tc>
          <w:tcPr>
            <w:tcW w:w="1655" w:type="pct"/>
            <w:vAlign w:val="center"/>
          </w:tcPr>
          <w:p w14:paraId="64A7B185">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eastAsia="宋体"/>
                <w:color w:val="auto"/>
                <w:sz w:val="24"/>
                <w:szCs w:val="24"/>
                <w:highlight w:val="none"/>
                <w:lang w:val="en-US" w:eastAsia="zh-CN"/>
              </w:rPr>
            </w:pPr>
            <w:r>
              <w:rPr>
                <w:rFonts w:hint="eastAsia" w:ascii="宋体" w:hAnsi="宋体" w:cs="宋体"/>
                <w:color w:val="auto"/>
                <w:sz w:val="24"/>
                <w:szCs w:val="24"/>
                <w:highlight w:val="none"/>
                <w:lang w:val="en-US" w:eastAsia="zh-CN"/>
              </w:rPr>
              <w:t>供应商特定资质要求</w:t>
            </w:r>
          </w:p>
        </w:tc>
        <w:tc>
          <w:tcPr>
            <w:tcW w:w="2765" w:type="pct"/>
            <w:vAlign w:val="center"/>
          </w:tcPr>
          <w:p w14:paraId="6A9987CB">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eastAsia="宋体"/>
                <w:color w:val="auto"/>
                <w:sz w:val="24"/>
                <w:szCs w:val="24"/>
                <w:highlight w:val="none"/>
                <w:lang w:val="en-US" w:eastAsia="zh-CN"/>
              </w:rPr>
            </w:pPr>
            <w:r>
              <w:rPr>
                <w:rFonts w:hint="eastAsia" w:ascii="宋体" w:hAnsi="宋体" w:cs="宋体"/>
                <w:color w:val="auto"/>
                <w:sz w:val="24"/>
                <w:szCs w:val="24"/>
                <w:highlight w:val="none"/>
                <w:lang w:val="en-US" w:eastAsia="zh-CN"/>
              </w:rPr>
              <w:t>满足竞争性磋商文件要求</w:t>
            </w:r>
          </w:p>
        </w:tc>
      </w:tr>
      <w:tr w14:paraId="5A3C8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8" w:type="pct"/>
            <w:vMerge w:val="continue"/>
            <w:vAlign w:val="top"/>
          </w:tcPr>
          <w:p w14:paraId="75AC8F04">
            <w:pPr>
              <w:autoSpaceDE w:val="0"/>
              <w:autoSpaceDN w:val="0"/>
              <w:adjustRightInd w:val="0"/>
              <w:spacing w:line="360" w:lineRule="auto"/>
              <w:jc w:val="left"/>
              <w:rPr>
                <w:rFonts w:hint="eastAsia" w:asciiTheme="minorEastAsia" w:hAnsiTheme="minorEastAsia" w:eastAsiaTheme="minorEastAsia"/>
                <w:color w:val="auto"/>
                <w:sz w:val="24"/>
                <w:szCs w:val="24"/>
                <w:highlight w:val="none"/>
              </w:rPr>
            </w:pPr>
          </w:p>
        </w:tc>
        <w:tc>
          <w:tcPr>
            <w:tcW w:w="1655" w:type="pct"/>
            <w:vAlign w:val="center"/>
          </w:tcPr>
          <w:p w14:paraId="3C406396">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color w:val="auto"/>
                <w:sz w:val="24"/>
                <w:szCs w:val="24"/>
                <w:highlight w:val="none"/>
              </w:rPr>
            </w:pPr>
            <w:r>
              <w:rPr>
                <w:rFonts w:hint="eastAsia" w:ascii="宋体" w:hAnsi="宋体" w:cs="宋体"/>
                <w:color w:val="auto"/>
                <w:sz w:val="24"/>
                <w:szCs w:val="24"/>
                <w:highlight w:val="none"/>
              </w:rPr>
              <w:t>安全生产许可证</w:t>
            </w:r>
          </w:p>
        </w:tc>
        <w:tc>
          <w:tcPr>
            <w:tcW w:w="2765" w:type="pct"/>
            <w:vAlign w:val="center"/>
          </w:tcPr>
          <w:p w14:paraId="7866F600">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color w:val="auto"/>
                <w:sz w:val="24"/>
                <w:szCs w:val="24"/>
                <w:highlight w:val="none"/>
              </w:rPr>
            </w:pPr>
            <w:r>
              <w:rPr>
                <w:rFonts w:hint="eastAsia" w:ascii="宋体" w:hAnsi="宋体" w:cs="宋体"/>
                <w:color w:val="auto"/>
                <w:sz w:val="24"/>
                <w:szCs w:val="24"/>
                <w:highlight w:val="none"/>
              </w:rPr>
              <w:t>具有有效的安全生产许可证</w:t>
            </w:r>
          </w:p>
        </w:tc>
      </w:tr>
      <w:tr w14:paraId="1568A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8" w:type="pct"/>
            <w:vMerge w:val="continue"/>
            <w:vAlign w:val="top"/>
          </w:tcPr>
          <w:p w14:paraId="4C9D1CB5">
            <w:pPr>
              <w:autoSpaceDE w:val="0"/>
              <w:autoSpaceDN w:val="0"/>
              <w:adjustRightInd w:val="0"/>
              <w:spacing w:line="360" w:lineRule="auto"/>
              <w:jc w:val="left"/>
              <w:rPr>
                <w:rFonts w:hint="eastAsia" w:asciiTheme="minorEastAsia" w:hAnsiTheme="minorEastAsia" w:eastAsiaTheme="minorEastAsia"/>
                <w:color w:val="auto"/>
                <w:sz w:val="24"/>
                <w:szCs w:val="24"/>
                <w:highlight w:val="none"/>
              </w:rPr>
            </w:pPr>
          </w:p>
        </w:tc>
        <w:tc>
          <w:tcPr>
            <w:tcW w:w="1655" w:type="pct"/>
            <w:vAlign w:val="center"/>
          </w:tcPr>
          <w:p w14:paraId="6D86FDE6">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color w:val="auto"/>
                <w:sz w:val="24"/>
                <w:szCs w:val="24"/>
                <w:highlight w:val="none"/>
              </w:rPr>
            </w:pPr>
            <w:r>
              <w:rPr>
                <w:rFonts w:hint="eastAsia" w:ascii="宋体" w:hAnsi="宋体" w:cs="宋体"/>
                <w:color w:val="auto"/>
                <w:sz w:val="24"/>
                <w:szCs w:val="24"/>
                <w:highlight w:val="none"/>
                <w:lang w:eastAsia="zh-CN"/>
              </w:rPr>
              <w:t>项目负责人</w:t>
            </w:r>
          </w:p>
        </w:tc>
        <w:tc>
          <w:tcPr>
            <w:tcW w:w="2765" w:type="pct"/>
            <w:vAlign w:val="center"/>
          </w:tcPr>
          <w:p w14:paraId="376118BF">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color w:val="auto"/>
                <w:sz w:val="24"/>
                <w:szCs w:val="24"/>
                <w:highlight w:val="none"/>
              </w:rPr>
            </w:pPr>
            <w:r>
              <w:rPr>
                <w:rFonts w:hint="eastAsia" w:ascii="宋体" w:hAnsi="宋体" w:cs="宋体"/>
                <w:color w:val="auto"/>
                <w:sz w:val="24"/>
                <w:szCs w:val="24"/>
                <w:highlight w:val="none"/>
                <w:lang w:val="en-US" w:eastAsia="zh-CN"/>
              </w:rPr>
              <w:t>满足竞争性磋商文件要求</w:t>
            </w:r>
          </w:p>
        </w:tc>
      </w:tr>
      <w:tr w14:paraId="07A76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8" w:type="pct"/>
            <w:vMerge w:val="continue"/>
            <w:vAlign w:val="top"/>
          </w:tcPr>
          <w:p w14:paraId="7EF8A4A0">
            <w:pPr>
              <w:autoSpaceDE w:val="0"/>
              <w:autoSpaceDN w:val="0"/>
              <w:adjustRightInd w:val="0"/>
              <w:spacing w:line="360" w:lineRule="auto"/>
              <w:jc w:val="left"/>
              <w:rPr>
                <w:rFonts w:hint="eastAsia" w:asciiTheme="minorEastAsia" w:hAnsiTheme="minorEastAsia" w:eastAsiaTheme="minorEastAsia"/>
                <w:color w:val="auto"/>
                <w:sz w:val="24"/>
                <w:szCs w:val="24"/>
                <w:highlight w:val="none"/>
              </w:rPr>
            </w:pPr>
          </w:p>
        </w:tc>
        <w:tc>
          <w:tcPr>
            <w:tcW w:w="1655" w:type="pct"/>
            <w:vAlign w:val="center"/>
          </w:tcPr>
          <w:p w14:paraId="2C254C8B">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color w:val="auto"/>
                <w:sz w:val="24"/>
                <w:szCs w:val="24"/>
                <w:highlight w:val="none"/>
              </w:rPr>
            </w:pPr>
            <w:r>
              <w:rPr>
                <w:rFonts w:hint="eastAsia" w:ascii="宋体" w:hAnsi="宋体" w:cs="宋体"/>
                <w:color w:val="auto"/>
                <w:sz w:val="24"/>
                <w:szCs w:val="24"/>
                <w:highlight w:val="none"/>
              </w:rPr>
              <w:t>财务要求</w:t>
            </w:r>
          </w:p>
        </w:tc>
        <w:tc>
          <w:tcPr>
            <w:tcW w:w="2765" w:type="pct"/>
            <w:vAlign w:val="center"/>
          </w:tcPr>
          <w:p w14:paraId="480A66FB">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color w:val="auto"/>
                <w:sz w:val="24"/>
                <w:szCs w:val="24"/>
                <w:highlight w:val="none"/>
              </w:rPr>
            </w:pPr>
            <w:r>
              <w:rPr>
                <w:rFonts w:hint="eastAsia" w:ascii="宋体" w:hAnsi="宋体" w:cs="宋体"/>
                <w:color w:val="auto"/>
                <w:sz w:val="24"/>
                <w:szCs w:val="24"/>
                <w:highlight w:val="none"/>
                <w:lang w:val="en-US" w:eastAsia="zh-CN"/>
              </w:rPr>
              <w:t>满足竞争性磋商文件要求</w:t>
            </w:r>
          </w:p>
        </w:tc>
      </w:tr>
      <w:tr w14:paraId="42D16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8" w:type="pct"/>
            <w:vMerge w:val="continue"/>
            <w:vAlign w:val="top"/>
          </w:tcPr>
          <w:p w14:paraId="5FFE6DE3">
            <w:pPr>
              <w:autoSpaceDE w:val="0"/>
              <w:autoSpaceDN w:val="0"/>
              <w:adjustRightInd w:val="0"/>
              <w:spacing w:line="360" w:lineRule="auto"/>
              <w:jc w:val="left"/>
              <w:rPr>
                <w:rFonts w:hint="eastAsia" w:asciiTheme="minorEastAsia" w:hAnsiTheme="minorEastAsia" w:eastAsiaTheme="minorEastAsia"/>
                <w:color w:val="auto"/>
                <w:sz w:val="24"/>
                <w:szCs w:val="24"/>
                <w:highlight w:val="none"/>
              </w:rPr>
            </w:pPr>
          </w:p>
        </w:tc>
        <w:tc>
          <w:tcPr>
            <w:tcW w:w="1655" w:type="pct"/>
            <w:vAlign w:val="center"/>
          </w:tcPr>
          <w:p w14:paraId="1CC6D731">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color w:val="auto"/>
                <w:sz w:val="24"/>
                <w:szCs w:val="24"/>
                <w:highlight w:val="none"/>
              </w:rPr>
            </w:pPr>
            <w:r>
              <w:rPr>
                <w:rFonts w:hint="eastAsia" w:ascii="宋体" w:hAnsi="宋体" w:cs="宋体"/>
                <w:color w:val="auto"/>
                <w:sz w:val="24"/>
                <w:szCs w:val="24"/>
                <w:highlight w:val="none"/>
              </w:rPr>
              <w:t>信誉要求</w:t>
            </w:r>
          </w:p>
        </w:tc>
        <w:tc>
          <w:tcPr>
            <w:tcW w:w="2765" w:type="pct"/>
            <w:vAlign w:val="center"/>
          </w:tcPr>
          <w:p w14:paraId="40D11C01">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color w:val="auto"/>
                <w:sz w:val="24"/>
                <w:szCs w:val="24"/>
                <w:highlight w:val="none"/>
              </w:rPr>
            </w:pPr>
            <w:r>
              <w:rPr>
                <w:rFonts w:hint="eastAsia" w:ascii="宋体" w:hAnsi="宋体" w:cs="宋体"/>
                <w:color w:val="auto"/>
                <w:sz w:val="24"/>
                <w:szCs w:val="24"/>
                <w:highlight w:val="none"/>
                <w:lang w:val="en-US" w:eastAsia="zh-CN"/>
              </w:rPr>
              <w:t>满足竞争性磋商文件要求</w:t>
            </w:r>
          </w:p>
        </w:tc>
      </w:tr>
      <w:tr w14:paraId="5B842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8" w:type="pct"/>
            <w:vMerge w:val="continue"/>
            <w:vAlign w:val="top"/>
          </w:tcPr>
          <w:p w14:paraId="0CADF497">
            <w:pPr>
              <w:autoSpaceDE w:val="0"/>
              <w:autoSpaceDN w:val="0"/>
              <w:adjustRightInd w:val="0"/>
              <w:spacing w:line="360" w:lineRule="auto"/>
              <w:jc w:val="left"/>
              <w:rPr>
                <w:rFonts w:hint="eastAsia" w:asciiTheme="minorEastAsia" w:hAnsiTheme="minorEastAsia" w:eastAsiaTheme="minorEastAsia"/>
                <w:color w:val="auto"/>
                <w:sz w:val="24"/>
                <w:szCs w:val="24"/>
                <w:highlight w:val="none"/>
              </w:rPr>
            </w:pPr>
          </w:p>
        </w:tc>
        <w:tc>
          <w:tcPr>
            <w:tcW w:w="1655" w:type="pct"/>
            <w:vAlign w:val="center"/>
          </w:tcPr>
          <w:p w14:paraId="0B0AA13D">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color w:val="auto"/>
                <w:sz w:val="24"/>
                <w:szCs w:val="24"/>
                <w:highlight w:val="none"/>
              </w:rPr>
            </w:pPr>
            <w:r>
              <w:rPr>
                <w:rFonts w:hint="eastAsia" w:ascii="宋体" w:hAnsi="宋体" w:cs="宋体"/>
                <w:color w:val="auto"/>
                <w:sz w:val="24"/>
                <w:szCs w:val="24"/>
                <w:highlight w:val="none"/>
              </w:rPr>
              <w:t>其他要求</w:t>
            </w:r>
          </w:p>
        </w:tc>
        <w:tc>
          <w:tcPr>
            <w:tcW w:w="2765" w:type="pct"/>
            <w:vAlign w:val="center"/>
          </w:tcPr>
          <w:p w14:paraId="315240D4">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color w:val="auto"/>
                <w:sz w:val="24"/>
                <w:szCs w:val="24"/>
                <w:highlight w:val="none"/>
              </w:rPr>
            </w:pPr>
            <w:bookmarkStart w:id="54" w:name="OLE_LINK12"/>
            <w:r>
              <w:rPr>
                <w:rFonts w:hint="eastAsia" w:ascii="宋体" w:hAnsi="宋体" w:cs="宋体"/>
                <w:color w:val="auto"/>
                <w:sz w:val="24"/>
                <w:szCs w:val="24"/>
                <w:highlight w:val="none"/>
                <w:lang w:val="en-US" w:eastAsia="zh-CN"/>
              </w:rPr>
              <w:t>满足竞争性磋商文件要求</w:t>
            </w:r>
            <w:bookmarkEnd w:id="54"/>
          </w:p>
        </w:tc>
      </w:tr>
      <w:tr w14:paraId="10026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8" w:type="pct"/>
            <w:vMerge w:val="restart"/>
            <w:vAlign w:val="center"/>
          </w:tcPr>
          <w:p w14:paraId="39A87CE9">
            <w:pPr>
              <w:autoSpaceDE w:val="0"/>
              <w:autoSpaceDN w:val="0"/>
              <w:adjustRightInd w:val="0"/>
              <w:spacing w:line="360" w:lineRule="auto"/>
              <w:jc w:val="center"/>
              <w:rPr>
                <w:color w:val="auto"/>
                <w:sz w:val="24"/>
                <w:szCs w:val="24"/>
                <w:highlight w:val="none"/>
              </w:rPr>
            </w:pPr>
            <w:r>
              <w:rPr>
                <w:color w:val="auto"/>
                <w:sz w:val="24"/>
                <w:szCs w:val="24"/>
                <w:highlight w:val="none"/>
              </w:rPr>
              <w:t>符合性审查要求</w:t>
            </w:r>
          </w:p>
        </w:tc>
        <w:tc>
          <w:tcPr>
            <w:tcW w:w="1655" w:type="pct"/>
            <w:vAlign w:val="center"/>
          </w:tcPr>
          <w:p w14:paraId="30F9A94B">
            <w:pPr>
              <w:autoSpaceDE w:val="0"/>
              <w:autoSpaceDN w:val="0"/>
              <w:adjustRightInd w:val="0"/>
              <w:spacing w:line="360" w:lineRule="auto"/>
              <w:jc w:val="center"/>
              <w:rPr>
                <w:color w:val="auto"/>
                <w:sz w:val="24"/>
                <w:szCs w:val="24"/>
                <w:highlight w:val="none"/>
              </w:rPr>
            </w:pPr>
            <w:r>
              <w:rPr>
                <w:color w:val="auto"/>
                <w:sz w:val="24"/>
                <w:szCs w:val="24"/>
                <w:highlight w:val="none"/>
              </w:rPr>
              <w:t>供应商名称</w:t>
            </w:r>
          </w:p>
        </w:tc>
        <w:tc>
          <w:tcPr>
            <w:tcW w:w="2765" w:type="pct"/>
            <w:vAlign w:val="center"/>
          </w:tcPr>
          <w:p w14:paraId="5F87EE32">
            <w:pPr>
              <w:autoSpaceDE w:val="0"/>
              <w:autoSpaceDN w:val="0"/>
              <w:adjustRightInd w:val="0"/>
              <w:spacing w:line="360" w:lineRule="auto"/>
              <w:jc w:val="center"/>
              <w:rPr>
                <w:color w:val="auto"/>
                <w:sz w:val="24"/>
                <w:szCs w:val="24"/>
                <w:highlight w:val="none"/>
              </w:rPr>
            </w:pPr>
            <w:r>
              <w:rPr>
                <w:color w:val="auto"/>
                <w:sz w:val="24"/>
                <w:szCs w:val="24"/>
                <w:highlight w:val="none"/>
              </w:rPr>
              <w:t>与营业执照一致</w:t>
            </w:r>
          </w:p>
        </w:tc>
      </w:tr>
      <w:tr w14:paraId="4E40B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8" w:type="pct"/>
            <w:vMerge w:val="continue"/>
            <w:vAlign w:val="center"/>
          </w:tcPr>
          <w:p w14:paraId="26196D9E">
            <w:pPr>
              <w:autoSpaceDE w:val="0"/>
              <w:autoSpaceDN w:val="0"/>
              <w:adjustRightInd w:val="0"/>
              <w:spacing w:line="360" w:lineRule="auto"/>
              <w:jc w:val="center"/>
              <w:rPr>
                <w:color w:val="auto"/>
                <w:sz w:val="24"/>
                <w:szCs w:val="24"/>
                <w:highlight w:val="none"/>
              </w:rPr>
            </w:pPr>
          </w:p>
        </w:tc>
        <w:tc>
          <w:tcPr>
            <w:tcW w:w="1655" w:type="pct"/>
            <w:vAlign w:val="center"/>
          </w:tcPr>
          <w:p w14:paraId="1F2A3AC0">
            <w:pPr>
              <w:autoSpaceDE w:val="0"/>
              <w:autoSpaceDN w:val="0"/>
              <w:adjustRightInd w:val="0"/>
              <w:spacing w:line="360" w:lineRule="auto"/>
              <w:jc w:val="center"/>
              <w:rPr>
                <w:color w:val="auto"/>
                <w:sz w:val="24"/>
                <w:szCs w:val="24"/>
                <w:highlight w:val="none"/>
              </w:rPr>
            </w:pPr>
            <w:r>
              <w:rPr>
                <w:rFonts w:hint="eastAsia"/>
                <w:color w:val="auto"/>
                <w:sz w:val="24"/>
                <w:szCs w:val="24"/>
                <w:highlight w:val="none"/>
              </w:rPr>
              <w:t>响应文件</w:t>
            </w:r>
            <w:r>
              <w:rPr>
                <w:color w:val="auto"/>
                <w:sz w:val="24"/>
                <w:szCs w:val="24"/>
                <w:highlight w:val="none"/>
              </w:rPr>
              <w:t>签字盖章</w:t>
            </w:r>
          </w:p>
        </w:tc>
        <w:tc>
          <w:tcPr>
            <w:tcW w:w="2765" w:type="pct"/>
            <w:vAlign w:val="center"/>
          </w:tcPr>
          <w:p w14:paraId="2FAFE86D">
            <w:pPr>
              <w:autoSpaceDE w:val="0"/>
              <w:autoSpaceDN w:val="0"/>
              <w:adjustRightInd w:val="0"/>
              <w:spacing w:line="360" w:lineRule="auto"/>
              <w:jc w:val="center"/>
              <w:rPr>
                <w:color w:val="auto"/>
                <w:sz w:val="24"/>
                <w:szCs w:val="24"/>
                <w:highlight w:val="none"/>
              </w:rPr>
            </w:pPr>
            <w:r>
              <w:rPr>
                <w:rFonts w:hint="eastAsia" w:ascii="宋体" w:hAnsi="宋体" w:cs="宋体"/>
                <w:color w:val="auto"/>
                <w:sz w:val="24"/>
                <w:szCs w:val="24"/>
                <w:highlight w:val="none"/>
                <w:lang w:val="en-US" w:eastAsia="zh-CN"/>
              </w:rPr>
              <w:t>满足竞争性磋商文件要求</w:t>
            </w:r>
          </w:p>
        </w:tc>
      </w:tr>
      <w:tr w14:paraId="5ADC4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8" w:type="pct"/>
            <w:vMerge w:val="continue"/>
            <w:vAlign w:val="center"/>
          </w:tcPr>
          <w:p w14:paraId="73E98445">
            <w:pPr>
              <w:autoSpaceDE w:val="0"/>
              <w:autoSpaceDN w:val="0"/>
              <w:adjustRightInd w:val="0"/>
              <w:spacing w:line="360" w:lineRule="auto"/>
              <w:jc w:val="center"/>
              <w:rPr>
                <w:color w:val="auto"/>
                <w:sz w:val="24"/>
                <w:szCs w:val="24"/>
                <w:highlight w:val="none"/>
              </w:rPr>
            </w:pPr>
          </w:p>
        </w:tc>
        <w:tc>
          <w:tcPr>
            <w:tcW w:w="1655" w:type="pct"/>
            <w:vAlign w:val="center"/>
          </w:tcPr>
          <w:p w14:paraId="5DCAC377">
            <w:pPr>
              <w:autoSpaceDE w:val="0"/>
              <w:autoSpaceDN w:val="0"/>
              <w:adjustRightInd w:val="0"/>
              <w:spacing w:line="360" w:lineRule="auto"/>
              <w:jc w:val="center"/>
              <w:rPr>
                <w:color w:val="auto"/>
                <w:sz w:val="24"/>
                <w:szCs w:val="24"/>
                <w:highlight w:val="none"/>
              </w:rPr>
            </w:pPr>
            <w:r>
              <w:rPr>
                <w:color w:val="auto"/>
                <w:sz w:val="24"/>
                <w:szCs w:val="24"/>
                <w:highlight w:val="none"/>
              </w:rPr>
              <w:t>响应文件格式</w:t>
            </w:r>
          </w:p>
        </w:tc>
        <w:tc>
          <w:tcPr>
            <w:tcW w:w="2765" w:type="pct"/>
            <w:vAlign w:val="center"/>
          </w:tcPr>
          <w:p w14:paraId="4CAE1816">
            <w:pPr>
              <w:autoSpaceDE w:val="0"/>
              <w:autoSpaceDN w:val="0"/>
              <w:adjustRightInd w:val="0"/>
              <w:spacing w:line="360" w:lineRule="auto"/>
              <w:jc w:val="center"/>
              <w:rPr>
                <w:color w:val="auto"/>
                <w:sz w:val="24"/>
                <w:szCs w:val="24"/>
                <w:highlight w:val="none"/>
              </w:rPr>
            </w:pPr>
            <w:r>
              <w:rPr>
                <w:color w:val="auto"/>
                <w:sz w:val="24"/>
                <w:szCs w:val="24"/>
                <w:highlight w:val="none"/>
              </w:rPr>
              <w:t>符合第</w:t>
            </w:r>
            <w:r>
              <w:rPr>
                <w:rFonts w:hint="eastAsia"/>
                <w:color w:val="auto"/>
                <w:sz w:val="24"/>
                <w:szCs w:val="24"/>
                <w:highlight w:val="none"/>
              </w:rPr>
              <w:t>六</w:t>
            </w:r>
            <w:r>
              <w:rPr>
                <w:color w:val="auto"/>
                <w:sz w:val="24"/>
                <w:szCs w:val="24"/>
                <w:highlight w:val="none"/>
              </w:rPr>
              <w:t>章</w:t>
            </w:r>
            <w:r>
              <w:rPr>
                <w:rFonts w:ascii="宋体" w:hAnsi="宋体"/>
                <w:color w:val="auto"/>
                <w:sz w:val="24"/>
                <w:szCs w:val="24"/>
                <w:highlight w:val="none"/>
              </w:rPr>
              <w:t>“</w:t>
            </w:r>
            <w:r>
              <w:rPr>
                <w:color w:val="auto"/>
                <w:sz w:val="24"/>
                <w:szCs w:val="24"/>
                <w:highlight w:val="none"/>
              </w:rPr>
              <w:t>响应文件格式</w:t>
            </w:r>
            <w:r>
              <w:rPr>
                <w:rFonts w:ascii="宋体" w:hAnsi="宋体"/>
                <w:color w:val="auto"/>
                <w:sz w:val="24"/>
                <w:szCs w:val="24"/>
                <w:highlight w:val="none"/>
              </w:rPr>
              <w:t>”</w:t>
            </w:r>
            <w:r>
              <w:rPr>
                <w:color w:val="auto"/>
                <w:sz w:val="24"/>
                <w:szCs w:val="24"/>
                <w:highlight w:val="none"/>
              </w:rPr>
              <w:t>的要求</w:t>
            </w:r>
          </w:p>
        </w:tc>
      </w:tr>
      <w:tr w14:paraId="65688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8" w:type="pct"/>
            <w:vMerge w:val="continue"/>
            <w:vAlign w:val="center"/>
          </w:tcPr>
          <w:p w14:paraId="1853D036">
            <w:pPr>
              <w:autoSpaceDE w:val="0"/>
              <w:autoSpaceDN w:val="0"/>
              <w:adjustRightInd w:val="0"/>
              <w:spacing w:line="360" w:lineRule="auto"/>
              <w:jc w:val="center"/>
              <w:rPr>
                <w:color w:val="auto"/>
                <w:sz w:val="24"/>
                <w:szCs w:val="24"/>
                <w:highlight w:val="none"/>
              </w:rPr>
            </w:pPr>
            <w:bookmarkStart w:id="55" w:name="OLE_LINK45" w:colFirst="1" w:colLast="2"/>
          </w:p>
        </w:tc>
        <w:tc>
          <w:tcPr>
            <w:tcW w:w="1655" w:type="pct"/>
            <w:vAlign w:val="center"/>
          </w:tcPr>
          <w:p w14:paraId="3EBDC67B">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color w:val="auto"/>
                <w:sz w:val="24"/>
                <w:szCs w:val="24"/>
                <w:highlight w:val="none"/>
              </w:rPr>
            </w:pPr>
            <w:r>
              <w:rPr>
                <w:rFonts w:hint="eastAsia" w:ascii="宋体" w:hAnsi="宋体" w:eastAsia="宋体" w:cs="宋体"/>
                <w:color w:val="auto"/>
                <w:sz w:val="24"/>
                <w:szCs w:val="24"/>
                <w:highlight w:val="none"/>
              </w:rPr>
              <w:t>法定代表人身份证明</w:t>
            </w:r>
            <w:r>
              <w:rPr>
                <w:rFonts w:hint="eastAsia" w:ascii="宋体" w:hAnsi="宋体" w:cs="宋体"/>
                <w:color w:val="auto"/>
                <w:sz w:val="24"/>
                <w:szCs w:val="24"/>
                <w:highlight w:val="none"/>
                <w:lang w:val="en-US" w:eastAsia="zh-CN"/>
              </w:rPr>
              <w:t>书</w:t>
            </w:r>
            <w:r>
              <w:rPr>
                <w:rFonts w:hint="eastAsia" w:ascii="宋体" w:hAnsi="宋体" w:eastAsia="宋体" w:cs="宋体"/>
                <w:color w:val="auto"/>
                <w:sz w:val="24"/>
                <w:szCs w:val="24"/>
                <w:highlight w:val="none"/>
              </w:rPr>
              <w:t>或附法定代表人身份证明的授权委托书</w:t>
            </w:r>
          </w:p>
        </w:tc>
        <w:tc>
          <w:tcPr>
            <w:tcW w:w="2765" w:type="pct"/>
            <w:vAlign w:val="center"/>
          </w:tcPr>
          <w:p w14:paraId="20B6E1E2">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b/>
                <w:color w:val="auto"/>
                <w:sz w:val="24"/>
                <w:szCs w:val="24"/>
                <w:highlight w:val="none"/>
              </w:rPr>
            </w:pPr>
            <w:bookmarkStart w:id="56" w:name="OLE_LINK49"/>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文件格式要求，内容真实有效</w:t>
            </w:r>
            <w:bookmarkEnd w:id="56"/>
          </w:p>
        </w:tc>
      </w:tr>
      <w:bookmarkEnd w:id="55"/>
      <w:tr w14:paraId="648B7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8" w:type="pct"/>
            <w:vMerge w:val="continue"/>
            <w:vAlign w:val="center"/>
          </w:tcPr>
          <w:p w14:paraId="1385B5E2">
            <w:pPr>
              <w:autoSpaceDE w:val="0"/>
              <w:autoSpaceDN w:val="0"/>
              <w:adjustRightInd w:val="0"/>
              <w:spacing w:line="360" w:lineRule="auto"/>
              <w:jc w:val="center"/>
              <w:rPr>
                <w:color w:val="auto"/>
                <w:sz w:val="24"/>
                <w:szCs w:val="24"/>
                <w:highlight w:val="none"/>
              </w:rPr>
            </w:pPr>
          </w:p>
        </w:tc>
        <w:tc>
          <w:tcPr>
            <w:tcW w:w="1655" w:type="pct"/>
            <w:vAlign w:val="center"/>
          </w:tcPr>
          <w:p w14:paraId="3E2BB968">
            <w:pPr>
              <w:spacing w:before="100" w:beforeAutospacing="1" w:after="100" w:afterAutospacing="1"/>
              <w:jc w:val="center"/>
              <w:rPr>
                <w:color w:val="auto"/>
                <w:sz w:val="24"/>
                <w:szCs w:val="24"/>
                <w:highlight w:val="none"/>
              </w:rPr>
            </w:pPr>
            <w:r>
              <w:rPr>
                <w:rFonts w:asciiTheme="minorEastAsia" w:hAnsiTheme="minorEastAsia" w:eastAsiaTheme="minorEastAsia"/>
                <w:color w:val="auto"/>
                <w:sz w:val="24"/>
                <w:szCs w:val="24"/>
                <w:highlight w:val="none"/>
              </w:rPr>
              <w:t>响应完整性</w:t>
            </w:r>
          </w:p>
        </w:tc>
        <w:tc>
          <w:tcPr>
            <w:tcW w:w="2765" w:type="pct"/>
            <w:vAlign w:val="center"/>
          </w:tcPr>
          <w:p w14:paraId="0EAB8CA6">
            <w:pPr>
              <w:spacing w:before="100" w:beforeAutospacing="1" w:after="100" w:afterAutospacing="1"/>
              <w:jc w:val="center"/>
              <w:rPr>
                <w:bCs/>
                <w:color w:val="auto"/>
                <w:sz w:val="24"/>
                <w:szCs w:val="24"/>
                <w:highlight w:val="none"/>
              </w:rPr>
            </w:pPr>
            <w:r>
              <w:rPr>
                <w:rFonts w:asciiTheme="minorEastAsia" w:hAnsiTheme="minorEastAsia" w:eastAsiaTheme="minorEastAsia"/>
                <w:color w:val="auto"/>
                <w:sz w:val="24"/>
                <w:szCs w:val="24"/>
                <w:highlight w:val="none"/>
              </w:rPr>
              <w:t>未将一个采购包中的内容拆分响应</w:t>
            </w:r>
          </w:p>
        </w:tc>
      </w:tr>
      <w:tr w14:paraId="5C816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8" w:type="pct"/>
            <w:vMerge w:val="continue"/>
            <w:vAlign w:val="center"/>
          </w:tcPr>
          <w:p w14:paraId="072028A3">
            <w:pPr>
              <w:autoSpaceDE w:val="0"/>
              <w:autoSpaceDN w:val="0"/>
              <w:adjustRightInd w:val="0"/>
              <w:spacing w:line="360" w:lineRule="auto"/>
              <w:jc w:val="center"/>
              <w:rPr>
                <w:color w:val="auto"/>
                <w:sz w:val="24"/>
                <w:szCs w:val="24"/>
                <w:highlight w:val="none"/>
              </w:rPr>
            </w:pPr>
          </w:p>
        </w:tc>
        <w:tc>
          <w:tcPr>
            <w:tcW w:w="1655" w:type="pct"/>
            <w:vAlign w:val="center"/>
          </w:tcPr>
          <w:p w14:paraId="079E0820">
            <w:pPr>
              <w:spacing w:before="100" w:beforeAutospacing="1" w:after="100" w:afterAutospacing="1"/>
              <w:jc w:val="center"/>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报价</w:t>
            </w:r>
          </w:p>
        </w:tc>
        <w:tc>
          <w:tcPr>
            <w:tcW w:w="2765" w:type="pct"/>
            <w:vAlign w:val="center"/>
          </w:tcPr>
          <w:p w14:paraId="5AA1BCD6">
            <w:pPr>
              <w:spacing w:before="100" w:beforeAutospacing="1" w:after="100" w:afterAutospacing="1"/>
              <w:jc w:val="center"/>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Pr>
              <w:t>未超过项目预算金额</w:t>
            </w:r>
            <w:r>
              <w:rPr>
                <w:rFonts w:hint="eastAsia" w:asciiTheme="minorEastAsia" w:hAnsiTheme="minorEastAsia" w:eastAsiaTheme="minorEastAsia"/>
                <w:color w:val="auto"/>
                <w:sz w:val="24"/>
                <w:szCs w:val="24"/>
                <w:highlight w:val="none"/>
                <w:lang w:val="en-US" w:eastAsia="zh-CN"/>
              </w:rPr>
              <w:t>及控制价</w:t>
            </w:r>
          </w:p>
        </w:tc>
      </w:tr>
      <w:tr w14:paraId="2AE44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78" w:type="pct"/>
            <w:vMerge w:val="continue"/>
            <w:vAlign w:val="center"/>
          </w:tcPr>
          <w:p w14:paraId="21731F8A">
            <w:pPr>
              <w:autoSpaceDE w:val="0"/>
              <w:autoSpaceDN w:val="0"/>
              <w:adjustRightInd w:val="0"/>
              <w:spacing w:line="360" w:lineRule="auto"/>
              <w:jc w:val="center"/>
              <w:rPr>
                <w:color w:val="auto"/>
                <w:sz w:val="24"/>
                <w:szCs w:val="24"/>
                <w:highlight w:val="none"/>
              </w:rPr>
            </w:pPr>
          </w:p>
        </w:tc>
        <w:tc>
          <w:tcPr>
            <w:tcW w:w="1655" w:type="pct"/>
            <w:vAlign w:val="center"/>
          </w:tcPr>
          <w:p w14:paraId="0DDF9884">
            <w:pPr>
              <w:spacing w:before="100" w:beforeAutospacing="1" w:after="100" w:afterAutospacing="1"/>
              <w:jc w:val="center"/>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报价唯一性</w:t>
            </w:r>
          </w:p>
        </w:tc>
        <w:tc>
          <w:tcPr>
            <w:tcW w:w="2765" w:type="pct"/>
            <w:vAlign w:val="center"/>
          </w:tcPr>
          <w:p w14:paraId="0A716BDB">
            <w:pPr>
              <w:spacing w:before="100" w:beforeAutospacing="1" w:after="100" w:afterAutospacing="1"/>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响应文件中未出现可选择性或可调整的报价（</w:t>
            </w:r>
            <w:r>
              <w:rPr>
                <w:rFonts w:hint="eastAsia" w:asciiTheme="minorEastAsia" w:hAnsiTheme="minorEastAsia" w:eastAsiaTheme="minorEastAsia"/>
                <w:color w:val="auto"/>
                <w:sz w:val="24"/>
                <w:szCs w:val="24"/>
                <w:highlight w:val="none"/>
                <w:lang w:val="en-US" w:eastAsia="zh-CN"/>
              </w:rPr>
              <w:t>竞争性磋商</w:t>
            </w:r>
            <w:r>
              <w:rPr>
                <w:rFonts w:hint="eastAsia" w:asciiTheme="minorEastAsia" w:hAnsiTheme="minorEastAsia" w:eastAsiaTheme="minorEastAsia"/>
                <w:color w:val="auto"/>
                <w:sz w:val="24"/>
                <w:szCs w:val="24"/>
                <w:highlight w:val="none"/>
              </w:rPr>
              <w:t>文件另有规定的除外）</w:t>
            </w:r>
          </w:p>
        </w:tc>
      </w:tr>
      <w:tr w14:paraId="162B4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78" w:type="pct"/>
            <w:vMerge w:val="continue"/>
            <w:vAlign w:val="center"/>
          </w:tcPr>
          <w:p w14:paraId="2DE09634">
            <w:pPr>
              <w:autoSpaceDE w:val="0"/>
              <w:autoSpaceDN w:val="0"/>
              <w:adjustRightInd w:val="0"/>
              <w:spacing w:line="360" w:lineRule="auto"/>
              <w:jc w:val="center"/>
              <w:rPr>
                <w:color w:val="auto"/>
                <w:sz w:val="24"/>
                <w:szCs w:val="24"/>
                <w:highlight w:val="none"/>
              </w:rPr>
            </w:pPr>
          </w:p>
        </w:tc>
        <w:tc>
          <w:tcPr>
            <w:tcW w:w="1655" w:type="pct"/>
            <w:vAlign w:val="center"/>
          </w:tcPr>
          <w:p w14:paraId="611B69C0">
            <w:pPr>
              <w:spacing w:before="100" w:beforeAutospacing="1" w:after="100" w:afterAutospacing="1"/>
              <w:jc w:val="center"/>
              <w:rPr>
                <w:color w:val="auto"/>
                <w:sz w:val="24"/>
                <w:szCs w:val="24"/>
                <w:highlight w:val="none"/>
              </w:rPr>
            </w:pPr>
            <w:r>
              <w:rPr>
                <w:rFonts w:asciiTheme="minorEastAsia" w:hAnsiTheme="minorEastAsia" w:eastAsiaTheme="minorEastAsia"/>
                <w:color w:val="auto"/>
                <w:sz w:val="24"/>
                <w:szCs w:val="24"/>
                <w:highlight w:val="none"/>
              </w:rPr>
              <w:t>响应有效期</w:t>
            </w:r>
          </w:p>
        </w:tc>
        <w:tc>
          <w:tcPr>
            <w:tcW w:w="2765" w:type="pct"/>
            <w:vAlign w:val="center"/>
          </w:tcPr>
          <w:p w14:paraId="0C00E83D">
            <w:pPr>
              <w:spacing w:before="100" w:beforeAutospacing="1" w:after="100" w:afterAutospacing="1"/>
              <w:jc w:val="center"/>
              <w:rPr>
                <w:color w:val="auto"/>
                <w:sz w:val="24"/>
                <w:szCs w:val="24"/>
                <w:highlight w:val="none"/>
              </w:rPr>
            </w:pPr>
            <w:r>
              <w:rPr>
                <w:rFonts w:asciiTheme="minorEastAsia" w:hAnsiTheme="minorEastAsia" w:eastAsiaTheme="minorEastAsia"/>
                <w:color w:val="auto"/>
                <w:sz w:val="24"/>
                <w:szCs w:val="24"/>
                <w:highlight w:val="none"/>
              </w:rPr>
              <w:t>符合第二章“供应商须知</w:t>
            </w:r>
            <w:r>
              <w:rPr>
                <w:rFonts w:hint="eastAsia" w:asciiTheme="minorEastAsia" w:hAnsiTheme="minorEastAsia" w:eastAsiaTheme="minorEastAsia"/>
                <w:color w:val="auto"/>
                <w:sz w:val="24"/>
                <w:szCs w:val="24"/>
                <w:highlight w:val="none"/>
                <w:lang w:val="en-US" w:eastAsia="zh-CN"/>
              </w:rPr>
              <w:t>前附表</w:t>
            </w:r>
            <w:r>
              <w:rPr>
                <w:rFonts w:asciiTheme="minorEastAsia" w:hAnsiTheme="minorEastAsia" w:eastAsiaTheme="minorEastAsia"/>
                <w:color w:val="auto"/>
                <w:sz w:val="24"/>
                <w:szCs w:val="24"/>
                <w:highlight w:val="none"/>
              </w:rPr>
              <w:t>”第</w:t>
            </w:r>
            <w:r>
              <w:rPr>
                <w:rFonts w:hint="eastAsia" w:asciiTheme="minorEastAsia" w:hAnsiTheme="minorEastAsia" w:eastAsiaTheme="minorEastAsia"/>
                <w:color w:val="auto"/>
                <w:sz w:val="24"/>
                <w:szCs w:val="24"/>
                <w:highlight w:val="none"/>
                <w:lang w:val="en-US" w:eastAsia="zh-CN"/>
              </w:rPr>
              <w:t>19</w:t>
            </w:r>
            <w:r>
              <w:rPr>
                <w:rFonts w:asciiTheme="minorEastAsia" w:hAnsiTheme="minorEastAsia" w:eastAsiaTheme="minorEastAsia"/>
                <w:color w:val="auto"/>
                <w:sz w:val="24"/>
                <w:szCs w:val="24"/>
                <w:highlight w:val="none"/>
              </w:rPr>
              <w:t>项规定</w:t>
            </w:r>
          </w:p>
        </w:tc>
      </w:tr>
      <w:tr w14:paraId="5E7E7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578" w:type="pct"/>
            <w:vMerge w:val="continue"/>
            <w:vAlign w:val="center"/>
          </w:tcPr>
          <w:p w14:paraId="1F97BF9D">
            <w:pPr>
              <w:autoSpaceDE w:val="0"/>
              <w:autoSpaceDN w:val="0"/>
              <w:adjustRightInd w:val="0"/>
              <w:spacing w:line="360" w:lineRule="auto"/>
              <w:jc w:val="center"/>
              <w:rPr>
                <w:color w:val="auto"/>
                <w:sz w:val="24"/>
                <w:szCs w:val="24"/>
                <w:highlight w:val="none"/>
              </w:rPr>
            </w:pPr>
          </w:p>
        </w:tc>
        <w:tc>
          <w:tcPr>
            <w:tcW w:w="1655" w:type="pct"/>
            <w:vAlign w:val="center"/>
          </w:tcPr>
          <w:p w14:paraId="4375F819">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asciiTheme="minorEastAsia" w:hAnsiTheme="minorEastAsia" w:eastAsiaTheme="minorEastAsia"/>
                <w:color w:val="auto"/>
                <w:sz w:val="24"/>
                <w:szCs w:val="24"/>
                <w:highlight w:val="none"/>
              </w:rPr>
            </w:pPr>
            <w:bookmarkStart w:id="57" w:name="OLE_LINK50"/>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有效期</w:t>
            </w:r>
            <w:bookmarkEnd w:id="57"/>
          </w:p>
        </w:tc>
        <w:tc>
          <w:tcPr>
            <w:tcW w:w="2765" w:type="pct"/>
            <w:vAlign w:val="center"/>
          </w:tcPr>
          <w:p w14:paraId="10C2D398">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asciiTheme="minorEastAsia" w:hAnsiTheme="minorEastAsia" w:eastAsiaTheme="minorEastAsia"/>
                <w:color w:val="auto"/>
                <w:sz w:val="24"/>
                <w:szCs w:val="24"/>
                <w:highlight w:val="none"/>
              </w:rPr>
            </w:pPr>
            <w:r>
              <w:rPr>
                <w:rFonts w:hint="eastAsia" w:ascii="宋体" w:hAnsi="宋体" w:cs="宋体"/>
                <w:color w:val="auto"/>
                <w:sz w:val="24"/>
                <w:szCs w:val="24"/>
                <w:highlight w:val="none"/>
                <w:lang w:val="en-US" w:eastAsia="zh-CN"/>
              </w:rPr>
              <w:t>满足竞争性磋商文件要求</w:t>
            </w:r>
          </w:p>
        </w:tc>
      </w:tr>
      <w:tr w14:paraId="5C32D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8" w:type="pct"/>
            <w:vMerge w:val="continue"/>
            <w:vAlign w:val="center"/>
          </w:tcPr>
          <w:p w14:paraId="526D4F41">
            <w:pPr>
              <w:autoSpaceDE w:val="0"/>
              <w:autoSpaceDN w:val="0"/>
              <w:adjustRightInd w:val="0"/>
              <w:spacing w:line="360" w:lineRule="auto"/>
              <w:jc w:val="center"/>
              <w:rPr>
                <w:color w:val="auto"/>
                <w:sz w:val="24"/>
                <w:szCs w:val="24"/>
                <w:highlight w:val="none"/>
              </w:rPr>
            </w:pPr>
          </w:p>
        </w:tc>
        <w:tc>
          <w:tcPr>
            <w:tcW w:w="1655" w:type="pct"/>
            <w:vAlign w:val="center"/>
          </w:tcPr>
          <w:p w14:paraId="447E319F">
            <w:pPr>
              <w:spacing w:before="100" w:beforeAutospacing="1" w:after="100" w:afterAutospacing="1"/>
              <w:jc w:val="center"/>
              <w:rPr>
                <w:color w:val="auto"/>
                <w:kern w:val="2"/>
                <w:sz w:val="24"/>
                <w:szCs w:val="24"/>
                <w:highlight w:val="none"/>
              </w:rPr>
            </w:pPr>
            <w:r>
              <w:rPr>
                <w:rFonts w:asciiTheme="minorEastAsia" w:hAnsiTheme="minorEastAsia" w:eastAsiaTheme="minorEastAsia"/>
                <w:color w:val="auto"/>
                <w:sz w:val="24"/>
                <w:szCs w:val="24"/>
                <w:highlight w:val="none"/>
              </w:rPr>
              <w:t>磋商保证金</w:t>
            </w:r>
          </w:p>
        </w:tc>
        <w:tc>
          <w:tcPr>
            <w:tcW w:w="2765" w:type="pct"/>
            <w:vAlign w:val="center"/>
          </w:tcPr>
          <w:p w14:paraId="5035178B">
            <w:pPr>
              <w:spacing w:before="100" w:beforeAutospacing="1" w:after="100" w:afterAutospacing="1"/>
              <w:jc w:val="center"/>
              <w:rPr>
                <w:color w:val="auto"/>
                <w:kern w:val="2"/>
                <w:sz w:val="24"/>
                <w:szCs w:val="24"/>
                <w:highlight w:val="none"/>
              </w:rPr>
            </w:pPr>
            <w:r>
              <w:rPr>
                <w:rFonts w:asciiTheme="minorEastAsia" w:hAnsiTheme="minorEastAsia" w:eastAsiaTheme="minorEastAsia"/>
                <w:color w:val="auto"/>
                <w:sz w:val="24"/>
                <w:szCs w:val="24"/>
                <w:highlight w:val="none"/>
              </w:rPr>
              <w:t>按照竞争性磋商文件的要求提交磋商保证金</w:t>
            </w:r>
          </w:p>
        </w:tc>
      </w:tr>
      <w:tr w14:paraId="57F24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578" w:type="pct"/>
            <w:vMerge w:val="continue"/>
            <w:vAlign w:val="center"/>
          </w:tcPr>
          <w:p w14:paraId="692BB946">
            <w:pPr>
              <w:autoSpaceDE w:val="0"/>
              <w:autoSpaceDN w:val="0"/>
              <w:adjustRightInd w:val="0"/>
              <w:spacing w:line="360" w:lineRule="auto"/>
              <w:jc w:val="center"/>
              <w:rPr>
                <w:color w:val="auto"/>
                <w:sz w:val="24"/>
                <w:szCs w:val="24"/>
                <w:highlight w:val="none"/>
              </w:rPr>
            </w:pPr>
            <w:bookmarkStart w:id="58" w:name="_Toc19424"/>
            <w:bookmarkStart w:id="59" w:name="_Toc5437"/>
            <w:bookmarkStart w:id="60" w:name="_Toc186513209"/>
            <w:bookmarkStart w:id="61" w:name="_Toc302769233"/>
          </w:p>
        </w:tc>
        <w:tc>
          <w:tcPr>
            <w:tcW w:w="1655" w:type="pct"/>
            <w:vAlign w:val="center"/>
          </w:tcPr>
          <w:p w14:paraId="231D373C">
            <w:pPr>
              <w:spacing w:before="100" w:beforeAutospacing="1" w:after="100" w:afterAutospacing="1"/>
              <w:jc w:val="center"/>
              <w:rPr>
                <w:color w:val="auto"/>
                <w:kern w:val="2"/>
                <w:sz w:val="24"/>
                <w:szCs w:val="24"/>
                <w:highlight w:val="none"/>
              </w:rPr>
            </w:pPr>
            <w:r>
              <w:rPr>
                <w:rFonts w:asciiTheme="minorEastAsia" w:hAnsiTheme="minorEastAsia" w:eastAsiaTheme="minorEastAsia"/>
                <w:color w:val="auto"/>
                <w:sz w:val="24"/>
                <w:szCs w:val="24"/>
                <w:highlight w:val="none"/>
              </w:rPr>
              <w:t>附加条件</w:t>
            </w:r>
          </w:p>
        </w:tc>
        <w:tc>
          <w:tcPr>
            <w:tcW w:w="2765" w:type="pct"/>
            <w:vAlign w:val="center"/>
          </w:tcPr>
          <w:p w14:paraId="7EC6502E">
            <w:pPr>
              <w:spacing w:before="100" w:beforeAutospacing="1" w:after="100" w:afterAutospacing="1"/>
              <w:jc w:val="center"/>
              <w:rPr>
                <w:color w:val="auto"/>
                <w:sz w:val="24"/>
                <w:szCs w:val="24"/>
                <w:highlight w:val="none"/>
              </w:rPr>
            </w:pPr>
            <w:r>
              <w:rPr>
                <w:rFonts w:asciiTheme="minorEastAsia" w:hAnsiTheme="minorEastAsia" w:eastAsiaTheme="minorEastAsia"/>
                <w:color w:val="auto"/>
                <w:sz w:val="24"/>
                <w:szCs w:val="24"/>
                <w:highlight w:val="none"/>
              </w:rPr>
              <w:t>响应文件未含有采购人不能接受的附加条件</w:t>
            </w:r>
          </w:p>
        </w:tc>
      </w:tr>
      <w:tr w14:paraId="46D6B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578" w:type="pct"/>
            <w:vMerge w:val="continue"/>
            <w:vAlign w:val="center"/>
          </w:tcPr>
          <w:p w14:paraId="3D72E6C6">
            <w:pPr>
              <w:autoSpaceDE w:val="0"/>
              <w:autoSpaceDN w:val="0"/>
              <w:adjustRightInd w:val="0"/>
              <w:spacing w:line="360" w:lineRule="auto"/>
              <w:jc w:val="center"/>
              <w:rPr>
                <w:color w:val="auto"/>
                <w:sz w:val="24"/>
                <w:szCs w:val="24"/>
                <w:highlight w:val="none"/>
              </w:rPr>
            </w:pPr>
          </w:p>
        </w:tc>
        <w:tc>
          <w:tcPr>
            <w:tcW w:w="1655" w:type="pct"/>
            <w:vAlign w:val="center"/>
          </w:tcPr>
          <w:p w14:paraId="2342D0CC">
            <w:pPr>
              <w:spacing w:before="100" w:beforeAutospacing="1" w:after="100" w:afterAutospacing="1"/>
              <w:jc w:val="center"/>
              <w:rPr>
                <w:color w:val="auto"/>
                <w:kern w:val="2"/>
                <w:sz w:val="24"/>
                <w:szCs w:val="24"/>
                <w:highlight w:val="none"/>
              </w:rPr>
            </w:pPr>
            <w:r>
              <w:rPr>
                <w:rFonts w:asciiTheme="minorEastAsia" w:hAnsiTheme="minorEastAsia" w:eastAsiaTheme="minorEastAsia"/>
                <w:color w:val="auto"/>
                <w:sz w:val="24"/>
                <w:szCs w:val="24"/>
                <w:highlight w:val="none"/>
              </w:rPr>
              <w:t>其他无效情形</w:t>
            </w:r>
          </w:p>
        </w:tc>
        <w:tc>
          <w:tcPr>
            <w:tcW w:w="2765" w:type="pct"/>
            <w:vAlign w:val="center"/>
          </w:tcPr>
          <w:p w14:paraId="2A8E25BC">
            <w:pPr>
              <w:spacing w:before="100" w:beforeAutospacing="1" w:after="100" w:afterAutospacing="1"/>
              <w:jc w:val="center"/>
              <w:rPr>
                <w:color w:val="auto"/>
                <w:sz w:val="24"/>
                <w:szCs w:val="24"/>
                <w:highlight w:val="none"/>
              </w:rPr>
            </w:pPr>
            <w:r>
              <w:rPr>
                <w:rFonts w:asciiTheme="minorEastAsia" w:hAnsiTheme="minorEastAsia" w:eastAsiaTheme="minorEastAsia"/>
                <w:color w:val="auto"/>
                <w:sz w:val="24"/>
                <w:szCs w:val="24"/>
                <w:highlight w:val="none"/>
              </w:rPr>
              <w:t>供应商、响应文件不存在不符合法律、法规和采购文件规定的其它无效情形</w:t>
            </w:r>
          </w:p>
        </w:tc>
      </w:tr>
    </w:tbl>
    <w:p w14:paraId="0A833E17">
      <w:pPr>
        <w:pStyle w:val="3"/>
        <w:jc w:val="center"/>
        <w:rPr>
          <w:color w:val="auto"/>
          <w:highlight w:val="none"/>
        </w:rPr>
        <w:sectPr>
          <w:pgSz w:w="11910" w:h="16850"/>
          <w:pgMar w:top="1440" w:right="1800" w:bottom="1440" w:left="1800" w:header="850" w:footer="1167" w:gutter="0"/>
          <w:pgNumType w:fmt="decimal"/>
          <w:cols w:space="720" w:num="1"/>
        </w:sectPr>
      </w:pPr>
    </w:p>
    <w:bookmarkEnd w:id="58"/>
    <w:bookmarkEnd w:id="59"/>
    <w:bookmarkEnd w:id="60"/>
    <w:bookmarkEnd w:id="61"/>
    <w:p w14:paraId="6BD8934F">
      <w:pPr>
        <w:adjustRightInd w:val="0"/>
        <w:snapToGrid w:val="0"/>
        <w:spacing w:line="360" w:lineRule="auto"/>
        <w:jc w:val="center"/>
        <w:rPr>
          <w:rFonts w:hint="eastAsia" w:ascii="宋体" w:hAnsi="宋体" w:cs="宋体"/>
          <w:b/>
          <w:bCs/>
          <w:color w:val="auto"/>
          <w:sz w:val="24"/>
          <w:szCs w:val="24"/>
          <w:highlight w:val="none"/>
        </w:rPr>
      </w:pPr>
      <w:bookmarkStart w:id="62" w:name="_Toc186513213"/>
      <w:r>
        <w:rPr>
          <w:rFonts w:hint="eastAsia" w:ascii="宋体" w:hAnsi="宋体" w:cs="宋体"/>
          <w:b/>
          <w:bCs/>
          <w:color w:val="auto"/>
          <w:sz w:val="24"/>
          <w:szCs w:val="24"/>
          <w:highlight w:val="none"/>
        </w:rPr>
        <w:t>二、评审方法正文</w:t>
      </w:r>
    </w:p>
    <w:p w14:paraId="50E4E2B7">
      <w:pPr>
        <w:adjustRightInd w:val="0"/>
        <w:snapToGrid w:val="0"/>
        <w:spacing w:line="360" w:lineRule="auto"/>
        <w:ind w:firstLine="480" w:firstLineChars="20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b/>
          <w:bCs/>
          <w:color w:val="auto"/>
          <w:sz w:val="24"/>
          <w:szCs w:val="24"/>
          <w:highlight w:val="none"/>
        </w:rPr>
        <w:t>响应文件的资格审查和符合性审查</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实质性要求）</w:t>
      </w:r>
    </w:p>
    <w:p w14:paraId="4B58833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磋商小组将根据《评审方法前附表》中的资格审查要求规定的内容，对供应商进行检查，并形成检查结果。供应商《响应文件》有任何一项不符合对应要求的，视为未实质性响应磋商文件。未实质性响应磋商文件的响应文件按无效响应处理，磋商小组应当告知提交响应文件的供应商。</w:t>
      </w:r>
    </w:p>
    <w:p w14:paraId="74CDE515">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1.2磋商小组将根据《评审方法前附表》中的符合性审查要求中规定的内容，对供应商进行检查，并形成检查结果。供应商《响应文件》有任何一项不符合对应要求的，视为未实质性响应磋商文件。未实质性响应磋商文件的响应文件按无效响应处理，磋商小组应当告知提交响应文件的供应商。</w:t>
      </w:r>
    </w:p>
    <w:p w14:paraId="6798E3E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1.3磋商小组将根据《评审方法前附表》中的要求对供应商进行资格审查和符合性审查，只有通过资格审查的供应商才能进入下一步符合性审查；只有通过符合性审查的供应商才能进行磋商。</w:t>
      </w:r>
    </w:p>
    <w:p w14:paraId="225DBA74">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1.4资格审查要求和符合性审查要求中的评审内容及标准要求不能进行任何形式的澄清、说明或者更正。</w:t>
      </w:r>
    </w:p>
    <w:p w14:paraId="0E44242B">
      <w:pPr>
        <w:adjustRightInd w:val="0"/>
        <w:snapToGrid w:val="0"/>
        <w:spacing w:line="360" w:lineRule="auto"/>
        <w:ind w:firstLine="480" w:firstLineChars="200"/>
        <w:rPr>
          <w:rFonts w:hint="eastAsia" w:ascii="宋体" w:hAnsi="宋体" w:cs="宋体"/>
          <w:color w:val="auto"/>
          <w:sz w:val="24"/>
          <w:szCs w:val="24"/>
          <w:highlight w:val="none"/>
        </w:rPr>
      </w:pPr>
    </w:p>
    <w:p w14:paraId="73E38AA4">
      <w:pPr>
        <w:adjustRightInd w:val="0"/>
        <w:snapToGrid w:val="0"/>
        <w:spacing w:line="360" w:lineRule="auto"/>
        <w:ind w:firstLine="482" w:firstLineChars="200"/>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磋商、响应文件有关事项的澄清、说明或者更正和最后报价</w:t>
      </w:r>
    </w:p>
    <w:p w14:paraId="73C4842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2.1磋商小组所有成员将集中与单一供应商分别进行磋商，并给予所有参加磋商的供应商平等的磋商机会；逐家磋商一次为一个轮次，本次磋商轮次为两次，最后一轮磋商后要求供应商进行的报价为最后报价。</w:t>
      </w:r>
    </w:p>
    <w:p w14:paraId="25D0DD0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2.2在磋商过程中，磋商小组可以根据磋商文件和磋商情况实质性变动采购需求中的技术、服务要求以及合同草案条款，但不得变动磋商文件中的其他内容。实质性变动的内容，须经采购人代表确认。</w:t>
      </w:r>
    </w:p>
    <w:p w14:paraId="1A449D8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2.3对磋商文件作出本章2.2条的实质性变动是磋商文件的有效组成部分，磋商小组应当及时以书面形式同时通知所有参加磋商的供应商。</w:t>
      </w:r>
    </w:p>
    <w:p w14:paraId="27231A2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2.4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7A73FBC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2.5响应文件的澄清、说明或者更正：</w:t>
      </w:r>
    </w:p>
    <w:p w14:paraId="3BA384C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2.5.1磋商小组在对响应文件的有效性、完整性和响应程度进行审查时，可以要求供应商对响应文件中含义不明确、同类问题表述不一致或者有明显文字和计算错误的内容等作出必要的澄清、说明或者更正。</w:t>
      </w:r>
    </w:p>
    <w:p w14:paraId="692716D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2.5.2磋商小组对响应文件进行审查时，可要求供应商在规定的时间内对响应文件进行澄清、说明或者更正。如供应商在磋商小组规定的时间内未作出必要的澄清、说明或者更正，或澄清、说明或者更正后仍不能满足采购文件要求的，则供应商的响应文件按无效处理。</w:t>
      </w:r>
    </w:p>
    <w:p w14:paraId="4182404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2.5.3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 或其授权代表签字或者加盖公章。由授权代表签字的，应当附授权委托书。供应商为自然人的，应当由本人签字并附身份证明。澄清、说明或者更正文件将作为响应文件内容的一部分。</w:t>
      </w:r>
    </w:p>
    <w:p w14:paraId="129E4CF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2.6磋商结束后，磋商小组将要求所有实质性响应的供应商在规定时间内提交最后报价。最后报价时间为磋商小组指定的时间，具体时间根据磋商进度另行通知。</w:t>
      </w:r>
    </w:p>
    <w:p w14:paraId="16447F4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2.7磋商文件能够详细列明采购标的的技术、服务要求的，磋商结束后，磋商小组应当要求所有实质性响应的供应商在规定时间内提交最后报价，提交最后报价的供应商不得少于 3 家。磋商文件不能详细列明采购标的的技术、服务要求，需经磋商由供应商提供最终设计方案或解决方案的，磋商结束后，磋商小组应当按照少数服从多数的原则投票推荐 3 家以上供应商的设计方案或者解决方案，并要求其在规定时间内提交最后报价。市场竞争不充分的科研项目，以及需要扶持的科技成果转化项目，提交最后报价的供应商可以为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w:t>
      </w:r>
    </w:p>
    <w:p w14:paraId="635EB78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2.8最后报价是供应商响应文件的有效组成部分。</w:t>
      </w:r>
    </w:p>
    <w:p w14:paraId="023C052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2.9已提交响应文件的供应商，在提交最后报价之前，可以根据磋商情况退出磋商。</w:t>
      </w:r>
    </w:p>
    <w:p w14:paraId="35F8A7DE">
      <w:pPr>
        <w:adjustRightInd w:val="0"/>
        <w:snapToGrid w:val="0"/>
        <w:spacing w:line="360" w:lineRule="auto"/>
        <w:ind w:firstLine="482" w:firstLineChars="2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3最后报价的算术修正及政策调整</w:t>
      </w:r>
    </w:p>
    <w:p w14:paraId="7989012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3.1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响应无效。</w:t>
      </w:r>
    </w:p>
    <w:p w14:paraId="07E81CB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3.2最后报价出现前后不一致的，按照下列规定修正：</w:t>
      </w:r>
    </w:p>
    <w:p w14:paraId="13C1DCA2">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3.2.1竞争性磋商文件对于报价修正是否另有规定：</w:t>
      </w:r>
    </w:p>
    <w:p w14:paraId="74DB9DA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□有，具体规定为：</w:t>
      </w:r>
    </w:p>
    <w:p w14:paraId="0C20B3B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☑无，按下述 3.2.2-3.2.5 项规定修正。</w:t>
      </w:r>
    </w:p>
    <w:p w14:paraId="7A653A5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3.2.2大写金额和小写金额不一致的，以大写金额为准；</w:t>
      </w:r>
    </w:p>
    <w:p w14:paraId="5CC33B0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3.2.3单价金额小数点或者百分比有明显错位的，以总价为准，并修改单价；</w:t>
      </w:r>
    </w:p>
    <w:p w14:paraId="70887FC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3.2.4总价金额与按单价汇总金额不一致的，以单价金额计算结果为准。</w:t>
      </w:r>
    </w:p>
    <w:p w14:paraId="334D1D0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3.2.5同时出现两种以上不一致的，按照前款规定的顺序修正。修正后的报价经供应商书面确认后产生约束力，供应商不确认的，其响应无效。</w:t>
      </w:r>
    </w:p>
    <w:p w14:paraId="7B232E9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3.3落实政府采购政策的价格调整：只有符合第</w:t>
      </w:r>
      <w:r>
        <w:rPr>
          <w:rFonts w:hint="eastAsia" w:ascii="宋体" w:hAnsi="宋体" w:cs="宋体"/>
          <w:color w:val="auto"/>
          <w:sz w:val="24"/>
          <w:szCs w:val="24"/>
          <w:highlight w:val="none"/>
          <w:lang w:val="en-US" w:eastAsia="zh-CN"/>
        </w:rPr>
        <w:t>一</w:t>
      </w:r>
      <w:r>
        <w:rPr>
          <w:rFonts w:hint="eastAsia" w:ascii="宋体" w:hAnsi="宋体" w:cs="宋体"/>
          <w:color w:val="auto"/>
          <w:sz w:val="24"/>
          <w:szCs w:val="24"/>
          <w:highlight w:val="none"/>
        </w:rPr>
        <w:t>章《</w:t>
      </w:r>
      <w:r>
        <w:rPr>
          <w:rFonts w:hint="eastAsia" w:ascii="宋体" w:hAnsi="宋体" w:cs="宋体"/>
          <w:color w:val="auto"/>
          <w:sz w:val="24"/>
          <w:szCs w:val="24"/>
          <w:highlight w:val="none"/>
          <w:lang w:val="en-US" w:eastAsia="zh-CN"/>
        </w:rPr>
        <w:t>竞争性磋商公告</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第一项第9</w:t>
      </w:r>
      <w:r>
        <w:rPr>
          <w:rFonts w:hint="eastAsia" w:ascii="宋体" w:hAnsi="宋体" w:cs="宋体"/>
          <w:color w:val="auto"/>
          <w:sz w:val="24"/>
          <w:szCs w:val="24"/>
          <w:highlight w:val="none"/>
        </w:rPr>
        <w:t>条规定情形的，可以享受中小企业扶持政策，用扣除后的价格参加评审；否则，评审时价格不予扣除。</w:t>
      </w:r>
    </w:p>
    <w:p w14:paraId="560BE18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3.3.1对于未预留份额专门面向中小企业采购的采购项目，以及预留份额项目中的非预留部分采购包，对小微企业报价给予</w:t>
      </w:r>
      <w:r>
        <w:rPr>
          <w:rFonts w:hint="eastAsia" w:ascii="宋体" w:hAnsi="宋体" w:cs="宋体"/>
          <w:color w:val="auto"/>
          <w:sz w:val="24"/>
          <w:szCs w:val="24"/>
          <w:highlight w:val="none"/>
          <w:u w:val="single"/>
          <w:lang w:val="en-US" w:eastAsia="zh-CN"/>
        </w:rPr>
        <w:t xml:space="preserve">  3  </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的扣除，用扣除后的价格参加评审。</w:t>
      </w:r>
    </w:p>
    <w:p w14:paraId="64AEE8B1">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3.3.2对于未预留份额专门面向中小企业采购的采购项目，以及预留份额项目中的非预留部分采购包，且接受大中型企业与小微企业组成联合体或者允许大中型企业向一家或者多家小微企业分包的采购项目， 对于联合协议或者分包意向协议约定小微企业的合同份额占到合同总金额 30%以上的联合体或者大中型企业的报价给予</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%的扣除，用扣除后的价格参加评审。</w:t>
      </w:r>
    </w:p>
    <w:p w14:paraId="4FDFAB99">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3.3.3组成联合体或者接受分包的小微企业与联合体内其他企业、分包企业之间存在直接控股、管理关系的，不享受价格扣除优惠政策。</w:t>
      </w:r>
    </w:p>
    <w:p w14:paraId="661CE3F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3.3.4价格扣除比例对小型企业和微型企业同等对待，不作区分。</w:t>
      </w:r>
    </w:p>
    <w:p w14:paraId="571BAC52">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3.3.5中小企业参加政府采购活动，应当按照竞争性磋商文件给定的格式出具《中小企业声明函》，否则不得享受相关中小企业扶持政策。</w:t>
      </w:r>
    </w:p>
    <w:p w14:paraId="2CE39125">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3.3.6监狱企业提供了由省级以上监狱管理局、戒毒管理局（含新疆生产建设兵团）出具的属于监狱企业的证明文件的，视同小微企业。</w:t>
      </w:r>
    </w:p>
    <w:p w14:paraId="6FF0F2F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3.3.7残疾人福利性单位按竞争性磋商文件要求提供了《残疾人福利性单位声明函》的，视同小微企业。</w:t>
      </w:r>
    </w:p>
    <w:p w14:paraId="3F8EAE50">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3.3.8若供应商同时属于小型或微型企业、监狱企业、残疾人福利性单位中的两种及以上，将不重复享受小微企业价格扣减的优惠政策。</w:t>
      </w:r>
    </w:p>
    <w:p w14:paraId="262A86A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3.3.9其他为落实政府采购政策实施的优先采购： </w:t>
      </w:r>
      <w:r>
        <w:rPr>
          <w:rFonts w:hint="eastAsia" w:ascii="宋体" w:hAnsi="宋体" w:cs="宋体"/>
          <w:color w:val="auto"/>
          <w:sz w:val="24"/>
          <w:szCs w:val="24"/>
          <w:highlight w:val="none"/>
        </w:rPr>
        <w:tab/>
      </w:r>
      <w:r>
        <w:rPr>
          <w:rFonts w:hint="eastAsia" w:ascii="宋体" w:hAnsi="宋体" w:cs="宋体"/>
          <w:color w:val="auto"/>
          <w:sz w:val="24"/>
          <w:szCs w:val="24"/>
          <w:highlight w:val="none"/>
        </w:rPr>
        <w:t>。</w:t>
      </w:r>
    </w:p>
    <w:p w14:paraId="57B9F1AB">
      <w:pPr>
        <w:adjustRightInd w:val="0"/>
        <w:snapToGrid w:val="0"/>
        <w:spacing w:line="360" w:lineRule="auto"/>
        <w:ind w:firstLine="482" w:firstLineChars="200"/>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4</w:t>
      </w:r>
      <w:r>
        <w:rPr>
          <w:rFonts w:hint="eastAsia" w:ascii="宋体" w:hAnsi="宋体" w:cs="宋体"/>
          <w:b/>
          <w:bCs/>
          <w:color w:val="auto"/>
          <w:sz w:val="24"/>
          <w:szCs w:val="24"/>
          <w:highlight w:val="none"/>
          <w:lang w:val="en-US" w:eastAsia="zh-CN"/>
        </w:rPr>
        <w:t>.</w:t>
      </w:r>
      <w:r>
        <w:rPr>
          <w:rFonts w:hint="eastAsia" w:ascii="宋体" w:hAnsi="宋体" w:cs="宋体"/>
          <w:b/>
          <w:bCs/>
          <w:color w:val="auto"/>
          <w:sz w:val="24"/>
          <w:szCs w:val="24"/>
          <w:highlight w:val="none"/>
        </w:rPr>
        <w:t>磋商环节及提交最后报价后如出现以下情况的，供应商的响应文件无效</w:t>
      </w:r>
      <w:r>
        <w:rPr>
          <w:rFonts w:hint="eastAsia" w:ascii="宋体" w:hAnsi="宋体" w:cs="宋体"/>
          <w:color w:val="auto"/>
          <w:sz w:val="24"/>
          <w:szCs w:val="24"/>
          <w:highlight w:val="none"/>
        </w:rPr>
        <w:t>：</w:t>
      </w:r>
    </w:p>
    <w:p w14:paraId="49BF3EA5">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4.1供应商未对采购需求实质性变动的技术、服务要求以及合同草案条款内容进行响应的；</w:t>
      </w:r>
    </w:p>
    <w:p w14:paraId="3F814504">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4.2不满足磋商文件★号条款或磋商文件技术指标超出磋商文件《采购需求》中主要技术参数允许偏差的最大范围的（如有）；</w:t>
      </w:r>
    </w:p>
    <w:p w14:paraId="3E67D81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4.3未按照磋商小组规定的时间、逾期提交最后报价的；</w:t>
      </w:r>
    </w:p>
    <w:p w14:paraId="1273835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4.4如供应商的最后报价超过竞争性磋商文件中规定的项目/采购包预算金额或者项目/采购包最高限价的；</w:t>
      </w:r>
    </w:p>
    <w:p w14:paraId="42EAC98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4.5响应文件中出现可选择性或可调整的报价的（竞争性磋商文件另有规定的除外）；</w:t>
      </w:r>
    </w:p>
    <w:p w14:paraId="7DDE404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4.6最后报价出现前后不一致，供应商对修正后的报价不予确认的；</w:t>
      </w:r>
    </w:p>
    <w:p w14:paraId="1C925B36">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4.7其他：</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w:t>
      </w:r>
    </w:p>
    <w:p w14:paraId="59C6E796">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w:t>
      </w:r>
      <w:r>
        <w:rPr>
          <w:rFonts w:hint="eastAsia" w:ascii="宋体" w:hAnsi="宋体" w:cs="宋体"/>
          <w:color w:val="auto"/>
          <w:sz w:val="24"/>
          <w:szCs w:val="24"/>
          <w:highlight w:val="none"/>
        </w:rPr>
        <w:t>异常低价处理程序</w:t>
      </w:r>
    </w:p>
    <w:p w14:paraId="2DDBA279">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4.8.1</w:t>
      </w:r>
      <w:r>
        <w:rPr>
          <w:rFonts w:hint="eastAsia" w:ascii="宋体" w:hAnsi="宋体" w:cs="宋体"/>
          <w:color w:val="auto"/>
          <w:sz w:val="24"/>
          <w:szCs w:val="24"/>
          <w:highlight w:val="none"/>
        </w:rPr>
        <w:t xml:space="preserve">评审小组在评审中出现下列情形之一的，评审小组应当启动异常低价投标（响应）审查程序： </w:t>
      </w:r>
    </w:p>
    <w:p w14:paraId="7CA9CEE4">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（1）响应报价低于全部通过符合性审查供应商投标（响应）报价平均值50%的，即投标（响应）报价&lt;全部通过符合性审查供应商投标（响应）报价平均值×50%； </w:t>
      </w:r>
    </w:p>
    <w:p w14:paraId="41D6652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 </w:t>
      </w:r>
    </w:p>
    <w:p w14:paraId="12FB30C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（3）投标（响应）报价低于采购项目最高限价45%的，即投标（响应）报价&lt;采购项目最高限价×45%；</w:t>
      </w:r>
    </w:p>
    <w:p w14:paraId="418238E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（4）评审小组基于专业判断，认为供应商报价过低，有可能影响产品质量或者不能诚信履约的其他情形。 采购人可以结合具体项目实际情况，提高上述第1项至第3项中启动异常低价投标（响应）审查的数值标准，但是最高不得超过65%。 相关法律法规对供应商报价有规定的，从其规定。 </w:t>
      </w:r>
    </w:p>
    <w:p w14:paraId="5AE5752D">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4.8.2</w:t>
      </w:r>
      <w:r>
        <w:rPr>
          <w:rFonts w:hint="eastAsia" w:ascii="宋体" w:hAnsi="宋体" w:cs="宋体"/>
          <w:color w:val="auto"/>
          <w:sz w:val="24"/>
          <w:szCs w:val="24"/>
          <w:highlight w:val="none"/>
        </w:rPr>
        <w:t>评审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BE6F48B">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4.8.3</w:t>
      </w:r>
      <w:r>
        <w:rPr>
          <w:rFonts w:hint="eastAsia" w:ascii="宋体" w:hAnsi="宋体" w:cs="宋体"/>
          <w:color w:val="auto"/>
          <w:sz w:val="24"/>
          <w:szCs w:val="24"/>
          <w:highlight w:val="none"/>
        </w:rPr>
        <w:t>评审委员会依据专业经验，参考同类项目</w:t>
      </w:r>
      <w:r>
        <w:rPr>
          <w:rFonts w:hint="eastAsia" w:ascii="宋体" w:hAnsi="宋体" w:cs="宋体"/>
          <w:color w:val="auto"/>
          <w:sz w:val="24"/>
          <w:szCs w:val="24"/>
          <w:highlight w:val="none"/>
          <w:lang w:eastAsia="zh-CN"/>
        </w:rPr>
        <w:t>成交</w:t>
      </w:r>
      <w:r>
        <w:rPr>
          <w:rFonts w:hint="eastAsia" w:ascii="宋体" w:hAnsi="宋体" w:cs="宋体"/>
          <w:color w:val="auto"/>
          <w:sz w:val="24"/>
          <w:szCs w:val="24"/>
          <w:highlight w:val="none"/>
        </w:rPr>
        <w:t>（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采购人、采购代理机构应当为评审委员会在评审现场及时获取同类项目</w:t>
      </w:r>
      <w:r>
        <w:rPr>
          <w:rFonts w:hint="eastAsia" w:ascii="宋体" w:hAnsi="宋体" w:cs="宋体"/>
          <w:color w:val="auto"/>
          <w:sz w:val="24"/>
          <w:szCs w:val="24"/>
          <w:highlight w:val="none"/>
          <w:lang w:eastAsia="zh-CN"/>
        </w:rPr>
        <w:t>成交</w:t>
      </w:r>
      <w:r>
        <w:rPr>
          <w:rFonts w:hint="eastAsia" w:ascii="宋体" w:hAnsi="宋体" w:cs="宋体"/>
          <w:color w:val="auto"/>
          <w:sz w:val="24"/>
          <w:szCs w:val="24"/>
          <w:highlight w:val="none"/>
        </w:rPr>
        <w:t>（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p>
    <w:p w14:paraId="645F53D1">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4.8.4</w:t>
      </w:r>
      <w:r>
        <w:rPr>
          <w:rFonts w:hint="eastAsia" w:ascii="宋体" w:hAnsi="宋体" w:cs="宋体"/>
          <w:color w:val="auto"/>
          <w:sz w:val="24"/>
          <w:szCs w:val="24"/>
          <w:highlight w:val="none"/>
        </w:rPr>
        <w:t>在投诉处理、监督检查中发现评审小组未按规定对异常低价开展审查的，依法予以纠正并追究评审专家的法律责任</w:t>
      </w:r>
      <w:r>
        <w:rPr>
          <w:rFonts w:hint="eastAsia" w:ascii="宋体" w:hAnsi="宋体" w:cs="宋体"/>
          <w:color w:val="auto"/>
          <w:sz w:val="24"/>
          <w:szCs w:val="24"/>
          <w:highlight w:val="none"/>
          <w:lang w:eastAsia="zh-CN"/>
        </w:rPr>
        <w:t>。</w:t>
      </w:r>
    </w:p>
    <w:p w14:paraId="1CCE88EA">
      <w:pPr>
        <w:adjustRightInd w:val="0"/>
        <w:snapToGrid w:val="0"/>
        <w:spacing w:line="360" w:lineRule="auto"/>
        <w:ind w:firstLine="482" w:firstLineChars="200"/>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5评审方法和评审标准</w:t>
      </w:r>
    </w:p>
    <w:p w14:paraId="54F82972">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5.1本项目采用的评审方法为：本项目的评审采用综合评分法。综合评分法，是指响应文件满足磋商文件全部实质性要求且按评审因素的量化指标评审得分最高的供应商为</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候选供应商的评审方法。</w:t>
      </w:r>
    </w:p>
    <w:p w14:paraId="0DB7AFF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5.2竞争性磋商文件中没有规定的评审标准不得作为评审依据。</w:t>
      </w:r>
    </w:p>
    <w:p w14:paraId="78DC76B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5.3非政府强制采购的节能产品或环境标志产品，依据品目清单和认证证书实施政府优先采购。优先采购的具体规定（如涉及）。</w:t>
      </w:r>
    </w:p>
    <w:p w14:paraId="6268F0A6">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5.4关于无线局域网认证产品政府采购清单中的产品，优先采购的具体规定（如涉及） 。</w:t>
      </w:r>
    </w:p>
    <w:p w14:paraId="665703F3">
      <w:pPr>
        <w:adjustRightInd w:val="0"/>
        <w:snapToGrid w:val="0"/>
        <w:spacing w:line="360" w:lineRule="auto"/>
        <w:ind w:firstLine="482" w:firstLineChars="2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6确定</w:t>
      </w:r>
      <w:r>
        <w:rPr>
          <w:rFonts w:hint="eastAsia" w:ascii="宋体" w:hAnsi="宋体" w:cs="宋体"/>
          <w:b/>
          <w:bCs/>
          <w:color w:val="auto"/>
          <w:sz w:val="24"/>
          <w:szCs w:val="24"/>
          <w:highlight w:val="none"/>
          <w:lang w:val="en-US" w:eastAsia="zh-CN"/>
        </w:rPr>
        <w:t>成交</w:t>
      </w:r>
      <w:r>
        <w:rPr>
          <w:rFonts w:hint="eastAsia" w:ascii="宋体" w:hAnsi="宋体" w:cs="宋体"/>
          <w:b/>
          <w:bCs/>
          <w:color w:val="auto"/>
          <w:sz w:val="24"/>
          <w:szCs w:val="24"/>
          <w:highlight w:val="none"/>
        </w:rPr>
        <w:t>候选人名单</w:t>
      </w:r>
    </w:p>
    <w:p w14:paraId="25103DBF">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6.1磋商小组将根据各供应商的评审排序以及磋商文件中关于</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候选人的相关规定，确定本项目</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候选人名单，按照评审得分由高到低顺序推荐</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候选人的排名顺序。评审得分相同的，按照最后报价由低到高的顺序推荐。评审得分且最后报价相同的，按照评审因素的量化指标技术评审得分最高的供应商为排名第一的</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候选人。评分分值计算保留小数点后两位，第三位四舍五入。</w:t>
      </w:r>
    </w:p>
    <w:p w14:paraId="09AC866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6.2磋商小组根据上述供应商排序，依次推荐排序前</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rPr>
        <w:t>名的供应商为</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候选供应商（若在磋商文件允许的情形下提交最后报价的供应商为</w:t>
      </w:r>
      <w:r>
        <w:rPr>
          <w:rFonts w:hint="eastAsia" w:ascii="宋体" w:hAnsi="宋体" w:cs="宋体"/>
          <w:color w:val="auto"/>
          <w:sz w:val="24"/>
          <w:szCs w:val="24"/>
          <w:highlight w:val="none"/>
          <w:lang w:val="en-US" w:eastAsia="zh-CN"/>
        </w:rPr>
        <w:t>两</w:t>
      </w:r>
      <w:r>
        <w:rPr>
          <w:rFonts w:hint="eastAsia" w:ascii="宋体" w:hAnsi="宋体" w:cs="宋体"/>
          <w:color w:val="auto"/>
          <w:sz w:val="24"/>
          <w:szCs w:val="24"/>
          <w:highlight w:val="none"/>
        </w:rPr>
        <w:t>家，则依次推荐二名供应商为</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候选供应商），并编写评审报告。</w:t>
      </w:r>
    </w:p>
    <w:p w14:paraId="7CC9CE8C">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6.3磋商小组要对评分汇总情况进行复核，特别是对排名第一的、报价最低的、响应文件被认定为无效的情形进行重点复核。</w:t>
      </w:r>
    </w:p>
    <w:p w14:paraId="35C9C976">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6.4评审报告应当由磋商小组全体人员签字认可。磋商小组成员对评审报告有异议的，磋商小组按照少数服从多数的原则推荐</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ABF834D">
      <w:pPr>
        <w:adjustRightInd w:val="0"/>
        <w:snapToGrid w:val="0"/>
        <w:spacing w:line="360" w:lineRule="auto"/>
        <w:ind w:firstLine="482" w:firstLineChars="2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7报告违法行为</w:t>
      </w:r>
    </w:p>
    <w:p w14:paraId="69B6BF5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磋商小组在评审过程中发现供应商有行贿、提供虚假材料或者串通等违法行为时，有向采购人、采购代理机构或者有关部门报告的职责。</w:t>
      </w:r>
    </w:p>
    <w:p w14:paraId="0B910DDF">
      <w:pPr>
        <w:pStyle w:val="5"/>
        <w:numPr>
          <w:ilvl w:val="3"/>
          <w:numId w:val="0"/>
        </w:numPr>
        <w:adjustRightInd w:val="0"/>
        <w:snapToGrid w:val="0"/>
        <w:spacing w:before="0" w:after="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三、技术部分评审评分</w:t>
      </w:r>
    </w:p>
    <w:bookmarkEnd w:id="62"/>
    <w:tbl>
      <w:tblPr>
        <w:tblStyle w:val="28"/>
        <w:tblW w:w="9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996"/>
        <w:gridCol w:w="2475"/>
        <w:gridCol w:w="5128"/>
      </w:tblGrid>
      <w:tr w14:paraId="2B189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blHeader/>
          <w:jc w:val="center"/>
        </w:trPr>
        <w:tc>
          <w:tcPr>
            <w:tcW w:w="1841" w:type="dxa"/>
            <w:gridSpan w:val="2"/>
            <w:vAlign w:val="center"/>
          </w:tcPr>
          <w:p w14:paraId="63F868C7">
            <w:pPr>
              <w:spacing w:line="32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条款号</w:t>
            </w:r>
          </w:p>
        </w:tc>
        <w:tc>
          <w:tcPr>
            <w:tcW w:w="2475" w:type="dxa"/>
            <w:vAlign w:val="center"/>
          </w:tcPr>
          <w:p w14:paraId="0049C776">
            <w:pPr>
              <w:spacing w:line="32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审查因素</w:t>
            </w:r>
          </w:p>
        </w:tc>
        <w:tc>
          <w:tcPr>
            <w:tcW w:w="5128" w:type="dxa"/>
            <w:vAlign w:val="center"/>
          </w:tcPr>
          <w:p w14:paraId="72091153">
            <w:pPr>
              <w:spacing w:line="32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审 查 标 准</w:t>
            </w:r>
          </w:p>
        </w:tc>
      </w:tr>
      <w:tr w14:paraId="6C2C6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1841" w:type="dxa"/>
            <w:gridSpan w:val="2"/>
            <w:vAlign w:val="center"/>
          </w:tcPr>
          <w:p w14:paraId="403D98C0">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详细评审（满分100分）</w:t>
            </w:r>
          </w:p>
        </w:tc>
        <w:tc>
          <w:tcPr>
            <w:tcW w:w="7603" w:type="dxa"/>
            <w:gridSpan w:val="2"/>
            <w:vAlign w:val="center"/>
          </w:tcPr>
          <w:p w14:paraId="0447B867">
            <w:pPr>
              <w:adjustRightInd w:val="0"/>
              <w:snapToGrid w:val="0"/>
              <w:spacing w:line="360" w:lineRule="auto"/>
              <w:jc w:val="both"/>
              <w:rPr>
                <w:rFonts w:hint="eastAsia" w:cs="仿宋"/>
                <w:color w:val="auto"/>
                <w:sz w:val="24"/>
                <w:highlight w:val="none"/>
              </w:rPr>
            </w:pPr>
            <w:r>
              <w:rPr>
                <w:rFonts w:hint="eastAsia" w:cs="仿宋"/>
                <w:color w:val="auto"/>
                <w:sz w:val="24"/>
                <w:highlight w:val="none"/>
              </w:rPr>
              <w:t>分值构成</w:t>
            </w:r>
          </w:p>
          <w:p w14:paraId="1CA8E0CC">
            <w:pPr>
              <w:adjustRightInd w:val="0"/>
              <w:snapToGrid w:val="0"/>
              <w:spacing w:line="360" w:lineRule="auto"/>
              <w:jc w:val="both"/>
              <w:rPr>
                <w:rFonts w:hint="eastAsia" w:ascii="宋体" w:hAnsi="宋体" w:eastAsia="宋体" w:cs="宋体"/>
                <w:color w:val="auto"/>
                <w:sz w:val="24"/>
                <w:szCs w:val="24"/>
                <w:highlight w:val="none"/>
              </w:rPr>
            </w:pPr>
            <w:r>
              <w:rPr>
                <w:rFonts w:hint="eastAsia" w:cs="仿宋"/>
                <w:color w:val="auto"/>
                <w:sz w:val="24"/>
                <w:highlight w:val="none"/>
              </w:rPr>
              <w:t>（满分100分）</w:t>
            </w:r>
            <w:r>
              <w:rPr>
                <w:rFonts w:hint="eastAsia" w:ascii="宋体" w:hAnsi="宋体" w:eastAsia="宋体" w:cs="宋体"/>
                <w:color w:val="auto"/>
                <w:sz w:val="24"/>
                <w:szCs w:val="24"/>
                <w:highlight w:val="none"/>
              </w:rPr>
              <w:t>：</w:t>
            </w:r>
          </w:p>
          <w:p w14:paraId="224C81D3">
            <w:pPr>
              <w:adjustRightInd w:val="0"/>
              <w:snapToGrid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供应商的评标总得分＝F1＋F2+F3</w:t>
            </w:r>
          </w:p>
          <w:p w14:paraId="7F1DA605">
            <w:pPr>
              <w:adjustRightInd w:val="0"/>
              <w:snapToGrid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其中：F1、F2、F3分别为报价部分、技术部分及商务部分3项评分因素的得分；</w:t>
            </w:r>
          </w:p>
          <w:p w14:paraId="6913F5F6">
            <w:pPr>
              <w:adjustRightInd w:val="0"/>
              <w:snapToGrid w:val="0"/>
              <w:spacing w:line="360" w:lineRule="auto"/>
              <w:jc w:val="left"/>
              <w:rPr>
                <w:rFonts w:hint="eastAsia" w:cs="仿宋"/>
                <w:b/>
                <w:bCs/>
                <w:color w:val="auto"/>
                <w:sz w:val="24"/>
                <w:highlight w:val="none"/>
              </w:rPr>
            </w:pPr>
            <w:r>
              <w:rPr>
                <w:rFonts w:hint="eastAsia" w:cs="仿宋"/>
                <w:b/>
                <w:bCs/>
                <w:color w:val="auto"/>
                <w:sz w:val="24"/>
                <w:highlight w:val="none"/>
              </w:rPr>
              <w:t>报价部分得分F1：</w:t>
            </w:r>
            <w:r>
              <w:rPr>
                <w:rFonts w:hint="eastAsia" w:cs="仿宋"/>
                <w:b/>
                <w:bCs/>
                <w:color w:val="auto"/>
                <w:sz w:val="24"/>
                <w:highlight w:val="none"/>
                <w:lang w:val="en-US" w:eastAsia="zh-CN"/>
              </w:rPr>
              <w:t>20</w:t>
            </w:r>
            <w:r>
              <w:rPr>
                <w:rFonts w:hint="eastAsia" w:cs="仿宋"/>
                <w:b/>
                <w:bCs/>
                <w:color w:val="auto"/>
                <w:sz w:val="24"/>
                <w:highlight w:val="none"/>
              </w:rPr>
              <w:t>分。</w:t>
            </w:r>
          </w:p>
          <w:p w14:paraId="1F6C0061">
            <w:pPr>
              <w:adjustRightInd w:val="0"/>
              <w:snapToGrid w:val="0"/>
              <w:spacing w:line="360" w:lineRule="auto"/>
              <w:jc w:val="left"/>
              <w:rPr>
                <w:rFonts w:hint="eastAsia" w:cs="仿宋"/>
                <w:b/>
                <w:bCs/>
                <w:color w:val="auto"/>
                <w:sz w:val="24"/>
                <w:highlight w:val="none"/>
              </w:rPr>
            </w:pPr>
            <w:r>
              <w:rPr>
                <w:rFonts w:hint="eastAsia" w:cs="仿宋"/>
                <w:b/>
                <w:bCs/>
                <w:color w:val="auto"/>
                <w:sz w:val="24"/>
                <w:highlight w:val="none"/>
              </w:rPr>
              <w:t>技术部分得分F2：</w:t>
            </w:r>
            <w:r>
              <w:rPr>
                <w:rFonts w:hint="eastAsia" w:cs="仿宋"/>
                <w:b/>
                <w:bCs/>
                <w:color w:val="auto"/>
                <w:sz w:val="24"/>
                <w:highlight w:val="none"/>
                <w:lang w:val="en-US" w:eastAsia="zh-CN"/>
              </w:rPr>
              <w:t>70</w:t>
            </w:r>
            <w:r>
              <w:rPr>
                <w:rFonts w:hint="eastAsia" w:cs="仿宋"/>
                <w:b/>
                <w:bCs/>
                <w:color w:val="auto"/>
                <w:sz w:val="24"/>
                <w:highlight w:val="none"/>
              </w:rPr>
              <w:t>分。</w:t>
            </w:r>
          </w:p>
          <w:p w14:paraId="255CF2BC">
            <w:pPr>
              <w:spacing w:line="320" w:lineRule="exact"/>
              <w:rPr>
                <w:rFonts w:hint="eastAsia" w:ascii="宋体" w:hAnsi="宋体" w:cs="宋体"/>
                <w:color w:val="auto"/>
                <w:sz w:val="24"/>
                <w:szCs w:val="24"/>
                <w:highlight w:val="none"/>
              </w:rPr>
            </w:pPr>
            <w:r>
              <w:rPr>
                <w:rFonts w:hint="eastAsia" w:cs="仿宋"/>
                <w:b/>
                <w:bCs/>
                <w:color w:val="auto"/>
                <w:sz w:val="24"/>
                <w:highlight w:val="none"/>
              </w:rPr>
              <w:t>商务部分得分F</w:t>
            </w:r>
            <w:r>
              <w:rPr>
                <w:rFonts w:cs="仿宋"/>
                <w:b/>
                <w:bCs/>
                <w:color w:val="auto"/>
                <w:sz w:val="24"/>
                <w:highlight w:val="none"/>
              </w:rPr>
              <w:t>3</w:t>
            </w:r>
            <w:r>
              <w:rPr>
                <w:rFonts w:hint="eastAsia" w:cs="仿宋"/>
                <w:b/>
                <w:bCs/>
                <w:color w:val="auto"/>
                <w:sz w:val="24"/>
                <w:highlight w:val="none"/>
              </w:rPr>
              <w:t>:</w:t>
            </w:r>
            <w:r>
              <w:rPr>
                <w:rFonts w:hint="eastAsia" w:cs="仿宋"/>
                <w:b/>
                <w:bCs/>
                <w:color w:val="auto"/>
                <w:sz w:val="24"/>
                <w:highlight w:val="none"/>
                <w:lang w:val="en-US" w:eastAsia="zh-CN"/>
              </w:rPr>
              <w:t>10</w:t>
            </w:r>
            <w:r>
              <w:rPr>
                <w:rFonts w:hint="eastAsia" w:cs="仿宋"/>
                <w:b/>
                <w:bCs/>
                <w:color w:val="auto"/>
                <w:sz w:val="24"/>
                <w:highlight w:val="none"/>
              </w:rPr>
              <w:t>分。</w:t>
            </w:r>
          </w:p>
        </w:tc>
      </w:tr>
      <w:tr w14:paraId="0CE6B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845" w:type="dxa"/>
            <w:vMerge w:val="restart"/>
            <w:vAlign w:val="center"/>
          </w:tcPr>
          <w:p w14:paraId="5E27567A">
            <w:pPr>
              <w:spacing w:line="320" w:lineRule="exact"/>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w:t>
            </w:r>
          </w:p>
        </w:tc>
        <w:tc>
          <w:tcPr>
            <w:tcW w:w="996" w:type="dxa"/>
            <w:vMerge w:val="restart"/>
            <w:vAlign w:val="center"/>
          </w:tcPr>
          <w:p w14:paraId="39211436">
            <w:pPr>
              <w:spacing w:line="3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技术部分（满分</w:t>
            </w:r>
            <w:r>
              <w:rPr>
                <w:rFonts w:hint="eastAsia" w:ascii="宋体" w:hAnsi="宋体" w:cs="宋体"/>
                <w:b/>
                <w:bCs/>
                <w:color w:val="auto"/>
                <w:sz w:val="24"/>
                <w:szCs w:val="24"/>
                <w:highlight w:val="none"/>
                <w:lang w:val="en-US" w:eastAsia="zh-CN"/>
              </w:rPr>
              <w:t>70</w:t>
            </w:r>
            <w:r>
              <w:rPr>
                <w:rFonts w:hint="eastAsia" w:ascii="宋体" w:hAnsi="宋体" w:cs="宋体"/>
                <w:b/>
                <w:bCs/>
                <w:color w:val="auto"/>
                <w:sz w:val="24"/>
                <w:szCs w:val="24"/>
                <w:highlight w:val="none"/>
              </w:rPr>
              <w:t>分）</w:t>
            </w:r>
          </w:p>
        </w:tc>
        <w:tc>
          <w:tcPr>
            <w:tcW w:w="2475" w:type="dxa"/>
            <w:vAlign w:val="center"/>
          </w:tcPr>
          <w:p w14:paraId="5152C48C">
            <w:pPr>
              <w:spacing w:line="320" w:lineRule="exact"/>
              <w:jc w:val="center"/>
              <w:rPr>
                <w:rFonts w:hint="eastAsia" w:ascii="宋体" w:hAnsi="宋体" w:cs="宋体"/>
                <w:color w:val="auto"/>
                <w:sz w:val="24"/>
                <w:szCs w:val="24"/>
                <w:highlight w:val="none"/>
              </w:rPr>
            </w:pPr>
            <w:r>
              <w:rPr>
                <w:rFonts w:hint="eastAsia" w:cs="仿宋"/>
                <w:b/>
                <w:color w:val="auto"/>
                <w:sz w:val="24"/>
                <w:highlight w:val="none"/>
              </w:rPr>
              <w:t>施工技术方案评审评分（满分</w:t>
            </w:r>
            <w:r>
              <w:rPr>
                <w:rFonts w:hint="eastAsia" w:cs="仿宋"/>
                <w:b/>
                <w:color w:val="auto"/>
                <w:sz w:val="24"/>
                <w:highlight w:val="none"/>
                <w:lang w:val="en-US" w:eastAsia="zh-CN"/>
              </w:rPr>
              <w:t>30</w:t>
            </w:r>
            <w:r>
              <w:rPr>
                <w:rFonts w:hint="eastAsia" w:cs="仿宋"/>
                <w:b/>
                <w:color w:val="auto"/>
                <w:sz w:val="24"/>
                <w:highlight w:val="none"/>
              </w:rPr>
              <w:t>分）</w:t>
            </w:r>
          </w:p>
        </w:tc>
        <w:tc>
          <w:tcPr>
            <w:tcW w:w="5128" w:type="dxa"/>
            <w:vAlign w:val="center"/>
          </w:tcPr>
          <w:p w14:paraId="2E08F0E6">
            <w:pPr>
              <w:spacing w:line="360" w:lineRule="auto"/>
              <w:rPr>
                <w:rFonts w:hint="eastAsia" w:ascii="宋体" w:hAnsi="宋体" w:eastAsia="宋体" w:cs="宋体"/>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内容包括：①施工部署；②施工技术准备；③施工技术方案；④施工总进度计划；⑤施工主要工序；⑥项目施工重点难点分析及处理措施。</w:t>
            </w:r>
          </w:p>
          <w:p w14:paraId="29CBE156">
            <w:pPr>
              <w:spacing w:line="360" w:lineRule="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以上6项内容，经评定内容具体且有针对性、合理性、与项目服务需求吻合、层次细化，有具体详细的阐述；阐述从实际出发，切合项目背景、项目需求以及市场供应情况发现问题并提出合理化专业技术建议或者解决方案；内容符合国家、地方、行业标准、行业惯例以及项目特点、能有效落地执行和操作，保障项目高质量履约，实现采购目标，满足采购人需求，施工主要工序搭配逻辑关系和关键线路清晰、合理，并能指导施工，对本项目施工的重点难点分析具体符合项目实际的得</w:t>
            </w:r>
            <w:r>
              <w:rPr>
                <w:rFonts w:hint="eastAsia" w:ascii="宋体" w:hAnsi="宋体" w:cs="宋体"/>
                <w:color w:val="auto"/>
                <w:kern w:val="2"/>
                <w:sz w:val="24"/>
                <w:szCs w:val="24"/>
                <w:highlight w:val="none"/>
                <w:lang w:val="en-US" w:eastAsia="zh-CN"/>
              </w:rPr>
              <w:t>30</w:t>
            </w:r>
            <w:r>
              <w:rPr>
                <w:rFonts w:hint="eastAsia" w:ascii="宋体" w:hAnsi="宋体" w:eastAsia="宋体" w:cs="宋体"/>
                <w:color w:val="auto"/>
                <w:kern w:val="2"/>
                <w:sz w:val="24"/>
                <w:szCs w:val="24"/>
                <w:highlight w:val="none"/>
                <w:lang w:val="en-US" w:eastAsia="zh-CN"/>
              </w:rPr>
              <w:t>分；每缺少一项内容的扣</w:t>
            </w:r>
            <w:r>
              <w:rPr>
                <w:rFonts w:hint="eastAsia" w:ascii="宋体" w:hAnsi="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lang w:val="en-US" w:eastAsia="zh-CN"/>
              </w:rPr>
              <w:t>分，每有一处内容存在不足的扣2.5分。</w:t>
            </w:r>
          </w:p>
          <w:p w14:paraId="7F5CF632">
            <w:pPr>
              <w:spacing w:line="360" w:lineRule="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注：①以磋商小组结合项目实际情况和响应文件的响应情况独立评审为准；</w:t>
            </w:r>
          </w:p>
          <w:p w14:paraId="46DD5F44">
            <w:pPr>
              <w:spacing w:line="360" w:lineRule="auto"/>
              <w:rPr>
                <w:rFonts w:hint="eastAsia"/>
                <w:color w:val="auto"/>
                <w:highlight w:val="none"/>
                <w:lang w:val="en-US" w:eastAsia="zh-CN"/>
              </w:rPr>
            </w:pPr>
            <w:r>
              <w:rPr>
                <w:rFonts w:hint="eastAsia" w:ascii="宋体" w:hAnsi="宋体" w:eastAsia="宋体" w:cs="宋体"/>
                <w:color w:val="auto"/>
                <w:kern w:val="2"/>
                <w:sz w:val="24"/>
                <w:szCs w:val="24"/>
                <w:highlight w:val="none"/>
                <w:lang w:val="en-US" w:eastAsia="zh-CN"/>
              </w:rPr>
              <w:t>②不足是指：内容过于简略，内容措施不具体无针对性，与项目服务需求不吻合、施工主要工序搭配逻辑关系和关键线路混乱、不合理的，对本项目施工的重点难点分析与实际情况不符、不可行、不足以支撑项目实施等任意一项类似缺陷或瑕疵。</w:t>
            </w:r>
          </w:p>
        </w:tc>
      </w:tr>
      <w:tr w14:paraId="054DE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845" w:type="dxa"/>
            <w:vMerge w:val="continue"/>
            <w:vAlign w:val="center"/>
          </w:tcPr>
          <w:p w14:paraId="7EC5EF9A">
            <w:pPr>
              <w:spacing w:line="320" w:lineRule="exact"/>
              <w:rPr>
                <w:rFonts w:hint="eastAsia" w:ascii="宋体" w:hAnsi="宋体" w:cs="宋体"/>
                <w:color w:val="auto"/>
                <w:sz w:val="24"/>
                <w:szCs w:val="24"/>
                <w:highlight w:val="none"/>
              </w:rPr>
            </w:pPr>
          </w:p>
        </w:tc>
        <w:tc>
          <w:tcPr>
            <w:tcW w:w="996" w:type="dxa"/>
            <w:vMerge w:val="continue"/>
            <w:vAlign w:val="center"/>
          </w:tcPr>
          <w:p w14:paraId="7E51297D">
            <w:pPr>
              <w:spacing w:line="320" w:lineRule="exact"/>
              <w:rPr>
                <w:rFonts w:hint="eastAsia" w:ascii="宋体" w:hAnsi="宋体" w:cs="宋体"/>
                <w:color w:val="auto"/>
                <w:sz w:val="24"/>
                <w:szCs w:val="24"/>
                <w:highlight w:val="none"/>
              </w:rPr>
            </w:pPr>
          </w:p>
        </w:tc>
        <w:tc>
          <w:tcPr>
            <w:tcW w:w="2475" w:type="dxa"/>
            <w:vAlign w:val="center"/>
          </w:tcPr>
          <w:p w14:paraId="59DC117D">
            <w:pPr>
              <w:spacing w:line="320" w:lineRule="exact"/>
              <w:jc w:val="center"/>
              <w:rPr>
                <w:rFonts w:hint="eastAsia" w:ascii="宋体" w:hAnsi="宋体" w:cs="宋体"/>
                <w:color w:val="auto"/>
                <w:sz w:val="24"/>
                <w:szCs w:val="24"/>
                <w:highlight w:val="none"/>
              </w:rPr>
            </w:pPr>
            <w:r>
              <w:rPr>
                <w:rFonts w:hint="eastAsia" w:ascii="Times New Roman" w:hAnsi="Times New Roman" w:eastAsia="宋体" w:cs="仿宋"/>
                <w:b/>
                <w:color w:val="auto"/>
                <w:sz w:val="24"/>
                <w:highlight w:val="none"/>
              </w:rPr>
              <w:t>工期承诺和保障措施评审评分（满分1</w:t>
            </w:r>
            <w:r>
              <w:rPr>
                <w:rFonts w:hint="eastAsia" w:cs="仿宋"/>
                <w:b/>
                <w:color w:val="auto"/>
                <w:sz w:val="24"/>
                <w:highlight w:val="none"/>
                <w:lang w:val="en-US" w:eastAsia="zh-CN"/>
              </w:rPr>
              <w:t>2</w:t>
            </w:r>
            <w:r>
              <w:rPr>
                <w:rFonts w:hint="eastAsia" w:ascii="Times New Roman" w:hAnsi="Times New Roman" w:eastAsia="宋体" w:cs="仿宋"/>
                <w:b/>
                <w:color w:val="auto"/>
                <w:sz w:val="24"/>
                <w:highlight w:val="none"/>
              </w:rPr>
              <w:t>分）</w:t>
            </w:r>
          </w:p>
        </w:tc>
        <w:tc>
          <w:tcPr>
            <w:tcW w:w="5128" w:type="dxa"/>
            <w:vAlign w:val="center"/>
          </w:tcPr>
          <w:p w14:paraId="31554DE1">
            <w:pPr>
              <w:spacing w:line="360" w:lineRule="auto"/>
              <w:rPr>
                <w:rFonts w:hint="eastAsia" w:ascii="宋体" w:hAnsi="宋体" w:eastAsia="宋体" w:cs="宋体"/>
                <w:color w:val="auto"/>
                <w:sz w:val="24"/>
                <w:szCs w:val="24"/>
                <w:highlight w:val="none"/>
              </w:rPr>
            </w:pPr>
            <w:r>
              <w:rPr>
                <w:rFonts w:hint="eastAsia" w:cs="仿宋"/>
                <w:b/>
                <w:bCs/>
                <w:color w:val="auto"/>
                <w:sz w:val="24"/>
                <w:highlight w:val="none"/>
              </w:rPr>
              <w:t>内容包括：①工期及违约责任承诺；②工期保障措施。</w:t>
            </w:r>
            <w:r>
              <w:rPr>
                <w:rFonts w:hint="eastAsia" w:ascii="宋体" w:hAnsi="宋体" w:eastAsia="宋体" w:cs="宋体"/>
                <w:color w:val="auto"/>
                <w:sz w:val="24"/>
                <w:szCs w:val="24"/>
                <w:highlight w:val="none"/>
              </w:rPr>
              <w:t>以上2项内容，经评定工期承诺满足竞争性磋商文件要求有具体的违约责任承诺，有明确的违约金额，工期保障措施合理且有针对性的得1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分；每缺少一项内容的扣</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分，每有一处内容存在不足的扣2.5分。</w:t>
            </w:r>
          </w:p>
          <w:p w14:paraId="7C47547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注：①以磋商小组结合项目实际情况和响应文件的响应情况独立评审为准；</w:t>
            </w:r>
          </w:p>
          <w:p w14:paraId="4EB7C653">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②不足是指：内容过于简略，无针对性，工期承诺不满足竞争性磋商文件要求，无具体的违约责任承诺，工期保障措施不合理、不可行、不足以支撑项目实施等任意一项类似缺陷或瑕疵。</w:t>
            </w:r>
          </w:p>
        </w:tc>
      </w:tr>
      <w:tr w14:paraId="41A9B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845" w:type="dxa"/>
            <w:vMerge w:val="continue"/>
            <w:vAlign w:val="center"/>
          </w:tcPr>
          <w:p w14:paraId="60D22BC7">
            <w:pPr>
              <w:spacing w:line="320" w:lineRule="exact"/>
              <w:rPr>
                <w:rFonts w:hint="eastAsia" w:ascii="宋体" w:hAnsi="宋体" w:cs="宋体"/>
                <w:color w:val="auto"/>
                <w:sz w:val="24"/>
                <w:szCs w:val="24"/>
                <w:highlight w:val="none"/>
              </w:rPr>
            </w:pPr>
          </w:p>
        </w:tc>
        <w:tc>
          <w:tcPr>
            <w:tcW w:w="996" w:type="dxa"/>
            <w:vMerge w:val="continue"/>
            <w:vAlign w:val="center"/>
          </w:tcPr>
          <w:p w14:paraId="721B5A31">
            <w:pPr>
              <w:spacing w:line="320" w:lineRule="exact"/>
              <w:rPr>
                <w:rFonts w:hint="eastAsia" w:ascii="宋体" w:hAnsi="宋体" w:cs="宋体"/>
                <w:color w:val="auto"/>
                <w:sz w:val="24"/>
                <w:szCs w:val="24"/>
                <w:highlight w:val="none"/>
              </w:rPr>
            </w:pPr>
          </w:p>
        </w:tc>
        <w:tc>
          <w:tcPr>
            <w:tcW w:w="2475" w:type="dxa"/>
            <w:vAlign w:val="center"/>
          </w:tcPr>
          <w:p w14:paraId="12F77C7C">
            <w:pPr>
              <w:spacing w:line="320" w:lineRule="exact"/>
              <w:jc w:val="center"/>
              <w:rPr>
                <w:rFonts w:hint="eastAsia" w:ascii="宋体" w:hAnsi="宋体" w:cs="宋体"/>
                <w:color w:val="auto"/>
                <w:sz w:val="24"/>
                <w:szCs w:val="24"/>
                <w:highlight w:val="none"/>
              </w:rPr>
            </w:pPr>
            <w:r>
              <w:rPr>
                <w:rFonts w:hint="eastAsia" w:cs="仿宋"/>
                <w:b/>
                <w:color w:val="auto"/>
                <w:sz w:val="24"/>
                <w:highlight w:val="none"/>
              </w:rPr>
              <w:t>质量承诺及保证措施评审评分（满分</w:t>
            </w:r>
            <w:r>
              <w:rPr>
                <w:rFonts w:cs="仿宋"/>
                <w:b/>
                <w:color w:val="auto"/>
                <w:sz w:val="24"/>
                <w:highlight w:val="none"/>
              </w:rPr>
              <w:t>1</w:t>
            </w:r>
            <w:r>
              <w:rPr>
                <w:rFonts w:hint="eastAsia" w:cs="仿宋"/>
                <w:b/>
                <w:color w:val="auto"/>
                <w:sz w:val="24"/>
                <w:highlight w:val="none"/>
                <w:lang w:val="en-US" w:eastAsia="zh-CN"/>
              </w:rPr>
              <w:t>2</w:t>
            </w:r>
            <w:r>
              <w:rPr>
                <w:rFonts w:hint="eastAsia" w:cs="仿宋"/>
                <w:b/>
                <w:color w:val="auto"/>
                <w:sz w:val="24"/>
                <w:highlight w:val="none"/>
              </w:rPr>
              <w:t>分）</w:t>
            </w:r>
          </w:p>
        </w:tc>
        <w:tc>
          <w:tcPr>
            <w:tcW w:w="5128" w:type="dxa"/>
            <w:vAlign w:val="center"/>
          </w:tcPr>
          <w:p w14:paraId="28326A64">
            <w:pPr>
              <w:spacing w:line="360" w:lineRule="auto"/>
              <w:jc w:val="left"/>
              <w:rPr>
                <w:rFonts w:hint="eastAsia" w:cs="仿宋"/>
                <w:b/>
                <w:bCs/>
                <w:color w:val="auto"/>
                <w:sz w:val="24"/>
                <w:highlight w:val="none"/>
              </w:rPr>
            </w:pPr>
            <w:r>
              <w:rPr>
                <w:rFonts w:hint="eastAsia" w:cs="仿宋"/>
                <w:b/>
                <w:bCs/>
                <w:color w:val="auto"/>
                <w:sz w:val="24"/>
                <w:highlight w:val="none"/>
              </w:rPr>
              <w:t>内容包括：①质量管理目标；②质量保证措施；③质量违约责任承诺。</w:t>
            </w:r>
          </w:p>
          <w:p w14:paraId="7A3B1415">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以上3项内容，经评定质量管理目标详细合理、质量保证措施体系流程内容详细完善、质量违约责任承诺内容具体详细，有明确的违约金额，且违约金额设定符合项目实际情况的得</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分；每缺少一项内容的扣</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分，每有一处内容存在不足的扣2.5分。</w:t>
            </w:r>
          </w:p>
          <w:p w14:paraId="075DDF5F">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注：①以磋商小组结合项目实际情况和响应文件的响应情况独立评审为准；</w:t>
            </w:r>
          </w:p>
          <w:p w14:paraId="2FF7892B">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②不足是指：内容过于简略，无针对性，质量管理目标不详细不合理，质量保证措施体系流程不具体，质量违约责任承诺内容不具体，无明确的违约金额，或违约金额设定与项目实际情况不符、不可行、不足以支撑项目实施等任意一项类似缺陷或瑕疵。</w:t>
            </w:r>
          </w:p>
        </w:tc>
      </w:tr>
      <w:tr w14:paraId="0B0FF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845" w:type="dxa"/>
            <w:vMerge w:val="continue"/>
            <w:vAlign w:val="center"/>
          </w:tcPr>
          <w:p w14:paraId="2ADCE351">
            <w:pPr>
              <w:spacing w:line="320" w:lineRule="exact"/>
              <w:rPr>
                <w:rFonts w:hint="eastAsia" w:ascii="宋体" w:hAnsi="宋体" w:cs="宋体"/>
                <w:color w:val="auto"/>
                <w:sz w:val="24"/>
                <w:szCs w:val="24"/>
                <w:highlight w:val="none"/>
              </w:rPr>
            </w:pPr>
          </w:p>
        </w:tc>
        <w:tc>
          <w:tcPr>
            <w:tcW w:w="996" w:type="dxa"/>
            <w:vMerge w:val="continue"/>
            <w:vAlign w:val="center"/>
          </w:tcPr>
          <w:p w14:paraId="7A3ED1F2">
            <w:pPr>
              <w:spacing w:line="320" w:lineRule="exact"/>
              <w:rPr>
                <w:rFonts w:hint="eastAsia" w:ascii="宋体" w:hAnsi="宋体" w:cs="宋体"/>
                <w:color w:val="auto"/>
                <w:sz w:val="24"/>
                <w:szCs w:val="24"/>
                <w:highlight w:val="none"/>
              </w:rPr>
            </w:pPr>
          </w:p>
        </w:tc>
        <w:tc>
          <w:tcPr>
            <w:tcW w:w="2475" w:type="dxa"/>
            <w:vAlign w:val="center"/>
          </w:tcPr>
          <w:p w14:paraId="4FC382C0">
            <w:pPr>
              <w:jc w:val="left"/>
              <w:rPr>
                <w:rFonts w:hint="eastAsia" w:cs="仿宋"/>
                <w:b/>
                <w:color w:val="auto"/>
                <w:sz w:val="24"/>
                <w:highlight w:val="none"/>
              </w:rPr>
            </w:pPr>
            <w:r>
              <w:rPr>
                <w:rFonts w:hint="eastAsia" w:cs="仿宋"/>
                <w:b/>
                <w:color w:val="auto"/>
                <w:sz w:val="24"/>
                <w:highlight w:val="none"/>
              </w:rPr>
              <w:t>安全文明施工保证措施评审评分（满分</w:t>
            </w:r>
            <w:r>
              <w:rPr>
                <w:rFonts w:cs="仿宋"/>
                <w:b/>
                <w:color w:val="auto"/>
                <w:sz w:val="24"/>
                <w:highlight w:val="none"/>
              </w:rPr>
              <w:t>10</w:t>
            </w:r>
            <w:r>
              <w:rPr>
                <w:rFonts w:hint="eastAsia" w:cs="仿宋"/>
                <w:b/>
                <w:color w:val="auto"/>
                <w:sz w:val="24"/>
                <w:highlight w:val="none"/>
              </w:rPr>
              <w:t>分）</w:t>
            </w:r>
          </w:p>
          <w:p w14:paraId="74692795">
            <w:pPr>
              <w:spacing w:line="320" w:lineRule="exact"/>
              <w:jc w:val="center"/>
              <w:rPr>
                <w:rFonts w:hint="eastAsia" w:ascii="宋体" w:hAnsi="宋体" w:cs="宋体"/>
                <w:b/>
                <w:color w:val="auto"/>
                <w:kern w:val="2"/>
                <w:sz w:val="24"/>
                <w:szCs w:val="24"/>
                <w:highlight w:val="none"/>
              </w:rPr>
            </w:pPr>
          </w:p>
        </w:tc>
        <w:tc>
          <w:tcPr>
            <w:tcW w:w="5128" w:type="dxa"/>
            <w:vAlign w:val="center"/>
          </w:tcPr>
          <w:p w14:paraId="69EDB625">
            <w:pPr>
              <w:spacing w:line="360" w:lineRule="auto"/>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w:t>
            </w:r>
            <w:r>
              <w:rPr>
                <w:rFonts w:hint="eastAsia" w:ascii="宋体" w:hAnsi="宋体" w:eastAsia="宋体" w:cs="宋体"/>
                <w:b/>
                <w:bCs/>
                <w:color w:val="auto"/>
                <w:sz w:val="24"/>
                <w:szCs w:val="24"/>
                <w:highlight w:val="none"/>
              </w:rPr>
              <w:t>内容包括：①安全文明施工保证措施；②安全文明施工承诺及违约承诺。</w:t>
            </w:r>
          </w:p>
          <w:p w14:paraId="240519B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2项内容，经评定安全文明施工保证措施具体、完整、可行和有针对性，安全文明施工承诺及违约承诺内容具体详细，有明确的违约金额，且违约金额设定符合项目实际情况的得10分；每缺少一项内容的扣5分，每有一处内容存在不足的扣2.5分。</w:t>
            </w:r>
          </w:p>
          <w:p w14:paraId="341C265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注：①以磋商小组结合项目实际情况和响应文件的响应情况独立评审为准；</w:t>
            </w:r>
          </w:p>
          <w:p w14:paraId="67337522">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②不足是指：内容过于简略，无针对性，安全文明施工保证措施不详细不合理，承诺内容不具体，无明确的违约金额，或违约金额设定与项目实际情况不符、不可行、不足以支撑项目实施等任意一项类似缺陷或瑕疵。</w:t>
            </w:r>
          </w:p>
        </w:tc>
      </w:tr>
      <w:tr w14:paraId="6366F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845" w:type="dxa"/>
            <w:vMerge w:val="continue"/>
            <w:vAlign w:val="center"/>
          </w:tcPr>
          <w:p w14:paraId="2C12F7DF">
            <w:pPr>
              <w:spacing w:line="320" w:lineRule="exact"/>
              <w:rPr>
                <w:rFonts w:hint="eastAsia" w:ascii="宋体" w:hAnsi="宋体" w:cs="宋体"/>
                <w:color w:val="auto"/>
                <w:sz w:val="24"/>
                <w:szCs w:val="24"/>
                <w:highlight w:val="none"/>
              </w:rPr>
            </w:pPr>
          </w:p>
        </w:tc>
        <w:tc>
          <w:tcPr>
            <w:tcW w:w="996" w:type="dxa"/>
            <w:vMerge w:val="continue"/>
            <w:vAlign w:val="center"/>
          </w:tcPr>
          <w:p w14:paraId="01A0E843">
            <w:pPr>
              <w:spacing w:line="320" w:lineRule="exact"/>
              <w:rPr>
                <w:rFonts w:hint="eastAsia" w:ascii="宋体" w:hAnsi="宋体" w:cs="宋体"/>
                <w:color w:val="auto"/>
                <w:sz w:val="24"/>
                <w:szCs w:val="24"/>
                <w:highlight w:val="none"/>
              </w:rPr>
            </w:pPr>
          </w:p>
        </w:tc>
        <w:tc>
          <w:tcPr>
            <w:tcW w:w="2475" w:type="dxa"/>
            <w:vAlign w:val="center"/>
          </w:tcPr>
          <w:p w14:paraId="7AFE596B">
            <w:pPr>
              <w:spacing w:line="320" w:lineRule="exact"/>
              <w:jc w:val="center"/>
              <w:rPr>
                <w:rFonts w:hint="eastAsia" w:ascii="宋体" w:hAnsi="宋体" w:cs="宋体"/>
                <w:b/>
                <w:color w:val="auto"/>
                <w:kern w:val="2"/>
                <w:sz w:val="24"/>
                <w:szCs w:val="24"/>
                <w:highlight w:val="none"/>
              </w:rPr>
            </w:pPr>
            <w:r>
              <w:rPr>
                <w:rFonts w:hint="eastAsia" w:cs="仿宋"/>
                <w:b/>
                <w:color w:val="auto"/>
                <w:sz w:val="24"/>
                <w:highlight w:val="none"/>
              </w:rPr>
              <w:t>劳动力安排、施工机械和材料投入评审评分（满分</w:t>
            </w:r>
            <w:r>
              <w:rPr>
                <w:rFonts w:hint="eastAsia" w:cs="仿宋"/>
                <w:b/>
                <w:color w:val="auto"/>
                <w:sz w:val="24"/>
                <w:highlight w:val="none"/>
                <w:lang w:val="en-US" w:eastAsia="zh-CN"/>
              </w:rPr>
              <w:t>6</w:t>
            </w:r>
            <w:r>
              <w:rPr>
                <w:rFonts w:hint="eastAsia" w:cs="仿宋"/>
                <w:b/>
                <w:color w:val="auto"/>
                <w:sz w:val="24"/>
                <w:highlight w:val="none"/>
              </w:rPr>
              <w:t>分）</w:t>
            </w:r>
          </w:p>
        </w:tc>
        <w:tc>
          <w:tcPr>
            <w:tcW w:w="5128" w:type="dxa"/>
            <w:vAlign w:val="center"/>
          </w:tcPr>
          <w:p w14:paraId="40D977D7">
            <w:pPr>
              <w:tabs>
                <w:tab w:val="left" w:pos="360"/>
                <w:tab w:val="left" w:pos="432"/>
              </w:tabs>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内容包括：①劳动力安排；②施工机械和材料投入计划。</w:t>
            </w:r>
          </w:p>
          <w:p w14:paraId="25EC645C">
            <w:pPr>
              <w:tabs>
                <w:tab w:val="left" w:pos="360"/>
                <w:tab w:val="left" w:pos="432"/>
              </w:tabs>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以上2项内容，经评定劳动力安排、施工机械投入和材料投入与施工进度计划相呼应，与项目具有针对性和合理性，且能够保障工程进度顺利进行，满足施工需要的得</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分；每缺少一项内容的扣</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分，每有一处内容存在不足的扣</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p>
          <w:p w14:paraId="434EC1FC">
            <w:pPr>
              <w:tabs>
                <w:tab w:val="left" w:pos="360"/>
                <w:tab w:val="left" w:pos="432"/>
              </w:tabs>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注：①以磋商小组结合项目实际情况和响应文件的响应情况独立评审为准；</w:t>
            </w:r>
          </w:p>
          <w:p w14:paraId="4314BFDE">
            <w:pPr>
              <w:spacing w:line="360" w:lineRule="auto"/>
              <w:rPr>
                <w:rFonts w:hint="eastAsia" w:ascii="宋体" w:hAnsi="宋体" w:cs="宋体"/>
                <w:color w:val="auto"/>
                <w:sz w:val="24"/>
                <w:szCs w:val="24"/>
                <w:highlight w:val="none"/>
              </w:rPr>
            </w:pPr>
            <w:r>
              <w:rPr>
                <w:rFonts w:hint="eastAsia" w:ascii="宋体" w:hAnsi="宋体" w:eastAsia="宋体" w:cs="宋体"/>
                <w:b w:val="0"/>
                <w:bCs w:val="0"/>
                <w:color w:val="auto"/>
                <w:sz w:val="24"/>
                <w:szCs w:val="24"/>
                <w:highlight w:val="none"/>
              </w:rPr>
              <w:t>②不足是指：内容过于简略，项目管理人员配置不合理，无针对性，不能满足本项目工程管理需要，具体的岗位职责内容描述不具体、不可行、不足以支撑项目实施等任意一项类似缺陷或瑕疵。</w:t>
            </w:r>
          </w:p>
        </w:tc>
      </w:tr>
      <w:tr w14:paraId="69B83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845" w:type="dxa"/>
            <w:vAlign w:val="center"/>
          </w:tcPr>
          <w:p w14:paraId="2B0D7D13">
            <w:pPr>
              <w:spacing w:line="320" w:lineRule="exact"/>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w:t>
            </w:r>
          </w:p>
        </w:tc>
        <w:tc>
          <w:tcPr>
            <w:tcW w:w="996" w:type="dxa"/>
            <w:vAlign w:val="center"/>
          </w:tcPr>
          <w:p w14:paraId="1326590F">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商务部分评分标准</w:t>
            </w:r>
          </w:p>
          <w:p w14:paraId="3E7ACCC2">
            <w:pPr>
              <w:spacing w:line="3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（满分10分）</w:t>
            </w:r>
          </w:p>
        </w:tc>
        <w:tc>
          <w:tcPr>
            <w:tcW w:w="2475" w:type="dxa"/>
            <w:vAlign w:val="center"/>
          </w:tcPr>
          <w:p w14:paraId="7DF53F08">
            <w:pPr>
              <w:spacing w:line="320" w:lineRule="exact"/>
              <w:jc w:val="center"/>
              <w:rPr>
                <w:rFonts w:hint="eastAsia" w:ascii="宋体" w:hAnsi="宋体" w:cs="宋体"/>
                <w:color w:val="auto"/>
                <w:sz w:val="24"/>
                <w:szCs w:val="24"/>
                <w:highlight w:val="none"/>
              </w:rPr>
            </w:pPr>
            <w:r>
              <w:rPr>
                <w:rFonts w:hint="eastAsia" w:cs="仿宋"/>
                <w:b/>
                <w:color w:val="auto"/>
                <w:sz w:val="24"/>
                <w:highlight w:val="none"/>
              </w:rPr>
              <w:t>项目管理人员配置评审评分（满分</w:t>
            </w:r>
            <w:r>
              <w:rPr>
                <w:rFonts w:cs="仿宋"/>
                <w:b/>
                <w:color w:val="auto"/>
                <w:sz w:val="24"/>
                <w:highlight w:val="none"/>
              </w:rPr>
              <w:t>10</w:t>
            </w:r>
            <w:r>
              <w:rPr>
                <w:rFonts w:hint="eastAsia" w:cs="仿宋"/>
                <w:b/>
                <w:color w:val="auto"/>
                <w:sz w:val="24"/>
                <w:highlight w:val="none"/>
              </w:rPr>
              <w:t>分）</w:t>
            </w:r>
          </w:p>
        </w:tc>
        <w:tc>
          <w:tcPr>
            <w:tcW w:w="5128" w:type="dxa"/>
            <w:vAlign w:val="center"/>
          </w:tcPr>
          <w:p w14:paraId="73AC41DF">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内容包括：①项目管理人员配置；②项目管理人员分工。</w:t>
            </w:r>
          </w:p>
          <w:p w14:paraId="1605502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2项内容，经评定项目管理人员对工程实际配置合理，能满足本项目工程管理需要，分工详细明确，有详细描述具体的岗位职责内容、符合项目实际情况的得10分；每缺少一项内容的扣5分，每有一处内容存在不足的扣2.5分。</w:t>
            </w:r>
          </w:p>
          <w:p w14:paraId="4290197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注：①以磋商小组结合项目实际情况和响应文件的响应情况独立评审为准；</w:t>
            </w:r>
          </w:p>
          <w:p w14:paraId="7D0AF703">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②不足是指：内容过于简略，无针对性，项目管理人员配置不合理且无项目管理人员不更换承诺的，不能满足本项目工程管理需要，具体的岗位职责内容描述不具体、不可行、不足以支撑项目实施等任意一项类似缺陷或瑕疵。</w:t>
            </w:r>
          </w:p>
        </w:tc>
      </w:tr>
      <w:tr w14:paraId="7AD75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845" w:type="dxa"/>
            <w:vAlign w:val="center"/>
          </w:tcPr>
          <w:p w14:paraId="2B8D773B">
            <w:pPr>
              <w:spacing w:line="320" w:lineRule="exact"/>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w:t>
            </w:r>
          </w:p>
        </w:tc>
        <w:tc>
          <w:tcPr>
            <w:tcW w:w="996" w:type="dxa"/>
            <w:vAlign w:val="center"/>
          </w:tcPr>
          <w:p w14:paraId="1A326014">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报价</w:t>
            </w:r>
            <w:r>
              <w:rPr>
                <w:rFonts w:hint="eastAsia" w:ascii="宋体" w:hAnsi="宋体" w:eastAsia="宋体" w:cs="宋体"/>
                <w:b/>
                <w:bCs/>
                <w:color w:val="auto"/>
                <w:sz w:val="24"/>
                <w:szCs w:val="24"/>
                <w:highlight w:val="none"/>
              </w:rPr>
              <w:t>部分（满</w:t>
            </w:r>
            <w:r>
              <w:rPr>
                <w:rFonts w:hint="eastAsia" w:ascii="宋体" w:hAnsi="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rPr>
              <w:t>分）</w:t>
            </w:r>
          </w:p>
        </w:tc>
        <w:tc>
          <w:tcPr>
            <w:tcW w:w="2475" w:type="dxa"/>
            <w:vAlign w:val="center"/>
          </w:tcPr>
          <w:p w14:paraId="2C5E63EA">
            <w:pPr>
              <w:spacing w:line="360" w:lineRule="auto"/>
              <w:jc w:val="center"/>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磋商报价</w:t>
            </w:r>
          </w:p>
          <w:p w14:paraId="4B8C2391">
            <w:pPr>
              <w:spacing w:line="360" w:lineRule="auto"/>
              <w:jc w:val="center"/>
              <w:rPr>
                <w:rFonts w:hint="eastAsia" w:ascii="宋体" w:hAnsi="宋体" w:cs="宋体"/>
                <w:b/>
                <w:bCs/>
                <w:color w:val="auto"/>
                <w:kern w:val="2"/>
                <w:sz w:val="24"/>
                <w:szCs w:val="24"/>
                <w:highlight w:val="none"/>
              </w:rPr>
            </w:pPr>
            <w:r>
              <w:rPr>
                <w:rFonts w:hint="eastAsia" w:ascii="宋体" w:hAnsi="宋体" w:eastAsia="宋体" w:cs="宋体"/>
                <w:b/>
                <w:bCs/>
                <w:color w:val="auto"/>
                <w:kern w:val="2"/>
                <w:sz w:val="24"/>
                <w:szCs w:val="24"/>
                <w:highlight w:val="none"/>
              </w:rPr>
              <w:t>（满</w:t>
            </w:r>
            <w:r>
              <w:rPr>
                <w:rFonts w:hint="eastAsia" w:ascii="宋体" w:hAnsi="宋体" w:cs="宋体"/>
                <w:b/>
                <w:bCs/>
                <w:color w:val="auto"/>
                <w:kern w:val="2"/>
                <w:sz w:val="24"/>
                <w:szCs w:val="24"/>
                <w:highlight w:val="none"/>
                <w:lang w:val="en-US" w:eastAsia="zh-CN"/>
              </w:rPr>
              <w:t>20</w:t>
            </w:r>
            <w:r>
              <w:rPr>
                <w:rFonts w:hint="eastAsia" w:ascii="宋体" w:hAnsi="宋体" w:eastAsia="宋体" w:cs="宋体"/>
                <w:b/>
                <w:bCs/>
                <w:color w:val="auto"/>
                <w:kern w:val="2"/>
                <w:sz w:val="24"/>
                <w:szCs w:val="24"/>
                <w:highlight w:val="none"/>
              </w:rPr>
              <w:t>分）</w:t>
            </w:r>
          </w:p>
        </w:tc>
        <w:tc>
          <w:tcPr>
            <w:tcW w:w="5128" w:type="dxa"/>
            <w:vAlign w:val="center"/>
          </w:tcPr>
          <w:p w14:paraId="7305318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报价评分采用低价优先法计算，即满足磋商文件要求且最后报价最低的供应商的价格为磋商基准价，其报价分为满分。其他供应商的报价分统一按照下列公式计算：</w:t>
            </w:r>
          </w:p>
          <w:p w14:paraId="0953DC3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磋商报价得分=（磋商基准价/最后磋商报价）×分值</w:t>
            </w:r>
          </w:p>
          <w:p w14:paraId="6593F8B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注：1）此处最后报价指经过报价修正，及落实政府采购政策进行价格调整后的报价，详见第三章《评审方法和评审标准》；</w:t>
            </w:r>
          </w:p>
          <w:p w14:paraId="1AE1D0D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2）残疾人福利性单位、监狱企业视同小型、微型企业。</w:t>
            </w:r>
          </w:p>
          <w:p w14:paraId="31A87F79">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3）监狱企业或残疾人福利性单位属于小型、微型企业的，不重复计算，只进行一次价格扣除。</w:t>
            </w:r>
          </w:p>
        </w:tc>
      </w:tr>
      <w:tr w14:paraId="7FC06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845" w:type="dxa"/>
            <w:vAlign w:val="center"/>
          </w:tcPr>
          <w:p w14:paraId="2241695B">
            <w:pPr>
              <w:spacing w:line="32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p>
        </w:tc>
        <w:tc>
          <w:tcPr>
            <w:tcW w:w="3471" w:type="dxa"/>
            <w:gridSpan w:val="2"/>
            <w:vAlign w:val="center"/>
          </w:tcPr>
          <w:p w14:paraId="3A4DC49D">
            <w:pPr>
              <w:spacing w:line="310" w:lineRule="exact"/>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其他</w:t>
            </w:r>
          </w:p>
        </w:tc>
        <w:tc>
          <w:tcPr>
            <w:tcW w:w="5128" w:type="dxa"/>
            <w:vAlign w:val="center"/>
          </w:tcPr>
          <w:p w14:paraId="4BE63666">
            <w:pPr>
              <w:spacing w:line="31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无。</w:t>
            </w:r>
          </w:p>
        </w:tc>
      </w:tr>
    </w:tbl>
    <w:p w14:paraId="602DD57C">
      <w:pPr>
        <w:tabs>
          <w:tab w:val="left" w:pos="360"/>
          <w:tab w:val="left" w:pos="1080"/>
        </w:tabs>
        <w:snapToGrid w:val="0"/>
        <w:spacing w:line="360" w:lineRule="auto"/>
        <w:ind w:left="1080"/>
        <w:rPr>
          <w:rFonts w:hint="eastAsia" w:ascii="宋体" w:hAnsi="宋体" w:cs="宋体"/>
          <w:color w:val="auto"/>
          <w:sz w:val="24"/>
          <w:highlight w:val="none"/>
        </w:rPr>
      </w:pPr>
    </w:p>
    <w:p w14:paraId="50F6E52E">
      <w:pPr>
        <w:pStyle w:val="3"/>
        <w:numPr>
          <w:ilvl w:val="1"/>
          <w:numId w:val="0"/>
        </w:numPr>
        <w:snapToGrid w:val="0"/>
        <w:ind w:firstLine="482" w:firstLineChars="200"/>
        <w:jc w:val="both"/>
        <w:textAlignment w:val="auto"/>
        <w:rPr>
          <w:rFonts w:hint="eastAsia" w:ascii="宋体" w:hAnsi="宋体" w:cs="宋体"/>
          <w:color w:val="auto"/>
          <w:sz w:val="24"/>
          <w:highlight w:val="none"/>
        </w:rPr>
      </w:pPr>
      <w:bookmarkStart w:id="63" w:name="_Toc29160"/>
      <w:bookmarkStart w:id="64" w:name="_Toc59809735"/>
      <w:bookmarkStart w:id="65" w:name="_Toc103091637"/>
      <w:bookmarkStart w:id="66" w:name="_Toc30601"/>
      <w:r>
        <w:rPr>
          <w:rFonts w:hint="eastAsia" w:ascii="宋体" w:hAnsi="宋体" w:cs="宋体"/>
          <w:color w:val="auto"/>
          <w:sz w:val="24"/>
          <w:highlight w:val="none"/>
        </w:rPr>
        <w:t>三、评标程序</w:t>
      </w:r>
      <w:bookmarkEnd w:id="63"/>
      <w:bookmarkEnd w:id="64"/>
      <w:bookmarkEnd w:id="65"/>
      <w:bookmarkEnd w:id="66"/>
    </w:p>
    <w:p w14:paraId="1FBF4F3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资格审查→符合性审查→详细评审。</w:t>
      </w:r>
    </w:p>
    <w:p w14:paraId="40FE39CE">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1.资格审查：由采购人或采购代理机构对供应商进行资格审查，有一项不符合审查标准的，视为资格审查不通过，不进入下一评审程序。</w:t>
      </w:r>
    </w:p>
    <w:p w14:paraId="592FA118">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2.符合性审查：由评标委员会对投标文件进行符合性审查，有一项不符合审查标准的，视为符合性审查不通过，不进入下一评标程序。</w:t>
      </w:r>
    </w:p>
    <w:p w14:paraId="14BEEC97">
      <w:pPr>
        <w:pStyle w:val="24"/>
        <w:widowControl w:val="0"/>
        <w:tabs>
          <w:tab w:val="left" w:pos="2472"/>
        </w:tabs>
        <w:adjustRightInd w:val="0"/>
        <w:snapToGrid w:val="0"/>
        <w:spacing w:before="0" w:beforeAutospacing="0" w:after="0" w:afterAutospacing="0" w:line="360" w:lineRule="auto"/>
        <w:ind w:firstLine="480" w:firstLineChars="200"/>
        <w:jc w:val="both"/>
        <w:rPr>
          <w:rFonts w:hint="eastAsia"/>
          <w:color w:val="auto"/>
          <w:highlight w:val="none"/>
        </w:rPr>
      </w:pPr>
      <w:r>
        <w:rPr>
          <w:rFonts w:hint="eastAsia"/>
          <w:color w:val="auto"/>
          <w:highlight w:val="none"/>
        </w:rPr>
        <w:t>3.详细评审：由评标委员会按本章规定的评分因素进行综合评分。</w:t>
      </w:r>
    </w:p>
    <w:p w14:paraId="2583F2B6">
      <w:pPr>
        <w:pStyle w:val="3"/>
        <w:numPr>
          <w:ilvl w:val="1"/>
          <w:numId w:val="0"/>
        </w:numPr>
        <w:snapToGrid w:val="0"/>
        <w:ind w:firstLine="482" w:firstLineChars="200"/>
        <w:jc w:val="both"/>
        <w:textAlignment w:val="auto"/>
        <w:rPr>
          <w:rFonts w:hint="eastAsia" w:ascii="宋体" w:hAnsi="宋体" w:cs="宋体"/>
          <w:color w:val="auto"/>
          <w:sz w:val="24"/>
          <w:highlight w:val="none"/>
        </w:rPr>
      </w:pPr>
      <w:bookmarkStart w:id="67" w:name="_Toc3290"/>
      <w:bookmarkStart w:id="68" w:name="_Toc59809736"/>
      <w:bookmarkStart w:id="69" w:name="_Toc103091638"/>
      <w:bookmarkStart w:id="70" w:name="_Toc30848"/>
      <w:r>
        <w:rPr>
          <w:rFonts w:hint="eastAsia" w:ascii="宋体" w:hAnsi="宋体" w:cs="宋体"/>
          <w:color w:val="auto"/>
          <w:sz w:val="24"/>
          <w:highlight w:val="none"/>
        </w:rPr>
        <w:t>四、</w:t>
      </w:r>
      <w:bookmarkEnd w:id="67"/>
      <w:bookmarkEnd w:id="68"/>
      <w:bookmarkEnd w:id="69"/>
      <w:bookmarkStart w:id="71" w:name="_Toc12052"/>
      <w:bookmarkStart w:id="72" w:name="_Toc103091640"/>
      <w:bookmarkStart w:id="73" w:name="_Toc59809738"/>
      <w:bookmarkStart w:id="74" w:name="_Toc489869497"/>
      <w:bookmarkStart w:id="75" w:name="_Toc489869425"/>
      <w:r>
        <w:rPr>
          <w:rFonts w:hint="eastAsia" w:ascii="宋体" w:hAnsi="宋体" w:cs="宋体"/>
          <w:color w:val="auto"/>
          <w:sz w:val="24"/>
          <w:highlight w:val="none"/>
        </w:rPr>
        <w:t>评分要求</w:t>
      </w:r>
      <w:bookmarkEnd w:id="70"/>
      <w:bookmarkEnd w:id="71"/>
      <w:bookmarkEnd w:id="72"/>
      <w:bookmarkEnd w:id="73"/>
      <w:bookmarkEnd w:id="74"/>
      <w:bookmarkEnd w:id="75"/>
    </w:p>
    <w:p w14:paraId="63BC849D">
      <w:pPr>
        <w:tabs>
          <w:tab w:val="left" w:pos="540"/>
        </w:tabs>
        <w:adjustRightInd w:val="0"/>
        <w:snapToGrid w:val="0"/>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color w:val="auto"/>
          <w:sz w:val="24"/>
          <w:szCs w:val="24"/>
          <w:highlight w:val="none"/>
        </w:rPr>
        <w:t>评标时，评标委员会各成员应当独立对每个供应商的投标文件进行评价，并汇总每个供应商的得分。</w:t>
      </w:r>
      <w:r>
        <w:rPr>
          <w:rFonts w:hint="eastAsia" w:ascii="宋体" w:hAnsi="宋体" w:cs="宋体"/>
          <w:bCs/>
          <w:color w:val="auto"/>
          <w:sz w:val="24"/>
          <w:szCs w:val="24"/>
          <w:highlight w:val="none"/>
        </w:rPr>
        <w:t>评标委员会成员对自己的评审意见承担法律责任。对评审报告有异议的，应当在评审报告上签署不同意见，并说明理由，否则视为同意评审报告。评标委员会成员对需要共同认定的事项存在争议的，按照少数服从多数的原则作出结论，持不同意见的评标委员会成员应当在评标报告上签署不同意见并说明理由，否则视为同意。</w:t>
      </w:r>
    </w:p>
    <w:p w14:paraId="4E346AE1">
      <w:pPr>
        <w:tabs>
          <w:tab w:val="left" w:pos="540"/>
        </w:tabs>
        <w:adjustRightInd w:val="0"/>
        <w:snapToGrid w:val="0"/>
        <w:spacing w:line="360" w:lineRule="auto"/>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lang w:bidi="ar"/>
        </w:rPr>
        <w:t>2.</w:t>
      </w:r>
      <w:r>
        <w:rPr>
          <w:rFonts w:hint="eastAsia" w:ascii="宋体" w:hAnsi="宋体" w:cs="宋体"/>
          <w:color w:val="auto"/>
          <w:sz w:val="24"/>
          <w:szCs w:val="24"/>
          <w:highlight w:val="none"/>
        </w:rPr>
        <w:t>统计分数原则：评标委员会各成员评标打分汇总后，取平均值得出每个供应商的最后得分（保留小数点后两位）。</w:t>
      </w:r>
    </w:p>
    <w:p w14:paraId="6C4D3BA7">
      <w:pPr>
        <w:pStyle w:val="3"/>
        <w:numPr>
          <w:ilvl w:val="1"/>
          <w:numId w:val="0"/>
        </w:numPr>
        <w:snapToGrid w:val="0"/>
        <w:ind w:firstLine="482" w:firstLineChars="200"/>
        <w:jc w:val="both"/>
        <w:textAlignment w:val="auto"/>
        <w:rPr>
          <w:rFonts w:hint="eastAsia" w:ascii="宋体" w:hAnsi="宋体" w:cs="宋体"/>
          <w:color w:val="auto"/>
          <w:sz w:val="24"/>
          <w:highlight w:val="none"/>
        </w:rPr>
      </w:pPr>
      <w:bookmarkStart w:id="76" w:name="_Toc489869498"/>
      <w:bookmarkStart w:id="77" w:name="_Toc22697"/>
      <w:bookmarkStart w:id="78" w:name="_Toc103091641"/>
      <w:bookmarkStart w:id="79" w:name="_Toc59809739"/>
      <w:bookmarkStart w:id="80" w:name="_Toc6469"/>
      <w:bookmarkStart w:id="81" w:name="_Toc489869426"/>
      <w:r>
        <w:rPr>
          <w:rFonts w:hint="eastAsia" w:ascii="宋体" w:hAnsi="宋体" w:cs="宋体"/>
          <w:color w:val="auto"/>
          <w:sz w:val="24"/>
          <w:highlight w:val="none"/>
        </w:rPr>
        <w:t>五、评标结果</w:t>
      </w:r>
      <w:bookmarkEnd w:id="76"/>
      <w:bookmarkEnd w:id="77"/>
      <w:bookmarkEnd w:id="78"/>
      <w:bookmarkEnd w:id="79"/>
      <w:bookmarkEnd w:id="80"/>
      <w:bookmarkEnd w:id="81"/>
    </w:p>
    <w:p w14:paraId="04190BC1">
      <w:pPr>
        <w:tabs>
          <w:tab w:val="left" w:pos="540"/>
        </w:tabs>
        <w:adjustRightInd w:val="0"/>
        <w:snapToGrid w:val="0"/>
        <w:spacing w:line="360" w:lineRule="auto"/>
        <w:ind w:firstLine="480" w:firstLineChars="200"/>
        <w:rPr>
          <w:rFonts w:hint="eastAsia" w:ascii="宋体" w:hAnsi="宋体" w:cs="宋体"/>
          <w:color w:val="auto"/>
          <w:sz w:val="24"/>
          <w:szCs w:val="24"/>
          <w:highlight w:val="none"/>
        </w:rPr>
      </w:pPr>
      <w:bookmarkStart w:id="82" w:name="OLE_LINK1"/>
      <w:r>
        <w:rPr>
          <w:rFonts w:hint="eastAsia" w:ascii="宋体" w:hAnsi="宋体" w:cs="宋体"/>
          <w:color w:val="auto"/>
          <w:sz w:val="24"/>
          <w:szCs w:val="24"/>
          <w:highlight w:val="none"/>
        </w:rPr>
        <w:t>1.采购人</w:t>
      </w:r>
      <w:bookmarkEnd w:id="82"/>
      <w:r>
        <w:rPr>
          <w:rFonts w:hint="eastAsia" w:ascii="宋体" w:hAnsi="宋体" w:cs="宋体"/>
          <w:color w:val="auto"/>
          <w:sz w:val="24"/>
          <w:szCs w:val="24"/>
          <w:highlight w:val="none"/>
        </w:rPr>
        <w:t>在确定</w:t>
      </w:r>
      <w:r>
        <w:rPr>
          <w:rFonts w:hint="eastAsia" w:ascii="宋体" w:hAnsi="宋体" w:cs="宋体"/>
          <w:color w:val="auto"/>
          <w:sz w:val="24"/>
          <w:szCs w:val="24"/>
          <w:highlight w:val="none"/>
          <w:lang w:eastAsia="zh-CN"/>
        </w:rPr>
        <w:t>成交</w:t>
      </w:r>
      <w:r>
        <w:rPr>
          <w:rFonts w:hint="eastAsia" w:ascii="宋体" w:hAnsi="宋体" w:cs="宋体"/>
          <w:color w:val="auto"/>
          <w:sz w:val="24"/>
          <w:szCs w:val="24"/>
          <w:highlight w:val="none"/>
        </w:rPr>
        <w:t>人之前，对</w:t>
      </w:r>
      <w:r>
        <w:rPr>
          <w:rFonts w:hint="eastAsia" w:ascii="宋体" w:hAnsi="宋体" w:cs="宋体"/>
          <w:color w:val="auto"/>
          <w:sz w:val="24"/>
          <w:szCs w:val="24"/>
          <w:highlight w:val="none"/>
          <w:lang w:eastAsia="zh-CN"/>
        </w:rPr>
        <w:t>成交</w:t>
      </w:r>
      <w:r>
        <w:rPr>
          <w:rFonts w:hint="eastAsia" w:ascii="宋体" w:hAnsi="宋体" w:cs="宋体"/>
          <w:color w:val="auto"/>
          <w:sz w:val="24"/>
          <w:szCs w:val="24"/>
          <w:highlight w:val="none"/>
        </w:rPr>
        <w:t>人所提供资料、人员等的真实性进行确认。如有弄虚作假行为，采购人向财政监督部门申请并按相关程序处理。</w:t>
      </w:r>
    </w:p>
    <w:p w14:paraId="2C0C8D8A">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2.评标委员会将按评标总得分由高到低进行排序，按照如下原则推荐</w:t>
      </w:r>
      <w:r>
        <w:rPr>
          <w:rFonts w:hint="eastAsia" w:ascii="宋体" w:hAnsi="宋体" w:cs="宋体"/>
          <w:color w:val="auto"/>
          <w:sz w:val="24"/>
          <w:szCs w:val="24"/>
          <w:highlight w:val="none"/>
          <w:lang w:eastAsia="zh-CN"/>
        </w:rPr>
        <w:t>成交</w:t>
      </w:r>
      <w:r>
        <w:rPr>
          <w:rFonts w:hint="eastAsia" w:ascii="宋体" w:hAnsi="宋体" w:cs="宋体"/>
          <w:color w:val="auto"/>
          <w:sz w:val="24"/>
          <w:szCs w:val="24"/>
          <w:highlight w:val="none"/>
        </w:rPr>
        <w:t>候选人，并提出书面评标报告。</w:t>
      </w:r>
    </w:p>
    <w:p w14:paraId="0FA2339B">
      <w:pPr>
        <w:pStyle w:val="2"/>
        <w:spacing w:line="600" w:lineRule="exact"/>
        <w:rPr>
          <w:rFonts w:hint="eastAsia" w:ascii="宋体" w:hAnsi="宋体" w:eastAsia="宋体" w:cs="宋体"/>
          <w:color w:val="auto"/>
          <w:sz w:val="32"/>
          <w:szCs w:val="32"/>
          <w:highlight w:val="none"/>
        </w:rPr>
      </w:pPr>
      <w:r>
        <w:rPr>
          <w:rFonts w:eastAsia="黑体"/>
          <w:color w:val="auto"/>
          <w:sz w:val="36"/>
          <w:szCs w:val="36"/>
          <w:highlight w:val="none"/>
        </w:rPr>
        <w:br w:type="page"/>
      </w:r>
      <w:bookmarkStart w:id="83" w:name="_Toc14192"/>
      <w:bookmarkStart w:id="84" w:name="_Toc224831738"/>
      <w:bookmarkStart w:id="85" w:name="_Toc451722440"/>
      <w:bookmarkStart w:id="86" w:name="_Toc115429313"/>
      <w:bookmarkStart w:id="87" w:name="_Toc323920606"/>
      <w:r>
        <w:rPr>
          <w:rFonts w:hint="eastAsia" w:ascii="宋体" w:hAnsi="宋体" w:eastAsia="宋体" w:cs="宋体"/>
          <w:color w:val="auto"/>
          <w:sz w:val="32"/>
          <w:szCs w:val="32"/>
          <w:highlight w:val="none"/>
        </w:rPr>
        <w:t>第四章 合同主要条款及格式</w:t>
      </w:r>
      <w:bookmarkEnd w:id="83"/>
    </w:p>
    <w:p w14:paraId="667E77B1">
      <w:pPr>
        <w:rPr>
          <w:rFonts w:hint="eastAsia"/>
          <w:color w:val="auto"/>
          <w:highlight w:val="none"/>
        </w:rPr>
      </w:pPr>
    </w:p>
    <w:p w14:paraId="17530C45">
      <w:pPr>
        <w:rPr>
          <w:color w:val="auto"/>
          <w:highlight w:val="none"/>
        </w:rPr>
      </w:pPr>
    </w:p>
    <w:p w14:paraId="702A57FF">
      <w:pPr>
        <w:pStyle w:val="27"/>
        <w:spacing w:line="360" w:lineRule="auto"/>
        <w:ind w:firstLine="0" w:firstLineChars="0"/>
        <w:jc w:val="center"/>
        <w:rPr>
          <w:rFonts w:ascii="宋体" w:cs="宋体"/>
          <w:color w:val="auto"/>
          <w:sz w:val="24"/>
          <w:szCs w:val="24"/>
          <w:highlight w:val="none"/>
          <w:lang w:val="zh-CN"/>
        </w:rPr>
      </w:pPr>
      <w:r>
        <w:rPr>
          <w:rFonts w:hint="eastAsia" w:ascii="宋体" w:cs="宋体"/>
          <w:b/>
          <w:color w:val="auto"/>
          <w:sz w:val="24"/>
          <w:szCs w:val="24"/>
          <w:highlight w:val="none"/>
        </w:rPr>
        <w:t>本合同条款仅作参考，最终以双方共同商定的合同为准</w:t>
      </w:r>
    </w:p>
    <w:p w14:paraId="464E3793">
      <w:pPr>
        <w:pStyle w:val="9"/>
        <w:rPr>
          <w:color w:val="auto"/>
          <w:highlight w:val="none"/>
        </w:rPr>
      </w:pPr>
    </w:p>
    <w:p w14:paraId="0C450771">
      <w:pPr>
        <w:rPr>
          <w:rFonts w:hint="eastAsia" w:ascii="宋体" w:hAnsi="宋体" w:cs="宋体"/>
          <w:bCs/>
          <w:color w:val="auto"/>
          <w:sz w:val="24"/>
          <w:szCs w:val="24"/>
          <w:highlight w:val="none"/>
        </w:rPr>
      </w:pPr>
    </w:p>
    <w:p w14:paraId="0DDB0297">
      <w:pPr>
        <w:keepNext w:val="0"/>
        <w:keepLines w:val="0"/>
        <w:pageBreakBefore w:val="0"/>
        <w:widowControl/>
        <w:kinsoku/>
        <w:wordWrap/>
        <w:overflowPunct/>
        <w:topLinePunct w:val="0"/>
        <w:autoSpaceDE/>
        <w:autoSpaceDN/>
        <w:bidi w:val="0"/>
        <w:adjustRightInd/>
        <w:snapToGrid/>
        <w:jc w:val="left"/>
        <w:textAlignment w:val="auto"/>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（GF—2017—0201）</w:t>
      </w:r>
    </w:p>
    <w:p w14:paraId="0F137027">
      <w:pPr>
        <w:jc w:val="center"/>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 xml:space="preserve"> </w:t>
      </w:r>
    </w:p>
    <w:p w14:paraId="15219C75">
      <w:pPr>
        <w:jc w:val="center"/>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 xml:space="preserve"> </w:t>
      </w:r>
    </w:p>
    <w:p w14:paraId="786CECC6">
      <w:pPr>
        <w:jc w:val="center"/>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 xml:space="preserve"> </w:t>
      </w:r>
    </w:p>
    <w:p w14:paraId="41496D7F">
      <w:pPr>
        <w:jc w:val="center"/>
        <w:outlineLvl w:val="1"/>
        <w:rPr>
          <w:rFonts w:hint="eastAsia" w:ascii="仿宋" w:hAnsi="仿宋" w:eastAsia="仿宋" w:cs="仿宋"/>
          <w:b/>
          <w:bCs/>
          <w:color w:val="auto"/>
          <w:sz w:val="72"/>
          <w:szCs w:val="72"/>
          <w:highlight w:val="none"/>
          <w:lang w:eastAsia="zh-CN"/>
        </w:rPr>
      </w:pPr>
      <w:bookmarkStart w:id="88" w:name="_Toc20262"/>
      <w:bookmarkStart w:id="89" w:name="_Toc156"/>
      <w:bookmarkStart w:id="90" w:name="_Toc25607"/>
      <w:bookmarkStart w:id="91" w:name="_Toc27399"/>
      <w:bookmarkStart w:id="92" w:name="_Toc19943"/>
      <w:bookmarkStart w:id="93" w:name="_Toc738"/>
      <w:bookmarkStart w:id="94" w:name="_Toc7527"/>
      <w:bookmarkStart w:id="95" w:name="_Toc5230"/>
      <w:bookmarkStart w:id="96" w:name="_Toc10846"/>
      <w:bookmarkStart w:id="97" w:name="_Toc8176"/>
      <w:bookmarkStart w:id="98" w:name="_Toc27245"/>
      <w:bookmarkStart w:id="99" w:name="_Toc7711"/>
      <w:bookmarkStart w:id="100" w:name="_Toc16732"/>
      <w:bookmarkStart w:id="101" w:name="_Toc17576"/>
      <w:bookmarkStart w:id="102" w:name="_Toc3247"/>
      <w:r>
        <w:rPr>
          <w:rFonts w:hint="eastAsia" w:ascii="仿宋" w:hAnsi="仿宋" w:eastAsia="仿宋" w:cs="仿宋"/>
          <w:b/>
          <w:bCs/>
          <w:color w:val="auto"/>
          <w:sz w:val="72"/>
          <w:szCs w:val="72"/>
          <w:highlight w:val="none"/>
        </w:rPr>
        <w:t>建设工程施工合同</w:t>
      </w:r>
      <w:bookmarkEnd w:id="88"/>
      <w:bookmarkEnd w:id="89"/>
      <w:bookmarkEnd w:id="90"/>
      <w:bookmarkEnd w:id="91"/>
      <w:bookmarkEnd w:id="92"/>
      <w:bookmarkEnd w:id="93"/>
      <w:bookmarkEnd w:id="94"/>
      <w:bookmarkEnd w:id="95"/>
      <w:bookmarkEnd w:id="96"/>
      <w:bookmarkEnd w:id="97"/>
      <w:bookmarkEnd w:id="98"/>
    </w:p>
    <w:p w14:paraId="178990E5">
      <w:pPr>
        <w:jc w:val="center"/>
        <w:outlineLvl w:val="1"/>
        <w:rPr>
          <w:rFonts w:hint="eastAsia" w:ascii="仿宋" w:hAnsi="仿宋" w:eastAsia="仿宋" w:cs="仿宋"/>
          <w:b/>
          <w:bCs/>
          <w:color w:val="auto"/>
          <w:sz w:val="52"/>
          <w:szCs w:val="52"/>
          <w:highlight w:val="none"/>
        </w:rPr>
      </w:pPr>
      <w:bookmarkStart w:id="103" w:name="_Toc31416"/>
      <w:bookmarkStart w:id="104" w:name="_Toc11501"/>
      <w:bookmarkStart w:id="105" w:name="_Toc10305"/>
      <w:bookmarkStart w:id="106" w:name="_Toc27820"/>
      <w:bookmarkStart w:id="107" w:name="_Toc22955"/>
      <w:bookmarkStart w:id="108" w:name="_Toc22942"/>
      <w:bookmarkStart w:id="109" w:name="_Toc27540"/>
      <w:bookmarkStart w:id="110" w:name="_Toc22467"/>
      <w:bookmarkStart w:id="111" w:name="_Toc28531"/>
      <w:bookmarkStart w:id="112" w:name="_Toc22031"/>
      <w:bookmarkStart w:id="113" w:name="_Toc17382"/>
      <w:r>
        <w:rPr>
          <w:rFonts w:hint="eastAsia" w:ascii="仿宋" w:hAnsi="仿宋" w:eastAsia="仿宋" w:cs="仿宋"/>
          <w:b/>
          <w:bCs/>
          <w:color w:val="auto"/>
          <w:sz w:val="52"/>
          <w:szCs w:val="52"/>
          <w:highlight w:val="none"/>
        </w:rPr>
        <w:t>（示范文本）</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2780BAB5">
      <w:pPr>
        <w:jc w:val="center"/>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 xml:space="preserve"> </w:t>
      </w:r>
    </w:p>
    <w:p w14:paraId="0634C8F2">
      <w:pPr>
        <w:jc w:val="center"/>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 xml:space="preserve"> </w:t>
      </w:r>
    </w:p>
    <w:p w14:paraId="7102F2CA">
      <w:pPr>
        <w:jc w:val="both"/>
        <w:rPr>
          <w:rFonts w:hint="eastAsia" w:ascii="仿宋" w:hAnsi="仿宋" w:eastAsia="仿宋" w:cs="仿宋"/>
          <w:b/>
          <w:bCs/>
          <w:color w:val="auto"/>
          <w:sz w:val="28"/>
          <w:szCs w:val="28"/>
          <w:highlight w:val="none"/>
        </w:rPr>
      </w:pPr>
    </w:p>
    <w:p w14:paraId="344C3B9F">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  </w:t>
      </w:r>
    </w:p>
    <w:p w14:paraId="067A6721">
      <w:pPr>
        <w:ind w:firstLine="2600" w:firstLineChars="1300"/>
        <w:rPr>
          <w:rFonts w:hint="eastAsia" w:ascii="仿宋" w:hAnsi="仿宋" w:eastAsia="仿宋" w:cs="仿宋"/>
          <w:b/>
          <w:color w:val="auto"/>
          <w:sz w:val="32"/>
          <w:szCs w:val="28"/>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6432" behindDoc="0" locked="1" layoutInCell="0" allowOverlap="1">
                <wp:simplePos x="0" y="0"/>
                <wp:positionH relativeFrom="column">
                  <wp:posOffset>0</wp:posOffset>
                </wp:positionH>
                <wp:positionV relativeFrom="paragraph">
                  <wp:posOffset>0</wp:posOffset>
                </wp:positionV>
                <wp:extent cx="635" cy="0"/>
                <wp:effectExtent l="0" t="0" r="0" b="0"/>
                <wp:wrapNone/>
                <wp:docPr id="29" name="矩形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a:effectLst/>
                      </wps:spPr>
                      <wps:bodyPr wrap="square" upright="1"/>
                    </wps:wsp>
                  </a:graphicData>
                </a:graphic>
              </wp:anchor>
            </w:drawing>
          </mc:Choice>
          <mc:Fallback>
            <w:pict>
              <v:rect id="_x0000_s1026" o:spid="_x0000_s1026" o:spt="1" style="position:absolute;left:0pt;margin-left:0pt;margin-top:0pt;height:0pt;width:0.05pt;z-index:251666432;mso-width-relative:page;mso-height-relative:page;" filled="f" stroked="f" coordsize="21600,21600" o:allowincell="f"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D4cJf3P&#10;AAAA/wAAAA8AAAAAAAAAAQAgAAAAIgAAAGRycy9kb3ducmV2LnhtbFBLAQIUABQAAAAIAIdO4kC/&#10;YBaVtwEAAHcDAAAOAAAAAAAAAAEAIAAAAB4BAABkcnMvZTJvRG9jLnhtbFBLBQYAAAAABgAGAFkB&#10;AABHBQAAAAA=&#10;">
                <v:fill on="f" focussize="0,0"/>
                <v:stroke on="f"/>
                <v:imagedata o:title=""/>
                <o:lock v:ext="edit" aspectratio="t"/>
                <w10:anchorlock/>
              </v:rect>
            </w:pict>
          </mc:Fallback>
        </mc:AlternateContent>
      </w:r>
      <w:r>
        <w:rPr>
          <w:rFonts w:hint="eastAsia" w:ascii="仿宋" w:hAnsi="仿宋" w:eastAsia="仿宋" w:cs="仿宋"/>
          <w:b/>
          <w:color w:val="auto"/>
          <w:sz w:val="32"/>
          <w:szCs w:val="28"/>
          <w:highlight w:val="none"/>
        </w:rPr>
        <w:t>住房和城乡建设部</w:t>
      </w:r>
    </w:p>
    <w:p w14:paraId="004C72B1">
      <w:pPr>
        <w:keepNext w:val="0"/>
        <w:keepLines w:val="0"/>
        <w:pageBreakBefore w:val="0"/>
        <w:widowControl/>
        <w:kinsoku/>
        <w:wordWrap/>
        <w:overflowPunct/>
        <w:topLinePunct w:val="0"/>
        <w:autoSpaceDE/>
        <w:autoSpaceDN/>
        <w:bidi w:val="0"/>
        <w:adjustRightInd/>
        <w:snapToGrid/>
        <w:ind w:right="2590" w:rightChars="1295" w:firstLine="2249" w:firstLineChars="700"/>
        <w:jc w:val="left"/>
        <w:textAlignment w:val="auto"/>
        <w:outlineLvl w:val="9"/>
        <w:rPr>
          <w:rFonts w:hint="eastAsia" w:ascii="仿宋" w:hAnsi="仿宋" w:eastAsia="仿宋" w:cs="仿宋"/>
          <w:b/>
          <w:color w:val="auto"/>
          <w:sz w:val="32"/>
          <w:szCs w:val="28"/>
          <w:highlight w:val="none"/>
        </w:rPr>
      </w:pPr>
      <w:r>
        <w:rPr>
          <w:rFonts w:hint="eastAsia" w:ascii="仿宋" w:hAnsi="仿宋" w:eastAsia="仿宋" w:cs="仿宋"/>
          <w:b/>
          <w:color w:val="auto"/>
          <w:sz w:val="32"/>
          <w:szCs w:val="28"/>
          <w:highlight w:val="none"/>
          <w:lang w:eastAsia="zh-CN"/>
        </w:rPr>
        <w:t>国家市场监督管理</w:t>
      </w:r>
      <w:r>
        <w:rPr>
          <w:rFonts w:hint="eastAsia" w:ascii="仿宋" w:hAnsi="仿宋" w:eastAsia="仿宋" w:cs="仿宋"/>
          <w:b/>
          <w:color w:val="auto"/>
          <w:sz w:val="32"/>
          <w:szCs w:val="28"/>
          <w:highlight w:val="none"/>
          <w:lang w:val="en-US" w:eastAsia="zh-CN"/>
        </w:rPr>
        <w:t>总</w:t>
      </w:r>
      <w:r>
        <w:rPr>
          <w:rFonts w:hint="eastAsia" w:ascii="仿宋" w:hAnsi="仿宋" w:eastAsia="仿宋" w:cs="仿宋"/>
          <w:b/>
          <w:color w:val="auto"/>
          <w:sz w:val="32"/>
          <w:szCs w:val="28"/>
          <w:highlight w:val="none"/>
          <w:lang w:eastAsia="zh-CN"/>
        </w:rPr>
        <w:t>局</w:t>
      </w:r>
    </w:p>
    <w:p w14:paraId="5DE74C7C">
      <w:pPr>
        <w:rPr>
          <w:rFonts w:hint="eastAsia" w:ascii="仿宋" w:hAnsi="仿宋" w:eastAsia="仿宋" w:cs="仿宋"/>
          <w:b/>
          <w:color w:val="auto"/>
          <w:highlight w:val="none"/>
        </w:rPr>
      </w:pPr>
    </w:p>
    <w:p w14:paraId="00C44284">
      <w:pPr>
        <w:pStyle w:val="26"/>
        <w:ind w:left="0" w:leftChars="0" w:firstLine="0" w:firstLineChars="0"/>
        <w:rPr>
          <w:rFonts w:hint="eastAsia"/>
          <w:color w:val="auto"/>
          <w:highlight w:val="none"/>
        </w:rPr>
      </w:pPr>
    </w:p>
    <w:p w14:paraId="6928FCD5">
      <w:pPr>
        <w:ind w:right="2590" w:rightChars="1295"/>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注：本合同仅供参考</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以实际签订的合同为准</w:t>
      </w:r>
    </w:p>
    <w:p w14:paraId="2618E85F">
      <w:pPr>
        <w:rPr>
          <w:color w:val="auto"/>
          <w:highlight w:val="none"/>
        </w:rPr>
      </w:pPr>
      <w:r>
        <w:rPr>
          <w:rFonts w:hint="eastAsia" w:ascii="仿宋" w:hAnsi="仿宋" w:eastAsia="仿宋" w:cs="仿宋"/>
          <w:b/>
          <w:bCs/>
          <w:color w:val="auto"/>
          <w:highlight w:val="none"/>
        </w:rPr>
        <w:t xml:space="preserve"> </w:t>
      </w:r>
    </w:p>
    <w:p w14:paraId="7CAF9B29">
      <w:pPr>
        <w:pStyle w:val="58"/>
        <w:keepNext/>
        <w:keepLines/>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z w:val="24"/>
          <w:szCs w:val="24"/>
          <w:highlight w:val="none"/>
        </w:rPr>
      </w:pPr>
      <w:bookmarkStart w:id="114" w:name="_Toc9816"/>
      <w:bookmarkStart w:id="115" w:name="_Toc22240"/>
      <w:bookmarkStart w:id="116" w:name="_Toc296890982"/>
      <w:bookmarkStart w:id="117" w:name="_Toc24309"/>
      <w:bookmarkStart w:id="118" w:name="_Toc25386"/>
      <w:bookmarkStart w:id="119" w:name="_Toc13573"/>
      <w:r>
        <w:rPr>
          <w:rFonts w:hint="eastAsia" w:ascii="宋体" w:hAnsi="宋体" w:eastAsia="宋体" w:cs="宋体"/>
          <w:color w:val="auto"/>
          <w:sz w:val="24"/>
          <w:szCs w:val="24"/>
          <w:highlight w:val="none"/>
        </w:rPr>
        <w:t>说  明</w:t>
      </w:r>
      <w:bookmarkEnd w:id="114"/>
      <w:bookmarkEnd w:id="115"/>
      <w:bookmarkEnd w:id="116"/>
      <w:bookmarkEnd w:id="117"/>
      <w:bookmarkEnd w:id="118"/>
      <w:bookmarkEnd w:id="119"/>
    </w:p>
    <w:p w14:paraId="3243D79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为了指导建设工程施工合同当事人的签约行为，维护合同当事人的合法权益，依据《中华人民共和国</w:t>
      </w:r>
      <w:r>
        <w:rPr>
          <w:rFonts w:hint="eastAsia" w:ascii="宋体" w:hAnsi="宋体" w:eastAsia="宋体" w:cs="宋体"/>
          <w:color w:val="auto"/>
          <w:sz w:val="24"/>
          <w:szCs w:val="24"/>
          <w:highlight w:val="none"/>
          <w:lang w:val="en-US" w:eastAsia="zh-CN"/>
        </w:rPr>
        <w:t>民法典</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51BD075C">
      <w:pPr>
        <w:spacing w:line="360" w:lineRule="auto"/>
        <w:ind w:firstLine="480" w:firstLineChars="200"/>
        <w:outlineLvl w:val="0"/>
        <w:rPr>
          <w:rFonts w:hint="eastAsia" w:ascii="宋体" w:hAnsi="宋体" w:eastAsia="宋体" w:cs="宋体"/>
          <w:color w:val="auto"/>
          <w:sz w:val="24"/>
          <w:szCs w:val="24"/>
          <w:highlight w:val="none"/>
        </w:rPr>
      </w:pPr>
      <w:bookmarkStart w:id="120" w:name="_Toc2977"/>
      <w:bookmarkStart w:id="121" w:name="_Toc9843"/>
      <w:bookmarkStart w:id="122" w:name="_Toc10413"/>
      <w:bookmarkStart w:id="123" w:name="_Toc1457"/>
      <w:bookmarkStart w:id="124" w:name="_Toc25745"/>
      <w:bookmarkStart w:id="125" w:name="_Toc26105"/>
      <w:bookmarkStart w:id="126" w:name="_Toc29657"/>
      <w:bookmarkStart w:id="127" w:name="_Toc24837"/>
      <w:bookmarkStart w:id="128" w:name="_Toc30448"/>
      <w:bookmarkStart w:id="129" w:name="_Toc5579"/>
      <w:bookmarkStart w:id="130" w:name="_Toc18656"/>
      <w:bookmarkStart w:id="131" w:name="_Toc30034"/>
      <w:bookmarkStart w:id="132" w:name="_Toc13742"/>
      <w:bookmarkStart w:id="133" w:name="_Toc17200"/>
      <w:bookmarkStart w:id="134" w:name="_Toc29678"/>
      <w:bookmarkStart w:id="135" w:name="_Toc4889"/>
      <w:r>
        <w:rPr>
          <w:rFonts w:hint="eastAsia" w:ascii="宋体" w:hAnsi="宋体" w:eastAsia="宋体" w:cs="宋体"/>
          <w:color w:val="auto"/>
          <w:sz w:val="24"/>
          <w:szCs w:val="24"/>
          <w:highlight w:val="none"/>
        </w:rPr>
        <w:t>一、《示范文本》的组成</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1362B13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《示范文本》由合同协议书、通用合同条款和专用合同条款三部分组成。</w:t>
      </w:r>
    </w:p>
    <w:p w14:paraId="1D31AD1A">
      <w:pPr>
        <w:spacing w:line="360" w:lineRule="auto"/>
        <w:ind w:firstLine="480" w:firstLineChars="200"/>
        <w:outlineLvl w:val="1"/>
        <w:rPr>
          <w:rFonts w:hint="eastAsia" w:ascii="宋体" w:hAnsi="宋体" w:eastAsia="宋体" w:cs="宋体"/>
          <w:color w:val="auto"/>
          <w:sz w:val="24"/>
          <w:szCs w:val="24"/>
          <w:highlight w:val="none"/>
        </w:rPr>
      </w:pPr>
      <w:bookmarkStart w:id="136" w:name="_Toc1935"/>
      <w:bookmarkStart w:id="137" w:name="_Toc29488"/>
      <w:bookmarkStart w:id="138" w:name="_Toc4969"/>
      <w:bookmarkStart w:id="139" w:name="_Toc27517"/>
      <w:bookmarkStart w:id="140" w:name="_Toc20726"/>
      <w:bookmarkStart w:id="141" w:name="_Toc29679"/>
      <w:bookmarkStart w:id="142" w:name="_Toc545"/>
      <w:bookmarkStart w:id="143" w:name="_Toc18476"/>
      <w:bookmarkStart w:id="144" w:name="_Toc25817"/>
      <w:bookmarkStart w:id="145" w:name="_Toc5213"/>
      <w:bookmarkStart w:id="146" w:name="_Toc16203"/>
      <w:bookmarkStart w:id="147" w:name="_Toc25481"/>
      <w:bookmarkStart w:id="148" w:name="_Toc12160"/>
      <w:bookmarkStart w:id="149" w:name="_Toc23460"/>
      <w:bookmarkStart w:id="150" w:name="_Toc22101"/>
      <w:bookmarkStart w:id="151" w:name="_Toc20373"/>
      <w:r>
        <w:rPr>
          <w:rFonts w:hint="eastAsia" w:ascii="宋体" w:hAnsi="宋体" w:eastAsia="宋体" w:cs="宋体"/>
          <w:color w:val="auto"/>
          <w:sz w:val="24"/>
          <w:szCs w:val="24"/>
          <w:highlight w:val="none"/>
        </w:rPr>
        <w:t>（一）合同协议书</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1A3D79E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4CFD43D4">
      <w:pPr>
        <w:spacing w:line="360" w:lineRule="auto"/>
        <w:ind w:firstLine="480" w:firstLineChars="200"/>
        <w:outlineLvl w:val="1"/>
        <w:rPr>
          <w:rFonts w:hint="eastAsia" w:ascii="宋体" w:hAnsi="宋体" w:eastAsia="宋体" w:cs="宋体"/>
          <w:color w:val="auto"/>
          <w:sz w:val="24"/>
          <w:szCs w:val="24"/>
          <w:highlight w:val="none"/>
        </w:rPr>
      </w:pPr>
      <w:bookmarkStart w:id="152" w:name="_Toc19247"/>
      <w:bookmarkStart w:id="153" w:name="_Toc26060"/>
      <w:bookmarkStart w:id="154" w:name="_Toc11970"/>
      <w:bookmarkStart w:id="155" w:name="_Toc38"/>
      <w:bookmarkStart w:id="156" w:name="_Toc17415"/>
      <w:bookmarkStart w:id="157" w:name="_Toc16393"/>
      <w:bookmarkStart w:id="158" w:name="_Toc16892"/>
      <w:bookmarkStart w:id="159" w:name="_Toc28506"/>
      <w:bookmarkStart w:id="160" w:name="_Toc5637"/>
      <w:bookmarkStart w:id="161" w:name="_Toc3684"/>
      <w:bookmarkStart w:id="162" w:name="_Toc7322"/>
      <w:bookmarkStart w:id="163" w:name="_Toc10038"/>
      <w:bookmarkStart w:id="164" w:name="_Toc21955"/>
      <w:bookmarkStart w:id="165" w:name="_Toc20923"/>
      <w:bookmarkStart w:id="166" w:name="_Toc8580"/>
      <w:bookmarkStart w:id="167" w:name="_Toc11912"/>
      <w:r>
        <w:rPr>
          <w:rFonts w:hint="eastAsia" w:ascii="宋体" w:hAnsi="宋体" w:eastAsia="宋体" w:cs="宋体"/>
          <w:color w:val="auto"/>
          <w:sz w:val="24"/>
          <w:szCs w:val="24"/>
          <w:highlight w:val="none"/>
        </w:rPr>
        <w:t>（二）通用合同条款</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6958F02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通用合同条款是合同当事人根据《中华人民共和国建筑法</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中华人民共和国合同法》等法律法规的规定，就工程建设的实施及相关事项，对合同当事人的权利义务作出的原则性约定。</w:t>
      </w:r>
    </w:p>
    <w:p w14:paraId="6AAA686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4D1B54DA">
      <w:pPr>
        <w:spacing w:line="360" w:lineRule="auto"/>
        <w:ind w:firstLine="480" w:firstLineChars="200"/>
        <w:outlineLvl w:val="1"/>
        <w:rPr>
          <w:rFonts w:hint="eastAsia" w:ascii="宋体" w:hAnsi="宋体" w:eastAsia="宋体" w:cs="宋体"/>
          <w:color w:val="auto"/>
          <w:sz w:val="24"/>
          <w:szCs w:val="24"/>
          <w:highlight w:val="none"/>
        </w:rPr>
      </w:pPr>
      <w:bookmarkStart w:id="168" w:name="_Toc5582"/>
      <w:bookmarkStart w:id="169" w:name="_Toc14193"/>
      <w:bookmarkStart w:id="170" w:name="_Toc25499"/>
      <w:bookmarkStart w:id="171" w:name="_Toc4219"/>
      <w:bookmarkStart w:id="172" w:name="_Toc8719"/>
      <w:bookmarkStart w:id="173" w:name="_Toc29346"/>
      <w:bookmarkStart w:id="174" w:name="_Toc12218"/>
      <w:bookmarkStart w:id="175" w:name="_Toc31492"/>
      <w:bookmarkStart w:id="176" w:name="_Toc9278"/>
      <w:bookmarkStart w:id="177" w:name="_Toc10596"/>
      <w:bookmarkStart w:id="178" w:name="_Toc1642"/>
      <w:bookmarkStart w:id="179" w:name="_Toc20219"/>
      <w:bookmarkStart w:id="180" w:name="_Toc10215"/>
      <w:bookmarkStart w:id="181" w:name="_Toc3176"/>
      <w:bookmarkStart w:id="182" w:name="_Toc24364"/>
      <w:bookmarkStart w:id="183" w:name="_Toc12280"/>
      <w:r>
        <w:rPr>
          <w:rFonts w:hint="eastAsia" w:ascii="宋体" w:hAnsi="宋体" w:eastAsia="宋体" w:cs="宋体"/>
          <w:color w:val="auto"/>
          <w:sz w:val="24"/>
          <w:szCs w:val="24"/>
          <w:highlight w:val="none"/>
        </w:rPr>
        <w:t>（三）专用合同条款</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020E173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66D7590A">
      <w:pPr>
        <w:spacing w:line="360" w:lineRule="auto"/>
        <w:ind w:right="24" w:rightChars="12"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1.专用合同条款的编号应与相应的通用合同条款的编号一致；</w:t>
      </w:r>
    </w:p>
    <w:p w14:paraId="1D93503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2.合同当事人可以通过对专用合同条款的修改，满足具体建设工程的特殊要求，避免直接修改通用合同条款；</w:t>
      </w:r>
    </w:p>
    <w:p w14:paraId="592928B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3.在专用合同条款中有横道线的地方，合同当事人可针对相应的通用合同条款进行细化、完善、补充、修改或另行约定；如无细化、完善、补充、修改或另行约定，则填写“无”或划“/”。</w:t>
      </w:r>
    </w:p>
    <w:p w14:paraId="570FE2C4">
      <w:pPr>
        <w:spacing w:line="360" w:lineRule="auto"/>
        <w:ind w:firstLine="480" w:firstLineChars="200"/>
        <w:outlineLvl w:val="0"/>
        <w:rPr>
          <w:rFonts w:hint="eastAsia" w:ascii="宋体" w:hAnsi="宋体" w:eastAsia="宋体" w:cs="宋体"/>
          <w:b/>
          <w:bCs/>
          <w:color w:val="auto"/>
          <w:sz w:val="24"/>
          <w:szCs w:val="24"/>
          <w:highlight w:val="none"/>
        </w:rPr>
      </w:pPr>
      <w:bookmarkStart w:id="184" w:name="_Toc32220"/>
      <w:bookmarkStart w:id="185" w:name="_Toc4134"/>
      <w:bookmarkStart w:id="186" w:name="_Toc9080"/>
      <w:bookmarkStart w:id="187" w:name="_Toc13145"/>
      <w:bookmarkStart w:id="188" w:name="_Toc10133"/>
      <w:bookmarkStart w:id="189" w:name="_Toc24297"/>
      <w:bookmarkStart w:id="190" w:name="_Toc30994"/>
      <w:bookmarkStart w:id="191" w:name="_Toc23921"/>
      <w:bookmarkStart w:id="192" w:name="_Toc27556"/>
      <w:bookmarkStart w:id="193" w:name="_Toc18383"/>
      <w:bookmarkStart w:id="194" w:name="_Toc6862"/>
      <w:bookmarkStart w:id="195" w:name="_Toc30623"/>
      <w:bookmarkStart w:id="196" w:name="_Toc32704"/>
      <w:bookmarkStart w:id="197" w:name="_Toc17535"/>
      <w:bookmarkStart w:id="198" w:name="_Toc7521"/>
      <w:bookmarkStart w:id="199" w:name="_Toc5796"/>
      <w:r>
        <w:rPr>
          <w:rFonts w:hint="eastAsia" w:ascii="宋体" w:hAnsi="宋体" w:eastAsia="宋体" w:cs="宋体"/>
          <w:color w:val="auto"/>
          <w:sz w:val="24"/>
          <w:szCs w:val="24"/>
          <w:highlight w:val="none"/>
        </w:rPr>
        <w:t>二、《示范文本》的性质和适用范围</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0C7164D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《示范文本》为非强制性使用文本。《示范文本》适用于房屋建筑工程、土木工程、线路管道和设备安装工程、装修工程等建设工程的施工承发包活动</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合同当事人可结合建设工程具体情况，根据《示范文本》订立合同，并按照法律法规规定和合同约定承担相应的法律责任及合同权利义务。</w:t>
      </w:r>
    </w:p>
    <w:p w14:paraId="6A1C9D89">
      <w:pPr>
        <w:widowControl/>
        <w:spacing w:line="360" w:lineRule="auto"/>
        <w:jc w:val="left"/>
        <w:rPr>
          <w:rFonts w:hint="eastAsia" w:ascii="宋体" w:hAnsi="宋体" w:eastAsia="宋体" w:cs="宋体"/>
          <w:b/>
          <w:bCs/>
          <w:color w:val="auto"/>
          <w:kern w:val="44"/>
          <w:sz w:val="24"/>
          <w:szCs w:val="24"/>
          <w:highlight w:val="none"/>
        </w:rPr>
        <w:sectPr>
          <w:pgSz w:w="11906" w:h="16838"/>
          <w:pgMar w:top="1418" w:right="1175" w:bottom="1418" w:left="1531" w:header="720" w:footer="720" w:gutter="0"/>
          <w:pgNumType w:fmt="decimal"/>
          <w:cols w:space="720" w:num="1"/>
          <w:docGrid w:type="lines" w:linePitch="312" w:charSpace="0"/>
        </w:sectPr>
      </w:pPr>
    </w:p>
    <w:p w14:paraId="181C85E0">
      <w:pPr>
        <w:pStyle w:val="4"/>
        <w:pageBreakBefore w:val="0"/>
        <w:widowControl/>
        <w:kinsoku/>
        <w:wordWrap/>
        <w:overflowPunct/>
        <w:topLinePunct w:val="0"/>
        <w:bidi w:val="0"/>
        <w:snapToGrid/>
        <w:spacing w:before="0" w:after="0" w:line="240" w:lineRule="auto"/>
        <w:jc w:val="center"/>
        <w:textAlignment w:val="auto"/>
        <w:outlineLvl w:val="0"/>
        <w:rPr>
          <w:rFonts w:hint="eastAsia" w:ascii="宋体" w:hAnsi="宋体" w:eastAsia="宋体" w:cs="宋体"/>
          <w:b w:val="0"/>
          <w:bCs w:val="0"/>
          <w:color w:val="auto"/>
          <w:sz w:val="24"/>
          <w:szCs w:val="24"/>
          <w:highlight w:val="none"/>
        </w:rPr>
      </w:pPr>
      <w:bookmarkStart w:id="200" w:name="_Toc228"/>
      <w:bookmarkStart w:id="201" w:name="_Toc5650"/>
      <w:bookmarkStart w:id="202" w:name="_Toc16294"/>
      <w:bookmarkStart w:id="203" w:name="_Toc13564"/>
      <w:bookmarkStart w:id="204" w:name="_Toc4313"/>
      <w:bookmarkStart w:id="205" w:name="_Toc28250"/>
      <w:bookmarkStart w:id="206" w:name="_Toc16871"/>
      <w:bookmarkStart w:id="207" w:name="_Toc903"/>
      <w:bookmarkStart w:id="208" w:name="_Toc20867"/>
      <w:bookmarkStart w:id="209" w:name="_Toc1773"/>
      <w:bookmarkStart w:id="210" w:name="_Toc6124"/>
      <w:bookmarkStart w:id="211" w:name="_Toc8358"/>
      <w:bookmarkStart w:id="212" w:name="_Toc32482"/>
      <w:bookmarkStart w:id="213" w:name="_Toc20656"/>
      <w:bookmarkStart w:id="214" w:name="_Toc30318"/>
      <w:bookmarkStart w:id="215" w:name="_Toc12612"/>
      <w:r>
        <w:rPr>
          <w:rFonts w:hint="eastAsia" w:ascii="宋体" w:hAnsi="宋体" w:eastAsia="宋体" w:cs="宋体"/>
          <w:color w:val="auto"/>
          <w:sz w:val="24"/>
          <w:szCs w:val="24"/>
          <w:highlight w:val="none"/>
        </w:rPr>
        <w:t>第一部分 合同协议书</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6BE335F9">
      <w:pPr>
        <w:pageBreakBefore w:val="0"/>
        <w:widowControl/>
        <w:kinsoku/>
        <w:wordWrap/>
        <w:overflowPunct/>
        <w:topLinePunct w:val="0"/>
        <w:bidi w:val="0"/>
        <w:snapToGrid/>
        <w:spacing w:line="240" w:lineRule="auto"/>
        <w:textAlignment w:val="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发包人（全称）：</w:t>
      </w:r>
      <w:r>
        <w:rPr>
          <w:rFonts w:hint="eastAsia" w:ascii="宋体" w:hAnsi="宋体" w:eastAsia="宋体" w:cs="宋体"/>
          <w:b/>
          <w:bCs/>
          <w:color w:val="auto"/>
          <w:sz w:val="24"/>
          <w:szCs w:val="24"/>
          <w:highlight w:val="none"/>
          <w:u w:val="single"/>
        </w:rPr>
        <w:t>                       </w:t>
      </w:r>
    </w:p>
    <w:p w14:paraId="64234E6B">
      <w:pPr>
        <w:pageBreakBefore w:val="0"/>
        <w:widowControl/>
        <w:kinsoku/>
        <w:wordWrap/>
        <w:overflowPunct/>
        <w:topLinePunct w:val="0"/>
        <w:bidi w:val="0"/>
        <w:snapToGrid/>
        <w:spacing w:line="240" w:lineRule="auto"/>
        <w:textAlignment w:val="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承包人（全称）：</w:t>
      </w:r>
      <w:r>
        <w:rPr>
          <w:rFonts w:hint="eastAsia" w:ascii="宋体" w:hAnsi="宋体" w:eastAsia="宋体" w:cs="宋体"/>
          <w:b/>
          <w:bCs/>
          <w:color w:val="auto"/>
          <w:sz w:val="24"/>
          <w:szCs w:val="24"/>
          <w:highlight w:val="none"/>
          <w:u w:val="single"/>
        </w:rPr>
        <w:t xml:space="preserve">                     </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p>
    <w:p w14:paraId="52310477">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w:t>
      </w:r>
      <w:r>
        <w:rPr>
          <w:rFonts w:hint="eastAsia" w:ascii="宋体" w:hAnsi="宋体" w:eastAsia="宋体" w:cs="宋体"/>
          <w:color w:val="auto"/>
          <w:sz w:val="24"/>
          <w:szCs w:val="24"/>
          <w:highlight w:val="none"/>
          <w:lang w:val="en-US" w:eastAsia="zh-CN"/>
        </w:rPr>
        <w:t>民法典</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中华人民共和国建筑法》及有关法律规定，遵循平等、自愿、公平和诚实信用的原则，双方就</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工程施工及有关事项协商一致，共同达成如下协议：</w:t>
      </w:r>
    </w:p>
    <w:p w14:paraId="25546F01">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 xml:space="preserve"> </w:t>
      </w:r>
      <w:bookmarkStart w:id="216" w:name="_Toc26494"/>
      <w:bookmarkStart w:id="217" w:name="_Toc7713"/>
      <w:bookmarkStart w:id="218" w:name="_Toc11917"/>
      <w:bookmarkStart w:id="219" w:name="_Toc29825"/>
      <w:bookmarkStart w:id="220" w:name="_Toc2300"/>
      <w:bookmarkStart w:id="221" w:name="_Toc7892"/>
      <w:bookmarkStart w:id="222" w:name="_Toc20525"/>
      <w:bookmarkStart w:id="223" w:name="_Toc15018"/>
      <w:bookmarkStart w:id="224" w:name="_Toc7133"/>
      <w:bookmarkStart w:id="225" w:name="_Toc4562"/>
      <w:bookmarkStart w:id="226" w:name="_Toc22567"/>
      <w:bookmarkStart w:id="227" w:name="_Toc19842"/>
      <w:bookmarkStart w:id="228" w:name="_Toc351203481"/>
      <w:bookmarkStart w:id="229" w:name="_Toc21299"/>
      <w:bookmarkStart w:id="230" w:name="_Toc12521"/>
      <w:bookmarkStart w:id="231" w:name="_Toc25448"/>
      <w:r>
        <w:rPr>
          <w:rFonts w:hint="eastAsia" w:ascii="宋体" w:hAnsi="宋体" w:eastAsia="宋体" w:cs="宋体"/>
          <w:b w:val="0"/>
          <w:bCs w:val="0"/>
          <w:color w:val="auto"/>
          <w:sz w:val="24"/>
          <w:szCs w:val="24"/>
          <w:highlight w:val="none"/>
        </w:rPr>
        <w:t>一、工程概况</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3046216E">
      <w:pPr>
        <w:pageBreakBefore w:val="0"/>
        <w:widowControl/>
        <w:kinsoku/>
        <w:wordWrap/>
        <w:overflowPunct/>
        <w:topLinePunct w:val="0"/>
        <w:bidi w:val="0"/>
        <w:snapToGrid/>
        <w:spacing w:line="240" w:lineRule="auto"/>
        <w:ind w:firstLine="470" w:firstLineChars="196"/>
        <w:textAlignment w:val="auto"/>
        <w:outlineLvl w:val="2"/>
        <w:rPr>
          <w:rFonts w:hint="eastAsia" w:ascii="宋体" w:hAnsi="宋体" w:eastAsia="宋体" w:cs="宋体"/>
          <w:color w:val="auto"/>
          <w:sz w:val="24"/>
          <w:szCs w:val="24"/>
          <w:highlight w:val="none"/>
          <w:u w:val="single"/>
        </w:rPr>
      </w:pPr>
      <w:bookmarkStart w:id="232" w:name="_Toc8450"/>
      <w:bookmarkStart w:id="233" w:name="_Toc12639"/>
      <w:bookmarkStart w:id="234" w:name="_Toc29276"/>
      <w:bookmarkStart w:id="235" w:name="_Toc2910"/>
      <w:bookmarkStart w:id="236" w:name="_Toc4011"/>
      <w:bookmarkStart w:id="237" w:name="_Toc24451"/>
      <w:bookmarkStart w:id="238" w:name="_Toc4857"/>
      <w:bookmarkStart w:id="239" w:name="_Toc7074"/>
      <w:bookmarkStart w:id="240" w:name="_Toc18022"/>
      <w:bookmarkStart w:id="241" w:name="_Toc9668"/>
      <w:bookmarkStart w:id="242" w:name="_Toc8711"/>
      <w:bookmarkStart w:id="243" w:name="_Toc6956"/>
      <w:bookmarkStart w:id="244" w:name="_Toc6955"/>
      <w:r>
        <w:rPr>
          <w:rFonts w:hint="eastAsia" w:ascii="宋体" w:hAnsi="宋体" w:eastAsia="宋体" w:cs="宋体"/>
          <w:color w:val="auto"/>
          <w:sz w:val="24"/>
          <w:szCs w:val="24"/>
          <w:highlight w:val="none"/>
        </w:rPr>
        <w:t>1.工程名称：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bookmarkEnd w:id="232"/>
      <w:bookmarkEnd w:id="233"/>
      <w:bookmarkEnd w:id="234"/>
      <w:bookmarkEnd w:id="235"/>
      <w:bookmarkEnd w:id="236"/>
      <w:bookmarkEnd w:id="237"/>
      <w:bookmarkEnd w:id="238"/>
      <w:bookmarkEnd w:id="239"/>
      <w:bookmarkEnd w:id="240"/>
      <w:bookmarkEnd w:id="241"/>
      <w:bookmarkEnd w:id="242"/>
      <w:bookmarkEnd w:id="243"/>
      <w:bookmarkEnd w:id="244"/>
    </w:p>
    <w:p w14:paraId="4DF7E8F0">
      <w:pPr>
        <w:pageBreakBefore w:val="0"/>
        <w:widowControl/>
        <w:kinsoku/>
        <w:wordWrap/>
        <w:overflowPunct/>
        <w:topLinePunct w:val="0"/>
        <w:bidi w:val="0"/>
        <w:snapToGrid/>
        <w:spacing w:line="240" w:lineRule="auto"/>
        <w:ind w:firstLine="470" w:firstLineChars="196"/>
        <w:textAlignment w:val="auto"/>
        <w:outlineLvl w:val="2"/>
        <w:rPr>
          <w:rFonts w:hint="eastAsia" w:ascii="宋体" w:hAnsi="宋体" w:eastAsia="宋体" w:cs="宋体"/>
          <w:color w:val="auto"/>
          <w:sz w:val="24"/>
          <w:szCs w:val="24"/>
          <w:highlight w:val="none"/>
        </w:rPr>
      </w:pPr>
      <w:bookmarkStart w:id="245" w:name="_Toc12594"/>
      <w:bookmarkStart w:id="246" w:name="_Toc19983"/>
      <w:bookmarkStart w:id="247" w:name="_Toc19083"/>
      <w:bookmarkStart w:id="248" w:name="_Toc19255"/>
      <w:bookmarkStart w:id="249" w:name="_Toc9799"/>
      <w:bookmarkStart w:id="250" w:name="_Toc9422"/>
      <w:bookmarkStart w:id="251" w:name="_Toc7987"/>
      <w:bookmarkStart w:id="252" w:name="_Toc29529"/>
      <w:bookmarkStart w:id="253" w:name="_Toc19339"/>
      <w:bookmarkStart w:id="254" w:name="_Toc2713"/>
      <w:bookmarkStart w:id="255" w:name="_Toc707"/>
      <w:bookmarkStart w:id="256" w:name="_Toc18864"/>
      <w:bookmarkStart w:id="257" w:name="_Toc18896"/>
      <w:r>
        <w:rPr>
          <w:rFonts w:hint="eastAsia" w:ascii="宋体" w:hAnsi="宋体" w:eastAsia="宋体" w:cs="宋体"/>
          <w:color w:val="auto"/>
          <w:sz w:val="24"/>
          <w:szCs w:val="24"/>
          <w:highlight w:val="none"/>
        </w:rPr>
        <w:t>2.工程地点：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bookmarkEnd w:id="245"/>
      <w:bookmarkEnd w:id="246"/>
      <w:bookmarkEnd w:id="247"/>
      <w:bookmarkEnd w:id="248"/>
      <w:bookmarkEnd w:id="249"/>
      <w:bookmarkEnd w:id="250"/>
      <w:bookmarkEnd w:id="251"/>
      <w:bookmarkEnd w:id="252"/>
      <w:bookmarkEnd w:id="253"/>
      <w:bookmarkEnd w:id="254"/>
      <w:bookmarkEnd w:id="255"/>
      <w:bookmarkEnd w:id="256"/>
      <w:bookmarkEnd w:id="257"/>
    </w:p>
    <w:p w14:paraId="69D53FCB">
      <w:pPr>
        <w:pageBreakBefore w:val="0"/>
        <w:widowControl/>
        <w:kinsoku/>
        <w:wordWrap/>
        <w:overflowPunct/>
        <w:topLinePunct w:val="0"/>
        <w:bidi w:val="0"/>
        <w:snapToGrid/>
        <w:spacing w:line="240" w:lineRule="auto"/>
        <w:ind w:firstLine="470" w:firstLineChars="196"/>
        <w:textAlignment w:val="auto"/>
        <w:outlineLvl w:val="2"/>
        <w:rPr>
          <w:rFonts w:hint="eastAsia" w:ascii="宋体" w:hAnsi="宋体" w:eastAsia="宋体" w:cs="宋体"/>
          <w:color w:val="auto"/>
          <w:sz w:val="24"/>
          <w:szCs w:val="24"/>
          <w:highlight w:val="none"/>
        </w:rPr>
      </w:pPr>
      <w:bookmarkStart w:id="258" w:name="_Toc15377"/>
      <w:bookmarkStart w:id="259" w:name="_Toc21053"/>
      <w:bookmarkStart w:id="260" w:name="_Toc15379"/>
      <w:bookmarkStart w:id="261" w:name="_Toc28084"/>
      <w:bookmarkStart w:id="262" w:name="_Toc5765"/>
      <w:bookmarkStart w:id="263" w:name="_Toc20170"/>
      <w:bookmarkStart w:id="264" w:name="_Toc22737"/>
      <w:bookmarkStart w:id="265" w:name="_Toc10814"/>
      <w:bookmarkStart w:id="266" w:name="_Toc3054"/>
      <w:bookmarkStart w:id="267" w:name="_Toc10950"/>
      <w:bookmarkStart w:id="268" w:name="_Toc29106"/>
      <w:bookmarkStart w:id="269" w:name="_Toc8518"/>
      <w:bookmarkStart w:id="270" w:name="_Toc21949"/>
      <w:r>
        <w:rPr>
          <w:rFonts w:hint="eastAsia" w:ascii="宋体" w:hAnsi="宋体" w:eastAsia="宋体" w:cs="宋体"/>
          <w:color w:val="auto"/>
          <w:sz w:val="24"/>
          <w:szCs w:val="24"/>
          <w:highlight w:val="none"/>
        </w:rPr>
        <w:t>3.工程立项批准文号：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bookmarkEnd w:id="258"/>
      <w:bookmarkEnd w:id="259"/>
      <w:bookmarkEnd w:id="260"/>
      <w:bookmarkEnd w:id="261"/>
      <w:bookmarkEnd w:id="262"/>
      <w:bookmarkEnd w:id="263"/>
      <w:bookmarkEnd w:id="264"/>
      <w:bookmarkEnd w:id="265"/>
      <w:bookmarkEnd w:id="266"/>
      <w:bookmarkEnd w:id="267"/>
      <w:bookmarkEnd w:id="268"/>
      <w:bookmarkEnd w:id="269"/>
      <w:bookmarkEnd w:id="270"/>
    </w:p>
    <w:p w14:paraId="48C0EC35">
      <w:pPr>
        <w:pageBreakBefore w:val="0"/>
        <w:widowControl/>
        <w:kinsoku/>
        <w:wordWrap/>
        <w:overflowPunct/>
        <w:topLinePunct w:val="0"/>
        <w:bidi w:val="0"/>
        <w:snapToGrid/>
        <w:spacing w:line="240" w:lineRule="auto"/>
        <w:ind w:firstLine="470" w:firstLineChars="196"/>
        <w:textAlignment w:val="auto"/>
        <w:outlineLvl w:val="2"/>
        <w:rPr>
          <w:rFonts w:hint="eastAsia" w:ascii="宋体" w:hAnsi="宋体" w:eastAsia="宋体" w:cs="宋体"/>
          <w:color w:val="auto"/>
          <w:sz w:val="24"/>
          <w:szCs w:val="24"/>
          <w:highlight w:val="none"/>
        </w:rPr>
      </w:pPr>
      <w:bookmarkStart w:id="271" w:name="_Toc18953"/>
      <w:bookmarkStart w:id="272" w:name="_Toc28207"/>
      <w:bookmarkStart w:id="273" w:name="_Toc31022"/>
      <w:bookmarkStart w:id="274" w:name="_Toc24337"/>
      <w:bookmarkStart w:id="275" w:name="_Toc27902"/>
      <w:bookmarkStart w:id="276" w:name="_Toc15736"/>
      <w:bookmarkStart w:id="277" w:name="_Toc27035"/>
      <w:bookmarkStart w:id="278" w:name="_Toc752"/>
      <w:bookmarkStart w:id="279" w:name="_Toc24389"/>
      <w:bookmarkStart w:id="280" w:name="_Toc30061"/>
      <w:bookmarkStart w:id="281" w:name="_Toc10611"/>
      <w:bookmarkStart w:id="282" w:name="_Toc12189"/>
      <w:bookmarkStart w:id="283" w:name="_Toc6653"/>
      <w:r>
        <w:rPr>
          <w:rFonts w:hint="eastAsia" w:ascii="宋体" w:hAnsi="宋体" w:eastAsia="宋体" w:cs="宋体"/>
          <w:color w:val="auto"/>
          <w:sz w:val="24"/>
          <w:szCs w:val="24"/>
          <w:highlight w:val="none"/>
        </w:rPr>
        <w:t>4.资金来源：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bookmarkEnd w:id="271"/>
      <w:bookmarkEnd w:id="272"/>
      <w:bookmarkEnd w:id="273"/>
      <w:bookmarkEnd w:id="274"/>
      <w:bookmarkEnd w:id="275"/>
      <w:bookmarkEnd w:id="276"/>
      <w:bookmarkEnd w:id="277"/>
      <w:bookmarkEnd w:id="278"/>
      <w:bookmarkEnd w:id="279"/>
      <w:bookmarkEnd w:id="280"/>
      <w:bookmarkEnd w:id="281"/>
      <w:bookmarkEnd w:id="282"/>
      <w:bookmarkEnd w:id="283"/>
    </w:p>
    <w:p w14:paraId="50B289D4">
      <w:pPr>
        <w:pageBreakBefore w:val="0"/>
        <w:widowControl/>
        <w:kinsoku/>
        <w:wordWrap/>
        <w:overflowPunct/>
        <w:topLinePunct w:val="0"/>
        <w:bidi w:val="0"/>
        <w:snapToGrid/>
        <w:spacing w:line="240" w:lineRule="auto"/>
        <w:ind w:firstLine="470" w:firstLineChars="196"/>
        <w:textAlignment w:val="auto"/>
        <w:outlineLvl w:val="2"/>
        <w:rPr>
          <w:rFonts w:hint="eastAsia" w:ascii="宋体" w:hAnsi="宋体" w:eastAsia="宋体" w:cs="宋体"/>
          <w:color w:val="auto"/>
          <w:sz w:val="24"/>
          <w:szCs w:val="24"/>
          <w:highlight w:val="none"/>
        </w:rPr>
      </w:pPr>
      <w:bookmarkStart w:id="284" w:name="_Toc8444"/>
      <w:bookmarkStart w:id="285" w:name="_Toc16968"/>
      <w:bookmarkStart w:id="286" w:name="_Toc18937"/>
      <w:bookmarkStart w:id="287" w:name="_Toc24240"/>
      <w:bookmarkStart w:id="288" w:name="_Toc31769"/>
      <w:bookmarkStart w:id="289" w:name="_Toc3923"/>
      <w:bookmarkStart w:id="290" w:name="_Toc9584"/>
      <w:bookmarkStart w:id="291" w:name="_Toc2513"/>
      <w:bookmarkStart w:id="292" w:name="_Toc24625"/>
      <w:bookmarkStart w:id="293" w:name="_Toc13591"/>
      <w:bookmarkStart w:id="294" w:name="_Toc23045"/>
      <w:bookmarkStart w:id="295" w:name="_Toc1820"/>
      <w:bookmarkStart w:id="296" w:name="_Toc14914"/>
      <w:r>
        <w:rPr>
          <w:rFonts w:hint="eastAsia" w:ascii="宋体" w:hAnsi="宋体" w:eastAsia="宋体" w:cs="宋体"/>
          <w:color w:val="auto"/>
          <w:sz w:val="24"/>
          <w:szCs w:val="24"/>
          <w:highlight w:val="none"/>
        </w:rPr>
        <w:t>5.工程内容：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bookmarkEnd w:id="284"/>
      <w:bookmarkEnd w:id="285"/>
      <w:bookmarkEnd w:id="286"/>
      <w:bookmarkEnd w:id="287"/>
      <w:bookmarkEnd w:id="288"/>
      <w:bookmarkEnd w:id="289"/>
      <w:bookmarkEnd w:id="290"/>
      <w:bookmarkEnd w:id="291"/>
      <w:bookmarkEnd w:id="292"/>
      <w:bookmarkEnd w:id="293"/>
      <w:bookmarkEnd w:id="294"/>
      <w:bookmarkEnd w:id="295"/>
      <w:bookmarkEnd w:id="296"/>
    </w:p>
    <w:p w14:paraId="6114627B">
      <w:pPr>
        <w:pageBreakBefore w:val="0"/>
        <w:widowControl/>
        <w:kinsoku/>
        <w:wordWrap/>
        <w:overflowPunct/>
        <w:topLinePunct w:val="0"/>
        <w:bidi w:val="0"/>
        <w:snapToGrid/>
        <w:spacing w:line="240" w:lineRule="auto"/>
        <w:ind w:firstLine="470" w:firstLineChars="1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群体工程应附《承包人承揽工程项目一览表》（附件1）。</w:t>
      </w:r>
    </w:p>
    <w:p w14:paraId="04FD854B">
      <w:pPr>
        <w:pageBreakBefore w:val="0"/>
        <w:widowControl/>
        <w:kinsoku/>
        <w:wordWrap/>
        <w:overflowPunct/>
        <w:topLinePunct w:val="0"/>
        <w:bidi w:val="0"/>
        <w:snapToGrid/>
        <w:spacing w:line="240" w:lineRule="auto"/>
        <w:ind w:firstLine="470" w:firstLineChars="196"/>
        <w:textAlignment w:val="auto"/>
        <w:outlineLvl w:val="2"/>
        <w:rPr>
          <w:rFonts w:hint="eastAsia" w:ascii="宋体" w:hAnsi="宋体" w:eastAsia="宋体" w:cs="宋体"/>
          <w:color w:val="auto"/>
          <w:sz w:val="24"/>
          <w:szCs w:val="24"/>
          <w:highlight w:val="none"/>
        </w:rPr>
      </w:pPr>
      <w:bookmarkStart w:id="297" w:name="_Toc29539"/>
      <w:bookmarkStart w:id="298" w:name="_Toc28811"/>
      <w:bookmarkStart w:id="299" w:name="_Toc4653"/>
      <w:bookmarkStart w:id="300" w:name="_Toc16828"/>
      <w:bookmarkStart w:id="301" w:name="_Toc20735"/>
      <w:bookmarkStart w:id="302" w:name="_Toc2152"/>
      <w:bookmarkStart w:id="303" w:name="_Toc22853"/>
      <w:bookmarkStart w:id="304" w:name="_Toc28006"/>
      <w:bookmarkStart w:id="305" w:name="_Toc13666"/>
      <w:bookmarkStart w:id="306" w:name="_Toc28812"/>
      <w:bookmarkStart w:id="307" w:name="_Toc12568"/>
      <w:bookmarkStart w:id="308" w:name="_Toc10729"/>
      <w:bookmarkStart w:id="309" w:name="_Toc15906"/>
      <w:r>
        <w:rPr>
          <w:rFonts w:hint="eastAsia" w:ascii="宋体" w:hAnsi="宋体" w:eastAsia="宋体" w:cs="宋体"/>
          <w:color w:val="auto"/>
          <w:sz w:val="24"/>
          <w:szCs w:val="24"/>
          <w:highlight w:val="none"/>
        </w:rPr>
        <w:t>6.工程承包范围：</w:t>
      </w:r>
      <w:bookmarkEnd w:id="297"/>
      <w:bookmarkEnd w:id="298"/>
      <w:bookmarkEnd w:id="299"/>
      <w:bookmarkEnd w:id="300"/>
      <w:bookmarkEnd w:id="301"/>
      <w:bookmarkEnd w:id="302"/>
      <w:bookmarkEnd w:id="303"/>
      <w:bookmarkEnd w:id="304"/>
      <w:bookmarkEnd w:id="305"/>
      <w:bookmarkEnd w:id="306"/>
      <w:bookmarkEnd w:id="307"/>
      <w:bookmarkEnd w:id="308"/>
      <w:bookmarkEnd w:id="309"/>
    </w:p>
    <w:p w14:paraId="789E5844">
      <w:pPr>
        <w:pageBreakBefore w:val="0"/>
        <w:widowControl/>
        <w:kinsoku/>
        <w:wordWrap/>
        <w:overflowPunct/>
        <w:topLinePunct w:val="0"/>
        <w:bidi w:val="0"/>
        <w:snapToGrid/>
        <w:spacing w:line="240" w:lineRule="auto"/>
        <w:ind w:firstLine="463" w:firstLineChars="19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4173410C">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bookmarkStart w:id="310" w:name="_Toc23231"/>
      <w:bookmarkStart w:id="311" w:name="_Toc30599"/>
      <w:bookmarkStart w:id="312" w:name="_Toc23714"/>
      <w:bookmarkStart w:id="313" w:name="_Toc25899"/>
      <w:bookmarkStart w:id="314" w:name="_Toc31594"/>
      <w:bookmarkStart w:id="315" w:name="_Toc351203482"/>
      <w:bookmarkStart w:id="316" w:name="_Toc12475"/>
      <w:bookmarkStart w:id="317" w:name="_Toc5146"/>
      <w:bookmarkStart w:id="318" w:name="_Toc24025"/>
      <w:bookmarkStart w:id="319" w:name="_Toc8456"/>
      <w:bookmarkStart w:id="320" w:name="_Toc14976"/>
      <w:bookmarkStart w:id="321" w:name="_Toc4624"/>
      <w:bookmarkStart w:id="322" w:name="_Toc29911"/>
      <w:bookmarkStart w:id="323" w:name="_Toc14767"/>
      <w:bookmarkStart w:id="324" w:name="_Toc9353"/>
      <w:bookmarkStart w:id="325" w:name="_Toc1528"/>
      <w:r>
        <w:rPr>
          <w:rFonts w:hint="eastAsia" w:ascii="宋体" w:hAnsi="宋体" w:eastAsia="宋体" w:cs="宋体"/>
          <w:b w:val="0"/>
          <w:bCs w:val="0"/>
          <w:color w:val="auto"/>
          <w:sz w:val="24"/>
          <w:szCs w:val="24"/>
          <w:highlight w:val="none"/>
        </w:rPr>
        <w:t>二、合同工期</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14:paraId="22ECA04F">
      <w:pPr>
        <w:pageBreakBefore w:val="0"/>
        <w:widowControl/>
        <w:kinsoku/>
        <w:wordWrap/>
        <w:overflowPunct/>
        <w:topLinePunct w:val="0"/>
        <w:bidi w:val="0"/>
        <w:snapToGrid/>
        <w:spacing w:line="240" w:lineRule="auto"/>
        <w:ind w:firstLine="45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计划开工日期：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日。</w:t>
      </w:r>
    </w:p>
    <w:p w14:paraId="73A5FDA1">
      <w:pPr>
        <w:pageBreakBefore w:val="0"/>
        <w:widowControl/>
        <w:kinsoku/>
        <w:wordWrap/>
        <w:overflowPunct/>
        <w:topLinePunct w:val="0"/>
        <w:bidi w:val="0"/>
        <w:snapToGrid/>
        <w:spacing w:line="240" w:lineRule="auto"/>
        <w:ind w:firstLine="45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计划竣工日期：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日。</w:t>
      </w:r>
    </w:p>
    <w:p w14:paraId="1513606F">
      <w:pPr>
        <w:pageBreakBefore w:val="0"/>
        <w:widowControl/>
        <w:kinsoku/>
        <w:wordWrap/>
        <w:overflowPunct/>
        <w:topLinePunct w:val="0"/>
        <w:bidi w:val="0"/>
        <w:snapToGrid/>
        <w:spacing w:line="240" w:lineRule="auto"/>
        <w:ind w:firstLine="45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工期总日历天数：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天。工期总日历天数与根据前述计划开竣工日期计算的工期天数不一致的，以工期总日历天数为准。</w:t>
      </w:r>
    </w:p>
    <w:p w14:paraId="5E82A631">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326" w:name="_Toc351203483"/>
      <w:bookmarkEnd w:id="326"/>
      <w:bookmarkStart w:id="327" w:name="_Toc25757"/>
      <w:bookmarkStart w:id="328" w:name="_Toc499"/>
      <w:bookmarkStart w:id="329" w:name="_Toc28288"/>
      <w:bookmarkStart w:id="330" w:name="_Toc9926"/>
      <w:bookmarkStart w:id="331" w:name="_Toc28179"/>
      <w:bookmarkStart w:id="332" w:name="_Toc21084"/>
      <w:bookmarkStart w:id="333" w:name="_Toc12051"/>
      <w:bookmarkStart w:id="334" w:name="_Toc27014"/>
      <w:bookmarkStart w:id="335" w:name="_Toc31826"/>
      <w:bookmarkStart w:id="336" w:name="_Toc23886"/>
      <w:bookmarkStart w:id="337" w:name="_Toc3023"/>
      <w:bookmarkStart w:id="338" w:name="_Toc29130"/>
      <w:bookmarkStart w:id="339" w:name="_Toc21892"/>
      <w:bookmarkStart w:id="340" w:name="_Toc16673"/>
      <w:bookmarkStart w:id="341" w:name="_Toc296"/>
      <w:r>
        <w:rPr>
          <w:rFonts w:hint="eastAsia" w:ascii="宋体" w:hAnsi="宋体" w:eastAsia="宋体" w:cs="宋体"/>
          <w:b w:val="0"/>
          <w:bCs w:val="0"/>
          <w:color w:val="auto"/>
          <w:sz w:val="24"/>
          <w:szCs w:val="24"/>
          <w:highlight w:val="none"/>
        </w:rPr>
        <w:t>三、质量标准</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097F4B78">
      <w:pPr>
        <w:pageBreakBefore w:val="0"/>
        <w:widowControl/>
        <w:kinsoku/>
        <w:wordWrap/>
        <w:overflowPunct/>
        <w:topLinePunct w:val="0"/>
        <w:bidi w:val="0"/>
        <w:snapToGrid/>
        <w:spacing w:line="240" w:lineRule="auto"/>
        <w:ind w:firstLine="45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工程质量符合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标准。</w:t>
      </w:r>
    </w:p>
    <w:p w14:paraId="2B73C0FC">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 xml:space="preserve"> </w:t>
      </w:r>
      <w:bookmarkStart w:id="342" w:name="_Toc17129"/>
      <w:bookmarkStart w:id="343" w:name="_Toc5900"/>
      <w:bookmarkStart w:id="344" w:name="_Toc11837"/>
      <w:bookmarkStart w:id="345" w:name="_Toc22244"/>
      <w:bookmarkStart w:id="346" w:name="_Toc13436"/>
      <w:bookmarkStart w:id="347" w:name="_Toc30054"/>
      <w:bookmarkStart w:id="348" w:name="_Toc15280"/>
      <w:bookmarkStart w:id="349" w:name="_Toc21959"/>
      <w:bookmarkStart w:id="350" w:name="_Toc30356"/>
      <w:bookmarkStart w:id="351" w:name="_Toc8888"/>
      <w:bookmarkStart w:id="352" w:name="_Toc351203484"/>
      <w:bookmarkStart w:id="353" w:name="_Toc11651"/>
      <w:bookmarkStart w:id="354" w:name="_Toc24197"/>
      <w:bookmarkStart w:id="355" w:name="_Toc24342"/>
      <w:bookmarkStart w:id="356" w:name="_Toc21763"/>
      <w:bookmarkStart w:id="357" w:name="_Toc5342"/>
      <w:r>
        <w:rPr>
          <w:rFonts w:hint="eastAsia" w:ascii="宋体" w:hAnsi="宋体" w:eastAsia="宋体" w:cs="宋体"/>
          <w:b w:val="0"/>
          <w:bCs w:val="0"/>
          <w:color w:val="auto"/>
          <w:sz w:val="24"/>
          <w:szCs w:val="24"/>
          <w:highlight w:val="none"/>
        </w:rPr>
        <w:t>四、签约合同价与合同价格形式</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r>
        <w:rPr>
          <w:rFonts w:hint="eastAsia" w:ascii="宋体" w:hAnsi="宋体" w:eastAsia="宋体" w:cs="宋体"/>
          <w:b w:val="0"/>
          <w:bCs w:val="0"/>
          <w:color w:val="auto"/>
          <w:sz w:val="24"/>
          <w:szCs w:val="24"/>
          <w:highlight w:val="none"/>
        </w:rPr>
        <w:tab/>
      </w:r>
    </w:p>
    <w:p w14:paraId="6BCC50CA">
      <w:pPr>
        <w:pageBreakBefore w:val="0"/>
        <w:widowControl/>
        <w:kinsoku/>
        <w:wordWrap/>
        <w:overflowPunct/>
        <w:topLinePunct w:val="0"/>
        <w:bidi w:val="0"/>
        <w:snapToGrid/>
        <w:spacing w:line="240" w:lineRule="auto"/>
        <w:ind w:firstLine="480" w:firstLineChars="200"/>
        <w:textAlignment w:val="auto"/>
        <w:outlineLvl w:val="2"/>
        <w:rPr>
          <w:rFonts w:hint="eastAsia" w:ascii="宋体" w:hAnsi="宋体" w:eastAsia="宋体" w:cs="宋体"/>
          <w:color w:val="auto"/>
          <w:sz w:val="24"/>
          <w:szCs w:val="24"/>
          <w:highlight w:val="none"/>
        </w:rPr>
      </w:pPr>
      <w:bookmarkStart w:id="358" w:name="_Toc4937"/>
      <w:bookmarkStart w:id="359" w:name="_Toc25922"/>
      <w:bookmarkStart w:id="360" w:name="_Toc2074"/>
      <w:bookmarkStart w:id="361" w:name="_Toc16297"/>
      <w:bookmarkStart w:id="362" w:name="_Toc29518"/>
      <w:bookmarkStart w:id="363" w:name="_Toc26159"/>
      <w:bookmarkStart w:id="364" w:name="_Toc31142"/>
      <w:bookmarkStart w:id="365" w:name="_Toc2032"/>
      <w:bookmarkStart w:id="366" w:name="_Toc19905"/>
      <w:bookmarkStart w:id="367" w:name="_Toc16057"/>
      <w:bookmarkStart w:id="368" w:name="_Toc5285"/>
      <w:bookmarkStart w:id="369" w:name="_Toc9295"/>
      <w:bookmarkStart w:id="370" w:name="_Toc32038"/>
      <w:r>
        <w:rPr>
          <w:rFonts w:hint="eastAsia" w:ascii="宋体" w:hAnsi="宋体" w:eastAsia="宋体" w:cs="宋体"/>
          <w:color w:val="auto"/>
          <w:sz w:val="24"/>
          <w:szCs w:val="24"/>
          <w:highlight w:val="none"/>
        </w:rPr>
        <w:t>1.签约合同价为：</w:t>
      </w:r>
      <w:bookmarkEnd w:id="358"/>
      <w:bookmarkEnd w:id="359"/>
      <w:bookmarkEnd w:id="360"/>
      <w:bookmarkEnd w:id="361"/>
      <w:bookmarkEnd w:id="362"/>
      <w:bookmarkEnd w:id="363"/>
      <w:bookmarkEnd w:id="364"/>
      <w:bookmarkEnd w:id="365"/>
      <w:bookmarkEnd w:id="366"/>
      <w:bookmarkEnd w:id="367"/>
      <w:bookmarkEnd w:id="368"/>
      <w:bookmarkEnd w:id="369"/>
      <w:bookmarkEnd w:id="370"/>
    </w:p>
    <w:p w14:paraId="266C1E5D">
      <w:pPr>
        <w:pageBreakBefore w:val="0"/>
        <w:widowControl/>
        <w:kinsoku/>
        <w:wordWrap/>
        <w:overflowPunct/>
        <w:topLinePunct w:val="0"/>
        <w:bidi w:val="0"/>
        <w:snapToGrid/>
        <w:spacing w:line="240" w:lineRule="auto"/>
        <w:ind w:firstLine="600" w:firstLineChars="2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4D65D8F7">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14:paraId="0A9EABB5">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（1）安全文明施工费：</w:t>
      </w:r>
    </w:p>
    <w:p w14:paraId="22F113E0">
      <w:pPr>
        <w:pageBreakBefore w:val="0"/>
        <w:widowControl/>
        <w:kinsoku/>
        <w:wordWrap/>
        <w:overflowPunct/>
        <w:topLinePunct w:val="0"/>
        <w:bidi w:val="0"/>
        <w:snapToGrid/>
        <w:spacing w:line="240" w:lineRule="auto"/>
        <w:ind w:firstLine="1080" w:firstLineChars="4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ADACD80">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（2）材料和工程设备暂估价金额：</w:t>
      </w:r>
    </w:p>
    <w:p w14:paraId="03364F57">
      <w:pPr>
        <w:pageBreakBefore w:val="0"/>
        <w:widowControl/>
        <w:kinsoku/>
        <w:wordWrap/>
        <w:overflowPunct/>
        <w:topLinePunct w:val="0"/>
        <w:bidi w:val="0"/>
        <w:snapToGrid/>
        <w:spacing w:line="240" w:lineRule="auto"/>
        <w:ind w:firstLine="1080" w:firstLineChars="4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457F7E2D">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（3）专业工程暂估价金额：</w:t>
      </w:r>
    </w:p>
    <w:p w14:paraId="161429D3">
      <w:pPr>
        <w:pageBreakBefore w:val="0"/>
        <w:widowControl/>
        <w:kinsoku/>
        <w:wordWrap/>
        <w:overflowPunct/>
        <w:topLinePunct w:val="0"/>
        <w:bidi w:val="0"/>
        <w:snapToGrid/>
        <w:spacing w:line="240" w:lineRule="auto"/>
        <w:ind w:firstLine="1080" w:firstLineChars="4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1DFEF331">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（4）暂列金额：</w:t>
      </w:r>
    </w:p>
    <w:p w14:paraId="6D44B69B">
      <w:pPr>
        <w:pageBreakBefore w:val="0"/>
        <w:widowControl/>
        <w:kinsoku/>
        <w:wordWrap/>
        <w:overflowPunct/>
        <w:topLinePunct w:val="0"/>
        <w:bidi w:val="0"/>
        <w:snapToGrid/>
        <w:spacing w:line="240" w:lineRule="auto"/>
        <w:ind w:firstLine="1080" w:firstLineChars="4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7028736B">
      <w:pPr>
        <w:pageBreakBefore w:val="0"/>
        <w:widowControl/>
        <w:kinsoku/>
        <w:wordWrap/>
        <w:overflowPunct/>
        <w:topLinePunct w:val="0"/>
        <w:bidi w:val="0"/>
        <w:snapToGrid/>
        <w:spacing w:line="240" w:lineRule="auto"/>
        <w:ind w:firstLine="480" w:firstLineChars="200"/>
        <w:textAlignment w:val="auto"/>
        <w:outlineLvl w:val="2"/>
        <w:rPr>
          <w:rFonts w:hint="eastAsia" w:ascii="宋体" w:hAnsi="宋体" w:eastAsia="宋体" w:cs="宋体"/>
          <w:color w:val="auto"/>
          <w:sz w:val="24"/>
          <w:szCs w:val="24"/>
          <w:highlight w:val="none"/>
        </w:rPr>
      </w:pPr>
      <w:bookmarkStart w:id="371" w:name="_Toc14754"/>
      <w:bookmarkStart w:id="372" w:name="_Toc30101"/>
      <w:bookmarkStart w:id="373" w:name="_Toc18233"/>
      <w:bookmarkStart w:id="374" w:name="_Toc7760"/>
      <w:bookmarkStart w:id="375" w:name="_Toc27430"/>
      <w:bookmarkStart w:id="376" w:name="_Toc32396"/>
      <w:bookmarkStart w:id="377" w:name="_Toc30354"/>
      <w:bookmarkStart w:id="378" w:name="_Toc29645"/>
      <w:bookmarkStart w:id="379" w:name="_Toc18958"/>
      <w:bookmarkStart w:id="380" w:name="_Toc3857"/>
      <w:bookmarkStart w:id="381" w:name="_Toc19163"/>
      <w:bookmarkStart w:id="382" w:name="_Toc12832"/>
      <w:bookmarkStart w:id="383" w:name="_Toc8130"/>
      <w:r>
        <w:rPr>
          <w:rFonts w:hint="eastAsia" w:ascii="宋体" w:hAnsi="宋体" w:eastAsia="宋体" w:cs="宋体"/>
          <w:color w:val="auto"/>
          <w:sz w:val="24"/>
          <w:szCs w:val="24"/>
          <w:highlight w:val="none"/>
        </w:rPr>
        <w:t>2.合同价格形式：</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bookmarkEnd w:id="371"/>
      <w:bookmarkEnd w:id="372"/>
      <w:bookmarkEnd w:id="373"/>
      <w:bookmarkEnd w:id="374"/>
      <w:bookmarkEnd w:id="375"/>
      <w:bookmarkEnd w:id="376"/>
      <w:bookmarkEnd w:id="377"/>
      <w:bookmarkEnd w:id="378"/>
      <w:bookmarkEnd w:id="379"/>
      <w:bookmarkEnd w:id="380"/>
      <w:bookmarkEnd w:id="381"/>
      <w:bookmarkEnd w:id="382"/>
      <w:bookmarkEnd w:id="383"/>
    </w:p>
    <w:p w14:paraId="685B0760">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 xml:space="preserve"> </w:t>
      </w:r>
      <w:bookmarkStart w:id="384" w:name="_Toc351203485"/>
      <w:bookmarkStart w:id="385" w:name="_Toc23078"/>
      <w:bookmarkStart w:id="386" w:name="_Toc32677"/>
      <w:bookmarkStart w:id="387" w:name="_Toc14582"/>
      <w:bookmarkStart w:id="388" w:name="_Toc23266"/>
      <w:bookmarkStart w:id="389" w:name="_Toc158"/>
      <w:bookmarkStart w:id="390" w:name="_Toc19451"/>
      <w:bookmarkStart w:id="391" w:name="_Toc16555"/>
      <w:bookmarkStart w:id="392" w:name="_Toc31160"/>
      <w:bookmarkStart w:id="393" w:name="_Toc27871"/>
      <w:bookmarkStart w:id="394" w:name="_Toc2961"/>
      <w:bookmarkStart w:id="395" w:name="_Toc2658"/>
      <w:bookmarkStart w:id="396" w:name="_Toc26942"/>
      <w:bookmarkStart w:id="397" w:name="_Toc28738"/>
      <w:bookmarkStart w:id="398" w:name="_Toc30761"/>
      <w:bookmarkStart w:id="399" w:name="_Toc31419"/>
      <w:r>
        <w:rPr>
          <w:rFonts w:hint="eastAsia" w:ascii="宋体" w:hAnsi="宋体" w:eastAsia="宋体" w:cs="宋体"/>
          <w:b w:val="0"/>
          <w:bCs w:val="0"/>
          <w:color w:val="auto"/>
          <w:sz w:val="24"/>
          <w:szCs w:val="24"/>
          <w:highlight w:val="none"/>
        </w:rPr>
        <w:t>五、</w:t>
      </w:r>
      <w:bookmarkEnd w:id="384"/>
      <w:r>
        <w:rPr>
          <w:rFonts w:hint="eastAsia" w:ascii="宋体" w:hAnsi="宋体" w:eastAsia="宋体" w:cs="宋体"/>
          <w:b w:val="0"/>
          <w:bCs w:val="0"/>
          <w:color w:val="auto"/>
          <w:sz w:val="24"/>
          <w:szCs w:val="24"/>
          <w:highlight w:val="none"/>
        </w:rPr>
        <w:t>项目经理</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969DEBD">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承包人项目经理：</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4D49611A">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 xml:space="preserve"> </w:t>
      </w:r>
      <w:bookmarkStart w:id="400" w:name="_Toc13632"/>
      <w:bookmarkStart w:id="401" w:name="_Toc20126"/>
      <w:bookmarkStart w:id="402" w:name="_Toc7608"/>
      <w:bookmarkStart w:id="403" w:name="_Toc17890"/>
      <w:bookmarkStart w:id="404" w:name="_Toc26886"/>
      <w:bookmarkStart w:id="405" w:name="_Toc22116"/>
      <w:bookmarkStart w:id="406" w:name="_Toc32034"/>
      <w:bookmarkStart w:id="407" w:name="_Toc32567"/>
      <w:bookmarkStart w:id="408" w:name="_Toc8999"/>
      <w:bookmarkStart w:id="409" w:name="_Toc13782"/>
      <w:bookmarkStart w:id="410" w:name="_Toc13150"/>
      <w:bookmarkStart w:id="411" w:name="_Toc27873"/>
      <w:bookmarkStart w:id="412" w:name="_Toc18795"/>
      <w:bookmarkStart w:id="413" w:name="_Toc14938"/>
      <w:bookmarkStart w:id="414" w:name="_Toc13459"/>
      <w:bookmarkStart w:id="415" w:name="_Toc351203486"/>
      <w:r>
        <w:rPr>
          <w:rFonts w:hint="eastAsia" w:ascii="宋体" w:hAnsi="宋体" w:eastAsia="宋体" w:cs="宋体"/>
          <w:b w:val="0"/>
          <w:bCs w:val="0"/>
          <w:color w:val="auto"/>
          <w:sz w:val="24"/>
          <w:szCs w:val="24"/>
          <w:highlight w:val="none"/>
        </w:rPr>
        <w:t>六、合同文件构成</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14:paraId="795CF8BB">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本协议书与下列文件一起构成合同文件：</w:t>
      </w:r>
    </w:p>
    <w:p w14:paraId="2562BE03">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成交</w:t>
      </w:r>
      <w:r>
        <w:rPr>
          <w:rFonts w:hint="eastAsia" w:ascii="宋体" w:hAnsi="宋体" w:eastAsia="宋体" w:cs="宋体"/>
          <w:color w:val="auto"/>
          <w:sz w:val="24"/>
          <w:szCs w:val="24"/>
          <w:highlight w:val="none"/>
        </w:rPr>
        <w:t>通知书（如果有）；</w:t>
      </w:r>
    </w:p>
    <w:p w14:paraId="4E6D8BD1">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p>
    <w:p w14:paraId="0DB72D66">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（3）专用合同条款及其附件；</w:t>
      </w:r>
    </w:p>
    <w:p w14:paraId="4AE162A0">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（4）通用合同条款；</w:t>
      </w:r>
    </w:p>
    <w:p w14:paraId="7CE82242">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（5）技术标准和要求；</w:t>
      </w:r>
    </w:p>
    <w:p w14:paraId="60085D4F">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（6）图纸；</w:t>
      </w:r>
    </w:p>
    <w:p w14:paraId="51EDAF91">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（7）已标价工程量清单或预算书；</w:t>
      </w:r>
    </w:p>
    <w:p w14:paraId="72897AA7">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（8）其他合同文件。</w:t>
      </w:r>
    </w:p>
    <w:p w14:paraId="5ABE9CD6">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在合同订立及履行过程中形成的与合同有关的文件均构成合同文件组成部分。</w:t>
      </w:r>
    </w:p>
    <w:p w14:paraId="68298A5A">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17F10722">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bookmarkStart w:id="416" w:name="_Toc1995"/>
      <w:bookmarkStart w:id="417" w:name="_Toc19550"/>
      <w:bookmarkStart w:id="418" w:name="_Toc3994"/>
      <w:bookmarkStart w:id="419" w:name="_Toc9100"/>
      <w:bookmarkStart w:id="420" w:name="_Toc26410"/>
      <w:bookmarkStart w:id="421" w:name="_Toc271"/>
      <w:bookmarkStart w:id="422" w:name="_Toc21465"/>
      <w:bookmarkStart w:id="423" w:name="_Toc351203487"/>
      <w:bookmarkStart w:id="424" w:name="_Toc30362"/>
      <w:bookmarkStart w:id="425" w:name="_Toc14807"/>
      <w:bookmarkStart w:id="426" w:name="_Toc25662"/>
      <w:bookmarkStart w:id="427" w:name="_Toc22160"/>
      <w:bookmarkStart w:id="428" w:name="_Toc15684"/>
      <w:bookmarkStart w:id="429" w:name="_Toc6788"/>
      <w:bookmarkStart w:id="430" w:name="_Toc14639"/>
      <w:bookmarkStart w:id="431" w:name="_Toc5461"/>
      <w:r>
        <w:rPr>
          <w:rFonts w:hint="eastAsia" w:ascii="宋体" w:hAnsi="宋体" w:eastAsia="宋体" w:cs="宋体"/>
          <w:b w:val="0"/>
          <w:bCs w:val="0"/>
          <w:color w:val="auto"/>
          <w:sz w:val="24"/>
          <w:szCs w:val="24"/>
          <w:highlight w:val="none"/>
        </w:rPr>
        <w:t>七、承诺</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530577AB">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1.发包人承诺按照法律规定履行项目审批手续、筹集工程建设资金并按照合同约定的期限和方式支付合同价款。</w:t>
      </w:r>
    </w:p>
    <w:p w14:paraId="1A7F55C9">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6509E18C">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3.发包人和承包人通过招投标形式签订合同的，双方理解并承诺不再就同一工程另行签订与合同实质性内容相背离的协议。</w:t>
      </w:r>
    </w:p>
    <w:p w14:paraId="1FF73EA9">
      <w:pPr>
        <w:spacing w:line="240" w:lineRule="auto"/>
        <w:outlineLvl w:val="1"/>
        <w:rPr>
          <w:rFonts w:hint="eastAsia" w:ascii="宋体" w:hAnsi="宋体" w:eastAsia="宋体" w:cs="宋体"/>
          <w:color w:val="auto"/>
          <w:sz w:val="24"/>
          <w:szCs w:val="24"/>
          <w:highlight w:val="none"/>
        </w:rPr>
      </w:pPr>
      <w:bookmarkStart w:id="432" w:name="_Toc351203488"/>
      <w:bookmarkEnd w:id="432"/>
      <w:r>
        <w:rPr>
          <w:rFonts w:hint="eastAsia" w:ascii="宋体" w:hAnsi="宋体" w:eastAsia="宋体" w:cs="宋体"/>
          <w:b/>
          <w:bCs/>
          <w:color w:val="auto"/>
          <w:sz w:val="24"/>
          <w:szCs w:val="24"/>
          <w:highlight w:val="none"/>
        </w:rPr>
        <w:t xml:space="preserve">    </w:t>
      </w:r>
      <w:bookmarkStart w:id="433" w:name="_Toc5940"/>
      <w:bookmarkStart w:id="434" w:name="_Toc23099"/>
      <w:bookmarkStart w:id="435" w:name="_Toc20052"/>
      <w:bookmarkStart w:id="436" w:name="_Toc16803"/>
      <w:bookmarkStart w:id="437" w:name="_Toc2679"/>
      <w:bookmarkStart w:id="438" w:name="_Toc9186"/>
      <w:bookmarkStart w:id="439" w:name="_Toc31330"/>
      <w:bookmarkStart w:id="440" w:name="_Toc4329"/>
      <w:bookmarkStart w:id="441" w:name="_Toc3425"/>
      <w:bookmarkStart w:id="442" w:name="_Toc3099"/>
      <w:bookmarkStart w:id="443" w:name="_Toc24698"/>
      <w:bookmarkStart w:id="444" w:name="_Toc22269"/>
      <w:bookmarkStart w:id="445" w:name="_Toc28566"/>
      <w:bookmarkStart w:id="446" w:name="_Toc7766"/>
      <w:bookmarkStart w:id="447" w:name="_Toc18828"/>
      <w:r>
        <w:rPr>
          <w:rFonts w:hint="eastAsia" w:ascii="宋体" w:hAnsi="宋体" w:eastAsia="宋体" w:cs="宋体"/>
          <w:b/>
          <w:bCs/>
          <w:color w:val="auto"/>
          <w:sz w:val="24"/>
          <w:szCs w:val="24"/>
          <w:highlight w:val="none"/>
        </w:rPr>
        <w:t>八、词语含义</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14:paraId="00B1C9D2">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本协议书中词语含义与第二部分通用合同条款中赋予的含义相同。</w:t>
      </w:r>
    </w:p>
    <w:p w14:paraId="5368603C">
      <w:pPr>
        <w:pStyle w:val="5"/>
        <w:pageBreakBefore w:val="0"/>
        <w:widowControl/>
        <w:kinsoku/>
        <w:wordWrap/>
        <w:overflowPunct/>
        <w:topLinePunct w:val="0"/>
        <w:autoSpaceDE/>
        <w:autoSpaceDN/>
        <w:bidi w:val="0"/>
        <w:adjustRightInd/>
        <w:snapToGrid/>
        <w:spacing w:before="0" w:after="0" w:line="240" w:lineRule="auto"/>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 xml:space="preserve">  </w:t>
      </w:r>
      <w:bookmarkStart w:id="448" w:name="_Toc10375"/>
      <w:bookmarkStart w:id="449" w:name="_Toc351203489"/>
      <w:bookmarkStart w:id="450" w:name="_Toc24040"/>
      <w:bookmarkStart w:id="451" w:name="_Toc28553"/>
      <w:bookmarkStart w:id="452" w:name="_Toc16107"/>
      <w:bookmarkStart w:id="453" w:name="_Toc1101"/>
      <w:bookmarkStart w:id="454" w:name="_Toc17700"/>
      <w:bookmarkStart w:id="455" w:name="_Toc21653"/>
      <w:bookmarkStart w:id="456" w:name="_Toc13941"/>
      <w:bookmarkStart w:id="457" w:name="_Toc26146"/>
      <w:bookmarkStart w:id="458" w:name="_Toc1011"/>
      <w:bookmarkStart w:id="459" w:name="_Toc2007"/>
      <w:bookmarkStart w:id="460" w:name="_Toc22770"/>
      <w:bookmarkStart w:id="461" w:name="_Toc28649"/>
      <w:bookmarkStart w:id="462" w:name="_Toc12926"/>
      <w:bookmarkStart w:id="463" w:name="_Toc22729"/>
      <w:r>
        <w:rPr>
          <w:rFonts w:hint="eastAsia" w:ascii="宋体" w:hAnsi="宋体" w:eastAsia="宋体" w:cs="宋体"/>
          <w:b w:val="0"/>
          <w:bCs w:val="0"/>
          <w:color w:val="auto"/>
          <w:sz w:val="24"/>
          <w:szCs w:val="24"/>
          <w:highlight w:val="none"/>
        </w:rPr>
        <w:t>九、签订时间</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0BF3E94E">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日签订。</w:t>
      </w:r>
    </w:p>
    <w:p w14:paraId="786CB43C">
      <w:pPr>
        <w:pStyle w:val="5"/>
        <w:pageBreakBefore w:val="0"/>
        <w:widowControl/>
        <w:kinsoku/>
        <w:wordWrap/>
        <w:overflowPunct/>
        <w:topLinePunct w:val="0"/>
        <w:autoSpaceDE/>
        <w:autoSpaceDN/>
        <w:bidi w:val="0"/>
        <w:adjustRightInd/>
        <w:snapToGrid/>
        <w:spacing w:before="0" w:after="0" w:line="240" w:lineRule="auto"/>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464" w:name="_Toc351203490"/>
      <w:bookmarkEnd w:id="464"/>
      <w:bookmarkStart w:id="465" w:name="_Toc4598"/>
      <w:bookmarkStart w:id="466" w:name="_Toc2208"/>
      <w:bookmarkStart w:id="467" w:name="_Toc19370"/>
      <w:bookmarkStart w:id="468" w:name="_Toc15793"/>
      <w:bookmarkStart w:id="469" w:name="_Toc10684"/>
      <w:bookmarkStart w:id="470" w:name="_Toc23482"/>
      <w:bookmarkStart w:id="471" w:name="_Toc27232"/>
      <w:bookmarkStart w:id="472" w:name="_Toc29087"/>
      <w:bookmarkStart w:id="473" w:name="_Toc84"/>
      <w:bookmarkStart w:id="474" w:name="_Toc31442"/>
      <w:bookmarkStart w:id="475" w:name="_Toc28146"/>
      <w:bookmarkStart w:id="476" w:name="_Toc28526"/>
      <w:bookmarkStart w:id="477" w:name="_Toc24488"/>
      <w:bookmarkStart w:id="478" w:name="_Toc13301"/>
      <w:bookmarkStart w:id="479" w:name="_Toc30559"/>
      <w:r>
        <w:rPr>
          <w:rFonts w:hint="eastAsia" w:ascii="宋体" w:hAnsi="宋体" w:eastAsia="宋体" w:cs="宋体"/>
          <w:b w:val="0"/>
          <w:bCs w:val="0"/>
          <w:color w:val="auto"/>
          <w:sz w:val="24"/>
          <w:szCs w:val="24"/>
          <w:highlight w:val="none"/>
        </w:rPr>
        <w:t>十、签订地点</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14:paraId="67E143C0">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签订。</w:t>
      </w:r>
    </w:p>
    <w:p w14:paraId="59B09B14">
      <w:pPr>
        <w:pStyle w:val="5"/>
        <w:pageBreakBefore w:val="0"/>
        <w:widowControl/>
        <w:kinsoku/>
        <w:wordWrap/>
        <w:overflowPunct/>
        <w:topLinePunct w:val="0"/>
        <w:autoSpaceDE/>
        <w:autoSpaceDN/>
        <w:bidi w:val="0"/>
        <w:adjustRightInd/>
        <w:snapToGrid/>
        <w:spacing w:before="0" w:after="0" w:line="240" w:lineRule="auto"/>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480" w:name="_Toc351203491"/>
      <w:bookmarkEnd w:id="480"/>
      <w:bookmarkStart w:id="481" w:name="_Toc13714"/>
      <w:bookmarkStart w:id="482" w:name="_Toc2950"/>
      <w:bookmarkStart w:id="483" w:name="_Toc5341"/>
      <w:bookmarkStart w:id="484" w:name="_Toc15734"/>
      <w:bookmarkStart w:id="485" w:name="_Toc4175"/>
      <w:bookmarkStart w:id="486" w:name="_Toc4707"/>
      <w:bookmarkStart w:id="487" w:name="_Toc8867"/>
      <w:bookmarkStart w:id="488" w:name="_Toc8830"/>
      <w:bookmarkStart w:id="489" w:name="_Toc1676"/>
      <w:bookmarkStart w:id="490" w:name="_Toc16542"/>
      <w:bookmarkStart w:id="491" w:name="_Toc17100"/>
      <w:bookmarkStart w:id="492" w:name="_Toc31371"/>
      <w:bookmarkStart w:id="493" w:name="_Toc17828"/>
      <w:bookmarkStart w:id="494" w:name="_Toc4250"/>
      <w:bookmarkStart w:id="495" w:name="_Toc5971"/>
      <w:r>
        <w:rPr>
          <w:rFonts w:hint="eastAsia" w:ascii="宋体" w:hAnsi="宋体" w:eastAsia="宋体" w:cs="宋体"/>
          <w:b w:val="0"/>
          <w:bCs w:val="0"/>
          <w:color w:val="auto"/>
          <w:sz w:val="24"/>
          <w:szCs w:val="24"/>
          <w:highlight w:val="none"/>
        </w:rPr>
        <w:t>十一、补充协议</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14:paraId="0F7ACB89">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合同未尽事宜，合同当事人另行签订补充协议，补充协议是合同的组成部分。</w:t>
      </w:r>
    </w:p>
    <w:p w14:paraId="6A71C6C5">
      <w:pPr>
        <w:pStyle w:val="5"/>
        <w:pageBreakBefore w:val="0"/>
        <w:widowControl/>
        <w:kinsoku/>
        <w:wordWrap/>
        <w:overflowPunct/>
        <w:topLinePunct w:val="0"/>
        <w:autoSpaceDE/>
        <w:autoSpaceDN/>
        <w:bidi w:val="0"/>
        <w:adjustRightInd/>
        <w:snapToGrid/>
        <w:spacing w:before="0" w:after="0" w:line="240" w:lineRule="auto"/>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496" w:name="_Toc351203492"/>
      <w:bookmarkEnd w:id="496"/>
      <w:bookmarkStart w:id="497" w:name="_Toc19531"/>
      <w:bookmarkStart w:id="498" w:name="_Toc23008"/>
      <w:bookmarkStart w:id="499" w:name="_Toc23825"/>
      <w:bookmarkStart w:id="500" w:name="_Toc30080"/>
      <w:bookmarkStart w:id="501" w:name="_Toc23834"/>
      <w:bookmarkStart w:id="502" w:name="_Toc9555"/>
      <w:bookmarkStart w:id="503" w:name="_Toc26215"/>
      <w:bookmarkStart w:id="504" w:name="_Toc8929"/>
      <w:bookmarkStart w:id="505" w:name="_Toc10812"/>
      <w:bookmarkStart w:id="506" w:name="_Toc19537"/>
      <w:bookmarkStart w:id="507" w:name="_Toc26253"/>
      <w:bookmarkStart w:id="508" w:name="_Toc4424"/>
      <w:bookmarkStart w:id="509" w:name="_Toc25765"/>
      <w:bookmarkStart w:id="510" w:name="_Toc8746"/>
      <w:bookmarkStart w:id="511" w:name="_Toc15253"/>
      <w:r>
        <w:rPr>
          <w:rFonts w:hint="eastAsia" w:ascii="宋体" w:hAnsi="宋体" w:eastAsia="宋体" w:cs="宋体"/>
          <w:b w:val="0"/>
          <w:bCs w:val="0"/>
          <w:color w:val="auto"/>
          <w:sz w:val="24"/>
          <w:szCs w:val="24"/>
          <w:highlight w:val="none"/>
        </w:rPr>
        <w:t>十二、合同生效</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1DA3803F">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生效。</w:t>
      </w:r>
    </w:p>
    <w:p w14:paraId="31D800C9">
      <w:pPr>
        <w:pStyle w:val="5"/>
        <w:pageBreakBefore w:val="0"/>
        <w:widowControl/>
        <w:kinsoku/>
        <w:wordWrap/>
        <w:overflowPunct/>
        <w:topLinePunct w:val="0"/>
        <w:autoSpaceDE/>
        <w:autoSpaceDN/>
        <w:bidi w:val="0"/>
        <w:adjustRightInd/>
        <w:snapToGrid/>
        <w:spacing w:before="0" w:after="0" w:line="240" w:lineRule="auto"/>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512" w:name="_Toc351203493"/>
      <w:bookmarkEnd w:id="512"/>
      <w:bookmarkStart w:id="513" w:name="_Toc31889"/>
      <w:bookmarkStart w:id="514" w:name="_Toc9875"/>
      <w:bookmarkStart w:id="515" w:name="_Toc21122"/>
      <w:bookmarkStart w:id="516" w:name="_Toc27990"/>
      <w:bookmarkStart w:id="517" w:name="_Toc13260"/>
      <w:bookmarkStart w:id="518" w:name="_Toc27909"/>
      <w:bookmarkStart w:id="519" w:name="_Toc161"/>
      <w:bookmarkStart w:id="520" w:name="_Toc1679"/>
      <w:bookmarkStart w:id="521" w:name="_Toc21929"/>
      <w:bookmarkStart w:id="522" w:name="_Toc9274"/>
      <w:bookmarkStart w:id="523" w:name="_Toc28714"/>
      <w:bookmarkStart w:id="524" w:name="_Toc27300"/>
      <w:bookmarkStart w:id="525" w:name="_Toc30223"/>
      <w:bookmarkStart w:id="526" w:name="_Toc25341"/>
      <w:bookmarkStart w:id="527" w:name="_Toc11859"/>
      <w:r>
        <w:rPr>
          <w:rFonts w:hint="eastAsia" w:ascii="宋体" w:hAnsi="宋体" w:eastAsia="宋体" w:cs="宋体"/>
          <w:b w:val="0"/>
          <w:bCs w:val="0"/>
          <w:color w:val="auto"/>
          <w:sz w:val="24"/>
          <w:szCs w:val="24"/>
          <w:highlight w:val="none"/>
        </w:rPr>
        <w:t>十三、合同份数</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6A0B5483">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份，均具有同等法律效力，发包人执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份，承包人执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p>
    <w:p w14:paraId="0A92027B">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发包人：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承包人：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cs="宋体"/>
          <w:color w:val="auto"/>
          <w:sz w:val="24"/>
          <w:szCs w:val="24"/>
          <w:highlight w:val="none"/>
          <w:lang w:eastAsia="zh-CN"/>
        </w:rPr>
        <w:t>）</w:t>
      </w:r>
    </w:p>
    <w:p w14:paraId="520C8BF9">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p>
    <w:p w14:paraId="137B2758">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  法定代表人或其委托代理人：</w:t>
      </w:r>
    </w:p>
    <w:p w14:paraId="31A0A1DF">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                    （签字）</w:t>
      </w:r>
    </w:p>
    <w:p w14:paraId="010C9C66">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2AF5991A">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       </w:t>
      </w:r>
    </w:p>
    <w:p w14:paraId="2AD5D47D">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p>
    <w:p w14:paraId="7963589A">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       </w:t>
      </w:r>
    </w:p>
    <w:p w14:paraId="33B2423A">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w:t>
      </w:r>
    </w:p>
    <w:p w14:paraId="3A0EAD8B">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p>
    <w:p w14:paraId="1D201026">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   </w:t>
      </w:r>
    </w:p>
    <w:p w14:paraId="365D4FB2">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p>
    <w:p w14:paraId="4E6AD96F">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p>
    <w:p w14:paraId="27AC24DC">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p>
    <w:p w14:paraId="1B769F0D">
      <w:pPr>
        <w:pageBreakBefore w:val="0"/>
        <w:widowControl/>
        <w:kinsoku/>
        <w:wordWrap/>
        <w:overflowPunct/>
        <w:topLinePunct w:val="0"/>
        <w:bidi w:val="0"/>
        <w:snapToGrid/>
        <w:spacing w:before="0" w:after="0"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528" w:name="_Toc351203494"/>
      <w:bookmarkEnd w:id="528"/>
      <w:bookmarkStart w:id="529" w:name="_Toc1650"/>
      <w:bookmarkStart w:id="530" w:name="_Toc14029"/>
      <w:bookmarkStart w:id="531" w:name="_Toc23272"/>
      <w:bookmarkStart w:id="532" w:name="_Toc12094"/>
      <w:bookmarkStart w:id="533" w:name="_Toc20242"/>
      <w:bookmarkStart w:id="534" w:name="_Toc12349"/>
      <w:bookmarkStart w:id="535" w:name="_Toc23903"/>
      <w:bookmarkStart w:id="536" w:name="_Toc4568"/>
      <w:bookmarkStart w:id="537" w:name="_Toc15930"/>
      <w:bookmarkStart w:id="538" w:name="_Toc23333"/>
      <w:bookmarkStart w:id="539" w:name="_Toc12207"/>
      <w:bookmarkStart w:id="540" w:name="_Toc32092"/>
      <w:bookmarkStart w:id="541" w:name="_Toc13477"/>
      <w:bookmarkStart w:id="542" w:name="_Toc15599"/>
      <w:bookmarkStart w:id="543" w:name="_Toc8288"/>
      <w:r>
        <w:rPr>
          <w:rFonts w:hint="eastAsia" w:ascii="宋体" w:hAnsi="宋体" w:eastAsia="宋体" w:cs="宋体"/>
          <w:color w:val="auto"/>
          <w:sz w:val="24"/>
          <w:szCs w:val="24"/>
          <w:highlight w:val="none"/>
        </w:rPr>
        <w:t>第二部分 通用合同条款</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Start w:id="544" w:name="_Toc337558727"/>
      <w:bookmarkEnd w:id="544"/>
    </w:p>
    <w:p w14:paraId="5184BA8F">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545" w:name="_Toc351203495"/>
      <w:bookmarkEnd w:id="545"/>
      <w:bookmarkStart w:id="546" w:name="_Toc29584"/>
      <w:bookmarkStart w:id="547" w:name="_Toc10921"/>
      <w:bookmarkStart w:id="548" w:name="_Toc31772"/>
      <w:bookmarkStart w:id="549" w:name="_Toc3097"/>
      <w:bookmarkStart w:id="550" w:name="_Toc20331"/>
      <w:bookmarkStart w:id="551" w:name="_Toc21729"/>
      <w:bookmarkStart w:id="552" w:name="_Toc6119"/>
      <w:bookmarkStart w:id="553" w:name="_Toc25063"/>
      <w:bookmarkStart w:id="554" w:name="_Toc32691"/>
      <w:bookmarkStart w:id="555" w:name="_Toc24429"/>
      <w:bookmarkStart w:id="556" w:name="_Toc8615"/>
      <w:bookmarkStart w:id="557" w:name="_Toc12281"/>
      <w:bookmarkStart w:id="558" w:name="_Toc14176"/>
      <w:bookmarkStart w:id="559" w:name="_Toc31646"/>
      <w:bookmarkStart w:id="560" w:name="_Toc12578"/>
      <w:r>
        <w:rPr>
          <w:rFonts w:hint="eastAsia" w:ascii="宋体" w:hAnsi="宋体" w:eastAsia="宋体" w:cs="宋体"/>
          <w:b w:val="0"/>
          <w:bCs w:val="0"/>
          <w:color w:val="auto"/>
          <w:sz w:val="24"/>
          <w:szCs w:val="24"/>
          <w:highlight w:val="none"/>
        </w:rPr>
        <w:t>1.</w:t>
      </w:r>
      <w:bookmarkStart w:id="561" w:name="_Toc296346528"/>
      <w:bookmarkEnd w:id="561"/>
      <w:bookmarkStart w:id="562" w:name="_Toc303538974"/>
      <w:bookmarkEnd w:id="562"/>
      <w:bookmarkStart w:id="563" w:name="_Toc303538976"/>
      <w:bookmarkEnd w:id="563"/>
      <w:bookmarkStart w:id="564" w:name="_Toc303538972"/>
      <w:bookmarkEnd w:id="564"/>
      <w:bookmarkStart w:id="565" w:name="_Toc303538975"/>
      <w:bookmarkEnd w:id="565"/>
      <w:bookmarkStart w:id="566" w:name="_Toc303538973"/>
      <w:bookmarkEnd w:id="566"/>
      <w:bookmarkStart w:id="567" w:name="_Toc296503027"/>
      <w:r>
        <w:rPr>
          <w:rFonts w:hint="eastAsia" w:ascii="宋体" w:hAnsi="宋体" w:eastAsia="宋体" w:cs="宋体"/>
          <w:b w:val="0"/>
          <w:bCs w:val="0"/>
          <w:color w:val="auto"/>
          <w:sz w:val="24"/>
          <w:szCs w:val="24"/>
          <w:highlight w:val="none"/>
        </w:rPr>
        <w:t xml:space="preserve"> 一般约定</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7"/>
    </w:p>
    <w:p w14:paraId="5BA2E163">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568" w:name="_Toc296503028"/>
      <w:bookmarkEnd w:id="568"/>
      <w:bookmarkStart w:id="569" w:name="_Toc337558728"/>
      <w:bookmarkEnd w:id="569"/>
      <w:bookmarkStart w:id="570" w:name="_Toc296346529"/>
      <w:bookmarkEnd w:id="570"/>
      <w:bookmarkStart w:id="571" w:name="_Toc351203496"/>
      <w:bookmarkStart w:id="572" w:name="_Toc32600"/>
      <w:bookmarkStart w:id="573" w:name="_Toc26876"/>
      <w:bookmarkStart w:id="574" w:name="_Toc2065"/>
      <w:bookmarkStart w:id="575" w:name="_Toc22715"/>
      <w:bookmarkStart w:id="576" w:name="_Toc3368"/>
      <w:bookmarkStart w:id="577" w:name="_Toc13029"/>
      <w:bookmarkStart w:id="578" w:name="_Toc24377"/>
      <w:bookmarkStart w:id="579" w:name="_Toc27719"/>
      <w:bookmarkStart w:id="580" w:name="_Toc6397"/>
      <w:bookmarkStart w:id="581" w:name="_Toc10303"/>
      <w:bookmarkStart w:id="582" w:name="_Toc6860"/>
      <w:bookmarkStart w:id="583" w:name="_Toc27347"/>
      <w:bookmarkStart w:id="584" w:name="_Toc29528"/>
      <w:r>
        <w:rPr>
          <w:rFonts w:hint="eastAsia" w:ascii="宋体" w:hAnsi="宋体" w:eastAsia="宋体" w:cs="宋体"/>
          <w:b w:val="0"/>
          <w:bCs w:val="0"/>
          <w:color w:val="auto"/>
          <w:sz w:val="24"/>
          <w:szCs w:val="24"/>
          <w:highlight w:val="none"/>
        </w:rPr>
        <w:t>1.1词语定义</w:t>
      </w:r>
      <w:bookmarkEnd w:id="571"/>
      <w:r>
        <w:rPr>
          <w:rFonts w:hint="eastAsia" w:ascii="宋体" w:hAnsi="宋体" w:eastAsia="宋体" w:cs="宋体"/>
          <w:b w:val="0"/>
          <w:bCs w:val="0"/>
          <w:color w:val="auto"/>
          <w:sz w:val="24"/>
          <w:szCs w:val="24"/>
          <w:highlight w:val="none"/>
        </w:rPr>
        <w:t>与解释</w:t>
      </w:r>
      <w:bookmarkEnd w:id="572"/>
      <w:bookmarkEnd w:id="573"/>
      <w:bookmarkEnd w:id="574"/>
      <w:bookmarkEnd w:id="575"/>
      <w:bookmarkEnd w:id="576"/>
      <w:bookmarkEnd w:id="577"/>
      <w:bookmarkEnd w:id="578"/>
      <w:bookmarkEnd w:id="579"/>
      <w:bookmarkEnd w:id="580"/>
      <w:bookmarkEnd w:id="581"/>
      <w:bookmarkEnd w:id="582"/>
      <w:bookmarkEnd w:id="583"/>
      <w:bookmarkEnd w:id="584"/>
    </w:p>
    <w:p w14:paraId="19C96E03">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合同协议书、通用合同条款、专用合同条款中的下列词语具有本款所赋予的含义：</w:t>
      </w:r>
    </w:p>
    <w:p w14:paraId="5FC4D645">
      <w:pPr>
        <w:pageBreakBefore w:val="0"/>
        <w:widowControl/>
        <w:kinsoku/>
        <w:wordWrap/>
        <w:overflowPunct/>
        <w:topLinePunct w:val="0"/>
        <w:autoSpaceDE w:val="0"/>
        <w:autoSpaceDN w:val="0"/>
        <w:bidi w:val="0"/>
        <w:adjustRightInd w:val="0"/>
        <w:snapToGrid/>
        <w:spacing w:line="24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1.1.1 合同</w:t>
      </w:r>
    </w:p>
    <w:p w14:paraId="4C957E43">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1.1.1.1 合同：是指根据法律规定和合同当事人约定具有约束力的文件，构成合同的文件包括合同协议书、</w:t>
      </w:r>
      <w:r>
        <w:rPr>
          <w:rFonts w:hint="eastAsia" w:ascii="宋体" w:hAnsi="宋体" w:cs="宋体"/>
          <w:color w:val="auto"/>
          <w:kern w:val="0"/>
          <w:sz w:val="24"/>
          <w:szCs w:val="24"/>
          <w:highlight w:val="none"/>
          <w:lang w:eastAsia="zh-CN"/>
        </w:rPr>
        <w:t>成交</w:t>
      </w:r>
      <w:r>
        <w:rPr>
          <w:rFonts w:hint="eastAsia" w:ascii="宋体" w:hAnsi="宋体" w:eastAsia="宋体" w:cs="宋体"/>
          <w:color w:val="auto"/>
          <w:kern w:val="0"/>
          <w:sz w:val="24"/>
          <w:szCs w:val="24"/>
          <w:highlight w:val="none"/>
        </w:rPr>
        <w:t>通知书（如果有）、投标函及其附录（如果有）、专用合同条款</w:t>
      </w:r>
      <w:r>
        <w:rPr>
          <w:rFonts w:hint="eastAsia" w:ascii="宋体" w:hAnsi="宋体" w:eastAsia="宋体" w:cs="宋体"/>
          <w:color w:val="auto"/>
          <w:sz w:val="24"/>
          <w:szCs w:val="24"/>
          <w:highlight w:val="none"/>
        </w:rPr>
        <w:t>及其附件</w:t>
      </w:r>
      <w:r>
        <w:rPr>
          <w:rFonts w:hint="eastAsia" w:ascii="宋体" w:hAnsi="宋体" w:eastAsia="宋体" w:cs="宋体"/>
          <w:color w:val="auto"/>
          <w:kern w:val="0"/>
          <w:sz w:val="24"/>
          <w:szCs w:val="24"/>
          <w:highlight w:val="none"/>
        </w:rPr>
        <w:t>、通用合同条款、技术标准和要求、图纸、已标价工程量清单或预算书以及其他合同文件。</w:t>
      </w:r>
    </w:p>
    <w:p w14:paraId="4BC29EED">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1.1.1.2 合同协议书：是指构成合同的由发包人和承包人共同签署的称为“合同协议书”的书面文件。</w:t>
      </w:r>
    </w:p>
    <w:p w14:paraId="57BCE09A">
      <w:pPr>
        <w:keepNext w:val="0"/>
        <w:keepLines w:val="0"/>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1.1.1.3 </w:t>
      </w:r>
      <w:r>
        <w:rPr>
          <w:rFonts w:hint="eastAsia" w:ascii="宋体" w:hAnsi="宋体" w:cs="宋体"/>
          <w:color w:val="auto"/>
          <w:kern w:val="0"/>
          <w:sz w:val="24"/>
          <w:szCs w:val="24"/>
          <w:highlight w:val="none"/>
          <w:lang w:eastAsia="zh-CN"/>
        </w:rPr>
        <w:t>成交</w:t>
      </w:r>
      <w:r>
        <w:rPr>
          <w:rFonts w:hint="eastAsia" w:ascii="宋体" w:hAnsi="宋体" w:eastAsia="宋体" w:cs="宋体"/>
          <w:color w:val="auto"/>
          <w:kern w:val="0"/>
          <w:sz w:val="24"/>
          <w:szCs w:val="24"/>
          <w:highlight w:val="none"/>
        </w:rPr>
        <w:t>通知书：是指构成合同的由发包人通知承包人</w:t>
      </w:r>
      <w:r>
        <w:rPr>
          <w:rFonts w:hint="eastAsia" w:ascii="宋体" w:hAnsi="宋体" w:cs="宋体"/>
          <w:color w:val="auto"/>
          <w:kern w:val="0"/>
          <w:sz w:val="24"/>
          <w:szCs w:val="24"/>
          <w:highlight w:val="none"/>
          <w:lang w:eastAsia="zh-CN"/>
        </w:rPr>
        <w:t>成交</w:t>
      </w:r>
      <w:r>
        <w:rPr>
          <w:rFonts w:hint="eastAsia" w:ascii="宋体" w:hAnsi="宋体" w:eastAsia="宋体" w:cs="宋体"/>
          <w:color w:val="auto"/>
          <w:kern w:val="0"/>
          <w:sz w:val="24"/>
          <w:szCs w:val="24"/>
          <w:highlight w:val="none"/>
        </w:rPr>
        <w:t>的书面文件。</w:t>
      </w:r>
    </w:p>
    <w:p w14:paraId="757D32C9">
      <w:pPr>
        <w:keepNext w:val="0"/>
        <w:keepLines w:val="0"/>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1.1.1.4 投标函：是指构成合同的由承包人填写并签署的用于投标的称为“投标函”的文件。</w:t>
      </w:r>
    </w:p>
    <w:p w14:paraId="6C15A802">
      <w:pPr>
        <w:keepNext w:val="0"/>
        <w:keepLines w:val="0"/>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1.1.1.5 投标函附录：是指构成合同的附在投标函后的称为“投标函附录”的文件。</w:t>
      </w:r>
    </w:p>
    <w:p w14:paraId="555D2D3E">
      <w:pPr>
        <w:keepNext w:val="0"/>
        <w:keepLines w:val="0"/>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1.1.1.6 技术标准和要求：是指构成合同的施工应当遵守的或指导施工的国家、行业或地方的技术标准和要求，以及合同约定的技术标准和要求。</w:t>
      </w:r>
    </w:p>
    <w:p w14:paraId="1906DB07">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1.1.1.7 图纸：是指构成合同的图纸，包括由发包人按照合同约定提供或经发包人批准的设计文件、施工图、鸟瞰图及模型等，以及在合同履行过程中形成的图纸文件。图纸应当按照法律规定审查合格。</w:t>
      </w:r>
    </w:p>
    <w:p w14:paraId="42C08998">
      <w:pPr>
        <w:autoSpaceDE w:val="0"/>
        <w:autoSpaceDN w:val="0"/>
        <w:adjustRightInd w:val="0"/>
        <w:spacing w:line="240" w:lineRule="auto"/>
        <w:ind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1.1.1.8 已标价工程量清单：是指构成合同的由承包人按照规定的格式和要求填写并标明价格的工程量清单，包括说明和表格。</w:t>
      </w:r>
    </w:p>
    <w:p w14:paraId="7DE59D00">
      <w:pPr>
        <w:autoSpaceDE w:val="0"/>
        <w:autoSpaceDN w:val="0"/>
        <w:adjustRightInd w:val="0"/>
        <w:spacing w:line="240" w:lineRule="auto"/>
        <w:ind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1.1.1.9 预算书：是指构成合同的由承包人按照发包人规定的格式和要求编制的工程预算文件。</w:t>
      </w:r>
    </w:p>
    <w:p w14:paraId="2E6327B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1.1.1.10 其他合同文件：是指经合同当事人约定的与工程施工有关的具有合同约束力的文件或书面协议。合同当事人可以在专用合同条款中进行约定。</w:t>
      </w:r>
    </w:p>
    <w:p w14:paraId="48E393F3">
      <w:pPr>
        <w:autoSpaceDE w:val="0"/>
        <w:autoSpaceDN w:val="0"/>
        <w:adjustRightInd w:val="0"/>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1.1.2 合同当事人及其他相关方</w:t>
      </w:r>
    </w:p>
    <w:p w14:paraId="1BBC149C">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1.1.2.1 合同当事人：是指发包人和（或）承包人。</w:t>
      </w:r>
    </w:p>
    <w:p w14:paraId="5363BA7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1.1.2.2 发包人：是指与承包人签订合同协议书的当事人及取得该当事人资格的合法继承人。</w:t>
      </w:r>
    </w:p>
    <w:p w14:paraId="42BDA4E6">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1.1.2.3 承包人：是指与发包人签订合同协议书的，具有相应工程施工承包资质的当事人及取得该当事人资格的合法继承人。</w:t>
      </w:r>
    </w:p>
    <w:p w14:paraId="7531463D">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1.1.2.4 监理人：是指在专用合同条款中指明的，受发包人委托按照法律规定进行工程监督管理的法人或其他组织。</w:t>
      </w:r>
    </w:p>
    <w:p w14:paraId="106AE4F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1.1.2.5 设计人：是指在专用合同条款中指明的，受发包人委托负责工程设计并具备相应工程设计资质的法人或其他组织。</w:t>
      </w:r>
    </w:p>
    <w:p w14:paraId="02274CB4">
      <w:pPr>
        <w:spacing w:line="240" w:lineRule="auto"/>
        <w:ind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1.1.2.6 分包人：</w:t>
      </w:r>
      <w:bookmarkStart w:id="585" w:name="#go5"/>
      <w:bookmarkEnd w:id="585"/>
      <w:r>
        <w:rPr>
          <w:rFonts w:hint="eastAsia" w:ascii="宋体" w:hAnsi="宋体" w:eastAsia="宋体" w:cs="宋体"/>
          <w:color w:val="auto"/>
          <w:kern w:val="0"/>
          <w:sz w:val="24"/>
          <w:szCs w:val="24"/>
          <w:highlight w:val="none"/>
        </w:rPr>
        <w:t>是指按照法律规定和合同约定，分包部分工程或工作，并与承包人签订分包合同的具有相应资质的法人。</w:t>
      </w:r>
    </w:p>
    <w:p w14:paraId="746737A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1.1.2.7 发包人代表：是指由发包人任命并派驻施工现场在发包人授权范围内行使发包人权利的人。</w:t>
      </w:r>
    </w:p>
    <w:p w14:paraId="47177B39">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1.1.2.8 项目经理：是指由承包人任命并派驻施工现场，在承包人授权范围内负责合同履行，且按照法律规定具有相应资格的项目负责人。</w:t>
      </w:r>
    </w:p>
    <w:p w14:paraId="19FB717C">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1.1.2.9 总监理工程师：是指由监理人任命并派驻施工现场进行工程监理的总负责人。</w:t>
      </w:r>
    </w:p>
    <w:p w14:paraId="7C40B5E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 工程和设备</w:t>
      </w:r>
    </w:p>
    <w:p w14:paraId="09E4E651">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1.1.3.1 工程：是指与合同协议书中工程承包范围对应的永久工程和（或）临时工程。</w:t>
      </w:r>
    </w:p>
    <w:p w14:paraId="2696733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1.1.3.2 永久工程：是指按合同约定建造并移交给发包人的工程，包括工程设备。</w:t>
      </w:r>
    </w:p>
    <w:p w14:paraId="4D3712D5">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1.1.3.3 临时工程：是指为完成合同约定的永久工程所修建的各类临时性工程，不包括施工设备。</w:t>
      </w:r>
    </w:p>
    <w:p w14:paraId="449BEAE1">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1.1.3.4 单位工程：是指在合同协议书中指明的，具备独立施工条件并能形成独立使用功能的永久工程。</w:t>
      </w:r>
    </w:p>
    <w:p w14:paraId="758E967A">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1.1.3.5 工程设备：是指构成永久工程的机电设备、金属结构设备、仪器及其他类似的设备和装置。</w:t>
      </w:r>
    </w:p>
    <w:p w14:paraId="7D84DF46">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1.1.3.6 施工设备：是指为完成合同约定的各项工作所需的设备、器具和其他物品，但不包括工程设备、临时工程和材料。</w:t>
      </w:r>
    </w:p>
    <w:p w14:paraId="3B0310AB">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1.1.3.7 施工现场：是指用于工程施工的场所，以及在专用合同条款中指明作为施工场所组成部分的其他场所，包括永久占地和临时占地。</w:t>
      </w:r>
    </w:p>
    <w:p w14:paraId="19D9F2D6">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1.1.3.8临时设施：是指为完成合同约定的各项工作所服务的临时性生产和生活设施。</w:t>
      </w:r>
    </w:p>
    <w:p w14:paraId="2166ACC6">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1.1.3.9 永久占地：是指专用合同条款中指明为实施工程需永久占用的土地。</w:t>
      </w:r>
    </w:p>
    <w:p w14:paraId="387B231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1.1.3.10 临时占地：是指专用合同条款中指明为实施工程需要临时占用的土地。</w:t>
      </w:r>
    </w:p>
    <w:p w14:paraId="1B42DEB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 日期和期限</w:t>
      </w:r>
    </w:p>
    <w:p w14:paraId="31133AB0">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6BF479C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1.1.4.2 竣工日期：包括计划竣工日期和实际竣工日期。计划竣工日期是指合同协议书约定的竣工日期；实际竣工日期按照第13.2.3项〔竣工日期〕的约定确定。 </w:t>
      </w:r>
    </w:p>
    <w:p w14:paraId="02307581">
      <w:pPr>
        <w:spacing w:line="240" w:lineRule="auto"/>
        <w:ind w:firstLine="487" w:firstLineChars="203"/>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1.1.4.3 工期：是指在合同协议书约定的承包人完成工程所需的期限，包括按照合同约定</w:t>
      </w:r>
      <w:r>
        <w:rPr>
          <w:rFonts w:hint="eastAsia" w:ascii="宋体" w:hAnsi="宋体" w:cs="宋体"/>
          <w:color w:val="auto"/>
          <w:kern w:val="0"/>
          <w:sz w:val="24"/>
          <w:szCs w:val="24"/>
          <w:highlight w:val="none"/>
          <w:lang w:eastAsia="zh-CN"/>
        </w:rPr>
        <w:t>所做的</w:t>
      </w:r>
      <w:r>
        <w:rPr>
          <w:rFonts w:hint="eastAsia" w:ascii="宋体" w:hAnsi="宋体" w:eastAsia="宋体" w:cs="宋体"/>
          <w:color w:val="auto"/>
          <w:kern w:val="0"/>
          <w:sz w:val="24"/>
          <w:szCs w:val="24"/>
          <w:highlight w:val="none"/>
        </w:rPr>
        <w:t>期限变更。</w:t>
      </w:r>
    </w:p>
    <w:p w14:paraId="5AF7164F">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1.1.4.4 缺陷责任期：是指承包人按照合同约定承担缺陷修复义务，且发包人预留质量保证金（已缴纳履约保证金的除外）的期限，自工程实际竣工日期起计算。</w:t>
      </w:r>
    </w:p>
    <w:p w14:paraId="14A00DBA">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1.1.4.5 保修期：是指承包人按照合同约定对工程承担保修责任的期限，从工程竣工验收合格之日起计算。1.1.4.6 基准日期：招标发包的工程以投标截止日前28天的日期为基准日期，直接发包的工程以合同签订日前28天的日期为基准日期。</w:t>
      </w:r>
    </w:p>
    <w:p w14:paraId="7EBAACE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1.1.4.7 天：除特别指明外，均指日历天。合同中按天计算时间的，开始当天不计入，从次日开始计算，期限最后一天的截止时间为当天24:00时。</w:t>
      </w:r>
    </w:p>
    <w:p w14:paraId="38D7B3DF">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 合同价格和费用</w:t>
      </w:r>
    </w:p>
    <w:p w14:paraId="3FEACB4A">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1.1.5.1 签约合同价：是指</w:t>
      </w:r>
      <w:r>
        <w:rPr>
          <w:rFonts w:hint="eastAsia" w:ascii="宋体" w:hAnsi="宋体" w:eastAsia="宋体" w:cs="宋体"/>
          <w:color w:val="auto"/>
          <w:sz w:val="24"/>
          <w:szCs w:val="24"/>
          <w:highlight w:val="none"/>
        </w:rPr>
        <w:t>发包人和承包人在合同协议书中确定的总金额，包括安全文明施工费、暂估价及暂列金额等。</w:t>
      </w:r>
    </w:p>
    <w:p w14:paraId="5E026FEB">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1.1.5.2 合同价格：是指发包人用于支付承包人按照合同约定完成承包范围内全部工作的金额，包括合同履行过程中按合同约定发生的价格变化。</w:t>
      </w:r>
    </w:p>
    <w:p w14:paraId="5E2A65EF">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1.1.5.3 费用：是指为履行合同所发生的或将要发生的所有必需的开支，包括管理费和应分摊的其他费用，但不包括利润。</w:t>
      </w:r>
    </w:p>
    <w:p w14:paraId="3708751D">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1.1.5.4 暂估价：是指发包人在工程量清单或预算书中提供的用于支付必然发生但暂时不能确定价格的材料、工程设备的单价、专业工程以及服务工作的金额。</w:t>
      </w:r>
    </w:p>
    <w:p w14:paraId="5208C2BD">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0E8644DD">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1.1.5.6 计日工：是指合同履行过程中，承包人完成发包人提出的零星工作或需要采用计日工计价的变更工作时，按合同中约定的单价计价的一种方式。</w:t>
      </w:r>
    </w:p>
    <w:p w14:paraId="59F711BF">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1.1.5.7 质量保证金</w:t>
      </w:r>
      <w:bookmarkStart w:id="586" w:name="#go2"/>
      <w:bookmarkEnd w:id="586"/>
      <w:r>
        <w:rPr>
          <w:rFonts w:hint="eastAsia" w:ascii="宋体" w:hAnsi="宋体" w:eastAsia="宋体" w:cs="宋体"/>
          <w:color w:val="auto"/>
          <w:kern w:val="0"/>
          <w:sz w:val="24"/>
          <w:szCs w:val="24"/>
          <w:highlight w:val="none"/>
        </w:rPr>
        <w:t>：是指按照第15.3款〔质量保证金〕约定承包人用于保证其在缺陷责任期内履行缺陷修补义务的担保</w:t>
      </w:r>
      <w:r>
        <w:rPr>
          <w:rFonts w:hint="eastAsia" w:ascii="宋体" w:hAnsi="宋体" w:eastAsia="宋体" w:cs="宋体"/>
          <w:color w:val="auto"/>
          <w:sz w:val="24"/>
          <w:szCs w:val="24"/>
          <w:highlight w:val="none"/>
        </w:rPr>
        <w:t>。</w:t>
      </w:r>
    </w:p>
    <w:p w14:paraId="3D1BBD9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1.1.5.8 总价项目：是指在现行国家、行业以及地方的计量规则中无工程量计算规则，在已标价工程量清单或预算书中以总价或以费率形式计算的项目。</w:t>
      </w:r>
    </w:p>
    <w:p w14:paraId="3704CDEB">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 其他</w:t>
      </w:r>
    </w:p>
    <w:p w14:paraId="3B3B4F48">
      <w:pPr>
        <w:pageBreakBefore w:val="0"/>
        <w:widowControl/>
        <w:kinsoku/>
        <w:wordWrap/>
        <w:overflowPunct/>
        <w:topLinePunct w:val="0"/>
        <w:bidi w:val="0"/>
        <w:snapToGrid w:val="0"/>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1.1.6.1 书面形式：是指合同文件、信函、电报、传真等可以有形地表现所载内容的形式。</w:t>
      </w:r>
    </w:p>
    <w:p w14:paraId="33AF22B0">
      <w:pPr>
        <w:pStyle w:val="6"/>
        <w:pageBreakBefore w:val="0"/>
        <w:widowControl/>
        <w:kinsoku/>
        <w:wordWrap/>
        <w:overflowPunct/>
        <w:topLinePunct w:val="0"/>
        <w:bidi w:val="0"/>
        <w:snapToGrid w:val="0"/>
        <w:spacing w:before="0" w:after="0" w:line="240" w:lineRule="auto"/>
        <w:textAlignment w:val="auto"/>
        <w:outlineLvl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bookmarkStart w:id="587" w:name="_Toc296346530"/>
      <w:bookmarkEnd w:id="587"/>
      <w:bookmarkStart w:id="588" w:name="_Toc296503029"/>
      <w:bookmarkEnd w:id="588"/>
      <w:bookmarkStart w:id="589" w:name="_Toc337558729"/>
      <w:bookmarkEnd w:id="589"/>
      <w:bookmarkStart w:id="590" w:name="_Toc32563"/>
      <w:bookmarkStart w:id="591" w:name="_Toc32059"/>
      <w:bookmarkStart w:id="592" w:name="_Toc18053"/>
      <w:bookmarkStart w:id="593" w:name="_Toc26618"/>
      <w:bookmarkStart w:id="594" w:name="_Toc21789"/>
      <w:bookmarkStart w:id="595" w:name="_Toc25968"/>
      <w:bookmarkStart w:id="596" w:name="_Toc25165"/>
      <w:bookmarkStart w:id="597" w:name="_Toc16801"/>
      <w:bookmarkStart w:id="598" w:name="_Toc19305"/>
      <w:bookmarkStart w:id="599" w:name="_Toc12517"/>
      <w:bookmarkStart w:id="600" w:name="_Toc31237"/>
      <w:bookmarkStart w:id="601" w:name="_Toc351203497"/>
      <w:bookmarkStart w:id="602" w:name="_Toc18515"/>
      <w:bookmarkStart w:id="603" w:name="_Toc13919"/>
      <w:r>
        <w:rPr>
          <w:rFonts w:hint="eastAsia" w:ascii="宋体" w:hAnsi="宋体" w:eastAsia="宋体" w:cs="宋体"/>
          <w:b w:val="0"/>
          <w:bCs w:val="0"/>
          <w:color w:val="auto"/>
          <w:sz w:val="24"/>
          <w:szCs w:val="24"/>
          <w:highlight w:val="none"/>
        </w:rPr>
        <w:t>1.2语言文字</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14:paraId="1F0B55ED">
      <w:pPr>
        <w:pageBreakBefore w:val="0"/>
        <w:widowControl/>
        <w:kinsoku/>
        <w:wordWrap/>
        <w:overflowPunct/>
        <w:topLinePunct w:val="0"/>
        <w:autoSpaceDE w:val="0"/>
        <w:autoSpaceDN w:val="0"/>
        <w:bidi w:val="0"/>
        <w:adjustRightInd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合同以中国的汉语简体文字编写、解释和说明。合同当事人在专用合同条款中约定使用两种以上语言时，汉语为优先解释和说明合同的语言。</w:t>
      </w:r>
    </w:p>
    <w:p w14:paraId="13112E66">
      <w:pPr>
        <w:pStyle w:val="6"/>
        <w:pageBreakBefore w:val="0"/>
        <w:widowControl/>
        <w:kinsoku/>
        <w:wordWrap/>
        <w:overflowPunct/>
        <w:topLinePunct w:val="0"/>
        <w:bidi w:val="0"/>
        <w:snapToGrid w:val="0"/>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604" w:name="_Toc296346531"/>
      <w:bookmarkEnd w:id="604"/>
      <w:bookmarkStart w:id="605" w:name="_Toc337558730"/>
      <w:bookmarkEnd w:id="605"/>
      <w:bookmarkStart w:id="606" w:name="_Toc296503030"/>
      <w:bookmarkEnd w:id="606"/>
      <w:bookmarkStart w:id="607" w:name="_Toc29921"/>
      <w:bookmarkStart w:id="608" w:name="_Toc15221"/>
      <w:bookmarkStart w:id="609" w:name="_Toc351203498"/>
      <w:bookmarkStart w:id="610" w:name="_Toc12854"/>
      <w:bookmarkStart w:id="611" w:name="_Toc9972"/>
      <w:bookmarkStart w:id="612" w:name="_Toc19477"/>
      <w:bookmarkStart w:id="613" w:name="_Toc18944"/>
      <w:bookmarkStart w:id="614" w:name="_Toc32033"/>
      <w:bookmarkStart w:id="615" w:name="_Toc20479"/>
      <w:bookmarkStart w:id="616" w:name="_Toc15993"/>
      <w:bookmarkStart w:id="617" w:name="_Toc14535"/>
      <w:bookmarkStart w:id="618" w:name="_Toc7317"/>
      <w:bookmarkStart w:id="619" w:name="_Toc6128"/>
      <w:bookmarkStart w:id="620" w:name="_Toc29254"/>
      <w:r>
        <w:rPr>
          <w:rFonts w:hint="eastAsia" w:ascii="宋体" w:hAnsi="宋体" w:eastAsia="宋体" w:cs="宋体"/>
          <w:b w:val="0"/>
          <w:bCs w:val="0"/>
          <w:color w:val="auto"/>
          <w:sz w:val="24"/>
          <w:szCs w:val="24"/>
          <w:highlight w:val="none"/>
        </w:rPr>
        <w:t>1.3法律</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5B48C0AF">
      <w:pPr>
        <w:pageBreakBefore w:val="0"/>
        <w:widowControl/>
        <w:kinsoku/>
        <w:wordWrap/>
        <w:overflowPunct/>
        <w:topLinePunct w:val="0"/>
        <w:autoSpaceDE w:val="0"/>
        <w:autoSpaceDN w:val="0"/>
        <w:bidi w:val="0"/>
        <w:adjustRightInd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合同所称法律是指中华人民共和国法律、行政法规、部门规章，以及工程所在地的地方性法规、自治条例、单行条例和地方政府规章等。</w:t>
      </w:r>
    </w:p>
    <w:p w14:paraId="7A34E22F">
      <w:pPr>
        <w:pageBreakBefore w:val="0"/>
        <w:widowControl/>
        <w:kinsoku/>
        <w:wordWrap/>
        <w:overflowPunct/>
        <w:topLinePunct w:val="0"/>
        <w:autoSpaceDE w:val="0"/>
        <w:autoSpaceDN w:val="0"/>
        <w:bidi w:val="0"/>
        <w:adjustRightInd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合同当事人可以在专用合同条款中约定合同适用的其他规范性文件。</w:t>
      </w:r>
    </w:p>
    <w:p w14:paraId="00E43EE3">
      <w:pPr>
        <w:pStyle w:val="6"/>
        <w:pageBreakBefore w:val="0"/>
        <w:widowControl/>
        <w:kinsoku/>
        <w:wordWrap/>
        <w:overflowPunct/>
        <w:topLinePunct w:val="0"/>
        <w:bidi w:val="0"/>
        <w:snapToGrid w:val="0"/>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621" w:name="_Toc351203499"/>
      <w:bookmarkEnd w:id="621"/>
      <w:bookmarkStart w:id="622" w:name="_Toc20147"/>
      <w:bookmarkStart w:id="623" w:name="_Toc6609"/>
      <w:bookmarkStart w:id="624" w:name="_Toc23441"/>
      <w:bookmarkStart w:id="625" w:name="_Toc5875"/>
      <w:bookmarkStart w:id="626" w:name="_Toc8954"/>
      <w:bookmarkStart w:id="627" w:name="_Toc30300"/>
      <w:bookmarkStart w:id="628" w:name="_Toc18016"/>
      <w:bookmarkStart w:id="629" w:name="_Toc1306"/>
      <w:bookmarkStart w:id="630" w:name="_Toc11675"/>
      <w:bookmarkStart w:id="631" w:name="_Toc30089"/>
      <w:bookmarkStart w:id="632" w:name="_Toc7934"/>
      <w:bookmarkStart w:id="633" w:name="_Toc30737"/>
      <w:bookmarkStart w:id="634" w:name="_Toc26964"/>
      <w:r>
        <w:rPr>
          <w:rFonts w:hint="eastAsia" w:ascii="宋体" w:hAnsi="宋体" w:eastAsia="宋体" w:cs="宋体"/>
          <w:b w:val="0"/>
          <w:bCs w:val="0"/>
          <w:color w:val="auto"/>
          <w:sz w:val="24"/>
          <w:szCs w:val="24"/>
          <w:highlight w:val="none"/>
        </w:rPr>
        <w:t>1.4 标准和规范</w:t>
      </w:r>
      <w:bookmarkEnd w:id="622"/>
      <w:bookmarkEnd w:id="623"/>
      <w:bookmarkEnd w:id="624"/>
      <w:bookmarkEnd w:id="625"/>
      <w:bookmarkEnd w:id="626"/>
      <w:bookmarkEnd w:id="627"/>
      <w:bookmarkEnd w:id="628"/>
      <w:bookmarkEnd w:id="629"/>
      <w:bookmarkEnd w:id="630"/>
      <w:bookmarkEnd w:id="631"/>
      <w:bookmarkEnd w:id="632"/>
      <w:bookmarkEnd w:id="633"/>
      <w:bookmarkEnd w:id="634"/>
    </w:p>
    <w:p w14:paraId="6863B7FD">
      <w:pPr>
        <w:pageBreakBefore w:val="0"/>
        <w:widowControl/>
        <w:kinsoku/>
        <w:wordWrap/>
        <w:overflowPunct/>
        <w:topLinePunct w:val="0"/>
        <w:autoSpaceDE w:val="0"/>
        <w:autoSpaceDN w:val="0"/>
        <w:bidi w:val="0"/>
        <w:adjustRightInd w:val="0"/>
        <w:snapToGrid w:val="0"/>
        <w:spacing w:line="240" w:lineRule="auto"/>
        <w:ind w:firstLine="64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1.4.1 适用于工程的国家标准、行业标准、工程所在地的地方性标准，以及相应的规范、规程等，合同当事人有特别要求的，应在专用合同条款中约定。</w:t>
      </w:r>
    </w:p>
    <w:p w14:paraId="5405FCB1">
      <w:pPr>
        <w:autoSpaceDE w:val="0"/>
        <w:autoSpaceDN w:val="0"/>
        <w:adjustRightInd w:val="0"/>
        <w:spacing w:line="240" w:lineRule="auto"/>
        <w:ind w:firstLine="64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1.4.2 发包人要求使用国外标准、规范的，发包人负责提供原文版本和中文译本，并在专用合同条款中约定提供标准规范的名称、份数和时间。</w:t>
      </w:r>
    </w:p>
    <w:p w14:paraId="3CF2A163">
      <w:pPr>
        <w:pageBreakBefore w:val="0"/>
        <w:widowControl/>
        <w:kinsoku/>
        <w:wordWrap/>
        <w:overflowPunct/>
        <w:topLinePunct w:val="0"/>
        <w:autoSpaceDE w:val="0"/>
        <w:autoSpaceDN w:val="0"/>
        <w:bidi w:val="0"/>
        <w:adjustRightInd w:val="0"/>
        <w:snapToGrid/>
        <w:spacing w:line="240" w:lineRule="auto"/>
        <w:ind w:firstLine="64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1A6984F5">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635" w:name="_Toc351203500"/>
      <w:bookmarkEnd w:id="635"/>
      <w:bookmarkStart w:id="636" w:name="_Toc16830"/>
      <w:bookmarkStart w:id="637" w:name="_Toc29733"/>
      <w:bookmarkStart w:id="638" w:name="_Toc11804"/>
      <w:bookmarkStart w:id="639" w:name="_Toc6805"/>
      <w:bookmarkStart w:id="640" w:name="_Toc20213"/>
      <w:bookmarkStart w:id="641" w:name="_Toc11230"/>
      <w:bookmarkStart w:id="642" w:name="_Toc12515"/>
      <w:bookmarkStart w:id="643" w:name="_Toc20937"/>
      <w:bookmarkStart w:id="644" w:name="_Toc16692"/>
      <w:bookmarkStart w:id="645" w:name="_Toc24109"/>
      <w:bookmarkStart w:id="646" w:name="_Toc12870"/>
      <w:bookmarkStart w:id="647" w:name="_Toc13140"/>
      <w:bookmarkStart w:id="648" w:name="_Toc2509"/>
      <w:r>
        <w:rPr>
          <w:rFonts w:hint="eastAsia" w:ascii="宋体" w:hAnsi="宋体" w:eastAsia="宋体" w:cs="宋体"/>
          <w:b w:val="0"/>
          <w:bCs w:val="0"/>
          <w:color w:val="auto"/>
          <w:sz w:val="24"/>
          <w:szCs w:val="24"/>
          <w:highlight w:val="none"/>
        </w:rPr>
        <w:t>1</w:t>
      </w:r>
      <w:bookmarkStart w:id="649" w:name="_Toc296503031"/>
      <w:bookmarkEnd w:id="649"/>
      <w:bookmarkStart w:id="650" w:name="_Toc296346532"/>
      <w:bookmarkEnd w:id="650"/>
      <w:bookmarkStart w:id="651" w:name="_Toc337558731"/>
      <w:r>
        <w:rPr>
          <w:rFonts w:hint="eastAsia" w:ascii="宋体" w:hAnsi="宋体" w:eastAsia="宋体" w:cs="宋体"/>
          <w:b w:val="0"/>
          <w:bCs w:val="0"/>
          <w:color w:val="auto"/>
          <w:sz w:val="24"/>
          <w:szCs w:val="24"/>
          <w:highlight w:val="none"/>
        </w:rPr>
        <w:t>.5 合同文件的优先顺序</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51"/>
    </w:p>
    <w:p w14:paraId="0E9E5E12">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组成合同的各项文件应互相解释，互为说明。除专用合同条款另有约定外，解释合同文件的优先顺序如下：</w:t>
      </w:r>
    </w:p>
    <w:p w14:paraId="048557F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（1）合同协议书；</w:t>
      </w:r>
    </w:p>
    <w:p w14:paraId="5E2C262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eastAsia="zh-CN"/>
        </w:rPr>
        <w:t>成交</w:t>
      </w:r>
      <w:r>
        <w:rPr>
          <w:rFonts w:hint="eastAsia" w:ascii="宋体" w:hAnsi="宋体" w:eastAsia="宋体" w:cs="宋体"/>
          <w:color w:val="auto"/>
          <w:kern w:val="0"/>
          <w:sz w:val="24"/>
          <w:szCs w:val="24"/>
          <w:highlight w:val="none"/>
        </w:rPr>
        <w:t>通知书（如果有）；</w:t>
      </w:r>
    </w:p>
    <w:p w14:paraId="28C90A9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（3）投标函及其附录（如果有）；</w:t>
      </w:r>
    </w:p>
    <w:p w14:paraId="1354F20E">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（4）专用合同条款</w:t>
      </w:r>
      <w:r>
        <w:rPr>
          <w:rFonts w:hint="eastAsia" w:ascii="宋体" w:hAnsi="宋体" w:eastAsia="宋体" w:cs="宋体"/>
          <w:color w:val="auto"/>
          <w:sz w:val="24"/>
          <w:szCs w:val="24"/>
          <w:highlight w:val="none"/>
        </w:rPr>
        <w:t>及其附件</w:t>
      </w:r>
      <w:r>
        <w:rPr>
          <w:rFonts w:hint="eastAsia" w:ascii="宋体" w:hAnsi="宋体" w:eastAsia="宋体" w:cs="宋体"/>
          <w:color w:val="auto"/>
          <w:kern w:val="0"/>
          <w:sz w:val="24"/>
          <w:szCs w:val="24"/>
          <w:highlight w:val="none"/>
        </w:rPr>
        <w:t>；</w:t>
      </w:r>
    </w:p>
    <w:p w14:paraId="102D697B">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（5）通用合同条款；</w:t>
      </w:r>
    </w:p>
    <w:p w14:paraId="1D8AB570">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（6）技术标准和要求；</w:t>
      </w:r>
    </w:p>
    <w:p w14:paraId="31D313EF">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（7）图纸；</w:t>
      </w:r>
    </w:p>
    <w:p w14:paraId="3D0AA5AF">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（8）已标价工程量清单或预算书；</w:t>
      </w:r>
    </w:p>
    <w:p w14:paraId="0D24EAD3">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（9）其他合同文件。</w:t>
      </w:r>
    </w:p>
    <w:p w14:paraId="4C187830">
      <w:pPr>
        <w:pageBreakBefore w:val="0"/>
        <w:widowControl/>
        <w:kinsoku/>
        <w:wordWrap/>
        <w:overflowPunct/>
        <w:topLinePunct w:val="0"/>
        <w:bidi w:val="0"/>
        <w:snapToGrid/>
        <w:spacing w:line="240" w:lineRule="auto"/>
        <w:ind w:firstLine="511" w:firstLineChars="21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上述各项合同文件包括合同当事人就该项合同文件所作出的补充和修改，属于同一类内容的文件，应以最新签署的为准。</w:t>
      </w:r>
    </w:p>
    <w:p w14:paraId="2D2B8290">
      <w:pPr>
        <w:pageBreakBefore w:val="0"/>
        <w:widowControl/>
        <w:kinsoku/>
        <w:wordWrap/>
        <w:overflowPunct/>
        <w:topLinePunct w:val="0"/>
        <w:bidi w:val="0"/>
        <w:snapToGrid/>
        <w:spacing w:line="240" w:lineRule="auto"/>
        <w:ind w:firstLine="511" w:firstLineChars="21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在合同订立及履行过程中形成的与合同有关的文件均构成合同文件组成部分，并根据其性质确定优先解释顺序。</w:t>
      </w:r>
    </w:p>
    <w:p w14:paraId="609B2353">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652" w:name="_Toc351203501"/>
      <w:bookmarkEnd w:id="652"/>
      <w:bookmarkStart w:id="653" w:name="_Toc13874"/>
      <w:bookmarkStart w:id="654" w:name="_Toc23137"/>
      <w:bookmarkStart w:id="655" w:name="_Toc21570"/>
      <w:bookmarkStart w:id="656" w:name="_Toc11270"/>
      <w:bookmarkStart w:id="657" w:name="_Toc9716"/>
      <w:bookmarkStart w:id="658" w:name="_Toc24656"/>
      <w:bookmarkStart w:id="659" w:name="_Toc26211"/>
      <w:bookmarkStart w:id="660" w:name="_Toc31557"/>
      <w:bookmarkStart w:id="661" w:name="_Toc28335"/>
      <w:bookmarkStart w:id="662" w:name="_Toc29807"/>
      <w:bookmarkStart w:id="663" w:name="_Toc20385"/>
      <w:bookmarkStart w:id="664" w:name="_Toc22318"/>
      <w:bookmarkStart w:id="665" w:name="_Toc28754"/>
      <w:r>
        <w:rPr>
          <w:rFonts w:hint="eastAsia" w:ascii="宋体" w:hAnsi="宋体" w:eastAsia="宋体" w:cs="宋体"/>
          <w:b w:val="0"/>
          <w:bCs w:val="0"/>
          <w:color w:val="auto"/>
          <w:sz w:val="24"/>
          <w:szCs w:val="24"/>
          <w:highlight w:val="none"/>
        </w:rPr>
        <w:t>1</w:t>
      </w:r>
      <w:bookmarkStart w:id="666" w:name="_Toc296346533"/>
      <w:bookmarkEnd w:id="666"/>
      <w:bookmarkStart w:id="667" w:name="_Toc296503032"/>
      <w:bookmarkEnd w:id="667"/>
      <w:bookmarkStart w:id="668" w:name="_Toc337558732"/>
      <w:r>
        <w:rPr>
          <w:rFonts w:hint="eastAsia" w:ascii="宋体" w:hAnsi="宋体" w:eastAsia="宋体" w:cs="宋体"/>
          <w:b w:val="0"/>
          <w:bCs w:val="0"/>
          <w:color w:val="auto"/>
          <w:sz w:val="24"/>
          <w:szCs w:val="24"/>
          <w:highlight w:val="none"/>
        </w:rPr>
        <w:t>.6图纸和承包人文件</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8"/>
    </w:p>
    <w:p w14:paraId="747E53F4">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 图纸的提供和交底</w:t>
      </w:r>
    </w:p>
    <w:p w14:paraId="66723E79">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1529FC44">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因发包人未按合同约定提供图纸导致承包人费用增加和（或）工期延误的，按照第7.5.1项〔因发包人原因导致工期延误〕约定办理。</w:t>
      </w:r>
    </w:p>
    <w:p w14:paraId="0652C1C3">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 图纸的错误</w:t>
      </w:r>
    </w:p>
    <w:p w14:paraId="169183D2">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79649141">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1.6.3 图纸的修改和补充</w:t>
      </w:r>
    </w:p>
    <w:p w14:paraId="162BE481">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图纸需要修改和补充的，应经图纸原设计人及审批部门同意，并由监理人在工程或工程相应部位施工前将修改后的图纸或补充图纸提交给承包人，承包人应按修改或补充后的图纸施工。</w:t>
      </w:r>
    </w:p>
    <w:p w14:paraId="73BF6E61">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1.6.4 承包人文件</w:t>
      </w:r>
    </w:p>
    <w:p w14:paraId="641B1F39">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承包人应按照专用合同条款的约定提供应当由其编制的与工程施工有关的文件，并按照专用合同条款约定的期限、数量和形式提交监理人，并由监理人报送发包人。</w:t>
      </w:r>
    </w:p>
    <w:p w14:paraId="77B78B69">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64CD779B">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1.6.5 图纸和承包人文件的保管</w:t>
      </w:r>
    </w:p>
    <w:p w14:paraId="262EC739">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除专用合同条款另有约定外，承包人应在施工现场另外保存一套完整的图纸和承包人文件，供发包人、监理人及有关人员进行工程检查时使用。</w:t>
      </w:r>
    </w:p>
    <w:p w14:paraId="0515591B">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669" w:name="_Toc351203502"/>
      <w:bookmarkEnd w:id="669"/>
      <w:bookmarkStart w:id="670" w:name="_Toc22588"/>
      <w:bookmarkStart w:id="671" w:name="_Toc30133"/>
      <w:bookmarkStart w:id="672" w:name="_Toc29152"/>
      <w:bookmarkStart w:id="673" w:name="_Toc31207"/>
      <w:bookmarkStart w:id="674" w:name="_Toc13313"/>
      <w:bookmarkStart w:id="675" w:name="_Toc29169"/>
      <w:bookmarkStart w:id="676" w:name="_Toc2110"/>
      <w:bookmarkStart w:id="677" w:name="_Toc11243"/>
      <w:bookmarkStart w:id="678" w:name="_Toc23546"/>
      <w:bookmarkStart w:id="679" w:name="_Toc364"/>
      <w:bookmarkStart w:id="680" w:name="_Toc7656"/>
      <w:bookmarkStart w:id="681" w:name="_Toc30547"/>
      <w:bookmarkStart w:id="682" w:name="_Toc25706"/>
      <w:r>
        <w:rPr>
          <w:rFonts w:hint="eastAsia" w:ascii="宋体" w:hAnsi="宋体" w:eastAsia="宋体" w:cs="宋体"/>
          <w:b w:val="0"/>
          <w:bCs w:val="0"/>
          <w:color w:val="auto"/>
          <w:sz w:val="24"/>
          <w:szCs w:val="24"/>
          <w:highlight w:val="none"/>
        </w:rPr>
        <w:t>1</w:t>
      </w:r>
      <w:bookmarkStart w:id="683" w:name="_Toc296346534"/>
      <w:bookmarkEnd w:id="683"/>
      <w:bookmarkStart w:id="684" w:name="_Toc296503033"/>
      <w:bookmarkEnd w:id="684"/>
      <w:bookmarkStart w:id="685" w:name="_Toc337558733"/>
      <w:r>
        <w:rPr>
          <w:rFonts w:hint="eastAsia" w:ascii="宋体" w:hAnsi="宋体" w:eastAsia="宋体" w:cs="宋体"/>
          <w:b w:val="0"/>
          <w:bCs w:val="0"/>
          <w:color w:val="auto"/>
          <w:sz w:val="24"/>
          <w:szCs w:val="24"/>
          <w:highlight w:val="none"/>
        </w:rPr>
        <w:t>.7联络</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5"/>
    </w:p>
    <w:p w14:paraId="098C63EA">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1.7.1 与合同有关的通知、批准、证明、证书、指示、指令、要求、请求、同意、意见、确定和决定等，均应采用书面形式，并应在合同约定的期限内送达接收人和送达地点。</w:t>
      </w:r>
    </w:p>
    <w:p w14:paraId="644079D9">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1.7.2 发包人和承包人应在专用合同条款中约定各自的送达接收人和送达地点。任何一方合同当事人指定的接收人或送达地点发生变动的，应提前3天以书面形式通知对方。</w:t>
      </w:r>
    </w:p>
    <w:p w14:paraId="3ABCAAFA">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1.7.3 发包人和承包人应当及时签收另一方送达至送达地点和指定接收人的来往信函。拒不签收的，由此增加的费用和（或）延误的工期由拒绝接收一方承担。</w:t>
      </w:r>
    </w:p>
    <w:p w14:paraId="4AAF4256">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686" w:name="_Toc351203503"/>
      <w:bookmarkEnd w:id="686"/>
      <w:bookmarkStart w:id="687" w:name="_Toc23095"/>
      <w:bookmarkStart w:id="688" w:name="_Toc22728"/>
      <w:bookmarkStart w:id="689" w:name="_Toc30513"/>
      <w:bookmarkStart w:id="690" w:name="_Toc692"/>
      <w:bookmarkStart w:id="691" w:name="_Toc27428"/>
      <w:bookmarkStart w:id="692" w:name="_Toc10086"/>
      <w:bookmarkStart w:id="693" w:name="_Toc31388"/>
      <w:bookmarkStart w:id="694" w:name="_Toc20673"/>
      <w:bookmarkStart w:id="695" w:name="_Toc29740"/>
      <w:bookmarkStart w:id="696" w:name="_Toc7553"/>
      <w:bookmarkStart w:id="697" w:name="_Toc22037"/>
      <w:bookmarkStart w:id="698" w:name="_Toc15899"/>
      <w:bookmarkStart w:id="699" w:name="_Toc21534"/>
      <w:r>
        <w:rPr>
          <w:rFonts w:hint="eastAsia" w:ascii="宋体" w:hAnsi="宋体" w:eastAsia="宋体" w:cs="宋体"/>
          <w:b w:val="0"/>
          <w:bCs w:val="0"/>
          <w:color w:val="auto"/>
          <w:sz w:val="24"/>
          <w:szCs w:val="24"/>
          <w:highlight w:val="none"/>
        </w:rPr>
        <w:t>1</w:t>
      </w:r>
      <w:bookmarkStart w:id="700" w:name="_Toc296503035"/>
      <w:bookmarkEnd w:id="700"/>
      <w:bookmarkStart w:id="701" w:name="_Toc296346536"/>
      <w:bookmarkEnd w:id="701"/>
      <w:bookmarkStart w:id="702" w:name="_Toc337558734"/>
      <w:r>
        <w:rPr>
          <w:rFonts w:hint="eastAsia" w:ascii="宋体" w:hAnsi="宋体" w:eastAsia="宋体" w:cs="宋体"/>
          <w:b w:val="0"/>
          <w:bCs w:val="0"/>
          <w:color w:val="auto"/>
          <w:sz w:val="24"/>
          <w:szCs w:val="24"/>
          <w:highlight w:val="none"/>
        </w:rPr>
        <w:t>.8严禁贿赂</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2"/>
    </w:p>
    <w:p w14:paraId="15A1CD2A">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合同当事人不得以贿赂或变相贿赂的方式，谋取非法利益或损害对方权益。因一方合同当事人的贿赂造成对方损失的，应赔偿损失，并承担相应的法律责任。</w:t>
      </w:r>
    </w:p>
    <w:p w14:paraId="16BDCB0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承包人不得与监理人或发包人聘请的第三方串通损害发包人利益。未经发包人书面同意，承包人不得为监理人提供合同约定以外的通讯设备、交通工具及其他任何形式的利益，不得向监理人支付报酬。</w:t>
      </w:r>
    </w:p>
    <w:p w14:paraId="1B95D7CB">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703" w:name="_Toc351203504"/>
      <w:bookmarkEnd w:id="703"/>
      <w:bookmarkStart w:id="704" w:name="_Toc159"/>
      <w:bookmarkStart w:id="705" w:name="_Toc8221"/>
      <w:bookmarkStart w:id="706" w:name="_Toc16805"/>
      <w:bookmarkStart w:id="707" w:name="_Toc25688"/>
      <w:bookmarkStart w:id="708" w:name="_Toc9498"/>
      <w:bookmarkStart w:id="709" w:name="_Toc9973"/>
      <w:bookmarkStart w:id="710" w:name="_Toc13592"/>
      <w:bookmarkStart w:id="711" w:name="_Toc15117"/>
      <w:bookmarkStart w:id="712" w:name="_Toc31459"/>
      <w:bookmarkStart w:id="713" w:name="_Toc29040"/>
      <w:bookmarkStart w:id="714" w:name="_Toc26965"/>
      <w:bookmarkStart w:id="715" w:name="_Toc21278"/>
      <w:bookmarkStart w:id="716" w:name="_Toc21802"/>
      <w:r>
        <w:rPr>
          <w:rFonts w:hint="eastAsia" w:ascii="宋体" w:hAnsi="宋体" w:eastAsia="宋体" w:cs="宋体"/>
          <w:b w:val="0"/>
          <w:bCs w:val="0"/>
          <w:color w:val="auto"/>
          <w:sz w:val="24"/>
          <w:szCs w:val="24"/>
          <w:highlight w:val="none"/>
        </w:rPr>
        <w:t>1</w:t>
      </w:r>
      <w:bookmarkStart w:id="717" w:name="_Toc296346537"/>
      <w:bookmarkEnd w:id="717"/>
      <w:bookmarkStart w:id="718" w:name="_Toc296503036"/>
      <w:bookmarkEnd w:id="718"/>
      <w:bookmarkStart w:id="719" w:name="_Toc337558735"/>
      <w:r>
        <w:rPr>
          <w:rFonts w:hint="eastAsia" w:ascii="宋体" w:hAnsi="宋体" w:eastAsia="宋体" w:cs="宋体"/>
          <w:b w:val="0"/>
          <w:bCs w:val="0"/>
          <w:color w:val="auto"/>
          <w:sz w:val="24"/>
          <w:szCs w:val="24"/>
          <w:highlight w:val="none"/>
        </w:rPr>
        <w:t>.9化石、文物</w:t>
      </w:r>
      <w:bookmarkEnd w:id="704"/>
      <w:bookmarkEnd w:id="705"/>
      <w:bookmarkEnd w:id="706"/>
      <w:bookmarkEnd w:id="707"/>
      <w:bookmarkEnd w:id="708"/>
      <w:bookmarkEnd w:id="709"/>
      <w:bookmarkEnd w:id="710"/>
      <w:bookmarkEnd w:id="711"/>
      <w:bookmarkEnd w:id="712"/>
      <w:bookmarkEnd w:id="713"/>
      <w:bookmarkEnd w:id="714"/>
      <w:bookmarkEnd w:id="715"/>
      <w:bookmarkEnd w:id="716"/>
      <w:bookmarkEnd w:id="719"/>
    </w:p>
    <w:p w14:paraId="300AB894">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600A2197">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发包人、监理人和承包人应按有关政府行政管理部门要求采取妥善的保护措施，由此增加的费用和（或）延误的工期由发包人承担。</w:t>
      </w:r>
    </w:p>
    <w:p w14:paraId="3BD7E951">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承包人发现文物后不及时报告或隐瞒不报，致使文物丢失或损坏的，应赔偿损失，并承担相应的法律责任。</w:t>
      </w:r>
    </w:p>
    <w:p w14:paraId="6B64203C">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720" w:name="_Toc351203505"/>
      <w:bookmarkEnd w:id="720"/>
      <w:bookmarkStart w:id="721" w:name="_Toc471"/>
      <w:bookmarkStart w:id="722" w:name="_Toc22108"/>
      <w:bookmarkStart w:id="723" w:name="_Toc18178"/>
      <w:bookmarkStart w:id="724" w:name="_Toc1336"/>
      <w:bookmarkStart w:id="725" w:name="_Toc630"/>
      <w:bookmarkStart w:id="726" w:name="_Toc28200"/>
      <w:bookmarkStart w:id="727" w:name="_Toc16576"/>
      <w:bookmarkStart w:id="728" w:name="_Toc27084"/>
      <w:bookmarkStart w:id="729" w:name="_Toc10750"/>
      <w:bookmarkStart w:id="730" w:name="_Toc8923"/>
      <w:bookmarkStart w:id="731" w:name="_Toc21593"/>
      <w:bookmarkStart w:id="732" w:name="_Toc11584"/>
      <w:bookmarkStart w:id="733" w:name="_Toc20929"/>
      <w:r>
        <w:rPr>
          <w:rFonts w:hint="eastAsia" w:ascii="宋体" w:hAnsi="宋体" w:eastAsia="宋体" w:cs="宋体"/>
          <w:b w:val="0"/>
          <w:bCs w:val="0"/>
          <w:color w:val="auto"/>
          <w:sz w:val="24"/>
          <w:szCs w:val="24"/>
          <w:highlight w:val="none"/>
        </w:rPr>
        <w:t>1</w:t>
      </w:r>
      <w:bookmarkStart w:id="734" w:name="_Toc337558736"/>
      <w:r>
        <w:rPr>
          <w:rFonts w:hint="eastAsia" w:ascii="宋体" w:hAnsi="宋体" w:eastAsia="宋体" w:cs="宋体"/>
          <w:b w:val="0"/>
          <w:bCs w:val="0"/>
          <w:color w:val="auto"/>
          <w:sz w:val="24"/>
          <w:szCs w:val="24"/>
          <w:highlight w:val="none"/>
        </w:rPr>
        <w:t>.10交通运输</w:t>
      </w:r>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p w14:paraId="1224827B">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1.10.1 出入现场的权利</w:t>
      </w:r>
    </w:p>
    <w:p w14:paraId="4DFC88D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24B8DA0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承包人应在订立合同前查勘施工现场，并根据工程规模及技术参数合理预见工程施工所需的进出施工现场的方式、手段、路径等。因承包人未合理预见所增加的费用和（或）延误的工期由承包人承担。</w:t>
      </w:r>
    </w:p>
    <w:p w14:paraId="283069B5">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1.10.2 场外交通</w:t>
      </w:r>
    </w:p>
    <w:p w14:paraId="56605F7D">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00CED36D">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1.10.3场内交通</w:t>
      </w:r>
    </w:p>
    <w:p w14:paraId="010ECC26">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39D1258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7487EB9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场外交通和场内交通的边界由合同当事人在专用合同条款中约定。</w:t>
      </w:r>
    </w:p>
    <w:p w14:paraId="5A0107D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1.10.4 超大件和超重件的运输</w:t>
      </w:r>
    </w:p>
    <w:p w14:paraId="655B6AF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28AA3B8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1.10.5 道路和桥梁的损坏责任</w:t>
      </w:r>
    </w:p>
    <w:p w14:paraId="5EE7DBB7">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因承包人运输造成施工场地内外公共道路和桥梁损坏的，由承包人承担修复损坏的全部费用和可能引起的赔偿。</w:t>
      </w:r>
    </w:p>
    <w:p w14:paraId="04297CA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1.10.6 水路和航空运输</w:t>
      </w:r>
    </w:p>
    <w:p w14:paraId="7DB75675">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本款前述各项的内容适用于水路运输和航空运输，其中“道路”一词的涵义包括河道、航线、船闸、机场、码头、堤防以及水路或航空运输中其他相似结构物；“车辆”一词的涵义包括船舶和飞机等。</w:t>
      </w:r>
    </w:p>
    <w:p w14:paraId="66670006">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735" w:name="_Toc351203506"/>
      <w:bookmarkEnd w:id="735"/>
      <w:bookmarkStart w:id="736" w:name="_Toc20634"/>
      <w:bookmarkStart w:id="737" w:name="_Toc32604"/>
      <w:bookmarkStart w:id="738" w:name="_Toc8033"/>
      <w:bookmarkStart w:id="739" w:name="_Toc15783"/>
      <w:bookmarkStart w:id="740" w:name="_Toc29311"/>
      <w:bookmarkStart w:id="741" w:name="_Toc27454"/>
      <w:bookmarkStart w:id="742" w:name="_Toc5544"/>
      <w:bookmarkStart w:id="743" w:name="_Toc379"/>
      <w:bookmarkStart w:id="744" w:name="_Toc26548"/>
      <w:bookmarkStart w:id="745" w:name="_Toc21811"/>
      <w:bookmarkStart w:id="746" w:name="_Toc13156"/>
      <w:bookmarkStart w:id="747" w:name="_Toc12046"/>
      <w:bookmarkStart w:id="748" w:name="_Toc11717"/>
      <w:r>
        <w:rPr>
          <w:rFonts w:hint="eastAsia" w:ascii="宋体" w:hAnsi="宋体" w:eastAsia="宋体" w:cs="宋体"/>
          <w:b w:val="0"/>
          <w:bCs w:val="0"/>
          <w:color w:val="auto"/>
          <w:sz w:val="24"/>
          <w:szCs w:val="24"/>
          <w:highlight w:val="none"/>
        </w:rPr>
        <w:t>1</w:t>
      </w:r>
      <w:bookmarkStart w:id="749" w:name="_Toc337558737"/>
      <w:bookmarkEnd w:id="749"/>
      <w:bookmarkStart w:id="750" w:name="_Toc296346538"/>
      <w:bookmarkEnd w:id="750"/>
      <w:bookmarkStart w:id="751" w:name="_Toc296503037"/>
      <w:r>
        <w:rPr>
          <w:rFonts w:hint="eastAsia" w:ascii="宋体" w:hAnsi="宋体" w:eastAsia="宋体" w:cs="宋体"/>
          <w:b w:val="0"/>
          <w:bCs w:val="0"/>
          <w:color w:val="auto"/>
          <w:sz w:val="24"/>
          <w:szCs w:val="24"/>
          <w:highlight w:val="none"/>
        </w:rPr>
        <w:t>.11知识产权</w:t>
      </w:r>
      <w:bookmarkEnd w:id="736"/>
      <w:bookmarkEnd w:id="737"/>
      <w:bookmarkEnd w:id="738"/>
      <w:bookmarkEnd w:id="739"/>
      <w:bookmarkEnd w:id="740"/>
      <w:bookmarkEnd w:id="741"/>
      <w:bookmarkEnd w:id="742"/>
      <w:bookmarkEnd w:id="743"/>
      <w:bookmarkEnd w:id="744"/>
      <w:bookmarkEnd w:id="745"/>
      <w:bookmarkEnd w:id="746"/>
      <w:bookmarkEnd w:id="747"/>
      <w:bookmarkEnd w:id="748"/>
      <w:bookmarkEnd w:id="751"/>
      <w:r>
        <w:rPr>
          <w:rFonts w:hint="eastAsia" w:ascii="宋体" w:hAnsi="宋体" w:eastAsia="宋体" w:cs="宋体"/>
          <w:b w:val="0"/>
          <w:bCs w:val="0"/>
          <w:color w:val="auto"/>
          <w:sz w:val="24"/>
          <w:szCs w:val="24"/>
          <w:highlight w:val="none"/>
        </w:rPr>
        <w:t xml:space="preserve"> </w:t>
      </w:r>
    </w:p>
    <w:p w14:paraId="400C5DE7">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434B26EC">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64276C96">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2D776755">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sz w:val="24"/>
          <w:szCs w:val="24"/>
          <w:highlight w:val="none"/>
        </w:rPr>
        <w:t>1.11.4 除专用合同条款另有约定外，承包人在合同签订前和签订时已确定采用的专利、专有技术、技术秘密的使用费已包含在签约合同价中。</w:t>
      </w:r>
    </w:p>
    <w:p w14:paraId="471A7FCD">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752" w:name="_Toc351203507"/>
      <w:bookmarkEnd w:id="752"/>
      <w:bookmarkStart w:id="753" w:name="_Toc29242"/>
      <w:bookmarkStart w:id="754" w:name="_Toc32460"/>
      <w:bookmarkStart w:id="755" w:name="_Toc29269"/>
      <w:bookmarkStart w:id="756" w:name="_Toc15362"/>
      <w:bookmarkStart w:id="757" w:name="_Toc6048"/>
      <w:bookmarkStart w:id="758" w:name="_Toc6796"/>
      <w:bookmarkStart w:id="759" w:name="_Toc26015"/>
      <w:bookmarkStart w:id="760" w:name="_Toc15919"/>
      <w:bookmarkStart w:id="761" w:name="_Toc28712"/>
      <w:bookmarkStart w:id="762" w:name="_Toc696"/>
      <w:bookmarkStart w:id="763" w:name="_Toc30333"/>
      <w:bookmarkStart w:id="764" w:name="_Toc20130"/>
      <w:bookmarkStart w:id="765" w:name="_Toc32046"/>
      <w:r>
        <w:rPr>
          <w:rFonts w:hint="eastAsia" w:ascii="宋体" w:hAnsi="宋体" w:eastAsia="宋体" w:cs="宋体"/>
          <w:b w:val="0"/>
          <w:bCs w:val="0"/>
          <w:color w:val="auto"/>
          <w:sz w:val="24"/>
          <w:szCs w:val="24"/>
          <w:highlight w:val="none"/>
        </w:rPr>
        <w:t>1</w:t>
      </w:r>
      <w:bookmarkStart w:id="766" w:name="_Toc337558738"/>
      <w:r>
        <w:rPr>
          <w:rFonts w:hint="eastAsia" w:ascii="宋体" w:hAnsi="宋体" w:eastAsia="宋体" w:cs="宋体"/>
          <w:b w:val="0"/>
          <w:bCs w:val="0"/>
          <w:color w:val="auto"/>
          <w:sz w:val="24"/>
          <w:szCs w:val="24"/>
          <w:highlight w:val="none"/>
        </w:rPr>
        <w:t>.12保密</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14:paraId="1E2CF968">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除法律规定或合同另有约定外，未经发包人同意，承包人不得将发包人提供的图纸、文件以及声明需要保密的资料信息等商业秘密泄露给第三方。</w:t>
      </w:r>
    </w:p>
    <w:p w14:paraId="2930F9B8">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除法律规定或合同另有约定外，未经承包人同意，发包人不得将承包人提供的技术秘密及声明需要保密的资料信息等商业秘密泄露给第三方。</w:t>
      </w:r>
    </w:p>
    <w:p w14:paraId="6D551B86">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767" w:name="_Toc351203508"/>
      <w:bookmarkEnd w:id="767"/>
      <w:bookmarkStart w:id="768" w:name="_Toc31944"/>
      <w:bookmarkStart w:id="769" w:name="_Toc14478"/>
      <w:bookmarkStart w:id="770" w:name="_Toc1870"/>
      <w:bookmarkStart w:id="771" w:name="_Toc16733"/>
      <w:bookmarkStart w:id="772" w:name="_Toc23944"/>
      <w:bookmarkStart w:id="773" w:name="_Toc15961"/>
      <w:bookmarkStart w:id="774" w:name="_Toc29413"/>
      <w:bookmarkStart w:id="775" w:name="_Toc31497"/>
      <w:bookmarkStart w:id="776" w:name="_Toc26865"/>
      <w:bookmarkStart w:id="777" w:name="_Toc10271"/>
      <w:bookmarkStart w:id="778" w:name="_Toc29517"/>
      <w:bookmarkStart w:id="779" w:name="_Toc18995"/>
      <w:bookmarkStart w:id="780" w:name="_Toc4587"/>
      <w:r>
        <w:rPr>
          <w:rFonts w:hint="eastAsia" w:ascii="宋体" w:hAnsi="宋体" w:eastAsia="宋体" w:cs="宋体"/>
          <w:b w:val="0"/>
          <w:bCs w:val="0"/>
          <w:color w:val="auto"/>
          <w:sz w:val="24"/>
          <w:szCs w:val="24"/>
          <w:highlight w:val="none"/>
        </w:rPr>
        <w:t>1.13工程量清单错误的修正</w:t>
      </w:r>
      <w:bookmarkEnd w:id="768"/>
      <w:bookmarkEnd w:id="769"/>
      <w:bookmarkEnd w:id="770"/>
      <w:bookmarkEnd w:id="771"/>
      <w:bookmarkEnd w:id="772"/>
      <w:bookmarkEnd w:id="773"/>
      <w:bookmarkEnd w:id="774"/>
      <w:bookmarkEnd w:id="775"/>
      <w:bookmarkEnd w:id="776"/>
      <w:bookmarkEnd w:id="777"/>
      <w:bookmarkEnd w:id="778"/>
      <w:bookmarkEnd w:id="779"/>
      <w:bookmarkEnd w:id="780"/>
    </w:p>
    <w:p w14:paraId="71ED8C36">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除专用合同条款另有约定外，发包人提供的工程量清单，应被认为是准确的和完整的。出现下列情形之一时，发包人应予以修正，并相应调整合同价格：</w:t>
      </w:r>
    </w:p>
    <w:p w14:paraId="3D271624">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（1）工程量清单存在缺项、漏项的；</w:t>
      </w:r>
    </w:p>
    <w:p w14:paraId="50424F06">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（2）工程量清单偏差超出专用合同条款约定的工程量偏差范围的；</w:t>
      </w:r>
    </w:p>
    <w:p w14:paraId="7463DFF3">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（3）未按照国家现行计量规范强制性规定计量的。</w:t>
      </w:r>
    </w:p>
    <w:p w14:paraId="66693474">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781" w:name="_Toc351203509"/>
      <w:bookmarkEnd w:id="781"/>
      <w:bookmarkStart w:id="782" w:name="_Toc19074"/>
      <w:bookmarkStart w:id="783" w:name="_Toc9389"/>
      <w:bookmarkStart w:id="784" w:name="_Toc16096"/>
      <w:bookmarkStart w:id="785" w:name="_Toc28230"/>
      <w:bookmarkStart w:id="786" w:name="_Toc8579"/>
      <w:bookmarkStart w:id="787" w:name="_Toc30655"/>
      <w:bookmarkStart w:id="788" w:name="_Toc14086"/>
      <w:bookmarkStart w:id="789" w:name="_Toc14902"/>
      <w:bookmarkStart w:id="790" w:name="_Toc13227"/>
      <w:bookmarkStart w:id="791" w:name="_Toc8605"/>
      <w:bookmarkStart w:id="792" w:name="_Toc12453"/>
      <w:bookmarkStart w:id="793" w:name="_Toc22749"/>
      <w:bookmarkStart w:id="794" w:name="_Toc10587"/>
      <w:bookmarkStart w:id="795" w:name="_Toc524"/>
      <w:bookmarkStart w:id="796" w:name="_Toc3432"/>
      <w:r>
        <w:rPr>
          <w:rFonts w:hint="eastAsia" w:ascii="宋体" w:hAnsi="宋体" w:eastAsia="宋体" w:cs="宋体"/>
          <w:b w:val="0"/>
          <w:bCs w:val="0"/>
          <w:color w:val="auto"/>
          <w:sz w:val="24"/>
          <w:szCs w:val="24"/>
          <w:highlight w:val="none"/>
        </w:rPr>
        <w:t>2</w:t>
      </w:r>
      <w:bookmarkStart w:id="797" w:name="_Toc296503038"/>
      <w:bookmarkEnd w:id="797"/>
      <w:bookmarkStart w:id="798" w:name="_Toc296346539"/>
      <w:bookmarkEnd w:id="798"/>
      <w:bookmarkStart w:id="799" w:name="_Toc337558739"/>
      <w:bookmarkEnd w:id="799"/>
      <w:r>
        <w:rPr>
          <w:rFonts w:hint="eastAsia" w:ascii="宋体" w:hAnsi="宋体" w:eastAsia="宋体" w:cs="宋体"/>
          <w:b w:val="0"/>
          <w:bCs w:val="0"/>
          <w:color w:val="auto"/>
          <w:sz w:val="24"/>
          <w:szCs w:val="24"/>
          <w:highlight w:val="none"/>
        </w:rPr>
        <w:t>. 发包人</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5135BD94">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800" w:name="_Toc351203510"/>
      <w:bookmarkEnd w:id="800"/>
      <w:bookmarkStart w:id="801" w:name="_Toc28889"/>
      <w:bookmarkStart w:id="802" w:name="_Toc27585"/>
      <w:bookmarkStart w:id="803" w:name="_Toc29494"/>
      <w:bookmarkStart w:id="804" w:name="_Toc29795"/>
      <w:bookmarkStart w:id="805" w:name="_Toc13457"/>
      <w:bookmarkStart w:id="806" w:name="_Toc8512"/>
      <w:bookmarkStart w:id="807" w:name="_Toc12383"/>
      <w:bookmarkStart w:id="808" w:name="_Toc638"/>
      <w:bookmarkStart w:id="809" w:name="_Toc7957"/>
      <w:bookmarkStart w:id="810" w:name="_Toc25210"/>
      <w:bookmarkStart w:id="811" w:name="_Toc28209"/>
      <w:bookmarkStart w:id="812" w:name="_Toc21511"/>
      <w:bookmarkStart w:id="813" w:name="_Toc7754"/>
      <w:r>
        <w:rPr>
          <w:rFonts w:hint="eastAsia" w:ascii="宋体" w:hAnsi="宋体" w:eastAsia="宋体" w:cs="宋体"/>
          <w:b w:val="0"/>
          <w:bCs w:val="0"/>
          <w:color w:val="auto"/>
          <w:sz w:val="24"/>
          <w:szCs w:val="24"/>
          <w:highlight w:val="none"/>
        </w:rPr>
        <w:t>2</w:t>
      </w:r>
      <w:bookmarkStart w:id="814" w:name="_Toc296346540"/>
      <w:bookmarkEnd w:id="814"/>
      <w:bookmarkStart w:id="815" w:name="_Toc296503039"/>
      <w:bookmarkEnd w:id="815"/>
      <w:bookmarkStart w:id="816" w:name="_Toc337558740"/>
      <w:r>
        <w:rPr>
          <w:rFonts w:hint="eastAsia" w:ascii="宋体" w:hAnsi="宋体" w:eastAsia="宋体" w:cs="宋体"/>
          <w:b w:val="0"/>
          <w:bCs w:val="0"/>
          <w:color w:val="auto"/>
          <w:sz w:val="24"/>
          <w:szCs w:val="24"/>
          <w:highlight w:val="none"/>
        </w:rPr>
        <w:t>.1 许可或批准</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6"/>
    </w:p>
    <w:p w14:paraId="12119A81">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1F1BF9CB">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因发包人原因未能及时办理完毕前述许可、批准或备案，由发包人承担由此增加的费用和（或）延误的工期，并支付承包人合理的利润。</w:t>
      </w:r>
    </w:p>
    <w:p w14:paraId="397F04E1">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817" w:name="_Toc351203511"/>
      <w:bookmarkEnd w:id="817"/>
      <w:bookmarkStart w:id="818" w:name="_Toc3812"/>
      <w:bookmarkStart w:id="819" w:name="_Toc11095"/>
      <w:bookmarkStart w:id="820" w:name="_Toc29363"/>
      <w:bookmarkStart w:id="821" w:name="_Toc19118"/>
      <w:bookmarkStart w:id="822" w:name="_Toc16943"/>
      <w:bookmarkStart w:id="823" w:name="_Toc17823"/>
      <w:bookmarkStart w:id="824" w:name="_Toc29063"/>
      <w:bookmarkStart w:id="825" w:name="_Toc9355"/>
      <w:bookmarkStart w:id="826" w:name="_Toc18541"/>
      <w:bookmarkStart w:id="827" w:name="_Toc1062"/>
      <w:bookmarkStart w:id="828" w:name="_Toc4047"/>
      <w:bookmarkStart w:id="829" w:name="_Toc15573"/>
      <w:bookmarkStart w:id="830" w:name="_Toc9180"/>
      <w:r>
        <w:rPr>
          <w:rFonts w:hint="eastAsia" w:ascii="宋体" w:hAnsi="宋体" w:eastAsia="宋体" w:cs="宋体"/>
          <w:b w:val="0"/>
          <w:bCs w:val="0"/>
          <w:color w:val="auto"/>
          <w:sz w:val="24"/>
          <w:szCs w:val="24"/>
          <w:highlight w:val="none"/>
        </w:rPr>
        <w:t>2.2 发包人代表</w:t>
      </w:r>
      <w:bookmarkEnd w:id="818"/>
      <w:bookmarkEnd w:id="819"/>
      <w:bookmarkEnd w:id="820"/>
      <w:bookmarkEnd w:id="821"/>
      <w:bookmarkEnd w:id="822"/>
      <w:bookmarkEnd w:id="823"/>
      <w:bookmarkEnd w:id="824"/>
      <w:bookmarkEnd w:id="825"/>
      <w:bookmarkEnd w:id="826"/>
      <w:bookmarkEnd w:id="827"/>
      <w:bookmarkEnd w:id="828"/>
      <w:bookmarkEnd w:id="829"/>
      <w:bookmarkEnd w:id="830"/>
    </w:p>
    <w:p w14:paraId="326EED3E">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29F1FC68">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发包人代表不能按照合同约定履行其职责及义务，并导致合同无法继续正常履行的，承包人可以要求发包人撤换发包人代表。</w:t>
      </w:r>
    </w:p>
    <w:p w14:paraId="5E371B1F">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不属于法定必须监理的工程，监理人的职权可以由发包人代表或发包人指定的其他人员行使。</w:t>
      </w:r>
    </w:p>
    <w:p w14:paraId="08079859">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831" w:name="_Toc351203512"/>
      <w:bookmarkEnd w:id="831"/>
      <w:bookmarkStart w:id="832" w:name="_Toc17203"/>
      <w:bookmarkStart w:id="833" w:name="_Toc11635"/>
      <w:bookmarkStart w:id="834" w:name="_Toc23290"/>
      <w:bookmarkStart w:id="835" w:name="_Toc20775"/>
      <w:bookmarkStart w:id="836" w:name="_Toc8585"/>
      <w:bookmarkStart w:id="837" w:name="_Toc30869"/>
      <w:bookmarkStart w:id="838" w:name="_Toc14213"/>
      <w:bookmarkStart w:id="839" w:name="_Toc12297"/>
      <w:bookmarkStart w:id="840" w:name="_Toc12519"/>
      <w:bookmarkStart w:id="841" w:name="_Toc25405"/>
      <w:bookmarkStart w:id="842" w:name="_Toc14021"/>
      <w:bookmarkStart w:id="843" w:name="_Toc3250"/>
      <w:bookmarkStart w:id="844" w:name="_Toc22573"/>
      <w:r>
        <w:rPr>
          <w:rFonts w:hint="eastAsia" w:ascii="宋体" w:hAnsi="宋体" w:eastAsia="宋体" w:cs="宋体"/>
          <w:b w:val="0"/>
          <w:bCs w:val="0"/>
          <w:color w:val="auto"/>
          <w:sz w:val="24"/>
          <w:szCs w:val="24"/>
          <w:highlight w:val="none"/>
        </w:rPr>
        <w:t>2.3 发包人人员</w:t>
      </w:r>
      <w:bookmarkEnd w:id="832"/>
      <w:bookmarkEnd w:id="833"/>
      <w:bookmarkEnd w:id="834"/>
      <w:bookmarkEnd w:id="835"/>
      <w:bookmarkEnd w:id="836"/>
      <w:bookmarkEnd w:id="837"/>
      <w:bookmarkEnd w:id="838"/>
      <w:bookmarkEnd w:id="839"/>
      <w:bookmarkEnd w:id="840"/>
      <w:bookmarkEnd w:id="841"/>
      <w:bookmarkEnd w:id="842"/>
      <w:bookmarkEnd w:id="843"/>
      <w:bookmarkEnd w:id="844"/>
    </w:p>
    <w:p w14:paraId="01396471">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发包人应要求在施工现场的发包人人员遵守法律及有关安全、质量、环境保护、文明施工等规定，并保障承包人免于承受因发包人人员未遵守上述要求给承包人造成的损失和责任。</w:t>
      </w:r>
    </w:p>
    <w:p w14:paraId="570E4576">
      <w:pPr>
        <w:pageBreakBefore w:val="0"/>
        <w:widowControl/>
        <w:kinsoku/>
        <w:wordWrap/>
        <w:overflowPunct/>
        <w:topLinePunct w:val="0"/>
        <w:bidi w:val="0"/>
        <w:snapToGrid/>
        <w:spacing w:line="240" w:lineRule="auto"/>
        <w:ind w:firstLine="64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发包人人员包括发包人代表及其他由发包人派驻施工现场的人员。</w:t>
      </w:r>
    </w:p>
    <w:p w14:paraId="69B73D42">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845" w:name="_Toc351203513"/>
      <w:bookmarkEnd w:id="845"/>
      <w:bookmarkStart w:id="846" w:name="_Toc4860"/>
      <w:bookmarkStart w:id="847" w:name="_Toc4130"/>
      <w:bookmarkStart w:id="848" w:name="_Toc1119"/>
      <w:bookmarkStart w:id="849" w:name="_Toc5350"/>
      <w:bookmarkStart w:id="850" w:name="_Toc8175"/>
      <w:bookmarkStart w:id="851" w:name="_Toc5128"/>
      <w:bookmarkStart w:id="852" w:name="_Toc17740"/>
      <w:bookmarkStart w:id="853" w:name="_Toc3408"/>
      <w:bookmarkStart w:id="854" w:name="_Toc1881"/>
      <w:bookmarkStart w:id="855" w:name="_Toc5921"/>
      <w:bookmarkStart w:id="856" w:name="_Toc30534"/>
      <w:bookmarkStart w:id="857" w:name="_Toc9490"/>
      <w:bookmarkStart w:id="858" w:name="_Toc15575"/>
      <w:r>
        <w:rPr>
          <w:rFonts w:hint="eastAsia" w:ascii="宋体" w:hAnsi="宋体" w:eastAsia="宋体" w:cs="宋体"/>
          <w:b w:val="0"/>
          <w:bCs w:val="0"/>
          <w:color w:val="auto"/>
          <w:sz w:val="24"/>
          <w:szCs w:val="24"/>
          <w:highlight w:val="none"/>
        </w:rPr>
        <w:t>2</w:t>
      </w:r>
      <w:bookmarkStart w:id="859" w:name="_Toc337558741"/>
      <w:bookmarkEnd w:id="859"/>
      <w:bookmarkStart w:id="860" w:name="_Toc296503040"/>
      <w:bookmarkEnd w:id="860"/>
      <w:bookmarkStart w:id="861" w:name="_Toc296346541"/>
      <w:r>
        <w:rPr>
          <w:rFonts w:hint="eastAsia" w:ascii="宋体" w:hAnsi="宋体" w:eastAsia="宋体" w:cs="宋体"/>
          <w:b w:val="0"/>
          <w:bCs w:val="0"/>
          <w:color w:val="auto"/>
          <w:sz w:val="24"/>
          <w:szCs w:val="24"/>
          <w:highlight w:val="none"/>
        </w:rPr>
        <w:t>.4 施工现场、施工条件和基础资料的提供</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61"/>
      <w:r>
        <w:rPr>
          <w:rFonts w:hint="eastAsia" w:ascii="宋体" w:hAnsi="宋体" w:eastAsia="宋体" w:cs="宋体"/>
          <w:b w:val="0"/>
          <w:bCs w:val="0"/>
          <w:color w:val="auto"/>
          <w:sz w:val="24"/>
          <w:szCs w:val="24"/>
          <w:highlight w:val="none"/>
        </w:rPr>
        <w:t xml:space="preserve">  </w:t>
      </w:r>
    </w:p>
    <w:p w14:paraId="5BDB1C90">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2.4.1 提供施工现场</w:t>
      </w:r>
    </w:p>
    <w:p w14:paraId="289A2C1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除专用合同条款另有约定外，发包人应最迟于开工日期7天前向承包人移交施工现场。</w:t>
      </w:r>
    </w:p>
    <w:p w14:paraId="15B892D9">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2.4.2 提供施工条件</w:t>
      </w:r>
    </w:p>
    <w:p w14:paraId="12143BB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除专用合同条款另有约定外，发包人应负责提供施工所需要的条件，包括：</w:t>
      </w:r>
    </w:p>
    <w:p w14:paraId="015F488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（1）将施工用水、电力、通讯线路等施工所必需的条件接至施工现场内；</w:t>
      </w:r>
    </w:p>
    <w:p w14:paraId="46F1A603">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（2）保证向承包人提供正常施工所需要的进入施工现场的交通条件；</w:t>
      </w:r>
    </w:p>
    <w:p w14:paraId="72DDB970">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（3）协调处理施工现场周围地下管线和邻近建筑物、构筑物、古树名木的保护工作，并承担相关费用；</w:t>
      </w:r>
    </w:p>
    <w:p w14:paraId="073DC48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（4）按照专用合同条款约定应提供的其他设施和条件。</w:t>
      </w:r>
    </w:p>
    <w:p w14:paraId="71E3C81E">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2.4.3 提供基础资料</w:t>
      </w:r>
    </w:p>
    <w:p w14:paraId="69AA8BD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1117DBE9">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按照法律规定确需在开工后方能提供的基础资料，发包人应尽其努力及时地在相应工程施工前的合理期限内提供，合理期限应以不影响承包人的正常施工为限。</w:t>
      </w:r>
    </w:p>
    <w:p w14:paraId="2BEAC81D">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2.4.4 逾期提供的责任</w:t>
      </w:r>
    </w:p>
    <w:p w14:paraId="5E85090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因发包人原因未能按合同约定及时向承包人提供施工现场、施工条件、基础资料的，由发包人承担由此增加的费用和（或）延误的工期。</w:t>
      </w:r>
    </w:p>
    <w:p w14:paraId="24573B72">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862" w:name="_Toc351203514"/>
      <w:bookmarkEnd w:id="862"/>
      <w:bookmarkStart w:id="863" w:name="_Toc21023"/>
      <w:bookmarkStart w:id="864" w:name="_Toc13489"/>
      <w:bookmarkStart w:id="865" w:name="_Toc24630"/>
      <w:bookmarkStart w:id="866" w:name="_Toc30929"/>
      <w:bookmarkStart w:id="867" w:name="_Toc28651"/>
      <w:bookmarkStart w:id="868" w:name="_Toc7781"/>
      <w:bookmarkStart w:id="869" w:name="_Toc8276"/>
      <w:bookmarkStart w:id="870" w:name="_Toc4931"/>
      <w:bookmarkStart w:id="871" w:name="_Toc4978"/>
      <w:bookmarkStart w:id="872" w:name="_Toc15531"/>
      <w:bookmarkStart w:id="873" w:name="_Toc27935"/>
      <w:bookmarkStart w:id="874" w:name="_Toc13568"/>
      <w:bookmarkStart w:id="875" w:name="_Toc9330"/>
      <w:r>
        <w:rPr>
          <w:rFonts w:hint="eastAsia" w:ascii="宋体" w:hAnsi="宋体" w:eastAsia="宋体" w:cs="宋体"/>
          <w:b w:val="0"/>
          <w:bCs w:val="0"/>
          <w:color w:val="auto"/>
          <w:sz w:val="24"/>
          <w:szCs w:val="24"/>
          <w:highlight w:val="none"/>
        </w:rPr>
        <w:t>2</w:t>
      </w:r>
      <w:bookmarkStart w:id="876" w:name="_Toc296503042"/>
      <w:bookmarkEnd w:id="876"/>
      <w:bookmarkStart w:id="877" w:name="_Toc296346543"/>
      <w:bookmarkEnd w:id="877"/>
      <w:bookmarkStart w:id="878" w:name="_Toc337558745"/>
      <w:r>
        <w:rPr>
          <w:rFonts w:hint="eastAsia" w:ascii="宋体" w:hAnsi="宋体" w:eastAsia="宋体" w:cs="宋体"/>
          <w:b w:val="0"/>
          <w:bCs w:val="0"/>
          <w:color w:val="auto"/>
          <w:sz w:val="24"/>
          <w:szCs w:val="24"/>
          <w:highlight w:val="none"/>
        </w:rPr>
        <w:t>.5 资</w:t>
      </w:r>
      <w:bookmarkEnd w:id="878"/>
      <w:r>
        <w:rPr>
          <w:rFonts w:hint="eastAsia" w:ascii="宋体" w:hAnsi="宋体" w:eastAsia="宋体" w:cs="宋体"/>
          <w:b w:val="0"/>
          <w:bCs w:val="0"/>
          <w:color w:val="auto"/>
          <w:sz w:val="24"/>
          <w:szCs w:val="24"/>
          <w:highlight w:val="none"/>
        </w:rPr>
        <w:t>金来源证明及支付担保</w:t>
      </w:r>
      <w:bookmarkEnd w:id="863"/>
      <w:bookmarkEnd w:id="864"/>
      <w:bookmarkEnd w:id="865"/>
      <w:bookmarkEnd w:id="866"/>
      <w:bookmarkEnd w:id="867"/>
      <w:bookmarkEnd w:id="868"/>
      <w:bookmarkEnd w:id="869"/>
      <w:bookmarkEnd w:id="870"/>
      <w:bookmarkEnd w:id="871"/>
      <w:bookmarkEnd w:id="872"/>
      <w:bookmarkEnd w:id="873"/>
      <w:bookmarkEnd w:id="874"/>
      <w:bookmarkEnd w:id="875"/>
    </w:p>
    <w:p w14:paraId="3BB593A0">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除专用合同条款另有约定外，发包人应在收到承包人要求提供资金来源证明的书面通知后28天内，向承包人提供能够按照合同约定支付合同价款的相应资金来源证明。</w:t>
      </w:r>
    </w:p>
    <w:p w14:paraId="049B8004">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除专用合同条款另有约定外，发包人要求承包人提供履约担保的，发包人应当向承包人提供支付担保。支付担保可以采用银行保函或担保公司担保等形式，具体由合同当事人在专用合同条款中约定。</w:t>
      </w:r>
    </w:p>
    <w:p w14:paraId="785318EF">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879" w:name="_Toc351203515"/>
      <w:bookmarkEnd w:id="879"/>
      <w:bookmarkStart w:id="880" w:name="_Toc18634"/>
      <w:bookmarkStart w:id="881" w:name="_Toc20310"/>
      <w:bookmarkStart w:id="882" w:name="_Toc31025"/>
      <w:bookmarkStart w:id="883" w:name="_Toc21488"/>
      <w:bookmarkStart w:id="884" w:name="_Toc1391"/>
      <w:bookmarkStart w:id="885" w:name="_Toc19851"/>
      <w:bookmarkStart w:id="886" w:name="_Toc18015"/>
      <w:bookmarkStart w:id="887" w:name="_Toc12872"/>
      <w:bookmarkStart w:id="888" w:name="_Toc29847"/>
      <w:bookmarkStart w:id="889" w:name="_Toc17561"/>
      <w:bookmarkStart w:id="890" w:name="_Toc3916"/>
      <w:bookmarkStart w:id="891" w:name="_Toc20472"/>
      <w:bookmarkStart w:id="892" w:name="_Toc5410"/>
      <w:r>
        <w:rPr>
          <w:rFonts w:hint="eastAsia" w:ascii="宋体" w:hAnsi="宋体" w:eastAsia="宋体" w:cs="宋体"/>
          <w:b w:val="0"/>
          <w:bCs w:val="0"/>
          <w:color w:val="auto"/>
          <w:sz w:val="24"/>
          <w:szCs w:val="24"/>
          <w:highlight w:val="none"/>
        </w:rPr>
        <w:t>2.6 支付合同价款</w:t>
      </w:r>
      <w:bookmarkEnd w:id="880"/>
      <w:bookmarkEnd w:id="881"/>
      <w:bookmarkEnd w:id="882"/>
      <w:bookmarkEnd w:id="883"/>
      <w:bookmarkEnd w:id="884"/>
      <w:bookmarkEnd w:id="885"/>
      <w:bookmarkEnd w:id="886"/>
      <w:bookmarkEnd w:id="887"/>
      <w:bookmarkEnd w:id="888"/>
      <w:bookmarkEnd w:id="889"/>
      <w:bookmarkEnd w:id="890"/>
      <w:bookmarkEnd w:id="891"/>
      <w:bookmarkEnd w:id="892"/>
    </w:p>
    <w:p w14:paraId="7EAD74AC">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发包人应按合同约定向承包人及时支付合同价款。</w:t>
      </w:r>
    </w:p>
    <w:p w14:paraId="72374943">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893" w:name="_Toc351203516"/>
      <w:bookmarkEnd w:id="893"/>
      <w:bookmarkStart w:id="894" w:name="_Toc6089"/>
      <w:bookmarkStart w:id="895" w:name="_Toc21579"/>
      <w:bookmarkStart w:id="896" w:name="_Toc13970"/>
      <w:bookmarkStart w:id="897" w:name="_Toc10659"/>
      <w:bookmarkStart w:id="898" w:name="_Toc2599"/>
      <w:bookmarkStart w:id="899" w:name="_Toc20059"/>
      <w:bookmarkStart w:id="900" w:name="_Toc29272"/>
      <w:bookmarkStart w:id="901" w:name="_Toc571"/>
      <w:bookmarkStart w:id="902" w:name="_Toc14741"/>
      <w:bookmarkStart w:id="903" w:name="_Toc1106"/>
      <w:bookmarkStart w:id="904" w:name="_Toc14148"/>
      <w:bookmarkStart w:id="905" w:name="_Toc25580"/>
      <w:bookmarkStart w:id="906" w:name="_Toc267"/>
      <w:r>
        <w:rPr>
          <w:rFonts w:hint="eastAsia" w:ascii="宋体" w:hAnsi="宋体" w:eastAsia="宋体" w:cs="宋体"/>
          <w:b w:val="0"/>
          <w:bCs w:val="0"/>
          <w:color w:val="auto"/>
          <w:sz w:val="24"/>
          <w:szCs w:val="24"/>
          <w:highlight w:val="none"/>
        </w:rPr>
        <w:t>2.7 组织竣工验收</w:t>
      </w:r>
      <w:bookmarkEnd w:id="894"/>
      <w:bookmarkEnd w:id="895"/>
      <w:bookmarkEnd w:id="896"/>
      <w:bookmarkEnd w:id="897"/>
      <w:bookmarkEnd w:id="898"/>
      <w:bookmarkEnd w:id="899"/>
      <w:bookmarkEnd w:id="900"/>
      <w:bookmarkEnd w:id="901"/>
      <w:bookmarkEnd w:id="902"/>
      <w:bookmarkEnd w:id="903"/>
      <w:bookmarkEnd w:id="904"/>
      <w:bookmarkEnd w:id="905"/>
      <w:bookmarkEnd w:id="906"/>
    </w:p>
    <w:p w14:paraId="7904DAF2">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发包人应按合同约定及时组织竣工验收。</w:t>
      </w:r>
    </w:p>
    <w:p w14:paraId="3957A9CB">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907" w:name="_Toc351203517"/>
      <w:bookmarkEnd w:id="907"/>
      <w:bookmarkStart w:id="908" w:name="_Toc13952"/>
      <w:bookmarkStart w:id="909" w:name="_Toc12666"/>
      <w:bookmarkStart w:id="910" w:name="_Toc627"/>
      <w:bookmarkStart w:id="911" w:name="_Toc32717"/>
      <w:bookmarkStart w:id="912" w:name="_Toc26193"/>
      <w:bookmarkStart w:id="913" w:name="_Toc27750"/>
      <w:bookmarkStart w:id="914" w:name="_Toc3772"/>
      <w:bookmarkStart w:id="915" w:name="_Toc29791"/>
      <w:bookmarkStart w:id="916" w:name="_Toc19274"/>
      <w:bookmarkStart w:id="917" w:name="_Toc3314"/>
      <w:bookmarkStart w:id="918" w:name="_Toc13699"/>
      <w:bookmarkStart w:id="919" w:name="_Toc24291"/>
      <w:bookmarkStart w:id="920" w:name="_Toc761"/>
      <w:r>
        <w:rPr>
          <w:rFonts w:hint="eastAsia" w:ascii="宋体" w:hAnsi="宋体" w:eastAsia="宋体" w:cs="宋体"/>
          <w:b w:val="0"/>
          <w:bCs w:val="0"/>
          <w:color w:val="auto"/>
          <w:sz w:val="24"/>
          <w:szCs w:val="24"/>
          <w:highlight w:val="none"/>
        </w:rPr>
        <w:t>2.8 现场统一管理协议</w:t>
      </w:r>
      <w:bookmarkEnd w:id="908"/>
      <w:bookmarkEnd w:id="909"/>
      <w:bookmarkEnd w:id="910"/>
      <w:bookmarkEnd w:id="911"/>
      <w:bookmarkEnd w:id="912"/>
      <w:bookmarkEnd w:id="913"/>
      <w:bookmarkEnd w:id="914"/>
      <w:bookmarkEnd w:id="915"/>
      <w:bookmarkEnd w:id="916"/>
      <w:bookmarkEnd w:id="917"/>
      <w:bookmarkEnd w:id="918"/>
      <w:bookmarkEnd w:id="919"/>
      <w:bookmarkEnd w:id="920"/>
    </w:p>
    <w:p w14:paraId="322FE32E">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发包人应与承包人、由发包人直接发包的专业工程的承包人签订施工现场统一管理协议，明确各方的权利义务。施工现场统一管理协议作为专用合同条款的附件。</w:t>
      </w:r>
    </w:p>
    <w:p w14:paraId="5C1AA785">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921" w:name="_Toc351203518"/>
      <w:bookmarkEnd w:id="921"/>
      <w:bookmarkStart w:id="922" w:name="_Toc19739"/>
      <w:bookmarkStart w:id="923" w:name="_Toc3037"/>
      <w:bookmarkStart w:id="924" w:name="_Toc28075"/>
      <w:bookmarkStart w:id="925" w:name="_Toc8003"/>
      <w:bookmarkStart w:id="926" w:name="_Toc27218"/>
      <w:bookmarkStart w:id="927" w:name="_Toc16566"/>
      <w:bookmarkStart w:id="928" w:name="_Toc20644"/>
      <w:bookmarkStart w:id="929" w:name="_Toc15258"/>
      <w:bookmarkStart w:id="930" w:name="_Toc28546"/>
      <w:bookmarkStart w:id="931" w:name="_Toc11684"/>
      <w:bookmarkStart w:id="932" w:name="_Toc22585"/>
      <w:bookmarkStart w:id="933" w:name="_Toc12767"/>
      <w:bookmarkStart w:id="934" w:name="_Toc8643"/>
      <w:bookmarkStart w:id="935" w:name="_Toc5395"/>
      <w:bookmarkStart w:id="936" w:name="_Toc25762"/>
      <w:r>
        <w:rPr>
          <w:rFonts w:hint="eastAsia" w:ascii="宋体" w:hAnsi="宋体" w:eastAsia="宋体" w:cs="宋体"/>
          <w:b w:val="0"/>
          <w:bCs w:val="0"/>
          <w:color w:val="auto"/>
          <w:sz w:val="24"/>
          <w:szCs w:val="24"/>
          <w:highlight w:val="none"/>
        </w:rPr>
        <w:t>3</w:t>
      </w:r>
      <w:bookmarkStart w:id="937" w:name="_Toc296503045"/>
      <w:bookmarkEnd w:id="937"/>
      <w:bookmarkStart w:id="938" w:name="_Toc296346546"/>
      <w:bookmarkEnd w:id="938"/>
      <w:bookmarkStart w:id="939" w:name="_Toc337558746"/>
      <w:r>
        <w:rPr>
          <w:rFonts w:hint="eastAsia" w:ascii="宋体" w:hAnsi="宋体" w:eastAsia="宋体" w:cs="宋体"/>
          <w:b w:val="0"/>
          <w:bCs w:val="0"/>
          <w:color w:val="auto"/>
          <w:sz w:val="24"/>
          <w:szCs w:val="24"/>
          <w:highlight w:val="none"/>
        </w:rPr>
        <w:t>. 承包人</w:t>
      </w:r>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9"/>
    </w:p>
    <w:p w14:paraId="6EA71327">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940" w:name="_Toc351203519"/>
      <w:bookmarkEnd w:id="940"/>
      <w:bookmarkStart w:id="941" w:name="_Toc13010"/>
      <w:bookmarkStart w:id="942" w:name="_Toc5086"/>
      <w:bookmarkStart w:id="943" w:name="_Toc18895"/>
      <w:bookmarkStart w:id="944" w:name="_Toc14686"/>
      <w:bookmarkStart w:id="945" w:name="_Toc28561"/>
      <w:bookmarkStart w:id="946" w:name="_Toc6355"/>
      <w:bookmarkStart w:id="947" w:name="_Toc11209"/>
      <w:bookmarkStart w:id="948" w:name="_Toc1705"/>
      <w:bookmarkStart w:id="949" w:name="_Toc13374"/>
      <w:bookmarkStart w:id="950" w:name="_Toc24158"/>
      <w:bookmarkStart w:id="951" w:name="_Toc6291"/>
      <w:bookmarkStart w:id="952" w:name="_Toc28294"/>
      <w:bookmarkStart w:id="953" w:name="_Toc6822"/>
      <w:r>
        <w:rPr>
          <w:rFonts w:hint="eastAsia" w:ascii="宋体" w:hAnsi="宋体" w:eastAsia="宋体" w:cs="宋体"/>
          <w:b w:val="0"/>
          <w:bCs w:val="0"/>
          <w:color w:val="auto"/>
          <w:sz w:val="24"/>
          <w:szCs w:val="24"/>
          <w:highlight w:val="none"/>
        </w:rPr>
        <w:t>3</w:t>
      </w:r>
      <w:bookmarkStart w:id="954" w:name="_Toc296346547"/>
      <w:bookmarkEnd w:id="954"/>
      <w:bookmarkStart w:id="955" w:name="_Toc296503046"/>
      <w:bookmarkEnd w:id="955"/>
      <w:bookmarkStart w:id="956" w:name="_Toc337558747"/>
      <w:r>
        <w:rPr>
          <w:rFonts w:hint="eastAsia" w:ascii="宋体" w:hAnsi="宋体" w:eastAsia="宋体" w:cs="宋体"/>
          <w:b w:val="0"/>
          <w:bCs w:val="0"/>
          <w:color w:val="auto"/>
          <w:sz w:val="24"/>
          <w:szCs w:val="24"/>
          <w:highlight w:val="none"/>
        </w:rPr>
        <w:t>.1 承包人的一般义务</w:t>
      </w:r>
      <w:bookmarkEnd w:id="941"/>
      <w:bookmarkEnd w:id="942"/>
      <w:bookmarkEnd w:id="943"/>
      <w:bookmarkEnd w:id="944"/>
      <w:bookmarkEnd w:id="945"/>
      <w:bookmarkEnd w:id="946"/>
      <w:bookmarkEnd w:id="947"/>
      <w:bookmarkEnd w:id="948"/>
      <w:bookmarkEnd w:id="949"/>
      <w:bookmarkEnd w:id="950"/>
      <w:bookmarkEnd w:id="951"/>
      <w:bookmarkEnd w:id="952"/>
      <w:bookmarkEnd w:id="953"/>
      <w:bookmarkEnd w:id="956"/>
    </w:p>
    <w:p w14:paraId="5B4B85FA">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承包人在履行合同过程中应遵守法律和工程建设标准规范，并履行以下义务：</w:t>
      </w:r>
    </w:p>
    <w:p w14:paraId="2B3A4A8B">
      <w:pPr>
        <w:pageBreakBefore w:val="0"/>
        <w:widowControl/>
        <w:numPr>
          <w:ilvl w:val="0"/>
          <w:numId w:val="4"/>
        </w:numPr>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办理法律规定应由承包人办理的许可和批准，并将办理结果书面报送发包人留存；</w:t>
      </w:r>
    </w:p>
    <w:p w14:paraId="469BE9C0">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（2）按法律规定和合同约定完成工程，并在保修期内承担保修义务；</w:t>
      </w:r>
    </w:p>
    <w:p w14:paraId="625EC02A">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（3）按法律规定和合同约定采取施工安全和环境保护措施，办理工伤保险，确保工程及人员、材料、设备和设施的安全；</w:t>
      </w:r>
    </w:p>
    <w:p w14:paraId="4BBA832F">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（4）按合同约定的工作内容和施工进度要求，编制施工组织设计和施工措施计划，并对所有施工作业和施工方法的完备性和安全可靠性负责；</w:t>
      </w:r>
    </w:p>
    <w:p w14:paraId="372A5ADB">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414C69D">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（6）按照第6.3款〔环境保护〕约定负责施工场地及其周边环境与生态的保护工作；</w:t>
      </w:r>
    </w:p>
    <w:p w14:paraId="38F223E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（7）按第6.1款〔安全文明施工〕约定采取施工安全措施，确保工程及其人员、材料、设备和设施的安全，防止因工程施工造成的人身伤害和财产损失；</w:t>
      </w:r>
    </w:p>
    <w:p w14:paraId="5782686C">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（8）将发包人按合同约定支付的各项价款专用于合同工程，且应及时支付其雇用人员工资，并及时向分包人支付合同价款；</w:t>
      </w:r>
    </w:p>
    <w:p w14:paraId="381FB221">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（9）按照法律规定和合同约定编制竣工资料，完成竣工资料立卷及归档，并按专用合同条款约定的竣工资料的套数、内容、时间等要求移交发包人；</w:t>
      </w:r>
    </w:p>
    <w:p w14:paraId="4324E20B">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（10）应履行的其他义务。</w:t>
      </w:r>
    </w:p>
    <w:p w14:paraId="04E8B7BB">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957" w:name="_Toc351203520"/>
      <w:bookmarkEnd w:id="957"/>
      <w:bookmarkStart w:id="958" w:name="_Toc9540"/>
      <w:bookmarkStart w:id="959" w:name="_Toc10574"/>
      <w:bookmarkStart w:id="960" w:name="_Toc4394"/>
      <w:bookmarkStart w:id="961" w:name="_Toc30668"/>
      <w:bookmarkStart w:id="962" w:name="_Toc10221"/>
      <w:bookmarkStart w:id="963" w:name="_Toc9309"/>
      <w:bookmarkStart w:id="964" w:name="_Toc30307"/>
      <w:bookmarkStart w:id="965" w:name="_Toc28268"/>
      <w:bookmarkStart w:id="966" w:name="_Toc15928"/>
      <w:bookmarkStart w:id="967" w:name="_Toc32266"/>
      <w:bookmarkStart w:id="968" w:name="_Toc24650"/>
      <w:bookmarkStart w:id="969" w:name="_Toc23196"/>
      <w:bookmarkStart w:id="970" w:name="_Toc29078"/>
      <w:r>
        <w:rPr>
          <w:rFonts w:hint="eastAsia" w:ascii="宋体" w:hAnsi="宋体" w:eastAsia="宋体" w:cs="宋体"/>
          <w:b w:val="0"/>
          <w:bCs w:val="0"/>
          <w:color w:val="auto"/>
          <w:sz w:val="24"/>
          <w:szCs w:val="24"/>
          <w:highlight w:val="none"/>
        </w:rPr>
        <w:t>3</w:t>
      </w:r>
      <w:bookmarkStart w:id="971" w:name="_Toc296503047"/>
      <w:bookmarkEnd w:id="971"/>
      <w:bookmarkStart w:id="972" w:name="_Toc296346548"/>
      <w:bookmarkEnd w:id="972"/>
      <w:bookmarkStart w:id="973" w:name="_Toc337558748"/>
      <w:r>
        <w:rPr>
          <w:rFonts w:hint="eastAsia" w:ascii="宋体" w:hAnsi="宋体" w:eastAsia="宋体" w:cs="宋体"/>
          <w:b w:val="0"/>
          <w:bCs w:val="0"/>
          <w:color w:val="auto"/>
          <w:sz w:val="24"/>
          <w:szCs w:val="24"/>
          <w:highlight w:val="none"/>
        </w:rPr>
        <w:t xml:space="preserve">.2 </w:t>
      </w:r>
      <w:bookmarkEnd w:id="973"/>
      <w:r>
        <w:rPr>
          <w:rFonts w:hint="eastAsia" w:ascii="宋体" w:hAnsi="宋体" w:eastAsia="宋体" w:cs="宋体"/>
          <w:b w:val="0"/>
          <w:bCs w:val="0"/>
          <w:color w:val="auto"/>
          <w:sz w:val="24"/>
          <w:szCs w:val="24"/>
          <w:highlight w:val="none"/>
        </w:rPr>
        <w:t>项目经理</w:t>
      </w:r>
      <w:bookmarkEnd w:id="958"/>
      <w:bookmarkEnd w:id="959"/>
      <w:bookmarkEnd w:id="960"/>
      <w:bookmarkEnd w:id="961"/>
      <w:bookmarkEnd w:id="962"/>
      <w:bookmarkEnd w:id="963"/>
      <w:bookmarkEnd w:id="964"/>
      <w:bookmarkEnd w:id="965"/>
      <w:bookmarkEnd w:id="966"/>
      <w:bookmarkEnd w:id="967"/>
      <w:bookmarkEnd w:id="968"/>
      <w:bookmarkEnd w:id="969"/>
      <w:bookmarkEnd w:id="970"/>
    </w:p>
    <w:p w14:paraId="1095F665">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10D046DC">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4D38228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承包人违反上述约定的，应按照专用合同条款的约定，承担违约责任。</w:t>
      </w:r>
    </w:p>
    <w:p w14:paraId="41A1AD7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4760E733">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5F5FAD70">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49EE3029">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3.2.5 项目经理因特殊情况授权其下属人员履行其某项工作职责的，该下属人员应具备履行相应职责的能力，并应提前7天将上述人员的姓名和授权范围书面通知监理人，并征得发包人书面同意。</w:t>
      </w:r>
    </w:p>
    <w:p w14:paraId="26F23152">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974" w:name="_Toc351203521"/>
      <w:bookmarkEnd w:id="974"/>
      <w:bookmarkStart w:id="975" w:name="_Toc26978"/>
      <w:bookmarkStart w:id="976" w:name="_Toc31741"/>
      <w:bookmarkStart w:id="977" w:name="_Toc23147"/>
      <w:bookmarkStart w:id="978" w:name="_Toc2814"/>
      <w:bookmarkStart w:id="979" w:name="_Toc23859"/>
      <w:bookmarkStart w:id="980" w:name="_Toc20319"/>
      <w:bookmarkStart w:id="981" w:name="_Toc1477"/>
      <w:bookmarkStart w:id="982" w:name="_Toc15154"/>
      <w:bookmarkStart w:id="983" w:name="_Toc2953"/>
      <w:bookmarkStart w:id="984" w:name="_Toc3144"/>
      <w:bookmarkStart w:id="985" w:name="_Toc27525"/>
      <w:bookmarkStart w:id="986" w:name="_Toc23513"/>
      <w:bookmarkStart w:id="987" w:name="_Toc29335"/>
      <w:r>
        <w:rPr>
          <w:rFonts w:hint="eastAsia" w:ascii="宋体" w:hAnsi="宋体" w:eastAsia="宋体" w:cs="宋体"/>
          <w:b w:val="0"/>
          <w:bCs w:val="0"/>
          <w:color w:val="auto"/>
          <w:sz w:val="24"/>
          <w:szCs w:val="24"/>
          <w:highlight w:val="none"/>
        </w:rPr>
        <w:t>3</w:t>
      </w:r>
      <w:bookmarkStart w:id="988" w:name="_Toc296503048"/>
      <w:bookmarkEnd w:id="988"/>
      <w:bookmarkStart w:id="989" w:name="_Toc296346549"/>
      <w:bookmarkEnd w:id="989"/>
      <w:bookmarkStart w:id="990" w:name="_Toc337558749"/>
      <w:r>
        <w:rPr>
          <w:rFonts w:hint="eastAsia" w:ascii="宋体" w:hAnsi="宋体" w:eastAsia="宋体" w:cs="宋体"/>
          <w:b w:val="0"/>
          <w:bCs w:val="0"/>
          <w:color w:val="auto"/>
          <w:sz w:val="24"/>
          <w:szCs w:val="24"/>
          <w:highlight w:val="none"/>
        </w:rPr>
        <w:t xml:space="preserve">.3 </w:t>
      </w:r>
      <w:bookmarkEnd w:id="990"/>
      <w:r>
        <w:rPr>
          <w:rFonts w:hint="eastAsia" w:ascii="宋体" w:hAnsi="宋体" w:eastAsia="宋体" w:cs="宋体"/>
          <w:b w:val="0"/>
          <w:bCs w:val="0"/>
          <w:color w:val="auto"/>
          <w:sz w:val="24"/>
          <w:szCs w:val="24"/>
          <w:highlight w:val="none"/>
        </w:rPr>
        <w:t>承包人人员</w:t>
      </w:r>
      <w:bookmarkEnd w:id="975"/>
      <w:bookmarkEnd w:id="976"/>
      <w:bookmarkEnd w:id="977"/>
      <w:bookmarkEnd w:id="978"/>
      <w:bookmarkEnd w:id="979"/>
      <w:bookmarkEnd w:id="980"/>
      <w:bookmarkEnd w:id="981"/>
      <w:bookmarkEnd w:id="982"/>
      <w:bookmarkEnd w:id="983"/>
      <w:bookmarkEnd w:id="984"/>
      <w:bookmarkEnd w:id="985"/>
      <w:bookmarkEnd w:id="986"/>
      <w:bookmarkEnd w:id="987"/>
    </w:p>
    <w:p w14:paraId="3C9BBA9E">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76050D4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6F2C225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特殊工种作业人员均应持有相应的资格证明，监理人可以随时检查。</w:t>
      </w:r>
    </w:p>
    <w:p w14:paraId="1F75FBB9">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57DE175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45ECBB0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3.3.5 承包人擅自更换主要施工管理人员，或前述人员未经监理人或发包人同意擅自离开施工现场的，应按照专用合同条款约定承担违约责任。</w:t>
      </w:r>
    </w:p>
    <w:p w14:paraId="15DB78A0">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991" w:name="_Toc351203522"/>
      <w:bookmarkEnd w:id="991"/>
      <w:bookmarkStart w:id="992" w:name="_Toc2799"/>
      <w:bookmarkStart w:id="993" w:name="_Toc3013"/>
      <w:bookmarkStart w:id="994" w:name="_Toc3910"/>
      <w:bookmarkStart w:id="995" w:name="_Toc21577"/>
      <w:bookmarkStart w:id="996" w:name="_Toc708"/>
      <w:bookmarkStart w:id="997" w:name="_Toc18130"/>
      <w:bookmarkStart w:id="998" w:name="_Toc19397"/>
      <w:bookmarkStart w:id="999" w:name="_Toc14280"/>
      <w:bookmarkStart w:id="1000" w:name="_Toc23090"/>
      <w:bookmarkStart w:id="1001" w:name="_Toc1489"/>
      <w:bookmarkStart w:id="1002" w:name="_Toc20722"/>
      <w:bookmarkStart w:id="1003" w:name="_Toc16630"/>
      <w:bookmarkStart w:id="1004" w:name="_Toc25686"/>
      <w:r>
        <w:rPr>
          <w:rFonts w:hint="eastAsia" w:ascii="宋体" w:hAnsi="宋体" w:eastAsia="宋体" w:cs="宋体"/>
          <w:b w:val="0"/>
          <w:bCs w:val="0"/>
          <w:color w:val="auto"/>
          <w:sz w:val="24"/>
          <w:szCs w:val="24"/>
          <w:highlight w:val="none"/>
        </w:rPr>
        <w:t>3</w:t>
      </w:r>
      <w:bookmarkStart w:id="1005" w:name="_Toc296346551"/>
      <w:bookmarkEnd w:id="1005"/>
      <w:bookmarkStart w:id="1006" w:name="_Toc296503050"/>
      <w:bookmarkEnd w:id="1006"/>
      <w:bookmarkStart w:id="1007" w:name="_Toc337558750"/>
      <w:r>
        <w:rPr>
          <w:rFonts w:hint="eastAsia" w:ascii="宋体" w:hAnsi="宋体" w:eastAsia="宋体" w:cs="宋体"/>
          <w:b w:val="0"/>
          <w:bCs w:val="0"/>
          <w:color w:val="auto"/>
          <w:sz w:val="24"/>
          <w:szCs w:val="24"/>
          <w:highlight w:val="none"/>
        </w:rPr>
        <w:t>.4 承包人现场查勘</w:t>
      </w:r>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7"/>
    </w:p>
    <w:p w14:paraId="71B5FB02">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承包人应对基于发包人按照第2.4.3项〔提供基础资料〕提交的基础资料所做出的解释和推断负责，但因基础资料存在错误、遗漏导致承包人解释或推断失实的，由发包人承担责任。</w:t>
      </w:r>
    </w:p>
    <w:p w14:paraId="12724DF7">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对施工现场和施工条件进行查勘，并充分了解工程所在地的气象条件、交通条件、风俗习惯以及其他与完成合同工作有关的其他资料。因承包人未能充分查勘、了解前述情况或未能充分估计前述情况所可能产</w:t>
      </w:r>
      <w:r>
        <w:rPr>
          <w:rFonts w:hint="eastAsia" w:ascii="宋体" w:hAnsi="宋体" w:cs="宋体"/>
          <w:color w:val="auto"/>
          <w:kern w:val="0"/>
          <w:sz w:val="24"/>
          <w:szCs w:val="24"/>
          <w:highlight w:val="none"/>
          <w:lang w:eastAsia="zh-CN"/>
        </w:rPr>
        <w:t>生的</w:t>
      </w:r>
      <w:r>
        <w:rPr>
          <w:rFonts w:hint="eastAsia" w:ascii="宋体" w:hAnsi="宋体" w:eastAsia="宋体" w:cs="宋体"/>
          <w:color w:val="auto"/>
          <w:kern w:val="0"/>
          <w:sz w:val="24"/>
          <w:szCs w:val="24"/>
          <w:highlight w:val="none"/>
        </w:rPr>
        <w:t>后果的，承包人承担由此增加的费用和（或）延误的工期。</w:t>
      </w:r>
    </w:p>
    <w:p w14:paraId="1A0AAFE1">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008" w:name="_Toc351203523"/>
      <w:bookmarkEnd w:id="1008"/>
      <w:bookmarkStart w:id="1009" w:name="_Toc27549"/>
      <w:bookmarkStart w:id="1010" w:name="_Toc10678"/>
      <w:bookmarkStart w:id="1011" w:name="_Toc4235"/>
      <w:bookmarkStart w:id="1012" w:name="_Toc24935"/>
      <w:bookmarkStart w:id="1013" w:name="_Toc18697"/>
      <w:bookmarkStart w:id="1014" w:name="_Toc11073"/>
      <w:bookmarkStart w:id="1015" w:name="_Toc14070"/>
      <w:bookmarkStart w:id="1016" w:name="_Toc6916"/>
      <w:bookmarkStart w:id="1017" w:name="_Toc13992"/>
      <w:bookmarkStart w:id="1018" w:name="_Toc26208"/>
      <w:bookmarkStart w:id="1019" w:name="_Toc17587"/>
      <w:bookmarkStart w:id="1020" w:name="_Toc5244"/>
      <w:bookmarkStart w:id="1021" w:name="_Toc24070"/>
      <w:r>
        <w:rPr>
          <w:rFonts w:hint="eastAsia" w:ascii="宋体" w:hAnsi="宋体" w:eastAsia="宋体" w:cs="宋体"/>
          <w:b w:val="0"/>
          <w:bCs w:val="0"/>
          <w:color w:val="auto"/>
          <w:sz w:val="24"/>
          <w:szCs w:val="24"/>
          <w:highlight w:val="none"/>
        </w:rPr>
        <w:t>3</w:t>
      </w:r>
      <w:bookmarkStart w:id="1022" w:name="_Toc296503051"/>
      <w:bookmarkEnd w:id="1022"/>
      <w:bookmarkStart w:id="1023" w:name="_Toc296346552"/>
      <w:bookmarkEnd w:id="1023"/>
      <w:bookmarkStart w:id="1024" w:name="_Toc337558751"/>
      <w:r>
        <w:rPr>
          <w:rFonts w:hint="eastAsia" w:ascii="宋体" w:hAnsi="宋体" w:eastAsia="宋体" w:cs="宋体"/>
          <w:b w:val="0"/>
          <w:bCs w:val="0"/>
          <w:color w:val="auto"/>
          <w:sz w:val="24"/>
          <w:szCs w:val="24"/>
          <w:highlight w:val="none"/>
        </w:rPr>
        <w:t>.5 分包</w:t>
      </w:r>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4"/>
    </w:p>
    <w:p w14:paraId="161CC3EA">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3.5.1 分包的一般约定</w:t>
      </w:r>
    </w:p>
    <w:p w14:paraId="7022EE8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7BE143B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承包人不得以劳务分包的名义转包或违法分包工程。</w:t>
      </w:r>
    </w:p>
    <w:p w14:paraId="6415F42D">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3.5.2 分包的确定</w:t>
      </w:r>
    </w:p>
    <w:p w14:paraId="1D975E4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09E220B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3.5.3 分包管理</w:t>
      </w:r>
    </w:p>
    <w:p w14:paraId="62E3E75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承包人应向监理人提交分包人的主要施工管理人员表，并对分包人的施工人员进行实名制管理，包括但不限于进出场管理、登记造册以及各种证照的办理。</w:t>
      </w:r>
    </w:p>
    <w:p w14:paraId="14C3E41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3.5.4 分包合同价款</w:t>
      </w:r>
    </w:p>
    <w:p w14:paraId="5F20EF2B">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（1）除本项第（2）目约定的情况或专用合同条款另有约定外，分包合同价款由承包人与分包人结算，未经承包人同意，发包人不得向分包人支付分包工程价款；</w:t>
      </w:r>
    </w:p>
    <w:p w14:paraId="5998397C">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（2）生效法律文书要求发包人向分包人支付分包合同价款的，发包人有权从应付承包人工程款中扣除该部分款项。</w:t>
      </w:r>
    </w:p>
    <w:p w14:paraId="68B0811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3.5.5 分包合同权益的转让</w:t>
      </w:r>
    </w:p>
    <w:p w14:paraId="333B4C27">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025" w:name="_Toc351203524"/>
      <w:bookmarkEnd w:id="1025"/>
    </w:p>
    <w:p w14:paraId="3E2C86AC">
      <w:pPr>
        <w:pStyle w:val="6"/>
        <w:pageBreakBefore w:val="0"/>
        <w:widowControl/>
        <w:kinsoku/>
        <w:wordWrap/>
        <w:overflowPunct/>
        <w:topLinePunct w:val="0"/>
        <w:autoSpaceDE/>
        <w:autoSpaceDN/>
        <w:bidi w:val="0"/>
        <w:adjustRightInd/>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026" w:name="_Toc12168"/>
      <w:bookmarkStart w:id="1027" w:name="_Toc27757"/>
      <w:bookmarkStart w:id="1028" w:name="_Toc28832"/>
      <w:bookmarkStart w:id="1029" w:name="_Toc53"/>
      <w:bookmarkStart w:id="1030" w:name="_Toc17198"/>
      <w:bookmarkStart w:id="1031" w:name="_Toc31305"/>
      <w:bookmarkStart w:id="1032" w:name="_Toc16707"/>
      <w:bookmarkStart w:id="1033" w:name="_Toc10445"/>
      <w:bookmarkStart w:id="1034" w:name="_Toc27472"/>
      <w:bookmarkStart w:id="1035" w:name="_Toc17743"/>
      <w:bookmarkStart w:id="1036" w:name="_Toc31138"/>
      <w:bookmarkStart w:id="1037" w:name="_Toc2588"/>
      <w:bookmarkStart w:id="1038" w:name="_Toc2589"/>
      <w:r>
        <w:rPr>
          <w:rFonts w:hint="eastAsia" w:ascii="宋体" w:hAnsi="宋体" w:eastAsia="宋体" w:cs="宋体"/>
          <w:b w:val="0"/>
          <w:bCs w:val="0"/>
          <w:color w:val="auto"/>
          <w:sz w:val="24"/>
          <w:szCs w:val="24"/>
          <w:highlight w:val="none"/>
        </w:rPr>
        <w:t>3.6 工程照管与成品、半成品保护</w:t>
      </w:r>
      <w:bookmarkEnd w:id="1026"/>
      <w:bookmarkEnd w:id="1027"/>
      <w:bookmarkEnd w:id="1028"/>
      <w:bookmarkEnd w:id="1029"/>
      <w:bookmarkEnd w:id="1030"/>
      <w:bookmarkEnd w:id="1031"/>
      <w:bookmarkEnd w:id="1032"/>
      <w:bookmarkEnd w:id="1033"/>
      <w:bookmarkEnd w:id="1034"/>
      <w:bookmarkEnd w:id="1035"/>
      <w:bookmarkEnd w:id="1036"/>
      <w:bookmarkEnd w:id="1037"/>
      <w:bookmarkEnd w:id="1038"/>
    </w:p>
    <w:p w14:paraId="426BE5EB">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（1）除专用合同条款另有约定外，自发包人向承包人移交施工现场之日起，承包人应负责照管工程及工程相关的材料、工程设备，直到颁发工程接收证书之日止。</w:t>
      </w:r>
    </w:p>
    <w:p w14:paraId="4EEC7F9E">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（2）在承包人负责照管期间，因承包人原因造成工程、材料、工程设备损坏的，由承包人负责修复或更换，并承担由此增加的费用和（或）延误的工期。</w:t>
      </w:r>
    </w:p>
    <w:p w14:paraId="3A9924BC">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（3）对合同内分期完成的成品和半成品，在工程接收证书颁发前，由承包人承担保护责任。因承包人原因造成成品或半成品损坏的，由承包人负责修复或更换，并承担由此增加的费用和（或）延误的工期。</w:t>
      </w:r>
    </w:p>
    <w:p w14:paraId="55259C1B">
      <w:pPr>
        <w:pStyle w:val="6"/>
        <w:pageBreakBefore w:val="0"/>
        <w:widowControl/>
        <w:kinsoku/>
        <w:wordWrap/>
        <w:overflowPunct/>
        <w:topLinePunct w:val="0"/>
        <w:autoSpaceDE/>
        <w:autoSpaceDN/>
        <w:bidi w:val="0"/>
        <w:adjustRightInd/>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039" w:name="_Toc351203525"/>
      <w:bookmarkEnd w:id="1039"/>
      <w:bookmarkStart w:id="1040" w:name="_Toc14771"/>
      <w:bookmarkStart w:id="1041" w:name="_Toc10784"/>
      <w:bookmarkStart w:id="1042" w:name="_Toc9082"/>
      <w:bookmarkStart w:id="1043" w:name="_Toc8678"/>
      <w:bookmarkStart w:id="1044" w:name="_Toc21891"/>
      <w:bookmarkStart w:id="1045" w:name="_Toc25896"/>
      <w:bookmarkStart w:id="1046" w:name="_Toc15250"/>
      <w:bookmarkStart w:id="1047" w:name="_Toc5366"/>
      <w:bookmarkStart w:id="1048" w:name="_Toc21491"/>
      <w:bookmarkStart w:id="1049" w:name="_Toc29682"/>
      <w:bookmarkStart w:id="1050" w:name="_Toc13614"/>
      <w:bookmarkStart w:id="1051" w:name="_Toc5649"/>
      <w:bookmarkStart w:id="1052" w:name="_Toc17297"/>
      <w:r>
        <w:rPr>
          <w:rFonts w:hint="eastAsia" w:ascii="宋体" w:hAnsi="宋体" w:eastAsia="宋体" w:cs="宋体"/>
          <w:b w:val="0"/>
          <w:bCs w:val="0"/>
          <w:color w:val="auto"/>
          <w:sz w:val="24"/>
          <w:szCs w:val="24"/>
          <w:highlight w:val="none"/>
        </w:rPr>
        <w:t>3</w:t>
      </w:r>
      <w:bookmarkStart w:id="1053" w:name="_Toc296346553"/>
      <w:bookmarkEnd w:id="1053"/>
      <w:bookmarkStart w:id="1054" w:name="_Toc296503052"/>
      <w:bookmarkEnd w:id="1054"/>
      <w:bookmarkStart w:id="1055" w:name="_Toc337558752"/>
      <w:r>
        <w:rPr>
          <w:rFonts w:hint="eastAsia" w:ascii="宋体" w:hAnsi="宋体" w:eastAsia="宋体" w:cs="宋体"/>
          <w:b w:val="0"/>
          <w:bCs w:val="0"/>
          <w:color w:val="auto"/>
          <w:sz w:val="24"/>
          <w:szCs w:val="24"/>
          <w:highlight w:val="none"/>
        </w:rPr>
        <w:t>.7 履约担保</w:t>
      </w:r>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5"/>
    </w:p>
    <w:p w14:paraId="1AE3E35B">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304293BB">
      <w:pPr>
        <w:pageBreakBefore w:val="0"/>
        <w:widowControl/>
        <w:kinsoku/>
        <w:wordWrap/>
        <w:overflowPunct/>
        <w:topLinePunct w:val="0"/>
        <w:autoSpaceDE w:val="0"/>
        <w:autoSpaceDN w:val="0"/>
        <w:bidi w:val="0"/>
        <w:adjustRightInd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因承包人原因导致工期延长的，继续提供履约担保所增加的费用由承包人承担；非因承包人原因导致工期延长的，继续提供履约担保所增加的费用由发包人承担。</w:t>
      </w:r>
    </w:p>
    <w:p w14:paraId="0B8A17A1">
      <w:pPr>
        <w:pStyle w:val="6"/>
        <w:pageBreakBefore w:val="0"/>
        <w:widowControl/>
        <w:kinsoku/>
        <w:wordWrap/>
        <w:overflowPunct/>
        <w:topLinePunct w:val="0"/>
        <w:bidi w:val="0"/>
        <w:snapToGrid w:val="0"/>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056" w:name="_Toc351203526"/>
      <w:bookmarkEnd w:id="1056"/>
      <w:bookmarkStart w:id="1057" w:name="_Toc26662"/>
      <w:bookmarkStart w:id="1058" w:name="_Toc24816"/>
      <w:bookmarkStart w:id="1059" w:name="_Toc17418"/>
      <w:bookmarkStart w:id="1060" w:name="_Toc18776"/>
      <w:bookmarkStart w:id="1061" w:name="_Toc15030"/>
      <w:bookmarkStart w:id="1062" w:name="_Toc5082"/>
      <w:bookmarkStart w:id="1063" w:name="_Toc11865"/>
      <w:bookmarkStart w:id="1064" w:name="_Toc14146"/>
      <w:bookmarkStart w:id="1065" w:name="_Toc28630"/>
      <w:bookmarkStart w:id="1066" w:name="_Toc7719"/>
      <w:bookmarkStart w:id="1067" w:name="_Toc21154"/>
      <w:bookmarkStart w:id="1068" w:name="_Toc24681"/>
      <w:bookmarkStart w:id="1069" w:name="_Toc5639"/>
      <w:r>
        <w:rPr>
          <w:rFonts w:hint="eastAsia" w:ascii="宋体" w:hAnsi="宋体" w:eastAsia="宋体" w:cs="宋体"/>
          <w:b w:val="0"/>
          <w:bCs w:val="0"/>
          <w:color w:val="auto"/>
          <w:sz w:val="24"/>
          <w:szCs w:val="24"/>
          <w:highlight w:val="none"/>
        </w:rPr>
        <w:t>3.8 联合体</w:t>
      </w:r>
      <w:bookmarkEnd w:id="1057"/>
      <w:bookmarkEnd w:id="1058"/>
      <w:bookmarkEnd w:id="1059"/>
      <w:bookmarkEnd w:id="1060"/>
      <w:bookmarkEnd w:id="1061"/>
      <w:bookmarkEnd w:id="1062"/>
      <w:bookmarkEnd w:id="1063"/>
      <w:bookmarkEnd w:id="1064"/>
      <w:bookmarkEnd w:id="1065"/>
      <w:bookmarkEnd w:id="1066"/>
      <w:bookmarkEnd w:id="1067"/>
      <w:bookmarkEnd w:id="1068"/>
      <w:bookmarkEnd w:id="1069"/>
    </w:p>
    <w:p w14:paraId="2E51E7DF">
      <w:pPr>
        <w:pageBreakBefore w:val="0"/>
        <w:widowControl/>
        <w:kinsoku/>
        <w:wordWrap/>
        <w:overflowPunct/>
        <w:topLinePunct w:val="0"/>
        <w:autoSpaceDE w:val="0"/>
        <w:autoSpaceDN w:val="0"/>
        <w:bidi w:val="0"/>
        <w:adjustRightInd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3.8.1 联合体各方应共同与发包人签订合同协议书。联合体各方应为履行合同向发包人承担连带责任。</w:t>
      </w:r>
    </w:p>
    <w:p w14:paraId="684D3B18">
      <w:pPr>
        <w:pageBreakBefore w:val="0"/>
        <w:widowControl/>
        <w:kinsoku/>
        <w:wordWrap/>
        <w:overflowPunct/>
        <w:topLinePunct w:val="0"/>
        <w:autoSpaceDE w:val="0"/>
        <w:autoSpaceDN w:val="0"/>
        <w:bidi w:val="0"/>
        <w:adjustRightInd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3.8.2 联合体协议经发包人确认后作为合同附件。在履行合同过程中，未经发包人同意，不得修改联合体协议。</w:t>
      </w:r>
    </w:p>
    <w:p w14:paraId="648A39F7">
      <w:pPr>
        <w:pageBreakBefore w:val="0"/>
        <w:widowControl/>
        <w:kinsoku/>
        <w:wordWrap/>
        <w:overflowPunct/>
        <w:topLinePunct w:val="0"/>
        <w:autoSpaceDE w:val="0"/>
        <w:autoSpaceDN w:val="0"/>
        <w:bidi w:val="0"/>
        <w:adjustRightInd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3.8.3 联合体牵头人负责与发包人和监理人联系，并接受指示，负责组织联合体各成员全面履行合同。</w:t>
      </w:r>
    </w:p>
    <w:p w14:paraId="02BA9752">
      <w:pPr>
        <w:pStyle w:val="5"/>
        <w:pageBreakBefore w:val="0"/>
        <w:widowControl/>
        <w:kinsoku/>
        <w:wordWrap/>
        <w:overflowPunct/>
        <w:topLinePunct w:val="0"/>
        <w:bidi w:val="0"/>
        <w:snapToGrid w:val="0"/>
        <w:spacing w:before="0" w:after="0" w:line="240" w:lineRule="auto"/>
        <w:textAlignment w:val="auto"/>
        <w:outlineLvl w:val="1"/>
        <w:rPr>
          <w:rFonts w:hint="eastAsia" w:ascii="宋体" w:hAnsi="宋体" w:eastAsia="宋体" w:cs="宋体"/>
          <w:b w:val="0"/>
          <w:bCs w:val="0"/>
          <w:color w:val="auto"/>
          <w:sz w:val="24"/>
          <w:szCs w:val="24"/>
          <w:highlight w:val="none"/>
        </w:rPr>
      </w:pPr>
      <w:bookmarkStart w:id="1070" w:name="_Toc351203527"/>
      <w:bookmarkEnd w:id="1070"/>
      <w:bookmarkStart w:id="1071" w:name="_Toc29641"/>
      <w:bookmarkStart w:id="1072" w:name="_Toc4894"/>
      <w:bookmarkStart w:id="1073" w:name="_Toc17500"/>
      <w:bookmarkStart w:id="1074" w:name="_Toc23993"/>
      <w:bookmarkStart w:id="1075" w:name="_Toc20088"/>
      <w:bookmarkStart w:id="1076" w:name="_Toc7021"/>
      <w:bookmarkStart w:id="1077" w:name="_Toc7759"/>
      <w:bookmarkStart w:id="1078" w:name="_Toc9715"/>
      <w:bookmarkStart w:id="1079" w:name="_Toc12642"/>
      <w:bookmarkStart w:id="1080" w:name="_Toc22316"/>
      <w:bookmarkStart w:id="1081" w:name="_Toc19141"/>
      <w:bookmarkStart w:id="1082" w:name="_Toc22383"/>
      <w:bookmarkStart w:id="1083" w:name="_Toc26106"/>
      <w:bookmarkStart w:id="1084" w:name="_Toc15863"/>
      <w:bookmarkStart w:id="1085" w:name="_Toc6569"/>
      <w:r>
        <w:rPr>
          <w:rFonts w:hint="eastAsia" w:ascii="宋体" w:hAnsi="宋体" w:eastAsia="宋体" w:cs="宋体"/>
          <w:b w:val="0"/>
          <w:bCs w:val="0"/>
          <w:color w:val="auto"/>
          <w:sz w:val="24"/>
          <w:szCs w:val="24"/>
          <w:highlight w:val="none"/>
        </w:rPr>
        <w:t>4</w:t>
      </w:r>
      <w:bookmarkStart w:id="1086" w:name="_Toc296503053"/>
      <w:bookmarkEnd w:id="1086"/>
      <w:bookmarkStart w:id="1087" w:name="_Toc296346554"/>
      <w:bookmarkEnd w:id="1087"/>
      <w:bookmarkStart w:id="1088" w:name="_Toc337558753"/>
      <w:r>
        <w:rPr>
          <w:rFonts w:hint="eastAsia" w:ascii="宋体" w:hAnsi="宋体" w:eastAsia="宋体" w:cs="宋体"/>
          <w:b w:val="0"/>
          <w:bCs w:val="0"/>
          <w:color w:val="auto"/>
          <w:sz w:val="24"/>
          <w:szCs w:val="24"/>
          <w:highlight w:val="none"/>
        </w:rPr>
        <w:t>. 监</w:t>
      </w:r>
      <w:bookmarkEnd w:id="1088"/>
      <w:r>
        <w:rPr>
          <w:rFonts w:hint="eastAsia" w:ascii="宋体" w:hAnsi="宋体" w:eastAsia="宋体" w:cs="宋体"/>
          <w:b w:val="0"/>
          <w:bCs w:val="0"/>
          <w:color w:val="auto"/>
          <w:sz w:val="24"/>
          <w:szCs w:val="24"/>
          <w:highlight w:val="none"/>
        </w:rPr>
        <w:t>理人</w:t>
      </w:r>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p>
    <w:p w14:paraId="1D581FCB">
      <w:pPr>
        <w:pStyle w:val="6"/>
        <w:pageBreakBefore w:val="0"/>
        <w:widowControl/>
        <w:kinsoku/>
        <w:wordWrap/>
        <w:overflowPunct/>
        <w:topLinePunct w:val="0"/>
        <w:bidi w:val="0"/>
        <w:snapToGrid w:val="0"/>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089" w:name="_Toc351203528"/>
      <w:bookmarkEnd w:id="1089"/>
      <w:bookmarkStart w:id="1090" w:name="_Toc2084"/>
      <w:bookmarkStart w:id="1091" w:name="_Toc11304"/>
      <w:bookmarkStart w:id="1092" w:name="_Toc29262"/>
      <w:bookmarkStart w:id="1093" w:name="_Toc29520"/>
      <w:bookmarkStart w:id="1094" w:name="_Toc15398"/>
      <w:bookmarkStart w:id="1095" w:name="_Toc12782"/>
      <w:bookmarkStart w:id="1096" w:name="_Toc19326"/>
      <w:bookmarkStart w:id="1097" w:name="_Toc7022"/>
      <w:bookmarkStart w:id="1098" w:name="_Toc27352"/>
      <w:bookmarkStart w:id="1099" w:name="_Toc31483"/>
      <w:bookmarkStart w:id="1100" w:name="_Toc30577"/>
      <w:bookmarkStart w:id="1101" w:name="_Toc1541"/>
      <w:bookmarkStart w:id="1102" w:name="_Toc24138"/>
      <w:r>
        <w:rPr>
          <w:rFonts w:hint="eastAsia" w:ascii="宋体" w:hAnsi="宋体" w:eastAsia="宋体" w:cs="宋体"/>
          <w:b w:val="0"/>
          <w:bCs w:val="0"/>
          <w:color w:val="auto"/>
          <w:sz w:val="24"/>
          <w:szCs w:val="24"/>
          <w:highlight w:val="none"/>
        </w:rPr>
        <w:t>4</w:t>
      </w:r>
      <w:bookmarkStart w:id="1103" w:name="_Toc296346555"/>
      <w:bookmarkEnd w:id="1103"/>
      <w:bookmarkStart w:id="1104" w:name="_Toc296503054"/>
      <w:bookmarkEnd w:id="1104"/>
      <w:bookmarkStart w:id="1105" w:name="_Toc337558754"/>
      <w:r>
        <w:rPr>
          <w:rFonts w:hint="eastAsia" w:ascii="宋体" w:hAnsi="宋体" w:eastAsia="宋体" w:cs="宋体"/>
          <w:b w:val="0"/>
          <w:bCs w:val="0"/>
          <w:color w:val="auto"/>
          <w:sz w:val="24"/>
          <w:szCs w:val="24"/>
          <w:highlight w:val="none"/>
        </w:rPr>
        <w:t>.1监理人的一般规定</w:t>
      </w:r>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5"/>
    </w:p>
    <w:p w14:paraId="58DB047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6F9763B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除专用合同条款另有约定外，监理人在施工现场的办公场所、生活场所由承包人提供，所发生的费用由发包人承担。</w:t>
      </w:r>
    </w:p>
    <w:p w14:paraId="5783BE3F">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106" w:name="_Toc351203529"/>
      <w:bookmarkEnd w:id="1106"/>
      <w:bookmarkStart w:id="1107" w:name="_Toc13785"/>
      <w:bookmarkStart w:id="1108" w:name="_Toc31409"/>
      <w:bookmarkStart w:id="1109" w:name="_Toc19590"/>
      <w:bookmarkStart w:id="1110" w:name="_Toc1568"/>
      <w:bookmarkStart w:id="1111" w:name="_Toc32173"/>
      <w:bookmarkStart w:id="1112" w:name="_Toc8114"/>
      <w:bookmarkStart w:id="1113" w:name="_Toc2036"/>
      <w:bookmarkStart w:id="1114" w:name="_Toc12209"/>
      <w:bookmarkStart w:id="1115" w:name="_Toc399"/>
      <w:bookmarkStart w:id="1116" w:name="_Toc18293"/>
      <w:bookmarkStart w:id="1117" w:name="_Toc26384"/>
      <w:bookmarkStart w:id="1118" w:name="_Toc9935"/>
      <w:bookmarkStart w:id="1119" w:name="_Toc11348"/>
      <w:r>
        <w:rPr>
          <w:rFonts w:hint="eastAsia" w:ascii="宋体" w:hAnsi="宋体" w:eastAsia="宋体" w:cs="宋体"/>
          <w:b w:val="0"/>
          <w:bCs w:val="0"/>
          <w:color w:val="auto"/>
          <w:sz w:val="24"/>
          <w:szCs w:val="24"/>
          <w:highlight w:val="none"/>
        </w:rPr>
        <w:t>4</w:t>
      </w:r>
      <w:bookmarkStart w:id="1120" w:name="_Toc337558755"/>
      <w:r>
        <w:rPr>
          <w:rFonts w:hint="eastAsia" w:ascii="宋体" w:hAnsi="宋体" w:eastAsia="宋体" w:cs="宋体"/>
          <w:b w:val="0"/>
          <w:bCs w:val="0"/>
          <w:color w:val="auto"/>
          <w:sz w:val="24"/>
          <w:szCs w:val="24"/>
          <w:highlight w:val="none"/>
        </w:rPr>
        <w:t>.2监理人员</w:t>
      </w:r>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p>
    <w:p w14:paraId="199AFD9E">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25D2C998">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121" w:name="_Toc351203530"/>
      <w:bookmarkEnd w:id="1121"/>
      <w:bookmarkStart w:id="1122" w:name="_Toc11776"/>
      <w:bookmarkStart w:id="1123" w:name="_Toc9286"/>
      <w:bookmarkStart w:id="1124" w:name="_Toc26593"/>
      <w:bookmarkStart w:id="1125" w:name="_Toc15527"/>
      <w:bookmarkStart w:id="1126" w:name="_Toc27944"/>
      <w:bookmarkStart w:id="1127" w:name="_Toc19114"/>
      <w:bookmarkStart w:id="1128" w:name="_Toc22270"/>
      <w:bookmarkStart w:id="1129" w:name="_Toc5709"/>
      <w:bookmarkStart w:id="1130" w:name="_Toc2008"/>
      <w:bookmarkStart w:id="1131" w:name="_Toc22405"/>
      <w:bookmarkStart w:id="1132" w:name="_Toc25877"/>
      <w:bookmarkStart w:id="1133" w:name="_Toc28700"/>
      <w:r>
        <w:rPr>
          <w:rFonts w:hint="eastAsia" w:ascii="宋体" w:hAnsi="宋体" w:eastAsia="宋体" w:cs="宋体"/>
          <w:b w:val="0"/>
          <w:bCs w:val="0"/>
          <w:color w:val="auto"/>
          <w:sz w:val="24"/>
          <w:szCs w:val="24"/>
          <w:highlight w:val="none"/>
        </w:rPr>
        <w:t>4</w:t>
      </w:r>
      <w:bookmarkStart w:id="1134" w:name="_Toc296346556"/>
      <w:bookmarkEnd w:id="1134"/>
      <w:bookmarkStart w:id="1135" w:name="_Toc296503055"/>
      <w:bookmarkEnd w:id="1135"/>
      <w:bookmarkStart w:id="1136" w:name="_Toc337558756"/>
      <w:r>
        <w:rPr>
          <w:rFonts w:hint="eastAsia" w:ascii="宋体" w:hAnsi="宋体" w:eastAsia="宋体" w:cs="宋体"/>
          <w:b w:val="0"/>
          <w:bCs w:val="0"/>
          <w:color w:val="auto"/>
          <w:sz w:val="24"/>
          <w:szCs w:val="24"/>
          <w:highlight w:val="none"/>
        </w:rPr>
        <w:t>.3</w:t>
      </w:r>
      <w:bookmarkEnd w:id="1136"/>
      <w:r>
        <w:rPr>
          <w:rFonts w:hint="eastAsia" w:ascii="宋体" w:hAnsi="宋体" w:eastAsia="宋体" w:cs="宋体"/>
          <w:b w:val="0"/>
          <w:bCs w:val="0"/>
          <w:color w:val="auto"/>
          <w:sz w:val="24"/>
          <w:szCs w:val="24"/>
          <w:highlight w:val="none"/>
        </w:rPr>
        <w:t>监理人的指示</w:t>
      </w:r>
      <w:bookmarkEnd w:id="1122"/>
      <w:bookmarkEnd w:id="1123"/>
      <w:bookmarkEnd w:id="1124"/>
      <w:bookmarkEnd w:id="1125"/>
      <w:bookmarkEnd w:id="1126"/>
      <w:bookmarkEnd w:id="1127"/>
      <w:bookmarkEnd w:id="1128"/>
      <w:bookmarkEnd w:id="1129"/>
      <w:bookmarkEnd w:id="1130"/>
      <w:bookmarkEnd w:id="1131"/>
      <w:bookmarkEnd w:id="1132"/>
      <w:bookmarkEnd w:id="1133"/>
    </w:p>
    <w:p w14:paraId="70C2F8E6">
      <w:pPr>
        <w:keepNext w:val="0"/>
        <w:keepLines w:val="0"/>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57E04A94">
      <w:pPr>
        <w:keepNext w:val="0"/>
        <w:keepLines w:val="0"/>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39B96BB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承包人对监理人发出的指示有疑问的，应向监理人提出书面异议，监理人应在48小时内对该指示予以确认、更改或撤销，监理人逾期未回复的，承包人有权拒绝执行上述指示。</w:t>
      </w:r>
    </w:p>
    <w:p w14:paraId="22B28C33">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监理人对承包人的任何工作、工程或其采用的材料和工程设备未在约定的或合理期限内提出意见的，视为批准，但不免除或减轻承包人对该工作、工程、材料、工程设备等应承担的责任和义务。</w:t>
      </w:r>
    </w:p>
    <w:p w14:paraId="2E1C4DA7">
      <w:pPr>
        <w:pStyle w:val="5"/>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137" w:name="_Toc351203531"/>
      <w:bookmarkEnd w:id="1137"/>
      <w:bookmarkStart w:id="1138" w:name="_Toc9047"/>
      <w:bookmarkStart w:id="1139" w:name="_Toc32005"/>
      <w:bookmarkStart w:id="1140" w:name="_Toc24259"/>
      <w:bookmarkStart w:id="1141" w:name="_Toc11053"/>
      <w:bookmarkStart w:id="1142" w:name="_Toc8646"/>
      <w:bookmarkStart w:id="1143" w:name="_Toc2503"/>
      <w:bookmarkStart w:id="1144" w:name="_Toc30508"/>
      <w:bookmarkStart w:id="1145" w:name="_Toc8540"/>
      <w:bookmarkStart w:id="1146" w:name="_Toc13027"/>
      <w:bookmarkStart w:id="1147" w:name="_Toc4319"/>
      <w:bookmarkStart w:id="1148" w:name="_Toc25136"/>
      <w:bookmarkStart w:id="1149" w:name="_Toc15540"/>
      <w:bookmarkStart w:id="1150" w:name="_Toc20833"/>
      <w:r>
        <w:rPr>
          <w:rFonts w:hint="eastAsia" w:ascii="宋体" w:hAnsi="宋体" w:eastAsia="宋体" w:cs="宋体"/>
          <w:b w:val="0"/>
          <w:bCs w:val="0"/>
          <w:color w:val="auto"/>
          <w:sz w:val="24"/>
          <w:szCs w:val="24"/>
          <w:highlight w:val="none"/>
        </w:rPr>
        <w:t>4</w:t>
      </w:r>
      <w:bookmarkStart w:id="1151" w:name="_Toc296503057"/>
      <w:bookmarkEnd w:id="1151"/>
      <w:bookmarkStart w:id="1152" w:name="_Toc296346558"/>
      <w:bookmarkEnd w:id="1152"/>
      <w:bookmarkStart w:id="1153" w:name="_Toc337558757"/>
      <w:r>
        <w:rPr>
          <w:rFonts w:hint="eastAsia" w:ascii="宋体" w:hAnsi="宋体" w:eastAsia="宋体" w:cs="宋体"/>
          <w:b w:val="0"/>
          <w:bCs w:val="0"/>
          <w:color w:val="auto"/>
          <w:sz w:val="24"/>
          <w:szCs w:val="24"/>
          <w:highlight w:val="none"/>
        </w:rPr>
        <w:t>.4 商定或确定</w:t>
      </w:r>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3"/>
    </w:p>
    <w:p w14:paraId="51B10205">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合同当事人进行商定或确定时，总监理工程师应当会同合同当事人尽量通过协商达成一致，不能达成一致的，由总监理工程师按照合同约定审慎</w:t>
      </w:r>
      <w:r>
        <w:rPr>
          <w:rFonts w:hint="eastAsia" w:ascii="宋体" w:hAnsi="宋体" w:cs="宋体"/>
          <w:color w:val="auto"/>
          <w:kern w:val="0"/>
          <w:sz w:val="24"/>
          <w:szCs w:val="24"/>
          <w:highlight w:val="none"/>
          <w:lang w:eastAsia="zh-CN"/>
        </w:rPr>
        <w:t>作出</w:t>
      </w:r>
      <w:r>
        <w:rPr>
          <w:rFonts w:hint="eastAsia" w:ascii="宋体" w:hAnsi="宋体" w:eastAsia="宋体" w:cs="宋体"/>
          <w:color w:val="auto"/>
          <w:kern w:val="0"/>
          <w:sz w:val="24"/>
          <w:szCs w:val="24"/>
          <w:highlight w:val="none"/>
        </w:rPr>
        <w:t>公正的确定。</w:t>
      </w:r>
    </w:p>
    <w:p w14:paraId="11378EE8">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71810826">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1154" w:name="_Toc351203532"/>
      <w:bookmarkEnd w:id="1154"/>
      <w:bookmarkStart w:id="1155" w:name="_Toc12467"/>
      <w:bookmarkStart w:id="1156" w:name="_Toc10644"/>
      <w:bookmarkStart w:id="1157" w:name="_Toc4724"/>
      <w:bookmarkStart w:id="1158" w:name="_Toc30609"/>
      <w:bookmarkStart w:id="1159" w:name="_Toc24508"/>
      <w:bookmarkStart w:id="1160" w:name="_Toc9436"/>
      <w:bookmarkStart w:id="1161" w:name="_Toc31797"/>
      <w:bookmarkStart w:id="1162" w:name="_Toc20864"/>
      <w:bookmarkStart w:id="1163" w:name="_Toc26528"/>
      <w:bookmarkStart w:id="1164" w:name="_Toc31798"/>
      <w:bookmarkStart w:id="1165" w:name="_Toc26936"/>
      <w:bookmarkStart w:id="1166" w:name="_Toc31833"/>
      <w:bookmarkStart w:id="1167" w:name="_Toc13199"/>
      <w:bookmarkStart w:id="1168" w:name="_Toc22492"/>
      <w:bookmarkStart w:id="1169" w:name="_Toc25153"/>
      <w:r>
        <w:rPr>
          <w:rFonts w:hint="eastAsia" w:ascii="宋体" w:hAnsi="宋体" w:eastAsia="宋体" w:cs="宋体"/>
          <w:b w:val="0"/>
          <w:bCs w:val="0"/>
          <w:color w:val="auto"/>
          <w:sz w:val="24"/>
          <w:szCs w:val="24"/>
          <w:highlight w:val="none"/>
        </w:rPr>
        <w:t>5</w:t>
      </w:r>
      <w:bookmarkStart w:id="1170" w:name="_Toc337558758"/>
      <w:r>
        <w:rPr>
          <w:rFonts w:hint="eastAsia" w:ascii="宋体" w:hAnsi="宋体" w:eastAsia="宋体" w:cs="宋体"/>
          <w:b w:val="0"/>
          <w:bCs w:val="0"/>
          <w:color w:val="auto"/>
          <w:sz w:val="24"/>
          <w:szCs w:val="24"/>
          <w:highlight w:val="none"/>
        </w:rPr>
        <w:t>. 工程质量</w:t>
      </w:r>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p>
    <w:p w14:paraId="66077DF2">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171" w:name="_Toc351203533"/>
      <w:bookmarkEnd w:id="1171"/>
      <w:bookmarkStart w:id="1172" w:name="_Toc24086"/>
      <w:bookmarkStart w:id="1173" w:name="_Toc8149"/>
      <w:bookmarkStart w:id="1174" w:name="_Toc21436"/>
      <w:bookmarkStart w:id="1175" w:name="_Toc11151"/>
      <w:bookmarkStart w:id="1176" w:name="_Toc25471"/>
      <w:bookmarkStart w:id="1177" w:name="_Toc13192"/>
      <w:bookmarkStart w:id="1178" w:name="_Toc22911"/>
      <w:bookmarkStart w:id="1179" w:name="_Toc387"/>
      <w:bookmarkStart w:id="1180" w:name="_Toc29350"/>
      <w:bookmarkStart w:id="1181" w:name="_Toc22544"/>
      <w:bookmarkStart w:id="1182" w:name="_Toc22361"/>
      <w:bookmarkStart w:id="1183" w:name="_Toc26451"/>
      <w:r>
        <w:rPr>
          <w:rFonts w:hint="eastAsia" w:ascii="宋体" w:hAnsi="宋体" w:eastAsia="宋体" w:cs="宋体"/>
          <w:b w:val="0"/>
          <w:bCs w:val="0"/>
          <w:color w:val="auto"/>
          <w:sz w:val="24"/>
          <w:szCs w:val="24"/>
          <w:highlight w:val="none"/>
        </w:rPr>
        <w:t>5</w:t>
      </w:r>
      <w:bookmarkStart w:id="1184" w:name="_Toc337558759"/>
      <w:r>
        <w:rPr>
          <w:rFonts w:hint="eastAsia" w:ascii="宋体" w:hAnsi="宋体" w:eastAsia="宋体" w:cs="宋体"/>
          <w:b w:val="0"/>
          <w:bCs w:val="0"/>
          <w:color w:val="auto"/>
          <w:sz w:val="24"/>
          <w:szCs w:val="24"/>
          <w:highlight w:val="none"/>
        </w:rPr>
        <w:t>.1质量要求</w:t>
      </w:r>
      <w:bookmarkEnd w:id="1172"/>
      <w:bookmarkEnd w:id="1173"/>
      <w:bookmarkEnd w:id="1174"/>
      <w:bookmarkEnd w:id="1175"/>
      <w:bookmarkEnd w:id="1176"/>
      <w:bookmarkEnd w:id="1177"/>
      <w:bookmarkEnd w:id="1178"/>
      <w:bookmarkEnd w:id="1179"/>
      <w:bookmarkEnd w:id="1180"/>
      <w:bookmarkEnd w:id="1181"/>
      <w:bookmarkEnd w:id="1182"/>
      <w:bookmarkEnd w:id="1183"/>
      <w:bookmarkEnd w:id="1184"/>
    </w:p>
    <w:p w14:paraId="27738E44">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5.1.1 工程质量标准必须符合现行国家有关工程施工质量验收规范和标准的要求。有关工程质量的特殊标准或要求由合同当事人在专用合同条款中约定。</w:t>
      </w:r>
    </w:p>
    <w:p w14:paraId="29774BD4">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5.1.2 因发包人原因造成工程质量未达到合同约定标准的，由发包人承担由此增加的费用和（或）延误的工期，并支付承包人合理的利润。</w:t>
      </w:r>
    </w:p>
    <w:p w14:paraId="15166855">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5.1.3 因承包人原因造成工程质量未达到合同约定标准的，发包人有权要求承包人返工直至工程质量达到合同约定的标准为止，并由承包人承担由此增加的费用和（或）延误的工期。</w:t>
      </w:r>
    </w:p>
    <w:p w14:paraId="2F881738">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185" w:name="_Toc351203534"/>
      <w:bookmarkEnd w:id="1185"/>
      <w:bookmarkStart w:id="1186" w:name="_Toc16671"/>
      <w:bookmarkStart w:id="1187" w:name="_Toc7959"/>
      <w:bookmarkStart w:id="1188" w:name="_Toc4897"/>
      <w:bookmarkStart w:id="1189" w:name="_Toc28595"/>
      <w:bookmarkStart w:id="1190" w:name="_Toc10925"/>
      <w:bookmarkStart w:id="1191" w:name="_Toc15102"/>
      <w:bookmarkStart w:id="1192" w:name="_Toc32259"/>
      <w:bookmarkStart w:id="1193" w:name="_Toc14753"/>
      <w:bookmarkStart w:id="1194" w:name="_Toc7424"/>
      <w:bookmarkStart w:id="1195" w:name="_Toc8595"/>
      <w:bookmarkStart w:id="1196" w:name="_Toc4899"/>
      <w:bookmarkStart w:id="1197" w:name="_Toc10769"/>
      <w:bookmarkStart w:id="1198" w:name="_Toc8863"/>
      <w:r>
        <w:rPr>
          <w:rFonts w:hint="eastAsia" w:ascii="宋体" w:hAnsi="宋体" w:eastAsia="宋体" w:cs="宋体"/>
          <w:b w:val="0"/>
          <w:bCs w:val="0"/>
          <w:color w:val="auto"/>
          <w:sz w:val="24"/>
          <w:szCs w:val="24"/>
          <w:highlight w:val="none"/>
        </w:rPr>
        <w:t>5</w:t>
      </w:r>
      <w:bookmarkStart w:id="1199" w:name="_Toc337558760"/>
      <w:r>
        <w:rPr>
          <w:rFonts w:hint="eastAsia" w:ascii="宋体" w:hAnsi="宋体" w:eastAsia="宋体" w:cs="宋体"/>
          <w:b w:val="0"/>
          <w:bCs w:val="0"/>
          <w:color w:val="auto"/>
          <w:sz w:val="24"/>
          <w:szCs w:val="24"/>
          <w:highlight w:val="none"/>
        </w:rPr>
        <w:t>.2质量保证措施</w:t>
      </w:r>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p>
    <w:p w14:paraId="4332579E">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outlineLvl w:val="0"/>
        <w:rPr>
          <w:rFonts w:hint="eastAsia" w:ascii="宋体" w:hAnsi="宋体" w:eastAsia="宋体" w:cs="宋体"/>
          <w:color w:val="auto"/>
          <w:kern w:val="0"/>
          <w:sz w:val="24"/>
          <w:szCs w:val="24"/>
          <w:highlight w:val="none"/>
        </w:rPr>
      </w:pPr>
      <w:bookmarkStart w:id="1200" w:name="_Toc10604"/>
      <w:bookmarkStart w:id="1201" w:name="_Toc31209"/>
      <w:bookmarkStart w:id="1202" w:name="_Toc5092"/>
      <w:bookmarkStart w:id="1203" w:name="_Toc10960"/>
      <w:bookmarkStart w:id="1204" w:name="_Toc8664"/>
      <w:bookmarkStart w:id="1205" w:name="_Toc1003"/>
      <w:bookmarkStart w:id="1206" w:name="_Toc11514"/>
      <w:bookmarkStart w:id="1207" w:name="_Toc22564"/>
      <w:bookmarkStart w:id="1208" w:name="_Toc13815"/>
      <w:bookmarkStart w:id="1209" w:name="_Toc9410"/>
      <w:bookmarkStart w:id="1210" w:name="_Toc17428"/>
      <w:bookmarkStart w:id="1211" w:name="_Toc17894"/>
      <w:bookmarkStart w:id="1212" w:name="_Toc29005"/>
      <w:bookmarkStart w:id="1213" w:name="_Toc21208"/>
      <w:bookmarkStart w:id="1214" w:name="_Toc28367"/>
      <w:bookmarkStart w:id="1215" w:name="_Toc26245"/>
      <w:r>
        <w:rPr>
          <w:rFonts w:hint="eastAsia" w:ascii="宋体" w:hAnsi="宋体" w:eastAsia="宋体" w:cs="宋体"/>
          <w:color w:val="auto"/>
          <w:kern w:val="0"/>
          <w:sz w:val="24"/>
          <w:szCs w:val="24"/>
          <w:highlight w:val="none"/>
        </w:rPr>
        <w:t>5.2.1 发包人的质量管理</w:t>
      </w:r>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p>
    <w:p w14:paraId="27A84AF2">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发包人应按照法律规定及合同约定完成与工程质量有关的各项工作。</w:t>
      </w:r>
    </w:p>
    <w:p w14:paraId="7E6DB063">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5.2.2 承包人的质量管理</w:t>
      </w:r>
    </w:p>
    <w:p w14:paraId="2902C2A9">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4CC8880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承包人应对施工人员进行质量教育和技术培训，定期考核施工人员的劳动技能，严格执行施工规范和操作规程。</w:t>
      </w:r>
    </w:p>
    <w:p w14:paraId="5C83378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承包人应按照法律规定和发包人的要求，对材料、工程设备以及工程的所有部位及其施工工艺进行全过程的质量检查和检验，并</w:t>
      </w:r>
      <w:r>
        <w:rPr>
          <w:rFonts w:hint="eastAsia" w:ascii="宋体" w:hAnsi="宋体" w:cs="宋体"/>
          <w:color w:val="auto"/>
          <w:kern w:val="0"/>
          <w:sz w:val="24"/>
          <w:szCs w:val="24"/>
          <w:highlight w:val="none"/>
          <w:lang w:eastAsia="zh-CN"/>
        </w:rPr>
        <w:t>做</w:t>
      </w:r>
      <w:r>
        <w:rPr>
          <w:rFonts w:hint="eastAsia" w:ascii="宋体" w:hAnsi="宋体" w:eastAsia="宋体" w:cs="宋体"/>
          <w:color w:val="auto"/>
          <w:kern w:val="0"/>
          <w:sz w:val="24"/>
          <w:szCs w:val="24"/>
          <w:highlight w:val="none"/>
        </w:rPr>
        <w:t>详细记录，编制工程质量报表，报送监理人审查。此外，承包人还应按照法律规定和发包人的要求，进行施工现场取样试验、工程复核测量和设备性能检测，提供试验样品、提交试验报告和测量成果以及其他工作。</w:t>
      </w:r>
    </w:p>
    <w:p w14:paraId="6F7E3816">
      <w:pPr>
        <w:autoSpaceDE w:val="0"/>
        <w:autoSpaceDN w:val="0"/>
        <w:adjustRightInd w:val="0"/>
        <w:spacing w:line="240" w:lineRule="auto"/>
        <w:ind w:firstLine="480" w:firstLineChars="200"/>
        <w:jc w:val="left"/>
        <w:outlineLvl w:val="0"/>
        <w:rPr>
          <w:rFonts w:hint="eastAsia" w:ascii="宋体" w:hAnsi="宋体" w:eastAsia="宋体" w:cs="宋体"/>
          <w:color w:val="auto"/>
          <w:kern w:val="0"/>
          <w:sz w:val="24"/>
          <w:szCs w:val="24"/>
          <w:highlight w:val="none"/>
        </w:rPr>
      </w:pPr>
      <w:bookmarkStart w:id="1216" w:name="_Toc8630"/>
      <w:bookmarkStart w:id="1217" w:name="_Toc9250"/>
      <w:bookmarkStart w:id="1218" w:name="_Toc12105"/>
      <w:bookmarkStart w:id="1219" w:name="_Toc16615"/>
      <w:bookmarkStart w:id="1220" w:name="_Toc13388"/>
      <w:bookmarkStart w:id="1221" w:name="_Toc26075"/>
      <w:bookmarkStart w:id="1222" w:name="_Toc14161"/>
      <w:bookmarkStart w:id="1223" w:name="_Toc29696"/>
      <w:bookmarkStart w:id="1224" w:name="_Toc7072"/>
      <w:bookmarkStart w:id="1225" w:name="_Toc23249"/>
      <w:bookmarkStart w:id="1226" w:name="_Toc2790"/>
      <w:bookmarkStart w:id="1227" w:name="_Toc12899"/>
      <w:bookmarkStart w:id="1228" w:name="_Toc10476"/>
      <w:bookmarkStart w:id="1229" w:name="_Toc12459"/>
      <w:bookmarkStart w:id="1230" w:name="_Toc22524"/>
      <w:bookmarkStart w:id="1231" w:name="_Toc18727"/>
      <w:r>
        <w:rPr>
          <w:rFonts w:hint="eastAsia" w:ascii="宋体" w:hAnsi="宋体" w:eastAsia="宋体" w:cs="宋体"/>
          <w:color w:val="auto"/>
          <w:kern w:val="0"/>
          <w:sz w:val="24"/>
          <w:szCs w:val="24"/>
          <w:highlight w:val="none"/>
        </w:rPr>
        <w:t>5.2.3 监理人的质量检查和检验</w:t>
      </w:r>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p>
    <w:p w14:paraId="6E40EB5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w:t>
      </w:r>
      <w:r>
        <w:rPr>
          <w:rFonts w:hint="eastAsia" w:ascii="宋体" w:hAnsi="宋体" w:cs="宋体"/>
          <w:color w:val="auto"/>
          <w:kern w:val="0"/>
          <w:sz w:val="24"/>
          <w:szCs w:val="24"/>
          <w:highlight w:val="none"/>
          <w:lang w:eastAsia="zh-CN"/>
        </w:rPr>
        <w:t>查看</w:t>
      </w:r>
      <w:r>
        <w:rPr>
          <w:rFonts w:hint="eastAsia" w:ascii="宋体" w:hAnsi="宋体" w:eastAsia="宋体" w:cs="宋体"/>
          <w:color w:val="auto"/>
          <w:kern w:val="0"/>
          <w:sz w:val="24"/>
          <w:szCs w:val="24"/>
          <w:highlight w:val="none"/>
        </w:rPr>
        <w:t>和查阅施工原始记录。监理人为此进行的检查和检验，不免除或减轻承包人按照合同约定应当承担的责任。</w:t>
      </w:r>
    </w:p>
    <w:p w14:paraId="28855700">
      <w:pPr>
        <w:pageBreakBefore w:val="0"/>
        <w:widowControl/>
        <w:kinsoku/>
        <w:wordWrap/>
        <w:overflowPunct/>
        <w:topLinePunct w:val="0"/>
        <w:autoSpaceDE w:val="0"/>
        <w:autoSpaceDN w:val="0"/>
        <w:bidi w:val="0"/>
        <w:adjustRightInd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6139DB48">
      <w:pPr>
        <w:pStyle w:val="6"/>
        <w:pageBreakBefore w:val="0"/>
        <w:widowControl/>
        <w:kinsoku/>
        <w:wordWrap/>
        <w:overflowPunct/>
        <w:topLinePunct w:val="0"/>
        <w:bidi w:val="0"/>
        <w:snapToGrid w:val="0"/>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232" w:name="_Toc351203535"/>
      <w:bookmarkEnd w:id="1232"/>
      <w:bookmarkStart w:id="1233" w:name="_Toc10920"/>
      <w:bookmarkStart w:id="1234" w:name="_Toc29313"/>
      <w:bookmarkStart w:id="1235" w:name="_Toc2827"/>
      <w:bookmarkStart w:id="1236" w:name="_Toc32064"/>
      <w:bookmarkStart w:id="1237" w:name="_Toc31650"/>
      <w:bookmarkStart w:id="1238" w:name="_Toc235"/>
      <w:bookmarkStart w:id="1239" w:name="_Toc189"/>
      <w:bookmarkStart w:id="1240" w:name="_Toc18626"/>
      <w:bookmarkStart w:id="1241" w:name="_Toc17604"/>
      <w:bookmarkStart w:id="1242" w:name="_Toc9629"/>
      <w:bookmarkStart w:id="1243" w:name="_Toc24845"/>
      <w:bookmarkStart w:id="1244" w:name="_Toc15718"/>
      <w:bookmarkStart w:id="1245" w:name="_Toc20095"/>
      <w:r>
        <w:rPr>
          <w:rFonts w:hint="eastAsia" w:ascii="宋体" w:hAnsi="宋体" w:eastAsia="宋体" w:cs="宋体"/>
          <w:b w:val="0"/>
          <w:bCs w:val="0"/>
          <w:color w:val="auto"/>
          <w:sz w:val="24"/>
          <w:szCs w:val="24"/>
          <w:highlight w:val="none"/>
        </w:rPr>
        <w:t>5</w:t>
      </w:r>
      <w:bookmarkStart w:id="1246" w:name="_Toc337558761"/>
      <w:r>
        <w:rPr>
          <w:rFonts w:hint="eastAsia" w:ascii="宋体" w:hAnsi="宋体" w:eastAsia="宋体" w:cs="宋体"/>
          <w:b w:val="0"/>
          <w:bCs w:val="0"/>
          <w:color w:val="auto"/>
          <w:sz w:val="24"/>
          <w:szCs w:val="24"/>
          <w:highlight w:val="none"/>
        </w:rPr>
        <w:t>.3 隐蔽工程检查</w:t>
      </w:r>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p>
    <w:p w14:paraId="779080AF">
      <w:pPr>
        <w:pageBreakBefore w:val="0"/>
        <w:widowControl/>
        <w:kinsoku/>
        <w:wordWrap/>
        <w:overflowPunct/>
        <w:topLinePunct w:val="0"/>
        <w:bidi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5.3.1承包人自检</w:t>
      </w:r>
    </w:p>
    <w:p w14:paraId="1D909D11">
      <w:pPr>
        <w:pageBreakBefore w:val="0"/>
        <w:widowControl/>
        <w:kinsoku/>
        <w:wordWrap/>
        <w:overflowPunct/>
        <w:topLinePunct w:val="0"/>
        <w:bidi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承包人应当对工程隐蔽部位进行自检，并经自检确认是否具备覆盖条件。</w:t>
      </w:r>
    </w:p>
    <w:p w14:paraId="7E81FA9A">
      <w:pPr>
        <w:pageBreakBefore w:val="0"/>
        <w:widowControl/>
        <w:kinsoku/>
        <w:wordWrap/>
        <w:overflowPunct/>
        <w:topLinePunct w:val="0"/>
        <w:bidi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5.3.2检查程序</w:t>
      </w:r>
    </w:p>
    <w:p w14:paraId="70C18F63">
      <w:pPr>
        <w:pageBreakBefore w:val="0"/>
        <w:widowControl/>
        <w:kinsoku/>
        <w:wordWrap/>
        <w:overflowPunct/>
        <w:topLinePunct w:val="0"/>
        <w:bidi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5C607D12">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6467A43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37864104">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5.3.3 重新检查</w:t>
      </w:r>
    </w:p>
    <w:p w14:paraId="1EB1D96B">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337A628A">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5.3.4 承包人私自覆盖</w:t>
      </w:r>
    </w:p>
    <w:p w14:paraId="03C78FC5">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承包人未通知监理人到场检查，私自将工程隐蔽部位覆盖的，监理人有权指示承包人钻孔探测或揭开检查，无论工程隐蔽部位质量是否合格，由此增加的费用和（或）延误的工期均由承包人承担。</w:t>
      </w:r>
    </w:p>
    <w:p w14:paraId="6C20C60B">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247" w:name="_Toc351203536"/>
      <w:bookmarkEnd w:id="1247"/>
      <w:bookmarkStart w:id="1248" w:name="_Toc21898"/>
      <w:bookmarkStart w:id="1249" w:name="_Toc12981"/>
      <w:bookmarkStart w:id="1250" w:name="_Toc3479"/>
      <w:bookmarkStart w:id="1251" w:name="_Toc14725"/>
      <w:bookmarkStart w:id="1252" w:name="_Toc19738"/>
      <w:bookmarkStart w:id="1253" w:name="_Toc22022"/>
      <w:bookmarkStart w:id="1254" w:name="_Toc8621"/>
      <w:bookmarkStart w:id="1255" w:name="_Toc21391"/>
      <w:bookmarkStart w:id="1256" w:name="_Toc18252"/>
      <w:bookmarkStart w:id="1257" w:name="_Toc31667"/>
      <w:bookmarkStart w:id="1258" w:name="_Toc17522"/>
      <w:bookmarkStart w:id="1259" w:name="_Toc32078"/>
      <w:bookmarkStart w:id="1260" w:name="_Toc16899"/>
      <w:r>
        <w:rPr>
          <w:rFonts w:hint="eastAsia" w:ascii="宋体" w:hAnsi="宋体" w:eastAsia="宋体" w:cs="宋体"/>
          <w:b w:val="0"/>
          <w:bCs w:val="0"/>
          <w:color w:val="auto"/>
          <w:sz w:val="24"/>
          <w:szCs w:val="24"/>
          <w:highlight w:val="none"/>
        </w:rPr>
        <w:t>5</w:t>
      </w:r>
      <w:bookmarkStart w:id="1261" w:name="_Toc337558762"/>
      <w:r>
        <w:rPr>
          <w:rFonts w:hint="eastAsia" w:ascii="宋体" w:hAnsi="宋体" w:eastAsia="宋体" w:cs="宋体"/>
          <w:b w:val="0"/>
          <w:bCs w:val="0"/>
          <w:color w:val="auto"/>
          <w:sz w:val="24"/>
          <w:szCs w:val="24"/>
          <w:highlight w:val="none"/>
        </w:rPr>
        <w:t>.4不合格工程的处理</w:t>
      </w:r>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p>
    <w:p w14:paraId="7B354066">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2A11FC55">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5.4.2 因发包人原因造成工程不合格的，由此增加的费用和（或）延误的工期由发包人承担，并支付承包人合理的利润。</w:t>
      </w:r>
    </w:p>
    <w:p w14:paraId="40A204A2">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262" w:name="_Toc351203537"/>
      <w:bookmarkEnd w:id="1262"/>
      <w:bookmarkStart w:id="1263" w:name="_Toc24246"/>
      <w:bookmarkStart w:id="1264" w:name="_Toc30306"/>
      <w:bookmarkStart w:id="1265" w:name="_Toc25513"/>
      <w:bookmarkStart w:id="1266" w:name="_Toc25623"/>
      <w:bookmarkStart w:id="1267" w:name="_Toc4328"/>
      <w:bookmarkStart w:id="1268" w:name="_Toc28890"/>
      <w:bookmarkStart w:id="1269" w:name="_Toc20528"/>
      <w:bookmarkStart w:id="1270" w:name="_Toc6665"/>
      <w:bookmarkStart w:id="1271" w:name="_Toc20241"/>
      <w:bookmarkStart w:id="1272" w:name="_Toc27566"/>
      <w:bookmarkStart w:id="1273" w:name="_Toc31936"/>
      <w:bookmarkStart w:id="1274" w:name="_Toc24122"/>
      <w:bookmarkStart w:id="1275" w:name="_Toc9688"/>
      <w:r>
        <w:rPr>
          <w:rFonts w:hint="eastAsia" w:ascii="宋体" w:hAnsi="宋体" w:eastAsia="宋体" w:cs="宋体"/>
          <w:b w:val="0"/>
          <w:bCs w:val="0"/>
          <w:color w:val="auto"/>
          <w:sz w:val="24"/>
          <w:szCs w:val="24"/>
          <w:highlight w:val="none"/>
        </w:rPr>
        <w:t>5.5 质量争议检测</w:t>
      </w:r>
      <w:bookmarkEnd w:id="1263"/>
      <w:bookmarkEnd w:id="1264"/>
      <w:bookmarkEnd w:id="1265"/>
      <w:bookmarkEnd w:id="1266"/>
      <w:bookmarkEnd w:id="1267"/>
      <w:bookmarkEnd w:id="1268"/>
      <w:bookmarkEnd w:id="1269"/>
      <w:bookmarkEnd w:id="1270"/>
      <w:bookmarkEnd w:id="1271"/>
      <w:bookmarkEnd w:id="1272"/>
      <w:bookmarkEnd w:id="1273"/>
      <w:bookmarkEnd w:id="1274"/>
      <w:bookmarkEnd w:id="1275"/>
    </w:p>
    <w:p w14:paraId="471DE068">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合同当事人对工程质量有争议的，由双方协商确定的工程质量检测机构鉴定，由此产生的费用及因此造成的损失，由责任方承担。</w:t>
      </w:r>
    </w:p>
    <w:p w14:paraId="305C81F3">
      <w:pPr>
        <w:pageBreakBefore w:val="0"/>
        <w:widowControl/>
        <w:kinsoku/>
        <w:wordWrap/>
        <w:overflowPunct/>
        <w:topLinePunct w:val="0"/>
        <w:autoSpaceDE w:val="0"/>
        <w:autoSpaceDN w:val="0"/>
        <w:bidi w:val="0"/>
        <w:adjustRightInd w:val="0"/>
        <w:snapToGrid/>
        <w:spacing w:line="24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合同当事人均有责任的，由双方根据其责任分别承担。合同当事人无法达成一致的，按照第4.4款〔商定或确定〕执行。</w:t>
      </w:r>
    </w:p>
    <w:p w14:paraId="17B55564">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1276" w:name="_Toc351203538"/>
      <w:bookmarkEnd w:id="1276"/>
      <w:bookmarkStart w:id="1277" w:name="_Toc17905"/>
      <w:bookmarkStart w:id="1278" w:name="_Toc8006"/>
      <w:bookmarkStart w:id="1279" w:name="_Toc3317"/>
      <w:bookmarkStart w:id="1280" w:name="_Toc28284"/>
      <w:bookmarkStart w:id="1281" w:name="_Toc27967"/>
      <w:bookmarkStart w:id="1282" w:name="_Toc3838"/>
      <w:bookmarkStart w:id="1283" w:name="_Toc8506"/>
      <w:bookmarkStart w:id="1284" w:name="_Toc10660"/>
      <w:bookmarkStart w:id="1285" w:name="_Toc22847"/>
      <w:bookmarkStart w:id="1286" w:name="_Toc31956"/>
      <w:bookmarkStart w:id="1287" w:name="_Toc6901"/>
      <w:bookmarkStart w:id="1288" w:name="_Toc5945"/>
      <w:bookmarkStart w:id="1289" w:name="_Toc29414"/>
      <w:bookmarkStart w:id="1290" w:name="_Toc22691"/>
      <w:bookmarkStart w:id="1291" w:name="_Toc4861"/>
      <w:r>
        <w:rPr>
          <w:rFonts w:hint="eastAsia" w:ascii="宋体" w:hAnsi="宋体" w:eastAsia="宋体" w:cs="宋体"/>
          <w:b w:val="0"/>
          <w:bCs w:val="0"/>
          <w:color w:val="auto"/>
          <w:sz w:val="24"/>
          <w:szCs w:val="24"/>
          <w:highlight w:val="none"/>
        </w:rPr>
        <w:t>6</w:t>
      </w:r>
      <w:bookmarkStart w:id="1292" w:name="_Toc337558763"/>
      <w:r>
        <w:rPr>
          <w:rFonts w:hint="eastAsia" w:ascii="宋体" w:hAnsi="宋体" w:eastAsia="宋体" w:cs="宋体"/>
          <w:b w:val="0"/>
          <w:bCs w:val="0"/>
          <w:color w:val="auto"/>
          <w:sz w:val="24"/>
          <w:szCs w:val="24"/>
          <w:highlight w:val="none"/>
        </w:rPr>
        <w:t>. 安全文明施工与环境保护</w:t>
      </w:r>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p>
    <w:p w14:paraId="5E59A03E">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293" w:name="_Toc351203539"/>
      <w:bookmarkEnd w:id="1293"/>
      <w:bookmarkStart w:id="1294" w:name="_Toc787"/>
      <w:bookmarkStart w:id="1295" w:name="_Toc23498"/>
      <w:bookmarkStart w:id="1296" w:name="_Toc4657"/>
      <w:bookmarkStart w:id="1297" w:name="_Toc20234"/>
      <w:bookmarkStart w:id="1298" w:name="_Toc23745"/>
      <w:bookmarkStart w:id="1299" w:name="_Toc27819"/>
      <w:bookmarkStart w:id="1300" w:name="_Toc8979"/>
      <w:bookmarkStart w:id="1301" w:name="_Toc9719"/>
      <w:bookmarkStart w:id="1302" w:name="_Toc2532"/>
      <w:bookmarkStart w:id="1303" w:name="_Toc31649"/>
      <w:bookmarkStart w:id="1304" w:name="_Toc16781"/>
      <w:bookmarkStart w:id="1305" w:name="_Toc32272"/>
      <w:bookmarkStart w:id="1306" w:name="_Toc32207"/>
      <w:r>
        <w:rPr>
          <w:rFonts w:hint="eastAsia" w:ascii="宋体" w:hAnsi="宋体" w:eastAsia="宋体" w:cs="宋体"/>
          <w:b w:val="0"/>
          <w:bCs w:val="0"/>
          <w:color w:val="auto"/>
          <w:sz w:val="24"/>
          <w:szCs w:val="24"/>
          <w:highlight w:val="none"/>
        </w:rPr>
        <w:t>6</w:t>
      </w:r>
      <w:bookmarkStart w:id="1307" w:name="_Toc337558764"/>
      <w:r>
        <w:rPr>
          <w:rFonts w:hint="eastAsia" w:ascii="宋体" w:hAnsi="宋体" w:eastAsia="宋体" w:cs="宋体"/>
          <w:b w:val="0"/>
          <w:bCs w:val="0"/>
          <w:color w:val="auto"/>
          <w:sz w:val="24"/>
          <w:szCs w:val="24"/>
          <w:highlight w:val="none"/>
        </w:rPr>
        <w:t>.1安全文明施工</w:t>
      </w:r>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p>
    <w:p w14:paraId="2DCAFB0D">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6.1.1安全生产要求</w:t>
      </w:r>
    </w:p>
    <w:p w14:paraId="542D3403">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0F0D28AF">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auto"/>
          <w:kern w:val="0"/>
          <w:sz w:val="24"/>
          <w:szCs w:val="24"/>
          <w:highlight w:val="none"/>
        </w:rPr>
        <w:t>政府有关行政管理部门</w:t>
      </w:r>
      <w:r>
        <w:rPr>
          <w:rFonts w:hint="eastAsia" w:ascii="宋体" w:hAnsi="宋体" w:eastAsia="宋体" w:cs="宋体"/>
          <w:color w:val="auto"/>
          <w:sz w:val="24"/>
          <w:szCs w:val="24"/>
          <w:highlight w:val="none"/>
        </w:rPr>
        <w:t>采取应急措施。</w:t>
      </w:r>
    </w:p>
    <w:p w14:paraId="378493AD">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因安全生产需要暂停施工的，按照第7.8款〔暂停施工〕的约定执行。</w:t>
      </w:r>
    </w:p>
    <w:p w14:paraId="0D97D7BF">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 安全生产保证措施</w:t>
      </w:r>
    </w:p>
    <w:p w14:paraId="647241B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承包人应当按照有关</w:t>
      </w:r>
      <w:r>
        <w:rPr>
          <w:rFonts w:hint="eastAsia" w:ascii="宋体" w:hAnsi="宋体" w:eastAsia="宋体" w:cs="宋体"/>
          <w:color w:val="auto"/>
          <w:kern w:val="0"/>
          <w:sz w:val="24"/>
          <w:szCs w:val="24"/>
          <w:highlight w:val="none"/>
        </w:rPr>
        <w:t>规定编制安全技术措施或者专项施工方案，</w:t>
      </w:r>
      <w:r>
        <w:rPr>
          <w:rFonts w:hint="eastAsia" w:ascii="宋体" w:hAnsi="宋体" w:eastAsia="宋体" w:cs="宋体"/>
          <w:color w:val="auto"/>
          <w:sz w:val="24"/>
          <w:szCs w:val="24"/>
          <w:highlight w:val="none"/>
        </w:rPr>
        <w:t>建立安全生产责任制度、治安保卫制度及安全生产教育培训制度，并</w:t>
      </w:r>
      <w:r>
        <w:rPr>
          <w:rFonts w:hint="eastAsia" w:ascii="宋体" w:hAnsi="宋体" w:eastAsia="宋体" w:cs="宋体"/>
          <w:color w:val="auto"/>
          <w:kern w:val="0"/>
          <w:sz w:val="24"/>
          <w:szCs w:val="24"/>
          <w:highlight w:val="none"/>
        </w:rPr>
        <w:t>按安全生产法律规定及合同约定履行安全职责，如实</w:t>
      </w:r>
      <w:r>
        <w:rPr>
          <w:rFonts w:hint="eastAsia" w:ascii="宋体" w:hAnsi="宋体" w:eastAsia="宋体" w:cs="宋体"/>
          <w:color w:val="auto"/>
          <w:sz w:val="24"/>
          <w:szCs w:val="24"/>
          <w:highlight w:val="none"/>
        </w:rPr>
        <w:t>编制工程安全生产的有关记录，</w:t>
      </w:r>
      <w:r>
        <w:rPr>
          <w:rFonts w:hint="eastAsia" w:ascii="宋体" w:hAnsi="宋体" w:eastAsia="宋体" w:cs="宋体"/>
          <w:color w:val="auto"/>
          <w:kern w:val="0"/>
          <w:sz w:val="24"/>
          <w:szCs w:val="24"/>
          <w:highlight w:val="none"/>
        </w:rPr>
        <w:t>接受发包人、监理人及政府安全监督部门的检查与监督。</w:t>
      </w:r>
    </w:p>
    <w:p w14:paraId="6044847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6.1.3特别安全生产事项</w:t>
      </w:r>
    </w:p>
    <w:p w14:paraId="5B3CBE41">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760ED1B6">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承包人在动力设备、输电线路、地下管道、密封防震车间、易燃易爆地段以及临街交通要道附近施工时，施工开始前应向发包人和监理人提出安全防护措施，经发包人认可后实施。 </w:t>
      </w:r>
    </w:p>
    <w:p w14:paraId="3B9435DB">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实施爆破作业，在放射、毒害性环境中施工（含储存、运输、使用）及使用毒害性、腐蚀性物品施工时，承包人应在施工前7天以书面通知发包人和监理人，并报送相应的安全防护措施，经发包人认可后实施。</w:t>
      </w:r>
    </w:p>
    <w:p w14:paraId="7AF7F2FF">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需单独编制危险性较大分部分项专项工程施工方案的，及要求进行专家论证的超过一定规模的危险性较大的分部分项工程，承包人应及时编制和组织论证。</w:t>
      </w:r>
    </w:p>
    <w:p w14:paraId="478A7AE2">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 治安保卫</w:t>
      </w:r>
    </w:p>
    <w:p w14:paraId="5529011D">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除专用合同条款另有约定外，发包人应与当地公安部门协商，在现场建立治安管理机构或联防组织，统一管理施工场地的治安保卫事项，履行合同工程的治安保卫职责。</w:t>
      </w:r>
    </w:p>
    <w:p w14:paraId="66A8ED0E">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发包人和承包人除应协助现场治安管理机构或联防组织维护施工场地的社会治安外，还应做好包括生活区在内的各自管辖区的治安保卫工作。</w:t>
      </w:r>
    </w:p>
    <w:p w14:paraId="46792095">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2E86F28D">
      <w:pPr>
        <w:spacing w:line="24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6.1.5 文明施工</w:t>
      </w:r>
    </w:p>
    <w:p w14:paraId="3D9EA9BC">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55C8EBC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5CD3E6DF">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 安全文明施工费</w:t>
      </w:r>
    </w:p>
    <w:p w14:paraId="5F8496D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安全文明施工费由发包人承担，发包人不得以任何形式扣减该部分费用。因基准日期后合同所适用的法律或政府有关规定发生变化，增加的安全文明施工费由发包人承担。</w:t>
      </w:r>
    </w:p>
    <w:p w14:paraId="5E7DF5D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3F41E26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7D6E12C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476C2B60">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6.1.7 紧急情况处理</w:t>
      </w:r>
    </w:p>
    <w:p w14:paraId="1985BF76">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03834EE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6.1.8 事故处理</w:t>
      </w:r>
    </w:p>
    <w:p w14:paraId="042B8783">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r>
        <w:rPr>
          <w:rFonts w:hint="eastAsia" w:ascii="宋体" w:hAnsi="宋体" w:cs="宋体"/>
          <w:color w:val="auto"/>
          <w:kern w:val="0"/>
          <w:sz w:val="24"/>
          <w:szCs w:val="24"/>
          <w:highlight w:val="none"/>
          <w:lang w:eastAsia="zh-CN"/>
        </w:rPr>
        <w:t>做出</w:t>
      </w:r>
      <w:r>
        <w:rPr>
          <w:rFonts w:hint="eastAsia" w:ascii="宋体" w:hAnsi="宋体" w:eastAsia="宋体" w:cs="宋体"/>
          <w:color w:val="auto"/>
          <w:kern w:val="0"/>
          <w:sz w:val="24"/>
          <w:szCs w:val="24"/>
          <w:highlight w:val="none"/>
        </w:rPr>
        <w:t>标记和书面记录，妥善保管有关证据。发包人和承包人应按国家有关规定，及时如实地向有关部门报告事故发生的情况，以及正在采取的紧急措施等。</w:t>
      </w:r>
    </w:p>
    <w:p w14:paraId="151ECEE9">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6.1.9 安全生产责任</w:t>
      </w:r>
    </w:p>
    <w:p w14:paraId="4BBC89C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6.1.9.1 发包人的安全责任</w:t>
      </w:r>
    </w:p>
    <w:p w14:paraId="7D9BD685">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发包人应负责赔偿以下各种情况造成的损失：</w:t>
      </w:r>
    </w:p>
    <w:p w14:paraId="2183504C">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（1）工程或工程的任何部分对土地的占用所造成的第三者财产损失；</w:t>
      </w:r>
    </w:p>
    <w:p w14:paraId="3EEEA3DE">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（2）由于发包人原因在施工场地及其毗邻地带造成的第三者人身伤亡和财产损失；</w:t>
      </w:r>
    </w:p>
    <w:p w14:paraId="24C79847">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（3）由于发包人原因对承包人、监理人造成的人员人身伤亡和财产损失；</w:t>
      </w:r>
    </w:p>
    <w:p w14:paraId="3317D84F">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（4）由于发包人原因造成的发包人自身人员的人身伤害以及财产损失。</w:t>
      </w:r>
    </w:p>
    <w:p w14:paraId="3C6A2F7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6.1.9.2 承包人的安全责任</w:t>
      </w:r>
    </w:p>
    <w:p w14:paraId="0E9176F2">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由于承包人原因在施工场地内及其毗邻地带造成的发包人、监理人以及第三者人员伤亡和财产损失，由承包人负责赔偿。</w:t>
      </w:r>
    </w:p>
    <w:p w14:paraId="0564B8D8">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308" w:name="_Toc351203540"/>
      <w:bookmarkEnd w:id="1308"/>
      <w:bookmarkStart w:id="1309" w:name="_Toc22252"/>
      <w:bookmarkStart w:id="1310" w:name="_Toc17171"/>
      <w:bookmarkStart w:id="1311" w:name="_Toc11119"/>
      <w:bookmarkStart w:id="1312" w:name="_Toc19741"/>
      <w:bookmarkStart w:id="1313" w:name="_Toc32261"/>
      <w:bookmarkStart w:id="1314" w:name="_Toc28618"/>
      <w:bookmarkStart w:id="1315" w:name="_Toc6325"/>
      <w:bookmarkStart w:id="1316" w:name="_Toc6079"/>
      <w:bookmarkStart w:id="1317" w:name="_Toc5426"/>
      <w:bookmarkStart w:id="1318" w:name="_Toc31792"/>
      <w:bookmarkStart w:id="1319" w:name="_Toc16881"/>
      <w:bookmarkStart w:id="1320" w:name="_Toc13142"/>
      <w:bookmarkStart w:id="1321" w:name="_Toc12313"/>
      <w:r>
        <w:rPr>
          <w:rFonts w:hint="eastAsia" w:ascii="宋体" w:hAnsi="宋体" w:eastAsia="宋体" w:cs="宋体"/>
          <w:b w:val="0"/>
          <w:bCs w:val="0"/>
          <w:color w:val="auto"/>
          <w:sz w:val="24"/>
          <w:szCs w:val="24"/>
          <w:highlight w:val="none"/>
        </w:rPr>
        <w:t>6</w:t>
      </w:r>
      <w:bookmarkStart w:id="1322" w:name="_Toc337558765"/>
      <w:r>
        <w:rPr>
          <w:rFonts w:hint="eastAsia" w:ascii="宋体" w:hAnsi="宋体" w:eastAsia="宋体" w:cs="宋体"/>
          <w:b w:val="0"/>
          <w:bCs w:val="0"/>
          <w:color w:val="auto"/>
          <w:sz w:val="24"/>
          <w:szCs w:val="24"/>
          <w:highlight w:val="none"/>
        </w:rPr>
        <w:t>.2 职业健康</w:t>
      </w:r>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p>
    <w:p w14:paraId="1FE506EB">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6.2.1 劳动保护</w:t>
      </w:r>
    </w:p>
    <w:p w14:paraId="37B471FA">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3E801EB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承包人应按照法律规定保障现场施工人员的劳动安全，并提供劳动保护</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并应</w:t>
      </w:r>
      <w:r>
        <w:rPr>
          <w:rFonts w:hint="eastAsia" w:ascii="宋体" w:hAnsi="宋体" w:cs="宋体"/>
          <w:color w:val="auto"/>
          <w:kern w:val="0"/>
          <w:sz w:val="24"/>
          <w:szCs w:val="24"/>
          <w:highlight w:val="none"/>
          <w:lang w:eastAsia="zh-CN"/>
        </w:rPr>
        <w:t>按照</w:t>
      </w:r>
      <w:r>
        <w:rPr>
          <w:rFonts w:hint="eastAsia" w:ascii="宋体" w:hAnsi="宋体" w:eastAsia="宋体" w:cs="宋体"/>
          <w:color w:val="auto"/>
          <w:kern w:val="0"/>
          <w:sz w:val="24"/>
          <w:szCs w:val="24"/>
          <w:highlight w:val="none"/>
        </w:rPr>
        <w:t>国家有关劳动保护的规定，采取有效</w:t>
      </w:r>
      <w:r>
        <w:rPr>
          <w:rFonts w:hint="eastAsia" w:ascii="宋体" w:hAnsi="宋体" w:cs="宋体"/>
          <w:color w:val="auto"/>
          <w:kern w:val="0"/>
          <w:sz w:val="24"/>
          <w:szCs w:val="24"/>
          <w:highlight w:val="none"/>
          <w:lang w:eastAsia="zh-CN"/>
        </w:rPr>
        <w:t>地</w:t>
      </w:r>
      <w:r>
        <w:rPr>
          <w:rFonts w:hint="eastAsia" w:ascii="宋体" w:hAnsi="宋体" w:eastAsia="宋体" w:cs="宋体"/>
          <w:color w:val="auto"/>
          <w:kern w:val="0"/>
          <w:sz w:val="24"/>
          <w:szCs w:val="24"/>
          <w:highlight w:val="none"/>
        </w:rPr>
        <w:t>防止粉尘、降低噪声、控制有害气体和保障高温、高寒、高空作业安全等劳动保护措施。承包人雇佣人员在施工中受到伤害的，承包人应立即采取有效措施进行抢救和治疗。</w:t>
      </w:r>
    </w:p>
    <w:p w14:paraId="702CC4E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承包人应按法律规定安排工作时间，保证其雇佣人员享有休息和休假的权利。因工程施工的特殊需要占用休假日或延长工作时间的，应不超过法律规定的限度，并按法律规定给予补休或付酬。</w:t>
      </w:r>
    </w:p>
    <w:p w14:paraId="1EBFDE6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6.2.2 生活条件</w:t>
      </w:r>
    </w:p>
    <w:p w14:paraId="5B1831E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在远离城镇的施工场地，还应配备必要的伤病防治和急救的医务人员与医疗设施。</w:t>
      </w:r>
    </w:p>
    <w:p w14:paraId="50457F04">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323" w:name="_Toc351203541"/>
      <w:bookmarkEnd w:id="1323"/>
      <w:bookmarkStart w:id="1324" w:name="_Toc4913"/>
      <w:bookmarkStart w:id="1325" w:name="_Toc7961"/>
      <w:bookmarkStart w:id="1326" w:name="_Toc2821"/>
      <w:bookmarkStart w:id="1327" w:name="_Toc32705"/>
      <w:bookmarkStart w:id="1328" w:name="_Toc16276"/>
      <w:bookmarkStart w:id="1329" w:name="_Toc8305"/>
      <w:bookmarkStart w:id="1330" w:name="_Toc8214"/>
      <w:bookmarkStart w:id="1331" w:name="_Toc29384"/>
      <w:bookmarkStart w:id="1332" w:name="_Toc14263"/>
      <w:bookmarkStart w:id="1333" w:name="_Toc27082"/>
      <w:bookmarkStart w:id="1334" w:name="_Toc21680"/>
      <w:bookmarkStart w:id="1335" w:name="_Toc8312"/>
      <w:bookmarkStart w:id="1336" w:name="_Toc11934"/>
      <w:r>
        <w:rPr>
          <w:rFonts w:hint="eastAsia" w:ascii="宋体" w:hAnsi="宋体" w:eastAsia="宋体" w:cs="宋体"/>
          <w:b w:val="0"/>
          <w:bCs w:val="0"/>
          <w:color w:val="auto"/>
          <w:sz w:val="24"/>
          <w:szCs w:val="24"/>
          <w:highlight w:val="none"/>
        </w:rPr>
        <w:t>6</w:t>
      </w:r>
      <w:bookmarkStart w:id="1337" w:name="_Toc337558766"/>
      <w:r>
        <w:rPr>
          <w:rFonts w:hint="eastAsia" w:ascii="宋体" w:hAnsi="宋体" w:eastAsia="宋体" w:cs="宋体"/>
          <w:b w:val="0"/>
          <w:bCs w:val="0"/>
          <w:color w:val="auto"/>
          <w:sz w:val="24"/>
          <w:szCs w:val="24"/>
          <w:highlight w:val="none"/>
        </w:rPr>
        <w:t>.3 环境保护</w:t>
      </w:r>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p>
    <w:p w14:paraId="3ECC76CD">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0631F762">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承包人应当承担因其原因引起的环境污染侵权损害赔偿责任，因上述环境污染引起纠纷而导致暂停施工的，由此增加的费用和（或）延误的工期由承包人承担。</w:t>
      </w:r>
    </w:p>
    <w:p w14:paraId="6773FF79">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1338" w:name="_Toc351203542"/>
      <w:bookmarkEnd w:id="1338"/>
      <w:bookmarkStart w:id="1339" w:name="_Toc6918"/>
      <w:bookmarkStart w:id="1340" w:name="_Toc24494"/>
      <w:bookmarkStart w:id="1341" w:name="_Toc27813"/>
      <w:bookmarkStart w:id="1342" w:name="_Toc26708"/>
      <w:bookmarkStart w:id="1343" w:name="_Toc9574"/>
      <w:bookmarkStart w:id="1344" w:name="_Toc66"/>
      <w:bookmarkStart w:id="1345" w:name="_Toc5680"/>
      <w:bookmarkStart w:id="1346" w:name="_Toc8051"/>
      <w:bookmarkStart w:id="1347" w:name="_Toc28519"/>
      <w:bookmarkStart w:id="1348" w:name="_Toc28158"/>
      <w:bookmarkStart w:id="1349" w:name="_Toc26232"/>
      <w:bookmarkStart w:id="1350" w:name="_Toc27700"/>
      <w:bookmarkStart w:id="1351" w:name="_Toc16201"/>
      <w:bookmarkStart w:id="1352" w:name="_Toc14239"/>
      <w:bookmarkStart w:id="1353" w:name="_Toc27508"/>
      <w:r>
        <w:rPr>
          <w:rFonts w:hint="eastAsia" w:ascii="宋体" w:hAnsi="宋体" w:eastAsia="宋体" w:cs="宋体"/>
          <w:b w:val="0"/>
          <w:bCs w:val="0"/>
          <w:color w:val="auto"/>
          <w:sz w:val="24"/>
          <w:szCs w:val="24"/>
          <w:highlight w:val="none"/>
        </w:rPr>
        <w:t>7</w:t>
      </w:r>
      <w:bookmarkStart w:id="1354" w:name="_Toc337558767"/>
      <w:r>
        <w:rPr>
          <w:rFonts w:hint="eastAsia" w:ascii="宋体" w:hAnsi="宋体" w:eastAsia="宋体" w:cs="宋体"/>
          <w:b w:val="0"/>
          <w:bCs w:val="0"/>
          <w:color w:val="auto"/>
          <w:sz w:val="24"/>
          <w:szCs w:val="24"/>
          <w:highlight w:val="none"/>
        </w:rPr>
        <w:t>. 工期和进度</w:t>
      </w:r>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p>
    <w:p w14:paraId="153D0081">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355" w:name="_Toc351203543"/>
      <w:bookmarkEnd w:id="1355"/>
      <w:bookmarkStart w:id="1356" w:name="_Toc16089"/>
      <w:bookmarkStart w:id="1357" w:name="_Toc425"/>
      <w:bookmarkStart w:id="1358" w:name="_Toc21644"/>
      <w:bookmarkStart w:id="1359" w:name="_Toc4258"/>
      <w:bookmarkStart w:id="1360" w:name="_Toc6759"/>
      <w:bookmarkStart w:id="1361" w:name="_Toc26058"/>
      <w:bookmarkStart w:id="1362" w:name="_Toc20463"/>
      <w:bookmarkStart w:id="1363" w:name="_Toc22688"/>
      <w:bookmarkStart w:id="1364" w:name="_Toc5475"/>
      <w:bookmarkStart w:id="1365" w:name="_Toc31858"/>
      <w:bookmarkStart w:id="1366" w:name="_Toc20228"/>
      <w:bookmarkStart w:id="1367" w:name="_Toc3675"/>
      <w:bookmarkStart w:id="1368" w:name="_Toc29747"/>
      <w:r>
        <w:rPr>
          <w:rFonts w:hint="eastAsia" w:ascii="宋体" w:hAnsi="宋体" w:eastAsia="宋体" w:cs="宋体"/>
          <w:b w:val="0"/>
          <w:bCs w:val="0"/>
          <w:color w:val="auto"/>
          <w:sz w:val="24"/>
          <w:szCs w:val="24"/>
          <w:highlight w:val="none"/>
        </w:rPr>
        <w:t>7</w:t>
      </w:r>
      <w:bookmarkStart w:id="1369" w:name="_Toc337558768"/>
      <w:bookmarkEnd w:id="1369"/>
      <w:bookmarkStart w:id="1370" w:name="_Toc296346567"/>
      <w:bookmarkEnd w:id="1370"/>
      <w:bookmarkStart w:id="1371" w:name="_Toc296503066"/>
      <w:r>
        <w:rPr>
          <w:rFonts w:hint="eastAsia" w:ascii="宋体" w:hAnsi="宋体" w:eastAsia="宋体" w:cs="宋体"/>
          <w:b w:val="0"/>
          <w:bCs w:val="0"/>
          <w:color w:val="auto"/>
          <w:sz w:val="24"/>
          <w:szCs w:val="24"/>
          <w:highlight w:val="none"/>
        </w:rPr>
        <w:t>.1施工组织设计</w:t>
      </w:r>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71"/>
    </w:p>
    <w:p w14:paraId="6486AA9D">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7.1.1 </w:t>
      </w:r>
      <w:r>
        <w:rPr>
          <w:rFonts w:hint="eastAsia" w:ascii="宋体" w:hAnsi="宋体" w:eastAsia="宋体" w:cs="宋体"/>
          <w:color w:val="auto"/>
          <w:kern w:val="0"/>
          <w:sz w:val="24"/>
          <w:szCs w:val="24"/>
          <w:highlight w:val="none"/>
        </w:rPr>
        <w:t>施工组织设计的内容</w:t>
      </w:r>
    </w:p>
    <w:p w14:paraId="40B4B33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施工组织设计应包含以下内容：</w:t>
      </w:r>
    </w:p>
    <w:p w14:paraId="454589D4">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（1）施工方案； </w:t>
      </w:r>
    </w:p>
    <w:p w14:paraId="03D472BE">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（2）施工现场平面布置图；</w:t>
      </w:r>
    </w:p>
    <w:p w14:paraId="375E720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（3）施工进度计划和保证措施； </w:t>
      </w:r>
    </w:p>
    <w:p w14:paraId="175CC0C4">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（4）劳动力及材料供应计划；</w:t>
      </w:r>
    </w:p>
    <w:p w14:paraId="2394D5C4">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（5）施工机械设备的选用；</w:t>
      </w:r>
    </w:p>
    <w:p w14:paraId="60E2DF74">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（6）质量保证体系及措施；</w:t>
      </w:r>
    </w:p>
    <w:p w14:paraId="0ED7017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（7）安全生产、文明施工措施；</w:t>
      </w:r>
    </w:p>
    <w:p w14:paraId="52000BF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（8）环境保护、成本控制措施；</w:t>
      </w:r>
    </w:p>
    <w:p w14:paraId="3EFC37B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（9）合同当事人约定的其他内容。</w:t>
      </w:r>
    </w:p>
    <w:p w14:paraId="72FE2BF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7.1.2 </w:t>
      </w:r>
      <w:r>
        <w:rPr>
          <w:rFonts w:hint="eastAsia" w:ascii="宋体" w:hAnsi="宋体" w:eastAsia="宋体" w:cs="宋体"/>
          <w:color w:val="auto"/>
          <w:kern w:val="0"/>
          <w:sz w:val="24"/>
          <w:szCs w:val="24"/>
          <w:highlight w:val="none"/>
        </w:rPr>
        <w:t>施工组织设计的提交和修改</w:t>
      </w:r>
    </w:p>
    <w:p w14:paraId="0D7B3A0C">
      <w:pPr>
        <w:autoSpaceDE w:val="0"/>
        <w:autoSpaceDN w:val="0"/>
        <w:adjustRightInd w:val="0"/>
        <w:spacing w:line="240" w:lineRule="auto"/>
        <w:ind w:left="480" w:leftChars="240" w:firstLine="0" w:firstLine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032487AC">
      <w:pPr>
        <w:pageBreakBefore w:val="0"/>
        <w:widowControl/>
        <w:kinsoku/>
        <w:wordWrap/>
        <w:overflowPunct/>
        <w:topLinePunct w:val="0"/>
        <w:autoSpaceDE w:val="0"/>
        <w:autoSpaceDN w:val="0"/>
        <w:bidi w:val="0"/>
        <w:adjustRightInd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施工进度计划的编制和修改按照第7.2款〔施工进度计划〕执行。</w:t>
      </w:r>
    </w:p>
    <w:p w14:paraId="75F0AD76">
      <w:pPr>
        <w:pStyle w:val="6"/>
        <w:pageBreakBefore w:val="0"/>
        <w:widowControl/>
        <w:kinsoku/>
        <w:wordWrap/>
        <w:overflowPunct/>
        <w:topLinePunct w:val="0"/>
        <w:bidi w:val="0"/>
        <w:snapToGrid w:val="0"/>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372" w:name="_Toc351203544"/>
      <w:bookmarkEnd w:id="1372"/>
      <w:bookmarkStart w:id="1373" w:name="_Toc17958"/>
      <w:bookmarkStart w:id="1374" w:name="_Toc21607"/>
      <w:bookmarkStart w:id="1375" w:name="_Toc17469"/>
      <w:bookmarkStart w:id="1376" w:name="_Toc19608"/>
      <w:bookmarkStart w:id="1377" w:name="_Toc29029"/>
      <w:bookmarkStart w:id="1378" w:name="_Toc9493"/>
      <w:bookmarkStart w:id="1379" w:name="_Toc16438"/>
      <w:bookmarkStart w:id="1380" w:name="_Toc15302"/>
      <w:bookmarkStart w:id="1381" w:name="_Toc16894"/>
      <w:bookmarkStart w:id="1382" w:name="_Toc11885"/>
      <w:bookmarkStart w:id="1383" w:name="_Toc9766"/>
      <w:bookmarkStart w:id="1384" w:name="_Toc11569"/>
      <w:r>
        <w:rPr>
          <w:rFonts w:hint="eastAsia" w:ascii="宋体" w:hAnsi="宋体" w:eastAsia="宋体" w:cs="宋体"/>
          <w:b w:val="0"/>
          <w:bCs w:val="0"/>
          <w:color w:val="auto"/>
          <w:sz w:val="24"/>
          <w:szCs w:val="24"/>
          <w:highlight w:val="none"/>
        </w:rPr>
        <w:t>7</w:t>
      </w:r>
      <w:bookmarkStart w:id="1385" w:name="_Toc337558769"/>
      <w:r>
        <w:rPr>
          <w:rFonts w:hint="eastAsia" w:ascii="宋体" w:hAnsi="宋体" w:eastAsia="宋体" w:cs="宋体"/>
          <w:b w:val="0"/>
          <w:bCs w:val="0"/>
          <w:color w:val="auto"/>
          <w:sz w:val="24"/>
          <w:szCs w:val="24"/>
          <w:highlight w:val="none"/>
        </w:rPr>
        <w:t>.2 施工进度计划</w:t>
      </w:r>
      <w:bookmarkEnd w:id="1373"/>
      <w:bookmarkEnd w:id="1374"/>
      <w:bookmarkEnd w:id="1375"/>
      <w:bookmarkEnd w:id="1376"/>
      <w:bookmarkEnd w:id="1377"/>
      <w:bookmarkEnd w:id="1378"/>
      <w:bookmarkEnd w:id="1379"/>
      <w:bookmarkEnd w:id="1380"/>
      <w:bookmarkEnd w:id="1381"/>
      <w:bookmarkEnd w:id="1382"/>
      <w:bookmarkEnd w:id="1383"/>
      <w:bookmarkEnd w:id="1384"/>
      <w:bookmarkEnd w:id="1385"/>
    </w:p>
    <w:p w14:paraId="5FFA6B83">
      <w:pPr>
        <w:pageBreakBefore w:val="0"/>
        <w:widowControl/>
        <w:kinsoku/>
        <w:wordWrap/>
        <w:overflowPunct/>
        <w:topLinePunct w:val="0"/>
        <w:autoSpaceDE w:val="0"/>
        <w:autoSpaceDN w:val="0"/>
        <w:bidi w:val="0"/>
        <w:adjustRightInd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7.2.1 施工进度计划的编制</w:t>
      </w:r>
    </w:p>
    <w:p w14:paraId="7BE7741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3124242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7.2.2 施工进度计划的修订</w:t>
      </w:r>
    </w:p>
    <w:p w14:paraId="6010A499">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1A387F19">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386" w:name="_Toc351203545"/>
      <w:bookmarkEnd w:id="1386"/>
      <w:bookmarkStart w:id="1387" w:name="_Toc23101"/>
      <w:bookmarkStart w:id="1388" w:name="_Toc5498"/>
      <w:bookmarkStart w:id="1389" w:name="_Toc16689"/>
      <w:bookmarkStart w:id="1390" w:name="_Toc19122"/>
      <w:bookmarkStart w:id="1391" w:name="_Toc26982"/>
      <w:bookmarkStart w:id="1392" w:name="_Toc27832"/>
      <w:bookmarkStart w:id="1393" w:name="_Toc8584"/>
      <w:bookmarkStart w:id="1394" w:name="_Toc9548"/>
      <w:bookmarkStart w:id="1395" w:name="_Toc20515"/>
      <w:bookmarkStart w:id="1396" w:name="_Toc5414"/>
      <w:bookmarkStart w:id="1397" w:name="_Toc7413"/>
      <w:bookmarkStart w:id="1398" w:name="_Toc18628"/>
      <w:bookmarkStart w:id="1399" w:name="_Toc15369"/>
      <w:r>
        <w:rPr>
          <w:rFonts w:hint="eastAsia" w:ascii="宋体" w:hAnsi="宋体" w:eastAsia="宋体" w:cs="宋体"/>
          <w:b w:val="0"/>
          <w:bCs w:val="0"/>
          <w:color w:val="auto"/>
          <w:sz w:val="24"/>
          <w:szCs w:val="24"/>
          <w:highlight w:val="none"/>
        </w:rPr>
        <w:t>7</w:t>
      </w:r>
      <w:bookmarkStart w:id="1400" w:name="_Toc337558770"/>
      <w:r>
        <w:rPr>
          <w:rFonts w:hint="eastAsia" w:ascii="宋体" w:hAnsi="宋体" w:eastAsia="宋体" w:cs="宋体"/>
          <w:b w:val="0"/>
          <w:bCs w:val="0"/>
          <w:color w:val="auto"/>
          <w:sz w:val="24"/>
          <w:szCs w:val="24"/>
          <w:highlight w:val="none"/>
        </w:rPr>
        <w:t>.3 开工</w:t>
      </w:r>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p>
    <w:p w14:paraId="29A86C96">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7.3.1 开工准备</w:t>
      </w:r>
    </w:p>
    <w:p w14:paraId="77D488D2">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145C2DBC">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除专用合同条款另有约定外，合同当事人应按约定完成开工准备工作。</w:t>
      </w:r>
    </w:p>
    <w:p w14:paraId="7CCE7B8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7.3.2 开工通知</w:t>
      </w:r>
    </w:p>
    <w:p w14:paraId="50B7EA2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6EFE9208">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05DE4FC1">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401" w:name="_Toc351203546"/>
      <w:bookmarkEnd w:id="1401"/>
      <w:bookmarkStart w:id="1402" w:name="_Toc31444"/>
      <w:bookmarkStart w:id="1403" w:name="_Toc11777"/>
      <w:bookmarkStart w:id="1404" w:name="_Toc12415"/>
      <w:bookmarkStart w:id="1405" w:name="_Toc30257"/>
      <w:bookmarkStart w:id="1406" w:name="_Toc25680"/>
      <w:bookmarkStart w:id="1407" w:name="_Toc21945"/>
      <w:bookmarkStart w:id="1408" w:name="_Toc26481"/>
      <w:bookmarkStart w:id="1409" w:name="_Toc29462"/>
      <w:bookmarkStart w:id="1410" w:name="_Toc17638"/>
      <w:bookmarkStart w:id="1411" w:name="_Toc16108"/>
      <w:bookmarkStart w:id="1412" w:name="_Toc12895"/>
      <w:bookmarkStart w:id="1413" w:name="_Toc855"/>
      <w:bookmarkStart w:id="1414" w:name="_Toc24551"/>
      <w:r>
        <w:rPr>
          <w:rFonts w:hint="eastAsia" w:ascii="宋体" w:hAnsi="宋体" w:eastAsia="宋体" w:cs="宋体"/>
          <w:b w:val="0"/>
          <w:bCs w:val="0"/>
          <w:color w:val="auto"/>
          <w:sz w:val="24"/>
          <w:szCs w:val="24"/>
          <w:highlight w:val="none"/>
        </w:rPr>
        <w:t>7.4测量放线</w:t>
      </w:r>
      <w:bookmarkEnd w:id="1402"/>
      <w:bookmarkEnd w:id="1403"/>
      <w:bookmarkEnd w:id="1404"/>
      <w:bookmarkEnd w:id="1405"/>
      <w:bookmarkEnd w:id="1406"/>
      <w:bookmarkEnd w:id="1407"/>
      <w:bookmarkEnd w:id="1408"/>
      <w:bookmarkEnd w:id="1409"/>
      <w:bookmarkEnd w:id="1410"/>
      <w:bookmarkEnd w:id="1411"/>
      <w:bookmarkEnd w:id="1412"/>
      <w:bookmarkEnd w:id="1413"/>
      <w:bookmarkEnd w:id="1414"/>
    </w:p>
    <w:p w14:paraId="1F296182">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7622910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751DCED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7.4.2 承包人负责施工过程中的全部施工测量放线工作，并配置具有相应资质的人员、合格的仪器、设备和其他物品。承包人应</w:t>
      </w:r>
      <w:r>
        <w:rPr>
          <w:rFonts w:hint="eastAsia" w:ascii="宋体" w:hAnsi="宋体" w:cs="宋体"/>
          <w:color w:val="auto"/>
          <w:kern w:val="0"/>
          <w:sz w:val="24"/>
          <w:szCs w:val="24"/>
          <w:highlight w:val="none"/>
          <w:lang w:eastAsia="zh-CN"/>
        </w:rPr>
        <w:t>纠正</w:t>
      </w:r>
      <w:r>
        <w:rPr>
          <w:rFonts w:hint="eastAsia" w:ascii="宋体" w:hAnsi="宋体" w:eastAsia="宋体" w:cs="宋体"/>
          <w:color w:val="auto"/>
          <w:kern w:val="0"/>
          <w:sz w:val="24"/>
          <w:szCs w:val="24"/>
          <w:highlight w:val="none"/>
        </w:rPr>
        <w:t>工程的位置、标高、尺寸或准线中出现的任何差错，并对工程各部分的定位负责。</w:t>
      </w:r>
    </w:p>
    <w:p w14:paraId="6E16D4F7">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施工过程中对施工现场内水准点等测量标志物的保护工作由承包人负责。</w:t>
      </w:r>
      <w:bookmarkStart w:id="1415" w:name="_Toc351203547"/>
      <w:bookmarkEnd w:id="1415"/>
    </w:p>
    <w:p w14:paraId="0E5FCAD7">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416" w:name="_Toc14241"/>
      <w:bookmarkStart w:id="1417" w:name="_Toc28407"/>
      <w:bookmarkStart w:id="1418" w:name="_Toc26119"/>
      <w:bookmarkStart w:id="1419" w:name="_Toc265"/>
      <w:bookmarkStart w:id="1420" w:name="_Toc20762"/>
      <w:bookmarkStart w:id="1421" w:name="_Toc28304"/>
      <w:bookmarkStart w:id="1422" w:name="_Toc23015"/>
      <w:bookmarkStart w:id="1423" w:name="_Toc7374"/>
      <w:bookmarkStart w:id="1424" w:name="_Toc22616"/>
      <w:bookmarkStart w:id="1425" w:name="_Toc10991"/>
      <w:bookmarkStart w:id="1426" w:name="_Toc5010"/>
      <w:bookmarkStart w:id="1427" w:name="_Toc6926"/>
      <w:bookmarkStart w:id="1428" w:name="_Toc739"/>
      <w:r>
        <w:rPr>
          <w:rFonts w:hint="eastAsia" w:ascii="宋体" w:hAnsi="宋体" w:eastAsia="宋体" w:cs="宋体"/>
          <w:b w:val="0"/>
          <w:bCs w:val="0"/>
          <w:color w:val="auto"/>
          <w:sz w:val="24"/>
          <w:szCs w:val="24"/>
          <w:highlight w:val="none"/>
        </w:rPr>
        <w:t>7</w:t>
      </w:r>
      <w:bookmarkStart w:id="1429" w:name="_Toc296346574"/>
      <w:bookmarkEnd w:id="1429"/>
      <w:bookmarkStart w:id="1430" w:name="_Toc296503073"/>
      <w:bookmarkEnd w:id="1430"/>
      <w:bookmarkStart w:id="1431" w:name="_Toc337558772"/>
      <w:r>
        <w:rPr>
          <w:rFonts w:hint="eastAsia" w:ascii="宋体" w:hAnsi="宋体" w:eastAsia="宋体" w:cs="宋体"/>
          <w:b w:val="0"/>
          <w:bCs w:val="0"/>
          <w:color w:val="auto"/>
          <w:sz w:val="24"/>
          <w:szCs w:val="24"/>
          <w:highlight w:val="none"/>
        </w:rPr>
        <w:t>.5</w:t>
      </w:r>
      <w:bookmarkEnd w:id="1431"/>
      <w:r>
        <w:rPr>
          <w:rFonts w:hint="eastAsia" w:ascii="宋体" w:hAnsi="宋体" w:eastAsia="宋体" w:cs="宋体"/>
          <w:b w:val="0"/>
          <w:bCs w:val="0"/>
          <w:color w:val="auto"/>
          <w:sz w:val="24"/>
          <w:szCs w:val="24"/>
          <w:highlight w:val="none"/>
        </w:rPr>
        <w:t xml:space="preserve"> 工期延误</w:t>
      </w:r>
      <w:bookmarkEnd w:id="1416"/>
      <w:bookmarkEnd w:id="1417"/>
      <w:bookmarkEnd w:id="1418"/>
      <w:bookmarkEnd w:id="1419"/>
      <w:bookmarkEnd w:id="1420"/>
      <w:bookmarkEnd w:id="1421"/>
      <w:bookmarkEnd w:id="1422"/>
      <w:bookmarkEnd w:id="1423"/>
      <w:bookmarkEnd w:id="1424"/>
      <w:bookmarkEnd w:id="1425"/>
      <w:bookmarkEnd w:id="1426"/>
      <w:bookmarkEnd w:id="1427"/>
      <w:bookmarkEnd w:id="1428"/>
    </w:p>
    <w:p w14:paraId="0318161D">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7.5.1 因发包人原因导致工期延误</w:t>
      </w:r>
    </w:p>
    <w:p w14:paraId="1B96ACEF">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在合同履行过程中，因下列情况导致工期延误和（或）费用增加的，由发包人承担由此延误的工期和（或）增加的费用，且发包人应支付承包人合理的利润： </w:t>
      </w:r>
    </w:p>
    <w:p w14:paraId="51DFB066">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（1）发包人未能按合同约定提供图纸或所提供图纸不符合合同约定的；</w:t>
      </w:r>
    </w:p>
    <w:p w14:paraId="056ED38A">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（2）发包人未能按合同约定提供施工现场、施工条件、基础资料、许可、批准等开工条件的；</w:t>
      </w:r>
    </w:p>
    <w:p w14:paraId="07F7170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（3）发包人提供的测量基准点、基准线和水准点及其书面资料存在错误或疏漏的；</w:t>
      </w:r>
    </w:p>
    <w:p w14:paraId="25542E8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（4）发包人未能在计划开工日期之日起7天内同意下达开工通知的；</w:t>
      </w:r>
    </w:p>
    <w:p w14:paraId="7A8900B2">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（5）发包人未能按合同约定日期支付工程预付款、进度款或竣工结算款的；</w:t>
      </w:r>
    </w:p>
    <w:p w14:paraId="1A3455AB">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（6）监理人未按合同约定发出指示、批准等文件的；</w:t>
      </w:r>
    </w:p>
    <w:p w14:paraId="1799FA6D">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（7）专用合同条款中约定的其他情形。</w:t>
      </w:r>
    </w:p>
    <w:p w14:paraId="008E83E2">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706AB162">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7.5.2 因承包人原因导致工期延误</w:t>
      </w:r>
    </w:p>
    <w:p w14:paraId="20AAC4E6">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bookmarkStart w:id="1432" w:name="_Toc296346577"/>
      <w:bookmarkEnd w:id="1432"/>
      <w:bookmarkStart w:id="1433" w:name="_Toc296503076"/>
      <w:r>
        <w:rPr>
          <w:rFonts w:hint="eastAsia" w:ascii="宋体" w:hAnsi="宋体" w:eastAsia="宋体" w:cs="宋体"/>
          <w:color w:val="auto"/>
          <w:kern w:val="0"/>
          <w:sz w:val="24"/>
          <w:szCs w:val="24"/>
          <w:highlight w:val="none"/>
        </w:rPr>
        <w:t>因</w:t>
      </w:r>
      <w:bookmarkEnd w:id="1433"/>
      <w:r>
        <w:rPr>
          <w:rFonts w:hint="eastAsia" w:ascii="宋体" w:hAnsi="宋体" w:eastAsia="宋体" w:cs="宋体"/>
          <w:color w:val="auto"/>
          <w:kern w:val="0"/>
          <w:sz w:val="24"/>
          <w:szCs w:val="24"/>
          <w:highlight w:val="none"/>
        </w:rPr>
        <w:t>承包人原因造成工期延误的，可以在专用合同条款中约定逾期竣工违约金的计算方法和逾期竣工违约金的上限。承包人支付逾期竣工违约金后，不免除承包人继续完成工程及修补缺陷的义务。</w:t>
      </w:r>
    </w:p>
    <w:p w14:paraId="6F6EEFAB">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434" w:name="_Toc351203548"/>
      <w:bookmarkEnd w:id="1434"/>
      <w:bookmarkStart w:id="1435" w:name="_Toc460"/>
      <w:bookmarkStart w:id="1436" w:name="_Toc29706"/>
      <w:bookmarkStart w:id="1437" w:name="_Toc5896"/>
      <w:bookmarkStart w:id="1438" w:name="_Toc15330"/>
      <w:bookmarkStart w:id="1439" w:name="_Toc14014"/>
      <w:bookmarkStart w:id="1440" w:name="_Toc6882"/>
      <w:bookmarkStart w:id="1441" w:name="_Toc30041"/>
      <w:bookmarkStart w:id="1442" w:name="_Toc22874"/>
      <w:bookmarkStart w:id="1443" w:name="_Toc29996"/>
      <w:bookmarkStart w:id="1444" w:name="_Toc31115"/>
      <w:bookmarkStart w:id="1445" w:name="_Toc32267"/>
      <w:bookmarkStart w:id="1446" w:name="_Toc16862"/>
      <w:bookmarkStart w:id="1447" w:name="_Toc21658"/>
      <w:r>
        <w:rPr>
          <w:rFonts w:hint="eastAsia" w:ascii="宋体" w:hAnsi="宋体" w:eastAsia="宋体" w:cs="宋体"/>
          <w:b w:val="0"/>
          <w:bCs w:val="0"/>
          <w:color w:val="auto"/>
          <w:sz w:val="24"/>
          <w:szCs w:val="24"/>
          <w:highlight w:val="none"/>
        </w:rPr>
        <w:t>7</w:t>
      </w:r>
      <w:bookmarkStart w:id="1448" w:name="_Toc296346578"/>
      <w:bookmarkEnd w:id="1448"/>
      <w:bookmarkStart w:id="1449" w:name="_Toc337558773"/>
      <w:bookmarkEnd w:id="1449"/>
      <w:bookmarkStart w:id="1450" w:name="_Toc296503074"/>
      <w:bookmarkEnd w:id="1450"/>
      <w:bookmarkStart w:id="1451" w:name="_Toc296346575"/>
      <w:bookmarkEnd w:id="1451"/>
      <w:bookmarkStart w:id="1452" w:name="_Toc296503077"/>
      <w:r>
        <w:rPr>
          <w:rFonts w:hint="eastAsia" w:ascii="宋体" w:hAnsi="宋体" w:eastAsia="宋体" w:cs="宋体"/>
          <w:b w:val="0"/>
          <w:bCs w:val="0"/>
          <w:color w:val="auto"/>
          <w:sz w:val="24"/>
          <w:szCs w:val="24"/>
          <w:highlight w:val="none"/>
        </w:rPr>
        <w:t>.6 不利物质条件</w:t>
      </w:r>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52"/>
    </w:p>
    <w:p w14:paraId="09671268">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4DBCEF1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3962A0AE">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453" w:name="_Toc351203549"/>
      <w:bookmarkEnd w:id="1453"/>
      <w:bookmarkStart w:id="1454" w:name="_Toc22605"/>
      <w:bookmarkStart w:id="1455" w:name="_Toc28790"/>
      <w:bookmarkStart w:id="1456" w:name="_Toc18518"/>
      <w:bookmarkStart w:id="1457" w:name="_Toc9352"/>
      <w:bookmarkStart w:id="1458" w:name="_Toc18746"/>
      <w:bookmarkStart w:id="1459" w:name="_Toc7652"/>
      <w:bookmarkStart w:id="1460" w:name="_Toc13425"/>
      <w:bookmarkStart w:id="1461" w:name="_Toc9909"/>
      <w:bookmarkStart w:id="1462" w:name="_Toc25626"/>
      <w:bookmarkStart w:id="1463" w:name="_Toc21538"/>
      <w:bookmarkStart w:id="1464" w:name="_Toc20345"/>
      <w:bookmarkStart w:id="1465" w:name="_Toc17103"/>
      <w:bookmarkStart w:id="1466" w:name="_Toc30406"/>
      <w:r>
        <w:rPr>
          <w:rFonts w:hint="eastAsia" w:ascii="宋体" w:hAnsi="宋体" w:eastAsia="宋体" w:cs="宋体"/>
          <w:b w:val="0"/>
          <w:bCs w:val="0"/>
          <w:color w:val="auto"/>
          <w:sz w:val="24"/>
          <w:szCs w:val="24"/>
          <w:highlight w:val="none"/>
        </w:rPr>
        <w:t>7</w:t>
      </w:r>
      <w:bookmarkStart w:id="1467" w:name="_Toc296346576"/>
      <w:bookmarkEnd w:id="1467"/>
      <w:bookmarkStart w:id="1468" w:name="_Toc337558774"/>
      <w:bookmarkEnd w:id="1468"/>
      <w:bookmarkStart w:id="1469" w:name="_Toc296503075"/>
      <w:r>
        <w:rPr>
          <w:rFonts w:hint="eastAsia" w:ascii="宋体" w:hAnsi="宋体" w:eastAsia="宋体" w:cs="宋体"/>
          <w:b w:val="0"/>
          <w:bCs w:val="0"/>
          <w:color w:val="auto"/>
          <w:sz w:val="24"/>
          <w:szCs w:val="24"/>
          <w:highlight w:val="none"/>
        </w:rPr>
        <w:t>.7</w:t>
      </w:r>
      <w:bookmarkEnd w:id="1469"/>
      <w:r>
        <w:rPr>
          <w:rFonts w:hint="eastAsia" w:ascii="宋体" w:hAnsi="宋体" w:eastAsia="宋体" w:cs="宋体"/>
          <w:b w:val="0"/>
          <w:bCs w:val="0"/>
          <w:color w:val="auto"/>
          <w:sz w:val="24"/>
          <w:szCs w:val="24"/>
          <w:highlight w:val="none"/>
        </w:rPr>
        <w:t xml:space="preserve"> 异常恶劣的气候条件</w:t>
      </w:r>
      <w:bookmarkEnd w:id="1454"/>
      <w:bookmarkEnd w:id="1455"/>
      <w:bookmarkEnd w:id="1456"/>
      <w:bookmarkEnd w:id="1457"/>
      <w:bookmarkEnd w:id="1458"/>
      <w:bookmarkEnd w:id="1459"/>
      <w:bookmarkEnd w:id="1460"/>
      <w:bookmarkEnd w:id="1461"/>
      <w:bookmarkEnd w:id="1462"/>
      <w:bookmarkEnd w:id="1463"/>
      <w:bookmarkEnd w:id="1464"/>
      <w:bookmarkEnd w:id="1465"/>
      <w:bookmarkEnd w:id="1466"/>
    </w:p>
    <w:p w14:paraId="39A1DA2B">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46B183F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1470" w:name="_Toc351203550"/>
      <w:bookmarkEnd w:id="1470"/>
    </w:p>
    <w:p w14:paraId="01884B14">
      <w:pPr>
        <w:autoSpaceDE w:val="0"/>
        <w:autoSpaceDN w:val="0"/>
        <w:adjustRightInd w:val="0"/>
        <w:spacing w:line="240" w:lineRule="auto"/>
        <w:ind w:firstLine="480" w:firstLineChars="200"/>
        <w:jc w:val="left"/>
        <w:outlineLvl w:val="2"/>
        <w:rPr>
          <w:rFonts w:hint="eastAsia" w:ascii="宋体" w:hAnsi="宋体" w:eastAsia="宋体" w:cs="宋体"/>
          <w:color w:val="auto"/>
          <w:sz w:val="24"/>
          <w:szCs w:val="24"/>
          <w:highlight w:val="none"/>
        </w:rPr>
      </w:pPr>
      <w:bookmarkStart w:id="1471" w:name="_Toc11378"/>
      <w:bookmarkStart w:id="1472" w:name="_Toc4177"/>
      <w:bookmarkStart w:id="1473" w:name="_Toc32494"/>
      <w:bookmarkStart w:id="1474" w:name="_Toc10201"/>
      <w:bookmarkStart w:id="1475" w:name="_Toc1314"/>
      <w:bookmarkStart w:id="1476" w:name="_Toc14264"/>
      <w:bookmarkStart w:id="1477" w:name="_Toc14712"/>
      <w:bookmarkStart w:id="1478" w:name="_Toc32513"/>
      <w:bookmarkStart w:id="1479" w:name="_Toc25798"/>
      <w:bookmarkStart w:id="1480" w:name="_Toc21865"/>
      <w:bookmarkStart w:id="1481" w:name="_Toc2437"/>
      <w:bookmarkStart w:id="1482" w:name="_Toc29769"/>
      <w:bookmarkStart w:id="1483" w:name="_Toc17260"/>
      <w:bookmarkStart w:id="1484" w:name="_Toc2757"/>
      <w:r>
        <w:rPr>
          <w:rFonts w:hint="eastAsia" w:ascii="宋体" w:hAnsi="宋体" w:eastAsia="宋体" w:cs="宋体"/>
          <w:color w:val="auto"/>
          <w:sz w:val="24"/>
          <w:szCs w:val="24"/>
          <w:highlight w:val="none"/>
        </w:rPr>
        <w:t>7</w:t>
      </w:r>
      <w:bookmarkStart w:id="1485" w:name="_Toc337558775"/>
      <w:r>
        <w:rPr>
          <w:rFonts w:hint="eastAsia" w:ascii="宋体" w:hAnsi="宋体" w:eastAsia="宋体" w:cs="宋体"/>
          <w:color w:val="auto"/>
          <w:sz w:val="24"/>
          <w:szCs w:val="24"/>
          <w:highlight w:val="none"/>
        </w:rPr>
        <w:t>.8</w:t>
      </w:r>
      <w:bookmarkEnd w:id="1485"/>
      <w:r>
        <w:rPr>
          <w:rFonts w:hint="eastAsia" w:ascii="宋体" w:hAnsi="宋体" w:eastAsia="宋体" w:cs="宋体"/>
          <w:color w:val="auto"/>
          <w:sz w:val="24"/>
          <w:szCs w:val="24"/>
          <w:highlight w:val="none"/>
        </w:rPr>
        <w:t xml:space="preserve"> 暂停施工</w:t>
      </w:r>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p>
    <w:p w14:paraId="37BE4ED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7.8.1发包人原因引起的暂停施工</w:t>
      </w:r>
    </w:p>
    <w:p w14:paraId="41499F5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因发包人原因引起暂停施工的，监理人经发包人同意后，应及时下达暂停施工指示。情况紧急且监理人未及时下达暂停施工指示的，按照第7.8.4项〔紧急情况下的暂停施工〕执行。</w:t>
      </w:r>
    </w:p>
    <w:p w14:paraId="4790E68D">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因发包人原因引起的暂停施工，发包人应承担由此增加的费用和（或）延误的工期，并支付承包人合理的利润。</w:t>
      </w:r>
    </w:p>
    <w:p w14:paraId="0135783C">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7.8.2 承包人原因引起的暂停施工</w:t>
      </w:r>
    </w:p>
    <w:p w14:paraId="744995F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41D294B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7.8.3 指示暂停施工</w:t>
      </w:r>
    </w:p>
    <w:p w14:paraId="4A3B3EBA">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监理人认为有必要时，并经发包人批准后，可向承包人作出暂停施工的指示，承包人应按监理人指示暂停施工。</w:t>
      </w:r>
    </w:p>
    <w:p w14:paraId="1BB01B97">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7.8.4 紧急情况下的暂停施工</w:t>
      </w:r>
    </w:p>
    <w:p w14:paraId="1221EAB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08469F91">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7.8.5 暂停施工后的复工</w:t>
      </w:r>
    </w:p>
    <w:p w14:paraId="1CC3D87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511D4320">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承包人无故拖延和拒绝复工的，承包人承担由此增加的费用和（或）延误的工期；因发包人原因无法按时复工的，按照第7.5.1项〔因发包人原因导致工期延误〕约定办理。</w:t>
      </w:r>
    </w:p>
    <w:p w14:paraId="47BA6204">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7.8.6 暂停施工持续56天以上</w:t>
      </w:r>
    </w:p>
    <w:p w14:paraId="62E69631">
      <w:pPr>
        <w:spacing w:line="240" w:lineRule="auto"/>
        <w:ind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6A0CDBCA">
      <w:pPr>
        <w:spacing w:line="240" w:lineRule="auto"/>
        <w:ind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5EBDC6B4">
      <w:pPr>
        <w:spacing w:line="240" w:lineRule="auto"/>
        <w:ind w:left="16"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7.8.7 暂停施工期间的工程照管</w:t>
      </w:r>
    </w:p>
    <w:p w14:paraId="66060EC2">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暂停施工期间，承包人应负责妥善照管工程并提供安全保障，由此增加的费用由责任方承担。</w:t>
      </w:r>
    </w:p>
    <w:p w14:paraId="7857F79A">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7.8.8 暂停施工的措施</w:t>
      </w:r>
    </w:p>
    <w:p w14:paraId="6C18084B">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暂停施工期间，发包人和承包人均应采取必要的措施确保工程质量及安全，防止因暂停施工扩大损失。</w:t>
      </w:r>
    </w:p>
    <w:p w14:paraId="68294B34">
      <w:pPr>
        <w:pStyle w:val="6"/>
        <w:pageBreakBefore w:val="0"/>
        <w:widowControl/>
        <w:kinsoku/>
        <w:wordWrap/>
        <w:overflowPunct/>
        <w:topLinePunct w:val="0"/>
        <w:autoSpaceDE/>
        <w:autoSpaceDN/>
        <w:bidi w:val="0"/>
        <w:adjustRightInd/>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486" w:name="_Toc351203551"/>
      <w:bookmarkEnd w:id="1486"/>
      <w:bookmarkStart w:id="1487" w:name="_Toc4622"/>
      <w:bookmarkStart w:id="1488" w:name="_Toc23844"/>
      <w:bookmarkStart w:id="1489" w:name="_Toc29282"/>
      <w:bookmarkStart w:id="1490" w:name="_Toc3344"/>
      <w:bookmarkStart w:id="1491" w:name="_Toc1908"/>
      <w:bookmarkStart w:id="1492" w:name="_Toc8285"/>
      <w:bookmarkStart w:id="1493" w:name="_Toc30705"/>
      <w:bookmarkStart w:id="1494" w:name="_Toc15594"/>
      <w:bookmarkStart w:id="1495" w:name="_Toc3307"/>
      <w:bookmarkStart w:id="1496" w:name="_Toc6988"/>
      <w:bookmarkStart w:id="1497" w:name="_Toc31490"/>
      <w:bookmarkStart w:id="1498" w:name="_Toc11734"/>
      <w:bookmarkStart w:id="1499" w:name="_Toc23795"/>
      <w:r>
        <w:rPr>
          <w:rFonts w:hint="eastAsia" w:ascii="宋体" w:hAnsi="宋体" w:eastAsia="宋体" w:cs="宋体"/>
          <w:b w:val="0"/>
          <w:bCs w:val="0"/>
          <w:color w:val="auto"/>
          <w:sz w:val="24"/>
          <w:szCs w:val="24"/>
          <w:highlight w:val="none"/>
        </w:rPr>
        <w:t>7.9提前竣工</w:t>
      </w:r>
      <w:bookmarkEnd w:id="1487"/>
      <w:bookmarkEnd w:id="1488"/>
      <w:bookmarkEnd w:id="1489"/>
      <w:bookmarkEnd w:id="1490"/>
      <w:bookmarkEnd w:id="1491"/>
      <w:bookmarkEnd w:id="1492"/>
      <w:bookmarkEnd w:id="1493"/>
      <w:bookmarkEnd w:id="1494"/>
      <w:bookmarkEnd w:id="1495"/>
      <w:bookmarkEnd w:id="1496"/>
      <w:bookmarkEnd w:id="1497"/>
      <w:bookmarkEnd w:id="1498"/>
      <w:bookmarkEnd w:id="1499"/>
    </w:p>
    <w:p w14:paraId="6B42CE24">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7BB56D4A">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7.9.2 发包人要求承包人提前竣工，或承包人提出提前竣工的建议能够给发包人带来效益的，合同当事人可以在专用合同条款中约定提前竣工的奖励。</w:t>
      </w:r>
    </w:p>
    <w:p w14:paraId="3C0C3856">
      <w:pPr>
        <w:pStyle w:val="5"/>
        <w:pageBreakBefore w:val="0"/>
        <w:widowControl/>
        <w:kinsoku/>
        <w:wordWrap/>
        <w:overflowPunct/>
        <w:topLinePunct w:val="0"/>
        <w:autoSpaceDE/>
        <w:autoSpaceDN/>
        <w:bidi w:val="0"/>
        <w:adjustRightInd/>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1500" w:name="_Toc351203552"/>
      <w:bookmarkEnd w:id="1500"/>
      <w:bookmarkStart w:id="1501" w:name="_Toc7778"/>
      <w:bookmarkStart w:id="1502" w:name="_Toc721"/>
      <w:bookmarkStart w:id="1503" w:name="_Toc11789"/>
      <w:bookmarkStart w:id="1504" w:name="_Toc10963"/>
      <w:bookmarkStart w:id="1505" w:name="_Toc17693"/>
      <w:bookmarkStart w:id="1506" w:name="_Toc16376"/>
      <w:bookmarkStart w:id="1507" w:name="_Toc9693"/>
      <w:bookmarkStart w:id="1508" w:name="_Toc22504"/>
      <w:bookmarkStart w:id="1509" w:name="_Toc25761"/>
      <w:bookmarkStart w:id="1510" w:name="_Toc15597"/>
      <w:bookmarkStart w:id="1511" w:name="_Toc2164"/>
      <w:bookmarkStart w:id="1512" w:name="_Toc11798"/>
      <w:bookmarkStart w:id="1513" w:name="_Toc283"/>
      <w:bookmarkStart w:id="1514" w:name="_Toc9684"/>
      <w:r>
        <w:rPr>
          <w:rFonts w:hint="eastAsia" w:ascii="宋体" w:hAnsi="宋体" w:eastAsia="宋体" w:cs="宋体"/>
          <w:b w:val="0"/>
          <w:bCs w:val="0"/>
          <w:color w:val="auto"/>
          <w:sz w:val="24"/>
          <w:szCs w:val="24"/>
          <w:highlight w:val="none"/>
        </w:rPr>
        <w:t>8</w:t>
      </w:r>
      <w:bookmarkStart w:id="1515" w:name="_Toc296503058"/>
      <w:bookmarkEnd w:id="1515"/>
      <w:bookmarkStart w:id="1516" w:name="_Toc296346559"/>
      <w:bookmarkEnd w:id="1516"/>
      <w:bookmarkStart w:id="1517" w:name="_Toc337558776"/>
      <w:r>
        <w:rPr>
          <w:rFonts w:hint="eastAsia" w:ascii="宋体" w:hAnsi="宋体" w:eastAsia="宋体" w:cs="宋体"/>
          <w:b w:val="0"/>
          <w:bCs w:val="0"/>
          <w:color w:val="auto"/>
          <w:sz w:val="24"/>
          <w:szCs w:val="24"/>
          <w:highlight w:val="none"/>
        </w:rPr>
        <w:t>. 材料与设备</w:t>
      </w:r>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7"/>
    </w:p>
    <w:p w14:paraId="51A21E0E">
      <w:pPr>
        <w:pStyle w:val="6"/>
        <w:pageBreakBefore w:val="0"/>
        <w:widowControl/>
        <w:kinsoku/>
        <w:wordWrap/>
        <w:overflowPunct/>
        <w:topLinePunct w:val="0"/>
        <w:autoSpaceDE/>
        <w:autoSpaceDN/>
        <w:bidi w:val="0"/>
        <w:adjustRightInd/>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518" w:name="_Toc351203553"/>
      <w:bookmarkEnd w:id="1518"/>
      <w:bookmarkStart w:id="1519" w:name="_Toc6234"/>
      <w:bookmarkStart w:id="1520" w:name="_Toc25920"/>
      <w:bookmarkStart w:id="1521" w:name="_Toc17976"/>
      <w:bookmarkStart w:id="1522" w:name="_Toc11839"/>
      <w:bookmarkStart w:id="1523" w:name="_Toc23979"/>
      <w:bookmarkStart w:id="1524" w:name="_Toc10747"/>
      <w:bookmarkStart w:id="1525" w:name="_Toc6110"/>
      <w:bookmarkStart w:id="1526" w:name="_Toc30253"/>
      <w:bookmarkStart w:id="1527" w:name="_Toc6638"/>
      <w:bookmarkStart w:id="1528" w:name="_Toc13158"/>
      <w:bookmarkStart w:id="1529" w:name="_Toc10365"/>
      <w:bookmarkStart w:id="1530" w:name="_Toc26221"/>
      <w:bookmarkStart w:id="1531" w:name="_Toc27479"/>
      <w:r>
        <w:rPr>
          <w:rFonts w:hint="eastAsia" w:ascii="宋体" w:hAnsi="宋体" w:eastAsia="宋体" w:cs="宋体"/>
          <w:b w:val="0"/>
          <w:bCs w:val="0"/>
          <w:color w:val="auto"/>
          <w:sz w:val="24"/>
          <w:szCs w:val="24"/>
          <w:highlight w:val="none"/>
        </w:rPr>
        <w:t>8</w:t>
      </w:r>
      <w:bookmarkStart w:id="1532" w:name="_Toc296346560"/>
      <w:bookmarkEnd w:id="1532"/>
      <w:bookmarkStart w:id="1533" w:name="_Toc296503059"/>
      <w:bookmarkEnd w:id="1533"/>
      <w:bookmarkStart w:id="1534" w:name="_Toc337558777"/>
      <w:bookmarkEnd w:id="1534"/>
      <w:bookmarkStart w:id="1535" w:name="_Toc468936960"/>
      <w:r>
        <w:rPr>
          <w:rFonts w:hint="eastAsia" w:ascii="宋体" w:hAnsi="宋体" w:eastAsia="宋体" w:cs="宋体"/>
          <w:b w:val="0"/>
          <w:bCs w:val="0"/>
          <w:color w:val="auto"/>
          <w:sz w:val="24"/>
          <w:szCs w:val="24"/>
          <w:highlight w:val="none"/>
        </w:rPr>
        <w:t>.1发包人供应材料与工程设备</w:t>
      </w:r>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5"/>
    </w:p>
    <w:p w14:paraId="72C530F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发包人自行供应材料、工程设备的，应在签订合同时在专用合同条款的附件《发包人供应材料设备一览表》中明确材料、工程设备的品种、规格、型号、数量、单价、质量等级和送达地点。</w:t>
      </w:r>
    </w:p>
    <w:p w14:paraId="7D85F183">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36EBE239">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color w:val="auto"/>
          <w:sz w:val="24"/>
          <w:szCs w:val="24"/>
          <w:highlight w:val="none"/>
        </w:rPr>
      </w:pPr>
      <w:bookmarkStart w:id="1536" w:name="_Toc351203554"/>
      <w:bookmarkEnd w:id="1536"/>
      <w:bookmarkStart w:id="1537" w:name="_Toc4334"/>
      <w:bookmarkStart w:id="1538" w:name="_Toc13990"/>
      <w:bookmarkStart w:id="1539" w:name="_Toc27268"/>
      <w:bookmarkStart w:id="1540" w:name="_Toc11520"/>
      <w:bookmarkStart w:id="1541" w:name="_Toc29252"/>
      <w:bookmarkStart w:id="1542" w:name="_Toc29008"/>
      <w:bookmarkStart w:id="1543" w:name="_Toc18350"/>
      <w:bookmarkStart w:id="1544" w:name="_Toc12405"/>
      <w:bookmarkStart w:id="1545" w:name="_Toc32044"/>
      <w:bookmarkStart w:id="1546" w:name="_Toc19708"/>
      <w:bookmarkStart w:id="1547" w:name="_Toc1842"/>
      <w:bookmarkStart w:id="1548" w:name="_Toc23899"/>
      <w:bookmarkStart w:id="1549" w:name="_Toc11473"/>
      <w:r>
        <w:rPr>
          <w:rFonts w:hint="eastAsia" w:ascii="宋体" w:hAnsi="宋体" w:eastAsia="宋体" w:cs="宋体"/>
          <w:b w:val="0"/>
          <w:bCs w:val="0"/>
          <w:color w:val="auto"/>
          <w:sz w:val="24"/>
          <w:szCs w:val="24"/>
          <w:highlight w:val="none"/>
        </w:rPr>
        <w:t>8</w:t>
      </w:r>
      <w:bookmarkStart w:id="1550" w:name="_Toc296503060"/>
      <w:bookmarkEnd w:id="1550"/>
      <w:bookmarkStart w:id="1551" w:name="_Toc337558778"/>
      <w:bookmarkEnd w:id="1551"/>
      <w:bookmarkStart w:id="1552" w:name="_Toc296346561"/>
      <w:r>
        <w:rPr>
          <w:rFonts w:hint="eastAsia" w:ascii="宋体" w:hAnsi="宋体" w:eastAsia="宋体" w:cs="宋体"/>
          <w:b w:val="0"/>
          <w:bCs w:val="0"/>
          <w:color w:val="auto"/>
          <w:sz w:val="24"/>
          <w:szCs w:val="24"/>
          <w:highlight w:val="none"/>
        </w:rPr>
        <w:t>.2承包人采购材料与工程设备</w:t>
      </w:r>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2"/>
    </w:p>
    <w:p w14:paraId="20627E16">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247CB102">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553" w:name="_Toc351203555"/>
      <w:bookmarkEnd w:id="1553"/>
      <w:bookmarkStart w:id="1554" w:name="_Toc5439"/>
      <w:bookmarkStart w:id="1555" w:name="_Toc13663"/>
      <w:bookmarkStart w:id="1556" w:name="_Toc19462"/>
      <w:bookmarkStart w:id="1557" w:name="_Toc11534"/>
      <w:bookmarkStart w:id="1558" w:name="_Toc7847"/>
      <w:bookmarkStart w:id="1559" w:name="_Toc19101"/>
      <w:bookmarkStart w:id="1560" w:name="_Toc11181"/>
      <w:bookmarkStart w:id="1561" w:name="_Toc22920"/>
      <w:bookmarkStart w:id="1562" w:name="_Toc976"/>
      <w:bookmarkStart w:id="1563" w:name="_Toc15351"/>
      <w:bookmarkStart w:id="1564" w:name="_Toc9074"/>
      <w:bookmarkStart w:id="1565" w:name="_Toc9801"/>
      <w:bookmarkStart w:id="1566" w:name="_Toc5176"/>
      <w:r>
        <w:rPr>
          <w:rFonts w:hint="eastAsia" w:ascii="宋体" w:hAnsi="宋体" w:eastAsia="宋体" w:cs="宋体"/>
          <w:b w:val="0"/>
          <w:bCs w:val="0"/>
          <w:color w:val="auto"/>
          <w:sz w:val="24"/>
          <w:szCs w:val="24"/>
          <w:highlight w:val="none"/>
        </w:rPr>
        <w:t>8</w:t>
      </w:r>
      <w:bookmarkStart w:id="1567" w:name="_Toc337558779"/>
      <w:bookmarkEnd w:id="1567"/>
      <w:bookmarkStart w:id="1568" w:name="_Toc296503061"/>
      <w:bookmarkEnd w:id="1568"/>
      <w:bookmarkStart w:id="1569" w:name="_Toc296346562"/>
      <w:r>
        <w:rPr>
          <w:rFonts w:hint="eastAsia" w:ascii="宋体" w:hAnsi="宋体" w:eastAsia="宋体" w:cs="宋体"/>
          <w:b w:val="0"/>
          <w:bCs w:val="0"/>
          <w:color w:val="auto"/>
          <w:sz w:val="24"/>
          <w:szCs w:val="24"/>
          <w:highlight w:val="none"/>
        </w:rPr>
        <w:t>.3材料与工程设备的接收与拒收</w:t>
      </w:r>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9"/>
    </w:p>
    <w:p w14:paraId="2E7A3D6D">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74C9CB3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发包人提供的材料和工程设备的规格、数量或质量不符合合同约定的，或因发包人原因导致交货日期延误或交货地点变更等情况的，按照第16.1款〔发包人违约〕约定办理。</w:t>
      </w:r>
    </w:p>
    <w:p w14:paraId="572157BE">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8.3.2 承包人采购的材料和工程设备，应保证产品质量合格，承包人应在材料和工程设备到货前24小时通知监理人检验。承</w:t>
      </w:r>
      <w:bookmarkStart w:id="1570" w:name="_Toc250655469"/>
      <w:r>
        <w:rPr>
          <w:rFonts w:hint="eastAsia" w:ascii="宋体" w:hAnsi="宋体" w:eastAsia="宋体" w:cs="宋体"/>
          <w:color w:val="auto"/>
          <w:kern w:val="0"/>
          <w:sz w:val="24"/>
          <w:szCs w:val="24"/>
          <w:highlight w:val="none"/>
        </w:rPr>
        <w:t>包人进行永久设备、材料的制造和生产的，应符合相关质量标准，并向监理人提交材料的样本以及有关资料，并应在使用该材料或工程设备之前获得监理人同意。</w:t>
      </w:r>
      <w:bookmarkEnd w:id="1570"/>
    </w:p>
    <w:p w14:paraId="08E2284D">
      <w:pPr>
        <w:pageBreakBefore w:val="0"/>
        <w:widowControl/>
        <w:kinsoku/>
        <w:wordWrap/>
        <w:overflowPunct/>
        <w:topLinePunct w:val="0"/>
        <w:autoSpaceDE w:val="0"/>
        <w:autoSpaceDN w:val="0"/>
        <w:bidi w:val="0"/>
        <w:adjustRightInd w:val="0"/>
        <w:snapToGrid/>
        <w:spacing w:line="240" w:lineRule="auto"/>
        <w:ind w:firstLine="360" w:firstLineChars="15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0C86D829">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571" w:name="_Toc351203556"/>
      <w:bookmarkEnd w:id="1571"/>
      <w:bookmarkStart w:id="1572" w:name="_Toc19731"/>
      <w:bookmarkStart w:id="1573" w:name="_Toc19058"/>
      <w:bookmarkStart w:id="1574" w:name="_Toc2333"/>
      <w:bookmarkStart w:id="1575" w:name="_Toc30103"/>
      <w:bookmarkStart w:id="1576" w:name="_Toc23211"/>
      <w:bookmarkStart w:id="1577" w:name="_Toc12966"/>
      <w:bookmarkStart w:id="1578" w:name="_Toc21336"/>
      <w:bookmarkStart w:id="1579" w:name="_Toc28101"/>
      <w:bookmarkStart w:id="1580" w:name="_Toc24886"/>
      <w:bookmarkStart w:id="1581" w:name="_Toc7980"/>
      <w:bookmarkStart w:id="1582" w:name="_Toc10834"/>
      <w:bookmarkStart w:id="1583" w:name="_Toc7514"/>
      <w:bookmarkStart w:id="1584" w:name="_Toc24114"/>
      <w:r>
        <w:rPr>
          <w:rFonts w:hint="eastAsia" w:ascii="宋体" w:hAnsi="宋体" w:eastAsia="宋体" w:cs="宋体"/>
          <w:b w:val="0"/>
          <w:bCs w:val="0"/>
          <w:color w:val="auto"/>
          <w:sz w:val="24"/>
          <w:szCs w:val="24"/>
          <w:highlight w:val="none"/>
        </w:rPr>
        <w:t>8</w:t>
      </w:r>
      <w:bookmarkStart w:id="1585" w:name="_Toc296346563"/>
      <w:bookmarkEnd w:id="1585"/>
      <w:bookmarkStart w:id="1586" w:name="_Toc296503062"/>
      <w:bookmarkEnd w:id="1586"/>
      <w:bookmarkStart w:id="1587" w:name="_Toc337558780"/>
      <w:r>
        <w:rPr>
          <w:rFonts w:hint="eastAsia" w:ascii="宋体" w:hAnsi="宋体" w:eastAsia="宋体" w:cs="宋体"/>
          <w:b w:val="0"/>
          <w:bCs w:val="0"/>
          <w:color w:val="auto"/>
          <w:sz w:val="24"/>
          <w:szCs w:val="24"/>
          <w:highlight w:val="none"/>
        </w:rPr>
        <w:t>.4材料与工程设备的保管与使用</w:t>
      </w:r>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7"/>
    </w:p>
    <w:p w14:paraId="54DE03B2">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8.4.1 发包人供应</w:t>
      </w:r>
      <w:r>
        <w:rPr>
          <w:rFonts w:hint="eastAsia" w:ascii="宋体" w:hAnsi="宋体" w:eastAsia="宋体" w:cs="宋体"/>
          <w:color w:val="auto"/>
          <w:sz w:val="24"/>
          <w:szCs w:val="24"/>
          <w:highlight w:val="none"/>
        </w:rPr>
        <w:t>材料与</w:t>
      </w:r>
      <w:r>
        <w:rPr>
          <w:rFonts w:hint="eastAsia" w:ascii="宋体" w:hAnsi="宋体" w:eastAsia="宋体" w:cs="宋体"/>
          <w:color w:val="auto"/>
          <w:kern w:val="0"/>
          <w:sz w:val="24"/>
          <w:szCs w:val="24"/>
          <w:highlight w:val="none"/>
        </w:rPr>
        <w:t>工程</w:t>
      </w:r>
      <w:r>
        <w:rPr>
          <w:rFonts w:hint="eastAsia" w:ascii="宋体" w:hAnsi="宋体" w:eastAsia="宋体" w:cs="宋体"/>
          <w:color w:val="auto"/>
          <w:sz w:val="24"/>
          <w:szCs w:val="24"/>
          <w:highlight w:val="none"/>
        </w:rPr>
        <w:t>设备的保管与使用</w:t>
      </w:r>
    </w:p>
    <w:p w14:paraId="7C6E1FFE">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041563FE">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发包人供应的材料和工程设备使用前，由承包人负责检验，检验费用由发包人承担，不合格的不得使用。</w:t>
      </w:r>
    </w:p>
    <w:p w14:paraId="7BB1893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8.4.2 承包人采购</w:t>
      </w:r>
      <w:r>
        <w:rPr>
          <w:rFonts w:hint="eastAsia" w:ascii="宋体" w:hAnsi="宋体" w:eastAsia="宋体" w:cs="宋体"/>
          <w:color w:val="auto"/>
          <w:sz w:val="24"/>
          <w:szCs w:val="24"/>
          <w:highlight w:val="none"/>
        </w:rPr>
        <w:t>材料与</w:t>
      </w:r>
      <w:r>
        <w:rPr>
          <w:rFonts w:hint="eastAsia" w:ascii="宋体" w:hAnsi="宋体" w:eastAsia="宋体" w:cs="宋体"/>
          <w:color w:val="auto"/>
          <w:kern w:val="0"/>
          <w:sz w:val="24"/>
          <w:szCs w:val="24"/>
          <w:highlight w:val="none"/>
        </w:rPr>
        <w:t>工程</w:t>
      </w:r>
      <w:r>
        <w:rPr>
          <w:rFonts w:hint="eastAsia" w:ascii="宋体" w:hAnsi="宋体" w:eastAsia="宋体" w:cs="宋体"/>
          <w:color w:val="auto"/>
          <w:sz w:val="24"/>
          <w:szCs w:val="24"/>
          <w:highlight w:val="none"/>
        </w:rPr>
        <w:t>设备的保管与使用</w:t>
      </w:r>
    </w:p>
    <w:p w14:paraId="719D72F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686505AA">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发包人或监理人发现承包人使用不符合设计或有关标准要求的材料和工程设备时，有权要求承包人进行修复、拆除或重新采购，由此增加的费用和（或）延误的工期，由承包人承担。</w:t>
      </w:r>
    </w:p>
    <w:p w14:paraId="269A3806">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588" w:name="_Toc351203557"/>
      <w:bookmarkEnd w:id="1588"/>
      <w:bookmarkStart w:id="1589" w:name="_Toc6701"/>
      <w:bookmarkStart w:id="1590" w:name="_Toc15807"/>
      <w:bookmarkStart w:id="1591" w:name="_Toc19565"/>
      <w:bookmarkStart w:id="1592" w:name="_Toc9187"/>
      <w:bookmarkStart w:id="1593" w:name="_Toc25224"/>
      <w:bookmarkStart w:id="1594" w:name="_Toc23797"/>
      <w:bookmarkStart w:id="1595" w:name="_Toc446"/>
      <w:bookmarkStart w:id="1596" w:name="_Toc16514"/>
      <w:bookmarkStart w:id="1597" w:name="_Toc26462"/>
      <w:bookmarkStart w:id="1598" w:name="_Toc28019"/>
      <w:bookmarkStart w:id="1599" w:name="_Toc13409"/>
      <w:bookmarkStart w:id="1600" w:name="_Toc800"/>
      <w:bookmarkStart w:id="1601" w:name="_Toc5469"/>
      <w:r>
        <w:rPr>
          <w:rFonts w:hint="eastAsia" w:ascii="宋体" w:hAnsi="宋体" w:eastAsia="宋体" w:cs="宋体"/>
          <w:b w:val="0"/>
          <w:bCs w:val="0"/>
          <w:color w:val="auto"/>
          <w:sz w:val="24"/>
          <w:szCs w:val="24"/>
          <w:highlight w:val="none"/>
        </w:rPr>
        <w:t>8.5禁止使用不合格的材料和工程设备</w:t>
      </w:r>
      <w:bookmarkEnd w:id="1589"/>
      <w:bookmarkEnd w:id="1590"/>
      <w:bookmarkEnd w:id="1591"/>
      <w:bookmarkEnd w:id="1592"/>
      <w:bookmarkEnd w:id="1593"/>
      <w:bookmarkEnd w:id="1594"/>
      <w:bookmarkEnd w:id="1595"/>
      <w:bookmarkEnd w:id="1596"/>
      <w:bookmarkEnd w:id="1597"/>
      <w:bookmarkEnd w:id="1598"/>
      <w:bookmarkEnd w:id="1599"/>
      <w:bookmarkEnd w:id="1600"/>
      <w:bookmarkEnd w:id="1601"/>
    </w:p>
    <w:p w14:paraId="6CA14C73">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8.5.1 监理人有权拒绝承包人提供的不合格材料或工程设备，并要求承包人立即进行更换。监理人应在更换后再次进行检查和检验，由此增加的费用和（或）延误的工期由承包人承担。</w:t>
      </w:r>
    </w:p>
    <w:p w14:paraId="7BC5C15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8.5.2 监理人发现承包人使用了不合格的材料和工程设备，承包人应按照监理人的指示立即改正，并禁止在工程中继续使用不合格的材料和工程设备。</w:t>
      </w:r>
    </w:p>
    <w:p w14:paraId="07596B3D">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8.5.3 发包人提供的材料或工程设备不符合合同要求的，承包人有权拒绝，并可要求发包人更换，由此增加的费用和（或）延误的工期由发包人承担，并支付承包人合理的利润。</w:t>
      </w:r>
    </w:p>
    <w:p w14:paraId="5C080C13">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602" w:name="_Toc351203558"/>
      <w:bookmarkEnd w:id="1602"/>
      <w:bookmarkStart w:id="1603" w:name="_Toc13509"/>
      <w:bookmarkStart w:id="1604" w:name="_Toc21341"/>
      <w:bookmarkStart w:id="1605" w:name="_Toc2119"/>
      <w:bookmarkStart w:id="1606" w:name="_Toc4594"/>
      <w:bookmarkStart w:id="1607" w:name="_Toc6592"/>
      <w:bookmarkStart w:id="1608" w:name="_Toc20066"/>
      <w:bookmarkStart w:id="1609" w:name="_Toc3141"/>
      <w:bookmarkStart w:id="1610" w:name="_Toc14652"/>
      <w:bookmarkStart w:id="1611" w:name="_Toc16485"/>
      <w:bookmarkStart w:id="1612" w:name="_Toc22699"/>
      <w:bookmarkStart w:id="1613" w:name="_Toc2805"/>
      <w:bookmarkStart w:id="1614" w:name="_Toc3797"/>
      <w:bookmarkStart w:id="1615" w:name="_Toc22105"/>
      <w:r>
        <w:rPr>
          <w:rFonts w:hint="eastAsia" w:ascii="宋体" w:hAnsi="宋体" w:eastAsia="宋体" w:cs="宋体"/>
          <w:b w:val="0"/>
          <w:bCs w:val="0"/>
          <w:color w:val="auto"/>
          <w:sz w:val="24"/>
          <w:szCs w:val="24"/>
          <w:highlight w:val="none"/>
        </w:rPr>
        <w:t>8.6 样品</w:t>
      </w:r>
      <w:bookmarkEnd w:id="1603"/>
      <w:bookmarkEnd w:id="1604"/>
      <w:bookmarkEnd w:id="1605"/>
      <w:bookmarkEnd w:id="1606"/>
      <w:bookmarkEnd w:id="1607"/>
      <w:bookmarkEnd w:id="1608"/>
      <w:bookmarkEnd w:id="1609"/>
      <w:bookmarkEnd w:id="1610"/>
      <w:bookmarkEnd w:id="1611"/>
      <w:bookmarkEnd w:id="1612"/>
      <w:bookmarkEnd w:id="1613"/>
      <w:bookmarkEnd w:id="1614"/>
      <w:bookmarkEnd w:id="1615"/>
    </w:p>
    <w:p w14:paraId="46DAEBEA">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8.6.1</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样品的报送与封存</w:t>
      </w:r>
    </w:p>
    <w:p w14:paraId="155CC93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需要承包人报送样品的材料或工程设备，样品的种类、名称、规格、数量等要求均应在专用合同条款中约定。样品的报送程序如下：</w:t>
      </w:r>
    </w:p>
    <w:p w14:paraId="41E4AEDC">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2536355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2FA4564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（3）经发包人和监理人审批确认的样品应按约定的方法封样，封存的样品作为检验工程相关部分的标准之一。承包人在施工过程中不得使用与样品不符的材料或工程设备。</w:t>
      </w:r>
    </w:p>
    <w:p w14:paraId="2899541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2CC93ED0">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8.6.2 样品的保管</w:t>
      </w:r>
    </w:p>
    <w:p w14:paraId="748052CE">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经批准的样品应由监理人负责封存于现场，承包人应在现场为保存样品提供适当和固定的场所并保持适当和良好的存储环境条件。</w:t>
      </w:r>
    </w:p>
    <w:p w14:paraId="00372E3E">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616" w:name="_Toc351203559"/>
      <w:bookmarkEnd w:id="1616"/>
      <w:bookmarkStart w:id="1617" w:name="_Toc30033"/>
      <w:bookmarkStart w:id="1618" w:name="_Toc3022"/>
      <w:bookmarkStart w:id="1619" w:name="_Toc3060"/>
      <w:bookmarkStart w:id="1620" w:name="_Toc14641"/>
      <w:bookmarkStart w:id="1621" w:name="_Toc17938"/>
      <w:bookmarkStart w:id="1622" w:name="_Toc5986"/>
      <w:bookmarkStart w:id="1623" w:name="_Toc15301"/>
      <w:bookmarkStart w:id="1624" w:name="_Toc30965"/>
      <w:bookmarkStart w:id="1625" w:name="_Toc20902"/>
      <w:bookmarkStart w:id="1626" w:name="_Toc13725"/>
      <w:bookmarkStart w:id="1627" w:name="_Toc20807"/>
      <w:bookmarkStart w:id="1628" w:name="_Toc24693"/>
      <w:bookmarkStart w:id="1629" w:name="_Toc20433"/>
      <w:r>
        <w:rPr>
          <w:rFonts w:hint="eastAsia" w:ascii="宋体" w:hAnsi="宋体" w:eastAsia="宋体" w:cs="宋体"/>
          <w:b w:val="0"/>
          <w:bCs w:val="0"/>
          <w:color w:val="auto"/>
          <w:sz w:val="24"/>
          <w:szCs w:val="24"/>
          <w:highlight w:val="none"/>
        </w:rPr>
        <w:t>8.7材料与工程设备的替代</w:t>
      </w:r>
      <w:bookmarkEnd w:id="1617"/>
      <w:bookmarkEnd w:id="1618"/>
      <w:bookmarkEnd w:id="1619"/>
      <w:bookmarkEnd w:id="1620"/>
      <w:bookmarkEnd w:id="1621"/>
      <w:bookmarkEnd w:id="1622"/>
      <w:bookmarkEnd w:id="1623"/>
      <w:bookmarkEnd w:id="1624"/>
      <w:bookmarkEnd w:id="1625"/>
      <w:bookmarkEnd w:id="1626"/>
      <w:bookmarkEnd w:id="1627"/>
      <w:bookmarkEnd w:id="1628"/>
      <w:bookmarkEnd w:id="1629"/>
    </w:p>
    <w:p w14:paraId="6BD7184A">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8.7.1 出现下列情况需要使用替代材料和工程设备的，承包人应按照第8.7.2项约定的程序执行：</w:t>
      </w:r>
    </w:p>
    <w:p w14:paraId="17A7031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（1）基准日期后生效的法律规定禁止使用的；</w:t>
      </w:r>
    </w:p>
    <w:p w14:paraId="4914A4B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（2）发包人要求使用替代品的；</w:t>
      </w:r>
    </w:p>
    <w:p w14:paraId="3EC2333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（3）因其他原因必须使用替代品的。</w:t>
      </w:r>
    </w:p>
    <w:p w14:paraId="471A4E0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8.7.2 承包人应在使用替代材料和工程设备28天前书面通知监理人，并附下列文件：</w:t>
      </w:r>
    </w:p>
    <w:p w14:paraId="5F80E9B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（1）被替代的材料和工程设备的名称、数量、规格、型号、品牌、性能、价格及其他相关资料；</w:t>
      </w:r>
    </w:p>
    <w:p w14:paraId="6F1830EE">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（2）替代品的名称、数量、规格、型号、品牌、性能、价格及其他相关资料；</w:t>
      </w:r>
    </w:p>
    <w:p w14:paraId="58230E3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（3）替代品与被替代产品之间的差异以及使用替代品可能对工程产生的影响；</w:t>
      </w:r>
    </w:p>
    <w:p w14:paraId="42F1E16D">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（4）替代品与被替代产品的价格差异；</w:t>
      </w:r>
    </w:p>
    <w:p w14:paraId="607188B3">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（5）使用替代品的理由和原因说明；</w:t>
      </w:r>
    </w:p>
    <w:p w14:paraId="161D3364">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（6）监理人要求的其他文件。</w:t>
      </w:r>
    </w:p>
    <w:p w14:paraId="6EAA49D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监理人应在收到通知后14天内向承包人发出经发包人签认的书面指示；监理人逾期发出书面指示的，视为发包人和监理人同意使用替代品。</w:t>
      </w:r>
    </w:p>
    <w:p w14:paraId="30AC4F35">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7F77EFF2">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630" w:name="_Toc351203560"/>
      <w:bookmarkEnd w:id="1630"/>
      <w:bookmarkStart w:id="1631" w:name="_Toc2527"/>
      <w:bookmarkStart w:id="1632" w:name="_Toc5961"/>
      <w:bookmarkStart w:id="1633" w:name="_Toc4847"/>
      <w:bookmarkStart w:id="1634" w:name="_Toc10154"/>
      <w:bookmarkStart w:id="1635" w:name="_Toc19545"/>
      <w:bookmarkStart w:id="1636" w:name="_Toc5376"/>
      <w:bookmarkStart w:id="1637" w:name="_Toc6598"/>
      <w:bookmarkStart w:id="1638" w:name="_Toc12858"/>
      <w:bookmarkStart w:id="1639" w:name="_Toc23854"/>
      <w:bookmarkStart w:id="1640" w:name="_Toc4497"/>
      <w:bookmarkStart w:id="1641" w:name="_Toc18909"/>
      <w:bookmarkStart w:id="1642" w:name="_Toc28044"/>
      <w:bookmarkStart w:id="1643" w:name="_Toc23787"/>
      <w:r>
        <w:rPr>
          <w:rFonts w:hint="eastAsia" w:ascii="宋体" w:hAnsi="宋体" w:eastAsia="宋体" w:cs="宋体"/>
          <w:b w:val="0"/>
          <w:bCs w:val="0"/>
          <w:color w:val="auto"/>
          <w:sz w:val="24"/>
          <w:szCs w:val="24"/>
          <w:highlight w:val="none"/>
        </w:rPr>
        <w:t>8.8施工设备和临时设施</w:t>
      </w:r>
      <w:bookmarkEnd w:id="1631"/>
      <w:bookmarkEnd w:id="1632"/>
      <w:bookmarkEnd w:id="1633"/>
      <w:bookmarkEnd w:id="1634"/>
      <w:bookmarkEnd w:id="1635"/>
      <w:bookmarkEnd w:id="1636"/>
      <w:bookmarkEnd w:id="1637"/>
      <w:bookmarkEnd w:id="1638"/>
      <w:bookmarkEnd w:id="1639"/>
      <w:bookmarkEnd w:id="1640"/>
      <w:bookmarkEnd w:id="1641"/>
      <w:bookmarkEnd w:id="1642"/>
      <w:bookmarkEnd w:id="1643"/>
    </w:p>
    <w:p w14:paraId="4EC82B82">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8.8.1 承包人提供的施工设备和临时设施</w:t>
      </w:r>
    </w:p>
    <w:p w14:paraId="6BA521D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承包人应按合同进度计划的要求，及时配置施工设备和修建临时设施。进入施工场地的承包人设备需经监理人核查后才能投入使用。承包人更换合同约定的承包人设备的，应报监理人批准。</w:t>
      </w:r>
    </w:p>
    <w:p w14:paraId="41FCED1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除专用合同条款另有约定外，承包人应自行承担修建临时设施的费用，需要临时占地的，应由发包人办理申请手续并承担相应费用。</w:t>
      </w:r>
    </w:p>
    <w:p w14:paraId="250BC8B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8.8.2发包人提供的施工设备和临时设施</w:t>
      </w:r>
    </w:p>
    <w:p w14:paraId="050487FB">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发包人提供的施工设备或临时设施在专用合同条款中约定。</w:t>
      </w:r>
    </w:p>
    <w:p w14:paraId="31BDAA0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8.8.3要求承包人增加或更换施工设备</w:t>
      </w:r>
    </w:p>
    <w:p w14:paraId="1D001F79">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承包人使用的施工设备不能满足合同进度计划和（或）质量要求时，监理人有权要求承包人增加或更换施工设备，承包人应及时增加或更换，由此增加的费用和（或）延误的工期由承包人承担。</w:t>
      </w:r>
    </w:p>
    <w:p w14:paraId="26CDCE46">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644" w:name="_Toc351203561"/>
      <w:bookmarkEnd w:id="1644"/>
      <w:bookmarkStart w:id="1645" w:name="_Toc8451"/>
      <w:bookmarkStart w:id="1646" w:name="_Toc25048"/>
      <w:bookmarkStart w:id="1647" w:name="_Toc22934"/>
      <w:bookmarkStart w:id="1648" w:name="_Toc1430"/>
      <w:bookmarkStart w:id="1649" w:name="_Toc31071"/>
      <w:bookmarkStart w:id="1650" w:name="_Toc22763"/>
      <w:bookmarkStart w:id="1651" w:name="_Toc31524"/>
      <w:bookmarkStart w:id="1652" w:name="_Toc4002"/>
      <w:bookmarkStart w:id="1653" w:name="_Toc18194"/>
      <w:bookmarkStart w:id="1654" w:name="_Toc25785"/>
      <w:bookmarkStart w:id="1655" w:name="_Toc15230"/>
      <w:bookmarkStart w:id="1656" w:name="_Toc24003"/>
      <w:bookmarkStart w:id="1657" w:name="_Toc13364"/>
      <w:r>
        <w:rPr>
          <w:rFonts w:hint="eastAsia" w:ascii="宋体" w:hAnsi="宋体" w:eastAsia="宋体" w:cs="宋体"/>
          <w:b w:val="0"/>
          <w:bCs w:val="0"/>
          <w:color w:val="auto"/>
          <w:sz w:val="24"/>
          <w:szCs w:val="24"/>
          <w:highlight w:val="none"/>
        </w:rPr>
        <w:t>8</w:t>
      </w:r>
      <w:bookmarkStart w:id="1658" w:name="_Toc296346564"/>
      <w:bookmarkEnd w:id="1658"/>
      <w:bookmarkStart w:id="1659" w:name="_Toc296503063"/>
      <w:bookmarkEnd w:id="1659"/>
      <w:bookmarkStart w:id="1660" w:name="_Toc337558781"/>
      <w:r>
        <w:rPr>
          <w:rFonts w:hint="eastAsia" w:ascii="宋体" w:hAnsi="宋体" w:eastAsia="宋体" w:cs="宋体"/>
          <w:b w:val="0"/>
          <w:bCs w:val="0"/>
          <w:color w:val="auto"/>
          <w:sz w:val="24"/>
          <w:szCs w:val="24"/>
          <w:highlight w:val="none"/>
        </w:rPr>
        <w:t>.9材料与设备专用</w:t>
      </w:r>
      <w:bookmarkEnd w:id="1660"/>
      <w:r>
        <w:rPr>
          <w:rFonts w:hint="eastAsia" w:ascii="宋体" w:hAnsi="宋体" w:eastAsia="宋体" w:cs="宋体"/>
          <w:b w:val="0"/>
          <w:bCs w:val="0"/>
          <w:color w:val="auto"/>
          <w:sz w:val="24"/>
          <w:szCs w:val="24"/>
          <w:highlight w:val="none"/>
        </w:rPr>
        <w:t>要求</w:t>
      </w:r>
      <w:bookmarkEnd w:id="1645"/>
      <w:bookmarkEnd w:id="1646"/>
      <w:bookmarkEnd w:id="1647"/>
      <w:bookmarkEnd w:id="1648"/>
      <w:bookmarkEnd w:id="1649"/>
      <w:bookmarkEnd w:id="1650"/>
      <w:bookmarkEnd w:id="1651"/>
      <w:bookmarkEnd w:id="1652"/>
      <w:bookmarkEnd w:id="1653"/>
      <w:bookmarkEnd w:id="1654"/>
      <w:bookmarkEnd w:id="1655"/>
      <w:bookmarkEnd w:id="1656"/>
      <w:bookmarkEnd w:id="1657"/>
    </w:p>
    <w:p w14:paraId="77DA82D6">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14:paraId="7D0CA326">
      <w:pPr>
        <w:pStyle w:val="5"/>
        <w:pageBreakBefore w:val="0"/>
        <w:widowControl/>
        <w:kinsoku/>
        <w:wordWrap/>
        <w:overflowPunct/>
        <w:topLinePunct w:val="0"/>
        <w:autoSpaceDE/>
        <w:autoSpaceDN/>
        <w:bidi w:val="0"/>
        <w:adjustRightInd/>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1661" w:name="_Toc351203562"/>
      <w:bookmarkEnd w:id="1661"/>
      <w:bookmarkStart w:id="1662" w:name="_Toc15827"/>
      <w:bookmarkStart w:id="1663" w:name="_Toc30602"/>
      <w:bookmarkStart w:id="1664" w:name="_Toc28981"/>
      <w:bookmarkStart w:id="1665" w:name="_Toc24645"/>
      <w:bookmarkStart w:id="1666" w:name="_Toc10338"/>
      <w:bookmarkStart w:id="1667" w:name="_Toc18972"/>
      <w:bookmarkStart w:id="1668" w:name="_Toc15309"/>
      <w:bookmarkStart w:id="1669" w:name="_Toc16050"/>
      <w:bookmarkStart w:id="1670" w:name="_Toc27828"/>
      <w:bookmarkStart w:id="1671" w:name="_Toc10616"/>
      <w:bookmarkStart w:id="1672" w:name="_Toc21964"/>
      <w:bookmarkStart w:id="1673" w:name="_Toc17774"/>
      <w:bookmarkStart w:id="1674" w:name="_Toc27883"/>
      <w:bookmarkStart w:id="1675" w:name="_Toc30177"/>
      <w:bookmarkStart w:id="1676" w:name="_Toc5417"/>
      <w:r>
        <w:rPr>
          <w:rFonts w:hint="eastAsia" w:ascii="宋体" w:hAnsi="宋体" w:eastAsia="宋体" w:cs="宋体"/>
          <w:b w:val="0"/>
          <w:bCs w:val="0"/>
          <w:color w:val="auto"/>
          <w:sz w:val="24"/>
          <w:szCs w:val="24"/>
          <w:highlight w:val="none"/>
        </w:rPr>
        <w:t>9</w:t>
      </w:r>
      <w:bookmarkStart w:id="1677" w:name="_Toc296346584"/>
      <w:bookmarkEnd w:id="1677"/>
      <w:bookmarkStart w:id="1678" w:name="_Toc337558782"/>
      <w:bookmarkEnd w:id="1678"/>
      <w:bookmarkStart w:id="1679" w:name="_Toc296503083"/>
      <w:r>
        <w:rPr>
          <w:rFonts w:hint="eastAsia" w:ascii="宋体" w:hAnsi="宋体" w:eastAsia="宋体" w:cs="宋体"/>
          <w:b w:val="0"/>
          <w:bCs w:val="0"/>
          <w:color w:val="auto"/>
          <w:sz w:val="24"/>
          <w:szCs w:val="24"/>
          <w:highlight w:val="none"/>
        </w:rPr>
        <w:t>. 试验与检验</w:t>
      </w:r>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9"/>
    </w:p>
    <w:p w14:paraId="6290CAC6">
      <w:pPr>
        <w:pStyle w:val="6"/>
        <w:pageBreakBefore w:val="0"/>
        <w:widowControl/>
        <w:kinsoku/>
        <w:wordWrap/>
        <w:overflowPunct/>
        <w:topLinePunct w:val="0"/>
        <w:autoSpaceDE/>
        <w:autoSpaceDN/>
        <w:bidi w:val="0"/>
        <w:adjustRightInd/>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680" w:name="_Toc351203563"/>
      <w:bookmarkEnd w:id="1680"/>
      <w:bookmarkStart w:id="1681" w:name="_Toc18297"/>
      <w:bookmarkStart w:id="1682" w:name="_Toc29031"/>
      <w:bookmarkStart w:id="1683" w:name="_Toc7199"/>
      <w:bookmarkStart w:id="1684" w:name="_Toc10809"/>
      <w:bookmarkStart w:id="1685" w:name="_Toc24387"/>
      <w:bookmarkStart w:id="1686" w:name="_Toc16386"/>
      <w:bookmarkStart w:id="1687" w:name="_Toc32290"/>
      <w:bookmarkStart w:id="1688" w:name="_Toc520"/>
      <w:bookmarkStart w:id="1689" w:name="_Toc3449"/>
      <w:bookmarkStart w:id="1690" w:name="_Toc12318"/>
      <w:bookmarkStart w:id="1691" w:name="_Toc14221"/>
      <w:bookmarkStart w:id="1692" w:name="_Toc80"/>
      <w:bookmarkStart w:id="1693" w:name="_Toc15133"/>
      <w:r>
        <w:rPr>
          <w:rFonts w:hint="eastAsia" w:ascii="宋体" w:hAnsi="宋体" w:eastAsia="宋体" w:cs="宋体"/>
          <w:b w:val="0"/>
          <w:bCs w:val="0"/>
          <w:color w:val="auto"/>
          <w:sz w:val="24"/>
          <w:szCs w:val="24"/>
          <w:highlight w:val="none"/>
        </w:rPr>
        <w:t>9</w:t>
      </w:r>
      <w:bookmarkStart w:id="1694" w:name="_Toc337558783"/>
      <w:r>
        <w:rPr>
          <w:rFonts w:hint="eastAsia" w:ascii="宋体" w:hAnsi="宋体" w:eastAsia="宋体" w:cs="宋体"/>
          <w:b w:val="0"/>
          <w:bCs w:val="0"/>
          <w:color w:val="auto"/>
          <w:sz w:val="24"/>
          <w:szCs w:val="24"/>
          <w:highlight w:val="none"/>
        </w:rPr>
        <w:t>.1试验设备与试验人员</w:t>
      </w:r>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p>
    <w:p w14:paraId="17884BBC">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7932320C">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9.1.2 承包人应按专用合同条款的约定提供试验设备、取样装置、试验场所和试验条件，并向监理人提交相应进场计划表。</w:t>
      </w:r>
    </w:p>
    <w:p w14:paraId="5D7D9C0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承包人配置的试验设备要符合相应试验规程的要求并经过具有资质的检测单位检测，且在正式使用该试验设备前，需要经过监理人与承包人共同校定。</w:t>
      </w:r>
    </w:p>
    <w:p w14:paraId="166ECA12">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9.1.3 承包人应向监理人提交试验人员的名单及其岗位、资格等证明资料，试验人员必须能够熟练进行相应的检测试验，承包人对试验人员的试验程序和试验结果的正确性负责。</w:t>
      </w:r>
    </w:p>
    <w:p w14:paraId="586EC31E">
      <w:pPr>
        <w:pStyle w:val="6"/>
        <w:pageBreakBefore w:val="0"/>
        <w:widowControl/>
        <w:kinsoku/>
        <w:wordWrap/>
        <w:overflowPunct/>
        <w:topLinePunct w:val="0"/>
        <w:autoSpaceDE/>
        <w:autoSpaceDN/>
        <w:bidi w:val="0"/>
        <w:adjustRightInd/>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695" w:name="_Toc351203564"/>
      <w:bookmarkEnd w:id="1695"/>
      <w:bookmarkStart w:id="1696" w:name="_Toc31533"/>
      <w:bookmarkStart w:id="1697" w:name="_Toc10374"/>
      <w:bookmarkStart w:id="1698" w:name="_Toc28026"/>
      <w:bookmarkStart w:id="1699" w:name="_Toc3265"/>
      <w:bookmarkStart w:id="1700" w:name="_Toc22389"/>
      <w:bookmarkStart w:id="1701" w:name="_Toc20249"/>
      <w:bookmarkStart w:id="1702" w:name="_Toc28709"/>
      <w:bookmarkStart w:id="1703" w:name="_Toc5262"/>
      <w:bookmarkStart w:id="1704" w:name="_Toc13816"/>
      <w:bookmarkStart w:id="1705" w:name="_Toc15901"/>
      <w:bookmarkStart w:id="1706" w:name="_Toc23307"/>
      <w:bookmarkStart w:id="1707" w:name="_Toc297"/>
      <w:bookmarkStart w:id="1708" w:name="_Toc1009"/>
      <w:r>
        <w:rPr>
          <w:rFonts w:hint="eastAsia" w:ascii="宋体" w:hAnsi="宋体" w:eastAsia="宋体" w:cs="宋体"/>
          <w:b w:val="0"/>
          <w:bCs w:val="0"/>
          <w:color w:val="auto"/>
          <w:sz w:val="24"/>
          <w:szCs w:val="24"/>
          <w:highlight w:val="none"/>
        </w:rPr>
        <w:t>9</w:t>
      </w:r>
      <w:bookmarkStart w:id="1709" w:name="_Toc337558784"/>
      <w:r>
        <w:rPr>
          <w:rFonts w:hint="eastAsia" w:ascii="宋体" w:hAnsi="宋体" w:eastAsia="宋体" w:cs="宋体"/>
          <w:b w:val="0"/>
          <w:bCs w:val="0"/>
          <w:color w:val="auto"/>
          <w:sz w:val="24"/>
          <w:szCs w:val="24"/>
          <w:highlight w:val="none"/>
        </w:rPr>
        <w:t>.2取样</w:t>
      </w:r>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p>
    <w:p w14:paraId="777377B8">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试验属于自检性质的，承包人可以单独取样。试验属于监理人抽检性质的，可由监理人取样，也可由承包人的试验人员在监理人的监督下取样。</w:t>
      </w:r>
    </w:p>
    <w:p w14:paraId="7342E3D1">
      <w:pPr>
        <w:pStyle w:val="6"/>
        <w:pageBreakBefore w:val="0"/>
        <w:widowControl/>
        <w:kinsoku/>
        <w:wordWrap/>
        <w:overflowPunct/>
        <w:topLinePunct w:val="0"/>
        <w:autoSpaceDE/>
        <w:autoSpaceDN/>
        <w:bidi w:val="0"/>
        <w:adjustRightInd/>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710" w:name="_Toc351203565"/>
      <w:bookmarkEnd w:id="1710"/>
      <w:bookmarkStart w:id="1711" w:name="_Toc10861"/>
      <w:bookmarkStart w:id="1712" w:name="_Toc32086"/>
      <w:bookmarkStart w:id="1713" w:name="_Toc17935"/>
      <w:bookmarkStart w:id="1714" w:name="_Toc17005"/>
      <w:bookmarkStart w:id="1715" w:name="_Toc12757"/>
      <w:bookmarkStart w:id="1716" w:name="_Toc7732"/>
      <w:bookmarkStart w:id="1717" w:name="_Toc16155"/>
      <w:bookmarkStart w:id="1718" w:name="_Toc17381"/>
      <w:bookmarkStart w:id="1719" w:name="_Toc8421"/>
      <w:bookmarkStart w:id="1720" w:name="_Toc20394"/>
      <w:bookmarkStart w:id="1721" w:name="_Toc3949"/>
      <w:bookmarkStart w:id="1722" w:name="_Toc32135"/>
      <w:bookmarkStart w:id="1723" w:name="_Toc19723"/>
      <w:r>
        <w:rPr>
          <w:rFonts w:hint="eastAsia" w:ascii="宋体" w:hAnsi="宋体" w:eastAsia="宋体" w:cs="宋体"/>
          <w:b w:val="0"/>
          <w:bCs w:val="0"/>
          <w:color w:val="auto"/>
          <w:sz w:val="24"/>
          <w:szCs w:val="24"/>
          <w:highlight w:val="none"/>
        </w:rPr>
        <w:t>9</w:t>
      </w:r>
      <w:bookmarkStart w:id="1724" w:name="_Toc337558785"/>
      <w:r>
        <w:rPr>
          <w:rFonts w:hint="eastAsia" w:ascii="宋体" w:hAnsi="宋体" w:eastAsia="宋体" w:cs="宋体"/>
          <w:b w:val="0"/>
          <w:bCs w:val="0"/>
          <w:color w:val="auto"/>
          <w:sz w:val="24"/>
          <w:szCs w:val="24"/>
          <w:highlight w:val="none"/>
        </w:rPr>
        <w:t>.3材料、工程设备和工程的试验和检验</w:t>
      </w:r>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p>
    <w:p w14:paraId="0C788211">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3B9D2F60">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7DDBFD0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32399925">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725" w:name="_Toc351203566"/>
      <w:bookmarkEnd w:id="1725"/>
      <w:bookmarkStart w:id="1726" w:name="_Toc32504"/>
      <w:bookmarkStart w:id="1727" w:name="_Toc15038"/>
      <w:bookmarkStart w:id="1728" w:name="_Toc31168"/>
      <w:bookmarkStart w:id="1729" w:name="_Toc20668"/>
      <w:bookmarkStart w:id="1730" w:name="_Toc12060"/>
      <w:bookmarkStart w:id="1731" w:name="_Toc12804"/>
      <w:bookmarkStart w:id="1732" w:name="_Toc23799"/>
      <w:bookmarkStart w:id="1733" w:name="_Toc28713"/>
      <w:bookmarkStart w:id="1734" w:name="_Toc25122"/>
      <w:bookmarkStart w:id="1735" w:name="_Toc31201"/>
      <w:bookmarkStart w:id="1736" w:name="_Toc1856"/>
      <w:bookmarkStart w:id="1737" w:name="_Toc22972"/>
      <w:bookmarkStart w:id="1738" w:name="_Toc15335"/>
      <w:r>
        <w:rPr>
          <w:rFonts w:hint="eastAsia" w:ascii="宋体" w:hAnsi="宋体" w:eastAsia="宋体" w:cs="宋体"/>
          <w:b w:val="0"/>
          <w:bCs w:val="0"/>
          <w:color w:val="auto"/>
          <w:sz w:val="24"/>
          <w:szCs w:val="24"/>
          <w:highlight w:val="none"/>
        </w:rPr>
        <w:t>9</w:t>
      </w:r>
      <w:bookmarkStart w:id="1739" w:name="_Toc337558786"/>
      <w:r>
        <w:rPr>
          <w:rFonts w:hint="eastAsia" w:ascii="宋体" w:hAnsi="宋体" w:eastAsia="宋体" w:cs="宋体"/>
          <w:b w:val="0"/>
          <w:bCs w:val="0"/>
          <w:color w:val="auto"/>
          <w:sz w:val="24"/>
          <w:szCs w:val="24"/>
          <w:highlight w:val="none"/>
        </w:rPr>
        <w:t>.4现场工艺试验</w:t>
      </w:r>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p>
    <w:p w14:paraId="2CD7085F">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承包人应按合同约定或监理人指示进行现场工艺试验。对大型的现场工艺试验，监理人认为必要时，承包人应根据监理人提出的工艺试验要求，编制工艺试验措施计划，报送监理人审查。</w:t>
      </w:r>
    </w:p>
    <w:p w14:paraId="3344E064">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1740" w:name="_Toc351203567"/>
      <w:bookmarkEnd w:id="1740"/>
      <w:bookmarkStart w:id="1741" w:name="_Toc14832"/>
      <w:bookmarkStart w:id="1742" w:name="_Toc7241"/>
      <w:bookmarkStart w:id="1743" w:name="_Toc12486"/>
      <w:bookmarkStart w:id="1744" w:name="_Toc21350"/>
      <w:bookmarkStart w:id="1745" w:name="_Toc13334"/>
      <w:bookmarkStart w:id="1746" w:name="_Toc24804"/>
      <w:bookmarkStart w:id="1747" w:name="_Toc11929"/>
      <w:bookmarkStart w:id="1748" w:name="_Toc28676"/>
      <w:bookmarkStart w:id="1749" w:name="_Toc29636"/>
      <w:bookmarkStart w:id="1750" w:name="_Toc16153"/>
      <w:bookmarkStart w:id="1751" w:name="_Toc28670"/>
      <w:bookmarkStart w:id="1752" w:name="_Toc21358"/>
      <w:bookmarkStart w:id="1753" w:name="_Toc3862"/>
      <w:bookmarkStart w:id="1754" w:name="_Toc22138"/>
      <w:bookmarkStart w:id="1755" w:name="_Toc25814"/>
      <w:r>
        <w:rPr>
          <w:rFonts w:hint="eastAsia" w:ascii="宋体" w:hAnsi="宋体" w:eastAsia="宋体" w:cs="宋体"/>
          <w:b w:val="0"/>
          <w:bCs w:val="0"/>
          <w:color w:val="auto"/>
          <w:sz w:val="24"/>
          <w:szCs w:val="24"/>
          <w:highlight w:val="none"/>
        </w:rPr>
        <w:t>1</w:t>
      </w:r>
      <w:bookmarkStart w:id="1756" w:name="_Toc337558787"/>
      <w:r>
        <w:rPr>
          <w:rFonts w:hint="eastAsia" w:ascii="宋体" w:hAnsi="宋体" w:eastAsia="宋体" w:cs="宋体"/>
          <w:b w:val="0"/>
          <w:bCs w:val="0"/>
          <w:color w:val="auto"/>
          <w:sz w:val="24"/>
          <w:szCs w:val="24"/>
          <w:highlight w:val="none"/>
        </w:rPr>
        <w:t>0. 变更</w:t>
      </w:r>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p>
    <w:p w14:paraId="63B72D0C">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757" w:name="_Toc351203568"/>
      <w:bookmarkEnd w:id="1757"/>
      <w:bookmarkStart w:id="1758" w:name="_Toc1963"/>
      <w:bookmarkStart w:id="1759" w:name="_Toc868"/>
      <w:bookmarkStart w:id="1760" w:name="_Toc10323"/>
      <w:bookmarkStart w:id="1761" w:name="_Toc6279"/>
      <w:bookmarkStart w:id="1762" w:name="_Toc17269"/>
      <w:bookmarkStart w:id="1763" w:name="_Toc2826"/>
      <w:bookmarkStart w:id="1764" w:name="_Toc7283"/>
      <w:bookmarkStart w:id="1765" w:name="_Toc6838"/>
      <w:bookmarkStart w:id="1766" w:name="_Toc17281"/>
      <w:bookmarkStart w:id="1767" w:name="_Toc12754"/>
      <w:bookmarkStart w:id="1768" w:name="_Toc16040"/>
      <w:bookmarkStart w:id="1769" w:name="_Toc4964"/>
      <w:bookmarkStart w:id="1770" w:name="_Toc17912"/>
      <w:r>
        <w:rPr>
          <w:rFonts w:hint="eastAsia" w:ascii="宋体" w:hAnsi="宋体" w:eastAsia="宋体" w:cs="宋体"/>
          <w:b w:val="0"/>
          <w:bCs w:val="0"/>
          <w:color w:val="auto"/>
          <w:sz w:val="24"/>
          <w:szCs w:val="24"/>
          <w:highlight w:val="none"/>
        </w:rPr>
        <w:t>1</w:t>
      </w:r>
      <w:bookmarkStart w:id="1771" w:name="_Toc296346585"/>
      <w:bookmarkEnd w:id="1771"/>
      <w:bookmarkStart w:id="1772" w:name="_Toc296503084"/>
      <w:bookmarkEnd w:id="1772"/>
      <w:bookmarkStart w:id="1773" w:name="_Toc337558788"/>
      <w:r>
        <w:rPr>
          <w:rFonts w:hint="eastAsia" w:ascii="宋体" w:hAnsi="宋体" w:eastAsia="宋体" w:cs="宋体"/>
          <w:b w:val="0"/>
          <w:bCs w:val="0"/>
          <w:color w:val="auto"/>
          <w:sz w:val="24"/>
          <w:szCs w:val="24"/>
          <w:highlight w:val="none"/>
        </w:rPr>
        <w:t>0.1变更的范围</w:t>
      </w:r>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3"/>
    </w:p>
    <w:p w14:paraId="79DC37C3">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除专用合同条款另有约定外，合同履行过程中发生以下情形的，应按照本条约定进行变更：</w:t>
      </w:r>
    </w:p>
    <w:p w14:paraId="7D7095D9">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（1）增加或减少合同中任何工作，或追加额外的工作；</w:t>
      </w:r>
    </w:p>
    <w:p w14:paraId="086BF0A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（2）取消合同中任何工作，但转由他人实施的工作除外；</w:t>
      </w:r>
    </w:p>
    <w:p w14:paraId="411521D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（3）改变合同中任何工作的质量标准或其他特性；</w:t>
      </w:r>
    </w:p>
    <w:p w14:paraId="08D855BA">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（4）改变工程的基线、标高、位置和尺寸；</w:t>
      </w:r>
    </w:p>
    <w:p w14:paraId="7BC242A9">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（5）改变工程的时间安排或实施顺序。</w:t>
      </w:r>
    </w:p>
    <w:p w14:paraId="407982EC">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774" w:name="_Toc351203569"/>
      <w:bookmarkEnd w:id="1774"/>
      <w:bookmarkStart w:id="1775" w:name="_Toc17843"/>
      <w:bookmarkStart w:id="1776" w:name="_Toc25566"/>
      <w:bookmarkStart w:id="1777" w:name="_Toc6479"/>
      <w:bookmarkStart w:id="1778" w:name="_Toc16418"/>
      <w:bookmarkStart w:id="1779" w:name="_Toc8895"/>
      <w:bookmarkStart w:id="1780" w:name="_Toc14208"/>
      <w:bookmarkStart w:id="1781" w:name="_Toc5372"/>
      <w:bookmarkStart w:id="1782" w:name="_Toc15947"/>
      <w:bookmarkStart w:id="1783" w:name="_Toc21163"/>
      <w:bookmarkStart w:id="1784" w:name="_Toc11862"/>
      <w:bookmarkStart w:id="1785" w:name="_Toc9321"/>
      <w:bookmarkStart w:id="1786" w:name="_Toc3758"/>
      <w:bookmarkStart w:id="1787" w:name="_Toc5713"/>
      <w:r>
        <w:rPr>
          <w:rFonts w:hint="eastAsia" w:ascii="宋体" w:hAnsi="宋体" w:eastAsia="宋体" w:cs="宋体"/>
          <w:b w:val="0"/>
          <w:bCs w:val="0"/>
          <w:color w:val="auto"/>
          <w:sz w:val="24"/>
          <w:szCs w:val="24"/>
          <w:highlight w:val="none"/>
        </w:rPr>
        <w:t>1</w:t>
      </w:r>
      <w:bookmarkStart w:id="1788" w:name="_Toc296503085"/>
      <w:bookmarkEnd w:id="1788"/>
      <w:bookmarkStart w:id="1789" w:name="_Toc296346586"/>
      <w:bookmarkEnd w:id="1789"/>
      <w:bookmarkStart w:id="1790" w:name="_Toc337558789"/>
      <w:r>
        <w:rPr>
          <w:rFonts w:hint="eastAsia" w:ascii="宋体" w:hAnsi="宋体" w:eastAsia="宋体" w:cs="宋体"/>
          <w:b w:val="0"/>
          <w:bCs w:val="0"/>
          <w:color w:val="auto"/>
          <w:sz w:val="24"/>
          <w:szCs w:val="24"/>
          <w:highlight w:val="none"/>
        </w:rPr>
        <w:t>0.2变更权</w:t>
      </w:r>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90"/>
    </w:p>
    <w:p w14:paraId="63ADF084">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5E7C0377">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涉及设计变更的，应由设计人提供变更后的图纸和说明。如变更超过原设计标准或批准的建设规模时，发包人应及时办理规划、设计变更等审批手续。</w:t>
      </w:r>
    </w:p>
    <w:p w14:paraId="7E298292">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791" w:name="_Toc351203570"/>
      <w:bookmarkEnd w:id="1791"/>
      <w:bookmarkStart w:id="1792" w:name="_Toc10432"/>
      <w:bookmarkStart w:id="1793" w:name="_Toc29782"/>
      <w:bookmarkStart w:id="1794" w:name="_Toc8251"/>
      <w:bookmarkStart w:id="1795" w:name="_Toc4243"/>
      <w:bookmarkStart w:id="1796" w:name="_Toc2717"/>
      <w:bookmarkStart w:id="1797" w:name="_Toc7214"/>
      <w:bookmarkStart w:id="1798" w:name="_Toc28437"/>
      <w:bookmarkStart w:id="1799" w:name="_Toc26739"/>
      <w:bookmarkStart w:id="1800" w:name="_Toc20152"/>
      <w:bookmarkStart w:id="1801" w:name="_Toc26539"/>
      <w:bookmarkStart w:id="1802" w:name="_Toc26291"/>
      <w:bookmarkStart w:id="1803" w:name="_Toc28894"/>
      <w:bookmarkStart w:id="1804" w:name="_Toc17102"/>
      <w:r>
        <w:rPr>
          <w:rFonts w:hint="eastAsia" w:ascii="宋体" w:hAnsi="宋体" w:eastAsia="宋体" w:cs="宋体"/>
          <w:b w:val="0"/>
          <w:bCs w:val="0"/>
          <w:color w:val="auto"/>
          <w:sz w:val="24"/>
          <w:szCs w:val="24"/>
          <w:highlight w:val="none"/>
        </w:rPr>
        <w:t>1</w:t>
      </w:r>
      <w:bookmarkStart w:id="1805" w:name="_Toc296503086"/>
      <w:bookmarkEnd w:id="1805"/>
      <w:bookmarkStart w:id="1806" w:name="_Toc296346587"/>
      <w:bookmarkEnd w:id="1806"/>
      <w:bookmarkStart w:id="1807" w:name="_Toc337558790"/>
      <w:r>
        <w:rPr>
          <w:rFonts w:hint="eastAsia" w:ascii="宋体" w:hAnsi="宋体" w:eastAsia="宋体" w:cs="宋体"/>
          <w:b w:val="0"/>
          <w:bCs w:val="0"/>
          <w:color w:val="auto"/>
          <w:sz w:val="24"/>
          <w:szCs w:val="24"/>
          <w:highlight w:val="none"/>
        </w:rPr>
        <w:t>0.3变更程序</w:t>
      </w:r>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7"/>
    </w:p>
    <w:p w14:paraId="651DCC20">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kern w:val="0"/>
          <w:sz w:val="24"/>
          <w:szCs w:val="24"/>
          <w:highlight w:val="none"/>
        </w:rPr>
        <w:t>.3.1 发包人提出变更</w:t>
      </w:r>
    </w:p>
    <w:p w14:paraId="45463845">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发包人提出变更的，应通过监理人向承包人发出变更指示，变更指示应说明计划变更的工程范围和变更的内容。</w:t>
      </w:r>
    </w:p>
    <w:p w14:paraId="64E114C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kern w:val="0"/>
          <w:sz w:val="24"/>
          <w:szCs w:val="24"/>
          <w:highlight w:val="none"/>
        </w:rPr>
        <w:t>.3.2 监理人提出变更建议</w:t>
      </w:r>
    </w:p>
    <w:p w14:paraId="3517C57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5B058BD7">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10.3.3 变更执行</w:t>
      </w:r>
    </w:p>
    <w:p w14:paraId="0779072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0BECBD19">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808" w:name="_Toc351203571"/>
      <w:bookmarkEnd w:id="1808"/>
      <w:bookmarkStart w:id="1809" w:name="_Toc27079"/>
      <w:bookmarkStart w:id="1810" w:name="_Toc3543"/>
      <w:bookmarkStart w:id="1811" w:name="_Toc5642"/>
      <w:bookmarkStart w:id="1812" w:name="_Toc51"/>
      <w:bookmarkStart w:id="1813" w:name="_Toc24136"/>
      <w:bookmarkStart w:id="1814" w:name="_Toc5284"/>
      <w:bookmarkStart w:id="1815" w:name="_Toc12180"/>
      <w:bookmarkStart w:id="1816" w:name="_Toc14342"/>
      <w:bookmarkStart w:id="1817" w:name="_Toc32670"/>
      <w:bookmarkStart w:id="1818" w:name="_Toc2727"/>
      <w:bookmarkStart w:id="1819" w:name="_Toc118"/>
      <w:bookmarkStart w:id="1820" w:name="_Toc13107"/>
      <w:bookmarkStart w:id="1821" w:name="_Toc11308"/>
      <w:r>
        <w:rPr>
          <w:rFonts w:hint="eastAsia" w:ascii="宋体" w:hAnsi="宋体" w:eastAsia="宋体" w:cs="宋体"/>
          <w:b w:val="0"/>
          <w:bCs w:val="0"/>
          <w:color w:val="auto"/>
          <w:sz w:val="24"/>
          <w:szCs w:val="24"/>
          <w:highlight w:val="none"/>
        </w:rPr>
        <w:t>1</w:t>
      </w:r>
      <w:bookmarkStart w:id="1822" w:name="_Toc296503087"/>
      <w:bookmarkEnd w:id="1822"/>
      <w:bookmarkStart w:id="1823" w:name="_Toc296346588"/>
      <w:bookmarkEnd w:id="1823"/>
      <w:bookmarkStart w:id="1824" w:name="_Toc337558791"/>
      <w:r>
        <w:rPr>
          <w:rFonts w:hint="eastAsia" w:ascii="宋体" w:hAnsi="宋体" w:eastAsia="宋体" w:cs="宋体"/>
          <w:b w:val="0"/>
          <w:bCs w:val="0"/>
          <w:color w:val="auto"/>
          <w:sz w:val="24"/>
          <w:szCs w:val="24"/>
          <w:highlight w:val="none"/>
        </w:rPr>
        <w:t>0.4变更估价</w:t>
      </w:r>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4"/>
    </w:p>
    <w:p w14:paraId="03CEE934">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10.4.1 变更估价原则</w:t>
      </w:r>
    </w:p>
    <w:p w14:paraId="73963EC0">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除专用合同条款另有约定外，变更估价按照本款约定处理：</w:t>
      </w:r>
    </w:p>
    <w:p w14:paraId="2B9AAA0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（1）已标价工程量清单或预算书有相同项目的，按照相同项目单价认定；</w:t>
      </w:r>
    </w:p>
    <w:p w14:paraId="4EE9BD66">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（2）已标价工程量清单或预算书中无相同项目，但有类似项目的，参照类似项目的单价认定；</w:t>
      </w:r>
    </w:p>
    <w:p w14:paraId="531BF21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51664A0C">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10.4.2 变更估价程序</w:t>
      </w:r>
    </w:p>
    <w:p w14:paraId="0E301B40">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60D391B0">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因变更引起的价格调整应计入最近一期的进度款中支付。</w:t>
      </w:r>
    </w:p>
    <w:p w14:paraId="2DE82667">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825" w:name="_Toc351203572"/>
      <w:bookmarkEnd w:id="1825"/>
      <w:bookmarkStart w:id="1826" w:name="_Toc25081"/>
      <w:bookmarkStart w:id="1827" w:name="_Toc15650"/>
      <w:bookmarkStart w:id="1828" w:name="_Toc14125"/>
      <w:bookmarkStart w:id="1829" w:name="_Toc8737"/>
      <w:bookmarkStart w:id="1830" w:name="_Toc27165"/>
      <w:bookmarkStart w:id="1831" w:name="_Toc29571"/>
      <w:bookmarkStart w:id="1832" w:name="_Toc13980"/>
      <w:bookmarkStart w:id="1833" w:name="_Toc17620"/>
      <w:bookmarkStart w:id="1834" w:name="_Toc12472"/>
      <w:bookmarkStart w:id="1835" w:name="_Toc26301"/>
      <w:bookmarkStart w:id="1836" w:name="_Toc26304"/>
      <w:bookmarkStart w:id="1837" w:name="_Toc24643"/>
      <w:bookmarkStart w:id="1838" w:name="_Toc757"/>
      <w:r>
        <w:rPr>
          <w:rFonts w:hint="eastAsia" w:ascii="宋体" w:hAnsi="宋体" w:eastAsia="宋体" w:cs="宋体"/>
          <w:b w:val="0"/>
          <w:bCs w:val="0"/>
          <w:color w:val="auto"/>
          <w:sz w:val="24"/>
          <w:szCs w:val="24"/>
          <w:highlight w:val="none"/>
        </w:rPr>
        <w:t>1</w:t>
      </w:r>
      <w:bookmarkStart w:id="1839" w:name="_Toc296346595"/>
      <w:bookmarkEnd w:id="1839"/>
      <w:bookmarkStart w:id="1840" w:name="_Toc296503094"/>
      <w:bookmarkEnd w:id="1840"/>
      <w:bookmarkStart w:id="1841" w:name="_Toc337558792"/>
      <w:r>
        <w:rPr>
          <w:rFonts w:hint="eastAsia" w:ascii="宋体" w:hAnsi="宋体" w:eastAsia="宋体" w:cs="宋体"/>
          <w:b w:val="0"/>
          <w:bCs w:val="0"/>
          <w:color w:val="auto"/>
          <w:sz w:val="24"/>
          <w:szCs w:val="24"/>
          <w:highlight w:val="none"/>
        </w:rPr>
        <w:t>0.5承包人的合理化建议</w:t>
      </w:r>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41"/>
    </w:p>
    <w:p w14:paraId="3E006DC2">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承包人提出合理化建议的，应向监理人提交合理化建议说明，说明建议的内容和理由，以及实施该建议对合同价格和工期的影响。</w:t>
      </w:r>
    </w:p>
    <w:p w14:paraId="6C2CB5F0">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0AA86E09">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合理化建议降低了合同价格或者提高了工程经济效益的，发包人可对承包人给予奖励，奖励的方法和金额在专用合同条款中约定。</w:t>
      </w:r>
    </w:p>
    <w:p w14:paraId="61F46E27">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color w:val="auto"/>
          <w:sz w:val="24"/>
          <w:szCs w:val="24"/>
          <w:highlight w:val="none"/>
        </w:rPr>
      </w:pPr>
      <w:bookmarkStart w:id="1842" w:name="_Toc351203573"/>
      <w:bookmarkEnd w:id="1842"/>
      <w:bookmarkStart w:id="1843" w:name="_Toc25076"/>
      <w:bookmarkStart w:id="1844" w:name="_Toc6519"/>
      <w:bookmarkStart w:id="1845" w:name="_Toc6617"/>
      <w:bookmarkStart w:id="1846" w:name="_Toc205"/>
      <w:bookmarkStart w:id="1847" w:name="_Toc30596"/>
      <w:bookmarkStart w:id="1848" w:name="_Toc10465"/>
      <w:bookmarkStart w:id="1849" w:name="_Toc21184"/>
      <w:bookmarkStart w:id="1850" w:name="_Toc2506"/>
      <w:bookmarkStart w:id="1851" w:name="_Toc18327"/>
      <w:bookmarkStart w:id="1852" w:name="_Toc11115"/>
      <w:bookmarkStart w:id="1853" w:name="_Toc3107"/>
      <w:bookmarkStart w:id="1854" w:name="_Toc22462"/>
      <w:bookmarkStart w:id="1855" w:name="_Toc31907"/>
      <w:r>
        <w:rPr>
          <w:rFonts w:hint="eastAsia" w:ascii="宋体" w:hAnsi="宋体" w:eastAsia="宋体" w:cs="宋体"/>
          <w:b w:val="0"/>
          <w:bCs w:val="0"/>
          <w:color w:val="auto"/>
          <w:sz w:val="24"/>
          <w:szCs w:val="24"/>
          <w:highlight w:val="none"/>
        </w:rPr>
        <w:t>1</w:t>
      </w:r>
      <w:bookmarkStart w:id="1856" w:name="_Toc337558793"/>
      <w:r>
        <w:rPr>
          <w:rFonts w:hint="eastAsia" w:ascii="宋体" w:hAnsi="宋体" w:eastAsia="宋体" w:cs="宋体"/>
          <w:b w:val="0"/>
          <w:bCs w:val="0"/>
          <w:color w:val="auto"/>
          <w:sz w:val="24"/>
          <w:szCs w:val="24"/>
          <w:highlight w:val="none"/>
        </w:rPr>
        <w:t>0.6变更引起的工期调整</w:t>
      </w:r>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r>
        <w:rPr>
          <w:rFonts w:hint="eastAsia" w:ascii="宋体" w:hAnsi="宋体" w:eastAsia="宋体" w:cs="宋体"/>
          <w:b w:val="0"/>
          <w:bCs w:val="0"/>
          <w:color w:val="auto"/>
          <w:sz w:val="24"/>
          <w:szCs w:val="24"/>
          <w:highlight w:val="none"/>
        </w:rPr>
        <w:t xml:space="preserve">  </w:t>
      </w:r>
      <w:r>
        <w:rPr>
          <w:rFonts w:hint="eastAsia" w:ascii="宋体" w:hAnsi="宋体" w:eastAsia="宋体" w:cs="宋体"/>
          <w:color w:val="auto"/>
          <w:sz w:val="24"/>
          <w:szCs w:val="24"/>
          <w:highlight w:val="none"/>
        </w:rPr>
        <w:t xml:space="preserve"> </w:t>
      </w:r>
    </w:p>
    <w:p w14:paraId="7C96DA3B">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因变更引起工期变化的，合同当事人均可要求调整合同工期，由合同当事人按照第4.4款〔商定或确定〕并参考工程所在地的工期定额标准确定增减工期天数。</w:t>
      </w:r>
    </w:p>
    <w:p w14:paraId="1D019115">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857" w:name="_Toc351203574"/>
      <w:bookmarkEnd w:id="1857"/>
      <w:bookmarkStart w:id="1858" w:name="_Toc4752"/>
      <w:bookmarkStart w:id="1859" w:name="_Toc21975"/>
      <w:bookmarkStart w:id="1860" w:name="_Toc7125"/>
      <w:bookmarkStart w:id="1861" w:name="_Toc30268"/>
      <w:bookmarkStart w:id="1862" w:name="_Toc11925"/>
      <w:bookmarkStart w:id="1863" w:name="_Toc28653"/>
      <w:bookmarkStart w:id="1864" w:name="_Toc13512"/>
      <w:bookmarkStart w:id="1865" w:name="_Toc32695"/>
      <w:bookmarkStart w:id="1866" w:name="_Toc7811"/>
      <w:bookmarkStart w:id="1867" w:name="_Toc18342"/>
      <w:bookmarkStart w:id="1868" w:name="_Toc27949"/>
      <w:bookmarkStart w:id="1869" w:name="_Toc2224"/>
      <w:bookmarkStart w:id="1870" w:name="_Toc23085"/>
      <w:r>
        <w:rPr>
          <w:rFonts w:hint="eastAsia" w:ascii="宋体" w:hAnsi="宋体" w:eastAsia="宋体" w:cs="宋体"/>
          <w:b w:val="0"/>
          <w:bCs w:val="0"/>
          <w:color w:val="auto"/>
          <w:sz w:val="24"/>
          <w:szCs w:val="24"/>
          <w:highlight w:val="none"/>
        </w:rPr>
        <w:t>10.7暂估价</w:t>
      </w:r>
      <w:bookmarkEnd w:id="1858"/>
      <w:bookmarkEnd w:id="1859"/>
      <w:bookmarkEnd w:id="1860"/>
      <w:bookmarkEnd w:id="1861"/>
      <w:bookmarkEnd w:id="1862"/>
      <w:bookmarkEnd w:id="1863"/>
      <w:bookmarkEnd w:id="1864"/>
      <w:bookmarkEnd w:id="1865"/>
      <w:bookmarkEnd w:id="1866"/>
      <w:bookmarkEnd w:id="1867"/>
      <w:bookmarkEnd w:id="1868"/>
      <w:bookmarkEnd w:id="1869"/>
      <w:bookmarkEnd w:id="1870"/>
    </w:p>
    <w:p w14:paraId="39211844">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暂估价专业分包工程、服务、材料和工程设备的明细由合同当事人在专用合同条款中约定。</w:t>
      </w:r>
    </w:p>
    <w:p w14:paraId="343184FF">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10.7.1</w:t>
      </w:r>
      <w:r>
        <w:rPr>
          <w:rFonts w:hint="eastAsia" w:ascii="宋体" w:hAnsi="宋体" w:eastAsia="宋体" w:cs="宋体"/>
          <w:color w:val="auto"/>
          <w:kern w:val="0"/>
          <w:sz w:val="24"/>
          <w:szCs w:val="24"/>
          <w:highlight w:val="none"/>
        </w:rPr>
        <w:t xml:space="preserve"> 依法必须招标的暂估价项目</w:t>
      </w:r>
    </w:p>
    <w:p w14:paraId="44460547">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对于依法必须招标的暂估价项目，采取以下第1种方式确定。合同当事人也可以在专用合同条款中选择其他招标方式。</w:t>
      </w:r>
    </w:p>
    <w:p w14:paraId="68A1144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第1种方式：对于依法必须招标的暂估价项目，由承包人招标，对该暂估价项目的确认和批准按照以下约定执行：</w:t>
      </w:r>
    </w:p>
    <w:p w14:paraId="694BA26F">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0F2377C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（2）承包人应当根据施工进度计划，提前14天将</w:t>
      </w:r>
      <w:r>
        <w:rPr>
          <w:rFonts w:hint="eastAsia" w:ascii="宋体" w:hAnsi="宋体" w:cs="宋体"/>
          <w:color w:val="auto"/>
          <w:kern w:val="0"/>
          <w:sz w:val="24"/>
          <w:szCs w:val="24"/>
          <w:highlight w:val="none"/>
          <w:lang w:eastAsia="zh-CN"/>
        </w:rPr>
        <w:t>比选文件</w:t>
      </w:r>
      <w:r>
        <w:rPr>
          <w:rFonts w:hint="eastAsia" w:ascii="宋体" w:hAnsi="宋体" w:eastAsia="宋体" w:cs="宋体"/>
          <w:color w:val="auto"/>
          <w:kern w:val="0"/>
          <w:sz w:val="24"/>
          <w:szCs w:val="24"/>
          <w:highlight w:val="none"/>
        </w:rPr>
        <w:t>通过监理人报送发包人审批，发包人应当在收到承包人报送的相关文件后7天内完成审批或提出修改意见；发包人有权确定招标控制价并按照法律规定参加评标；</w:t>
      </w:r>
    </w:p>
    <w:p w14:paraId="06F544E4">
      <w:pPr>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（3）承包人与供应商、分包人在签订暂估价合同前，应当提前7天将确定的</w:t>
      </w:r>
      <w:r>
        <w:rPr>
          <w:rFonts w:hint="eastAsia" w:ascii="宋体" w:hAnsi="宋体" w:cs="宋体"/>
          <w:color w:val="auto"/>
          <w:kern w:val="0"/>
          <w:sz w:val="24"/>
          <w:szCs w:val="24"/>
          <w:highlight w:val="none"/>
          <w:lang w:eastAsia="zh-CN"/>
        </w:rPr>
        <w:t>成交</w:t>
      </w:r>
      <w:r>
        <w:rPr>
          <w:rFonts w:hint="eastAsia" w:ascii="宋体" w:hAnsi="宋体" w:eastAsia="宋体" w:cs="宋体"/>
          <w:color w:val="auto"/>
          <w:kern w:val="0"/>
          <w:sz w:val="24"/>
          <w:szCs w:val="24"/>
          <w:highlight w:val="none"/>
        </w:rPr>
        <w:t>候选供应商或</w:t>
      </w:r>
      <w:r>
        <w:rPr>
          <w:rFonts w:hint="eastAsia" w:ascii="宋体" w:hAnsi="宋体" w:cs="宋体"/>
          <w:color w:val="auto"/>
          <w:kern w:val="0"/>
          <w:sz w:val="24"/>
          <w:szCs w:val="24"/>
          <w:highlight w:val="none"/>
          <w:lang w:eastAsia="zh-CN"/>
        </w:rPr>
        <w:t>成交</w:t>
      </w:r>
      <w:r>
        <w:rPr>
          <w:rFonts w:hint="eastAsia" w:ascii="宋体" w:hAnsi="宋体" w:eastAsia="宋体" w:cs="宋体"/>
          <w:color w:val="auto"/>
          <w:kern w:val="0"/>
          <w:sz w:val="24"/>
          <w:szCs w:val="24"/>
          <w:highlight w:val="none"/>
        </w:rPr>
        <w:t>候选分包人的资料报送发包人，发包人应在收到资料后3天内与承包人共同确定</w:t>
      </w:r>
      <w:r>
        <w:rPr>
          <w:rFonts w:hint="eastAsia" w:ascii="宋体" w:hAnsi="宋体" w:cs="宋体"/>
          <w:color w:val="auto"/>
          <w:kern w:val="0"/>
          <w:sz w:val="24"/>
          <w:szCs w:val="24"/>
          <w:highlight w:val="none"/>
          <w:lang w:eastAsia="zh-CN"/>
        </w:rPr>
        <w:t>成交</w:t>
      </w:r>
      <w:r>
        <w:rPr>
          <w:rFonts w:hint="eastAsia" w:ascii="宋体" w:hAnsi="宋体" w:eastAsia="宋体" w:cs="宋体"/>
          <w:color w:val="auto"/>
          <w:kern w:val="0"/>
          <w:sz w:val="24"/>
          <w:szCs w:val="24"/>
          <w:highlight w:val="none"/>
        </w:rPr>
        <w:t>人；承包人应当在签订合同后7天内，将暂估价合同副本报送发包人留存。</w:t>
      </w:r>
    </w:p>
    <w:p w14:paraId="64EE682B">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w:t>
      </w:r>
      <w:r>
        <w:rPr>
          <w:rFonts w:hint="eastAsia" w:ascii="宋体" w:hAnsi="宋体" w:cs="宋体"/>
          <w:color w:val="auto"/>
          <w:kern w:val="0"/>
          <w:sz w:val="24"/>
          <w:szCs w:val="24"/>
          <w:highlight w:val="none"/>
          <w:lang w:eastAsia="zh-CN"/>
        </w:rPr>
        <w:t>成交</w:t>
      </w:r>
      <w:r>
        <w:rPr>
          <w:rFonts w:hint="eastAsia" w:ascii="宋体" w:hAnsi="宋体" w:eastAsia="宋体" w:cs="宋体"/>
          <w:color w:val="auto"/>
          <w:kern w:val="0"/>
          <w:sz w:val="24"/>
          <w:szCs w:val="24"/>
          <w:highlight w:val="none"/>
        </w:rPr>
        <w:t>人后，由发包人、承包人与</w:t>
      </w:r>
      <w:r>
        <w:rPr>
          <w:rFonts w:hint="eastAsia" w:ascii="宋体" w:hAnsi="宋体" w:cs="宋体"/>
          <w:color w:val="auto"/>
          <w:kern w:val="0"/>
          <w:sz w:val="24"/>
          <w:szCs w:val="24"/>
          <w:highlight w:val="none"/>
          <w:lang w:eastAsia="zh-CN"/>
        </w:rPr>
        <w:t>成交</w:t>
      </w:r>
      <w:r>
        <w:rPr>
          <w:rFonts w:hint="eastAsia" w:ascii="宋体" w:hAnsi="宋体" w:eastAsia="宋体" w:cs="宋体"/>
          <w:color w:val="auto"/>
          <w:kern w:val="0"/>
          <w:sz w:val="24"/>
          <w:szCs w:val="24"/>
          <w:highlight w:val="none"/>
        </w:rPr>
        <w:t>人共同签订暂估价合同。</w:t>
      </w:r>
    </w:p>
    <w:p w14:paraId="7C0F1060">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10.7.2</w:t>
      </w:r>
      <w:r>
        <w:rPr>
          <w:rFonts w:hint="eastAsia" w:ascii="宋体" w:hAnsi="宋体" w:eastAsia="宋体" w:cs="宋体"/>
          <w:color w:val="auto"/>
          <w:kern w:val="0"/>
          <w:sz w:val="24"/>
          <w:szCs w:val="24"/>
          <w:highlight w:val="none"/>
        </w:rPr>
        <w:t>不属于依法必须招标的暂估价项目</w:t>
      </w:r>
    </w:p>
    <w:p w14:paraId="676C1B2C">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除专用合同条款另有约定外，对于不属于依法必须招标的暂估价项目，采取以下第1种方式确定： </w:t>
      </w:r>
    </w:p>
    <w:p w14:paraId="5B2DEFD4">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第1种方式：对于不属于依法必须招标的暂估价项目，按本项约定确认和批准：</w:t>
      </w:r>
    </w:p>
    <w:p w14:paraId="4A428190">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35DDD001">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（2）发包人认为承包人确定的供应商、分包人无法满足工程质量或合同要求的，发包人可以要求承包人重新确定暂估价项目的供应商、分包人</w:t>
      </w:r>
      <w:r>
        <w:rPr>
          <w:rFonts w:hint="eastAsia" w:ascii="宋体" w:hAnsi="宋体" w:cs="宋体"/>
          <w:color w:val="auto"/>
          <w:kern w:val="0"/>
          <w:sz w:val="24"/>
          <w:szCs w:val="24"/>
          <w:highlight w:val="none"/>
          <w:lang w:eastAsia="zh-CN"/>
        </w:rPr>
        <w:t>；</w:t>
      </w:r>
    </w:p>
    <w:p w14:paraId="128DC608">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（3）承包人应当在签订暂估价合同后7天内，将暂估价合同副本报送发包人留存。</w:t>
      </w:r>
    </w:p>
    <w:p w14:paraId="6EE9DB8F">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第2种方式：承包人按照第10.7.1项〔依法必须招标的暂估价项目〕约定的第1种方式确定暂估价项目。</w:t>
      </w:r>
    </w:p>
    <w:p w14:paraId="3F6E6AE1">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第3种方式：</w:t>
      </w:r>
      <w:r>
        <w:rPr>
          <w:rFonts w:hint="eastAsia" w:ascii="宋体" w:hAnsi="宋体" w:eastAsia="宋体" w:cs="宋体"/>
          <w:color w:val="auto"/>
          <w:kern w:val="0"/>
          <w:sz w:val="24"/>
          <w:szCs w:val="24"/>
          <w:highlight w:val="none"/>
        </w:rPr>
        <w:t>承包人直接实施的暂估价项目</w:t>
      </w:r>
    </w:p>
    <w:p w14:paraId="2F69BC0B">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承包人具备实施暂估价项目的资格和条件的，经发包人和承包人协商一致后，可由承包人自行实施暂估价项目，合同当事人可以在专用合同条款约定具体事项。</w:t>
      </w:r>
    </w:p>
    <w:p w14:paraId="3AA61EFA">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028AF391">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871" w:name="_Toc351203575"/>
      <w:bookmarkEnd w:id="1871"/>
      <w:bookmarkStart w:id="1872" w:name="_Toc23253"/>
      <w:bookmarkStart w:id="1873" w:name="_Toc31283"/>
      <w:bookmarkStart w:id="1874" w:name="_Toc17048"/>
      <w:bookmarkStart w:id="1875" w:name="_Toc28037"/>
      <w:bookmarkStart w:id="1876" w:name="_Toc25099"/>
      <w:bookmarkStart w:id="1877" w:name="_Toc13188"/>
      <w:bookmarkStart w:id="1878" w:name="_Toc30235"/>
      <w:bookmarkStart w:id="1879" w:name="_Toc16380"/>
      <w:bookmarkStart w:id="1880" w:name="_Toc23840"/>
      <w:bookmarkStart w:id="1881" w:name="_Toc12939"/>
      <w:bookmarkStart w:id="1882" w:name="_Toc5706"/>
      <w:bookmarkStart w:id="1883" w:name="_Toc32508"/>
      <w:bookmarkStart w:id="1884" w:name="_Toc8726"/>
      <w:r>
        <w:rPr>
          <w:rFonts w:hint="eastAsia" w:ascii="宋体" w:hAnsi="宋体" w:eastAsia="宋体" w:cs="宋体"/>
          <w:b w:val="0"/>
          <w:bCs w:val="0"/>
          <w:color w:val="auto"/>
          <w:sz w:val="24"/>
          <w:szCs w:val="24"/>
          <w:highlight w:val="none"/>
        </w:rPr>
        <w:t>1</w:t>
      </w:r>
      <w:bookmarkStart w:id="1885" w:name="_Toc296503090"/>
      <w:bookmarkEnd w:id="1885"/>
      <w:bookmarkStart w:id="1886" w:name="_Toc337558794"/>
      <w:bookmarkEnd w:id="1886"/>
      <w:bookmarkStart w:id="1887" w:name="_Toc296346591"/>
      <w:bookmarkEnd w:id="1887"/>
      <w:bookmarkStart w:id="1888" w:name="_Toc322522561"/>
      <w:r>
        <w:rPr>
          <w:rFonts w:hint="eastAsia" w:ascii="宋体" w:hAnsi="宋体" w:eastAsia="宋体" w:cs="宋体"/>
          <w:b w:val="0"/>
          <w:bCs w:val="0"/>
          <w:color w:val="auto"/>
          <w:sz w:val="24"/>
          <w:szCs w:val="24"/>
          <w:highlight w:val="none"/>
        </w:rPr>
        <w:t>0.8暂列金额</w:t>
      </w:r>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8"/>
    </w:p>
    <w:p w14:paraId="77C7A44A">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暂列金额应按照发包人的要求使用，发包人的要求应通过监理人发出。合同当事人可以在专用合同条款中协商确定有关事项。</w:t>
      </w:r>
    </w:p>
    <w:p w14:paraId="15FA32B1">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889" w:name="_Toc351203576"/>
      <w:bookmarkEnd w:id="1889"/>
      <w:bookmarkStart w:id="1890" w:name="_Toc8071"/>
      <w:bookmarkStart w:id="1891" w:name="_Toc23012"/>
      <w:bookmarkStart w:id="1892" w:name="_Toc11558"/>
      <w:bookmarkStart w:id="1893" w:name="_Toc13358"/>
      <w:bookmarkStart w:id="1894" w:name="_Toc16210"/>
      <w:bookmarkStart w:id="1895" w:name="_Toc4297"/>
      <w:bookmarkStart w:id="1896" w:name="_Toc26913"/>
      <w:bookmarkStart w:id="1897" w:name="_Toc29581"/>
      <w:bookmarkStart w:id="1898" w:name="_Toc23039"/>
      <w:bookmarkStart w:id="1899" w:name="_Toc13539"/>
      <w:bookmarkStart w:id="1900" w:name="_Toc26298"/>
      <w:bookmarkStart w:id="1901" w:name="_Toc16347"/>
      <w:bookmarkStart w:id="1902" w:name="_Toc31715"/>
      <w:r>
        <w:rPr>
          <w:rFonts w:hint="eastAsia" w:ascii="宋体" w:hAnsi="宋体" w:eastAsia="宋体" w:cs="宋体"/>
          <w:b w:val="0"/>
          <w:bCs w:val="0"/>
          <w:color w:val="auto"/>
          <w:sz w:val="24"/>
          <w:szCs w:val="24"/>
          <w:highlight w:val="none"/>
        </w:rPr>
        <w:t>1</w:t>
      </w:r>
      <w:bookmarkStart w:id="1903" w:name="_Toc296503091"/>
      <w:bookmarkEnd w:id="1903"/>
      <w:bookmarkStart w:id="1904" w:name="_Toc296346592"/>
      <w:bookmarkEnd w:id="1904"/>
      <w:bookmarkStart w:id="1905" w:name="_Toc337558796"/>
      <w:r>
        <w:rPr>
          <w:rFonts w:hint="eastAsia" w:ascii="宋体" w:hAnsi="宋体" w:eastAsia="宋体" w:cs="宋体"/>
          <w:b w:val="0"/>
          <w:bCs w:val="0"/>
          <w:color w:val="auto"/>
          <w:sz w:val="24"/>
          <w:szCs w:val="24"/>
          <w:highlight w:val="none"/>
        </w:rPr>
        <w:t>0.9计日工</w:t>
      </w:r>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5"/>
      <w:r>
        <w:rPr>
          <w:rFonts w:hint="eastAsia" w:ascii="宋体" w:hAnsi="宋体" w:eastAsia="宋体" w:cs="宋体"/>
          <w:b w:val="0"/>
          <w:bCs w:val="0"/>
          <w:color w:val="auto"/>
          <w:sz w:val="24"/>
          <w:szCs w:val="24"/>
          <w:highlight w:val="none"/>
        </w:rPr>
        <w:t xml:space="preserve"> </w:t>
      </w:r>
    </w:p>
    <w:p w14:paraId="0E5A20C3">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7C6398E3">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采用计日工计价的任何一项工作，承包人应在该项工作实施过程中，每天提交以下报表和有关凭证报送监理人审查：</w:t>
      </w:r>
    </w:p>
    <w:p w14:paraId="16D6B08B">
      <w:pPr>
        <w:pageBreakBefore w:val="0"/>
        <w:widowControl/>
        <w:kinsoku/>
        <w:wordWrap/>
        <w:overflowPunct/>
        <w:topLinePunct w:val="0"/>
        <w:bidi w:val="0"/>
        <w:snapToGrid/>
        <w:spacing w:line="240" w:lineRule="auto"/>
        <w:ind w:firstLine="360" w:firstLineChars="15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（1）工作名称、内容和数量；</w:t>
      </w:r>
    </w:p>
    <w:p w14:paraId="4D9180DC">
      <w:pPr>
        <w:pageBreakBefore w:val="0"/>
        <w:widowControl/>
        <w:kinsoku/>
        <w:wordWrap/>
        <w:overflowPunct/>
        <w:topLinePunct w:val="0"/>
        <w:bidi w:val="0"/>
        <w:snapToGrid/>
        <w:spacing w:line="240" w:lineRule="auto"/>
        <w:ind w:firstLine="360" w:firstLineChars="15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（2）投入该工作的所有人员的姓名、专业、工种、级别和耗用工时；</w:t>
      </w:r>
    </w:p>
    <w:p w14:paraId="3F0ABC21">
      <w:pPr>
        <w:pageBreakBefore w:val="0"/>
        <w:widowControl/>
        <w:kinsoku/>
        <w:wordWrap/>
        <w:overflowPunct/>
        <w:topLinePunct w:val="0"/>
        <w:bidi w:val="0"/>
        <w:snapToGrid/>
        <w:spacing w:line="240" w:lineRule="auto"/>
        <w:ind w:firstLine="360" w:firstLineChars="15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（3）投入该工作的材料类别和数量；</w:t>
      </w:r>
    </w:p>
    <w:p w14:paraId="69F975FF">
      <w:pPr>
        <w:spacing w:line="24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（4）投入该工作的施工设备型号、台数和耗用台时；</w:t>
      </w:r>
    </w:p>
    <w:p w14:paraId="4C05243A">
      <w:pPr>
        <w:spacing w:line="24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（5）其他有关资料和凭证。</w:t>
      </w:r>
    </w:p>
    <w:p w14:paraId="7C3AE163">
      <w:pPr>
        <w:spacing w:line="24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计日工由承包人汇总后，列入最近一期进度付款申请单，由监理人审查并经发包人批准后列入进度付款。</w:t>
      </w:r>
    </w:p>
    <w:p w14:paraId="1CE59818">
      <w:pPr>
        <w:pStyle w:val="5"/>
        <w:pageBreakBefore w:val="0"/>
        <w:widowControl/>
        <w:kinsoku/>
        <w:wordWrap/>
        <w:overflowPunct/>
        <w:topLinePunct w:val="0"/>
        <w:autoSpaceDE/>
        <w:autoSpaceDN/>
        <w:bidi w:val="0"/>
        <w:adjustRightInd/>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1906" w:name="_Toc351203577"/>
      <w:bookmarkEnd w:id="1906"/>
      <w:bookmarkStart w:id="1907" w:name="_Toc11375"/>
      <w:bookmarkStart w:id="1908" w:name="_Toc11335"/>
      <w:bookmarkStart w:id="1909" w:name="_Toc15122"/>
      <w:bookmarkStart w:id="1910" w:name="_Toc21522"/>
      <w:bookmarkStart w:id="1911" w:name="_Toc751"/>
      <w:bookmarkStart w:id="1912" w:name="_Toc14985"/>
      <w:bookmarkStart w:id="1913" w:name="_Toc31285"/>
      <w:bookmarkStart w:id="1914" w:name="_Toc4801"/>
      <w:bookmarkStart w:id="1915" w:name="_Toc11309"/>
      <w:bookmarkStart w:id="1916" w:name="_Toc27732"/>
      <w:bookmarkStart w:id="1917" w:name="_Toc19818"/>
      <w:bookmarkStart w:id="1918" w:name="_Toc15087"/>
      <w:bookmarkStart w:id="1919" w:name="_Toc19884"/>
      <w:bookmarkStart w:id="1920" w:name="_Toc20308"/>
      <w:bookmarkStart w:id="1921" w:name="_Toc8376"/>
      <w:r>
        <w:rPr>
          <w:rFonts w:hint="eastAsia" w:ascii="宋体" w:hAnsi="宋体" w:eastAsia="宋体" w:cs="宋体"/>
          <w:b w:val="0"/>
          <w:bCs w:val="0"/>
          <w:color w:val="auto"/>
          <w:sz w:val="24"/>
          <w:szCs w:val="24"/>
          <w:highlight w:val="none"/>
        </w:rPr>
        <w:t>11. 价格调整</w:t>
      </w:r>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p>
    <w:p w14:paraId="1BDE517B">
      <w:pPr>
        <w:pStyle w:val="6"/>
        <w:pageBreakBefore w:val="0"/>
        <w:widowControl/>
        <w:kinsoku/>
        <w:wordWrap/>
        <w:overflowPunct/>
        <w:topLinePunct w:val="0"/>
        <w:autoSpaceDE/>
        <w:autoSpaceDN/>
        <w:bidi w:val="0"/>
        <w:adjustRightInd/>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922" w:name="_Toc351203578"/>
      <w:bookmarkEnd w:id="1922"/>
      <w:bookmarkStart w:id="1923" w:name="_Toc296503092"/>
      <w:bookmarkEnd w:id="1923"/>
      <w:bookmarkStart w:id="1924" w:name="_Toc296346593"/>
      <w:bookmarkEnd w:id="1924"/>
      <w:bookmarkStart w:id="1925" w:name="_Toc16812"/>
      <w:bookmarkStart w:id="1926" w:name="_Toc23768"/>
      <w:bookmarkStart w:id="1927" w:name="_Toc10564"/>
      <w:bookmarkStart w:id="1928" w:name="_Toc8938"/>
      <w:bookmarkStart w:id="1929" w:name="_Toc29651"/>
      <w:bookmarkStart w:id="1930" w:name="_Toc29750"/>
      <w:bookmarkStart w:id="1931" w:name="_Toc27400"/>
      <w:bookmarkStart w:id="1932" w:name="_Toc835"/>
      <w:bookmarkStart w:id="1933" w:name="_Toc25396"/>
      <w:bookmarkStart w:id="1934" w:name="_Toc29658"/>
      <w:bookmarkStart w:id="1935" w:name="_Toc785"/>
      <w:bookmarkStart w:id="1936" w:name="_Toc15784"/>
      <w:bookmarkStart w:id="1937" w:name="_Toc492"/>
      <w:bookmarkStart w:id="1938" w:name="_Toc337558797"/>
      <w:r>
        <w:rPr>
          <w:rFonts w:hint="eastAsia" w:ascii="宋体" w:hAnsi="宋体" w:eastAsia="宋体" w:cs="宋体"/>
          <w:b w:val="0"/>
          <w:bCs w:val="0"/>
          <w:color w:val="auto"/>
          <w:sz w:val="24"/>
          <w:szCs w:val="24"/>
          <w:highlight w:val="none"/>
        </w:rPr>
        <w:t>11.1市场价格波动引起的调整</w:t>
      </w:r>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p>
    <w:p w14:paraId="5C532649">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除专用合同条款另有约定外，市场价格波动超过合同当事人约定的范围，合同价格应当调整。合同当事人可以在专用合同条款中约定选择以下一种方式对合同价格进行调整：</w:t>
      </w:r>
    </w:p>
    <w:p w14:paraId="24CBC413">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第1种方式：采用价格指数进行价格调整。</w:t>
      </w:r>
    </w:p>
    <w:p w14:paraId="49B78546">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（1）价格调整公式</w:t>
      </w:r>
    </w:p>
    <w:p w14:paraId="46E30A79">
      <w:pPr>
        <w:spacing w:line="24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因人工、材料和设备等价格波动影响合同价格时，根据专用合同条款中约定的数据，按以下公式计算差额并调整合同价格：</w:t>
      </w:r>
    </w:p>
    <w:p w14:paraId="70AD6C5F">
      <w:pPr>
        <w:spacing w:line="24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drawing>
          <wp:inline distT="0" distB="0" distL="114300" distR="114300">
            <wp:extent cx="4571365" cy="561340"/>
            <wp:effectExtent l="0" t="0" r="635" b="2540"/>
            <wp:docPr id="31" name="图片 1" descr="../AppData/Local/Temp/ksohtml/wps5E08.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descr="../AppData/Local/Temp/ksohtml/wps5E08.tmp.png"/>
                    <pic:cNvPicPr>
                      <a:picLocks noChangeAspect="1"/>
                    </pic:cNvPicPr>
                  </pic:nvPicPr>
                  <pic:blipFill>
                    <a:blip r:embed="rId10" r:link="rId11"/>
                    <a:stretch>
                      <a:fillRect/>
                    </a:stretch>
                  </pic:blipFill>
                  <pic:spPr>
                    <a:xfrm>
                      <a:off x="0" y="0"/>
                      <a:ext cx="4571365" cy="561340"/>
                    </a:xfrm>
                    <a:prstGeom prst="rect">
                      <a:avLst/>
                    </a:prstGeom>
                    <a:noFill/>
                    <a:ln>
                      <a:noFill/>
                    </a:ln>
                  </pic:spPr>
                </pic:pic>
              </a:graphicData>
            </a:graphic>
          </wp:inline>
        </w:drawing>
      </w:r>
    </w:p>
    <w:p w14:paraId="5D722F90">
      <w:pPr>
        <w:spacing w:line="240" w:lineRule="auto"/>
        <w:ind w:firstLine="64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公式中：ΔP——需调整的价格差额；</w:t>
      </w:r>
    </w:p>
    <w:p w14:paraId="4253223B">
      <w:pPr>
        <w:spacing w:line="240" w:lineRule="auto"/>
        <w:ind w:firstLine="1440" w:firstLineChars="6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drawing>
          <wp:inline distT="0" distB="0" distL="114300" distR="114300">
            <wp:extent cx="228600" cy="228600"/>
            <wp:effectExtent l="0" t="0" r="0" b="0"/>
            <wp:docPr id="30" name="图片 2" descr="../AppData/Local/Temp/ksohtml/wps5E09.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 descr="../AppData/Local/Temp/ksohtml/wps5E09.tmp.png"/>
                    <pic:cNvPicPr>
                      <a:picLocks noChangeAspect="1"/>
                    </pic:cNvPicPr>
                  </pic:nvPicPr>
                  <pic:blipFill>
                    <a:blip r:embed="rId12" r:link="rId13"/>
                    <a:stretch>
                      <a:fillRect/>
                    </a:stretch>
                  </pic:blipFill>
                  <pic:spPr>
                    <a:xfrm>
                      <a:off x="0" y="0"/>
                      <a:ext cx="228600" cy="228600"/>
                    </a:xfrm>
                    <a:prstGeom prst="rect">
                      <a:avLst/>
                    </a:prstGeom>
                    <a:noFill/>
                    <a:ln>
                      <a:noFill/>
                    </a:ln>
                  </pic:spPr>
                </pic:pic>
              </a:graphicData>
            </a:graphic>
          </wp:inline>
        </w:drawing>
      </w:r>
      <w:r>
        <w:rPr>
          <w:rFonts w:hint="eastAsia" w:ascii="宋体" w:hAnsi="宋体" w:eastAsia="宋体" w:cs="宋体"/>
          <w:b w:val="0"/>
          <w:bCs w:val="0"/>
          <w:color w:val="auto"/>
          <w:sz w:val="24"/>
          <w:szCs w:val="24"/>
          <w:highlight w:val="none"/>
        </w:rPr>
        <w:t>——约定的付款证书中承包人应得到的已完成工程量的金额。此项金额应不包括价格调整、不计质量保证金的扣留和支付、预付款的支付和扣回。约定的变更及其他金额已按现行价格计价的，也不计在内；</w:t>
      </w:r>
    </w:p>
    <w:p w14:paraId="67627318">
      <w:pPr>
        <w:spacing w:line="24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A——定值权重（即不调部分的权重）；</w:t>
      </w:r>
    </w:p>
    <w:p w14:paraId="67CF762B">
      <w:pPr>
        <w:spacing w:line="24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drawing>
          <wp:inline distT="0" distB="0" distL="114300" distR="114300">
            <wp:extent cx="1285875" cy="275590"/>
            <wp:effectExtent l="0" t="0" r="9525" b="0"/>
            <wp:docPr id="34" name="图片 3" descr="../AppData/Local/Temp/ksohtml/wps5E0A.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 descr="../AppData/Local/Temp/ksohtml/wps5E0A.tmp.png"/>
                    <pic:cNvPicPr>
                      <a:picLocks noChangeAspect="1"/>
                    </pic:cNvPicPr>
                  </pic:nvPicPr>
                  <pic:blipFill>
                    <a:blip r:embed="rId14" r:link="rId15"/>
                    <a:stretch>
                      <a:fillRect/>
                    </a:stretch>
                  </pic:blipFill>
                  <pic:spPr>
                    <a:xfrm>
                      <a:off x="0" y="0"/>
                      <a:ext cx="1285875" cy="275590"/>
                    </a:xfrm>
                    <a:prstGeom prst="rect">
                      <a:avLst/>
                    </a:prstGeom>
                    <a:noFill/>
                    <a:ln>
                      <a:noFill/>
                    </a:ln>
                  </pic:spPr>
                </pic:pic>
              </a:graphicData>
            </a:graphic>
          </wp:inline>
        </w:drawing>
      </w:r>
      <w:r>
        <w:rPr>
          <w:rFonts w:hint="eastAsia" w:ascii="宋体" w:hAnsi="宋体" w:eastAsia="宋体" w:cs="宋体"/>
          <w:b w:val="0"/>
          <w:bCs w:val="0"/>
          <w:color w:val="auto"/>
          <w:sz w:val="24"/>
          <w:szCs w:val="24"/>
          <w:highlight w:val="none"/>
        </w:rPr>
        <w:t>——各可调因子的变值权重（即可调部分的权重），为各可调因子在签约合同价中所占的比例；</w:t>
      </w:r>
    </w:p>
    <w:p w14:paraId="2EEDCA2F">
      <w:pPr>
        <w:spacing w:line="24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drawing>
          <wp:inline distT="0" distB="0" distL="114300" distR="114300">
            <wp:extent cx="1304925" cy="266065"/>
            <wp:effectExtent l="0" t="0" r="5715" b="0"/>
            <wp:docPr id="32" name="图片 4" descr="../AppData/Local/Temp/ksohtml/wps5E1B.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4" descr="../AppData/Local/Temp/ksohtml/wps5E1B.tmp.png"/>
                    <pic:cNvPicPr>
                      <a:picLocks noChangeAspect="1"/>
                    </pic:cNvPicPr>
                  </pic:nvPicPr>
                  <pic:blipFill>
                    <a:blip r:embed="rId16" r:link="rId17"/>
                    <a:stretch>
                      <a:fillRect/>
                    </a:stretch>
                  </pic:blipFill>
                  <pic:spPr>
                    <a:xfrm>
                      <a:off x="0" y="0"/>
                      <a:ext cx="1304925" cy="266065"/>
                    </a:xfrm>
                    <a:prstGeom prst="rect">
                      <a:avLst/>
                    </a:prstGeom>
                    <a:noFill/>
                    <a:ln>
                      <a:noFill/>
                    </a:ln>
                  </pic:spPr>
                </pic:pic>
              </a:graphicData>
            </a:graphic>
          </wp:inline>
        </w:drawing>
      </w:r>
      <w:r>
        <w:rPr>
          <w:rFonts w:hint="eastAsia" w:ascii="宋体" w:hAnsi="宋体" w:eastAsia="宋体" w:cs="宋体"/>
          <w:b w:val="0"/>
          <w:bCs w:val="0"/>
          <w:color w:val="auto"/>
          <w:sz w:val="24"/>
          <w:szCs w:val="24"/>
          <w:highlight w:val="none"/>
        </w:rPr>
        <w:t>——各可调因子的现行价格指数，指约定的付款证书相关周期最后一天的前42天的各可调因子的价格指数；</w:t>
      </w:r>
    </w:p>
    <w:p w14:paraId="6C4AB647">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drawing>
          <wp:inline distT="0" distB="0" distL="114300" distR="114300">
            <wp:extent cx="1371600" cy="256540"/>
            <wp:effectExtent l="0" t="0" r="0" b="0"/>
            <wp:docPr id="33" name="图片 5" descr="../AppData/Local/Temp/ksohtml/wps5E1C.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5" descr="../AppData/Local/Temp/ksohtml/wps5E1C.tmp.png"/>
                    <pic:cNvPicPr>
                      <a:picLocks noChangeAspect="1"/>
                    </pic:cNvPicPr>
                  </pic:nvPicPr>
                  <pic:blipFill>
                    <a:blip r:embed="rId18" r:link="rId19"/>
                    <a:stretch>
                      <a:fillRect/>
                    </a:stretch>
                  </pic:blipFill>
                  <pic:spPr>
                    <a:xfrm>
                      <a:off x="0" y="0"/>
                      <a:ext cx="1371600" cy="256540"/>
                    </a:xfrm>
                    <a:prstGeom prst="rect">
                      <a:avLst/>
                    </a:prstGeom>
                    <a:noFill/>
                    <a:ln>
                      <a:noFill/>
                    </a:ln>
                  </pic:spPr>
                </pic:pic>
              </a:graphicData>
            </a:graphic>
          </wp:inline>
        </w:drawing>
      </w:r>
      <w:r>
        <w:rPr>
          <w:rFonts w:hint="eastAsia" w:ascii="宋体" w:hAnsi="宋体" w:eastAsia="宋体" w:cs="宋体"/>
          <w:b w:val="0"/>
          <w:bCs w:val="0"/>
          <w:color w:val="auto"/>
          <w:sz w:val="24"/>
          <w:szCs w:val="24"/>
          <w:highlight w:val="none"/>
        </w:rPr>
        <w:t>—</w:t>
      </w:r>
      <w:r>
        <w:rPr>
          <w:rFonts w:hint="eastAsia" w:ascii="宋体" w:hAnsi="宋体" w:eastAsia="宋体" w:cs="宋体"/>
          <w:color w:val="auto"/>
          <w:sz w:val="24"/>
          <w:szCs w:val="24"/>
          <w:highlight w:val="none"/>
        </w:rPr>
        <w:t>—各可调因子的基本价格指数，指基准日期的各可调因子的价格指数。</w:t>
      </w:r>
    </w:p>
    <w:p w14:paraId="1FBA4928">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5D795F9E">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（2）暂时确定调整差额</w:t>
      </w:r>
    </w:p>
    <w:p w14:paraId="6FEA3ACF">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在计算调整差额时无现行价格指数的，合同当事人同意暂用前次价格指数计算。实际价格指数有调整的，合同当事人进行相应调整。</w:t>
      </w:r>
    </w:p>
    <w:p w14:paraId="228941BD">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（3）权重的调整</w:t>
      </w:r>
    </w:p>
    <w:p w14:paraId="1503D146">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因变更导致合同约定的权重不合理时，按照第4.4款〔商定或确定〕执行。</w:t>
      </w:r>
    </w:p>
    <w:p w14:paraId="19C897BB">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（4）因承包人原因工期延误后的价格调整</w:t>
      </w:r>
    </w:p>
    <w:p w14:paraId="0DBFE98B">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因承包人原因未按期竣工的，对合同约定的竣工日期后继续施工的工程，在使用价格调整公式时，应采用计划竣工日期与实际竣工日期的两个价格指数中较低的一个作为现行价格指数。</w:t>
      </w:r>
    </w:p>
    <w:p w14:paraId="548A8E6F">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第2种方式：采用造价信息进行价格调整。</w:t>
      </w:r>
    </w:p>
    <w:p w14:paraId="18B9E599">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22EDD0BB">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6ED1BAC3">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（2）材料、工程设备价格变化的价款调整按照发包人提供的基准价格，按以下风险范围规定执行</w:t>
      </w:r>
      <w:r>
        <w:rPr>
          <w:rFonts w:hint="eastAsia" w:ascii="宋体" w:hAnsi="宋体" w:cs="宋体"/>
          <w:color w:val="auto"/>
          <w:sz w:val="24"/>
          <w:szCs w:val="24"/>
          <w:highlight w:val="none"/>
          <w:lang w:eastAsia="zh-CN"/>
        </w:rPr>
        <w:t>：</w:t>
      </w:r>
    </w:p>
    <w:p w14:paraId="6F1E6151">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189F7A2C">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0E1FC359">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③承包人在已标价工程量清单或预算书中载明材料单价等于基准价格的：除专用合同条款另有约定外，合同履行期间材料单价涨跌幅以基准价格为基础超过±5%时，其超过部分据实调整。</w:t>
      </w:r>
    </w:p>
    <w:p w14:paraId="4C096660">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4A182090">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前述基准价格是指由发包人在</w:t>
      </w:r>
      <w:r>
        <w:rPr>
          <w:rFonts w:hint="eastAsia" w:ascii="宋体" w:hAnsi="宋体" w:cs="宋体"/>
          <w:color w:val="auto"/>
          <w:sz w:val="24"/>
          <w:szCs w:val="24"/>
          <w:highlight w:val="none"/>
          <w:lang w:eastAsia="zh-CN"/>
        </w:rPr>
        <w:t>比选文件</w:t>
      </w:r>
      <w:r>
        <w:rPr>
          <w:rFonts w:hint="eastAsia" w:ascii="宋体" w:hAnsi="宋体" w:eastAsia="宋体" w:cs="宋体"/>
          <w:color w:val="auto"/>
          <w:sz w:val="24"/>
          <w:szCs w:val="24"/>
          <w:highlight w:val="none"/>
        </w:rPr>
        <w:t>或专用合同条款中给定的材料、工程设备的价格，该价格原则上应当按照省级或行业建设主管部门或其授权的工程造价管理机构发布的信息价编制。</w:t>
      </w:r>
    </w:p>
    <w:p w14:paraId="5C43C6F8">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（3）施工机械台班单价或施工机械使用费发生变化超过省级或行业建设主管部门或其授权的工程造价管理机构规定的范围时，按规定调整合同价格。</w:t>
      </w:r>
    </w:p>
    <w:p w14:paraId="3F82DE7E">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第3种方式：专用合同条款约定的其他方式。</w:t>
      </w:r>
    </w:p>
    <w:p w14:paraId="6343CDF2">
      <w:pPr>
        <w:pStyle w:val="6"/>
        <w:pageBreakBefore w:val="0"/>
        <w:widowControl/>
        <w:kinsoku/>
        <w:wordWrap/>
        <w:overflowPunct/>
        <w:topLinePunct w:val="0"/>
        <w:autoSpaceDE/>
        <w:autoSpaceDN/>
        <w:bidi w:val="0"/>
        <w:adjustRightInd/>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939" w:name="_Toc296503093"/>
      <w:bookmarkEnd w:id="1939"/>
      <w:bookmarkStart w:id="1940" w:name="_Toc351203579"/>
      <w:bookmarkEnd w:id="1940"/>
      <w:bookmarkStart w:id="1941" w:name="_Toc296346594"/>
      <w:bookmarkEnd w:id="1941"/>
      <w:bookmarkStart w:id="1942" w:name="_Toc21869"/>
      <w:bookmarkStart w:id="1943" w:name="_Toc556"/>
      <w:bookmarkStart w:id="1944" w:name="_Toc15917"/>
      <w:bookmarkStart w:id="1945" w:name="_Toc6733"/>
      <w:bookmarkStart w:id="1946" w:name="_Toc18753"/>
      <w:bookmarkStart w:id="1947" w:name="_Toc30915"/>
      <w:bookmarkStart w:id="1948" w:name="_Toc11248"/>
      <w:bookmarkStart w:id="1949" w:name="_Toc28354"/>
      <w:bookmarkStart w:id="1950" w:name="_Toc337558798"/>
      <w:bookmarkStart w:id="1951" w:name="_Toc29857"/>
      <w:bookmarkStart w:id="1952" w:name="_Toc6556"/>
      <w:bookmarkStart w:id="1953" w:name="_Toc13884"/>
      <w:bookmarkStart w:id="1954" w:name="_Toc27243"/>
      <w:bookmarkStart w:id="1955" w:name="_Toc22272"/>
      <w:r>
        <w:rPr>
          <w:rFonts w:hint="eastAsia" w:ascii="宋体" w:hAnsi="宋体" w:eastAsia="宋体" w:cs="宋体"/>
          <w:b w:val="0"/>
          <w:bCs w:val="0"/>
          <w:color w:val="auto"/>
          <w:sz w:val="24"/>
          <w:szCs w:val="24"/>
          <w:highlight w:val="none"/>
        </w:rPr>
        <w:t>11.2法律变化引起的调整</w:t>
      </w:r>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p>
    <w:p w14:paraId="46809D77">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1F2B6927">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因法律变化引起的合同价格和工期调整，合同当事人无法达成一致的，由总监理工程师按第4.4款〔商定或确定〕的约定处理。</w:t>
      </w:r>
    </w:p>
    <w:p w14:paraId="39EB1526">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因承包人原因造成工期延误，在工期延误期间出现法律变化的，由此增加的费用和（或）延误的工期由承包人承担。</w:t>
      </w:r>
    </w:p>
    <w:p w14:paraId="394EE3D5">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1956" w:name="_Toc296346597"/>
      <w:bookmarkEnd w:id="1956"/>
      <w:bookmarkStart w:id="1957" w:name="_Toc351203580"/>
      <w:bookmarkEnd w:id="1957"/>
      <w:bookmarkStart w:id="1958" w:name="_Toc337558799"/>
      <w:bookmarkEnd w:id="1958"/>
      <w:bookmarkStart w:id="1959" w:name="_Toc3759"/>
      <w:bookmarkStart w:id="1960" w:name="_Toc12013"/>
      <w:bookmarkStart w:id="1961" w:name="_Toc25843"/>
      <w:bookmarkStart w:id="1962" w:name="_Toc27753"/>
      <w:bookmarkStart w:id="1963" w:name="_Toc8083"/>
      <w:bookmarkStart w:id="1964" w:name="_Toc3944"/>
      <w:bookmarkStart w:id="1965" w:name="_Toc26071"/>
      <w:bookmarkStart w:id="1966" w:name="_Toc25437"/>
      <w:bookmarkStart w:id="1967" w:name="_Toc18835"/>
      <w:bookmarkStart w:id="1968" w:name="_Toc3879"/>
      <w:bookmarkStart w:id="1969" w:name="_Toc296503096"/>
      <w:bookmarkStart w:id="1970" w:name="_Toc16780"/>
      <w:bookmarkStart w:id="1971" w:name="_Toc829"/>
      <w:bookmarkStart w:id="1972" w:name="_Toc22910"/>
      <w:bookmarkStart w:id="1973" w:name="_Toc25963"/>
      <w:bookmarkStart w:id="1974" w:name="_Toc14006"/>
      <w:r>
        <w:rPr>
          <w:rFonts w:hint="eastAsia" w:ascii="宋体" w:hAnsi="宋体" w:eastAsia="宋体" w:cs="宋体"/>
          <w:b w:val="0"/>
          <w:bCs w:val="0"/>
          <w:color w:val="auto"/>
          <w:sz w:val="24"/>
          <w:szCs w:val="24"/>
          <w:highlight w:val="none"/>
        </w:rPr>
        <w:t>12. 合同价格、计量与支付</w:t>
      </w:r>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p>
    <w:p w14:paraId="7529A8D3">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975" w:name="_Toc351203581"/>
      <w:bookmarkEnd w:id="1975"/>
      <w:bookmarkStart w:id="1976" w:name="_Toc337558800"/>
      <w:bookmarkStart w:id="1977" w:name="_Toc15857"/>
      <w:bookmarkStart w:id="1978" w:name="_Toc1234"/>
      <w:bookmarkStart w:id="1979" w:name="_Toc22948"/>
      <w:bookmarkStart w:id="1980" w:name="_Toc348"/>
      <w:bookmarkStart w:id="1981" w:name="_Toc14433"/>
      <w:bookmarkStart w:id="1982" w:name="_Toc27257"/>
      <w:bookmarkStart w:id="1983" w:name="_Toc20133"/>
      <w:bookmarkStart w:id="1984" w:name="_Toc23293"/>
      <w:bookmarkStart w:id="1985" w:name="_Toc27940"/>
      <w:bookmarkStart w:id="1986" w:name="_Toc24074"/>
      <w:bookmarkStart w:id="1987" w:name="_Toc22448"/>
      <w:bookmarkStart w:id="1988" w:name="_Toc32104"/>
      <w:bookmarkStart w:id="1989" w:name="_Toc9209"/>
      <w:r>
        <w:rPr>
          <w:rFonts w:hint="eastAsia" w:ascii="宋体" w:hAnsi="宋体" w:eastAsia="宋体" w:cs="宋体"/>
          <w:b w:val="0"/>
          <w:bCs w:val="0"/>
          <w:color w:val="auto"/>
          <w:sz w:val="24"/>
          <w:szCs w:val="24"/>
          <w:highlight w:val="none"/>
        </w:rPr>
        <w:t>12.1 合同价</w:t>
      </w:r>
      <w:bookmarkEnd w:id="1976"/>
      <w:r>
        <w:rPr>
          <w:rFonts w:hint="eastAsia" w:ascii="宋体" w:hAnsi="宋体" w:eastAsia="宋体" w:cs="宋体"/>
          <w:b w:val="0"/>
          <w:bCs w:val="0"/>
          <w:color w:val="auto"/>
          <w:sz w:val="24"/>
          <w:szCs w:val="24"/>
          <w:highlight w:val="none"/>
        </w:rPr>
        <w:t>格形式</w:t>
      </w:r>
      <w:bookmarkEnd w:id="1977"/>
      <w:bookmarkEnd w:id="1978"/>
      <w:bookmarkEnd w:id="1979"/>
      <w:bookmarkEnd w:id="1980"/>
      <w:bookmarkEnd w:id="1981"/>
      <w:bookmarkEnd w:id="1982"/>
      <w:bookmarkEnd w:id="1983"/>
      <w:bookmarkEnd w:id="1984"/>
      <w:bookmarkEnd w:id="1985"/>
      <w:bookmarkEnd w:id="1986"/>
      <w:bookmarkEnd w:id="1987"/>
      <w:bookmarkEnd w:id="1988"/>
      <w:bookmarkEnd w:id="1989"/>
    </w:p>
    <w:p w14:paraId="337E42CC">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发包人和承包人应在合同协议书中选择下列一种合同价格形式： </w:t>
      </w:r>
    </w:p>
    <w:p w14:paraId="0FF6AF42">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1.单价合同</w:t>
      </w:r>
    </w:p>
    <w:p w14:paraId="509AAEFC">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单价合同是指合同当事人约定以工程量清单及其综合单价进行合同价格计算、调整和确认的建设工程施工合同，</w:t>
      </w:r>
      <w:r>
        <w:rPr>
          <w:rFonts w:hint="eastAsia" w:ascii="宋体" w:hAnsi="宋体" w:eastAsia="宋体" w:cs="宋体"/>
          <w:color w:val="auto"/>
          <w:sz w:val="24"/>
          <w:szCs w:val="24"/>
          <w:highlight w:val="none"/>
        </w:rPr>
        <w:t>在约定的范围内合同单价不作调整</w:t>
      </w:r>
      <w:r>
        <w:rPr>
          <w:rFonts w:hint="eastAsia" w:ascii="宋体" w:hAnsi="宋体" w:eastAsia="宋体" w:cs="宋体"/>
          <w:color w:val="auto"/>
          <w:kern w:val="0"/>
          <w:sz w:val="24"/>
          <w:szCs w:val="24"/>
          <w:highlight w:val="none"/>
        </w:rPr>
        <w:t>。合同当事人应在专用合同条款中约定综合单价包含的风险范围和风险费用的计算方法</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并约定风险范围以外的合同价格的调整方法，其中因市场价格波动引起的调整按第11.1款〔市场价格波动引起的调整〕约定执行。</w:t>
      </w:r>
    </w:p>
    <w:p w14:paraId="50B8F409">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2.总价合同</w:t>
      </w:r>
    </w:p>
    <w:p w14:paraId="6AA772AC">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总价合同是指合同当事人约定以施工图、已标价工程量清单或预算书及有关条件进行合同价格计算、调整和确认的建设工程施工合同，</w:t>
      </w:r>
      <w:r>
        <w:rPr>
          <w:rFonts w:hint="eastAsia" w:ascii="宋体" w:hAnsi="宋体" w:eastAsia="宋体" w:cs="宋体"/>
          <w:color w:val="auto"/>
          <w:sz w:val="24"/>
          <w:szCs w:val="24"/>
          <w:highlight w:val="none"/>
        </w:rPr>
        <w:t>在约定的范围内合同总价不作调整</w:t>
      </w:r>
      <w:r>
        <w:rPr>
          <w:rFonts w:hint="eastAsia" w:ascii="宋体" w:hAnsi="宋体" w:eastAsia="宋体" w:cs="宋体"/>
          <w:color w:val="auto"/>
          <w:kern w:val="0"/>
          <w:sz w:val="24"/>
          <w:szCs w:val="24"/>
          <w:highlight w:val="none"/>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0823A842">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价格形式</w:t>
      </w:r>
    </w:p>
    <w:p w14:paraId="4F82AF18">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合同当事人可在专用合同条款中约定其他合同价格形式。</w:t>
      </w:r>
    </w:p>
    <w:p w14:paraId="5AEA13B7">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1990" w:name="_Toc337558801"/>
      <w:bookmarkEnd w:id="1990"/>
      <w:bookmarkStart w:id="1991" w:name="_Toc296346598"/>
      <w:bookmarkEnd w:id="1991"/>
      <w:bookmarkStart w:id="1992" w:name="_Toc351203582"/>
      <w:bookmarkEnd w:id="1992"/>
      <w:bookmarkStart w:id="1993" w:name="_Toc296503097"/>
      <w:bookmarkStart w:id="1994" w:name="_Toc3400"/>
      <w:bookmarkStart w:id="1995" w:name="_Toc29770"/>
      <w:bookmarkStart w:id="1996" w:name="_Toc32621"/>
      <w:bookmarkStart w:id="1997" w:name="_Toc17550"/>
      <w:bookmarkStart w:id="1998" w:name="_Toc14766"/>
      <w:bookmarkStart w:id="1999" w:name="_Toc179"/>
      <w:bookmarkStart w:id="2000" w:name="_Toc19973"/>
      <w:bookmarkStart w:id="2001" w:name="_Toc28281"/>
      <w:bookmarkStart w:id="2002" w:name="_Toc18583"/>
      <w:bookmarkStart w:id="2003" w:name="_Toc18244"/>
      <w:bookmarkStart w:id="2004" w:name="_Toc27061"/>
      <w:bookmarkStart w:id="2005" w:name="_Toc19890"/>
      <w:bookmarkStart w:id="2006" w:name="_Toc130"/>
      <w:r>
        <w:rPr>
          <w:rFonts w:hint="eastAsia" w:ascii="宋体" w:hAnsi="宋体" w:eastAsia="宋体" w:cs="宋体"/>
          <w:b w:val="0"/>
          <w:bCs w:val="0"/>
          <w:color w:val="auto"/>
          <w:sz w:val="24"/>
          <w:szCs w:val="24"/>
          <w:highlight w:val="none"/>
        </w:rPr>
        <w:t>12.2预</w:t>
      </w:r>
      <w:bookmarkEnd w:id="1993"/>
      <w:bookmarkStart w:id="2007" w:name="_Toc296346601"/>
      <w:bookmarkEnd w:id="2007"/>
      <w:bookmarkStart w:id="2008" w:name="_Toc296503100"/>
      <w:bookmarkEnd w:id="2008"/>
      <w:r>
        <w:rPr>
          <w:rFonts w:hint="eastAsia" w:ascii="宋体" w:hAnsi="宋体" w:eastAsia="宋体" w:cs="宋体"/>
          <w:b w:val="0"/>
          <w:bCs w:val="0"/>
          <w:color w:val="auto"/>
          <w:sz w:val="24"/>
          <w:szCs w:val="24"/>
          <w:highlight w:val="none"/>
        </w:rPr>
        <w:t>付款</w:t>
      </w:r>
      <w:bookmarkEnd w:id="1994"/>
      <w:bookmarkEnd w:id="1995"/>
      <w:bookmarkEnd w:id="1996"/>
      <w:bookmarkEnd w:id="1997"/>
      <w:bookmarkEnd w:id="1998"/>
      <w:bookmarkEnd w:id="1999"/>
      <w:bookmarkEnd w:id="2000"/>
      <w:bookmarkEnd w:id="2001"/>
      <w:bookmarkEnd w:id="2002"/>
      <w:bookmarkEnd w:id="2003"/>
      <w:bookmarkEnd w:id="2004"/>
      <w:bookmarkEnd w:id="2005"/>
      <w:bookmarkEnd w:id="2006"/>
    </w:p>
    <w:p w14:paraId="13096972">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color w:val="auto"/>
          <w:kern w:val="0"/>
          <w:sz w:val="24"/>
          <w:szCs w:val="24"/>
          <w:highlight w:val="none"/>
        </w:rPr>
        <w:t>1预付款的支付</w:t>
      </w:r>
    </w:p>
    <w:p w14:paraId="6502CC4D">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预付款的支付按照专用合同条款约定执行，但至迟应在开工通知载明的开工日期7天前支付。预付款应当用于材料、工程设备、施工设备的采购及修建临时工程、组织施工队伍进场等。</w:t>
      </w:r>
    </w:p>
    <w:p w14:paraId="53C8413C">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除专用合同条款另有约定外，预付款在进度付款中同比例扣回。在颁发工程接收证书前，提前解除合同的，尚未扣完的预付款应与合同价款一并结算。</w:t>
      </w:r>
    </w:p>
    <w:p w14:paraId="54309B2F">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发包人逾期支付预付款超过7天的，承包人有权向发包人发出要求预付的催告通知，发包人收到通知后7天内仍未支付的，承包人有权暂停施工，并按第16.1.1项〔发包人违约的情形〕执行。</w:t>
      </w:r>
    </w:p>
    <w:p w14:paraId="55C7A1A7">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 预付款担保</w:t>
      </w:r>
    </w:p>
    <w:p w14:paraId="2C6150C0">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0D010881">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发包人在工程款中逐期扣回预付款后，预付款担保额度应相应减少，但剩余的预付款担保金额不得低于未被扣回的预付款金额。</w:t>
      </w:r>
    </w:p>
    <w:p w14:paraId="35F2E088">
      <w:pPr>
        <w:pStyle w:val="6"/>
        <w:pageBreakBefore w:val="0"/>
        <w:widowControl/>
        <w:kinsoku/>
        <w:wordWrap/>
        <w:overflowPunct/>
        <w:topLinePunct w:val="0"/>
        <w:autoSpaceDE/>
        <w:autoSpaceDN/>
        <w:bidi w:val="0"/>
        <w:adjustRightInd/>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009" w:name="_Toc351203583"/>
      <w:bookmarkEnd w:id="2009"/>
      <w:bookmarkStart w:id="2010" w:name="_Toc32237"/>
      <w:bookmarkStart w:id="2011" w:name="_Toc17924"/>
      <w:bookmarkStart w:id="2012" w:name="_Toc9400"/>
      <w:bookmarkStart w:id="2013" w:name="_Toc5686"/>
      <w:bookmarkStart w:id="2014" w:name="_Toc9557"/>
      <w:bookmarkStart w:id="2015" w:name="_Toc18602"/>
      <w:bookmarkStart w:id="2016" w:name="_Toc23017"/>
      <w:bookmarkStart w:id="2017" w:name="_Toc617"/>
      <w:bookmarkStart w:id="2018" w:name="_Toc20286"/>
      <w:bookmarkStart w:id="2019" w:name="_Toc5789"/>
      <w:bookmarkStart w:id="2020" w:name="_Toc337558802"/>
      <w:bookmarkStart w:id="2021" w:name="_Toc30258"/>
      <w:bookmarkStart w:id="2022" w:name="_Toc24477"/>
      <w:bookmarkStart w:id="2023" w:name="_Toc30254"/>
      <w:r>
        <w:rPr>
          <w:rFonts w:hint="eastAsia" w:ascii="宋体" w:hAnsi="宋体" w:eastAsia="宋体" w:cs="宋体"/>
          <w:b w:val="0"/>
          <w:bCs w:val="0"/>
          <w:color w:val="auto"/>
          <w:sz w:val="24"/>
          <w:szCs w:val="24"/>
          <w:highlight w:val="none"/>
        </w:rPr>
        <w:t>12.3计量</w:t>
      </w:r>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p>
    <w:p w14:paraId="4B6F02D1">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12.3.1 计量原则</w:t>
      </w:r>
    </w:p>
    <w:p w14:paraId="57A414AF">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工程量计量按照合同约定的工程量计算规则、图纸及变更指示等进行计量。工程量计算规则应以相关的国家标准、行业标准等为依据，由合同当事人在专用合同条款中约定。</w:t>
      </w:r>
    </w:p>
    <w:p w14:paraId="180BC77D">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12.3.2 计量周期</w:t>
      </w:r>
    </w:p>
    <w:p w14:paraId="66EF84F5">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除专用合同条款另有约定外，工程量的计量按月进行。</w:t>
      </w:r>
    </w:p>
    <w:p w14:paraId="69621B95">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12.3.3 单价合同的计量</w:t>
      </w:r>
    </w:p>
    <w:p w14:paraId="0096B1B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除专用合同条款另有约定外，单价合同的计量按照本项约定执行：</w:t>
      </w:r>
    </w:p>
    <w:p w14:paraId="41C50DF6">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（1）承包人应于每月25日向监理人报送上月20日至当月19日已完成的工程量报告，并附具进度付款申请单、已完成工程量报表和有关资料。</w:t>
      </w:r>
    </w:p>
    <w:p w14:paraId="0BE2CC51">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371C62CA">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（3）监理人未在收到承包人提交的工程量报表后的7天内完成审核的，承包人报送的工程量报告中的工程量视为承包人实际完成的工程量，据此计算工程价款。</w:t>
      </w:r>
    </w:p>
    <w:p w14:paraId="00DCC5E1">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12.3.4 总价合同的计量</w:t>
      </w:r>
    </w:p>
    <w:p w14:paraId="623C242C">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除专用合同条款另有约定外，按月计量支付的总价合同，按照本项约定执行：</w:t>
      </w:r>
    </w:p>
    <w:p w14:paraId="2B38E7A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（1）承包人应于每月25日向监理人报送上月20日至当月19日已完成的工程量报告，并附具进度付款申请单、已完成工程量报表和有关资料。</w:t>
      </w:r>
    </w:p>
    <w:p w14:paraId="32919184">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5E69FC5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（3）监理人未在收到承包人提交的工程量报表后的7天内完成复核的，承包人提交的工程量报告中的工程量视为承包人实际完成的工程量。</w:t>
      </w:r>
    </w:p>
    <w:p w14:paraId="7E9C855C">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12.3.5 总价合同采用支付分解表计量支付的，可以按照第12.3.4项〔总价合同的计量〕约定进行计量，但合同价款按照支付分解表进行支付。</w:t>
      </w:r>
    </w:p>
    <w:p w14:paraId="78B43DCB">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12.3.6 其他价格形式合同的计量</w:t>
      </w:r>
    </w:p>
    <w:p w14:paraId="09AE8EA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合同当事人可在专用合同条款中约定其他价格形式合同的计量方式和程序。</w:t>
      </w:r>
    </w:p>
    <w:p w14:paraId="1948356B">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024" w:name="_Toc296503101"/>
      <w:bookmarkEnd w:id="2024"/>
      <w:bookmarkStart w:id="2025" w:name="_Toc296346602"/>
      <w:bookmarkEnd w:id="2025"/>
      <w:bookmarkStart w:id="2026" w:name="_Toc351203584"/>
      <w:bookmarkEnd w:id="2026"/>
      <w:bookmarkStart w:id="2027" w:name="_Toc337558803"/>
      <w:bookmarkStart w:id="2028" w:name="_Toc16837"/>
      <w:bookmarkStart w:id="2029" w:name="_Toc2411"/>
      <w:bookmarkStart w:id="2030" w:name="_Toc9804"/>
      <w:bookmarkStart w:id="2031" w:name="_Toc10182"/>
      <w:bookmarkStart w:id="2032" w:name="_Toc1100"/>
      <w:bookmarkStart w:id="2033" w:name="_Toc28893"/>
      <w:bookmarkStart w:id="2034" w:name="_Toc24920"/>
      <w:bookmarkStart w:id="2035" w:name="_Toc19279"/>
      <w:bookmarkStart w:id="2036" w:name="_Toc13172"/>
      <w:bookmarkStart w:id="2037" w:name="_Toc1767"/>
      <w:bookmarkStart w:id="2038" w:name="_Toc20132"/>
      <w:bookmarkStart w:id="2039" w:name="_Toc8254"/>
      <w:bookmarkStart w:id="2040" w:name="_Toc8654"/>
      <w:r>
        <w:rPr>
          <w:rFonts w:hint="eastAsia" w:ascii="宋体" w:hAnsi="宋体" w:eastAsia="宋体" w:cs="宋体"/>
          <w:b w:val="0"/>
          <w:bCs w:val="0"/>
          <w:color w:val="auto"/>
          <w:sz w:val="24"/>
          <w:szCs w:val="24"/>
          <w:highlight w:val="none"/>
        </w:rPr>
        <w:t>12.4工程进度款支</w:t>
      </w:r>
      <w:bookmarkEnd w:id="2027"/>
      <w:r>
        <w:rPr>
          <w:rFonts w:hint="eastAsia" w:ascii="宋体" w:hAnsi="宋体" w:eastAsia="宋体" w:cs="宋体"/>
          <w:b w:val="0"/>
          <w:bCs w:val="0"/>
          <w:color w:val="auto"/>
          <w:sz w:val="24"/>
          <w:szCs w:val="24"/>
          <w:highlight w:val="none"/>
        </w:rPr>
        <w:t>付</w:t>
      </w:r>
      <w:bookmarkEnd w:id="2028"/>
      <w:bookmarkEnd w:id="2029"/>
      <w:bookmarkEnd w:id="2030"/>
      <w:bookmarkEnd w:id="2031"/>
      <w:bookmarkEnd w:id="2032"/>
      <w:bookmarkEnd w:id="2033"/>
      <w:bookmarkEnd w:id="2034"/>
      <w:bookmarkEnd w:id="2035"/>
      <w:bookmarkEnd w:id="2036"/>
      <w:bookmarkEnd w:id="2037"/>
      <w:bookmarkEnd w:id="2038"/>
      <w:bookmarkEnd w:id="2039"/>
      <w:bookmarkEnd w:id="2040"/>
    </w:p>
    <w:p w14:paraId="4AE9C16C">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outlineLvl w:val="0"/>
        <w:rPr>
          <w:rFonts w:hint="eastAsia" w:ascii="宋体" w:hAnsi="宋体" w:eastAsia="宋体" w:cs="宋体"/>
          <w:color w:val="auto"/>
          <w:kern w:val="0"/>
          <w:sz w:val="24"/>
          <w:szCs w:val="24"/>
          <w:highlight w:val="none"/>
        </w:rPr>
      </w:pPr>
      <w:bookmarkStart w:id="2041" w:name="_Toc14523"/>
      <w:bookmarkStart w:id="2042" w:name="_Toc14924"/>
      <w:bookmarkStart w:id="2043" w:name="_Toc1124"/>
      <w:bookmarkStart w:id="2044" w:name="_Toc32127"/>
      <w:bookmarkStart w:id="2045" w:name="_Toc19245"/>
      <w:bookmarkStart w:id="2046" w:name="_Toc25004"/>
      <w:bookmarkStart w:id="2047" w:name="_Toc25807"/>
      <w:bookmarkStart w:id="2048" w:name="_Toc4231"/>
      <w:bookmarkStart w:id="2049" w:name="_Toc22830"/>
      <w:bookmarkStart w:id="2050" w:name="_Toc11503"/>
      <w:bookmarkStart w:id="2051" w:name="_Toc30442"/>
      <w:bookmarkStart w:id="2052" w:name="_Toc15005"/>
      <w:bookmarkStart w:id="2053" w:name="_Toc29223"/>
      <w:bookmarkStart w:id="2054" w:name="_Toc9300"/>
      <w:bookmarkStart w:id="2055" w:name="_Toc31080"/>
      <w:bookmarkStart w:id="2056" w:name="_Toc24524"/>
      <w:r>
        <w:rPr>
          <w:rFonts w:hint="eastAsia" w:ascii="宋体" w:hAnsi="宋体" w:eastAsia="宋体" w:cs="宋体"/>
          <w:color w:val="auto"/>
          <w:sz w:val="24"/>
          <w:szCs w:val="24"/>
          <w:highlight w:val="none"/>
        </w:rPr>
        <w:t>12.4</w:t>
      </w:r>
      <w:r>
        <w:rPr>
          <w:rFonts w:hint="eastAsia" w:ascii="宋体" w:hAnsi="宋体" w:eastAsia="宋体" w:cs="宋体"/>
          <w:color w:val="auto"/>
          <w:kern w:val="0"/>
          <w:sz w:val="24"/>
          <w:szCs w:val="24"/>
          <w:highlight w:val="none"/>
        </w:rPr>
        <w:t>.1 付款周期</w:t>
      </w:r>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p>
    <w:p w14:paraId="31B5F905">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除专用合同条款另有约定外，付款周期应按照第12.3.2项〔计量周期〕的约定与计量周期保持一致。</w:t>
      </w:r>
    </w:p>
    <w:p w14:paraId="589F46C7">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12.4</w:t>
      </w:r>
      <w:r>
        <w:rPr>
          <w:rFonts w:hint="eastAsia" w:ascii="宋体" w:hAnsi="宋体" w:eastAsia="宋体" w:cs="宋体"/>
          <w:color w:val="auto"/>
          <w:kern w:val="0"/>
          <w:sz w:val="24"/>
          <w:szCs w:val="24"/>
          <w:highlight w:val="none"/>
        </w:rPr>
        <w:t>.2 进度付款申请单的编制</w:t>
      </w:r>
    </w:p>
    <w:p w14:paraId="6BFA6D2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除专用合同条款另有约定外，进度付款申请单应包括下列内容：</w:t>
      </w:r>
    </w:p>
    <w:p w14:paraId="5A724654">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（1）截至本次付款周期已完成工作对应的金额；</w:t>
      </w:r>
    </w:p>
    <w:p w14:paraId="4FA7CFB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（2）根据第10条〔变更〕应增加和扣减的变更金额；</w:t>
      </w:r>
    </w:p>
    <w:p w14:paraId="14DB395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（3）根据第12.2款〔预付款〕约定应支付的预付款和扣减的返还预付款；</w:t>
      </w:r>
    </w:p>
    <w:p w14:paraId="668A4413">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（4）根据第15.3款〔质量保证金〕约定应扣减的质量保证金；</w:t>
      </w:r>
    </w:p>
    <w:p w14:paraId="72CE293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（5）根据第19条〔索赔〕应增加和扣减的索赔金额；</w:t>
      </w:r>
    </w:p>
    <w:p w14:paraId="231AD1B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（6）对已签发的进度款支付证书中出现错误的修正，应在本次进度付款中支付或扣除的金额；</w:t>
      </w:r>
    </w:p>
    <w:p w14:paraId="0E46549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（7）根据合同约定应增加和扣减的其他金额。</w:t>
      </w:r>
    </w:p>
    <w:p w14:paraId="7B55F3A4">
      <w:pPr>
        <w:autoSpaceDE w:val="0"/>
        <w:autoSpaceDN w:val="0"/>
        <w:adjustRightInd w:val="0"/>
        <w:spacing w:line="240" w:lineRule="auto"/>
        <w:ind w:firstLine="480" w:firstLineChars="200"/>
        <w:jc w:val="left"/>
        <w:outlineLvl w:val="0"/>
        <w:rPr>
          <w:rFonts w:hint="eastAsia" w:ascii="宋体" w:hAnsi="宋体" w:eastAsia="宋体" w:cs="宋体"/>
          <w:color w:val="auto"/>
          <w:kern w:val="0"/>
          <w:sz w:val="24"/>
          <w:szCs w:val="24"/>
          <w:highlight w:val="none"/>
        </w:rPr>
      </w:pPr>
      <w:bookmarkStart w:id="2057" w:name="_Toc26700"/>
      <w:bookmarkStart w:id="2058" w:name="_Toc8116"/>
      <w:bookmarkStart w:id="2059" w:name="_Toc8010"/>
      <w:bookmarkStart w:id="2060" w:name="_Toc16571"/>
      <w:bookmarkStart w:id="2061" w:name="_Toc15080"/>
      <w:bookmarkStart w:id="2062" w:name="_Toc32012"/>
      <w:bookmarkStart w:id="2063" w:name="_Toc2556"/>
      <w:bookmarkStart w:id="2064" w:name="_Toc16343"/>
      <w:bookmarkStart w:id="2065" w:name="_Toc26444"/>
      <w:bookmarkStart w:id="2066" w:name="_Toc16688"/>
      <w:bookmarkStart w:id="2067" w:name="_Toc23732"/>
      <w:bookmarkStart w:id="2068" w:name="_Toc7542"/>
      <w:bookmarkStart w:id="2069" w:name="_Toc3843"/>
      <w:bookmarkStart w:id="2070" w:name="_Toc27738"/>
      <w:bookmarkStart w:id="2071" w:name="_Toc20652"/>
      <w:bookmarkStart w:id="2072" w:name="_Toc27963"/>
      <w:r>
        <w:rPr>
          <w:rFonts w:hint="eastAsia" w:ascii="宋体" w:hAnsi="宋体" w:eastAsia="宋体" w:cs="宋体"/>
          <w:color w:val="auto"/>
          <w:kern w:val="0"/>
          <w:sz w:val="24"/>
          <w:szCs w:val="24"/>
          <w:highlight w:val="none"/>
        </w:rPr>
        <w:t>12.4.3 进度付款申请单的提交</w:t>
      </w:r>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p>
    <w:p w14:paraId="324D2E6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（1）单价合同进度付款申请单的提交</w:t>
      </w:r>
    </w:p>
    <w:p w14:paraId="4C8F574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19DEAB9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（2）总价合同进度付款申请单的提交</w:t>
      </w:r>
    </w:p>
    <w:p w14:paraId="656F3964">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总价合同按月计量支付的，承包人按照第12.3.4项〔总价合同的计量〕约定的时间按月向监理人提交进度付款申请单，并附上已完成工程量报表和有关资料。</w:t>
      </w:r>
    </w:p>
    <w:p w14:paraId="2620F90C">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总价合同按支付分解表支付的，承包人应按照第12.4.6项〔支付分解表〕及第12.4.2项〔进度付款申请单的编制〕的约定向监理人提交进度付款申请单。</w:t>
      </w:r>
    </w:p>
    <w:p w14:paraId="764513B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（3）其他价格形式合同的进度付款申请单的提交</w:t>
      </w:r>
    </w:p>
    <w:p w14:paraId="57AC821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合同当事人可在专用合同条款中约定其他价格形式合同的进度付款申请单的编制和提交程序。</w:t>
      </w:r>
    </w:p>
    <w:p w14:paraId="26F3DC6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12.4</w:t>
      </w:r>
      <w:r>
        <w:rPr>
          <w:rFonts w:hint="eastAsia" w:ascii="宋体" w:hAnsi="宋体" w:eastAsia="宋体" w:cs="宋体"/>
          <w:color w:val="auto"/>
          <w:kern w:val="0"/>
          <w:sz w:val="24"/>
          <w:szCs w:val="24"/>
          <w:highlight w:val="none"/>
        </w:rPr>
        <w:t>.4 进度款审核和支付</w:t>
      </w:r>
    </w:p>
    <w:p w14:paraId="679F81A3">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357A362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6DB33B3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（2）除专用合同条款另有约定外，发包人应在进度款支付证书或临时进度款支付证书签发后14天内完成支付，发包人逾期支付进度款的，应按照中国人民银行发布的同期同类贷款基准利率支付违约金。</w:t>
      </w:r>
    </w:p>
    <w:p w14:paraId="552CF81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（3）发包人签发进度款支付证书或临时进度款支付证书，不表明发包人已同意、批准或接受了承包人完成的相应部分的工作。</w:t>
      </w:r>
    </w:p>
    <w:p w14:paraId="4076964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12.4.5 进度付款的修正</w:t>
      </w:r>
    </w:p>
    <w:p w14:paraId="6F916CA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在对已签发的进度款支付证书进行阶段汇总和复核中发现错误、遗漏或重复的，发包人和承包人均有权提出修正申请。经发包人和承包人同意的修正，应在下期进度付款中支付或扣除。</w:t>
      </w:r>
    </w:p>
    <w:p w14:paraId="42577EC9">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12.4.6 支付分解表</w:t>
      </w:r>
    </w:p>
    <w:p w14:paraId="3274D52F">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1.支付分解表的编制要求</w:t>
      </w:r>
    </w:p>
    <w:p w14:paraId="14B93F77">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（1）支付分解表中所列的每期付款金额，应为第12.4.2项〔进度付款申请单的编制〕第（1</w:t>
      </w:r>
      <w:r>
        <w:rPr>
          <w:rFonts w:hint="eastAsia" w:ascii="宋体" w:hAnsi="宋体" w:cs="宋体"/>
          <w:color w:val="auto"/>
          <w:kern w:val="0"/>
          <w:sz w:val="24"/>
          <w:szCs w:val="24"/>
          <w:highlight w:val="none"/>
          <w:lang w:eastAsia="zh-CN"/>
        </w:rPr>
        <w:t>）项</w:t>
      </w:r>
      <w:r>
        <w:rPr>
          <w:rFonts w:hint="eastAsia" w:ascii="宋体" w:hAnsi="宋体" w:eastAsia="宋体" w:cs="宋体"/>
          <w:color w:val="auto"/>
          <w:kern w:val="0"/>
          <w:sz w:val="24"/>
          <w:szCs w:val="24"/>
          <w:highlight w:val="none"/>
        </w:rPr>
        <w:t>目的估算金额；</w:t>
      </w:r>
    </w:p>
    <w:p w14:paraId="6E3BF7EF">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（2）实际进度与施工进度计划不一致的，合同当事人可按照第4.4款〔商定或确定〕修改支付分解表；</w:t>
      </w:r>
    </w:p>
    <w:p w14:paraId="5A625575">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（3）不采用支付分解表的，承包人应向发包人和监理人提交按季度编制的支付估算分解表，用于支付参考。</w:t>
      </w:r>
    </w:p>
    <w:p w14:paraId="1A7FF8E5">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2.总价合同支付分解表的编制与审批</w:t>
      </w:r>
    </w:p>
    <w:p w14:paraId="5EAD85F2">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7939957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（2）监理人应在收到支付分解表后7天内完成审核并报送发包人。发包人应在收到经监理人审核的支付分解表后7天内完成审批，经发包人批准的支付分解表为有约束力的支付分解表。</w:t>
      </w:r>
    </w:p>
    <w:p w14:paraId="578628EC">
      <w:pPr>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（3）发包人逾期未完成支付分解表审批的，也未及时要求承包人进行修正和提供补充资料的，则承包人提交的支付分解表视为已经获得发包人批准。</w:t>
      </w:r>
    </w:p>
    <w:p w14:paraId="4918F4A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3.单价合同的总价项目支付分解表的编制与审批</w:t>
      </w:r>
    </w:p>
    <w:p w14:paraId="3617CE4D">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791F49E6">
      <w:pPr>
        <w:pStyle w:val="6"/>
        <w:pageBreakBefore w:val="0"/>
        <w:widowControl/>
        <w:kinsoku/>
        <w:wordWrap/>
        <w:overflowPunct/>
        <w:topLinePunct w:val="0"/>
        <w:autoSpaceDE/>
        <w:autoSpaceDN/>
        <w:bidi w:val="0"/>
        <w:adjustRightInd/>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073" w:name="_Toc351203585"/>
      <w:bookmarkEnd w:id="2073"/>
      <w:bookmarkStart w:id="2074" w:name="_Toc14649"/>
      <w:bookmarkStart w:id="2075" w:name="_Toc30251"/>
      <w:bookmarkStart w:id="2076" w:name="_Toc24740"/>
      <w:bookmarkStart w:id="2077" w:name="_Toc1120"/>
      <w:bookmarkStart w:id="2078" w:name="_Toc4416"/>
      <w:bookmarkStart w:id="2079" w:name="_Toc10100"/>
      <w:bookmarkStart w:id="2080" w:name="_Toc25220"/>
      <w:bookmarkStart w:id="2081" w:name="_Toc9105"/>
      <w:bookmarkStart w:id="2082" w:name="_Toc1774"/>
      <w:bookmarkStart w:id="2083" w:name="_Toc7113"/>
      <w:bookmarkStart w:id="2084" w:name="_Toc13955"/>
      <w:bookmarkStart w:id="2085" w:name="_Toc1915"/>
      <w:bookmarkStart w:id="2086" w:name="_Toc24249"/>
      <w:r>
        <w:rPr>
          <w:rFonts w:hint="eastAsia" w:ascii="宋体" w:hAnsi="宋体" w:eastAsia="宋体" w:cs="宋体"/>
          <w:b w:val="0"/>
          <w:bCs w:val="0"/>
          <w:color w:val="auto"/>
          <w:sz w:val="24"/>
          <w:szCs w:val="24"/>
          <w:highlight w:val="none"/>
        </w:rPr>
        <w:t>12.5支付账户</w:t>
      </w:r>
      <w:bookmarkEnd w:id="2074"/>
      <w:bookmarkEnd w:id="2075"/>
      <w:bookmarkEnd w:id="2076"/>
      <w:bookmarkEnd w:id="2077"/>
      <w:bookmarkEnd w:id="2078"/>
      <w:bookmarkEnd w:id="2079"/>
      <w:bookmarkEnd w:id="2080"/>
      <w:bookmarkEnd w:id="2081"/>
      <w:bookmarkEnd w:id="2082"/>
      <w:bookmarkEnd w:id="2083"/>
      <w:bookmarkEnd w:id="2084"/>
      <w:bookmarkEnd w:id="2085"/>
      <w:bookmarkEnd w:id="2086"/>
    </w:p>
    <w:p w14:paraId="642C76ED">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发包人应将合同价款支付至合同协议书中约定的承包人账户。</w:t>
      </w:r>
    </w:p>
    <w:p w14:paraId="5076467E">
      <w:pPr>
        <w:pStyle w:val="5"/>
        <w:pageBreakBefore w:val="0"/>
        <w:widowControl/>
        <w:kinsoku/>
        <w:wordWrap/>
        <w:overflowPunct/>
        <w:topLinePunct w:val="0"/>
        <w:autoSpaceDE/>
        <w:autoSpaceDN/>
        <w:bidi w:val="0"/>
        <w:adjustRightInd/>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2087" w:name="_Toc296346607"/>
      <w:bookmarkEnd w:id="2087"/>
      <w:bookmarkStart w:id="2088" w:name="_Toc296503106"/>
      <w:bookmarkEnd w:id="2088"/>
      <w:bookmarkStart w:id="2089" w:name="_Toc322522574"/>
      <w:bookmarkEnd w:id="2089"/>
      <w:bookmarkStart w:id="2090" w:name="_Toc351203586"/>
      <w:bookmarkEnd w:id="2090"/>
      <w:bookmarkStart w:id="2091" w:name="_Toc12231"/>
      <w:bookmarkStart w:id="2092" w:name="_Toc11273"/>
      <w:bookmarkStart w:id="2093" w:name="_Toc4538"/>
      <w:bookmarkStart w:id="2094" w:name="_Toc27248"/>
      <w:bookmarkStart w:id="2095" w:name="_Toc21380"/>
      <w:bookmarkStart w:id="2096" w:name="_Toc30938"/>
      <w:bookmarkStart w:id="2097" w:name="_Toc3933"/>
      <w:bookmarkStart w:id="2098" w:name="_Toc4123"/>
      <w:bookmarkStart w:id="2099" w:name="_Toc7681"/>
      <w:bookmarkStart w:id="2100" w:name="_Toc23088"/>
      <w:bookmarkStart w:id="2101" w:name="_Toc17332"/>
      <w:bookmarkStart w:id="2102" w:name="_Toc20672"/>
      <w:bookmarkStart w:id="2103" w:name="_Toc32157"/>
      <w:bookmarkStart w:id="2104" w:name="_Toc8939"/>
      <w:bookmarkStart w:id="2105" w:name="_Toc337558804"/>
      <w:r>
        <w:rPr>
          <w:rFonts w:hint="eastAsia" w:ascii="宋体" w:hAnsi="宋体" w:eastAsia="宋体" w:cs="宋体"/>
          <w:b w:val="0"/>
          <w:bCs w:val="0"/>
          <w:color w:val="auto"/>
          <w:sz w:val="24"/>
          <w:szCs w:val="24"/>
          <w:highlight w:val="none"/>
        </w:rPr>
        <w:t>13. 验收和工程试车</w:t>
      </w:r>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p>
    <w:p w14:paraId="1A5FF2F1">
      <w:pPr>
        <w:pStyle w:val="6"/>
        <w:pageBreakBefore w:val="0"/>
        <w:widowControl/>
        <w:kinsoku/>
        <w:wordWrap/>
        <w:overflowPunct/>
        <w:topLinePunct w:val="0"/>
        <w:autoSpaceDE/>
        <w:autoSpaceDN/>
        <w:bidi w:val="0"/>
        <w:adjustRightInd/>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106" w:name="_Toc296346611"/>
      <w:bookmarkEnd w:id="2106"/>
      <w:bookmarkStart w:id="2107" w:name="_Toc296503110"/>
      <w:bookmarkEnd w:id="2107"/>
      <w:bookmarkStart w:id="2108" w:name="_Toc351203587"/>
      <w:bookmarkEnd w:id="2108"/>
      <w:bookmarkStart w:id="2109" w:name="_Toc337558805"/>
      <w:bookmarkEnd w:id="2109"/>
      <w:bookmarkStart w:id="2110" w:name="_Toc25019"/>
      <w:bookmarkStart w:id="2111" w:name="_Toc10172"/>
      <w:bookmarkStart w:id="2112" w:name="_Toc14973"/>
      <w:bookmarkStart w:id="2113" w:name="_Toc31571"/>
      <w:bookmarkStart w:id="2114" w:name="_Toc26189"/>
      <w:bookmarkStart w:id="2115" w:name="_Toc21138"/>
      <w:bookmarkStart w:id="2116" w:name="_Toc26731"/>
      <w:bookmarkStart w:id="2117" w:name="_Toc9339"/>
      <w:bookmarkStart w:id="2118" w:name="_Toc7774"/>
      <w:bookmarkStart w:id="2119" w:name="_Toc17612"/>
      <w:bookmarkStart w:id="2120" w:name="_Toc2632"/>
      <w:bookmarkStart w:id="2121" w:name="_Toc31912"/>
      <w:bookmarkStart w:id="2122" w:name="_Toc20897"/>
      <w:r>
        <w:rPr>
          <w:rFonts w:hint="eastAsia" w:ascii="宋体" w:hAnsi="宋体" w:eastAsia="宋体" w:cs="宋体"/>
          <w:b w:val="0"/>
          <w:bCs w:val="0"/>
          <w:color w:val="auto"/>
          <w:sz w:val="24"/>
          <w:szCs w:val="24"/>
          <w:highlight w:val="none"/>
        </w:rPr>
        <w:t>13.1分部分项工程验收</w:t>
      </w:r>
      <w:bookmarkEnd w:id="2110"/>
      <w:bookmarkEnd w:id="2111"/>
      <w:bookmarkEnd w:id="2112"/>
      <w:bookmarkEnd w:id="2113"/>
      <w:bookmarkEnd w:id="2114"/>
      <w:bookmarkEnd w:id="2115"/>
      <w:bookmarkEnd w:id="2116"/>
      <w:bookmarkEnd w:id="2117"/>
      <w:bookmarkEnd w:id="2118"/>
      <w:bookmarkEnd w:id="2119"/>
      <w:bookmarkEnd w:id="2120"/>
      <w:bookmarkEnd w:id="2121"/>
      <w:bookmarkEnd w:id="2122"/>
    </w:p>
    <w:p w14:paraId="2B75969B">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13.1.1 分部分项工程质量应符合国家有关工程施工验收规范、标准及合同约定，承包人应按照施工组织设计的要求完成分部分项工程施工。</w:t>
      </w:r>
    </w:p>
    <w:p w14:paraId="785643A8">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 除专用合同条款另有约定外，分部分项工程经承包人自检合格并具备验收条件的，承包人应提前48小时通知监理人进行验收。</w:t>
      </w:r>
      <w:r>
        <w:rPr>
          <w:rFonts w:hint="eastAsia" w:ascii="宋体" w:hAnsi="宋体" w:eastAsia="宋体" w:cs="宋体"/>
          <w:color w:val="auto"/>
          <w:kern w:val="0"/>
          <w:sz w:val="24"/>
          <w:szCs w:val="24"/>
          <w:highlight w:val="none"/>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auto"/>
          <w:sz w:val="24"/>
          <w:szCs w:val="24"/>
          <w:highlight w:val="none"/>
        </w:rPr>
        <w:t>分部分项工程未经验收的，不得进入下一道工序施工。</w:t>
      </w:r>
    </w:p>
    <w:p w14:paraId="4CFF340B">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分部分项工程的验收资料应当作为竣工资料的组成部分。</w:t>
      </w:r>
    </w:p>
    <w:p w14:paraId="58EA254E">
      <w:pPr>
        <w:pStyle w:val="6"/>
        <w:pageBreakBefore w:val="0"/>
        <w:widowControl/>
        <w:kinsoku/>
        <w:wordWrap/>
        <w:overflowPunct/>
        <w:topLinePunct w:val="0"/>
        <w:autoSpaceDE/>
        <w:autoSpaceDN/>
        <w:bidi w:val="0"/>
        <w:adjustRightInd/>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123" w:name="_Toc351203588"/>
      <w:bookmarkEnd w:id="2123"/>
      <w:bookmarkStart w:id="2124" w:name="_Toc337558806"/>
      <w:bookmarkStart w:id="2125" w:name="_Toc22711"/>
      <w:bookmarkStart w:id="2126" w:name="_Toc11341"/>
      <w:bookmarkStart w:id="2127" w:name="_Toc15211"/>
      <w:bookmarkStart w:id="2128" w:name="_Toc742"/>
      <w:bookmarkStart w:id="2129" w:name="_Toc4077"/>
      <w:bookmarkStart w:id="2130" w:name="_Toc30963"/>
      <w:bookmarkStart w:id="2131" w:name="_Toc607"/>
      <w:bookmarkStart w:id="2132" w:name="_Toc23716"/>
      <w:bookmarkStart w:id="2133" w:name="_Toc22836"/>
      <w:bookmarkStart w:id="2134" w:name="_Toc17893"/>
      <w:bookmarkStart w:id="2135" w:name="_Toc25524"/>
      <w:bookmarkStart w:id="2136" w:name="_Toc26674"/>
      <w:bookmarkStart w:id="2137" w:name="_Toc200"/>
      <w:r>
        <w:rPr>
          <w:rFonts w:hint="eastAsia" w:ascii="宋体" w:hAnsi="宋体" w:eastAsia="宋体" w:cs="宋体"/>
          <w:b w:val="0"/>
          <w:bCs w:val="0"/>
          <w:color w:val="auto"/>
          <w:sz w:val="24"/>
          <w:szCs w:val="24"/>
          <w:highlight w:val="none"/>
        </w:rPr>
        <w:t>13.2竣工验收</w:t>
      </w:r>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p>
    <w:p w14:paraId="397471A2">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13.2.1竣工验收条件</w:t>
      </w:r>
    </w:p>
    <w:p w14:paraId="16BF5CA0">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工程具备以下条件的，承包人可以申请竣工验收：</w:t>
      </w:r>
    </w:p>
    <w:p w14:paraId="500706F2">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（1）除发包人同意的甩项工作和缺陷修补工作外，合同范围内的全部工程以及有关工作，包括合同要求的试验、试运行以及检验均已完成，并符合合同要求；</w:t>
      </w:r>
    </w:p>
    <w:p w14:paraId="0512F156">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（2）已按合同约定编制了甩项工作和缺陷修补工作清单以及相应的施工计划；</w:t>
      </w:r>
    </w:p>
    <w:p w14:paraId="4DA50A77">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（3）已按合同约定的内容和份数备齐竣工资料。</w:t>
      </w:r>
    </w:p>
    <w:p w14:paraId="33D6FDDA">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13.2.2竣工验收程序</w:t>
      </w:r>
    </w:p>
    <w:p w14:paraId="76969815">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除专用合同条款另有约定外，承包人申请竣工验收的，应当按照以下程序进行：</w:t>
      </w:r>
    </w:p>
    <w:p w14:paraId="5724B526">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247632F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73AF4BC5">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（3）竣工验收合格的，发包人应在验收合格后14天内向承包人签发工程接收证书。发包人无正当理由逾期不颁发工程接收证书的，自验收合格后第15天起视为已颁发工程接收证书。</w:t>
      </w:r>
    </w:p>
    <w:p w14:paraId="19AD7B6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34DACADC">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188D5555">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除专用合同条款另有约定外，发包人不按照本项约定组织竣工验收、颁发工程接收证书的，每逾期一天，应以签约合同价为基数，按照中国人民银行发布的同期同类贷款基准利率支付违约金。</w:t>
      </w:r>
    </w:p>
    <w:p w14:paraId="5EE338A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13.2.3竣工日期</w:t>
      </w:r>
    </w:p>
    <w:p w14:paraId="2276C9E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2138" w:name="#go14"/>
      <w:bookmarkEnd w:id="2138"/>
      <w:r>
        <w:rPr>
          <w:rFonts w:hint="eastAsia" w:ascii="宋体" w:hAnsi="宋体" w:eastAsia="宋体" w:cs="宋体"/>
          <w:color w:val="auto"/>
          <w:kern w:val="0"/>
          <w:sz w:val="24"/>
          <w:szCs w:val="24"/>
          <w:highlight w:val="none"/>
        </w:rPr>
        <w:t>收申请报告的日期为实际竣工日期；工程未经竣工验收，发包人擅自使用的，以转移占有工程之日为实际竣工日期。</w:t>
      </w:r>
    </w:p>
    <w:p w14:paraId="229EDB9C">
      <w:pPr>
        <w:spacing w:line="240" w:lineRule="auto"/>
        <w:ind w:firstLine="480" w:firstLineChars="200"/>
        <w:jc w:val="left"/>
        <w:outlineLvl w:val="0"/>
        <w:rPr>
          <w:rFonts w:hint="eastAsia" w:ascii="宋体" w:hAnsi="宋体" w:eastAsia="宋体" w:cs="宋体"/>
          <w:color w:val="auto"/>
          <w:kern w:val="0"/>
          <w:sz w:val="24"/>
          <w:szCs w:val="24"/>
          <w:highlight w:val="none"/>
        </w:rPr>
      </w:pPr>
      <w:bookmarkStart w:id="2139" w:name="_Toc17506"/>
      <w:bookmarkStart w:id="2140" w:name="_Toc16270"/>
      <w:bookmarkStart w:id="2141" w:name="_Toc995"/>
      <w:bookmarkStart w:id="2142" w:name="_Toc13951"/>
      <w:bookmarkStart w:id="2143" w:name="_Toc11994"/>
      <w:bookmarkStart w:id="2144" w:name="_Toc3865"/>
      <w:bookmarkStart w:id="2145" w:name="_Toc9506"/>
      <w:bookmarkStart w:id="2146" w:name="_Toc5167"/>
      <w:bookmarkStart w:id="2147" w:name="_Toc10680"/>
      <w:bookmarkStart w:id="2148" w:name="_Toc27341"/>
      <w:bookmarkStart w:id="2149" w:name="_Toc32446"/>
      <w:bookmarkStart w:id="2150" w:name="_Toc20882"/>
      <w:bookmarkStart w:id="2151" w:name="_Toc7665"/>
      <w:bookmarkStart w:id="2152" w:name="_Toc30557"/>
      <w:bookmarkStart w:id="2153" w:name="_Toc19516"/>
      <w:bookmarkStart w:id="2154" w:name="_Toc8431"/>
      <w:r>
        <w:rPr>
          <w:rFonts w:hint="eastAsia" w:ascii="宋体" w:hAnsi="宋体" w:eastAsia="宋体" w:cs="宋体"/>
          <w:color w:val="auto"/>
          <w:kern w:val="0"/>
          <w:sz w:val="24"/>
          <w:szCs w:val="24"/>
          <w:highlight w:val="none"/>
        </w:rPr>
        <w:t>13.2.4 拒绝接收全部或部分工程</w:t>
      </w:r>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p>
    <w:p w14:paraId="47CE26C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5D8E494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13.2.5 移交、接收全部与部分工程</w:t>
      </w:r>
    </w:p>
    <w:p w14:paraId="360133E0">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除专用合同条款另有约定外，合同当事人应当在颁发工程接收证书后7天内完成工程的移交。</w:t>
      </w:r>
    </w:p>
    <w:p w14:paraId="7D0904E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发包人无正当理由不接收工程的，发包人自应当接收工程之日起，承担工程照管、成品保护、保管等与工程有关的各项费用，合同当事人可以在专用合同条款中另行约定发包人逾期接收工程的违约责任。</w:t>
      </w:r>
    </w:p>
    <w:p w14:paraId="1BDAE48C">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承包人无正当理由不移交工程的，承包人应承担工程照管、成品保护、保管等与工程有关的各项费用，合同当事人可以在专用合同条款中另行约定承包人无正当理由不移交工程的违约责任。</w:t>
      </w:r>
    </w:p>
    <w:p w14:paraId="44B1E95D">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155" w:name="_Toc296346612"/>
      <w:bookmarkEnd w:id="2155"/>
      <w:bookmarkStart w:id="2156" w:name="_Toc351203589"/>
      <w:bookmarkEnd w:id="2156"/>
      <w:bookmarkStart w:id="2157" w:name="_Toc296503111"/>
      <w:bookmarkEnd w:id="2157"/>
      <w:bookmarkStart w:id="2158" w:name="_Toc8048"/>
      <w:bookmarkStart w:id="2159" w:name="_Toc27856"/>
      <w:bookmarkStart w:id="2160" w:name="_Toc8284"/>
      <w:bookmarkStart w:id="2161" w:name="_Toc31414"/>
      <w:bookmarkStart w:id="2162" w:name="_Toc4664"/>
      <w:bookmarkStart w:id="2163" w:name="_Toc31512"/>
      <w:bookmarkStart w:id="2164" w:name="_Toc21902"/>
      <w:bookmarkStart w:id="2165" w:name="_Toc16406"/>
      <w:bookmarkStart w:id="2166" w:name="_Toc28258"/>
      <w:bookmarkStart w:id="2167" w:name="_Toc30727"/>
      <w:bookmarkStart w:id="2168" w:name="_Toc15559"/>
      <w:bookmarkStart w:id="2169" w:name="_Toc8168"/>
      <w:bookmarkStart w:id="2170" w:name="_Toc25982"/>
      <w:bookmarkStart w:id="2171" w:name="_Toc337558807"/>
      <w:r>
        <w:rPr>
          <w:rFonts w:hint="eastAsia" w:ascii="宋体" w:hAnsi="宋体" w:eastAsia="宋体" w:cs="宋体"/>
          <w:b w:val="0"/>
          <w:bCs w:val="0"/>
          <w:color w:val="auto"/>
          <w:sz w:val="24"/>
          <w:szCs w:val="24"/>
          <w:highlight w:val="none"/>
        </w:rPr>
        <w:t>13.3工程试车</w:t>
      </w:r>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p>
    <w:p w14:paraId="3D653547">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13.3.1试车程序</w:t>
      </w:r>
    </w:p>
    <w:p w14:paraId="3F8E13B7">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工程需要试车的，除专用合同条款另有约定外，试车内容应与承包人承包范围相一致，试车费用由承包人承担。工程试车应按如下程序进行：</w:t>
      </w:r>
    </w:p>
    <w:p w14:paraId="5B765D4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39A8C55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3D7A0BCA">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3D2B68B6">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13.3.2 试车中的责任</w:t>
      </w:r>
    </w:p>
    <w:p w14:paraId="64AD33C1">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1A05E94A">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33C8F9D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13.3.3 投料试车</w:t>
      </w:r>
    </w:p>
    <w:p w14:paraId="56FFAFA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如需进行投料试车的，发包人应在工程竣工验收后组织投料试车。发包人要求在工程竣工验收前进行或需要承包人配合时，应征得承包人同意，并在专用合同条款中约定有关事项。</w:t>
      </w:r>
    </w:p>
    <w:p w14:paraId="35900B80">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3892D4E9">
      <w:pPr>
        <w:pStyle w:val="6"/>
        <w:pageBreakBefore w:val="0"/>
        <w:widowControl/>
        <w:kinsoku/>
        <w:wordWrap/>
        <w:overflowPunct/>
        <w:topLinePunct w:val="0"/>
        <w:autoSpaceDE/>
        <w:autoSpaceDN/>
        <w:bidi w:val="0"/>
        <w:adjustRightInd/>
        <w:snapToGrid/>
        <w:spacing w:before="0" w:after="0" w:line="240" w:lineRule="auto"/>
        <w:textAlignment w:val="auto"/>
        <w:outlineLvl w:val="2"/>
        <w:rPr>
          <w:rFonts w:hint="eastAsia" w:ascii="宋体" w:hAnsi="宋体" w:eastAsia="宋体" w:cs="宋体"/>
          <w:b w:val="0"/>
          <w:bCs w:val="0"/>
          <w:color w:val="auto"/>
          <w:sz w:val="24"/>
          <w:szCs w:val="24"/>
          <w:highlight w:val="none"/>
        </w:rPr>
      </w:pPr>
      <w:bookmarkStart w:id="2172" w:name="_Toc337558808"/>
      <w:bookmarkEnd w:id="2172"/>
      <w:r>
        <w:rPr>
          <w:rFonts w:hint="eastAsia" w:ascii="宋体" w:hAnsi="宋体" w:eastAsia="宋体" w:cs="宋体"/>
          <w:b w:val="0"/>
          <w:bCs w:val="0"/>
          <w:color w:val="auto"/>
          <w:sz w:val="24"/>
          <w:szCs w:val="24"/>
          <w:highlight w:val="none"/>
        </w:rPr>
        <w:t xml:space="preserve">    </w:t>
      </w:r>
      <w:bookmarkStart w:id="2173" w:name="_Toc26336"/>
      <w:bookmarkStart w:id="2174" w:name="_Toc1686"/>
      <w:bookmarkStart w:id="2175" w:name="_Toc351203590"/>
      <w:bookmarkStart w:id="2176" w:name="_Toc2702"/>
      <w:bookmarkStart w:id="2177" w:name="_Toc29297"/>
      <w:bookmarkStart w:id="2178" w:name="_Toc21988"/>
      <w:bookmarkStart w:id="2179" w:name="_Toc20444"/>
      <w:bookmarkStart w:id="2180" w:name="_Toc7938"/>
      <w:bookmarkStart w:id="2181" w:name="_Toc1689"/>
      <w:bookmarkStart w:id="2182" w:name="_Toc20950"/>
      <w:bookmarkStart w:id="2183" w:name="_Toc17134"/>
      <w:bookmarkStart w:id="2184" w:name="_Toc6179"/>
      <w:bookmarkStart w:id="2185" w:name="_Toc21695"/>
      <w:bookmarkStart w:id="2186" w:name="_Toc32084"/>
      <w:r>
        <w:rPr>
          <w:rFonts w:hint="eastAsia" w:ascii="宋体" w:hAnsi="宋体" w:eastAsia="宋体" w:cs="宋体"/>
          <w:b w:val="0"/>
          <w:bCs w:val="0"/>
          <w:color w:val="auto"/>
          <w:sz w:val="24"/>
          <w:szCs w:val="24"/>
          <w:highlight w:val="none"/>
        </w:rPr>
        <w:t>13.4提前交付单位工程的验收</w:t>
      </w:r>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p>
    <w:p w14:paraId="1194189B">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13.4.1 发包人需要在工程竣工前使用单位工程的，或承包人提出提前交付已经竣工的单位工程且经发包人同意的，可进行单位工程验收，验收的程序按照第13.2款〔竣工验收〕的约定进行。</w:t>
      </w:r>
    </w:p>
    <w:p w14:paraId="1A2564D0">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验收合格后，由监理人向承包人出具经发包人签认的单位工程接收证书。已签发单位工程接收证书的单位工程由发包人负责照管。单位工程的验收成果和结论作为整体工程竣工验收申请报告的附件。</w:t>
      </w:r>
    </w:p>
    <w:p w14:paraId="7EC3438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13.4.2 发包人要求在工程竣工前交付单位工程，由此导致承包人费用增加和（或）工期延误的，由发包人承担由此增加的费用和（或）延误的工期，并支付承包人合理的利润。</w:t>
      </w:r>
    </w:p>
    <w:p w14:paraId="3CA6B955">
      <w:pPr>
        <w:pStyle w:val="6"/>
        <w:pageBreakBefore w:val="0"/>
        <w:widowControl/>
        <w:kinsoku/>
        <w:wordWrap/>
        <w:overflowPunct/>
        <w:topLinePunct w:val="0"/>
        <w:autoSpaceDE/>
        <w:autoSpaceDN/>
        <w:bidi w:val="0"/>
        <w:adjustRightInd/>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187" w:name="_Toc351203591"/>
      <w:bookmarkEnd w:id="2187"/>
      <w:bookmarkStart w:id="2188" w:name="_Toc30164"/>
      <w:bookmarkStart w:id="2189" w:name="_Toc1558"/>
      <w:bookmarkStart w:id="2190" w:name="_Toc6652"/>
      <w:bookmarkStart w:id="2191" w:name="_Toc340"/>
      <w:bookmarkStart w:id="2192" w:name="_Toc2636"/>
      <w:bookmarkStart w:id="2193" w:name="_Toc13675"/>
      <w:bookmarkStart w:id="2194" w:name="_Toc17065"/>
      <w:bookmarkStart w:id="2195" w:name="_Toc19099"/>
      <w:bookmarkStart w:id="2196" w:name="_Toc12889"/>
      <w:bookmarkStart w:id="2197" w:name="_Toc2072"/>
      <w:bookmarkStart w:id="2198" w:name="_Toc30283"/>
      <w:bookmarkStart w:id="2199" w:name="_Toc27734"/>
      <w:bookmarkStart w:id="2200" w:name="_Toc29317"/>
      <w:r>
        <w:rPr>
          <w:rFonts w:hint="eastAsia" w:ascii="宋体" w:hAnsi="宋体" w:eastAsia="宋体" w:cs="宋体"/>
          <w:b w:val="0"/>
          <w:bCs w:val="0"/>
          <w:color w:val="auto"/>
          <w:sz w:val="24"/>
          <w:szCs w:val="24"/>
          <w:highlight w:val="none"/>
        </w:rPr>
        <w:t>13.5 施工期运行</w:t>
      </w:r>
      <w:bookmarkEnd w:id="2188"/>
      <w:bookmarkEnd w:id="2189"/>
      <w:bookmarkEnd w:id="2190"/>
      <w:bookmarkEnd w:id="2191"/>
      <w:bookmarkEnd w:id="2192"/>
      <w:bookmarkEnd w:id="2193"/>
      <w:bookmarkEnd w:id="2194"/>
      <w:bookmarkEnd w:id="2195"/>
      <w:bookmarkEnd w:id="2196"/>
      <w:bookmarkEnd w:id="2197"/>
      <w:bookmarkEnd w:id="2198"/>
      <w:bookmarkEnd w:id="2199"/>
      <w:bookmarkEnd w:id="2200"/>
    </w:p>
    <w:p w14:paraId="6D6B8EC4">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3794A1E0">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13.5.2 在施工期运行中发现工程或工程设备损坏或存在缺陷的，由承包人按第15.2款〔缺陷责任期〕约定进行修复。</w:t>
      </w:r>
    </w:p>
    <w:p w14:paraId="788ACDF2">
      <w:pPr>
        <w:pStyle w:val="6"/>
        <w:pageBreakBefore w:val="0"/>
        <w:widowControl/>
        <w:kinsoku/>
        <w:wordWrap/>
        <w:overflowPunct/>
        <w:topLinePunct w:val="0"/>
        <w:autoSpaceDE/>
        <w:autoSpaceDN/>
        <w:bidi w:val="0"/>
        <w:adjustRightInd/>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201" w:name="_Toc296503112"/>
      <w:bookmarkEnd w:id="2201"/>
      <w:bookmarkStart w:id="2202" w:name="_Toc296346613"/>
      <w:bookmarkEnd w:id="2202"/>
      <w:bookmarkStart w:id="2203" w:name="_Toc351203592"/>
      <w:bookmarkEnd w:id="2203"/>
      <w:bookmarkStart w:id="2204" w:name="_Toc337558809"/>
      <w:bookmarkStart w:id="2205" w:name="_Toc11485"/>
      <w:bookmarkStart w:id="2206" w:name="_Toc14055"/>
      <w:bookmarkStart w:id="2207" w:name="_Toc12693"/>
      <w:bookmarkStart w:id="2208" w:name="_Toc24617"/>
      <w:bookmarkStart w:id="2209" w:name="_Toc31790"/>
      <w:bookmarkStart w:id="2210" w:name="_Toc1252"/>
      <w:bookmarkStart w:id="2211" w:name="_Toc28898"/>
      <w:bookmarkStart w:id="2212" w:name="_Toc29598"/>
      <w:bookmarkStart w:id="2213" w:name="_Toc26664"/>
      <w:bookmarkStart w:id="2214" w:name="_Toc24500"/>
      <w:bookmarkStart w:id="2215" w:name="_Toc6165"/>
      <w:bookmarkStart w:id="2216" w:name="_Toc10336"/>
      <w:bookmarkStart w:id="2217" w:name="_Toc19996"/>
      <w:r>
        <w:rPr>
          <w:rFonts w:hint="eastAsia" w:ascii="宋体" w:hAnsi="宋体" w:eastAsia="宋体" w:cs="宋体"/>
          <w:b w:val="0"/>
          <w:bCs w:val="0"/>
          <w:color w:val="auto"/>
          <w:sz w:val="24"/>
          <w:szCs w:val="24"/>
          <w:highlight w:val="none"/>
        </w:rPr>
        <w:t>13.6 竣工退</w:t>
      </w:r>
      <w:bookmarkEnd w:id="2204"/>
      <w:r>
        <w:rPr>
          <w:rFonts w:hint="eastAsia" w:ascii="宋体" w:hAnsi="宋体" w:eastAsia="宋体" w:cs="宋体"/>
          <w:b w:val="0"/>
          <w:bCs w:val="0"/>
          <w:color w:val="auto"/>
          <w:sz w:val="24"/>
          <w:szCs w:val="24"/>
          <w:highlight w:val="none"/>
        </w:rPr>
        <w:t>场</w:t>
      </w:r>
      <w:bookmarkEnd w:id="2205"/>
      <w:bookmarkEnd w:id="2206"/>
      <w:bookmarkEnd w:id="2207"/>
      <w:bookmarkEnd w:id="2208"/>
      <w:bookmarkEnd w:id="2209"/>
      <w:bookmarkEnd w:id="2210"/>
      <w:bookmarkEnd w:id="2211"/>
      <w:bookmarkEnd w:id="2212"/>
      <w:bookmarkEnd w:id="2213"/>
      <w:bookmarkEnd w:id="2214"/>
      <w:bookmarkEnd w:id="2215"/>
      <w:bookmarkEnd w:id="2216"/>
      <w:bookmarkEnd w:id="2217"/>
    </w:p>
    <w:p w14:paraId="76A72715">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13.6.1 竣工退场</w:t>
      </w:r>
    </w:p>
    <w:p w14:paraId="65B5004D">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颁发工程接收证书后，承包人应按以下要求对施工现场进行清理：</w:t>
      </w:r>
    </w:p>
    <w:p w14:paraId="0EB49B24">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（1）施工现场内残留的垃圾已全部清除出场；</w:t>
      </w:r>
    </w:p>
    <w:p w14:paraId="6AA57C6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（2）临时工程已拆除，场地已进行清理、平整或复原；</w:t>
      </w:r>
    </w:p>
    <w:p w14:paraId="7519323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（3）按合同约定应撤离的人员、承包人施工设备和剩余的材料，包括废弃的施工设备和材料，已按计划撤离施工现场；</w:t>
      </w:r>
    </w:p>
    <w:p w14:paraId="652DCFB2">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（4）施工现场周边及其附近道路、河道的施工堆积物，已全部清理；</w:t>
      </w:r>
    </w:p>
    <w:p w14:paraId="6A3F7CA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（5）施工现场其他场地清理工作已全部完成。</w:t>
      </w:r>
    </w:p>
    <w:p w14:paraId="7F5FA945">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2691DEB8">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13.6.2 地表还原</w:t>
      </w:r>
    </w:p>
    <w:p w14:paraId="3A32FA03">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17A630B0">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2218" w:name="_Toc351203593"/>
      <w:bookmarkEnd w:id="2218"/>
      <w:bookmarkStart w:id="2219" w:name="_Toc296346614"/>
      <w:bookmarkEnd w:id="2219"/>
      <w:bookmarkStart w:id="2220" w:name="_Toc337558810"/>
      <w:bookmarkEnd w:id="2220"/>
      <w:bookmarkStart w:id="2221" w:name="_Toc21293"/>
      <w:bookmarkStart w:id="2222" w:name="_Toc5673"/>
      <w:bookmarkStart w:id="2223" w:name="_Toc14327"/>
      <w:bookmarkStart w:id="2224" w:name="_Toc1360"/>
      <w:bookmarkStart w:id="2225" w:name="_Toc23590"/>
      <w:bookmarkStart w:id="2226" w:name="_Toc7068"/>
      <w:bookmarkStart w:id="2227" w:name="_Toc4393"/>
      <w:bookmarkStart w:id="2228" w:name="_Toc13385"/>
      <w:bookmarkStart w:id="2229" w:name="_Toc12016"/>
      <w:bookmarkStart w:id="2230" w:name="_Toc690"/>
      <w:bookmarkStart w:id="2231" w:name="_Toc11874"/>
      <w:bookmarkStart w:id="2232" w:name="_Toc2336"/>
      <w:bookmarkStart w:id="2233" w:name="_Toc20265"/>
      <w:bookmarkStart w:id="2234" w:name="_Toc31214"/>
      <w:bookmarkStart w:id="2235" w:name="_Toc27169"/>
      <w:bookmarkStart w:id="2236" w:name="_Toc296503113"/>
      <w:r>
        <w:rPr>
          <w:rFonts w:hint="eastAsia" w:ascii="宋体" w:hAnsi="宋体" w:eastAsia="宋体" w:cs="宋体"/>
          <w:b w:val="0"/>
          <w:bCs w:val="0"/>
          <w:color w:val="auto"/>
          <w:sz w:val="24"/>
          <w:szCs w:val="24"/>
          <w:highlight w:val="none"/>
        </w:rPr>
        <w:t>14. 竣工结算</w:t>
      </w:r>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p>
    <w:p w14:paraId="12939B2B">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237" w:name="_Toc351203594"/>
      <w:bookmarkEnd w:id="2237"/>
      <w:bookmarkStart w:id="2238" w:name="_Toc26195"/>
      <w:bookmarkStart w:id="2239" w:name="_Toc30699"/>
      <w:bookmarkStart w:id="2240" w:name="_Toc19478"/>
      <w:bookmarkStart w:id="2241" w:name="_Toc7423"/>
      <w:bookmarkStart w:id="2242" w:name="_Toc337558811"/>
      <w:bookmarkStart w:id="2243" w:name="_Toc28555"/>
      <w:bookmarkStart w:id="2244" w:name="_Toc12659"/>
      <w:bookmarkStart w:id="2245" w:name="_Toc32235"/>
      <w:bookmarkStart w:id="2246" w:name="_Toc30270"/>
      <w:bookmarkStart w:id="2247" w:name="_Toc17097"/>
      <w:bookmarkStart w:id="2248" w:name="_Toc28517"/>
      <w:bookmarkStart w:id="2249" w:name="_Toc422"/>
      <w:bookmarkStart w:id="2250" w:name="_Toc2304"/>
      <w:bookmarkStart w:id="2251" w:name="_Toc22545"/>
      <w:r>
        <w:rPr>
          <w:rFonts w:hint="eastAsia" w:ascii="宋体" w:hAnsi="宋体" w:eastAsia="宋体" w:cs="宋体"/>
          <w:b w:val="0"/>
          <w:bCs w:val="0"/>
          <w:color w:val="auto"/>
          <w:sz w:val="24"/>
          <w:szCs w:val="24"/>
          <w:highlight w:val="none"/>
        </w:rPr>
        <w:t>14.1 竣工结算申请</w:t>
      </w:r>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p>
    <w:p w14:paraId="18D270F8">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除专用合同条款另有约定外，</w:t>
      </w:r>
      <w:r>
        <w:rPr>
          <w:rFonts w:hint="eastAsia" w:ascii="宋体" w:hAnsi="宋体" w:eastAsia="宋体" w:cs="宋体"/>
          <w:color w:val="auto"/>
          <w:sz w:val="24"/>
          <w:szCs w:val="24"/>
          <w:highlight w:val="none"/>
        </w:rPr>
        <w:t>承包人应在工程竣工验收合格后28天内向发包人和监理人提交竣工结算申请单，并提交完整的结算资料，有关竣工结算申请单的资料清单和份数等要求由合同当事人在专用合同条款中约定。</w:t>
      </w:r>
    </w:p>
    <w:p w14:paraId="4B78F4D4">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除专用合同条款另有约定外，竣工结算申请单应包括以下内容：</w:t>
      </w:r>
    </w:p>
    <w:p w14:paraId="26D7F53B">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（1）竣工结算合同价格；</w:t>
      </w:r>
    </w:p>
    <w:p w14:paraId="2785A139">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（2）发包人已支付承包人的款项；</w:t>
      </w:r>
    </w:p>
    <w:p w14:paraId="41988A65">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（3）应扣留的质量保证金。已缴纳履约保证金的或提供其他工程质量担保方式的除外； </w:t>
      </w:r>
    </w:p>
    <w:p w14:paraId="55DF7294">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（4）发包人应支付承包人的合同价款。</w:t>
      </w:r>
    </w:p>
    <w:p w14:paraId="1E2066AB">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252" w:name="_Toc351203595"/>
      <w:bookmarkEnd w:id="2252"/>
      <w:bookmarkStart w:id="2253" w:name="_Toc21537"/>
      <w:bookmarkStart w:id="2254" w:name="_Toc6535"/>
      <w:bookmarkStart w:id="2255" w:name="_Toc14616"/>
      <w:bookmarkStart w:id="2256" w:name="_Toc29032"/>
      <w:bookmarkStart w:id="2257" w:name="_Toc31211"/>
      <w:bookmarkStart w:id="2258" w:name="_Toc6995"/>
      <w:bookmarkStart w:id="2259" w:name="_Toc337558812"/>
      <w:bookmarkStart w:id="2260" w:name="_Toc32356"/>
      <w:bookmarkStart w:id="2261" w:name="_Toc3418"/>
      <w:bookmarkStart w:id="2262" w:name="_Toc7013"/>
      <w:bookmarkStart w:id="2263" w:name="_Toc28388"/>
      <w:bookmarkStart w:id="2264" w:name="_Toc27862"/>
      <w:bookmarkStart w:id="2265" w:name="_Toc27782"/>
      <w:bookmarkStart w:id="2266" w:name="_Toc20689"/>
      <w:r>
        <w:rPr>
          <w:rFonts w:hint="eastAsia" w:ascii="宋体" w:hAnsi="宋体" w:eastAsia="宋体" w:cs="宋体"/>
          <w:b w:val="0"/>
          <w:bCs w:val="0"/>
          <w:color w:val="auto"/>
          <w:sz w:val="24"/>
          <w:szCs w:val="24"/>
          <w:highlight w:val="none"/>
        </w:rPr>
        <w:t>14.2 竣工结算审核</w:t>
      </w:r>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p>
    <w:p w14:paraId="23BFB302">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auto"/>
          <w:sz w:val="24"/>
          <w:szCs w:val="24"/>
          <w:highlight w:val="none"/>
        </w:rPr>
        <w:t>发包人对竣工</w:t>
      </w:r>
      <w:r>
        <w:rPr>
          <w:rFonts w:hint="eastAsia" w:ascii="宋体" w:hAnsi="宋体" w:eastAsia="宋体" w:cs="宋体"/>
          <w:color w:val="auto"/>
          <w:kern w:val="0"/>
          <w:sz w:val="24"/>
          <w:szCs w:val="24"/>
          <w:highlight w:val="none"/>
        </w:rPr>
        <w:t>结算</w:t>
      </w:r>
      <w:r>
        <w:rPr>
          <w:rFonts w:hint="eastAsia" w:ascii="宋体" w:hAnsi="宋体" w:eastAsia="宋体" w:cs="宋体"/>
          <w:color w:val="auto"/>
          <w:sz w:val="24"/>
          <w:szCs w:val="24"/>
          <w:highlight w:val="none"/>
        </w:rPr>
        <w:t>申请单有异议的，有权要求承包人进行修正和提供补充资料，承包人应提交修正后的竣工</w:t>
      </w:r>
      <w:r>
        <w:rPr>
          <w:rFonts w:hint="eastAsia" w:ascii="宋体" w:hAnsi="宋体" w:eastAsia="宋体" w:cs="宋体"/>
          <w:color w:val="auto"/>
          <w:kern w:val="0"/>
          <w:sz w:val="24"/>
          <w:szCs w:val="24"/>
          <w:highlight w:val="none"/>
        </w:rPr>
        <w:t>结算</w:t>
      </w:r>
      <w:r>
        <w:rPr>
          <w:rFonts w:hint="eastAsia" w:ascii="宋体" w:hAnsi="宋体" w:eastAsia="宋体" w:cs="宋体"/>
          <w:color w:val="auto"/>
          <w:sz w:val="24"/>
          <w:szCs w:val="24"/>
          <w:highlight w:val="none"/>
        </w:rPr>
        <w:t>申请单。</w:t>
      </w:r>
    </w:p>
    <w:p w14:paraId="1C938FA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5669F67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41271264">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6F1203F7">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267" w:name="_Toc351203596"/>
      <w:bookmarkEnd w:id="2267"/>
      <w:bookmarkStart w:id="2268" w:name="_Toc30670"/>
      <w:bookmarkStart w:id="2269" w:name="_Toc1582"/>
      <w:bookmarkStart w:id="2270" w:name="_Toc22453"/>
      <w:bookmarkStart w:id="2271" w:name="_Toc13910"/>
      <w:bookmarkStart w:id="2272" w:name="_Toc4941"/>
      <w:bookmarkStart w:id="2273" w:name="_Toc30087"/>
      <w:bookmarkStart w:id="2274" w:name="_Toc26998"/>
      <w:bookmarkStart w:id="2275" w:name="_Toc9144"/>
      <w:bookmarkStart w:id="2276" w:name="_Toc25788"/>
      <w:bookmarkStart w:id="2277" w:name="_Toc337558813"/>
      <w:bookmarkStart w:id="2278" w:name="_Toc26112"/>
      <w:bookmarkStart w:id="2279" w:name="_Toc18116"/>
      <w:bookmarkStart w:id="2280" w:name="_Toc8780"/>
      <w:bookmarkStart w:id="2281" w:name="_Toc4249"/>
      <w:r>
        <w:rPr>
          <w:rFonts w:hint="eastAsia" w:ascii="宋体" w:hAnsi="宋体" w:eastAsia="宋体" w:cs="宋体"/>
          <w:b w:val="0"/>
          <w:bCs w:val="0"/>
          <w:color w:val="auto"/>
          <w:sz w:val="24"/>
          <w:szCs w:val="24"/>
          <w:highlight w:val="none"/>
        </w:rPr>
        <w:t>14.3 甩项竣工协议</w:t>
      </w:r>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p>
    <w:p w14:paraId="47B60676">
      <w:pPr>
        <w:pageBreakBefore w:val="0"/>
        <w:widowControl/>
        <w:kinsoku/>
        <w:wordWrap/>
        <w:overflowPunct/>
        <w:topLinePunct w:val="0"/>
        <w:autoSpaceDE w:val="0"/>
        <w:autoSpaceDN w:val="0"/>
        <w:bidi w:val="0"/>
        <w:adjustRightInd w:val="0"/>
        <w:snapToGrid/>
        <w:spacing w:line="240" w:lineRule="auto"/>
        <w:ind w:firstLine="470" w:firstLineChars="196"/>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发包人要求甩项竣工的，合同当事人应签订甩项竣工协议。在甩项竣工协议中应明确，合同当事人按照第14.1款〔竣工结算申请〕及14.2款〔竣工结算审核〕的约定，对已完合格工程进行结算，并支付相应合同价款。</w:t>
      </w:r>
    </w:p>
    <w:p w14:paraId="1C65EEE0">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282" w:name="_Toc351203597"/>
      <w:bookmarkEnd w:id="2282"/>
      <w:bookmarkStart w:id="2283" w:name="_Toc23521"/>
      <w:bookmarkStart w:id="2284" w:name="_Toc13631"/>
      <w:bookmarkStart w:id="2285" w:name="_Toc32331"/>
      <w:bookmarkStart w:id="2286" w:name="_Toc12001"/>
      <w:bookmarkStart w:id="2287" w:name="_Toc3549"/>
      <w:bookmarkStart w:id="2288" w:name="_Toc2340"/>
      <w:bookmarkStart w:id="2289" w:name="_Toc20092"/>
      <w:bookmarkStart w:id="2290" w:name="_Toc18696"/>
      <w:bookmarkStart w:id="2291" w:name="_Toc337558814"/>
      <w:bookmarkStart w:id="2292" w:name="_Toc21485"/>
      <w:bookmarkStart w:id="2293" w:name="_Toc5022"/>
      <w:bookmarkStart w:id="2294" w:name="_Toc1604"/>
      <w:bookmarkStart w:id="2295" w:name="_Toc11164"/>
      <w:r>
        <w:rPr>
          <w:rFonts w:hint="eastAsia" w:ascii="宋体" w:hAnsi="宋体" w:eastAsia="宋体" w:cs="宋体"/>
          <w:b w:val="0"/>
          <w:bCs w:val="0"/>
          <w:color w:val="auto"/>
          <w:sz w:val="24"/>
          <w:szCs w:val="24"/>
          <w:highlight w:val="none"/>
        </w:rPr>
        <w:t>14.4 最终结清</w:t>
      </w:r>
      <w:bookmarkEnd w:id="2283"/>
      <w:bookmarkEnd w:id="2284"/>
      <w:bookmarkEnd w:id="2285"/>
      <w:bookmarkEnd w:id="2286"/>
      <w:bookmarkEnd w:id="2287"/>
      <w:bookmarkEnd w:id="2288"/>
      <w:bookmarkEnd w:id="2289"/>
      <w:bookmarkEnd w:id="2290"/>
      <w:bookmarkEnd w:id="2291"/>
      <w:bookmarkEnd w:id="2292"/>
      <w:bookmarkEnd w:id="2293"/>
      <w:bookmarkEnd w:id="2294"/>
      <w:bookmarkEnd w:id="2295"/>
    </w:p>
    <w:p w14:paraId="2D305B49">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14.4.1 最终结清申请单</w:t>
      </w:r>
    </w:p>
    <w:p w14:paraId="5C27899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（1）除专用合同条款另有约定外，承包人应在缺陷责任期终止证书颁发后7天内，按专用合同条款约定的份数向发包人提交最终结清申请单，并提供相关证明材料。</w:t>
      </w:r>
    </w:p>
    <w:p w14:paraId="38261E34">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w:t>
      </w:r>
      <w:r>
        <w:rPr>
          <w:rFonts w:hint="eastAsia" w:ascii="宋体" w:hAnsi="宋体" w:eastAsia="宋体" w:cs="宋体"/>
          <w:color w:val="auto"/>
          <w:kern w:val="0"/>
          <w:sz w:val="24"/>
          <w:szCs w:val="24"/>
          <w:highlight w:val="none"/>
        </w:rPr>
        <w:t>最终结清申请单</w:t>
      </w:r>
      <w:r>
        <w:rPr>
          <w:rFonts w:hint="eastAsia" w:ascii="宋体" w:hAnsi="宋体" w:eastAsia="宋体" w:cs="宋体"/>
          <w:color w:val="auto"/>
          <w:sz w:val="24"/>
          <w:szCs w:val="24"/>
          <w:highlight w:val="none"/>
        </w:rPr>
        <w:t>应列明质量保证金、应扣除的质量保证金、缺陷责任期内发生的增减费用。</w:t>
      </w:r>
    </w:p>
    <w:p w14:paraId="041C586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（2）发包人对最终结清申请单内容有异议的，有权要求承包人进行修正和提供补充资料，承包人应向发包人提交修正后的最终结清申请单。</w:t>
      </w:r>
    </w:p>
    <w:p w14:paraId="473C442C">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14.4.2 最终结清证书和支付</w:t>
      </w:r>
    </w:p>
    <w:p w14:paraId="031EC669">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783563C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733CFA01">
      <w:pPr>
        <w:pageBreakBefore w:val="0"/>
        <w:widowControl/>
        <w:kinsoku/>
        <w:wordWrap/>
        <w:overflowPunct/>
        <w:topLinePunct w:val="0"/>
        <w:autoSpaceDE w:val="0"/>
        <w:autoSpaceDN w:val="0"/>
        <w:bidi w:val="0"/>
        <w:adjustRightInd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（3）承包人对发包人颁发的最终结清证书有异议的，按第20条〔争议解决〕的约定办理。</w:t>
      </w:r>
    </w:p>
    <w:p w14:paraId="223000FA">
      <w:pPr>
        <w:pStyle w:val="5"/>
        <w:pageBreakBefore w:val="0"/>
        <w:widowControl/>
        <w:kinsoku/>
        <w:wordWrap/>
        <w:overflowPunct/>
        <w:topLinePunct w:val="0"/>
        <w:bidi w:val="0"/>
        <w:snapToGrid w:val="0"/>
        <w:spacing w:before="0" w:after="0" w:line="240" w:lineRule="auto"/>
        <w:textAlignment w:val="auto"/>
        <w:outlineLvl w:val="1"/>
        <w:rPr>
          <w:rFonts w:hint="eastAsia" w:ascii="宋体" w:hAnsi="宋体" w:eastAsia="宋体" w:cs="宋体"/>
          <w:b w:val="0"/>
          <w:bCs w:val="0"/>
          <w:color w:val="auto"/>
          <w:sz w:val="24"/>
          <w:szCs w:val="24"/>
          <w:highlight w:val="none"/>
        </w:rPr>
      </w:pPr>
      <w:bookmarkStart w:id="2296" w:name="_Toc351203598"/>
      <w:bookmarkEnd w:id="2296"/>
      <w:bookmarkStart w:id="2297" w:name="_Toc21683"/>
      <w:bookmarkStart w:id="2298" w:name="_Toc337558815"/>
      <w:bookmarkStart w:id="2299" w:name="_Toc22206"/>
      <w:bookmarkStart w:id="2300" w:name="_Toc27714"/>
      <w:bookmarkStart w:id="2301" w:name="_Toc19669"/>
      <w:bookmarkStart w:id="2302" w:name="_Toc110"/>
      <w:bookmarkStart w:id="2303" w:name="_Toc12333"/>
      <w:bookmarkStart w:id="2304" w:name="_Toc1921"/>
      <w:bookmarkStart w:id="2305" w:name="_Toc32715"/>
      <w:bookmarkStart w:id="2306" w:name="_Toc12601"/>
      <w:bookmarkStart w:id="2307" w:name="_Toc8404"/>
      <w:bookmarkStart w:id="2308" w:name="_Toc3033"/>
      <w:bookmarkStart w:id="2309" w:name="_Toc2678"/>
      <w:bookmarkStart w:id="2310" w:name="_Toc32391"/>
      <w:bookmarkStart w:id="2311" w:name="_Toc4369"/>
      <w:bookmarkStart w:id="2312" w:name="_Toc257"/>
      <w:r>
        <w:rPr>
          <w:rFonts w:hint="eastAsia" w:ascii="宋体" w:hAnsi="宋体" w:eastAsia="宋体" w:cs="宋体"/>
          <w:b w:val="0"/>
          <w:bCs w:val="0"/>
          <w:color w:val="auto"/>
          <w:sz w:val="24"/>
          <w:szCs w:val="24"/>
          <w:highlight w:val="none"/>
        </w:rPr>
        <w:t>15. 缺陷责任与保修</w:t>
      </w:r>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p>
    <w:p w14:paraId="709015DF">
      <w:pPr>
        <w:pStyle w:val="6"/>
        <w:pageBreakBefore w:val="0"/>
        <w:widowControl/>
        <w:kinsoku/>
        <w:wordWrap/>
        <w:overflowPunct/>
        <w:topLinePunct w:val="0"/>
        <w:bidi w:val="0"/>
        <w:snapToGrid w:val="0"/>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313" w:name="_Toc351203599"/>
      <w:bookmarkEnd w:id="2313"/>
      <w:bookmarkStart w:id="2314" w:name="_Toc337558816"/>
      <w:bookmarkEnd w:id="2314"/>
      <w:bookmarkStart w:id="2315" w:name="_Toc296346615"/>
      <w:bookmarkEnd w:id="2315"/>
      <w:bookmarkStart w:id="2316" w:name="_Toc23273"/>
      <w:bookmarkStart w:id="2317" w:name="_Toc9455"/>
      <w:bookmarkStart w:id="2318" w:name="_Toc28414"/>
      <w:bookmarkStart w:id="2319" w:name="_Toc3080"/>
      <w:bookmarkStart w:id="2320" w:name="_Toc21856"/>
      <w:bookmarkStart w:id="2321" w:name="_Toc8281"/>
      <w:bookmarkStart w:id="2322" w:name="_Toc30980"/>
      <w:bookmarkStart w:id="2323" w:name="_Toc24842"/>
      <w:bookmarkStart w:id="2324" w:name="_Toc296503114"/>
      <w:bookmarkStart w:id="2325" w:name="_Toc3116"/>
      <w:bookmarkStart w:id="2326" w:name="_Toc28777"/>
      <w:bookmarkStart w:id="2327" w:name="_Toc22447"/>
      <w:bookmarkStart w:id="2328" w:name="_Toc20680"/>
      <w:bookmarkStart w:id="2329" w:name="_Toc2602"/>
      <w:r>
        <w:rPr>
          <w:rFonts w:hint="eastAsia" w:ascii="宋体" w:hAnsi="宋体" w:eastAsia="宋体" w:cs="宋体"/>
          <w:b w:val="0"/>
          <w:bCs w:val="0"/>
          <w:color w:val="auto"/>
          <w:sz w:val="24"/>
          <w:szCs w:val="24"/>
          <w:highlight w:val="none"/>
        </w:rPr>
        <w:t>15.1 工程保修的原则</w:t>
      </w:r>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p>
    <w:p w14:paraId="0BF139AD">
      <w:pPr>
        <w:pageBreakBefore w:val="0"/>
        <w:widowControl/>
        <w:kinsoku/>
        <w:wordWrap/>
        <w:overflowPunct/>
        <w:topLinePunct w:val="0"/>
        <w:autoSpaceDE w:val="0"/>
        <w:autoSpaceDN w:val="0"/>
        <w:bidi w:val="0"/>
        <w:adjustRightInd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在工程移交发包人后，因承包人原因产生的质量缺陷，承包人应承担质量缺陷责任和保修义务。缺陷责任期届满，承包人仍应按合同约定的工程各部位保修年限承担保修义务。</w:t>
      </w:r>
    </w:p>
    <w:p w14:paraId="74612D22">
      <w:pPr>
        <w:pStyle w:val="6"/>
        <w:pageBreakBefore w:val="0"/>
        <w:widowControl/>
        <w:kinsoku/>
        <w:wordWrap/>
        <w:overflowPunct/>
        <w:topLinePunct w:val="0"/>
        <w:bidi w:val="0"/>
        <w:snapToGrid w:val="0"/>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330" w:name="_Toc351203600"/>
      <w:bookmarkEnd w:id="2330"/>
      <w:bookmarkStart w:id="2331" w:name="_Toc16446"/>
      <w:bookmarkStart w:id="2332" w:name="_Toc17031"/>
      <w:bookmarkStart w:id="2333" w:name="_Toc9294"/>
      <w:bookmarkStart w:id="2334" w:name="_Toc1960"/>
      <w:bookmarkStart w:id="2335" w:name="_Toc20448"/>
      <w:bookmarkStart w:id="2336" w:name="_Toc15142"/>
      <w:bookmarkStart w:id="2337" w:name="_Toc21753"/>
      <w:bookmarkStart w:id="2338" w:name="_Toc4302"/>
      <w:bookmarkStart w:id="2339" w:name="_Toc5776"/>
      <w:bookmarkStart w:id="2340" w:name="_Toc13476"/>
      <w:bookmarkStart w:id="2341" w:name="_Toc27406"/>
      <w:bookmarkStart w:id="2342" w:name="_Toc337558817"/>
      <w:bookmarkStart w:id="2343" w:name="_Toc28801"/>
      <w:bookmarkStart w:id="2344" w:name="_Toc8417"/>
      <w:r>
        <w:rPr>
          <w:rFonts w:hint="eastAsia" w:ascii="宋体" w:hAnsi="宋体" w:eastAsia="宋体" w:cs="宋体"/>
          <w:b w:val="0"/>
          <w:bCs w:val="0"/>
          <w:color w:val="auto"/>
          <w:sz w:val="24"/>
          <w:szCs w:val="24"/>
          <w:highlight w:val="none"/>
        </w:rPr>
        <w:t>15.2 缺陷责任期</w:t>
      </w:r>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p>
    <w:p w14:paraId="6B976293">
      <w:pPr>
        <w:pageBreakBefore w:val="0"/>
        <w:widowControl/>
        <w:kinsoku/>
        <w:wordWrap/>
        <w:overflowPunct/>
        <w:topLinePunct w:val="0"/>
        <w:autoSpaceDE w:val="0"/>
        <w:autoSpaceDN w:val="0"/>
        <w:bidi w:val="0"/>
        <w:adjustRightInd w:val="0"/>
        <w:snapToGri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 缺陷责任期从工程通过竣工验收之日起计算，合同当事人应在专用合同条款约定缺陷责任期的具体期限，但该期限最长不超过24个月。</w:t>
      </w:r>
    </w:p>
    <w:p w14:paraId="2C3928AE">
      <w:pPr>
        <w:pageBreakBefore w:val="0"/>
        <w:widowControl/>
        <w:kinsoku/>
        <w:wordWrap/>
        <w:overflowPunct/>
        <w:topLinePunct w:val="0"/>
        <w:autoSpaceDE w:val="0"/>
        <w:autoSpaceDN w:val="0"/>
        <w:bidi w:val="0"/>
        <w:adjustRightInd w:val="0"/>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6DC64439">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color w:val="auto"/>
          <w:sz w:val="24"/>
          <w:szCs w:val="24"/>
          <w:highlight w:val="none"/>
        </w:rPr>
        <w:t>包人延长缺陷责任期，</w:t>
      </w:r>
      <w:r>
        <w:rPr>
          <w:rFonts w:hint="eastAsia" w:ascii="宋体" w:hAnsi="宋体" w:eastAsia="宋体" w:cs="宋体"/>
          <w:color w:val="auto"/>
          <w:kern w:val="0"/>
          <w:sz w:val="24"/>
          <w:szCs w:val="24"/>
          <w:highlight w:val="none"/>
        </w:rPr>
        <w:t>并应在原缺陷责任期届满前发出延长通知。</w:t>
      </w:r>
      <w:r>
        <w:rPr>
          <w:rFonts w:hint="eastAsia" w:ascii="宋体" w:hAnsi="宋体" w:eastAsia="宋体" w:cs="宋体"/>
          <w:color w:val="auto"/>
          <w:sz w:val="24"/>
          <w:szCs w:val="24"/>
          <w:highlight w:val="none"/>
        </w:rPr>
        <w:t>但缺陷责任期（含延长部分）最长</w:t>
      </w:r>
      <w:r>
        <w:rPr>
          <w:rFonts w:hint="eastAsia" w:ascii="宋体" w:hAnsi="宋体" w:eastAsia="宋体" w:cs="宋体"/>
          <w:color w:val="auto"/>
          <w:kern w:val="0"/>
          <w:sz w:val="24"/>
          <w:szCs w:val="24"/>
          <w:highlight w:val="none"/>
        </w:rPr>
        <w:t>不能超过24个月。</w:t>
      </w:r>
    </w:p>
    <w:p w14:paraId="35352AC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由他人原因造成的缺陷，发包人负责组织维修，承包人不承担费用，且发包人不得从保证金中扣除费用。</w:t>
      </w:r>
    </w:p>
    <w:p w14:paraId="6D0BB51B">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15.2.3 任何一项缺陷或损坏修复后，经检查证明其影响了工程或工程设备的使用性能，承包人应重新进行合同约定的试验和试运行，试验和试运行的全部费用应由责任方承担。</w:t>
      </w:r>
    </w:p>
    <w:p w14:paraId="6EE3CEFA">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750AFBF5">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345" w:name="_Toc351203601"/>
      <w:bookmarkEnd w:id="2345"/>
      <w:bookmarkStart w:id="2346" w:name="_Toc337558818"/>
      <w:bookmarkEnd w:id="2346"/>
      <w:bookmarkStart w:id="2347" w:name="_Toc296503115"/>
      <w:bookmarkEnd w:id="2347"/>
      <w:bookmarkStart w:id="2348" w:name="_Toc18114"/>
      <w:bookmarkStart w:id="2349" w:name="_Toc17115"/>
      <w:bookmarkStart w:id="2350" w:name="_Toc19285"/>
      <w:bookmarkStart w:id="2351" w:name="_Toc25070"/>
      <w:bookmarkStart w:id="2352" w:name="_Toc32660"/>
      <w:bookmarkStart w:id="2353" w:name="_Toc13349"/>
      <w:bookmarkStart w:id="2354" w:name="_Toc9065"/>
      <w:bookmarkStart w:id="2355" w:name="_Toc15552"/>
      <w:bookmarkStart w:id="2356" w:name="_Toc7309"/>
      <w:bookmarkStart w:id="2357" w:name="_Toc5158"/>
      <w:bookmarkStart w:id="2358" w:name="_Toc20461"/>
      <w:bookmarkStart w:id="2359" w:name="_Toc296346616"/>
      <w:bookmarkStart w:id="2360" w:name="_Toc26608"/>
      <w:bookmarkStart w:id="2361" w:name="_Toc30860"/>
      <w:r>
        <w:rPr>
          <w:rFonts w:hint="eastAsia" w:ascii="宋体" w:hAnsi="宋体" w:eastAsia="宋体" w:cs="宋体"/>
          <w:b w:val="0"/>
          <w:bCs w:val="0"/>
          <w:color w:val="auto"/>
          <w:sz w:val="24"/>
          <w:szCs w:val="24"/>
          <w:highlight w:val="none"/>
        </w:rPr>
        <w:t>15.3 质量保证金</w:t>
      </w:r>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p>
    <w:p w14:paraId="3CF71B3E">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经合同当事人协商一致扣留质量保证金的，应在专用合同条款中予以明确。</w:t>
      </w:r>
    </w:p>
    <w:p w14:paraId="6E97B942">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在工程项目竣工前，承包人已经提供履约担保的，发包人不得同时预留工程质量保证金。</w:t>
      </w:r>
    </w:p>
    <w:p w14:paraId="2EB4A4FA">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15.3.1 承包人提供质量保证金的方式</w:t>
      </w:r>
    </w:p>
    <w:p w14:paraId="74FD54A7">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承包人提供质量保证金有以下三种方式：</w:t>
      </w:r>
    </w:p>
    <w:p w14:paraId="1CCB2B41">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（1）质量保证金保函； </w:t>
      </w:r>
    </w:p>
    <w:p w14:paraId="5109288C">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（2）相应比例的工程款；</w:t>
      </w:r>
    </w:p>
    <w:p w14:paraId="06BA3B5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（3）双方约定的其他方式。</w:t>
      </w:r>
    </w:p>
    <w:p w14:paraId="4312B7A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除专用合同条款另有约定外，质量保证金原则上采用上述第（1）种方式。</w:t>
      </w:r>
    </w:p>
    <w:p w14:paraId="4C2B7D90">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15.3.2 质量保证金的扣留</w:t>
      </w:r>
    </w:p>
    <w:p w14:paraId="10D0ADC3">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质量保证金的扣留有以下三种方式：</w:t>
      </w:r>
    </w:p>
    <w:p w14:paraId="2CB7852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（1）在支付工程进度款时逐次扣留，在此情形下，质量保证金的计算基数不包括预付款的支付、扣回以及价格调整的金额；</w:t>
      </w:r>
    </w:p>
    <w:p w14:paraId="7C412F60">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（2）工</w:t>
      </w:r>
      <w:bookmarkStart w:id="2362" w:name="#go6"/>
      <w:bookmarkEnd w:id="2362"/>
      <w:r>
        <w:rPr>
          <w:rFonts w:hint="eastAsia" w:ascii="宋体" w:hAnsi="宋体" w:eastAsia="宋体" w:cs="宋体"/>
          <w:color w:val="auto"/>
          <w:kern w:val="0"/>
          <w:sz w:val="24"/>
          <w:szCs w:val="24"/>
          <w:highlight w:val="none"/>
        </w:rPr>
        <w:t>程竣工结算时一次性扣留质量保证金；</w:t>
      </w:r>
    </w:p>
    <w:p w14:paraId="020FFCA9">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（3）双方约定的其他扣留方式。</w:t>
      </w:r>
    </w:p>
    <w:p w14:paraId="4CA0839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除专用合同条款另有约定外，质量保证金的扣留原则上采用上述第（1）种方式。</w:t>
      </w:r>
    </w:p>
    <w:p w14:paraId="6741DF8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w:t>
      </w:r>
      <w:bookmarkStart w:id="2363" w:name="#go4"/>
      <w:bookmarkEnd w:id="2363"/>
      <w:r>
        <w:rPr>
          <w:rFonts w:hint="eastAsia" w:ascii="宋体" w:hAnsi="宋体" w:eastAsia="宋体" w:cs="宋体"/>
          <w:color w:val="auto"/>
          <w:kern w:val="0"/>
          <w:sz w:val="24"/>
          <w:szCs w:val="24"/>
          <w:highlight w:val="none"/>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14:paraId="691015B0">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发包人在退还质量保证金的同时按照中国人民银行发布的同期同类贷款基准利率支付利息。</w:t>
      </w:r>
    </w:p>
    <w:p w14:paraId="65D3B630">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15.3.3 </w:t>
      </w:r>
      <w:r>
        <w:rPr>
          <w:rFonts w:hint="eastAsia" w:ascii="宋体" w:hAnsi="宋体" w:eastAsia="宋体" w:cs="宋体"/>
          <w:color w:val="auto"/>
          <w:sz w:val="24"/>
          <w:szCs w:val="24"/>
          <w:highlight w:val="none"/>
        </w:rPr>
        <w:t>质量保证金</w:t>
      </w:r>
      <w:r>
        <w:rPr>
          <w:rFonts w:hint="eastAsia" w:ascii="宋体" w:hAnsi="宋体" w:eastAsia="宋体" w:cs="宋体"/>
          <w:color w:val="auto"/>
          <w:kern w:val="0"/>
          <w:sz w:val="24"/>
          <w:szCs w:val="24"/>
          <w:highlight w:val="none"/>
        </w:rPr>
        <w:t>的退还</w:t>
      </w:r>
    </w:p>
    <w:p w14:paraId="7E813E19">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缺陷责任期内，承包人认真履行合同约定的责任，到期后，承包人可向发包人申请返还保证金。</w:t>
      </w:r>
    </w:p>
    <w:p w14:paraId="68B6DF90">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3EE2E3AC">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发包人和承包人对保证金预留、返还以及工程维修质量、费用有争议的，按本合同第20条约定的争议和纠纷解决程序处理。</w:t>
      </w:r>
    </w:p>
    <w:p w14:paraId="064E795A">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364" w:name="_Toc351203602"/>
      <w:bookmarkEnd w:id="2364"/>
      <w:bookmarkStart w:id="2365" w:name="_Toc2398"/>
      <w:bookmarkStart w:id="2366" w:name="_Toc17717"/>
      <w:bookmarkStart w:id="2367" w:name="_Toc30872"/>
      <w:bookmarkStart w:id="2368" w:name="_Toc1407"/>
      <w:bookmarkStart w:id="2369" w:name="_Toc21449"/>
      <w:bookmarkStart w:id="2370" w:name="_Toc29411"/>
      <w:bookmarkStart w:id="2371" w:name="_Toc12390"/>
      <w:bookmarkStart w:id="2372" w:name="_Toc18573"/>
      <w:bookmarkStart w:id="2373" w:name="_Toc18339"/>
      <w:bookmarkStart w:id="2374" w:name="_Toc21199"/>
      <w:bookmarkStart w:id="2375" w:name="_Toc337558819"/>
      <w:bookmarkStart w:id="2376" w:name="_Toc31887"/>
      <w:bookmarkStart w:id="2377" w:name="_Toc15692"/>
      <w:bookmarkStart w:id="2378" w:name="_Toc13080"/>
      <w:r>
        <w:rPr>
          <w:rFonts w:hint="eastAsia" w:ascii="宋体" w:hAnsi="宋体" w:eastAsia="宋体" w:cs="宋体"/>
          <w:b w:val="0"/>
          <w:bCs w:val="0"/>
          <w:color w:val="auto"/>
          <w:sz w:val="24"/>
          <w:szCs w:val="24"/>
          <w:highlight w:val="none"/>
        </w:rPr>
        <w:t>15.4 保修</w:t>
      </w:r>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p>
    <w:p w14:paraId="4717EFF7">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15.4.1保修责任</w:t>
      </w:r>
    </w:p>
    <w:p w14:paraId="39D0EEBE">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0BBB0CF5">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发包人未经竣工验收擅自使用工程的，保修期自</w:t>
      </w:r>
      <w:r>
        <w:rPr>
          <w:rFonts w:hint="eastAsia" w:ascii="宋体" w:hAnsi="宋体" w:eastAsia="宋体" w:cs="宋体"/>
          <w:color w:val="auto"/>
          <w:kern w:val="0"/>
          <w:sz w:val="24"/>
          <w:szCs w:val="24"/>
          <w:highlight w:val="none"/>
        </w:rPr>
        <w:t>转移占有之日起算</w:t>
      </w:r>
      <w:r>
        <w:rPr>
          <w:rFonts w:hint="eastAsia" w:ascii="宋体" w:hAnsi="宋体" w:eastAsia="宋体" w:cs="宋体"/>
          <w:color w:val="auto"/>
          <w:sz w:val="24"/>
          <w:szCs w:val="24"/>
          <w:highlight w:val="none"/>
        </w:rPr>
        <w:t>。</w:t>
      </w:r>
    </w:p>
    <w:p w14:paraId="46DD434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15.4.2 修复费用</w:t>
      </w:r>
    </w:p>
    <w:p w14:paraId="762334F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保修期内，修复的费用按照以下约定处理：</w:t>
      </w:r>
    </w:p>
    <w:p w14:paraId="43F80E8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（1）保修期内，因承包人原因造成工程的缺陷、损坏，承包人应负责修复，并承担修复的费用以及因工程的缺陷、损坏造成的人身伤害和财产损失；</w:t>
      </w:r>
    </w:p>
    <w:p w14:paraId="42CF1EE3">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（2）保修期内，因发包人使用不当造成工程的缺陷、损坏，可以委托承包人修复，但发包人应承担修复的费用，并支付承包人合理利润；</w:t>
      </w:r>
    </w:p>
    <w:p w14:paraId="11C7C43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（3）因其他原因造成工程的缺陷、损坏，可以委托承包人修复，发包人应承担修复的费用，并支付承包人合理的利润，因工程的缺陷、损坏造成的人身伤害和财产损失由责任方承担。</w:t>
      </w:r>
    </w:p>
    <w:p w14:paraId="7A3FD32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15.4.3 修复通知</w:t>
      </w:r>
    </w:p>
    <w:p w14:paraId="4194B6DF">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2EB4B7E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15.4.4 未能修复</w:t>
      </w:r>
    </w:p>
    <w:p w14:paraId="18CCC6E5">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6064C7EB">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15.4.5 承包人出入权</w:t>
      </w:r>
    </w:p>
    <w:p w14:paraId="4237EEB4">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23B29C59">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2379" w:name="_Toc351203603"/>
      <w:bookmarkEnd w:id="2379"/>
      <w:bookmarkStart w:id="2380" w:name="_Toc16961"/>
      <w:bookmarkStart w:id="2381" w:name="_Toc7990"/>
      <w:bookmarkStart w:id="2382" w:name="_Toc16988"/>
      <w:bookmarkStart w:id="2383" w:name="_Toc32625"/>
      <w:bookmarkStart w:id="2384" w:name="_Toc24330"/>
      <w:bookmarkStart w:id="2385" w:name="_Toc32484"/>
      <w:bookmarkStart w:id="2386" w:name="_Toc1973"/>
      <w:bookmarkStart w:id="2387" w:name="_Toc26367"/>
      <w:bookmarkStart w:id="2388" w:name="_Toc19353"/>
      <w:bookmarkStart w:id="2389" w:name="_Toc2645"/>
      <w:bookmarkStart w:id="2390" w:name="_Toc19276"/>
      <w:bookmarkStart w:id="2391" w:name="_Toc10698"/>
      <w:bookmarkStart w:id="2392" w:name="_Toc337558820"/>
      <w:bookmarkStart w:id="2393" w:name="_Toc5843"/>
      <w:bookmarkStart w:id="2394" w:name="_Toc323"/>
      <w:bookmarkStart w:id="2395" w:name="_Toc26400"/>
      <w:r>
        <w:rPr>
          <w:rFonts w:hint="eastAsia" w:ascii="宋体" w:hAnsi="宋体" w:eastAsia="宋体" w:cs="宋体"/>
          <w:b w:val="0"/>
          <w:bCs w:val="0"/>
          <w:color w:val="auto"/>
          <w:sz w:val="24"/>
          <w:szCs w:val="24"/>
          <w:highlight w:val="none"/>
        </w:rPr>
        <w:t>16. 违约</w:t>
      </w:r>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p>
    <w:p w14:paraId="25D84C0A">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396" w:name="_Toc296503129"/>
      <w:bookmarkEnd w:id="2396"/>
      <w:bookmarkStart w:id="2397" w:name="_Toc296346630"/>
      <w:bookmarkEnd w:id="2397"/>
      <w:bookmarkStart w:id="2398" w:name="_Toc351203604"/>
      <w:bookmarkEnd w:id="2398"/>
      <w:bookmarkStart w:id="2399" w:name="_Toc337558821"/>
      <w:bookmarkStart w:id="2400" w:name="_Toc15339"/>
      <w:bookmarkStart w:id="2401" w:name="_Toc6432"/>
      <w:bookmarkStart w:id="2402" w:name="_Toc17483"/>
      <w:bookmarkStart w:id="2403" w:name="_Toc539"/>
      <w:bookmarkStart w:id="2404" w:name="_Toc17902"/>
      <w:bookmarkStart w:id="2405" w:name="_Toc24265"/>
      <w:bookmarkStart w:id="2406" w:name="_Toc24380"/>
      <w:bookmarkStart w:id="2407" w:name="_Toc3749"/>
      <w:bookmarkStart w:id="2408" w:name="_Toc5245"/>
      <w:bookmarkStart w:id="2409" w:name="_Toc19991"/>
      <w:bookmarkStart w:id="2410" w:name="_Toc288"/>
      <w:bookmarkStart w:id="2411" w:name="_Toc24592"/>
      <w:bookmarkStart w:id="2412" w:name="_Toc26678"/>
      <w:r>
        <w:rPr>
          <w:rFonts w:hint="eastAsia" w:ascii="宋体" w:hAnsi="宋体" w:eastAsia="宋体" w:cs="宋体"/>
          <w:b w:val="0"/>
          <w:bCs w:val="0"/>
          <w:color w:val="auto"/>
          <w:sz w:val="24"/>
          <w:szCs w:val="24"/>
          <w:highlight w:val="none"/>
        </w:rPr>
        <w:t>16.1 发</w:t>
      </w:r>
      <w:bookmarkEnd w:id="2399"/>
      <w:r>
        <w:rPr>
          <w:rFonts w:hint="eastAsia" w:ascii="宋体" w:hAnsi="宋体" w:eastAsia="宋体" w:cs="宋体"/>
          <w:b w:val="0"/>
          <w:bCs w:val="0"/>
          <w:color w:val="auto"/>
          <w:sz w:val="24"/>
          <w:szCs w:val="24"/>
          <w:highlight w:val="none"/>
        </w:rPr>
        <w:t>包人违约</w:t>
      </w:r>
      <w:bookmarkEnd w:id="2400"/>
      <w:bookmarkEnd w:id="2401"/>
      <w:bookmarkEnd w:id="2402"/>
      <w:bookmarkEnd w:id="2403"/>
      <w:bookmarkEnd w:id="2404"/>
      <w:bookmarkEnd w:id="2405"/>
      <w:bookmarkEnd w:id="2406"/>
      <w:bookmarkEnd w:id="2407"/>
      <w:bookmarkEnd w:id="2408"/>
      <w:bookmarkEnd w:id="2409"/>
      <w:bookmarkEnd w:id="2410"/>
      <w:bookmarkEnd w:id="2411"/>
      <w:bookmarkEnd w:id="2412"/>
    </w:p>
    <w:p w14:paraId="7F509048">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16.1.1 发包人违约的情形</w:t>
      </w:r>
    </w:p>
    <w:p w14:paraId="34C49B1F">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在合同履行过程中发生的下列情形，属于发包人违约：</w:t>
      </w:r>
    </w:p>
    <w:p w14:paraId="0D817B7F">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（1）因发包人原因未能在计划开工日期前7天内下达开工通知的；</w:t>
      </w:r>
    </w:p>
    <w:p w14:paraId="494FB996">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（2）因发包人原因未能按合同约定支付合同价款的；</w:t>
      </w:r>
    </w:p>
    <w:p w14:paraId="333BA56E">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（3）发包人违反第10.1款〔变更的范围〕第（2）项约定，自行实施被取消的工作或转由他人实施的；</w:t>
      </w:r>
    </w:p>
    <w:p w14:paraId="0914C71D">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（4）发包人提供的材料、工程设备的规格、数量或质量不符合合同约定，或因发包人原因导致交货日期延误或交货地点变更等情况的；</w:t>
      </w:r>
    </w:p>
    <w:p w14:paraId="5172438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（5）因发包人违反合同约定造成暂停施工的；</w:t>
      </w:r>
    </w:p>
    <w:p w14:paraId="6710A63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（6）发包人无正当理由没有在约定期限内发出复工指示，导致承包人无法复工的；</w:t>
      </w:r>
    </w:p>
    <w:p w14:paraId="120CD00E">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（7）发包人明确表示或者以其行为表明不履行合同主要义务的；</w:t>
      </w:r>
    </w:p>
    <w:p w14:paraId="76ECA3CE">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（8）发包人未能按照合同约定履行其他义务的。</w:t>
      </w:r>
    </w:p>
    <w:p w14:paraId="3265DC03">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15FF509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16.1.2 发包人违约的责任</w:t>
      </w:r>
    </w:p>
    <w:p w14:paraId="02B0337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发包人应承担因其违约给承包人增加的费用和（或）延误的工期，并支付承包人合理的利润。此外，合同当事人可在专用合同条款中另行约定发包人违约责任的承担方式和计算方法。</w:t>
      </w:r>
    </w:p>
    <w:p w14:paraId="3F1FC1E3">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16.1.3 因发包人违约解除合同</w:t>
      </w:r>
    </w:p>
    <w:p w14:paraId="14EDBE34">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7D4A843A">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16.1.4 因发包人违约解除合同后的付款</w:t>
      </w:r>
    </w:p>
    <w:p w14:paraId="06684E2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承包人按照本款约定解除合同的，发包人应在解除合同后28天内支付下列款项，并解除履约担保：</w:t>
      </w:r>
    </w:p>
    <w:p w14:paraId="17A47BBB">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（1）合同解除前所完成工作的价款；</w:t>
      </w:r>
    </w:p>
    <w:p w14:paraId="75A67E07">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（2）承包人为工程施工订购并已付款的材料、工程设备和其他物品的价款；</w:t>
      </w:r>
    </w:p>
    <w:p w14:paraId="00E4CCE5">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（3）承包人撤离施工现场以及遣散承包人人员的款项；</w:t>
      </w:r>
    </w:p>
    <w:p w14:paraId="754E2AC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（4）按照合同约定在合同解除前应支付的违约金；</w:t>
      </w:r>
    </w:p>
    <w:p w14:paraId="67144B80">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（5）按照合同约定应当支付给承包人的其他款项；</w:t>
      </w:r>
    </w:p>
    <w:p w14:paraId="66ACD16C">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（6）按照合同约定应退还的质量保证金；</w:t>
      </w:r>
    </w:p>
    <w:p w14:paraId="76B75B5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（7）因解除合同给承包人造成的损失。</w:t>
      </w:r>
    </w:p>
    <w:p w14:paraId="7D2C93B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合同当事人未能就解除合同后的结清达成一致的，按照第20条〔争议解决〕的约定处理。</w:t>
      </w:r>
    </w:p>
    <w:p w14:paraId="4BB7BD7D">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承包人应妥善做好已完工程和与工程有关的已购材料、工程设备的保护和移交工作，并将施工设备和人员撤出施工现场，发包人应为承包人撤出提供必要条件。</w:t>
      </w:r>
    </w:p>
    <w:p w14:paraId="25DCFC6E">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413" w:name="_Toc296503131"/>
      <w:bookmarkEnd w:id="2413"/>
      <w:bookmarkStart w:id="2414" w:name="_Toc296346632"/>
      <w:bookmarkEnd w:id="2414"/>
      <w:bookmarkStart w:id="2415" w:name="_Toc351203605"/>
      <w:bookmarkEnd w:id="2415"/>
      <w:bookmarkStart w:id="2416" w:name="_Toc1333"/>
      <w:bookmarkStart w:id="2417" w:name="_Toc5556"/>
      <w:bookmarkStart w:id="2418" w:name="_Toc337558822"/>
      <w:bookmarkStart w:id="2419" w:name="_Toc32285"/>
      <w:bookmarkStart w:id="2420" w:name="_Toc1971"/>
      <w:bookmarkStart w:id="2421" w:name="_Toc26129"/>
      <w:bookmarkStart w:id="2422" w:name="_Toc21386"/>
      <w:bookmarkStart w:id="2423" w:name="_Toc12755"/>
      <w:bookmarkStart w:id="2424" w:name="_Toc22119"/>
      <w:bookmarkStart w:id="2425" w:name="_Toc22800"/>
      <w:bookmarkStart w:id="2426" w:name="_Toc7370"/>
      <w:bookmarkStart w:id="2427" w:name="_Toc22680"/>
      <w:bookmarkStart w:id="2428" w:name="_Toc31733"/>
      <w:bookmarkStart w:id="2429" w:name="_Toc28183"/>
      <w:r>
        <w:rPr>
          <w:rFonts w:hint="eastAsia" w:ascii="宋体" w:hAnsi="宋体" w:eastAsia="宋体" w:cs="宋体"/>
          <w:b w:val="0"/>
          <w:bCs w:val="0"/>
          <w:color w:val="auto"/>
          <w:sz w:val="24"/>
          <w:szCs w:val="24"/>
          <w:highlight w:val="none"/>
        </w:rPr>
        <w:t>16.2 承包人违约</w:t>
      </w:r>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p>
    <w:p w14:paraId="4ABA9C2E">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16.2.1 承包人违约的情形</w:t>
      </w:r>
    </w:p>
    <w:p w14:paraId="31C54822">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在合同履行过程中发生的下列情形，属于承包人违约：</w:t>
      </w:r>
    </w:p>
    <w:p w14:paraId="4530D712">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（1）承包人违反合同约定进行转包或违法分包的；</w:t>
      </w:r>
    </w:p>
    <w:p w14:paraId="2D9A59B6">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（2）承包人违反合同约定采购和使用不合格的材料和工程设备的；</w:t>
      </w:r>
    </w:p>
    <w:p w14:paraId="043F9331">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（3）因承包人原因导致工程质量不符合合同要求的； </w:t>
      </w:r>
    </w:p>
    <w:p w14:paraId="07093FA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（4）承包人违反第8.9款〔材料与设备专用要求〕的约定，未经批准，私自将已按照合同约定进入施工现场的材料或设备撤离施工现场的；</w:t>
      </w:r>
    </w:p>
    <w:p w14:paraId="6E854C2C">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（5）承包人未能按施工进度计划及时完成合同约定的工作，造成工期延误的；</w:t>
      </w:r>
    </w:p>
    <w:p w14:paraId="37AD03DC">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（6）承包人在缺陷责任期及保修期内，未能在合理期限对工程缺陷进行修复，或拒绝按发包人要求进行修复的；</w:t>
      </w:r>
    </w:p>
    <w:p w14:paraId="30DC48A4">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（7）承包人明确表示或者以其行为表明不履行合同主要义务的；</w:t>
      </w:r>
    </w:p>
    <w:p w14:paraId="24D0762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（8）承包人未能按照合同约定履行其他义务的。</w:t>
      </w:r>
    </w:p>
    <w:p w14:paraId="073939C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承包人发生除本项第（7）目约定以外的其他违约情况时，监理人可向承包人发出整改通知，要求其在指定的期限内改正。</w:t>
      </w:r>
    </w:p>
    <w:p w14:paraId="4FD9244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16.2.2 承包人违约的责任</w:t>
      </w:r>
    </w:p>
    <w:p w14:paraId="14266DA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承包人应承担因其违约行为而增加的费用和（或）延误的工期。此外，合同当事人可在专用合同条款中另行约定承包人违约责任的承担方式和计算方法。</w:t>
      </w:r>
    </w:p>
    <w:p w14:paraId="5688DE7B">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16.2.3 因承包人违约解除合同</w:t>
      </w:r>
    </w:p>
    <w:p w14:paraId="01379C4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575800B1">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16.2.4因承包人违约解除合同后的处理</w:t>
      </w:r>
    </w:p>
    <w:p w14:paraId="17EA7875">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因承包人原因导致合同解除的，则合同当事人应在合同解除后28天内完成估价、付款和清算，并按以下约定执行：</w:t>
      </w:r>
    </w:p>
    <w:p w14:paraId="296C61C4">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（1）合同解除后，按第4.4款〔商定或确定〕商定或确定承包人实际完成工作对应的合同价款，以及承包人已提供的材料、工程设备、施工设备和临时工程等的价值；</w:t>
      </w:r>
    </w:p>
    <w:p w14:paraId="71646ED4">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（2）合同解除后，承包人应支付的违约金；</w:t>
      </w:r>
    </w:p>
    <w:p w14:paraId="65E0A3C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（3）合同解除后，因解除合同给发包人造成的损失；</w:t>
      </w:r>
    </w:p>
    <w:p w14:paraId="544616D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（4）合同解除后，承包人应按照发包人要求和监理人的指示完成现场的清理和撤离；</w:t>
      </w:r>
    </w:p>
    <w:p w14:paraId="01D4BF6C">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（5）发包人和承包人应在合同解除后进行清算，出具最终结清付款证书，结清全部款项。</w:t>
      </w:r>
    </w:p>
    <w:p w14:paraId="4D0E6DF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因承包人违约解除合同的，发包人有权暂停对承包人的付款，查清各项付款和已扣款项。发包人和承包人未能就合同解除后的清算和款项支付达成一致的，按照第20条〔争议解决〕的约定处理。</w:t>
      </w:r>
    </w:p>
    <w:p w14:paraId="446AC85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16.2.5采购合同权益转让</w:t>
      </w:r>
    </w:p>
    <w:p w14:paraId="6337D84B">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4B6A7A8D">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430" w:name="_Toc351203606"/>
      <w:bookmarkEnd w:id="2430"/>
      <w:bookmarkStart w:id="2431" w:name="_Toc1702"/>
      <w:bookmarkStart w:id="2432" w:name="_Toc16765"/>
      <w:bookmarkStart w:id="2433" w:name="_Toc12664"/>
      <w:bookmarkStart w:id="2434" w:name="_Toc6394"/>
      <w:bookmarkStart w:id="2435" w:name="_Toc30751"/>
      <w:bookmarkStart w:id="2436" w:name="_Toc26578"/>
      <w:bookmarkStart w:id="2437" w:name="_Toc13954"/>
      <w:bookmarkStart w:id="2438" w:name="_Toc14845"/>
      <w:bookmarkStart w:id="2439" w:name="_Toc20065"/>
      <w:bookmarkStart w:id="2440" w:name="_Toc4952"/>
      <w:bookmarkStart w:id="2441" w:name="_Toc21739"/>
      <w:bookmarkStart w:id="2442" w:name="_Toc25613"/>
      <w:bookmarkStart w:id="2443" w:name="_Toc9229"/>
      <w:r>
        <w:rPr>
          <w:rFonts w:hint="eastAsia" w:ascii="宋体" w:hAnsi="宋体" w:eastAsia="宋体" w:cs="宋体"/>
          <w:b w:val="0"/>
          <w:bCs w:val="0"/>
          <w:color w:val="auto"/>
          <w:sz w:val="24"/>
          <w:szCs w:val="24"/>
          <w:highlight w:val="none"/>
        </w:rPr>
        <w:t>16.3 第三人造成的违约</w:t>
      </w:r>
      <w:bookmarkEnd w:id="2431"/>
      <w:bookmarkEnd w:id="2432"/>
      <w:bookmarkEnd w:id="2433"/>
      <w:bookmarkEnd w:id="2434"/>
      <w:bookmarkEnd w:id="2435"/>
      <w:bookmarkEnd w:id="2436"/>
      <w:bookmarkEnd w:id="2437"/>
      <w:bookmarkEnd w:id="2438"/>
      <w:bookmarkEnd w:id="2439"/>
      <w:bookmarkEnd w:id="2440"/>
      <w:bookmarkEnd w:id="2441"/>
      <w:bookmarkEnd w:id="2442"/>
      <w:bookmarkEnd w:id="2443"/>
    </w:p>
    <w:p w14:paraId="36F28F15">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在履行合同过程中，一方当事人因第三人的原因造成违约的，应当向对方当事人承担违约责任。一方当事人和第三人之间的纠纷，依照法律规定或者按照约定解决。</w:t>
      </w:r>
    </w:p>
    <w:p w14:paraId="377E3460">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2444" w:name="_Toc296346617"/>
      <w:bookmarkEnd w:id="2444"/>
      <w:bookmarkStart w:id="2445" w:name="_Toc296503116"/>
      <w:bookmarkEnd w:id="2445"/>
      <w:bookmarkStart w:id="2446" w:name="_Toc351203607"/>
      <w:bookmarkEnd w:id="2446"/>
      <w:bookmarkStart w:id="2447" w:name="_Toc19950"/>
      <w:bookmarkStart w:id="2448" w:name="_Toc6308"/>
      <w:bookmarkStart w:id="2449" w:name="_Toc19208"/>
      <w:bookmarkStart w:id="2450" w:name="_Toc18140"/>
      <w:bookmarkStart w:id="2451" w:name="_Toc32463"/>
      <w:bookmarkStart w:id="2452" w:name="_Toc337558823"/>
      <w:bookmarkStart w:id="2453" w:name="_Toc368"/>
      <w:bookmarkStart w:id="2454" w:name="_Toc20317"/>
      <w:bookmarkStart w:id="2455" w:name="_Toc5981"/>
      <w:bookmarkStart w:id="2456" w:name="_Toc14901"/>
      <w:bookmarkStart w:id="2457" w:name="_Toc3876"/>
      <w:bookmarkStart w:id="2458" w:name="_Toc23915"/>
      <w:bookmarkStart w:id="2459" w:name="_Toc20872"/>
      <w:bookmarkStart w:id="2460" w:name="_Toc5455"/>
      <w:bookmarkStart w:id="2461" w:name="_Toc20895"/>
      <w:bookmarkStart w:id="2462" w:name="_Toc15491"/>
      <w:r>
        <w:rPr>
          <w:rFonts w:hint="eastAsia" w:ascii="宋体" w:hAnsi="宋体" w:eastAsia="宋体" w:cs="宋体"/>
          <w:b w:val="0"/>
          <w:bCs w:val="0"/>
          <w:color w:val="auto"/>
          <w:sz w:val="24"/>
          <w:szCs w:val="24"/>
          <w:highlight w:val="none"/>
        </w:rPr>
        <w:t>17. 不可抗力</w:t>
      </w:r>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r>
        <w:rPr>
          <w:rFonts w:hint="eastAsia" w:ascii="宋体" w:hAnsi="宋体" w:eastAsia="宋体" w:cs="宋体"/>
          <w:b w:val="0"/>
          <w:bCs w:val="0"/>
          <w:color w:val="auto"/>
          <w:sz w:val="24"/>
          <w:szCs w:val="24"/>
          <w:highlight w:val="none"/>
        </w:rPr>
        <w:t xml:space="preserve"> </w:t>
      </w:r>
    </w:p>
    <w:p w14:paraId="343D4F79">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463" w:name="_Toc296503117"/>
      <w:bookmarkEnd w:id="2463"/>
      <w:bookmarkStart w:id="2464" w:name="_Toc296346618"/>
      <w:bookmarkEnd w:id="2464"/>
      <w:bookmarkStart w:id="2465" w:name="_Toc351203608"/>
      <w:bookmarkEnd w:id="2465"/>
      <w:bookmarkStart w:id="2466" w:name="_Toc11296"/>
      <w:bookmarkStart w:id="2467" w:name="_Toc4880"/>
      <w:bookmarkStart w:id="2468" w:name="_Toc8007"/>
      <w:bookmarkStart w:id="2469" w:name="_Toc23582"/>
      <w:bookmarkStart w:id="2470" w:name="_Toc21627"/>
      <w:bookmarkStart w:id="2471" w:name="_Toc5125"/>
      <w:bookmarkStart w:id="2472" w:name="_Toc28965"/>
      <w:bookmarkStart w:id="2473" w:name="_Toc23303"/>
      <w:bookmarkStart w:id="2474" w:name="_Toc16822"/>
      <w:bookmarkStart w:id="2475" w:name="_Toc17876"/>
      <w:bookmarkStart w:id="2476" w:name="_Toc24239"/>
      <w:bookmarkStart w:id="2477" w:name="_Toc337558824"/>
      <w:bookmarkStart w:id="2478" w:name="_Toc26762"/>
      <w:bookmarkStart w:id="2479" w:name="_Toc22218"/>
      <w:r>
        <w:rPr>
          <w:rFonts w:hint="eastAsia" w:ascii="宋体" w:hAnsi="宋体" w:eastAsia="宋体" w:cs="宋体"/>
          <w:b w:val="0"/>
          <w:bCs w:val="0"/>
          <w:color w:val="auto"/>
          <w:sz w:val="24"/>
          <w:szCs w:val="24"/>
          <w:highlight w:val="none"/>
        </w:rPr>
        <w:t>17.1 不可抗力的确认</w:t>
      </w:r>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p>
    <w:p w14:paraId="6B85C1A4">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不可抗力是指合同当事人在签订合同时不可预见，在合同履行过程中不可避免且不能克服的自然灾害和社会性突发事件，如地震、海啸、瘟疫、骚乱、戒严、暴动、战争和专用合同条款中约定的其他情形。</w:t>
      </w:r>
    </w:p>
    <w:p w14:paraId="7E70EC77">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62E47F9A">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480" w:name="_Toc296503118"/>
      <w:bookmarkEnd w:id="2480"/>
      <w:bookmarkStart w:id="2481" w:name="_Toc351203609"/>
      <w:bookmarkEnd w:id="2481"/>
      <w:bookmarkStart w:id="2482" w:name="_Toc296346619"/>
      <w:bookmarkEnd w:id="2482"/>
      <w:bookmarkStart w:id="2483" w:name="_Toc20082"/>
      <w:bookmarkStart w:id="2484" w:name="_Toc21758"/>
      <w:bookmarkStart w:id="2485" w:name="_Toc11105"/>
      <w:bookmarkStart w:id="2486" w:name="_Toc337558825"/>
      <w:bookmarkStart w:id="2487" w:name="_Toc14982"/>
      <w:bookmarkStart w:id="2488" w:name="_Toc31205"/>
      <w:bookmarkStart w:id="2489" w:name="_Toc10613"/>
      <w:bookmarkStart w:id="2490" w:name="_Toc32664"/>
      <w:bookmarkStart w:id="2491" w:name="_Toc5290"/>
      <w:bookmarkStart w:id="2492" w:name="_Toc18675"/>
      <w:bookmarkStart w:id="2493" w:name="_Toc10452"/>
      <w:bookmarkStart w:id="2494" w:name="_Toc17730"/>
      <w:bookmarkStart w:id="2495" w:name="_Toc8499"/>
      <w:r>
        <w:rPr>
          <w:rFonts w:hint="eastAsia" w:ascii="宋体" w:hAnsi="宋体" w:eastAsia="宋体" w:cs="宋体"/>
          <w:b w:val="0"/>
          <w:bCs w:val="0"/>
          <w:color w:val="auto"/>
          <w:sz w:val="24"/>
          <w:szCs w:val="24"/>
          <w:highlight w:val="none"/>
        </w:rPr>
        <w:t>17.2 不可抗力的通知</w:t>
      </w:r>
      <w:bookmarkEnd w:id="2483"/>
      <w:bookmarkEnd w:id="2484"/>
      <w:bookmarkEnd w:id="2485"/>
      <w:bookmarkEnd w:id="2486"/>
      <w:bookmarkEnd w:id="2487"/>
      <w:bookmarkEnd w:id="2488"/>
      <w:bookmarkEnd w:id="2489"/>
      <w:bookmarkEnd w:id="2490"/>
      <w:bookmarkEnd w:id="2491"/>
      <w:bookmarkEnd w:id="2492"/>
      <w:bookmarkEnd w:id="2493"/>
      <w:bookmarkEnd w:id="2494"/>
      <w:bookmarkEnd w:id="2495"/>
    </w:p>
    <w:p w14:paraId="1B007DE6">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合同一方当事人遇到不可抗力事件，使其履行合同义务受到阻碍时，应立即通知合同另一方当事人和监理人，书面说明不可抗力和受阻碍的详细情况，并提供必要的证明。</w:t>
      </w:r>
    </w:p>
    <w:p w14:paraId="6CD9FB98">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不可抗力持续发生的，合同一方当事人应及时向合同另一方当事人和监理人提交中间报告，说明不可抗力和履行合同受阻的情况，并于不可抗力事件结束后28天内提交最终报告及有关资料。</w:t>
      </w:r>
    </w:p>
    <w:p w14:paraId="6B6D2E21">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496" w:name="_Toc296346620"/>
      <w:bookmarkEnd w:id="2496"/>
      <w:bookmarkStart w:id="2497" w:name="_Toc296503119"/>
      <w:bookmarkEnd w:id="2497"/>
      <w:bookmarkStart w:id="2498" w:name="_Toc351203610"/>
      <w:bookmarkEnd w:id="2498"/>
      <w:bookmarkStart w:id="2499" w:name="_Toc7724"/>
      <w:bookmarkStart w:id="2500" w:name="_Toc23007"/>
      <w:bookmarkStart w:id="2501" w:name="_Toc9750"/>
      <w:bookmarkStart w:id="2502" w:name="_Toc8162"/>
      <w:bookmarkStart w:id="2503" w:name="_Toc337558826"/>
      <w:bookmarkStart w:id="2504" w:name="_Toc6168"/>
      <w:bookmarkStart w:id="2505" w:name="_Toc7053"/>
      <w:bookmarkStart w:id="2506" w:name="_Toc28349"/>
      <w:bookmarkStart w:id="2507" w:name="_Toc27711"/>
      <w:bookmarkStart w:id="2508" w:name="_Toc18952"/>
      <w:bookmarkStart w:id="2509" w:name="_Toc5719"/>
      <w:bookmarkStart w:id="2510" w:name="_Toc26231"/>
      <w:bookmarkStart w:id="2511" w:name="_Toc6724"/>
      <w:bookmarkStart w:id="2512" w:name="_Toc16976"/>
      <w:r>
        <w:rPr>
          <w:rFonts w:hint="eastAsia" w:ascii="宋体" w:hAnsi="宋体" w:eastAsia="宋体" w:cs="宋体"/>
          <w:b w:val="0"/>
          <w:bCs w:val="0"/>
          <w:color w:val="auto"/>
          <w:sz w:val="24"/>
          <w:szCs w:val="24"/>
          <w:highlight w:val="none"/>
        </w:rPr>
        <w:t>17.3 不可抗力后果的承担</w:t>
      </w:r>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p>
    <w:p w14:paraId="1608FA1C">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17.3.1 不可抗力引起的后果及造成的损失由合同当事人按照法律规定及合同约定各自承担。不可抗力发生前已完成的工程应当按照合同约定进行计量支付。</w:t>
      </w:r>
    </w:p>
    <w:p w14:paraId="19CC06C2">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17.3.2 不可抗力导致的人员伤亡、财产损失、费用增加和（或）工期延误等后果，由合同当事人按以下原则承担：</w:t>
      </w:r>
    </w:p>
    <w:p w14:paraId="016FFE2E">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（1）永久工程、已运至施工现场的材料和工程设备的损坏，以及因工程损坏造成的第三人人员伤亡和财产损失由发包人承担；</w:t>
      </w:r>
    </w:p>
    <w:p w14:paraId="5129047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（2）承包人施工设备的损坏由承包人承担；</w:t>
      </w:r>
    </w:p>
    <w:p w14:paraId="0F21A9E6">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（3）发包人和承包人承担各自人员伤亡和财产的损失；</w:t>
      </w:r>
    </w:p>
    <w:p w14:paraId="1F872FD4">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（4）因不可抗力影响承包人履行合同约定的义务，已经引起或将引起工期延误的，应当顺延工期，由此导致承包人停工的费用损失由发包人和承包人合理分担，停工期间必须支付的工人工资由发包人承担；</w:t>
      </w:r>
    </w:p>
    <w:p w14:paraId="0C9FE714">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（5）因不可抗力引起或将引起工期延误，发包人要求赶工的，由此增加的赶工费用由发包人承担；</w:t>
      </w:r>
    </w:p>
    <w:p w14:paraId="7EC0E0A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（6）承包人在停工期间按照发包人要求照管、清理和修复工程的费用由发包人承担。</w:t>
      </w:r>
    </w:p>
    <w:p w14:paraId="58FE33D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不可抗力发生后，合同当事人均应采取措施尽量避免和减少损失的扩大，任何一方当事人没有采取有效措施导致损失扩大的，应对扩大的损失承担责任。</w:t>
      </w:r>
    </w:p>
    <w:p w14:paraId="67129AA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因合同一方迟延履行合同义务，在迟延履行期间遭遇不可抗力的，不免除其违约责任。</w:t>
      </w:r>
    </w:p>
    <w:p w14:paraId="4BEBFD3C">
      <w:pPr>
        <w:pStyle w:val="6"/>
        <w:pageBreakBefore w:val="0"/>
        <w:widowControl/>
        <w:kinsoku/>
        <w:wordWrap/>
        <w:overflowPunct/>
        <w:topLinePunct w:val="0"/>
        <w:autoSpaceDE/>
        <w:autoSpaceDN/>
        <w:bidi w:val="0"/>
        <w:adjustRightInd/>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513" w:name="_Toc351203611"/>
      <w:bookmarkEnd w:id="2513"/>
      <w:bookmarkStart w:id="2514" w:name="_Toc8539"/>
      <w:bookmarkStart w:id="2515" w:name="_Toc20184"/>
      <w:bookmarkStart w:id="2516" w:name="_Toc5107"/>
      <w:bookmarkStart w:id="2517" w:name="_Toc21592"/>
      <w:bookmarkStart w:id="2518" w:name="_Toc16231"/>
      <w:bookmarkStart w:id="2519" w:name="_Toc31823"/>
      <w:bookmarkStart w:id="2520" w:name="_Toc29935"/>
      <w:bookmarkStart w:id="2521" w:name="_Toc29233"/>
      <w:bookmarkStart w:id="2522" w:name="_Toc29629"/>
      <w:bookmarkStart w:id="2523" w:name="_Toc337558827"/>
      <w:bookmarkStart w:id="2524" w:name="_Toc27751"/>
      <w:bookmarkStart w:id="2525" w:name="_Toc1227"/>
      <w:bookmarkStart w:id="2526" w:name="_Toc9046"/>
      <w:bookmarkStart w:id="2527" w:name="_Toc373"/>
      <w:r>
        <w:rPr>
          <w:rFonts w:hint="eastAsia" w:ascii="宋体" w:hAnsi="宋体" w:eastAsia="宋体" w:cs="宋体"/>
          <w:b w:val="0"/>
          <w:bCs w:val="0"/>
          <w:color w:val="auto"/>
          <w:sz w:val="24"/>
          <w:szCs w:val="24"/>
          <w:highlight w:val="none"/>
        </w:rPr>
        <w:t>17.4 因不可抗力解除合同</w:t>
      </w:r>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p>
    <w:p w14:paraId="57B33F6A">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因不可抗力导致合同无法履行连续超过84天或累计超过140天的，发包人和承包人均有权解除合同。合同解除后，由双方当事人按照第4.4款〔商定或确定〕商定或确定发包人应支付的款项，该款项包括：</w:t>
      </w:r>
    </w:p>
    <w:p w14:paraId="060B4C45">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（1）合同解除前承包人已完成工作的价款；</w:t>
      </w:r>
    </w:p>
    <w:p w14:paraId="1C415BB2">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（2）承包人为工程订购的并已交付给承包人，或承包人有责任接受交付的材料、工程设备和其他物品的价款；</w:t>
      </w:r>
    </w:p>
    <w:p w14:paraId="3A80B0D0">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（3）发包人要求承包人退货或解除订货合同而产生的费用，或因不能退货或解除合同而产生的损失；</w:t>
      </w:r>
    </w:p>
    <w:p w14:paraId="5120B9BD">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（4）承包人撤离施工现场以及遣散承包人人员的费用；</w:t>
      </w:r>
    </w:p>
    <w:p w14:paraId="7684A54E">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（5）按照合同约定在合同解除前应支付给承包人的其他款项；</w:t>
      </w:r>
    </w:p>
    <w:p w14:paraId="4F74155D">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（6）扣减承包人按照合同约定应向发包人支付的款项；</w:t>
      </w:r>
    </w:p>
    <w:p w14:paraId="727FB93B">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（7）双方商定或确定的其他款项。</w:t>
      </w:r>
    </w:p>
    <w:p w14:paraId="4156FF43">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除专用合同条款另有约定外，合同解除后，发包人应在商定或确定上述款项后28天内完成上述款项的支付。</w:t>
      </w:r>
    </w:p>
    <w:p w14:paraId="37015A80">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2528" w:name="_Toc296346621"/>
      <w:bookmarkEnd w:id="2528"/>
      <w:bookmarkStart w:id="2529" w:name="_Toc296503120"/>
      <w:bookmarkEnd w:id="2529"/>
      <w:bookmarkStart w:id="2530" w:name="_Toc351203612"/>
      <w:bookmarkEnd w:id="2530"/>
      <w:bookmarkStart w:id="2531" w:name="_Toc31868"/>
      <w:bookmarkStart w:id="2532" w:name="_Toc3980"/>
      <w:bookmarkStart w:id="2533" w:name="_Toc337558828"/>
      <w:bookmarkStart w:id="2534" w:name="_Toc3815"/>
      <w:bookmarkStart w:id="2535" w:name="_Toc3524"/>
      <w:bookmarkStart w:id="2536" w:name="_Toc20814"/>
      <w:bookmarkStart w:id="2537" w:name="_Toc16211"/>
      <w:bookmarkStart w:id="2538" w:name="_Toc26864"/>
      <w:bookmarkStart w:id="2539" w:name="_Toc30637"/>
      <w:bookmarkStart w:id="2540" w:name="_Toc15517"/>
      <w:bookmarkStart w:id="2541" w:name="_Toc26512"/>
      <w:bookmarkStart w:id="2542" w:name="_Toc15812"/>
      <w:bookmarkStart w:id="2543" w:name="_Toc1357"/>
      <w:bookmarkStart w:id="2544" w:name="_Toc21976"/>
      <w:bookmarkStart w:id="2545" w:name="_Toc10280"/>
      <w:bookmarkStart w:id="2546" w:name="_Toc9593"/>
      <w:r>
        <w:rPr>
          <w:rFonts w:hint="eastAsia" w:ascii="宋体" w:hAnsi="宋体" w:eastAsia="宋体" w:cs="宋体"/>
          <w:b w:val="0"/>
          <w:bCs w:val="0"/>
          <w:color w:val="auto"/>
          <w:sz w:val="24"/>
          <w:szCs w:val="24"/>
          <w:highlight w:val="none"/>
        </w:rPr>
        <w:t>18. 保险</w:t>
      </w:r>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p>
    <w:p w14:paraId="7BDB19DA">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547" w:name="_Toc296503121"/>
      <w:bookmarkEnd w:id="2547"/>
      <w:bookmarkStart w:id="2548" w:name="_Toc351203613"/>
      <w:bookmarkEnd w:id="2548"/>
      <w:bookmarkStart w:id="2549" w:name="_Toc296346622"/>
      <w:bookmarkEnd w:id="2549"/>
      <w:bookmarkStart w:id="2550" w:name="_Toc30068"/>
      <w:bookmarkStart w:id="2551" w:name="_Toc27117"/>
      <w:bookmarkStart w:id="2552" w:name="_Toc28247"/>
      <w:bookmarkStart w:id="2553" w:name="_Toc15636"/>
      <w:bookmarkStart w:id="2554" w:name="_Toc28359"/>
      <w:bookmarkStart w:id="2555" w:name="_Toc16479"/>
      <w:bookmarkStart w:id="2556" w:name="_Toc1734"/>
      <w:bookmarkStart w:id="2557" w:name="_Toc337558829"/>
      <w:bookmarkStart w:id="2558" w:name="_Toc8859"/>
      <w:bookmarkStart w:id="2559" w:name="_Toc260"/>
      <w:bookmarkStart w:id="2560" w:name="_Toc13397"/>
      <w:bookmarkStart w:id="2561" w:name="_Toc20535"/>
      <w:bookmarkStart w:id="2562" w:name="_Toc25026"/>
      <w:bookmarkStart w:id="2563" w:name="_Toc12947"/>
      <w:r>
        <w:rPr>
          <w:rFonts w:hint="eastAsia" w:ascii="宋体" w:hAnsi="宋体" w:eastAsia="宋体" w:cs="宋体"/>
          <w:b w:val="0"/>
          <w:bCs w:val="0"/>
          <w:color w:val="auto"/>
          <w:sz w:val="24"/>
          <w:szCs w:val="24"/>
          <w:highlight w:val="none"/>
        </w:rPr>
        <w:t>18.1 工程保险</w:t>
      </w:r>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p>
    <w:p w14:paraId="765AA286">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除专用合同条款另有约定外，发包人应投保建筑工程一切险或安装工程一切险；发包人委托承包人投保的，因投保产生的保险费和其他相关费用由发包人承担。</w:t>
      </w:r>
    </w:p>
    <w:p w14:paraId="21B59A0B">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564" w:name="_Toc296346623"/>
      <w:bookmarkEnd w:id="2564"/>
      <w:bookmarkStart w:id="2565" w:name="_Toc351203614"/>
      <w:bookmarkEnd w:id="2565"/>
      <w:bookmarkStart w:id="2566" w:name="_Toc296503122"/>
      <w:bookmarkEnd w:id="2566"/>
      <w:bookmarkStart w:id="2567" w:name="_Toc8578"/>
      <w:bookmarkStart w:id="2568" w:name="_Toc7400"/>
      <w:bookmarkStart w:id="2569" w:name="_Toc17046"/>
      <w:bookmarkStart w:id="2570" w:name="_Toc4469"/>
      <w:bookmarkStart w:id="2571" w:name="_Toc13570"/>
      <w:bookmarkStart w:id="2572" w:name="_Toc15022"/>
      <w:bookmarkStart w:id="2573" w:name="_Toc22703"/>
      <w:bookmarkStart w:id="2574" w:name="_Toc19480"/>
      <w:bookmarkStart w:id="2575" w:name="_Toc13653"/>
      <w:bookmarkStart w:id="2576" w:name="_Toc6416"/>
      <w:bookmarkStart w:id="2577" w:name="_Toc19506"/>
      <w:bookmarkStart w:id="2578" w:name="_Toc15168"/>
      <w:bookmarkStart w:id="2579" w:name="_Toc337558830"/>
      <w:bookmarkStart w:id="2580" w:name="_Toc31736"/>
      <w:r>
        <w:rPr>
          <w:rFonts w:hint="eastAsia" w:ascii="宋体" w:hAnsi="宋体" w:eastAsia="宋体" w:cs="宋体"/>
          <w:b w:val="0"/>
          <w:bCs w:val="0"/>
          <w:color w:val="auto"/>
          <w:sz w:val="24"/>
          <w:szCs w:val="24"/>
          <w:highlight w:val="none"/>
        </w:rPr>
        <w:t>18.2 工伤保险</w:t>
      </w:r>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p>
    <w:p w14:paraId="34208BD9">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18.2.1 发包人应依照法律规定参加工伤保险，并为在施工现场的全部员工办理工伤保险，缴纳工伤保险费，并要求监理人及由发包人为履行合同聘请的第三方依法参加工伤保险。</w:t>
      </w:r>
    </w:p>
    <w:p w14:paraId="3CAC4975">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18.2.2 承包人应依照法律规定参加工伤保险，并为其履行合同的全部员工办理工伤保险，缴纳工伤保险费，并要求分包人及由承包人为履行合同聘请的第三方依法参加工伤保险。</w:t>
      </w:r>
    </w:p>
    <w:p w14:paraId="11E490E3">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581" w:name="_Toc296503125"/>
      <w:bookmarkEnd w:id="2581"/>
      <w:bookmarkStart w:id="2582" w:name="_Toc351203615"/>
      <w:bookmarkEnd w:id="2582"/>
      <w:bookmarkStart w:id="2583" w:name="_Toc296346626"/>
      <w:bookmarkEnd w:id="2583"/>
      <w:bookmarkStart w:id="2584" w:name="_Toc8891"/>
      <w:bookmarkStart w:id="2585" w:name="_Toc337558831"/>
      <w:bookmarkStart w:id="2586" w:name="_Toc7698"/>
      <w:bookmarkStart w:id="2587" w:name="_Toc29067"/>
      <w:bookmarkStart w:id="2588" w:name="_Toc16021"/>
      <w:bookmarkStart w:id="2589" w:name="_Toc2753"/>
      <w:bookmarkStart w:id="2590" w:name="_Toc905"/>
      <w:bookmarkStart w:id="2591" w:name="_Toc28984"/>
      <w:bookmarkStart w:id="2592" w:name="_Toc18211"/>
      <w:bookmarkStart w:id="2593" w:name="_Toc604"/>
      <w:bookmarkStart w:id="2594" w:name="_Toc27225"/>
      <w:bookmarkStart w:id="2595" w:name="_Toc29368"/>
      <w:bookmarkStart w:id="2596" w:name="_Toc839"/>
      <w:bookmarkStart w:id="2597" w:name="_Toc9990"/>
      <w:r>
        <w:rPr>
          <w:rFonts w:hint="eastAsia" w:ascii="宋体" w:hAnsi="宋体" w:eastAsia="宋体" w:cs="宋体"/>
          <w:b w:val="0"/>
          <w:bCs w:val="0"/>
          <w:color w:val="auto"/>
          <w:sz w:val="24"/>
          <w:szCs w:val="24"/>
          <w:highlight w:val="none"/>
        </w:rPr>
        <w:t>18.3其他保险</w:t>
      </w:r>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p>
    <w:p w14:paraId="258D13D9">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发包人和承包人可以为其施工现场的全部人员办理意外伤害保险并支付保险费，包括其员工及为履行合同聘请的第三方的人员，具体事项由合同当事人在专用合同条款约定。</w:t>
      </w:r>
    </w:p>
    <w:p w14:paraId="3DF07BFB">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除专用合同条款另有约定外，承包人应为其施工设备等办理财产保险。</w:t>
      </w:r>
    </w:p>
    <w:p w14:paraId="48154632">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598" w:name="_Toc351203616"/>
      <w:bookmarkEnd w:id="2598"/>
      <w:bookmarkStart w:id="2599" w:name="_Toc12445"/>
      <w:bookmarkStart w:id="2600" w:name="_Toc1293"/>
      <w:bookmarkStart w:id="2601" w:name="_Toc8280"/>
      <w:bookmarkStart w:id="2602" w:name="_Toc12152"/>
      <w:bookmarkStart w:id="2603" w:name="_Toc11944"/>
      <w:bookmarkStart w:id="2604" w:name="_Toc31732"/>
      <w:bookmarkStart w:id="2605" w:name="_Toc7882"/>
      <w:bookmarkStart w:id="2606" w:name="_Toc23126"/>
      <w:bookmarkStart w:id="2607" w:name="_Toc20188"/>
      <w:bookmarkStart w:id="2608" w:name="_Toc31418"/>
      <w:bookmarkStart w:id="2609" w:name="_Toc6907"/>
      <w:bookmarkStart w:id="2610" w:name="_Toc24836"/>
      <w:bookmarkStart w:id="2611" w:name="_Toc6276"/>
      <w:r>
        <w:rPr>
          <w:rFonts w:hint="eastAsia" w:ascii="宋体" w:hAnsi="宋体" w:eastAsia="宋体" w:cs="宋体"/>
          <w:b w:val="0"/>
          <w:bCs w:val="0"/>
          <w:color w:val="auto"/>
          <w:sz w:val="24"/>
          <w:szCs w:val="24"/>
          <w:highlight w:val="none"/>
        </w:rPr>
        <w:t>18.4持续保险</w:t>
      </w:r>
      <w:bookmarkEnd w:id="2599"/>
      <w:bookmarkEnd w:id="2600"/>
      <w:bookmarkEnd w:id="2601"/>
      <w:bookmarkEnd w:id="2602"/>
      <w:bookmarkEnd w:id="2603"/>
      <w:bookmarkEnd w:id="2604"/>
      <w:bookmarkEnd w:id="2605"/>
      <w:bookmarkEnd w:id="2606"/>
      <w:bookmarkEnd w:id="2607"/>
      <w:bookmarkEnd w:id="2608"/>
      <w:bookmarkEnd w:id="2609"/>
      <w:bookmarkEnd w:id="2610"/>
      <w:bookmarkEnd w:id="2611"/>
    </w:p>
    <w:p w14:paraId="14AE835D">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合同当事人应与保险人保持联系，使保险人能够随时了解工程实施中的变动，并确保按保险合同条款要求持续保险。</w:t>
      </w:r>
    </w:p>
    <w:p w14:paraId="612B67F2">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612" w:name="_Toc296346627"/>
      <w:bookmarkEnd w:id="2612"/>
      <w:bookmarkStart w:id="2613" w:name="_Toc351203617"/>
      <w:bookmarkEnd w:id="2613"/>
      <w:bookmarkStart w:id="2614" w:name="_Toc296503126"/>
      <w:bookmarkEnd w:id="2614"/>
      <w:bookmarkStart w:id="2615" w:name="_Toc8134"/>
      <w:bookmarkStart w:id="2616" w:name="_Toc26420"/>
      <w:bookmarkStart w:id="2617" w:name="_Toc26632"/>
      <w:bookmarkStart w:id="2618" w:name="_Toc337558832"/>
      <w:bookmarkStart w:id="2619" w:name="_Toc31731"/>
      <w:bookmarkStart w:id="2620" w:name="_Toc26526"/>
      <w:bookmarkStart w:id="2621" w:name="_Toc20661"/>
      <w:bookmarkStart w:id="2622" w:name="_Toc21041"/>
      <w:bookmarkStart w:id="2623" w:name="_Toc17515"/>
      <w:bookmarkStart w:id="2624" w:name="_Toc32118"/>
      <w:bookmarkStart w:id="2625" w:name="_Toc8395"/>
      <w:bookmarkStart w:id="2626" w:name="_Toc18381"/>
      <w:bookmarkStart w:id="2627" w:name="_Toc26120"/>
      <w:bookmarkStart w:id="2628" w:name="_Toc2101"/>
      <w:r>
        <w:rPr>
          <w:rFonts w:hint="eastAsia" w:ascii="宋体" w:hAnsi="宋体" w:eastAsia="宋体" w:cs="宋体"/>
          <w:b w:val="0"/>
          <w:bCs w:val="0"/>
          <w:color w:val="auto"/>
          <w:sz w:val="24"/>
          <w:szCs w:val="24"/>
          <w:highlight w:val="none"/>
        </w:rPr>
        <w:t>18.5 保险凭证</w:t>
      </w:r>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p>
    <w:p w14:paraId="7A289786">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合同当事人应及时向另一方当事人提交其已投保的各项保险的凭证和保险单复印件。</w:t>
      </w:r>
    </w:p>
    <w:p w14:paraId="7829F47C">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629" w:name="_Toc351203618"/>
      <w:bookmarkEnd w:id="2629"/>
      <w:bookmarkStart w:id="2630" w:name="_Toc296346628"/>
      <w:bookmarkEnd w:id="2630"/>
      <w:bookmarkStart w:id="2631" w:name="_Toc296503127"/>
      <w:bookmarkEnd w:id="2631"/>
      <w:bookmarkStart w:id="2632" w:name="_Toc1499"/>
      <w:bookmarkStart w:id="2633" w:name="_Toc6307"/>
      <w:bookmarkStart w:id="2634" w:name="_Toc10190"/>
      <w:bookmarkStart w:id="2635" w:name="_Toc10739"/>
      <w:bookmarkStart w:id="2636" w:name="_Toc29844"/>
      <w:bookmarkStart w:id="2637" w:name="_Toc14421"/>
      <w:bookmarkStart w:id="2638" w:name="_Toc26878"/>
      <w:bookmarkStart w:id="2639" w:name="_Toc337558833"/>
      <w:bookmarkStart w:id="2640" w:name="_Toc30798"/>
      <w:bookmarkStart w:id="2641" w:name="_Toc3992"/>
      <w:bookmarkStart w:id="2642" w:name="_Toc21665"/>
      <w:bookmarkStart w:id="2643" w:name="_Toc24215"/>
      <w:bookmarkStart w:id="2644" w:name="_Toc6865"/>
      <w:bookmarkStart w:id="2645" w:name="_Toc10129"/>
      <w:r>
        <w:rPr>
          <w:rFonts w:hint="eastAsia" w:ascii="宋体" w:hAnsi="宋体" w:eastAsia="宋体" w:cs="宋体"/>
          <w:b w:val="0"/>
          <w:bCs w:val="0"/>
          <w:color w:val="auto"/>
          <w:sz w:val="24"/>
          <w:szCs w:val="24"/>
          <w:highlight w:val="none"/>
        </w:rPr>
        <w:t>18.6 未按约定投保的补救</w:t>
      </w:r>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p>
    <w:p w14:paraId="6C6B288A">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18.6.1发包人未按合同约定办理保险，或未能使保险持续有效的，则承包人可代为办理，所需费用由发包人承担。发包人未按合同约定办理保险，导致未能得到足额赔偿的，由发包人负责补足。</w:t>
      </w:r>
    </w:p>
    <w:p w14:paraId="11CC0771">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18.6.2承包人未按合同约定办理保险，或未能使保险持续有效的，则发包人可代为办理，所需费用由承包人承担。承包人未按合同约定办理保险，导致未能得到足额赔偿的，由承包人负责补足。</w:t>
      </w:r>
    </w:p>
    <w:p w14:paraId="7C74F932">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646" w:name="_Toc351203619"/>
      <w:bookmarkEnd w:id="2646"/>
      <w:bookmarkStart w:id="2647" w:name="_Toc30792"/>
      <w:bookmarkStart w:id="2648" w:name="_Toc15945"/>
      <w:bookmarkStart w:id="2649" w:name="_Toc16703"/>
      <w:bookmarkStart w:id="2650" w:name="_Toc23940"/>
      <w:bookmarkStart w:id="2651" w:name="_Toc15308"/>
      <w:bookmarkStart w:id="2652" w:name="_Toc9767"/>
      <w:bookmarkStart w:id="2653" w:name="_Toc28060"/>
      <w:bookmarkStart w:id="2654" w:name="_Toc28892"/>
      <w:bookmarkStart w:id="2655" w:name="_Toc2039"/>
      <w:bookmarkStart w:id="2656" w:name="_Toc337558834"/>
      <w:bookmarkStart w:id="2657" w:name="_Toc31927"/>
      <w:bookmarkStart w:id="2658" w:name="_Toc15640"/>
      <w:bookmarkStart w:id="2659" w:name="_Toc29524"/>
      <w:bookmarkStart w:id="2660" w:name="_Toc7753"/>
      <w:r>
        <w:rPr>
          <w:rFonts w:hint="eastAsia" w:ascii="宋体" w:hAnsi="宋体" w:eastAsia="宋体" w:cs="宋体"/>
          <w:b w:val="0"/>
          <w:bCs w:val="0"/>
          <w:color w:val="auto"/>
          <w:sz w:val="24"/>
          <w:szCs w:val="24"/>
          <w:highlight w:val="none"/>
        </w:rPr>
        <w:t>18.7 通知义务</w:t>
      </w:r>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p>
    <w:p w14:paraId="73EAD588">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除专用合同条款另有约定外，发包人变更除工伤保险之外的保险合同时，应事先征得承包人同意，并通知监理人；承包人变更除工伤保险之外的保险合同时，应事先征得发包人同意，并通知监理人。</w:t>
      </w:r>
    </w:p>
    <w:p w14:paraId="1B941B07">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保险事故发生时，投保人应按照保险合同规定的条件和期限及时向保险人报告。发包人和承包人应当在知道保险事故发生后及时通知对方。</w:t>
      </w:r>
    </w:p>
    <w:p w14:paraId="018472A7">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2661" w:name="_Toc296503140"/>
      <w:bookmarkEnd w:id="2661"/>
      <w:bookmarkStart w:id="2662" w:name="_Toc296346641"/>
      <w:bookmarkEnd w:id="2662"/>
      <w:bookmarkStart w:id="2663" w:name="_Toc351203620"/>
      <w:bookmarkEnd w:id="2663"/>
      <w:bookmarkStart w:id="2664" w:name="_Toc8022"/>
      <w:bookmarkStart w:id="2665" w:name="_Toc13912"/>
      <w:bookmarkStart w:id="2666" w:name="_Toc27109"/>
      <w:bookmarkStart w:id="2667" w:name="_Toc20623"/>
      <w:bookmarkStart w:id="2668" w:name="_Toc11134"/>
      <w:bookmarkStart w:id="2669" w:name="_Toc24433"/>
      <w:bookmarkStart w:id="2670" w:name="_Toc1755"/>
      <w:bookmarkStart w:id="2671" w:name="_Toc337558835"/>
      <w:bookmarkStart w:id="2672" w:name="_Toc5141"/>
      <w:bookmarkStart w:id="2673" w:name="_Toc8194"/>
      <w:bookmarkStart w:id="2674" w:name="_Toc1983"/>
      <w:bookmarkStart w:id="2675" w:name="_Toc20507"/>
      <w:bookmarkStart w:id="2676" w:name="_Toc31191"/>
      <w:bookmarkStart w:id="2677" w:name="_Toc5910"/>
      <w:bookmarkStart w:id="2678" w:name="_Toc9368"/>
      <w:bookmarkStart w:id="2679" w:name="_Toc4769"/>
      <w:r>
        <w:rPr>
          <w:rFonts w:hint="eastAsia" w:ascii="宋体" w:hAnsi="宋体" w:eastAsia="宋体" w:cs="宋体"/>
          <w:b w:val="0"/>
          <w:bCs w:val="0"/>
          <w:color w:val="auto"/>
          <w:sz w:val="24"/>
          <w:szCs w:val="24"/>
          <w:highlight w:val="none"/>
        </w:rPr>
        <w:t>19. 索赔</w:t>
      </w:r>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p>
    <w:p w14:paraId="0A9CB74D">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680" w:name="_Toc351203621"/>
      <w:bookmarkEnd w:id="2680"/>
      <w:bookmarkStart w:id="2681" w:name="_Toc296503141"/>
      <w:bookmarkEnd w:id="2681"/>
      <w:bookmarkStart w:id="2682" w:name="_Toc296346642"/>
      <w:bookmarkEnd w:id="2682"/>
      <w:bookmarkStart w:id="2683" w:name="_Toc337558836"/>
      <w:bookmarkStart w:id="2684" w:name="_Toc32094"/>
      <w:bookmarkStart w:id="2685" w:name="_Toc19463"/>
      <w:bookmarkStart w:id="2686" w:name="_Toc7561"/>
      <w:bookmarkStart w:id="2687" w:name="_Toc12004"/>
      <w:bookmarkStart w:id="2688" w:name="_Toc27981"/>
      <w:bookmarkStart w:id="2689" w:name="_Toc28048"/>
      <w:bookmarkStart w:id="2690" w:name="_Toc20199"/>
      <w:bookmarkStart w:id="2691" w:name="_Toc5094"/>
      <w:bookmarkStart w:id="2692" w:name="_Toc31170"/>
      <w:bookmarkStart w:id="2693" w:name="_Toc21803"/>
      <w:bookmarkStart w:id="2694" w:name="_Toc26449"/>
      <w:bookmarkStart w:id="2695" w:name="_Toc15271"/>
      <w:bookmarkStart w:id="2696" w:name="_Toc14100"/>
      <w:r>
        <w:rPr>
          <w:rFonts w:hint="eastAsia" w:ascii="宋体" w:hAnsi="宋体" w:eastAsia="宋体" w:cs="宋体"/>
          <w:b w:val="0"/>
          <w:bCs w:val="0"/>
          <w:color w:val="auto"/>
          <w:sz w:val="24"/>
          <w:szCs w:val="24"/>
          <w:highlight w:val="none"/>
        </w:rPr>
        <w:t>19.1承包人的索赔</w:t>
      </w:r>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p>
    <w:p w14:paraId="15B24213">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根据合同约定，承包人认为有权得到追加付款和（或）延长工期的，应按以下程序向发包人提出索赔：</w:t>
      </w:r>
    </w:p>
    <w:p w14:paraId="31C54D36">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351F0ADF">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（2）承包人应在发出索赔意向通知书后28天内，向监理人正式递交索赔报告；索赔报告应详细说明索赔理由以及要求追加的付款金额和（或）延长的工期，并附必要的记录和证明材料；</w:t>
      </w:r>
    </w:p>
    <w:p w14:paraId="081573C3">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（3）索赔事件具有持续影响的，承包人应按合理时间间隔继续递交延续索赔通知，说明持续影响的实际情况和记录，列出累计的追加付款金额和（或）工期延长天数；</w:t>
      </w:r>
    </w:p>
    <w:p w14:paraId="6BD26476">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（4）在索赔事件影响结束后28天内，承包人应向监理人递交最终索赔报告，说明最终要求索赔的追加付款金额和（或）延长的工期，并附必要的记录和证明材料。</w:t>
      </w:r>
    </w:p>
    <w:p w14:paraId="2ADA90AF">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697" w:name="_Toc351203622"/>
      <w:bookmarkEnd w:id="2697"/>
      <w:bookmarkStart w:id="2698" w:name="_Toc296346643"/>
      <w:bookmarkEnd w:id="2698"/>
      <w:bookmarkStart w:id="2699" w:name="_Toc296503142"/>
      <w:bookmarkEnd w:id="2699"/>
      <w:bookmarkStart w:id="2700" w:name="_Toc21004"/>
      <w:bookmarkStart w:id="2701" w:name="_Toc29247"/>
      <w:bookmarkStart w:id="2702" w:name="_Toc14581"/>
      <w:bookmarkStart w:id="2703" w:name="_Toc337558837"/>
      <w:bookmarkStart w:id="2704" w:name="_Toc23900"/>
      <w:bookmarkStart w:id="2705" w:name="_Toc30462"/>
      <w:bookmarkStart w:id="2706" w:name="_Toc3120"/>
      <w:bookmarkStart w:id="2707" w:name="_Toc17933"/>
      <w:bookmarkStart w:id="2708" w:name="_Toc11451"/>
      <w:bookmarkStart w:id="2709" w:name="_Toc22286"/>
      <w:bookmarkStart w:id="2710" w:name="_Toc18306"/>
      <w:bookmarkStart w:id="2711" w:name="_Toc18125"/>
      <w:bookmarkStart w:id="2712" w:name="_Toc30757"/>
      <w:bookmarkStart w:id="2713" w:name="_Toc19190"/>
      <w:r>
        <w:rPr>
          <w:rFonts w:hint="eastAsia" w:ascii="宋体" w:hAnsi="宋体" w:eastAsia="宋体" w:cs="宋体"/>
          <w:b w:val="0"/>
          <w:bCs w:val="0"/>
          <w:color w:val="auto"/>
          <w:sz w:val="24"/>
          <w:szCs w:val="24"/>
          <w:highlight w:val="none"/>
        </w:rPr>
        <w:t>19.2 对承包人索赔的处理</w:t>
      </w:r>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p>
    <w:p w14:paraId="4E7BCCFF">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对承包人索赔的处理如下：</w:t>
      </w:r>
    </w:p>
    <w:p w14:paraId="761A20AB">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（1）监理人应在收到索赔报告后14天内完成审查并报送发包人。监理人对索赔报告存在异议的，有权要求承包人提交全部原始记录副本；</w:t>
      </w:r>
    </w:p>
    <w:p w14:paraId="39E39CA1">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（2）发包人应在监理人收到索赔报告或有关索赔的进一步证明材料后的28天内，由监理人向承包人出具经发包人签认的索赔处理结果。发包人逾期答复的，则视为认可承包人的索赔要求；</w:t>
      </w:r>
    </w:p>
    <w:p w14:paraId="56D5EBFC">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（3）承包人接受索赔处理结果的，索赔款项在当期进度款中进行支付；承包人不接受索赔处理结果的，按照第20条〔争议解决〕约定处理。</w:t>
      </w:r>
    </w:p>
    <w:p w14:paraId="61548A92">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714" w:name="_Toc296503143"/>
      <w:bookmarkEnd w:id="2714"/>
      <w:bookmarkStart w:id="2715" w:name="_Toc296346644"/>
      <w:bookmarkEnd w:id="2715"/>
      <w:bookmarkStart w:id="2716" w:name="_Toc351203623"/>
      <w:bookmarkEnd w:id="2716"/>
      <w:bookmarkStart w:id="2717" w:name="_Toc496"/>
      <w:bookmarkStart w:id="2718" w:name="_Toc12085"/>
      <w:bookmarkStart w:id="2719" w:name="_Toc10866"/>
      <w:bookmarkStart w:id="2720" w:name="_Toc22021"/>
      <w:bookmarkStart w:id="2721" w:name="_Toc26841"/>
      <w:bookmarkStart w:id="2722" w:name="_Toc27550"/>
      <w:bookmarkStart w:id="2723" w:name="_Toc10130"/>
      <w:bookmarkStart w:id="2724" w:name="_Toc11217"/>
      <w:bookmarkStart w:id="2725" w:name="_Toc5754"/>
      <w:bookmarkStart w:id="2726" w:name="_Toc28925"/>
      <w:bookmarkStart w:id="2727" w:name="_Toc337558838"/>
      <w:bookmarkStart w:id="2728" w:name="_Toc28186"/>
      <w:bookmarkStart w:id="2729" w:name="_Toc22923"/>
      <w:bookmarkStart w:id="2730" w:name="_Toc10278"/>
      <w:r>
        <w:rPr>
          <w:rFonts w:hint="eastAsia" w:ascii="宋体" w:hAnsi="宋体" w:eastAsia="宋体" w:cs="宋体"/>
          <w:b w:val="0"/>
          <w:bCs w:val="0"/>
          <w:color w:val="auto"/>
          <w:sz w:val="24"/>
          <w:szCs w:val="24"/>
          <w:highlight w:val="none"/>
        </w:rPr>
        <w:t>19.3发包人的索赔</w:t>
      </w:r>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p>
    <w:p w14:paraId="05CB09BB">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根据合同约定，发包人认为有权得到赔付金额和（或）延长缺陷责任期的，监理人应向承包人发出通知并附有详细的证明。</w:t>
      </w:r>
    </w:p>
    <w:p w14:paraId="7873D4E9">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26794573">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731" w:name="_Toc296503144"/>
      <w:bookmarkEnd w:id="2731"/>
      <w:bookmarkStart w:id="2732" w:name="_Toc351203624"/>
      <w:bookmarkEnd w:id="2732"/>
      <w:bookmarkStart w:id="2733" w:name="_Toc296346645"/>
      <w:bookmarkEnd w:id="2733"/>
      <w:bookmarkStart w:id="2734" w:name="_Toc6318"/>
      <w:bookmarkStart w:id="2735" w:name="_Toc31803"/>
      <w:bookmarkStart w:id="2736" w:name="_Toc19195"/>
      <w:bookmarkStart w:id="2737" w:name="_Toc25077"/>
      <w:bookmarkStart w:id="2738" w:name="_Toc23186"/>
      <w:bookmarkStart w:id="2739" w:name="_Toc9945"/>
      <w:bookmarkStart w:id="2740" w:name="_Toc23130"/>
      <w:bookmarkStart w:id="2741" w:name="_Toc24208"/>
      <w:bookmarkStart w:id="2742" w:name="_Toc25865"/>
      <w:bookmarkStart w:id="2743" w:name="_Toc337558839"/>
      <w:bookmarkStart w:id="2744" w:name="_Toc24293"/>
      <w:bookmarkStart w:id="2745" w:name="_Toc19056"/>
      <w:bookmarkStart w:id="2746" w:name="_Toc27548"/>
      <w:bookmarkStart w:id="2747" w:name="_Toc300"/>
      <w:r>
        <w:rPr>
          <w:rFonts w:hint="eastAsia" w:ascii="宋体" w:hAnsi="宋体" w:eastAsia="宋体" w:cs="宋体"/>
          <w:b w:val="0"/>
          <w:bCs w:val="0"/>
          <w:color w:val="auto"/>
          <w:sz w:val="24"/>
          <w:szCs w:val="24"/>
          <w:highlight w:val="none"/>
        </w:rPr>
        <w:t>19.4 对发包人索赔的处理</w:t>
      </w:r>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p>
    <w:p w14:paraId="0AC2AA5B">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对发包人索赔的处理如下：</w:t>
      </w:r>
    </w:p>
    <w:p w14:paraId="2F169AD6">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（1）承包人收到发包人提交的索赔报告后，应及时审查索赔报告的内容、查验发包人证明材料；</w:t>
      </w:r>
    </w:p>
    <w:p w14:paraId="75217C40">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（2）承包人应在收到索赔报告或有关索赔的进一步证明材料后28天内，将索赔处理结果答复发包人。如果承包人未在上述期限内作出答复的，则视为对发包人索赔要求的认可；</w:t>
      </w:r>
    </w:p>
    <w:p w14:paraId="602498ED">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（3）承包人接受索赔处理结果的，发包人可从应支付给承包人的合同价款中扣除赔付的金额或延长缺陷责任期；发包人不接受索赔处理结果的，按第20条〔争议解决〕约定处理。</w:t>
      </w:r>
    </w:p>
    <w:p w14:paraId="04D1811D">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748" w:name="_Toc351203625"/>
      <w:bookmarkEnd w:id="2748"/>
      <w:bookmarkStart w:id="2749" w:name="_Toc25718"/>
      <w:bookmarkStart w:id="2750" w:name="_Toc13569"/>
      <w:bookmarkStart w:id="2751" w:name="_Toc18138"/>
      <w:bookmarkStart w:id="2752" w:name="_Toc26544"/>
      <w:bookmarkStart w:id="2753" w:name="_Toc20624"/>
      <w:bookmarkStart w:id="2754" w:name="_Toc14570"/>
      <w:bookmarkStart w:id="2755" w:name="_Toc10697"/>
      <w:bookmarkStart w:id="2756" w:name="_Toc7193"/>
      <w:bookmarkStart w:id="2757" w:name="_Toc12536"/>
      <w:bookmarkStart w:id="2758" w:name="_Toc29781"/>
      <w:bookmarkStart w:id="2759" w:name="_Toc30649"/>
      <w:bookmarkStart w:id="2760" w:name="_Toc15719"/>
      <w:bookmarkStart w:id="2761" w:name="_Toc30027"/>
      <w:r>
        <w:rPr>
          <w:rFonts w:hint="eastAsia" w:ascii="宋体" w:hAnsi="宋体" w:eastAsia="宋体" w:cs="宋体"/>
          <w:b w:val="0"/>
          <w:bCs w:val="0"/>
          <w:color w:val="auto"/>
          <w:sz w:val="24"/>
          <w:szCs w:val="24"/>
          <w:highlight w:val="none"/>
        </w:rPr>
        <w:t>19.5 提出索赔的期限</w:t>
      </w:r>
      <w:bookmarkEnd w:id="2749"/>
      <w:bookmarkEnd w:id="2750"/>
      <w:bookmarkEnd w:id="2751"/>
      <w:bookmarkEnd w:id="2752"/>
      <w:bookmarkEnd w:id="2753"/>
      <w:bookmarkEnd w:id="2754"/>
      <w:bookmarkEnd w:id="2755"/>
      <w:bookmarkEnd w:id="2756"/>
      <w:bookmarkEnd w:id="2757"/>
      <w:bookmarkEnd w:id="2758"/>
      <w:bookmarkEnd w:id="2759"/>
      <w:bookmarkEnd w:id="2760"/>
      <w:bookmarkEnd w:id="2761"/>
    </w:p>
    <w:p w14:paraId="0AA8BE85">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（1）承包人按第14.2款〔竣工结算审核〕约定接收竣工付款证书后，应被视为已无权再提出在工程接收证书颁发前所发生的任何索赔。</w:t>
      </w:r>
    </w:p>
    <w:p w14:paraId="0DC80C0B">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（2）承包人按第14.4款〔最终结清〕提交的最终结清申请单中，只限于提出工程接收证书颁发后发生的索赔。提出索赔的期限自接受最终结清证书时终止。</w:t>
      </w:r>
    </w:p>
    <w:p w14:paraId="0806B065">
      <w:pPr>
        <w:pStyle w:val="5"/>
        <w:pageBreakBefore w:val="0"/>
        <w:widowControl/>
        <w:kinsoku/>
        <w:wordWrap/>
        <w:overflowPunct/>
        <w:topLinePunct w:val="0"/>
        <w:bidi w:val="0"/>
        <w:snapToGrid/>
        <w:spacing w:before="0" w:after="0" w:line="240" w:lineRule="auto"/>
        <w:textAlignment w:val="auto"/>
        <w:outlineLvl w:val="1"/>
        <w:rPr>
          <w:rFonts w:hint="eastAsia" w:ascii="宋体" w:hAnsi="宋体" w:eastAsia="宋体" w:cs="宋体"/>
          <w:b w:val="0"/>
          <w:bCs w:val="0"/>
          <w:color w:val="auto"/>
          <w:sz w:val="24"/>
          <w:szCs w:val="24"/>
          <w:highlight w:val="none"/>
        </w:rPr>
      </w:pPr>
      <w:bookmarkStart w:id="2762" w:name="_Toc351203626"/>
      <w:bookmarkEnd w:id="2762"/>
      <w:bookmarkStart w:id="2763" w:name="_Toc845"/>
      <w:bookmarkStart w:id="2764" w:name="_Toc11620"/>
      <w:bookmarkStart w:id="2765" w:name="_Toc4849"/>
      <w:bookmarkStart w:id="2766" w:name="_Toc17521"/>
      <w:bookmarkStart w:id="2767" w:name="_Toc9996"/>
      <w:bookmarkStart w:id="2768" w:name="_Toc21094"/>
      <w:bookmarkStart w:id="2769" w:name="_Toc4671"/>
      <w:bookmarkStart w:id="2770" w:name="_Toc3506"/>
      <w:bookmarkStart w:id="2771" w:name="_Toc7702"/>
      <w:bookmarkStart w:id="2772" w:name="_Toc18530"/>
      <w:bookmarkStart w:id="2773" w:name="_Toc13093"/>
      <w:bookmarkStart w:id="2774" w:name="_Toc9682"/>
      <w:bookmarkStart w:id="2775" w:name="_Toc5334"/>
      <w:bookmarkStart w:id="2776" w:name="_Toc29872"/>
      <w:bookmarkStart w:id="2777" w:name="_Toc29936"/>
      <w:r>
        <w:rPr>
          <w:rFonts w:hint="eastAsia" w:ascii="宋体" w:hAnsi="宋体" w:eastAsia="宋体" w:cs="宋体"/>
          <w:b w:val="0"/>
          <w:bCs w:val="0"/>
          <w:color w:val="auto"/>
          <w:sz w:val="24"/>
          <w:szCs w:val="24"/>
          <w:highlight w:val="none"/>
        </w:rPr>
        <w:t>20</w:t>
      </w:r>
      <w:bookmarkStart w:id="2778" w:name="_Toc296346647"/>
      <w:bookmarkEnd w:id="2778"/>
      <w:bookmarkStart w:id="2779" w:name="_Toc296503146"/>
      <w:bookmarkEnd w:id="2779"/>
      <w:bookmarkStart w:id="2780" w:name="_Toc337558840"/>
      <w:r>
        <w:rPr>
          <w:rFonts w:hint="eastAsia" w:ascii="宋体" w:hAnsi="宋体" w:eastAsia="宋体" w:cs="宋体"/>
          <w:b w:val="0"/>
          <w:bCs w:val="0"/>
          <w:color w:val="auto"/>
          <w:sz w:val="24"/>
          <w:szCs w:val="24"/>
          <w:highlight w:val="none"/>
        </w:rPr>
        <w:t>. 争议解决</w:t>
      </w:r>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80"/>
    </w:p>
    <w:p w14:paraId="031E9973">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781" w:name="_Toc296503147"/>
      <w:bookmarkEnd w:id="2781"/>
      <w:bookmarkStart w:id="2782" w:name="_Toc296346648"/>
      <w:bookmarkEnd w:id="2782"/>
      <w:bookmarkStart w:id="2783" w:name="_Toc351203627"/>
      <w:bookmarkEnd w:id="2783"/>
      <w:bookmarkStart w:id="2784" w:name="_Toc22650"/>
      <w:bookmarkStart w:id="2785" w:name="_Toc28814"/>
      <w:bookmarkStart w:id="2786" w:name="_Toc623"/>
      <w:bookmarkStart w:id="2787" w:name="_Toc30935"/>
      <w:bookmarkStart w:id="2788" w:name="_Toc24980"/>
      <w:bookmarkStart w:id="2789" w:name="_Toc10384"/>
      <w:bookmarkStart w:id="2790" w:name="_Toc5958"/>
      <w:bookmarkStart w:id="2791" w:name="_Toc10791"/>
      <w:bookmarkStart w:id="2792" w:name="_Toc1078"/>
      <w:bookmarkStart w:id="2793" w:name="_Toc16790"/>
      <w:bookmarkStart w:id="2794" w:name="_Toc5728"/>
      <w:bookmarkStart w:id="2795" w:name="_Toc2764"/>
      <w:bookmarkStart w:id="2796" w:name="_Toc337558841"/>
      <w:bookmarkStart w:id="2797" w:name="_Toc28376"/>
      <w:r>
        <w:rPr>
          <w:rFonts w:hint="eastAsia" w:ascii="宋体" w:hAnsi="宋体" w:eastAsia="宋体" w:cs="宋体"/>
          <w:b w:val="0"/>
          <w:bCs w:val="0"/>
          <w:color w:val="auto"/>
          <w:sz w:val="24"/>
          <w:szCs w:val="24"/>
          <w:highlight w:val="none"/>
        </w:rPr>
        <w:t>20.1和解</w:t>
      </w:r>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p>
    <w:p w14:paraId="5C59DF88">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合同当事人可以就争议自行和解，自行和解达成协议的经双方签字并盖章后作为合同补充文件，双方均应遵照执行。</w:t>
      </w:r>
    </w:p>
    <w:p w14:paraId="40E51BA8">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798" w:name="_Toc351203628"/>
      <w:bookmarkEnd w:id="2798"/>
      <w:bookmarkStart w:id="2799" w:name="_Toc29295"/>
      <w:bookmarkStart w:id="2800" w:name="_Toc15973"/>
      <w:bookmarkStart w:id="2801" w:name="_Toc7342"/>
      <w:bookmarkStart w:id="2802" w:name="_Toc1814"/>
      <w:bookmarkStart w:id="2803" w:name="_Toc14646"/>
      <w:bookmarkStart w:id="2804" w:name="_Toc26898"/>
      <w:bookmarkStart w:id="2805" w:name="_Toc20601"/>
      <w:bookmarkStart w:id="2806" w:name="_Toc29761"/>
      <w:bookmarkStart w:id="2807" w:name="_Toc22701"/>
      <w:bookmarkStart w:id="2808" w:name="_Toc13191"/>
      <w:bookmarkStart w:id="2809" w:name="_Toc4101"/>
      <w:bookmarkStart w:id="2810" w:name="_Toc17395"/>
      <w:bookmarkStart w:id="2811" w:name="_Toc18385"/>
      <w:r>
        <w:rPr>
          <w:rFonts w:hint="eastAsia" w:ascii="宋体" w:hAnsi="宋体" w:eastAsia="宋体" w:cs="宋体"/>
          <w:b w:val="0"/>
          <w:bCs w:val="0"/>
          <w:color w:val="auto"/>
          <w:sz w:val="24"/>
          <w:szCs w:val="24"/>
          <w:highlight w:val="none"/>
        </w:rPr>
        <w:t>20</w:t>
      </w:r>
      <w:bookmarkStart w:id="2812" w:name="_Toc296503148"/>
      <w:bookmarkEnd w:id="2812"/>
      <w:bookmarkStart w:id="2813" w:name="_Toc296346649"/>
      <w:bookmarkEnd w:id="2813"/>
      <w:bookmarkStart w:id="2814" w:name="_Toc337558842"/>
      <w:r>
        <w:rPr>
          <w:rFonts w:hint="eastAsia" w:ascii="宋体" w:hAnsi="宋体" w:eastAsia="宋体" w:cs="宋体"/>
          <w:b w:val="0"/>
          <w:bCs w:val="0"/>
          <w:color w:val="auto"/>
          <w:sz w:val="24"/>
          <w:szCs w:val="24"/>
          <w:highlight w:val="none"/>
        </w:rPr>
        <w:t>.2调解</w:t>
      </w:r>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4"/>
    </w:p>
    <w:p w14:paraId="3406A3BF">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合同当事人可以就争议请求建设行政主管部门、行业协会或其他第三方进行调解，调解达成协议的，经双方签字并盖章后作为合同补充文件，双方均应遵照执行。</w:t>
      </w:r>
    </w:p>
    <w:p w14:paraId="04282B0C">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815" w:name="_Toc351203629"/>
      <w:bookmarkEnd w:id="2815"/>
      <w:bookmarkStart w:id="2816" w:name="_Toc296346650"/>
      <w:bookmarkEnd w:id="2816"/>
      <w:bookmarkStart w:id="2817" w:name="_Toc296503149"/>
      <w:bookmarkEnd w:id="2817"/>
      <w:bookmarkStart w:id="2818" w:name="_Toc8315"/>
      <w:bookmarkStart w:id="2819" w:name="_Toc770"/>
      <w:bookmarkStart w:id="2820" w:name="_Toc337558843"/>
      <w:bookmarkStart w:id="2821" w:name="_Toc23726"/>
      <w:bookmarkStart w:id="2822" w:name="_Toc31073"/>
      <w:bookmarkStart w:id="2823" w:name="_Toc5479"/>
      <w:bookmarkStart w:id="2824" w:name="_Toc29794"/>
      <w:bookmarkStart w:id="2825" w:name="_Toc24121"/>
      <w:bookmarkStart w:id="2826" w:name="_Toc2876"/>
      <w:bookmarkStart w:id="2827" w:name="_Toc17776"/>
      <w:bookmarkStart w:id="2828" w:name="_Toc9565"/>
      <w:bookmarkStart w:id="2829" w:name="_Toc2299"/>
      <w:bookmarkStart w:id="2830" w:name="_Toc30184"/>
      <w:bookmarkStart w:id="2831" w:name="_Toc20318"/>
      <w:r>
        <w:rPr>
          <w:rFonts w:hint="eastAsia" w:ascii="宋体" w:hAnsi="宋体" w:eastAsia="宋体" w:cs="宋体"/>
          <w:b w:val="0"/>
          <w:bCs w:val="0"/>
          <w:color w:val="auto"/>
          <w:sz w:val="24"/>
          <w:szCs w:val="24"/>
          <w:highlight w:val="none"/>
        </w:rPr>
        <w:t>20.3争议评审</w:t>
      </w:r>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p>
    <w:p w14:paraId="61BC0277">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合同当事人在专用合同条款中约定采取争议评审方式解决争议以及评审规则，并按下列约定执行： </w:t>
      </w:r>
    </w:p>
    <w:p w14:paraId="4338C8FB">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20.3.1 争议评审小组的确定</w:t>
      </w:r>
    </w:p>
    <w:p w14:paraId="042775DE">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合同当事人可以共同选择一名或三名争议评审员，组成争议评审小组。除专用合同条款另有约定外，合同当事人应当自合同签订后28天内，或者争议发生后14天内，选定争议评审员。</w:t>
      </w:r>
    </w:p>
    <w:p w14:paraId="398E8F00">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67AB3EB6">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除专用合同条款另有约定外，评审员报酬由发包人和承包人各承担一半。</w:t>
      </w:r>
    </w:p>
    <w:p w14:paraId="02B1217C">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20.3.2 争议评审小组的决定</w:t>
      </w:r>
    </w:p>
    <w:p w14:paraId="251A92FA">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w:t>
      </w:r>
      <w:r>
        <w:rPr>
          <w:rFonts w:hint="eastAsia" w:ascii="宋体" w:hAnsi="宋体" w:cs="宋体"/>
          <w:color w:val="auto"/>
          <w:kern w:val="0"/>
          <w:sz w:val="24"/>
          <w:szCs w:val="24"/>
          <w:highlight w:val="none"/>
          <w:lang w:eastAsia="zh-CN"/>
        </w:rPr>
        <w:t>本</w:t>
      </w:r>
      <w:r>
        <w:rPr>
          <w:rFonts w:hint="eastAsia" w:ascii="宋体" w:hAnsi="宋体" w:eastAsia="宋体" w:cs="宋体"/>
          <w:color w:val="auto"/>
          <w:kern w:val="0"/>
          <w:sz w:val="24"/>
          <w:szCs w:val="24"/>
          <w:highlight w:val="none"/>
        </w:rPr>
        <w:t>事项另行约定。</w:t>
      </w:r>
    </w:p>
    <w:p w14:paraId="5B73526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20.3.3 争议评审小组决定的效力</w:t>
      </w:r>
    </w:p>
    <w:p w14:paraId="19DBC87B">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争议评审小组作出的书面决定经合同当事人签字确认后，对双方具有约束力，双方应遵照执行。</w:t>
      </w:r>
    </w:p>
    <w:p w14:paraId="377CA624">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任何一方当事人不接受争议评审小组决定或不履行争议评审小组决定的，双方可选择采用其他争议解决方式。</w:t>
      </w:r>
    </w:p>
    <w:p w14:paraId="1D34C076">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832" w:name="_Toc296346651"/>
      <w:bookmarkEnd w:id="2832"/>
      <w:bookmarkStart w:id="2833" w:name="_Toc296503150"/>
      <w:bookmarkEnd w:id="2833"/>
      <w:bookmarkStart w:id="2834" w:name="_Toc351203630"/>
      <w:bookmarkEnd w:id="2834"/>
      <w:bookmarkStart w:id="2835" w:name="_Toc9570"/>
      <w:bookmarkStart w:id="2836" w:name="_Toc13342"/>
      <w:bookmarkStart w:id="2837" w:name="_Toc31339"/>
      <w:bookmarkStart w:id="2838" w:name="_Toc26090"/>
      <w:bookmarkStart w:id="2839" w:name="_Toc14726"/>
      <w:bookmarkStart w:id="2840" w:name="_Toc9501"/>
      <w:bookmarkStart w:id="2841" w:name="_Toc9993"/>
      <w:bookmarkStart w:id="2842" w:name="_Toc337558844"/>
      <w:bookmarkStart w:id="2843" w:name="_Toc16639"/>
      <w:bookmarkStart w:id="2844" w:name="_Toc8613"/>
      <w:bookmarkStart w:id="2845" w:name="_Toc3577"/>
      <w:bookmarkStart w:id="2846" w:name="_Toc29814"/>
      <w:bookmarkStart w:id="2847" w:name="_Toc22786"/>
      <w:bookmarkStart w:id="2848" w:name="_Toc24127"/>
      <w:r>
        <w:rPr>
          <w:rFonts w:hint="eastAsia" w:ascii="宋体" w:hAnsi="宋体" w:eastAsia="宋体" w:cs="宋体"/>
          <w:b w:val="0"/>
          <w:bCs w:val="0"/>
          <w:color w:val="auto"/>
          <w:sz w:val="24"/>
          <w:szCs w:val="24"/>
          <w:highlight w:val="none"/>
        </w:rPr>
        <w:t>20.4仲裁或诉讼</w:t>
      </w:r>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p>
    <w:p w14:paraId="2871AAD0">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因合同及合同有关事项产生的争议，合同当事人可以在专用合同条款中约定以下一种方式解决争议：</w:t>
      </w:r>
    </w:p>
    <w:p w14:paraId="17CB3906">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（1）向约定的仲裁委员会申请仲裁；</w:t>
      </w:r>
    </w:p>
    <w:p w14:paraId="119F4B19">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（2）向有管辖权的人民法院起诉。</w:t>
      </w:r>
    </w:p>
    <w:p w14:paraId="14F96797">
      <w:pPr>
        <w:pStyle w:val="6"/>
        <w:pageBreakBefore w:val="0"/>
        <w:widowControl/>
        <w:kinsoku/>
        <w:wordWrap/>
        <w:overflowPunct/>
        <w:topLinePunct w:val="0"/>
        <w:bidi w:val="0"/>
        <w:snapToGrid/>
        <w:spacing w:before="0" w:after="0" w:line="240" w:lineRule="auto"/>
        <w:ind w:firstLine="480" w:firstLineChars="200"/>
        <w:textAlignment w:val="auto"/>
        <w:outlineLvl w:val="2"/>
        <w:rPr>
          <w:rFonts w:hint="eastAsia" w:ascii="宋体" w:hAnsi="宋体" w:eastAsia="宋体" w:cs="宋体"/>
          <w:b w:val="0"/>
          <w:bCs w:val="0"/>
          <w:color w:val="auto"/>
          <w:sz w:val="24"/>
          <w:szCs w:val="24"/>
          <w:highlight w:val="none"/>
        </w:rPr>
      </w:pPr>
      <w:bookmarkStart w:id="2849" w:name="_Toc296346653"/>
      <w:bookmarkEnd w:id="2849"/>
      <w:bookmarkStart w:id="2850" w:name="_Toc351203631"/>
      <w:bookmarkEnd w:id="2850"/>
      <w:bookmarkStart w:id="2851" w:name="_Toc296503152"/>
      <w:bookmarkEnd w:id="2851"/>
      <w:bookmarkStart w:id="2852" w:name="_Toc23793"/>
      <w:bookmarkStart w:id="2853" w:name="_Toc1664"/>
      <w:bookmarkStart w:id="2854" w:name="_Toc3512"/>
      <w:bookmarkStart w:id="2855" w:name="_Toc4576"/>
      <w:bookmarkStart w:id="2856" w:name="_Toc337558845"/>
      <w:bookmarkStart w:id="2857" w:name="_Toc14509"/>
      <w:bookmarkStart w:id="2858" w:name="_Toc29022"/>
      <w:bookmarkStart w:id="2859" w:name="_Toc27510"/>
      <w:bookmarkStart w:id="2860" w:name="_Toc30838"/>
      <w:bookmarkStart w:id="2861" w:name="_Toc31843"/>
      <w:bookmarkStart w:id="2862" w:name="_Toc32368"/>
      <w:bookmarkStart w:id="2863" w:name="_Toc7741"/>
      <w:bookmarkStart w:id="2864" w:name="_Toc28935"/>
      <w:bookmarkStart w:id="2865" w:name="_Toc16667"/>
      <w:r>
        <w:rPr>
          <w:rFonts w:hint="eastAsia" w:ascii="宋体" w:hAnsi="宋体" w:eastAsia="宋体" w:cs="宋体"/>
          <w:b w:val="0"/>
          <w:bCs w:val="0"/>
          <w:color w:val="auto"/>
          <w:sz w:val="24"/>
          <w:szCs w:val="24"/>
          <w:highlight w:val="none"/>
        </w:rPr>
        <w:t>20.5争议解决条款效力</w:t>
      </w:r>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p>
    <w:p w14:paraId="2815DF8A">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合同有关争议解决的条款独立存在，合同的变更、解除、终止、无效或者被撤销均不影响其效力。 </w:t>
      </w:r>
    </w:p>
    <w:p w14:paraId="419D563F">
      <w:pPr>
        <w:pStyle w:val="4"/>
        <w:spacing w:line="240" w:lineRule="auto"/>
        <w:jc w:val="center"/>
        <w:outlineLvl w:val="0"/>
        <w:rPr>
          <w:rFonts w:hint="eastAsia" w:ascii="宋体" w:hAnsi="宋体" w:eastAsia="宋体" w:cs="宋体"/>
          <w:color w:val="auto"/>
          <w:sz w:val="24"/>
          <w:szCs w:val="24"/>
          <w:highlight w:val="none"/>
        </w:rPr>
      </w:pPr>
      <w:bookmarkStart w:id="2866" w:name="_Toc351203632"/>
      <w:bookmarkEnd w:id="2866"/>
      <w:r>
        <w:rPr>
          <w:rFonts w:hint="eastAsia" w:ascii="宋体" w:hAnsi="宋体" w:eastAsia="宋体" w:cs="宋体"/>
          <w:color w:val="auto"/>
          <w:sz w:val="24"/>
          <w:szCs w:val="24"/>
          <w:highlight w:val="none"/>
        </w:rPr>
        <w:br w:type="page"/>
      </w:r>
      <w:bookmarkStart w:id="2867" w:name="_Toc22603"/>
      <w:bookmarkStart w:id="2868" w:name="_Toc24753"/>
      <w:bookmarkStart w:id="2869" w:name="_Toc16369"/>
      <w:bookmarkStart w:id="2870" w:name="_Toc25730"/>
      <w:bookmarkStart w:id="2871" w:name="_Toc9411"/>
      <w:bookmarkStart w:id="2872" w:name="_Toc4525"/>
      <w:bookmarkStart w:id="2873" w:name="_Toc29156"/>
      <w:bookmarkStart w:id="2874" w:name="_Toc7582"/>
      <w:bookmarkStart w:id="2875" w:name="_Toc475"/>
      <w:bookmarkStart w:id="2876" w:name="_Toc4680"/>
      <w:bookmarkStart w:id="2877" w:name="_Toc23461"/>
      <w:bookmarkStart w:id="2878" w:name="_Toc9795"/>
      <w:bookmarkStart w:id="2879" w:name="_Toc1714"/>
      <w:bookmarkStart w:id="2880" w:name="_Toc330"/>
      <w:bookmarkStart w:id="2881" w:name="_Toc12015"/>
      <w:bookmarkStart w:id="2882" w:name="_Toc17681"/>
      <w:r>
        <w:rPr>
          <w:rFonts w:hint="eastAsia" w:ascii="宋体" w:hAnsi="宋体" w:eastAsia="宋体" w:cs="宋体"/>
          <w:color w:val="auto"/>
          <w:sz w:val="24"/>
          <w:szCs w:val="24"/>
          <w:highlight w:val="none"/>
        </w:rPr>
        <w:t>第三部分 专用合同条款</w:t>
      </w:r>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p>
    <w:p w14:paraId="50818EDC">
      <w:pPr>
        <w:spacing w:after="120" w:line="240" w:lineRule="auto"/>
        <w:ind w:firstLine="480" w:firstLineChars="200"/>
        <w:outlineLvl w:val="0"/>
        <w:rPr>
          <w:rFonts w:hint="eastAsia" w:ascii="宋体" w:hAnsi="宋体" w:eastAsia="宋体" w:cs="宋体"/>
          <w:color w:val="auto"/>
          <w:sz w:val="24"/>
          <w:szCs w:val="24"/>
          <w:highlight w:val="none"/>
        </w:rPr>
      </w:pPr>
      <w:bookmarkStart w:id="2883" w:name="_Toc351203633"/>
      <w:bookmarkEnd w:id="2883"/>
      <w:bookmarkStart w:id="2884" w:name="_Toc939"/>
      <w:bookmarkStart w:id="2885" w:name="_Toc30671"/>
      <w:bookmarkStart w:id="2886" w:name="_Toc8169"/>
      <w:bookmarkStart w:id="2887" w:name="_Toc1903"/>
      <w:bookmarkStart w:id="2888" w:name="_Toc18701"/>
      <w:bookmarkStart w:id="2889" w:name="_Toc26867"/>
      <w:bookmarkStart w:id="2890" w:name="_Toc14493"/>
      <w:bookmarkStart w:id="2891" w:name="_Toc31065"/>
      <w:bookmarkStart w:id="2892" w:name="_Toc3048"/>
      <w:bookmarkStart w:id="2893" w:name="_Toc30244"/>
      <w:bookmarkStart w:id="2894" w:name="_Toc20967"/>
      <w:bookmarkStart w:id="2895" w:name="_Toc31040"/>
      <w:bookmarkStart w:id="2896" w:name="_Toc10937"/>
      <w:bookmarkStart w:id="2897" w:name="_Toc17498"/>
      <w:bookmarkStart w:id="2898" w:name="_Toc11822"/>
      <w:bookmarkStart w:id="2899" w:name="_Toc1834"/>
      <w:r>
        <w:rPr>
          <w:rFonts w:hint="eastAsia" w:ascii="宋体" w:hAnsi="宋体" w:eastAsia="宋体" w:cs="宋体"/>
          <w:color w:val="auto"/>
          <w:sz w:val="24"/>
          <w:szCs w:val="24"/>
          <w:highlight w:val="none"/>
        </w:rPr>
        <w:t>1.1 词语定义</w:t>
      </w:r>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p>
    <w:p w14:paraId="6EA6B937">
      <w:pPr>
        <w:spacing w:line="24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1.1.1合同</w:t>
      </w:r>
    </w:p>
    <w:p w14:paraId="6188331F">
      <w:pPr>
        <w:spacing w:line="24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1.1.1.10其他合同文件包括：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00C31EE3">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合同当事人及其他相关方</w:t>
      </w:r>
    </w:p>
    <w:p w14:paraId="1F257502">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1.1.2.4监理人：</w:t>
      </w:r>
    </w:p>
    <w:p w14:paraId="10843BDA">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632E09D5">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3885C2C2">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4C1F73E1">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5C5D2A3B">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511F131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1.1.2.5 设计人：</w:t>
      </w:r>
    </w:p>
    <w:p w14:paraId="49679DC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6477C67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3AFB0B35">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3821645A">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7CC748C">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795919ED">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工程和设备</w:t>
      </w:r>
    </w:p>
    <w:p w14:paraId="5D471533">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1.1.3.7 作为施工现场组成部分的其他场所包括：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06A457F">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1.1.3.9 永久占地包括：</w:t>
      </w:r>
      <w:r>
        <w:rPr>
          <w:rFonts w:hint="eastAsia" w:ascii="宋体" w:hAnsi="宋体" w:eastAsia="宋体" w:cs="宋体"/>
          <w:color w:val="auto"/>
          <w:sz w:val="24"/>
          <w:szCs w:val="24"/>
          <w:highlight w:val="none"/>
          <w:u w:val="single"/>
        </w:rPr>
        <w:t xml:space="preserve">                        </w:t>
      </w:r>
      <w:r>
        <w:rPr>
          <w:rFonts w:hint="eastAsia" w:ascii="宋体" w:hAnsi="宋体" w:eastAsia="宋体" w:cs="宋体"/>
          <w:color w:val="auto"/>
          <w:kern w:val="0"/>
          <w:sz w:val="24"/>
          <w:szCs w:val="24"/>
          <w:highlight w:val="none"/>
        </w:rPr>
        <w:t>。</w:t>
      </w:r>
    </w:p>
    <w:p w14:paraId="00D2852C">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1.1.3.10 临时占地包括：</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kern w:val="0"/>
          <w:sz w:val="24"/>
          <w:szCs w:val="24"/>
          <w:highlight w:val="none"/>
        </w:rPr>
        <w:t>。</w:t>
      </w:r>
    </w:p>
    <w:p w14:paraId="4073CBAE">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p>
    <w:p w14:paraId="1C8778A9">
      <w:pPr>
        <w:autoSpaceDE w:val="0"/>
        <w:autoSpaceDN w:val="0"/>
        <w:adjustRightInd w:val="0"/>
        <w:spacing w:line="240" w:lineRule="auto"/>
        <w:ind w:left="568" w:leftChars="28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适用于合同的其他规范性文件：</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2C875B5E">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标准和规范</w:t>
      </w:r>
    </w:p>
    <w:p w14:paraId="671A1D77">
      <w:pPr>
        <w:spacing w:line="240" w:lineRule="auto"/>
        <w:ind w:left="568"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1.4.1适用于工程的标准规范包括：</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1294C046">
      <w:pPr>
        <w:spacing w:line="240" w:lineRule="auto"/>
        <w:ind w:firstLine="480" w:firstLineChars="200"/>
        <w:outlineLvl w:val="0"/>
        <w:rPr>
          <w:rFonts w:hint="eastAsia" w:ascii="宋体" w:hAnsi="宋体" w:eastAsia="宋体" w:cs="宋体"/>
          <w:color w:val="auto"/>
          <w:kern w:val="0"/>
          <w:sz w:val="24"/>
          <w:szCs w:val="24"/>
          <w:highlight w:val="none"/>
        </w:rPr>
      </w:pPr>
      <w:bookmarkStart w:id="2900" w:name="_Toc24282"/>
      <w:bookmarkStart w:id="2901" w:name="_Toc12151"/>
      <w:bookmarkStart w:id="2902" w:name="_Toc23014"/>
      <w:bookmarkStart w:id="2903" w:name="_Toc21836"/>
      <w:bookmarkStart w:id="2904" w:name="_Toc12246"/>
      <w:bookmarkStart w:id="2905" w:name="_Toc19006"/>
      <w:bookmarkStart w:id="2906" w:name="_Toc25361"/>
      <w:bookmarkStart w:id="2907" w:name="_Toc21909"/>
      <w:bookmarkStart w:id="2908" w:name="_Toc14345"/>
      <w:bookmarkStart w:id="2909" w:name="_Toc16077"/>
      <w:bookmarkStart w:id="2910" w:name="_Toc24605"/>
      <w:bookmarkStart w:id="2911" w:name="_Toc1248"/>
      <w:bookmarkStart w:id="2912" w:name="_Toc30046"/>
      <w:bookmarkStart w:id="2913" w:name="_Toc30811"/>
      <w:bookmarkStart w:id="2914" w:name="_Toc23898"/>
      <w:bookmarkStart w:id="2915" w:name="_Toc11086"/>
      <w:r>
        <w:rPr>
          <w:rFonts w:hint="eastAsia" w:ascii="宋体" w:hAnsi="宋体" w:eastAsia="宋体" w:cs="宋体"/>
          <w:color w:val="auto"/>
          <w:kern w:val="0"/>
          <w:sz w:val="24"/>
          <w:szCs w:val="24"/>
          <w:highlight w:val="none"/>
        </w:rPr>
        <w:t>1.4.2 发包人提供国外标准、规范的名称：</w:t>
      </w:r>
      <w:bookmarkEnd w:id="2900"/>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p>
    <w:p w14:paraId="1F43B267">
      <w:pPr>
        <w:spacing w:line="24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发包人提供国外标准、规范的份数：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8407519">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发包人提供国外标准、规范的名称：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ABE6860">
      <w:pPr>
        <w:spacing w:line="240" w:lineRule="auto"/>
        <w:ind w:left="568"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1.4.3发包人对工程的技术标准和功能要求的特殊要求：</w:t>
      </w:r>
    </w:p>
    <w:p w14:paraId="6C6B56AA">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40960A0E">
      <w:pPr>
        <w:pStyle w:val="5"/>
        <w:spacing w:line="240" w:lineRule="auto"/>
        <w:rPr>
          <w:rFonts w:hint="eastAsia" w:ascii="宋体" w:hAnsi="宋体" w:eastAsia="宋体" w:cs="宋体"/>
          <w:b w:val="0"/>
          <w:bCs w:val="0"/>
          <w:color w:val="auto"/>
          <w:sz w:val="24"/>
          <w:szCs w:val="24"/>
          <w:highlight w:val="none"/>
        </w:rPr>
      </w:pPr>
      <w:bookmarkStart w:id="2916" w:name="_Toc4241"/>
      <w:r>
        <w:rPr>
          <w:rFonts w:hint="eastAsia" w:ascii="宋体" w:hAnsi="宋体" w:eastAsia="宋体" w:cs="宋体"/>
          <w:b w:val="0"/>
          <w:bCs w:val="0"/>
          <w:color w:val="auto"/>
          <w:sz w:val="24"/>
          <w:szCs w:val="24"/>
          <w:highlight w:val="none"/>
        </w:rPr>
        <w:t>1</w:t>
      </w:r>
      <w:bookmarkStart w:id="2917" w:name="_Toc296891196"/>
      <w:bookmarkEnd w:id="2917"/>
      <w:bookmarkStart w:id="2918" w:name="_Toc297048342"/>
      <w:bookmarkEnd w:id="2918"/>
      <w:bookmarkStart w:id="2919" w:name="_Toc296890984"/>
      <w:bookmarkEnd w:id="2919"/>
      <w:bookmarkStart w:id="2920" w:name="_Toc296944495"/>
      <w:bookmarkEnd w:id="2920"/>
      <w:bookmarkStart w:id="2921" w:name="_Toc292559866"/>
      <w:bookmarkEnd w:id="2921"/>
      <w:bookmarkStart w:id="2922" w:name="_Toc296347155"/>
      <w:bookmarkEnd w:id="2922"/>
      <w:bookmarkStart w:id="2923" w:name="_Toc296503156"/>
      <w:bookmarkEnd w:id="2923"/>
      <w:bookmarkStart w:id="2924" w:name="_Toc292559361"/>
      <w:bookmarkEnd w:id="2924"/>
      <w:bookmarkStart w:id="2925" w:name="_Toc296346657"/>
      <w:bookmarkEnd w:id="2925"/>
      <w:bookmarkStart w:id="2926" w:name="_Toc297120456"/>
      <w:r>
        <w:rPr>
          <w:rFonts w:hint="eastAsia" w:ascii="宋体" w:hAnsi="宋体" w:eastAsia="宋体" w:cs="宋体"/>
          <w:b w:val="0"/>
          <w:bCs w:val="0"/>
          <w:color w:val="auto"/>
          <w:sz w:val="24"/>
          <w:szCs w:val="24"/>
          <w:highlight w:val="none"/>
        </w:rPr>
        <w:t>. 一般约定</w:t>
      </w:r>
      <w:bookmarkEnd w:id="2926"/>
    </w:p>
    <w:p w14:paraId="7EA1CAE8">
      <w:pPr>
        <w:spacing w:after="120" w:line="240" w:lineRule="auto"/>
        <w:ind w:firstLine="480" w:firstLineChars="200"/>
        <w:outlineLvl w:val="0"/>
        <w:rPr>
          <w:rFonts w:hint="eastAsia" w:ascii="宋体" w:hAnsi="宋体" w:eastAsia="宋体" w:cs="宋体"/>
          <w:color w:val="auto"/>
          <w:sz w:val="24"/>
          <w:szCs w:val="24"/>
          <w:highlight w:val="none"/>
        </w:rPr>
      </w:pPr>
      <w:bookmarkStart w:id="2927" w:name="_Toc9290"/>
      <w:bookmarkStart w:id="2928" w:name="_Toc28884"/>
      <w:bookmarkStart w:id="2929" w:name="_Toc30630"/>
      <w:bookmarkStart w:id="2930" w:name="_Toc26602"/>
      <w:bookmarkStart w:id="2931" w:name="_Toc3205"/>
      <w:bookmarkStart w:id="2932" w:name="_Toc16501"/>
      <w:bookmarkStart w:id="2933" w:name="_Toc19716"/>
      <w:bookmarkStart w:id="2934" w:name="_Toc31106"/>
      <w:bookmarkStart w:id="2935" w:name="_Toc17495"/>
      <w:bookmarkStart w:id="2936" w:name="_Toc29396"/>
      <w:bookmarkStart w:id="2937" w:name="_Toc30303"/>
      <w:bookmarkStart w:id="2938" w:name="_Toc12710"/>
      <w:bookmarkStart w:id="2939" w:name="_Toc31384"/>
      <w:bookmarkStart w:id="2940" w:name="_Toc3841"/>
      <w:bookmarkStart w:id="2941" w:name="_Toc7151"/>
      <w:r>
        <w:rPr>
          <w:rFonts w:hint="eastAsia" w:ascii="宋体" w:hAnsi="宋体" w:eastAsia="宋体" w:cs="宋体"/>
          <w:color w:val="auto"/>
          <w:sz w:val="24"/>
          <w:szCs w:val="24"/>
          <w:highlight w:val="none"/>
        </w:rPr>
        <w:t>1.5 合同文件的优先顺序</w:t>
      </w:r>
      <w:bookmarkEnd w:id="291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p>
    <w:p w14:paraId="6EDCAFCC">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合同文件组成及优先顺序为：</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70A9C42F">
      <w:pPr>
        <w:spacing w:after="120" w:line="240" w:lineRule="auto"/>
        <w:ind w:firstLine="480" w:firstLineChars="200"/>
        <w:outlineLvl w:val="0"/>
        <w:rPr>
          <w:rFonts w:hint="eastAsia" w:ascii="宋体" w:hAnsi="宋体" w:eastAsia="宋体" w:cs="宋体"/>
          <w:color w:val="auto"/>
          <w:sz w:val="24"/>
          <w:szCs w:val="24"/>
          <w:highlight w:val="none"/>
        </w:rPr>
      </w:pPr>
      <w:bookmarkStart w:id="2942" w:name="_Toc6314"/>
      <w:bookmarkStart w:id="2943" w:name="_Toc17878"/>
      <w:bookmarkStart w:id="2944" w:name="_Toc4918"/>
      <w:bookmarkStart w:id="2945" w:name="_Toc10538"/>
      <w:bookmarkStart w:id="2946" w:name="_Toc29119"/>
      <w:bookmarkStart w:id="2947" w:name="_Toc2499"/>
      <w:bookmarkStart w:id="2948" w:name="_Toc16043"/>
      <w:bookmarkStart w:id="2949" w:name="_Toc8521"/>
      <w:bookmarkStart w:id="2950" w:name="_Toc27992"/>
      <w:bookmarkStart w:id="2951" w:name="_Toc7566"/>
      <w:bookmarkStart w:id="2952" w:name="_Toc26722"/>
      <w:bookmarkStart w:id="2953" w:name="_Toc11690"/>
      <w:bookmarkStart w:id="2954" w:name="_Toc32534"/>
      <w:bookmarkStart w:id="2955" w:name="_Toc14293"/>
      <w:bookmarkStart w:id="2956" w:name="_Toc31634"/>
      <w:bookmarkStart w:id="2957" w:name="_Toc23380"/>
      <w:r>
        <w:rPr>
          <w:rFonts w:hint="eastAsia" w:ascii="宋体" w:hAnsi="宋体" w:eastAsia="宋体" w:cs="宋体"/>
          <w:color w:val="auto"/>
          <w:sz w:val="24"/>
          <w:szCs w:val="24"/>
          <w:highlight w:val="none"/>
        </w:rPr>
        <w:t>1.6 图纸和承包人文件</w:t>
      </w:r>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r>
        <w:rPr>
          <w:rFonts w:hint="eastAsia" w:ascii="宋体" w:hAnsi="宋体" w:eastAsia="宋体" w:cs="宋体"/>
          <w:color w:val="auto"/>
          <w:sz w:val="24"/>
          <w:szCs w:val="24"/>
          <w:highlight w:val="none"/>
        </w:rPr>
        <w:tab/>
      </w:r>
    </w:p>
    <w:p w14:paraId="5946ABAF">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图纸的提供</w:t>
      </w:r>
    </w:p>
    <w:p w14:paraId="02DB7A51">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发包人向承包人提供图纸的期限：</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7A5D988A">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发包人向承包人提供图纸的数量：</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0A5C7DF6">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发包人向承包人提供图纸的内容：</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26CCD530">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 承包人文件</w:t>
      </w:r>
    </w:p>
    <w:p w14:paraId="66B4777B">
      <w:pPr>
        <w:spacing w:line="240" w:lineRule="auto"/>
        <w:ind w:left="568" w:leftChars="28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需要由承包人提供的文件，包括：</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2C84A233">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       </w:t>
      </w:r>
      <w:r>
        <w:rPr>
          <w:rFonts w:hint="eastAsia" w:ascii="宋体" w:hAnsi="宋体" w:eastAsia="宋体" w:cs="宋体"/>
          <w:color w:val="auto"/>
          <w:sz w:val="24"/>
          <w:szCs w:val="24"/>
          <w:highlight w:val="none"/>
        </w:rPr>
        <w:t>；</w:t>
      </w:r>
    </w:p>
    <w:p w14:paraId="0BE72869">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8B9B525">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0D40DBD5">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1BD8D392">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1.6.5 现场图纸准备</w:t>
      </w:r>
    </w:p>
    <w:p w14:paraId="3FE3AE98">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关于现场图纸准备的约定：</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31D0BBAB">
      <w:pPr>
        <w:spacing w:after="120" w:line="240" w:lineRule="auto"/>
        <w:ind w:firstLine="480" w:firstLineChars="200"/>
        <w:outlineLvl w:val="0"/>
        <w:rPr>
          <w:rFonts w:hint="eastAsia" w:ascii="宋体" w:hAnsi="宋体" w:eastAsia="宋体" w:cs="宋体"/>
          <w:color w:val="auto"/>
          <w:sz w:val="24"/>
          <w:szCs w:val="24"/>
          <w:highlight w:val="none"/>
        </w:rPr>
      </w:pPr>
      <w:bookmarkStart w:id="2958" w:name="_Toc18295"/>
      <w:bookmarkStart w:id="2959" w:name="_Toc8776"/>
      <w:bookmarkStart w:id="2960" w:name="_Toc30784"/>
      <w:bookmarkStart w:id="2961" w:name="_Toc9363"/>
      <w:bookmarkStart w:id="2962" w:name="_Toc31692"/>
      <w:bookmarkStart w:id="2963" w:name="_Toc20105"/>
      <w:bookmarkStart w:id="2964" w:name="_Toc27078"/>
      <w:bookmarkStart w:id="2965" w:name="_Toc8377"/>
      <w:bookmarkStart w:id="2966" w:name="_Toc19953"/>
      <w:bookmarkStart w:id="2967" w:name="_Toc25080"/>
      <w:bookmarkStart w:id="2968" w:name="_Toc27544"/>
      <w:bookmarkStart w:id="2969" w:name="_Toc29451"/>
      <w:bookmarkStart w:id="2970" w:name="_Toc16375"/>
      <w:bookmarkStart w:id="2971" w:name="_Toc11605"/>
      <w:bookmarkStart w:id="2972" w:name="_Toc31119"/>
      <w:bookmarkStart w:id="2973" w:name="_Toc6463"/>
      <w:r>
        <w:rPr>
          <w:rFonts w:hint="eastAsia" w:ascii="宋体" w:hAnsi="宋体" w:eastAsia="宋体" w:cs="宋体"/>
          <w:color w:val="auto"/>
          <w:sz w:val="24"/>
          <w:szCs w:val="24"/>
          <w:highlight w:val="none"/>
        </w:rPr>
        <w:t>1.7 联络</w:t>
      </w:r>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p>
    <w:p w14:paraId="73F6E70B">
      <w:pPr>
        <w:spacing w:line="24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1.7.1发包人和承包人应当在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天内将与合同有关的通知、批准、证明、证书、指示、指令、要求、请求、同意、意见、确定和决定等书面函件送达对方当事人。</w:t>
      </w:r>
    </w:p>
    <w:p w14:paraId="4DA30C1E">
      <w:pPr>
        <w:spacing w:line="24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1.7.2 发包人接收文件的地点：</w:t>
      </w:r>
      <w:r>
        <w:rPr>
          <w:rFonts w:hint="eastAsia" w:ascii="宋体" w:hAnsi="宋体" w:eastAsia="宋体" w:cs="宋体"/>
          <w:color w:val="auto"/>
          <w:sz w:val="24"/>
          <w:szCs w:val="24"/>
          <w:highlight w:val="none"/>
          <w:u w:val="single"/>
        </w:rPr>
        <w:t>      </w:t>
      </w:r>
      <w:r>
        <w:rPr>
          <w:rFonts w:hint="eastAsia" w:ascii="宋体" w:hAnsi="宋体" w:eastAsia="宋体" w:cs="宋体"/>
          <w:color w:val="auto"/>
          <w:kern w:val="0"/>
          <w:sz w:val="24"/>
          <w:szCs w:val="24"/>
          <w:highlight w:val="none"/>
        </w:rPr>
        <w:t>；</w:t>
      </w:r>
    </w:p>
    <w:p w14:paraId="2FC4DD69">
      <w:pPr>
        <w:spacing w:line="24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发包人指定的接收人为：</w:t>
      </w:r>
      <w:r>
        <w:rPr>
          <w:rFonts w:hint="eastAsia" w:ascii="宋体" w:hAnsi="宋体" w:eastAsia="宋体" w:cs="宋体"/>
          <w:color w:val="auto"/>
          <w:sz w:val="24"/>
          <w:szCs w:val="24"/>
          <w:highlight w:val="none"/>
          <w:u w:val="single"/>
        </w:rPr>
        <w:t>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kern w:val="0"/>
          <w:sz w:val="24"/>
          <w:szCs w:val="24"/>
          <w:highlight w:val="none"/>
        </w:rPr>
        <w:t>。</w:t>
      </w:r>
    </w:p>
    <w:p w14:paraId="47D12FC4">
      <w:pPr>
        <w:spacing w:line="24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承包人接收文件的地点：</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2EAE9D3D">
      <w:pPr>
        <w:spacing w:line="24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承包人指定的接收人为：</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2C54F158">
      <w:pPr>
        <w:spacing w:line="24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监理人接收文件的地点：</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kern w:val="0"/>
          <w:sz w:val="24"/>
          <w:szCs w:val="24"/>
          <w:highlight w:val="none"/>
        </w:rPr>
        <w:t>；</w:t>
      </w:r>
    </w:p>
    <w:p w14:paraId="4147610C">
      <w:pPr>
        <w:spacing w:line="24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监理人指定的接收人为：</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kern w:val="0"/>
          <w:sz w:val="24"/>
          <w:szCs w:val="24"/>
          <w:highlight w:val="none"/>
        </w:rPr>
        <w:t>。</w:t>
      </w:r>
    </w:p>
    <w:p w14:paraId="01C8F54B">
      <w:pPr>
        <w:spacing w:after="120" w:line="240" w:lineRule="auto"/>
        <w:ind w:firstLine="480" w:firstLineChars="200"/>
        <w:outlineLvl w:val="0"/>
        <w:rPr>
          <w:rFonts w:hint="eastAsia" w:ascii="宋体" w:hAnsi="宋体" w:eastAsia="宋体" w:cs="宋体"/>
          <w:color w:val="auto"/>
          <w:sz w:val="24"/>
          <w:szCs w:val="24"/>
          <w:highlight w:val="none"/>
        </w:rPr>
      </w:pPr>
      <w:bookmarkStart w:id="2974" w:name="_Toc27055"/>
      <w:bookmarkStart w:id="2975" w:name="_Toc19656"/>
      <w:bookmarkStart w:id="2976" w:name="_Toc22903"/>
      <w:bookmarkStart w:id="2977" w:name="_Toc10647"/>
      <w:bookmarkStart w:id="2978" w:name="_Toc8951"/>
      <w:bookmarkStart w:id="2979" w:name="_Toc5645"/>
      <w:bookmarkStart w:id="2980" w:name="_Toc20693"/>
      <w:bookmarkStart w:id="2981" w:name="_Toc30896"/>
      <w:bookmarkStart w:id="2982" w:name="_Toc15395"/>
      <w:bookmarkStart w:id="2983" w:name="_Toc30022"/>
      <w:bookmarkStart w:id="2984" w:name="_Toc15192"/>
      <w:bookmarkStart w:id="2985" w:name="_Toc20173"/>
      <w:bookmarkStart w:id="2986" w:name="_Toc17003"/>
      <w:bookmarkStart w:id="2987" w:name="_Toc8525"/>
      <w:bookmarkStart w:id="2988" w:name="_Toc22915"/>
      <w:bookmarkStart w:id="2989" w:name="_Toc24893"/>
      <w:r>
        <w:rPr>
          <w:rFonts w:hint="eastAsia" w:ascii="宋体" w:hAnsi="宋体" w:eastAsia="宋体" w:cs="宋体"/>
          <w:color w:val="auto"/>
          <w:sz w:val="24"/>
          <w:szCs w:val="24"/>
          <w:highlight w:val="none"/>
        </w:rPr>
        <w:t>1.10 交通运输</w:t>
      </w:r>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p>
    <w:p w14:paraId="5724769C">
      <w:pPr>
        <w:spacing w:line="240" w:lineRule="auto"/>
        <w:ind w:firstLine="480" w:firstLineChars="200"/>
        <w:outlineLvl w:val="0"/>
        <w:rPr>
          <w:rFonts w:hint="eastAsia" w:ascii="宋体" w:hAnsi="宋体" w:eastAsia="宋体" w:cs="宋体"/>
          <w:color w:val="auto"/>
          <w:sz w:val="24"/>
          <w:szCs w:val="24"/>
          <w:highlight w:val="none"/>
        </w:rPr>
      </w:pPr>
      <w:bookmarkStart w:id="2990" w:name="_Toc27513"/>
      <w:bookmarkStart w:id="2991" w:name="_Toc7939"/>
      <w:bookmarkStart w:id="2992" w:name="_Toc13864"/>
      <w:bookmarkStart w:id="2993" w:name="_Toc5569"/>
      <w:bookmarkStart w:id="2994" w:name="_Toc24166"/>
      <w:bookmarkStart w:id="2995" w:name="_Toc3569"/>
      <w:bookmarkStart w:id="2996" w:name="_Toc12367"/>
      <w:bookmarkStart w:id="2997" w:name="_Toc29609"/>
      <w:bookmarkStart w:id="2998" w:name="_Toc22768"/>
      <w:bookmarkStart w:id="2999" w:name="_Toc4265"/>
      <w:bookmarkStart w:id="3000" w:name="_Toc8560"/>
      <w:bookmarkStart w:id="3001" w:name="_Toc14740"/>
      <w:bookmarkStart w:id="3002" w:name="_Toc9457"/>
      <w:bookmarkStart w:id="3003" w:name="_Toc31218"/>
      <w:bookmarkStart w:id="3004" w:name="_Toc8945"/>
      <w:bookmarkStart w:id="3005" w:name="_Toc21765"/>
      <w:r>
        <w:rPr>
          <w:rFonts w:hint="eastAsia" w:ascii="宋体" w:hAnsi="宋体" w:eastAsia="宋体" w:cs="宋体"/>
          <w:color w:val="auto"/>
          <w:sz w:val="24"/>
          <w:szCs w:val="24"/>
          <w:highlight w:val="none"/>
        </w:rPr>
        <w:t>1</w:t>
      </w:r>
      <w:bookmarkStart w:id="3006" w:name="_Toc304295521"/>
      <w:bookmarkEnd w:id="3006"/>
      <w:bookmarkStart w:id="3007" w:name="_Toc312677986"/>
      <w:bookmarkEnd w:id="3007"/>
      <w:bookmarkStart w:id="3008" w:name="_Toc303539100"/>
      <w:bookmarkEnd w:id="3008"/>
      <w:bookmarkStart w:id="3009" w:name="_Toc300934943"/>
      <w:bookmarkEnd w:id="3009"/>
      <w:bookmarkStart w:id="3010" w:name="_Toc318581155"/>
      <w:r>
        <w:rPr>
          <w:rFonts w:hint="eastAsia" w:ascii="宋体" w:hAnsi="宋体" w:eastAsia="宋体" w:cs="宋体"/>
          <w:color w:val="auto"/>
          <w:sz w:val="24"/>
          <w:szCs w:val="24"/>
          <w:highlight w:val="none"/>
        </w:rPr>
        <w:t>.10.1 出入现场的权利</w:t>
      </w:r>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10"/>
    </w:p>
    <w:p w14:paraId="710FA2B7">
      <w:pPr>
        <w:spacing w:line="240" w:lineRule="auto"/>
        <w:ind w:left="568"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03D70866">
      <w:pPr>
        <w:spacing w:line="240" w:lineRule="auto"/>
        <w:ind w:firstLine="480" w:firstLineChars="200"/>
        <w:jc w:val="left"/>
        <w:outlineLvl w:val="0"/>
        <w:rPr>
          <w:rFonts w:hint="eastAsia" w:ascii="宋体" w:hAnsi="宋体" w:eastAsia="宋体" w:cs="宋体"/>
          <w:color w:val="auto"/>
          <w:sz w:val="24"/>
          <w:szCs w:val="24"/>
          <w:highlight w:val="none"/>
        </w:rPr>
      </w:pPr>
      <w:bookmarkStart w:id="3011" w:name="_Toc11037"/>
      <w:bookmarkStart w:id="3012" w:name="_Toc26800"/>
      <w:bookmarkStart w:id="3013" w:name="_Toc13384"/>
      <w:bookmarkStart w:id="3014" w:name="_Toc17044"/>
      <w:bookmarkStart w:id="3015" w:name="_Toc17131"/>
      <w:bookmarkStart w:id="3016" w:name="_Toc15580"/>
      <w:bookmarkStart w:id="3017" w:name="_Toc7575"/>
      <w:bookmarkStart w:id="3018" w:name="_Toc10049"/>
      <w:bookmarkStart w:id="3019" w:name="_Toc15105"/>
      <w:bookmarkStart w:id="3020" w:name="_Toc10180"/>
      <w:bookmarkStart w:id="3021" w:name="_Toc8513"/>
      <w:bookmarkStart w:id="3022" w:name="_Toc10479"/>
      <w:bookmarkStart w:id="3023" w:name="_Toc10142"/>
      <w:bookmarkStart w:id="3024" w:name="_Toc15560"/>
      <w:bookmarkStart w:id="3025" w:name="_Toc31511"/>
      <w:bookmarkStart w:id="3026" w:name="_Toc29270"/>
      <w:r>
        <w:rPr>
          <w:rFonts w:hint="eastAsia" w:ascii="宋体" w:hAnsi="宋体" w:eastAsia="宋体" w:cs="宋体"/>
          <w:color w:val="auto"/>
          <w:sz w:val="24"/>
          <w:szCs w:val="24"/>
          <w:highlight w:val="none"/>
        </w:rPr>
        <w:t>1</w:t>
      </w:r>
      <w:bookmarkStart w:id="3027" w:name="_Toc300934944"/>
      <w:bookmarkEnd w:id="3027"/>
      <w:bookmarkStart w:id="3028" w:name="_Toc303539101"/>
      <w:bookmarkEnd w:id="3028"/>
      <w:bookmarkStart w:id="3029" w:name="_Toc304295522"/>
      <w:bookmarkEnd w:id="3029"/>
      <w:bookmarkStart w:id="3030" w:name="_Toc312677987"/>
      <w:bookmarkEnd w:id="3030"/>
      <w:bookmarkStart w:id="3031" w:name="_Toc318581156"/>
      <w:r>
        <w:rPr>
          <w:rFonts w:hint="eastAsia" w:ascii="宋体" w:hAnsi="宋体" w:eastAsia="宋体" w:cs="宋体"/>
          <w:color w:val="auto"/>
          <w:sz w:val="24"/>
          <w:szCs w:val="24"/>
          <w:highlight w:val="none"/>
        </w:rPr>
        <w:t>.10.3 场内交通</w:t>
      </w:r>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31"/>
    </w:p>
    <w:p w14:paraId="7CF3EC81">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关于场外交通和场内交通的边界的约定：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B47B69A">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关于发包人向承包人免费提供满足工程施工需要的场内道路和交通设施的约定：</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bookmarkStart w:id="3032" w:name="_Toc318581157"/>
      <w:bookmarkEnd w:id="3032"/>
    </w:p>
    <w:p w14:paraId="1BAC0ADB">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1.10.4超大件和超重件的运输</w:t>
      </w:r>
    </w:p>
    <w:p w14:paraId="23342385">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承担。</w:t>
      </w:r>
    </w:p>
    <w:p w14:paraId="635A7D7D">
      <w:pPr>
        <w:spacing w:after="120" w:line="240" w:lineRule="auto"/>
        <w:ind w:firstLine="480" w:firstLineChars="200"/>
        <w:outlineLvl w:val="0"/>
        <w:rPr>
          <w:rFonts w:hint="eastAsia" w:ascii="宋体" w:hAnsi="宋体" w:eastAsia="宋体" w:cs="宋体"/>
          <w:color w:val="auto"/>
          <w:sz w:val="24"/>
          <w:szCs w:val="24"/>
          <w:highlight w:val="none"/>
        </w:rPr>
      </w:pPr>
      <w:bookmarkStart w:id="3033" w:name="_Toc23918"/>
      <w:bookmarkStart w:id="3034" w:name="_Toc9943"/>
      <w:bookmarkStart w:id="3035" w:name="_Toc12348"/>
      <w:bookmarkStart w:id="3036" w:name="_Toc27798"/>
      <w:bookmarkStart w:id="3037" w:name="_Toc16783"/>
      <w:bookmarkStart w:id="3038" w:name="_Toc28088"/>
      <w:bookmarkStart w:id="3039" w:name="_Toc4887"/>
      <w:bookmarkStart w:id="3040" w:name="_Toc12798"/>
      <w:bookmarkStart w:id="3041" w:name="_Toc23800"/>
      <w:bookmarkStart w:id="3042" w:name="_Toc31548"/>
      <w:bookmarkStart w:id="3043" w:name="_Toc19427"/>
      <w:bookmarkStart w:id="3044" w:name="_Toc15392"/>
      <w:bookmarkStart w:id="3045" w:name="_Toc23374"/>
      <w:bookmarkStart w:id="3046" w:name="_Toc30748"/>
      <w:bookmarkStart w:id="3047" w:name="_Toc27467"/>
      <w:bookmarkStart w:id="3048" w:name="_Toc19876"/>
      <w:r>
        <w:rPr>
          <w:rFonts w:hint="eastAsia" w:ascii="宋体" w:hAnsi="宋体" w:eastAsia="宋体" w:cs="宋体"/>
          <w:color w:val="auto"/>
          <w:sz w:val="24"/>
          <w:szCs w:val="24"/>
          <w:highlight w:val="none"/>
        </w:rPr>
        <w:t>1.11 知识产权</w:t>
      </w:r>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p>
    <w:p w14:paraId="02126D05">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B6FE776">
      <w:pPr>
        <w:spacing w:line="240" w:lineRule="auto"/>
        <w:ind w:left="568"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关于发包人提供的上述文件的使用限制的要求：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C2499C4">
      <w:pPr>
        <w:spacing w:line="240" w:lineRule="auto"/>
        <w:ind w:left="568" w:leftChars="284"/>
        <w:outlineLvl w:val="0"/>
        <w:rPr>
          <w:rFonts w:hint="eastAsia" w:ascii="宋体" w:hAnsi="宋体" w:eastAsia="宋体" w:cs="宋体"/>
          <w:color w:val="auto"/>
          <w:sz w:val="24"/>
          <w:szCs w:val="24"/>
          <w:highlight w:val="none"/>
        </w:rPr>
      </w:pPr>
      <w:bookmarkStart w:id="3049" w:name="_Toc4652"/>
      <w:bookmarkStart w:id="3050" w:name="_Toc15840"/>
      <w:bookmarkStart w:id="3051" w:name="_Toc14977"/>
      <w:bookmarkStart w:id="3052" w:name="_Toc1787"/>
      <w:bookmarkStart w:id="3053" w:name="_Toc12342"/>
      <w:bookmarkStart w:id="3054" w:name="_Toc14793"/>
      <w:bookmarkStart w:id="3055" w:name="_Toc2062"/>
      <w:bookmarkStart w:id="3056" w:name="_Toc26655"/>
      <w:bookmarkStart w:id="3057" w:name="_Toc25047"/>
      <w:bookmarkStart w:id="3058" w:name="_Toc2018"/>
      <w:bookmarkStart w:id="3059" w:name="_Toc24719"/>
      <w:bookmarkStart w:id="3060" w:name="_Toc16937"/>
      <w:bookmarkStart w:id="3061" w:name="_Toc13943"/>
      <w:bookmarkStart w:id="3062" w:name="_Toc9204"/>
      <w:bookmarkStart w:id="3063" w:name="_Toc19869"/>
      <w:bookmarkStart w:id="3064" w:name="_Toc20909"/>
      <w:r>
        <w:rPr>
          <w:rFonts w:hint="eastAsia" w:ascii="宋体" w:hAnsi="宋体" w:eastAsia="宋体" w:cs="宋体"/>
          <w:color w:val="auto"/>
          <w:sz w:val="24"/>
          <w:szCs w:val="24"/>
          <w:highlight w:val="none"/>
        </w:rPr>
        <w:t>1.11.2 关于承包人为实施工程所编制文件的著作权的归属：</w:t>
      </w:r>
      <w:bookmarkEnd w:id="3049"/>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p>
    <w:p w14:paraId="0DD9C289">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关于承包人提供的上述文件的使用限制的要求：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14FEA158">
      <w:pPr>
        <w:pageBreakBefore w:val="0"/>
        <w:widowControl/>
        <w:kinsoku/>
        <w:wordWrap/>
        <w:overflowPunct/>
        <w:topLinePunct w:val="0"/>
        <w:autoSpaceDE/>
        <w:autoSpaceDN/>
        <w:bidi w:val="0"/>
        <w:adjustRightInd/>
        <w:snapToGrid/>
        <w:spacing w:line="240" w:lineRule="auto"/>
        <w:ind w:firstLine="480" w:firstLineChars="200"/>
        <w:textAlignment w:val="auto"/>
        <w:outlineLvl w:val="0"/>
        <w:rPr>
          <w:rFonts w:hint="eastAsia" w:ascii="宋体" w:hAnsi="宋体" w:eastAsia="宋体" w:cs="宋体"/>
          <w:color w:val="auto"/>
          <w:kern w:val="0"/>
          <w:sz w:val="24"/>
          <w:szCs w:val="24"/>
          <w:highlight w:val="none"/>
        </w:rPr>
      </w:pPr>
      <w:bookmarkStart w:id="3065" w:name="_Toc29365"/>
      <w:bookmarkStart w:id="3066" w:name="_Toc8301"/>
      <w:bookmarkStart w:id="3067" w:name="_Toc29325"/>
      <w:bookmarkStart w:id="3068" w:name="_Toc20264"/>
      <w:bookmarkStart w:id="3069" w:name="_Toc17110"/>
      <w:bookmarkStart w:id="3070" w:name="_Toc2730"/>
      <w:bookmarkStart w:id="3071" w:name="_Toc10788"/>
      <w:bookmarkStart w:id="3072" w:name="_Toc23428"/>
      <w:bookmarkStart w:id="3073" w:name="_Toc16788"/>
      <w:bookmarkStart w:id="3074" w:name="_Toc10199"/>
      <w:bookmarkStart w:id="3075" w:name="_Toc21681"/>
      <w:bookmarkStart w:id="3076" w:name="_Toc24376"/>
      <w:bookmarkStart w:id="3077" w:name="_Toc14009"/>
      <w:bookmarkStart w:id="3078" w:name="_Toc8111"/>
      <w:bookmarkStart w:id="3079" w:name="_Toc23355"/>
      <w:bookmarkStart w:id="3080" w:name="_Toc11373"/>
      <w:r>
        <w:rPr>
          <w:rFonts w:hint="eastAsia" w:ascii="宋体" w:hAnsi="宋体" w:eastAsia="宋体" w:cs="宋体"/>
          <w:color w:val="auto"/>
          <w:sz w:val="24"/>
          <w:szCs w:val="24"/>
          <w:highlight w:val="none"/>
        </w:rPr>
        <w:t>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kern w:val="0"/>
          <w:sz w:val="24"/>
          <w:szCs w:val="24"/>
          <w:highlight w:val="none"/>
        </w:rPr>
        <w:t>。</w:t>
      </w:r>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p>
    <w:p w14:paraId="52528327">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1.13工程量清单错误的修正</w:t>
      </w:r>
    </w:p>
    <w:p w14:paraId="2B3F8F00">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出现工程量清单错误时，是否调整合同价格：</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kern w:val="0"/>
          <w:sz w:val="24"/>
          <w:szCs w:val="24"/>
          <w:highlight w:val="none"/>
        </w:rPr>
        <w:t>。</w:t>
      </w:r>
    </w:p>
    <w:p w14:paraId="2947D4C4">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允许调整合同价格的工程量偏差范围：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2ED4219C">
      <w:pPr>
        <w:pStyle w:val="5"/>
        <w:pageBreakBefore w:val="0"/>
        <w:widowControl/>
        <w:kinsoku/>
        <w:wordWrap/>
        <w:overflowPunct/>
        <w:topLinePunct w:val="0"/>
        <w:autoSpaceDE/>
        <w:autoSpaceDN/>
        <w:bidi w:val="0"/>
        <w:adjustRightInd/>
        <w:snapToGrid/>
        <w:spacing w:before="0" w:after="0" w:line="240" w:lineRule="auto"/>
        <w:textAlignment w:val="auto"/>
        <w:rPr>
          <w:rFonts w:hint="eastAsia" w:ascii="宋体" w:hAnsi="宋体" w:eastAsia="宋体" w:cs="宋体"/>
          <w:b w:val="0"/>
          <w:bCs w:val="0"/>
          <w:color w:val="auto"/>
          <w:sz w:val="24"/>
          <w:szCs w:val="24"/>
          <w:highlight w:val="none"/>
        </w:rPr>
      </w:pPr>
      <w:bookmarkStart w:id="3081" w:name="_Toc351203634"/>
      <w:bookmarkEnd w:id="3081"/>
      <w:r>
        <w:rPr>
          <w:rFonts w:hint="eastAsia" w:ascii="宋体" w:hAnsi="宋体" w:eastAsia="宋体" w:cs="宋体"/>
          <w:b w:val="0"/>
          <w:bCs w:val="0"/>
          <w:color w:val="auto"/>
          <w:sz w:val="24"/>
          <w:szCs w:val="24"/>
          <w:highlight w:val="none"/>
        </w:rPr>
        <w:t>2</w:t>
      </w:r>
      <w:bookmarkStart w:id="3082" w:name="_Toc296891197"/>
      <w:bookmarkEnd w:id="3082"/>
      <w:bookmarkStart w:id="3083" w:name="_Toc296347156"/>
      <w:bookmarkEnd w:id="3083"/>
      <w:bookmarkStart w:id="3084" w:name="_Toc296890985"/>
      <w:bookmarkEnd w:id="3084"/>
      <w:bookmarkStart w:id="3085" w:name="_Toc296944496"/>
      <w:bookmarkEnd w:id="3085"/>
      <w:bookmarkStart w:id="3086" w:name="_Toc297048343"/>
      <w:bookmarkEnd w:id="3086"/>
      <w:bookmarkStart w:id="3087" w:name="_Toc296346658"/>
      <w:bookmarkEnd w:id="3087"/>
      <w:bookmarkStart w:id="3088" w:name="_Toc292559362"/>
      <w:bookmarkEnd w:id="3088"/>
      <w:bookmarkStart w:id="3089" w:name="_Toc296503157"/>
      <w:bookmarkEnd w:id="3089"/>
      <w:bookmarkStart w:id="3090" w:name="_Toc292559867"/>
      <w:bookmarkEnd w:id="3090"/>
      <w:bookmarkStart w:id="3091" w:name="_Toc297120457"/>
      <w:r>
        <w:rPr>
          <w:rFonts w:hint="eastAsia" w:ascii="宋体" w:hAnsi="宋体" w:eastAsia="宋体" w:cs="宋体"/>
          <w:b w:val="0"/>
          <w:bCs w:val="0"/>
          <w:color w:val="auto"/>
          <w:sz w:val="24"/>
          <w:szCs w:val="24"/>
          <w:highlight w:val="none"/>
        </w:rPr>
        <w:t>. 发包人</w:t>
      </w:r>
      <w:bookmarkEnd w:id="3091"/>
    </w:p>
    <w:p w14:paraId="10510DD2">
      <w:pPr>
        <w:pageBreakBefore w:val="0"/>
        <w:widowControl/>
        <w:kinsoku/>
        <w:wordWrap/>
        <w:overflowPunct/>
        <w:topLinePunct w:val="0"/>
        <w:autoSpaceDE/>
        <w:autoSpaceDN/>
        <w:bidi w:val="0"/>
        <w:adjustRightInd/>
        <w:snapToGrid/>
        <w:spacing w:line="240" w:lineRule="auto"/>
        <w:ind w:firstLine="480" w:firstLineChars="200"/>
        <w:textAlignment w:val="auto"/>
        <w:outlineLvl w:val="0"/>
        <w:rPr>
          <w:rFonts w:hint="eastAsia" w:ascii="宋体" w:hAnsi="宋体" w:eastAsia="宋体" w:cs="宋体"/>
          <w:color w:val="auto"/>
          <w:sz w:val="24"/>
          <w:szCs w:val="24"/>
          <w:highlight w:val="none"/>
        </w:rPr>
      </w:pPr>
      <w:bookmarkStart w:id="3092" w:name="_Toc6188"/>
      <w:bookmarkStart w:id="3093" w:name="_Toc8645"/>
      <w:bookmarkStart w:id="3094" w:name="_Toc4596"/>
      <w:bookmarkStart w:id="3095" w:name="_Toc6413"/>
      <w:bookmarkStart w:id="3096" w:name="_Toc17403"/>
      <w:bookmarkStart w:id="3097" w:name="_Toc8592"/>
      <w:bookmarkStart w:id="3098" w:name="_Toc9754"/>
      <w:bookmarkStart w:id="3099" w:name="_Toc11780"/>
      <w:bookmarkStart w:id="3100" w:name="_Toc21395"/>
      <w:bookmarkStart w:id="3101" w:name="_Toc4524"/>
      <w:bookmarkStart w:id="3102" w:name="_Toc32065"/>
      <w:bookmarkStart w:id="3103" w:name="_Toc28608"/>
      <w:bookmarkStart w:id="3104" w:name="_Toc11146"/>
      <w:bookmarkStart w:id="3105" w:name="_Toc16669"/>
      <w:bookmarkStart w:id="3106" w:name="_Toc10030"/>
      <w:bookmarkStart w:id="3107" w:name="_Toc15150"/>
      <w:r>
        <w:rPr>
          <w:rFonts w:hint="eastAsia" w:ascii="宋体" w:hAnsi="宋体" w:eastAsia="宋体" w:cs="宋体"/>
          <w:color w:val="auto"/>
          <w:sz w:val="24"/>
          <w:szCs w:val="24"/>
          <w:highlight w:val="none"/>
        </w:rPr>
        <w:t>2.2 发包人代表</w:t>
      </w:r>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p>
    <w:p w14:paraId="552B15BE">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发包人代表：</w:t>
      </w:r>
    </w:p>
    <w:p w14:paraId="50079D7C">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66EBACC1">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85F213C">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64A0E4F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  </w:t>
      </w:r>
      <w:r>
        <w:rPr>
          <w:rFonts w:hint="eastAsia" w:ascii="宋体" w:hAnsi="宋体" w:eastAsia="宋体" w:cs="宋体"/>
          <w:color w:val="auto"/>
          <w:sz w:val="24"/>
          <w:szCs w:val="24"/>
          <w:highlight w:val="none"/>
        </w:rPr>
        <w:t>；</w:t>
      </w:r>
    </w:p>
    <w:p w14:paraId="1CF233AB">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   </w:t>
      </w:r>
      <w:r>
        <w:rPr>
          <w:rFonts w:hint="eastAsia" w:ascii="宋体" w:hAnsi="宋体" w:eastAsia="宋体" w:cs="宋体"/>
          <w:color w:val="auto"/>
          <w:sz w:val="24"/>
          <w:szCs w:val="24"/>
          <w:highlight w:val="none"/>
        </w:rPr>
        <w:t>；</w:t>
      </w:r>
    </w:p>
    <w:p w14:paraId="47AB0901">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28470185">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260E617">
      <w:pPr>
        <w:spacing w:after="120" w:line="240" w:lineRule="auto"/>
        <w:ind w:firstLine="480" w:firstLineChars="200"/>
        <w:outlineLvl w:val="0"/>
        <w:rPr>
          <w:rFonts w:hint="eastAsia" w:ascii="宋体" w:hAnsi="宋体" w:eastAsia="宋体" w:cs="宋体"/>
          <w:color w:val="auto"/>
          <w:sz w:val="24"/>
          <w:szCs w:val="24"/>
          <w:highlight w:val="none"/>
        </w:rPr>
      </w:pPr>
      <w:bookmarkStart w:id="3108" w:name="_Toc17906"/>
      <w:bookmarkStart w:id="3109" w:name="_Toc23313"/>
      <w:bookmarkStart w:id="3110" w:name="_Toc1266"/>
      <w:bookmarkStart w:id="3111" w:name="_Toc15632"/>
      <w:bookmarkStart w:id="3112" w:name="_Toc4946"/>
      <w:bookmarkStart w:id="3113" w:name="_Toc22839"/>
      <w:bookmarkStart w:id="3114" w:name="_Toc28180"/>
      <w:bookmarkStart w:id="3115" w:name="_Toc17492"/>
      <w:bookmarkStart w:id="3116" w:name="_Toc15595"/>
      <w:bookmarkStart w:id="3117" w:name="_Toc1631"/>
      <w:bookmarkStart w:id="3118" w:name="_Toc18099"/>
      <w:bookmarkStart w:id="3119" w:name="_Toc27659"/>
      <w:bookmarkStart w:id="3120" w:name="_Toc9792"/>
      <w:bookmarkStart w:id="3121" w:name="_Toc15519"/>
      <w:bookmarkStart w:id="3122" w:name="_Toc555"/>
      <w:bookmarkStart w:id="3123" w:name="_Toc24287"/>
      <w:r>
        <w:rPr>
          <w:rFonts w:hint="eastAsia" w:ascii="宋体" w:hAnsi="宋体" w:eastAsia="宋体" w:cs="宋体"/>
          <w:color w:val="auto"/>
          <w:sz w:val="24"/>
          <w:szCs w:val="24"/>
          <w:highlight w:val="none"/>
        </w:rPr>
        <w:t>2.4 施工现场、施工条件和基础资料的提供</w:t>
      </w:r>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p>
    <w:p w14:paraId="418FC34F">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提供施工现场</w:t>
      </w:r>
    </w:p>
    <w:p w14:paraId="4E736A3F">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0032B69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 提供施工条件</w:t>
      </w:r>
    </w:p>
    <w:p w14:paraId="0C38FB09">
      <w:pPr>
        <w:spacing w:line="24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关于发包人应负责提供施工所需要的条件，包括：</w:t>
      </w:r>
      <w:r>
        <w:rPr>
          <w:rFonts w:hint="eastAsia" w:ascii="宋体" w:hAnsi="宋体" w:eastAsia="宋体" w:cs="宋体"/>
          <w:color w:val="auto"/>
          <w:sz w:val="24"/>
          <w:szCs w:val="24"/>
          <w:highlight w:val="none"/>
          <w:u w:val="single"/>
        </w:rPr>
        <w:t xml:space="preserve">  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4294E337">
      <w:pPr>
        <w:spacing w:after="120" w:line="240" w:lineRule="auto"/>
        <w:ind w:firstLine="480" w:firstLineChars="200"/>
        <w:outlineLvl w:val="0"/>
        <w:rPr>
          <w:rFonts w:hint="eastAsia" w:ascii="宋体" w:hAnsi="宋体" w:eastAsia="宋体" w:cs="宋体"/>
          <w:color w:val="auto"/>
          <w:sz w:val="24"/>
          <w:szCs w:val="24"/>
          <w:highlight w:val="none"/>
        </w:rPr>
      </w:pPr>
      <w:bookmarkStart w:id="3124" w:name="_Toc7141"/>
      <w:bookmarkStart w:id="3125" w:name="_Toc14140"/>
      <w:bookmarkStart w:id="3126" w:name="_Toc27858"/>
      <w:bookmarkStart w:id="3127" w:name="_Toc7312"/>
      <w:bookmarkStart w:id="3128" w:name="_Toc20263"/>
      <w:bookmarkStart w:id="3129" w:name="_Toc29352"/>
      <w:bookmarkStart w:id="3130" w:name="_Toc15880"/>
      <w:bookmarkStart w:id="3131" w:name="_Toc3740"/>
      <w:bookmarkStart w:id="3132" w:name="_Toc1562"/>
      <w:bookmarkStart w:id="3133" w:name="_Toc7223"/>
      <w:bookmarkStart w:id="3134" w:name="_Toc3212"/>
      <w:bookmarkStart w:id="3135" w:name="_Toc29887"/>
      <w:bookmarkStart w:id="3136" w:name="_Toc14183"/>
      <w:bookmarkStart w:id="3137" w:name="_Toc14647"/>
      <w:bookmarkStart w:id="3138" w:name="_Toc15697"/>
      <w:bookmarkStart w:id="3139" w:name="_Toc28792"/>
      <w:r>
        <w:rPr>
          <w:rFonts w:hint="eastAsia" w:ascii="宋体" w:hAnsi="宋体" w:eastAsia="宋体" w:cs="宋体"/>
          <w:color w:val="auto"/>
          <w:sz w:val="24"/>
          <w:szCs w:val="24"/>
          <w:highlight w:val="none"/>
        </w:rPr>
        <w:t>2.5 资金来源证明及支付担保</w:t>
      </w:r>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p>
    <w:p w14:paraId="63EE7496">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BE9E0DB">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发包人是否提供支付担保：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6E97358F">
      <w:pPr>
        <w:spacing w:line="24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发包人提供支付担保的形式：</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1144D8A2">
      <w:pPr>
        <w:pStyle w:val="5"/>
        <w:spacing w:line="240" w:lineRule="auto"/>
        <w:rPr>
          <w:rFonts w:hint="eastAsia" w:ascii="宋体" w:hAnsi="宋体" w:eastAsia="宋体" w:cs="宋体"/>
          <w:b w:val="0"/>
          <w:bCs w:val="0"/>
          <w:color w:val="auto"/>
          <w:sz w:val="24"/>
          <w:szCs w:val="24"/>
          <w:highlight w:val="none"/>
        </w:rPr>
      </w:pPr>
      <w:bookmarkStart w:id="3140" w:name="_Toc351203635"/>
      <w:bookmarkEnd w:id="3140"/>
      <w:r>
        <w:rPr>
          <w:rFonts w:hint="eastAsia" w:ascii="宋体" w:hAnsi="宋体" w:eastAsia="宋体" w:cs="宋体"/>
          <w:b w:val="0"/>
          <w:bCs w:val="0"/>
          <w:color w:val="auto"/>
          <w:sz w:val="24"/>
          <w:szCs w:val="24"/>
          <w:highlight w:val="none"/>
        </w:rPr>
        <w:t>3</w:t>
      </w:r>
      <w:bookmarkStart w:id="3141" w:name="_Toc296890986"/>
      <w:bookmarkEnd w:id="3141"/>
      <w:bookmarkStart w:id="3142" w:name="_Toc296944497"/>
      <w:bookmarkEnd w:id="3142"/>
      <w:bookmarkStart w:id="3143" w:name="_Toc296346659"/>
      <w:bookmarkEnd w:id="3143"/>
      <w:bookmarkStart w:id="3144" w:name="_Toc297048344"/>
      <w:bookmarkEnd w:id="3144"/>
      <w:bookmarkStart w:id="3145" w:name="_Toc292559868"/>
      <w:bookmarkEnd w:id="3145"/>
      <w:bookmarkStart w:id="3146" w:name="_Toc296503158"/>
      <w:bookmarkEnd w:id="3146"/>
      <w:bookmarkStart w:id="3147" w:name="_Toc296891198"/>
      <w:bookmarkEnd w:id="3147"/>
      <w:bookmarkStart w:id="3148" w:name="_Toc296347157"/>
      <w:bookmarkEnd w:id="3148"/>
      <w:bookmarkStart w:id="3149" w:name="_Toc292559363"/>
      <w:bookmarkEnd w:id="3149"/>
      <w:bookmarkStart w:id="3150" w:name="_Toc297120458"/>
      <w:r>
        <w:rPr>
          <w:rFonts w:hint="eastAsia" w:ascii="宋体" w:hAnsi="宋体" w:eastAsia="宋体" w:cs="宋体"/>
          <w:b w:val="0"/>
          <w:bCs w:val="0"/>
          <w:color w:val="auto"/>
          <w:sz w:val="24"/>
          <w:szCs w:val="24"/>
          <w:highlight w:val="none"/>
        </w:rPr>
        <w:t>. 承包人</w:t>
      </w:r>
      <w:bookmarkEnd w:id="3150"/>
    </w:p>
    <w:p w14:paraId="0CAE64C2">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承包人的一般义务</w:t>
      </w:r>
    </w:p>
    <w:p w14:paraId="389C9B5B">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（9）</w:t>
      </w:r>
      <w:r>
        <w:rPr>
          <w:rFonts w:hint="eastAsia" w:ascii="宋体" w:hAnsi="宋体" w:eastAsia="宋体" w:cs="宋体"/>
          <w:color w:val="auto"/>
          <w:sz w:val="24"/>
          <w:szCs w:val="24"/>
          <w:highlight w:val="none"/>
        </w:rPr>
        <w:t>承包人提交的竣工资料的内容：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45ACBC9">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承包人需要提交的竣工资料套数：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0656214">
      <w:pPr>
        <w:spacing w:line="240" w:lineRule="auto"/>
        <w:ind w:left="608" w:leftChars="30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承包人提交的竣工资料的费用承担：</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F4953EA">
      <w:pPr>
        <w:spacing w:line="240" w:lineRule="auto"/>
        <w:ind w:left="608" w:leftChars="30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承包人提交的竣工资料移交时间：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9118BF7">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承包人提交的竣工资料形式要求：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002E67B">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（10）承包人应履行的其他义务：</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389A9C53">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项目经理</w:t>
      </w:r>
    </w:p>
    <w:p w14:paraId="0320DE1B">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3.2.1 </w:t>
      </w:r>
      <w:r>
        <w:rPr>
          <w:rFonts w:hint="eastAsia" w:ascii="宋体" w:hAnsi="宋体" w:eastAsia="宋体" w:cs="宋体"/>
          <w:color w:val="auto"/>
          <w:sz w:val="24"/>
          <w:szCs w:val="24"/>
          <w:highlight w:val="none"/>
        </w:rPr>
        <w:t>项目经理：</w:t>
      </w:r>
    </w:p>
    <w:p w14:paraId="57F625FF">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7749458A">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0452D5D5">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建造师执业资格等级：</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12818EA9">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7B3F9F2A">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建造师执业印章号：</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584CD02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安全生产考核合格证书号：</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7B6844E8">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5D3A5E31">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6B5BBA9B">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7DBFDFAB">
      <w:pPr>
        <w:spacing w:line="240" w:lineRule="auto"/>
        <w:ind w:left="960" w:leftChars="240" w:hanging="480" w:hanging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承包人对项目经理的授权范围如下：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FF8540C">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关于项目经理每月在施工现场的时间要求：</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26D5B832">
      <w:pPr>
        <w:spacing w:line="24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承包人未提交劳动合同，以及没有为项目经理缴纳社会保险证明的违约责任：</w:t>
      </w:r>
      <w:r>
        <w:rPr>
          <w:rFonts w:hint="eastAsia" w:ascii="宋体" w:hAnsi="宋体" w:cs="宋体"/>
          <w:color w:val="auto"/>
          <w:kern w:val="0"/>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                                        </w:t>
      </w:r>
      <w:r>
        <w:rPr>
          <w:rFonts w:hint="eastAsia" w:ascii="宋体" w:hAnsi="宋体" w:eastAsia="宋体" w:cs="宋体"/>
          <w:color w:val="auto"/>
          <w:sz w:val="24"/>
          <w:szCs w:val="24"/>
          <w:highlight w:val="none"/>
        </w:rPr>
        <w:t>。</w:t>
      </w:r>
    </w:p>
    <w:p w14:paraId="49F3FBF5">
      <w:pPr>
        <w:spacing w:line="24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项目经理未经批准，擅自离开施工现场的违约责任：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05A5B5C">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 承包人擅自更换项目经理的违约责任：</w:t>
      </w:r>
      <w:r>
        <w:rPr>
          <w:rFonts w:hint="eastAsia" w:ascii="宋体" w:hAnsi="宋体" w:eastAsia="宋体" w:cs="宋体"/>
          <w:color w:val="auto"/>
          <w:sz w:val="24"/>
          <w:szCs w:val="24"/>
          <w:highlight w:val="none"/>
          <w:u w:val="single"/>
        </w:rPr>
        <w:t xml:space="preserve">              </w:t>
      </w:r>
    </w:p>
    <w:p w14:paraId="11EAB397">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                                    </w:t>
      </w:r>
      <w:r>
        <w:rPr>
          <w:rFonts w:hint="eastAsia" w:ascii="宋体" w:hAnsi="宋体" w:eastAsia="宋体" w:cs="宋体"/>
          <w:color w:val="auto"/>
          <w:sz w:val="24"/>
          <w:szCs w:val="24"/>
          <w:highlight w:val="none"/>
        </w:rPr>
        <w:t>。</w:t>
      </w:r>
    </w:p>
    <w:p w14:paraId="4309F967">
      <w:pPr>
        <w:spacing w:line="240" w:lineRule="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3151" w:name="_Toc2387"/>
      <w:bookmarkStart w:id="3152" w:name="_Toc22056"/>
      <w:bookmarkStart w:id="3153" w:name="_Toc5109"/>
      <w:bookmarkStart w:id="3154" w:name="_Toc19041"/>
      <w:bookmarkStart w:id="3155" w:name="_Toc31318"/>
      <w:bookmarkStart w:id="3156" w:name="_Toc11858"/>
      <w:bookmarkStart w:id="3157" w:name="_Toc13041"/>
      <w:bookmarkStart w:id="3158" w:name="_Toc20269"/>
      <w:bookmarkStart w:id="3159" w:name="_Toc10492"/>
      <w:bookmarkStart w:id="3160" w:name="_Toc8937"/>
      <w:bookmarkStart w:id="3161" w:name="_Toc21600"/>
      <w:bookmarkStart w:id="3162" w:name="_Toc15606"/>
      <w:bookmarkStart w:id="3163" w:name="_Toc10291"/>
      <w:bookmarkStart w:id="3164" w:name="_Toc11245"/>
      <w:bookmarkStart w:id="3165" w:name="_Toc6839"/>
      <w:bookmarkStart w:id="3166" w:name="_Toc13398"/>
      <w:r>
        <w:rPr>
          <w:rFonts w:hint="eastAsia" w:ascii="宋体" w:hAnsi="宋体" w:eastAsia="宋体" w:cs="宋体"/>
          <w:color w:val="auto"/>
          <w:sz w:val="24"/>
          <w:szCs w:val="24"/>
          <w:highlight w:val="none"/>
        </w:rPr>
        <w:t>3.2.4 承包人无正当理由拒绝更换项目经理的违约责任：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p>
    <w:p w14:paraId="5F139D62">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承包人人员</w:t>
      </w:r>
    </w:p>
    <w:p w14:paraId="12077723">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承包人提交项目管理机构及施工现场管理人员安排报告的期限：</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1677494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承包人无正当理由拒绝撤换主要施工管理人员的违约责任：</w:t>
      </w:r>
      <w:r>
        <w:rPr>
          <w:rFonts w:hint="eastAsia" w:ascii="宋体" w:hAnsi="宋体" w:eastAsia="宋体" w:cs="宋体"/>
          <w:color w:val="auto"/>
          <w:sz w:val="24"/>
          <w:szCs w:val="24"/>
          <w:highlight w:val="none"/>
          <w:u w:val="single"/>
        </w:rPr>
        <w:t xml:space="preserve">                                              </w:t>
      </w:r>
      <w:r>
        <w:rPr>
          <w:rFonts w:hint="eastAsia" w:ascii="宋体" w:hAnsi="宋体" w:eastAsia="宋体" w:cs="宋体"/>
          <w:color w:val="auto"/>
          <w:sz w:val="24"/>
          <w:szCs w:val="24"/>
          <w:highlight w:val="none"/>
        </w:rPr>
        <w:t>。</w:t>
      </w:r>
    </w:p>
    <w:p w14:paraId="7AF53394">
      <w:pPr>
        <w:spacing w:line="24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3.3.4 承包人主要施工管理人员离开施工现场的批准要求：</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43427B3D">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3.3.5承包人擅自更换主要施工管理人员的违约责任：</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08B1DA21">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承包人主要施工管理人员擅自离开施工现场的违约责任：</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65EA1174">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3167" w:name="_Toc297216151"/>
      <w:bookmarkEnd w:id="3167"/>
      <w:bookmarkStart w:id="3168" w:name="_Toc297048345"/>
      <w:bookmarkEnd w:id="3168"/>
      <w:bookmarkStart w:id="3169" w:name="_Toc297123492"/>
      <w:bookmarkEnd w:id="3169"/>
      <w:bookmarkStart w:id="3170" w:name="_Toc304295523"/>
      <w:bookmarkEnd w:id="3170"/>
      <w:bookmarkStart w:id="3171" w:name="_Toc296891199"/>
      <w:bookmarkEnd w:id="3171"/>
      <w:bookmarkStart w:id="3172" w:name="_Toc296944498"/>
      <w:bookmarkEnd w:id="3172"/>
      <w:bookmarkStart w:id="3173" w:name="_Toc296347158"/>
      <w:bookmarkEnd w:id="3173"/>
      <w:bookmarkStart w:id="3174" w:name="_Toc292559869"/>
      <w:bookmarkEnd w:id="3174"/>
      <w:bookmarkStart w:id="3175" w:name="_Toc296890987"/>
      <w:bookmarkEnd w:id="3175"/>
      <w:bookmarkStart w:id="3176" w:name="_Toc303539102"/>
      <w:bookmarkEnd w:id="3176"/>
      <w:bookmarkStart w:id="3177" w:name="_Toc296503159"/>
      <w:bookmarkEnd w:id="3177"/>
      <w:bookmarkStart w:id="3178" w:name="_Toc296346660"/>
      <w:bookmarkEnd w:id="3178"/>
      <w:bookmarkStart w:id="3179" w:name="_Toc300934945"/>
      <w:bookmarkEnd w:id="3179"/>
      <w:bookmarkStart w:id="3180" w:name="_Toc292559364"/>
      <w:bookmarkEnd w:id="3180"/>
      <w:bookmarkStart w:id="3181" w:name="_Toc297120459"/>
      <w:bookmarkEnd w:id="3181"/>
      <w:bookmarkStart w:id="3182" w:name="_Toc312677988"/>
      <w:r>
        <w:rPr>
          <w:rFonts w:hint="eastAsia" w:ascii="宋体" w:hAnsi="宋体" w:eastAsia="宋体" w:cs="宋体"/>
          <w:color w:val="auto"/>
          <w:sz w:val="24"/>
          <w:szCs w:val="24"/>
          <w:highlight w:val="none"/>
        </w:rPr>
        <w:t>.5 分包</w:t>
      </w:r>
      <w:bookmarkEnd w:id="3182"/>
    </w:p>
    <w:p w14:paraId="0B4C31AA">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3183" w:name="_Toc303539103"/>
      <w:bookmarkEnd w:id="3183"/>
      <w:bookmarkStart w:id="3184" w:name="_Toc296944499"/>
      <w:bookmarkEnd w:id="3184"/>
      <w:bookmarkStart w:id="3185" w:name="_Toc296347159"/>
      <w:bookmarkEnd w:id="3185"/>
      <w:bookmarkStart w:id="3186" w:name="_Toc297123493"/>
      <w:bookmarkEnd w:id="3186"/>
      <w:bookmarkStart w:id="3187" w:name="_Toc296346661"/>
      <w:bookmarkEnd w:id="3187"/>
      <w:bookmarkStart w:id="3188" w:name="_Toc304295524"/>
      <w:bookmarkEnd w:id="3188"/>
      <w:bookmarkStart w:id="3189" w:name="_Toc292559365"/>
      <w:bookmarkEnd w:id="3189"/>
      <w:bookmarkStart w:id="3190" w:name="_Toc297120460"/>
      <w:bookmarkEnd w:id="3190"/>
      <w:bookmarkStart w:id="3191" w:name="_Toc296503160"/>
      <w:bookmarkEnd w:id="3191"/>
      <w:bookmarkStart w:id="3192" w:name="_Toc296891200"/>
      <w:bookmarkEnd w:id="3192"/>
      <w:bookmarkStart w:id="3193" w:name="_Toc300934946"/>
      <w:bookmarkEnd w:id="3193"/>
      <w:bookmarkStart w:id="3194" w:name="_Toc312677989"/>
      <w:bookmarkEnd w:id="3194"/>
      <w:bookmarkStart w:id="3195" w:name="_Toc296890988"/>
      <w:bookmarkEnd w:id="3195"/>
      <w:bookmarkStart w:id="3196" w:name="_Toc297216152"/>
      <w:bookmarkEnd w:id="3196"/>
      <w:bookmarkStart w:id="3197" w:name="_Toc292559870"/>
      <w:bookmarkEnd w:id="3197"/>
      <w:bookmarkStart w:id="3198" w:name="_Toc297048346"/>
      <w:bookmarkEnd w:id="3198"/>
      <w:bookmarkStart w:id="3199" w:name="_Toc318581158"/>
      <w:r>
        <w:rPr>
          <w:rFonts w:hint="eastAsia" w:ascii="宋体" w:hAnsi="宋体" w:eastAsia="宋体" w:cs="宋体"/>
          <w:color w:val="auto"/>
          <w:sz w:val="24"/>
          <w:szCs w:val="24"/>
          <w:highlight w:val="none"/>
        </w:rPr>
        <w:t>.5.1 分包的一般约定</w:t>
      </w:r>
      <w:bookmarkEnd w:id="3199"/>
    </w:p>
    <w:p w14:paraId="62A3D1D3">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EA3DCEA">
      <w:pPr>
        <w:spacing w:line="24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主体结构、关键性工作的范围：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bookmarkStart w:id="3200" w:name="_Toc297120461"/>
      <w:bookmarkEnd w:id="3200"/>
      <w:bookmarkStart w:id="3201" w:name="_Toc296503161"/>
      <w:bookmarkEnd w:id="3201"/>
      <w:bookmarkStart w:id="3202" w:name="_Toc304295525"/>
      <w:bookmarkEnd w:id="3202"/>
      <w:bookmarkStart w:id="3203" w:name="_Toc296891201"/>
      <w:bookmarkEnd w:id="3203"/>
      <w:bookmarkStart w:id="3204" w:name="_Toc296346662"/>
      <w:bookmarkEnd w:id="3204"/>
      <w:bookmarkStart w:id="3205" w:name="_Toc297216153"/>
      <w:bookmarkEnd w:id="3205"/>
      <w:bookmarkStart w:id="3206" w:name="_Toc296890989"/>
      <w:bookmarkEnd w:id="3206"/>
      <w:bookmarkStart w:id="3207" w:name="_Toc303539104"/>
      <w:bookmarkEnd w:id="3207"/>
      <w:bookmarkStart w:id="3208" w:name="_Toc297123494"/>
      <w:bookmarkEnd w:id="3208"/>
      <w:bookmarkStart w:id="3209" w:name="_Toc296347160"/>
      <w:bookmarkEnd w:id="3209"/>
      <w:bookmarkStart w:id="3210" w:name="_Toc296944500"/>
      <w:bookmarkEnd w:id="3210"/>
      <w:bookmarkStart w:id="3211" w:name="_Toc297048347"/>
      <w:bookmarkEnd w:id="3211"/>
      <w:bookmarkStart w:id="3212" w:name="_Toc300934947"/>
      <w:bookmarkEnd w:id="3212"/>
    </w:p>
    <w:p w14:paraId="2958CB43">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3213" w:name="_Toc312677990"/>
      <w:bookmarkEnd w:id="3213"/>
      <w:bookmarkStart w:id="3214" w:name="_Toc318581159"/>
      <w:r>
        <w:rPr>
          <w:rFonts w:hint="eastAsia" w:ascii="宋体" w:hAnsi="宋体" w:eastAsia="宋体" w:cs="宋体"/>
          <w:color w:val="auto"/>
          <w:sz w:val="24"/>
          <w:szCs w:val="24"/>
          <w:highlight w:val="none"/>
        </w:rPr>
        <w:t>.5.2分包的确定</w:t>
      </w:r>
      <w:bookmarkEnd w:id="3214"/>
    </w:p>
    <w:p w14:paraId="2F865FC6">
      <w:pPr>
        <w:spacing w:line="24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7090133">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其他关于分包的约定：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4709707">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 分包合同价款</w:t>
      </w:r>
    </w:p>
    <w:p w14:paraId="0B0A3033">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0E44B94">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 工程照管与成品、半成品保护</w:t>
      </w:r>
    </w:p>
    <w:p w14:paraId="6B831FCF">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承包人负责照管工程及工程相关的材料、工程设备的起始时间：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08AA7A8">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 履约担保</w:t>
      </w:r>
    </w:p>
    <w:p w14:paraId="762D46AC">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8A81DB6">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承包人提供履约担保的形式、金额及</w:t>
      </w:r>
      <w:r>
        <w:rPr>
          <w:rFonts w:hint="eastAsia" w:ascii="宋体" w:hAnsi="宋体" w:cs="宋体"/>
          <w:color w:val="auto"/>
          <w:sz w:val="24"/>
          <w:szCs w:val="24"/>
          <w:highlight w:val="none"/>
          <w:lang w:eastAsia="zh-CN"/>
        </w:rPr>
        <w:t>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63DC672">
      <w:pPr>
        <w:pStyle w:val="5"/>
        <w:pageBreakBefore w:val="0"/>
        <w:widowControl/>
        <w:kinsoku/>
        <w:wordWrap/>
        <w:overflowPunct/>
        <w:topLinePunct w:val="0"/>
        <w:autoSpaceDE/>
        <w:autoSpaceDN/>
        <w:bidi w:val="0"/>
        <w:adjustRightInd/>
        <w:snapToGrid/>
        <w:spacing w:before="0" w:after="0" w:line="240" w:lineRule="auto"/>
        <w:textAlignment w:val="auto"/>
        <w:rPr>
          <w:rFonts w:hint="eastAsia" w:ascii="宋体" w:hAnsi="宋体" w:eastAsia="宋体" w:cs="宋体"/>
          <w:b w:val="0"/>
          <w:bCs w:val="0"/>
          <w:color w:val="auto"/>
          <w:sz w:val="24"/>
          <w:szCs w:val="24"/>
          <w:highlight w:val="none"/>
        </w:rPr>
      </w:pPr>
      <w:bookmarkStart w:id="3215" w:name="_Toc351203636"/>
      <w:bookmarkEnd w:id="3215"/>
      <w:r>
        <w:rPr>
          <w:rFonts w:hint="eastAsia" w:ascii="宋体" w:hAnsi="宋体" w:eastAsia="宋体" w:cs="宋体"/>
          <w:b w:val="0"/>
          <w:bCs w:val="0"/>
          <w:color w:val="auto"/>
          <w:sz w:val="24"/>
          <w:szCs w:val="24"/>
          <w:highlight w:val="none"/>
        </w:rPr>
        <w:t>4</w:t>
      </w:r>
      <w:bookmarkStart w:id="3216" w:name="_Toc292559871"/>
      <w:bookmarkEnd w:id="3216"/>
      <w:bookmarkStart w:id="3217" w:name="_Toc292559366"/>
      <w:bookmarkEnd w:id="3217"/>
      <w:bookmarkStart w:id="3218" w:name="_Toc296503162"/>
      <w:bookmarkEnd w:id="3218"/>
      <w:bookmarkStart w:id="3219" w:name="_Toc296944501"/>
      <w:bookmarkEnd w:id="3219"/>
      <w:bookmarkStart w:id="3220" w:name="_Toc296346663"/>
      <w:bookmarkEnd w:id="3220"/>
      <w:bookmarkStart w:id="3221" w:name="_Toc297048348"/>
      <w:bookmarkEnd w:id="3221"/>
      <w:bookmarkStart w:id="3222" w:name="_Toc267251413"/>
      <w:bookmarkEnd w:id="3222"/>
      <w:bookmarkStart w:id="3223" w:name="_Toc296891202"/>
      <w:bookmarkEnd w:id="3223"/>
      <w:bookmarkStart w:id="3224" w:name="_Toc296347161"/>
      <w:bookmarkEnd w:id="3224"/>
      <w:bookmarkStart w:id="3225" w:name="_Toc296890990"/>
      <w:bookmarkEnd w:id="3225"/>
      <w:bookmarkStart w:id="3226" w:name="_Toc297120462"/>
      <w:r>
        <w:rPr>
          <w:rFonts w:hint="eastAsia" w:ascii="宋体" w:hAnsi="宋体" w:eastAsia="宋体" w:cs="宋体"/>
          <w:b w:val="0"/>
          <w:bCs w:val="0"/>
          <w:color w:val="auto"/>
          <w:sz w:val="24"/>
          <w:szCs w:val="24"/>
          <w:highlight w:val="none"/>
        </w:rPr>
        <w:t>. 监</w:t>
      </w:r>
      <w:bookmarkEnd w:id="3226"/>
      <w:r>
        <w:rPr>
          <w:rFonts w:hint="eastAsia" w:ascii="宋体" w:hAnsi="宋体" w:eastAsia="宋体" w:cs="宋体"/>
          <w:b w:val="0"/>
          <w:bCs w:val="0"/>
          <w:color w:val="auto"/>
          <w:sz w:val="24"/>
          <w:szCs w:val="24"/>
          <w:highlight w:val="none"/>
        </w:rPr>
        <w:t>理人</w:t>
      </w:r>
    </w:p>
    <w:p w14:paraId="11BD4413">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4.1监理人的一般规定</w:t>
      </w:r>
    </w:p>
    <w:p w14:paraId="3A9F0082">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9B1DB66">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关于监理人的监理权限：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51313EFB">
      <w:pPr>
        <w:spacing w:line="24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关于监理人在施工现场的办公场所、生活场所的提供和费用承担的约定：</w:t>
      </w:r>
      <w:r>
        <w:rPr>
          <w:rFonts w:hint="eastAsia" w:ascii="宋体" w:hAnsi="宋体" w:eastAsia="宋体" w:cs="宋体"/>
          <w:color w:val="auto"/>
          <w:sz w:val="24"/>
          <w:szCs w:val="24"/>
          <w:highlight w:val="none"/>
          <w:u w:val="single"/>
        </w:rPr>
        <w:t xml:space="preserve">                                                </w:t>
      </w:r>
    </w:p>
    <w:p w14:paraId="355AC54E">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0CAE868A">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监理人员</w:t>
      </w:r>
    </w:p>
    <w:p w14:paraId="19B9FD2F">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总监理工程师：</w:t>
      </w:r>
    </w:p>
    <w:p w14:paraId="1268DA61">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4EE1ACAB">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71E909B2">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监理工程师执业资格证书号：</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42448899">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3CE7BE51">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62CD54C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79D099F6">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关于监理人的其他约定：</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7D74E9FB">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 商定或确定</w:t>
      </w:r>
    </w:p>
    <w:p w14:paraId="3FBF30D3">
      <w:pPr>
        <w:spacing w:line="240" w:lineRule="auto"/>
        <w:ind w:firstLine="480" w:firstLineChars="200"/>
        <w:rPr>
          <w:rFonts w:hint="eastAsia" w:ascii="宋体" w:hAnsi="宋体" w:eastAsia="宋体" w:cs="宋体"/>
          <w:color w:val="auto"/>
          <w:sz w:val="24"/>
          <w:szCs w:val="24"/>
          <w:highlight w:val="none"/>
        </w:rPr>
      </w:pPr>
      <w:bookmarkStart w:id="3227" w:name="_Toc267251418"/>
      <w:bookmarkEnd w:id="3227"/>
      <w:r>
        <w:rPr>
          <w:rFonts w:hint="eastAsia" w:ascii="宋体" w:hAnsi="宋体" w:eastAsia="宋体" w:cs="宋体"/>
          <w:color w:val="auto"/>
          <w:sz w:val="24"/>
          <w:szCs w:val="24"/>
          <w:highlight w:val="none"/>
        </w:rPr>
        <w:t>在发包人和承包人不能通过协商达成一致意见时，发包人授权监理人对以下事项进行确定：</w:t>
      </w:r>
    </w:p>
    <w:p w14:paraId="798F553D">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6717292">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4F552D4">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3D3D680">
      <w:pPr>
        <w:pStyle w:val="5"/>
        <w:pageBreakBefore w:val="0"/>
        <w:widowControl/>
        <w:kinsoku/>
        <w:wordWrap/>
        <w:overflowPunct/>
        <w:topLinePunct w:val="0"/>
        <w:autoSpaceDE/>
        <w:autoSpaceDN/>
        <w:bidi w:val="0"/>
        <w:adjustRightInd/>
        <w:snapToGrid/>
        <w:spacing w:before="0" w:after="0" w:line="240" w:lineRule="auto"/>
        <w:textAlignment w:val="auto"/>
        <w:rPr>
          <w:rFonts w:hint="eastAsia" w:ascii="宋体" w:hAnsi="宋体" w:eastAsia="宋体" w:cs="宋体"/>
          <w:b w:val="0"/>
          <w:bCs w:val="0"/>
          <w:color w:val="auto"/>
          <w:sz w:val="24"/>
          <w:szCs w:val="24"/>
          <w:highlight w:val="none"/>
        </w:rPr>
      </w:pPr>
      <w:bookmarkStart w:id="3228" w:name="_Toc351203637"/>
      <w:bookmarkEnd w:id="3228"/>
      <w:r>
        <w:rPr>
          <w:rFonts w:hint="eastAsia" w:ascii="宋体" w:hAnsi="宋体" w:eastAsia="宋体" w:cs="宋体"/>
          <w:b w:val="0"/>
          <w:bCs w:val="0"/>
          <w:color w:val="auto"/>
          <w:sz w:val="24"/>
          <w:szCs w:val="24"/>
          <w:highlight w:val="none"/>
        </w:rPr>
        <w:t>5</w:t>
      </w:r>
      <w:bookmarkStart w:id="3229" w:name="_Toc296346664"/>
      <w:bookmarkEnd w:id="3229"/>
      <w:bookmarkStart w:id="3230" w:name="_Toc292559367"/>
      <w:bookmarkEnd w:id="3230"/>
      <w:bookmarkStart w:id="3231" w:name="_Toc296891203"/>
      <w:bookmarkEnd w:id="3231"/>
      <w:bookmarkStart w:id="3232" w:name="_Toc297048349"/>
      <w:bookmarkEnd w:id="3232"/>
      <w:bookmarkStart w:id="3233" w:name="_Toc296503163"/>
      <w:bookmarkEnd w:id="3233"/>
      <w:bookmarkStart w:id="3234" w:name="_Toc292559872"/>
      <w:bookmarkEnd w:id="3234"/>
      <w:bookmarkStart w:id="3235" w:name="_Toc297120463"/>
      <w:bookmarkEnd w:id="3235"/>
      <w:bookmarkStart w:id="3236" w:name="_Toc296944502"/>
      <w:bookmarkEnd w:id="3236"/>
      <w:bookmarkStart w:id="3237" w:name="_Toc296347162"/>
      <w:bookmarkEnd w:id="3237"/>
      <w:bookmarkStart w:id="3238" w:name="_Toc296890991"/>
      <w:r>
        <w:rPr>
          <w:rFonts w:hint="eastAsia" w:ascii="宋体" w:hAnsi="宋体" w:eastAsia="宋体" w:cs="宋体"/>
          <w:b w:val="0"/>
          <w:bCs w:val="0"/>
          <w:color w:val="auto"/>
          <w:sz w:val="24"/>
          <w:szCs w:val="24"/>
          <w:highlight w:val="none"/>
        </w:rPr>
        <w:t>. 工程质量</w:t>
      </w:r>
      <w:bookmarkEnd w:id="3238"/>
    </w:p>
    <w:p w14:paraId="23265C5C">
      <w:pPr>
        <w:pageBreakBefore w:val="0"/>
        <w:widowControl/>
        <w:kinsoku/>
        <w:wordWrap/>
        <w:overflowPunct/>
        <w:topLinePunct w:val="0"/>
        <w:autoSpaceDE/>
        <w:autoSpaceDN/>
        <w:bidi w:val="0"/>
        <w:adjustRightInd/>
        <w:snapToGrid/>
        <w:spacing w:line="240" w:lineRule="auto"/>
        <w:ind w:firstLine="480" w:firstLineChars="200"/>
        <w:textAlignment w:val="auto"/>
        <w:outlineLvl w:val="0"/>
        <w:rPr>
          <w:rFonts w:hint="eastAsia" w:ascii="宋体" w:hAnsi="宋体" w:eastAsia="宋体" w:cs="宋体"/>
          <w:color w:val="auto"/>
          <w:sz w:val="24"/>
          <w:szCs w:val="24"/>
          <w:highlight w:val="none"/>
        </w:rPr>
      </w:pPr>
      <w:bookmarkStart w:id="3239" w:name="_Toc6857"/>
      <w:bookmarkStart w:id="3240" w:name="_Toc908"/>
      <w:bookmarkStart w:id="3241" w:name="_Toc19779"/>
      <w:bookmarkStart w:id="3242" w:name="_Toc17258"/>
      <w:bookmarkStart w:id="3243" w:name="_Toc11824"/>
      <w:bookmarkStart w:id="3244" w:name="_Toc14992"/>
      <w:bookmarkStart w:id="3245" w:name="_Toc18959"/>
      <w:bookmarkStart w:id="3246" w:name="_Toc27153"/>
      <w:bookmarkStart w:id="3247" w:name="_Toc18819"/>
      <w:bookmarkStart w:id="3248" w:name="_Toc31636"/>
      <w:bookmarkStart w:id="3249" w:name="_Toc30857"/>
      <w:bookmarkStart w:id="3250" w:name="_Toc17738"/>
      <w:bookmarkStart w:id="3251" w:name="_Toc9066"/>
      <w:bookmarkStart w:id="3252" w:name="_Toc7733"/>
      <w:bookmarkStart w:id="3253" w:name="_Toc30870"/>
      <w:bookmarkStart w:id="3254" w:name="_Toc6646"/>
      <w:r>
        <w:rPr>
          <w:rFonts w:hint="eastAsia" w:ascii="宋体" w:hAnsi="宋体" w:eastAsia="宋体" w:cs="宋体"/>
          <w:color w:val="auto"/>
          <w:sz w:val="24"/>
          <w:szCs w:val="24"/>
          <w:highlight w:val="none"/>
        </w:rPr>
        <w:t>5.1 质量要求</w:t>
      </w:r>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p>
    <w:p w14:paraId="53DC4E52">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bookmarkStart w:id="3255" w:name="_Toc297216155"/>
      <w:bookmarkEnd w:id="3255"/>
      <w:bookmarkStart w:id="3256" w:name="_Toc300934949"/>
      <w:bookmarkEnd w:id="3256"/>
      <w:bookmarkStart w:id="3257" w:name="_Toc312677997"/>
      <w:bookmarkEnd w:id="3257"/>
      <w:bookmarkStart w:id="3258" w:name="_Toc297123496"/>
      <w:bookmarkEnd w:id="3258"/>
      <w:bookmarkStart w:id="3259" w:name="_Toc304295527"/>
      <w:bookmarkEnd w:id="3259"/>
      <w:bookmarkStart w:id="3260" w:name="_Toc318581164"/>
      <w:bookmarkEnd w:id="3260"/>
      <w:bookmarkStart w:id="3261" w:name="_Toc303539106"/>
      <w:r>
        <w:rPr>
          <w:rFonts w:hint="eastAsia" w:ascii="宋体" w:hAnsi="宋体" w:eastAsia="宋体" w:cs="宋体"/>
          <w:color w:val="auto"/>
          <w:sz w:val="24"/>
          <w:szCs w:val="24"/>
          <w:highlight w:val="none"/>
        </w:rPr>
        <w:t>.1.1 特殊质量标准和要求：</w:t>
      </w:r>
      <w:bookmarkEnd w:id="326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81DB331">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关于工程奖项的约定：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9CD8CA6">
      <w:pPr>
        <w:pageBreakBefore w:val="0"/>
        <w:widowControl/>
        <w:kinsoku/>
        <w:wordWrap/>
        <w:overflowPunct/>
        <w:topLinePunct w:val="0"/>
        <w:autoSpaceDE/>
        <w:autoSpaceDN/>
        <w:bidi w:val="0"/>
        <w:adjustRightInd/>
        <w:snapToGrid/>
        <w:spacing w:line="240" w:lineRule="auto"/>
        <w:ind w:firstLine="480" w:firstLineChars="200"/>
        <w:textAlignment w:val="auto"/>
        <w:outlineLvl w:val="0"/>
        <w:rPr>
          <w:rFonts w:hint="eastAsia" w:ascii="宋体" w:hAnsi="宋体" w:eastAsia="宋体" w:cs="宋体"/>
          <w:color w:val="auto"/>
          <w:sz w:val="24"/>
          <w:szCs w:val="24"/>
          <w:highlight w:val="none"/>
        </w:rPr>
      </w:pPr>
      <w:bookmarkStart w:id="3262" w:name="_Toc25669"/>
      <w:bookmarkStart w:id="3263" w:name="_Toc19840"/>
      <w:bookmarkStart w:id="3264" w:name="_Toc29927"/>
      <w:bookmarkStart w:id="3265" w:name="_Toc17595"/>
      <w:bookmarkStart w:id="3266" w:name="_Toc28880"/>
      <w:bookmarkStart w:id="3267" w:name="_Toc17991"/>
      <w:bookmarkStart w:id="3268" w:name="_Toc1398"/>
      <w:bookmarkStart w:id="3269" w:name="_Toc3798"/>
      <w:bookmarkStart w:id="3270" w:name="_Toc19612"/>
      <w:bookmarkStart w:id="3271" w:name="_Toc15278"/>
      <w:bookmarkStart w:id="3272" w:name="_Toc6272"/>
      <w:bookmarkStart w:id="3273" w:name="_Toc22273"/>
      <w:bookmarkStart w:id="3274" w:name="_Toc18240"/>
      <w:bookmarkStart w:id="3275" w:name="_Toc12464"/>
      <w:bookmarkStart w:id="3276" w:name="_Toc1731"/>
      <w:bookmarkStart w:id="3277" w:name="_Toc27987"/>
      <w:r>
        <w:rPr>
          <w:rFonts w:hint="eastAsia" w:ascii="宋体" w:hAnsi="宋体" w:eastAsia="宋体" w:cs="宋体"/>
          <w:color w:val="auto"/>
          <w:sz w:val="24"/>
          <w:szCs w:val="24"/>
          <w:highlight w:val="none"/>
        </w:rPr>
        <w:t>5.3 隐蔽工程检查</w:t>
      </w:r>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p>
    <w:p w14:paraId="613AD429">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5.3.2承包人提前通知监理人隐蔽工程检查的期限的约定：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0BAF597A">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14:paraId="1232EA45">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14:paraId="3D380290">
      <w:pPr>
        <w:pStyle w:val="5"/>
        <w:pageBreakBefore w:val="0"/>
        <w:widowControl/>
        <w:kinsoku/>
        <w:wordWrap/>
        <w:overflowPunct/>
        <w:topLinePunct w:val="0"/>
        <w:autoSpaceDE/>
        <w:autoSpaceDN/>
        <w:bidi w:val="0"/>
        <w:adjustRightInd/>
        <w:snapToGrid/>
        <w:spacing w:before="0" w:after="0" w:line="240" w:lineRule="auto"/>
        <w:textAlignment w:val="auto"/>
        <w:rPr>
          <w:rFonts w:hint="eastAsia" w:ascii="宋体" w:hAnsi="宋体" w:eastAsia="宋体" w:cs="宋体"/>
          <w:b w:val="0"/>
          <w:bCs w:val="0"/>
          <w:color w:val="auto"/>
          <w:sz w:val="24"/>
          <w:szCs w:val="24"/>
          <w:highlight w:val="none"/>
        </w:rPr>
      </w:pPr>
      <w:bookmarkStart w:id="3278" w:name="_Toc351203638"/>
      <w:bookmarkEnd w:id="3278"/>
      <w:r>
        <w:rPr>
          <w:rFonts w:hint="eastAsia" w:ascii="宋体" w:hAnsi="宋体" w:eastAsia="宋体" w:cs="宋体"/>
          <w:b w:val="0"/>
          <w:bCs w:val="0"/>
          <w:color w:val="auto"/>
          <w:sz w:val="24"/>
          <w:szCs w:val="24"/>
          <w:highlight w:val="none"/>
        </w:rPr>
        <w:t>6. 安全文明施工与环境保护</w:t>
      </w:r>
    </w:p>
    <w:p w14:paraId="0BCDCF8D">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6.1安全文明施工</w:t>
      </w:r>
    </w:p>
    <w:p w14:paraId="362FEB2D">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 项目安全生产的达标目标及相应事项的约定：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5D3D48D">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 关于治安保卫的特别约定：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20EFA28">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关于编制施工场地治安管理计划的约定：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FB46C43">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 文明施工</w:t>
      </w:r>
    </w:p>
    <w:p w14:paraId="2FE1EA60">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3291C94">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 关于安全文明施工费支付比例和支付期限的约定：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4626AA24">
      <w:pPr>
        <w:pStyle w:val="5"/>
        <w:pageBreakBefore w:val="0"/>
        <w:widowControl/>
        <w:kinsoku/>
        <w:wordWrap/>
        <w:overflowPunct/>
        <w:topLinePunct w:val="0"/>
        <w:bidi w:val="0"/>
        <w:snapToGrid/>
        <w:spacing w:before="0" w:after="0" w:line="240" w:lineRule="auto"/>
        <w:textAlignment w:val="auto"/>
        <w:rPr>
          <w:rFonts w:hint="eastAsia" w:ascii="宋体" w:hAnsi="宋体" w:eastAsia="宋体" w:cs="宋体"/>
          <w:b w:val="0"/>
          <w:bCs w:val="0"/>
          <w:color w:val="auto"/>
          <w:sz w:val="24"/>
          <w:szCs w:val="24"/>
          <w:highlight w:val="none"/>
        </w:rPr>
      </w:pPr>
      <w:bookmarkStart w:id="3279" w:name="_Toc351203639"/>
      <w:bookmarkEnd w:id="3279"/>
      <w:r>
        <w:rPr>
          <w:rFonts w:hint="eastAsia" w:ascii="宋体" w:hAnsi="宋体" w:eastAsia="宋体" w:cs="宋体"/>
          <w:b w:val="0"/>
          <w:bCs w:val="0"/>
          <w:color w:val="auto"/>
          <w:sz w:val="24"/>
          <w:szCs w:val="24"/>
          <w:highlight w:val="none"/>
        </w:rPr>
        <w:t>7. 工期和进度</w:t>
      </w:r>
    </w:p>
    <w:p w14:paraId="6514ADBE">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施工组织设计</w:t>
      </w:r>
    </w:p>
    <w:p w14:paraId="6F8AA8F9">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7.1.1 合</w:t>
      </w:r>
      <w:r>
        <w:rPr>
          <w:rFonts w:hint="eastAsia" w:ascii="宋体" w:hAnsi="宋体" w:eastAsia="宋体" w:cs="宋体"/>
          <w:color w:val="auto"/>
          <w:kern w:val="0"/>
          <w:sz w:val="24"/>
          <w:szCs w:val="24"/>
          <w:highlight w:val="none"/>
        </w:rPr>
        <w:t>同当事人约定的施工组织设计应包括的其他内容：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0EB9F948">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7.1.2 </w:t>
      </w:r>
      <w:r>
        <w:rPr>
          <w:rFonts w:hint="eastAsia" w:ascii="宋体" w:hAnsi="宋体" w:eastAsia="宋体" w:cs="宋体"/>
          <w:color w:val="auto"/>
          <w:kern w:val="0"/>
          <w:sz w:val="24"/>
          <w:szCs w:val="24"/>
          <w:highlight w:val="none"/>
        </w:rPr>
        <w:t>施工组织设计的提交和修改</w:t>
      </w:r>
    </w:p>
    <w:p w14:paraId="7AFFA536">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承包人提交详细施工组织设计的期限的约定：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9AC4E30">
      <w:pPr>
        <w:keepNext w:val="0"/>
        <w:keepLines w:val="0"/>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3FCB29D">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280" w:name="_Toc297216173"/>
      <w:bookmarkEnd w:id="3280"/>
      <w:bookmarkStart w:id="3281" w:name="_Toc300934966"/>
      <w:bookmarkEnd w:id="3281"/>
      <w:bookmarkStart w:id="3282" w:name="_Toc297123514"/>
      <w:bookmarkEnd w:id="3282"/>
      <w:bookmarkStart w:id="3283" w:name="_Toc303539123"/>
      <w:bookmarkEnd w:id="3283"/>
      <w:bookmarkStart w:id="3284" w:name="_Toc312677479"/>
      <w:bookmarkEnd w:id="3284"/>
      <w:bookmarkStart w:id="3285" w:name="_Toc312678005"/>
      <w:bookmarkEnd w:id="3285"/>
      <w:bookmarkStart w:id="3286" w:name="_Toc304295541"/>
      <w:r>
        <w:rPr>
          <w:rFonts w:hint="eastAsia" w:ascii="宋体" w:hAnsi="宋体" w:eastAsia="宋体" w:cs="宋体"/>
          <w:color w:val="auto"/>
          <w:sz w:val="24"/>
          <w:szCs w:val="24"/>
          <w:highlight w:val="none"/>
        </w:rPr>
        <w:t>.2 施工进度计划</w:t>
      </w:r>
      <w:bookmarkEnd w:id="3286"/>
    </w:p>
    <w:p w14:paraId="37D345E5">
      <w:pPr>
        <w:keepNext w:val="0"/>
        <w:keepLines w:val="0"/>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 施工进度计划的修订</w:t>
      </w:r>
    </w:p>
    <w:p w14:paraId="0096FD5C">
      <w:pPr>
        <w:keepNext w:val="0"/>
        <w:keepLines w:val="0"/>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5FFE297">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开工</w:t>
      </w:r>
    </w:p>
    <w:p w14:paraId="2FD887C3">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开工准备</w:t>
      </w:r>
    </w:p>
    <w:p w14:paraId="192C075A">
      <w:pPr>
        <w:spacing w:line="240" w:lineRule="auto"/>
        <w:ind w:firstLine="645"/>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关于承包人提交</w:t>
      </w:r>
      <w:r>
        <w:rPr>
          <w:rFonts w:hint="eastAsia" w:ascii="宋体" w:hAnsi="宋体" w:eastAsia="宋体" w:cs="宋体"/>
          <w:color w:val="auto"/>
          <w:kern w:val="0"/>
          <w:sz w:val="24"/>
          <w:szCs w:val="24"/>
          <w:highlight w:val="none"/>
        </w:rPr>
        <w:t>工程开工报审表的期限：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3803C57">
      <w:pPr>
        <w:spacing w:line="240" w:lineRule="auto"/>
        <w:ind w:firstLine="64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FB6BF40">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F40AFEA">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7.3.2开工通知</w:t>
      </w:r>
    </w:p>
    <w:p w14:paraId="574224E0">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天内发出开工通知的，承包人有权提出价格调整要求，或者解除合同。</w:t>
      </w:r>
    </w:p>
    <w:p w14:paraId="29014BA7">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测量放线</w:t>
      </w:r>
    </w:p>
    <w:p w14:paraId="76745E31">
      <w:pPr>
        <w:spacing w:line="24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62DE9BF">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287" w:name="_Toc312677484"/>
      <w:bookmarkEnd w:id="3287"/>
      <w:bookmarkStart w:id="3288" w:name="_Toc297216175"/>
      <w:bookmarkEnd w:id="3288"/>
      <w:bookmarkStart w:id="3289" w:name="_Toc312678010"/>
      <w:bookmarkEnd w:id="3289"/>
      <w:bookmarkStart w:id="3290" w:name="_Toc304295546"/>
      <w:bookmarkEnd w:id="3290"/>
      <w:bookmarkStart w:id="3291" w:name="_Toc303539125"/>
      <w:bookmarkEnd w:id="3291"/>
      <w:bookmarkStart w:id="3292" w:name="_Toc297123516"/>
      <w:bookmarkEnd w:id="3292"/>
      <w:bookmarkStart w:id="3293" w:name="_Toc300934968"/>
      <w:r>
        <w:rPr>
          <w:rFonts w:hint="eastAsia" w:ascii="宋体" w:hAnsi="宋体" w:eastAsia="宋体" w:cs="宋体"/>
          <w:color w:val="auto"/>
          <w:sz w:val="24"/>
          <w:szCs w:val="24"/>
          <w:highlight w:val="none"/>
        </w:rPr>
        <w:t>.5 工期延误</w:t>
      </w:r>
      <w:bookmarkEnd w:id="3293"/>
    </w:p>
    <w:p w14:paraId="534B193B">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 因发包人原因导致工期延误</w:t>
      </w:r>
    </w:p>
    <w:p w14:paraId="7408126E">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（7）因发包人原因导致工期延误的其他情形：</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4034BEDE">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294" w:name="_Toc312678012"/>
      <w:bookmarkEnd w:id="3294"/>
      <w:bookmarkStart w:id="3295" w:name="_Toc297216177"/>
      <w:bookmarkEnd w:id="3295"/>
      <w:bookmarkStart w:id="3296" w:name="_Toc312677486"/>
      <w:bookmarkEnd w:id="3296"/>
      <w:bookmarkStart w:id="3297" w:name="_Toc300934970"/>
      <w:bookmarkEnd w:id="3297"/>
      <w:bookmarkStart w:id="3298" w:name="_Toc297123518"/>
      <w:bookmarkEnd w:id="3298"/>
      <w:bookmarkStart w:id="3299" w:name="_Toc304295548"/>
      <w:bookmarkEnd w:id="3299"/>
      <w:bookmarkStart w:id="3300" w:name="_Toc303539127"/>
      <w:bookmarkEnd w:id="3300"/>
      <w:bookmarkStart w:id="3301" w:name="_Toc318581169"/>
      <w:r>
        <w:rPr>
          <w:rFonts w:hint="eastAsia" w:ascii="宋体" w:hAnsi="宋体" w:eastAsia="宋体" w:cs="宋体"/>
          <w:color w:val="auto"/>
          <w:sz w:val="24"/>
          <w:szCs w:val="24"/>
          <w:highlight w:val="none"/>
        </w:rPr>
        <w:t>.5.2 因承包人原因导致工期延误</w:t>
      </w:r>
      <w:bookmarkEnd w:id="3301"/>
    </w:p>
    <w:p w14:paraId="3571D43A">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w:t>
      </w:r>
      <w:bookmarkStart w:id="3302" w:name="_Toc312678013"/>
      <w:bookmarkEnd w:id="3302"/>
      <w:bookmarkStart w:id="3303" w:name="_Toc312677487"/>
      <w:bookmarkEnd w:id="3303"/>
      <w:bookmarkStart w:id="3304" w:name="_Toc318581170"/>
      <w:r>
        <w:rPr>
          <w:rFonts w:hint="eastAsia" w:ascii="宋体" w:hAnsi="宋体" w:eastAsia="宋体" w:cs="宋体"/>
          <w:color w:val="auto"/>
          <w:sz w:val="24"/>
          <w:szCs w:val="24"/>
          <w:highlight w:val="none"/>
        </w:rPr>
        <w:t>承包人原因造成工期延误，逾期竣工违约金的计算方法为：</w:t>
      </w:r>
      <w:bookmarkEnd w:id="3304"/>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19A77E7E">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因承包人原因造成工期延误，逾</w:t>
      </w:r>
      <w:bookmarkStart w:id="3305" w:name="_Toc312678014"/>
      <w:bookmarkEnd w:id="3305"/>
      <w:bookmarkStart w:id="3306" w:name="_Toc318581171"/>
      <w:r>
        <w:rPr>
          <w:rFonts w:hint="eastAsia" w:ascii="宋体" w:hAnsi="宋体" w:eastAsia="宋体" w:cs="宋体"/>
          <w:color w:val="auto"/>
          <w:sz w:val="24"/>
          <w:szCs w:val="24"/>
          <w:highlight w:val="none"/>
        </w:rPr>
        <w:t>期竣工违约金的上限：</w:t>
      </w:r>
      <w:bookmarkEnd w:id="3306"/>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2131290">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307" w:name="_Toc300934971"/>
      <w:bookmarkEnd w:id="3307"/>
      <w:bookmarkStart w:id="3308" w:name="_Toc312678015"/>
      <w:bookmarkEnd w:id="3308"/>
      <w:bookmarkStart w:id="3309" w:name="_Toc303539128"/>
      <w:bookmarkEnd w:id="3309"/>
      <w:bookmarkStart w:id="3310" w:name="_Toc304295549"/>
      <w:bookmarkEnd w:id="3310"/>
      <w:bookmarkStart w:id="3311" w:name="_Toc297216178"/>
      <w:bookmarkEnd w:id="3311"/>
      <w:bookmarkStart w:id="3312" w:name="_Toc297123519"/>
      <w:r>
        <w:rPr>
          <w:rFonts w:hint="eastAsia" w:ascii="宋体" w:hAnsi="宋体" w:eastAsia="宋体" w:cs="宋体"/>
          <w:color w:val="auto"/>
          <w:sz w:val="24"/>
          <w:szCs w:val="24"/>
          <w:highlight w:val="none"/>
        </w:rPr>
        <w:t>.6 不</w:t>
      </w:r>
      <w:bookmarkEnd w:id="3312"/>
      <w:r>
        <w:rPr>
          <w:rFonts w:hint="eastAsia" w:ascii="宋体" w:hAnsi="宋体" w:eastAsia="宋体" w:cs="宋体"/>
          <w:color w:val="auto"/>
          <w:sz w:val="24"/>
          <w:szCs w:val="24"/>
          <w:highlight w:val="none"/>
        </w:rPr>
        <w:t>利物质条件</w:t>
      </w:r>
    </w:p>
    <w:p w14:paraId="5D524BF8">
      <w:pPr>
        <w:spacing w:line="240" w:lineRule="auto"/>
        <w:ind w:firstLine="480" w:firstLineChars="200"/>
        <w:jc w:val="left"/>
        <w:rPr>
          <w:rFonts w:hint="eastAsia" w:ascii="宋体" w:hAnsi="宋体" w:eastAsia="宋体" w:cs="宋体"/>
          <w:color w:val="auto"/>
          <w:sz w:val="24"/>
          <w:szCs w:val="24"/>
          <w:highlight w:val="none"/>
        </w:rPr>
      </w:pPr>
      <w:bookmarkStart w:id="3313" w:name="_Toc312678016"/>
      <w:bookmarkEnd w:id="3313"/>
      <w:bookmarkStart w:id="3314" w:name="_Toc303539129"/>
      <w:bookmarkEnd w:id="3314"/>
      <w:bookmarkStart w:id="3315" w:name="_Toc297123520"/>
      <w:bookmarkEnd w:id="3315"/>
      <w:bookmarkStart w:id="3316" w:name="_Toc297216179"/>
      <w:bookmarkEnd w:id="3316"/>
      <w:bookmarkStart w:id="3317" w:name="_Toc304295550"/>
      <w:bookmarkEnd w:id="3317"/>
      <w:bookmarkStart w:id="3318" w:name="_Toc318581172"/>
      <w:bookmarkEnd w:id="3318"/>
      <w:bookmarkStart w:id="3319" w:name="_Toc300934972"/>
      <w:r>
        <w:rPr>
          <w:rFonts w:hint="eastAsia" w:ascii="宋体" w:hAnsi="宋体" w:eastAsia="宋体" w:cs="宋体"/>
          <w:color w:val="auto"/>
          <w:sz w:val="24"/>
          <w:szCs w:val="24"/>
          <w:highlight w:val="none"/>
        </w:rPr>
        <w:t>不利物质条件的其他情形和有关约定：</w:t>
      </w:r>
      <w:bookmarkEnd w:id="3319"/>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B6728C7">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320" w:name="_Toc312678017"/>
      <w:bookmarkEnd w:id="3320"/>
      <w:bookmarkStart w:id="3321" w:name="_Toc304295551"/>
      <w:bookmarkEnd w:id="3321"/>
      <w:bookmarkStart w:id="3322" w:name="_Toc297216180"/>
      <w:bookmarkEnd w:id="3322"/>
      <w:bookmarkStart w:id="3323" w:name="_Toc297123521"/>
      <w:bookmarkEnd w:id="3323"/>
      <w:bookmarkStart w:id="3324" w:name="_Toc300934973"/>
      <w:bookmarkEnd w:id="3324"/>
      <w:bookmarkStart w:id="3325" w:name="_Toc303539130"/>
      <w:r>
        <w:rPr>
          <w:rFonts w:hint="eastAsia" w:ascii="宋体" w:hAnsi="宋体" w:eastAsia="宋体" w:cs="宋体"/>
          <w:color w:val="auto"/>
          <w:sz w:val="24"/>
          <w:szCs w:val="24"/>
          <w:highlight w:val="none"/>
        </w:rPr>
        <w:t>.7异常恶劣的气候条件</w:t>
      </w:r>
      <w:bookmarkEnd w:id="3325"/>
    </w:p>
    <w:p w14:paraId="17195BF6">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p>
    <w:p w14:paraId="351FCAB3">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64C2DAD">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2223F7F">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BE59C19">
      <w:pPr>
        <w:pageBreakBefore w:val="0"/>
        <w:widowControl/>
        <w:kinsoku/>
        <w:wordWrap/>
        <w:overflowPunct/>
        <w:topLinePunct w:val="0"/>
        <w:autoSpaceDE/>
        <w:autoSpaceDN/>
        <w:bidi w:val="0"/>
        <w:adjustRightInd/>
        <w:snapToGrid/>
        <w:spacing w:line="240" w:lineRule="auto"/>
        <w:ind w:firstLine="480" w:firstLineChars="200"/>
        <w:textAlignment w:val="auto"/>
        <w:outlineLvl w:val="0"/>
        <w:rPr>
          <w:rFonts w:hint="eastAsia" w:ascii="宋体" w:hAnsi="宋体" w:eastAsia="宋体" w:cs="宋体"/>
          <w:color w:val="auto"/>
          <w:sz w:val="24"/>
          <w:szCs w:val="24"/>
          <w:highlight w:val="none"/>
        </w:rPr>
      </w:pPr>
      <w:bookmarkStart w:id="3326" w:name="_Toc9025"/>
      <w:bookmarkStart w:id="3327" w:name="_Toc5153"/>
      <w:bookmarkStart w:id="3328" w:name="_Toc28325"/>
      <w:bookmarkStart w:id="3329" w:name="_Toc23282"/>
      <w:bookmarkStart w:id="3330" w:name="_Toc18449"/>
      <w:bookmarkStart w:id="3331" w:name="_Toc25334"/>
      <w:bookmarkStart w:id="3332" w:name="_Toc31971"/>
      <w:bookmarkStart w:id="3333" w:name="_Toc17762"/>
      <w:bookmarkStart w:id="3334" w:name="_Toc10261"/>
      <w:bookmarkStart w:id="3335" w:name="_Toc21102"/>
      <w:bookmarkStart w:id="3336" w:name="_Toc9371"/>
      <w:bookmarkStart w:id="3337" w:name="_Toc15053"/>
      <w:bookmarkStart w:id="3338" w:name="_Toc6447"/>
      <w:bookmarkStart w:id="3339" w:name="_Toc17156"/>
      <w:bookmarkStart w:id="3340" w:name="_Toc18263"/>
      <w:bookmarkStart w:id="3341" w:name="_Toc24672"/>
      <w:r>
        <w:rPr>
          <w:rFonts w:hint="eastAsia" w:ascii="宋体" w:hAnsi="宋体" w:eastAsia="宋体" w:cs="宋体"/>
          <w:color w:val="auto"/>
          <w:sz w:val="24"/>
          <w:szCs w:val="24"/>
          <w:highlight w:val="none"/>
        </w:rPr>
        <w:t>7.9 提前竣工的奖励</w:t>
      </w:r>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p>
    <w:p w14:paraId="6BD843CD">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7.9.2提前竣工的奖励：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7DAF2DC">
      <w:pPr>
        <w:pStyle w:val="5"/>
        <w:pageBreakBefore w:val="0"/>
        <w:widowControl/>
        <w:kinsoku/>
        <w:wordWrap/>
        <w:overflowPunct/>
        <w:topLinePunct w:val="0"/>
        <w:autoSpaceDE/>
        <w:autoSpaceDN/>
        <w:bidi w:val="0"/>
        <w:adjustRightInd/>
        <w:snapToGrid/>
        <w:spacing w:before="0" w:after="0" w:line="240" w:lineRule="auto"/>
        <w:textAlignment w:val="auto"/>
        <w:rPr>
          <w:rFonts w:hint="eastAsia" w:ascii="宋体" w:hAnsi="宋体" w:eastAsia="宋体" w:cs="宋体"/>
          <w:b w:val="0"/>
          <w:bCs w:val="0"/>
          <w:color w:val="auto"/>
          <w:sz w:val="24"/>
          <w:szCs w:val="24"/>
          <w:highlight w:val="none"/>
        </w:rPr>
      </w:pPr>
      <w:bookmarkStart w:id="3342" w:name="_Toc351203640"/>
      <w:bookmarkEnd w:id="3342"/>
      <w:r>
        <w:rPr>
          <w:rFonts w:hint="eastAsia" w:ascii="宋体" w:hAnsi="宋体" w:eastAsia="宋体" w:cs="宋体"/>
          <w:b w:val="0"/>
          <w:bCs w:val="0"/>
          <w:color w:val="auto"/>
          <w:sz w:val="24"/>
          <w:szCs w:val="24"/>
          <w:highlight w:val="none"/>
        </w:rPr>
        <w:t>8. 材料与设备</w:t>
      </w:r>
    </w:p>
    <w:p w14:paraId="1FB2C04B">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Start w:id="3343" w:name="_Toc297123527"/>
      <w:bookmarkEnd w:id="3343"/>
      <w:bookmarkStart w:id="3344" w:name="_Toc296347166"/>
      <w:bookmarkEnd w:id="3344"/>
      <w:bookmarkStart w:id="3345" w:name="_Toc312678019"/>
      <w:bookmarkEnd w:id="3345"/>
      <w:bookmarkStart w:id="3346" w:name="_Toc296891207"/>
      <w:bookmarkEnd w:id="3346"/>
      <w:bookmarkStart w:id="3347" w:name="_Toc296503167"/>
      <w:bookmarkEnd w:id="3347"/>
      <w:bookmarkStart w:id="3348" w:name="_Toc292559372"/>
      <w:bookmarkEnd w:id="3348"/>
      <w:bookmarkStart w:id="3349" w:name="_Toc300934979"/>
      <w:bookmarkEnd w:id="3349"/>
      <w:bookmarkStart w:id="3350" w:name="_Toc297048353"/>
      <w:bookmarkEnd w:id="3350"/>
      <w:bookmarkStart w:id="3351" w:name="_Toc296944506"/>
      <w:bookmarkEnd w:id="3351"/>
      <w:bookmarkStart w:id="3352" w:name="_Toc304295556"/>
      <w:bookmarkEnd w:id="3352"/>
      <w:bookmarkStart w:id="3353" w:name="_Toc296346668"/>
      <w:bookmarkEnd w:id="3353"/>
      <w:bookmarkStart w:id="3354" w:name="_Toc297120467"/>
      <w:bookmarkEnd w:id="3354"/>
      <w:bookmarkStart w:id="3355" w:name="_Toc292559877"/>
      <w:bookmarkEnd w:id="3355"/>
      <w:bookmarkStart w:id="3356" w:name="_Toc280868656"/>
      <w:bookmarkEnd w:id="3356"/>
      <w:bookmarkStart w:id="3357" w:name="_Toc297216186"/>
      <w:bookmarkEnd w:id="3357"/>
      <w:bookmarkStart w:id="3358" w:name="_Toc296890995"/>
      <w:bookmarkEnd w:id="3358"/>
      <w:bookmarkStart w:id="3359" w:name="_Toc280868654"/>
      <w:bookmarkEnd w:id="3359"/>
      <w:bookmarkStart w:id="3360" w:name="_Toc267251424"/>
      <w:bookmarkEnd w:id="3360"/>
      <w:bookmarkStart w:id="3361" w:name="_Toc312677493"/>
      <w:bookmarkEnd w:id="3361"/>
      <w:bookmarkStart w:id="3362" w:name="_Toc303539136"/>
      <w:bookmarkEnd w:id="3362"/>
      <w:bookmarkStart w:id="3363" w:name="_Toc280868655"/>
      <w:r>
        <w:rPr>
          <w:rFonts w:hint="eastAsia" w:ascii="宋体" w:hAnsi="宋体" w:eastAsia="宋体" w:cs="宋体"/>
          <w:color w:val="auto"/>
          <w:sz w:val="24"/>
          <w:szCs w:val="24"/>
          <w:highlight w:val="none"/>
        </w:rPr>
        <w:t>.4材料与工程设备的保管与使用</w:t>
      </w:r>
      <w:bookmarkEnd w:id="3363"/>
    </w:p>
    <w:p w14:paraId="1FB1F6EB">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8</w:t>
      </w:r>
      <w:bookmarkStart w:id="3364" w:name="_Toc296891208"/>
      <w:bookmarkEnd w:id="3364"/>
      <w:bookmarkStart w:id="3365" w:name="_Toc312678020"/>
      <w:bookmarkEnd w:id="3365"/>
      <w:bookmarkStart w:id="3366" w:name="_Toc292559373"/>
      <w:bookmarkEnd w:id="3366"/>
      <w:bookmarkStart w:id="3367" w:name="_Toc296503168"/>
      <w:bookmarkEnd w:id="3367"/>
      <w:bookmarkStart w:id="3368" w:name="_Toc296346669"/>
      <w:bookmarkEnd w:id="3368"/>
      <w:bookmarkStart w:id="3369" w:name="_Toc312677494"/>
      <w:bookmarkEnd w:id="3369"/>
      <w:bookmarkStart w:id="3370" w:name="_Toc297216187"/>
      <w:bookmarkEnd w:id="3370"/>
      <w:bookmarkStart w:id="3371" w:name="_Toc296347167"/>
      <w:bookmarkEnd w:id="3371"/>
      <w:bookmarkStart w:id="3372" w:name="_Toc292559878"/>
      <w:bookmarkEnd w:id="3372"/>
      <w:bookmarkStart w:id="3373" w:name="_Toc300934980"/>
      <w:bookmarkEnd w:id="3373"/>
      <w:bookmarkStart w:id="3374" w:name="_Toc296944507"/>
      <w:bookmarkEnd w:id="3374"/>
      <w:bookmarkStart w:id="3375" w:name="_Toc297120468"/>
      <w:bookmarkEnd w:id="3375"/>
      <w:bookmarkStart w:id="3376" w:name="_Toc297048354"/>
      <w:bookmarkEnd w:id="3376"/>
      <w:bookmarkStart w:id="3377" w:name="_Toc318581173"/>
      <w:bookmarkEnd w:id="3377"/>
      <w:bookmarkStart w:id="3378" w:name="_Toc297123528"/>
      <w:bookmarkEnd w:id="3378"/>
      <w:bookmarkStart w:id="3379" w:name="_Toc296890996"/>
      <w:bookmarkEnd w:id="3379"/>
      <w:bookmarkStart w:id="3380" w:name="_Toc303539137"/>
      <w:bookmarkEnd w:id="3380"/>
      <w:bookmarkStart w:id="3381" w:name="_Toc304295557"/>
      <w:r>
        <w:rPr>
          <w:rFonts w:hint="eastAsia" w:ascii="宋体" w:hAnsi="宋体" w:eastAsia="宋体" w:cs="宋体"/>
          <w:color w:val="auto"/>
          <w:sz w:val="24"/>
          <w:szCs w:val="24"/>
          <w:highlight w:val="none"/>
        </w:rPr>
        <w:t>.4.1发包人供应的材料设备的保管费用的承担：</w:t>
      </w:r>
      <w:bookmarkEnd w:id="3381"/>
      <w:r>
        <w:rPr>
          <w:rFonts w:hint="eastAsia" w:ascii="宋体" w:hAnsi="宋体" w:eastAsia="宋体" w:cs="宋体"/>
          <w:color w:val="auto"/>
          <w:sz w:val="24"/>
          <w:szCs w:val="24"/>
          <w:highlight w:val="none"/>
          <w:u w:val="single"/>
        </w:rPr>
        <w:t xml:space="preserve">            </w:t>
      </w:r>
    </w:p>
    <w:p w14:paraId="0F41A465">
      <w:pPr>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4D89B9EE">
      <w:pPr>
        <w:spacing w:after="120" w:line="240" w:lineRule="auto"/>
        <w:ind w:firstLine="480" w:firstLineChars="200"/>
        <w:outlineLvl w:val="0"/>
        <w:rPr>
          <w:rFonts w:hint="eastAsia" w:ascii="宋体" w:hAnsi="宋体" w:eastAsia="宋体" w:cs="宋体"/>
          <w:color w:val="auto"/>
          <w:sz w:val="24"/>
          <w:szCs w:val="24"/>
          <w:highlight w:val="none"/>
        </w:rPr>
      </w:pPr>
      <w:bookmarkStart w:id="3382" w:name="_Toc719"/>
      <w:bookmarkStart w:id="3383" w:name="_Toc29601"/>
      <w:bookmarkStart w:id="3384" w:name="_Toc4483"/>
      <w:bookmarkStart w:id="3385" w:name="_Toc2033"/>
      <w:bookmarkStart w:id="3386" w:name="_Toc18264"/>
      <w:bookmarkStart w:id="3387" w:name="_Toc13323"/>
      <w:bookmarkStart w:id="3388" w:name="_Toc5594"/>
      <w:bookmarkStart w:id="3389" w:name="_Toc25037"/>
      <w:bookmarkStart w:id="3390" w:name="_Toc1566"/>
      <w:bookmarkStart w:id="3391" w:name="_Toc29180"/>
      <w:bookmarkStart w:id="3392" w:name="_Toc28908"/>
      <w:bookmarkStart w:id="3393" w:name="_Toc25435"/>
      <w:bookmarkStart w:id="3394" w:name="_Toc13201"/>
      <w:bookmarkStart w:id="3395" w:name="_Toc27512"/>
      <w:bookmarkStart w:id="3396" w:name="_Toc19473"/>
      <w:r>
        <w:rPr>
          <w:rFonts w:hint="eastAsia" w:ascii="宋体" w:hAnsi="宋体" w:eastAsia="宋体" w:cs="宋体"/>
          <w:color w:val="auto"/>
          <w:sz w:val="24"/>
          <w:szCs w:val="24"/>
          <w:highlight w:val="none"/>
        </w:rPr>
        <w:t>8.6 样品</w:t>
      </w:r>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p>
    <w:p w14:paraId="03C5DA5D">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8.6.1</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样品的报送与封存</w:t>
      </w:r>
    </w:p>
    <w:p w14:paraId="098D853C">
      <w:pPr>
        <w:autoSpaceDE w:val="0"/>
        <w:autoSpaceDN w:val="0"/>
        <w:adjustRightInd w:val="0"/>
        <w:spacing w:line="24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需要承包人报送样品的材料或工程设备，样品的种类、名称、规格、数量要求：</w:t>
      </w:r>
      <w:r>
        <w:rPr>
          <w:rFonts w:hint="eastAsia" w:ascii="宋体" w:hAnsi="宋体" w:eastAsia="宋体" w:cs="宋体"/>
          <w:color w:val="auto"/>
          <w:sz w:val="24"/>
          <w:szCs w:val="24"/>
          <w:highlight w:val="none"/>
          <w:u w:val="single"/>
        </w:rPr>
        <w:t xml:space="preserve">                                          </w:t>
      </w:r>
    </w:p>
    <w:p w14:paraId="2864E84C">
      <w:pPr>
        <w:autoSpaceDE w:val="0"/>
        <w:autoSpaceDN w:val="0"/>
        <w:adjustRightInd w:val="0"/>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14:paraId="3F1DD9DC">
      <w:pPr>
        <w:pageBreakBefore w:val="0"/>
        <w:widowControl/>
        <w:kinsoku/>
        <w:wordWrap/>
        <w:overflowPunct/>
        <w:topLinePunct w:val="0"/>
        <w:bidi w:val="0"/>
        <w:snapToGrid/>
        <w:spacing w:line="240" w:lineRule="auto"/>
        <w:ind w:firstLine="480" w:firstLineChars="200"/>
        <w:textAlignment w:val="auto"/>
        <w:outlineLvl w:val="0"/>
        <w:rPr>
          <w:rFonts w:hint="eastAsia" w:ascii="宋体" w:hAnsi="宋体" w:eastAsia="宋体" w:cs="宋体"/>
          <w:color w:val="auto"/>
          <w:sz w:val="24"/>
          <w:szCs w:val="24"/>
          <w:highlight w:val="none"/>
        </w:rPr>
      </w:pPr>
      <w:bookmarkStart w:id="3397" w:name="_Toc15103"/>
      <w:bookmarkStart w:id="3398" w:name="_Toc29593"/>
      <w:bookmarkStart w:id="3399" w:name="_Toc2322"/>
      <w:bookmarkStart w:id="3400" w:name="_Toc113"/>
      <w:bookmarkStart w:id="3401" w:name="_Toc7666"/>
      <w:bookmarkStart w:id="3402" w:name="_Toc231"/>
      <w:bookmarkStart w:id="3403" w:name="_Toc9396"/>
      <w:bookmarkStart w:id="3404" w:name="_Toc4468"/>
      <w:bookmarkStart w:id="3405" w:name="_Toc13534"/>
      <w:bookmarkStart w:id="3406" w:name="_Toc12175"/>
      <w:bookmarkStart w:id="3407" w:name="_Toc6504"/>
      <w:bookmarkStart w:id="3408" w:name="_Toc8697"/>
      <w:bookmarkStart w:id="3409" w:name="_Toc8844"/>
      <w:bookmarkStart w:id="3410" w:name="_Toc22163"/>
      <w:bookmarkStart w:id="3411" w:name="_Toc24156"/>
      <w:bookmarkStart w:id="3412" w:name="_Toc2006"/>
      <w:r>
        <w:rPr>
          <w:rFonts w:hint="eastAsia" w:ascii="宋体" w:hAnsi="宋体" w:eastAsia="宋体" w:cs="宋体"/>
          <w:color w:val="auto"/>
          <w:sz w:val="24"/>
          <w:szCs w:val="24"/>
          <w:highlight w:val="none"/>
        </w:rPr>
        <w:t>8.8 施工设备和临时设施</w:t>
      </w:r>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p>
    <w:p w14:paraId="290B4D9E">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8.8.1 承包人提供的施工设备和临时设施</w:t>
      </w:r>
    </w:p>
    <w:p w14:paraId="40AADB5C">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关于修建临时设施费用承担的约定：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15E88E7">
      <w:pPr>
        <w:pStyle w:val="5"/>
        <w:pageBreakBefore w:val="0"/>
        <w:widowControl/>
        <w:kinsoku/>
        <w:wordWrap/>
        <w:overflowPunct/>
        <w:topLinePunct w:val="0"/>
        <w:bidi w:val="0"/>
        <w:snapToGrid/>
        <w:spacing w:before="0" w:after="0" w:line="240" w:lineRule="auto"/>
        <w:textAlignment w:val="auto"/>
        <w:rPr>
          <w:rFonts w:hint="eastAsia" w:ascii="宋体" w:hAnsi="宋体" w:eastAsia="宋体" w:cs="宋体"/>
          <w:b w:val="0"/>
          <w:bCs w:val="0"/>
          <w:color w:val="auto"/>
          <w:sz w:val="24"/>
          <w:szCs w:val="24"/>
          <w:highlight w:val="none"/>
        </w:rPr>
      </w:pPr>
      <w:bookmarkStart w:id="3413" w:name="_Toc351203641"/>
      <w:bookmarkEnd w:id="3413"/>
      <w:r>
        <w:rPr>
          <w:rFonts w:hint="eastAsia" w:ascii="宋体" w:hAnsi="宋体" w:eastAsia="宋体" w:cs="宋体"/>
          <w:b w:val="0"/>
          <w:bCs w:val="0"/>
          <w:color w:val="auto"/>
          <w:sz w:val="24"/>
          <w:szCs w:val="24"/>
          <w:highlight w:val="none"/>
        </w:rPr>
        <w:t>9</w:t>
      </w:r>
      <w:bookmarkStart w:id="3414" w:name="_Toc267251427"/>
      <w:bookmarkEnd w:id="3414"/>
      <w:bookmarkStart w:id="3415" w:name="_Toc303539139"/>
      <w:bookmarkEnd w:id="3415"/>
      <w:bookmarkStart w:id="3416" w:name="_Toc297123533"/>
      <w:bookmarkEnd w:id="3416"/>
      <w:bookmarkStart w:id="3417" w:name="_Toc267251428"/>
      <w:bookmarkEnd w:id="3417"/>
      <w:bookmarkStart w:id="3418" w:name="_Toc296891001"/>
      <w:bookmarkEnd w:id="3418"/>
      <w:bookmarkStart w:id="3419" w:name="_Toc304295559"/>
      <w:bookmarkEnd w:id="3419"/>
      <w:bookmarkStart w:id="3420" w:name="_Toc292559378"/>
      <w:bookmarkEnd w:id="3420"/>
      <w:bookmarkStart w:id="3421" w:name="_Toc297216192"/>
      <w:bookmarkEnd w:id="3421"/>
      <w:bookmarkStart w:id="3422" w:name="_Toc296891213"/>
      <w:bookmarkEnd w:id="3422"/>
      <w:bookmarkStart w:id="3423" w:name="_Toc297120473"/>
      <w:bookmarkEnd w:id="3423"/>
      <w:bookmarkStart w:id="3424" w:name="_Toc292559883"/>
      <w:bookmarkEnd w:id="3424"/>
      <w:bookmarkStart w:id="3425" w:name="_Toc297048359"/>
      <w:bookmarkEnd w:id="3425"/>
      <w:bookmarkStart w:id="3426" w:name="_Toc312678021"/>
      <w:bookmarkEnd w:id="3426"/>
      <w:bookmarkStart w:id="3427" w:name="_Toc296346674"/>
      <w:bookmarkEnd w:id="3427"/>
      <w:bookmarkStart w:id="3428" w:name="_Toc296347172"/>
      <w:bookmarkEnd w:id="3428"/>
      <w:bookmarkStart w:id="3429" w:name="_Toc296944512"/>
      <w:bookmarkEnd w:id="3429"/>
      <w:bookmarkStart w:id="3430" w:name="_Toc312677495"/>
      <w:bookmarkEnd w:id="3430"/>
      <w:bookmarkStart w:id="3431" w:name="_Toc300934982"/>
      <w:bookmarkEnd w:id="3431"/>
      <w:bookmarkStart w:id="3432" w:name="_Toc296503173"/>
      <w:r>
        <w:rPr>
          <w:rFonts w:hint="eastAsia" w:ascii="宋体" w:hAnsi="宋体" w:eastAsia="宋体" w:cs="宋体"/>
          <w:b w:val="0"/>
          <w:bCs w:val="0"/>
          <w:color w:val="auto"/>
          <w:sz w:val="24"/>
          <w:szCs w:val="24"/>
          <w:highlight w:val="none"/>
        </w:rPr>
        <w:t>. 试验与检验</w:t>
      </w:r>
      <w:bookmarkEnd w:id="3432"/>
    </w:p>
    <w:p w14:paraId="36253B39">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3433" w:name="_Toc297123534"/>
      <w:bookmarkEnd w:id="3433"/>
      <w:bookmarkStart w:id="3434" w:name="_Toc297216193"/>
      <w:bookmarkEnd w:id="3434"/>
      <w:bookmarkStart w:id="3435" w:name="_Toc312678022"/>
      <w:bookmarkEnd w:id="3435"/>
      <w:bookmarkStart w:id="3436" w:name="_Toc300934983"/>
      <w:bookmarkEnd w:id="3436"/>
      <w:bookmarkStart w:id="3437" w:name="_Toc303539140"/>
      <w:bookmarkEnd w:id="3437"/>
      <w:bookmarkStart w:id="3438" w:name="_Toc312677496"/>
      <w:bookmarkEnd w:id="3438"/>
      <w:bookmarkStart w:id="3439" w:name="_Toc304295560"/>
      <w:r>
        <w:rPr>
          <w:rFonts w:hint="eastAsia" w:ascii="宋体" w:hAnsi="宋体" w:eastAsia="宋体" w:cs="宋体"/>
          <w:color w:val="auto"/>
          <w:sz w:val="24"/>
          <w:szCs w:val="24"/>
          <w:highlight w:val="none"/>
        </w:rPr>
        <w:t>.1试验设备与试验人员</w:t>
      </w:r>
      <w:bookmarkEnd w:id="3439"/>
    </w:p>
    <w:p w14:paraId="1FEC0E8A">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3440" w:name="_Toc300934984"/>
      <w:bookmarkEnd w:id="3440"/>
      <w:bookmarkStart w:id="3441" w:name="_Toc303539141"/>
      <w:bookmarkEnd w:id="3441"/>
      <w:bookmarkStart w:id="3442" w:name="_Toc297123535"/>
      <w:bookmarkEnd w:id="3442"/>
      <w:bookmarkStart w:id="3443" w:name="_Toc304295561"/>
      <w:bookmarkEnd w:id="3443"/>
      <w:bookmarkStart w:id="3444" w:name="_Toc297216194"/>
      <w:bookmarkEnd w:id="3444"/>
      <w:bookmarkStart w:id="3445" w:name="_Toc312678023"/>
      <w:bookmarkEnd w:id="3445"/>
      <w:bookmarkStart w:id="3446" w:name="_Toc312677497"/>
      <w:bookmarkEnd w:id="3446"/>
      <w:bookmarkStart w:id="3447" w:name="_Toc318581174"/>
      <w:r>
        <w:rPr>
          <w:rFonts w:hint="eastAsia" w:ascii="宋体" w:hAnsi="宋体" w:eastAsia="宋体" w:cs="宋体"/>
          <w:color w:val="auto"/>
          <w:sz w:val="24"/>
          <w:szCs w:val="24"/>
          <w:highlight w:val="none"/>
        </w:rPr>
        <w:t>.1.2 试验设备</w:t>
      </w:r>
      <w:bookmarkEnd w:id="3447"/>
    </w:p>
    <w:p w14:paraId="29A7904B">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bookmarkStart w:id="3448" w:name="_Toc300934985"/>
      <w:bookmarkEnd w:id="3448"/>
      <w:bookmarkStart w:id="3449" w:name="_Toc312678024"/>
      <w:bookmarkEnd w:id="3449"/>
      <w:bookmarkStart w:id="3450" w:name="_Toc303539142"/>
      <w:bookmarkEnd w:id="3450"/>
      <w:bookmarkStart w:id="3451" w:name="_Toc297123536"/>
      <w:bookmarkEnd w:id="3451"/>
      <w:bookmarkStart w:id="3452" w:name="_Toc304295562"/>
      <w:bookmarkEnd w:id="3452"/>
      <w:bookmarkStart w:id="3453" w:name="_Toc312677498"/>
      <w:bookmarkEnd w:id="3453"/>
      <w:bookmarkStart w:id="3454" w:name="_Toc297216195"/>
      <w:bookmarkEnd w:id="3454"/>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FF1E5A6">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施工现场需要配备的试验设备：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89A7664">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F759B64">
      <w:pPr>
        <w:pageBreakBefore w:val="0"/>
        <w:widowControl/>
        <w:kinsoku/>
        <w:wordWrap/>
        <w:overflowPunct/>
        <w:topLinePunct w:val="0"/>
        <w:autoSpaceDE/>
        <w:autoSpaceDN/>
        <w:bidi w:val="0"/>
        <w:adjustRightInd/>
        <w:snapToGrid/>
        <w:spacing w:line="240" w:lineRule="auto"/>
        <w:ind w:firstLine="480" w:firstLineChars="200"/>
        <w:textAlignment w:val="auto"/>
        <w:outlineLvl w:val="0"/>
        <w:rPr>
          <w:rFonts w:hint="eastAsia" w:ascii="宋体" w:hAnsi="宋体" w:eastAsia="宋体" w:cs="宋体"/>
          <w:color w:val="auto"/>
          <w:sz w:val="24"/>
          <w:szCs w:val="24"/>
          <w:highlight w:val="none"/>
        </w:rPr>
      </w:pPr>
      <w:bookmarkStart w:id="3455" w:name="_Toc26113"/>
      <w:bookmarkStart w:id="3456" w:name="_Toc18935"/>
      <w:bookmarkStart w:id="3457" w:name="_Toc4607"/>
      <w:bookmarkStart w:id="3458" w:name="_Toc30200"/>
      <w:bookmarkStart w:id="3459" w:name="_Toc2273"/>
      <w:bookmarkStart w:id="3460" w:name="_Toc27397"/>
      <w:bookmarkStart w:id="3461" w:name="_Toc22018"/>
      <w:bookmarkStart w:id="3462" w:name="_Toc14560"/>
      <w:bookmarkStart w:id="3463" w:name="_Toc20148"/>
      <w:bookmarkStart w:id="3464" w:name="_Toc16091"/>
      <w:bookmarkStart w:id="3465" w:name="_Toc31392"/>
      <w:bookmarkStart w:id="3466" w:name="_Toc5"/>
      <w:bookmarkStart w:id="3467" w:name="_Toc22446"/>
      <w:bookmarkStart w:id="3468" w:name="_Toc23336"/>
      <w:bookmarkStart w:id="3469" w:name="_Toc12959"/>
      <w:bookmarkStart w:id="3470" w:name="_Toc26429"/>
      <w:r>
        <w:rPr>
          <w:rFonts w:hint="eastAsia" w:ascii="宋体" w:hAnsi="宋体" w:eastAsia="宋体" w:cs="宋体"/>
          <w:color w:val="auto"/>
          <w:sz w:val="24"/>
          <w:szCs w:val="24"/>
          <w:highlight w:val="none"/>
        </w:rPr>
        <w:t>9.4 现场工艺试验</w:t>
      </w:r>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r>
        <w:rPr>
          <w:rFonts w:hint="eastAsia" w:ascii="宋体" w:hAnsi="宋体" w:eastAsia="宋体" w:cs="宋体"/>
          <w:color w:val="auto"/>
          <w:sz w:val="24"/>
          <w:szCs w:val="24"/>
          <w:highlight w:val="none"/>
        </w:rPr>
        <w:t xml:space="preserve"> </w:t>
      </w:r>
    </w:p>
    <w:p w14:paraId="7BF6A90F">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14996EB">
      <w:pPr>
        <w:pStyle w:val="5"/>
        <w:pageBreakBefore w:val="0"/>
        <w:widowControl/>
        <w:kinsoku/>
        <w:wordWrap/>
        <w:overflowPunct/>
        <w:topLinePunct w:val="0"/>
        <w:autoSpaceDE/>
        <w:autoSpaceDN/>
        <w:bidi w:val="0"/>
        <w:adjustRightInd/>
        <w:snapToGrid/>
        <w:spacing w:before="0" w:after="0" w:line="240" w:lineRule="auto"/>
        <w:textAlignment w:val="auto"/>
        <w:rPr>
          <w:rFonts w:hint="eastAsia" w:ascii="宋体" w:hAnsi="宋体" w:eastAsia="宋体" w:cs="宋体"/>
          <w:b w:val="0"/>
          <w:bCs w:val="0"/>
          <w:color w:val="auto"/>
          <w:sz w:val="24"/>
          <w:szCs w:val="24"/>
          <w:highlight w:val="none"/>
        </w:rPr>
      </w:pPr>
      <w:bookmarkStart w:id="3471" w:name="_Toc351203642"/>
      <w:bookmarkEnd w:id="3471"/>
      <w:r>
        <w:rPr>
          <w:rFonts w:hint="eastAsia" w:ascii="宋体" w:hAnsi="宋体" w:eastAsia="宋体" w:cs="宋体"/>
          <w:b w:val="0"/>
          <w:bCs w:val="0"/>
          <w:color w:val="auto"/>
          <w:sz w:val="24"/>
          <w:szCs w:val="24"/>
          <w:highlight w:val="none"/>
        </w:rPr>
        <w:t>1</w:t>
      </w:r>
      <w:bookmarkStart w:id="3472" w:name="_Toc312678025"/>
      <w:bookmarkEnd w:id="3472"/>
      <w:bookmarkStart w:id="3473" w:name="_Toc297048379"/>
      <w:bookmarkEnd w:id="3473"/>
      <w:bookmarkStart w:id="3474" w:name="_Toc297216199"/>
      <w:bookmarkEnd w:id="3474"/>
      <w:bookmarkStart w:id="3475" w:name="_Toc304295566"/>
      <w:bookmarkEnd w:id="3475"/>
      <w:bookmarkStart w:id="3476" w:name="_Toc292559398"/>
      <w:bookmarkEnd w:id="3476"/>
      <w:bookmarkStart w:id="3477" w:name="_Toc267251439"/>
      <w:bookmarkEnd w:id="3477"/>
      <w:bookmarkStart w:id="3478" w:name="_Toc303539146"/>
      <w:bookmarkEnd w:id="3478"/>
      <w:bookmarkStart w:id="3479" w:name="_Toc267251437"/>
      <w:bookmarkEnd w:id="3479"/>
      <w:bookmarkStart w:id="3480" w:name="_Toc296891021"/>
      <w:bookmarkEnd w:id="3480"/>
      <w:bookmarkStart w:id="3481" w:name="_Toc300934989"/>
      <w:bookmarkEnd w:id="3481"/>
      <w:bookmarkStart w:id="3482" w:name="_Toc296503193"/>
      <w:bookmarkEnd w:id="3482"/>
      <w:bookmarkStart w:id="3483" w:name="_Toc267251433"/>
      <w:bookmarkEnd w:id="3483"/>
      <w:bookmarkStart w:id="3484" w:name="_Toc292559903"/>
      <w:bookmarkEnd w:id="3484"/>
      <w:bookmarkStart w:id="3485" w:name="_Toc296944532"/>
      <w:bookmarkEnd w:id="3485"/>
      <w:bookmarkStart w:id="3486" w:name="_Toc312677499"/>
      <w:bookmarkEnd w:id="3486"/>
      <w:bookmarkStart w:id="3487" w:name="_Toc296891233"/>
      <w:bookmarkEnd w:id="3487"/>
      <w:bookmarkStart w:id="3488" w:name="_Toc296346694"/>
      <w:bookmarkEnd w:id="3488"/>
      <w:bookmarkStart w:id="3489" w:name="_Toc296347192"/>
      <w:bookmarkEnd w:id="3489"/>
      <w:bookmarkStart w:id="3490" w:name="_Toc297120493"/>
      <w:bookmarkEnd w:id="3490"/>
      <w:bookmarkStart w:id="3491" w:name="_Toc297123540"/>
      <w:bookmarkEnd w:id="3491"/>
      <w:bookmarkStart w:id="3492" w:name="_Toc267251441"/>
      <w:bookmarkEnd w:id="3492"/>
      <w:bookmarkStart w:id="3493" w:name="_Toc267251435"/>
      <w:bookmarkEnd w:id="3493"/>
      <w:bookmarkStart w:id="3494" w:name="_Toc267251442"/>
      <w:bookmarkEnd w:id="3494"/>
      <w:bookmarkStart w:id="3495" w:name="_Toc267251440"/>
      <w:r>
        <w:rPr>
          <w:rFonts w:hint="eastAsia" w:ascii="宋体" w:hAnsi="宋体" w:eastAsia="宋体" w:cs="宋体"/>
          <w:b w:val="0"/>
          <w:bCs w:val="0"/>
          <w:color w:val="auto"/>
          <w:sz w:val="24"/>
          <w:szCs w:val="24"/>
          <w:highlight w:val="none"/>
        </w:rPr>
        <w:t>0. 变更</w:t>
      </w:r>
      <w:bookmarkEnd w:id="3495"/>
    </w:p>
    <w:p w14:paraId="66038931">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3496" w:name="_Toc292559904"/>
      <w:bookmarkEnd w:id="3496"/>
      <w:bookmarkStart w:id="3497" w:name="_Toc304295567"/>
      <w:bookmarkEnd w:id="3497"/>
      <w:bookmarkStart w:id="3498" w:name="_Toc296347193"/>
      <w:bookmarkEnd w:id="3498"/>
      <w:bookmarkStart w:id="3499" w:name="_Toc296346695"/>
      <w:bookmarkEnd w:id="3499"/>
      <w:bookmarkStart w:id="3500" w:name="_Toc300934990"/>
      <w:bookmarkEnd w:id="3500"/>
      <w:bookmarkStart w:id="3501" w:name="_Toc312678026"/>
      <w:bookmarkEnd w:id="3501"/>
      <w:bookmarkStart w:id="3502" w:name="_Toc296503194"/>
      <w:bookmarkEnd w:id="3502"/>
      <w:bookmarkStart w:id="3503" w:name="_Toc297216200"/>
      <w:bookmarkEnd w:id="3503"/>
      <w:bookmarkStart w:id="3504" w:name="_Toc297120494"/>
      <w:bookmarkEnd w:id="3504"/>
      <w:bookmarkStart w:id="3505" w:name="_Toc312677500"/>
      <w:bookmarkEnd w:id="3505"/>
      <w:bookmarkStart w:id="3506" w:name="_Toc303539147"/>
      <w:bookmarkEnd w:id="3506"/>
      <w:bookmarkStart w:id="3507" w:name="_Toc296944533"/>
      <w:bookmarkEnd w:id="3507"/>
      <w:bookmarkStart w:id="3508" w:name="_Toc296891022"/>
      <w:bookmarkEnd w:id="3508"/>
      <w:bookmarkStart w:id="3509" w:name="_Toc292559399"/>
      <w:bookmarkEnd w:id="3509"/>
      <w:bookmarkStart w:id="3510" w:name="_Toc297123541"/>
      <w:bookmarkEnd w:id="3510"/>
      <w:bookmarkStart w:id="3511" w:name="_Toc296891234"/>
      <w:bookmarkEnd w:id="3511"/>
      <w:bookmarkStart w:id="3512" w:name="_Toc297048380"/>
      <w:r>
        <w:rPr>
          <w:rFonts w:hint="eastAsia" w:ascii="宋体" w:hAnsi="宋体" w:eastAsia="宋体" w:cs="宋体"/>
          <w:color w:val="auto"/>
          <w:sz w:val="24"/>
          <w:szCs w:val="24"/>
          <w:highlight w:val="none"/>
        </w:rPr>
        <w:t>0.1变更的范围</w:t>
      </w:r>
      <w:bookmarkEnd w:id="3512"/>
    </w:p>
    <w:p w14:paraId="690DDDF3">
      <w:pPr>
        <w:pageBreakBefore w:val="0"/>
        <w:widowControl/>
        <w:kinsoku/>
        <w:wordWrap/>
        <w:overflowPunct/>
        <w:topLinePunct w:val="0"/>
        <w:autoSpaceDE/>
        <w:autoSpaceDN/>
        <w:bidi w:val="0"/>
        <w:adjustRightInd/>
        <w:snapToGrid/>
        <w:spacing w:line="240" w:lineRule="auto"/>
        <w:ind w:firstLine="6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C4776C1">
      <w:pPr>
        <w:pageBreakBefore w:val="0"/>
        <w:widowControl/>
        <w:kinsoku/>
        <w:wordWrap/>
        <w:overflowPunct/>
        <w:topLinePunct w:val="0"/>
        <w:autoSpaceDE/>
        <w:autoSpaceDN/>
        <w:bidi w:val="0"/>
        <w:adjustRightInd/>
        <w:snapToGrid/>
        <w:spacing w:line="240" w:lineRule="auto"/>
        <w:ind w:firstLine="480" w:firstLineChars="200"/>
        <w:textAlignment w:val="auto"/>
        <w:outlineLvl w:val="0"/>
        <w:rPr>
          <w:rFonts w:hint="eastAsia" w:ascii="宋体" w:hAnsi="宋体" w:eastAsia="宋体" w:cs="宋体"/>
          <w:color w:val="auto"/>
          <w:sz w:val="24"/>
          <w:szCs w:val="24"/>
          <w:highlight w:val="none"/>
        </w:rPr>
      </w:pPr>
      <w:bookmarkStart w:id="3513" w:name="_Toc32405"/>
      <w:bookmarkStart w:id="3514" w:name="_Toc7513"/>
      <w:bookmarkStart w:id="3515" w:name="_Toc13704"/>
      <w:bookmarkStart w:id="3516" w:name="_Toc32409"/>
      <w:bookmarkStart w:id="3517" w:name="_Toc14169"/>
      <w:bookmarkStart w:id="3518" w:name="_Toc10720"/>
      <w:bookmarkStart w:id="3519" w:name="_Toc1799"/>
      <w:bookmarkStart w:id="3520" w:name="_Toc6098"/>
      <w:bookmarkStart w:id="3521" w:name="_Toc31026"/>
      <w:bookmarkStart w:id="3522" w:name="_Toc16083"/>
      <w:bookmarkStart w:id="3523" w:name="_Toc10462"/>
      <w:bookmarkStart w:id="3524" w:name="_Toc32607"/>
      <w:bookmarkStart w:id="3525" w:name="_Toc4120"/>
      <w:bookmarkStart w:id="3526" w:name="_Toc18199"/>
      <w:bookmarkStart w:id="3527" w:name="_Toc21227"/>
      <w:r>
        <w:rPr>
          <w:rFonts w:hint="eastAsia" w:ascii="宋体" w:hAnsi="宋体" w:eastAsia="宋体" w:cs="宋体"/>
          <w:color w:val="auto"/>
          <w:sz w:val="24"/>
          <w:szCs w:val="24"/>
          <w:highlight w:val="none"/>
        </w:rPr>
        <w:t>10.4 变更估价</w:t>
      </w:r>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p>
    <w:p w14:paraId="2A1679BD">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10.4.1 变更估价原则</w:t>
      </w:r>
    </w:p>
    <w:p w14:paraId="3E8491A1">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关于变更估价的约定</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469C745">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3528" w:name="_Toc297048383"/>
      <w:bookmarkEnd w:id="3528"/>
      <w:bookmarkStart w:id="3529" w:name="_Toc296891237"/>
      <w:bookmarkEnd w:id="3529"/>
      <w:bookmarkStart w:id="3530" w:name="_Toc296503197"/>
      <w:bookmarkEnd w:id="3530"/>
      <w:bookmarkStart w:id="3531" w:name="_Toc304295570"/>
      <w:bookmarkEnd w:id="3531"/>
      <w:bookmarkStart w:id="3532" w:name="_Toc296944536"/>
      <w:bookmarkEnd w:id="3532"/>
      <w:bookmarkStart w:id="3533" w:name="_Toc297216203"/>
      <w:bookmarkEnd w:id="3533"/>
      <w:bookmarkStart w:id="3534" w:name="_Toc300934993"/>
      <w:bookmarkEnd w:id="3534"/>
      <w:bookmarkStart w:id="3535" w:name="_Toc296347196"/>
      <w:bookmarkEnd w:id="3535"/>
      <w:bookmarkStart w:id="3536" w:name="_Toc297123544"/>
      <w:bookmarkEnd w:id="3536"/>
      <w:bookmarkStart w:id="3537" w:name="_Toc296891025"/>
      <w:bookmarkEnd w:id="3537"/>
      <w:bookmarkStart w:id="3538" w:name="_Toc297120497"/>
      <w:bookmarkEnd w:id="3538"/>
      <w:bookmarkStart w:id="3539" w:name="_Toc292559402"/>
      <w:bookmarkEnd w:id="3539"/>
      <w:bookmarkStart w:id="3540" w:name="_Toc303539150"/>
      <w:bookmarkEnd w:id="3540"/>
      <w:bookmarkStart w:id="3541" w:name="_Toc292559907"/>
      <w:bookmarkEnd w:id="3541"/>
      <w:bookmarkStart w:id="3542" w:name="_Toc312677503"/>
      <w:bookmarkEnd w:id="3542"/>
      <w:bookmarkStart w:id="3543" w:name="_Toc296346698"/>
      <w:bookmarkEnd w:id="3543"/>
      <w:bookmarkStart w:id="3544" w:name="_Toc312678029"/>
      <w:bookmarkEnd w:id="3544"/>
      <w:r>
        <w:rPr>
          <w:rFonts w:hint="eastAsia" w:ascii="宋体" w:hAnsi="宋体" w:eastAsia="宋体" w:cs="宋体"/>
          <w:color w:val="auto"/>
          <w:sz w:val="24"/>
          <w:szCs w:val="24"/>
          <w:highlight w:val="none"/>
        </w:rPr>
        <w:t>0.5承</w:t>
      </w:r>
      <w:bookmarkStart w:id="3545" w:name="_Toc297120503"/>
      <w:bookmarkEnd w:id="3545"/>
      <w:bookmarkStart w:id="3546" w:name="_Toc297048389"/>
      <w:bookmarkEnd w:id="3546"/>
      <w:bookmarkStart w:id="3547" w:name="_Toc300934994"/>
      <w:bookmarkEnd w:id="3547"/>
      <w:bookmarkStart w:id="3548" w:name="_Toc292559913"/>
      <w:bookmarkEnd w:id="3548"/>
      <w:bookmarkStart w:id="3549" w:name="_Toc303539151"/>
      <w:bookmarkEnd w:id="3549"/>
      <w:bookmarkStart w:id="3550" w:name="_Toc296503203"/>
      <w:bookmarkEnd w:id="3550"/>
      <w:bookmarkStart w:id="3551" w:name="_Toc296346704"/>
      <w:bookmarkEnd w:id="3551"/>
      <w:bookmarkStart w:id="3552" w:name="_Toc297216204"/>
      <w:bookmarkEnd w:id="3552"/>
      <w:bookmarkStart w:id="3553" w:name="_Toc296944542"/>
      <w:bookmarkEnd w:id="3553"/>
      <w:bookmarkStart w:id="3554" w:name="_Toc296891031"/>
      <w:bookmarkEnd w:id="3554"/>
      <w:bookmarkStart w:id="3555" w:name="_Toc296891243"/>
      <w:bookmarkEnd w:id="3555"/>
      <w:bookmarkStart w:id="3556" w:name="_Toc292559408"/>
      <w:bookmarkEnd w:id="3556"/>
      <w:bookmarkStart w:id="3557" w:name="_Toc296347202"/>
      <w:bookmarkEnd w:id="3557"/>
      <w:bookmarkStart w:id="3558" w:name="_Toc297123545"/>
      <w:bookmarkEnd w:id="3558"/>
      <w:r>
        <w:rPr>
          <w:rFonts w:hint="eastAsia" w:ascii="宋体" w:hAnsi="宋体" w:eastAsia="宋体" w:cs="宋体"/>
          <w:color w:val="auto"/>
          <w:sz w:val="24"/>
          <w:szCs w:val="24"/>
          <w:highlight w:val="none"/>
        </w:rPr>
        <w:t>包人的合理化建议</w:t>
      </w:r>
    </w:p>
    <w:p w14:paraId="42CA88CB">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F76BE04">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AE563FE">
      <w:pPr>
        <w:keepNext w:val="0"/>
        <w:keepLines w:val="0"/>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w:t>
      </w:r>
      <w:bookmarkStart w:id="3559" w:name="_Toc296891032"/>
      <w:bookmarkEnd w:id="3559"/>
      <w:bookmarkStart w:id="3560" w:name="_Toc303539152"/>
      <w:bookmarkEnd w:id="3560"/>
      <w:bookmarkStart w:id="3561" w:name="_Toc297048390"/>
      <w:bookmarkEnd w:id="3561"/>
      <w:bookmarkStart w:id="3562" w:name="_Toc292559914"/>
      <w:bookmarkEnd w:id="3562"/>
      <w:bookmarkStart w:id="3563" w:name="_Toc312677504"/>
      <w:bookmarkEnd w:id="3563"/>
      <w:bookmarkStart w:id="3564" w:name="_Toc296944543"/>
      <w:bookmarkEnd w:id="3564"/>
      <w:bookmarkStart w:id="3565" w:name="_Toc297120504"/>
      <w:bookmarkEnd w:id="3565"/>
      <w:bookmarkStart w:id="3566" w:name="_Toc292559409"/>
      <w:bookmarkEnd w:id="3566"/>
      <w:bookmarkStart w:id="3567" w:name="_Toc296347203"/>
      <w:bookmarkEnd w:id="3567"/>
      <w:bookmarkStart w:id="3568" w:name="_Toc297216205"/>
      <w:bookmarkEnd w:id="3568"/>
      <w:bookmarkStart w:id="3569" w:name="_Toc296891244"/>
      <w:bookmarkEnd w:id="3569"/>
      <w:bookmarkStart w:id="3570" w:name="_Toc296346705"/>
      <w:bookmarkEnd w:id="3570"/>
      <w:bookmarkStart w:id="3571" w:name="_Toc300934995"/>
      <w:bookmarkEnd w:id="3571"/>
      <w:bookmarkStart w:id="3572" w:name="_Toc304295571"/>
      <w:bookmarkEnd w:id="3572"/>
      <w:bookmarkStart w:id="3573" w:name="_Toc312678030"/>
      <w:bookmarkEnd w:id="3573"/>
      <w:bookmarkStart w:id="3574" w:name="_Toc297123546"/>
      <w:bookmarkEnd w:id="3574"/>
      <w:bookmarkStart w:id="3575" w:name="_Toc296503204"/>
      <w:bookmarkEnd w:id="3575"/>
      <w:bookmarkStart w:id="3576" w:name="_Toc318581175"/>
      <w:r>
        <w:rPr>
          <w:rFonts w:hint="eastAsia" w:ascii="宋体" w:hAnsi="宋体" w:eastAsia="宋体" w:cs="宋体"/>
          <w:color w:val="auto"/>
          <w:sz w:val="24"/>
          <w:szCs w:val="24"/>
          <w:highlight w:val="none"/>
        </w:rPr>
        <w:t>包人提出的合理化建议降低了合同价格或者提高了工程经济效益的奖励的方法和金额为：</w:t>
      </w:r>
      <w:bookmarkEnd w:id="3576"/>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EDBA608">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outlineLvl w:val="0"/>
        <w:rPr>
          <w:rFonts w:hint="eastAsia" w:ascii="宋体" w:hAnsi="宋体" w:eastAsia="宋体" w:cs="宋体"/>
          <w:color w:val="auto"/>
          <w:sz w:val="24"/>
          <w:szCs w:val="24"/>
          <w:highlight w:val="none"/>
        </w:rPr>
      </w:pPr>
      <w:bookmarkStart w:id="3577" w:name="_Toc2546"/>
      <w:bookmarkStart w:id="3578" w:name="_Toc30777"/>
      <w:bookmarkStart w:id="3579" w:name="_Toc23089"/>
      <w:bookmarkStart w:id="3580" w:name="_Toc24653"/>
      <w:bookmarkStart w:id="3581" w:name="_Toc24701"/>
      <w:bookmarkStart w:id="3582" w:name="_Toc24300"/>
      <w:bookmarkStart w:id="3583" w:name="_Toc1806"/>
      <w:bookmarkStart w:id="3584" w:name="_Toc25783"/>
      <w:bookmarkStart w:id="3585" w:name="_Toc16664"/>
      <w:bookmarkStart w:id="3586" w:name="_Toc20278"/>
      <w:bookmarkStart w:id="3587" w:name="_Toc4843"/>
      <w:bookmarkStart w:id="3588" w:name="_Toc19059"/>
      <w:bookmarkStart w:id="3589" w:name="_Toc25489"/>
      <w:bookmarkStart w:id="3590" w:name="_Toc20604"/>
      <w:bookmarkStart w:id="3591" w:name="_Toc15193"/>
      <w:bookmarkStart w:id="3592" w:name="_Toc23930"/>
      <w:r>
        <w:rPr>
          <w:rFonts w:hint="eastAsia" w:ascii="宋体" w:hAnsi="宋体" w:eastAsia="宋体" w:cs="宋体"/>
          <w:color w:val="auto"/>
          <w:sz w:val="24"/>
          <w:szCs w:val="24"/>
          <w:highlight w:val="none"/>
        </w:rPr>
        <w:t>1</w:t>
      </w:r>
      <w:bookmarkStart w:id="3593" w:name="_Toc296891027"/>
      <w:bookmarkEnd w:id="3593"/>
      <w:bookmarkStart w:id="3594" w:name="_Toc297120499"/>
      <w:bookmarkEnd w:id="3594"/>
      <w:bookmarkStart w:id="3595" w:name="_Toc297216207"/>
      <w:bookmarkEnd w:id="3595"/>
      <w:bookmarkStart w:id="3596" w:name="_Toc296891239"/>
      <w:bookmarkEnd w:id="3596"/>
      <w:bookmarkStart w:id="3597" w:name="_Toc296347198"/>
      <w:bookmarkEnd w:id="3597"/>
      <w:bookmarkStart w:id="3598" w:name="_Toc292559909"/>
      <w:bookmarkEnd w:id="3598"/>
      <w:bookmarkStart w:id="3599" w:name="_Toc303539154"/>
      <w:bookmarkEnd w:id="3599"/>
      <w:bookmarkStart w:id="3600" w:name="_Toc296503199"/>
      <w:bookmarkEnd w:id="3600"/>
      <w:bookmarkStart w:id="3601" w:name="_Toc297123548"/>
      <w:bookmarkEnd w:id="3601"/>
      <w:bookmarkStart w:id="3602" w:name="_Toc312677507"/>
      <w:bookmarkEnd w:id="3602"/>
      <w:bookmarkStart w:id="3603" w:name="_Toc312678033"/>
      <w:bookmarkEnd w:id="3603"/>
      <w:bookmarkStart w:id="3604" w:name="_Toc300934997"/>
      <w:bookmarkEnd w:id="3604"/>
      <w:bookmarkStart w:id="3605" w:name="_Toc292559404"/>
      <w:bookmarkEnd w:id="3605"/>
      <w:bookmarkStart w:id="3606" w:name="_Toc296944538"/>
      <w:bookmarkEnd w:id="3606"/>
      <w:bookmarkStart w:id="3607" w:name="_Toc297048385"/>
      <w:bookmarkEnd w:id="3607"/>
      <w:bookmarkStart w:id="3608" w:name="_Toc296346700"/>
      <w:bookmarkEnd w:id="3608"/>
      <w:bookmarkStart w:id="3609" w:name="_Toc304295574"/>
      <w:r>
        <w:rPr>
          <w:rFonts w:hint="eastAsia" w:ascii="宋体" w:hAnsi="宋体" w:eastAsia="宋体" w:cs="宋体"/>
          <w:color w:val="auto"/>
          <w:sz w:val="24"/>
          <w:szCs w:val="24"/>
          <w:highlight w:val="none"/>
        </w:rPr>
        <w:t>0.7 暂估价</w:t>
      </w:r>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609"/>
    </w:p>
    <w:p w14:paraId="085826E9">
      <w:pPr>
        <w:keepNext w:val="0"/>
        <w:keepLines w:val="0"/>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暂</w:t>
      </w:r>
      <w:bookmarkStart w:id="3610" w:name="_Toc318581176"/>
      <w:bookmarkEnd w:id="3610"/>
      <w:bookmarkStart w:id="3611" w:name="_Toc312677508"/>
      <w:bookmarkEnd w:id="3611"/>
      <w:bookmarkStart w:id="3612" w:name="_Toc312678034"/>
      <w:r>
        <w:rPr>
          <w:rFonts w:hint="eastAsia" w:ascii="宋体" w:hAnsi="宋体" w:eastAsia="宋体" w:cs="宋体"/>
          <w:color w:val="auto"/>
          <w:kern w:val="0"/>
          <w:sz w:val="24"/>
          <w:szCs w:val="24"/>
          <w:highlight w:val="none"/>
        </w:rPr>
        <w:t>估价材料和工程设备的明细详见附件</w:t>
      </w:r>
      <w:bookmarkEnd w:id="3612"/>
      <w:r>
        <w:rPr>
          <w:rFonts w:hint="eastAsia" w:ascii="宋体" w:hAnsi="宋体" w:eastAsia="宋体" w:cs="宋体"/>
          <w:color w:val="auto"/>
          <w:kern w:val="0"/>
          <w:sz w:val="24"/>
          <w:szCs w:val="24"/>
          <w:highlight w:val="none"/>
        </w:rPr>
        <w:t>11：《</w:t>
      </w:r>
      <w:r>
        <w:rPr>
          <w:rFonts w:hint="eastAsia" w:ascii="宋体" w:hAnsi="宋体" w:eastAsia="宋体" w:cs="宋体"/>
          <w:color w:val="auto"/>
          <w:sz w:val="24"/>
          <w:szCs w:val="24"/>
          <w:highlight w:val="none"/>
        </w:rPr>
        <w:t>暂估价一览表》</w:t>
      </w:r>
      <w:r>
        <w:rPr>
          <w:rFonts w:hint="eastAsia" w:ascii="宋体" w:hAnsi="宋体" w:eastAsia="宋体" w:cs="宋体"/>
          <w:color w:val="auto"/>
          <w:kern w:val="0"/>
          <w:sz w:val="24"/>
          <w:szCs w:val="24"/>
          <w:highlight w:val="none"/>
        </w:rPr>
        <w:t>。</w:t>
      </w:r>
    </w:p>
    <w:p w14:paraId="4E4913BC">
      <w:pPr>
        <w:keepNext w:val="0"/>
        <w:keepLines w:val="0"/>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3613" w:name="_Toc312678035"/>
      <w:bookmarkEnd w:id="3613"/>
      <w:bookmarkStart w:id="3614" w:name="_Toc312677509"/>
      <w:bookmarkEnd w:id="3614"/>
      <w:bookmarkStart w:id="3615" w:name="_Toc318581177"/>
      <w:r>
        <w:rPr>
          <w:rFonts w:hint="eastAsia" w:ascii="宋体" w:hAnsi="宋体" w:eastAsia="宋体" w:cs="宋体"/>
          <w:color w:val="auto"/>
          <w:sz w:val="24"/>
          <w:szCs w:val="24"/>
          <w:highlight w:val="none"/>
        </w:rPr>
        <w:t>0.7.1 依法必须招标的暂估价项目</w:t>
      </w:r>
      <w:bookmarkEnd w:id="3615"/>
    </w:p>
    <w:p w14:paraId="28BE6A94">
      <w:pPr>
        <w:keepNext w:val="0"/>
        <w:keepLines w:val="0"/>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对于依法必须招标的暂估价项目的确认和批准采取第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种方式确定。</w:t>
      </w:r>
    </w:p>
    <w:p w14:paraId="11666D3D">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10.7.2 不属于依法必须招标的暂估价项目</w:t>
      </w:r>
    </w:p>
    <w:p w14:paraId="543A5F3A">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对于不属于依法必须招标的暂估价项目的确认和批准采取第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种方式确定。</w:t>
      </w:r>
    </w:p>
    <w:p w14:paraId="7BC44BF0">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第3种方式：</w:t>
      </w:r>
      <w:r>
        <w:rPr>
          <w:rFonts w:hint="eastAsia" w:ascii="宋体" w:hAnsi="宋体" w:eastAsia="宋体" w:cs="宋体"/>
          <w:color w:val="auto"/>
          <w:kern w:val="0"/>
          <w:sz w:val="24"/>
          <w:szCs w:val="24"/>
          <w:highlight w:val="none"/>
        </w:rPr>
        <w:t>承包人直接实施的暂估价项目</w:t>
      </w:r>
    </w:p>
    <w:p w14:paraId="7E84F508">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承包人直接实施的暂估价项目的约定：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131602F">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10.8 暂列金额</w:t>
      </w:r>
    </w:p>
    <w:p w14:paraId="18F5B262">
      <w:pPr>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合同当事人关于暂列金额使用的约定：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44C4E451">
      <w:pPr>
        <w:pStyle w:val="5"/>
        <w:pageBreakBefore w:val="0"/>
        <w:widowControl/>
        <w:kinsoku/>
        <w:wordWrap/>
        <w:overflowPunct/>
        <w:topLinePunct w:val="0"/>
        <w:bidi w:val="0"/>
        <w:snapToGrid/>
        <w:spacing w:before="0" w:after="0" w:line="240" w:lineRule="auto"/>
        <w:textAlignment w:val="auto"/>
        <w:rPr>
          <w:rFonts w:hint="eastAsia" w:ascii="宋体" w:hAnsi="宋体" w:eastAsia="宋体" w:cs="宋体"/>
          <w:b w:val="0"/>
          <w:bCs w:val="0"/>
          <w:color w:val="auto"/>
          <w:sz w:val="24"/>
          <w:szCs w:val="24"/>
          <w:highlight w:val="none"/>
        </w:rPr>
      </w:pPr>
      <w:bookmarkStart w:id="3616" w:name="_Toc351203643"/>
      <w:bookmarkEnd w:id="3616"/>
      <w:r>
        <w:rPr>
          <w:rFonts w:hint="eastAsia" w:ascii="宋体" w:hAnsi="宋体" w:eastAsia="宋体" w:cs="宋体"/>
          <w:b w:val="0"/>
          <w:bCs w:val="0"/>
          <w:color w:val="auto"/>
          <w:sz w:val="24"/>
          <w:szCs w:val="24"/>
          <w:highlight w:val="none"/>
        </w:rPr>
        <w:t>11. 价格调整</w:t>
      </w:r>
    </w:p>
    <w:p w14:paraId="585AE815">
      <w:pPr>
        <w:pageBreakBefore w:val="0"/>
        <w:widowControl/>
        <w:kinsoku/>
        <w:wordWrap/>
        <w:overflowPunct/>
        <w:topLinePunct w:val="0"/>
        <w:bidi w:val="0"/>
        <w:snapToGrid/>
        <w:spacing w:line="240" w:lineRule="auto"/>
        <w:ind w:firstLine="480" w:firstLineChars="200"/>
        <w:textAlignment w:val="auto"/>
        <w:rPr>
          <w:rFonts w:hint="eastAsia" w:ascii="宋体" w:hAnsi="宋体" w:eastAsia="宋体" w:cs="宋体"/>
          <w:color w:val="auto"/>
          <w:sz w:val="24"/>
          <w:szCs w:val="24"/>
          <w:highlight w:val="none"/>
        </w:rPr>
      </w:pPr>
      <w:bookmarkStart w:id="3617" w:name="_Toc297123550"/>
      <w:bookmarkEnd w:id="3617"/>
      <w:bookmarkStart w:id="3618" w:name="_Toc292559911"/>
      <w:bookmarkEnd w:id="3618"/>
      <w:bookmarkStart w:id="3619" w:name="_Toc300935000"/>
      <w:bookmarkEnd w:id="3619"/>
      <w:bookmarkStart w:id="3620" w:name="_Toc297216209"/>
      <w:bookmarkEnd w:id="3620"/>
      <w:bookmarkStart w:id="3621" w:name="_Toc304295577"/>
      <w:bookmarkEnd w:id="3621"/>
      <w:bookmarkStart w:id="3622" w:name="_Toc296347200"/>
      <w:bookmarkEnd w:id="3622"/>
      <w:bookmarkStart w:id="3623" w:name="_Toc296346702"/>
      <w:bookmarkEnd w:id="3623"/>
      <w:bookmarkStart w:id="3624" w:name="_Toc296891241"/>
      <w:bookmarkEnd w:id="3624"/>
      <w:bookmarkStart w:id="3625" w:name="_Toc312678039"/>
      <w:bookmarkEnd w:id="3625"/>
      <w:bookmarkStart w:id="3626" w:name="_Toc292559406"/>
      <w:bookmarkEnd w:id="3626"/>
      <w:bookmarkStart w:id="3627" w:name="_Toc297120501"/>
      <w:bookmarkEnd w:id="3627"/>
      <w:bookmarkStart w:id="3628" w:name="_Toc296944540"/>
      <w:bookmarkEnd w:id="3628"/>
      <w:bookmarkStart w:id="3629" w:name="_Toc296503201"/>
      <w:bookmarkEnd w:id="3629"/>
      <w:bookmarkStart w:id="3630" w:name="_Toc297048387"/>
      <w:bookmarkEnd w:id="3630"/>
      <w:bookmarkStart w:id="3631" w:name="_Toc303539157"/>
      <w:bookmarkEnd w:id="3631"/>
      <w:bookmarkStart w:id="3632" w:name="_Toc296891029"/>
      <w:r>
        <w:rPr>
          <w:rFonts w:hint="eastAsia" w:ascii="宋体" w:hAnsi="宋体" w:eastAsia="宋体" w:cs="宋体"/>
          <w:color w:val="auto"/>
          <w:sz w:val="24"/>
          <w:szCs w:val="24"/>
          <w:highlight w:val="none"/>
        </w:rPr>
        <w:t>11.1 市场价格波动引起的调整</w:t>
      </w:r>
      <w:bookmarkEnd w:id="3632"/>
    </w:p>
    <w:p w14:paraId="4434C9D3">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3A2112A">
      <w:pPr>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种方式对合同价格进行调整：</w:t>
      </w:r>
    </w:p>
    <w:p w14:paraId="0E8ABF71">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第1种方式：采用价格指数进行价格调整。</w:t>
      </w:r>
    </w:p>
    <w:p w14:paraId="5EC5CCC9">
      <w:pPr>
        <w:spacing w:line="24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关于各可调因子、定值和变值权重，以及基本价格指数及其来源的约定：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E900FC2">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第2种方式：采用造价信息进行价格调整。</w:t>
      </w:r>
    </w:p>
    <w:p w14:paraId="6BF7BDA6">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7CC1B14">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1167C858">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3A91DD69">
      <w:pPr>
        <w:spacing w:line="240" w:lineRule="auto"/>
        <w:ind w:firstLine="64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0A34D0BF">
      <w:pPr>
        <w:pageBreakBefore w:val="0"/>
        <w:widowControl/>
        <w:kinsoku/>
        <w:wordWrap/>
        <w:overflowPunct/>
        <w:topLinePunct w:val="0"/>
        <w:autoSpaceDE/>
        <w:autoSpaceDN/>
        <w:bidi w:val="0"/>
        <w:adjustRightInd/>
        <w:snapToGrid/>
        <w:spacing w:line="240" w:lineRule="auto"/>
        <w:ind w:firstLine="64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第3种方式：其他价格调整方式：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2FC9E34">
      <w:pPr>
        <w:pStyle w:val="5"/>
        <w:pageBreakBefore w:val="0"/>
        <w:widowControl/>
        <w:kinsoku/>
        <w:wordWrap/>
        <w:overflowPunct/>
        <w:topLinePunct w:val="0"/>
        <w:autoSpaceDE/>
        <w:autoSpaceDN/>
        <w:bidi w:val="0"/>
        <w:adjustRightInd/>
        <w:snapToGrid/>
        <w:spacing w:before="0" w:after="0" w:line="240" w:lineRule="auto"/>
        <w:textAlignment w:val="auto"/>
        <w:rPr>
          <w:rFonts w:hint="eastAsia" w:ascii="宋体" w:hAnsi="宋体" w:eastAsia="宋体" w:cs="宋体"/>
          <w:b w:val="0"/>
          <w:bCs w:val="0"/>
          <w:color w:val="auto"/>
          <w:sz w:val="24"/>
          <w:szCs w:val="24"/>
          <w:highlight w:val="none"/>
        </w:rPr>
      </w:pPr>
      <w:bookmarkStart w:id="3633" w:name="_Toc297120505"/>
      <w:bookmarkEnd w:id="3633"/>
      <w:bookmarkStart w:id="3634" w:name="_Toc292559410"/>
      <w:bookmarkEnd w:id="3634"/>
      <w:bookmarkStart w:id="3635" w:name="_Toc300935002"/>
      <w:bookmarkEnd w:id="3635"/>
      <w:bookmarkStart w:id="3636" w:name="_Toc304295579"/>
      <w:bookmarkEnd w:id="3636"/>
      <w:bookmarkStart w:id="3637" w:name="_Toc296891245"/>
      <w:bookmarkEnd w:id="3637"/>
      <w:bookmarkStart w:id="3638" w:name="_Toc292559915"/>
      <w:bookmarkEnd w:id="3638"/>
      <w:bookmarkStart w:id="3639" w:name="_Toc297123552"/>
      <w:bookmarkEnd w:id="3639"/>
      <w:bookmarkStart w:id="3640" w:name="_Toc303539159"/>
      <w:bookmarkEnd w:id="3640"/>
      <w:bookmarkStart w:id="3641" w:name="_Toc296346706"/>
      <w:bookmarkEnd w:id="3641"/>
      <w:bookmarkStart w:id="3642" w:name="_Toc312678040"/>
      <w:bookmarkEnd w:id="3642"/>
      <w:bookmarkStart w:id="3643" w:name="_Toc296503205"/>
      <w:bookmarkEnd w:id="3643"/>
      <w:bookmarkStart w:id="3644" w:name="_Toc296347204"/>
      <w:bookmarkEnd w:id="3644"/>
      <w:bookmarkStart w:id="3645" w:name="_Toc297216211"/>
      <w:bookmarkEnd w:id="3645"/>
      <w:bookmarkStart w:id="3646" w:name="_Toc297048391"/>
      <w:bookmarkEnd w:id="3646"/>
      <w:bookmarkStart w:id="3647" w:name="_Toc296891033"/>
      <w:bookmarkEnd w:id="3647"/>
      <w:bookmarkStart w:id="3648" w:name="_Toc296944544"/>
      <w:bookmarkEnd w:id="3648"/>
      <w:bookmarkStart w:id="3649" w:name="_Toc351203644"/>
      <w:r>
        <w:rPr>
          <w:rFonts w:hint="eastAsia" w:ascii="宋体" w:hAnsi="宋体" w:eastAsia="宋体" w:cs="宋体"/>
          <w:b w:val="0"/>
          <w:bCs w:val="0"/>
          <w:color w:val="auto"/>
          <w:sz w:val="24"/>
          <w:szCs w:val="24"/>
          <w:highlight w:val="none"/>
        </w:rPr>
        <w:t xml:space="preserve">12. </w:t>
      </w:r>
      <w:bookmarkEnd w:id="3649"/>
      <w:r>
        <w:rPr>
          <w:rFonts w:hint="eastAsia" w:ascii="宋体" w:hAnsi="宋体" w:eastAsia="宋体" w:cs="宋体"/>
          <w:b w:val="0"/>
          <w:bCs w:val="0"/>
          <w:color w:val="auto"/>
          <w:sz w:val="24"/>
          <w:szCs w:val="24"/>
          <w:highlight w:val="none"/>
        </w:rPr>
        <w:t>合同价格、计量与支付</w:t>
      </w:r>
    </w:p>
    <w:p w14:paraId="0670DCE6">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bookmarkStart w:id="3650" w:name="_Toc300935003"/>
      <w:bookmarkEnd w:id="3650"/>
      <w:bookmarkStart w:id="3651" w:name="_Toc297123553"/>
      <w:bookmarkEnd w:id="3651"/>
      <w:bookmarkStart w:id="3652" w:name="_Toc297048392"/>
      <w:bookmarkEnd w:id="3652"/>
      <w:bookmarkStart w:id="3653" w:name="_Toc296891034"/>
      <w:bookmarkEnd w:id="3653"/>
      <w:bookmarkStart w:id="3654" w:name="_Toc304295580"/>
      <w:bookmarkEnd w:id="3654"/>
      <w:bookmarkStart w:id="3655" w:name="_Toc303539160"/>
      <w:bookmarkEnd w:id="3655"/>
      <w:bookmarkStart w:id="3656" w:name="_Toc297120506"/>
      <w:bookmarkEnd w:id="3656"/>
      <w:bookmarkStart w:id="3657" w:name="_Toc296944545"/>
      <w:bookmarkEnd w:id="3657"/>
      <w:bookmarkStart w:id="3658" w:name="_Toc292559411"/>
      <w:bookmarkEnd w:id="3658"/>
      <w:bookmarkStart w:id="3659" w:name="_Toc296347205"/>
      <w:bookmarkEnd w:id="3659"/>
      <w:bookmarkStart w:id="3660" w:name="_Toc296346707"/>
      <w:bookmarkEnd w:id="3660"/>
      <w:bookmarkStart w:id="3661" w:name="_Toc297216212"/>
      <w:bookmarkEnd w:id="3661"/>
      <w:bookmarkStart w:id="3662" w:name="_Toc296503206"/>
      <w:bookmarkEnd w:id="3662"/>
      <w:bookmarkStart w:id="3663" w:name="_Toc312678041"/>
      <w:bookmarkEnd w:id="3663"/>
      <w:bookmarkStart w:id="3664" w:name="_Toc296891246"/>
      <w:bookmarkEnd w:id="3664"/>
      <w:bookmarkStart w:id="3665" w:name="_Toc292559916"/>
      <w:bookmarkEnd w:id="3665"/>
      <w:bookmarkStart w:id="3666" w:name="_Toc267251461"/>
      <w:r>
        <w:rPr>
          <w:rFonts w:hint="eastAsia" w:ascii="宋体" w:hAnsi="宋体" w:eastAsia="宋体" w:cs="宋体"/>
          <w:color w:val="auto"/>
          <w:sz w:val="24"/>
          <w:szCs w:val="24"/>
          <w:highlight w:val="none"/>
        </w:rPr>
        <w:t>12.1 合</w:t>
      </w:r>
      <w:bookmarkEnd w:id="3666"/>
      <w:r>
        <w:rPr>
          <w:rFonts w:hint="eastAsia" w:ascii="宋体" w:hAnsi="宋体" w:eastAsia="宋体" w:cs="宋体"/>
          <w:color w:val="auto"/>
          <w:sz w:val="24"/>
          <w:szCs w:val="24"/>
          <w:highlight w:val="none"/>
        </w:rPr>
        <w:t>同价格形式</w:t>
      </w:r>
    </w:p>
    <w:p w14:paraId="14FE323A">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w:t>
      </w:r>
    </w:p>
    <w:p w14:paraId="7040B6E9">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88782E7">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580B43F">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017F8BF">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w:t>
      </w:r>
    </w:p>
    <w:p w14:paraId="406D814A">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1F265A6">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58309748">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E290870">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3、其他价格方式：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056D153">
      <w:pPr>
        <w:spacing w:after="120" w:line="240" w:lineRule="auto"/>
        <w:ind w:firstLine="480" w:firstLineChars="200"/>
        <w:rPr>
          <w:rFonts w:hint="eastAsia" w:ascii="宋体" w:hAnsi="宋体" w:eastAsia="宋体" w:cs="宋体"/>
          <w:color w:val="auto"/>
          <w:sz w:val="24"/>
          <w:szCs w:val="24"/>
          <w:highlight w:val="none"/>
        </w:rPr>
      </w:pPr>
      <w:bookmarkStart w:id="3667" w:name="_Toc304295581"/>
      <w:bookmarkEnd w:id="3667"/>
      <w:bookmarkStart w:id="3668" w:name="_Toc297120507"/>
      <w:bookmarkEnd w:id="3668"/>
      <w:bookmarkStart w:id="3669" w:name="_Toc296891035"/>
      <w:bookmarkEnd w:id="3669"/>
      <w:bookmarkStart w:id="3670" w:name="_Toc296346708"/>
      <w:bookmarkEnd w:id="3670"/>
      <w:bookmarkStart w:id="3671" w:name="_Toc296891247"/>
      <w:bookmarkEnd w:id="3671"/>
      <w:bookmarkStart w:id="3672" w:name="_Toc297048393"/>
      <w:bookmarkEnd w:id="3672"/>
      <w:bookmarkStart w:id="3673" w:name="_Toc296347206"/>
      <w:bookmarkEnd w:id="3673"/>
      <w:bookmarkStart w:id="3674" w:name="_Toc297123554"/>
      <w:bookmarkEnd w:id="3674"/>
      <w:bookmarkStart w:id="3675" w:name="_Toc292559412"/>
      <w:bookmarkEnd w:id="3675"/>
      <w:bookmarkStart w:id="3676" w:name="_Toc300935004"/>
      <w:bookmarkEnd w:id="3676"/>
      <w:bookmarkStart w:id="3677" w:name="_Toc297216213"/>
      <w:bookmarkEnd w:id="3677"/>
      <w:bookmarkStart w:id="3678" w:name="_Toc312678042"/>
      <w:bookmarkEnd w:id="3678"/>
      <w:bookmarkStart w:id="3679" w:name="_Toc296944546"/>
      <w:bookmarkEnd w:id="3679"/>
      <w:bookmarkStart w:id="3680" w:name="_Toc292559917"/>
      <w:bookmarkEnd w:id="3680"/>
      <w:bookmarkStart w:id="3681" w:name="_Toc296503207"/>
      <w:bookmarkEnd w:id="3681"/>
      <w:bookmarkStart w:id="3682" w:name="_Toc303539161"/>
      <w:r>
        <w:rPr>
          <w:rFonts w:hint="eastAsia" w:ascii="宋体" w:hAnsi="宋体" w:eastAsia="宋体" w:cs="宋体"/>
          <w:color w:val="auto"/>
          <w:sz w:val="24"/>
          <w:szCs w:val="24"/>
          <w:highlight w:val="none"/>
        </w:rPr>
        <w:t>12.2 预付款</w:t>
      </w:r>
      <w:bookmarkEnd w:id="3682"/>
    </w:p>
    <w:p w14:paraId="70D6960F">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 预付款的支付</w:t>
      </w:r>
    </w:p>
    <w:p w14:paraId="79E56D36">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A1D773E">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7C81B21">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58B60C4">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 预付款担保</w:t>
      </w:r>
    </w:p>
    <w:p w14:paraId="0FE0EC9D">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承包人提交预付款担保的期限：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DBD352A">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预付款担保的形式为：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332F479">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计量</w:t>
      </w:r>
    </w:p>
    <w:p w14:paraId="18B358A0">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 计量原则</w:t>
      </w:r>
    </w:p>
    <w:p w14:paraId="7DBA26B0">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0D329EC">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 计量周期</w:t>
      </w:r>
    </w:p>
    <w:p w14:paraId="5EDFC142">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02BAFD2">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12.3.3 单价合同的计量</w:t>
      </w:r>
    </w:p>
    <w:p w14:paraId="22E55388">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AAA831D">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12.3.4 总价合同的计量</w:t>
      </w:r>
    </w:p>
    <w:p w14:paraId="56740B4A">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428AD7B">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12.3.5总价合同采用支付分解表计量支付的，是否适用第</w:t>
      </w:r>
      <w:r>
        <w:rPr>
          <w:rFonts w:hint="eastAsia" w:ascii="宋体" w:hAnsi="宋体" w:eastAsia="宋体" w:cs="宋体"/>
          <w:color w:val="auto"/>
          <w:kern w:val="0"/>
          <w:sz w:val="24"/>
          <w:szCs w:val="24"/>
          <w:highlight w:val="none"/>
        </w:rPr>
        <w:t xml:space="preserve">12.3.4 </w:t>
      </w:r>
      <w:r>
        <w:rPr>
          <w:rFonts w:hint="eastAsia" w:ascii="宋体" w:hAnsi="宋体" w:eastAsia="宋体" w:cs="宋体"/>
          <w:color w:val="auto"/>
          <w:sz w:val="24"/>
          <w:szCs w:val="24"/>
          <w:highlight w:val="none"/>
        </w:rPr>
        <w:t>项</w:t>
      </w:r>
      <w:r>
        <w:rPr>
          <w:rFonts w:hint="eastAsia" w:ascii="宋体" w:hAnsi="宋体" w:eastAsia="宋体" w:cs="宋体"/>
          <w:color w:val="auto"/>
          <w:kern w:val="0"/>
          <w:sz w:val="24"/>
          <w:szCs w:val="24"/>
          <w:highlight w:val="none"/>
        </w:rPr>
        <w:t>〔总价合同的计量〕</w:t>
      </w:r>
      <w:r>
        <w:rPr>
          <w:rFonts w:hint="eastAsia" w:ascii="宋体" w:hAnsi="宋体" w:eastAsia="宋体" w:cs="宋体"/>
          <w:color w:val="auto"/>
          <w:sz w:val="24"/>
          <w:szCs w:val="24"/>
          <w:highlight w:val="none"/>
        </w:rPr>
        <w:t>约定进行计量：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C5DFBC1">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12.3.6 其他价格形式合同的计量</w:t>
      </w:r>
    </w:p>
    <w:p w14:paraId="743DCE88">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680E34A">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工程进度款支付</w:t>
      </w:r>
    </w:p>
    <w:p w14:paraId="62D69577">
      <w:pPr>
        <w:spacing w:line="240" w:lineRule="auto"/>
        <w:ind w:firstLine="480" w:firstLineChars="200"/>
        <w:jc w:val="left"/>
        <w:rPr>
          <w:rFonts w:hint="eastAsia" w:ascii="宋体" w:hAnsi="宋体" w:eastAsia="宋体" w:cs="宋体"/>
          <w:color w:val="auto"/>
          <w:sz w:val="24"/>
          <w:szCs w:val="24"/>
          <w:highlight w:val="none"/>
        </w:rPr>
      </w:pPr>
      <w:bookmarkStart w:id="3683" w:name="_Toc296347210"/>
      <w:bookmarkEnd w:id="3683"/>
      <w:bookmarkStart w:id="3684" w:name="_Toc296503211"/>
      <w:bookmarkEnd w:id="3684"/>
      <w:bookmarkStart w:id="3685" w:name="_Toc297123556"/>
      <w:bookmarkEnd w:id="3685"/>
      <w:bookmarkStart w:id="3686" w:name="_Toc296891039"/>
      <w:bookmarkEnd w:id="3686"/>
      <w:bookmarkStart w:id="3687" w:name="_Toc303539163"/>
      <w:bookmarkEnd w:id="3687"/>
      <w:bookmarkStart w:id="3688" w:name="_Toc296944550"/>
      <w:bookmarkEnd w:id="3688"/>
      <w:bookmarkStart w:id="3689" w:name="_Toc297048397"/>
      <w:bookmarkEnd w:id="3689"/>
      <w:bookmarkStart w:id="3690" w:name="_Toc297120511"/>
      <w:bookmarkEnd w:id="3690"/>
      <w:bookmarkStart w:id="3691" w:name="_Toc292559921"/>
      <w:bookmarkEnd w:id="3691"/>
      <w:bookmarkStart w:id="3692" w:name="_Toc296891251"/>
      <w:bookmarkEnd w:id="3692"/>
      <w:bookmarkStart w:id="3693" w:name="_Toc300935006"/>
      <w:bookmarkEnd w:id="3693"/>
      <w:bookmarkStart w:id="3694" w:name="_Toc296346712"/>
      <w:bookmarkEnd w:id="3694"/>
      <w:bookmarkStart w:id="3695" w:name="_Toc292559416"/>
      <w:bookmarkEnd w:id="3695"/>
      <w:bookmarkStart w:id="3696" w:name="_Toc297216215"/>
      <w:r>
        <w:rPr>
          <w:rFonts w:hint="eastAsia" w:ascii="宋体" w:hAnsi="宋体" w:eastAsia="宋体" w:cs="宋体"/>
          <w:color w:val="auto"/>
          <w:sz w:val="24"/>
          <w:szCs w:val="24"/>
          <w:highlight w:val="none"/>
        </w:rPr>
        <w:t>12.4.1 付款周期</w:t>
      </w:r>
      <w:bookmarkEnd w:id="3696"/>
    </w:p>
    <w:p w14:paraId="6CA1E9E4">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关于付款周期的约定：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E74C546">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12.4.2 进度付款申请单的编制</w:t>
      </w:r>
    </w:p>
    <w:p w14:paraId="0BBEEC57">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关于进度付款申请单编制的约定：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657BE4B">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12.4.3 进度付款申请单的提交</w:t>
      </w:r>
    </w:p>
    <w:p w14:paraId="63BDC731">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F42AA24">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E6F590A">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（3）其他价格形式合同进度付款申请单提交的约定：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A12F68D">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12.4.4 进度款审核和支付</w:t>
      </w:r>
    </w:p>
    <w:p w14:paraId="6D01DAB2">
      <w:pPr>
        <w:spacing w:line="24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（1）监理人审查并报送发包人的期限：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3D5D6B1">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D9429B6">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EE136BF">
      <w:pPr>
        <w:spacing w:line="240" w:lineRule="auto"/>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发包人逾期支付进度款的违约金的计算方式：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79D43C3">
      <w:pPr>
        <w:spacing w:line="240" w:lineRule="auto"/>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12.4.6 支付分解表的编制</w:t>
      </w:r>
    </w:p>
    <w:p w14:paraId="16D546F3">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A4592E1">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48713F7">
      <w:pPr>
        <w:pStyle w:val="5"/>
        <w:pageBreakBefore w:val="0"/>
        <w:widowControl/>
        <w:kinsoku/>
        <w:wordWrap/>
        <w:overflowPunct/>
        <w:topLinePunct w:val="0"/>
        <w:autoSpaceDE/>
        <w:autoSpaceDN/>
        <w:bidi w:val="0"/>
        <w:adjustRightInd/>
        <w:snapToGrid/>
        <w:spacing w:before="0" w:after="0" w:line="240" w:lineRule="auto"/>
        <w:textAlignment w:val="auto"/>
        <w:rPr>
          <w:rFonts w:hint="eastAsia" w:ascii="宋体" w:hAnsi="宋体" w:eastAsia="宋体" w:cs="宋体"/>
          <w:b w:val="0"/>
          <w:bCs w:val="0"/>
          <w:color w:val="auto"/>
          <w:sz w:val="24"/>
          <w:szCs w:val="24"/>
          <w:highlight w:val="none"/>
        </w:rPr>
      </w:pPr>
      <w:bookmarkStart w:id="3697" w:name="_Toc297123564"/>
      <w:bookmarkEnd w:id="3697"/>
      <w:bookmarkStart w:id="3698" w:name="_Toc297216223"/>
      <w:bookmarkEnd w:id="3698"/>
      <w:bookmarkStart w:id="3699" w:name="_Toc303539172"/>
      <w:bookmarkEnd w:id="3699"/>
      <w:bookmarkStart w:id="3700" w:name="_Toc292559929"/>
      <w:bookmarkEnd w:id="3700"/>
      <w:bookmarkStart w:id="3701" w:name="_Toc296891047"/>
      <w:bookmarkEnd w:id="3701"/>
      <w:bookmarkStart w:id="3702" w:name="_Toc296346720"/>
      <w:bookmarkEnd w:id="3702"/>
      <w:bookmarkStart w:id="3703" w:name="_Toc292559424"/>
      <w:bookmarkEnd w:id="3703"/>
      <w:bookmarkStart w:id="3704" w:name="_Toc300935015"/>
      <w:bookmarkEnd w:id="3704"/>
      <w:bookmarkStart w:id="3705" w:name="_Toc297048405"/>
      <w:bookmarkEnd w:id="3705"/>
      <w:bookmarkStart w:id="3706" w:name="_Toc296944558"/>
      <w:bookmarkEnd w:id="3706"/>
      <w:bookmarkStart w:id="3707" w:name="_Toc296891259"/>
      <w:bookmarkEnd w:id="3707"/>
      <w:bookmarkStart w:id="3708" w:name="_Toc351203645"/>
      <w:bookmarkEnd w:id="3708"/>
      <w:bookmarkStart w:id="3709" w:name="_Toc296347218"/>
      <w:bookmarkEnd w:id="3709"/>
      <w:bookmarkStart w:id="3710" w:name="_Toc304295593"/>
      <w:bookmarkEnd w:id="3710"/>
      <w:bookmarkStart w:id="3711" w:name="_Toc296503219"/>
      <w:bookmarkEnd w:id="3711"/>
      <w:bookmarkStart w:id="3712" w:name="_Toc297120519"/>
      <w:bookmarkEnd w:id="3712"/>
      <w:bookmarkStart w:id="3713" w:name="_Toc312678053"/>
      <w:r>
        <w:rPr>
          <w:rFonts w:hint="eastAsia" w:ascii="宋体" w:hAnsi="宋体" w:eastAsia="宋体" w:cs="宋体"/>
          <w:b w:val="0"/>
          <w:bCs w:val="0"/>
          <w:color w:val="auto"/>
          <w:sz w:val="24"/>
          <w:szCs w:val="24"/>
          <w:highlight w:val="none"/>
        </w:rPr>
        <w:t>13.</w:t>
      </w:r>
      <w:bookmarkEnd w:id="3713"/>
      <w:r>
        <w:rPr>
          <w:rFonts w:hint="eastAsia" w:ascii="宋体" w:hAnsi="宋体" w:eastAsia="宋体" w:cs="宋体"/>
          <w:b w:val="0"/>
          <w:bCs w:val="0"/>
          <w:color w:val="auto"/>
          <w:sz w:val="24"/>
          <w:szCs w:val="24"/>
          <w:highlight w:val="none"/>
        </w:rPr>
        <w:t xml:space="preserve"> 验收和工程试车</w:t>
      </w:r>
    </w:p>
    <w:p w14:paraId="0EFB779A">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分部分项工程验收</w:t>
      </w:r>
    </w:p>
    <w:p w14:paraId="27D23F6F">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13.1.2监理人不能按时进行验收时，应提前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14:paraId="748DEE73">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14:paraId="4BC19E52">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bookmarkStart w:id="3714" w:name="_Toc303539173"/>
      <w:bookmarkEnd w:id="3714"/>
      <w:bookmarkStart w:id="3715" w:name="_Toc297123565"/>
      <w:bookmarkEnd w:id="3715"/>
      <w:bookmarkStart w:id="3716" w:name="_Toc304295596"/>
      <w:bookmarkEnd w:id="3716"/>
      <w:bookmarkStart w:id="3717" w:name="_Toc267251472"/>
      <w:bookmarkEnd w:id="3717"/>
      <w:bookmarkStart w:id="3718" w:name="_Toc297048409"/>
      <w:bookmarkEnd w:id="3718"/>
      <w:bookmarkStart w:id="3719" w:name="_Toc296891051"/>
      <w:bookmarkEnd w:id="3719"/>
      <w:bookmarkStart w:id="3720" w:name="_Toc297120523"/>
      <w:bookmarkEnd w:id="3720"/>
      <w:bookmarkStart w:id="3721" w:name="_Toc312678056"/>
      <w:bookmarkEnd w:id="3721"/>
      <w:bookmarkStart w:id="3722" w:name="_Toc267251475"/>
      <w:bookmarkEnd w:id="3722"/>
      <w:bookmarkStart w:id="3723" w:name="_Toc267251476"/>
      <w:bookmarkEnd w:id="3723"/>
      <w:bookmarkStart w:id="3724" w:name="_Toc267251473"/>
      <w:bookmarkEnd w:id="3724"/>
      <w:bookmarkStart w:id="3725" w:name="_Toc296891263"/>
      <w:bookmarkEnd w:id="3725"/>
      <w:bookmarkStart w:id="3726" w:name="_Toc296944562"/>
      <w:bookmarkEnd w:id="3726"/>
      <w:bookmarkStart w:id="3727" w:name="_Toc300935016"/>
      <w:bookmarkEnd w:id="3727"/>
      <w:bookmarkStart w:id="3728" w:name="_Toc292559933"/>
      <w:bookmarkEnd w:id="3728"/>
      <w:bookmarkStart w:id="3729" w:name="_Toc292559428"/>
      <w:bookmarkEnd w:id="3729"/>
      <w:bookmarkStart w:id="3730" w:name="_Toc267251474"/>
      <w:bookmarkEnd w:id="3730"/>
      <w:bookmarkStart w:id="3731" w:name="_Toc296347222"/>
      <w:bookmarkEnd w:id="3731"/>
      <w:bookmarkStart w:id="3732" w:name="_Toc296346724"/>
      <w:bookmarkEnd w:id="3732"/>
      <w:bookmarkStart w:id="3733" w:name="_Toc297216224"/>
      <w:bookmarkEnd w:id="3733"/>
      <w:bookmarkStart w:id="3734" w:name="_Toc296503223"/>
      <w:bookmarkEnd w:id="3734"/>
      <w:bookmarkStart w:id="3735" w:name="_Toc267251471"/>
      <w:bookmarkEnd w:id="3735"/>
      <w:bookmarkStart w:id="3736" w:name="_Toc267251470"/>
      <w:r>
        <w:rPr>
          <w:rFonts w:hint="eastAsia" w:ascii="宋体" w:hAnsi="宋体" w:eastAsia="宋体" w:cs="宋体"/>
          <w:color w:val="auto"/>
          <w:sz w:val="24"/>
          <w:szCs w:val="24"/>
          <w:highlight w:val="none"/>
        </w:rPr>
        <w:t>13.2 竣工验收</w:t>
      </w:r>
      <w:bookmarkEnd w:id="3736"/>
    </w:p>
    <w:p w14:paraId="2ECD5C09">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bookmarkStart w:id="3737" w:name="_Toc280868704"/>
      <w:bookmarkEnd w:id="3737"/>
      <w:bookmarkStart w:id="3738" w:name="_Toc280868706"/>
      <w:bookmarkEnd w:id="3738"/>
      <w:bookmarkStart w:id="3739" w:name="_Toc280868705"/>
      <w:bookmarkEnd w:id="3739"/>
      <w:bookmarkStart w:id="3740" w:name="_Toc280868707"/>
      <w:bookmarkEnd w:id="3740"/>
      <w:bookmarkStart w:id="3741" w:name="_Toc280868709"/>
      <w:bookmarkEnd w:id="3741"/>
      <w:bookmarkStart w:id="3742" w:name="_Toc280868708"/>
      <w:bookmarkEnd w:id="3742"/>
      <w:r>
        <w:rPr>
          <w:rFonts w:hint="eastAsia" w:ascii="宋体" w:hAnsi="宋体" w:eastAsia="宋体" w:cs="宋体"/>
          <w:color w:val="auto"/>
          <w:sz w:val="24"/>
          <w:szCs w:val="24"/>
          <w:highlight w:val="none"/>
        </w:rPr>
        <w:t>13.2.2竣工验收程序</w:t>
      </w:r>
    </w:p>
    <w:p w14:paraId="478E5AE1">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关于竣工验收程序的约定：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8A06095">
      <w:pPr>
        <w:spacing w:line="24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发包人不按照本项约定组织竣工验收、颁发</w:t>
      </w:r>
      <w:r>
        <w:rPr>
          <w:rFonts w:hint="eastAsia" w:ascii="宋体" w:hAnsi="宋体" w:cs="宋体"/>
          <w:color w:val="auto"/>
          <w:kern w:val="0"/>
          <w:sz w:val="24"/>
          <w:szCs w:val="24"/>
          <w:highlight w:val="none"/>
          <w:lang w:eastAsia="zh-CN"/>
        </w:rPr>
        <w:t>工程验收</w:t>
      </w:r>
      <w:r>
        <w:rPr>
          <w:rFonts w:hint="eastAsia" w:ascii="宋体" w:hAnsi="宋体" w:eastAsia="宋体" w:cs="宋体"/>
          <w:color w:val="auto"/>
          <w:kern w:val="0"/>
          <w:sz w:val="24"/>
          <w:szCs w:val="24"/>
          <w:highlight w:val="none"/>
        </w:rPr>
        <w:t>证书的违约金的计算方法：</w:t>
      </w:r>
      <w:r>
        <w:rPr>
          <w:rFonts w:hint="eastAsia" w:ascii="宋体" w:hAnsi="宋体" w:eastAsia="宋体" w:cs="宋体"/>
          <w:color w:val="auto"/>
          <w:sz w:val="24"/>
          <w:szCs w:val="24"/>
          <w:highlight w:val="none"/>
          <w:u w:val="single"/>
        </w:rPr>
        <w:t xml:space="preserve">                                         </w:t>
      </w:r>
    </w:p>
    <w:p w14:paraId="79FE90A8">
      <w:pPr>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A2CEBAA">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13.2.5移交、接收全部与部分工程</w:t>
      </w:r>
    </w:p>
    <w:p w14:paraId="648C3BF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承包人向发包人移交工程的期限：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960B438">
      <w:pPr>
        <w:spacing w:line="24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9A9D3C3">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承包人未按时移交工程的，违约金的计算方法为：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1E31342">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工程试车</w:t>
      </w:r>
    </w:p>
    <w:p w14:paraId="5CD5044C">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13.3.1 试车程序</w:t>
      </w:r>
    </w:p>
    <w:p w14:paraId="691B734F">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工程试车内容：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B6483AD">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（1）单机无负荷试车费用由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承担；</w:t>
      </w:r>
    </w:p>
    <w:p w14:paraId="55FAD093">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（2）无负荷联动试车费用由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承担。</w:t>
      </w:r>
    </w:p>
    <w:p w14:paraId="749678F1">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13.3.3 投料试车</w:t>
      </w:r>
    </w:p>
    <w:p w14:paraId="0AAF0073">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关于投料试车相关事项的约定：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B435910">
      <w:pPr>
        <w:pageBreakBefore w:val="0"/>
        <w:widowControl/>
        <w:kinsoku/>
        <w:wordWrap/>
        <w:overflowPunct/>
        <w:topLinePunct w:val="0"/>
        <w:autoSpaceDE/>
        <w:autoSpaceDN/>
        <w:bidi w:val="0"/>
        <w:adjustRightInd/>
        <w:snapToGrid/>
        <w:spacing w:line="240" w:lineRule="auto"/>
        <w:ind w:firstLine="480" w:firstLineChars="200"/>
        <w:textAlignment w:val="auto"/>
        <w:outlineLvl w:val="0"/>
        <w:rPr>
          <w:rFonts w:hint="eastAsia" w:ascii="宋体" w:hAnsi="宋体" w:eastAsia="宋体" w:cs="宋体"/>
          <w:color w:val="auto"/>
          <w:sz w:val="24"/>
          <w:szCs w:val="24"/>
          <w:highlight w:val="none"/>
        </w:rPr>
      </w:pPr>
      <w:bookmarkStart w:id="3743" w:name="_Toc27255"/>
      <w:bookmarkStart w:id="3744" w:name="_Toc15218"/>
      <w:bookmarkStart w:id="3745" w:name="_Toc30052"/>
      <w:bookmarkStart w:id="3746" w:name="_Toc4255"/>
      <w:bookmarkStart w:id="3747" w:name="_Toc31894"/>
      <w:bookmarkStart w:id="3748" w:name="_Toc6861"/>
      <w:bookmarkStart w:id="3749" w:name="_Toc32298"/>
      <w:bookmarkStart w:id="3750" w:name="_Toc1867"/>
      <w:bookmarkStart w:id="3751" w:name="_Toc3396"/>
      <w:bookmarkStart w:id="3752" w:name="_Toc25749"/>
      <w:bookmarkStart w:id="3753" w:name="_Toc20293"/>
      <w:bookmarkStart w:id="3754" w:name="_Toc18219"/>
      <w:bookmarkStart w:id="3755" w:name="_Toc32378"/>
      <w:bookmarkStart w:id="3756" w:name="_Toc27278"/>
      <w:bookmarkStart w:id="3757" w:name="_Toc11015"/>
      <w:bookmarkStart w:id="3758" w:name="_Toc10674"/>
      <w:r>
        <w:rPr>
          <w:rFonts w:hint="eastAsia" w:ascii="宋体" w:hAnsi="宋体" w:eastAsia="宋体" w:cs="宋体"/>
          <w:color w:val="auto"/>
          <w:sz w:val="24"/>
          <w:szCs w:val="24"/>
          <w:highlight w:val="none"/>
        </w:rPr>
        <w:t>13.6 竣工退场</w:t>
      </w:r>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p>
    <w:p w14:paraId="7EE54C0B">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13.6.1 竣工退场</w:t>
      </w:r>
    </w:p>
    <w:p w14:paraId="2B541A84">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承包人完成竣工退场的期限：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42EB82F9">
      <w:pPr>
        <w:pStyle w:val="5"/>
        <w:pageBreakBefore w:val="0"/>
        <w:widowControl/>
        <w:kinsoku/>
        <w:wordWrap/>
        <w:overflowPunct/>
        <w:topLinePunct w:val="0"/>
        <w:autoSpaceDE/>
        <w:autoSpaceDN/>
        <w:bidi w:val="0"/>
        <w:adjustRightInd/>
        <w:snapToGrid/>
        <w:spacing w:before="0" w:after="0" w:line="240" w:lineRule="auto"/>
        <w:textAlignment w:val="auto"/>
        <w:rPr>
          <w:rFonts w:hint="eastAsia" w:ascii="宋体" w:hAnsi="宋体" w:eastAsia="宋体" w:cs="宋体"/>
          <w:b w:val="0"/>
          <w:bCs w:val="0"/>
          <w:color w:val="auto"/>
          <w:sz w:val="24"/>
          <w:szCs w:val="24"/>
          <w:highlight w:val="none"/>
        </w:rPr>
      </w:pPr>
      <w:bookmarkStart w:id="3759" w:name="_Toc351203646"/>
      <w:bookmarkEnd w:id="3759"/>
      <w:r>
        <w:rPr>
          <w:rFonts w:hint="eastAsia" w:ascii="宋体" w:hAnsi="宋体" w:eastAsia="宋体" w:cs="宋体"/>
          <w:b w:val="0"/>
          <w:bCs w:val="0"/>
          <w:color w:val="auto"/>
          <w:sz w:val="24"/>
          <w:szCs w:val="24"/>
          <w:highlight w:val="none"/>
        </w:rPr>
        <w:t>14. 竣工结算</w:t>
      </w:r>
    </w:p>
    <w:p w14:paraId="39DD93C5">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竣工结算申请</w:t>
      </w:r>
    </w:p>
    <w:p w14:paraId="6EFAD76A">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承包人提交竣工结算申请单的期限：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C38F4FC">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竣工结算申请单应包括的内容：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392C57F">
      <w:pPr>
        <w:pageBreakBefore w:val="0"/>
        <w:widowControl/>
        <w:kinsoku/>
        <w:wordWrap/>
        <w:overflowPunct/>
        <w:topLinePunct w:val="0"/>
        <w:autoSpaceDE/>
        <w:autoSpaceDN/>
        <w:bidi w:val="0"/>
        <w:adjustRightInd/>
        <w:snapToGrid/>
        <w:spacing w:line="240" w:lineRule="auto"/>
        <w:ind w:firstLine="480" w:firstLineChars="200"/>
        <w:textAlignment w:val="auto"/>
        <w:outlineLvl w:val="0"/>
        <w:rPr>
          <w:rFonts w:hint="eastAsia" w:ascii="宋体" w:hAnsi="宋体" w:eastAsia="宋体" w:cs="宋体"/>
          <w:color w:val="auto"/>
          <w:sz w:val="24"/>
          <w:szCs w:val="24"/>
          <w:highlight w:val="none"/>
        </w:rPr>
      </w:pPr>
      <w:bookmarkStart w:id="3760" w:name="_Toc1529"/>
      <w:bookmarkStart w:id="3761" w:name="_Toc23856"/>
      <w:bookmarkStart w:id="3762" w:name="_Toc24512"/>
      <w:bookmarkStart w:id="3763" w:name="_Toc30311"/>
      <w:bookmarkStart w:id="3764" w:name="_Toc10447"/>
      <w:bookmarkStart w:id="3765" w:name="_Toc29780"/>
      <w:bookmarkStart w:id="3766" w:name="_Toc28609"/>
      <w:bookmarkStart w:id="3767" w:name="_Toc23195"/>
      <w:bookmarkStart w:id="3768" w:name="_Toc2386"/>
      <w:bookmarkStart w:id="3769" w:name="_Toc8836"/>
      <w:bookmarkStart w:id="3770" w:name="_Toc23855"/>
      <w:bookmarkStart w:id="3771" w:name="_Toc367"/>
      <w:bookmarkStart w:id="3772" w:name="_Toc4376"/>
      <w:bookmarkStart w:id="3773" w:name="_Toc13171"/>
      <w:bookmarkStart w:id="3774" w:name="_Toc9014"/>
      <w:bookmarkStart w:id="3775" w:name="_Toc19329"/>
      <w:r>
        <w:rPr>
          <w:rFonts w:hint="eastAsia" w:ascii="宋体" w:hAnsi="宋体" w:eastAsia="宋体" w:cs="宋体"/>
          <w:color w:val="auto"/>
          <w:sz w:val="24"/>
          <w:szCs w:val="24"/>
          <w:highlight w:val="none"/>
        </w:rPr>
        <w:t>14.2 竣工结算审核</w:t>
      </w:r>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p>
    <w:p w14:paraId="5328CF5A">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AEE9E1A">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02A0062">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关于竣工付款证书异议部分复核的方式和程序：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C56C943">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 最终结清</w:t>
      </w:r>
    </w:p>
    <w:p w14:paraId="2F282B6F">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14.4.1 最终结清申请单</w:t>
      </w:r>
    </w:p>
    <w:p w14:paraId="16034441">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3138CBE">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承包人提交最终结算申请单的期限：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99EFC18">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14.4.2 最终结清证书和支付</w:t>
      </w:r>
    </w:p>
    <w:p w14:paraId="4D354349">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（1）发包人完成最终结清申请单的审批并颁发最终结清证书的期限：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95D9E0A">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（2）发包人完成支付的期限：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1E7A6B7">
      <w:pPr>
        <w:pStyle w:val="5"/>
        <w:pageBreakBefore w:val="0"/>
        <w:widowControl/>
        <w:kinsoku/>
        <w:wordWrap/>
        <w:overflowPunct/>
        <w:topLinePunct w:val="0"/>
        <w:autoSpaceDE/>
        <w:autoSpaceDN/>
        <w:bidi w:val="0"/>
        <w:adjustRightInd/>
        <w:snapToGrid/>
        <w:spacing w:before="0" w:after="0" w:line="240" w:lineRule="auto"/>
        <w:textAlignment w:val="auto"/>
        <w:rPr>
          <w:rFonts w:hint="eastAsia" w:ascii="宋体" w:hAnsi="宋体" w:eastAsia="宋体" w:cs="宋体"/>
          <w:b w:val="0"/>
          <w:bCs w:val="0"/>
          <w:color w:val="auto"/>
          <w:sz w:val="24"/>
          <w:szCs w:val="24"/>
          <w:highlight w:val="none"/>
        </w:rPr>
      </w:pPr>
      <w:bookmarkStart w:id="3776" w:name="_Toc267251510"/>
      <w:bookmarkEnd w:id="3776"/>
      <w:bookmarkStart w:id="3777" w:name="_Toc267251490"/>
      <w:bookmarkEnd w:id="3777"/>
      <w:bookmarkStart w:id="3778" w:name="_Toc267251507"/>
      <w:bookmarkEnd w:id="3778"/>
      <w:bookmarkStart w:id="3779" w:name="_Toc267251499"/>
      <w:bookmarkEnd w:id="3779"/>
      <w:bookmarkStart w:id="3780" w:name="_Toc267251496"/>
      <w:bookmarkEnd w:id="3780"/>
      <w:bookmarkStart w:id="3781" w:name="_Toc267251488"/>
      <w:bookmarkEnd w:id="3781"/>
      <w:bookmarkStart w:id="3782" w:name="_Toc267251495"/>
      <w:bookmarkEnd w:id="3782"/>
      <w:bookmarkStart w:id="3783" w:name="_Toc267251511"/>
      <w:bookmarkEnd w:id="3783"/>
      <w:bookmarkStart w:id="3784" w:name="_Toc267251493"/>
      <w:bookmarkEnd w:id="3784"/>
      <w:bookmarkStart w:id="3785" w:name="_Toc267251509"/>
      <w:bookmarkEnd w:id="3785"/>
      <w:bookmarkStart w:id="3786" w:name="_Toc267251515"/>
      <w:bookmarkEnd w:id="3786"/>
      <w:bookmarkStart w:id="3787" w:name="_Toc267251503"/>
      <w:bookmarkEnd w:id="3787"/>
      <w:bookmarkStart w:id="3788" w:name="_Toc267251502"/>
      <w:bookmarkEnd w:id="3788"/>
      <w:bookmarkStart w:id="3789" w:name="_Toc267251484"/>
      <w:bookmarkEnd w:id="3789"/>
      <w:bookmarkStart w:id="3790" w:name="_Toc267251504"/>
      <w:bookmarkEnd w:id="3790"/>
      <w:bookmarkStart w:id="3791" w:name="_Toc267251489"/>
      <w:bookmarkEnd w:id="3791"/>
      <w:bookmarkStart w:id="3792" w:name="_Toc267251498"/>
      <w:bookmarkEnd w:id="3792"/>
      <w:bookmarkStart w:id="3793" w:name="_Toc267251513"/>
      <w:bookmarkEnd w:id="3793"/>
      <w:bookmarkStart w:id="3794" w:name="_Toc267251482"/>
      <w:bookmarkEnd w:id="3794"/>
      <w:bookmarkStart w:id="3795" w:name="_Toc267251508"/>
      <w:bookmarkEnd w:id="3795"/>
      <w:bookmarkStart w:id="3796" w:name="_Toc267251497"/>
      <w:bookmarkEnd w:id="3796"/>
      <w:bookmarkStart w:id="3797" w:name="_Toc267251501"/>
      <w:bookmarkEnd w:id="3797"/>
      <w:bookmarkStart w:id="3798" w:name="_Toc267251483"/>
      <w:bookmarkEnd w:id="3798"/>
      <w:bookmarkStart w:id="3799" w:name="_Toc267251506"/>
      <w:bookmarkEnd w:id="3799"/>
      <w:bookmarkStart w:id="3800" w:name="_Toc267251485"/>
      <w:bookmarkEnd w:id="3800"/>
      <w:bookmarkStart w:id="3801" w:name="_Toc351203647"/>
      <w:bookmarkEnd w:id="3801"/>
      <w:bookmarkStart w:id="3802" w:name="_Toc267251494"/>
      <w:bookmarkEnd w:id="3802"/>
      <w:bookmarkStart w:id="3803" w:name="_Toc267251491"/>
      <w:bookmarkEnd w:id="3803"/>
      <w:bookmarkStart w:id="3804" w:name="_Toc267251486"/>
      <w:bookmarkEnd w:id="3804"/>
      <w:bookmarkStart w:id="3805" w:name="_Toc267251492"/>
      <w:bookmarkEnd w:id="3805"/>
      <w:bookmarkStart w:id="3806" w:name="_Toc267251514"/>
      <w:r>
        <w:rPr>
          <w:rFonts w:hint="eastAsia" w:ascii="宋体" w:hAnsi="宋体" w:eastAsia="宋体" w:cs="宋体"/>
          <w:b w:val="0"/>
          <w:bCs w:val="0"/>
          <w:color w:val="auto"/>
          <w:sz w:val="24"/>
          <w:szCs w:val="24"/>
          <w:highlight w:val="none"/>
        </w:rPr>
        <w:t>15. 缺陷责任期与保修</w:t>
      </w:r>
      <w:bookmarkEnd w:id="3806"/>
    </w:p>
    <w:p w14:paraId="2741FE99">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15.2缺陷责任期</w:t>
      </w:r>
    </w:p>
    <w:p w14:paraId="55E08933">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缺陷责任期的具体期限：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7CD4FAA">
      <w:pPr>
        <w:keepNext w:val="0"/>
        <w:keepLines w:val="0"/>
        <w:pageBreakBefore w:val="0"/>
        <w:widowControl/>
        <w:kinsoku/>
        <w:wordWrap/>
        <w:overflowPunct/>
        <w:topLinePunct w:val="0"/>
        <w:bidi w:val="0"/>
        <w:snapToGrid/>
        <w:spacing w:line="240" w:lineRule="auto"/>
        <w:ind w:firstLine="480" w:firstLineChars="200"/>
        <w:textAlignment w:val="auto"/>
        <w:outlineLvl w:val="0"/>
        <w:rPr>
          <w:rFonts w:hint="eastAsia" w:ascii="宋体" w:hAnsi="宋体" w:eastAsia="宋体" w:cs="宋体"/>
          <w:color w:val="auto"/>
          <w:sz w:val="24"/>
          <w:szCs w:val="24"/>
          <w:highlight w:val="none"/>
        </w:rPr>
      </w:pPr>
      <w:bookmarkStart w:id="3807" w:name="_Toc19344"/>
      <w:bookmarkStart w:id="3808" w:name="_Toc7689"/>
      <w:bookmarkStart w:id="3809" w:name="_Toc12914"/>
      <w:bookmarkStart w:id="3810" w:name="_Toc30912"/>
      <w:bookmarkStart w:id="3811" w:name="_Toc18223"/>
      <w:bookmarkStart w:id="3812" w:name="_Toc13255"/>
      <w:bookmarkStart w:id="3813" w:name="_Toc12556"/>
      <w:bookmarkStart w:id="3814" w:name="_Toc16683"/>
      <w:bookmarkStart w:id="3815" w:name="_Toc14665"/>
      <w:bookmarkStart w:id="3816" w:name="_Toc4960"/>
      <w:bookmarkStart w:id="3817" w:name="_Toc6812"/>
      <w:bookmarkStart w:id="3818" w:name="_Toc31782"/>
      <w:bookmarkStart w:id="3819" w:name="_Toc10962"/>
      <w:bookmarkStart w:id="3820" w:name="_Toc18536"/>
      <w:bookmarkStart w:id="3821" w:name="_Toc20084"/>
      <w:bookmarkStart w:id="3822" w:name="_Toc13651"/>
      <w:r>
        <w:rPr>
          <w:rFonts w:hint="eastAsia" w:ascii="宋体" w:hAnsi="宋体" w:eastAsia="宋体" w:cs="宋体"/>
          <w:color w:val="auto"/>
          <w:sz w:val="24"/>
          <w:szCs w:val="24"/>
          <w:highlight w:val="none"/>
        </w:rPr>
        <w:t>15.3 质量保证金</w:t>
      </w:r>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p>
    <w:p w14:paraId="548A3B70">
      <w:pPr>
        <w:keepNext w:val="0"/>
        <w:keepLines w:val="0"/>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。在工程项目竣工前，承包人按专用合同条款第3.7条提供履约担保的，发包人不得同时预留工程质量保证金。</w:t>
      </w:r>
    </w:p>
    <w:p w14:paraId="4EC76019">
      <w:pPr>
        <w:keepNext w:val="0"/>
        <w:keepLines w:val="0"/>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3823" w:name="_Toc16261"/>
      <w:r>
        <w:rPr>
          <w:rFonts w:hint="eastAsia" w:ascii="宋体" w:hAnsi="宋体" w:eastAsia="宋体" w:cs="宋体"/>
          <w:color w:val="auto"/>
          <w:sz w:val="24"/>
          <w:szCs w:val="24"/>
          <w:highlight w:val="none"/>
        </w:rPr>
        <w:t>15.3.1 承包人提供质量保证金的方式</w:t>
      </w:r>
      <w:bookmarkEnd w:id="3823"/>
    </w:p>
    <w:p w14:paraId="5A8EDA5F">
      <w:pPr>
        <w:keepNext w:val="0"/>
        <w:keepLines w:val="0"/>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14:paraId="400DC923">
      <w:pPr>
        <w:keepNext w:val="0"/>
        <w:keepLines w:val="0"/>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（1）质量保证金保函，保证金额为：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294AA10E">
      <w:pPr>
        <w:keepNext w:val="0"/>
        <w:keepLines w:val="0"/>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%的工程款；</w:t>
      </w:r>
    </w:p>
    <w:p w14:paraId="7C158A4B">
      <w:pPr>
        <w:keepNext w:val="0"/>
        <w:keepLines w:val="0"/>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（3）其他方式</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12A35FA">
      <w:pPr>
        <w:keepNext w:val="0"/>
        <w:keepLines w:val="0"/>
        <w:pageBreakBefore w:val="0"/>
        <w:widowControl/>
        <w:kinsoku/>
        <w:wordWrap/>
        <w:overflowPunct/>
        <w:topLinePunct w:val="0"/>
        <w:bidi w:val="0"/>
        <w:snapToGrid/>
        <w:spacing w:line="240" w:lineRule="auto"/>
        <w:ind w:firstLine="480" w:firstLineChars="200"/>
        <w:jc w:val="left"/>
        <w:textAlignment w:val="auto"/>
        <w:outlineLvl w:val="0"/>
        <w:rPr>
          <w:rFonts w:hint="eastAsia" w:ascii="宋体" w:hAnsi="宋体" w:eastAsia="宋体" w:cs="宋体"/>
          <w:color w:val="auto"/>
          <w:sz w:val="24"/>
          <w:szCs w:val="24"/>
          <w:highlight w:val="none"/>
        </w:rPr>
      </w:pPr>
      <w:bookmarkStart w:id="3824" w:name="_Toc25971"/>
      <w:bookmarkStart w:id="3825" w:name="_Toc25591"/>
      <w:bookmarkStart w:id="3826" w:name="_Toc26442"/>
      <w:bookmarkStart w:id="3827" w:name="_Toc15492"/>
      <w:bookmarkStart w:id="3828" w:name="_Toc12847"/>
      <w:bookmarkStart w:id="3829" w:name="_Toc24824"/>
      <w:bookmarkStart w:id="3830" w:name="_Toc28806"/>
      <w:bookmarkStart w:id="3831" w:name="_Toc32020"/>
      <w:bookmarkStart w:id="3832" w:name="_Toc28065"/>
      <w:bookmarkStart w:id="3833" w:name="_Toc20584"/>
      <w:bookmarkStart w:id="3834" w:name="_Toc30492"/>
      <w:bookmarkStart w:id="3835" w:name="_Toc2689"/>
      <w:bookmarkStart w:id="3836" w:name="_Toc26766"/>
      <w:bookmarkStart w:id="3837" w:name="_Toc26609"/>
      <w:bookmarkStart w:id="3838" w:name="_Toc4126"/>
      <w:bookmarkStart w:id="3839" w:name="_Toc3738"/>
      <w:r>
        <w:rPr>
          <w:rFonts w:hint="eastAsia" w:ascii="宋体" w:hAnsi="宋体" w:eastAsia="宋体" w:cs="宋体"/>
          <w:color w:val="auto"/>
          <w:sz w:val="24"/>
          <w:szCs w:val="24"/>
          <w:highlight w:val="none"/>
        </w:rPr>
        <w:t>15.3.2 质量保证金的扣留</w:t>
      </w:r>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r>
        <w:rPr>
          <w:rFonts w:hint="eastAsia" w:ascii="宋体" w:hAnsi="宋体" w:eastAsia="宋体" w:cs="宋体"/>
          <w:color w:val="auto"/>
          <w:sz w:val="24"/>
          <w:szCs w:val="24"/>
          <w:highlight w:val="none"/>
        </w:rPr>
        <w:t xml:space="preserve"> </w:t>
      </w:r>
    </w:p>
    <w:p w14:paraId="4EA4A45C">
      <w:pPr>
        <w:keepNext w:val="0"/>
        <w:keepLines w:val="0"/>
        <w:pageBreakBefore w:val="0"/>
        <w:widowControl/>
        <w:kinsoku/>
        <w:wordWrap/>
        <w:overflowPunct/>
        <w:topLinePunct w:val="0"/>
        <w:bidi w:val="0"/>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14:paraId="50B05F95">
      <w:pPr>
        <w:keepNext w:val="0"/>
        <w:keepLines w:val="0"/>
        <w:pageBreakBefore w:val="0"/>
        <w:widowControl/>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（1）在支付工程进度款时逐次扣留，在此情形下，质量保证金的计算基数不包括预付款的支付、扣回以及价格调整的金额；</w:t>
      </w:r>
    </w:p>
    <w:p w14:paraId="690AAB68">
      <w:pPr>
        <w:autoSpaceDE w:val="0"/>
        <w:autoSpaceDN w:val="0"/>
        <w:adjustRightInd w:val="0"/>
        <w:spacing w:line="240" w:lineRule="auto"/>
        <w:ind w:firstLine="480" w:firstLineChars="200"/>
        <w:jc w:val="left"/>
        <w:outlineLvl w:val="0"/>
        <w:rPr>
          <w:rFonts w:hint="eastAsia" w:ascii="宋体" w:hAnsi="宋体" w:eastAsia="宋体" w:cs="宋体"/>
          <w:color w:val="auto"/>
          <w:kern w:val="0"/>
          <w:sz w:val="24"/>
          <w:szCs w:val="24"/>
          <w:highlight w:val="none"/>
        </w:rPr>
      </w:pPr>
      <w:bookmarkStart w:id="3840" w:name="_Toc12863"/>
      <w:bookmarkStart w:id="3841" w:name="_Toc30234"/>
      <w:bookmarkStart w:id="3842" w:name="_Toc24097"/>
      <w:bookmarkStart w:id="3843" w:name="_Toc2620"/>
      <w:bookmarkStart w:id="3844" w:name="_Toc15781"/>
      <w:bookmarkStart w:id="3845" w:name="_Toc17583"/>
      <w:bookmarkStart w:id="3846" w:name="_Toc11986"/>
      <w:bookmarkStart w:id="3847" w:name="_Toc13175"/>
      <w:bookmarkStart w:id="3848" w:name="_Toc26654"/>
      <w:bookmarkStart w:id="3849" w:name="_Toc21387"/>
      <w:bookmarkStart w:id="3850" w:name="_Toc531"/>
      <w:bookmarkStart w:id="3851" w:name="_Toc23535"/>
      <w:bookmarkStart w:id="3852" w:name="_Toc19342"/>
      <w:bookmarkStart w:id="3853" w:name="_Toc29429"/>
      <w:bookmarkStart w:id="3854" w:name="_Toc13648"/>
      <w:bookmarkStart w:id="3855" w:name="_Toc4584"/>
      <w:r>
        <w:rPr>
          <w:rFonts w:hint="eastAsia" w:ascii="宋体" w:hAnsi="宋体" w:eastAsia="宋体" w:cs="宋体"/>
          <w:color w:val="auto"/>
          <w:kern w:val="0"/>
          <w:sz w:val="24"/>
          <w:szCs w:val="24"/>
          <w:highlight w:val="none"/>
        </w:rPr>
        <w:t>（2）工程竣工结算时一次性扣留质量保证金；</w:t>
      </w:r>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p>
    <w:p w14:paraId="2029C9FD">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（3）其他扣留方式</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A43382D">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关于质量保证金的补充约定：</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F6B4F43">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15.4保修</w:t>
      </w:r>
    </w:p>
    <w:p w14:paraId="473435A7">
      <w:pPr>
        <w:spacing w:line="240" w:lineRule="auto"/>
        <w:ind w:firstLine="468" w:firstLineChars="19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15.4.1 保修责任</w:t>
      </w:r>
    </w:p>
    <w:p w14:paraId="2FCA0BA3">
      <w:pPr>
        <w:spacing w:line="240" w:lineRule="auto"/>
        <w:ind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4A5E71A">
      <w:pPr>
        <w:pageBreakBefore w:val="0"/>
        <w:widowControl/>
        <w:kinsoku/>
        <w:wordWrap/>
        <w:overflowPunct/>
        <w:topLinePunct w:val="0"/>
        <w:autoSpaceDE/>
        <w:autoSpaceDN/>
        <w:bidi w:val="0"/>
        <w:adjustRightInd/>
        <w:snapToGrid/>
        <w:spacing w:line="240" w:lineRule="auto"/>
        <w:ind w:left="0" w:firstLine="468" w:firstLineChars="19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15.4.3 修复通知</w:t>
      </w:r>
    </w:p>
    <w:p w14:paraId="0D0A7738">
      <w:pPr>
        <w:pageBreakBefore w:val="0"/>
        <w:widowControl/>
        <w:kinsoku/>
        <w:wordWrap/>
        <w:overflowPunct/>
        <w:topLinePunct w:val="0"/>
        <w:autoSpaceDE/>
        <w:autoSpaceDN/>
        <w:bidi w:val="0"/>
        <w:adjustRightInd/>
        <w:snapToGrid/>
        <w:spacing w:line="240" w:lineRule="auto"/>
        <w:ind w:left="0" w:firstLine="468" w:firstLineChars="195"/>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承包人收到保修通知并到达工程现场的合理时间：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950AF3B">
      <w:pPr>
        <w:pStyle w:val="5"/>
        <w:pageBreakBefore w:val="0"/>
        <w:widowControl/>
        <w:kinsoku/>
        <w:wordWrap/>
        <w:overflowPunct/>
        <w:topLinePunct w:val="0"/>
        <w:autoSpaceDE/>
        <w:autoSpaceDN/>
        <w:bidi w:val="0"/>
        <w:adjustRightInd/>
        <w:snapToGrid/>
        <w:spacing w:before="0" w:after="0" w:line="240" w:lineRule="auto"/>
        <w:ind w:left="0"/>
        <w:textAlignment w:val="auto"/>
        <w:rPr>
          <w:rFonts w:hint="eastAsia" w:ascii="宋体" w:hAnsi="宋体" w:eastAsia="宋体" w:cs="宋体"/>
          <w:b w:val="0"/>
          <w:bCs w:val="0"/>
          <w:color w:val="auto"/>
          <w:sz w:val="24"/>
          <w:szCs w:val="24"/>
          <w:highlight w:val="none"/>
        </w:rPr>
      </w:pPr>
      <w:bookmarkStart w:id="3856" w:name="_Toc280868717"/>
      <w:bookmarkEnd w:id="3856"/>
      <w:bookmarkStart w:id="3857" w:name="_Toc351203648"/>
      <w:bookmarkEnd w:id="3857"/>
      <w:bookmarkStart w:id="3858" w:name="_Toc280868718"/>
      <w:bookmarkEnd w:id="3858"/>
      <w:r>
        <w:rPr>
          <w:rFonts w:hint="eastAsia" w:ascii="宋体" w:hAnsi="宋体" w:eastAsia="宋体" w:cs="宋体"/>
          <w:b w:val="0"/>
          <w:bCs w:val="0"/>
          <w:color w:val="auto"/>
          <w:sz w:val="24"/>
          <w:szCs w:val="24"/>
          <w:highlight w:val="none"/>
        </w:rPr>
        <w:t>16. 违约</w:t>
      </w:r>
    </w:p>
    <w:p w14:paraId="3D925DB7">
      <w:pPr>
        <w:pageBreakBefore w:val="0"/>
        <w:widowControl/>
        <w:kinsoku/>
        <w:wordWrap/>
        <w:overflowPunct/>
        <w:topLinePunct w:val="0"/>
        <w:autoSpaceDE/>
        <w:autoSpaceDN/>
        <w:bidi w:val="0"/>
        <w:adjustRightInd/>
        <w:snapToGrid/>
        <w:spacing w:line="240" w:lineRule="auto"/>
        <w:ind w:left="0" w:firstLine="480" w:firstLineChars="200"/>
        <w:textAlignment w:val="auto"/>
        <w:outlineLvl w:val="0"/>
        <w:rPr>
          <w:rFonts w:hint="eastAsia" w:ascii="宋体" w:hAnsi="宋体" w:eastAsia="宋体" w:cs="宋体"/>
          <w:color w:val="auto"/>
          <w:sz w:val="24"/>
          <w:szCs w:val="24"/>
          <w:highlight w:val="none"/>
        </w:rPr>
      </w:pPr>
      <w:bookmarkStart w:id="3859" w:name="_Toc7857"/>
      <w:bookmarkStart w:id="3860" w:name="_Toc11005"/>
      <w:bookmarkStart w:id="3861" w:name="_Toc8124"/>
      <w:bookmarkStart w:id="3862" w:name="_Toc12358"/>
      <w:bookmarkStart w:id="3863" w:name="_Toc29249"/>
      <w:bookmarkStart w:id="3864" w:name="_Toc5380"/>
      <w:bookmarkStart w:id="3865" w:name="_Toc24336"/>
      <w:bookmarkStart w:id="3866" w:name="_Toc14998"/>
      <w:bookmarkStart w:id="3867" w:name="_Toc16349"/>
      <w:bookmarkStart w:id="3868" w:name="_Toc25625"/>
      <w:bookmarkStart w:id="3869" w:name="_Toc9547"/>
      <w:bookmarkStart w:id="3870" w:name="_Toc5665"/>
      <w:bookmarkStart w:id="3871" w:name="_Toc26679"/>
      <w:bookmarkStart w:id="3872" w:name="_Toc23574"/>
      <w:bookmarkStart w:id="3873" w:name="_Toc813"/>
      <w:bookmarkStart w:id="3874" w:name="_Toc22411"/>
      <w:r>
        <w:rPr>
          <w:rFonts w:hint="eastAsia" w:ascii="宋体" w:hAnsi="宋体" w:eastAsia="宋体" w:cs="宋体"/>
          <w:color w:val="auto"/>
          <w:sz w:val="24"/>
          <w:szCs w:val="24"/>
          <w:highlight w:val="none"/>
        </w:rPr>
        <w:t>16.1 发包人违约</w:t>
      </w:r>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p>
    <w:p w14:paraId="76AE7B89">
      <w:pPr>
        <w:pageBreakBefore w:val="0"/>
        <w:widowControl/>
        <w:kinsoku/>
        <w:wordWrap/>
        <w:overflowPunct/>
        <w:topLinePunct w:val="0"/>
        <w:autoSpaceDE/>
        <w:autoSpaceDN/>
        <w:bidi w:val="0"/>
        <w:adjustRightInd/>
        <w:snapToGrid/>
        <w:spacing w:line="24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16.1.1发包人违约的情形</w:t>
      </w:r>
    </w:p>
    <w:p w14:paraId="4B69ED31">
      <w:pPr>
        <w:pageBreakBefore w:val="0"/>
        <w:widowControl/>
        <w:kinsoku/>
        <w:wordWrap/>
        <w:overflowPunct/>
        <w:topLinePunct w:val="0"/>
        <w:autoSpaceDE/>
        <w:autoSpaceDN/>
        <w:bidi w:val="0"/>
        <w:adjustRightInd/>
        <w:snapToGrid/>
        <w:spacing w:line="240" w:lineRule="auto"/>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发包人违约的其他情形：</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F610EC4">
      <w:pPr>
        <w:pageBreakBefore w:val="0"/>
        <w:widowControl/>
        <w:kinsoku/>
        <w:wordWrap/>
        <w:overflowPunct/>
        <w:topLinePunct w:val="0"/>
        <w:autoSpaceDE/>
        <w:autoSpaceDN/>
        <w:bidi w:val="0"/>
        <w:adjustRightInd/>
        <w:snapToGrid/>
        <w:spacing w:line="240" w:lineRule="auto"/>
        <w:ind w:left="0" w:hanging="1200" w:hangingChars="5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16.1.2 发包人违约的责任</w:t>
      </w:r>
    </w:p>
    <w:p w14:paraId="5A00E746">
      <w:pPr>
        <w:pageBreakBefore w:val="0"/>
        <w:widowControl/>
        <w:kinsoku/>
        <w:wordWrap/>
        <w:overflowPunct/>
        <w:topLinePunct w:val="0"/>
        <w:autoSpaceDE/>
        <w:autoSpaceDN/>
        <w:bidi w:val="0"/>
        <w:adjustRightInd/>
        <w:snapToGrid/>
        <w:spacing w:line="240" w:lineRule="auto"/>
        <w:ind w:lef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发包人违约责任的承担方式和计算方法：</w:t>
      </w:r>
    </w:p>
    <w:p w14:paraId="678D71F0">
      <w:pPr>
        <w:spacing w:line="240" w:lineRule="auto"/>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（1）因发包人原因未能在计划开工日期前7天内下达开工通知的违约责任：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DAB9F8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（2）因发包人原因未能按合同约定支付合同价款的违约责任：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F1A7105">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（3）发包人违反第10.1款〔变更的范围〕第（2）项约定，自行实施被取消的工作或转由他人实施的违约责任：</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FA1CFD9">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94DC998">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（5）因发包人违反合同约定造成暂停施工的违约责任：</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p>
    <w:p w14:paraId="165D1C0F">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（6）发包人无正当理由没有在约定期限内发出复工指示，导致承包人无法复工的违约责任：</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EC08520">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（7）其他：</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07699CF">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16.1.3 因发包人违约解除合同</w:t>
      </w:r>
    </w:p>
    <w:p w14:paraId="1B3B460F">
      <w:pPr>
        <w:autoSpaceDE w:val="0"/>
        <w:autoSpaceDN w:val="0"/>
        <w:adjustRightInd w:val="0"/>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承包人按16.1.1项〔发包人违约的情形〕约定暂停施工满</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天后发包人仍不纠正其违约行为并致使合同目的不能实现的，承包人有权解除合同。</w:t>
      </w:r>
    </w:p>
    <w:p w14:paraId="49725E74">
      <w:pPr>
        <w:spacing w:after="120" w:line="240" w:lineRule="auto"/>
        <w:ind w:firstLine="480" w:firstLineChars="200"/>
        <w:outlineLvl w:val="0"/>
        <w:rPr>
          <w:rFonts w:hint="eastAsia" w:ascii="宋体" w:hAnsi="宋体" w:eastAsia="宋体" w:cs="宋体"/>
          <w:color w:val="auto"/>
          <w:sz w:val="24"/>
          <w:szCs w:val="24"/>
          <w:highlight w:val="none"/>
        </w:rPr>
      </w:pPr>
      <w:bookmarkStart w:id="3875" w:name="_Toc20342"/>
      <w:bookmarkStart w:id="3876" w:name="_Toc32568"/>
      <w:bookmarkStart w:id="3877" w:name="_Toc22716"/>
      <w:bookmarkStart w:id="3878" w:name="_Toc11791"/>
      <w:bookmarkStart w:id="3879" w:name="_Toc25141"/>
      <w:bookmarkStart w:id="3880" w:name="_Toc12712"/>
      <w:bookmarkStart w:id="3881" w:name="_Toc6661"/>
      <w:bookmarkStart w:id="3882" w:name="_Toc13258"/>
      <w:bookmarkStart w:id="3883" w:name="_Toc10283"/>
      <w:bookmarkStart w:id="3884" w:name="_Toc24974"/>
      <w:bookmarkStart w:id="3885" w:name="_Toc8297"/>
      <w:bookmarkStart w:id="3886" w:name="_Toc17536"/>
      <w:bookmarkStart w:id="3887" w:name="_Toc25602"/>
      <w:bookmarkStart w:id="3888" w:name="_Toc32440"/>
      <w:bookmarkStart w:id="3889" w:name="_Toc5099"/>
      <w:bookmarkStart w:id="3890" w:name="_Toc20799"/>
      <w:r>
        <w:rPr>
          <w:rFonts w:hint="eastAsia" w:ascii="宋体" w:hAnsi="宋体" w:eastAsia="宋体" w:cs="宋体"/>
          <w:color w:val="auto"/>
          <w:sz w:val="24"/>
          <w:szCs w:val="24"/>
          <w:highlight w:val="none"/>
        </w:rPr>
        <w:t>16.2 承包人违约</w:t>
      </w:r>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p>
    <w:p w14:paraId="6BE60FF7">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16.2.1 承包人违约的情形</w:t>
      </w:r>
    </w:p>
    <w:p w14:paraId="01DED533">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承包人违约的其他情形：</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16AAC3C">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16.2.2承包人违约的责任</w:t>
      </w:r>
    </w:p>
    <w:p w14:paraId="509C7C74">
      <w:pPr>
        <w:spacing w:line="240" w:lineRule="auto"/>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承包人违约责任的承担方式和计算方法：</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 xml:space="preserve">    </w:t>
      </w:r>
    </w:p>
    <w:p w14:paraId="0E435DED">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16.2.3 因承包人违约解除合同</w:t>
      </w:r>
    </w:p>
    <w:p w14:paraId="665267B0">
      <w:pPr>
        <w:spacing w:before="120" w:after="120" w:line="24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关于承包人违约解除合同的特别约定：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FCBABCD">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1400F15">
      <w:pPr>
        <w:pStyle w:val="5"/>
        <w:pageBreakBefore w:val="0"/>
        <w:widowControl/>
        <w:kinsoku/>
        <w:wordWrap/>
        <w:overflowPunct/>
        <w:topLinePunct w:val="0"/>
        <w:autoSpaceDE/>
        <w:autoSpaceDN/>
        <w:bidi w:val="0"/>
        <w:adjustRightInd/>
        <w:snapToGrid/>
        <w:spacing w:before="0" w:after="0" w:line="240" w:lineRule="auto"/>
        <w:textAlignment w:val="auto"/>
        <w:rPr>
          <w:rFonts w:hint="eastAsia" w:ascii="宋体" w:hAnsi="宋体" w:eastAsia="宋体" w:cs="宋体"/>
          <w:b w:val="0"/>
          <w:bCs w:val="0"/>
          <w:color w:val="auto"/>
          <w:sz w:val="24"/>
          <w:szCs w:val="24"/>
          <w:highlight w:val="none"/>
        </w:rPr>
      </w:pPr>
      <w:bookmarkStart w:id="3891" w:name="_Toc351203649"/>
      <w:bookmarkEnd w:id="3891"/>
      <w:r>
        <w:rPr>
          <w:rFonts w:hint="eastAsia" w:ascii="宋体" w:hAnsi="宋体" w:eastAsia="宋体" w:cs="宋体"/>
          <w:b w:val="0"/>
          <w:bCs w:val="0"/>
          <w:color w:val="auto"/>
          <w:sz w:val="24"/>
          <w:szCs w:val="24"/>
          <w:highlight w:val="none"/>
        </w:rPr>
        <w:t xml:space="preserve">17. 不可抗力 </w:t>
      </w:r>
    </w:p>
    <w:p w14:paraId="3F8B88D0">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不可抗力的确认</w:t>
      </w:r>
    </w:p>
    <w:p w14:paraId="39EE3D71">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1FBDDD56">
      <w:pPr>
        <w:pageBreakBefore w:val="0"/>
        <w:widowControl/>
        <w:kinsoku/>
        <w:wordWrap/>
        <w:overflowPunct/>
        <w:topLinePunct w:val="0"/>
        <w:autoSpaceDE/>
        <w:autoSpaceDN/>
        <w:bidi w:val="0"/>
        <w:adjustRightInd/>
        <w:snapToGrid/>
        <w:spacing w:line="240" w:lineRule="auto"/>
        <w:ind w:firstLine="480" w:firstLineChars="200"/>
        <w:textAlignment w:val="auto"/>
        <w:outlineLvl w:val="0"/>
        <w:rPr>
          <w:rFonts w:hint="eastAsia" w:ascii="宋体" w:hAnsi="宋体" w:eastAsia="宋体" w:cs="宋体"/>
          <w:color w:val="auto"/>
          <w:sz w:val="24"/>
          <w:szCs w:val="24"/>
          <w:highlight w:val="none"/>
        </w:rPr>
      </w:pPr>
      <w:bookmarkStart w:id="3892" w:name="_Toc7552"/>
      <w:bookmarkStart w:id="3893" w:name="_Toc6438"/>
      <w:bookmarkStart w:id="3894" w:name="_Toc25455"/>
      <w:bookmarkStart w:id="3895" w:name="_Toc7328"/>
      <w:bookmarkStart w:id="3896" w:name="_Toc5458"/>
      <w:bookmarkStart w:id="3897" w:name="_Toc9164"/>
      <w:bookmarkStart w:id="3898" w:name="_Toc11021"/>
      <w:bookmarkStart w:id="3899" w:name="_Toc6717"/>
      <w:bookmarkStart w:id="3900" w:name="_Toc4124"/>
      <w:bookmarkStart w:id="3901" w:name="_Toc16051"/>
      <w:bookmarkStart w:id="3902" w:name="_Toc4682"/>
      <w:bookmarkStart w:id="3903" w:name="_Toc25995"/>
      <w:bookmarkStart w:id="3904" w:name="_Toc32403"/>
      <w:bookmarkStart w:id="3905" w:name="_Toc6051"/>
      <w:bookmarkStart w:id="3906" w:name="_Toc29669"/>
      <w:bookmarkStart w:id="3907" w:name="_Toc3584"/>
      <w:r>
        <w:rPr>
          <w:rFonts w:hint="eastAsia" w:ascii="宋体" w:hAnsi="宋体" w:eastAsia="宋体" w:cs="宋体"/>
          <w:color w:val="auto"/>
          <w:sz w:val="24"/>
          <w:szCs w:val="24"/>
          <w:highlight w:val="none"/>
        </w:rPr>
        <w:t>17.4 因不可抗力解除合同</w:t>
      </w:r>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p>
    <w:p w14:paraId="3ED02811">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合同解除后，发包人应在商定或确定发包人应支付款项后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天内完成款项的支付。</w:t>
      </w:r>
    </w:p>
    <w:p w14:paraId="2D03C7F0">
      <w:pPr>
        <w:pStyle w:val="5"/>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color w:val="auto"/>
          <w:sz w:val="24"/>
          <w:szCs w:val="24"/>
          <w:highlight w:val="none"/>
        </w:rPr>
      </w:pPr>
      <w:bookmarkStart w:id="3908" w:name="_Toc351203650"/>
      <w:bookmarkEnd w:id="3908"/>
      <w:r>
        <w:rPr>
          <w:rFonts w:hint="eastAsia" w:ascii="宋体" w:hAnsi="宋体" w:eastAsia="宋体" w:cs="宋体"/>
          <w:b w:val="0"/>
          <w:bCs w:val="0"/>
          <w:color w:val="auto"/>
          <w:sz w:val="24"/>
          <w:szCs w:val="24"/>
          <w:highlight w:val="none"/>
        </w:rPr>
        <w:t>18. 保险</w:t>
      </w:r>
    </w:p>
    <w:p w14:paraId="2E47D0A1">
      <w:pPr>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工程保险</w:t>
      </w:r>
    </w:p>
    <w:p w14:paraId="5E772959">
      <w:pPr>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关于工程保险的特别约定：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7DA56AD9">
      <w:pPr>
        <w:pageBreakBefore w:val="0"/>
        <w:widowControl/>
        <w:kinsoku/>
        <w:wordWrap/>
        <w:overflowPunct/>
        <w:topLinePunct w:val="0"/>
        <w:autoSpaceDE/>
        <w:autoSpaceDN/>
        <w:bidi w:val="0"/>
        <w:adjustRightInd/>
        <w:snapToGrid/>
        <w:spacing w:line="240" w:lineRule="auto"/>
        <w:ind w:firstLine="480" w:firstLineChars="200"/>
        <w:textAlignment w:val="auto"/>
        <w:outlineLvl w:val="0"/>
        <w:rPr>
          <w:rFonts w:hint="eastAsia" w:ascii="宋体" w:hAnsi="宋体" w:eastAsia="宋体" w:cs="宋体"/>
          <w:color w:val="auto"/>
          <w:sz w:val="24"/>
          <w:szCs w:val="24"/>
          <w:highlight w:val="none"/>
        </w:rPr>
      </w:pPr>
      <w:bookmarkStart w:id="3909" w:name="_Toc17141"/>
      <w:bookmarkStart w:id="3910" w:name="_Toc14025"/>
      <w:bookmarkStart w:id="3911" w:name="_Toc23323"/>
      <w:bookmarkStart w:id="3912" w:name="_Toc2232"/>
      <w:bookmarkStart w:id="3913" w:name="_Toc10561"/>
      <w:bookmarkStart w:id="3914" w:name="_Toc18889"/>
      <w:bookmarkStart w:id="3915" w:name="_Toc4363"/>
      <w:bookmarkStart w:id="3916" w:name="_Toc7157"/>
      <w:bookmarkStart w:id="3917" w:name="_Toc12529"/>
      <w:bookmarkStart w:id="3918" w:name="_Toc28483"/>
      <w:bookmarkStart w:id="3919" w:name="_Toc22893"/>
      <w:bookmarkStart w:id="3920" w:name="_Toc3715"/>
      <w:bookmarkStart w:id="3921" w:name="_Toc12377"/>
      <w:bookmarkStart w:id="3922" w:name="_Toc22276"/>
      <w:bookmarkStart w:id="3923" w:name="_Toc4035"/>
      <w:bookmarkStart w:id="3924" w:name="_Toc17861"/>
      <w:r>
        <w:rPr>
          <w:rFonts w:hint="eastAsia" w:ascii="宋体" w:hAnsi="宋体" w:eastAsia="宋体" w:cs="宋体"/>
          <w:color w:val="auto"/>
          <w:sz w:val="24"/>
          <w:szCs w:val="24"/>
          <w:highlight w:val="none"/>
        </w:rPr>
        <w:t>18.3 其他保险</w:t>
      </w:r>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p>
    <w:p w14:paraId="537FB862">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关于其他保险的约定：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E6547DC">
      <w:pPr>
        <w:spacing w:line="24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承包人是否应为其施工设备等办理财产保险：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900BC74">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 通知义务</w:t>
      </w:r>
    </w:p>
    <w:p w14:paraId="3DC7B096">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关于变更保险合同时的通知义务的约定：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ED3DAC4">
      <w:pPr>
        <w:pStyle w:val="5"/>
        <w:spacing w:line="240" w:lineRule="auto"/>
        <w:rPr>
          <w:rFonts w:hint="eastAsia" w:ascii="宋体" w:hAnsi="宋体" w:eastAsia="宋体" w:cs="宋体"/>
          <w:b w:val="0"/>
          <w:bCs w:val="0"/>
          <w:color w:val="auto"/>
          <w:sz w:val="24"/>
          <w:szCs w:val="24"/>
          <w:highlight w:val="none"/>
        </w:rPr>
      </w:pPr>
      <w:bookmarkStart w:id="3925" w:name="_Toc351203651"/>
      <w:bookmarkEnd w:id="3925"/>
      <w:r>
        <w:rPr>
          <w:rFonts w:hint="eastAsia" w:ascii="宋体" w:hAnsi="宋体" w:eastAsia="宋体" w:cs="宋体"/>
          <w:b w:val="0"/>
          <w:bCs w:val="0"/>
          <w:color w:val="auto"/>
          <w:sz w:val="24"/>
          <w:szCs w:val="24"/>
          <w:highlight w:val="none"/>
        </w:rPr>
        <w:t>20. 争议解决</w:t>
      </w:r>
    </w:p>
    <w:p w14:paraId="31F52F99">
      <w:pPr>
        <w:spacing w:after="120" w:line="240" w:lineRule="auto"/>
        <w:ind w:firstLine="480" w:firstLineChars="200"/>
        <w:outlineLvl w:val="0"/>
        <w:rPr>
          <w:rFonts w:hint="eastAsia" w:ascii="宋体" w:hAnsi="宋体" w:eastAsia="宋体" w:cs="宋体"/>
          <w:color w:val="auto"/>
          <w:sz w:val="24"/>
          <w:szCs w:val="24"/>
          <w:highlight w:val="none"/>
        </w:rPr>
      </w:pPr>
      <w:bookmarkStart w:id="3926" w:name="_Toc31389"/>
      <w:bookmarkStart w:id="3927" w:name="_Toc13326"/>
      <w:bookmarkStart w:id="3928" w:name="_Toc13661"/>
      <w:bookmarkStart w:id="3929" w:name="_Toc18947"/>
      <w:bookmarkStart w:id="3930" w:name="_Toc22779"/>
      <w:bookmarkStart w:id="3931" w:name="_Toc31967"/>
      <w:bookmarkStart w:id="3932" w:name="_Toc7327"/>
      <w:bookmarkStart w:id="3933" w:name="_Toc18892"/>
      <w:bookmarkStart w:id="3934" w:name="_Toc17159"/>
      <w:bookmarkStart w:id="3935" w:name="_Toc17035"/>
      <w:bookmarkStart w:id="3936" w:name="_Toc5998"/>
      <w:bookmarkStart w:id="3937" w:name="_Toc6782"/>
      <w:bookmarkStart w:id="3938" w:name="_Toc1500"/>
      <w:bookmarkStart w:id="3939" w:name="_Toc28232"/>
      <w:bookmarkStart w:id="3940" w:name="_Toc27943"/>
      <w:bookmarkStart w:id="3941" w:name="_Toc21441"/>
      <w:r>
        <w:rPr>
          <w:rFonts w:hint="eastAsia" w:ascii="宋体" w:hAnsi="宋体" w:eastAsia="宋体" w:cs="宋体"/>
          <w:color w:val="auto"/>
          <w:sz w:val="24"/>
          <w:szCs w:val="24"/>
          <w:highlight w:val="none"/>
        </w:rPr>
        <w:t>20.3 争议评审</w:t>
      </w:r>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p>
    <w:p w14:paraId="666F6426">
      <w:pPr>
        <w:spacing w:line="240" w:lineRule="auto"/>
        <w:ind w:left="142" w:leftChars="71"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合同当事人是否同意将工程争议提交争议评审小组决定：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598FC5C2">
      <w:pPr>
        <w:spacing w:line="240" w:lineRule="auto"/>
        <w:ind w:firstLine="480" w:firstLineChars="200"/>
        <w:jc w:val="left"/>
        <w:outlineLvl w:val="0"/>
        <w:rPr>
          <w:rFonts w:hint="eastAsia" w:ascii="宋体" w:hAnsi="宋体" w:eastAsia="宋体" w:cs="宋体"/>
          <w:color w:val="auto"/>
          <w:sz w:val="24"/>
          <w:szCs w:val="24"/>
          <w:highlight w:val="none"/>
        </w:rPr>
      </w:pPr>
      <w:bookmarkStart w:id="3942" w:name="_Toc9326"/>
      <w:bookmarkStart w:id="3943" w:name="_Toc11256"/>
      <w:bookmarkStart w:id="3944" w:name="_Toc11631"/>
      <w:bookmarkStart w:id="3945" w:name="_Toc16922"/>
      <w:bookmarkStart w:id="3946" w:name="_Toc1638"/>
      <w:bookmarkStart w:id="3947" w:name="_Toc9578"/>
      <w:bookmarkStart w:id="3948" w:name="_Toc26346"/>
      <w:bookmarkStart w:id="3949" w:name="_Toc26228"/>
      <w:bookmarkStart w:id="3950" w:name="_Toc23570"/>
      <w:bookmarkStart w:id="3951" w:name="_Toc30205"/>
      <w:bookmarkStart w:id="3952" w:name="_Toc20509"/>
      <w:bookmarkStart w:id="3953" w:name="_Toc2367"/>
      <w:bookmarkStart w:id="3954" w:name="_Toc4021"/>
      <w:bookmarkStart w:id="3955" w:name="_Toc16914"/>
      <w:bookmarkStart w:id="3956" w:name="_Toc1150"/>
      <w:bookmarkStart w:id="3957" w:name="_Toc29842"/>
      <w:r>
        <w:rPr>
          <w:rFonts w:hint="eastAsia" w:ascii="宋体" w:hAnsi="宋体" w:eastAsia="宋体" w:cs="宋体"/>
          <w:color w:val="auto"/>
          <w:sz w:val="24"/>
          <w:szCs w:val="24"/>
          <w:highlight w:val="none"/>
        </w:rPr>
        <w:t>20.3.1 争议评审小组的确定</w:t>
      </w:r>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p>
    <w:p w14:paraId="514F37A8">
      <w:pPr>
        <w:spacing w:line="24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争议评审小组成员的确定：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B9DBAC5">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479E1E2">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60B7520">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CE47A20">
      <w:pPr>
        <w:autoSpaceDE w:val="0"/>
        <w:autoSpaceDN w:val="0"/>
        <w:adjustRightInd w:val="0"/>
        <w:spacing w:line="240" w:lineRule="auto"/>
        <w:ind w:firstLine="480" w:firstLineChars="200"/>
        <w:jc w:val="left"/>
        <w:outlineLvl w:val="0"/>
        <w:rPr>
          <w:rFonts w:hint="eastAsia" w:ascii="宋体" w:hAnsi="宋体" w:eastAsia="宋体" w:cs="宋体"/>
          <w:color w:val="auto"/>
          <w:kern w:val="0"/>
          <w:sz w:val="24"/>
          <w:szCs w:val="24"/>
          <w:highlight w:val="none"/>
        </w:rPr>
      </w:pPr>
      <w:bookmarkStart w:id="3958" w:name="_Toc21716"/>
      <w:bookmarkStart w:id="3959" w:name="_Toc13165"/>
      <w:bookmarkStart w:id="3960" w:name="_Toc23494"/>
      <w:bookmarkStart w:id="3961" w:name="_Toc20544"/>
      <w:bookmarkStart w:id="3962" w:name="_Toc5445"/>
      <w:bookmarkStart w:id="3963" w:name="_Toc29261"/>
      <w:bookmarkStart w:id="3964" w:name="_Toc3856"/>
      <w:bookmarkStart w:id="3965" w:name="_Toc24961"/>
      <w:bookmarkStart w:id="3966" w:name="_Toc25967"/>
      <w:bookmarkStart w:id="3967" w:name="_Toc5365"/>
      <w:bookmarkStart w:id="3968" w:name="_Toc9038"/>
      <w:bookmarkStart w:id="3969" w:name="_Toc14449"/>
      <w:bookmarkStart w:id="3970" w:name="_Toc27733"/>
      <w:bookmarkStart w:id="3971" w:name="_Toc15646"/>
      <w:bookmarkStart w:id="3972" w:name="_Toc26862"/>
      <w:bookmarkStart w:id="3973" w:name="_Toc13577"/>
      <w:r>
        <w:rPr>
          <w:rFonts w:hint="eastAsia" w:ascii="宋体" w:hAnsi="宋体" w:eastAsia="宋体" w:cs="宋体"/>
          <w:color w:val="auto"/>
          <w:kern w:val="0"/>
          <w:sz w:val="24"/>
          <w:szCs w:val="24"/>
          <w:highlight w:val="none"/>
        </w:rPr>
        <w:t>20.3.2 争议评审小组的决定</w:t>
      </w:r>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p>
    <w:p w14:paraId="30B5EF0F">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w:t>
      </w:r>
      <w:r>
        <w:rPr>
          <w:rFonts w:hint="eastAsia" w:ascii="宋体" w:hAnsi="宋体" w:cs="宋体"/>
          <w:color w:val="auto"/>
          <w:sz w:val="24"/>
          <w:szCs w:val="24"/>
          <w:highlight w:val="none"/>
          <w:lang w:eastAsia="zh-CN"/>
        </w:rPr>
        <w:t>本事</w:t>
      </w:r>
      <w:r>
        <w:rPr>
          <w:rFonts w:hint="eastAsia" w:ascii="宋体" w:hAnsi="宋体" w:eastAsia="宋体" w:cs="宋体"/>
          <w:color w:val="auto"/>
          <w:sz w:val="24"/>
          <w:szCs w:val="24"/>
          <w:highlight w:val="none"/>
        </w:rPr>
        <w:t>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89A6654">
      <w:pPr>
        <w:spacing w:after="120" w:line="240" w:lineRule="auto"/>
        <w:ind w:firstLine="480" w:firstLineChars="200"/>
        <w:outlineLvl w:val="0"/>
        <w:rPr>
          <w:rFonts w:hint="eastAsia" w:ascii="宋体" w:hAnsi="宋体" w:eastAsia="宋体" w:cs="宋体"/>
          <w:color w:val="auto"/>
          <w:sz w:val="24"/>
          <w:szCs w:val="24"/>
          <w:highlight w:val="none"/>
        </w:rPr>
      </w:pPr>
      <w:bookmarkStart w:id="3974" w:name="_Toc30981"/>
      <w:bookmarkStart w:id="3975" w:name="_Toc22594"/>
      <w:bookmarkStart w:id="3976" w:name="_Toc13975"/>
      <w:bookmarkStart w:id="3977" w:name="_Toc4710"/>
      <w:bookmarkStart w:id="3978" w:name="_Toc4614"/>
      <w:bookmarkStart w:id="3979" w:name="_Toc11433"/>
      <w:bookmarkStart w:id="3980" w:name="_Toc612"/>
      <w:bookmarkStart w:id="3981" w:name="_Toc2608"/>
      <w:bookmarkStart w:id="3982" w:name="_Toc4031"/>
      <w:bookmarkStart w:id="3983" w:name="_Toc1857"/>
      <w:bookmarkStart w:id="3984" w:name="_Toc31653"/>
      <w:bookmarkStart w:id="3985" w:name="_Toc32451"/>
      <w:bookmarkStart w:id="3986" w:name="_Toc19316"/>
      <w:bookmarkStart w:id="3987" w:name="_Toc15727"/>
      <w:bookmarkStart w:id="3988" w:name="_Toc878"/>
      <w:bookmarkStart w:id="3989" w:name="_Toc10329"/>
      <w:r>
        <w:rPr>
          <w:rFonts w:hint="eastAsia" w:ascii="宋体" w:hAnsi="宋体" w:eastAsia="宋体" w:cs="宋体"/>
          <w:color w:val="auto"/>
          <w:sz w:val="24"/>
          <w:szCs w:val="24"/>
          <w:highlight w:val="none"/>
        </w:rPr>
        <w:t>20.4仲裁或诉讼</w:t>
      </w:r>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p>
    <w:p w14:paraId="64F94672">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种方式解决：</w:t>
      </w:r>
    </w:p>
    <w:p w14:paraId="648A49B7">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仲裁委员会申请仲裁；</w:t>
      </w:r>
    </w:p>
    <w:p w14:paraId="5E4B155C">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人民法院起诉。</w:t>
      </w:r>
    </w:p>
    <w:p w14:paraId="7218D66F">
      <w:pPr>
        <w:spacing w:line="240" w:lineRule="auto"/>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r>
      <w:bookmarkStart w:id="3990" w:name="_Toc351203652"/>
      <w:bookmarkEnd w:id="3990"/>
      <w:r>
        <w:rPr>
          <w:rFonts w:hint="eastAsia" w:ascii="宋体" w:hAnsi="宋体" w:eastAsia="宋体" w:cs="宋体"/>
          <w:b/>
          <w:bCs/>
          <w:color w:val="auto"/>
          <w:sz w:val="24"/>
          <w:szCs w:val="24"/>
          <w:highlight w:val="none"/>
        </w:rPr>
        <w:t>附件</w:t>
      </w:r>
    </w:p>
    <w:p w14:paraId="6FEAFA58">
      <w:pPr>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协议书附件：</w:t>
      </w:r>
    </w:p>
    <w:p w14:paraId="4ADE98AF">
      <w:pPr>
        <w:spacing w:line="240" w:lineRule="auto"/>
        <w:jc w:val="left"/>
        <w:outlineLvl w:val="0"/>
        <w:rPr>
          <w:rFonts w:hint="eastAsia" w:ascii="宋体" w:hAnsi="宋体" w:eastAsia="宋体" w:cs="宋体"/>
          <w:color w:val="auto"/>
          <w:sz w:val="24"/>
          <w:szCs w:val="24"/>
          <w:highlight w:val="none"/>
        </w:rPr>
      </w:pPr>
      <w:bookmarkStart w:id="3991" w:name="_Toc19587"/>
      <w:bookmarkStart w:id="3992" w:name="_Toc25201"/>
      <w:bookmarkStart w:id="3993" w:name="_Toc31630"/>
      <w:bookmarkStart w:id="3994" w:name="_Toc29222"/>
      <w:bookmarkStart w:id="3995" w:name="_Toc23373"/>
      <w:bookmarkStart w:id="3996" w:name="_Toc13719"/>
      <w:bookmarkStart w:id="3997" w:name="_Toc15605"/>
      <w:bookmarkStart w:id="3998" w:name="_Toc2056"/>
      <w:bookmarkStart w:id="3999" w:name="_Toc10489"/>
      <w:bookmarkStart w:id="4000" w:name="_Toc10893"/>
      <w:bookmarkStart w:id="4001" w:name="_Toc3920"/>
      <w:bookmarkStart w:id="4002" w:name="_Toc10067"/>
      <w:bookmarkStart w:id="4003" w:name="_Toc30903"/>
      <w:bookmarkStart w:id="4004" w:name="_Toc24915"/>
      <w:bookmarkStart w:id="4005" w:name="_Toc834"/>
      <w:r>
        <w:rPr>
          <w:rFonts w:hint="eastAsia" w:ascii="宋体" w:hAnsi="宋体" w:eastAsia="宋体" w:cs="宋体"/>
          <w:color w:val="auto"/>
          <w:sz w:val="24"/>
          <w:szCs w:val="24"/>
          <w:highlight w:val="none"/>
        </w:rPr>
        <w:t>附件1：承包人承揽工程项目一览表</w:t>
      </w:r>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p>
    <w:p w14:paraId="2FEC6DA9">
      <w:pPr>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专用合同条款附件：</w:t>
      </w:r>
    </w:p>
    <w:p w14:paraId="56F5991F">
      <w:pPr>
        <w:spacing w:line="240" w:lineRule="auto"/>
        <w:jc w:val="left"/>
        <w:outlineLvl w:val="0"/>
        <w:rPr>
          <w:rFonts w:hint="eastAsia" w:ascii="宋体" w:hAnsi="宋体" w:eastAsia="宋体" w:cs="宋体"/>
          <w:color w:val="auto"/>
          <w:sz w:val="24"/>
          <w:szCs w:val="24"/>
          <w:highlight w:val="none"/>
        </w:rPr>
      </w:pPr>
      <w:bookmarkStart w:id="4006" w:name="_Toc26568"/>
      <w:bookmarkStart w:id="4007" w:name="_Toc3011"/>
      <w:bookmarkStart w:id="4008" w:name="_Toc24414"/>
      <w:bookmarkStart w:id="4009" w:name="_Toc7114"/>
      <w:bookmarkStart w:id="4010" w:name="_Toc18567"/>
      <w:bookmarkStart w:id="4011" w:name="_Toc24986"/>
      <w:bookmarkStart w:id="4012" w:name="_Toc32589"/>
      <w:bookmarkStart w:id="4013" w:name="_Toc23066"/>
      <w:bookmarkStart w:id="4014" w:name="_Toc7520"/>
      <w:bookmarkStart w:id="4015" w:name="_Toc20840"/>
      <w:bookmarkStart w:id="4016" w:name="_Toc15048"/>
      <w:bookmarkStart w:id="4017" w:name="_Toc13418"/>
      <w:bookmarkStart w:id="4018" w:name="_Toc16488"/>
      <w:bookmarkStart w:id="4019" w:name="_Toc12456"/>
      <w:bookmarkStart w:id="4020" w:name="_Toc2992"/>
      <w:r>
        <w:rPr>
          <w:rFonts w:hint="eastAsia" w:ascii="宋体" w:hAnsi="宋体" w:eastAsia="宋体" w:cs="宋体"/>
          <w:color w:val="auto"/>
          <w:sz w:val="24"/>
          <w:szCs w:val="24"/>
          <w:highlight w:val="none"/>
        </w:rPr>
        <w:t>附件2：发包人供应材料设备一览表</w:t>
      </w:r>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p>
    <w:p w14:paraId="6FF839D3">
      <w:pPr>
        <w:spacing w:line="240" w:lineRule="auto"/>
        <w:jc w:val="left"/>
        <w:outlineLvl w:val="0"/>
        <w:rPr>
          <w:rFonts w:hint="eastAsia" w:ascii="宋体" w:hAnsi="宋体" w:eastAsia="宋体" w:cs="宋体"/>
          <w:color w:val="auto"/>
          <w:sz w:val="24"/>
          <w:szCs w:val="24"/>
          <w:highlight w:val="none"/>
        </w:rPr>
      </w:pPr>
      <w:bookmarkStart w:id="4021" w:name="_Toc1389"/>
      <w:bookmarkStart w:id="4022" w:name="_Toc23325"/>
      <w:bookmarkStart w:id="4023" w:name="_Toc19289"/>
      <w:bookmarkStart w:id="4024" w:name="_Toc22073"/>
      <w:bookmarkStart w:id="4025" w:name="_Toc25651"/>
      <w:bookmarkStart w:id="4026" w:name="_Toc6527"/>
      <w:bookmarkStart w:id="4027" w:name="_Toc1750"/>
      <w:bookmarkStart w:id="4028" w:name="_Toc32270"/>
      <w:bookmarkStart w:id="4029" w:name="_Toc14084"/>
      <w:bookmarkStart w:id="4030" w:name="_Toc21292"/>
      <w:bookmarkStart w:id="4031" w:name="_Toc8374"/>
      <w:bookmarkStart w:id="4032" w:name="_Toc21808"/>
      <w:bookmarkStart w:id="4033" w:name="_Toc15470"/>
      <w:bookmarkStart w:id="4034" w:name="_Toc25323"/>
      <w:bookmarkStart w:id="4035" w:name="_Toc4846"/>
      <w:r>
        <w:rPr>
          <w:rFonts w:hint="eastAsia" w:ascii="宋体" w:hAnsi="宋体" w:eastAsia="宋体" w:cs="宋体"/>
          <w:color w:val="auto"/>
          <w:sz w:val="24"/>
          <w:szCs w:val="24"/>
          <w:highlight w:val="none"/>
        </w:rPr>
        <w:t>附件3：工程质量保修书</w:t>
      </w:r>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p>
    <w:p w14:paraId="3B9188C8">
      <w:pPr>
        <w:spacing w:line="240" w:lineRule="auto"/>
        <w:jc w:val="left"/>
        <w:outlineLvl w:val="0"/>
        <w:rPr>
          <w:rFonts w:hint="eastAsia" w:ascii="宋体" w:hAnsi="宋体" w:eastAsia="宋体" w:cs="宋体"/>
          <w:color w:val="auto"/>
          <w:sz w:val="24"/>
          <w:szCs w:val="24"/>
          <w:highlight w:val="none"/>
        </w:rPr>
      </w:pPr>
      <w:bookmarkStart w:id="4036" w:name="_Toc12224"/>
      <w:bookmarkStart w:id="4037" w:name="_Toc5749"/>
      <w:bookmarkStart w:id="4038" w:name="_Toc30348"/>
      <w:bookmarkStart w:id="4039" w:name="_Toc9723"/>
      <w:bookmarkStart w:id="4040" w:name="_Toc8283"/>
      <w:bookmarkStart w:id="4041" w:name="_Toc11978"/>
      <w:bookmarkStart w:id="4042" w:name="_Toc25369"/>
      <w:bookmarkStart w:id="4043" w:name="_Toc29731"/>
      <w:bookmarkStart w:id="4044" w:name="_Toc251"/>
      <w:bookmarkStart w:id="4045" w:name="_Toc27501"/>
      <w:bookmarkStart w:id="4046" w:name="_Toc16415"/>
      <w:bookmarkStart w:id="4047" w:name="_Toc18529"/>
      <w:bookmarkStart w:id="4048" w:name="_Toc22681"/>
      <w:bookmarkStart w:id="4049" w:name="_Toc7756"/>
      <w:bookmarkStart w:id="4050" w:name="_Toc23931"/>
      <w:r>
        <w:rPr>
          <w:rFonts w:hint="eastAsia" w:ascii="宋体" w:hAnsi="宋体" w:eastAsia="宋体" w:cs="宋体"/>
          <w:color w:val="auto"/>
          <w:sz w:val="24"/>
          <w:szCs w:val="24"/>
          <w:highlight w:val="none"/>
        </w:rPr>
        <w:t>附件4：主要建设工程文件目录</w:t>
      </w:r>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p>
    <w:p w14:paraId="3D1463F1">
      <w:pPr>
        <w:spacing w:line="240" w:lineRule="auto"/>
        <w:jc w:val="left"/>
        <w:outlineLvl w:val="0"/>
        <w:rPr>
          <w:rFonts w:hint="eastAsia" w:ascii="宋体" w:hAnsi="宋体" w:eastAsia="宋体" w:cs="宋体"/>
          <w:color w:val="auto"/>
          <w:sz w:val="24"/>
          <w:szCs w:val="24"/>
          <w:highlight w:val="none"/>
        </w:rPr>
      </w:pPr>
      <w:bookmarkStart w:id="4051" w:name="_Toc18428"/>
      <w:bookmarkStart w:id="4052" w:name="_Toc13915"/>
      <w:bookmarkStart w:id="4053" w:name="_Toc18439"/>
      <w:bookmarkStart w:id="4054" w:name="_Toc31035"/>
      <w:bookmarkStart w:id="4055" w:name="_Toc30009"/>
      <w:bookmarkStart w:id="4056" w:name="_Toc29287"/>
      <w:bookmarkStart w:id="4057" w:name="_Toc29822"/>
      <w:bookmarkStart w:id="4058" w:name="_Toc25098"/>
      <w:bookmarkStart w:id="4059" w:name="_Toc32234"/>
      <w:bookmarkStart w:id="4060" w:name="_Toc21263"/>
      <w:bookmarkStart w:id="4061" w:name="_Toc12471"/>
      <w:bookmarkStart w:id="4062" w:name="_Toc11969"/>
      <w:bookmarkStart w:id="4063" w:name="_Toc30768"/>
      <w:bookmarkStart w:id="4064" w:name="_Toc25501"/>
      <w:bookmarkStart w:id="4065" w:name="_Toc14073"/>
      <w:r>
        <w:rPr>
          <w:rFonts w:hint="eastAsia" w:ascii="宋体" w:hAnsi="宋体" w:eastAsia="宋体" w:cs="宋体"/>
          <w:color w:val="auto"/>
          <w:sz w:val="24"/>
          <w:szCs w:val="24"/>
          <w:highlight w:val="none"/>
        </w:rPr>
        <w:t>附件5：承包人用于本工程施工的机械设备表</w:t>
      </w:r>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p>
    <w:p w14:paraId="6DB7E331">
      <w:pPr>
        <w:spacing w:line="240" w:lineRule="auto"/>
        <w:jc w:val="left"/>
        <w:outlineLvl w:val="0"/>
        <w:rPr>
          <w:rFonts w:hint="eastAsia" w:ascii="宋体" w:hAnsi="宋体" w:eastAsia="宋体" w:cs="宋体"/>
          <w:color w:val="auto"/>
          <w:sz w:val="24"/>
          <w:szCs w:val="24"/>
          <w:highlight w:val="none"/>
        </w:rPr>
      </w:pPr>
      <w:bookmarkStart w:id="4066" w:name="_Toc7867"/>
      <w:bookmarkStart w:id="4067" w:name="_Toc6261"/>
      <w:bookmarkStart w:id="4068" w:name="_Toc19409"/>
      <w:bookmarkStart w:id="4069" w:name="_Toc19935"/>
      <w:bookmarkStart w:id="4070" w:name="_Toc5252"/>
      <w:bookmarkStart w:id="4071" w:name="_Toc13065"/>
      <w:bookmarkStart w:id="4072" w:name="_Toc23948"/>
      <w:bookmarkStart w:id="4073" w:name="_Toc26931"/>
      <w:bookmarkStart w:id="4074" w:name="_Toc3411"/>
      <w:bookmarkStart w:id="4075" w:name="_Toc6593"/>
      <w:bookmarkStart w:id="4076" w:name="_Toc29441"/>
      <w:bookmarkStart w:id="4077" w:name="_Toc14802"/>
      <w:bookmarkStart w:id="4078" w:name="_Toc32760"/>
      <w:bookmarkStart w:id="4079" w:name="_Toc10605"/>
      <w:bookmarkStart w:id="4080" w:name="_Toc25399"/>
      <w:r>
        <w:rPr>
          <w:rFonts w:hint="eastAsia" w:ascii="宋体" w:hAnsi="宋体" w:eastAsia="宋体" w:cs="宋体"/>
          <w:color w:val="auto"/>
          <w:sz w:val="24"/>
          <w:szCs w:val="24"/>
          <w:highlight w:val="none"/>
        </w:rPr>
        <w:t>附件6：承包人主要施工管理人员表</w:t>
      </w:r>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p>
    <w:p w14:paraId="03AAFA47">
      <w:pPr>
        <w:spacing w:line="240" w:lineRule="auto"/>
        <w:jc w:val="left"/>
        <w:outlineLvl w:val="0"/>
        <w:rPr>
          <w:rFonts w:hint="eastAsia" w:ascii="宋体" w:hAnsi="宋体" w:eastAsia="宋体" w:cs="宋体"/>
          <w:color w:val="auto"/>
          <w:sz w:val="24"/>
          <w:szCs w:val="24"/>
          <w:highlight w:val="none"/>
        </w:rPr>
      </w:pPr>
      <w:bookmarkStart w:id="4081" w:name="_Toc31264"/>
      <w:bookmarkStart w:id="4082" w:name="_Toc24175"/>
      <w:bookmarkStart w:id="4083" w:name="_Toc20434"/>
      <w:bookmarkStart w:id="4084" w:name="_Toc527"/>
      <w:bookmarkStart w:id="4085" w:name="_Toc1170"/>
      <w:bookmarkStart w:id="4086" w:name="_Toc23790"/>
      <w:bookmarkStart w:id="4087" w:name="_Toc10019"/>
      <w:bookmarkStart w:id="4088" w:name="_Toc32042"/>
      <w:bookmarkStart w:id="4089" w:name="_Toc28321"/>
      <w:bookmarkStart w:id="4090" w:name="_Toc13193"/>
      <w:bookmarkStart w:id="4091" w:name="_Toc4495"/>
      <w:bookmarkStart w:id="4092" w:name="_Toc23568"/>
      <w:bookmarkStart w:id="4093" w:name="_Toc6723"/>
      <w:bookmarkStart w:id="4094" w:name="_Toc14171"/>
      <w:bookmarkStart w:id="4095" w:name="_Toc17465"/>
      <w:r>
        <w:rPr>
          <w:rFonts w:hint="eastAsia" w:ascii="宋体" w:hAnsi="宋体" w:eastAsia="宋体" w:cs="宋体"/>
          <w:color w:val="auto"/>
          <w:sz w:val="24"/>
          <w:szCs w:val="24"/>
          <w:highlight w:val="none"/>
        </w:rPr>
        <w:t>附件7：分包人主要施工管理人员表</w:t>
      </w:r>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p>
    <w:p w14:paraId="0E66F041">
      <w:pPr>
        <w:spacing w:line="240" w:lineRule="auto"/>
        <w:jc w:val="left"/>
        <w:outlineLvl w:val="0"/>
        <w:rPr>
          <w:rFonts w:hint="eastAsia" w:ascii="宋体" w:hAnsi="宋体" w:eastAsia="宋体" w:cs="宋体"/>
          <w:color w:val="auto"/>
          <w:sz w:val="24"/>
          <w:szCs w:val="24"/>
          <w:highlight w:val="none"/>
        </w:rPr>
      </w:pPr>
      <w:bookmarkStart w:id="4096" w:name="_Toc23997"/>
      <w:bookmarkStart w:id="4097" w:name="_Toc3628"/>
      <w:bookmarkStart w:id="4098" w:name="_Toc30290"/>
      <w:bookmarkStart w:id="4099" w:name="_Toc31042"/>
      <w:bookmarkStart w:id="4100" w:name="_Toc6012"/>
      <w:bookmarkStart w:id="4101" w:name="_Toc13674"/>
      <w:bookmarkStart w:id="4102" w:name="_Toc29614"/>
      <w:bookmarkStart w:id="4103" w:name="_Toc28404"/>
      <w:bookmarkStart w:id="4104" w:name="_Toc8497"/>
      <w:bookmarkStart w:id="4105" w:name="_Toc18500"/>
      <w:bookmarkStart w:id="4106" w:name="_Toc24971"/>
      <w:bookmarkStart w:id="4107" w:name="_Toc19780"/>
      <w:bookmarkStart w:id="4108" w:name="_Toc14744"/>
      <w:bookmarkStart w:id="4109" w:name="_Toc32019"/>
      <w:bookmarkStart w:id="4110" w:name="_Toc29833"/>
      <w:r>
        <w:rPr>
          <w:rFonts w:hint="eastAsia" w:ascii="宋体" w:hAnsi="宋体" w:eastAsia="宋体" w:cs="宋体"/>
          <w:color w:val="auto"/>
          <w:sz w:val="24"/>
          <w:szCs w:val="24"/>
          <w:highlight w:val="none"/>
        </w:rPr>
        <w:t>附件8：履约担保格式</w:t>
      </w:r>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p>
    <w:p w14:paraId="77AE78A1">
      <w:pPr>
        <w:spacing w:line="240" w:lineRule="auto"/>
        <w:jc w:val="left"/>
        <w:outlineLvl w:val="0"/>
        <w:rPr>
          <w:rFonts w:hint="eastAsia" w:ascii="宋体" w:hAnsi="宋体" w:eastAsia="宋体" w:cs="宋体"/>
          <w:color w:val="auto"/>
          <w:sz w:val="24"/>
          <w:szCs w:val="24"/>
          <w:highlight w:val="none"/>
        </w:rPr>
      </w:pPr>
      <w:bookmarkStart w:id="4111" w:name="_Toc17340"/>
      <w:bookmarkStart w:id="4112" w:name="_Toc18946"/>
      <w:bookmarkStart w:id="4113" w:name="_Toc12690"/>
      <w:bookmarkStart w:id="4114" w:name="_Toc24611"/>
      <w:bookmarkStart w:id="4115" w:name="_Toc14829"/>
      <w:bookmarkStart w:id="4116" w:name="_Toc15350"/>
      <w:bookmarkStart w:id="4117" w:name="_Toc5801"/>
      <w:bookmarkStart w:id="4118" w:name="_Toc9381"/>
      <w:bookmarkStart w:id="4119" w:name="_Toc24390"/>
      <w:bookmarkStart w:id="4120" w:name="_Toc22132"/>
      <w:bookmarkStart w:id="4121" w:name="_Toc26316"/>
      <w:bookmarkStart w:id="4122" w:name="_Toc15938"/>
      <w:bookmarkStart w:id="4123" w:name="_Toc22243"/>
      <w:bookmarkStart w:id="4124" w:name="_Toc11315"/>
      <w:bookmarkStart w:id="4125" w:name="_Toc9171"/>
      <w:r>
        <w:rPr>
          <w:rFonts w:hint="eastAsia" w:ascii="宋体" w:hAnsi="宋体" w:eastAsia="宋体" w:cs="宋体"/>
          <w:color w:val="auto"/>
          <w:sz w:val="24"/>
          <w:szCs w:val="24"/>
          <w:highlight w:val="none"/>
        </w:rPr>
        <w:t>附件9：预付款担保格式</w:t>
      </w:r>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p>
    <w:p w14:paraId="29C677D7">
      <w:pPr>
        <w:spacing w:line="240" w:lineRule="auto"/>
        <w:jc w:val="left"/>
        <w:outlineLvl w:val="0"/>
        <w:rPr>
          <w:rFonts w:hint="eastAsia" w:ascii="宋体" w:hAnsi="宋体" w:eastAsia="宋体" w:cs="宋体"/>
          <w:color w:val="auto"/>
          <w:sz w:val="24"/>
          <w:szCs w:val="24"/>
          <w:highlight w:val="none"/>
        </w:rPr>
      </w:pPr>
      <w:bookmarkStart w:id="4126" w:name="_Toc10872"/>
      <w:bookmarkStart w:id="4127" w:name="_Toc1047"/>
      <w:bookmarkStart w:id="4128" w:name="_Toc12172"/>
      <w:bookmarkStart w:id="4129" w:name="_Toc11223"/>
      <w:bookmarkStart w:id="4130" w:name="_Toc17306"/>
      <w:bookmarkStart w:id="4131" w:name="_Toc31046"/>
      <w:bookmarkStart w:id="4132" w:name="_Toc1379"/>
      <w:bookmarkStart w:id="4133" w:name="_Toc20071"/>
      <w:bookmarkStart w:id="4134" w:name="_Toc28426"/>
      <w:bookmarkStart w:id="4135" w:name="_Toc9695"/>
      <w:bookmarkStart w:id="4136" w:name="_Toc14134"/>
      <w:bookmarkStart w:id="4137" w:name="_Toc4793"/>
      <w:bookmarkStart w:id="4138" w:name="_Toc29772"/>
      <w:bookmarkStart w:id="4139" w:name="_Toc30146"/>
      <w:bookmarkStart w:id="4140" w:name="_Toc7091"/>
      <w:r>
        <w:rPr>
          <w:rFonts w:hint="eastAsia" w:ascii="宋体" w:hAnsi="宋体" w:eastAsia="宋体" w:cs="宋体"/>
          <w:color w:val="auto"/>
          <w:sz w:val="24"/>
          <w:szCs w:val="24"/>
          <w:highlight w:val="none"/>
        </w:rPr>
        <w:t>附件10：支付担保格式</w:t>
      </w:r>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p>
    <w:p w14:paraId="21E78584">
      <w:pPr>
        <w:spacing w:line="240" w:lineRule="auto"/>
        <w:jc w:val="left"/>
        <w:outlineLvl w:val="0"/>
        <w:rPr>
          <w:rFonts w:hint="eastAsia" w:ascii="宋体" w:hAnsi="宋体" w:eastAsia="宋体" w:cs="宋体"/>
          <w:color w:val="auto"/>
          <w:sz w:val="24"/>
          <w:szCs w:val="24"/>
          <w:highlight w:val="none"/>
        </w:rPr>
      </w:pPr>
      <w:bookmarkStart w:id="4141" w:name="_Toc12321"/>
      <w:bookmarkStart w:id="4142" w:name="_Toc20087"/>
      <w:bookmarkStart w:id="4143" w:name="_Toc4516"/>
      <w:bookmarkStart w:id="4144" w:name="_Toc29631"/>
      <w:bookmarkStart w:id="4145" w:name="_Toc20024"/>
      <w:bookmarkStart w:id="4146" w:name="_Toc5974"/>
      <w:bookmarkStart w:id="4147" w:name="_Toc20585"/>
      <w:bookmarkStart w:id="4148" w:name="_Toc797"/>
      <w:bookmarkStart w:id="4149" w:name="_Toc26179"/>
      <w:bookmarkStart w:id="4150" w:name="_Toc21914"/>
      <w:bookmarkStart w:id="4151" w:name="_Toc1889"/>
      <w:bookmarkStart w:id="4152" w:name="_Toc19524"/>
      <w:bookmarkStart w:id="4153" w:name="_Toc7037"/>
      <w:bookmarkStart w:id="4154" w:name="_Toc24252"/>
      <w:bookmarkStart w:id="4155" w:name="_Toc16275"/>
      <w:r>
        <w:rPr>
          <w:rFonts w:hint="eastAsia" w:ascii="宋体" w:hAnsi="宋体" w:eastAsia="宋体" w:cs="宋体"/>
          <w:color w:val="auto"/>
          <w:sz w:val="24"/>
          <w:szCs w:val="24"/>
          <w:highlight w:val="none"/>
        </w:rPr>
        <w:t>附件11：暂估价一览表</w:t>
      </w:r>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p>
    <w:p w14:paraId="1160E52B">
      <w:pPr>
        <w:widowControl/>
        <w:spacing w:line="240" w:lineRule="auto"/>
        <w:jc w:val="left"/>
        <w:rPr>
          <w:rFonts w:hint="eastAsia" w:ascii="宋体" w:hAnsi="宋体" w:eastAsia="宋体" w:cs="宋体"/>
          <w:color w:val="auto"/>
          <w:sz w:val="24"/>
          <w:szCs w:val="24"/>
          <w:highlight w:val="none"/>
        </w:rPr>
        <w:sectPr>
          <w:pgSz w:w="11906" w:h="16838"/>
          <w:pgMar w:top="1418" w:right="1555" w:bottom="1418" w:left="1531" w:header="720" w:footer="720" w:gutter="0"/>
          <w:pgNumType w:fmt="decimal"/>
          <w:cols w:space="720" w:num="1"/>
          <w:docGrid w:type="lines" w:linePitch="312" w:charSpace="0"/>
        </w:sectPr>
      </w:pPr>
    </w:p>
    <w:p w14:paraId="35F12C19">
      <w:pPr>
        <w:spacing w:before="156" w:beforeLines="50" w:after="156" w:afterLines="50" w:line="240" w:lineRule="auto"/>
        <w:jc w:val="center"/>
        <w:outlineLvl w:val="0"/>
        <w:rPr>
          <w:rFonts w:hint="eastAsia" w:ascii="宋体" w:hAnsi="宋体" w:eastAsia="宋体" w:cs="宋体"/>
          <w:color w:val="auto"/>
          <w:sz w:val="24"/>
          <w:szCs w:val="24"/>
          <w:highlight w:val="none"/>
        </w:rPr>
      </w:pPr>
      <w:bookmarkStart w:id="4156" w:name="_Toc26600"/>
      <w:bookmarkStart w:id="4157" w:name="_Toc21583"/>
      <w:bookmarkStart w:id="4158" w:name="_Toc464"/>
      <w:bookmarkStart w:id="4159" w:name="_Toc32565"/>
      <w:bookmarkStart w:id="4160" w:name="_Toc10966"/>
      <w:bookmarkStart w:id="4161" w:name="_Toc5188"/>
      <w:bookmarkStart w:id="4162" w:name="_Toc30166"/>
      <w:bookmarkStart w:id="4163" w:name="_Toc13589"/>
      <w:bookmarkStart w:id="4164" w:name="_Toc16184"/>
      <w:bookmarkStart w:id="4165" w:name="_Toc5959"/>
      <w:bookmarkStart w:id="4166" w:name="_Toc12225"/>
      <w:bookmarkStart w:id="4167" w:name="_Toc735"/>
      <w:bookmarkStart w:id="4168" w:name="_Toc25333"/>
      <w:bookmarkStart w:id="4169" w:name="_Toc8771"/>
      <w:bookmarkStart w:id="4170" w:name="_Toc30529"/>
      <w:r>
        <w:rPr>
          <w:rFonts w:hint="eastAsia" w:ascii="宋体" w:hAnsi="宋体" w:eastAsia="宋体" w:cs="宋体"/>
          <w:color w:val="auto"/>
          <w:sz w:val="24"/>
          <w:szCs w:val="24"/>
          <w:highlight w:val="none"/>
        </w:rPr>
        <w:t>附件1：承包人承揽工程项目一览表</w:t>
      </w:r>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p>
    <w:tbl>
      <w:tblPr>
        <w:tblStyle w:val="28"/>
        <w:tblW w:w="14601" w:type="dxa"/>
        <w:tblInd w:w="-318" w:type="dxa"/>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3433EDAB">
        <w:tc>
          <w:tcPr>
            <w:tcW w:w="1277" w:type="dxa"/>
            <w:tcBorders>
              <w:top w:val="single" w:color="auto" w:sz="12" w:space="0"/>
              <w:left w:val="single" w:color="auto" w:sz="12" w:space="0"/>
              <w:bottom w:val="double" w:color="auto" w:sz="2" w:space="0"/>
              <w:right w:val="single" w:color="auto" w:sz="6" w:space="0"/>
            </w:tcBorders>
            <w:noWrap w:val="0"/>
            <w:vAlign w:val="center"/>
          </w:tcPr>
          <w:p w14:paraId="0EFA81B8">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单位工程名称</w:t>
            </w:r>
          </w:p>
        </w:tc>
        <w:tc>
          <w:tcPr>
            <w:tcW w:w="1843" w:type="dxa"/>
            <w:tcBorders>
              <w:top w:val="single" w:color="auto" w:sz="12" w:space="0"/>
              <w:left w:val="single" w:color="auto" w:sz="6" w:space="0"/>
              <w:bottom w:val="double" w:color="auto" w:sz="2" w:space="0"/>
              <w:right w:val="single" w:color="auto" w:sz="6" w:space="0"/>
            </w:tcBorders>
            <w:noWrap w:val="0"/>
            <w:vAlign w:val="center"/>
          </w:tcPr>
          <w:p w14:paraId="0DF52622">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建设规模</w:t>
            </w:r>
          </w:p>
        </w:tc>
        <w:tc>
          <w:tcPr>
            <w:tcW w:w="1417" w:type="dxa"/>
            <w:tcBorders>
              <w:top w:val="single" w:color="auto" w:sz="12" w:space="0"/>
              <w:left w:val="single" w:color="auto" w:sz="6" w:space="0"/>
              <w:bottom w:val="double" w:color="auto" w:sz="2" w:space="0"/>
              <w:right w:val="single" w:color="auto" w:sz="6" w:space="0"/>
            </w:tcBorders>
            <w:noWrap w:val="0"/>
            <w:vAlign w:val="center"/>
          </w:tcPr>
          <w:p w14:paraId="1F5342A3">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建筑面积</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平方米</w:t>
            </w:r>
            <w:r>
              <w:rPr>
                <w:rFonts w:hint="eastAsia" w:ascii="宋体" w:hAnsi="宋体" w:cs="宋体"/>
                <w:color w:val="auto"/>
                <w:sz w:val="24"/>
                <w:szCs w:val="24"/>
                <w:highlight w:val="none"/>
                <w:lang w:eastAsia="zh-CN"/>
              </w:rPr>
              <w:t>）</w:t>
            </w:r>
          </w:p>
        </w:tc>
        <w:tc>
          <w:tcPr>
            <w:tcW w:w="2410" w:type="dxa"/>
            <w:tcBorders>
              <w:top w:val="single" w:color="auto" w:sz="12" w:space="0"/>
              <w:left w:val="single" w:color="auto" w:sz="6" w:space="0"/>
              <w:bottom w:val="double" w:color="auto" w:sz="2" w:space="0"/>
              <w:right w:val="single" w:color="auto" w:sz="6" w:space="0"/>
            </w:tcBorders>
            <w:noWrap w:val="0"/>
            <w:vAlign w:val="center"/>
          </w:tcPr>
          <w:p w14:paraId="7110ED5D">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结构形式</w:t>
            </w:r>
          </w:p>
        </w:tc>
        <w:tc>
          <w:tcPr>
            <w:tcW w:w="850" w:type="dxa"/>
            <w:tcBorders>
              <w:top w:val="single" w:color="auto" w:sz="12" w:space="0"/>
              <w:left w:val="single" w:color="auto" w:sz="6" w:space="0"/>
              <w:bottom w:val="double" w:color="auto" w:sz="2" w:space="0"/>
              <w:right w:val="single" w:color="auto" w:sz="6" w:space="0"/>
            </w:tcBorders>
            <w:noWrap w:val="0"/>
            <w:vAlign w:val="center"/>
          </w:tcPr>
          <w:p w14:paraId="00173F54">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层数</w:t>
            </w:r>
          </w:p>
        </w:tc>
        <w:tc>
          <w:tcPr>
            <w:tcW w:w="1560" w:type="dxa"/>
            <w:tcBorders>
              <w:top w:val="single" w:color="auto" w:sz="12" w:space="0"/>
              <w:left w:val="single" w:color="auto" w:sz="6" w:space="0"/>
              <w:bottom w:val="double" w:color="auto" w:sz="2" w:space="0"/>
              <w:right w:val="single" w:color="auto" w:sz="6" w:space="0"/>
            </w:tcBorders>
            <w:noWrap w:val="0"/>
            <w:vAlign w:val="center"/>
          </w:tcPr>
          <w:p w14:paraId="1D767EB3">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生产能力</w:t>
            </w:r>
          </w:p>
        </w:tc>
        <w:tc>
          <w:tcPr>
            <w:tcW w:w="2126" w:type="dxa"/>
            <w:tcBorders>
              <w:top w:val="single" w:color="auto" w:sz="12" w:space="0"/>
              <w:left w:val="single" w:color="auto" w:sz="6" w:space="0"/>
              <w:bottom w:val="double" w:color="auto" w:sz="2" w:space="0"/>
              <w:right w:val="single" w:color="auto" w:sz="6" w:space="0"/>
            </w:tcBorders>
            <w:noWrap w:val="0"/>
            <w:vAlign w:val="center"/>
          </w:tcPr>
          <w:p w14:paraId="5D36D627">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设备安装内容</w:t>
            </w:r>
          </w:p>
        </w:tc>
        <w:tc>
          <w:tcPr>
            <w:tcW w:w="1417" w:type="dxa"/>
            <w:tcBorders>
              <w:top w:val="single" w:color="auto" w:sz="12" w:space="0"/>
              <w:left w:val="single" w:color="auto" w:sz="6" w:space="0"/>
              <w:bottom w:val="double" w:color="auto" w:sz="2" w:space="0"/>
              <w:right w:val="single" w:color="auto" w:sz="6" w:space="0"/>
            </w:tcBorders>
            <w:noWrap w:val="0"/>
            <w:vAlign w:val="center"/>
          </w:tcPr>
          <w:p w14:paraId="223AB6F8">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合同价格（元）</w:t>
            </w:r>
          </w:p>
        </w:tc>
        <w:tc>
          <w:tcPr>
            <w:tcW w:w="851" w:type="dxa"/>
            <w:tcBorders>
              <w:top w:val="single" w:color="auto" w:sz="12" w:space="0"/>
              <w:left w:val="single" w:color="auto" w:sz="6" w:space="0"/>
              <w:bottom w:val="double" w:color="auto" w:sz="2" w:space="0"/>
              <w:right w:val="single" w:color="auto" w:sz="6" w:space="0"/>
            </w:tcBorders>
            <w:noWrap w:val="0"/>
            <w:vAlign w:val="center"/>
          </w:tcPr>
          <w:p w14:paraId="559F2B96">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开工日期</w:t>
            </w:r>
          </w:p>
        </w:tc>
        <w:tc>
          <w:tcPr>
            <w:tcW w:w="850" w:type="dxa"/>
            <w:tcBorders>
              <w:top w:val="single" w:color="auto" w:sz="12" w:space="0"/>
              <w:left w:val="single" w:color="auto" w:sz="6" w:space="0"/>
              <w:bottom w:val="double" w:color="auto" w:sz="2" w:space="0"/>
              <w:right w:val="single" w:color="auto" w:sz="12" w:space="0"/>
            </w:tcBorders>
            <w:noWrap w:val="0"/>
            <w:vAlign w:val="center"/>
          </w:tcPr>
          <w:p w14:paraId="712D24E9">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竣工日期</w:t>
            </w:r>
          </w:p>
        </w:tc>
      </w:tr>
      <w:tr w14:paraId="099B517B">
        <w:tblPrEx>
          <w:tblCellMar>
            <w:top w:w="0" w:type="dxa"/>
            <w:left w:w="28" w:type="dxa"/>
            <w:bottom w:w="0" w:type="dxa"/>
            <w:right w:w="28" w:type="dxa"/>
          </w:tblCellMar>
        </w:tblPrEx>
        <w:trPr>
          <w:trHeight w:val="567" w:hRule="atLeast"/>
        </w:trPr>
        <w:tc>
          <w:tcPr>
            <w:tcW w:w="1277" w:type="dxa"/>
            <w:tcBorders>
              <w:top w:val="double" w:color="auto" w:sz="2" w:space="0"/>
              <w:left w:val="single" w:color="auto" w:sz="12" w:space="0"/>
              <w:bottom w:val="single" w:color="auto" w:sz="6" w:space="0"/>
              <w:right w:val="single" w:color="auto" w:sz="6" w:space="0"/>
            </w:tcBorders>
            <w:noWrap w:val="0"/>
            <w:vAlign w:val="center"/>
          </w:tcPr>
          <w:p w14:paraId="0D9FE516">
            <w:pPr>
              <w:pStyle w:val="9"/>
              <w:keepNext/>
              <w:spacing w:line="240" w:lineRule="auto"/>
              <w:ind w:left="63" w:right="63"/>
              <w:rPr>
                <w:rFonts w:hint="eastAsia" w:ascii="宋体" w:hAnsi="宋体" w:eastAsia="宋体" w:cs="宋体"/>
                <w:color w:val="auto"/>
                <w:sz w:val="24"/>
                <w:szCs w:val="24"/>
                <w:highlight w:val="none"/>
              </w:rPr>
            </w:pPr>
          </w:p>
        </w:tc>
        <w:tc>
          <w:tcPr>
            <w:tcW w:w="1843" w:type="dxa"/>
            <w:tcBorders>
              <w:top w:val="double" w:color="auto" w:sz="2" w:space="0"/>
              <w:left w:val="single" w:color="auto" w:sz="6" w:space="0"/>
              <w:bottom w:val="single" w:color="auto" w:sz="6" w:space="0"/>
              <w:right w:val="single" w:color="auto" w:sz="6" w:space="0"/>
            </w:tcBorders>
            <w:noWrap w:val="0"/>
            <w:vAlign w:val="center"/>
          </w:tcPr>
          <w:p w14:paraId="0C998432">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double" w:color="auto" w:sz="2" w:space="0"/>
              <w:left w:val="single" w:color="auto" w:sz="6" w:space="0"/>
              <w:bottom w:val="single" w:color="auto" w:sz="6" w:space="0"/>
              <w:right w:val="single" w:color="auto" w:sz="6" w:space="0"/>
            </w:tcBorders>
            <w:noWrap w:val="0"/>
            <w:vAlign w:val="center"/>
          </w:tcPr>
          <w:p w14:paraId="1CA97EF9">
            <w:pPr>
              <w:pStyle w:val="9"/>
              <w:keepNext/>
              <w:spacing w:line="240" w:lineRule="auto"/>
              <w:ind w:left="63" w:right="63"/>
              <w:rPr>
                <w:rFonts w:hint="eastAsia" w:ascii="宋体" w:hAnsi="宋体" w:eastAsia="宋体" w:cs="宋体"/>
                <w:color w:val="auto"/>
                <w:sz w:val="24"/>
                <w:szCs w:val="24"/>
                <w:highlight w:val="none"/>
              </w:rPr>
            </w:pPr>
          </w:p>
        </w:tc>
        <w:tc>
          <w:tcPr>
            <w:tcW w:w="2410" w:type="dxa"/>
            <w:tcBorders>
              <w:top w:val="double" w:color="auto" w:sz="2" w:space="0"/>
              <w:left w:val="single" w:color="auto" w:sz="6" w:space="0"/>
              <w:bottom w:val="single" w:color="auto" w:sz="6" w:space="0"/>
              <w:right w:val="single" w:color="auto" w:sz="6" w:space="0"/>
            </w:tcBorders>
            <w:noWrap w:val="0"/>
            <w:vAlign w:val="center"/>
          </w:tcPr>
          <w:p w14:paraId="53C7F71E">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double" w:color="auto" w:sz="2" w:space="0"/>
              <w:left w:val="single" w:color="auto" w:sz="6" w:space="0"/>
              <w:bottom w:val="single" w:color="auto" w:sz="6" w:space="0"/>
              <w:right w:val="single" w:color="auto" w:sz="6" w:space="0"/>
            </w:tcBorders>
            <w:noWrap w:val="0"/>
            <w:vAlign w:val="center"/>
          </w:tcPr>
          <w:p w14:paraId="6C5C9941">
            <w:pPr>
              <w:pStyle w:val="9"/>
              <w:keepNext/>
              <w:spacing w:line="240" w:lineRule="auto"/>
              <w:ind w:left="63" w:right="63"/>
              <w:rPr>
                <w:rFonts w:hint="eastAsia" w:ascii="宋体" w:hAnsi="宋体" w:eastAsia="宋体" w:cs="宋体"/>
                <w:color w:val="auto"/>
                <w:sz w:val="24"/>
                <w:szCs w:val="24"/>
                <w:highlight w:val="none"/>
              </w:rPr>
            </w:pPr>
          </w:p>
        </w:tc>
        <w:tc>
          <w:tcPr>
            <w:tcW w:w="1560" w:type="dxa"/>
            <w:tcBorders>
              <w:top w:val="double" w:color="auto" w:sz="2" w:space="0"/>
              <w:left w:val="single" w:color="auto" w:sz="6" w:space="0"/>
              <w:bottom w:val="single" w:color="auto" w:sz="6" w:space="0"/>
              <w:right w:val="single" w:color="auto" w:sz="6" w:space="0"/>
            </w:tcBorders>
            <w:noWrap w:val="0"/>
            <w:vAlign w:val="center"/>
          </w:tcPr>
          <w:p w14:paraId="649C525D">
            <w:pPr>
              <w:pStyle w:val="9"/>
              <w:keepNext/>
              <w:spacing w:line="240" w:lineRule="auto"/>
              <w:ind w:left="63" w:right="63"/>
              <w:rPr>
                <w:rFonts w:hint="eastAsia" w:ascii="宋体" w:hAnsi="宋体" w:eastAsia="宋体" w:cs="宋体"/>
                <w:color w:val="auto"/>
                <w:sz w:val="24"/>
                <w:szCs w:val="24"/>
                <w:highlight w:val="none"/>
              </w:rPr>
            </w:pPr>
          </w:p>
        </w:tc>
        <w:tc>
          <w:tcPr>
            <w:tcW w:w="2126" w:type="dxa"/>
            <w:tcBorders>
              <w:top w:val="double" w:color="auto" w:sz="2" w:space="0"/>
              <w:left w:val="single" w:color="auto" w:sz="6" w:space="0"/>
              <w:bottom w:val="single" w:color="auto" w:sz="6" w:space="0"/>
              <w:right w:val="single" w:color="auto" w:sz="6" w:space="0"/>
            </w:tcBorders>
            <w:noWrap w:val="0"/>
            <w:vAlign w:val="center"/>
          </w:tcPr>
          <w:p w14:paraId="222A2652">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double" w:color="auto" w:sz="2" w:space="0"/>
              <w:left w:val="single" w:color="auto" w:sz="6" w:space="0"/>
              <w:bottom w:val="single" w:color="auto" w:sz="6" w:space="0"/>
              <w:right w:val="single" w:color="auto" w:sz="6" w:space="0"/>
            </w:tcBorders>
            <w:noWrap w:val="0"/>
            <w:vAlign w:val="center"/>
          </w:tcPr>
          <w:p w14:paraId="0B56025F">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double" w:color="auto" w:sz="2" w:space="0"/>
              <w:left w:val="single" w:color="auto" w:sz="6" w:space="0"/>
              <w:bottom w:val="single" w:color="auto" w:sz="6" w:space="0"/>
              <w:right w:val="single" w:color="auto" w:sz="6" w:space="0"/>
            </w:tcBorders>
            <w:noWrap w:val="0"/>
            <w:vAlign w:val="center"/>
          </w:tcPr>
          <w:p w14:paraId="7E97F25F">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double" w:color="auto" w:sz="2" w:space="0"/>
              <w:left w:val="single" w:color="auto" w:sz="6" w:space="0"/>
              <w:bottom w:val="single" w:color="auto" w:sz="6" w:space="0"/>
              <w:right w:val="single" w:color="auto" w:sz="12" w:space="0"/>
            </w:tcBorders>
            <w:noWrap w:val="0"/>
            <w:vAlign w:val="center"/>
          </w:tcPr>
          <w:p w14:paraId="70709507">
            <w:pPr>
              <w:pStyle w:val="9"/>
              <w:keepNext/>
              <w:spacing w:line="240" w:lineRule="auto"/>
              <w:ind w:left="63" w:right="63"/>
              <w:rPr>
                <w:rFonts w:hint="eastAsia" w:ascii="宋体" w:hAnsi="宋体" w:eastAsia="宋体" w:cs="宋体"/>
                <w:color w:val="auto"/>
                <w:sz w:val="24"/>
                <w:szCs w:val="24"/>
                <w:highlight w:val="none"/>
              </w:rPr>
            </w:pPr>
          </w:p>
        </w:tc>
      </w:tr>
      <w:tr w14:paraId="1CD133D0">
        <w:tblPrEx>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5711DF42">
            <w:pPr>
              <w:pStyle w:val="9"/>
              <w:keepNext/>
              <w:spacing w:line="240" w:lineRule="auto"/>
              <w:ind w:left="63" w:right="63"/>
              <w:rPr>
                <w:rFonts w:hint="eastAsia" w:ascii="宋体" w:hAnsi="宋体" w:eastAsia="宋体" w:cs="宋体"/>
                <w:color w:val="auto"/>
                <w:sz w:val="24"/>
                <w:szCs w:val="24"/>
                <w:highlight w:val="none"/>
              </w:rPr>
            </w:pPr>
          </w:p>
        </w:tc>
        <w:tc>
          <w:tcPr>
            <w:tcW w:w="1843" w:type="dxa"/>
            <w:tcBorders>
              <w:top w:val="nil"/>
              <w:left w:val="single" w:color="auto" w:sz="6" w:space="0"/>
              <w:bottom w:val="single" w:color="auto" w:sz="6" w:space="0"/>
              <w:right w:val="single" w:color="auto" w:sz="6" w:space="0"/>
            </w:tcBorders>
            <w:noWrap w:val="0"/>
            <w:vAlign w:val="center"/>
          </w:tcPr>
          <w:p w14:paraId="2912F983">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3263CB3C">
            <w:pPr>
              <w:pStyle w:val="9"/>
              <w:keepNext/>
              <w:spacing w:line="240" w:lineRule="auto"/>
              <w:ind w:left="63" w:right="63"/>
              <w:rPr>
                <w:rFonts w:hint="eastAsia" w:ascii="宋体" w:hAnsi="宋体" w:eastAsia="宋体" w:cs="宋体"/>
                <w:color w:val="auto"/>
                <w:sz w:val="24"/>
                <w:szCs w:val="24"/>
                <w:highlight w:val="none"/>
              </w:rPr>
            </w:pPr>
          </w:p>
        </w:tc>
        <w:tc>
          <w:tcPr>
            <w:tcW w:w="2410" w:type="dxa"/>
            <w:tcBorders>
              <w:top w:val="nil"/>
              <w:left w:val="single" w:color="auto" w:sz="6" w:space="0"/>
              <w:bottom w:val="single" w:color="auto" w:sz="6" w:space="0"/>
              <w:right w:val="single" w:color="auto" w:sz="6" w:space="0"/>
            </w:tcBorders>
            <w:noWrap w:val="0"/>
            <w:vAlign w:val="center"/>
          </w:tcPr>
          <w:p w14:paraId="32C421C2">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6" w:space="0"/>
            </w:tcBorders>
            <w:noWrap w:val="0"/>
            <w:vAlign w:val="center"/>
          </w:tcPr>
          <w:p w14:paraId="7D527FE1">
            <w:pPr>
              <w:pStyle w:val="9"/>
              <w:keepNext/>
              <w:spacing w:line="240" w:lineRule="auto"/>
              <w:ind w:left="63" w:right="63"/>
              <w:rPr>
                <w:rFonts w:hint="eastAsia" w:ascii="宋体" w:hAnsi="宋体" w:eastAsia="宋体" w:cs="宋体"/>
                <w:color w:val="auto"/>
                <w:sz w:val="24"/>
                <w:szCs w:val="24"/>
                <w:highlight w:val="none"/>
              </w:rPr>
            </w:pPr>
          </w:p>
        </w:tc>
        <w:tc>
          <w:tcPr>
            <w:tcW w:w="1560" w:type="dxa"/>
            <w:tcBorders>
              <w:top w:val="nil"/>
              <w:left w:val="single" w:color="auto" w:sz="6" w:space="0"/>
              <w:bottom w:val="single" w:color="auto" w:sz="6" w:space="0"/>
              <w:right w:val="single" w:color="auto" w:sz="6" w:space="0"/>
            </w:tcBorders>
            <w:noWrap w:val="0"/>
            <w:vAlign w:val="center"/>
          </w:tcPr>
          <w:p w14:paraId="71F951B2">
            <w:pPr>
              <w:pStyle w:val="9"/>
              <w:keepNext/>
              <w:spacing w:line="240" w:lineRule="auto"/>
              <w:ind w:left="63" w:right="63"/>
              <w:rPr>
                <w:rFonts w:hint="eastAsia" w:ascii="宋体" w:hAnsi="宋体" w:eastAsia="宋体" w:cs="宋体"/>
                <w:color w:val="auto"/>
                <w:sz w:val="24"/>
                <w:szCs w:val="24"/>
                <w:highlight w:val="none"/>
              </w:rPr>
            </w:pPr>
          </w:p>
        </w:tc>
        <w:tc>
          <w:tcPr>
            <w:tcW w:w="2126" w:type="dxa"/>
            <w:tcBorders>
              <w:top w:val="nil"/>
              <w:left w:val="single" w:color="auto" w:sz="6" w:space="0"/>
              <w:bottom w:val="single" w:color="auto" w:sz="6" w:space="0"/>
              <w:right w:val="single" w:color="auto" w:sz="6" w:space="0"/>
            </w:tcBorders>
            <w:noWrap w:val="0"/>
            <w:vAlign w:val="center"/>
          </w:tcPr>
          <w:p w14:paraId="69C82FB5">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5420B7B3">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center"/>
          </w:tcPr>
          <w:p w14:paraId="0ACDB409">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12" w:space="0"/>
            </w:tcBorders>
            <w:noWrap w:val="0"/>
            <w:vAlign w:val="center"/>
          </w:tcPr>
          <w:p w14:paraId="6A1FDCB2">
            <w:pPr>
              <w:pStyle w:val="9"/>
              <w:keepNext/>
              <w:spacing w:line="240" w:lineRule="auto"/>
              <w:ind w:left="63" w:right="63"/>
              <w:rPr>
                <w:rFonts w:hint="eastAsia" w:ascii="宋体" w:hAnsi="宋体" w:eastAsia="宋体" w:cs="宋体"/>
                <w:color w:val="auto"/>
                <w:sz w:val="24"/>
                <w:szCs w:val="24"/>
                <w:highlight w:val="none"/>
              </w:rPr>
            </w:pPr>
          </w:p>
        </w:tc>
      </w:tr>
      <w:tr w14:paraId="759F29DD">
        <w:tblPrEx>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1796338D">
            <w:pPr>
              <w:pStyle w:val="9"/>
              <w:keepNext/>
              <w:spacing w:line="240" w:lineRule="auto"/>
              <w:ind w:left="63" w:right="63"/>
              <w:rPr>
                <w:rFonts w:hint="eastAsia" w:ascii="宋体" w:hAnsi="宋体" w:eastAsia="宋体" w:cs="宋体"/>
                <w:color w:val="auto"/>
                <w:sz w:val="24"/>
                <w:szCs w:val="24"/>
                <w:highlight w:val="none"/>
              </w:rPr>
            </w:pPr>
          </w:p>
        </w:tc>
        <w:tc>
          <w:tcPr>
            <w:tcW w:w="1843" w:type="dxa"/>
            <w:tcBorders>
              <w:top w:val="nil"/>
              <w:left w:val="single" w:color="auto" w:sz="6" w:space="0"/>
              <w:bottom w:val="single" w:color="auto" w:sz="6" w:space="0"/>
              <w:right w:val="single" w:color="auto" w:sz="6" w:space="0"/>
            </w:tcBorders>
            <w:noWrap w:val="0"/>
            <w:vAlign w:val="center"/>
          </w:tcPr>
          <w:p w14:paraId="5EAC5D3F">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7AAB0E0A">
            <w:pPr>
              <w:pStyle w:val="9"/>
              <w:keepNext/>
              <w:spacing w:line="240" w:lineRule="auto"/>
              <w:ind w:left="63" w:right="63"/>
              <w:rPr>
                <w:rFonts w:hint="eastAsia" w:ascii="宋体" w:hAnsi="宋体" w:eastAsia="宋体" w:cs="宋体"/>
                <w:color w:val="auto"/>
                <w:sz w:val="24"/>
                <w:szCs w:val="24"/>
                <w:highlight w:val="none"/>
              </w:rPr>
            </w:pPr>
          </w:p>
        </w:tc>
        <w:tc>
          <w:tcPr>
            <w:tcW w:w="2410" w:type="dxa"/>
            <w:tcBorders>
              <w:top w:val="nil"/>
              <w:left w:val="single" w:color="auto" w:sz="6" w:space="0"/>
              <w:bottom w:val="single" w:color="auto" w:sz="6" w:space="0"/>
              <w:right w:val="single" w:color="auto" w:sz="6" w:space="0"/>
            </w:tcBorders>
            <w:noWrap w:val="0"/>
            <w:vAlign w:val="center"/>
          </w:tcPr>
          <w:p w14:paraId="4A77B617">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6" w:space="0"/>
            </w:tcBorders>
            <w:noWrap w:val="0"/>
            <w:vAlign w:val="center"/>
          </w:tcPr>
          <w:p w14:paraId="42DF0EC1">
            <w:pPr>
              <w:pStyle w:val="9"/>
              <w:keepNext/>
              <w:spacing w:line="240" w:lineRule="auto"/>
              <w:ind w:left="63" w:right="63"/>
              <w:rPr>
                <w:rFonts w:hint="eastAsia" w:ascii="宋体" w:hAnsi="宋体" w:eastAsia="宋体" w:cs="宋体"/>
                <w:color w:val="auto"/>
                <w:sz w:val="24"/>
                <w:szCs w:val="24"/>
                <w:highlight w:val="none"/>
              </w:rPr>
            </w:pPr>
          </w:p>
        </w:tc>
        <w:tc>
          <w:tcPr>
            <w:tcW w:w="1560" w:type="dxa"/>
            <w:tcBorders>
              <w:top w:val="nil"/>
              <w:left w:val="single" w:color="auto" w:sz="6" w:space="0"/>
              <w:bottom w:val="single" w:color="auto" w:sz="6" w:space="0"/>
              <w:right w:val="single" w:color="auto" w:sz="6" w:space="0"/>
            </w:tcBorders>
            <w:noWrap w:val="0"/>
            <w:vAlign w:val="center"/>
          </w:tcPr>
          <w:p w14:paraId="3645B433">
            <w:pPr>
              <w:pStyle w:val="9"/>
              <w:keepNext/>
              <w:spacing w:line="240" w:lineRule="auto"/>
              <w:ind w:left="63" w:right="63"/>
              <w:rPr>
                <w:rFonts w:hint="eastAsia" w:ascii="宋体" w:hAnsi="宋体" w:eastAsia="宋体" w:cs="宋体"/>
                <w:color w:val="auto"/>
                <w:sz w:val="24"/>
                <w:szCs w:val="24"/>
                <w:highlight w:val="none"/>
              </w:rPr>
            </w:pPr>
          </w:p>
        </w:tc>
        <w:tc>
          <w:tcPr>
            <w:tcW w:w="2126" w:type="dxa"/>
            <w:tcBorders>
              <w:top w:val="nil"/>
              <w:left w:val="single" w:color="auto" w:sz="6" w:space="0"/>
              <w:bottom w:val="single" w:color="auto" w:sz="6" w:space="0"/>
              <w:right w:val="single" w:color="auto" w:sz="6" w:space="0"/>
            </w:tcBorders>
            <w:noWrap w:val="0"/>
            <w:vAlign w:val="center"/>
          </w:tcPr>
          <w:p w14:paraId="08B096E1">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1CA2D34A">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center"/>
          </w:tcPr>
          <w:p w14:paraId="623A811F">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12" w:space="0"/>
            </w:tcBorders>
            <w:noWrap w:val="0"/>
            <w:vAlign w:val="center"/>
          </w:tcPr>
          <w:p w14:paraId="3DCB8A02">
            <w:pPr>
              <w:pStyle w:val="9"/>
              <w:keepNext/>
              <w:spacing w:line="240" w:lineRule="auto"/>
              <w:ind w:left="63" w:right="63"/>
              <w:rPr>
                <w:rFonts w:hint="eastAsia" w:ascii="宋体" w:hAnsi="宋体" w:eastAsia="宋体" w:cs="宋体"/>
                <w:color w:val="auto"/>
                <w:sz w:val="24"/>
                <w:szCs w:val="24"/>
                <w:highlight w:val="none"/>
              </w:rPr>
            </w:pPr>
          </w:p>
        </w:tc>
      </w:tr>
      <w:tr w14:paraId="706B7405">
        <w:tblPrEx>
          <w:tblCellMar>
            <w:top w:w="0" w:type="dxa"/>
            <w:left w:w="28" w:type="dxa"/>
            <w:bottom w:w="0" w:type="dxa"/>
            <w:right w:w="28" w:type="dxa"/>
          </w:tblCellMar>
        </w:tblPrEx>
        <w:trPr>
          <w:trHeight w:val="567" w:hRule="atLeast"/>
        </w:trPr>
        <w:tc>
          <w:tcPr>
            <w:tcW w:w="1277" w:type="dxa"/>
            <w:tcBorders>
              <w:top w:val="single" w:color="auto" w:sz="6" w:space="0"/>
              <w:left w:val="single" w:color="auto" w:sz="12" w:space="0"/>
              <w:bottom w:val="single" w:color="auto" w:sz="6" w:space="0"/>
              <w:right w:val="single" w:color="auto" w:sz="6" w:space="0"/>
            </w:tcBorders>
            <w:noWrap w:val="0"/>
            <w:vAlign w:val="center"/>
          </w:tcPr>
          <w:p w14:paraId="5865F935">
            <w:pPr>
              <w:pStyle w:val="9"/>
              <w:keepNext/>
              <w:spacing w:line="240" w:lineRule="auto"/>
              <w:ind w:left="63" w:right="63"/>
              <w:rPr>
                <w:rFonts w:hint="eastAsia" w:ascii="宋体" w:hAnsi="宋体" w:eastAsia="宋体" w:cs="宋体"/>
                <w:color w:val="auto"/>
                <w:sz w:val="24"/>
                <w:szCs w:val="24"/>
                <w:highlight w:val="none"/>
              </w:rPr>
            </w:pPr>
          </w:p>
        </w:tc>
        <w:tc>
          <w:tcPr>
            <w:tcW w:w="1843" w:type="dxa"/>
            <w:tcBorders>
              <w:top w:val="single" w:color="auto" w:sz="6" w:space="0"/>
              <w:left w:val="single" w:color="auto" w:sz="6" w:space="0"/>
              <w:bottom w:val="single" w:color="auto" w:sz="6" w:space="0"/>
              <w:right w:val="single" w:color="auto" w:sz="6" w:space="0"/>
            </w:tcBorders>
            <w:noWrap w:val="0"/>
            <w:vAlign w:val="center"/>
          </w:tcPr>
          <w:p w14:paraId="3C71C642">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21959339">
            <w:pPr>
              <w:pStyle w:val="9"/>
              <w:keepNext/>
              <w:spacing w:line="240" w:lineRule="auto"/>
              <w:ind w:left="63" w:right="63"/>
              <w:rPr>
                <w:rFonts w:hint="eastAsia" w:ascii="宋体" w:hAnsi="宋体" w:eastAsia="宋体" w:cs="宋体"/>
                <w:color w:val="auto"/>
                <w:sz w:val="24"/>
                <w:szCs w:val="24"/>
                <w:highlight w:val="none"/>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14:paraId="6E8F4C3C">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564DBBDF">
            <w:pPr>
              <w:pStyle w:val="9"/>
              <w:keepNext/>
              <w:spacing w:line="240" w:lineRule="auto"/>
              <w:ind w:left="63" w:right="63"/>
              <w:rPr>
                <w:rFonts w:hint="eastAsia" w:ascii="宋体" w:hAnsi="宋体" w:eastAsia="宋体" w:cs="宋体"/>
                <w:color w:val="auto"/>
                <w:sz w:val="24"/>
                <w:szCs w:val="24"/>
                <w:highlight w:val="none"/>
              </w:rPr>
            </w:pPr>
          </w:p>
        </w:tc>
        <w:tc>
          <w:tcPr>
            <w:tcW w:w="1560" w:type="dxa"/>
            <w:tcBorders>
              <w:top w:val="single" w:color="auto" w:sz="6" w:space="0"/>
              <w:left w:val="single" w:color="auto" w:sz="6" w:space="0"/>
              <w:bottom w:val="single" w:color="auto" w:sz="6" w:space="0"/>
              <w:right w:val="single" w:color="auto" w:sz="6" w:space="0"/>
            </w:tcBorders>
            <w:noWrap w:val="0"/>
            <w:vAlign w:val="center"/>
          </w:tcPr>
          <w:p w14:paraId="5A59B0F8">
            <w:pPr>
              <w:pStyle w:val="9"/>
              <w:keepNext/>
              <w:spacing w:line="240" w:lineRule="auto"/>
              <w:ind w:left="63" w:right="63"/>
              <w:rPr>
                <w:rFonts w:hint="eastAsia" w:ascii="宋体" w:hAnsi="宋体" w:eastAsia="宋体" w:cs="宋体"/>
                <w:color w:val="auto"/>
                <w:sz w:val="24"/>
                <w:szCs w:val="24"/>
                <w:highlight w:val="none"/>
              </w:rPr>
            </w:pPr>
          </w:p>
        </w:tc>
        <w:tc>
          <w:tcPr>
            <w:tcW w:w="2126" w:type="dxa"/>
            <w:tcBorders>
              <w:top w:val="single" w:color="auto" w:sz="6" w:space="0"/>
              <w:left w:val="single" w:color="auto" w:sz="6" w:space="0"/>
              <w:bottom w:val="single" w:color="auto" w:sz="6" w:space="0"/>
              <w:right w:val="single" w:color="auto" w:sz="6" w:space="0"/>
            </w:tcBorders>
            <w:noWrap w:val="0"/>
            <w:vAlign w:val="center"/>
          </w:tcPr>
          <w:p w14:paraId="1A7008C4">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18968DC4">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660D0DD8">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12" w:space="0"/>
            </w:tcBorders>
            <w:noWrap w:val="0"/>
            <w:vAlign w:val="center"/>
          </w:tcPr>
          <w:p w14:paraId="4AE75E76">
            <w:pPr>
              <w:pStyle w:val="9"/>
              <w:keepNext/>
              <w:spacing w:line="240" w:lineRule="auto"/>
              <w:ind w:left="63" w:right="63"/>
              <w:rPr>
                <w:rFonts w:hint="eastAsia" w:ascii="宋体" w:hAnsi="宋体" w:eastAsia="宋体" w:cs="宋体"/>
                <w:color w:val="auto"/>
                <w:sz w:val="24"/>
                <w:szCs w:val="24"/>
                <w:highlight w:val="none"/>
              </w:rPr>
            </w:pPr>
          </w:p>
        </w:tc>
      </w:tr>
      <w:tr w14:paraId="35603370">
        <w:tblPrEx>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2FF6BF20">
            <w:pPr>
              <w:pStyle w:val="9"/>
              <w:keepNext/>
              <w:spacing w:line="240" w:lineRule="auto"/>
              <w:ind w:left="63" w:right="63"/>
              <w:rPr>
                <w:rFonts w:hint="eastAsia" w:ascii="宋体" w:hAnsi="宋体" w:eastAsia="宋体" w:cs="宋体"/>
                <w:color w:val="auto"/>
                <w:sz w:val="24"/>
                <w:szCs w:val="24"/>
                <w:highlight w:val="none"/>
              </w:rPr>
            </w:pPr>
          </w:p>
        </w:tc>
        <w:tc>
          <w:tcPr>
            <w:tcW w:w="1843" w:type="dxa"/>
            <w:tcBorders>
              <w:top w:val="nil"/>
              <w:left w:val="single" w:color="auto" w:sz="6" w:space="0"/>
              <w:bottom w:val="single" w:color="auto" w:sz="6" w:space="0"/>
              <w:right w:val="single" w:color="auto" w:sz="6" w:space="0"/>
            </w:tcBorders>
            <w:noWrap w:val="0"/>
            <w:vAlign w:val="center"/>
          </w:tcPr>
          <w:p w14:paraId="0784A750">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356A0D07">
            <w:pPr>
              <w:pStyle w:val="9"/>
              <w:keepNext/>
              <w:spacing w:line="240" w:lineRule="auto"/>
              <w:ind w:left="63" w:right="63"/>
              <w:rPr>
                <w:rFonts w:hint="eastAsia" w:ascii="宋体" w:hAnsi="宋体" w:eastAsia="宋体" w:cs="宋体"/>
                <w:color w:val="auto"/>
                <w:sz w:val="24"/>
                <w:szCs w:val="24"/>
                <w:highlight w:val="none"/>
              </w:rPr>
            </w:pPr>
          </w:p>
        </w:tc>
        <w:tc>
          <w:tcPr>
            <w:tcW w:w="2410" w:type="dxa"/>
            <w:tcBorders>
              <w:top w:val="nil"/>
              <w:left w:val="single" w:color="auto" w:sz="6" w:space="0"/>
              <w:bottom w:val="single" w:color="auto" w:sz="6" w:space="0"/>
              <w:right w:val="single" w:color="auto" w:sz="6" w:space="0"/>
            </w:tcBorders>
            <w:noWrap w:val="0"/>
            <w:vAlign w:val="center"/>
          </w:tcPr>
          <w:p w14:paraId="41FC8A26">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6" w:space="0"/>
            </w:tcBorders>
            <w:noWrap w:val="0"/>
            <w:vAlign w:val="center"/>
          </w:tcPr>
          <w:p w14:paraId="7A1274EC">
            <w:pPr>
              <w:pStyle w:val="9"/>
              <w:keepNext/>
              <w:spacing w:line="240" w:lineRule="auto"/>
              <w:ind w:left="63" w:right="63"/>
              <w:rPr>
                <w:rFonts w:hint="eastAsia" w:ascii="宋体" w:hAnsi="宋体" w:eastAsia="宋体" w:cs="宋体"/>
                <w:color w:val="auto"/>
                <w:sz w:val="24"/>
                <w:szCs w:val="24"/>
                <w:highlight w:val="none"/>
              </w:rPr>
            </w:pPr>
          </w:p>
        </w:tc>
        <w:tc>
          <w:tcPr>
            <w:tcW w:w="1560" w:type="dxa"/>
            <w:tcBorders>
              <w:top w:val="nil"/>
              <w:left w:val="single" w:color="auto" w:sz="6" w:space="0"/>
              <w:bottom w:val="single" w:color="auto" w:sz="6" w:space="0"/>
              <w:right w:val="single" w:color="auto" w:sz="6" w:space="0"/>
            </w:tcBorders>
            <w:noWrap w:val="0"/>
            <w:vAlign w:val="center"/>
          </w:tcPr>
          <w:p w14:paraId="326A5451">
            <w:pPr>
              <w:pStyle w:val="9"/>
              <w:keepNext/>
              <w:spacing w:line="240" w:lineRule="auto"/>
              <w:ind w:left="63" w:right="63"/>
              <w:rPr>
                <w:rFonts w:hint="eastAsia" w:ascii="宋体" w:hAnsi="宋体" w:eastAsia="宋体" w:cs="宋体"/>
                <w:color w:val="auto"/>
                <w:sz w:val="24"/>
                <w:szCs w:val="24"/>
                <w:highlight w:val="none"/>
              </w:rPr>
            </w:pPr>
          </w:p>
        </w:tc>
        <w:tc>
          <w:tcPr>
            <w:tcW w:w="2126" w:type="dxa"/>
            <w:tcBorders>
              <w:top w:val="nil"/>
              <w:left w:val="single" w:color="auto" w:sz="6" w:space="0"/>
              <w:bottom w:val="single" w:color="auto" w:sz="6" w:space="0"/>
              <w:right w:val="single" w:color="auto" w:sz="6" w:space="0"/>
            </w:tcBorders>
            <w:noWrap w:val="0"/>
            <w:vAlign w:val="center"/>
          </w:tcPr>
          <w:p w14:paraId="1221CAF0">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7C361609">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center"/>
          </w:tcPr>
          <w:p w14:paraId="5C10CE97">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12" w:space="0"/>
            </w:tcBorders>
            <w:noWrap w:val="0"/>
            <w:vAlign w:val="center"/>
          </w:tcPr>
          <w:p w14:paraId="7D58634D">
            <w:pPr>
              <w:pStyle w:val="9"/>
              <w:keepNext/>
              <w:spacing w:line="240" w:lineRule="auto"/>
              <w:ind w:left="63" w:right="63"/>
              <w:rPr>
                <w:rFonts w:hint="eastAsia" w:ascii="宋体" w:hAnsi="宋体" w:eastAsia="宋体" w:cs="宋体"/>
                <w:color w:val="auto"/>
                <w:sz w:val="24"/>
                <w:szCs w:val="24"/>
                <w:highlight w:val="none"/>
              </w:rPr>
            </w:pPr>
          </w:p>
        </w:tc>
      </w:tr>
      <w:tr w14:paraId="6CF700DD">
        <w:tblPrEx>
          <w:tblCellMar>
            <w:top w:w="0" w:type="dxa"/>
            <w:left w:w="28" w:type="dxa"/>
            <w:bottom w:w="0" w:type="dxa"/>
            <w:right w:w="28" w:type="dxa"/>
          </w:tblCellMar>
        </w:tblPrEx>
        <w:trPr>
          <w:trHeight w:val="567" w:hRule="atLeast"/>
        </w:trPr>
        <w:tc>
          <w:tcPr>
            <w:tcW w:w="1277" w:type="dxa"/>
            <w:tcBorders>
              <w:top w:val="single" w:color="auto" w:sz="6" w:space="0"/>
              <w:left w:val="single" w:color="auto" w:sz="12" w:space="0"/>
              <w:bottom w:val="single" w:color="auto" w:sz="6" w:space="0"/>
              <w:right w:val="single" w:color="auto" w:sz="6" w:space="0"/>
            </w:tcBorders>
            <w:noWrap w:val="0"/>
            <w:vAlign w:val="center"/>
          </w:tcPr>
          <w:p w14:paraId="56C1A7CE">
            <w:pPr>
              <w:pStyle w:val="9"/>
              <w:keepNext/>
              <w:spacing w:line="240" w:lineRule="auto"/>
              <w:ind w:left="63" w:right="63"/>
              <w:rPr>
                <w:rFonts w:hint="eastAsia" w:ascii="宋体" w:hAnsi="宋体" w:eastAsia="宋体" w:cs="宋体"/>
                <w:color w:val="auto"/>
                <w:sz w:val="24"/>
                <w:szCs w:val="24"/>
                <w:highlight w:val="none"/>
              </w:rPr>
            </w:pPr>
          </w:p>
        </w:tc>
        <w:tc>
          <w:tcPr>
            <w:tcW w:w="1843" w:type="dxa"/>
            <w:tcBorders>
              <w:top w:val="single" w:color="auto" w:sz="6" w:space="0"/>
              <w:left w:val="single" w:color="auto" w:sz="6" w:space="0"/>
              <w:bottom w:val="single" w:color="auto" w:sz="6" w:space="0"/>
              <w:right w:val="single" w:color="auto" w:sz="6" w:space="0"/>
            </w:tcBorders>
            <w:noWrap w:val="0"/>
            <w:vAlign w:val="center"/>
          </w:tcPr>
          <w:p w14:paraId="41AF2F2B">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17F47CF3">
            <w:pPr>
              <w:pStyle w:val="9"/>
              <w:keepNext/>
              <w:spacing w:line="240" w:lineRule="auto"/>
              <w:ind w:left="63" w:right="63"/>
              <w:rPr>
                <w:rFonts w:hint="eastAsia" w:ascii="宋体" w:hAnsi="宋体" w:eastAsia="宋体" w:cs="宋体"/>
                <w:color w:val="auto"/>
                <w:sz w:val="24"/>
                <w:szCs w:val="24"/>
                <w:highlight w:val="none"/>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14:paraId="2C982C29">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5189BADA">
            <w:pPr>
              <w:pStyle w:val="9"/>
              <w:keepNext/>
              <w:spacing w:line="240" w:lineRule="auto"/>
              <w:ind w:left="63" w:right="63"/>
              <w:rPr>
                <w:rFonts w:hint="eastAsia" w:ascii="宋体" w:hAnsi="宋体" w:eastAsia="宋体" w:cs="宋体"/>
                <w:color w:val="auto"/>
                <w:sz w:val="24"/>
                <w:szCs w:val="24"/>
                <w:highlight w:val="none"/>
              </w:rPr>
            </w:pPr>
          </w:p>
        </w:tc>
        <w:tc>
          <w:tcPr>
            <w:tcW w:w="1560" w:type="dxa"/>
            <w:tcBorders>
              <w:top w:val="single" w:color="auto" w:sz="6" w:space="0"/>
              <w:left w:val="single" w:color="auto" w:sz="6" w:space="0"/>
              <w:bottom w:val="single" w:color="auto" w:sz="6" w:space="0"/>
              <w:right w:val="single" w:color="auto" w:sz="6" w:space="0"/>
            </w:tcBorders>
            <w:noWrap w:val="0"/>
            <w:vAlign w:val="center"/>
          </w:tcPr>
          <w:p w14:paraId="0AB7E2DD">
            <w:pPr>
              <w:pStyle w:val="9"/>
              <w:keepNext/>
              <w:spacing w:line="240" w:lineRule="auto"/>
              <w:ind w:left="63" w:right="63"/>
              <w:rPr>
                <w:rFonts w:hint="eastAsia" w:ascii="宋体" w:hAnsi="宋体" w:eastAsia="宋体" w:cs="宋体"/>
                <w:color w:val="auto"/>
                <w:sz w:val="24"/>
                <w:szCs w:val="24"/>
                <w:highlight w:val="none"/>
              </w:rPr>
            </w:pPr>
          </w:p>
        </w:tc>
        <w:tc>
          <w:tcPr>
            <w:tcW w:w="2126" w:type="dxa"/>
            <w:tcBorders>
              <w:top w:val="single" w:color="auto" w:sz="6" w:space="0"/>
              <w:left w:val="single" w:color="auto" w:sz="6" w:space="0"/>
              <w:bottom w:val="single" w:color="auto" w:sz="6" w:space="0"/>
              <w:right w:val="single" w:color="auto" w:sz="6" w:space="0"/>
            </w:tcBorders>
            <w:noWrap w:val="0"/>
            <w:vAlign w:val="center"/>
          </w:tcPr>
          <w:p w14:paraId="3D9FA894">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58AF4F73">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792A219">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12" w:space="0"/>
            </w:tcBorders>
            <w:noWrap w:val="0"/>
            <w:vAlign w:val="center"/>
          </w:tcPr>
          <w:p w14:paraId="7CDE5B6C">
            <w:pPr>
              <w:pStyle w:val="9"/>
              <w:keepNext/>
              <w:spacing w:line="240" w:lineRule="auto"/>
              <w:ind w:left="63" w:right="63"/>
              <w:rPr>
                <w:rFonts w:hint="eastAsia" w:ascii="宋体" w:hAnsi="宋体" w:eastAsia="宋体" w:cs="宋体"/>
                <w:color w:val="auto"/>
                <w:sz w:val="24"/>
                <w:szCs w:val="24"/>
                <w:highlight w:val="none"/>
              </w:rPr>
            </w:pPr>
          </w:p>
        </w:tc>
      </w:tr>
      <w:tr w14:paraId="69E8A769">
        <w:tblPrEx>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4F6757E7">
            <w:pPr>
              <w:pStyle w:val="9"/>
              <w:keepNext/>
              <w:spacing w:line="240" w:lineRule="auto"/>
              <w:ind w:left="63" w:right="63"/>
              <w:rPr>
                <w:rFonts w:hint="eastAsia" w:ascii="宋体" w:hAnsi="宋体" w:eastAsia="宋体" w:cs="宋体"/>
                <w:color w:val="auto"/>
                <w:sz w:val="24"/>
                <w:szCs w:val="24"/>
                <w:highlight w:val="none"/>
              </w:rPr>
            </w:pPr>
          </w:p>
        </w:tc>
        <w:tc>
          <w:tcPr>
            <w:tcW w:w="1843" w:type="dxa"/>
            <w:tcBorders>
              <w:top w:val="nil"/>
              <w:left w:val="single" w:color="auto" w:sz="6" w:space="0"/>
              <w:bottom w:val="single" w:color="auto" w:sz="6" w:space="0"/>
              <w:right w:val="single" w:color="auto" w:sz="6" w:space="0"/>
            </w:tcBorders>
            <w:noWrap w:val="0"/>
            <w:vAlign w:val="center"/>
          </w:tcPr>
          <w:p w14:paraId="0C911EE4">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13BF5E6C">
            <w:pPr>
              <w:pStyle w:val="9"/>
              <w:keepNext/>
              <w:spacing w:line="240" w:lineRule="auto"/>
              <w:ind w:left="63" w:right="63"/>
              <w:rPr>
                <w:rFonts w:hint="eastAsia" w:ascii="宋体" w:hAnsi="宋体" w:eastAsia="宋体" w:cs="宋体"/>
                <w:color w:val="auto"/>
                <w:sz w:val="24"/>
                <w:szCs w:val="24"/>
                <w:highlight w:val="none"/>
              </w:rPr>
            </w:pPr>
          </w:p>
        </w:tc>
        <w:tc>
          <w:tcPr>
            <w:tcW w:w="2410" w:type="dxa"/>
            <w:tcBorders>
              <w:top w:val="nil"/>
              <w:left w:val="single" w:color="auto" w:sz="6" w:space="0"/>
              <w:bottom w:val="single" w:color="auto" w:sz="6" w:space="0"/>
              <w:right w:val="single" w:color="auto" w:sz="6" w:space="0"/>
            </w:tcBorders>
            <w:noWrap w:val="0"/>
            <w:vAlign w:val="center"/>
          </w:tcPr>
          <w:p w14:paraId="286CB33E">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6" w:space="0"/>
            </w:tcBorders>
            <w:noWrap w:val="0"/>
            <w:vAlign w:val="center"/>
          </w:tcPr>
          <w:p w14:paraId="501174EC">
            <w:pPr>
              <w:pStyle w:val="9"/>
              <w:keepNext/>
              <w:spacing w:line="240" w:lineRule="auto"/>
              <w:ind w:left="63" w:right="63"/>
              <w:rPr>
                <w:rFonts w:hint="eastAsia" w:ascii="宋体" w:hAnsi="宋体" w:eastAsia="宋体" w:cs="宋体"/>
                <w:color w:val="auto"/>
                <w:sz w:val="24"/>
                <w:szCs w:val="24"/>
                <w:highlight w:val="none"/>
              </w:rPr>
            </w:pPr>
          </w:p>
        </w:tc>
        <w:tc>
          <w:tcPr>
            <w:tcW w:w="1560" w:type="dxa"/>
            <w:tcBorders>
              <w:top w:val="nil"/>
              <w:left w:val="single" w:color="auto" w:sz="6" w:space="0"/>
              <w:bottom w:val="single" w:color="auto" w:sz="6" w:space="0"/>
              <w:right w:val="single" w:color="auto" w:sz="6" w:space="0"/>
            </w:tcBorders>
            <w:noWrap w:val="0"/>
            <w:vAlign w:val="center"/>
          </w:tcPr>
          <w:p w14:paraId="58775E11">
            <w:pPr>
              <w:pStyle w:val="9"/>
              <w:keepNext/>
              <w:spacing w:line="240" w:lineRule="auto"/>
              <w:ind w:left="63" w:right="63"/>
              <w:rPr>
                <w:rFonts w:hint="eastAsia" w:ascii="宋体" w:hAnsi="宋体" w:eastAsia="宋体" w:cs="宋体"/>
                <w:color w:val="auto"/>
                <w:sz w:val="24"/>
                <w:szCs w:val="24"/>
                <w:highlight w:val="none"/>
              </w:rPr>
            </w:pPr>
          </w:p>
        </w:tc>
        <w:tc>
          <w:tcPr>
            <w:tcW w:w="2126" w:type="dxa"/>
            <w:tcBorders>
              <w:top w:val="nil"/>
              <w:left w:val="single" w:color="auto" w:sz="6" w:space="0"/>
              <w:bottom w:val="single" w:color="auto" w:sz="6" w:space="0"/>
              <w:right w:val="single" w:color="auto" w:sz="6" w:space="0"/>
            </w:tcBorders>
            <w:noWrap w:val="0"/>
            <w:vAlign w:val="center"/>
          </w:tcPr>
          <w:p w14:paraId="207B92FE">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5D13FCEC">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center"/>
          </w:tcPr>
          <w:p w14:paraId="383127F3">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12" w:space="0"/>
            </w:tcBorders>
            <w:noWrap w:val="0"/>
            <w:vAlign w:val="center"/>
          </w:tcPr>
          <w:p w14:paraId="62FD9855">
            <w:pPr>
              <w:pStyle w:val="9"/>
              <w:keepNext/>
              <w:spacing w:line="240" w:lineRule="auto"/>
              <w:ind w:left="63" w:right="63"/>
              <w:rPr>
                <w:rFonts w:hint="eastAsia" w:ascii="宋体" w:hAnsi="宋体" w:eastAsia="宋体" w:cs="宋体"/>
                <w:color w:val="auto"/>
                <w:sz w:val="24"/>
                <w:szCs w:val="24"/>
                <w:highlight w:val="none"/>
              </w:rPr>
            </w:pPr>
          </w:p>
        </w:tc>
      </w:tr>
      <w:tr w14:paraId="4A8A5C0F">
        <w:tblPrEx>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49A251C3">
            <w:pPr>
              <w:pStyle w:val="9"/>
              <w:keepNext/>
              <w:spacing w:line="240" w:lineRule="auto"/>
              <w:ind w:left="63" w:right="63"/>
              <w:rPr>
                <w:rFonts w:hint="eastAsia" w:ascii="宋体" w:hAnsi="宋体" w:eastAsia="宋体" w:cs="宋体"/>
                <w:color w:val="auto"/>
                <w:sz w:val="24"/>
                <w:szCs w:val="24"/>
                <w:highlight w:val="none"/>
              </w:rPr>
            </w:pPr>
          </w:p>
        </w:tc>
        <w:tc>
          <w:tcPr>
            <w:tcW w:w="1843" w:type="dxa"/>
            <w:tcBorders>
              <w:top w:val="nil"/>
              <w:left w:val="single" w:color="auto" w:sz="6" w:space="0"/>
              <w:bottom w:val="single" w:color="auto" w:sz="6" w:space="0"/>
              <w:right w:val="single" w:color="auto" w:sz="6" w:space="0"/>
            </w:tcBorders>
            <w:noWrap w:val="0"/>
            <w:vAlign w:val="center"/>
          </w:tcPr>
          <w:p w14:paraId="0F76456D">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16888624">
            <w:pPr>
              <w:pStyle w:val="9"/>
              <w:keepNext/>
              <w:spacing w:line="240" w:lineRule="auto"/>
              <w:ind w:left="63" w:right="63"/>
              <w:rPr>
                <w:rFonts w:hint="eastAsia" w:ascii="宋体" w:hAnsi="宋体" w:eastAsia="宋体" w:cs="宋体"/>
                <w:color w:val="auto"/>
                <w:sz w:val="24"/>
                <w:szCs w:val="24"/>
                <w:highlight w:val="none"/>
              </w:rPr>
            </w:pPr>
          </w:p>
        </w:tc>
        <w:tc>
          <w:tcPr>
            <w:tcW w:w="2410" w:type="dxa"/>
            <w:tcBorders>
              <w:top w:val="nil"/>
              <w:left w:val="single" w:color="auto" w:sz="6" w:space="0"/>
              <w:bottom w:val="single" w:color="auto" w:sz="6" w:space="0"/>
              <w:right w:val="single" w:color="auto" w:sz="6" w:space="0"/>
            </w:tcBorders>
            <w:noWrap w:val="0"/>
            <w:vAlign w:val="center"/>
          </w:tcPr>
          <w:p w14:paraId="1F2B3FE4">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6" w:space="0"/>
            </w:tcBorders>
            <w:noWrap w:val="0"/>
            <w:vAlign w:val="center"/>
          </w:tcPr>
          <w:p w14:paraId="079FB9E4">
            <w:pPr>
              <w:pStyle w:val="9"/>
              <w:keepNext/>
              <w:spacing w:line="240" w:lineRule="auto"/>
              <w:ind w:left="63" w:right="63"/>
              <w:rPr>
                <w:rFonts w:hint="eastAsia" w:ascii="宋体" w:hAnsi="宋体" w:eastAsia="宋体" w:cs="宋体"/>
                <w:color w:val="auto"/>
                <w:sz w:val="24"/>
                <w:szCs w:val="24"/>
                <w:highlight w:val="none"/>
              </w:rPr>
            </w:pPr>
          </w:p>
        </w:tc>
        <w:tc>
          <w:tcPr>
            <w:tcW w:w="1560" w:type="dxa"/>
            <w:tcBorders>
              <w:top w:val="nil"/>
              <w:left w:val="single" w:color="auto" w:sz="6" w:space="0"/>
              <w:bottom w:val="single" w:color="auto" w:sz="6" w:space="0"/>
              <w:right w:val="single" w:color="auto" w:sz="6" w:space="0"/>
            </w:tcBorders>
            <w:noWrap w:val="0"/>
            <w:vAlign w:val="center"/>
          </w:tcPr>
          <w:p w14:paraId="4703D651">
            <w:pPr>
              <w:pStyle w:val="9"/>
              <w:keepNext/>
              <w:spacing w:line="240" w:lineRule="auto"/>
              <w:ind w:left="63" w:right="63"/>
              <w:rPr>
                <w:rFonts w:hint="eastAsia" w:ascii="宋体" w:hAnsi="宋体" w:eastAsia="宋体" w:cs="宋体"/>
                <w:color w:val="auto"/>
                <w:sz w:val="24"/>
                <w:szCs w:val="24"/>
                <w:highlight w:val="none"/>
              </w:rPr>
            </w:pPr>
          </w:p>
        </w:tc>
        <w:tc>
          <w:tcPr>
            <w:tcW w:w="2126" w:type="dxa"/>
            <w:tcBorders>
              <w:top w:val="nil"/>
              <w:left w:val="single" w:color="auto" w:sz="6" w:space="0"/>
              <w:bottom w:val="single" w:color="auto" w:sz="6" w:space="0"/>
              <w:right w:val="single" w:color="auto" w:sz="6" w:space="0"/>
            </w:tcBorders>
            <w:noWrap w:val="0"/>
            <w:vAlign w:val="center"/>
          </w:tcPr>
          <w:p w14:paraId="7D83CAAF">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348180F0">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center"/>
          </w:tcPr>
          <w:p w14:paraId="2BD0D973">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12" w:space="0"/>
            </w:tcBorders>
            <w:noWrap w:val="0"/>
            <w:vAlign w:val="center"/>
          </w:tcPr>
          <w:p w14:paraId="018C8714">
            <w:pPr>
              <w:pStyle w:val="9"/>
              <w:keepNext/>
              <w:spacing w:line="240" w:lineRule="auto"/>
              <w:ind w:left="63" w:right="63"/>
              <w:rPr>
                <w:rFonts w:hint="eastAsia" w:ascii="宋体" w:hAnsi="宋体" w:eastAsia="宋体" w:cs="宋体"/>
                <w:color w:val="auto"/>
                <w:sz w:val="24"/>
                <w:szCs w:val="24"/>
                <w:highlight w:val="none"/>
              </w:rPr>
            </w:pPr>
          </w:p>
        </w:tc>
      </w:tr>
      <w:tr w14:paraId="685D05DA">
        <w:tblPrEx>
          <w:tblCellMar>
            <w:top w:w="0" w:type="dxa"/>
            <w:left w:w="28" w:type="dxa"/>
            <w:bottom w:w="0" w:type="dxa"/>
            <w:right w:w="28" w:type="dxa"/>
          </w:tblCellMar>
        </w:tblPrEx>
        <w:trPr>
          <w:trHeight w:val="567" w:hRule="atLeast"/>
        </w:trPr>
        <w:tc>
          <w:tcPr>
            <w:tcW w:w="1277" w:type="dxa"/>
            <w:tcBorders>
              <w:top w:val="single" w:color="auto" w:sz="6" w:space="0"/>
              <w:left w:val="single" w:color="auto" w:sz="12" w:space="0"/>
              <w:bottom w:val="single" w:color="auto" w:sz="6" w:space="0"/>
              <w:right w:val="single" w:color="auto" w:sz="6" w:space="0"/>
            </w:tcBorders>
            <w:noWrap w:val="0"/>
            <w:vAlign w:val="center"/>
          </w:tcPr>
          <w:p w14:paraId="5A32FDD4">
            <w:pPr>
              <w:pStyle w:val="9"/>
              <w:keepNext/>
              <w:spacing w:line="240" w:lineRule="auto"/>
              <w:ind w:left="63" w:right="63"/>
              <w:rPr>
                <w:rFonts w:hint="eastAsia" w:ascii="宋体" w:hAnsi="宋体" w:eastAsia="宋体" w:cs="宋体"/>
                <w:color w:val="auto"/>
                <w:sz w:val="24"/>
                <w:szCs w:val="24"/>
                <w:highlight w:val="none"/>
              </w:rPr>
            </w:pPr>
          </w:p>
        </w:tc>
        <w:tc>
          <w:tcPr>
            <w:tcW w:w="1843" w:type="dxa"/>
            <w:tcBorders>
              <w:top w:val="single" w:color="auto" w:sz="6" w:space="0"/>
              <w:left w:val="single" w:color="auto" w:sz="6" w:space="0"/>
              <w:bottom w:val="single" w:color="auto" w:sz="6" w:space="0"/>
              <w:right w:val="single" w:color="auto" w:sz="6" w:space="0"/>
            </w:tcBorders>
            <w:noWrap w:val="0"/>
            <w:vAlign w:val="center"/>
          </w:tcPr>
          <w:p w14:paraId="78D20641">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22A4F849">
            <w:pPr>
              <w:pStyle w:val="9"/>
              <w:keepNext/>
              <w:spacing w:line="240" w:lineRule="auto"/>
              <w:ind w:left="63" w:right="63"/>
              <w:rPr>
                <w:rFonts w:hint="eastAsia" w:ascii="宋体" w:hAnsi="宋体" w:eastAsia="宋体" w:cs="宋体"/>
                <w:color w:val="auto"/>
                <w:sz w:val="24"/>
                <w:szCs w:val="24"/>
                <w:highlight w:val="none"/>
              </w:rPr>
            </w:pPr>
          </w:p>
        </w:tc>
        <w:tc>
          <w:tcPr>
            <w:tcW w:w="2410" w:type="dxa"/>
            <w:tcBorders>
              <w:top w:val="single" w:color="auto" w:sz="6" w:space="0"/>
              <w:left w:val="single" w:color="auto" w:sz="6" w:space="0"/>
              <w:bottom w:val="single" w:color="auto" w:sz="6" w:space="0"/>
              <w:right w:val="single" w:color="auto" w:sz="6" w:space="0"/>
            </w:tcBorders>
            <w:noWrap w:val="0"/>
            <w:vAlign w:val="center"/>
          </w:tcPr>
          <w:p w14:paraId="7E46942D">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447F2C3D">
            <w:pPr>
              <w:pStyle w:val="9"/>
              <w:keepNext/>
              <w:spacing w:line="240" w:lineRule="auto"/>
              <w:ind w:left="63" w:right="63"/>
              <w:rPr>
                <w:rFonts w:hint="eastAsia" w:ascii="宋体" w:hAnsi="宋体" w:eastAsia="宋体" w:cs="宋体"/>
                <w:color w:val="auto"/>
                <w:sz w:val="24"/>
                <w:szCs w:val="24"/>
                <w:highlight w:val="none"/>
              </w:rPr>
            </w:pPr>
          </w:p>
        </w:tc>
        <w:tc>
          <w:tcPr>
            <w:tcW w:w="1560" w:type="dxa"/>
            <w:tcBorders>
              <w:top w:val="single" w:color="auto" w:sz="6" w:space="0"/>
              <w:left w:val="single" w:color="auto" w:sz="6" w:space="0"/>
              <w:bottom w:val="single" w:color="auto" w:sz="6" w:space="0"/>
              <w:right w:val="single" w:color="auto" w:sz="6" w:space="0"/>
            </w:tcBorders>
            <w:noWrap w:val="0"/>
            <w:vAlign w:val="center"/>
          </w:tcPr>
          <w:p w14:paraId="590BB836">
            <w:pPr>
              <w:pStyle w:val="9"/>
              <w:keepNext/>
              <w:spacing w:line="240" w:lineRule="auto"/>
              <w:ind w:left="63" w:right="63"/>
              <w:rPr>
                <w:rFonts w:hint="eastAsia" w:ascii="宋体" w:hAnsi="宋体" w:eastAsia="宋体" w:cs="宋体"/>
                <w:color w:val="auto"/>
                <w:sz w:val="24"/>
                <w:szCs w:val="24"/>
                <w:highlight w:val="none"/>
              </w:rPr>
            </w:pPr>
          </w:p>
        </w:tc>
        <w:tc>
          <w:tcPr>
            <w:tcW w:w="2126" w:type="dxa"/>
            <w:tcBorders>
              <w:top w:val="single" w:color="auto" w:sz="6" w:space="0"/>
              <w:left w:val="single" w:color="auto" w:sz="6" w:space="0"/>
              <w:bottom w:val="single" w:color="auto" w:sz="6" w:space="0"/>
              <w:right w:val="single" w:color="auto" w:sz="6" w:space="0"/>
            </w:tcBorders>
            <w:noWrap w:val="0"/>
            <w:vAlign w:val="center"/>
          </w:tcPr>
          <w:p w14:paraId="54CE6683">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6DC82404">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5B630BE7">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12" w:space="0"/>
            </w:tcBorders>
            <w:noWrap w:val="0"/>
            <w:vAlign w:val="center"/>
          </w:tcPr>
          <w:p w14:paraId="373D1F12">
            <w:pPr>
              <w:pStyle w:val="9"/>
              <w:keepNext/>
              <w:spacing w:line="240" w:lineRule="auto"/>
              <w:ind w:left="63" w:right="63"/>
              <w:rPr>
                <w:rFonts w:hint="eastAsia" w:ascii="宋体" w:hAnsi="宋体" w:eastAsia="宋体" w:cs="宋体"/>
                <w:color w:val="auto"/>
                <w:sz w:val="24"/>
                <w:szCs w:val="24"/>
                <w:highlight w:val="none"/>
              </w:rPr>
            </w:pPr>
          </w:p>
        </w:tc>
      </w:tr>
      <w:tr w14:paraId="496E7AEA">
        <w:tblPrEx>
          <w:tblCellMar>
            <w:top w:w="0" w:type="dxa"/>
            <w:left w:w="28" w:type="dxa"/>
            <w:bottom w:w="0" w:type="dxa"/>
            <w:right w:w="28" w:type="dxa"/>
          </w:tblCellMar>
        </w:tblPrEx>
        <w:trPr>
          <w:trHeight w:val="567" w:hRule="atLeast"/>
        </w:trPr>
        <w:tc>
          <w:tcPr>
            <w:tcW w:w="1277" w:type="dxa"/>
            <w:tcBorders>
              <w:top w:val="nil"/>
              <w:left w:val="single" w:color="auto" w:sz="12" w:space="0"/>
              <w:bottom w:val="single" w:color="auto" w:sz="6" w:space="0"/>
              <w:right w:val="single" w:color="auto" w:sz="6" w:space="0"/>
            </w:tcBorders>
            <w:noWrap w:val="0"/>
            <w:vAlign w:val="center"/>
          </w:tcPr>
          <w:p w14:paraId="712C19AA">
            <w:pPr>
              <w:pStyle w:val="9"/>
              <w:keepNext/>
              <w:spacing w:line="240" w:lineRule="auto"/>
              <w:ind w:left="63" w:right="63"/>
              <w:rPr>
                <w:rFonts w:hint="eastAsia" w:ascii="宋体" w:hAnsi="宋体" w:eastAsia="宋体" w:cs="宋体"/>
                <w:color w:val="auto"/>
                <w:sz w:val="24"/>
                <w:szCs w:val="24"/>
                <w:highlight w:val="none"/>
              </w:rPr>
            </w:pPr>
          </w:p>
        </w:tc>
        <w:tc>
          <w:tcPr>
            <w:tcW w:w="1843" w:type="dxa"/>
            <w:tcBorders>
              <w:top w:val="nil"/>
              <w:left w:val="single" w:color="auto" w:sz="6" w:space="0"/>
              <w:bottom w:val="single" w:color="auto" w:sz="6" w:space="0"/>
              <w:right w:val="single" w:color="auto" w:sz="6" w:space="0"/>
            </w:tcBorders>
            <w:noWrap w:val="0"/>
            <w:vAlign w:val="center"/>
          </w:tcPr>
          <w:p w14:paraId="506579B4">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639728D1">
            <w:pPr>
              <w:pStyle w:val="9"/>
              <w:keepNext/>
              <w:spacing w:line="240" w:lineRule="auto"/>
              <w:ind w:left="63" w:right="63"/>
              <w:rPr>
                <w:rFonts w:hint="eastAsia" w:ascii="宋体" w:hAnsi="宋体" w:eastAsia="宋体" w:cs="宋体"/>
                <w:color w:val="auto"/>
                <w:sz w:val="24"/>
                <w:szCs w:val="24"/>
                <w:highlight w:val="none"/>
              </w:rPr>
            </w:pPr>
          </w:p>
        </w:tc>
        <w:tc>
          <w:tcPr>
            <w:tcW w:w="2410" w:type="dxa"/>
            <w:tcBorders>
              <w:top w:val="nil"/>
              <w:left w:val="single" w:color="auto" w:sz="6" w:space="0"/>
              <w:bottom w:val="single" w:color="auto" w:sz="6" w:space="0"/>
              <w:right w:val="single" w:color="auto" w:sz="6" w:space="0"/>
            </w:tcBorders>
            <w:noWrap w:val="0"/>
            <w:vAlign w:val="center"/>
          </w:tcPr>
          <w:p w14:paraId="2BDFAFA4">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6" w:space="0"/>
            </w:tcBorders>
            <w:noWrap w:val="0"/>
            <w:vAlign w:val="center"/>
          </w:tcPr>
          <w:p w14:paraId="75562DD1">
            <w:pPr>
              <w:pStyle w:val="9"/>
              <w:keepNext/>
              <w:spacing w:line="240" w:lineRule="auto"/>
              <w:ind w:left="63" w:right="63"/>
              <w:rPr>
                <w:rFonts w:hint="eastAsia" w:ascii="宋体" w:hAnsi="宋体" w:eastAsia="宋体" w:cs="宋体"/>
                <w:color w:val="auto"/>
                <w:sz w:val="24"/>
                <w:szCs w:val="24"/>
                <w:highlight w:val="none"/>
              </w:rPr>
            </w:pPr>
          </w:p>
        </w:tc>
        <w:tc>
          <w:tcPr>
            <w:tcW w:w="1560" w:type="dxa"/>
            <w:tcBorders>
              <w:top w:val="nil"/>
              <w:left w:val="single" w:color="auto" w:sz="6" w:space="0"/>
              <w:bottom w:val="single" w:color="auto" w:sz="6" w:space="0"/>
              <w:right w:val="single" w:color="auto" w:sz="6" w:space="0"/>
            </w:tcBorders>
            <w:noWrap w:val="0"/>
            <w:vAlign w:val="center"/>
          </w:tcPr>
          <w:p w14:paraId="4B0FEB94">
            <w:pPr>
              <w:pStyle w:val="9"/>
              <w:keepNext/>
              <w:spacing w:line="240" w:lineRule="auto"/>
              <w:ind w:left="63" w:right="63"/>
              <w:rPr>
                <w:rFonts w:hint="eastAsia" w:ascii="宋体" w:hAnsi="宋体" w:eastAsia="宋体" w:cs="宋体"/>
                <w:color w:val="auto"/>
                <w:sz w:val="24"/>
                <w:szCs w:val="24"/>
                <w:highlight w:val="none"/>
              </w:rPr>
            </w:pPr>
          </w:p>
        </w:tc>
        <w:tc>
          <w:tcPr>
            <w:tcW w:w="2126" w:type="dxa"/>
            <w:tcBorders>
              <w:top w:val="nil"/>
              <w:left w:val="single" w:color="auto" w:sz="6" w:space="0"/>
              <w:bottom w:val="single" w:color="auto" w:sz="6" w:space="0"/>
              <w:right w:val="single" w:color="auto" w:sz="6" w:space="0"/>
            </w:tcBorders>
            <w:noWrap w:val="0"/>
            <w:vAlign w:val="center"/>
          </w:tcPr>
          <w:p w14:paraId="002D70AA">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nil"/>
              <w:left w:val="single" w:color="auto" w:sz="6" w:space="0"/>
              <w:bottom w:val="single" w:color="auto" w:sz="6" w:space="0"/>
              <w:right w:val="single" w:color="auto" w:sz="6" w:space="0"/>
            </w:tcBorders>
            <w:noWrap w:val="0"/>
            <w:vAlign w:val="center"/>
          </w:tcPr>
          <w:p w14:paraId="37B79054">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center"/>
          </w:tcPr>
          <w:p w14:paraId="326F51E3">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12" w:space="0"/>
            </w:tcBorders>
            <w:noWrap w:val="0"/>
            <w:vAlign w:val="center"/>
          </w:tcPr>
          <w:p w14:paraId="7D7FBCC4">
            <w:pPr>
              <w:pStyle w:val="9"/>
              <w:keepNext/>
              <w:spacing w:line="240" w:lineRule="auto"/>
              <w:ind w:left="63" w:right="63"/>
              <w:rPr>
                <w:rFonts w:hint="eastAsia" w:ascii="宋体" w:hAnsi="宋体" w:eastAsia="宋体" w:cs="宋体"/>
                <w:color w:val="auto"/>
                <w:sz w:val="24"/>
                <w:szCs w:val="24"/>
                <w:highlight w:val="none"/>
              </w:rPr>
            </w:pPr>
          </w:p>
        </w:tc>
      </w:tr>
      <w:tr w14:paraId="5746082A">
        <w:tblPrEx>
          <w:tblCellMar>
            <w:top w:w="0" w:type="dxa"/>
            <w:left w:w="28" w:type="dxa"/>
            <w:bottom w:w="0" w:type="dxa"/>
            <w:right w:w="28" w:type="dxa"/>
          </w:tblCellMar>
        </w:tblPrEx>
        <w:trPr>
          <w:trHeight w:val="333" w:hRule="atLeast"/>
        </w:trPr>
        <w:tc>
          <w:tcPr>
            <w:tcW w:w="1277" w:type="dxa"/>
            <w:tcBorders>
              <w:top w:val="single" w:color="auto" w:sz="6" w:space="0"/>
              <w:left w:val="single" w:color="auto" w:sz="12" w:space="0"/>
              <w:bottom w:val="single" w:color="auto" w:sz="12" w:space="0"/>
              <w:right w:val="single" w:color="auto" w:sz="6" w:space="0"/>
            </w:tcBorders>
            <w:noWrap w:val="0"/>
            <w:vAlign w:val="center"/>
          </w:tcPr>
          <w:p w14:paraId="55BD26BD">
            <w:pPr>
              <w:pStyle w:val="9"/>
              <w:keepNext/>
              <w:spacing w:line="240" w:lineRule="auto"/>
              <w:ind w:left="63" w:right="63"/>
              <w:rPr>
                <w:rFonts w:hint="eastAsia" w:ascii="宋体" w:hAnsi="宋体" w:eastAsia="宋体" w:cs="宋体"/>
                <w:color w:val="auto"/>
                <w:sz w:val="24"/>
                <w:szCs w:val="24"/>
                <w:highlight w:val="none"/>
              </w:rPr>
            </w:pPr>
          </w:p>
        </w:tc>
        <w:tc>
          <w:tcPr>
            <w:tcW w:w="1843" w:type="dxa"/>
            <w:tcBorders>
              <w:top w:val="single" w:color="auto" w:sz="6" w:space="0"/>
              <w:left w:val="single" w:color="auto" w:sz="6" w:space="0"/>
              <w:bottom w:val="single" w:color="auto" w:sz="12" w:space="0"/>
              <w:right w:val="single" w:color="auto" w:sz="6" w:space="0"/>
            </w:tcBorders>
            <w:noWrap w:val="0"/>
            <w:vAlign w:val="center"/>
          </w:tcPr>
          <w:p w14:paraId="0B9FAAEB">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single" w:color="auto" w:sz="6" w:space="0"/>
              <w:left w:val="single" w:color="auto" w:sz="6" w:space="0"/>
              <w:bottom w:val="single" w:color="auto" w:sz="12" w:space="0"/>
              <w:right w:val="single" w:color="auto" w:sz="6" w:space="0"/>
            </w:tcBorders>
            <w:noWrap w:val="0"/>
            <w:vAlign w:val="center"/>
          </w:tcPr>
          <w:p w14:paraId="4E4D9284">
            <w:pPr>
              <w:pStyle w:val="9"/>
              <w:keepNext/>
              <w:spacing w:line="240" w:lineRule="auto"/>
              <w:ind w:left="63" w:right="63"/>
              <w:rPr>
                <w:rFonts w:hint="eastAsia" w:ascii="宋体" w:hAnsi="宋体" w:eastAsia="宋体" w:cs="宋体"/>
                <w:color w:val="auto"/>
                <w:sz w:val="24"/>
                <w:szCs w:val="24"/>
                <w:highlight w:val="none"/>
              </w:rPr>
            </w:pPr>
          </w:p>
        </w:tc>
        <w:tc>
          <w:tcPr>
            <w:tcW w:w="2410" w:type="dxa"/>
            <w:tcBorders>
              <w:top w:val="single" w:color="auto" w:sz="6" w:space="0"/>
              <w:left w:val="single" w:color="auto" w:sz="6" w:space="0"/>
              <w:bottom w:val="single" w:color="auto" w:sz="12" w:space="0"/>
              <w:right w:val="single" w:color="auto" w:sz="6" w:space="0"/>
            </w:tcBorders>
            <w:noWrap w:val="0"/>
            <w:vAlign w:val="center"/>
          </w:tcPr>
          <w:p w14:paraId="591A287B">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12" w:space="0"/>
              <w:right w:val="single" w:color="auto" w:sz="6" w:space="0"/>
            </w:tcBorders>
            <w:noWrap w:val="0"/>
            <w:vAlign w:val="center"/>
          </w:tcPr>
          <w:p w14:paraId="25B60A2E">
            <w:pPr>
              <w:pStyle w:val="9"/>
              <w:keepNext/>
              <w:spacing w:line="240" w:lineRule="auto"/>
              <w:ind w:left="63" w:right="63"/>
              <w:rPr>
                <w:rFonts w:hint="eastAsia" w:ascii="宋体" w:hAnsi="宋体" w:eastAsia="宋体" w:cs="宋体"/>
                <w:color w:val="auto"/>
                <w:sz w:val="24"/>
                <w:szCs w:val="24"/>
                <w:highlight w:val="none"/>
              </w:rPr>
            </w:pPr>
          </w:p>
        </w:tc>
        <w:tc>
          <w:tcPr>
            <w:tcW w:w="1560" w:type="dxa"/>
            <w:tcBorders>
              <w:top w:val="single" w:color="auto" w:sz="6" w:space="0"/>
              <w:left w:val="single" w:color="auto" w:sz="6" w:space="0"/>
              <w:bottom w:val="single" w:color="auto" w:sz="12" w:space="0"/>
              <w:right w:val="single" w:color="auto" w:sz="6" w:space="0"/>
            </w:tcBorders>
            <w:noWrap w:val="0"/>
            <w:vAlign w:val="center"/>
          </w:tcPr>
          <w:p w14:paraId="1787B9B6">
            <w:pPr>
              <w:pStyle w:val="9"/>
              <w:keepNext/>
              <w:spacing w:line="240" w:lineRule="auto"/>
              <w:ind w:left="63" w:right="63"/>
              <w:rPr>
                <w:rFonts w:hint="eastAsia" w:ascii="宋体" w:hAnsi="宋体" w:eastAsia="宋体" w:cs="宋体"/>
                <w:color w:val="auto"/>
                <w:sz w:val="24"/>
                <w:szCs w:val="24"/>
                <w:highlight w:val="none"/>
              </w:rPr>
            </w:pPr>
          </w:p>
        </w:tc>
        <w:tc>
          <w:tcPr>
            <w:tcW w:w="2126" w:type="dxa"/>
            <w:tcBorders>
              <w:top w:val="single" w:color="auto" w:sz="6" w:space="0"/>
              <w:left w:val="single" w:color="auto" w:sz="6" w:space="0"/>
              <w:bottom w:val="single" w:color="auto" w:sz="12" w:space="0"/>
              <w:right w:val="single" w:color="auto" w:sz="6" w:space="0"/>
            </w:tcBorders>
            <w:noWrap w:val="0"/>
            <w:vAlign w:val="center"/>
          </w:tcPr>
          <w:p w14:paraId="68F4BD01">
            <w:pPr>
              <w:pStyle w:val="9"/>
              <w:keepNext/>
              <w:spacing w:line="240" w:lineRule="auto"/>
              <w:ind w:left="63" w:right="63"/>
              <w:rPr>
                <w:rFonts w:hint="eastAsia" w:ascii="宋体" w:hAnsi="宋体" w:eastAsia="宋体" w:cs="宋体"/>
                <w:color w:val="auto"/>
                <w:sz w:val="24"/>
                <w:szCs w:val="24"/>
                <w:highlight w:val="none"/>
              </w:rPr>
            </w:pPr>
          </w:p>
        </w:tc>
        <w:tc>
          <w:tcPr>
            <w:tcW w:w="1417" w:type="dxa"/>
            <w:tcBorders>
              <w:top w:val="single" w:color="auto" w:sz="6" w:space="0"/>
              <w:left w:val="single" w:color="auto" w:sz="6" w:space="0"/>
              <w:bottom w:val="single" w:color="auto" w:sz="12" w:space="0"/>
              <w:right w:val="single" w:color="auto" w:sz="6" w:space="0"/>
            </w:tcBorders>
            <w:noWrap w:val="0"/>
            <w:vAlign w:val="center"/>
          </w:tcPr>
          <w:p w14:paraId="65F1EA15">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12" w:space="0"/>
              <w:right w:val="single" w:color="auto" w:sz="6" w:space="0"/>
            </w:tcBorders>
            <w:noWrap w:val="0"/>
            <w:vAlign w:val="center"/>
          </w:tcPr>
          <w:p w14:paraId="3818E0BB">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12" w:space="0"/>
              <w:right w:val="single" w:color="auto" w:sz="12" w:space="0"/>
            </w:tcBorders>
            <w:noWrap w:val="0"/>
            <w:vAlign w:val="center"/>
          </w:tcPr>
          <w:p w14:paraId="299E36A8">
            <w:pPr>
              <w:pStyle w:val="9"/>
              <w:keepNext/>
              <w:spacing w:line="240" w:lineRule="auto"/>
              <w:ind w:left="63" w:right="63"/>
              <w:rPr>
                <w:rFonts w:hint="eastAsia" w:ascii="宋体" w:hAnsi="宋体" w:eastAsia="宋体" w:cs="宋体"/>
                <w:color w:val="auto"/>
                <w:sz w:val="24"/>
                <w:szCs w:val="24"/>
                <w:highlight w:val="none"/>
              </w:rPr>
            </w:pPr>
          </w:p>
        </w:tc>
      </w:tr>
    </w:tbl>
    <w:p w14:paraId="298C9D05">
      <w:pPr>
        <w:widowControl/>
        <w:spacing w:line="240" w:lineRule="auto"/>
        <w:jc w:val="left"/>
        <w:rPr>
          <w:rFonts w:hint="eastAsia" w:ascii="宋体" w:hAnsi="宋体" w:eastAsia="宋体" w:cs="宋体"/>
          <w:color w:val="auto"/>
          <w:sz w:val="24"/>
          <w:szCs w:val="24"/>
          <w:highlight w:val="none"/>
        </w:rPr>
        <w:sectPr>
          <w:pgSz w:w="16838" w:h="11906" w:orient="landscape"/>
          <w:pgMar w:top="1554" w:right="1418" w:bottom="1531" w:left="1418" w:header="720" w:footer="720" w:gutter="0"/>
          <w:pgNumType w:fmt="decimal"/>
          <w:cols w:space="720" w:num="1"/>
          <w:docGrid w:type="lines" w:linePitch="312" w:charSpace="0"/>
        </w:sectPr>
      </w:pPr>
    </w:p>
    <w:p w14:paraId="2155BCD8">
      <w:pPr>
        <w:spacing w:line="240" w:lineRule="auto"/>
        <w:jc w:val="center"/>
        <w:outlineLvl w:val="0"/>
        <w:rPr>
          <w:rFonts w:hint="eastAsia" w:ascii="宋体" w:hAnsi="宋体" w:eastAsia="宋体" w:cs="宋体"/>
          <w:color w:val="auto"/>
          <w:sz w:val="24"/>
          <w:szCs w:val="24"/>
          <w:highlight w:val="none"/>
        </w:rPr>
      </w:pPr>
      <w:bookmarkStart w:id="4171" w:name="_Toc30355"/>
      <w:bookmarkStart w:id="4172" w:name="_Toc19308"/>
      <w:bookmarkStart w:id="4173" w:name="_Toc6936"/>
      <w:bookmarkStart w:id="4174" w:name="_Toc16632"/>
      <w:bookmarkStart w:id="4175" w:name="_Toc16152"/>
      <w:bookmarkStart w:id="4176" w:name="_Toc6928"/>
      <w:bookmarkStart w:id="4177" w:name="_Toc18798"/>
      <w:bookmarkStart w:id="4178" w:name="_Toc15486"/>
      <w:bookmarkStart w:id="4179" w:name="_Toc22053"/>
      <w:bookmarkStart w:id="4180" w:name="_Toc18643"/>
      <w:bookmarkStart w:id="4181" w:name="_Toc19465"/>
      <w:bookmarkStart w:id="4182" w:name="_Toc15454"/>
      <w:bookmarkStart w:id="4183" w:name="_Toc12339"/>
      <w:bookmarkStart w:id="4184" w:name="_Toc18028"/>
      <w:bookmarkStart w:id="4185" w:name="_Toc32373"/>
      <w:r>
        <w:rPr>
          <w:rFonts w:hint="eastAsia" w:ascii="宋体" w:hAnsi="宋体" w:eastAsia="宋体" w:cs="宋体"/>
          <w:color w:val="auto"/>
          <w:sz w:val="24"/>
          <w:szCs w:val="24"/>
          <w:highlight w:val="none"/>
        </w:rPr>
        <w:t>附</w:t>
      </w:r>
      <w:bookmarkStart w:id="4186" w:name="_Toc296891053"/>
      <w:bookmarkEnd w:id="4186"/>
      <w:bookmarkStart w:id="4187" w:name="_Toc296346726"/>
      <w:bookmarkEnd w:id="4187"/>
      <w:bookmarkStart w:id="4188" w:name="_Toc296891265"/>
      <w:bookmarkEnd w:id="4188"/>
      <w:bookmarkStart w:id="4189" w:name="_Toc296503225"/>
      <w:bookmarkEnd w:id="4189"/>
      <w:bookmarkStart w:id="4190" w:name="_Toc296347224"/>
      <w:bookmarkEnd w:id="4190"/>
      <w:bookmarkStart w:id="4191" w:name="_Toc267261692"/>
      <w:bookmarkEnd w:id="4191"/>
      <w:bookmarkStart w:id="4192" w:name="_Toc296944564"/>
      <w:r>
        <w:rPr>
          <w:rFonts w:hint="eastAsia" w:ascii="宋体" w:hAnsi="宋体" w:eastAsia="宋体" w:cs="宋体"/>
          <w:color w:val="auto"/>
          <w:sz w:val="24"/>
          <w:szCs w:val="24"/>
          <w:highlight w:val="none"/>
        </w:rPr>
        <w:t>件2：</w:t>
      </w:r>
      <w:bookmarkEnd w:id="4192"/>
      <w:r>
        <w:rPr>
          <w:rFonts w:hint="eastAsia" w:ascii="宋体" w:hAnsi="宋体" w:eastAsia="宋体" w:cs="宋体"/>
          <w:color w:val="auto"/>
          <w:sz w:val="24"/>
          <w:szCs w:val="24"/>
          <w:highlight w:val="none"/>
        </w:rPr>
        <w:t>发包人供应材料设备一览表</w:t>
      </w:r>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p>
    <w:tbl>
      <w:tblPr>
        <w:tblStyle w:val="28"/>
        <w:tblW w:w="10702" w:type="dxa"/>
        <w:jc w:val="center"/>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2C8CC631">
        <w:tblPrEx>
          <w:tblCellMar>
            <w:top w:w="0" w:type="dxa"/>
            <w:left w:w="28" w:type="dxa"/>
            <w:bottom w:w="0" w:type="dxa"/>
            <w:right w:w="28" w:type="dxa"/>
          </w:tblCellMar>
        </w:tblPrEx>
        <w:trPr>
          <w:jc w:val="center"/>
        </w:trPr>
        <w:tc>
          <w:tcPr>
            <w:tcW w:w="851" w:type="dxa"/>
            <w:tcBorders>
              <w:top w:val="single" w:color="auto" w:sz="12" w:space="0"/>
              <w:left w:val="single" w:color="auto" w:sz="12" w:space="0"/>
              <w:bottom w:val="double" w:color="auto" w:sz="2" w:space="0"/>
              <w:right w:val="single" w:color="auto" w:sz="6" w:space="0"/>
            </w:tcBorders>
            <w:noWrap w:val="0"/>
            <w:vAlign w:val="center"/>
          </w:tcPr>
          <w:p w14:paraId="5C05A130">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76" w:type="dxa"/>
            <w:tcBorders>
              <w:top w:val="single" w:color="auto" w:sz="12" w:space="0"/>
              <w:left w:val="single" w:color="auto" w:sz="6" w:space="0"/>
              <w:bottom w:val="double" w:color="auto" w:sz="2" w:space="0"/>
              <w:right w:val="single" w:color="auto" w:sz="6" w:space="0"/>
            </w:tcBorders>
            <w:noWrap w:val="0"/>
            <w:vAlign w:val="center"/>
          </w:tcPr>
          <w:p w14:paraId="74A33C0E">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材料、</w:t>
            </w:r>
          </w:p>
          <w:p w14:paraId="72073ECD">
            <w:pPr>
              <w:pStyle w:val="9"/>
              <w:keepNext/>
              <w:spacing w:line="240" w:lineRule="auto"/>
              <w:ind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设备品种</w:t>
            </w:r>
          </w:p>
        </w:tc>
        <w:tc>
          <w:tcPr>
            <w:tcW w:w="1418" w:type="dxa"/>
            <w:tcBorders>
              <w:top w:val="single" w:color="auto" w:sz="12" w:space="0"/>
              <w:left w:val="single" w:color="auto" w:sz="6" w:space="0"/>
              <w:bottom w:val="double" w:color="auto" w:sz="2" w:space="0"/>
              <w:right w:val="single" w:color="auto" w:sz="6" w:space="0"/>
            </w:tcBorders>
            <w:noWrap w:val="0"/>
            <w:vAlign w:val="center"/>
          </w:tcPr>
          <w:p w14:paraId="7DDCCFF4">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规格型号</w:t>
            </w:r>
          </w:p>
        </w:tc>
        <w:tc>
          <w:tcPr>
            <w:tcW w:w="940" w:type="dxa"/>
            <w:tcBorders>
              <w:top w:val="single" w:color="auto" w:sz="12" w:space="0"/>
              <w:left w:val="single" w:color="auto" w:sz="6" w:space="0"/>
              <w:bottom w:val="double" w:color="auto" w:sz="2" w:space="0"/>
              <w:right w:val="single" w:color="auto" w:sz="6" w:space="0"/>
            </w:tcBorders>
            <w:noWrap w:val="0"/>
            <w:vAlign w:val="center"/>
          </w:tcPr>
          <w:p w14:paraId="679380F4">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851" w:type="dxa"/>
            <w:tcBorders>
              <w:top w:val="single" w:color="auto" w:sz="12" w:space="0"/>
              <w:left w:val="single" w:color="auto" w:sz="6" w:space="0"/>
              <w:bottom w:val="double" w:color="auto" w:sz="2" w:space="0"/>
              <w:right w:val="single" w:color="auto" w:sz="6" w:space="0"/>
            </w:tcBorders>
            <w:noWrap w:val="0"/>
            <w:vAlign w:val="center"/>
          </w:tcPr>
          <w:p w14:paraId="44006214">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044" w:type="dxa"/>
            <w:tcBorders>
              <w:top w:val="single" w:color="auto" w:sz="12" w:space="0"/>
              <w:left w:val="single" w:color="auto" w:sz="6" w:space="0"/>
              <w:bottom w:val="double" w:color="auto" w:sz="2" w:space="0"/>
              <w:right w:val="single" w:color="auto" w:sz="6" w:space="0"/>
            </w:tcBorders>
            <w:noWrap w:val="0"/>
            <w:vAlign w:val="center"/>
          </w:tcPr>
          <w:p w14:paraId="0D22942D">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992" w:type="dxa"/>
            <w:tcBorders>
              <w:top w:val="single" w:color="auto" w:sz="12" w:space="0"/>
              <w:left w:val="single" w:color="auto" w:sz="6" w:space="0"/>
              <w:bottom w:val="double" w:color="auto" w:sz="2" w:space="0"/>
              <w:right w:val="single" w:color="auto" w:sz="6" w:space="0"/>
            </w:tcBorders>
            <w:noWrap w:val="0"/>
            <w:vAlign w:val="center"/>
          </w:tcPr>
          <w:p w14:paraId="182146CD">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质量等级</w:t>
            </w:r>
          </w:p>
        </w:tc>
        <w:tc>
          <w:tcPr>
            <w:tcW w:w="851" w:type="dxa"/>
            <w:tcBorders>
              <w:top w:val="single" w:color="auto" w:sz="12" w:space="0"/>
              <w:left w:val="single" w:color="auto" w:sz="6" w:space="0"/>
              <w:bottom w:val="double" w:color="auto" w:sz="2" w:space="0"/>
              <w:right w:val="single" w:color="auto" w:sz="6" w:space="0"/>
            </w:tcBorders>
            <w:noWrap w:val="0"/>
            <w:vAlign w:val="center"/>
          </w:tcPr>
          <w:p w14:paraId="6A143E09">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供应时间</w:t>
            </w:r>
          </w:p>
        </w:tc>
        <w:tc>
          <w:tcPr>
            <w:tcW w:w="1487" w:type="dxa"/>
            <w:tcBorders>
              <w:top w:val="single" w:color="auto" w:sz="12" w:space="0"/>
              <w:left w:val="single" w:color="auto" w:sz="6" w:space="0"/>
              <w:bottom w:val="double" w:color="auto" w:sz="2" w:space="0"/>
              <w:right w:val="single" w:color="auto" w:sz="6" w:space="0"/>
            </w:tcBorders>
            <w:noWrap w:val="0"/>
            <w:vAlign w:val="center"/>
          </w:tcPr>
          <w:p w14:paraId="31E296DC">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送达地点</w:t>
            </w:r>
          </w:p>
        </w:tc>
        <w:tc>
          <w:tcPr>
            <w:tcW w:w="992" w:type="dxa"/>
            <w:tcBorders>
              <w:top w:val="single" w:color="auto" w:sz="12" w:space="0"/>
              <w:left w:val="single" w:color="auto" w:sz="6" w:space="0"/>
              <w:bottom w:val="double" w:color="auto" w:sz="2" w:space="0"/>
              <w:right w:val="single" w:color="auto" w:sz="12" w:space="0"/>
            </w:tcBorders>
            <w:noWrap w:val="0"/>
            <w:vAlign w:val="center"/>
          </w:tcPr>
          <w:p w14:paraId="23398F5D">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29F0EFAB">
        <w:tblPrEx>
          <w:tblCellMar>
            <w:top w:w="0" w:type="dxa"/>
            <w:left w:w="28" w:type="dxa"/>
            <w:bottom w:w="0" w:type="dxa"/>
            <w:right w:w="28" w:type="dxa"/>
          </w:tblCellMar>
        </w:tblPrEx>
        <w:trPr>
          <w:trHeight w:val="567" w:hRule="atLeast"/>
          <w:jc w:val="center"/>
        </w:trPr>
        <w:tc>
          <w:tcPr>
            <w:tcW w:w="851" w:type="dxa"/>
            <w:tcBorders>
              <w:top w:val="double" w:color="auto" w:sz="2" w:space="0"/>
              <w:left w:val="single" w:color="auto" w:sz="12" w:space="0"/>
              <w:bottom w:val="single" w:color="auto" w:sz="6" w:space="0"/>
              <w:right w:val="single" w:color="auto" w:sz="6" w:space="0"/>
            </w:tcBorders>
            <w:noWrap w:val="0"/>
            <w:vAlign w:val="center"/>
          </w:tcPr>
          <w:p w14:paraId="1F15C944">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double" w:color="auto" w:sz="2" w:space="0"/>
              <w:left w:val="single" w:color="auto" w:sz="6" w:space="0"/>
              <w:bottom w:val="single" w:color="auto" w:sz="6" w:space="0"/>
              <w:right w:val="single" w:color="auto" w:sz="6" w:space="0"/>
            </w:tcBorders>
            <w:noWrap w:val="0"/>
            <w:vAlign w:val="center"/>
          </w:tcPr>
          <w:p w14:paraId="745F6D7B">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double" w:color="auto" w:sz="2" w:space="0"/>
              <w:left w:val="single" w:color="auto" w:sz="6" w:space="0"/>
              <w:bottom w:val="single" w:color="auto" w:sz="6" w:space="0"/>
              <w:right w:val="single" w:color="auto" w:sz="6" w:space="0"/>
            </w:tcBorders>
            <w:noWrap w:val="0"/>
            <w:vAlign w:val="center"/>
          </w:tcPr>
          <w:p w14:paraId="6481B431">
            <w:pPr>
              <w:pStyle w:val="9"/>
              <w:keepNext/>
              <w:spacing w:line="240" w:lineRule="auto"/>
              <w:ind w:left="63" w:right="63"/>
              <w:rPr>
                <w:rFonts w:hint="eastAsia" w:ascii="宋体" w:hAnsi="宋体" w:eastAsia="宋体" w:cs="宋体"/>
                <w:color w:val="auto"/>
                <w:sz w:val="24"/>
                <w:szCs w:val="24"/>
                <w:highlight w:val="none"/>
              </w:rPr>
            </w:pPr>
          </w:p>
        </w:tc>
        <w:tc>
          <w:tcPr>
            <w:tcW w:w="940" w:type="dxa"/>
            <w:tcBorders>
              <w:top w:val="double" w:color="auto" w:sz="2" w:space="0"/>
              <w:left w:val="single" w:color="auto" w:sz="6" w:space="0"/>
              <w:bottom w:val="single" w:color="auto" w:sz="6" w:space="0"/>
              <w:right w:val="single" w:color="auto" w:sz="6" w:space="0"/>
            </w:tcBorders>
            <w:noWrap w:val="0"/>
            <w:vAlign w:val="center"/>
          </w:tcPr>
          <w:p w14:paraId="0CAE402F">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double" w:color="auto" w:sz="2" w:space="0"/>
              <w:left w:val="single" w:color="auto" w:sz="6" w:space="0"/>
              <w:bottom w:val="single" w:color="auto" w:sz="6" w:space="0"/>
              <w:right w:val="single" w:color="auto" w:sz="6" w:space="0"/>
            </w:tcBorders>
            <w:noWrap w:val="0"/>
            <w:vAlign w:val="center"/>
          </w:tcPr>
          <w:p w14:paraId="711978F5">
            <w:pPr>
              <w:pStyle w:val="9"/>
              <w:keepNext/>
              <w:spacing w:line="240" w:lineRule="auto"/>
              <w:ind w:left="63" w:right="63"/>
              <w:rPr>
                <w:rFonts w:hint="eastAsia" w:ascii="宋体" w:hAnsi="宋体" w:eastAsia="宋体" w:cs="宋体"/>
                <w:color w:val="auto"/>
                <w:sz w:val="24"/>
                <w:szCs w:val="24"/>
                <w:highlight w:val="none"/>
              </w:rPr>
            </w:pPr>
          </w:p>
        </w:tc>
        <w:tc>
          <w:tcPr>
            <w:tcW w:w="1044" w:type="dxa"/>
            <w:tcBorders>
              <w:top w:val="double" w:color="auto" w:sz="2" w:space="0"/>
              <w:left w:val="single" w:color="auto" w:sz="6" w:space="0"/>
              <w:bottom w:val="single" w:color="auto" w:sz="6" w:space="0"/>
              <w:right w:val="single" w:color="auto" w:sz="6" w:space="0"/>
            </w:tcBorders>
            <w:noWrap w:val="0"/>
            <w:vAlign w:val="center"/>
          </w:tcPr>
          <w:p w14:paraId="274186AA">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double" w:color="auto" w:sz="2" w:space="0"/>
              <w:left w:val="single" w:color="auto" w:sz="6" w:space="0"/>
              <w:bottom w:val="single" w:color="auto" w:sz="6" w:space="0"/>
              <w:right w:val="single" w:color="auto" w:sz="6" w:space="0"/>
            </w:tcBorders>
            <w:noWrap w:val="0"/>
            <w:vAlign w:val="center"/>
          </w:tcPr>
          <w:p w14:paraId="1B43A8CA">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double" w:color="auto" w:sz="2" w:space="0"/>
              <w:left w:val="single" w:color="auto" w:sz="6" w:space="0"/>
              <w:bottom w:val="single" w:color="auto" w:sz="6" w:space="0"/>
              <w:right w:val="single" w:color="auto" w:sz="6" w:space="0"/>
            </w:tcBorders>
            <w:noWrap w:val="0"/>
            <w:vAlign w:val="center"/>
          </w:tcPr>
          <w:p w14:paraId="0F7C6C66">
            <w:pPr>
              <w:pStyle w:val="9"/>
              <w:keepNext/>
              <w:spacing w:line="240" w:lineRule="auto"/>
              <w:ind w:left="63" w:right="63"/>
              <w:rPr>
                <w:rFonts w:hint="eastAsia" w:ascii="宋体" w:hAnsi="宋体" w:eastAsia="宋体" w:cs="宋体"/>
                <w:color w:val="auto"/>
                <w:sz w:val="24"/>
                <w:szCs w:val="24"/>
                <w:highlight w:val="none"/>
              </w:rPr>
            </w:pPr>
          </w:p>
        </w:tc>
        <w:tc>
          <w:tcPr>
            <w:tcW w:w="1487" w:type="dxa"/>
            <w:tcBorders>
              <w:top w:val="double" w:color="auto" w:sz="2" w:space="0"/>
              <w:left w:val="single" w:color="auto" w:sz="6" w:space="0"/>
              <w:bottom w:val="single" w:color="auto" w:sz="6" w:space="0"/>
              <w:right w:val="single" w:color="auto" w:sz="6" w:space="0"/>
            </w:tcBorders>
            <w:noWrap w:val="0"/>
            <w:vAlign w:val="center"/>
          </w:tcPr>
          <w:p w14:paraId="65603EE9">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double" w:color="auto" w:sz="2" w:space="0"/>
              <w:left w:val="single" w:color="auto" w:sz="6" w:space="0"/>
              <w:bottom w:val="single" w:color="auto" w:sz="6" w:space="0"/>
              <w:right w:val="single" w:color="auto" w:sz="12" w:space="0"/>
            </w:tcBorders>
            <w:noWrap w:val="0"/>
            <w:vAlign w:val="center"/>
          </w:tcPr>
          <w:p w14:paraId="7C77E1B4">
            <w:pPr>
              <w:pStyle w:val="9"/>
              <w:keepNext/>
              <w:spacing w:line="240" w:lineRule="auto"/>
              <w:ind w:left="63" w:right="63"/>
              <w:rPr>
                <w:rFonts w:hint="eastAsia" w:ascii="宋体" w:hAnsi="宋体" w:eastAsia="宋体" w:cs="宋体"/>
                <w:color w:val="auto"/>
                <w:sz w:val="24"/>
                <w:szCs w:val="24"/>
                <w:highlight w:val="none"/>
              </w:rPr>
            </w:pPr>
          </w:p>
        </w:tc>
      </w:tr>
      <w:tr w14:paraId="7807324A">
        <w:tblPrEx>
          <w:tblCellMar>
            <w:top w:w="0" w:type="dxa"/>
            <w:left w:w="28" w:type="dxa"/>
            <w:bottom w:w="0" w:type="dxa"/>
            <w:right w:w="28" w:type="dxa"/>
          </w:tblCellMar>
        </w:tblPrEx>
        <w:trPr>
          <w:trHeight w:val="567" w:hRule="atLeast"/>
          <w:jc w:val="center"/>
        </w:trPr>
        <w:tc>
          <w:tcPr>
            <w:tcW w:w="851" w:type="dxa"/>
            <w:tcBorders>
              <w:top w:val="nil"/>
              <w:left w:val="single" w:color="auto" w:sz="12" w:space="0"/>
              <w:bottom w:val="single" w:color="auto" w:sz="6" w:space="0"/>
              <w:right w:val="single" w:color="auto" w:sz="6" w:space="0"/>
            </w:tcBorders>
            <w:noWrap w:val="0"/>
            <w:vAlign w:val="center"/>
          </w:tcPr>
          <w:p w14:paraId="645A9C01">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nil"/>
              <w:left w:val="single" w:color="auto" w:sz="6" w:space="0"/>
              <w:bottom w:val="single" w:color="auto" w:sz="6" w:space="0"/>
              <w:right w:val="single" w:color="auto" w:sz="6" w:space="0"/>
            </w:tcBorders>
            <w:noWrap w:val="0"/>
            <w:vAlign w:val="center"/>
          </w:tcPr>
          <w:p w14:paraId="2B2C7380">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nil"/>
              <w:left w:val="single" w:color="auto" w:sz="6" w:space="0"/>
              <w:bottom w:val="single" w:color="auto" w:sz="6" w:space="0"/>
              <w:right w:val="single" w:color="auto" w:sz="6" w:space="0"/>
            </w:tcBorders>
            <w:noWrap w:val="0"/>
            <w:vAlign w:val="center"/>
          </w:tcPr>
          <w:p w14:paraId="300703FC">
            <w:pPr>
              <w:pStyle w:val="9"/>
              <w:keepNext/>
              <w:spacing w:line="240" w:lineRule="auto"/>
              <w:ind w:left="63" w:right="63"/>
              <w:rPr>
                <w:rFonts w:hint="eastAsia" w:ascii="宋体" w:hAnsi="宋体" w:eastAsia="宋体" w:cs="宋体"/>
                <w:color w:val="auto"/>
                <w:sz w:val="24"/>
                <w:szCs w:val="24"/>
                <w:highlight w:val="none"/>
              </w:rPr>
            </w:pPr>
          </w:p>
        </w:tc>
        <w:tc>
          <w:tcPr>
            <w:tcW w:w="940" w:type="dxa"/>
            <w:tcBorders>
              <w:top w:val="nil"/>
              <w:left w:val="single" w:color="auto" w:sz="6" w:space="0"/>
              <w:bottom w:val="single" w:color="auto" w:sz="6" w:space="0"/>
              <w:right w:val="single" w:color="auto" w:sz="6" w:space="0"/>
            </w:tcBorders>
            <w:noWrap w:val="0"/>
            <w:vAlign w:val="center"/>
          </w:tcPr>
          <w:p w14:paraId="5E943736">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center"/>
          </w:tcPr>
          <w:p w14:paraId="6CC6A64E">
            <w:pPr>
              <w:pStyle w:val="9"/>
              <w:keepNext/>
              <w:spacing w:line="240" w:lineRule="auto"/>
              <w:ind w:left="63" w:right="63"/>
              <w:rPr>
                <w:rFonts w:hint="eastAsia" w:ascii="宋体" w:hAnsi="宋体" w:eastAsia="宋体" w:cs="宋体"/>
                <w:color w:val="auto"/>
                <w:sz w:val="24"/>
                <w:szCs w:val="24"/>
                <w:highlight w:val="none"/>
              </w:rPr>
            </w:pPr>
          </w:p>
        </w:tc>
        <w:tc>
          <w:tcPr>
            <w:tcW w:w="1044" w:type="dxa"/>
            <w:tcBorders>
              <w:top w:val="nil"/>
              <w:left w:val="single" w:color="auto" w:sz="6" w:space="0"/>
              <w:bottom w:val="single" w:color="auto" w:sz="6" w:space="0"/>
              <w:right w:val="single" w:color="auto" w:sz="6" w:space="0"/>
            </w:tcBorders>
            <w:noWrap w:val="0"/>
            <w:vAlign w:val="center"/>
          </w:tcPr>
          <w:p w14:paraId="1AA2019D">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nil"/>
              <w:left w:val="single" w:color="auto" w:sz="6" w:space="0"/>
              <w:bottom w:val="single" w:color="auto" w:sz="6" w:space="0"/>
              <w:right w:val="single" w:color="auto" w:sz="6" w:space="0"/>
            </w:tcBorders>
            <w:noWrap w:val="0"/>
            <w:vAlign w:val="center"/>
          </w:tcPr>
          <w:p w14:paraId="54B5392D">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center"/>
          </w:tcPr>
          <w:p w14:paraId="35AAC962">
            <w:pPr>
              <w:pStyle w:val="9"/>
              <w:keepNext/>
              <w:spacing w:line="240" w:lineRule="auto"/>
              <w:ind w:left="63" w:right="63"/>
              <w:rPr>
                <w:rFonts w:hint="eastAsia" w:ascii="宋体" w:hAnsi="宋体" w:eastAsia="宋体" w:cs="宋体"/>
                <w:color w:val="auto"/>
                <w:sz w:val="24"/>
                <w:szCs w:val="24"/>
                <w:highlight w:val="none"/>
              </w:rPr>
            </w:pPr>
          </w:p>
        </w:tc>
        <w:tc>
          <w:tcPr>
            <w:tcW w:w="1487" w:type="dxa"/>
            <w:tcBorders>
              <w:top w:val="nil"/>
              <w:left w:val="single" w:color="auto" w:sz="6" w:space="0"/>
              <w:bottom w:val="single" w:color="auto" w:sz="6" w:space="0"/>
              <w:right w:val="single" w:color="auto" w:sz="6" w:space="0"/>
            </w:tcBorders>
            <w:noWrap w:val="0"/>
            <w:vAlign w:val="center"/>
          </w:tcPr>
          <w:p w14:paraId="6292109C">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nil"/>
              <w:left w:val="single" w:color="auto" w:sz="6" w:space="0"/>
              <w:bottom w:val="single" w:color="auto" w:sz="6" w:space="0"/>
              <w:right w:val="single" w:color="auto" w:sz="12" w:space="0"/>
            </w:tcBorders>
            <w:noWrap w:val="0"/>
            <w:vAlign w:val="center"/>
          </w:tcPr>
          <w:p w14:paraId="5CF86CA7">
            <w:pPr>
              <w:pStyle w:val="9"/>
              <w:keepNext/>
              <w:spacing w:line="240" w:lineRule="auto"/>
              <w:ind w:left="63" w:right="63"/>
              <w:rPr>
                <w:rFonts w:hint="eastAsia" w:ascii="宋体" w:hAnsi="宋体" w:eastAsia="宋体" w:cs="宋体"/>
                <w:color w:val="auto"/>
                <w:sz w:val="24"/>
                <w:szCs w:val="24"/>
                <w:highlight w:val="none"/>
              </w:rPr>
            </w:pPr>
          </w:p>
        </w:tc>
      </w:tr>
      <w:tr w14:paraId="38C3B2A3">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51645958">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3EA0125A">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78FB717">
            <w:pPr>
              <w:pStyle w:val="9"/>
              <w:keepNext/>
              <w:spacing w:line="240" w:lineRule="auto"/>
              <w:ind w:left="63" w:right="63"/>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3DDC4DBB">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5B3BFA9F">
            <w:pPr>
              <w:pStyle w:val="9"/>
              <w:keepNext/>
              <w:spacing w:line="240" w:lineRule="auto"/>
              <w:ind w:left="63" w:right="63"/>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67508132">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787D87A3">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2A29BE4B">
            <w:pPr>
              <w:pStyle w:val="9"/>
              <w:keepNext/>
              <w:spacing w:line="240" w:lineRule="auto"/>
              <w:ind w:left="63" w:right="63"/>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10A5B135">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48697E1E">
            <w:pPr>
              <w:pStyle w:val="9"/>
              <w:keepNext/>
              <w:spacing w:line="240" w:lineRule="auto"/>
              <w:ind w:left="63" w:right="63"/>
              <w:rPr>
                <w:rFonts w:hint="eastAsia" w:ascii="宋体" w:hAnsi="宋体" w:eastAsia="宋体" w:cs="宋体"/>
                <w:color w:val="auto"/>
                <w:sz w:val="24"/>
                <w:szCs w:val="24"/>
                <w:highlight w:val="none"/>
              </w:rPr>
            </w:pPr>
          </w:p>
        </w:tc>
      </w:tr>
      <w:tr w14:paraId="0E38D33B">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6D04B25C">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3443C43A">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2338F2C">
            <w:pPr>
              <w:pStyle w:val="9"/>
              <w:keepNext/>
              <w:spacing w:line="240" w:lineRule="auto"/>
              <w:ind w:left="63" w:right="63"/>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7CF83F0C">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2754E6F">
            <w:pPr>
              <w:pStyle w:val="9"/>
              <w:keepNext/>
              <w:spacing w:line="240" w:lineRule="auto"/>
              <w:ind w:left="63" w:right="63"/>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4A2CFEAB">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2E7AB868">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A95A9CC">
            <w:pPr>
              <w:pStyle w:val="9"/>
              <w:keepNext/>
              <w:spacing w:line="240" w:lineRule="auto"/>
              <w:ind w:left="63" w:right="63"/>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7417F9DC">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287A01B2">
            <w:pPr>
              <w:pStyle w:val="9"/>
              <w:keepNext/>
              <w:spacing w:line="240" w:lineRule="auto"/>
              <w:ind w:left="63" w:right="63"/>
              <w:rPr>
                <w:rFonts w:hint="eastAsia" w:ascii="宋体" w:hAnsi="宋体" w:eastAsia="宋体" w:cs="宋体"/>
                <w:color w:val="auto"/>
                <w:sz w:val="24"/>
                <w:szCs w:val="24"/>
                <w:highlight w:val="none"/>
              </w:rPr>
            </w:pPr>
          </w:p>
        </w:tc>
      </w:tr>
      <w:tr w14:paraId="1C9204E0">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5DC9E934">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7A824D34">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2FBAC08">
            <w:pPr>
              <w:pStyle w:val="9"/>
              <w:keepNext/>
              <w:spacing w:line="240" w:lineRule="auto"/>
              <w:ind w:left="63" w:right="63"/>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63C8ED5A">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2FB8256A">
            <w:pPr>
              <w:pStyle w:val="9"/>
              <w:keepNext/>
              <w:spacing w:line="240" w:lineRule="auto"/>
              <w:ind w:left="63" w:right="63"/>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79E082C9">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3CBD33BA">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19969E7">
            <w:pPr>
              <w:pStyle w:val="9"/>
              <w:keepNext/>
              <w:spacing w:line="240" w:lineRule="auto"/>
              <w:ind w:left="63" w:right="63"/>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5624A23A">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697BBEE5">
            <w:pPr>
              <w:pStyle w:val="9"/>
              <w:keepNext/>
              <w:spacing w:line="240" w:lineRule="auto"/>
              <w:ind w:left="63" w:right="63"/>
              <w:rPr>
                <w:rFonts w:hint="eastAsia" w:ascii="宋体" w:hAnsi="宋体" w:eastAsia="宋体" w:cs="宋体"/>
                <w:color w:val="auto"/>
                <w:sz w:val="24"/>
                <w:szCs w:val="24"/>
                <w:highlight w:val="none"/>
              </w:rPr>
            </w:pPr>
          </w:p>
        </w:tc>
      </w:tr>
      <w:tr w14:paraId="0C2B7932">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02A2CC02">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3CCDA7B0">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A0EE7F3">
            <w:pPr>
              <w:pStyle w:val="9"/>
              <w:keepNext/>
              <w:spacing w:line="240" w:lineRule="auto"/>
              <w:ind w:left="63" w:right="63"/>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3F50E6EC">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6EC8FFAE">
            <w:pPr>
              <w:pStyle w:val="9"/>
              <w:keepNext/>
              <w:spacing w:line="240" w:lineRule="auto"/>
              <w:ind w:left="63" w:right="63"/>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0C81B9B7">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72C6CE41">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C8797DD">
            <w:pPr>
              <w:pStyle w:val="9"/>
              <w:keepNext/>
              <w:spacing w:line="240" w:lineRule="auto"/>
              <w:ind w:left="63" w:right="63"/>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306B11AB">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58233DE0">
            <w:pPr>
              <w:pStyle w:val="9"/>
              <w:keepNext/>
              <w:spacing w:line="240" w:lineRule="auto"/>
              <w:ind w:left="63" w:right="63"/>
              <w:rPr>
                <w:rFonts w:hint="eastAsia" w:ascii="宋体" w:hAnsi="宋体" w:eastAsia="宋体" w:cs="宋体"/>
                <w:color w:val="auto"/>
                <w:sz w:val="24"/>
                <w:szCs w:val="24"/>
                <w:highlight w:val="none"/>
              </w:rPr>
            </w:pPr>
          </w:p>
        </w:tc>
      </w:tr>
      <w:tr w14:paraId="186B8980">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7F7D3D09">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25A25096">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0115210">
            <w:pPr>
              <w:pStyle w:val="9"/>
              <w:keepNext/>
              <w:spacing w:line="240" w:lineRule="auto"/>
              <w:ind w:left="63" w:right="63"/>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3D2FB8F9">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F61BCB8">
            <w:pPr>
              <w:pStyle w:val="9"/>
              <w:keepNext/>
              <w:spacing w:line="240" w:lineRule="auto"/>
              <w:ind w:left="63" w:right="63"/>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27F388AC">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0755A95F">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02C69058">
            <w:pPr>
              <w:pStyle w:val="9"/>
              <w:keepNext/>
              <w:spacing w:line="240" w:lineRule="auto"/>
              <w:ind w:left="63" w:right="63"/>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227C20E4">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4344A5D7">
            <w:pPr>
              <w:pStyle w:val="9"/>
              <w:keepNext/>
              <w:spacing w:line="240" w:lineRule="auto"/>
              <w:ind w:left="63" w:right="63"/>
              <w:rPr>
                <w:rFonts w:hint="eastAsia" w:ascii="宋体" w:hAnsi="宋体" w:eastAsia="宋体" w:cs="宋体"/>
                <w:color w:val="auto"/>
                <w:sz w:val="24"/>
                <w:szCs w:val="24"/>
                <w:highlight w:val="none"/>
              </w:rPr>
            </w:pPr>
          </w:p>
        </w:tc>
      </w:tr>
      <w:tr w14:paraId="31DA4047">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5C4A650F">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61C98314">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D3E2FB0">
            <w:pPr>
              <w:pStyle w:val="9"/>
              <w:keepNext/>
              <w:spacing w:line="240" w:lineRule="auto"/>
              <w:ind w:left="63" w:right="63"/>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60D042A0">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31F028E">
            <w:pPr>
              <w:pStyle w:val="9"/>
              <w:keepNext/>
              <w:spacing w:line="240" w:lineRule="auto"/>
              <w:ind w:left="63" w:right="63"/>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4E744A00">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43276145">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1737847">
            <w:pPr>
              <w:pStyle w:val="9"/>
              <w:keepNext/>
              <w:spacing w:line="240" w:lineRule="auto"/>
              <w:ind w:left="63" w:right="63"/>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13BA59FF">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11CA8CDF">
            <w:pPr>
              <w:pStyle w:val="9"/>
              <w:keepNext/>
              <w:spacing w:line="240" w:lineRule="auto"/>
              <w:ind w:left="63" w:right="63"/>
              <w:rPr>
                <w:rFonts w:hint="eastAsia" w:ascii="宋体" w:hAnsi="宋体" w:eastAsia="宋体" w:cs="宋体"/>
                <w:color w:val="auto"/>
                <w:sz w:val="24"/>
                <w:szCs w:val="24"/>
                <w:highlight w:val="none"/>
              </w:rPr>
            </w:pPr>
          </w:p>
        </w:tc>
      </w:tr>
      <w:tr w14:paraId="3FC63463">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297F9608">
            <w:pPr>
              <w:spacing w:line="240" w:lineRule="auto"/>
              <w:jc w:val="center"/>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351CFF2E">
            <w:pPr>
              <w:spacing w:line="240" w:lineRule="auto"/>
              <w:jc w:val="center"/>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F2DC75C">
            <w:pPr>
              <w:spacing w:line="240" w:lineRule="auto"/>
              <w:jc w:val="center"/>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6091DBAF">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557F73FD">
            <w:pPr>
              <w:spacing w:line="240" w:lineRule="auto"/>
              <w:jc w:val="center"/>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1E936985">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308CBF6B">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6F1BD67">
            <w:pPr>
              <w:spacing w:line="240" w:lineRule="auto"/>
              <w:jc w:val="center"/>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358A6478">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73C8033C">
            <w:pPr>
              <w:spacing w:line="240" w:lineRule="auto"/>
              <w:jc w:val="center"/>
              <w:rPr>
                <w:rFonts w:hint="eastAsia" w:ascii="宋体" w:hAnsi="宋体" w:eastAsia="宋体" w:cs="宋体"/>
                <w:color w:val="auto"/>
                <w:sz w:val="24"/>
                <w:szCs w:val="24"/>
                <w:highlight w:val="none"/>
              </w:rPr>
            </w:pPr>
          </w:p>
        </w:tc>
      </w:tr>
      <w:tr w14:paraId="29BB60B4">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4125B688">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228C48A7">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06A06A4">
            <w:pPr>
              <w:pStyle w:val="9"/>
              <w:keepNext/>
              <w:spacing w:line="240" w:lineRule="auto"/>
              <w:ind w:left="63" w:right="63"/>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5CBDAAC4">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10A9793">
            <w:pPr>
              <w:pStyle w:val="9"/>
              <w:keepNext/>
              <w:spacing w:line="240" w:lineRule="auto"/>
              <w:ind w:left="63" w:right="63"/>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4BB9DF4F">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799E37E7">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11BEFAE">
            <w:pPr>
              <w:pStyle w:val="9"/>
              <w:keepNext/>
              <w:spacing w:line="240" w:lineRule="auto"/>
              <w:ind w:left="63" w:right="63"/>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429BE795">
            <w:pPr>
              <w:pStyle w:val="9"/>
              <w:keepNext/>
              <w:spacing w:line="240" w:lineRule="auto"/>
              <w:ind w:left="63" w:right="63"/>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32EA8F94">
            <w:pPr>
              <w:pStyle w:val="9"/>
              <w:keepNext/>
              <w:spacing w:line="240" w:lineRule="auto"/>
              <w:ind w:left="63" w:right="63"/>
              <w:rPr>
                <w:rFonts w:hint="eastAsia" w:ascii="宋体" w:hAnsi="宋体" w:eastAsia="宋体" w:cs="宋体"/>
                <w:color w:val="auto"/>
                <w:sz w:val="24"/>
                <w:szCs w:val="24"/>
                <w:highlight w:val="none"/>
              </w:rPr>
            </w:pPr>
          </w:p>
        </w:tc>
      </w:tr>
      <w:tr w14:paraId="41E53821">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06920F5B">
            <w:pPr>
              <w:spacing w:line="240" w:lineRule="auto"/>
              <w:jc w:val="center"/>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1AFCEE13">
            <w:pPr>
              <w:spacing w:line="240" w:lineRule="auto"/>
              <w:jc w:val="center"/>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4746D42">
            <w:pPr>
              <w:spacing w:line="240" w:lineRule="auto"/>
              <w:jc w:val="center"/>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43F88BFB">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0D603036">
            <w:pPr>
              <w:spacing w:line="240" w:lineRule="auto"/>
              <w:jc w:val="center"/>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587DE6A1">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14BEF9E9">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0F4A2228">
            <w:pPr>
              <w:spacing w:line="240" w:lineRule="auto"/>
              <w:jc w:val="center"/>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1B974B30">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74EA4D36">
            <w:pPr>
              <w:spacing w:line="240" w:lineRule="auto"/>
              <w:jc w:val="center"/>
              <w:rPr>
                <w:rFonts w:hint="eastAsia" w:ascii="宋体" w:hAnsi="宋体" w:eastAsia="宋体" w:cs="宋体"/>
                <w:color w:val="auto"/>
                <w:sz w:val="24"/>
                <w:szCs w:val="24"/>
                <w:highlight w:val="none"/>
              </w:rPr>
            </w:pPr>
          </w:p>
        </w:tc>
      </w:tr>
      <w:tr w14:paraId="08FD12E5">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242FA22F">
            <w:pPr>
              <w:spacing w:line="240" w:lineRule="auto"/>
              <w:jc w:val="center"/>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0206FFB2">
            <w:pPr>
              <w:spacing w:line="240" w:lineRule="auto"/>
              <w:jc w:val="center"/>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15B9E82">
            <w:pPr>
              <w:spacing w:line="240" w:lineRule="auto"/>
              <w:jc w:val="center"/>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3089BDC0">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2457BA78">
            <w:pPr>
              <w:spacing w:line="240" w:lineRule="auto"/>
              <w:jc w:val="center"/>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19BFC8DE">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03CE7656">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1BC98F5">
            <w:pPr>
              <w:spacing w:line="240" w:lineRule="auto"/>
              <w:jc w:val="center"/>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105AE0EE">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5022EBE7">
            <w:pPr>
              <w:spacing w:line="240" w:lineRule="auto"/>
              <w:jc w:val="center"/>
              <w:rPr>
                <w:rFonts w:hint="eastAsia" w:ascii="宋体" w:hAnsi="宋体" w:eastAsia="宋体" w:cs="宋体"/>
                <w:color w:val="auto"/>
                <w:sz w:val="24"/>
                <w:szCs w:val="24"/>
                <w:highlight w:val="none"/>
              </w:rPr>
            </w:pPr>
          </w:p>
        </w:tc>
      </w:tr>
      <w:tr w14:paraId="1972B886">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66C05BC9">
            <w:pPr>
              <w:spacing w:line="240" w:lineRule="auto"/>
              <w:jc w:val="center"/>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0891BBAC">
            <w:pPr>
              <w:spacing w:line="240" w:lineRule="auto"/>
              <w:jc w:val="center"/>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D800F93">
            <w:pPr>
              <w:spacing w:line="240" w:lineRule="auto"/>
              <w:jc w:val="center"/>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739D8090">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086D56F4">
            <w:pPr>
              <w:spacing w:line="240" w:lineRule="auto"/>
              <w:jc w:val="center"/>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0F24C584">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5249A789">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79C90AEA">
            <w:pPr>
              <w:spacing w:line="240" w:lineRule="auto"/>
              <w:jc w:val="center"/>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1630FFE5">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45F96E7C">
            <w:pPr>
              <w:spacing w:line="240" w:lineRule="auto"/>
              <w:jc w:val="center"/>
              <w:rPr>
                <w:rFonts w:hint="eastAsia" w:ascii="宋体" w:hAnsi="宋体" w:eastAsia="宋体" w:cs="宋体"/>
                <w:color w:val="auto"/>
                <w:sz w:val="24"/>
                <w:szCs w:val="24"/>
                <w:highlight w:val="none"/>
              </w:rPr>
            </w:pPr>
          </w:p>
        </w:tc>
      </w:tr>
      <w:tr w14:paraId="7089ADDD">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218245D0">
            <w:pPr>
              <w:spacing w:line="240" w:lineRule="auto"/>
              <w:jc w:val="center"/>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6E7C915A">
            <w:pPr>
              <w:spacing w:line="240" w:lineRule="auto"/>
              <w:jc w:val="center"/>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ADB7E8B">
            <w:pPr>
              <w:spacing w:line="240" w:lineRule="auto"/>
              <w:jc w:val="center"/>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5C111DEB">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B394B8A">
            <w:pPr>
              <w:spacing w:line="240" w:lineRule="auto"/>
              <w:jc w:val="center"/>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7699EB96">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3F5EEB28">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4319537">
            <w:pPr>
              <w:spacing w:line="240" w:lineRule="auto"/>
              <w:jc w:val="center"/>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4025AA9E">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2A39245E">
            <w:pPr>
              <w:spacing w:line="240" w:lineRule="auto"/>
              <w:jc w:val="center"/>
              <w:rPr>
                <w:rFonts w:hint="eastAsia" w:ascii="宋体" w:hAnsi="宋体" w:eastAsia="宋体" w:cs="宋体"/>
                <w:color w:val="auto"/>
                <w:sz w:val="24"/>
                <w:szCs w:val="24"/>
                <w:highlight w:val="none"/>
              </w:rPr>
            </w:pPr>
          </w:p>
        </w:tc>
      </w:tr>
      <w:tr w14:paraId="6CBBAA97">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458080FC">
            <w:pPr>
              <w:spacing w:line="240" w:lineRule="auto"/>
              <w:jc w:val="center"/>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7EA285D8">
            <w:pPr>
              <w:spacing w:line="240" w:lineRule="auto"/>
              <w:jc w:val="center"/>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1E9BA49">
            <w:pPr>
              <w:spacing w:line="240" w:lineRule="auto"/>
              <w:jc w:val="center"/>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7D032DC4">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A60F468">
            <w:pPr>
              <w:spacing w:line="240" w:lineRule="auto"/>
              <w:jc w:val="center"/>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557674EC">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05AB1632">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7E1A01D">
            <w:pPr>
              <w:spacing w:line="240" w:lineRule="auto"/>
              <w:jc w:val="center"/>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0F682FEE">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448663C1">
            <w:pPr>
              <w:spacing w:line="240" w:lineRule="auto"/>
              <w:jc w:val="center"/>
              <w:rPr>
                <w:rFonts w:hint="eastAsia" w:ascii="宋体" w:hAnsi="宋体" w:eastAsia="宋体" w:cs="宋体"/>
                <w:color w:val="auto"/>
                <w:sz w:val="24"/>
                <w:szCs w:val="24"/>
                <w:highlight w:val="none"/>
              </w:rPr>
            </w:pPr>
          </w:p>
        </w:tc>
      </w:tr>
      <w:tr w14:paraId="60A3490B">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775B9BC9">
            <w:pPr>
              <w:spacing w:line="240" w:lineRule="auto"/>
              <w:jc w:val="center"/>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20F049E5">
            <w:pPr>
              <w:spacing w:line="240" w:lineRule="auto"/>
              <w:jc w:val="center"/>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0817FBF">
            <w:pPr>
              <w:spacing w:line="240" w:lineRule="auto"/>
              <w:jc w:val="center"/>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3C1DFECD">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06381E29">
            <w:pPr>
              <w:spacing w:line="240" w:lineRule="auto"/>
              <w:jc w:val="center"/>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6EDB995F">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0FB3FBB4">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03FE423">
            <w:pPr>
              <w:spacing w:line="240" w:lineRule="auto"/>
              <w:jc w:val="center"/>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2D81CC17">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2FCFA672">
            <w:pPr>
              <w:spacing w:line="240" w:lineRule="auto"/>
              <w:jc w:val="center"/>
              <w:rPr>
                <w:rFonts w:hint="eastAsia" w:ascii="宋体" w:hAnsi="宋体" w:eastAsia="宋体" w:cs="宋体"/>
                <w:color w:val="auto"/>
                <w:sz w:val="24"/>
                <w:szCs w:val="24"/>
                <w:highlight w:val="none"/>
              </w:rPr>
            </w:pPr>
          </w:p>
        </w:tc>
      </w:tr>
      <w:tr w14:paraId="4169BEAD">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6" w:space="0"/>
              <w:right w:val="single" w:color="auto" w:sz="6" w:space="0"/>
            </w:tcBorders>
            <w:noWrap w:val="0"/>
            <w:vAlign w:val="center"/>
          </w:tcPr>
          <w:p w14:paraId="7E50D006">
            <w:pPr>
              <w:spacing w:line="240" w:lineRule="auto"/>
              <w:jc w:val="center"/>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7F5D0CAD">
            <w:pPr>
              <w:spacing w:line="240" w:lineRule="auto"/>
              <w:jc w:val="center"/>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18472040">
            <w:pPr>
              <w:spacing w:line="240" w:lineRule="auto"/>
              <w:jc w:val="center"/>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6" w:space="0"/>
              <w:right w:val="single" w:color="auto" w:sz="6" w:space="0"/>
            </w:tcBorders>
            <w:noWrap w:val="0"/>
            <w:vAlign w:val="center"/>
          </w:tcPr>
          <w:p w14:paraId="44DFE25A">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7452C42">
            <w:pPr>
              <w:spacing w:line="240" w:lineRule="auto"/>
              <w:jc w:val="center"/>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6" w:space="0"/>
              <w:right w:val="single" w:color="auto" w:sz="6" w:space="0"/>
            </w:tcBorders>
            <w:noWrap w:val="0"/>
            <w:vAlign w:val="center"/>
          </w:tcPr>
          <w:p w14:paraId="51D57044">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6" w:space="0"/>
            </w:tcBorders>
            <w:noWrap w:val="0"/>
            <w:vAlign w:val="center"/>
          </w:tcPr>
          <w:p w14:paraId="5E23EDE8">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7AE1FB2">
            <w:pPr>
              <w:spacing w:line="240" w:lineRule="auto"/>
              <w:jc w:val="center"/>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6" w:space="0"/>
              <w:right w:val="single" w:color="auto" w:sz="6" w:space="0"/>
            </w:tcBorders>
            <w:noWrap w:val="0"/>
            <w:vAlign w:val="center"/>
          </w:tcPr>
          <w:p w14:paraId="78053435">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6" w:space="0"/>
              <w:right w:val="single" w:color="auto" w:sz="12" w:space="0"/>
            </w:tcBorders>
            <w:noWrap w:val="0"/>
            <w:vAlign w:val="center"/>
          </w:tcPr>
          <w:p w14:paraId="3DFFD175">
            <w:pPr>
              <w:spacing w:line="240" w:lineRule="auto"/>
              <w:jc w:val="center"/>
              <w:rPr>
                <w:rFonts w:hint="eastAsia" w:ascii="宋体" w:hAnsi="宋体" w:eastAsia="宋体" w:cs="宋体"/>
                <w:color w:val="auto"/>
                <w:sz w:val="24"/>
                <w:szCs w:val="24"/>
                <w:highlight w:val="none"/>
              </w:rPr>
            </w:pPr>
          </w:p>
        </w:tc>
      </w:tr>
      <w:tr w14:paraId="0F4CED4B">
        <w:tblPrEx>
          <w:tblCellMar>
            <w:top w:w="0" w:type="dxa"/>
            <w:left w:w="28" w:type="dxa"/>
            <w:bottom w:w="0" w:type="dxa"/>
            <w:right w:w="28" w:type="dxa"/>
          </w:tblCellMar>
        </w:tblPrEx>
        <w:trPr>
          <w:trHeight w:val="567" w:hRule="atLeast"/>
          <w:jc w:val="center"/>
        </w:trPr>
        <w:tc>
          <w:tcPr>
            <w:tcW w:w="851" w:type="dxa"/>
            <w:tcBorders>
              <w:top w:val="single" w:color="auto" w:sz="6" w:space="0"/>
              <w:left w:val="single" w:color="auto" w:sz="12" w:space="0"/>
              <w:bottom w:val="single" w:color="auto" w:sz="12" w:space="0"/>
              <w:right w:val="single" w:color="auto" w:sz="6" w:space="0"/>
            </w:tcBorders>
            <w:noWrap w:val="0"/>
            <w:vAlign w:val="center"/>
          </w:tcPr>
          <w:p w14:paraId="3785300A">
            <w:pPr>
              <w:spacing w:line="240" w:lineRule="auto"/>
              <w:jc w:val="center"/>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12" w:space="0"/>
              <w:right w:val="single" w:color="auto" w:sz="6" w:space="0"/>
            </w:tcBorders>
            <w:noWrap w:val="0"/>
            <w:vAlign w:val="center"/>
          </w:tcPr>
          <w:p w14:paraId="3E3D55BC">
            <w:pPr>
              <w:spacing w:line="240" w:lineRule="auto"/>
              <w:jc w:val="center"/>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12" w:space="0"/>
              <w:right w:val="single" w:color="auto" w:sz="6" w:space="0"/>
            </w:tcBorders>
            <w:noWrap w:val="0"/>
            <w:vAlign w:val="center"/>
          </w:tcPr>
          <w:p w14:paraId="1367101F">
            <w:pPr>
              <w:spacing w:line="240" w:lineRule="auto"/>
              <w:jc w:val="center"/>
              <w:rPr>
                <w:rFonts w:hint="eastAsia" w:ascii="宋体" w:hAnsi="宋体" w:eastAsia="宋体" w:cs="宋体"/>
                <w:color w:val="auto"/>
                <w:sz w:val="24"/>
                <w:szCs w:val="24"/>
                <w:highlight w:val="none"/>
              </w:rPr>
            </w:pPr>
          </w:p>
        </w:tc>
        <w:tc>
          <w:tcPr>
            <w:tcW w:w="940" w:type="dxa"/>
            <w:tcBorders>
              <w:top w:val="single" w:color="auto" w:sz="6" w:space="0"/>
              <w:left w:val="single" w:color="auto" w:sz="6" w:space="0"/>
              <w:bottom w:val="single" w:color="auto" w:sz="12" w:space="0"/>
              <w:right w:val="single" w:color="auto" w:sz="6" w:space="0"/>
            </w:tcBorders>
            <w:noWrap w:val="0"/>
            <w:vAlign w:val="center"/>
          </w:tcPr>
          <w:p w14:paraId="3E85C6B5">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12" w:space="0"/>
              <w:right w:val="single" w:color="auto" w:sz="6" w:space="0"/>
            </w:tcBorders>
            <w:noWrap w:val="0"/>
            <w:vAlign w:val="center"/>
          </w:tcPr>
          <w:p w14:paraId="516FE81C">
            <w:pPr>
              <w:spacing w:line="240" w:lineRule="auto"/>
              <w:jc w:val="center"/>
              <w:rPr>
                <w:rFonts w:hint="eastAsia" w:ascii="宋体" w:hAnsi="宋体" w:eastAsia="宋体" w:cs="宋体"/>
                <w:color w:val="auto"/>
                <w:sz w:val="24"/>
                <w:szCs w:val="24"/>
                <w:highlight w:val="none"/>
              </w:rPr>
            </w:pPr>
          </w:p>
        </w:tc>
        <w:tc>
          <w:tcPr>
            <w:tcW w:w="1044" w:type="dxa"/>
            <w:tcBorders>
              <w:top w:val="single" w:color="auto" w:sz="6" w:space="0"/>
              <w:left w:val="single" w:color="auto" w:sz="6" w:space="0"/>
              <w:bottom w:val="single" w:color="auto" w:sz="12" w:space="0"/>
              <w:right w:val="single" w:color="auto" w:sz="6" w:space="0"/>
            </w:tcBorders>
            <w:noWrap w:val="0"/>
            <w:vAlign w:val="center"/>
          </w:tcPr>
          <w:p w14:paraId="3A9D0F92">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12" w:space="0"/>
              <w:right w:val="single" w:color="auto" w:sz="6" w:space="0"/>
            </w:tcBorders>
            <w:noWrap w:val="0"/>
            <w:vAlign w:val="center"/>
          </w:tcPr>
          <w:p w14:paraId="21475465">
            <w:pPr>
              <w:spacing w:line="240" w:lineRule="auto"/>
              <w:jc w:val="center"/>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12" w:space="0"/>
              <w:right w:val="single" w:color="auto" w:sz="6" w:space="0"/>
            </w:tcBorders>
            <w:noWrap w:val="0"/>
            <w:vAlign w:val="center"/>
          </w:tcPr>
          <w:p w14:paraId="355855A7">
            <w:pPr>
              <w:spacing w:line="240" w:lineRule="auto"/>
              <w:jc w:val="center"/>
              <w:rPr>
                <w:rFonts w:hint="eastAsia" w:ascii="宋体" w:hAnsi="宋体" w:eastAsia="宋体" w:cs="宋体"/>
                <w:color w:val="auto"/>
                <w:sz w:val="24"/>
                <w:szCs w:val="24"/>
                <w:highlight w:val="none"/>
              </w:rPr>
            </w:pPr>
          </w:p>
        </w:tc>
        <w:tc>
          <w:tcPr>
            <w:tcW w:w="1487" w:type="dxa"/>
            <w:tcBorders>
              <w:top w:val="single" w:color="auto" w:sz="6" w:space="0"/>
              <w:left w:val="single" w:color="auto" w:sz="6" w:space="0"/>
              <w:bottom w:val="single" w:color="auto" w:sz="12" w:space="0"/>
              <w:right w:val="single" w:color="auto" w:sz="6" w:space="0"/>
            </w:tcBorders>
            <w:noWrap w:val="0"/>
            <w:vAlign w:val="center"/>
          </w:tcPr>
          <w:p w14:paraId="4997D5C6">
            <w:pPr>
              <w:spacing w:line="240" w:lineRule="auto"/>
              <w:jc w:val="center"/>
              <w:rPr>
                <w:rFonts w:hint="eastAsia" w:ascii="宋体" w:hAnsi="宋体" w:eastAsia="宋体" w:cs="宋体"/>
                <w:color w:val="auto"/>
                <w:sz w:val="24"/>
                <w:szCs w:val="24"/>
                <w:highlight w:val="none"/>
              </w:rPr>
            </w:pPr>
          </w:p>
        </w:tc>
        <w:tc>
          <w:tcPr>
            <w:tcW w:w="992" w:type="dxa"/>
            <w:tcBorders>
              <w:top w:val="single" w:color="auto" w:sz="6" w:space="0"/>
              <w:left w:val="single" w:color="auto" w:sz="6" w:space="0"/>
              <w:bottom w:val="single" w:color="auto" w:sz="12" w:space="0"/>
              <w:right w:val="single" w:color="auto" w:sz="12" w:space="0"/>
            </w:tcBorders>
            <w:noWrap w:val="0"/>
            <w:vAlign w:val="center"/>
          </w:tcPr>
          <w:p w14:paraId="046F3320">
            <w:pPr>
              <w:spacing w:line="240" w:lineRule="auto"/>
              <w:jc w:val="center"/>
              <w:rPr>
                <w:rFonts w:hint="eastAsia" w:ascii="宋体" w:hAnsi="宋体" w:eastAsia="宋体" w:cs="宋体"/>
                <w:color w:val="auto"/>
                <w:sz w:val="24"/>
                <w:szCs w:val="24"/>
                <w:highlight w:val="none"/>
              </w:rPr>
            </w:pPr>
          </w:p>
        </w:tc>
      </w:tr>
    </w:tbl>
    <w:p w14:paraId="5D2F5B05">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939D735">
      <w:pPr>
        <w:spacing w:line="240" w:lineRule="auto"/>
        <w:rPr>
          <w:rFonts w:hint="eastAsia" w:ascii="宋体" w:hAnsi="宋体" w:eastAsia="宋体" w:cs="宋体"/>
          <w:color w:val="auto"/>
          <w:sz w:val="24"/>
          <w:szCs w:val="24"/>
          <w:highlight w:val="none"/>
        </w:rPr>
      </w:pPr>
    </w:p>
    <w:p w14:paraId="743AFDE1">
      <w:pPr>
        <w:pStyle w:val="26"/>
        <w:spacing w:line="240" w:lineRule="auto"/>
        <w:rPr>
          <w:rFonts w:hint="eastAsia"/>
          <w:color w:val="auto"/>
          <w:highlight w:val="none"/>
        </w:rPr>
      </w:pPr>
    </w:p>
    <w:p w14:paraId="2EAF8AFC">
      <w:pPr>
        <w:spacing w:line="240" w:lineRule="auto"/>
        <w:rPr>
          <w:rFonts w:hint="eastAsia" w:ascii="宋体" w:hAnsi="宋体" w:eastAsia="宋体" w:cs="宋体"/>
          <w:color w:val="auto"/>
          <w:sz w:val="24"/>
          <w:szCs w:val="24"/>
          <w:highlight w:val="none"/>
        </w:rPr>
      </w:pPr>
    </w:p>
    <w:p w14:paraId="1724085C">
      <w:pPr>
        <w:spacing w:line="240" w:lineRule="auto"/>
        <w:jc w:val="center"/>
        <w:outlineLvl w:val="0"/>
        <w:rPr>
          <w:rFonts w:hint="eastAsia" w:ascii="宋体" w:hAnsi="宋体" w:eastAsia="宋体" w:cs="宋体"/>
          <w:color w:val="auto"/>
          <w:sz w:val="24"/>
          <w:szCs w:val="24"/>
          <w:highlight w:val="none"/>
        </w:rPr>
      </w:pPr>
      <w:bookmarkStart w:id="4193" w:name="_Toc17387"/>
      <w:bookmarkStart w:id="4194" w:name="_Toc5562"/>
      <w:bookmarkStart w:id="4195" w:name="_Toc26518"/>
      <w:bookmarkStart w:id="4196" w:name="_Toc7736"/>
      <w:bookmarkStart w:id="4197" w:name="_Toc4092"/>
      <w:bookmarkStart w:id="4198" w:name="_Toc2067"/>
      <w:bookmarkStart w:id="4199" w:name="_Toc25956"/>
      <w:bookmarkStart w:id="4200" w:name="_Toc26849"/>
      <w:bookmarkStart w:id="4201" w:name="_Toc1655"/>
      <w:bookmarkStart w:id="4202" w:name="_Toc13200"/>
      <w:bookmarkStart w:id="4203" w:name="_Toc9094"/>
      <w:bookmarkStart w:id="4204" w:name="_Toc23387"/>
      <w:bookmarkStart w:id="4205" w:name="_Toc17591"/>
      <w:bookmarkStart w:id="4206" w:name="_Toc27980"/>
      <w:bookmarkStart w:id="4207" w:name="_Toc29484"/>
      <w:r>
        <w:rPr>
          <w:rFonts w:hint="eastAsia" w:ascii="宋体" w:hAnsi="宋体" w:eastAsia="宋体" w:cs="宋体"/>
          <w:color w:val="auto"/>
          <w:sz w:val="24"/>
          <w:szCs w:val="24"/>
          <w:highlight w:val="none"/>
        </w:rPr>
        <w:t>附</w:t>
      </w:r>
      <w:bookmarkStart w:id="4208" w:name="_Toc296891266"/>
      <w:bookmarkEnd w:id="4208"/>
      <w:bookmarkStart w:id="4209" w:name="_Toc296346727"/>
      <w:bookmarkEnd w:id="4209"/>
      <w:bookmarkStart w:id="4210" w:name="_Toc267261693"/>
      <w:bookmarkEnd w:id="4210"/>
      <w:bookmarkStart w:id="4211" w:name="_Toc296891054"/>
      <w:bookmarkEnd w:id="4211"/>
      <w:bookmarkStart w:id="4212" w:name="_Toc296347225"/>
      <w:bookmarkEnd w:id="4212"/>
      <w:bookmarkStart w:id="4213" w:name="_Toc296503226"/>
      <w:bookmarkEnd w:id="4213"/>
      <w:bookmarkStart w:id="4214" w:name="_Toc296944565"/>
      <w:r>
        <w:rPr>
          <w:rFonts w:hint="eastAsia" w:ascii="宋体" w:hAnsi="宋体" w:eastAsia="宋体" w:cs="宋体"/>
          <w:color w:val="auto"/>
          <w:sz w:val="24"/>
          <w:szCs w:val="24"/>
          <w:highlight w:val="none"/>
        </w:rPr>
        <w:t>件3：</w:t>
      </w:r>
      <w:bookmarkEnd w:id="4214"/>
      <w:r>
        <w:rPr>
          <w:rFonts w:hint="eastAsia" w:ascii="宋体" w:hAnsi="宋体" w:eastAsia="宋体" w:cs="宋体"/>
          <w:color w:val="auto"/>
          <w:sz w:val="24"/>
          <w:szCs w:val="24"/>
          <w:highlight w:val="none"/>
        </w:rPr>
        <w:t>工程质量保修书</w:t>
      </w:r>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p>
    <w:p w14:paraId="332EF88B">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09C23F2">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承包人（全称）：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2257A73F">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80F0C69">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（工程全称）签订工程质量保修书。</w:t>
      </w:r>
    </w:p>
    <w:p w14:paraId="521EDC73">
      <w:pPr>
        <w:spacing w:line="240" w:lineRule="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4215" w:name="_Toc9997"/>
      <w:bookmarkStart w:id="4216" w:name="_Toc11737"/>
      <w:bookmarkStart w:id="4217" w:name="_Toc25947"/>
      <w:bookmarkStart w:id="4218" w:name="_Toc24744"/>
      <w:bookmarkStart w:id="4219" w:name="_Toc28190"/>
      <w:bookmarkStart w:id="4220" w:name="_Toc12404"/>
      <w:bookmarkStart w:id="4221" w:name="_Toc20912"/>
      <w:bookmarkStart w:id="4222" w:name="_Toc2920"/>
      <w:bookmarkStart w:id="4223" w:name="_Toc13877"/>
      <w:bookmarkStart w:id="4224" w:name="_Toc32015"/>
      <w:bookmarkStart w:id="4225" w:name="_Toc7219"/>
      <w:bookmarkStart w:id="4226" w:name="_Toc6970"/>
      <w:bookmarkStart w:id="4227" w:name="_Toc7186"/>
      <w:bookmarkStart w:id="4228" w:name="_Toc30806"/>
      <w:bookmarkStart w:id="4229" w:name="_Toc10735"/>
      <w:bookmarkStart w:id="4230" w:name="_Toc30703"/>
      <w:r>
        <w:rPr>
          <w:rFonts w:hint="eastAsia" w:ascii="宋体" w:hAnsi="宋体" w:eastAsia="宋体" w:cs="宋体"/>
          <w:color w:val="auto"/>
          <w:sz w:val="24"/>
          <w:szCs w:val="24"/>
          <w:highlight w:val="none"/>
        </w:rPr>
        <w:t>一、工程质量保修范围和内容</w:t>
      </w:r>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p>
    <w:p w14:paraId="0DEDD1E1">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p>
    <w:p w14:paraId="5D43577D">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248A25D">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w:t>
      </w:r>
    </w:p>
    <w:p w14:paraId="5322E2EE">
      <w:pPr>
        <w:spacing w:line="240" w:lineRule="auto"/>
        <w:outlineLvl w:val="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bookmarkStart w:id="4231" w:name="_Toc19479"/>
      <w:bookmarkStart w:id="4232" w:name="_Toc17061"/>
      <w:bookmarkStart w:id="4233" w:name="_Toc20015"/>
      <w:bookmarkStart w:id="4234" w:name="_Toc7378"/>
      <w:bookmarkStart w:id="4235" w:name="_Toc9839"/>
      <w:bookmarkStart w:id="4236" w:name="_Toc23751"/>
      <w:bookmarkStart w:id="4237" w:name="_Toc13694"/>
      <w:bookmarkStart w:id="4238" w:name="_Toc18731"/>
      <w:bookmarkStart w:id="4239" w:name="_Toc2719"/>
      <w:bookmarkStart w:id="4240" w:name="_Toc22372"/>
      <w:bookmarkStart w:id="4241" w:name="_Toc13618"/>
      <w:bookmarkStart w:id="4242" w:name="_Toc10656"/>
      <w:bookmarkStart w:id="4243" w:name="_Toc8978"/>
      <w:bookmarkStart w:id="4244" w:name="_Toc14805"/>
      <w:bookmarkStart w:id="4245" w:name="_Toc13700"/>
      <w:bookmarkStart w:id="4246" w:name="_Toc24146"/>
      <w:r>
        <w:rPr>
          <w:rFonts w:hint="eastAsia" w:ascii="宋体" w:hAnsi="宋体" w:eastAsia="宋体" w:cs="宋体"/>
          <w:color w:val="auto"/>
          <w:sz w:val="24"/>
          <w:szCs w:val="24"/>
          <w:highlight w:val="none"/>
        </w:rPr>
        <w:t>二、质量保修期</w:t>
      </w:r>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p>
    <w:p w14:paraId="0A967DD6">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根据《建设工程质量管理条例》及有关规定，工程的质量保修期如下：</w:t>
      </w:r>
    </w:p>
    <w:p w14:paraId="4AF72BC9">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1．地基基础工程和主体结构工程为设计文件规定的工程合理使用年限；</w:t>
      </w:r>
    </w:p>
    <w:p w14:paraId="519F2EE3">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2．屋面防水工程、有防水要求的卫生间、房间和外墙面的防渗     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p>
    <w:p w14:paraId="01152FFA">
      <w:pPr>
        <w:spacing w:line="240" w:lineRule="auto"/>
        <w:ind w:left="400" w:leftChars="200"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3．装修工程为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p>
    <w:p w14:paraId="1934AF86">
      <w:pPr>
        <w:spacing w:line="240" w:lineRule="auto"/>
        <w:ind w:left="400" w:leftChars="200"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4．电气管线、给排水管道、设备安装工程为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p>
    <w:p w14:paraId="7AE4CBEC">
      <w:pPr>
        <w:spacing w:line="240" w:lineRule="auto"/>
        <w:ind w:left="400" w:leftChars="200"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5．供热与供冷系统为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u w:val="none"/>
          <w:lang w:val="en-US" w:eastAsia="zh-CN"/>
        </w:rPr>
        <w:t>个</w:t>
      </w:r>
      <w:r>
        <w:rPr>
          <w:rFonts w:hint="eastAsia" w:ascii="宋体" w:hAnsi="宋体" w:eastAsia="宋体" w:cs="宋体"/>
          <w:color w:val="auto"/>
          <w:sz w:val="24"/>
          <w:szCs w:val="24"/>
          <w:highlight w:val="none"/>
        </w:rPr>
        <w:t>采暖期、供冷期；</w:t>
      </w:r>
    </w:p>
    <w:p w14:paraId="0CAF72E8">
      <w:pPr>
        <w:spacing w:line="240" w:lineRule="auto"/>
        <w:ind w:left="400" w:leftChars="200"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6．住宅小区内的给排水设施、道路等配套工程为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p>
    <w:p w14:paraId="71AD8CA5">
      <w:pPr>
        <w:spacing w:line="240" w:lineRule="auto"/>
        <w:ind w:left="400" w:leftChars="200"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7．其他项目保修期限约定如下：</w:t>
      </w:r>
    </w:p>
    <w:p w14:paraId="2E4B4659">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w:t>
      </w:r>
    </w:p>
    <w:p w14:paraId="13345090">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质量保修期自工程竣工验收合格之日起计算。</w:t>
      </w:r>
    </w:p>
    <w:p w14:paraId="55B21DEC">
      <w:pPr>
        <w:spacing w:line="240" w:lineRule="auto"/>
        <w:ind w:firstLine="480" w:firstLineChars="200"/>
        <w:outlineLvl w:val="0"/>
        <w:rPr>
          <w:rFonts w:hint="eastAsia" w:ascii="宋体" w:hAnsi="宋体" w:eastAsia="宋体" w:cs="宋体"/>
          <w:color w:val="auto"/>
          <w:sz w:val="24"/>
          <w:szCs w:val="24"/>
          <w:highlight w:val="none"/>
        </w:rPr>
      </w:pPr>
      <w:bookmarkStart w:id="4247" w:name="_Toc30990"/>
      <w:bookmarkStart w:id="4248" w:name="_Toc21813"/>
      <w:bookmarkStart w:id="4249" w:name="_Toc17585"/>
      <w:bookmarkStart w:id="4250" w:name="_Toc15060"/>
      <w:bookmarkStart w:id="4251" w:name="_Toc28675"/>
      <w:bookmarkStart w:id="4252" w:name="_Toc8734"/>
      <w:bookmarkStart w:id="4253" w:name="_Toc93"/>
      <w:bookmarkStart w:id="4254" w:name="_Toc21073"/>
      <w:bookmarkStart w:id="4255" w:name="_Toc30301"/>
      <w:bookmarkStart w:id="4256" w:name="_Toc16370"/>
      <w:bookmarkStart w:id="4257" w:name="_Toc6977"/>
      <w:bookmarkStart w:id="4258" w:name="_Toc679"/>
      <w:bookmarkStart w:id="4259" w:name="_Toc31864"/>
      <w:bookmarkStart w:id="4260" w:name="_Toc30797"/>
      <w:bookmarkStart w:id="4261" w:name="_Toc599"/>
      <w:bookmarkStart w:id="4262" w:name="_Toc711"/>
      <w:r>
        <w:rPr>
          <w:rFonts w:hint="eastAsia" w:ascii="宋体" w:hAnsi="宋体" w:eastAsia="宋体" w:cs="宋体"/>
          <w:color w:val="auto"/>
          <w:sz w:val="24"/>
          <w:szCs w:val="24"/>
          <w:highlight w:val="none"/>
        </w:rPr>
        <w:t>三、缺陷责任期</w:t>
      </w:r>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p>
    <w:p w14:paraId="17FD2C11">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工程缺陷责任期为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个月，缺陷责任期自工程通过竣工验收之日起计算。单位工程先于全部工程进行验收，单位工程缺陷责任期自单位工程验收合格之日起算。</w:t>
      </w:r>
    </w:p>
    <w:p w14:paraId="07E17ED8">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缺陷责任期终止后，发包人应退还剩余的质量保证金。</w:t>
      </w:r>
    </w:p>
    <w:p w14:paraId="43DBE24A">
      <w:pPr>
        <w:spacing w:line="240" w:lineRule="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4263" w:name="_Toc12946"/>
      <w:bookmarkStart w:id="4264" w:name="_Toc23142"/>
      <w:bookmarkStart w:id="4265" w:name="_Toc7100"/>
      <w:bookmarkStart w:id="4266" w:name="_Toc9460"/>
      <w:bookmarkStart w:id="4267" w:name="_Toc8486"/>
      <w:bookmarkStart w:id="4268" w:name="_Toc5854"/>
      <w:bookmarkStart w:id="4269" w:name="_Toc4684"/>
      <w:bookmarkStart w:id="4270" w:name="_Toc17095"/>
      <w:bookmarkStart w:id="4271" w:name="_Toc10832"/>
      <w:bookmarkStart w:id="4272" w:name="_Toc6379"/>
      <w:bookmarkStart w:id="4273" w:name="_Toc11327"/>
      <w:bookmarkStart w:id="4274" w:name="_Toc20440"/>
      <w:bookmarkStart w:id="4275" w:name="_Toc7377"/>
      <w:bookmarkStart w:id="4276" w:name="_Toc31806"/>
      <w:bookmarkStart w:id="4277" w:name="_Toc25487"/>
      <w:bookmarkStart w:id="4278" w:name="_Toc6101"/>
      <w:r>
        <w:rPr>
          <w:rFonts w:hint="eastAsia" w:ascii="宋体" w:hAnsi="宋体" w:eastAsia="宋体" w:cs="宋体"/>
          <w:color w:val="auto"/>
          <w:sz w:val="24"/>
          <w:szCs w:val="24"/>
          <w:highlight w:val="none"/>
        </w:rPr>
        <w:t>四、质量保修责任</w:t>
      </w:r>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p>
    <w:p w14:paraId="1B1E5B75">
      <w:pPr>
        <w:spacing w:line="240" w:lineRule="auto"/>
        <w:ind w:left="100" w:leftChars="50" w:firstLine="491" w:firstLineChars="2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1．属于保修范围、内容的项目，承包人应当在接到保修通知之日起7天内派人保修。承包人不在约定期限内派人保修的，发包人可以委托他人修理。</w:t>
      </w:r>
    </w:p>
    <w:p w14:paraId="48045E2F">
      <w:pPr>
        <w:spacing w:line="240" w:lineRule="auto"/>
        <w:ind w:left="100" w:leftChars="50" w:firstLine="491" w:firstLineChars="2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2．发生紧急事故需抢修的，承包人在接到事故通知后，应当立即到达事故现场抢修。</w:t>
      </w:r>
    </w:p>
    <w:p w14:paraId="2427CC29">
      <w:pPr>
        <w:spacing w:line="240" w:lineRule="auto"/>
        <w:ind w:left="100" w:leftChars="50" w:firstLine="491" w:firstLineChars="2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205255C">
      <w:pPr>
        <w:spacing w:line="240" w:lineRule="auto"/>
        <w:ind w:left="400" w:leftChars="200"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4．质量保修完成后，由发包人组织验收。</w:t>
      </w:r>
    </w:p>
    <w:p w14:paraId="3F85C77D">
      <w:pPr>
        <w:spacing w:line="240" w:lineRule="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4279" w:name="_Toc27166"/>
      <w:bookmarkStart w:id="4280" w:name="_Toc10279"/>
      <w:bookmarkStart w:id="4281" w:name="_Toc76"/>
      <w:bookmarkStart w:id="4282" w:name="_Toc30764"/>
      <w:bookmarkStart w:id="4283" w:name="_Toc8899"/>
      <w:bookmarkStart w:id="4284" w:name="_Toc17558"/>
      <w:bookmarkStart w:id="4285" w:name="_Toc1991"/>
      <w:bookmarkStart w:id="4286" w:name="_Toc21438"/>
      <w:bookmarkStart w:id="4287" w:name="_Toc24382"/>
      <w:bookmarkStart w:id="4288" w:name="_Toc20860"/>
      <w:bookmarkStart w:id="4289" w:name="_Toc3800"/>
      <w:bookmarkStart w:id="4290" w:name="_Toc18074"/>
      <w:bookmarkStart w:id="4291" w:name="_Toc28355"/>
      <w:bookmarkStart w:id="4292" w:name="_Toc28291"/>
      <w:bookmarkStart w:id="4293" w:name="_Toc16775"/>
      <w:bookmarkStart w:id="4294" w:name="_Toc13135"/>
      <w:r>
        <w:rPr>
          <w:rFonts w:hint="eastAsia" w:ascii="宋体" w:hAnsi="宋体" w:eastAsia="宋体" w:cs="宋体"/>
          <w:color w:val="auto"/>
          <w:sz w:val="24"/>
          <w:szCs w:val="24"/>
          <w:highlight w:val="none"/>
        </w:rPr>
        <w:t>五、保修费用</w:t>
      </w:r>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p>
    <w:p w14:paraId="257F9342">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保修费用由造成质量缺陷的责任方承担。</w:t>
      </w:r>
    </w:p>
    <w:p w14:paraId="3C145E27">
      <w:pPr>
        <w:spacing w:line="240" w:lineRule="auto"/>
        <w:ind w:firstLine="600"/>
        <w:jc w:val="left"/>
        <w:outlineLvl w:val="0"/>
        <w:rPr>
          <w:rFonts w:hint="eastAsia" w:ascii="宋体" w:hAnsi="宋体" w:eastAsia="宋体" w:cs="宋体"/>
          <w:color w:val="auto"/>
          <w:sz w:val="24"/>
          <w:szCs w:val="24"/>
          <w:highlight w:val="none"/>
        </w:rPr>
      </w:pPr>
      <w:bookmarkStart w:id="4295" w:name="_Toc24567"/>
      <w:bookmarkStart w:id="4296" w:name="_Toc16503"/>
      <w:bookmarkStart w:id="4297" w:name="_Toc30624"/>
      <w:bookmarkStart w:id="4298" w:name="_Toc20322"/>
      <w:bookmarkStart w:id="4299" w:name="_Toc2401"/>
      <w:bookmarkStart w:id="4300" w:name="_Toc24728"/>
      <w:bookmarkStart w:id="4301" w:name="_Toc746"/>
      <w:bookmarkStart w:id="4302" w:name="_Toc7401"/>
      <w:bookmarkStart w:id="4303" w:name="_Toc4429"/>
      <w:bookmarkStart w:id="4304" w:name="_Toc7962"/>
      <w:bookmarkStart w:id="4305" w:name="_Toc11700"/>
      <w:bookmarkStart w:id="4306" w:name="_Toc21195"/>
      <w:bookmarkStart w:id="4307" w:name="_Toc15246"/>
      <w:bookmarkStart w:id="4308" w:name="_Toc6729"/>
      <w:bookmarkStart w:id="4309" w:name="_Toc13978"/>
      <w:bookmarkStart w:id="4310" w:name="_Toc29870"/>
      <w:r>
        <w:rPr>
          <w:rFonts w:hint="eastAsia" w:ascii="宋体" w:hAnsi="宋体" w:eastAsia="宋体" w:cs="宋体"/>
          <w:b/>
          <w:bCs/>
          <w:color w:val="auto"/>
          <w:sz w:val="24"/>
          <w:szCs w:val="24"/>
          <w:highlight w:val="none"/>
        </w:rPr>
        <w:t>六</w:t>
      </w:r>
      <w:r>
        <w:rPr>
          <w:rFonts w:hint="eastAsia" w:ascii="宋体" w:hAnsi="宋体" w:eastAsia="宋体" w:cs="宋体"/>
          <w:color w:val="auto"/>
          <w:sz w:val="24"/>
          <w:szCs w:val="24"/>
          <w:highlight w:val="none"/>
        </w:rPr>
        <w:t>、双方约定的其他工程质量保修事项：</w:t>
      </w:r>
      <w:bookmarkEnd w:id="4295"/>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p>
    <w:p w14:paraId="2285EA86">
      <w:pPr>
        <w:spacing w:line="240" w:lineRule="auto"/>
        <w:ind w:firstLine="456" w:firstLineChars="1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工程质量保修书由发包人、承包人在工程竣工验收前共同签署，作为施工合同附件，其有效期限至保修期满。</w:t>
      </w:r>
    </w:p>
    <w:p w14:paraId="378CCB88">
      <w:pPr>
        <w:spacing w:line="24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43BEC2C">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 承包人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 </w:t>
      </w:r>
    </w:p>
    <w:p w14:paraId="65828E1C">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      </w:t>
      </w:r>
    </w:p>
    <w:p w14:paraId="06964A5B">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6A084BEE">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7EFC3D37">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p>
    <w:p w14:paraId="496D8023">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   </w:t>
      </w:r>
    </w:p>
    <w:p w14:paraId="36F403BF">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p>
    <w:p w14:paraId="1BD8BC41">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p>
    <w:p w14:paraId="222ABE25">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p>
    <w:p w14:paraId="519C4E78">
      <w:pPr>
        <w:spacing w:line="240" w:lineRule="auto"/>
        <w:jc w:val="center"/>
        <w:outlineLvl w:val="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r>
      <w:bookmarkStart w:id="4311" w:name="_Toc20121"/>
      <w:bookmarkStart w:id="4312" w:name="_Toc21078"/>
      <w:bookmarkStart w:id="4313" w:name="_Toc4000"/>
      <w:bookmarkStart w:id="4314" w:name="_Toc19377"/>
      <w:bookmarkStart w:id="4315" w:name="_Toc18277"/>
      <w:bookmarkStart w:id="4316" w:name="_Toc21428"/>
      <w:bookmarkStart w:id="4317" w:name="_Toc23904"/>
      <w:bookmarkStart w:id="4318" w:name="_Toc11024"/>
      <w:bookmarkStart w:id="4319" w:name="_Toc19452"/>
      <w:bookmarkStart w:id="4320" w:name="_Toc5745"/>
      <w:bookmarkStart w:id="4321" w:name="_Toc17526"/>
      <w:bookmarkStart w:id="4322" w:name="_Toc16599"/>
      <w:bookmarkStart w:id="4323" w:name="_Toc12380"/>
      <w:bookmarkStart w:id="4324" w:name="_Toc12080"/>
      <w:bookmarkStart w:id="4325" w:name="_Toc14969"/>
      <w:r>
        <w:rPr>
          <w:rFonts w:hint="eastAsia" w:ascii="宋体" w:hAnsi="宋体" w:eastAsia="宋体" w:cs="宋体"/>
          <w:color w:val="auto"/>
          <w:sz w:val="24"/>
          <w:szCs w:val="24"/>
          <w:highlight w:val="none"/>
        </w:rPr>
        <w:t>附件4：主要建设工程文件目录</w:t>
      </w:r>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p>
    <w:tbl>
      <w:tblPr>
        <w:tblStyle w:val="28"/>
        <w:tblW w:w="9039" w:type="dxa"/>
        <w:jc w:val="center"/>
        <w:tblLayout w:type="fixed"/>
        <w:tblCellMar>
          <w:top w:w="0" w:type="dxa"/>
          <w:left w:w="28" w:type="dxa"/>
          <w:bottom w:w="0" w:type="dxa"/>
          <w:right w:w="28" w:type="dxa"/>
        </w:tblCellMar>
      </w:tblPr>
      <w:tblGrid>
        <w:gridCol w:w="1953"/>
        <w:gridCol w:w="1276"/>
        <w:gridCol w:w="1450"/>
        <w:gridCol w:w="1243"/>
        <w:gridCol w:w="1450"/>
        <w:gridCol w:w="1667"/>
      </w:tblGrid>
      <w:tr w14:paraId="38C42110">
        <w:tblPrEx>
          <w:tblCellMar>
            <w:top w:w="0" w:type="dxa"/>
            <w:left w:w="28" w:type="dxa"/>
            <w:bottom w:w="0" w:type="dxa"/>
            <w:right w:w="28" w:type="dxa"/>
          </w:tblCellMar>
        </w:tblPrEx>
        <w:trPr>
          <w:jc w:val="center"/>
        </w:trPr>
        <w:tc>
          <w:tcPr>
            <w:tcW w:w="1953" w:type="dxa"/>
            <w:tcBorders>
              <w:top w:val="single" w:color="auto" w:sz="12" w:space="0"/>
              <w:left w:val="single" w:color="auto" w:sz="12" w:space="0"/>
              <w:bottom w:val="double" w:color="auto" w:sz="2" w:space="0"/>
              <w:right w:val="single" w:color="auto" w:sz="6" w:space="0"/>
            </w:tcBorders>
            <w:noWrap w:val="0"/>
            <w:vAlign w:val="center"/>
          </w:tcPr>
          <w:p w14:paraId="384898EE">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文件名称</w:t>
            </w:r>
          </w:p>
        </w:tc>
        <w:tc>
          <w:tcPr>
            <w:tcW w:w="1276" w:type="dxa"/>
            <w:tcBorders>
              <w:top w:val="single" w:color="auto" w:sz="12" w:space="0"/>
              <w:left w:val="single" w:color="auto" w:sz="6" w:space="0"/>
              <w:bottom w:val="double" w:color="auto" w:sz="2" w:space="0"/>
              <w:right w:val="single" w:color="auto" w:sz="6" w:space="0"/>
            </w:tcBorders>
            <w:noWrap w:val="0"/>
            <w:vAlign w:val="center"/>
          </w:tcPr>
          <w:p w14:paraId="2DDF6A5B">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套数</w:t>
            </w:r>
          </w:p>
        </w:tc>
        <w:tc>
          <w:tcPr>
            <w:tcW w:w="1450" w:type="dxa"/>
            <w:tcBorders>
              <w:top w:val="single" w:color="auto" w:sz="12" w:space="0"/>
              <w:left w:val="single" w:color="auto" w:sz="6" w:space="0"/>
              <w:bottom w:val="double" w:color="auto" w:sz="2" w:space="0"/>
              <w:right w:val="single" w:color="auto" w:sz="6" w:space="0"/>
            </w:tcBorders>
            <w:noWrap w:val="0"/>
            <w:vAlign w:val="center"/>
          </w:tcPr>
          <w:p w14:paraId="272962CB">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费用（元）</w:t>
            </w:r>
          </w:p>
        </w:tc>
        <w:tc>
          <w:tcPr>
            <w:tcW w:w="1243" w:type="dxa"/>
            <w:tcBorders>
              <w:top w:val="single" w:color="auto" w:sz="12" w:space="0"/>
              <w:left w:val="single" w:color="auto" w:sz="6" w:space="0"/>
              <w:bottom w:val="double" w:color="auto" w:sz="2" w:space="0"/>
              <w:right w:val="single" w:color="auto" w:sz="6" w:space="0"/>
            </w:tcBorders>
            <w:noWrap w:val="0"/>
            <w:vAlign w:val="center"/>
          </w:tcPr>
          <w:p w14:paraId="7B7BA604">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w:t>
            </w:r>
          </w:p>
        </w:tc>
        <w:tc>
          <w:tcPr>
            <w:tcW w:w="1450" w:type="dxa"/>
            <w:tcBorders>
              <w:top w:val="single" w:color="auto" w:sz="12" w:space="0"/>
              <w:left w:val="single" w:color="auto" w:sz="6" w:space="0"/>
              <w:bottom w:val="double" w:color="auto" w:sz="2" w:space="0"/>
              <w:right w:val="single" w:color="auto" w:sz="6" w:space="0"/>
            </w:tcBorders>
            <w:noWrap w:val="0"/>
            <w:vAlign w:val="top"/>
          </w:tcPr>
          <w:p w14:paraId="17DE8660">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移交时间</w:t>
            </w:r>
          </w:p>
        </w:tc>
        <w:tc>
          <w:tcPr>
            <w:tcW w:w="1667" w:type="dxa"/>
            <w:tcBorders>
              <w:top w:val="single" w:color="auto" w:sz="12" w:space="0"/>
              <w:left w:val="single" w:color="auto" w:sz="6" w:space="0"/>
              <w:bottom w:val="double" w:color="auto" w:sz="2" w:space="0"/>
              <w:right w:val="single" w:color="auto" w:sz="12" w:space="0"/>
            </w:tcBorders>
            <w:noWrap w:val="0"/>
            <w:vAlign w:val="top"/>
          </w:tcPr>
          <w:p w14:paraId="379A18A2">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责任人</w:t>
            </w:r>
          </w:p>
        </w:tc>
      </w:tr>
      <w:tr w14:paraId="1250F275">
        <w:tblPrEx>
          <w:tblCellMar>
            <w:top w:w="0" w:type="dxa"/>
            <w:left w:w="28" w:type="dxa"/>
            <w:bottom w:w="0" w:type="dxa"/>
            <w:right w:w="28" w:type="dxa"/>
          </w:tblCellMar>
        </w:tblPrEx>
        <w:trPr>
          <w:trHeight w:val="567" w:hRule="atLeast"/>
          <w:jc w:val="center"/>
        </w:trPr>
        <w:tc>
          <w:tcPr>
            <w:tcW w:w="1953" w:type="dxa"/>
            <w:tcBorders>
              <w:top w:val="double" w:color="auto" w:sz="2" w:space="0"/>
              <w:left w:val="single" w:color="auto" w:sz="12" w:space="0"/>
              <w:bottom w:val="single" w:color="auto" w:sz="6" w:space="0"/>
              <w:right w:val="single" w:color="auto" w:sz="6" w:space="0"/>
            </w:tcBorders>
            <w:noWrap w:val="0"/>
            <w:vAlign w:val="center"/>
          </w:tcPr>
          <w:p w14:paraId="7DAA6CB1">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double" w:color="auto" w:sz="2" w:space="0"/>
              <w:left w:val="single" w:color="auto" w:sz="6" w:space="0"/>
              <w:bottom w:val="single" w:color="auto" w:sz="6" w:space="0"/>
              <w:right w:val="single" w:color="auto" w:sz="6" w:space="0"/>
            </w:tcBorders>
            <w:noWrap w:val="0"/>
            <w:vAlign w:val="center"/>
          </w:tcPr>
          <w:p w14:paraId="67C159E9">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double" w:color="auto" w:sz="2" w:space="0"/>
              <w:left w:val="single" w:color="auto" w:sz="6" w:space="0"/>
              <w:bottom w:val="single" w:color="auto" w:sz="6" w:space="0"/>
              <w:right w:val="single" w:color="auto" w:sz="6" w:space="0"/>
            </w:tcBorders>
            <w:noWrap w:val="0"/>
            <w:vAlign w:val="center"/>
          </w:tcPr>
          <w:p w14:paraId="59BC6D78">
            <w:pPr>
              <w:pStyle w:val="9"/>
              <w:keepNext/>
              <w:spacing w:line="240" w:lineRule="auto"/>
              <w:ind w:left="63" w:right="63"/>
              <w:rPr>
                <w:rFonts w:hint="eastAsia" w:ascii="宋体" w:hAnsi="宋体" w:eastAsia="宋体" w:cs="宋体"/>
                <w:color w:val="auto"/>
                <w:sz w:val="24"/>
                <w:szCs w:val="24"/>
                <w:highlight w:val="none"/>
              </w:rPr>
            </w:pPr>
          </w:p>
        </w:tc>
        <w:tc>
          <w:tcPr>
            <w:tcW w:w="1243" w:type="dxa"/>
            <w:tcBorders>
              <w:top w:val="double" w:color="auto" w:sz="2" w:space="0"/>
              <w:left w:val="single" w:color="auto" w:sz="6" w:space="0"/>
              <w:bottom w:val="single" w:color="auto" w:sz="6" w:space="0"/>
              <w:right w:val="single" w:color="auto" w:sz="6" w:space="0"/>
            </w:tcBorders>
            <w:noWrap w:val="0"/>
            <w:vAlign w:val="center"/>
          </w:tcPr>
          <w:p w14:paraId="6118B47E">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double" w:color="auto" w:sz="2" w:space="0"/>
              <w:left w:val="single" w:color="auto" w:sz="6" w:space="0"/>
              <w:bottom w:val="single" w:color="auto" w:sz="6" w:space="0"/>
              <w:right w:val="single" w:color="auto" w:sz="6" w:space="0"/>
            </w:tcBorders>
            <w:noWrap w:val="0"/>
            <w:vAlign w:val="center"/>
          </w:tcPr>
          <w:p w14:paraId="0BA524A0">
            <w:pPr>
              <w:pStyle w:val="9"/>
              <w:keepNext/>
              <w:spacing w:line="240" w:lineRule="auto"/>
              <w:ind w:left="63" w:right="63"/>
              <w:rPr>
                <w:rFonts w:hint="eastAsia" w:ascii="宋体" w:hAnsi="宋体" w:eastAsia="宋体" w:cs="宋体"/>
                <w:color w:val="auto"/>
                <w:sz w:val="24"/>
                <w:szCs w:val="24"/>
                <w:highlight w:val="none"/>
              </w:rPr>
            </w:pPr>
          </w:p>
        </w:tc>
        <w:tc>
          <w:tcPr>
            <w:tcW w:w="1667" w:type="dxa"/>
            <w:tcBorders>
              <w:top w:val="double" w:color="auto" w:sz="2" w:space="0"/>
              <w:left w:val="single" w:color="auto" w:sz="6" w:space="0"/>
              <w:bottom w:val="single" w:color="auto" w:sz="6" w:space="0"/>
              <w:right w:val="single" w:color="auto" w:sz="12" w:space="0"/>
            </w:tcBorders>
            <w:noWrap w:val="0"/>
            <w:vAlign w:val="center"/>
          </w:tcPr>
          <w:p w14:paraId="0A3153C3">
            <w:pPr>
              <w:pStyle w:val="9"/>
              <w:keepNext/>
              <w:spacing w:line="240" w:lineRule="auto"/>
              <w:ind w:left="63" w:right="63"/>
              <w:rPr>
                <w:rFonts w:hint="eastAsia" w:ascii="宋体" w:hAnsi="宋体" w:eastAsia="宋体" w:cs="宋体"/>
                <w:color w:val="auto"/>
                <w:sz w:val="24"/>
                <w:szCs w:val="24"/>
                <w:highlight w:val="none"/>
              </w:rPr>
            </w:pPr>
          </w:p>
        </w:tc>
      </w:tr>
      <w:tr w14:paraId="167572BD">
        <w:tblPrEx>
          <w:tblCellMar>
            <w:top w:w="0" w:type="dxa"/>
            <w:left w:w="28" w:type="dxa"/>
            <w:bottom w:w="0" w:type="dxa"/>
            <w:right w:w="28" w:type="dxa"/>
          </w:tblCellMar>
        </w:tblPrEx>
        <w:trPr>
          <w:trHeight w:val="567" w:hRule="atLeast"/>
          <w:jc w:val="center"/>
        </w:trPr>
        <w:tc>
          <w:tcPr>
            <w:tcW w:w="1953" w:type="dxa"/>
            <w:tcBorders>
              <w:top w:val="nil"/>
              <w:left w:val="single" w:color="auto" w:sz="12" w:space="0"/>
              <w:bottom w:val="single" w:color="auto" w:sz="6" w:space="0"/>
              <w:right w:val="single" w:color="auto" w:sz="6" w:space="0"/>
            </w:tcBorders>
            <w:noWrap w:val="0"/>
            <w:vAlign w:val="center"/>
          </w:tcPr>
          <w:p w14:paraId="6490397E">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nil"/>
              <w:left w:val="single" w:color="auto" w:sz="6" w:space="0"/>
              <w:bottom w:val="single" w:color="auto" w:sz="6" w:space="0"/>
              <w:right w:val="single" w:color="auto" w:sz="6" w:space="0"/>
            </w:tcBorders>
            <w:noWrap w:val="0"/>
            <w:vAlign w:val="center"/>
          </w:tcPr>
          <w:p w14:paraId="1D46D755">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nil"/>
              <w:left w:val="single" w:color="auto" w:sz="6" w:space="0"/>
              <w:bottom w:val="single" w:color="auto" w:sz="6" w:space="0"/>
              <w:right w:val="single" w:color="auto" w:sz="6" w:space="0"/>
            </w:tcBorders>
            <w:noWrap w:val="0"/>
            <w:vAlign w:val="center"/>
          </w:tcPr>
          <w:p w14:paraId="6ECAD9F1">
            <w:pPr>
              <w:pStyle w:val="9"/>
              <w:keepNext/>
              <w:spacing w:line="240" w:lineRule="auto"/>
              <w:ind w:left="63" w:right="63"/>
              <w:rPr>
                <w:rFonts w:hint="eastAsia" w:ascii="宋体" w:hAnsi="宋体" w:eastAsia="宋体" w:cs="宋体"/>
                <w:color w:val="auto"/>
                <w:sz w:val="24"/>
                <w:szCs w:val="24"/>
                <w:highlight w:val="none"/>
              </w:rPr>
            </w:pPr>
          </w:p>
        </w:tc>
        <w:tc>
          <w:tcPr>
            <w:tcW w:w="1243" w:type="dxa"/>
            <w:tcBorders>
              <w:top w:val="nil"/>
              <w:left w:val="single" w:color="auto" w:sz="6" w:space="0"/>
              <w:bottom w:val="single" w:color="auto" w:sz="6" w:space="0"/>
              <w:right w:val="single" w:color="auto" w:sz="6" w:space="0"/>
            </w:tcBorders>
            <w:noWrap w:val="0"/>
            <w:vAlign w:val="center"/>
          </w:tcPr>
          <w:p w14:paraId="0112AA48">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nil"/>
              <w:left w:val="single" w:color="auto" w:sz="6" w:space="0"/>
              <w:bottom w:val="single" w:color="auto" w:sz="6" w:space="0"/>
              <w:right w:val="single" w:color="auto" w:sz="6" w:space="0"/>
            </w:tcBorders>
            <w:noWrap w:val="0"/>
            <w:vAlign w:val="center"/>
          </w:tcPr>
          <w:p w14:paraId="7D5604B4">
            <w:pPr>
              <w:pStyle w:val="9"/>
              <w:keepNext/>
              <w:spacing w:line="240" w:lineRule="auto"/>
              <w:ind w:left="63" w:right="63"/>
              <w:rPr>
                <w:rFonts w:hint="eastAsia" w:ascii="宋体" w:hAnsi="宋体" w:eastAsia="宋体" w:cs="宋体"/>
                <w:color w:val="auto"/>
                <w:sz w:val="24"/>
                <w:szCs w:val="24"/>
                <w:highlight w:val="none"/>
              </w:rPr>
            </w:pPr>
          </w:p>
        </w:tc>
        <w:tc>
          <w:tcPr>
            <w:tcW w:w="1667" w:type="dxa"/>
            <w:tcBorders>
              <w:top w:val="nil"/>
              <w:left w:val="single" w:color="auto" w:sz="6" w:space="0"/>
              <w:bottom w:val="single" w:color="auto" w:sz="6" w:space="0"/>
              <w:right w:val="single" w:color="auto" w:sz="12" w:space="0"/>
            </w:tcBorders>
            <w:noWrap w:val="0"/>
            <w:vAlign w:val="center"/>
          </w:tcPr>
          <w:p w14:paraId="652DEB8C">
            <w:pPr>
              <w:pStyle w:val="9"/>
              <w:keepNext/>
              <w:spacing w:line="240" w:lineRule="auto"/>
              <w:ind w:left="63" w:right="63"/>
              <w:rPr>
                <w:rFonts w:hint="eastAsia" w:ascii="宋体" w:hAnsi="宋体" w:eastAsia="宋体" w:cs="宋体"/>
                <w:color w:val="auto"/>
                <w:sz w:val="24"/>
                <w:szCs w:val="24"/>
                <w:highlight w:val="none"/>
              </w:rPr>
            </w:pPr>
          </w:p>
        </w:tc>
      </w:tr>
      <w:tr w14:paraId="30222248">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3F37F710">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12DFA5A9">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38AB10FD">
            <w:pPr>
              <w:pStyle w:val="9"/>
              <w:keepNext/>
              <w:spacing w:line="240" w:lineRule="auto"/>
              <w:ind w:left="63" w:right="63"/>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19E8FBE6">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709C7D62">
            <w:pPr>
              <w:pStyle w:val="9"/>
              <w:keepNext/>
              <w:spacing w:line="240" w:lineRule="auto"/>
              <w:ind w:left="63" w:right="63"/>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1F529E10">
            <w:pPr>
              <w:pStyle w:val="9"/>
              <w:keepNext/>
              <w:spacing w:line="240" w:lineRule="auto"/>
              <w:ind w:left="63" w:right="63"/>
              <w:rPr>
                <w:rFonts w:hint="eastAsia" w:ascii="宋体" w:hAnsi="宋体" w:eastAsia="宋体" w:cs="宋体"/>
                <w:color w:val="auto"/>
                <w:sz w:val="24"/>
                <w:szCs w:val="24"/>
                <w:highlight w:val="none"/>
              </w:rPr>
            </w:pPr>
          </w:p>
        </w:tc>
      </w:tr>
      <w:tr w14:paraId="770655C8">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37037621">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22A1D2BE">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7D32917B">
            <w:pPr>
              <w:pStyle w:val="9"/>
              <w:keepNext/>
              <w:spacing w:line="240" w:lineRule="auto"/>
              <w:ind w:left="63" w:right="63"/>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2DBA9301">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7701B70D">
            <w:pPr>
              <w:pStyle w:val="9"/>
              <w:keepNext/>
              <w:spacing w:line="240" w:lineRule="auto"/>
              <w:ind w:left="63" w:right="63"/>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4A9BBDF7">
            <w:pPr>
              <w:pStyle w:val="9"/>
              <w:keepNext/>
              <w:spacing w:line="240" w:lineRule="auto"/>
              <w:ind w:left="63" w:right="63"/>
              <w:rPr>
                <w:rFonts w:hint="eastAsia" w:ascii="宋体" w:hAnsi="宋体" w:eastAsia="宋体" w:cs="宋体"/>
                <w:color w:val="auto"/>
                <w:sz w:val="24"/>
                <w:szCs w:val="24"/>
                <w:highlight w:val="none"/>
              </w:rPr>
            </w:pPr>
          </w:p>
        </w:tc>
      </w:tr>
      <w:tr w14:paraId="756B29D8">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314720D7">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6CE61C1C">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0807B2D7">
            <w:pPr>
              <w:pStyle w:val="9"/>
              <w:keepNext/>
              <w:spacing w:line="240" w:lineRule="auto"/>
              <w:ind w:left="63" w:right="63"/>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04F42EAA">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0E5F59C6">
            <w:pPr>
              <w:pStyle w:val="9"/>
              <w:keepNext/>
              <w:spacing w:line="240" w:lineRule="auto"/>
              <w:ind w:left="63" w:right="63"/>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2187089F">
            <w:pPr>
              <w:pStyle w:val="9"/>
              <w:keepNext/>
              <w:spacing w:line="240" w:lineRule="auto"/>
              <w:ind w:left="63" w:right="63"/>
              <w:rPr>
                <w:rFonts w:hint="eastAsia" w:ascii="宋体" w:hAnsi="宋体" w:eastAsia="宋体" w:cs="宋体"/>
                <w:color w:val="auto"/>
                <w:sz w:val="24"/>
                <w:szCs w:val="24"/>
                <w:highlight w:val="none"/>
              </w:rPr>
            </w:pPr>
          </w:p>
        </w:tc>
      </w:tr>
      <w:tr w14:paraId="428865E7">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0458982B">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79AB095C">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124EA5AD">
            <w:pPr>
              <w:pStyle w:val="9"/>
              <w:keepNext/>
              <w:spacing w:line="240" w:lineRule="auto"/>
              <w:ind w:left="63" w:right="63"/>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080F5E69">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3627F55B">
            <w:pPr>
              <w:pStyle w:val="9"/>
              <w:keepNext/>
              <w:spacing w:line="240" w:lineRule="auto"/>
              <w:ind w:left="63" w:right="63"/>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25F30053">
            <w:pPr>
              <w:pStyle w:val="9"/>
              <w:keepNext/>
              <w:spacing w:line="240" w:lineRule="auto"/>
              <w:ind w:left="63" w:right="63"/>
              <w:rPr>
                <w:rFonts w:hint="eastAsia" w:ascii="宋体" w:hAnsi="宋体" w:eastAsia="宋体" w:cs="宋体"/>
                <w:color w:val="auto"/>
                <w:sz w:val="24"/>
                <w:szCs w:val="24"/>
                <w:highlight w:val="none"/>
              </w:rPr>
            </w:pPr>
          </w:p>
        </w:tc>
      </w:tr>
      <w:tr w14:paraId="071E7D66">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2C365557">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4273158E">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021D1305">
            <w:pPr>
              <w:pStyle w:val="9"/>
              <w:keepNext/>
              <w:spacing w:line="240" w:lineRule="auto"/>
              <w:ind w:left="63" w:right="63"/>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54507C1D">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331FC9F1">
            <w:pPr>
              <w:pStyle w:val="9"/>
              <w:keepNext/>
              <w:spacing w:line="240" w:lineRule="auto"/>
              <w:ind w:left="63" w:right="63"/>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6765E455">
            <w:pPr>
              <w:pStyle w:val="9"/>
              <w:keepNext/>
              <w:spacing w:line="240" w:lineRule="auto"/>
              <w:ind w:left="63" w:right="63"/>
              <w:rPr>
                <w:rFonts w:hint="eastAsia" w:ascii="宋体" w:hAnsi="宋体" w:eastAsia="宋体" w:cs="宋体"/>
                <w:color w:val="auto"/>
                <w:sz w:val="24"/>
                <w:szCs w:val="24"/>
                <w:highlight w:val="none"/>
              </w:rPr>
            </w:pPr>
          </w:p>
        </w:tc>
      </w:tr>
      <w:tr w14:paraId="42AA2782">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17797CD7">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2FD6B95E">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0C2DB70D">
            <w:pPr>
              <w:pStyle w:val="9"/>
              <w:keepNext/>
              <w:spacing w:line="240" w:lineRule="auto"/>
              <w:ind w:left="63" w:right="63"/>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5757E187">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6AE92CB7">
            <w:pPr>
              <w:pStyle w:val="9"/>
              <w:keepNext/>
              <w:spacing w:line="240" w:lineRule="auto"/>
              <w:ind w:left="63" w:right="63"/>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0402EC4D">
            <w:pPr>
              <w:pStyle w:val="9"/>
              <w:keepNext/>
              <w:spacing w:line="240" w:lineRule="auto"/>
              <w:ind w:left="63" w:right="63"/>
              <w:rPr>
                <w:rFonts w:hint="eastAsia" w:ascii="宋体" w:hAnsi="宋体" w:eastAsia="宋体" w:cs="宋体"/>
                <w:color w:val="auto"/>
                <w:sz w:val="24"/>
                <w:szCs w:val="24"/>
                <w:highlight w:val="none"/>
              </w:rPr>
            </w:pPr>
          </w:p>
        </w:tc>
      </w:tr>
      <w:tr w14:paraId="2D3443BF">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08A31D01">
            <w:pPr>
              <w:spacing w:line="240" w:lineRule="auto"/>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73CD63F3">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1CCBF711">
            <w:pPr>
              <w:spacing w:line="240" w:lineRule="auto"/>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6EFFEF85">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5FC79302">
            <w:pPr>
              <w:spacing w:line="240" w:lineRule="auto"/>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41269765">
            <w:pPr>
              <w:spacing w:line="240" w:lineRule="auto"/>
              <w:rPr>
                <w:rFonts w:hint="eastAsia" w:ascii="宋体" w:hAnsi="宋体" w:eastAsia="宋体" w:cs="宋体"/>
                <w:color w:val="auto"/>
                <w:sz w:val="24"/>
                <w:szCs w:val="24"/>
                <w:highlight w:val="none"/>
              </w:rPr>
            </w:pPr>
          </w:p>
        </w:tc>
      </w:tr>
      <w:tr w14:paraId="2163ABA5">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center"/>
          </w:tcPr>
          <w:p w14:paraId="777CA4E0">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center"/>
          </w:tcPr>
          <w:p w14:paraId="71DCE327">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39EF40D4">
            <w:pPr>
              <w:pStyle w:val="9"/>
              <w:keepNext/>
              <w:spacing w:line="240" w:lineRule="auto"/>
              <w:ind w:left="63" w:right="63"/>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center"/>
          </w:tcPr>
          <w:p w14:paraId="1B808D65">
            <w:pPr>
              <w:pStyle w:val="9"/>
              <w:keepNext/>
              <w:spacing w:line="240" w:lineRule="auto"/>
              <w:ind w:left="63" w:right="63"/>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center"/>
          </w:tcPr>
          <w:p w14:paraId="4BE3D5CD">
            <w:pPr>
              <w:pStyle w:val="9"/>
              <w:keepNext/>
              <w:spacing w:line="240" w:lineRule="auto"/>
              <w:ind w:left="63" w:right="63"/>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center"/>
          </w:tcPr>
          <w:p w14:paraId="4F5DFD16">
            <w:pPr>
              <w:pStyle w:val="9"/>
              <w:keepNext/>
              <w:spacing w:line="240" w:lineRule="auto"/>
              <w:ind w:left="63" w:right="63"/>
              <w:rPr>
                <w:rFonts w:hint="eastAsia" w:ascii="宋体" w:hAnsi="宋体" w:eastAsia="宋体" w:cs="宋体"/>
                <w:color w:val="auto"/>
                <w:sz w:val="24"/>
                <w:szCs w:val="24"/>
                <w:highlight w:val="none"/>
              </w:rPr>
            </w:pPr>
          </w:p>
        </w:tc>
      </w:tr>
      <w:tr w14:paraId="08197A4E">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31DA93DC">
            <w:pPr>
              <w:spacing w:line="240" w:lineRule="auto"/>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680B557F">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528B40F7">
            <w:pPr>
              <w:spacing w:line="240" w:lineRule="auto"/>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35099A2D">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4BBE3D7A">
            <w:pPr>
              <w:spacing w:line="240" w:lineRule="auto"/>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5591D524">
            <w:pPr>
              <w:spacing w:line="240" w:lineRule="auto"/>
              <w:rPr>
                <w:rFonts w:hint="eastAsia" w:ascii="宋体" w:hAnsi="宋体" w:eastAsia="宋体" w:cs="宋体"/>
                <w:color w:val="auto"/>
                <w:sz w:val="24"/>
                <w:szCs w:val="24"/>
                <w:highlight w:val="none"/>
              </w:rPr>
            </w:pPr>
          </w:p>
        </w:tc>
      </w:tr>
      <w:tr w14:paraId="29ED03F1">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4DDBD7F3">
            <w:pPr>
              <w:spacing w:line="240" w:lineRule="auto"/>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1467A0C5">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014250CD">
            <w:pPr>
              <w:spacing w:line="240" w:lineRule="auto"/>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6BF991DD">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1AD9220F">
            <w:pPr>
              <w:spacing w:line="240" w:lineRule="auto"/>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24649DDD">
            <w:pPr>
              <w:spacing w:line="240" w:lineRule="auto"/>
              <w:rPr>
                <w:rFonts w:hint="eastAsia" w:ascii="宋体" w:hAnsi="宋体" w:eastAsia="宋体" w:cs="宋体"/>
                <w:color w:val="auto"/>
                <w:sz w:val="24"/>
                <w:szCs w:val="24"/>
                <w:highlight w:val="none"/>
              </w:rPr>
            </w:pPr>
          </w:p>
        </w:tc>
      </w:tr>
      <w:tr w14:paraId="0962CC26">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1FA9234F">
            <w:pPr>
              <w:spacing w:line="240" w:lineRule="auto"/>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4BC4CAE7">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08D747D8">
            <w:pPr>
              <w:spacing w:line="240" w:lineRule="auto"/>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18E63B9E">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2A666C95">
            <w:pPr>
              <w:spacing w:line="240" w:lineRule="auto"/>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0054613F">
            <w:pPr>
              <w:spacing w:line="240" w:lineRule="auto"/>
              <w:rPr>
                <w:rFonts w:hint="eastAsia" w:ascii="宋体" w:hAnsi="宋体" w:eastAsia="宋体" w:cs="宋体"/>
                <w:color w:val="auto"/>
                <w:sz w:val="24"/>
                <w:szCs w:val="24"/>
                <w:highlight w:val="none"/>
              </w:rPr>
            </w:pPr>
          </w:p>
        </w:tc>
      </w:tr>
      <w:tr w14:paraId="24B15EB1">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3C448179">
            <w:pPr>
              <w:spacing w:line="240" w:lineRule="auto"/>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1AD286FD">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47A61D16">
            <w:pPr>
              <w:spacing w:line="240" w:lineRule="auto"/>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14C61522">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3D624ED5">
            <w:pPr>
              <w:spacing w:line="240" w:lineRule="auto"/>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7FA8ABC6">
            <w:pPr>
              <w:spacing w:line="240" w:lineRule="auto"/>
              <w:rPr>
                <w:rFonts w:hint="eastAsia" w:ascii="宋体" w:hAnsi="宋体" w:eastAsia="宋体" w:cs="宋体"/>
                <w:color w:val="auto"/>
                <w:sz w:val="24"/>
                <w:szCs w:val="24"/>
                <w:highlight w:val="none"/>
              </w:rPr>
            </w:pPr>
          </w:p>
        </w:tc>
      </w:tr>
      <w:tr w14:paraId="71B19B99">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162409D4">
            <w:pPr>
              <w:spacing w:line="240" w:lineRule="auto"/>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380D9616">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72AE42A1">
            <w:pPr>
              <w:spacing w:line="240" w:lineRule="auto"/>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49D706EA">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7C715F63">
            <w:pPr>
              <w:spacing w:line="240" w:lineRule="auto"/>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0FC61F8A">
            <w:pPr>
              <w:spacing w:line="240" w:lineRule="auto"/>
              <w:rPr>
                <w:rFonts w:hint="eastAsia" w:ascii="宋体" w:hAnsi="宋体" w:eastAsia="宋体" w:cs="宋体"/>
                <w:color w:val="auto"/>
                <w:sz w:val="24"/>
                <w:szCs w:val="24"/>
                <w:highlight w:val="none"/>
              </w:rPr>
            </w:pPr>
          </w:p>
        </w:tc>
      </w:tr>
      <w:tr w14:paraId="6F632260">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3E00AE03">
            <w:pPr>
              <w:spacing w:line="240" w:lineRule="auto"/>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70D2AFF4">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78FF223D">
            <w:pPr>
              <w:spacing w:line="240" w:lineRule="auto"/>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72DAA35A">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5E4D1DBA">
            <w:pPr>
              <w:spacing w:line="240" w:lineRule="auto"/>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322ADBF4">
            <w:pPr>
              <w:spacing w:line="240" w:lineRule="auto"/>
              <w:rPr>
                <w:rFonts w:hint="eastAsia" w:ascii="宋体" w:hAnsi="宋体" w:eastAsia="宋体" w:cs="宋体"/>
                <w:color w:val="auto"/>
                <w:sz w:val="24"/>
                <w:szCs w:val="24"/>
                <w:highlight w:val="none"/>
              </w:rPr>
            </w:pPr>
          </w:p>
        </w:tc>
      </w:tr>
      <w:tr w14:paraId="1C9631B6">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335EC2ED">
            <w:pPr>
              <w:spacing w:line="240" w:lineRule="auto"/>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4EB231FC">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536D8E78">
            <w:pPr>
              <w:spacing w:line="240" w:lineRule="auto"/>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44F1443E">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3B387E37">
            <w:pPr>
              <w:spacing w:line="240" w:lineRule="auto"/>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015E81A4">
            <w:pPr>
              <w:spacing w:line="240" w:lineRule="auto"/>
              <w:rPr>
                <w:rFonts w:hint="eastAsia" w:ascii="宋体" w:hAnsi="宋体" w:eastAsia="宋体" w:cs="宋体"/>
                <w:color w:val="auto"/>
                <w:sz w:val="24"/>
                <w:szCs w:val="24"/>
                <w:highlight w:val="none"/>
              </w:rPr>
            </w:pPr>
          </w:p>
        </w:tc>
      </w:tr>
      <w:tr w14:paraId="03F2C088">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noWrap w:val="0"/>
            <w:vAlign w:val="top"/>
          </w:tcPr>
          <w:p w14:paraId="5890929C">
            <w:pPr>
              <w:spacing w:line="240" w:lineRule="auto"/>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6" w:space="0"/>
            </w:tcBorders>
            <w:noWrap w:val="0"/>
            <w:vAlign w:val="top"/>
          </w:tcPr>
          <w:p w14:paraId="1A581FD6">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55D55302">
            <w:pPr>
              <w:spacing w:line="240" w:lineRule="auto"/>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6" w:space="0"/>
              <w:right w:val="single" w:color="auto" w:sz="6" w:space="0"/>
            </w:tcBorders>
            <w:noWrap w:val="0"/>
            <w:vAlign w:val="top"/>
          </w:tcPr>
          <w:p w14:paraId="11F65B3B">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6" w:space="0"/>
              <w:right w:val="single" w:color="auto" w:sz="6" w:space="0"/>
            </w:tcBorders>
            <w:noWrap w:val="0"/>
            <w:vAlign w:val="top"/>
          </w:tcPr>
          <w:p w14:paraId="1569C683">
            <w:pPr>
              <w:spacing w:line="240" w:lineRule="auto"/>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6" w:space="0"/>
              <w:right w:val="single" w:color="auto" w:sz="12" w:space="0"/>
            </w:tcBorders>
            <w:noWrap w:val="0"/>
            <w:vAlign w:val="top"/>
          </w:tcPr>
          <w:p w14:paraId="25ECFDD8">
            <w:pPr>
              <w:spacing w:line="240" w:lineRule="auto"/>
              <w:rPr>
                <w:rFonts w:hint="eastAsia" w:ascii="宋体" w:hAnsi="宋体" w:eastAsia="宋体" w:cs="宋体"/>
                <w:color w:val="auto"/>
                <w:sz w:val="24"/>
                <w:szCs w:val="24"/>
                <w:highlight w:val="none"/>
              </w:rPr>
            </w:pPr>
          </w:p>
        </w:tc>
      </w:tr>
      <w:tr w14:paraId="1AEE97E3">
        <w:tblPrEx>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12" w:space="0"/>
              <w:right w:val="single" w:color="auto" w:sz="6" w:space="0"/>
            </w:tcBorders>
            <w:noWrap w:val="0"/>
            <w:vAlign w:val="top"/>
          </w:tcPr>
          <w:p w14:paraId="7FF6BA78">
            <w:pPr>
              <w:spacing w:line="240" w:lineRule="auto"/>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12" w:space="0"/>
              <w:right w:val="single" w:color="auto" w:sz="6" w:space="0"/>
            </w:tcBorders>
            <w:noWrap w:val="0"/>
            <w:vAlign w:val="top"/>
          </w:tcPr>
          <w:p w14:paraId="62E6E502">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12" w:space="0"/>
              <w:right w:val="single" w:color="auto" w:sz="6" w:space="0"/>
            </w:tcBorders>
            <w:noWrap w:val="0"/>
            <w:vAlign w:val="top"/>
          </w:tcPr>
          <w:p w14:paraId="1264ACF3">
            <w:pPr>
              <w:spacing w:line="240" w:lineRule="auto"/>
              <w:rPr>
                <w:rFonts w:hint="eastAsia" w:ascii="宋体" w:hAnsi="宋体" w:eastAsia="宋体" w:cs="宋体"/>
                <w:color w:val="auto"/>
                <w:sz w:val="24"/>
                <w:szCs w:val="24"/>
                <w:highlight w:val="none"/>
              </w:rPr>
            </w:pPr>
          </w:p>
        </w:tc>
        <w:tc>
          <w:tcPr>
            <w:tcW w:w="1243" w:type="dxa"/>
            <w:tcBorders>
              <w:top w:val="single" w:color="auto" w:sz="6" w:space="0"/>
              <w:left w:val="single" w:color="auto" w:sz="6" w:space="0"/>
              <w:bottom w:val="single" w:color="auto" w:sz="12" w:space="0"/>
              <w:right w:val="single" w:color="auto" w:sz="6" w:space="0"/>
            </w:tcBorders>
            <w:noWrap w:val="0"/>
            <w:vAlign w:val="top"/>
          </w:tcPr>
          <w:p w14:paraId="3AA7A490">
            <w:pPr>
              <w:spacing w:line="240" w:lineRule="auto"/>
              <w:rPr>
                <w:rFonts w:hint="eastAsia" w:ascii="宋体" w:hAnsi="宋体" w:eastAsia="宋体" w:cs="宋体"/>
                <w:color w:val="auto"/>
                <w:sz w:val="24"/>
                <w:szCs w:val="24"/>
                <w:highlight w:val="none"/>
              </w:rPr>
            </w:pPr>
          </w:p>
        </w:tc>
        <w:tc>
          <w:tcPr>
            <w:tcW w:w="1450" w:type="dxa"/>
            <w:tcBorders>
              <w:top w:val="single" w:color="auto" w:sz="6" w:space="0"/>
              <w:left w:val="single" w:color="auto" w:sz="6" w:space="0"/>
              <w:bottom w:val="single" w:color="auto" w:sz="12" w:space="0"/>
              <w:right w:val="single" w:color="auto" w:sz="6" w:space="0"/>
            </w:tcBorders>
            <w:noWrap w:val="0"/>
            <w:vAlign w:val="top"/>
          </w:tcPr>
          <w:p w14:paraId="570C6009">
            <w:pPr>
              <w:spacing w:line="240" w:lineRule="auto"/>
              <w:rPr>
                <w:rFonts w:hint="eastAsia" w:ascii="宋体" w:hAnsi="宋体" w:eastAsia="宋体" w:cs="宋体"/>
                <w:color w:val="auto"/>
                <w:sz w:val="24"/>
                <w:szCs w:val="24"/>
                <w:highlight w:val="none"/>
              </w:rPr>
            </w:pPr>
          </w:p>
        </w:tc>
        <w:tc>
          <w:tcPr>
            <w:tcW w:w="1667" w:type="dxa"/>
            <w:tcBorders>
              <w:top w:val="single" w:color="auto" w:sz="6" w:space="0"/>
              <w:left w:val="single" w:color="auto" w:sz="6" w:space="0"/>
              <w:bottom w:val="single" w:color="auto" w:sz="12" w:space="0"/>
              <w:right w:val="single" w:color="auto" w:sz="12" w:space="0"/>
            </w:tcBorders>
            <w:noWrap w:val="0"/>
            <w:vAlign w:val="top"/>
          </w:tcPr>
          <w:p w14:paraId="188D5F14">
            <w:pPr>
              <w:spacing w:line="240" w:lineRule="auto"/>
              <w:rPr>
                <w:rFonts w:hint="eastAsia" w:ascii="宋体" w:hAnsi="宋体" w:eastAsia="宋体" w:cs="宋体"/>
                <w:color w:val="auto"/>
                <w:sz w:val="24"/>
                <w:szCs w:val="24"/>
                <w:highlight w:val="none"/>
              </w:rPr>
            </w:pPr>
          </w:p>
        </w:tc>
      </w:tr>
    </w:tbl>
    <w:p w14:paraId="2868B58D">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A6D95F7">
      <w:pPr>
        <w:spacing w:line="240" w:lineRule="auto"/>
        <w:jc w:val="center"/>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4326" w:name="_Toc7479"/>
      <w:bookmarkStart w:id="4327" w:name="_Toc10649"/>
      <w:bookmarkStart w:id="4328" w:name="_Toc29798"/>
      <w:bookmarkStart w:id="4329" w:name="_Toc29690"/>
      <w:bookmarkStart w:id="4330" w:name="_Toc11046"/>
      <w:bookmarkStart w:id="4331" w:name="_Toc6121"/>
      <w:bookmarkStart w:id="4332" w:name="_Toc2044"/>
      <w:bookmarkStart w:id="4333" w:name="_Toc23878"/>
      <w:bookmarkStart w:id="4334" w:name="_Toc26730"/>
      <w:bookmarkStart w:id="4335" w:name="_Toc9622"/>
      <w:bookmarkStart w:id="4336" w:name="_Toc22626"/>
      <w:bookmarkStart w:id="4337" w:name="_Toc3272"/>
      <w:bookmarkStart w:id="4338" w:name="_Toc10274"/>
      <w:bookmarkStart w:id="4339" w:name="_Toc20382"/>
      <w:bookmarkStart w:id="4340" w:name="_Toc7848"/>
      <w:r>
        <w:rPr>
          <w:rFonts w:hint="eastAsia" w:ascii="宋体" w:hAnsi="宋体" w:eastAsia="宋体" w:cs="宋体"/>
          <w:color w:val="auto"/>
          <w:sz w:val="24"/>
          <w:szCs w:val="24"/>
          <w:highlight w:val="none"/>
        </w:rPr>
        <w:t>附</w:t>
      </w:r>
      <w:bookmarkStart w:id="4341" w:name="_Toc296891055"/>
      <w:bookmarkEnd w:id="4341"/>
      <w:bookmarkStart w:id="4342" w:name="_Toc296503227"/>
      <w:bookmarkEnd w:id="4342"/>
      <w:bookmarkStart w:id="4343" w:name="_Toc296347226"/>
      <w:bookmarkEnd w:id="4343"/>
      <w:bookmarkStart w:id="4344" w:name="_Toc296346728"/>
      <w:bookmarkEnd w:id="4344"/>
      <w:bookmarkStart w:id="4345" w:name="_Toc267261698"/>
      <w:bookmarkEnd w:id="4345"/>
      <w:bookmarkStart w:id="4346" w:name="_Toc296891267"/>
      <w:bookmarkEnd w:id="4346"/>
      <w:bookmarkStart w:id="4347" w:name="_Toc296944566"/>
      <w:r>
        <w:rPr>
          <w:rFonts w:hint="eastAsia" w:ascii="宋体" w:hAnsi="宋体" w:eastAsia="宋体" w:cs="宋体"/>
          <w:color w:val="auto"/>
          <w:sz w:val="24"/>
          <w:szCs w:val="24"/>
          <w:highlight w:val="none"/>
        </w:rPr>
        <w:t>件5：</w:t>
      </w:r>
      <w:bookmarkEnd w:id="4347"/>
      <w:r>
        <w:rPr>
          <w:rFonts w:hint="eastAsia" w:ascii="宋体" w:hAnsi="宋体" w:eastAsia="宋体" w:cs="宋体"/>
          <w:color w:val="auto"/>
          <w:sz w:val="24"/>
          <w:szCs w:val="24"/>
          <w:highlight w:val="none"/>
        </w:rPr>
        <w:t>承包人用于本工程施工的机械设备表</w:t>
      </w:r>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p>
    <w:tbl>
      <w:tblPr>
        <w:tblStyle w:val="28"/>
        <w:tblW w:w="9809" w:type="dxa"/>
        <w:jc w:val="center"/>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7D947347">
        <w:tblPrEx>
          <w:tblCellMar>
            <w:top w:w="0" w:type="dxa"/>
            <w:left w:w="28" w:type="dxa"/>
            <w:bottom w:w="0" w:type="dxa"/>
            <w:right w:w="28" w:type="dxa"/>
          </w:tblCellMar>
        </w:tblPrEx>
        <w:trPr>
          <w:jc w:val="center"/>
        </w:trPr>
        <w:tc>
          <w:tcPr>
            <w:tcW w:w="1162" w:type="dxa"/>
            <w:tcBorders>
              <w:top w:val="single" w:color="auto" w:sz="12" w:space="0"/>
              <w:left w:val="single" w:color="auto" w:sz="12" w:space="0"/>
              <w:bottom w:val="double" w:color="auto" w:sz="2" w:space="0"/>
              <w:right w:val="single" w:color="auto" w:sz="6" w:space="0"/>
            </w:tcBorders>
            <w:noWrap w:val="0"/>
            <w:vAlign w:val="center"/>
          </w:tcPr>
          <w:p w14:paraId="023867C4">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418" w:type="dxa"/>
            <w:tcBorders>
              <w:top w:val="single" w:color="auto" w:sz="12" w:space="0"/>
              <w:left w:val="single" w:color="auto" w:sz="6" w:space="0"/>
              <w:bottom w:val="double" w:color="auto" w:sz="2" w:space="0"/>
              <w:right w:val="single" w:color="auto" w:sz="6" w:space="0"/>
            </w:tcBorders>
            <w:noWrap w:val="0"/>
            <w:vAlign w:val="center"/>
          </w:tcPr>
          <w:p w14:paraId="7C19C075">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机械或设备名称</w:t>
            </w:r>
          </w:p>
        </w:tc>
        <w:tc>
          <w:tcPr>
            <w:tcW w:w="850" w:type="dxa"/>
            <w:tcBorders>
              <w:top w:val="single" w:color="auto" w:sz="12" w:space="0"/>
              <w:left w:val="single" w:color="auto" w:sz="6" w:space="0"/>
              <w:bottom w:val="double" w:color="auto" w:sz="2" w:space="0"/>
              <w:right w:val="single" w:color="auto" w:sz="6" w:space="0"/>
            </w:tcBorders>
            <w:noWrap w:val="0"/>
            <w:vAlign w:val="center"/>
          </w:tcPr>
          <w:p w14:paraId="29724131">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规格型号</w:t>
            </w:r>
          </w:p>
        </w:tc>
        <w:tc>
          <w:tcPr>
            <w:tcW w:w="1058" w:type="dxa"/>
            <w:tcBorders>
              <w:top w:val="single" w:color="auto" w:sz="12" w:space="0"/>
              <w:left w:val="single" w:color="auto" w:sz="6" w:space="0"/>
              <w:bottom w:val="double" w:color="auto" w:sz="2" w:space="0"/>
              <w:right w:val="single" w:color="auto" w:sz="6" w:space="0"/>
            </w:tcBorders>
            <w:noWrap w:val="0"/>
            <w:vAlign w:val="center"/>
          </w:tcPr>
          <w:p w14:paraId="77AA18CB">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880" w:type="dxa"/>
            <w:tcBorders>
              <w:top w:val="single" w:color="auto" w:sz="12" w:space="0"/>
              <w:left w:val="single" w:color="auto" w:sz="6" w:space="0"/>
              <w:bottom w:val="double" w:color="auto" w:sz="2" w:space="0"/>
              <w:right w:val="single" w:color="auto" w:sz="6" w:space="0"/>
            </w:tcBorders>
            <w:noWrap w:val="0"/>
            <w:vAlign w:val="center"/>
          </w:tcPr>
          <w:p w14:paraId="7EC790AC">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1020" w:type="dxa"/>
            <w:tcBorders>
              <w:top w:val="single" w:color="auto" w:sz="12" w:space="0"/>
              <w:left w:val="single" w:color="auto" w:sz="6" w:space="0"/>
              <w:bottom w:val="double" w:color="auto" w:sz="2" w:space="0"/>
              <w:right w:val="single" w:color="auto" w:sz="6" w:space="0"/>
            </w:tcBorders>
            <w:noWrap w:val="0"/>
            <w:vAlign w:val="center"/>
          </w:tcPr>
          <w:p w14:paraId="38A66213">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制造年份</w:t>
            </w:r>
          </w:p>
        </w:tc>
        <w:tc>
          <w:tcPr>
            <w:tcW w:w="1480" w:type="dxa"/>
            <w:tcBorders>
              <w:top w:val="single" w:color="auto" w:sz="12" w:space="0"/>
              <w:left w:val="single" w:color="auto" w:sz="6" w:space="0"/>
              <w:bottom w:val="double" w:color="auto" w:sz="2" w:space="0"/>
              <w:right w:val="single" w:color="auto" w:sz="6" w:space="0"/>
            </w:tcBorders>
            <w:noWrap w:val="0"/>
            <w:vAlign w:val="center"/>
          </w:tcPr>
          <w:p w14:paraId="09D4B08D">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额定功率</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kW</w:t>
            </w:r>
            <w:r>
              <w:rPr>
                <w:rFonts w:hint="eastAsia" w:ascii="宋体" w:hAnsi="宋体" w:cs="宋体"/>
                <w:color w:val="auto"/>
                <w:sz w:val="24"/>
                <w:szCs w:val="24"/>
                <w:highlight w:val="none"/>
                <w:lang w:eastAsia="zh-CN"/>
              </w:rPr>
              <w:t>）</w:t>
            </w:r>
          </w:p>
        </w:tc>
        <w:tc>
          <w:tcPr>
            <w:tcW w:w="1020" w:type="dxa"/>
            <w:tcBorders>
              <w:top w:val="single" w:color="auto" w:sz="12" w:space="0"/>
              <w:left w:val="single" w:color="auto" w:sz="6" w:space="0"/>
              <w:bottom w:val="double" w:color="auto" w:sz="2" w:space="0"/>
              <w:right w:val="single" w:color="auto" w:sz="6" w:space="0"/>
            </w:tcBorders>
            <w:noWrap w:val="0"/>
            <w:vAlign w:val="center"/>
          </w:tcPr>
          <w:p w14:paraId="131C3AE7">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生产能力</w:t>
            </w:r>
          </w:p>
        </w:tc>
        <w:tc>
          <w:tcPr>
            <w:tcW w:w="921" w:type="dxa"/>
            <w:tcBorders>
              <w:top w:val="single" w:color="auto" w:sz="12" w:space="0"/>
              <w:left w:val="single" w:color="auto" w:sz="6" w:space="0"/>
              <w:bottom w:val="double" w:color="auto" w:sz="2" w:space="0"/>
              <w:right w:val="single" w:color="auto" w:sz="12" w:space="0"/>
            </w:tcBorders>
            <w:noWrap w:val="0"/>
            <w:vAlign w:val="center"/>
          </w:tcPr>
          <w:p w14:paraId="000B7FBE">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086C3D09">
        <w:tblPrEx>
          <w:tblCellMar>
            <w:top w:w="0" w:type="dxa"/>
            <w:left w:w="28" w:type="dxa"/>
            <w:bottom w:w="0" w:type="dxa"/>
            <w:right w:w="28" w:type="dxa"/>
          </w:tblCellMar>
        </w:tblPrEx>
        <w:trPr>
          <w:trHeight w:val="567" w:hRule="atLeast"/>
          <w:jc w:val="center"/>
        </w:trPr>
        <w:tc>
          <w:tcPr>
            <w:tcW w:w="1162" w:type="dxa"/>
            <w:tcBorders>
              <w:top w:val="double" w:color="auto" w:sz="2" w:space="0"/>
              <w:left w:val="single" w:color="auto" w:sz="12" w:space="0"/>
              <w:bottom w:val="single" w:color="auto" w:sz="6" w:space="0"/>
              <w:right w:val="single" w:color="auto" w:sz="6" w:space="0"/>
            </w:tcBorders>
            <w:noWrap w:val="0"/>
            <w:vAlign w:val="center"/>
          </w:tcPr>
          <w:p w14:paraId="110805D9">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double" w:color="auto" w:sz="2" w:space="0"/>
              <w:left w:val="single" w:color="auto" w:sz="6" w:space="0"/>
              <w:bottom w:val="single" w:color="auto" w:sz="6" w:space="0"/>
              <w:right w:val="single" w:color="auto" w:sz="6" w:space="0"/>
            </w:tcBorders>
            <w:noWrap w:val="0"/>
            <w:vAlign w:val="center"/>
          </w:tcPr>
          <w:p w14:paraId="76C8F0DA">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double" w:color="auto" w:sz="2" w:space="0"/>
              <w:left w:val="single" w:color="auto" w:sz="6" w:space="0"/>
              <w:bottom w:val="single" w:color="auto" w:sz="6" w:space="0"/>
              <w:right w:val="single" w:color="auto" w:sz="6" w:space="0"/>
            </w:tcBorders>
            <w:noWrap w:val="0"/>
            <w:vAlign w:val="center"/>
          </w:tcPr>
          <w:p w14:paraId="299FE9F3">
            <w:pPr>
              <w:pStyle w:val="9"/>
              <w:keepNext/>
              <w:spacing w:line="240" w:lineRule="auto"/>
              <w:ind w:left="63" w:right="63"/>
              <w:rPr>
                <w:rFonts w:hint="eastAsia" w:ascii="宋体" w:hAnsi="宋体" w:eastAsia="宋体" w:cs="宋体"/>
                <w:color w:val="auto"/>
                <w:sz w:val="24"/>
                <w:szCs w:val="24"/>
                <w:highlight w:val="none"/>
              </w:rPr>
            </w:pPr>
          </w:p>
        </w:tc>
        <w:tc>
          <w:tcPr>
            <w:tcW w:w="1058" w:type="dxa"/>
            <w:tcBorders>
              <w:top w:val="double" w:color="auto" w:sz="2" w:space="0"/>
              <w:left w:val="single" w:color="auto" w:sz="6" w:space="0"/>
              <w:bottom w:val="single" w:color="auto" w:sz="6" w:space="0"/>
              <w:right w:val="single" w:color="auto" w:sz="6" w:space="0"/>
            </w:tcBorders>
            <w:noWrap w:val="0"/>
            <w:vAlign w:val="center"/>
          </w:tcPr>
          <w:p w14:paraId="05980D7F">
            <w:pPr>
              <w:pStyle w:val="9"/>
              <w:keepNext/>
              <w:spacing w:line="240" w:lineRule="auto"/>
              <w:ind w:left="63" w:right="63"/>
              <w:rPr>
                <w:rFonts w:hint="eastAsia" w:ascii="宋体" w:hAnsi="宋体" w:eastAsia="宋体" w:cs="宋体"/>
                <w:color w:val="auto"/>
                <w:sz w:val="24"/>
                <w:szCs w:val="24"/>
                <w:highlight w:val="none"/>
              </w:rPr>
            </w:pPr>
          </w:p>
        </w:tc>
        <w:tc>
          <w:tcPr>
            <w:tcW w:w="880" w:type="dxa"/>
            <w:tcBorders>
              <w:top w:val="double" w:color="auto" w:sz="2" w:space="0"/>
              <w:left w:val="single" w:color="auto" w:sz="6" w:space="0"/>
              <w:bottom w:val="single" w:color="auto" w:sz="6" w:space="0"/>
              <w:right w:val="single" w:color="auto" w:sz="6" w:space="0"/>
            </w:tcBorders>
            <w:noWrap w:val="0"/>
            <w:vAlign w:val="center"/>
          </w:tcPr>
          <w:p w14:paraId="0E38F5D2">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double" w:color="auto" w:sz="2" w:space="0"/>
              <w:left w:val="single" w:color="auto" w:sz="6" w:space="0"/>
              <w:bottom w:val="single" w:color="auto" w:sz="6" w:space="0"/>
              <w:right w:val="single" w:color="auto" w:sz="6" w:space="0"/>
            </w:tcBorders>
            <w:noWrap w:val="0"/>
            <w:vAlign w:val="center"/>
          </w:tcPr>
          <w:p w14:paraId="3AEC4F36">
            <w:pPr>
              <w:pStyle w:val="9"/>
              <w:keepNext/>
              <w:spacing w:line="240" w:lineRule="auto"/>
              <w:ind w:left="63" w:right="63"/>
              <w:rPr>
                <w:rFonts w:hint="eastAsia" w:ascii="宋体" w:hAnsi="宋体" w:eastAsia="宋体" w:cs="宋体"/>
                <w:color w:val="auto"/>
                <w:sz w:val="24"/>
                <w:szCs w:val="24"/>
                <w:highlight w:val="none"/>
              </w:rPr>
            </w:pPr>
          </w:p>
        </w:tc>
        <w:tc>
          <w:tcPr>
            <w:tcW w:w="1480" w:type="dxa"/>
            <w:tcBorders>
              <w:top w:val="double" w:color="auto" w:sz="2" w:space="0"/>
              <w:left w:val="single" w:color="auto" w:sz="6" w:space="0"/>
              <w:bottom w:val="single" w:color="auto" w:sz="6" w:space="0"/>
              <w:right w:val="single" w:color="auto" w:sz="6" w:space="0"/>
            </w:tcBorders>
            <w:noWrap w:val="0"/>
            <w:vAlign w:val="center"/>
          </w:tcPr>
          <w:p w14:paraId="57E906FE">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double" w:color="auto" w:sz="2" w:space="0"/>
              <w:left w:val="single" w:color="auto" w:sz="6" w:space="0"/>
              <w:bottom w:val="single" w:color="auto" w:sz="6" w:space="0"/>
              <w:right w:val="single" w:color="auto" w:sz="6" w:space="0"/>
            </w:tcBorders>
            <w:noWrap w:val="0"/>
            <w:vAlign w:val="center"/>
          </w:tcPr>
          <w:p w14:paraId="1FD4CA3D">
            <w:pPr>
              <w:pStyle w:val="9"/>
              <w:keepNext/>
              <w:spacing w:line="240" w:lineRule="auto"/>
              <w:ind w:left="63" w:right="63"/>
              <w:rPr>
                <w:rFonts w:hint="eastAsia" w:ascii="宋体" w:hAnsi="宋体" w:eastAsia="宋体" w:cs="宋体"/>
                <w:color w:val="auto"/>
                <w:sz w:val="24"/>
                <w:szCs w:val="24"/>
                <w:highlight w:val="none"/>
              </w:rPr>
            </w:pPr>
          </w:p>
        </w:tc>
        <w:tc>
          <w:tcPr>
            <w:tcW w:w="921" w:type="dxa"/>
            <w:tcBorders>
              <w:top w:val="double" w:color="auto" w:sz="2" w:space="0"/>
              <w:left w:val="single" w:color="auto" w:sz="6" w:space="0"/>
              <w:bottom w:val="single" w:color="auto" w:sz="6" w:space="0"/>
              <w:right w:val="single" w:color="auto" w:sz="12" w:space="0"/>
            </w:tcBorders>
            <w:noWrap w:val="0"/>
            <w:vAlign w:val="center"/>
          </w:tcPr>
          <w:p w14:paraId="35B9D846">
            <w:pPr>
              <w:pStyle w:val="9"/>
              <w:keepNext/>
              <w:spacing w:line="240" w:lineRule="auto"/>
              <w:ind w:left="63" w:right="63"/>
              <w:rPr>
                <w:rFonts w:hint="eastAsia" w:ascii="宋体" w:hAnsi="宋体" w:eastAsia="宋体" w:cs="宋体"/>
                <w:color w:val="auto"/>
                <w:sz w:val="24"/>
                <w:szCs w:val="24"/>
                <w:highlight w:val="none"/>
              </w:rPr>
            </w:pPr>
          </w:p>
        </w:tc>
      </w:tr>
      <w:tr w14:paraId="2453AE8D">
        <w:tblPrEx>
          <w:tblCellMar>
            <w:top w:w="0" w:type="dxa"/>
            <w:left w:w="28" w:type="dxa"/>
            <w:bottom w:w="0" w:type="dxa"/>
            <w:right w:w="28" w:type="dxa"/>
          </w:tblCellMar>
        </w:tblPrEx>
        <w:trPr>
          <w:trHeight w:val="567" w:hRule="atLeast"/>
          <w:jc w:val="center"/>
        </w:trPr>
        <w:tc>
          <w:tcPr>
            <w:tcW w:w="1162" w:type="dxa"/>
            <w:tcBorders>
              <w:top w:val="nil"/>
              <w:left w:val="single" w:color="auto" w:sz="12" w:space="0"/>
              <w:bottom w:val="single" w:color="auto" w:sz="6" w:space="0"/>
              <w:right w:val="single" w:color="auto" w:sz="6" w:space="0"/>
            </w:tcBorders>
            <w:noWrap w:val="0"/>
            <w:vAlign w:val="center"/>
          </w:tcPr>
          <w:p w14:paraId="243D88A9">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nil"/>
              <w:left w:val="single" w:color="auto" w:sz="6" w:space="0"/>
              <w:bottom w:val="single" w:color="auto" w:sz="6" w:space="0"/>
              <w:right w:val="single" w:color="auto" w:sz="6" w:space="0"/>
            </w:tcBorders>
            <w:noWrap w:val="0"/>
            <w:vAlign w:val="center"/>
          </w:tcPr>
          <w:p w14:paraId="45E83168">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nil"/>
              <w:left w:val="single" w:color="auto" w:sz="6" w:space="0"/>
              <w:bottom w:val="single" w:color="auto" w:sz="6" w:space="0"/>
              <w:right w:val="single" w:color="auto" w:sz="6" w:space="0"/>
            </w:tcBorders>
            <w:noWrap w:val="0"/>
            <w:vAlign w:val="center"/>
          </w:tcPr>
          <w:p w14:paraId="514C8AB9">
            <w:pPr>
              <w:pStyle w:val="9"/>
              <w:keepNext/>
              <w:spacing w:line="240" w:lineRule="auto"/>
              <w:ind w:left="63" w:right="63"/>
              <w:rPr>
                <w:rFonts w:hint="eastAsia" w:ascii="宋体" w:hAnsi="宋体" w:eastAsia="宋体" w:cs="宋体"/>
                <w:color w:val="auto"/>
                <w:sz w:val="24"/>
                <w:szCs w:val="24"/>
                <w:highlight w:val="none"/>
              </w:rPr>
            </w:pPr>
          </w:p>
        </w:tc>
        <w:tc>
          <w:tcPr>
            <w:tcW w:w="1058" w:type="dxa"/>
            <w:tcBorders>
              <w:top w:val="nil"/>
              <w:left w:val="single" w:color="auto" w:sz="6" w:space="0"/>
              <w:bottom w:val="single" w:color="auto" w:sz="6" w:space="0"/>
              <w:right w:val="single" w:color="auto" w:sz="6" w:space="0"/>
            </w:tcBorders>
            <w:noWrap w:val="0"/>
            <w:vAlign w:val="center"/>
          </w:tcPr>
          <w:p w14:paraId="06123021">
            <w:pPr>
              <w:pStyle w:val="9"/>
              <w:keepNext/>
              <w:spacing w:line="240" w:lineRule="auto"/>
              <w:ind w:left="63" w:right="63"/>
              <w:rPr>
                <w:rFonts w:hint="eastAsia" w:ascii="宋体" w:hAnsi="宋体" w:eastAsia="宋体" w:cs="宋体"/>
                <w:color w:val="auto"/>
                <w:sz w:val="24"/>
                <w:szCs w:val="24"/>
                <w:highlight w:val="none"/>
              </w:rPr>
            </w:pPr>
          </w:p>
        </w:tc>
        <w:tc>
          <w:tcPr>
            <w:tcW w:w="880" w:type="dxa"/>
            <w:tcBorders>
              <w:top w:val="nil"/>
              <w:left w:val="single" w:color="auto" w:sz="6" w:space="0"/>
              <w:bottom w:val="single" w:color="auto" w:sz="6" w:space="0"/>
              <w:right w:val="single" w:color="auto" w:sz="6" w:space="0"/>
            </w:tcBorders>
            <w:noWrap w:val="0"/>
            <w:vAlign w:val="center"/>
          </w:tcPr>
          <w:p w14:paraId="402EB2F0">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nil"/>
              <w:left w:val="single" w:color="auto" w:sz="6" w:space="0"/>
              <w:bottom w:val="single" w:color="auto" w:sz="6" w:space="0"/>
              <w:right w:val="single" w:color="auto" w:sz="6" w:space="0"/>
            </w:tcBorders>
            <w:noWrap w:val="0"/>
            <w:vAlign w:val="center"/>
          </w:tcPr>
          <w:p w14:paraId="2C897336">
            <w:pPr>
              <w:pStyle w:val="9"/>
              <w:keepNext/>
              <w:spacing w:line="240" w:lineRule="auto"/>
              <w:ind w:left="63" w:right="63"/>
              <w:rPr>
                <w:rFonts w:hint="eastAsia" w:ascii="宋体" w:hAnsi="宋体" w:eastAsia="宋体" w:cs="宋体"/>
                <w:color w:val="auto"/>
                <w:sz w:val="24"/>
                <w:szCs w:val="24"/>
                <w:highlight w:val="none"/>
              </w:rPr>
            </w:pPr>
          </w:p>
        </w:tc>
        <w:tc>
          <w:tcPr>
            <w:tcW w:w="1480" w:type="dxa"/>
            <w:tcBorders>
              <w:top w:val="nil"/>
              <w:left w:val="single" w:color="auto" w:sz="6" w:space="0"/>
              <w:bottom w:val="single" w:color="auto" w:sz="6" w:space="0"/>
              <w:right w:val="single" w:color="auto" w:sz="6" w:space="0"/>
            </w:tcBorders>
            <w:noWrap w:val="0"/>
            <w:vAlign w:val="center"/>
          </w:tcPr>
          <w:p w14:paraId="122E4C51">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nil"/>
              <w:left w:val="single" w:color="auto" w:sz="6" w:space="0"/>
              <w:bottom w:val="single" w:color="auto" w:sz="6" w:space="0"/>
              <w:right w:val="single" w:color="auto" w:sz="6" w:space="0"/>
            </w:tcBorders>
            <w:noWrap w:val="0"/>
            <w:vAlign w:val="center"/>
          </w:tcPr>
          <w:p w14:paraId="29C75F80">
            <w:pPr>
              <w:pStyle w:val="9"/>
              <w:keepNext/>
              <w:spacing w:line="240" w:lineRule="auto"/>
              <w:ind w:left="63" w:right="63"/>
              <w:rPr>
                <w:rFonts w:hint="eastAsia" w:ascii="宋体" w:hAnsi="宋体" w:eastAsia="宋体" w:cs="宋体"/>
                <w:color w:val="auto"/>
                <w:sz w:val="24"/>
                <w:szCs w:val="24"/>
                <w:highlight w:val="none"/>
              </w:rPr>
            </w:pPr>
          </w:p>
        </w:tc>
        <w:tc>
          <w:tcPr>
            <w:tcW w:w="921" w:type="dxa"/>
            <w:tcBorders>
              <w:top w:val="nil"/>
              <w:left w:val="single" w:color="auto" w:sz="6" w:space="0"/>
              <w:bottom w:val="single" w:color="auto" w:sz="6" w:space="0"/>
              <w:right w:val="single" w:color="auto" w:sz="12" w:space="0"/>
            </w:tcBorders>
            <w:noWrap w:val="0"/>
            <w:vAlign w:val="center"/>
          </w:tcPr>
          <w:p w14:paraId="75071C4A">
            <w:pPr>
              <w:pStyle w:val="9"/>
              <w:keepNext/>
              <w:spacing w:line="240" w:lineRule="auto"/>
              <w:ind w:left="63" w:right="63"/>
              <w:rPr>
                <w:rFonts w:hint="eastAsia" w:ascii="宋体" w:hAnsi="宋体" w:eastAsia="宋体" w:cs="宋体"/>
                <w:color w:val="auto"/>
                <w:sz w:val="24"/>
                <w:szCs w:val="24"/>
                <w:highlight w:val="none"/>
              </w:rPr>
            </w:pPr>
          </w:p>
        </w:tc>
      </w:tr>
      <w:tr w14:paraId="4C84465E">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1DC07719">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59A248C">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7B2DD4CD">
            <w:pPr>
              <w:pStyle w:val="9"/>
              <w:keepNext/>
              <w:spacing w:line="240" w:lineRule="auto"/>
              <w:ind w:left="63" w:right="63"/>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2FF54A91">
            <w:pPr>
              <w:pStyle w:val="9"/>
              <w:keepNext/>
              <w:spacing w:line="240" w:lineRule="auto"/>
              <w:ind w:left="63" w:right="63"/>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39C6536D">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6EEEC4C7">
            <w:pPr>
              <w:pStyle w:val="9"/>
              <w:keepNext/>
              <w:spacing w:line="240" w:lineRule="auto"/>
              <w:ind w:left="63" w:right="63"/>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58CF413A">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12D7CB29">
            <w:pPr>
              <w:pStyle w:val="9"/>
              <w:keepNext/>
              <w:spacing w:line="240" w:lineRule="auto"/>
              <w:ind w:left="63" w:right="63"/>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298F71BB">
            <w:pPr>
              <w:pStyle w:val="9"/>
              <w:keepNext/>
              <w:spacing w:line="240" w:lineRule="auto"/>
              <w:ind w:left="63" w:right="63"/>
              <w:rPr>
                <w:rFonts w:hint="eastAsia" w:ascii="宋体" w:hAnsi="宋体" w:eastAsia="宋体" w:cs="宋体"/>
                <w:color w:val="auto"/>
                <w:sz w:val="24"/>
                <w:szCs w:val="24"/>
                <w:highlight w:val="none"/>
              </w:rPr>
            </w:pPr>
          </w:p>
        </w:tc>
      </w:tr>
      <w:tr w14:paraId="66B50C1F">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6AC5360C">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C2663B3">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07F00EB6">
            <w:pPr>
              <w:pStyle w:val="9"/>
              <w:keepNext/>
              <w:spacing w:line="240" w:lineRule="auto"/>
              <w:ind w:left="63" w:right="63"/>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3EB29309">
            <w:pPr>
              <w:pStyle w:val="9"/>
              <w:keepNext/>
              <w:spacing w:line="240" w:lineRule="auto"/>
              <w:ind w:left="63" w:right="63"/>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38BE83E9">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5F5D0B93">
            <w:pPr>
              <w:pStyle w:val="9"/>
              <w:keepNext/>
              <w:spacing w:line="240" w:lineRule="auto"/>
              <w:ind w:left="63" w:right="63"/>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571F865B">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6EAE0A4F">
            <w:pPr>
              <w:pStyle w:val="9"/>
              <w:keepNext/>
              <w:spacing w:line="240" w:lineRule="auto"/>
              <w:ind w:left="63" w:right="63"/>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20D6BBE6">
            <w:pPr>
              <w:pStyle w:val="9"/>
              <w:keepNext/>
              <w:spacing w:line="240" w:lineRule="auto"/>
              <w:ind w:left="63" w:right="63"/>
              <w:rPr>
                <w:rFonts w:hint="eastAsia" w:ascii="宋体" w:hAnsi="宋体" w:eastAsia="宋体" w:cs="宋体"/>
                <w:color w:val="auto"/>
                <w:sz w:val="24"/>
                <w:szCs w:val="24"/>
                <w:highlight w:val="none"/>
              </w:rPr>
            </w:pPr>
          </w:p>
        </w:tc>
      </w:tr>
      <w:tr w14:paraId="4B0A2FB2">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239FBED7">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E275082">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67E57555">
            <w:pPr>
              <w:pStyle w:val="9"/>
              <w:keepNext/>
              <w:spacing w:line="240" w:lineRule="auto"/>
              <w:ind w:left="63" w:right="63"/>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6A21F343">
            <w:pPr>
              <w:pStyle w:val="9"/>
              <w:keepNext/>
              <w:spacing w:line="240" w:lineRule="auto"/>
              <w:ind w:left="63" w:right="63"/>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71826CCE">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518BC024">
            <w:pPr>
              <w:pStyle w:val="9"/>
              <w:keepNext/>
              <w:spacing w:line="240" w:lineRule="auto"/>
              <w:ind w:left="63" w:right="63"/>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4D1052D8">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7BCACCB1">
            <w:pPr>
              <w:pStyle w:val="9"/>
              <w:keepNext/>
              <w:spacing w:line="240" w:lineRule="auto"/>
              <w:ind w:left="63" w:right="63"/>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193020B3">
            <w:pPr>
              <w:pStyle w:val="9"/>
              <w:keepNext/>
              <w:spacing w:line="240" w:lineRule="auto"/>
              <w:ind w:left="63" w:right="63"/>
              <w:rPr>
                <w:rFonts w:hint="eastAsia" w:ascii="宋体" w:hAnsi="宋体" w:eastAsia="宋体" w:cs="宋体"/>
                <w:color w:val="auto"/>
                <w:sz w:val="24"/>
                <w:szCs w:val="24"/>
                <w:highlight w:val="none"/>
              </w:rPr>
            </w:pPr>
          </w:p>
        </w:tc>
      </w:tr>
      <w:tr w14:paraId="31E1E4C9">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7543D63B">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BBBB85D">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5B756929">
            <w:pPr>
              <w:pStyle w:val="9"/>
              <w:keepNext/>
              <w:spacing w:line="240" w:lineRule="auto"/>
              <w:ind w:left="63" w:right="63"/>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34A1F0BE">
            <w:pPr>
              <w:pStyle w:val="9"/>
              <w:keepNext/>
              <w:spacing w:line="240" w:lineRule="auto"/>
              <w:ind w:left="63" w:right="63"/>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0DD79FAC">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31955ED7">
            <w:pPr>
              <w:pStyle w:val="9"/>
              <w:keepNext/>
              <w:spacing w:line="240" w:lineRule="auto"/>
              <w:ind w:left="63" w:right="63"/>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5839FF6F">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7AA1620F">
            <w:pPr>
              <w:pStyle w:val="9"/>
              <w:keepNext/>
              <w:spacing w:line="240" w:lineRule="auto"/>
              <w:ind w:left="63" w:right="63"/>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7BFE1649">
            <w:pPr>
              <w:pStyle w:val="9"/>
              <w:keepNext/>
              <w:spacing w:line="240" w:lineRule="auto"/>
              <w:ind w:left="63" w:right="63"/>
              <w:rPr>
                <w:rFonts w:hint="eastAsia" w:ascii="宋体" w:hAnsi="宋体" w:eastAsia="宋体" w:cs="宋体"/>
                <w:color w:val="auto"/>
                <w:sz w:val="24"/>
                <w:szCs w:val="24"/>
                <w:highlight w:val="none"/>
              </w:rPr>
            </w:pPr>
          </w:p>
        </w:tc>
      </w:tr>
      <w:tr w14:paraId="632C2EDA">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3A7AD147">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8FD3577">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433A965">
            <w:pPr>
              <w:pStyle w:val="9"/>
              <w:keepNext/>
              <w:spacing w:line="240" w:lineRule="auto"/>
              <w:ind w:left="63" w:right="63"/>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78DD8AD8">
            <w:pPr>
              <w:pStyle w:val="9"/>
              <w:keepNext/>
              <w:spacing w:line="240" w:lineRule="auto"/>
              <w:ind w:left="63" w:right="63"/>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76C99D72">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7A6FDBED">
            <w:pPr>
              <w:pStyle w:val="9"/>
              <w:keepNext/>
              <w:spacing w:line="240" w:lineRule="auto"/>
              <w:ind w:left="63" w:right="63"/>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13E979DC">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35EAF9A4">
            <w:pPr>
              <w:pStyle w:val="9"/>
              <w:keepNext/>
              <w:spacing w:line="240" w:lineRule="auto"/>
              <w:ind w:left="63" w:right="63"/>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272B5AFE">
            <w:pPr>
              <w:pStyle w:val="9"/>
              <w:keepNext/>
              <w:spacing w:line="240" w:lineRule="auto"/>
              <w:ind w:left="63" w:right="63"/>
              <w:rPr>
                <w:rFonts w:hint="eastAsia" w:ascii="宋体" w:hAnsi="宋体" w:eastAsia="宋体" w:cs="宋体"/>
                <w:color w:val="auto"/>
                <w:sz w:val="24"/>
                <w:szCs w:val="24"/>
                <w:highlight w:val="none"/>
              </w:rPr>
            </w:pPr>
          </w:p>
        </w:tc>
      </w:tr>
      <w:tr w14:paraId="3C5DEF36">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387B6C6B">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74DFAA0">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7F8BA023">
            <w:pPr>
              <w:pStyle w:val="9"/>
              <w:keepNext/>
              <w:spacing w:line="240" w:lineRule="auto"/>
              <w:ind w:left="63" w:right="63"/>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31941525">
            <w:pPr>
              <w:pStyle w:val="9"/>
              <w:keepNext/>
              <w:spacing w:line="240" w:lineRule="auto"/>
              <w:ind w:left="63" w:right="63"/>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12ECA7AE">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10071A18">
            <w:pPr>
              <w:pStyle w:val="9"/>
              <w:keepNext/>
              <w:spacing w:line="240" w:lineRule="auto"/>
              <w:ind w:left="63" w:right="63"/>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4B56FA4D">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3A4696FE">
            <w:pPr>
              <w:pStyle w:val="9"/>
              <w:keepNext/>
              <w:spacing w:line="240" w:lineRule="auto"/>
              <w:ind w:left="63" w:right="63"/>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7B5CF7E6">
            <w:pPr>
              <w:pStyle w:val="9"/>
              <w:keepNext/>
              <w:spacing w:line="240" w:lineRule="auto"/>
              <w:ind w:left="63" w:right="63"/>
              <w:rPr>
                <w:rFonts w:hint="eastAsia" w:ascii="宋体" w:hAnsi="宋体" w:eastAsia="宋体" w:cs="宋体"/>
                <w:color w:val="auto"/>
                <w:sz w:val="24"/>
                <w:szCs w:val="24"/>
                <w:highlight w:val="none"/>
              </w:rPr>
            </w:pPr>
          </w:p>
        </w:tc>
      </w:tr>
      <w:tr w14:paraId="32D8632E">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059CDE6E">
            <w:pPr>
              <w:spacing w:line="240" w:lineRule="auto"/>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FC38662">
            <w:pPr>
              <w:spacing w:line="240" w:lineRule="auto"/>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6917DD03">
            <w:pPr>
              <w:spacing w:line="240" w:lineRule="auto"/>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5A07BAD1">
            <w:pPr>
              <w:spacing w:line="240" w:lineRule="auto"/>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5F6888BB">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279B151B">
            <w:pPr>
              <w:spacing w:line="240" w:lineRule="auto"/>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2D8FF31B">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31CC4305">
            <w:pPr>
              <w:spacing w:line="240" w:lineRule="auto"/>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6AC764C7">
            <w:pPr>
              <w:spacing w:line="240" w:lineRule="auto"/>
              <w:rPr>
                <w:rFonts w:hint="eastAsia" w:ascii="宋体" w:hAnsi="宋体" w:eastAsia="宋体" w:cs="宋体"/>
                <w:color w:val="auto"/>
                <w:sz w:val="24"/>
                <w:szCs w:val="24"/>
                <w:highlight w:val="none"/>
              </w:rPr>
            </w:pPr>
          </w:p>
        </w:tc>
      </w:tr>
      <w:tr w14:paraId="4733A1FB">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center"/>
          </w:tcPr>
          <w:p w14:paraId="72F2186D">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36877A5">
            <w:pPr>
              <w:pStyle w:val="9"/>
              <w:keepNext/>
              <w:spacing w:line="240" w:lineRule="auto"/>
              <w:ind w:left="63" w:right="63"/>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76735EC">
            <w:pPr>
              <w:pStyle w:val="9"/>
              <w:keepNext/>
              <w:spacing w:line="240" w:lineRule="auto"/>
              <w:ind w:left="63" w:right="63"/>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center"/>
          </w:tcPr>
          <w:p w14:paraId="2531725E">
            <w:pPr>
              <w:pStyle w:val="9"/>
              <w:keepNext/>
              <w:spacing w:line="240" w:lineRule="auto"/>
              <w:ind w:left="63" w:right="63"/>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center"/>
          </w:tcPr>
          <w:p w14:paraId="2CD0CC5A">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30121010">
            <w:pPr>
              <w:pStyle w:val="9"/>
              <w:keepNext/>
              <w:spacing w:line="240" w:lineRule="auto"/>
              <w:ind w:left="63" w:right="63"/>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center"/>
          </w:tcPr>
          <w:p w14:paraId="01825F5D">
            <w:pPr>
              <w:pStyle w:val="9"/>
              <w:keepNext/>
              <w:spacing w:line="240" w:lineRule="auto"/>
              <w:ind w:left="63" w:right="63"/>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center"/>
          </w:tcPr>
          <w:p w14:paraId="3A67FD11">
            <w:pPr>
              <w:pStyle w:val="9"/>
              <w:keepNext/>
              <w:spacing w:line="240" w:lineRule="auto"/>
              <w:ind w:left="63" w:right="63"/>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center"/>
          </w:tcPr>
          <w:p w14:paraId="2966A122">
            <w:pPr>
              <w:pStyle w:val="9"/>
              <w:keepNext/>
              <w:spacing w:line="240" w:lineRule="auto"/>
              <w:ind w:left="63" w:right="63"/>
              <w:rPr>
                <w:rFonts w:hint="eastAsia" w:ascii="宋体" w:hAnsi="宋体" w:eastAsia="宋体" w:cs="宋体"/>
                <w:color w:val="auto"/>
                <w:sz w:val="24"/>
                <w:szCs w:val="24"/>
                <w:highlight w:val="none"/>
              </w:rPr>
            </w:pPr>
          </w:p>
        </w:tc>
      </w:tr>
      <w:tr w14:paraId="0BC89965">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4B1FA540">
            <w:pPr>
              <w:spacing w:line="240" w:lineRule="auto"/>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6CE36ED0">
            <w:pPr>
              <w:spacing w:line="240" w:lineRule="auto"/>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23B045C1">
            <w:pPr>
              <w:spacing w:line="240" w:lineRule="auto"/>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64B457F5">
            <w:pPr>
              <w:spacing w:line="240" w:lineRule="auto"/>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4046D173">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7441038F">
            <w:pPr>
              <w:spacing w:line="240" w:lineRule="auto"/>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39E4BDFC">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4062A51A">
            <w:pPr>
              <w:spacing w:line="240" w:lineRule="auto"/>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6BDF7A27">
            <w:pPr>
              <w:spacing w:line="240" w:lineRule="auto"/>
              <w:rPr>
                <w:rFonts w:hint="eastAsia" w:ascii="宋体" w:hAnsi="宋体" w:eastAsia="宋体" w:cs="宋体"/>
                <w:color w:val="auto"/>
                <w:sz w:val="24"/>
                <w:szCs w:val="24"/>
                <w:highlight w:val="none"/>
              </w:rPr>
            </w:pPr>
          </w:p>
        </w:tc>
      </w:tr>
      <w:tr w14:paraId="339D880B">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34306293">
            <w:pPr>
              <w:spacing w:line="240" w:lineRule="auto"/>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1864A0B5">
            <w:pPr>
              <w:spacing w:line="240" w:lineRule="auto"/>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7B9C3058">
            <w:pPr>
              <w:spacing w:line="240" w:lineRule="auto"/>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34849273">
            <w:pPr>
              <w:spacing w:line="240" w:lineRule="auto"/>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506404F7">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7588668E">
            <w:pPr>
              <w:spacing w:line="240" w:lineRule="auto"/>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498800DC">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7CBDEE3C">
            <w:pPr>
              <w:spacing w:line="240" w:lineRule="auto"/>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1117233C">
            <w:pPr>
              <w:spacing w:line="240" w:lineRule="auto"/>
              <w:rPr>
                <w:rFonts w:hint="eastAsia" w:ascii="宋体" w:hAnsi="宋体" w:eastAsia="宋体" w:cs="宋体"/>
                <w:color w:val="auto"/>
                <w:sz w:val="24"/>
                <w:szCs w:val="24"/>
                <w:highlight w:val="none"/>
              </w:rPr>
            </w:pPr>
          </w:p>
        </w:tc>
      </w:tr>
      <w:tr w14:paraId="45A1784D">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1EF15D47">
            <w:pPr>
              <w:spacing w:line="240" w:lineRule="auto"/>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1091D251">
            <w:pPr>
              <w:spacing w:line="240" w:lineRule="auto"/>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0884D521">
            <w:pPr>
              <w:spacing w:line="240" w:lineRule="auto"/>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7D488F16">
            <w:pPr>
              <w:spacing w:line="240" w:lineRule="auto"/>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141FC0FD">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5EE2E965">
            <w:pPr>
              <w:spacing w:line="240" w:lineRule="auto"/>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4EF8168C">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6C8E4912">
            <w:pPr>
              <w:spacing w:line="240" w:lineRule="auto"/>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78400C7B">
            <w:pPr>
              <w:spacing w:line="240" w:lineRule="auto"/>
              <w:rPr>
                <w:rFonts w:hint="eastAsia" w:ascii="宋体" w:hAnsi="宋体" w:eastAsia="宋体" w:cs="宋体"/>
                <w:color w:val="auto"/>
                <w:sz w:val="24"/>
                <w:szCs w:val="24"/>
                <w:highlight w:val="none"/>
              </w:rPr>
            </w:pPr>
          </w:p>
        </w:tc>
      </w:tr>
      <w:tr w14:paraId="1E96D053">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1731EE25">
            <w:pPr>
              <w:spacing w:line="240" w:lineRule="auto"/>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941B01E">
            <w:pPr>
              <w:spacing w:line="240" w:lineRule="auto"/>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5C417776">
            <w:pPr>
              <w:spacing w:line="240" w:lineRule="auto"/>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735D7A04">
            <w:pPr>
              <w:spacing w:line="240" w:lineRule="auto"/>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4F6B7291">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6667D867">
            <w:pPr>
              <w:spacing w:line="240" w:lineRule="auto"/>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7E323D36">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3BFA1A8D">
            <w:pPr>
              <w:spacing w:line="240" w:lineRule="auto"/>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2A1DC8E7">
            <w:pPr>
              <w:spacing w:line="240" w:lineRule="auto"/>
              <w:rPr>
                <w:rFonts w:hint="eastAsia" w:ascii="宋体" w:hAnsi="宋体" w:eastAsia="宋体" w:cs="宋体"/>
                <w:color w:val="auto"/>
                <w:sz w:val="24"/>
                <w:szCs w:val="24"/>
                <w:highlight w:val="none"/>
              </w:rPr>
            </w:pPr>
          </w:p>
        </w:tc>
      </w:tr>
      <w:tr w14:paraId="696D9636">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68E1C361">
            <w:pPr>
              <w:spacing w:line="240" w:lineRule="auto"/>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A264B7B">
            <w:pPr>
              <w:spacing w:line="240" w:lineRule="auto"/>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57117C31">
            <w:pPr>
              <w:spacing w:line="240" w:lineRule="auto"/>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280DAF35">
            <w:pPr>
              <w:spacing w:line="240" w:lineRule="auto"/>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4BC89DBE">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7230BAF9">
            <w:pPr>
              <w:spacing w:line="240" w:lineRule="auto"/>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43B6DBE1">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3861A4A1">
            <w:pPr>
              <w:spacing w:line="240" w:lineRule="auto"/>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5DCFCD1E">
            <w:pPr>
              <w:spacing w:line="240" w:lineRule="auto"/>
              <w:rPr>
                <w:rFonts w:hint="eastAsia" w:ascii="宋体" w:hAnsi="宋体" w:eastAsia="宋体" w:cs="宋体"/>
                <w:color w:val="auto"/>
                <w:sz w:val="24"/>
                <w:szCs w:val="24"/>
                <w:highlight w:val="none"/>
              </w:rPr>
            </w:pPr>
          </w:p>
        </w:tc>
      </w:tr>
      <w:tr w14:paraId="172D196B">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091004D9">
            <w:pPr>
              <w:spacing w:line="240" w:lineRule="auto"/>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305622E">
            <w:pPr>
              <w:spacing w:line="240" w:lineRule="auto"/>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22D75D55">
            <w:pPr>
              <w:spacing w:line="240" w:lineRule="auto"/>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58412BB4">
            <w:pPr>
              <w:spacing w:line="240" w:lineRule="auto"/>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632EB838">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7FB95B1B">
            <w:pPr>
              <w:spacing w:line="240" w:lineRule="auto"/>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10A1D6A0">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3A2EE1D8">
            <w:pPr>
              <w:spacing w:line="240" w:lineRule="auto"/>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7A9E20AC">
            <w:pPr>
              <w:spacing w:line="240" w:lineRule="auto"/>
              <w:rPr>
                <w:rFonts w:hint="eastAsia" w:ascii="宋体" w:hAnsi="宋体" w:eastAsia="宋体" w:cs="宋体"/>
                <w:color w:val="auto"/>
                <w:sz w:val="24"/>
                <w:szCs w:val="24"/>
                <w:highlight w:val="none"/>
              </w:rPr>
            </w:pPr>
          </w:p>
        </w:tc>
      </w:tr>
      <w:tr w14:paraId="51361BF2">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6C1ED63F">
            <w:pPr>
              <w:spacing w:line="240" w:lineRule="auto"/>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B4C8C54">
            <w:pPr>
              <w:spacing w:line="240" w:lineRule="auto"/>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3D2F5DE8">
            <w:pPr>
              <w:spacing w:line="240" w:lineRule="auto"/>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746BA071">
            <w:pPr>
              <w:spacing w:line="240" w:lineRule="auto"/>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4BAA99D2">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22E91ADD">
            <w:pPr>
              <w:spacing w:line="240" w:lineRule="auto"/>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1CC1CF18">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28751CDE">
            <w:pPr>
              <w:spacing w:line="240" w:lineRule="auto"/>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6C04F3C6">
            <w:pPr>
              <w:spacing w:line="240" w:lineRule="auto"/>
              <w:rPr>
                <w:rFonts w:hint="eastAsia" w:ascii="宋体" w:hAnsi="宋体" w:eastAsia="宋体" w:cs="宋体"/>
                <w:color w:val="auto"/>
                <w:sz w:val="24"/>
                <w:szCs w:val="24"/>
                <w:highlight w:val="none"/>
              </w:rPr>
            </w:pPr>
          </w:p>
        </w:tc>
      </w:tr>
      <w:tr w14:paraId="1A1EAF08">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6" w:space="0"/>
              <w:right w:val="single" w:color="auto" w:sz="6" w:space="0"/>
            </w:tcBorders>
            <w:noWrap w:val="0"/>
            <w:vAlign w:val="top"/>
          </w:tcPr>
          <w:p w14:paraId="4692FB6B">
            <w:pPr>
              <w:spacing w:line="240" w:lineRule="auto"/>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4B5EF08">
            <w:pPr>
              <w:spacing w:line="240" w:lineRule="auto"/>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6" w:space="0"/>
              <w:right w:val="single" w:color="auto" w:sz="6" w:space="0"/>
            </w:tcBorders>
            <w:noWrap w:val="0"/>
            <w:vAlign w:val="top"/>
          </w:tcPr>
          <w:p w14:paraId="7BC6C3EB">
            <w:pPr>
              <w:spacing w:line="240" w:lineRule="auto"/>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6" w:space="0"/>
              <w:right w:val="single" w:color="auto" w:sz="6" w:space="0"/>
            </w:tcBorders>
            <w:noWrap w:val="0"/>
            <w:vAlign w:val="top"/>
          </w:tcPr>
          <w:p w14:paraId="4F0D64FD">
            <w:pPr>
              <w:spacing w:line="240" w:lineRule="auto"/>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6" w:space="0"/>
              <w:right w:val="single" w:color="auto" w:sz="6" w:space="0"/>
            </w:tcBorders>
            <w:noWrap w:val="0"/>
            <w:vAlign w:val="top"/>
          </w:tcPr>
          <w:p w14:paraId="129F2DBB">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77D89F88">
            <w:pPr>
              <w:spacing w:line="240" w:lineRule="auto"/>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6" w:space="0"/>
              <w:right w:val="single" w:color="auto" w:sz="6" w:space="0"/>
            </w:tcBorders>
            <w:noWrap w:val="0"/>
            <w:vAlign w:val="top"/>
          </w:tcPr>
          <w:p w14:paraId="222F32F9">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6" w:space="0"/>
              <w:right w:val="single" w:color="auto" w:sz="6" w:space="0"/>
            </w:tcBorders>
            <w:noWrap w:val="0"/>
            <w:vAlign w:val="top"/>
          </w:tcPr>
          <w:p w14:paraId="2B40C191">
            <w:pPr>
              <w:spacing w:line="240" w:lineRule="auto"/>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6" w:space="0"/>
              <w:right w:val="single" w:color="auto" w:sz="12" w:space="0"/>
            </w:tcBorders>
            <w:noWrap w:val="0"/>
            <w:vAlign w:val="top"/>
          </w:tcPr>
          <w:p w14:paraId="4B342B4E">
            <w:pPr>
              <w:spacing w:line="240" w:lineRule="auto"/>
              <w:rPr>
                <w:rFonts w:hint="eastAsia" w:ascii="宋体" w:hAnsi="宋体" w:eastAsia="宋体" w:cs="宋体"/>
                <w:color w:val="auto"/>
                <w:sz w:val="24"/>
                <w:szCs w:val="24"/>
                <w:highlight w:val="none"/>
              </w:rPr>
            </w:pPr>
          </w:p>
        </w:tc>
      </w:tr>
      <w:tr w14:paraId="0034659F">
        <w:tblPrEx>
          <w:tblCellMar>
            <w:top w:w="0" w:type="dxa"/>
            <w:left w:w="28" w:type="dxa"/>
            <w:bottom w:w="0" w:type="dxa"/>
            <w:right w:w="28" w:type="dxa"/>
          </w:tblCellMar>
        </w:tblPrEx>
        <w:trPr>
          <w:trHeight w:val="567" w:hRule="atLeast"/>
          <w:jc w:val="center"/>
        </w:trPr>
        <w:tc>
          <w:tcPr>
            <w:tcW w:w="1162" w:type="dxa"/>
            <w:tcBorders>
              <w:top w:val="single" w:color="auto" w:sz="6" w:space="0"/>
              <w:left w:val="single" w:color="auto" w:sz="12" w:space="0"/>
              <w:bottom w:val="single" w:color="auto" w:sz="12" w:space="0"/>
              <w:right w:val="single" w:color="auto" w:sz="6" w:space="0"/>
            </w:tcBorders>
            <w:noWrap w:val="0"/>
            <w:vAlign w:val="top"/>
          </w:tcPr>
          <w:p w14:paraId="61A4AC88">
            <w:pPr>
              <w:spacing w:line="240" w:lineRule="auto"/>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12" w:space="0"/>
              <w:right w:val="single" w:color="auto" w:sz="6" w:space="0"/>
            </w:tcBorders>
            <w:noWrap w:val="0"/>
            <w:vAlign w:val="top"/>
          </w:tcPr>
          <w:p w14:paraId="6C2C160E">
            <w:pPr>
              <w:spacing w:line="240" w:lineRule="auto"/>
              <w:rPr>
                <w:rFonts w:hint="eastAsia" w:ascii="宋体" w:hAnsi="宋体" w:eastAsia="宋体" w:cs="宋体"/>
                <w:color w:val="auto"/>
                <w:sz w:val="24"/>
                <w:szCs w:val="24"/>
                <w:highlight w:val="none"/>
              </w:rPr>
            </w:pPr>
          </w:p>
        </w:tc>
        <w:tc>
          <w:tcPr>
            <w:tcW w:w="850" w:type="dxa"/>
            <w:tcBorders>
              <w:top w:val="single" w:color="auto" w:sz="6" w:space="0"/>
              <w:left w:val="single" w:color="auto" w:sz="6" w:space="0"/>
              <w:bottom w:val="single" w:color="auto" w:sz="12" w:space="0"/>
              <w:right w:val="single" w:color="auto" w:sz="6" w:space="0"/>
            </w:tcBorders>
            <w:noWrap w:val="0"/>
            <w:vAlign w:val="top"/>
          </w:tcPr>
          <w:p w14:paraId="4D99D035">
            <w:pPr>
              <w:spacing w:line="240" w:lineRule="auto"/>
              <w:rPr>
                <w:rFonts w:hint="eastAsia" w:ascii="宋体" w:hAnsi="宋体" w:eastAsia="宋体" w:cs="宋体"/>
                <w:color w:val="auto"/>
                <w:sz w:val="24"/>
                <w:szCs w:val="24"/>
                <w:highlight w:val="none"/>
              </w:rPr>
            </w:pPr>
          </w:p>
        </w:tc>
        <w:tc>
          <w:tcPr>
            <w:tcW w:w="1058" w:type="dxa"/>
            <w:tcBorders>
              <w:top w:val="single" w:color="auto" w:sz="6" w:space="0"/>
              <w:left w:val="single" w:color="auto" w:sz="6" w:space="0"/>
              <w:bottom w:val="single" w:color="auto" w:sz="12" w:space="0"/>
              <w:right w:val="single" w:color="auto" w:sz="6" w:space="0"/>
            </w:tcBorders>
            <w:noWrap w:val="0"/>
            <w:vAlign w:val="top"/>
          </w:tcPr>
          <w:p w14:paraId="172D9EA9">
            <w:pPr>
              <w:spacing w:line="240" w:lineRule="auto"/>
              <w:rPr>
                <w:rFonts w:hint="eastAsia" w:ascii="宋体" w:hAnsi="宋体" w:eastAsia="宋体" w:cs="宋体"/>
                <w:color w:val="auto"/>
                <w:sz w:val="24"/>
                <w:szCs w:val="24"/>
                <w:highlight w:val="none"/>
              </w:rPr>
            </w:pPr>
          </w:p>
        </w:tc>
        <w:tc>
          <w:tcPr>
            <w:tcW w:w="880" w:type="dxa"/>
            <w:tcBorders>
              <w:top w:val="single" w:color="auto" w:sz="6" w:space="0"/>
              <w:left w:val="single" w:color="auto" w:sz="6" w:space="0"/>
              <w:bottom w:val="single" w:color="auto" w:sz="12" w:space="0"/>
              <w:right w:val="single" w:color="auto" w:sz="6" w:space="0"/>
            </w:tcBorders>
            <w:noWrap w:val="0"/>
            <w:vAlign w:val="top"/>
          </w:tcPr>
          <w:p w14:paraId="3434EEDD">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12" w:space="0"/>
              <w:right w:val="single" w:color="auto" w:sz="6" w:space="0"/>
            </w:tcBorders>
            <w:noWrap w:val="0"/>
            <w:vAlign w:val="top"/>
          </w:tcPr>
          <w:p w14:paraId="7038A57C">
            <w:pPr>
              <w:spacing w:line="240" w:lineRule="auto"/>
              <w:rPr>
                <w:rFonts w:hint="eastAsia" w:ascii="宋体" w:hAnsi="宋体" w:eastAsia="宋体" w:cs="宋体"/>
                <w:color w:val="auto"/>
                <w:sz w:val="24"/>
                <w:szCs w:val="24"/>
                <w:highlight w:val="none"/>
              </w:rPr>
            </w:pPr>
          </w:p>
        </w:tc>
        <w:tc>
          <w:tcPr>
            <w:tcW w:w="1480" w:type="dxa"/>
            <w:tcBorders>
              <w:top w:val="single" w:color="auto" w:sz="6" w:space="0"/>
              <w:left w:val="single" w:color="auto" w:sz="6" w:space="0"/>
              <w:bottom w:val="single" w:color="auto" w:sz="12" w:space="0"/>
              <w:right w:val="single" w:color="auto" w:sz="6" w:space="0"/>
            </w:tcBorders>
            <w:noWrap w:val="0"/>
            <w:vAlign w:val="top"/>
          </w:tcPr>
          <w:p w14:paraId="1863584D">
            <w:pPr>
              <w:spacing w:line="240" w:lineRule="auto"/>
              <w:rPr>
                <w:rFonts w:hint="eastAsia" w:ascii="宋体" w:hAnsi="宋体" w:eastAsia="宋体" w:cs="宋体"/>
                <w:color w:val="auto"/>
                <w:sz w:val="24"/>
                <w:szCs w:val="24"/>
                <w:highlight w:val="none"/>
              </w:rPr>
            </w:pPr>
          </w:p>
        </w:tc>
        <w:tc>
          <w:tcPr>
            <w:tcW w:w="1020" w:type="dxa"/>
            <w:tcBorders>
              <w:top w:val="single" w:color="auto" w:sz="6" w:space="0"/>
              <w:left w:val="single" w:color="auto" w:sz="6" w:space="0"/>
              <w:bottom w:val="single" w:color="auto" w:sz="12" w:space="0"/>
              <w:right w:val="single" w:color="auto" w:sz="6" w:space="0"/>
            </w:tcBorders>
            <w:noWrap w:val="0"/>
            <w:vAlign w:val="top"/>
          </w:tcPr>
          <w:p w14:paraId="35E9B166">
            <w:pPr>
              <w:spacing w:line="240" w:lineRule="auto"/>
              <w:rPr>
                <w:rFonts w:hint="eastAsia" w:ascii="宋体" w:hAnsi="宋体" w:eastAsia="宋体" w:cs="宋体"/>
                <w:color w:val="auto"/>
                <w:sz w:val="24"/>
                <w:szCs w:val="24"/>
                <w:highlight w:val="none"/>
              </w:rPr>
            </w:pPr>
          </w:p>
        </w:tc>
        <w:tc>
          <w:tcPr>
            <w:tcW w:w="921" w:type="dxa"/>
            <w:tcBorders>
              <w:top w:val="single" w:color="auto" w:sz="6" w:space="0"/>
              <w:left w:val="single" w:color="auto" w:sz="6" w:space="0"/>
              <w:bottom w:val="single" w:color="auto" w:sz="12" w:space="0"/>
              <w:right w:val="single" w:color="auto" w:sz="12" w:space="0"/>
            </w:tcBorders>
            <w:noWrap w:val="0"/>
            <w:vAlign w:val="top"/>
          </w:tcPr>
          <w:p w14:paraId="4B483E71">
            <w:pPr>
              <w:spacing w:line="240" w:lineRule="auto"/>
              <w:rPr>
                <w:rFonts w:hint="eastAsia" w:ascii="宋体" w:hAnsi="宋体" w:eastAsia="宋体" w:cs="宋体"/>
                <w:color w:val="auto"/>
                <w:sz w:val="24"/>
                <w:szCs w:val="24"/>
                <w:highlight w:val="none"/>
              </w:rPr>
            </w:pPr>
          </w:p>
        </w:tc>
      </w:tr>
    </w:tbl>
    <w:p w14:paraId="06A1F307">
      <w:pPr>
        <w:spacing w:line="240" w:lineRule="auto"/>
        <w:jc w:val="center"/>
        <w:outlineLvl w:val="0"/>
        <w:rPr>
          <w:rFonts w:hint="eastAsia" w:ascii="宋体" w:hAnsi="宋体" w:eastAsia="宋体" w:cs="宋体"/>
          <w:color w:val="auto"/>
          <w:sz w:val="24"/>
          <w:szCs w:val="24"/>
          <w:highlight w:val="none"/>
        </w:rPr>
        <w:sectPr>
          <w:pgSz w:w="11920" w:h="16840"/>
          <w:pgMar w:top="1588" w:right="1531" w:bottom="1588" w:left="1531" w:header="720" w:footer="720" w:gutter="0"/>
          <w:pgNumType w:fmt="decimal"/>
          <w:cols w:space="720" w:num="1"/>
          <w:titlePg/>
          <w:docGrid w:linePitch="286" w:charSpace="0"/>
        </w:sectPr>
      </w:pPr>
      <w:bookmarkStart w:id="4348" w:name="_Toc14210"/>
      <w:bookmarkStart w:id="4349" w:name="_Toc25188"/>
      <w:bookmarkStart w:id="4350" w:name="_Toc7018"/>
      <w:bookmarkStart w:id="4351" w:name="_Toc29220"/>
    </w:p>
    <w:p w14:paraId="32A16258">
      <w:pPr>
        <w:spacing w:line="240" w:lineRule="auto"/>
        <w:jc w:val="center"/>
        <w:outlineLvl w:val="0"/>
        <w:rPr>
          <w:rFonts w:hint="eastAsia" w:ascii="宋体" w:hAnsi="宋体" w:eastAsia="宋体" w:cs="宋体"/>
          <w:color w:val="auto"/>
          <w:sz w:val="24"/>
          <w:szCs w:val="24"/>
          <w:highlight w:val="none"/>
        </w:rPr>
      </w:pPr>
      <w:bookmarkStart w:id="4352" w:name="_Toc26799"/>
      <w:bookmarkStart w:id="4353" w:name="_Toc29753"/>
      <w:bookmarkStart w:id="4354" w:name="_Toc24269"/>
      <w:bookmarkStart w:id="4355" w:name="_Toc10044"/>
      <w:bookmarkStart w:id="4356" w:name="_Toc22254"/>
      <w:bookmarkStart w:id="4357" w:name="_Toc26627"/>
      <w:bookmarkStart w:id="4358" w:name="_Toc8924"/>
      <w:bookmarkStart w:id="4359" w:name="_Toc11953"/>
      <w:bookmarkStart w:id="4360" w:name="_Toc19646"/>
      <w:bookmarkStart w:id="4361" w:name="_Toc21151"/>
      <w:bookmarkStart w:id="4362" w:name="_Toc1393"/>
      <w:r>
        <w:rPr>
          <w:rFonts w:hint="eastAsia" w:ascii="宋体" w:hAnsi="宋体" w:eastAsia="宋体" w:cs="宋体"/>
          <w:color w:val="auto"/>
          <w:sz w:val="24"/>
          <w:szCs w:val="24"/>
          <w:highlight w:val="none"/>
        </w:rPr>
        <w:t>附</w:t>
      </w:r>
      <w:bookmarkStart w:id="4363" w:name="_Toc296891056"/>
      <w:bookmarkEnd w:id="4363"/>
      <w:bookmarkStart w:id="4364" w:name="_Toc296891268"/>
      <w:bookmarkEnd w:id="4364"/>
      <w:bookmarkStart w:id="4365" w:name="_Toc296346729"/>
      <w:bookmarkEnd w:id="4365"/>
      <w:bookmarkStart w:id="4366" w:name="_Toc296503228"/>
      <w:bookmarkEnd w:id="4366"/>
      <w:bookmarkStart w:id="4367" w:name="_Toc267261699"/>
      <w:bookmarkEnd w:id="4367"/>
      <w:bookmarkStart w:id="4368" w:name="_Toc296347227"/>
      <w:bookmarkEnd w:id="4368"/>
      <w:bookmarkStart w:id="4369" w:name="_Toc296944567"/>
      <w:r>
        <w:rPr>
          <w:rFonts w:hint="eastAsia" w:ascii="宋体" w:hAnsi="宋体" w:eastAsia="宋体" w:cs="宋体"/>
          <w:color w:val="auto"/>
          <w:sz w:val="24"/>
          <w:szCs w:val="24"/>
          <w:highlight w:val="none"/>
        </w:rPr>
        <w:t>件6：</w:t>
      </w:r>
      <w:bookmarkEnd w:id="4369"/>
      <w:r>
        <w:rPr>
          <w:rFonts w:hint="eastAsia" w:ascii="宋体" w:hAnsi="宋体" w:eastAsia="宋体" w:cs="宋体"/>
          <w:color w:val="auto"/>
          <w:sz w:val="24"/>
          <w:szCs w:val="24"/>
          <w:highlight w:val="none"/>
        </w:rPr>
        <w:t>承包人主要施工管理人员表</w:t>
      </w:r>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p>
    <w:tbl>
      <w:tblPr>
        <w:tblStyle w:val="28"/>
        <w:tblW w:w="9809" w:type="dxa"/>
        <w:jc w:val="center"/>
        <w:tblLayout w:type="fixed"/>
        <w:tblCellMar>
          <w:top w:w="0" w:type="dxa"/>
          <w:left w:w="28" w:type="dxa"/>
          <w:bottom w:w="0" w:type="dxa"/>
          <w:right w:w="28" w:type="dxa"/>
        </w:tblCellMar>
      </w:tblPr>
      <w:tblGrid>
        <w:gridCol w:w="1871"/>
        <w:gridCol w:w="1418"/>
        <w:gridCol w:w="1134"/>
        <w:gridCol w:w="1134"/>
        <w:gridCol w:w="4252"/>
      </w:tblGrid>
      <w:tr w14:paraId="1FE7C8BF">
        <w:tblPrEx>
          <w:tblCellMar>
            <w:top w:w="0" w:type="dxa"/>
            <w:left w:w="28" w:type="dxa"/>
            <w:bottom w:w="0" w:type="dxa"/>
            <w:right w:w="28" w:type="dxa"/>
          </w:tblCellMar>
        </w:tblPrEx>
        <w:trPr>
          <w:jc w:val="center"/>
        </w:trPr>
        <w:tc>
          <w:tcPr>
            <w:tcW w:w="1871" w:type="dxa"/>
            <w:tcBorders>
              <w:top w:val="single" w:color="auto" w:sz="12" w:space="0"/>
              <w:left w:val="single" w:color="auto" w:sz="12" w:space="0"/>
              <w:bottom w:val="double" w:color="auto" w:sz="2" w:space="0"/>
              <w:right w:val="single" w:color="auto" w:sz="6" w:space="0"/>
            </w:tcBorders>
            <w:noWrap w:val="0"/>
            <w:vAlign w:val="center"/>
          </w:tcPr>
          <w:p w14:paraId="17BD93C6">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p>
        </w:tc>
        <w:tc>
          <w:tcPr>
            <w:tcW w:w="1418" w:type="dxa"/>
            <w:tcBorders>
              <w:top w:val="single" w:color="auto" w:sz="12" w:space="0"/>
              <w:left w:val="single" w:color="auto" w:sz="6" w:space="0"/>
              <w:bottom w:val="double" w:color="auto" w:sz="2" w:space="0"/>
              <w:right w:val="single" w:color="auto" w:sz="6" w:space="0"/>
            </w:tcBorders>
            <w:noWrap w:val="0"/>
            <w:vAlign w:val="center"/>
          </w:tcPr>
          <w:p w14:paraId="5B58FCBA">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134" w:type="dxa"/>
            <w:tcBorders>
              <w:top w:val="single" w:color="auto" w:sz="12" w:space="0"/>
              <w:left w:val="single" w:color="auto" w:sz="6" w:space="0"/>
              <w:bottom w:val="double" w:color="auto" w:sz="2" w:space="0"/>
              <w:right w:val="single" w:color="auto" w:sz="6" w:space="0"/>
            </w:tcBorders>
            <w:noWrap w:val="0"/>
            <w:vAlign w:val="center"/>
          </w:tcPr>
          <w:p w14:paraId="38DAB048">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p>
        </w:tc>
        <w:tc>
          <w:tcPr>
            <w:tcW w:w="1134" w:type="dxa"/>
            <w:tcBorders>
              <w:top w:val="single" w:color="auto" w:sz="12" w:space="0"/>
              <w:left w:val="single" w:color="auto" w:sz="6" w:space="0"/>
              <w:bottom w:val="double" w:color="auto" w:sz="2" w:space="0"/>
              <w:right w:val="single" w:color="auto" w:sz="6" w:space="0"/>
            </w:tcBorders>
            <w:noWrap w:val="0"/>
            <w:vAlign w:val="center"/>
          </w:tcPr>
          <w:p w14:paraId="03C50118">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4252" w:type="dxa"/>
            <w:tcBorders>
              <w:top w:val="single" w:color="auto" w:sz="12" w:space="0"/>
              <w:left w:val="single" w:color="auto" w:sz="6" w:space="0"/>
              <w:bottom w:val="double" w:color="auto" w:sz="2" w:space="0"/>
              <w:right w:val="single" w:color="auto" w:sz="12" w:space="0"/>
            </w:tcBorders>
            <w:noWrap w:val="0"/>
            <w:vAlign w:val="center"/>
          </w:tcPr>
          <w:p w14:paraId="58214B74">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主要资历、经验及承担过的项目</w:t>
            </w:r>
          </w:p>
        </w:tc>
      </w:tr>
      <w:tr w14:paraId="6EB85DDB">
        <w:tblPrEx>
          <w:tblCellMar>
            <w:top w:w="0" w:type="dxa"/>
            <w:left w:w="28" w:type="dxa"/>
            <w:bottom w:w="0" w:type="dxa"/>
            <w:right w:w="28" w:type="dxa"/>
          </w:tblCellMar>
        </w:tblPrEx>
        <w:trPr>
          <w:jc w:val="center"/>
        </w:trPr>
        <w:tc>
          <w:tcPr>
            <w:tcW w:w="9809" w:type="dxa"/>
            <w:gridSpan w:val="5"/>
            <w:tcBorders>
              <w:top w:val="double" w:color="auto" w:sz="2" w:space="0"/>
              <w:left w:val="single" w:color="auto" w:sz="12" w:space="0"/>
              <w:bottom w:val="single" w:color="auto" w:sz="6" w:space="0"/>
              <w:right w:val="single" w:color="auto" w:sz="12" w:space="0"/>
            </w:tcBorders>
            <w:noWrap w:val="0"/>
            <w:vAlign w:val="center"/>
          </w:tcPr>
          <w:p w14:paraId="0A6A1172">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一、总部人员</w:t>
            </w:r>
          </w:p>
        </w:tc>
      </w:tr>
      <w:tr w14:paraId="1B22B60E">
        <w:tblPrEx>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2FD8EC1C">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项目主管</w:t>
            </w:r>
          </w:p>
        </w:tc>
        <w:tc>
          <w:tcPr>
            <w:tcW w:w="1418" w:type="dxa"/>
            <w:tcBorders>
              <w:top w:val="nil"/>
              <w:left w:val="single" w:color="auto" w:sz="6" w:space="0"/>
              <w:bottom w:val="single" w:color="auto" w:sz="6" w:space="0"/>
              <w:right w:val="single" w:color="auto" w:sz="6" w:space="0"/>
            </w:tcBorders>
            <w:noWrap w:val="0"/>
            <w:vAlign w:val="center"/>
          </w:tcPr>
          <w:p w14:paraId="474DD064">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nil"/>
              <w:left w:val="single" w:color="auto" w:sz="6" w:space="0"/>
              <w:bottom w:val="single" w:color="auto" w:sz="6" w:space="0"/>
              <w:right w:val="single" w:color="auto" w:sz="6" w:space="0"/>
            </w:tcBorders>
            <w:noWrap w:val="0"/>
            <w:vAlign w:val="center"/>
          </w:tcPr>
          <w:p w14:paraId="36776664">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nil"/>
              <w:left w:val="single" w:color="auto" w:sz="6" w:space="0"/>
              <w:bottom w:val="single" w:color="auto" w:sz="6" w:space="0"/>
              <w:right w:val="single" w:color="auto" w:sz="6" w:space="0"/>
            </w:tcBorders>
            <w:noWrap w:val="0"/>
            <w:vAlign w:val="center"/>
          </w:tcPr>
          <w:p w14:paraId="418AAF08">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nil"/>
              <w:left w:val="single" w:color="auto" w:sz="6" w:space="0"/>
              <w:bottom w:val="single" w:color="auto" w:sz="6" w:space="0"/>
              <w:right w:val="single" w:color="auto" w:sz="12" w:space="0"/>
            </w:tcBorders>
            <w:noWrap w:val="0"/>
            <w:vAlign w:val="center"/>
          </w:tcPr>
          <w:p w14:paraId="4F6DD42A">
            <w:pPr>
              <w:pStyle w:val="9"/>
              <w:keepNext/>
              <w:spacing w:line="240" w:lineRule="auto"/>
              <w:ind w:left="63" w:right="63"/>
              <w:rPr>
                <w:rFonts w:hint="eastAsia" w:ascii="宋体" w:hAnsi="宋体" w:eastAsia="宋体" w:cs="宋体"/>
                <w:color w:val="auto"/>
                <w:sz w:val="24"/>
                <w:szCs w:val="24"/>
                <w:highlight w:val="none"/>
              </w:rPr>
            </w:pPr>
          </w:p>
        </w:tc>
      </w:tr>
      <w:tr w14:paraId="0E87CA50">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nil"/>
              <w:right w:val="single" w:color="auto" w:sz="6" w:space="0"/>
            </w:tcBorders>
            <w:noWrap w:val="0"/>
            <w:vAlign w:val="center"/>
          </w:tcPr>
          <w:p w14:paraId="23B9444B">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D2BC803">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E92C22E">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60CDA60">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01D80A56">
            <w:pPr>
              <w:pStyle w:val="9"/>
              <w:keepNext/>
              <w:spacing w:line="240" w:lineRule="auto"/>
              <w:ind w:left="63" w:right="63"/>
              <w:rPr>
                <w:rFonts w:hint="eastAsia" w:ascii="宋体" w:hAnsi="宋体" w:eastAsia="宋体" w:cs="宋体"/>
                <w:color w:val="auto"/>
                <w:sz w:val="24"/>
                <w:szCs w:val="24"/>
                <w:highlight w:val="none"/>
              </w:rPr>
            </w:pPr>
          </w:p>
        </w:tc>
      </w:tr>
      <w:tr w14:paraId="562DEF10">
        <w:tblPrEx>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0690BD72">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其他人员</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D37B124">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C71651F">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067EDA2">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19793E65">
            <w:pPr>
              <w:pStyle w:val="9"/>
              <w:keepNext/>
              <w:spacing w:line="240" w:lineRule="auto"/>
              <w:ind w:left="63" w:right="63"/>
              <w:rPr>
                <w:rFonts w:hint="eastAsia" w:ascii="宋体" w:hAnsi="宋体" w:eastAsia="宋体" w:cs="宋体"/>
                <w:color w:val="auto"/>
                <w:sz w:val="24"/>
                <w:szCs w:val="24"/>
                <w:highlight w:val="none"/>
              </w:rPr>
            </w:pPr>
          </w:p>
        </w:tc>
      </w:tr>
      <w:tr w14:paraId="1A902697">
        <w:tblPrEx>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03B79229">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BFF140E">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ECE6970">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8280C2C">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26C40FC1">
            <w:pPr>
              <w:pStyle w:val="9"/>
              <w:keepNext/>
              <w:spacing w:line="240" w:lineRule="auto"/>
              <w:ind w:left="63" w:right="63"/>
              <w:rPr>
                <w:rFonts w:hint="eastAsia" w:ascii="宋体" w:hAnsi="宋体" w:eastAsia="宋体" w:cs="宋体"/>
                <w:color w:val="auto"/>
                <w:sz w:val="24"/>
                <w:szCs w:val="24"/>
                <w:highlight w:val="none"/>
              </w:rPr>
            </w:pPr>
          </w:p>
        </w:tc>
      </w:tr>
      <w:tr w14:paraId="15F09DFD">
        <w:tblPrEx>
          <w:tblCellMar>
            <w:top w:w="0" w:type="dxa"/>
            <w:left w:w="28" w:type="dxa"/>
            <w:bottom w:w="0" w:type="dxa"/>
            <w:right w:w="28" w:type="dxa"/>
          </w:tblCellMar>
        </w:tblPrEx>
        <w:trPr>
          <w:jc w:val="center"/>
        </w:trPr>
        <w:tc>
          <w:tcPr>
            <w:tcW w:w="9809" w:type="dxa"/>
            <w:gridSpan w:val="5"/>
            <w:tcBorders>
              <w:top w:val="single" w:color="auto" w:sz="6" w:space="0"/>
              <w:left w:val="single" w:color="auto" w:sz="12" w:space="0"/>
              <w:bottom w:val="single" w:color="auto" w:sz="6" w:space="0"/>
              <w:right w:val="single" w:color="auto" w:sz="12" w:space="0"/>
            </w:tcBorders>
            <w:noWrap w:val="0"/>
            <w:vAlign w:val="center"/>
          </w:tcPr>
          <w:p w14:paraId="0A128E83">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二、现场人员</w:t>
            </w:r>
          </w:p>
        </w:tc>
      </w:tr>
      <w:tr w14:paraId="4AD29243">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6FBAA28E">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3DE9328">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5231634">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1C1D9C6">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6697C561">
            <w:pPr>
              <w:pStyle w:val="9"/>
              <w:keepNext/>
              <w:spacing w:line="240" w:lineRule="auto"/>
              <w:ind w:left="63" w:right="63"/>
              <w:rPr>
                <w:rFonts w:hint="eastAsia" w:ascii="宋体" w:hAnsi="宋体" w:eastAsia="宋体" w:cs="宋体"/>
                <w:color w:val="auto"/>
                <w:sz w:val="24"/>
                <w:szCs w:val="24"/>
                <w:highlight w:val="none"/>
              </w:rPr>
            </w:pPr>
          </w:p>
        </w:tc>
      </w:tr>
      <w:tr w14:paraId="02F7B3C3">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122BF23C">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项目副经理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D18A78C">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FE62C27">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169B930">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1CD2BE35">
            <w:pPr>
              <w:pStyle w:val="9"/>
              <w:keepNext/>
              <w:spacing w:line="240" w:lineRule="auto"/>
              <w:ind w:left="63" w:right="63"/>
              <w:rPr>
                <w:rFonts w:hint="eastAsia" w:ascii="宋体" w:hAnsi="宋体" w:eastAsia="宋体" w:cs="宋体"/>
                <w:color w:val="auto"/>
                <w:sz w:val="24"/>
                <w:szCs w:val="24"/>
                <w:highlight w:val="none"/>
              </w:rPr>
            </w:pPr>
          </w:p>
        </w:tc>
      </w:tr>
      <w:tr w14:paraId="3496726C">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23D8D522">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技术负责人</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615423F">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F0E5DDF">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7789520">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2E3F5F22">
            <w:pPr>
              <w:pStyle w:val="9"/>
              <w:keepNext/>
              <w:spacing w:line="240" w:lineRule="auto"/>
              <w:ind w:left="63" w:right="63"/>
              <w:rPr>
                <w:rFonts w:hint="eastAsia" w:ascii="宋体" w:hAnsi="宋体" w:eastAsia="宋体" w:cs="宋体"/>
                <w:color w:val="auto"/>
                <w:sz w:val="24"/>
                <w:szCs w:val="24"/>
                <w:highlight w:val="none"/>
              </w:rPr>
            </w:pPr>
          </w:p>
        </w:tc>
      </w:tr>
      <w:tr w14:paraId="3F8895C0">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49EE8273">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造价管理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37C2A4F">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83BC304">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D95BE8C">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5EF24F39">
            <w:pPr>
              <w:pStyle w:val="9"/>
              <w:keepNext/>
              <w:spacing w:line="240" w:lineRule="auto"/>
              <w:ind w:left="63" w:right="63"/>
              <w:rPr>
                <w:rFonts w:hint="eastAsia" w:ascii="宋体" w:hAnsi="宋体" w:eastAsia="宋体" w:cs="宋体"/>
                <w:color w:val="auto"/>
                <w:sz w:val="24"/>
                <w:szCs w:val="24"/>
                <w:highlight w:val="none"/>
              </w:rPr>
            </w:pPr>
          </w:p>
        </w:tc>
      </w:tr>
      <w:tr w14:paraId="0D3A313E">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2497B1D1">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0D6AD50">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31D92C3">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D5926B9">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3B428192">
            <w:pPr>
              <w:pStyle w:val="9"/>
              <w:keepNext/>
              <w:spacing w:line="240" w:lineRule="auto"/>
              <w:ind w:left="63" w:right="63"/>
              <w:rPr>
                <w:rFonts w:hint="eastAsia" w:ascii="宋体" w:hAnsi="宋体" w:eastAsia="宋体" w:cs="宋体"/>
                <w:color w:val="auto"/>
                <w:sz w:val="24"/>
                <w:szCs w:val="24"/>
                <w:highlight w:val="none"/>
              </w:rPr>
            </w:pPr>
          </w:p>
        </w:tc>
      </w:tr>
      <w:tr w14:paraId="393467D5">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28C8CCF2">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D879B53">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C545FC1">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097EF25">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18393A3F">
            <w:pPr>
              <w:pStyle w:val="9"/>
              <w:keepNext/>
              <w:spacing w:line="240" w:lineRule="auto"/>
              <w:ind w:left="63" w:right="63"/>
              <w:rPr>
                <w:rFonts w:hint="eastAsia" w:ascii="宋体" w:hAnsi="宋体" w:eastAsia="宋体" w:cs="宋体"/>
                <w:color w:val="auto"/>
                <w:sz w:val="24"/>
                <w:szCs w:val="24"/>
                <w:highlight w:val="none"/>
              </w:rPr>
            </w:pPr>
          </w:p>
        </w:tc>
      </w:tr>
      <w:tr w14:paraId="078E2164">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0B16EAD6">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B002E1B">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0228AB3D">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F271CC0">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167DB3DB">
            <w:pPr>
              <w:pStyle w:val="9"/>
              <w:keepNext/>
              <w:spacing w:line="240" w:lineRule="auto"/>
              <w:ind w:left="63" w:right="63"/>
              <w:rPr>
                <w:rFonts w:hint="eastAsia" w:ascii="宋体" w:hAnsi="宋体" w:eastAsia="宋体" w:cs="宋体"/>
                <w:color w:val="auto"/>
                <w:sz w:val="24"/>
                <w:szCs w:val="24"/>
                <w:highlight w:val="none"/>
              </w:rPr>
            </w:pPr>
          </w:p>
        </w:tc>
      </w:tr>
      <w:tr w14:paraId="0EF46FBB">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1C5A8DD8">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30A1D19">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D250CE4">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558ED3C">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72AA5714">
            <w:pPr>
              <w:pStyle w:val="9"/>
              <w:keepNext/>
              <w:spacing w:line="240" w:lineRule="auto"/>
              <w:ind w:left="63" w:right="63"/>
              <w:rPr>
                <w:rFonts w:hint="eastAsia" w:ascii="宋体" w:hAnsi="宋体" w:eastAsia="宋体" w:cs="宋体"/>
                <w:color w:val="auto"/>
                <w:sz w:val="24"/>
                <w:szCs w:val="24"/>
                <w:highlight w:val="none"/>
              </w:rPr>
            </w:pPr>
          </w:p>
        </w:tc>
      </w:tr>
      <w:tr w14:paraId="09C56B60">
        <w:tblPrEx>
          <w:tblCellMar>
            <w:top w:w="0" w:type="dxa"/>
            <w:left w:w="28" w:type="dxa"/>
            <w:bottom w:w="0" w:type="dxa"/>
            <w:right w:w="28" w:type="dxa"/>
          </w:tblCellMar>
        </w:tblPrEx>
        <w:trPr>
          <w:jc w:val="center"/>
        </w:trPr>
        <w:tc>
          <w:tcPr>
            <w:tcW w:w="1871" w:type="dxa"/>
            <w:vMerge w:val="restart"/>
            <w:tcBorders>
              <w:top w:val="nil"/>
              <w:left w:val="single" w:color="auto" w:sz="12" w:space="0"/>
              <w:bottom w:val="single" w:color="auto" w:sz="6" w:space="0"/>
              <w:right w:val="single" w:color="auto" w:sz="6" w:space="0"/>
            </w:tcBorders>
            <w:noWrap w:val="0"/>
            <w:vAlign w:val="center"/>
          </w:tcPr>
          <w:p w14:paraId="763C0B38">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其他人员</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4D29648">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8C33341">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8FFBC24">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2E540DB0">
            <w:pPr>
              <w:pStyle w:val="9"/>
              <w:keepNext/>
              <w:spacing w:line="240" w:lineRule="auto"/>
              <w:ind w:left="63" w:right="63"/>
              <w:rPr>
                <w:rFonts w:hint="eastAsia" w:ascii="宋体" w:hAnsi="宋体" w:eastAsia="宋体" w:cs="宋体"/>
                <w:color w:val="auto"/>
                <w:sz w:val="24"/>
                <w:szCs w:val="24"/>
                <w:highlight w:val="none"/>
              </w:rPr>
            </w:pPr>
          </w:p>
        </w:tc>
      </w:tr>
      <w:tr w14:paraId="1F2045E6">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767F1FB3">
            <w:pPr>
              <w:widowControl/>
              <w:spacing w:line="240" w:lineRule="auto"/>
              <w:jc w:val="left"/>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nil"/>
              <w:right w:val="single" w:color="auto" w:sz="6" w:space="0"/>
            </w:tcBorders>
            <w:noWrap w:val="0"/>
            <w:vAlign w:val="center"/>
          </w:tcPr>
          <w:p w14:paraId="359B42E1">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nil"/>
              <w:right w:val="single" w:color="auto" w:sz="6" w:space="0"/>
            </w:tcBorders>
            <w:noWrap w:val="0"/>
            <w:vAlign w:val="center"/>
          </w:tcPr>
          <w:p w14:paraId="2034743F">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nil"/>
              <w:right w:val="single" w:color="auto" w:sz="6" w:space="0"/>
            </w:tcBorders>
            <w:noWrap w:val="0"/>
            <w:vAlign w:val="center"/>
          </w:tcPr>
          <w:p w14:paraId="069FC28D">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nil"/>
              <w:right w:val="single" w:color="auto" w:sz="12" w:space="0"/>
            </w:tcBorders>
            <w:noWrap w:val="0"/>
            <w:vAlign w:val="center"/>
          </w:tcPr>
          <w:p w14:paraId="0885E409">
            <w:pPr>
              <w:pStyle w:val="9"/>
              <w:keepNext/>
              <w:spacing w:line="240" w:lineRule="auto"/>
              <w:ind w:left="63" w:right="63"/>
              <w:rPr>
                <w:rFonts w:hint="eastAsia" w:ascii="宋体" w:hAnsi="宋体" w:eastAsia="宋体" w:cs="宋体"/>
                <w:color w:val="auto"/>
                <w:sz w:val="24"/>
                <w:szCs w:val="24"/>
                <w:highlight w:val="none"/>
              </w:rPr>
            </w:pPr>
          </w:p>
        </w:tc>
      </w:tr>
      <w:tr w14:paraId="2B3A44DC">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3C119406">
            <w:pPr>
              <w:widowControl/>
              <w:spacing w:line="240" w:lineRule="auto"/>
              <w:jc w:val="left"/>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58AE5CC">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3A78C89">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2CABE99">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0B213356">
            <w:pPr>
              <w:pStyle w:val="9"/>
              <w:keepNext/>
              <w:spacing w:line="240" w:lineRule="auto"/>
              <w:ind w:left="63" w:right="63"/>
              <w:rPr>
                <w:rFonts w:hint="eastAsia" w:ascii="宋体" w:hAnsi="宋体" w:eastAsia="宋体" w:cs="宋体"/>
                <w:color w:val="auto"/>
                <w:sz w:val="24"/>
                <w:szCs w:val="24"/>
                <w:highlight w:val="none"/>
              </w:rPr>
            </w:pPr>
          </w:p>
        </w:tc>
      </w:tr>
      <w:tr w14:paraId="1C1130BE">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4857BF4A">
            <w:pPr>
              <w:widowControl/>
              <w:spacing w:line="240" w:lineRule="auto"/>
              <w:jc w:val="left"/>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CAF261C">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D3B9ADF">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E170AD8">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541A3FC6">
            <w:pPr>
              <w:pStyle w:val="9"/>
              <w:keepNext/>
              <w:spacing w:line="240" w:lineRule="auto"/>
              <w:ind w:left="63" w:right="63"/>
              <w:rPr>
                <w:rFonts w:hint="eastAsia" w:ascii="宋体" w:hAnsi="宋体" w:eastAsia="宋体" w:cs="宋体"/>
                <w:color w:val="auto"/>
                <w:sz w:val="24"/>
                <w:szCs w:val="24"/>
                <w:highlight w:val="none"/>
              </w:rPr>
            </w:pPr>
          </w:p>
        </w:tc>
      </w:tr>
      <w:tr w14:paraId="1982F7FE">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36C3E5D0">
            <w:pPr>
              <w:widowControl/>
              <w:spacing w:line="240" w:lineRule="auto"/>
              <w:jc w:val="left"/>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2C27855">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E6DFA3A">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AC93E6C">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6DDF40C9">
            <w:pPr>
              <w:pStyle w:val="9"/>
              <w:keepNext/>
              <w:spacing w:line="240" w:lineRule="auto"/>
              <w:ind w:left="63" w:right="63"/>
              <w:rPr>
                <w:rFonts w:hint="eastAsia" w:ascii="宋体" w:hAnsi="宋体" w:eastAsia="宋体" w:cs="宋体"/>
                <w:color w:val="auto"/>
                <w:sz w:val="24"/>
                <w:szCs w:val="24"/>
                <w:highlight w:val="none"/>
              </w:rPr>
            </w:pPr>
          </w:p>
        </w:tc>
      </w:tr>
      <w:tr w14:paraId="4E50FDE3">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1CDC2327">
            <w:pPr>
              <w:widowControl/>
              <w:spacing w:line="240" w:lineRule="auto"/>
              <w:jc w:val="left"/>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12" w:space="0"/>
              <w:right w:val="single" w:color="auto" w:sz="6" w:space="0"/>
            </w:tcBorders>
            <w:noWrap w:val="0"/>
            <w:vAlign w:val="center"/>
          </w:tcPr>
          <w:p w14:paraId="7D9BE871">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6A5803AB">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4E8AA73C">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12" w:space="0"/>
              <w:right w:val="single" w:color="auto" w:sz="12" w:space="0"/>
            </w:tcBorders>
            <w:noWrap w:val="0"/>
            <w:vAlign w:val="center"/>
          </w:tcPr>
          <w:p w14:paraId="05501934">
            <w:pPr>
              <w:pStyle w:val="9"/>
              <w:keepNext/>
              <w:spacing w:line="240" w:lineRule="auto"/>
              <w:ind w:left="63" w:right="63"/>
              <w:rPr>
                <w:rFonts w:hint="eastAsia" w:ascii="宋体" w:hAnsi="宋体" w:eastAsia="宋体" w:cs="宋体"/>
                <w:color w:val="auto"/>
                <w:sz w:val="24"/>
                <w:szCs w:val="24"/>
                <w:highlight w:val="none"/>
              </w:rPr>
            </w:pPr>
          </w:p>
        </w:tc>
      </w:tr>
    </w:tbl>
    <w:p w14:paraId="20DF4E08">
      <w:pPr>
        <w:spacing w:line="240" w:lineRule="auto"/>
        <w:jc w:val="center"/>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4370" w:name="_Toc29832"/>
      <w:bookmarkStart w:id="4371" w:name="_Toc7249"/>
      <w:bookmarkStart w:id="4372" w:name="_Toc8289"/>
      <w:bookmarkStart w:id="4373" w:name="_Toc4131"/>
      <w:bookmarkStart w:id="4374" w:name="_Toc29214"/>
      <w:bookmarkStart w:id="4375" w:name="_Toc19102"/>
      <w:bookmarkStart w:id="4376" w:name="_Toc2832"/>
      <w:bookmarkStart w:id="4377" w:name="_Toc18713"/>
      <w:bookmarkStart w:id="4378" w:name="_Toc29597"/>
      <w:bookmarkStart w:id="4379" w:name="_Toc30328"/>
      <w:bookmarkStart w:id="4380" w:name="_Toc7557"/>
      <w:bookmarkStart w:id="4381" w:name="_Toc7530"/>
      <w:bookmarkStart w:id="4382" w:name="_Toc9377"/>
      <w:bookmarkStart w:id="4383" w:name="_Toc16313"/>
      <w:bookmarkStart w:id="4384" w:name="_Toc23548"/>
      <w:r>
        <w:rPr>
          <w:rFonts w:hint="eastAsia" w:ascii="宋体" w:hAnsi="宋体" w:eastAsia="宋体" w:cs="宋体"/>
          <w:color w:val="auto"/>
          <w:sz w:val="24"/>
          <w:szCs w:val="24"/>
          <w:highlight w:val="none"/>
        </w:rPr>
        <w:t>附</w:t>
      </w:r>
      <w:bookmarkStart w:id="4385" w:name="_Toc296891057"/>
      <w:bookmarkEnd w:id="4385"/>
      <w:bookmarkStart w:id="4386" w:name="_Toc296347228"/>
      <w:bookmarkEnd w:id="4386"/>
      <w:bookmarkStart w:id="4387" w:name="_Toc296891269"/>
      <w:bookmarkEnd w:id="4387"/>
      <w:bookmarkStart w:id="4388" w:name="_Toc296346730"/>
      <w:bookmarkEnd w:id="4388"/>
      <w:bookmarkStart w:id="4389" w:name="_Toc296503229"/>
      <w:bookmarkEnd w:id="4389"/>
      <w:bookmarkStart w:id="4390" w:name="_Toc296944568"/>
      <w:r>
        <w:rPr>
          <w:rFonts w:hint="eastAsia" w:ascii="宋体" w:hAnsi="宋体" w:eastAsia="宋体" w:cs="宋体"/>
          <w:color w:val="auto"/>
          <w:sz w:val="24"/>
          <w:szCs w:val="24"/>
          <w:highlight w:val="none"/>
        </w:rPr>
        <w:t>件7：</w:t>
      </w:r>
      <w:bookmarkEnd w:id="4390"/>
      <w:r>
        <w:rPr>
          <w:rFonts w:hint="eastAsia" w:ascii="宋体" w:hAnsi="宋体" w:eastAsia="宋体" w:cs="宋体"/>
          <w:color w:val="auto"/>
          <w:sz w:val="24"/>
          <w:szCs w:val="24"/>
          <w:highlight w:val="none"/>
        </w:rPr>
        <w:t>分包人主要施工管理人员表</w:t>
      </w:r>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p>
    <w:tbl>
      <w:tblPr>
        <w:tblStyle w:val="28"/>
        <w:tblW w:w="9809" w:type="dxa"/>
        <w:jc w:val="center"/>
        <w:tblLayout w:type="fixed"/>
        <w:tblCellMar>
          <w:top w:w="0" w:type="dxa"/>
          <w:left w:w="28" w:type="dxa"/>
          <w:bottom w:w="0" w:type="dxa"/>
          <w:right w:w="28" w:type="dxa"/>
        </w:tblCellMar>
      </w:tblPr>
      <w:tblGrid>
        <w:gridCol w:w="1871"/>
        <w:gridCol w:w="1418"/>
        <w:gridCol w:w="1134"/>
        <w:gridCol w:w="1134"/>
        <w:gridCol w:w="4252"/>
      </w:tblGrid>
      <w:tr w14:paraId="52813DFE">
        <w:tblPrEx>
          <w:tblCellMar>
            <w:top w:w="0" w:type="dxa"/>
            <w:left w:w="28" w:type="dxa"/>
            <w:bottom w:w="0" w:type="dxa"/>
            <w:right w:w="28" w:type="dxa"/>
          </w:tblCellMar>
        </w:tblPrEx>
        <w:trPr>
          <w:jc w:val="center"/>
        </w:trPr>
        <w:tc>
          <w:tcPr>
            <w:tcW w:w="1871" w:type="dxa"/>
            <w:tcBorders>
              <w:top w:val="single" w:color="auto" w:sz="12" w:space="0"/>
              <w:left w:val="single" w:color="auto" w:sz="12" w:space="0"/>
              <w:bottom w:val="double" w:color="auto" w:sz="2" w:space="0"/>
              <w:right w:val="single" w:color="auto" w:sz="6" w:space="0"/>
            </w:tcBorders>
            <w:noWrap w:val="0"/>
            <w:vAlign w:val="center"/>
          </w:tcPr>
          <w:p w14:paraId="4EE3E102">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p>
        </w:tc>
        <w:tc>
          <w:tcPr>
            <w:tcW w:w="1418" w:type="dxa"/>
            <w:tcBorders>
              <w:top w:val="single" w:color="auto" w:sz="12" w:space="0"/>
              <w:left w:val="single" w:color="auto" w:sz="6" w:space="0"/>
              <w:bottom w:val="double" w:color="auto" w:sz="2" w:space="0"/>
              <w:right w:val="single" w:color="auto" w:sz="6" w:space="0"/>
            </w:tcBorders>
            <w:noWrap w:val="0"/>
            <w:vAlign w:val="center"/>
          </w:tcPr>
          <w:p w14:paraId="4CFA429B">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134" w:type="dxa"/>
            <w:tcBorders>
              <w:top w:val="single" w:color="auto" w:sz="12" w:space="0"/>
              <w:left w:val="single" w:color="auto" w:sz="6" w:space="0"/>
              <w:bottom w:val="double" w:color="auto" w:sz="2" w:space="0"/>
              <w:right w:val="single" w:color="auto" w:sz="6" w:space="0"/>
            </w:tcBorders>
            <w:noWrap w:val="0"/>
            <w:vAlign w:val="center"/>
          </w:tcPr>
          <w:p w14:paraId="79F6F9A1">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p>
        </w:tc>
        <w:tc>
          <w:tcPr>
            <w:tcW w:w="1134" w:type="dxa"/>
            <w:tcBorders>
              <w:top w:val="single" w:color="auto" w:sz="12" w:space="0"/>
              <w:left w:val="single" w:color="auto" w:sz="6" w:space="0"/>
              <w:bottom w:val="double" w:color="auto" w:sz="2" w:space="0"/>
              <w:right w:val="single" w:color="auto" w:sz="6" w:space="0"/>
            </w:tcBorders>
            <w:noWrap w:val="0"/>
            <w:vAlign w:val="center"/>
          </w:tcPr>
          <w:p w14:paraId="778F7817">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4252" w:type="dxa"/>
            <w:tcBorders>
              <w:top w:val="single" w:color="auto" w:sz="12" w:space="0"/>
              <w:left w:val="single" w:color="auto" w:sz="6" w:space="0"/>
              <w:bottom w:val="double" w:color="auto" w:sz="2" w:space="0"/>
              <w:right w:val="single" w:color="auto" w:sz="12" w:space="0"/>
            </w:tcBorders>
            <w:noWrap w:val="0"/>
            <w:vAlign w:val="center"/>
          </w:tcPr>
          <w:p w14:paraId="2ACA0CF1">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主要资历、经验及承担过的项目</w:t>
            </w:r>
          </w:p>
        </w:tc>
      </w:tr>
      <w:tr w14:paraId="1C8E3477">
        <w:tblPrEx>
          <w:tblCellMar>
            <w:top w:w="0" w:type="dxa"/>
            <w:left w:w="28" w:type="dxa"/>
            <w:bottom w:w="0" w:type="dxa"/>
            <w:right w:w="28" w:type="dxa"/>
          </w:tblCellMar>
        </w:tblPrEx>
        <w:trPr>
          <w:jc w:val="center"/>
        </w:trPr>
        <w:tc>
          <w:tcPr>
            <w:tcW w:w="9809" w:type="dxa"/>
            <w:gridSpan w:val="5"/>
            <w:tcBorders>
              <w:top w:val="double" w:color="auto" w:sz="2" w:space="0"/>
              <w:left w:val="single" w:color="auto" w:sz="12" w:space="0"/>
              <w:bottom w:val="single" w:color="auto" w:sz="6" w:space="0"/>
              <w:right w:val="single" w:color="auto" w:sz="12" w:space="0"/>
            </w:tcBorders>
            <w:noWrap w:val="0"/>
            <w:vAlign w:val="center"/>
          </w:tcPr>
          <w:p w14:paraId="2E31DBB9">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一、总部人员</w:t>
            </w:r>
          </w:p>
        </w:tc>
      </w:tr>
      <w:tr w14:paraId="7FC556A5">
        <w:tblPrEx>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4389B486">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项目主管</w:t>
            </w:r>
          </w:p>
        </w:tc>
        <w:tc>
          <w:tcPr>
            <w:tcW w:w="1418" w:type="dxa"/>
            <w:tcBorders>
              <w:top w:val="nil"/>
              <w:left w:val="single" w:color="auto" w:sz="6" w:space="0"/>
              <w:bottom w:val="single" w:color="auto" w:sz="6" w:space="0"/>
              <w:right w:val="single" w:color="auto" w:sz="6" w:space="0"/>
            </w:tcBorders>
            <w:noWrap w:val="0"/>
            <w:vAlign w:val="center"/>
          </w:tcPr>
          <w:p w14:paraId="20E977EB">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nil"/>
              <w:left w:val="single" w:color="auto" w:sz="6" w:space="0"/>
              <w:bottom w:val="single" w:color="auto" w:sz="6" w:space="0"/>
              <w:right w:val="single" w:color="auto" w:sz="6" w:space="0"/>
            </w:tcBorders>
            <w:noWrap w:val="0"/>
            <w:vAlign w:val="center"/>
          </w:tcPr>
          <w:p w14:paraId="5B418F80">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nil"/>
              <w:left w:val="single" w:color="auto" w:sz="6" w:space="0"/>
              <w:bottom w:val="single" w:color="auto" w:sz="6" w:space="0"/>
              <w:right w:val="single" w:color="auto" w:sz="6" w:space="0"/>
            </w:tcBorders>
            <w:noWrap w:val="0"/>
            <w:vAlign w:val="center"/>
          </w:tcPr>
          <w:p w14:paraId="791FF395">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nil"/>
              <w:left w:val="single" w:color="auto" w:sz="6" w:space="0"/>
              <w:bottom w:val="single" w:color="auto" w:sz="6" w:space="0"/>
              <w:right w:val="single" w:color="auto" w:sz="12" w:space="0"/>
            </w:tcBorders>
            <w:noWrap w:val="0"/>
            <w:vAlign w:val="center"/>
          </w:tcPr>
          <w:p w14:paraId="1D86E306">
            <w:pPr>
              <w:pStyle w:val="9"/>
              <w:keepNext/>
              <w:spacing w:line="240" w:lineRule="auto"/>
              <w:ind w:left="63" w:right="63"/>
              <w:rPr>
                <w:rFonts w:hint="eastAsia" w:ascii="宋体" w:hAnsi="宋体" w:eastAsia="宋体" w:cs="宋体"/>
                <w:color w:val="auto"/>
                <w:sz w:val="24"/>
                <w:szCs w:val="24"/>
                <w:highlight w:val="none"/>
              </w:rPr>
            </w:pPr>
          </w:p>
        </w:tc>
      </w:tr>
      <w:tr w14:paraId="250CB862">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nil"/>
              <w:right w:val="single" w:color="auto" w:sz="6" w:space="0"/>
            </w:tcBorders>
            <w:noWrap w:val="0"/>
            <w:vAlign w:val="center"/>
          </w:tcPr>
          <w:p w14:paraId="0522B979">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EFDA66E">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7BDDFB7">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89962C2">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04CE85FC">
            <w:pPr>
              <w:pStyle w:val="9"/>
              <w:keepNext/>
              <w:spacing w:line="240" w:lineRule="auto"/>
              <w:ind w:left="63" w:right="63"/>
              <w:rPr>
                <w:rFonts w:hint="eastAsia" w:ascii="宋体" w:hAnsi="宋体" w:eastAsia="宋体" w:cs="宋体"/>
                <w:color w:val="auto"/>
                <w:sz w:val="24"/>
                <w:szCs w:val="24"/>
                <w:highlight w:val="none"/>
              </w:rPr>
            </w:pPr>
          </w:p>
        </w:tc>
      </w:tr>
      <w:tr w14:paraId="06CA23C0">
        <w:tblPrEx>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41F43EEE">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其他人员</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C36ECC5">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B2D1711">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024E788">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0ACFBFD1">
            <w:pPr>
              <w:pStyle w:val="9"/>
              <w:keepNext/>
              <w:spacing w:line="240" w:lineRule="auto"/>
              <w:ind w:left="63" w:right="63"/>
              <w:rPr>
                <w:rFonts w:hint="eastAsia" w:ascii="宋体" w:hAnsi="宋体" w:eastAsia="宋体" w:cs="宋体"/>
                <w:color w:val="auto"/>
                <w:sz w:val="24"/>
                <w:szCs w:val="24"/>
                <w:highlight w:val="none"/>
              </w:rPr>
            </w:pPr>
          </w:p>
        </w:tc>
      </w:tr>
      <w:tr w14:paraId="317928E2">
        <w:tblPrEx>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noWrap w:val="0"/>
            <w:vAlign w:val="center"/>
          </w:tcPr>
          <w:p w14:paraId="33032F02">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A2365E5">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AC630AC">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AE6BDFB">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3F2AEA44">
            <w:pPr>
              <w:pStyle w:val="9"/>
              <w:keepNext/>
              <w:spacing w:line="240" w:lineRule="auto"/>
              <w:ind w:left="63" w:right="63"/>
              <w:rPr>
                <w:rFonts w:hint="eastAsia" w:ascii="宋体" w:hAnsi="宋体" w:eastAsia="宋体" w:cs="宋体"/>
                <w:color w:val="auto"/>
                <w:sz w:val="24"/>
                <w:szCs w:val="24"/>
                <w:highlight w:val="none"/>
              </w:rPr>
            </w:pPr>
          </w:p>
        </w:tc>
      </w:tr>
      <w:tr w14:paraId="0B36F980">
        <w:tblPrEx>
          <w:tblCellMar>
            <w:top w:w="0" w:type="dxa"/>
            <w:left w:w="28" w:type="dxa"/>
            <w:bottom w:w="0" w:type="dxa"/>
            <w:right w:w="28" w:type="dxa"/>
          </w:tblCellMar>
        </w:tblPrEx>
        <w:trPr>
          <w:jc w:val="center"/>
        </w:trPr>
        <w:tc>
          <w:tcPr>
            <w:tcW w:w="9809" w:type="dxa"/>
            <w:gridSpan w:val="5"/>
            <w:tcBorders>
              <w:top w:val="single" w:color="auto" w:sz="6" w:space="0"/>
              <w:left w:val="single" w:color="auto" w:sz="12" w:space="0"/>
              <w:bottom w:val="single" w:color="auto" w:sz="6" w:space="0"/>
              <w:right w:val="single" w:color="auto" w:sz="12" w:space="0"/>
            </w:tcBorders>
            <w:noWrap w:val="0"/>
            <w:vAlign w:val="center"/>
          </w:tcPr>
          <w:p w14:paraId="4C3DCB06">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二、现场人员</w:t>
            </w:r>
          </w:p>
        </w:tc>
      </w:tr>
      <w:tr w14:paraId="64B2EA06">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4EE9E279">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81A663F">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87FD7DA">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CB019C1">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0D2B5534">
            <w:pPr>
              <w:pStyle w:val="9"/>
              <w:keepNext/>
              <w:spacing w:line="240" w:lineRule="auto"/>
              <w:ind w:left="63" w:right="63"/>
              <w:rPr>
                <w:rFonts w:hint="eastAsia" w:ascii="宋体" w:hAnsi="宋体" w:eastAsia="宋体" w:cs="宋体"/>
                <w:color w:val="auto"/>
                <w:sz w:val="24"/>
                <w:szCs w:val="24"/>
                <w:highlight w:val="none"/>
              </w:rPr>
            </w:pPr>
          </w:p>
        </w:tc>
      </w:tr>
      <w:tr w14:paraId="080AD5AA">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4EC866CF">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项目副经理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B47F032">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407E304">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E036D6B">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76AF5618">
            <w:pPr>
              <w:pStyle w:val="9"/>
              <w:keepNext/>
              <w:spacing w:line="240" w:lineRule="auto"/>
              <w:ind w:left="63" w:right="63"/>
              <w:rPr>
                <w:rFonts w:hint="eastAsia" w:ascii="宋体" w:hAnsi="宋体" w:eastAsia="宋体" w:cs="宋体"/>
                <w:color w:val="auto"/>
                <w:sz w:val="24"/>
                <w:szCs w:val="24"/>
                <w:highlight w:val="none"/>
              </w:rPr>
            </w:pPr>
          </w:p>
        </w:tc>
      </w:tr>
      <w:tr w14:paraId="2C6DA931">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5D5F26B8">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技术负责人</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657B50D">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A695629">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88175D5">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6B030C00">
            <w:pPr>
              <w:pStyle w:val="9"/>
              <w:keepNext/>
              <w:spacing w:line="240" w:lineRule="auto"/>
              <w:ind w:left="63" w:right="63"/>
              <w:rPr>
                <w:rFonts w:hint="eastAsia" w:ascii="宋体" w:hAnsi="宋体" w:eastAsia="宋体" w:cs="宋体"/>
                <w:color w:val="auto"/>
                <w:sz w:val="24"/>
                <w:szCs w:val="24"/>
                <w:highlight w:val="none"/>
              </w:rPr>
            </w:pPr>
          </w:p>
        </w:tc>
      </w:tr>
      <w:tr w14:paraId="16A61847">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3448C926">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造价管理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AD61857">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586616E">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ECA41AB">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7E141852">
            <w:pPr>
              <w:pStyle w:val="9"/>
              <w:keepNext/>
              <w:spacing w:line="240" w:lineRule="auto"/>
              <w:ind w:left="63" w:right="63"/>
              <w:rPr>
                <w:rFonts w:hint="eastAsia" w:ascii="宋体" w:hAnsi="宋体" w:eastAsia="宋体" w:cs="宋体"/>
                <w:color w:val="auto"/>
                <w:sz w:val="24"/>
                <w:szCs w:val="24"/>
                <w:highlight w:val="none"/>
              </w:rPr>
            </w:pPr>
          </w:p>
        </w:tc>
      </w:tr>
      <w:tr w14:paraId="22DC3CFD">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20B7EE6D">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2559A00">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42D7A17">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32AA9D0">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3A1D023A">
            <w:pPr>
              <w:pStyle w:val="9"/>
              <w:keepNext/>
              <w:spacing w:line="240" w:lineRule="auto"/>
              <w:ind w:left="63" w:right="63"/>
              <w:rPr>
                <w:rFonts w:hint="eastAsia" w:ascii="宋体" w:hAnsi="宋体" w:eastAsia="宋体" w:cs="宋体"/>
                <w:color w:val="auto"/>
                <w:sz w:val="24"/>
                <w:szCs w:val="24"/>
                <w:highlight w:val="none"/>
              </w:rPr>
            </w:pPr>
          </w:p>
        </w:tc>
      </w:tr>
      <w:tr w14:paraId="63425E5B">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7FCEB131">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3DEE8E7">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CD4AFD5">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E37A1B6">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0FA5ADDA">
            <w:pPr>
              <w:pStyle w:val="9"/>
              <w:keepNext/>
              <w:spacing w:line="240" w:lineRule="auto"/>
              <w:ind w:left="63" w:right="63"/>
              <w:rPr>
                <w:rFonts w:hint="eastAsia" w:ascii="宋体" w:hAnsi="宋体" w:eastAsia="宋体" w:cs="宋体"/>
                <w:color w:val="auto"/>
                <w:sz w:val="24"/>
                <w:szCs w:val="24"/>
                <w:highlight w:val="none"/>
              </w:rPr>
            </w:pPr>
          </w:p>
        </w:tc>
      </w:tr>
      <w:tr w14:paraId="60842A96">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7F6B1BA6">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28E8FFB">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16175057">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61608D6">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73EB1A5C">
            <w:pPr>
              <w:pStyle w:val="9"/>
              <w:keepNext/>
              <w:spacing w:line="240" w:lineRule="auto"/>
              <w:ind w:left="63" w:right="63"/>
              <w:rPr>
                <w:rFonts w:hint="eastAsia" w:ascii="宋体" w:hAnsi="宋体" w:eastAsia="宋体" w:cs="宋体"/>
                <w:color w:val="auto"/>
                <w:sz w:val="24"/>
                <w:szCs w:val="24"/>
                <w:highlight w:val="none"/>
              </w:rPr>
            </w:pPr>
          </w:p>
        </w:tc>
      </w:tr>
      <w:tr w14:paraId="75D3E8A5">
        <w:tblPrEx>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noWrap w:val="0"/>
            <w:vAlign w:val="center"/>
          </w:tcPr>
          <w:p w14:paraId="22B279B8">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安全管理</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17962F3">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57FD229">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732D276">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71B08F8E">
            <w:pPr>
              <w:pStyle w:val="9"/>
              <w:keepNext/>
              <w:spacing w:line="240" w:lineRule="auto"/>
              <w:ind w:left="63" w:right="63"/>
              <w:rPr>
                <w:rFonts w:hint="eastAsia" w:ascii="宋体" w:hAnsi="宋体" w:eastAsia="宋体" w:cs="宋体"/>
                <w:color w:val="auto"/>
                <w:sz w:val="24"/>
                <w:szCs w:val="24"/>
                <w:highlight w:val="none"/>
              </w:rPr>
            </w:pPr>
          </w:p>
        </w:tc>
      </w:tr>
      <w:tr w14:paraId="3B7381D9">
        <w:tblPrEx>
          <w:tblCellMar>
            <w:top w:w="0" w:type="dxa"/>
            <w:left w:w="28" w:type="dxa"/>
            <w:bottom w:w="0" w:type="dxa"/>
            <w:right w:w="28" w:type="dxa"/>
          </w:tblCellMar>
        </w:tblPrEx>
        <w:trPr>
          <w:jc w:val="center"/>
        </w:trPr>
        <w:tc>
          <w:tcPr>
            <w:tcW w:w="1871" w:type="dxa"/>
            <w:vMerge w:val="restart"/>
            <w:tcBorders>
              <w:top w:val="nil"/>
              <w:left w:val="single" w:color="auto" w:sz="12" w:space="0"/>
              <w:bottom w:val="single" w:color="auto" w:sz="6" w:space="0"/>
              <w:right w:val="single" w:color="auto" w:sz="6" w:space="0"/>
            </w:tcBorders>
            <w:noWrap w:val="0"/>
            <w:vAlign w:val="center"/>
          </w:tcPr>
          <w:p w14:paraId="66561BF1">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其他人员</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07F325CC">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72D656A">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27B92BA8">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2E532758">
            <w:pPr>
              <w:pStyle w:val="9"/>
              <w:keepNext/>
              <w:spacing w:line="240" w:lineRule="auto"/>
              <w:ind w:left="63" w:right="63"/>
              <w:rPr>
                <w:rFonts w:hint="eastAsia" w:ascii="宋体" w:hAnsi="宋体" w:eastAsia="宋体" w:cs="宋体"/>
                <w:color w:val="auto"/>
                <w:sz w:val="24"/>
                <w:szCs w:val="24"/>
                <w:highlight w:val="none"/>
              </w:rPr>
            </w:pPr>
          </w:p>
        </w:tc>
      </w:tr>
      <w:tr w14:paraId="7F0C2263">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41304457">
            <w:pPr>
              <w:widowControl/>
              <w:spacing w:line="240" w:lineRule="auto"/>
              <w:jc w:val="left"/>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nil"/>
              <w:right w:val="single" w:color="auto" w:sz="6" w:space="0"/>
            </w:tcBorders>
            <w:noWrap w:val="0"/>
            <w:vAlign w:val="center"/>
          </w:tcPr>
          <w:p w14:paraId="71FFDDAD">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nil"/>
              <w:right w:val="single" w:color="auto" w:sz="6" w:space="0"/>
            </w:tcBorders>
            <w:noWrap w:val="0"/>
            <w:vAlign w:val="center"/>
          </w:tcPr>
          <w:p w14:paraId="4F1DCCAD">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nil"/>
              <w:right w:val="single" w:color="auto" w:sz="6" w:space="0"/>
            </w:tcBorders>
            <w:noWrap w:val="0"/>
            <w:vAlign w:val="center"/>
          </w:tcPr>
          <w:p w14:paraId="4E5714AE">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nil"/>
              <w:right w:val="single" w:color="auto" w:sz="12" w:space="0"/>
            </w:tcBorders>
            <w:noWrap w:val="0"/>
            <w:vAlign w:val="center"/>
          </w:tcPr>
          <w:p w14:paraId="192C6F75">
            <w:pPr>
              <w:pStyle w:val="9"/>
              <w:keepNext/>
              <w:spacing w:line="240" w:lineRule="auto"/>
              <w:ind w:left="63" w:right="63"/>
              <w:rPr>
                <w:rFonts w:hint="eastAsia" w:ascii="宋体" w:hAnsi="宋体" w:eastAsia="宋体" w:cs="宋体"/>
                <w:color w:val="auto"/>
                <w:sz w:val="24"/>
                <w:szCs w:val="24"/>
                <w:highlight w:val="none"/>
              </w:rPr>
            </w:pPr>
          </w:p>
        </w:tc>
      </w:tr>
      <w:tr w14:paraId="6693BA09">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3A64D724">
            <w:pPr>
              <w:widowControl/>
              <w:spacing w:line="240" w:lineRule="auto"/>
              <w:jc w:val="left"/>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52D40A9">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546D8DB1">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4F003795">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76F4DB4C">
            <w:pPr>
              <w:pStyle w:val="9"/>
              <w:keepNext/>
              <w:spacing w:line="240" w:lineRule="auto"/>
              <w:ind w:left="63" w:right="63"/>
              <w:rPr>
                <w:rFonts w:hint="eastAsia" w:ascii="宋体" w:hAnsi="宋体" w:eastAsia="宋体" w:cs="宋体"/>
                <w:color w:val="auto"/>
                <w:sz w:val="24"/>
                <w:szCs w:val="24"/>
                <w:highlight w:val="none"/>
              </w:rPr>
            </w:pPr>
          </w:p>
        </w:tc>
      </w:tr>
      <w:tr w14:paraId="14B80BA1">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71156F38">
            <w:pPr>
              <w:widowControl/>
              <w:spacing w:line="240" w:lineRule="auto"/>
              <w:jc w:val="left"/>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D076016">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BCCBEFB">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F9C5C24">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28DE4848">
            <w:pPr>
              <w:pStyle w:val="9"/>
              <w:keepNext/>
              <w:spacing w:line="240" w:lineRule="auto"/>
              <w:ind w:left="63" w:right="63"/>
              <w:rPr>
                <w:rFonts w:hint="eastAsia" w:ascii="宋体" w:hAnsi="宋体" w:eastAsia="宋体" w:cs="宋体"/>
                <w:color w:val="auto"/>
                <w:sz w:val="24"/>
                <w:szCs w:val="24"/>
                <w:highlight w:val="none"/>
              </w:rPr>
            </w:pPr>
          </w:p>
        </w:tc>
      </w:tr>
      <w:tr w14:paraId="76650345">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6299FF4F">
            <w:pPr>
              <w:widowControl/>
              <w:spacing w:line="240" w:lineRule="auto"/>
              <w:jc w:val="left"/>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91670C5">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6A6E582">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701FA50">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6" w:space="0"/>
              <w:right w:val="single" w:color="auto" w:sz="12" w:space="0"/>
            </w:tcBorders>
            <w:noWrap w:val="0"/>
            <w:vAlign w:val="center"/>
          </w:tcPr>
          <w:p w14:paraId="3E097F4D">
            <w:pPr>
              <w:pStyle w:val="9"/>
              <w:keepNext/>
              <w:spacing w:line="240" w:lineRule="auto"/>
              <w:ind w:left="63" w:right="63"/>
              <w:rPr>
                <w:rFonts w:hint="eastAsia" w:ascii="宋体" w:hAnsi="宋体" w:eastAsia="宋体" w:cs="宋体"/>
                <w:color w:val="auto"/>
                <w:sz w:val="24"/>
                <w:szCs w:val="24"/>
                <w:highlight w:val="none"/>
              </w:rPr>
            </w:pPr>
          </w:p>
        </w:tc>
      </w:tr>
      <w:tr w14:paraId="2DD000AD">
        <w:tblPrEx>
          <w:tblCellMar>
            <w:top w:w="0" w:type="dxa"/>
            <w:left w:w="28" w:type="dxa"/>
            <w:bottom w:w="0" w:type="dxa"/>
            <w:right w:w="28" w:type="dxa"/>
          </w:tblCellMar>
        </w:tblPrEx>
        <w:trPr>
          <w:jc w:val="center"/>
        </w:trPr>
        <w:tc>
          <w:tcPr>
            <w:tcW w:w="1871" w:type="dxa"/>
            <w:vMerge w:val="continue"/>
            <w:tcBorders>
              <w:top w:val="nil"/>
              <w:left w:val="single" w:color="auto" w:sz="12" w:space="0"/>
              <w:bottom w:val="single" w:color="auto" w:sz="6" w:space="0"/>
              <w:right w:val="single" w:color="auto" w:sz="6" w:space="0"/>
            </w:tcBorders>
            <w:noWrap w:val="0"/>
            <w:vAlign w:val="center"/>
          </w:tcPr>
          <w:p w14:paraId="3FCA1897">
            <w:pPr>
              <w:widowControl/>
              <w:spacing w:line="240" w:lineRule="auto"/>
              <w:jc w:val="left"/>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12" w:space="0"/>
              <w:right w:val="single" w:color="auto" w:sz="6" w:space="0"/>
            </w:tcBorders>
            <w:noWrap w:val="0"/>
            <w:vAlign w:val="center"/>
          </w:tcPr>
          <w:p w14:paraId="5EE53D69">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49D36988">
            <w:pPr>
              <w:pStyle w:val="9"/>
              <w:keepNext/>
              <w:spacing w:line="240" w:lineRule="auto"/>
              <w:ind w:left="63" w:right="63"/>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12" w:space="0"/>
              <w:right w:val="single" w:color="auto" w:sz="6" w:space="0"/>
            </w:tcBorders>
            <w:noWrap w:val="0"/>
            <w:vAlign w:val="center"/>
          </w:tcPr>
          <w:p w14:paraId="28C45A57">
            <w:pPr>
              <w:pStyle w:val="9"/>
              <w:keepNext/>
              <w:spacing w:line="240" w:lineRule="auto"/>
              <w:ind w:left="63" w:right="63"/>
              <w:rPr>
                <w:rFonts w:hint="eastAsia" w:ascii="宋体" w:hAnsi="宋体" w:eastAsia="宋体" w:cs="宋体"/>
                <w:color w:val="auto"/>
                <w:sz w:val="24"/>
                <w:szCs w:val="24"/>
                <w:highlight w:val="none"/>
              </w:rPr>
            </w:pPr>
          </w:p>
        </w:tc>
        <w:tc>
          <w:tcPr>
            <w:tcW w:w="4252" w:type="dxa"/>
            <w:tcBorders>
              <w:top w:val="single" w:color="auto" w:sz="6" w:space="0"/>
              <w:left w:val="single" w:color="auto" w:sz="6" w:space="0"/>
              <w:bottom w:val="single" w:color="auto" w:sz="12" w:space="0"/>
              <w:right w:val="single" w:color="auto" w:sz="12" w:space="0"/>
            </w:tcBorders>
            <w:noWrap w:val="0"/>
            <w:vAlign w:val="center"/>
          </w:tcPr>
          <w:p w14:paraId="3B91FB98">
            <w:pPr>
              <w:pStyle w:val="9"/>
              <w:keepNext/>
              <w:spacing w:line="240" w:lineRule="auto"/>
              <w:ind w:left="63" w:right="63"/>
              <w:rPr>
                <w:rFonts w:hint="eastAsia" w:ascii="宋体" w:hAnsi="宋体" w:eastAsia="宋体" w:cs="宋体"/>
                <w:color w:val="auto"/>
                <w:sz w:val="24"/>
                <w:szCs w:val="24"/>
                <w:highlight w:val="none"/>
              </w:rPr>
            </w:pPr>
          </w:p>
        </w:tc>
      </w:tr>
    </w:tbl>
    <w:p w14:paraId="6F46A904">
      <w:pPr>
        <w:spacing w:line="240" w:lineRule="auto"/>
        <w:jc w:val="center"/>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4391" w:name="_Toc267261701"/>
      <w:bookmarkEnd w:id="4391"/>
      <w:bookmarkStart w:id="4392" w:name="_Toc1554"/>
      <w:bookmarkStart w:id="4393" w:name="_Toc18366"/>
      <w:bookmarkStart w:id="4394" w:name="_Toc25107"/>
      <w:bookmarkStart w:id="4395" w:name="_Toc5764"/>
      <w:bookmarkStart w:id="4396" w:name="_Toc21687"/>
      <w:bookmarkStart w:id="4397" w:name="_Toc19555"/>
      <w:bookmarkStart w:id="4398" w:name="_Toc10748"/>
      <w:bookmarkStart w:id="4399" w:name="_Toc31924"/>
      <w:bookmarkStart w:id="4400" w:name="_Toc5530"/>
      <w:bookmarkStart w:id="4401" w:name="_Toc10407"/>
      <w:bookmarkStart w:id="4402" w:name="_Toc14452"/>
      <w:bookmarkStart w:id="4403" w:name="_Toc32311"/>
      <w:bookmarkStart w:id="4404" w:name="_Toc31420"/>
      <w:bookmarkStart w:id="4405" w:name="_Toc3136"/>
      <w:bookmarkStart w:id="4406" w:name="_Toc11157"/>
      <w:r>
        <w:rPr>
          <w:rFonts w:hint="eastAsia" w:ascii="宋体" w:hAnsi="宋体" w:eastAsia="宋体" w:cs="宋体"/>
          <w:color w:val="auto"/>
          <w:sz w:val="24"/>
          <w:szCs w:val="24"/>
          <w:highlight w:val="none"/>
        </w:rPr>
        <w:t>附</w:t>
      </w:r>
      <w:bookmarkStart w:id="4407" w:name="_Toc296891271"/>
      <w:bookmarkEnd w:id="4407"/>
      <w:bookmarkStart w:id="4408" w:name="_Toc296503231"/>
      <w:bookmarkEnd w:id="4408"/>
      <w:bookmarkStart w:id="4409" w:name="_Toc296347230"/>
      <w:bookmarkEnd w:id="4409"/>
      <w:bookmarkStart w:id="4410" w:name="_Toc296346732"/>
      <w:bookmarkEnd w:id="4410"/>
      <w:bookmarkStart w:id="4411" w:name="_Toc296891059"/>
      <w:bookmarkEnd w:id="4411"/>
      <w:bookmarkStart w:id="4412" w:name="_Toc296944570"/>
      <w:r>
        <w:rPr>
          <w:rFonts w:hint="eastAsia" w:ascii="宋体" w:hAnsi="宋体" w:eastAsia="宋体" w:cs="宋体"/>
          <w:color w:val="auto"/>
          <w:sz w:val="24"/>
          <w:szCs w:val="24"/>
          <w:highlight w:val="none"/>
        </w:rPr>
        <w:t>件8：</w:t>
      </w:r>
      <w:bookmarkEnd w:id="4412"/>
      <w:r>
        <w:rPr>
          <w:rFonts w:hint="eastAsia" w:ascii="宋体" w:hAnsi="宋体" w:eastAsia="宋体" w:cs="宋体"/>
          <w:color w:val="auto"/>
          <w:sz w:val="24"/>
          <w:szCs w:val="24"/>
          <w:highlight w:val="none"/>
        </w:rPr>
        <w:t>履约担保</w:t>
      </w:r>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p>
    <w:p w14:paraId="535D5278">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（发包人名称）：</w:t>
      </w:r>
    </w:p>
    <w:p w14:paraId="10307453">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3421E253">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鉴于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（发包人名称，以下简称“发包人”）与</w:t>
      </w:r>
    </w:p>
    <w:p w14:paraId="6ADFB905">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（承包人名称）（以下称“承包人”）于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p>
    <w:p w14:paraId="16DD67F1">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担保金额人民币（大写）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B30049B">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担保有效期自你方与承包人签订的合同生效之日起至你方签发或应签发工程接收证书之日止。</w:t>
      </w:r>
    </w:p>
    <w:p w14:paraId="1EC00F25">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在本担保有效期内，因承包人违反合同约定的义务给你方造成经济损失时，我方在收到你方以书面形式提出的在担保金额内的赔偿要求后，在7天内无条件支付。</w:t>
      </w:r>
    </w:p>
    <w:p w14:paraId="526D9845">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你方和承包人按合同约定变更合同时，我方承担本担保规定的义务不变。</w:t>
      </w:r>
    </w:p>
    <w:p w14:paraId="58C6B885">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因本保函发生的纠纷，可由双方协商解决，协商不成的，任何一方均可提请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仲裁委员会仲裁。</w:t>
      </w:r>
    </w:p>
    <w:p w14:paraId="7F882E42">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本保函自我方法定代表人（或其授权代理人）签字并加盖公章之日起生效。</w:t>
      </w:r>
    </w:p>
    <w:p w14:paraId="76BE3FCF">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33006B5">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担 保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406502C0">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3593A5FB">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7E18A42E">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w:t>
      </w:r>
    </w:p>
    <w:p w14:paraId="218F42C6">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p>
    <w:p w14:paraId="04BC2FE8">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p>
    <w:p w14:paraId="4D83B04F">
      <w:pPr>
        <w:spacing w:line="24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14:paraId="32EFD6F1">
      <w:pPr>
        <w:spacing w:line="240" w:lineRule="auto"/>
        <w:ind w:left="1899" w:hanging="1519" w:hangingChars="6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FA8AC80">
      <w:pPr>
        <w:spacing w:line="240" w:lineRule="auto"/>
        <w:ind w:left="1899" w:hanging="1519" w:hangingChars="6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E0AA0F7">
      <w:pPr>
        <w:spacing w:line="240" w:lineRule="auto"/>
        <w:ind w:left="1899" w:hanging="1519" w:hangingChars="6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E540184">
      <w:pPr>
        <w:pStyle w:val="9"/>
        <w:rPr>
          <w:rFonts w:hint="eastAsia" w:ascii="宋体" w:hAnsi="宋体" w:eastAsia="宋体" w:cs="宋体"/>
          <w:color w:val="auto"/>
          <w:sz w:val="24"/>
          <w:szCs w:val="24"/>
          <w:highlight w:val="none"/>
        </w:rPr>
      </w:pPr>
    </w:p>
    <w:p w14:paraId="7669C1E5">
      <w:pPr>
        <w:pStyle w:val="10"/>
        <w:rPr>
          <w:rFonts w:hint="eastAsia" w:ascii="宋体" w:hAnsi="宋体" w:eastAsia="宋体" w:cs="宋体"/>
          <w:color w:val="auto"/>
          <w:sz w:val="24"/>
          <w:szCs w:val="24"/>
          <w:highlight w:val="none"/>
        </w:rPr>
      </w:pPr>
    </w:p>
    <w:p w14:paraId="522A2285">
      <w:pPr>
        <w:rPr>
          <w:rFonts w:hint="eastAsia" w:ascii="宋体" w:hAnsi="宋体" w:eastAsia="宋体" w:cs="宋体"/>
          <w:color w:val="auto"/>
          <w:sz w:val="24"/>
          <w:szCs w:val="24"/>
          <w:highlight w:val="none"/>
        </w:rPr>
      </w:pPr>
    </w:p>
    <w:p w14:paraId="75D6514C">
      <w:pPr>
        <w:pStyle w:val="9"/>
        <w:rPr>
          <w:rFonts w:hint="eastAsia" w:ascii="宋体" w:hAnsi="宋体" w:eastAsia="宋体" w:cs="宋体"/>
          <w:color w:val="auto"/>
          <w:sz w:val="24"/>
          <w:szCs w:val="24"/>
          <w:highlight w:val="none"/>
        </w:rPr>
      </w:pPr>
    </w:p>
    <w:p w14:paraId="7E9CD4CE">
      <w:pPr>
        <w:pStyle w:val="10"/>
        <w:rPr>
          <w:rFonts w:hint="eastAsia" w:ascii="宋体" w:hAnsi="宋体" w:eastAsia="宋体" w:cs="宋体"/>
          <w:color w:val="auto"/>
          <w:sz w:val="24"/>
          <w:szCs w:val="24"/>
          <w:highlight w:val="none"/>
        </w:rPr>
      </w:pPr>
    </w:p>
    <w:p w14:paraId="19B2FDCB">
      <w:pPr>
        <w:rPr>
          <w:rFonts w:hint="eastAsia" w:ascii="宋体" w:hAnsi="宋体" w:eastAsia="宋体" w:cs="宋体"/>
          <w:color w:val="auto"/>
          <w:sz w:val="24"/>
          <w:szCs w:val="24"/>
          <w:highlight w:val="none"/>
        </w:rPr>
      </w:pPr>
    </w:p>
    <w:p w14:paraId="268C19A0">
      <w:pPr>
        <w:pStyle w:val="9"/>
        <w:rPr>
          <w:rFonts w:hint="eastAsia" w:ascii="宋体" w:hAnsi="宋体" w:eastAsia="宋体" w:cs="宋体"/>
          <w:color w:val="auto"/>
          <w:sz w:val="24"/>
          <w:szCs w:val="24"/>
          <w:highlight w:val="none"/>
        </w:rPr>
      </w:pPr>
    </w:p>
    <w:p w14:paraId="053796EC">
      <w:pPr>
        <w:pStyle w:val="10"/>
        <w:rPr>
          <w:rFonts w:hint="eastAsia" w:ascii="宋体" w:hAnsi="宋体" w:eastAsia="宋体" w:cs="宋体"/>
          <w:color w:val="auto"/>
          <w:sz w:val="24"/>
          <w:szCs w:val="24"/>
          <w:highlight w:val="none"/>
        </w:rPr>
      </w:pPr>
    </w:p>
    <w:p w14:paraId="0729018F">
      <w:pPr>
        <w:rPr>
          <w:rFonts w:hint="eastAsia"/>
          <w:color w:val="auto"/>
          <w:highlight w:val="none"/>
        </w:rPr>
      </w:pPr>
    </w:p>
    <w:p w14:paraId="3DF91609">
      <w:pPr>
        <w:spacing w:line="240" w:lineRule="auto"/>
        <w:ind w:left="1899" w:hanging="1519" w:hangingChars="6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AD9C741">
      <w:pPr>
        <w:pStyle w:val="26"/>
        <w:spacing w:line="240" w:lineRule="auto"/>
        <w:rPr>
          <w:rFonts w:hint="eastAsia" w:ascii="宋体" w:hAnsi="宋体" w:eastAsia="宋体" w:cs="宋体"/>
          <w:color w:val="auto"/>
          <w:sz w:val="24"/>
          <w:szCs w:val="24"/>
          <w:highlight w:val="none"/>
        </w:rPr>
      </w:pPr>
    </w:p>
    <w:p w14:paraId="2EDEBFDA">
      <w:pPr>
        <w:pStyle w:val="26"/>
        <w:spacing w:line="240" w:lineRule="auto"/>
        <w:rPr>
          <w:rFonts w:hint="eastAsia" w:ascii="宋体" w:hAnsi="宋体" w:eastAsia="宋体" w:cs="宋体"/>
          <w:color w:val="auto"/>
          <w:sz w:val="24"/>
          <w:szCs w:val="24"/>
          <w:highlight w:val="none"/>
        </w:rPr>
      </w:pPr>
    </w:p>
    <w:p w14:paraId="7ED07F02">
      <w:pPr>
        <w:rPr>
          <w:rFonts w:hint="eastAsia" w:ascii="宋体" w:hAnsi="宋体" w:eastAsia="宋体" w:cs="宋体"/>
          <w:color w:val="auto"/>
          <w:sz w:val="24"/>
          <w:szCs w:val="24"/>
          <w:highlight w:val="none"/>
        </w:rPr>
      </w:pPr>
      <w:bookmarkStart w:id="4413" w:name="_Toc8997"/>
      <w:bookmarkStart w:id="4414" w:name="_Toc10070"/>
      <w:bookmarkStart w:id="4415" w:name="_Toc20415"/>
      <w:bookmarkStart w:id="4416" w:name="_Toc8749"/>
      <w:bookmarkStart w:id="4417" w:name="_Toc17150"/>
      <w:bookmarkStart w:id="4418" w:name="_Toc3679"/>
      <w:bookmarkStart w:id="4419" w:name="_Toc23818"/>
      <w:bookmarkStart w:id="4420" w:name="_Toc13670"/>
      <w:bookmarkStart w:id="4421" w:name="_Toc31051"/>
      <w:bookmarkStart w:id="4422" w:name="_Toc26984"/>
      <w:bookmarkStart w:id="4423" w:name="_Toc30276"/>
      <w:bookmarkStart w:id="4424" w:name="_Toc29306"/>
      <w:bookmarkStart w:id="4425" w:name="_Toc4654"/>
      <w:bookmarkStart w:id="4426" w:name="_Toc12611"/>
      <w:r>
        <w:rPr>
          <w:rFonts w:hint="eastAsia" w:ascii="宋体" w:hAnsi="宋体" w:eastAsia="宋体" w:cs="宋体"/>
          <w:color w:val="auto"/>
          <w:sz w:val="24"/>
          <w:szCs w:val="24"/>
          <w:highlight w:val="none"/>
        </w:rPr>
        <w:br w:type="page"/>
      </w:r>
    </w:p>
    <w:p w14:paraId="5F383EA0">
      <w:pPr>
        <w:spacing w:line="240" w:lineRule="auto"/>
        <w:jc w:val="center"/>
        <w:outlineLvl w:val="0"/>
        <w:rPr>
          <w:rFonts w:hint="eastAsia" w:ascii="宋体" w:hAnsi="宋体" w:eastAsia="宋体" w:cs="宋体"/>
          <w:color w:val="auto"/>
          <w:sz w:val="24"/>
          <w:szCs w:val="24"/>
          <w:highlight w:val="none"/>
        </w:rPr>
      </w:pPr>
      <w:bookmarkStart w:id="4427" w:name="_Toc5697"/>
      <w:r>
        <w:rPr>
          <w:rFonts w:hint="eastAsia" w:ascii="宋体" w:hAnsi="宋体" w:eastAsia="宋体" w:cs="宋体"/>
          <w:color w:val="auto"/>
          <w:sz w:val="24"/>
          <w:szCs w:val="24"/>
          <w:highlight w:val="none"/>
        </w:rPr>
        <w:t>附</w:t>
      </w:r>
      <w:bookmarkStart w:id="4428" w:name="_Toc296347231"/>
      <w:bookmarkEnd w:id="4428"/>
      <w:bookmarkStart w:id="4429" w:name="_Toc267261702"/>
      <w:bookmarkEnd w:id="4429"/>
      <w:bookmarkStart w:id="4430" w:name="_Toc296346733"/>
      <w:bookmarkEnd w:id="4430"/>
      <w:bookmarkStart w:id="4431" w:name="_Toc296503232"/>
      <w:bookmarkEnd w:id="4431"/>
      <w:bookmarkStart w:id="4432" w:name="_Toc296891272"/>
      <w:bookmarkEnd w:id="4432"/>
      <w:bookmarkStart w:id="4433" w:name="_Toc296891060"/>
      <w:bookmarkEnd w:id="4433"/>
      <w:bookmarkStart w:id="4434" w:name="_Toc296944571"/>
      <w:r>
        <w:rPr>
          <w:rFonts w:hint="eastAsia" w:ascii="宋体" w:hAnsi="宋体" w:eastAsia="宋体" w:cs="宋体"/>
          <w:color w:val="auto"/>
          <w:sz w:val="24"/>
          <w:szCs w:val="24"/>
          <w:highlight w:val="none"/>
        </w:rPr>
        <w:t>件9 ：</w:t>
      </w:r>
      <w:bookmarkEnd w:id="4434"/>
      <w:r>
        <w:rPr>
          <w:rFonts w:hint="eastAsia" w:ascii="宋体" w:hAnsi="宋体" w:eastAsia="宋体" w:cs="宋体"/>
          <w:color w:val="auto"/>
          <w:sz w:val="24"/>
          <w:szCs w:val="24"/>
          <w:highlight w:val="none"/>
        </w:rPr>
        <w:t>预付款担保</w:t>
      </w:r>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p>
    <w:p w14:paraId="50333BEC">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（发包人名称）：</w:t>
      </w:r>
    </w:p>
    <w:p w14:paraId="13CF2758">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FC4E85D">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（承包人名称）（以下称“承包人”）与</w:t>
      </w:r>
    </w:p>
    <w:p w14:paraId="230FB937">
      <w:pPr>
        <w:spacing w:line="240" w:lineRule="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bookmarkStart w:id="4435" w:name="_Toc16921"/>
      <w:bookmarkStart w:id="4436" w:name="_Toc21139"/>
      <w:bookmarkStart w:id="4437" w:name="_Toc3282"/>
      <w:bookmarkStart w:id="4438" w:name="_Toc11010"/>
      <w:bookmarkStart w:id="4439" w:name="_Toc30783"/>
      <w:bookmarkStart w:id="4440" w:name="_Toc20589"/>
      <w:bookmarkStart w:id="4441" w:name="_Toc21342"/>
      <w:bookmarkStart w:id="4442" w:name="_Toc564"/>
      <w:bookmarkStart w:id="4443" w:name="_Toc3525"/>
      <w:bookmarkStart w:id="4444" w:name="_Toc4484"/>
      <w:bookmarkStart w:id="4445" w:name="_Toc24610"/>
      <w:bookmarkStart w:id="4446" w:name="_Toc3935"/>
      <w:bookmarkStart w:id="4447" w:name="_Toc22387"/>
      <w:bookmarkStart w:id="4448" w:name="_Toc25375"/>
      <w:bookmarkStart w:id="4449" w:name="_Toc17254"/>
      <w:bookmarkStart w:id="4450" w:name="_Toc4427"/>
      <w:r>
        <w:rPr>
          <w:rFonts w:hint="eastAsia" w:ascii="宋体" w:hAnsi="宋体" w:eastAsia="宋体" w:cs="宋体"/>
          <w:color w:val="auto"/>
          <w:sz w:val="24"/>
          <w:szCs w:val="24"/>
          <w:highlight w:val="none"/>
        </w:rPr>
        <w:t>（发包人名称）（以下简称“发包人”）</w:t>
      </w:r>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p>
    <w:p w14:paraId="16D65DEA">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日签订的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75502685">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担保金额人民币（大写）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05F49C5">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担保有效期自预付款支付给承包人起生效，至你方签发的进度款支付证书说明已完全扣清止。</w:t>
      </w:r>
    </w:p>
    <w:p w14:paraId="25FEFC8C">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7662886A">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你方和承包人按合同约定变更合同时，我方承担本保函规定的义务不变。</w:t>
      </w:r>
    </w:p>
    <w:p w14:paraId="792F049C">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因本保函发生的纠纷，可由双方协商解决，协商不成的，任何一方均可提请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仲裁委员会仲裁。</w:t>
      </w:r>
    </w:p>
    <w:p w14:paraId="1DBC5B6B">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本保函自我方法定代表人（或其授权代理人）签字并加盖公章之日起生效。</w:t>
      </w:r>
    </w:p>
    <w:p w14:paraId="30480FCA">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FA84544">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担保人：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34926E5E">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5DCA3BE0">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p>
    <w:p w14:paraId="5248ECD7">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p>
    <w:p w14:paraId="4FAFC2E9">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p>
    <w:p w14:paraId="4C966FDD">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p>
    <w:p w14:paraId="6FB2B529">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76D6B6F">
      <w:pPr>
        <w:spacing w:line="240" w:lineRule="auto"/>
        <w:rPr>
          <w:rFonts w:hint="eastAsia" w:ascii="宋体" w:hAnsi="宋体" w:eastAsia="宋体" w:cs="宋体"/>
          <w:color w:val="auto"/>
          <w:sz w:val="24"/>
          <w:szCs w:val="24"/>
          <w:highlight w:val="none"/>
          <w:u w:val="single"/>
        </w:rPr>
      </w:pPr>
    </w:p>
    <w:p w14:paraId="140DE80F">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8206EE2">
      <w:pPr>
        <w:spacing w:line="240" w:lineRule="auto"/>
        <w:jc w:val="center"/>
        <w:outlineLvl w:val="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r>
      <w:bookmarkStart w:id="4451" w:name="_Toc2979"/>
      <w:bookmarkStart w:id="4452" w:name="_Toc16716"/>
      <w:bookmarkStart w:id="4453" w:name="_Toc12980"/>
      <w:bookmarkStart w:id="4454" w:name="_Toc29712"/>
      <w:bookmarkStart w:id="4455" w:name="_Toc23300"/>
      <w:bookmarkStart w:id="4456" w:name="_Toc26564"/>
      <w:bookmarkStart w:id="4457" w:name="_Toc18025"/>
      <w:bookmarkStart w:id="4458" w:name="_Toc2341"/>
      <w:bookmarkStart w:id="4459" w:name="_Toc11446"/>
      <w:bookmarkStart w:id="4460" w:name="_Toc8707"/>
      <w:bookmarkStart w:id="4461" w:name="_Toc5839"/>
      <w:bookmarkStart w:id="4462" w:name="_Toc18660"/>
      <w:bookmarkStart w:id="4463" w:name="_Toc30814"/>
      <w:bookmarkStart w:id="4464" w:name="_Toc2128"/>
      <w:bookmarkStart w:id="4465" w:name="_Toc13290"/>
      <w:r>
        <w:rPr>
          <w:rFonts w:hint="eastAsia" w:ascii="宋体" w:hAnsi="宋体" w:eastAsia="宋体" w:cs="宋体"/>
          <w:color w:val="auto"/>
          <w:sz w:val="24"/>
          <w:szCs w:val="24"/>
          <w:highlight w:val="none"/>
        </w:rPr>
        <w:t>附</w:t>
      </w:r>
      <w:bookmarkStart w:id="4466" w:name="_Toc296346734"/>
      <w:bookmarkEnd w:id="4466"/>
      <w:bookmarkStart w:id="4467" w:name="_Toc296503233"/>
      <w:bookmarkEnd w:id="4467"/>
      <w:bookmarkStart w:id="4468" w:name="_Toc296891273"/>
      <w:bookmarkEnd w:id="4468"/>
      <w:bookmarkStart w:id="4469" w:name="_Toc296347232"/>
      <w:bookmarkEnd w:id="4469"/>
      <w:bookmarkStart w:id="4470" w:name="_Toc296891061"/>
      <w:bookmarkEnd w:id="4470"/>
      <w:bookmarkStart w:id="4471" w:name="_Toc296944572"/>
      <w:r>
        <w:rPr>
          <w:rFonts w:hint="eastAsia" w:ascii="宋体" w:hAnsi="宋体" w:eastAsia="宋体" w:cs="宋体"/>
          <w:color w:val="auto"/>
          <w:sz w:val="24"/>
          <w:szCs w:val="24"/>
          <w:highlight w:val="none"/>
        </w:rPr>
        <w:t xml:space="preserve">件10: </w:t>
      </w:r>
      <w:bookmarkEnd w:id="4471"/>
      <w:r>
        <w:rPr>
          <w:rFonts w:hint="eastAsia" w:ascii="宋体" w:hAnsi="宋体" w:eastAsia="宋体" w:cs="宋体"/>
          <w:color w:val="auto"/>
          <w:sz w:val="24"/>
          <w:szCs w:val="24"/>
          <w:highlight w:val="none"/>
        </w:rPr>
        <w:t>支付担保</w:t>
      </w:r>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p>
    <w:p w14:paraId="54115785">
      <w:pPr>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（承包人）：</w:t>
      </w:r>
    </w:p>
    <w:p w14:paraId="161E9219">
      <w:pPr>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鉴于你方作为承包人已经与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（发包人名称）（以下称“发包人”）于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日签订了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（工程名称）《建设工程施工合同》（以下称“主合同”），应发包人的申请，我方愿就发包人履行主合同约定的工程款支付义务以保证的方式向你方提供如下担保：</w:t>
      </w:r>
    </w:p>
    <w:p w14:paraId="24229B02">
      <w:pPr>
        <w:spacing w:line="240" w:lineRule="auto"/>
        <w:ind w:firstLine="480" w:firstLineChars="200"/>
        <w:jc w:val="left"/>
        <w:outlineLvl w:val="0"/>
        <w:rPr>
          <w:rFonts w:hint="eastAsia" w:ascii="宋体" w:hAnsi="宋体" w:eastAsia="宋体" w:cs="宋体"/>
          <w:color w:val="auto"/>
          <w:sz w:val="24"/>
          <w:szCs w:val="24"/>
          <w:highlight w:val="none"/>
        </w:rPr>
      </w:pPr>
      <w:bookmarkStart w:id="4472" w:name="_Toc2847"/>
      <w:bookmarkStart w:id="4473" w:name="_Toc22246"/>
      <w:bookmarkStart w:id="4474" w:name="_Toc13808"/>
      <w:bookmarkStart w:id="4475" w:name="_Toc8308"/>
      <w:bookmarkStart w:id="4476" w:name="_Toc30005"/>
      <w:bookmarkStart w:id="4477" w:name="_Toc20853"/>
      <w:bookmarkStart w:id="4478" w:name="_Toc18171"/>
      <w:bookmarkStart w:id="4479" w:name="_Toc28527"/>
      <w:bookmarkStart w:id="4480" w:name="_Toc23970"/>
      <w:bookmarkStart w:id="4481" w:name="_Toc10217"/>
      <w:bookmarkStart w:id="4482" w:name="_Toc20196"/>
      <w:bookmarkStart w:id="4483" w:name="_Toc1835"/>
      <w:bookmarkStart w:id="4484" w:name="_Toc25984"/>
      <w:bookmarkStart w:id="4485" w:name="_Toc26343"/>
      <w:bookmarkStart w:id="4486" w:name="_Toc28591"/>
      <w:bookmarkStart w:id="4487" w:name="_Toc848"/>
      <w:r>
        <w:rPr>
          <w:rFonts w:hint="eastAsia" w:ascii="宋体" w:hAnsi="宋体" w:eastAsia="宋体" w:cs="宋体"/>
          <w:color w:val="auto"/>
          <w:sz w:val="24"/>
          <w:szCs w:val="24"/>
          <w:highlight w:val="none"/>
        </w:rPr>
        <w:t>一、保证的范围及保证金额</w:t>
      </w:r>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p>
    <w:p w14:paraId="3C00720F">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我方的保证范围是主合同约定的工程款。</w:t>
      </w:r>
    </w:p>
    <w:p w14:paraId="3CB48480">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本保函所称主合同约定的工程款是指主合同约定的除工程质量保证金以外的合同价款。</w:t>
      </w:r>
    </w:p>
    <w:p w14:paraId="6BA35221">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我方保证的金额是主合同约定的工程款的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%，数额最高不超过人民币元（大写：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1D90200">
      <w:pPr>
        <w:spacing w:line="240" w:lineRule="auto"/>
        <w:ind w:firstLine="480" w:firstLineChars="200"/>
        <w:jc w:val="left"/>
        <w:outlineLvl w:val="0"/>
        <w:rPr>
          <w:rFonts w:hint="eastAsia" w:ascii="宋体" w:hAnsi="宋体" w:eastAsia="宋体" w:cs="宋体"/>
          <w:color w:val="auto"/>
          <w:sz w:val="24"/>
          <w:szCs w:val="24"/>
          <w:highlight w:val="none"/>
        </w:rPr>
      </w:pPr>
      <w:bookmarkStart w:id="4488" w:name="_Toc24367"/>
      <w:bookmarkStart w:id="4489" w:name="_Toc3688"/>
      <w:bookmarkStart w:id="4490" w:name="_Toc19177"/>
      <w:bookmarkStart w:id="4491" w:name="_Toc2959"/>
      <w:bookmarkStart w:id="4492" w:name="_Toc4580"/>
      <w:bookmarkStart w:id="4493" w:name="_Toc13582"/>
      <w:bookmarkStart w:id="4494" w:name="_Toc12637"/>
      <w:bookmarkStart w:id="4495" w:name="_Toc25907"/>
      <w:bookmarkStart w:id="4496" w:name="_Toc15651"/>
      <w:bookmarkStart w:id="4497" w:name="_Toc27726"/>
      <w:bookmarkStart w:id="4498" w:name="_Toc17108"/>
      <w:bookmarkStart w:id="4499" w:name="_Toc20254"/>
      <w:bookmarkStart w:id="4500" w:name="_Toc13036"/>
      <w:bookmarkStart w:id="4501" w:name="_Toc18080"/>
      <w:bookmarkStart w:id="4502" w:name="_Toc13770"/>
      <w:bookmarkStart w:id="4503" w:name="_Toc6627"/>
      <w:r>
        <w:rPr>
          <w:rFonts w:hint="eastAsia" w:ascii="宋体" w:hAnsi="宋体" w:eastAsia="宋体" w:cs="宋体"/>
          <w:color w:val="auto"/>
          <w:sz w:val="24"/>
          <w:szCs w:val="24"/>
          <w:highlight w:val="none"/>
        </w:rPr>
        <w:t>二、保证的方式及保证期间</w:t>
      </w:r>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p>
    <w:p w14:paraId="2E4E8FB6">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我方保证的方式为：连带责任保证。</w:t>
      </w:r>
    </w:p>
    <w:p w14:paraId="63DE6AFC">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我方保证的期间为：自本合同生效之日起至主合同约定的工程款支付完毕之</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日内。</w:t>
      </w:r>
    </w:p>
    <w:p w14:paraId="4A00F090">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你方与发包人协议变更工程款支付日期的，经我方书面同意后，保证期间按照变更后的支付日期做相应调整。</w:t>
      </w:r>
    </w:p>
    <w:p w14:paraId="08BB071E">
      <w:pPr>
        <w:spacing w:line="240" w:lineRule="auto"/>
        <w:ind w:firstLine="480" w:firstLineChars="200"/>
        <w:jc w:val="left"/>
        <w:outlineLvl w:val="0"/>
        <w:rPr>
          <w:rFonts w:hint="eastAsia" w:ascii="宋体" w:hAnsi="宋体" w:eastAsia="宋体" w:cs="宋体"/>
          <w:color w:val="auto"/>
          <w:sz w:val="24"/>
          <w:szCs w:val="24"/>
          <w:highlight w:val="none"/>
        </w:rPr>
      </w:pPr>
      <w:bookmarkStart w:id="4504" w:name="_Toc21774"/>
      <w:bookmarkStart w:id="4505" w:name="_Toc22367"/>
      <w:bookmarkStart w:id="4506" w:name="_Toc10817"/>
      <w:bookmarkStart w:id="4507" w:name="_Toc11041"/>
      <w:bookmarkStart w:id="4508" w:name="_Toc17311"/>
      <w:bookmarkStart w:id="4509" w:name="_Toc9790"/>
      <w:bookmarkStart w:id="4510" w:name="_Toc10728"/>
      <w:bookmarkStart w:id="4511" w:name="_Toc2889"/>
      <w:bookmarkStart w:id="4512" w:name="_Toc14236"/>
      <w:bookmarkStart w:id="4513" w:name="_Toc5006"/>
      <w:bookmarkStart w:id="4514" w:name="_Toc14254"/>
      <w:bookmarkStart w:id="4515" w:name="_Toc24769"/>
      <w:bookmarkStart w:id="4516" w:name="_Toc29147"/>
      <w:bookmarkStart w:id="4517" w:name="_Toc3038"/>
      <w:bookmarkStart w:id="4518" w:name="_Toc23752"/>
      <w:bookmarkStart w:id="4519" w:name="_Toc20979"/>
      <w:r>
        <w:rPr>
          <w:rFonts w:hint="eastAsia" w:ascii="宋体" w:hAnsi="宋体" w:eastAsia="宋体" w:cs="宋体"/>
          <w:color w:val="auto"/>
          <w:sz w:val="24"/>
          <w:szCs w:val="24"/>
          <w:highlight w:val="none"/>
        </w:rPr>
        <w:t>三、承担保证责任的形式</w:t>
      </w:r>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p>
    <w:p w14:paraId="37402BAA">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我方承担保证责任的形式是代为支付。发包人未按主合同约定向你方支付工程款的，由我方在保证金额内代为支付。</w:t>
      </w:r>
    </w:p>
    <w:p w14:paraId="4635E972">
      <w:pPr>
        <w:spacing w:line="240" w:lineRule="auto"/>
        <w:ind w:firstLine="480" w:firstLineChars="200"/>
        <w:jc w:val="left"/>
        <w:outlineLvl w:val="0"/>
        <w:rPr>
          <w:rFonts w:hint="eastAsia" w:ascii="宋体" w:hAnsi="宋体" w:eastAsia="宋体" w:cs="宋体"/>
          <w:color w:val="auto"/>
          <w:sz w:val="24"/>
          <w:szCs w:val="24"/>
          <w:highlight w:val="none"/>
        </w:rPr>
      </w:pPr>
      <w:bookmarkStart w:id="4520" w:name="_Toc14296"/>
      <w:bookmarkStart w:id="4521" w:name="_Toc8962"/>
      <w:bookmarkStart w:id="4522" w:name="_Toc10268"/>
      <w:bookmarkStart w:id="4523" w:name="_Toc24538"/>
      <w:bookmarkStart w:id="4524" w:name="_Toc22666"/>
      <w:bookmarkStart w:id="4525" w:name="_Toc30449"/>
      <w:bookmarkStart w:id="4526" w:name="_Toc18635"/>
      <w:bookmarkStart w:id="4527" w:name="_Toc12194"/>
      <w:bookmarkStart w:id="4528" w:name="_Toc21911"/>
      <w:bookmarkStart w:id="4529" w:name="_Toc11455"/>
      <w:bookmarkStart w:id="4530" w:name="_Toc7138"/>
      <w:bookmarkStart w:id="4531" w:name="_Toc7360"/>
      <w:bookmarkStart w:id="4532" w:name="_Toc10232"/>
      <w:bookmarkStart w:id="4533" w:name="_Toc8833"/>
      <w:bookmarkStart w:id="4534" w:name="_Toc32435"/>
      <w:bookmarkStart w:id="4535" w:name="_Toc10419"/>
      <w:r>
        <w:rPr>
          <w:rFonts w:hint="eastAsia" w:ascii="宋体" w:hAnsi="宋体" w:eastAsia="宋体" w:cs="宋体"/>
          <w:color w:val="auto"/>
          <w:sz w:val="24"/>
          <w:szCs w:val="24"/>
          <w:highlight w:val="none"/>
        </w:rPr>
        <w:t>四、代偿的安排</w:t>
      </w:r>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p>
    <w:p w14:paraId="3827BAE6">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你方要求我方承担保证责任的，应向我方发出书面索赔通知及发包人未支付主合同约定工程款的证明材料。索赔通知应写明要求索赔的金额，支付款项应到达的账号。</w:t>
      </w:r>
    </w:p>
    <w:p w14:paraId="463A46F5">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623ABED6">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我方收到你方的书面索赔通知及相应的证明材料后７天内无条件支付。</w:t>
      </w:r>
    </w:p>
    <w:p w14:paraId="2D7514A4">
      <w:pPr>
        <w:spacing w:line="240" w:lineRule="auto"/>
        <w:ind w:firstLine="480" w:firstLineChars="200"/>
        <w:jc w:val="left"/>
        <w:outlineLvl w:val="0"/>
        <w:rPr>
          <w:rFonts w:hint="eastAsia" w:ascii="宋体" w:hAnsi="宋体" w:eastAsia="宋体" w:cs="宋体"/>
          <w:color w:val="auto"/>
          <w:sz w:val="24"/>
          <w:szCs w:val="24"/>
          <w:highlight w:val="none"/>
        </w:rPr>
      </w:pPr>
      <w:bookmarkStart w:id="4536" w:name="_Toc11863"/>
      <w:bookmarkStart w:id="4537" w:name="_Toc31327"/>
      <w:bookmarkStart w:id="4538" w:name="_Toc32163"/>
      <w:bookmarkStart w:id="4539" w:name="_Toc15381"/>
      <w:bookmarkStart w:id="4540" w:name="_Toc30358"/>
      <w:bookmarkStart w:id="4541" w:name="_Toc29530"/>
      <w:bookmarkStart w:id="4542" w:name="_Toc8593"/>
      <w:bookmarkStart w:id="4543" w:name="_Toc26393"/>
      <w:bookmarkStart w:id="4544" w:name="_Toc29208"/>
      <w:bookmarkStart w:id="4545" w:name="_Toc21181"/>
      <w:bookmarkStart w:id="4546" w:name="_Toc4570"/>
      <w:bookmarkStart w:id="4547" w:name="_Toc19614"/>
      <w:bookmarkStart w:id="4548" w:name="_Toc11825"/>
      <w:bookmarkStart w:id="4549" w:name="_Toc16308"/>
      <w:bookmarkStart w:id="4550" w:name="_Toc25836"/>
      <w:bookmarkStart w:id="4551" w:name="_Toc25916"/>
      <w:r>
        <w:rPr>
          <w:rFonts w:hint="eastAsia" w:ascii="宋体" w:hAnsi="宋体" w:eastAsia="宋体" w:cs="宋体"/>
          <w:color w:val="auto"/>
          <w:sz w:val="24"/>
          <w:szCs w:val="24"/>
          <w:highlight w:val="none"/>
        </w:rPr>
        <w:t>五、保证责任的解除</w:t>
      </w:r>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p>
    <w:p w14:paraId="6A058327">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在本保函承诺的保证期间内，你方未书面向我方主张保证责任的，自保证期间届满次日起，我方保证责任解除。</w:t>
      </w:r>
    </w:p>
    <w:p w14:paraId="2B52B12F">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发包人按主合同约定履行了工程款的全部支付义务的，自本保函承诺的保证期间届满次日起，我方保证责任解除。</w:t>
      </w:r>
    </w:p>
    <w:p w14:paraId="2258D998">
      <w:pPr>
        <w:keepNext w:val="0"/>
        <w:keepLines w:val="0"/>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我方按照本保函向你方履行保证责任所支付金额达到本保函保证金额时，自我方向你方支付（支付款项从我方账户划出）之日起，保证责任即解除。</w:t>
      </w:r>
    </w:p>
    <w:p w14:paraId="7A5ACD98">
      <w:pPr>
        <w:keepNext w:val="0"/>
        <w:keepLines w:val="0"/>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按照法律法规的规定或出现应解除我方保证责任的其他情形的，我方在本保函项下的保证责任亦解除。</w:t>
      </w:r>
    </w:p>
    <w:p w14:paraId="13189C71">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 我方解除保证责任后，你方应自我方保证责任解除之日起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个工作日内，将本保函原件返还我方。</w:t>
      </w:r>
    </w:p>
    <w:p w14:paraId="1B8A9053">
      <w:pPr>
        <w:keepNext w:val="0"/>
        <w:keepLines w:val="0"/>
        <w:pageBreakBefore w:val="0"/>
        <w:widowControl/>
        <w:kinsoku/>
        <w:wordWrap/>
        <w:overflowPunct/>
        <w:topLinePunct w:val="0"/>
        <w:autoSpaceDE/>
        <w:autoSpaceDN/>
        <w:bidi w:val="0"/>
        <w:adjustRightInd/>
        <w:snapToGrid/>
        <w:spacing w:line="240" w:lineRule="auto"/>
        <w:ind w:firstLine="480" w:firstLineChars="200"/>
        <w:jc w:val="left"/>
        <w:textAlignment w:val="auto"/>
        <w:outlineLvl w:val="0"/>
        <w:rPr>
          <w:rFonts w:hint="eastAsia" w:ascii="宋体" w:hAnsi="宋体" w:eastAsia="宋体" w:cs="宋体"/>
          <w:color w:val="auto"/>
          <w:sz w:val="24"/>
          <w:szCs w:val="24"/>
          <w:highlight w:val="none"/>
        </w:rPr>
      </w:pPr>
      <w:bookmarkStart w:id="4552" w:name="_Toc6872"/>
      <w:bookmarkStart w:id="4553" w:name="_Toc23595"/>
      <w:bookmarkStart w:id="4554" w:name="_Toc3172"/>
      <w:bookmarkStart w:id="4555" w:name="_Toc25702"/>
      <w:bookmarkStart w:id="4556" w:name="_Toc31250"/>
      <w:bookmarkStart w:id="4557" w:name="_Toc23601"/>
      <w:bookmarkStart w:id="4558" w:name="_Toc5533"/>
      <w:bookmarkStart w:id="4559" w:name="_Toc27099"/>
      <w:bookmarkStart w:id="4560" w:name="_Toc2551"/>
      <w:bookmarkStart w:id="4561" w:name="_Toc18679"/>
      <w:bookmarkStart w:id="4562" w:name="_Toc13316"/>
      <w:bookmarkStart w:id="4563" w:name="_Toc21060"/>
      <w:bookmarkStart w:id="4564" w:name="_Toc18722"/>
      <w:bookmarkStart w:id="4565" w:name="_Toc17365"/>
      <w:bookmarkStart w:id="4566" w:name="_Toc6587"/>
      <w:bookmarkStart w:id="4567" w:name="_Toc29065"/>
      <w:r>
        <w:rPr>
          <w:rFonts w:hint="eastAsia" w:ascii="宋体" w:hAnsi="宋体" w:eastAsia="宋体" w:cs="宋体"/>
          <w:color w:val="auto"/>
          <w:sz w:val="24"/>
          <w:szCs w:val="24"/>
          <w:highlight w:val="none"/>
        </w:rPr>
        <w:t>六、免责条款</w:t>
      </w:r>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p>
    <w:p w14:paraId="0EFEB9D3">
      <w:pPr>
        <w:keepNext w:val="0"/>
        <w:keepLines w:val="0"/>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因你方违约致使发包人不能履行义务的，我方不承担保证责任。</w:t>
      </w:r>
    </w:p>
    <w:p w14:paraId="705F42B3">
      <w:pPr>
        <w:keepNext w:val="0"/>
        <w:keepLines w:val="0"/>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依照法律法规的规定或你方与发包人的另行约定，免除发包人部分或全部义务的，我方亦免除其相应的保证责任。</w:t>
      </w:r>
    </w:p>
    <w:p w14:paraId="0CCBA90C">
      <w:pPr>
        <w:keepNext w:val="0"/>
        <w:keepLines w:val="0"/>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74D6F47A">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因不可抗力造成发包人不能履行义务的，我方不承担保证责任。</w:t>
      </w:r>
    </w:p>
    <w:p w14:paraId="207218FA">
      <w:pPr>
        <w:spacing w:line="240" w:lineRule="auto"/>
        <w:ind w:firstLine="480" w:firstLineChars="200"/>
        <w:jc w:val="left"/>
        <w:outlineLvl w:val="0"/>
        <w:rPr>
          <w:rFonts w:hint="eastAsia" w:ascii="宋体" w:hAnsi="宋体" w:eastAsia="宋体" w:cs="宋体"/>
          <w:color w:val="auto"/>
          <w:sz w:val="24"/>
          <w:szCs w:val="24"/>
          <w:highlight w:val="none"/>
        </w:rPr>
      </w:pPr>
      <w:bookmarkStart w:id="4568" w:name="_Toc2444"/>
      <w:bookmarkStart w:id="4569" w:name="_Toc32214"/>
      <w:bookmarkStart w:id="4570" w:name="_Toc2779"/>
      <w:bookmarkStart w:id="4571" w:name="_Toc14466"/>
      <w:bookmarkStart w:id="4572" w:name="_Toc19448"/>
      <w:bookmarkStart w:id="4573" w:name="_Toc17248"/>
      <w:bookmarkStart w:id="4574" w:name="_Toc24041"/>
      <w:bookmarkStart w:id="4575" w:name="_Toc21282"/>
      <w:bookmarkStart w:id="4576" w:name="_Toc16643"/>
      <w:bookmarkStart w:id="4577" w:name="_Toc11658"/>
      <w:bookmarkStart w:id="4578" w:name="_Toc17703"/>
      <w:bookmarkStart w:id="4579" w:name="_Toc21404"/>
      <w:bookmarkStart w:id="4580" w:name="_Toc11175"/>
      <w:bookmarkStart w:id="4581" w:name="_Toc2900"/>
      <w:bookmarkStart w:id="4582" w:name="_Toc9938"/>
      <w:bookmarkStart w:id="4583" w:name="_Toc4220"/>
      <w:r>
        <w:rPr>
          <w:rFonts w:hint="eastAsia" w:ascii="宋体" w:hAnsi="宋体" w:eastAsia="宋体" w:cs="宋体"/>
          <w:color w:val="auto"/>
          <w:sz w:val="24"/>
          <w:szCs w:val="24"/>
          <w:highlight w:val="none"/>
        </w:rPr>
        <w:t>七、争议解决</w:t>
      </w:r>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p>
    <w:p w14:paraId="0978FB99">
      <w:pPr>
        <w:spacing w:after="120"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因本保函或本保函相关事项发生的纠纷，可由双方协商解决，协商不成的，按下列第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种方式解决：</w:t>
      </w:r>
    </w:p>
    <w:p w14:paraId="7AA959AD">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仲裁委员会申请仲裁；（2）向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人民法院起诉。</w:t>
      </w:r>
    </w:p>
    <w:p w14:paraId="7B9691C8">
      <w:pPr>
        <w:spacing w:line="240" w:lineRule="auto"/>
        <w:ind w:firstLine="480" w:firstLineChars="200"/>
        <w:jc w:val="left"/>
        <w:outlineLvl w:val="0"/>
        <w:rPr>
          <w:rFonts w:hint="eastAsia" w:ascii="宋体" w:hAnsi="宋体" w:eastAsia="宋体" w:cs="宋体"/>
          <w:color w:val="auto"/>
          <w:sz w:val="24"/>
          <w:szCs w:val="24"/>
          <w:highlight w:val="none"/>
        </w:rPr>
      </w:pPr>
      <w:bookmarkStart w:id="4584" w:name="_Toc24306"/>
      <w:bookmarkStart w:id="4585" w:name="_Toc4280"/>
      <w:bookmarkStart w:id="4586" w:name="_Toc18667"/>
      <w:bookmarkStart w:id="4587" w:name="_Toc20153"/>
      <w:bookmarkStart w:id="4588" w:name="_Toc24143"/>
      <w:bookmarkStart w:id="4589" w:name="_Toc24205"/>
      <w:bookmarkStart w:id="4590" w:name="_Toc29203"/>
      <w:bookmarkStart w:id="4591" w:name="_Toc16265"/>
      <w:bookmarkStart w:id="4592" w:name="_Toc15803"/>
      <w:bookmarkStart w:id="4593" w:name="_Toc28315"/>
      <w:bookmarkStart w:id="4594" w:name="_Toc10608"/>
      <w:bookmarkStart w:id="4595" w:name="_Toc9403"/>
      <w:bookmarkStart w:id="4596" w:name="_Toc22374"/>
      <w:bookmarkStart w:id="4597" w:name="_Toc10262"/>
      <w:bookmarkStart w:id="4598" w:name="_Toc26966"/>
      <w:bookmarkStart w:id="4599" w:name="_Toc17145"/>
      <w:r>
        <w:rPr>
          <w:rFonts w:hint="eastAsia" w:ascii="宋体" w:hAnsi="宋体" w:eastAsia="宋体" w:cs="宋体"/>
          <w:color w:val="auto"/>
          <w:sz w:val="24"/>
          <w:szCs w:val="24"/>
          <w:highlight w:val="none"/>
        </w:rPr>
        <w:t>八、保函的生效</w:t>
      </w:r>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p>
    <w:p w14:paraId="1211B083">
      <w:pPr>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本保函自我方法定代表人（或其授权代理人）签字并加盖公章之日起生效。</w:t>
      </w:r>
    </w:p>
    <w:p w14:paraId="0E405716">
      <w:pPr>
        <w:spacing w:line="240" w:lineRule="auto"/>
        <w:ind w:right="6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担保人：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1A4D10F9">
      <w:pPr>
        <w:spacing w:line="240" w:lineRule="auto"/>
        <w:ind w:right="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3B168695">
      <w:pPr>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4788A2AE">
      <w:pPr>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w:t>
      </w:r>
    </w:p>
    <w:p w14:paraId="28DF5B18">
      <w:pPr>
        <w:spacing w:line="24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p>
    <w:p w14:paraId="27D7A2AB">
      <w:pPr>
        <w:spacing w:line="240" w:lineRule="auto"/>
        <w:ind w:right="15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119EC9B">
      <w:pPr>
        <w:spacing w:line="240" w:lineRule="auto"/>
        <w:jc w:val="center"/>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4600" w:name="_Toc26390"/>
      <w:bookmarkStart w:id="4601" w:name="_Toc1043"/>
      <w:bookmarkStart w:id="4602" w:name="_Toc9962"/>
      <w:bookmarkStart w:id="4603" w:name="_Toc22136"/>
      <w:bookmarkStart w:id="4604" w:name="_Toc28723"/>
      <w:bookmarkStart w:id="4605" w:name="_Toc14445"/>
      <w:bookmarkStart w:id="4606" w:name="_Toc16752"/>
      <w:bookmarkStart w:id="4607" w:name="_Toc530"/>
      <w:bookmarkStart w:id="4608" w:name="_Toc24419"/>
      <w:bookmarkStart w:id="4609" w:name="_Toc17346"/>
      <w:bookmarkStart w:id="4610" w:name="_Toc22"/>
      <w:bookmarkStart w:id="4611" w:name="_Toc15349"/>
      <w:bookmarkStart w:id="4612" w:name="_Toc21805"/>
      <w:bookmarkStart w:id="4613" w:name="_Toc26166"/>
      <w:bookmarkStart w:id="4614" w:name="_Toc7607"/>
      <w:r>
        <w:rPr>
          <w:rFonts w:hint="eastAsia" w:ascii="宋体" w:hAnsi="宋体" w:eastAsia="宋体" w:cs="宋体"/>
          <w:color w:val="auto"/>
          <w:sz w:val="24"/>
          <w:szCs w:val="24"/>
          <w:highlight w:val="none"/>
        </w:rPr>
        <w:t>附件11：</w:t>
      </w:r>
      <w:bookmarkStart w:id="4615" w:name="_Toc4586"/>
      <w:r>
        <w:rPr>
          <w:rFonts w:hint="eastAsia" w:ascii="宋体" w:hAnsi="宋体" w:eastAsia="宋体" w:cs="宋体"/>
          <w:color w:val="auto"/>
          <w:sz w:val="24"/>
          <w:szCs w:val="24"/>
          <w:highlight w:val="none"/>
        </w:rPr>
        <w:t>11-1：材料暂估价表</w:t>
      </w:r>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p>
    <w:tbl>
      <w:tblPr>
        <w:tblStyle w:val="28"/>
        <w:tblW w:w="9073" w:type="dxa"/>
        <w:tblInd w:w="-34" w:type="dxa"/>
        <w:tblLayout w:type="fixed"/>
        <w:tblCellMar>
          <w:top w:w="0" w:type="dxa"/>
          <w:left w:w="28" w:type="dxa"/>
          <w:bottom w:w="0" w:type="dxa"/>
          <w:right w:w="28" w:type="dxa"/>
        </w:tblCellMar>
      </w:tblPr>
      <w:tblGrid>
        <w:gridCol w:w="993"/>
        <w:gridCol w:w="1984"/>
        <w:gridCol w:w="851"/>
        <w:gridCol w:w="774"/>
        <w:gridCol w:w="1352"/>
        <w:gridCol w:w="1418"/>
        <w:gridCol w:w="1701"/>
      </w:tblGrid>
      <w:tr w14:paraId="1E6AD4E4">
        <w:tblPrEx>
          <w:tblCellMar>
            <w:top w:w="0" w:type="dxa"/>
            <w:left w:w="28" w:type="dxa"/>
            <w:bottom w:w="0" w:type="dxa"/>
            <w:right w:w="28" w:type="dxa"/>
          </w:tblCellMar>
        </w:tblPrEx>
        <w:tc>
          <w:tcPr>
            <w:tcW w:w="993" w:type="dxa"/>
            <w:tcBorders>
              <w:top w:val="single" w:color="auto" w:sz="12" w:space="0"/>
              <w:left w:val="single" w:color="auto" w:sz="12" w:space="0"/>
              <w:bottom w:val="double" w:color="auto" w:sz="2" w:space="0"/>
              <w:right w:val="single" w:color="auto" w:sz="6" w:space="0"/>
            </w:tcBorders>
            <w:noWrap w:val="0"/>
            <w:vAlign w:val="top"/>
          </w:tcPr>
          <w:p w14:paraId="3F8D9404">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84" w:type="dxa"/>
            <w:tcBorders>
              <w:top w:val="single" w:color="auto" w:sz="12" w:space="0"/>
              <w:left w:val="single" w:color="auto" w:sz="6" w:space="0"/>
              <w:bottom w:val="double" w:color="auto" w:sz="2" w:space="0"/>
              <w:right w:val="single" w:color="auto" w:sz="6" w:space="0"/>
            </w:tcBorders>
            <w:noWrap w:val="0"/>
            <w:vAlign w:val="top"/>
          </w:tcPr>
          <w:p w14:paraId="27CE7372">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851" w:type="dxa"/>
            <w:tcBorders>
              <w:top w:val="single" w:color="auto" w:sz="12" w:space="0"/>
              <w:left w:val="single" w:color="auto" w:sz="6" w:space="0"/>
              <w:bottom w:val="double" w:color="auto" w:sz="2" w:space="0"/>
              <w:right w:val="single" w:color="auto" w:sz="6" w:space="0"/>
            </w:tcBorders>
            <w:noWrap w:val="0"/>
            <w:vAlign w:val="top"/>
          </w:tcPr>
          <w:p w14:paraId="3A25FFAC">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774" w:type="dxa"/>
            <w:tcBorders>
              <w:top w:val="single" w:color="auto" w:sz="12" w:space="0"/>
              <w:left w:val="single" w:color="auto" w:sz="6" w:space="0"/>
              <w:bottom w:val="double" w:color="auto" w:sz="2" w:space="0"/>
              <w:right w:val="single" w:color="auto" w:sz="6" w:space="0"/>
            </w:tcBorders>
            <w:noWrap w:val="0"/>
            <w:vAlign w:val="top"/>
          </w:tcPr>
          <w:p w14:paraId="6CAE5945">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352" w:type="dxa"/>
            <w:tcBorders>
              <w:top w:val="single" w:color="auto" w:sz="12" w:space="0"/>
              <w:left w:val="single" w:color="auto" w:sz="6" w:space="0"/>
              <w:bottom w:val="double" w:color="auto" w:sz="2" w:space="0"/>
              <w:right w:val="single" w:color="auto" w:sz="6" w:space="0"/>
            </w:tcBorders>
            <w:noWrap w:val="0"/>
            <w:vAlign w:val="top"/>
          </w:tcPr>
          <w:p w14:paraId="2395B290">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1418" w:type="dxa"/>
            <w:tcBorders>
              <w:top w:val="single" w:color="auto" w:sz="12" w:space="0"/>
              <w:left w:val="single" w:color="auto" w:sz="6" w:space="0"/>
              <w:bottom w:val="double" w:color="auto" w:sz="2" w:space="0"/>
              <w:right w:val="single" w:color="auto" w:sz="6" w:space="0"/>
            </w:tcBorders>
            <w:noWrap w:val="0"/>
            <w:vAlign w:val="top"/>
          </w:tcPr>
          <w:p w14:paraId="2D7E3CC3">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合价（元）</w:t>
            </w:r>
          </w:p>
        </w:tc>
        <w:tc>
          <w:tcPr>
            <w:tcW w:w="1701" w:type="dxa"/>
            <w:tcBorders>
              <w:top w:val="single" w:color="auto" w:sz="12" w:space="0"/>
              <w:left w:val="single" w:color="auto" w:sz="6" w:space="0"/>
              <w:bottom w:val="double" w:color="auto" w:sz="2" w:space="0"/>
              <w:right w:val="single" w:color="auto" w:sz="12" w:space="0"/>
            </w:tcBorders>
            <w:noWrap w:val="0"/>
            <w:vAlign w:val="top"/>
          </w:tcPr>
          <w:p w14:paraId="2B319798">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69B5BD1F">
        <w:tblPrEx>
          <w:tblCellMar>
            <w:top w:w="0" w:type="dxa"/>
            <w:left w:w="28" w:type="dxa"/>
            <w:bottom w:w="0" w:type="dxa"/>
            <w:right w:w="28" w:type="dxa"/>
          </w:tblCellMar>
        </w:tblPrEx>
        <w:tc>
          <w:tcPr>
            <w:tcW w:w="993" w:type="dxa"/>
            <w:tcBorders>
              <w:top w:val="double" w:color="auto" w:sz="2" w:space="0"/>
              <w:left w:val="single" w:color="auto" w:sz="12" w:space="0"/>
              <w:bottom w:val="single" w:color="auto" w:sz="6" w:space="0"/>
              <w:right w:val="single" w:color="auto" w:sz="6" w:space="0"/>
            </w:tcBorders>
            <w:noWrap w:val="0"/>
            <w:vAlign w:val="top"/>
          </w:tcPr>
          <w:p w14:paraId="46870C56">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double" w:color="auto" w:sz="2" w:space="0"/>
              <w:left w:val="single" w:color="auto" w:sz="6" w:space="0"/>
              <w:bottom w:val="single" w:color="auto" w:sz="6" w:space="0"/>
              <w:right w:val="single" w:color="auto" w:sz="6" w:space="0"/>
            </w:tcBorders>
            <w:noWrap w:val="0"/>
            <w:vAlign w:val="top"/>
          </w:tcPr>
          <w:p w14:paraId="70405B90">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double" w:color="auto" w:sz="2" w:space="0"/>
              <w:left w:val="single" w:color="auto" w:sz="6" w:space="0"/>
              <w:bottom w:val="single" w:color="auto" w:sz="6" w:space="0"/>
              <w:right w:val="single" w:color="auto" w:sz="6" w:space="0"/>
            </w:tcBorders>
            <w:noWrap w:val="0"/>
            <w:vAlign w:val="top"/>
          </w:tcPr>
          <w:p w14:paraId="4BEB325D">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double" w:color="auto" w:sz="2" w:space="0"/>
              <w:left w:val="single" w:color="auto" w:sz="6" w:space="0"/>
              <w:bottom w:val="single" w:color="auto" w:sz="6" w:space="0"/>
              <w:right w:val="single" w:color="auto" w:sz="6" w:space="0"/>
            </w:tcBorders>
            <w:noWrap w:val="0"/>
            <w:vAlign w:val="top"/>
          </w:tcPr>
          <w:p w14:paraId="0BE60677">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double" w:color="auto" w:sz="2" w:space="0"/>
              <w:left w:val="single" w:color="auto" w:sz="6" w:space="0"/>
              <w:bottom w:val="single" w:color="auto" w:sz="6" w:space="0"/>
              <w:right w:val="single" w:color="auto" w:sz="6" w:space="0"/>
            </w:tcBorders>
            <w:noWrap w:val="0"/>
            <w:vAlign w:val="top"/>
          </w:tcPr>
          <w:p w14:paraId="00956607">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double" w:color="auto" w:sz="2" w:space="0"/>
              <w:left w:val="single" w:color="auto" w:sz="6" w:space="0"/>
              <w:bottom w:val="single" w:color="auto" w:sz="6" w:space="0"/>
              <w:right w:val="single" w:color="auto" w:sz="6" w:space="0"/>
            </w:tcBorders>
            <w:noWrap w:val="0"/>
            <w:vAlign w:val="top"/>
          </w:tcPr>
          <w:p w14:paraId="2A6590D7">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double" w:color="auto" w:sz="2" w:space="0"/>
              <w:left w:val="single" w:color="auto" w:sz="6" w:space="0"/>
              <w:bottom w:val="single" w:color="auto" w:sz="6" w:space="0"/>
              <w:right w:val="single" w:color="auto" w:sz="12" w:space="0"/>
            </w:tcBorders>
            <w:noWrap w:val="0"/>
            <w:vAlign w:val="top"/>
          </w:tcPr>
          <w:p w14:paraId="6B6DC9D0">
            <w:pPr>
              <w:pStyle w:val="9"/>
              <w:keepNext/>
              <w:spacing w:line="240" w:lineRule="auto"/>
              <w:ind w:left="63" w:right="63"/>
              <w:rPr>
                <w:rFonts w:hint="eastAsia" w:ascii="宋体" w:hAnsi="宋体" w:eastAsia="宋体" w:cs="宋体"/>
                <w:color w:val="auto"/>
                <w:sz w:val="24"/>
                <w:szCs w:val="24"/>
                <w:highlight w:val="none"/>
              </w:rPr>
            </w:pPr>
          </w:p>
        </w:tc>
      </w:tr>
      <w:tr w14:paraId="6EB34929">
        <w:tblPrEx>
          <w:tblCellMar>
            <w:top w:w="0" w:type="dxa"/>
            <w:left w:w="28" w:type="dxa"/>
            <w:bottom w:w="0" w:type="dxa"/>
            <w:right w:w="28" w:type="dxa"/>
          </w:tblCellMar>
        </w:tblPrEx>
        <w:tc>
          <w:tcPr>
            <w:tcW w:w="993" w:type="dxa"/>
            <w:tcBorders>
              <w:top w:val="nil"/>
              <w:left w:val="single" w:color="auto" w:sz="12" w:space="0"/>
              <w:bottom w:val="single" w:color="auto" w:sz="6" w:space="0"/>
              <w:right w:val="single" w:color="auto" w:sz="6" w:space="0"/>
            </w:tcBorders>
            <w:noWrap w:val="0"/>
            <w:vAlign w:val="top"/>
          </w:tcPr>
          <w:p w14:paraId="42A7EE4F">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nil"/>
              <w:left w:val="single" w:color="auto" w:sz="6" w:space="0"/>
              <w:bottom w:val="single" w:color="auto" w:sz="6" w:space="0"/>
              <w:right w:val="single" w:color="auto" w:sz="6" w:space="0"/>
            </w:tcBorders>
            <w:noWrap w:val="0"/>
            <w:vAlign w:val="top"/>
          </w:tcPr>
          <w:p w14:paraId="07B30E58">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top"/>
          </w:tcPr>
          <w:p w14:paraId="62523044">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nil"/>
              <w:left w:val="single" w:color="auto" w:sz="6" w:space="0"/>
              <w:bottom w:val="single" w:color="auto" w:sz="6" w:space="0"/>
              <w:right w:val="single" w:color="auto" w:sz="6" w:space="0"/>
            </w:tcBorders>
            <w:noWrap w:val="0"/>
            <w:vAlign w:val="top"/>
          </w:tcPr>
          <w:p w14:paraId="60875339">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nil"/>
              <w:left w:val="single" w:color="auto" w:sz="6" w:space="0"/>
              <w:bottom w:val="single" w:color="auto" w:sz="6" w:space="0"/>
              <w:right w:val="single" w:color="auto" w:sz="6" w:space="0"/>
            </w:tcBorders>
            <w:noWrap w:val="0"/>
            <w:vAlign w:val="top"/>
          </w:tcPr>
          <w:p w14:paraId="6C7E0C00">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nil"/>
              <w:left w:val="single" w:color="auto" w:sz="6" w:space="0"/>
              <w:bottom w:val="single" w:color="auto" w:sz="6" w:space="0"/>
              <w:right w:val="single" w:color="auto" w:sz="6" w:space="0"/>
            </w:tcBorders>
            <w:noWrap w:val="0"/>
            <w:vAlign w:val="top"/>
          </w:tcPr>
          <w:p w14:paraId="00C7818E">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nil"/>
              <w:left w:val="single" w:color="auto" w:sz="6" w:space="0"/>
              <w:bottom w:val="single" w:color="auto" w:sz="6" w:space="0"/>
              <w:right w:val="single" w:color="auto" w:sz="12" w:space="0"/>
            </w:tcBorders>
            <w:noWrap w:val="0"/>
            <w:vAlign w:val="top"/>
          </w:tcPr>
          <w:p w14:paraId="01CE9213">
            <w:pPr>
              <w:pStyle w:val="9"/>
              <w:keepNext/>
              <w:spacing w:line="240" w:lineRule="auto"/>
              <w:ind w:left="63" w:right="63"/>
              <w:rPr>
                <w:rFonts w:hint="eastAsia" w:ascii="宋体" w:hAnsi="宋体" w:eastAsia="宋体" w:cs="宋体"/>
                <w:color w:val="auto"/>
                <w:sz w:val="24"/>
                <w:szCs w:val="24"/>
                <w:highlight w:val="none"/>
              </w:rPr>
            </w:pPr>
          </w:p>
        </w:tc>
      </w:tr>
      <w:tr w14:paraId="6863B364">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1F9DF419">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2BACC23A">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3EF28F5C">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26E33114">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1A82228B">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A165243">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7D12EC86">
            <w:pPr>
              <w:pStyle w:val="9"/>
              <w:keepNext/>
              <w:spacing w:line="240" w:lineRule="auto"/>
              <w:ind w:left="63" w:right="63"/>
              <w:rPr>
                <w:rFonts w:hint="eastAsia" w:ascii="宋体" w:hAnsi="宋体" w:eastAsia="宋体" w:cs="宋体"/>
                <w:color w:val="auto"/>
                <w:sz w:val="24"/>
                <w:szCs w:val="24"/>
                <w:highlight w:val="none"/>
              </w:rPr>
            </w:pPr>
          </w:p>
        </w:tc>
      </w:tr>
      <w:tr w14:paraId="3AB2579B">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2F40BC8D">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08DF66F1">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7164DF6B">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263FC2E2">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7CD9D491">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1200A293">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242F9B9D">
            <w:pPr>
              <w:pStyle w:val="9"/>
              <w:keepNext/>
              <w:spacing w:line="240" w:lineRule="auto"/>
              <w:ind w:left="63" w:right="63"/>
              <w:rPr>
                <w:rFonts w:hint="eastAsia" w:ascii="宋体" w:hAnsi="宋体" w:eastAsia="宋体" w:cs="宋体"/>
                <w:color w:val="auto"/>
                <w:sz w:val="24"/>
                <w:szCs w:val="24"/>
                <w:highlight w:val="none"/>
              </w:rPr>
            </w:pPr>
          </w:p>
        </w:tc>
      </w:tr>
      <w:tr w14:paraId="246F19A9">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4C86CEEA">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0F3AC333">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7F484FA5">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6E35C13">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247634EE">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1EFD450D">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29F7EDA9">
            <w:pPr>
              <w:pStyle w:val="9"/>
              <w:keepNext/>
              <w:spacing w:line="240" w:lineRule="auto"/>
              <w:ind w:left="63" w:right="63"/>
              <w:rPr>
                <w:rFonts w:hint="eastAsia" w:ascii="宋体" w:hAnsi="宋体" w:eastAsia="宋体" w:cs="宋体"/>
                <w:color w:val="auto"/>
                <w:sz w:val="24"/>
                <w:szCs w:val="24"/>
                <w:highlight w:val="none"/>
              </w:rPr>
            </w:pPr>
          </w:p>
        </w:tc>
      </w:tr>
      <w:tr w14:paraId="082B7EA3">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22096B62">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69581FAF">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002F5BF0">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503325C">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5A889295">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188A3F12">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78BD82DC">
            <w:pPr>
              <w:pStyle w:val="9"/>
              <w:keepNext/>
              <w:spacing w:line="240" w:lineRule="auto"/>
              <w:ind w:left="63" w:right="63"/>
              <w:rPr>
                <w:rFonts w:hint="eastAsia" w:ascii="宋体" w:hAnsi="宋体" w:eastAsia="宋体" w:cs="宋体"/>
                <w:color w:val="auto"/>
                <w:sz w:val="24"/>
                <w:szCs w:val="24"/>
                <w:highlight w:val="none"/>
              </w:rPr>
            </w:pPr>
          </w:p>
        </w:tc>
      </w:tr>
      <w:tr w14:paraId="1CCF14E2">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71F73573">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6CF61CA8">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1DBB276A">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212351A8">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1E2708D4">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A28367F">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1D1FEC3A">
            <w:pPr>
              <w:pStyle w:val="9"/>
              <w:keepNext/>
              <w:spacing w:line="240" w:lineRule="auto"/>
              <w:ind w:left="63" w:right="63"/>
              <w:rPr>
                <w:rFonts w:hint="eastAsia" w:ascii="宋体" w:hAnsi="宋体" w:eastAsia="宋体" w:cs="宋体"/>
                <w:color w:val="auto"/>
                <w:sz w:val="24"/>
                <w:szCs w:val="24"/>
                <w:highlight w:val="none"/>
              </w:rPr>
            </w:pPr>
          </w:p>
        </w:tc>
      </w:tr>
      <w:tr w14:paraId="32DC8A1E">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4F333726">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1BD5F0C8">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A776B4F">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67864AA">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0FA7CCE1">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ADE3759">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38AD937F">
            <w:pPr>
              <w:pStyle w:val="9"/>
              <w:keepNext/>
              <w:spacing w:line="240" w:lineRule="auto"/>
              <w:ind w:left="63" w:right="63"/>
              <w:rPr>
                <w:rFonts w:hint="eastAsia" w:ascii="宋体" w:hAnsi="宋体" w:eastAsia="宋体" w:cs="宋体"/>
                <w:color w:val="auto"/>
                <w:sz w:val="24"/>
                <w:szCs w:val="24"/>
                <w:highlight w:val="none"/>
              </w:rPr>
            </w:pPr>
          </w:p>
        </w:tc>
      </w:tr>
      <w:tr w14:paraId="6E088140">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4014214A">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1C51EFEB">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64587429">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65A6FF27">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499FD988">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115EC24C">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3E879C75">
            <w:pPr>
              <w:pStyle w:val="9"/>
              <w:keepNext/>
              <w:spacing w:line="240" w:lineRule="auto"/>
              <w:ind w:left="63" w:right="63"/>
              <w:rPr>
                <w:rFonts w:hint="eastAsia" w:ascii="宋体" w:hAnsi="宋体" w:eastAsia="宋体" w:cs="宋体"/>
                <w:color w:val="auto"/>
                <w:sz w:val="24"/>
                <w:szCs w:val="24"/>
                <w:highlight w:val="none"/>
              </w:rPr>
            </w:pPr>
          </w:p>
        </w:tc>
      </w:tr>
      <w:tr w14:paraId="75C3DB01">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62209540">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6632E54D">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79875E43">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65F15B9">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7BD311E2">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A1914E9">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1E8E6513">
            <w:pPr>
              <w:pStyle w:val="9"/>
              <w:keepNext/>
              <w:spacing w:line="240" w:lineRule="auto"/>
              <w:ind w:left="63" w:right="63"/>
              <w:rPr>
                <w:rFonts w:hint="eastAsia" w:ascii="宋体" w:hAnsi="宋体" w:eastAsia="宋体" w:cs="宋体"/>
                <w:color w:val="auto"/>
                <w:sz w:val="24"/>
                <w:szCs w:val="24"/>
                <w:highlight w:val="none"/>
              </w:rPr>
            </w:pPr>
          </w:p>
        </w:tc>
      </w:tr>
      <w:tr w14:paraId="7CF6F23F">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02CA6B3C">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58A102B2">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3A5F6191">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484D96F">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5AC58B55">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66E57066">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37B2E80C">
            <w:pPr>
              <w:pStyle w:val="9"/>
              <w:keepNext/>
              <w:spacing w:line="240" w:lineRule="auto"/>
              <w:ind w:left="63" w:right="63"/>
              <w:rPr>
                <w:rFonts w:hint="eastAsia" w:ascii="宋体" w:hAnsi="宋体" w:eastAsia="宋体" w:cs="宋体"/>
                <w:color w:val="auto"/>
                <w:sz w:val="24"/>
                <w:szCs w:val="24"/>
                <w:highlight w:val="none"/>
              </w:rPr>
            </w:pPr>
          </w:p>
        </w:tc>
      </w:tr>
      <w:tr w14:paraId="7EE357D7">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6887F9F6">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0B828FF4">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58A18D7F">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46109C9">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44417DE4">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60AEF810">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5222C27">
            <w:pPr>
              <w:pStyle w:val="9"/>
              <w:keepNext/>
              <w:spacing w:line="240" w:lineRule="auto"/>
              <w:ind w:left="63" w:right="63"/>
              <w:rPr>
                <w:rFonts w:hint="eastAsia" w:ascii="宋体" w:hAnsi="宋体" w:eastAsia="宋体" w:cs="宋体"/>
                <w:color w:val="auto"/>
                <w:sz w:val="24"/>
                <w:szCs w:val="24"/>
                <w:highlight w:val="none"/>
              </w:rPr>
            </w:pPr>
          </w:p>
        </w:tc>
      </w:tr>
      <w:tr w14:paraId="61ED1C8D">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526A73E9">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2EC60949">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2631A825">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62D8A84D">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2A63E450">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05E99CEC">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72E94BF3">
            <w:pPr>
              <w:pStyle w:val="9"/>
              <w:keepNext/>
              <w:spacing w:line="240" w:lineRule="auto"/>
              <w:ind w:left="63" w:right="63"/>
              <w:rPr>
                <w:rFonts w:hint="eastAsia" w:ascii="宋体" w:hAnsi="宋体" w:eastAsia="宋体" w:cs="宋体"/>
                <w:color w:val="auto"/>
                <w:sz w:val="24"/>
                <w:szCs w:val="24"/>
                <w:highlight w:val="none"/>
              </w:rPr>
            </w:pPr>
          </w:p>
        </w:tc>
      </w:tr>
      <w:tr w14:paraId="1FFA6381">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0DD8465E">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30090BC3">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DD39579">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091A2FCB">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2F5BD5D6">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96BA020">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1D4D1B3">
            <w:pPr>
              <w:pStyle w:val="9"/>
              <w:keepNext/>
              <w:spacing w:line="240" w:lineRule="auto"/>
              <w:ind w:left="63" w:right="63"/>
              <w:rPr>
                <w:rFonts w:hint="eastAsia" w:ascii="宋体" w:hAnsi="宋体" w:eastAsia="宋体" w:cs="宋体"/>
                <w:color w:val="auto"/>
                <w:sz w:val="24"/>
                <w:szCs w:val="24"/>
                <w:highlight w:val="none"/>
              </w:rPr>
            </w:pPr>
          </w:p>
        </w:tc>
      </w:tr>
      <w:tr w14:paraId="06324E46">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138ED7D9">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703A951C">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5AB621D8">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61BD713">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77AF1128">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25868AD1">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0AA8BE52">
            <w:pPr>
              <w:pStyle w:val="9"/>
              <w:keepNext/>
              <w:spacing w:line="240" w:lineRule="auto"/>
              <w:ind w:left="63" w:right="63"/>
              <w:rPr>
                <w:rFonts w:hint="eastAsia" w:ascii="宋体" w:hAnsi="宋体" w:eastAsia="宋体" w:cs="宋体"/>
                <w:color w:val="auto"/>
                <w:sz w:val="24"/>
                <w:szCs w:val="24"/>
                <w:highlight w:val="none"/>
              </w:rPr>
            </w:pPr>
          </w:p>
        </w:tc>
      </w:tr>
      <w:tr w14:paraId="29C7CB46">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6F3C3344">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451AC57F">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1003BF54">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3C03EE6">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0FF55C8B">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090674D">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303E957D">
            <w:pPr>
              <w:pStyle w:val="9"/>
              <w:keepNext/>
              <w:spacing w:line="240" w:lineRule="auto"/>
              <w:ind w:left="63" w:right="63"/>
              <w:rPr>
                <w:rFonts w:hint="eastAsia" w:ascii="宋体" w:hAnsi="宋体" w:eastAsia="宋体" w:cs="宋体"/>
                <w:color w:val="auto"/>
                <w:sz w:val="24"/>
                <w:szCs w:val="24"/>
                <w:highlight w:val="none"/>
              </w:rPr>
            </w:pPr>
          </w:p>
        </w:tc>
      </w:tr>
      <w:tr w14:paraId="24ADF5D0">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0B684071">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490F306F">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6DC9F51E">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64D29A34">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6340510D">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FAB2E1F">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0764F198">
            <w:pPr>
              <w:pStyle w:val="9"/>
              <w:keepNext/>
              <w:spacing w:line="240" w:lineRule="auto"/>
              <w:ind w:left="63" w:right="63"/>
              <w:rPr>
                <w:rFonts w:hint="eastAsia" w:ascii="宋体" w:hAnsi="宋体" w:eastAsia="宋体" w:cs="宋体"/>
                <w:color w:val="auto"/>
                <w:sz w:val="24"/>
                <w:szCs w:val="24"/>
                <w:highlight w:val="none"/>
              </w:rPr>
            </w:pPr>
          </w:p>
        </w:tc>
      </w:tr>
      <w:tr w14:paraId="17D6CB77">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089100A5">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50CFCE5D">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5FF3E1C5">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AEC57D2">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23B32999">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6178FBC8">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73B58F86">
            <w:pPr>
              <w:pStyle w:val="9"/>
              <w:keepNext/>
              <w:spacing w:line="240" w:lineRule="auto"/>
              <w:ind w:left="63" w:right="63"/>
              <w:rPr>
                <w:rFonts w:hint="eastAsia" w:ascii="宋体" w:hAnsi="宋体" w:eastAsia="宋体" w:cs="宋体"/>
                <w:color w:val="auto"/>
                <w:sz w:val="24"/>
                <w:szCs w:val="24"/>
                <w:highlight w:val="none"/>
              </w:rPr>
            </w:pPr>
          </w:p>
        </w:tc>
      </w:tr>
      <w:tr w14:paraId="22AA4CD4">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2B84B70A">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6C9C1D74">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5EE65A30">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524852C2">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68B15626">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2648B32">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4699D6AA">
            <w:pPr>
              <w:pStyle w:val="9"/>
              <w:keepNext/>
              <w:spacing w:line="240" w:lineRule="auto"/>
              <w:ind w:left="63" w:right="63"/>
              <w:rPr>
                <w:rFonts w:hint="eastAsia" w:ascii="宋体" w:hAnsi="宋体" w:eastAsia="宋体" w:cs="宋体"/>
                <w:color w:val="auto"/>
                <w:sz w:val="24"/>
                <w:szCs w:val="24"/>
                <w:highlight w:val="none"/>
              </w:rPr>
            </w:pPr>
          </w:p>
        </w:tc>
      </w:tr>
      <w:tr w14:paraId="315F21F3">
        <w:tblPrEx>
          <w:tblCellMar>
            <w:top w:w="0" w:type="dxa"/>
            <w:left w:w="28" w:type="dxa"/>
            <w:bottom w:w="0" w:type="dxa"/>
            <w:right w:w="28" w:type="dxa"/>
          </w:tblCellMar>
        </w:tblPrEx>
        <w:tc>
          <w:tcPr>
            <w:tcW w:w="993" w:type="dxa"/>
            <w:tcBorders>
              <w:top w:val="single" w:color="auto" w:sz="6" w:space="0"/>
              <w:left w:val="single" w:color="auto" w:sz="12" w:space="0"/>
              <w:bottom w:val="single" w:color="auto" w:sz="12" w:space="0"/>
              <w:right w:val="single" w:color="auto" w:sz="6" w:space="0"/>
            </w:tcBorders>
            <w:noWrap w:val="0"/>
            <w:vAlign w:val="top"/>
          </w:tcPr>
          <w:p w14:paraId="2020EDB8">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12" w:space="0"/>
              <w:right w:val="single" w:color="auto" w:sz="6" w:space="0"/>
            </w:tcBorders>
            <w:noWrap w:val="0"/>
            <w:vAlign w:val="top"/>
          </w:tcPr>
          <w:p w14:paraId="29DE8AE6">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12" w:space="0"/>
              <w:right w:val="single" w:color="auto" w:sz="6" w:space="0"/>
            </w:tcBorders>
            <w:noWrap w:val="0"/>
            <w:vAlign w:val="top"/>
          </w:tcPr>
          <w:p w14:paraId="14F7FDC5">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12" w:space="0"/>
              <w:right w:val="single" w:color="auto" w:sz="6" w:space="0"/>
            </w:tcBorders>
            <w:noWrap w:val="0"/>
            <w:vAlign w:val="top"/>
          </w:tcPr>
          <w:p w14:paraId="37D1B8C4">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12" w:space="0"/>
              <w:right w:val="single" w:color="auto" w:sz="6" w:space="0"/>
            </w:tcBorders>
            <w:noWrap w:val="0"/>
            <w:vAlign w:val="top"/>
          </w:tcPr>
          <w:p w14:paraId="75F6386B">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12" w:space="0"/>
              <w:right w:val="single" w:color="auto" w:sz="6" w:space="0"/>
            </w:tcBorders>
            <w:noWrap w:val="0"/>
            <w:vAlign w:val="top"/>
          </w:tcPr>
          <w:p w14:paraId="6C3FC97E">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12" w:space="0"/>
              <w:right w:val="single" w:color="auto" w:sz="12" w:space="0"/>
            </w:tcBorders>
            <w:noWrap w:val="0"/>
            <w:vAlign w:val="top"/>
          </w:tcPr>
          <w:p w14:paraId="5A89D636">
            <w:pPr>
              <w:pStyle w:val="9"/>
              <w:keepNext/>
              <w:spacing w:line="240" w:lineRule="auto"/>
              <w:ind w:left="63" w:right="63"/>
              <w:rPr>
                <w:rFonts w:hint="eastAsia" w:ascii="宋体" w:hAnsi="宋体" w:eastAsia="宋体" w:cs="宋体"/>
                <w:color w:val="auto"/>
                <w:sz w:val="24"/>
                <w:szCs w:val="24"/>
                <w:highlight w:val="none"/>
              </w:rPr>
            </w:pPr>
          </w:p>
        </w:tc>
      </w:tr>
    </w:tbl>
    <w:p w14:paraId="489B6549">
      <w:pPr>
        <w:spacing w:before="156" w:beforeLines="50" w:after="156" w:afterLines="5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E211D21">
      <w:pPr>
        <w:pStyle w:val="26"/>
        <w:spacing w:line="240" w:lineRule="auto"/>
        <w:rPr>
          <w:rFonts w:hint="eastAsia"/>
          <w:color w:val="auto"/>
          <w:highlight w:val="none"/>
        </w:rPr>
      </w:pPr>
    </w:p>
    <w:p w14:paraId="552524F4">
      <w:pPr>
        <w:rPr>
          <w:rFonts w:hint="eastAsia" w:ascii="宋体" w:hAnsi="宋体" w:eastAsia="宋体" w:cs="宋体"/>
          <w:color w:val="auto"/>
          <w:sz w:val="24"/>
          <w:szCs w:val="24"/>
          <w:highlight w:val="none"/>
        </w:rPr>
      </w:pPr>
      <w:bookmarkStart w:id="4616" w:name="_Toc19808"/>
      <w:bookmarkStart w:id="4617" w:name="_Toc27907"/>
      <w:bookmarkStart w:id="4618" w:name="_Toc21029"/>
      <w:bookmarkStart w:id="4619" w:name="_Toc31313"/>
      <w:bookmarkStart w:id="4620" w:name="_Toc25649"/>
      <w:bookmarkStart w:id="4621" w:name="_Toc6120"/>
      <w:bookmarkStart w:id="4622" w:name="_Toc1154"/>
      <w:bookmarkStart w:id="4623" w:name="_Toc26299"/>
      <w:bookmarkStart w:id="4624" w:name="_Toc16127"/>
      <w:bookmarkStart w:id="4625" w:name="_Toc6551"/>
      <w:bookmarkStart w:id="4626" w:name="_Toc14558"/>
      <w:bookmarkStart w:id="4627" w:name="_Toc18971"/>
      <w:r>
        <w:rPr>
          <w:rFonts w:hint="eastAsia" w:ascii="宋体" w:hAnsi="宋体" w:eastAsia="宋体" w:cs="宋体"/>
          <w:color w:val="auto"/>
          <w:sz w:val="24"/>
          <w:szCs w:val="24"/>
          <w:highlight w:val="none"/>
        </w:rPr>
        <w:br w:type="page"/>
      </w:r>
    </w:p>
    <w:p w14:paraId="0B17E063">
      <w:pPr>
        <w:spacing w:before="156" w:beforeLines="50" w:after="156" w:afterLines="50" w:line="240" w:lineRule="auto"/>
        <w:jc w:val="center"/>
        <w:outlineLvl w:val="0"/>
        <w:rPr>
          <w:rFonts w:hint="eastAsia" w:ascii="宋体" w:hAnsi="宋体" w:eastAsia="宋体" w:cs="宋体"/>
          <w:color w:val="auto"/>
          <w:sz w:val="24"/>
          <w:szCs w:val="24"/>
          <w:highlight w:val="none"/>
        </w:rPr>
      </w:pPr>
      <w:bookmarkStart w:id="4628" w:name="_Toc6716"/>
      <w:bookmarkStart w:id="4629" w:name="_Toc21167"/>
      <w:bookmarkStart w:id="4630" w:name="_Toc10105"/>
      <w:r>
        <w:rPr>
          <w:rFonts w:hint="eastAsia" w:ascii="宋体" w:hAnsi="宋体" w:eastAsia="宋体" w:cs="宋体"/>
          <w:color w:val="auto"/>
          <w:sz w:val="24"/>
          <w:szCs w:val="24"/>
          <w:highlight w:val="none"/>
        </w:rPr>
        <w:t>11-2：工程设备暂估价表</w:t>
      </w:r>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p>
    <w:tbl>
      <w:tblPr>
        <w:tblStyle w:val="28"/>
        <w:tblW w:w="9073" w:type="dxa"/>
        <w:tblInd w:w="-34" w:type="dxa"/>
        <w:tblLayout w:type="fixed"/>
        <w:tblCellMar>
          <w:top w:w="0" w:type="dxa"/>
          <w:left w:w="28" w:type="dxa"/>
          <w:bottom w:w="0" w:type="dxa"/>
          <w:right w:w="28" w:type="dxa"/>
        </w:tblCellMar>
      </w:tblPr>
      <w:tblGrid>
        <w:gridCol w:w="993"/>
        <w:gridCol w:w="1984"/>
        <w:gridCol w:w="851"/>
        <w:gridCol w:w="774"/>
        <w:gridCol w:w="1352"/>
        <w:gridCol w:w="1418"/>
        <w:gridCol w:w="1701"/>
      </w:tblGrid>
      <w:tr w14:paraId="4AB86AF2">
        <w:tblPrEx>
          <w:tblCellMar>
            <w:top w:w="0" w:type="dxa"/>
            <w:left w:w="28" w:type="dxa"/>
            <w:bottom w:w="0" w:type="dxa"/>
            <w:right w:w="28" w:type="dxa"/>
          </w:tblCellMar>
        </w:tblPrEx>
        <w:tc>
          <w:tcPr>
            <w:tcW w:w="993" w:type="dxa"/>
            <w:tcBorders>
              <w:top w:val="single" w:color="auto" w:sz="12" w:space="0"/>
              <w:left w:val="single" w:color="auto" w:sz="12" w:space="0"/>
              <w:bottom w:val="double" w:color="auto" w:sz="2" w:space="0"/>
              <w:right w:val="single" w:color="auto" w:sz="6" w:space="0"/>
            </w:tcBorders>
            <w:noWrap w:val="0"/>
            <w:vAlign w:val="top"/>
          </w:tcPr>
          <w:p w14:paraId="3AFF59A2">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84" w:type="dxa"/>
            <w:tcBorders>
              <w:top w:val="single" w:color="auto" w:sz="12" w:space="0"/>
              <w:left w:val="single" w:color="auto" w:sz="6" w:space="0"/>
              <w:bottom w:val="double" w:color="auto" w:sz="2" w:space="0"/>
              <w:right w:val="single" w:color="auto" w:sz="6" w:space="0"/>
            </w:tcBorders>
            <w:noWrap w:val="0"/>
            <w:vAlign w:val="top"/>
          </w:tcPr>
          <w:p w14:paraId="03CB4BE4">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851" w:type="dxa"/>
            <w:tcBorders>
              <w:top w:val="single" w:color="auto" w:sz="12" w:space="0"/>
              <w:left w:val="single" w:color="auto" w:sz="6" w:space="0"/>
              <w:bottom w:val="double" w:color="auto" w:sz="2" w:space="0"/>
              <w:right w:val="single" w:color="auto" w:sz="6" w:space="0"/>
            </w:tcBorders>
            <w:noWrap w:val="0"/>
            <w:vAlign w:val="top"/>
          </w:tcPr>
          <w:p w14:paraId="6CD2DCDB">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774" w:type="dxa"/>
            <w:tcBorders>
              <w:top w:val="single" w:color="auto" w:sz="12" w:space="0"/>
              <w:left w:val="single" w:color="auto" w:sz="6" w:space="0"/>
              <w:bottom w:val="double" w:color="auto" w:sz="2" w:space="0"/>
              <w:right w:val="single" w:color="auto" w:sz="6" w:space="0"/>
            </w:tcBorders>
            <w:noWrap w:val="0"/>
            <w:vAlign w:val="top"/>
          </w:tcPr>
          <w:p w14:paraId="2BFF8832">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352" w:type="dxa"/>
            <w:tcBorders>
              <w:top w:val="single" w:color="auto" w:sz="12" w:space="0"/>
              <w:left w:val="single" w:color="auto" w:sz="6" w:space="0"/>
              <w:bottom w:val="double" w:color="auto" w:sz="2" w:space="0"/>
              <w:right w:val="single" w:color="auto" w:sz="6" w:space="0"/>
            </w:tcBorders>
            <w:noWrap w:val="0"/>
            <w:vAlign w:val="top"/>
          </w:tcPr>
          <w:p w14:paraId="4F8C235E">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1418" w:type="dxa"/>
            <w:tcBorders>
              <w:top w:val="single" w:color="auto" w:sz="12" w:space="0"/>
              <w:left w:val="single" w:color="auto" w:sz="6" w:space="0"/>
              <w:bottom w:val="double" w:color="auto" w:sz="2" w:space="0"/>
              <w:right w:val="single" w:color="auto" w:sz="6" w:space="0"/>
            </w:tcBorders>
            <w:noWrap w:val="0"/>
            <w:vAlign w:val="top"/>
          </w:tcPr>
          <w:p w14:paraId="7C585566">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合价（元）</w:t>
            </w:r>
          </w:p>
        </w:tc>
        <w:tc>
          <w:tcPr>
            <w:tcW w:w="1701" w:type="dxa"/>
            <w:tcBorders>
              <w:top w:val="single" w:color="auto" w:sz="12" w:space="0"/>
              <w:left w:val="single" w:color="auto" w:sz="6" w:space="0"/>
              <w:bottom w:val="double" w:color="auto" w:sz="2" w:space="0"/>
              <w:right w:val="single" w:color="auto" w:sz="12" w:space="0"/>
            </w:tcBorders>
            <w:noWrap w:val="0"/>
            <w:vAlign w:val="top"/>
          </w:tcPr>
          <w:p w14:paraId="4AEA35DF">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673869FC">
        <w:tblPrEx>
          <w:tblCellMar>
            <w:top w:w="0" w:type="dxa"/>
            <w:left w:w="28" w:type="dxa"/>
            <w:bottom w:w="0" w:type="dxa"/>
            <w:right w:w="28" w:type="dxa"/>
          </w:tblCellMar>
        </w:tblPrEx>
        <w:tc>
          <w:tcPr>
            <w:tcW w:w="993" w:type="dxa"/>
            <w:tcBorders>
              <w:top w:val="double" w:color="auto" w:sz="2" w:space="0"/>
              <w:left w:val="single" w:color="auto" w:sz="12" w:space="0"/>
              <w:bottom w:val="single" w:color="auto" w:sz="6" w:space="0"/>
              <w:right w:val="single" w:color="auto" w:sz="6" w:space="0"/>
            </w:tcBorders>
            <w:noWrap w:val="0"/>
            <w:vAlign w:val="top"/>
          </w:tcPr>
          <w:p w14:paraId="1AC6F9A0">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double" w:color="auto" w:sz="2" w:space="0"/>
              <w:left w:val="single" w:color="auto" w:sz="6" w:space="0"/>
              <w:bottom w:val="single" w:color="auto" w:sz="6" w:space="0"/>
              <w:right w:val="single" w:color="auto" w:sz="6" w:space="0"/>
            </w:tcBorders>
            <w:noWrap w:val="0"/>
            <w:vAlign w:val="top"/>
          </w:tcPr>
          <w:p w14:paraId="5AEC7336">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double" w:color="auto" w:sz="2" w:space="0"/>
              <w:left w:val="single" w:color="auto" w:sz="6" w:space="0"/>
              <w:bottom w:val="single" w:color="auto" w:sz="6" w:space="0"/>
              <w:right w:val="single" w:color="auto" w:sz="6" w:space="0"/>
            </w:tcBorders>
            <w:noWrap w:val="0"/>
            <w:vAlign w:val="top"/>
          </w:tcPr>
          <w:p w14:paraId="21D467B9">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double" w:color="auto" w:sz="2" w:space="0"/>
              <w:left w:val="single" w:color="auto" w:sz="6" w:space="0"/>
              <w:bottom w:val="single" w:color="auto" w:sz="6" w:space="0"/>
              <w:right w:val="single" w:color="auto" w:sz="6" w:space="0"/>
            </w:tcBorders>
            <w:noWrap w:val="0"/>
            <w:vAlign w:val="top"/>
          </w:tcPr>
          <w:p w14:paraId="254620E8">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double" w:color="auto" w:sz="2" w:space="0"/>
              <w:left w:val="single" w:color="auto" w:sz="6" w:space="0"/>
              <w:bottom w:val="single" w:color="auto" w:sz="6" w:space="0"/>
              <w:right w:val="single" w:color="auto" w:sz="6" w:space="0"/>
            </w:tcBorders>
            <w:noWrap w:val="0"/>
            <w:vAlign w:val="top"/>
          </w:tcPr>
          <w:p w14:paraId="7A79FFEE">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double" w:color="auto" w:sz="2" w:space="0"/>
              <w:left w:val="single" w:color="auto" w:sz="6" w:space="0"/>
              <w:bottom w:val="single" w:color="auto" w:sz="6" w:space="0"/>
              <w:right w:val="single" w:color="auto" w:sz="6" w:space="0"/>
            </w:tcBorders>
            <w:noWrap w:val="0"/>
            <w:vAlign w:val="top"/>
          </w:tcPr>
          <w:p w14:paraId="40F2E4A9">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double" w:color="auto" w:sz="2" w:space="0"/>
              <w:left w:val="single" w:color="auto" w:sz="6" w:space="0"/>
              <w:bottom w:val="single" w:color="auto" w:sz="6" w:space="0"/>
              <w:right w:val="single" w:color="auto" w:sz="12" w:space="0"/>
            </w:tcBorders>
            <w:noWrap w:val="0"/>
            <w:vAlign w:val="top"/>
          </w:tcPr>
          <w:p w14:paraId="68E2D897">
            <w:pPr>
              <w:pStyle w:val="9"/>
              <w:keepNext/>
              <w:spacing w:line="240" w:lineRule="auto"/>
              <w:ind w:left="63" w:right="63"/>
              <w:rPr>
                <w:rFonts w:hint="eastAsia" w:ascii="宋体" w:hAnsi="宋体" w:eastAsia="宋体" w:cs="宋体"/>
                <w:color w:val="auto"/>
                <w:sz w:val="24"/>
                <w:szCs w:val="24"/>
                <w:highlight w:val="none"/>
              </w:rPr>
            </w:pPr>
          </w:p>
        </w:tc>
      </w:tr>
      <w:tr w14:paraId="6C789CDA">
        <w:tblPrEx>
          <w:tblCellMar>
            <w:top w:w="0" w:type="dxa"/>
            <w:left w:w="28" w:type="dxa"/>
            <w:bottom w:w="0" w:type="dxa"/>
            <w:right w:w="28" w:type="dxa"/>
          </w:tblCellMar>
        </w:tblPrEx>
        <w:tc>
          <w:tcPr>
            <w:tcW w:w="993" w:type="dxa"/>
            <w:tcBorders>
              <w:top w:val="nil"/>
              <w:left w:val="single" w:color="auto" w:sz="12" w:space="0"/>
              <w:bottom w:val="single" w:color="auto" w:sz="6" w:space="0"/>
              <w:right w:val="single" w:color="auto" w:sz="6" w:space="0"/>
            </w:tcBorders>
            <w:noWrap w:val="0"/>
            <w:vAlign w:val="top"/>
          </w:tcPr>
          <w:p w14:paraId="1F449A57">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nil"/>
              <w:left w:val="single" w:color="auto" w:sz="6" w:space="0"/>
              <w:bottom w:val="single" w:color="auto" w:sz="6" w:space="0"/>
              <w:right w:val="single" w:color="auto" w:sz="6" w:space="0"/>
            </w:tcBorders>
            <w:noWrap w:val="0"/>
            <w:vAlign w:val="top"/>
          </w:tcPr>
          <w:p w14:paraId="77CD1CC5">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nil"/>
              <w:left w:val="single" w:color="auto" w:sz="6" w:space="0"/>
              <w:bottom w:val="single" w:color="auto" w:sz="6" w:space="0"/>
              <w:right w:val="single" w:color="auto" w:sz="6" w:space="0"/>
            </w:tcBorders>
            <w:noWrap w:val="0"/>
            <w:vAlign w:val="top"/>
          </w:tcPr>
          <w:p w14:paraId="5C9BB923">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nil"/>
              <w:left w:val="single" w:color="auto" w:sz="6" w:space="0"/>
              <w:bottom w:val="single" w:color="auto" w:sz="6" w:space="0"/>
              <w:right w:val="single" w:color="auto" w:sz="6" w:space="0"/>
            </w:tcBorders>
            <w:noWrap w:val="0"/>
            <w:vAlign w:val="top"/>
          </w:tcPr>
          <w:p w14:paraId="019D315F">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nil"/>
              <w:left w:val="single" w:color="auto" w:sz="6" w:space="0"/>
              <w:bottom w:val="single" w:color="auto" w:sz="6" w:space="0"/>
              <w:right w:val="single" w:color="auto" w:sz="6" w:space="0"/>
            </w:tcBorders>
            <w:noWrap w:val="0"/>
            <w:vAlign w:val="top"/>
          </w:tcPr>
          <w:p w14:paraId="7C15FEBD">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nil"/>
              <w:left w:val="single" w:color="auto" w:sz="6" w:space="0"/>
              <w:bottom w:val="single" w:color="auto" w:sz="6" w:space="0"/>
              <w:right w:val="single" w:color="auto" w:sz="6" w:space="0"/>
            </w:tcBorders>
            <w:noWrap w:val="0"/>
            <w:vAlign w:val="top"/>
          </w:tcPr>
          <w:p w14:paraId="70D38C84">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nil"/>
              <w:left w:val="single" w:color="auto" w:sz="6" w:space="0"/>
              <w:bottom w:val="single" w:color="auto" w:sz="6" w:space="0"/>
              <w:right w:val="single" w:color="auto" w:sz="12" w:space="0"/>
            </w:tcBorders>
            <w:noWrap w:val="0"/>
            <w:vAlign w:val="top"/>
          </w:tcPr>
          <w:p w14:paraId="38B831C8">
            <w:pPr>
              <w:pStyle w:val="9"/>
              <w:keepNext/>
              <w:spacing w:line="240" w:lineRule="auto"/>
              <w:ind w:left="63" w:right="63"/>
              <w:rPr>
                <w:rFonts w:hint="eastAsia" w:ascii="宋体" w:hAnsi="宋体" w:eastAsia="宋体" w:cs="宋体"/>
                <w:color w:val="auto"/>
                <w:sz w:val="24"/>
                <w:szCs w:val="24"/>
                <w:highlight w:val="none"/>
              </w:rPr>
            </w:pPr>
          </w:p>
        </w:tc>
      </w:tr>
      <w:tr w14:paraId="015A69D5">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09121FC9">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23FCC61B">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56F73D10">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777546B1">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3CF02F30">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9E4CCBA">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AFE13B4">
            <w:pPr>
              <w:pStyle w:val="9"/>
              <w:keepNext/>
              <w:spacing w:line="240" w:lineRule="auto"/>
              <w:ind w:left="63" w:right="63"/>
              <w:rPr>
                <w:rFonts w:hint="eastAsia" w:ascii="宋体" w:hAnsi="宋体" w:eastAsia="宋体" w:cs="宋体"/>
                <w:color w:val="auto"/>
                <w:sz w:val="24"/>
                <w:szCs w:val="24"/>
                <w:highlight w:val="none"/>
              </w:rPr>
            </w:pPr>
          </w:p>
        </w:tc>
      </w:tr>
      <w:tr w14:paraId="3F4BA2B9">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53330206">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1E9AE874">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222B4913">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40AB5D0">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10C361A7">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304F541">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6FF29E30">
            <w:pPr>
              <w:pStyle w:val="9"/>
              <w:keepNext/>
              <w:spacing w:line="240" w:lineRule="auto"/>
              <w:ind w:left="63" w:right="63"/>
              <w:rPr>
                <w:rFonts w:hint="eastAsia" w:ascii="宋体" w:hAnsi="宋体" w:eastAsia="宋体" w:cs="宋体"/>
                <w:color w:val="auto"/>
                <w:sz w:val="24"/>
                <w:szCs w:val="24"/>
                <w:highlight w:val="none"/>
              </w:rPr>
            </w:pPr>
          </w:p>
        </w:tc>
      </w:tr>
      <w:tr w14:paraId="31CFC4D4">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4FF0A742">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0B275076">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1A534703">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73D3CA02">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01A2E3D4">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A94CF31">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73F84158">
            <w:pPr>
              <w:pStyle w:val="9"/>
              <w:keepNext/>
              <w:spacing w:line="240" w:lineRule="auto"/>
              <w:ind w:left="63" w:right="63"/>
              <w:rPr>
                <w:rFonts w:hint="eastAsia" w:ascii="宋体" w:hAnsi="宋体" w:eastAsia="宋体" w:cs="宋体"/>
                <w:color w:val="auto"/>
                <w:sz w:val="24"/>
                <w:szCs w:val="24"/>
                <w:highlight w:val="none"/>
              </w:rPr>
            </w:pPr>
          </w:p>
        </w:tc>
      </w:tr>
      <w:tr w14:paraId="45A58A50">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3F0C1C00">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5685C0CF">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3317E967">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7B364867">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2555EB21">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552F656">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18F77675">
            <w:pPr>
              <w:pStyle w:val="9"/>
              <w:keepNext/>
              <w:spacing w:line="240" w:lineRule="auto"/>
              <w:ind w:left="63" w:right="63"/>
              <w:rPr>
                <w:rFonts w:hint="eastAsia" w:ascii="宋体" w:hAnsi="宋体" w:eastAsia="宋体" w:cs="宋体"/>
                <w:color w:val="auto"/>
                <w:sz w:val="24"/>
                <w:szCs w:val="24"/>
                <w:highlight w:val="none"/>
              </w:rPr>
            </w:pPr>
          </w:p>
        </w:tc>
      </w:tr>
      <w:tr w14:paraId="39B7921D">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6A845761">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67178CEC">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1BD5E1C">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7F45D805">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1ABD004D">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692C0CF4">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41D01DB7">
            <w:pPr>
              <w:pStyle w:val="9"/>
              <w:keepNext/>
              <w:spacing w:line="240" w:lineRule="auto"/>
              <w:ind w:left="63" w:right="63"/>
              <w:rPr>
                <w:rFonts w:hint="eastAsia" w:ascii="宋体" w:hAnsi="宋体" w:eastAsia="宋体" w:cs="宋体"/>
                <w:color w:val="auto"/>
                <w:sz w:val="24"/>
                <w:szCs w:val="24"/>
                <w:highlight w:val="none"/>
              </w:rPr>
            </w:pPr>
          </w:p>
        </w:tc>
      </w:tr>
      <w:tr w14:paraId="1F0509F4">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4A45C570">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1D4662E2">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3AC4EB03">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71CAF86B">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739D7552">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60093C6">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746D3609">
            <w:pPr>
              <w:pStyle w:val="9"/>
              <w:keepNext/>
              <w:spacing w:line="240" w:lineRule="auto"/>
              <w:ind w:left="63" w:right="63"/>
              <w:rPr>
                <w:rFonts w:hint="eastAsia" w:ascii="宋体" w:hAnsi="宋体" w:eastAsia="宋体" w:cs="宋体"/>
                <w:color w:val="auto"/>
                <w:sz w:val="24"/>
                <w:szCs w:val="24"/>
                <w:highlight w:val="none"/>
              </w:rPr>
            </w:pPr>
          </w:p>
        </w:tc>
      </w:tr>
      <w:tr w14:paraId="4BC033FD">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16D4DFA0">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0D1F2832">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10B2CAF6">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64DEFAF2">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1DE20743">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658E1D9">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BF903C5">
            <w:pPr>
              <w:pStyle w:val="9"/>
              <w:keepNext/>
              <w:spacing w:line="240" w:lineRule="auto"/>
              <w:ind w:left="63" w:right="63"/>
              <w:rPr>
                <w:rFonts w:hint="eastAsia" w:ascii="宋体" w:hAnsi="宋体" w:eastAsia="宋体" w:cs="宋体"/>
                <w:color w:val="auto"/>
                <w:sz w:val="24"/>
                <w:szCs w:val="24"/>
                <w:highlight w:val="none"/>
              </w:rPr>
            </w:pPr>
          </w:p>
        </w:tc>
      </w:tr>
      <w:tr w14:paraId="45958CD0">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361F4830">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58B4C1C9">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209A2029">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177BACA7">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73E7611D">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4316BFB7">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2B3D04A">
            <w:pPr>
              <w:pStyle w:val="9"/>
              <w:keepNext/>
              <w:spacing w:line="240" w:lineRule="auto"/>
              <w:ind w:left="63" w:right="63"/>
              <w:rPr>
                <w:rFonts w:hint="eastAsia" w:ascii="宋体" w:hAnsi="宋体" w:eastAsia="宋体" w:cs="宋体"/>
                <w:color w:val="auto"/>
                <w:sz w:val="24"/>
                <w:szCs w:val="24"/>
                <w:highlight w:val="none"/>
              </w:rPr>
            </w:pPr>
          </w:p>
        </w:tc>
      </w:tr>
      <w:tr w14:paraId="49E8AB72">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4C95DE96">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43E59DEF">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1DDE5E44">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2CB6D640">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2CCEACC0">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E434C4D">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49C3FF9">
            <w:pPr>
              <w:pStyle w:val="9"/>
              <w:keepNext/>
              <w:spacing w:line="240" w:lineRule="auto"/>
              <w:ind w:left="63" w:right="63"/>
              <w:rPr>
                <w:rFonts w:hint="eastAsia" w:ascii="宋体" w:hAnsi="宋体" w:eastAsia="宋体" w:cs="宋体"/>
                <w:color w:val="auto"/>
                <w:sz w:val="24"/>
                <w:szCs w:val="24"/>
                <w:highlight w:val="none"/>
              </w:rPr>
            </w:pPr>
          </w:p>
        </w:tc>
      </w:tr>
      <w:tr w14:paraId="19137D01">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028F90BE">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2F365F77">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2703F9A">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A9B48E9">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5C333D79">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042A3154">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BB27C22">
            <w:pPr>
              <w:pStyle w:val="9"/>
              <w:keepNext/>
              <w:spacing w:line="240" w:lineRule="auto"/>
              <w:ind w:left="63" w:right="63"/>
              <w:rPr>
                <w:rFonts w:hint="eastAsia" w:ascii="宋体" w:hAnsi="宋体" w:eastAsia="宋体" w:cs="宋体"/>
                <w:color w:val="auto"/>
                <w:sz w:val="24"/>
                <w:szCs w:val="24"/>
                <w:highlight w:val="none"/>
              </w:rPr>
            </w:pPr>
          </w:p>
        </w:tc>
      </w:tr>
      <w:tr w14:paraId="3B290D17">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68D128ED">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1378254C">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21091544">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F1E5472">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5766BBFF">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6F05469">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6AB90F18">
            <w:pPr>
              <w:pStyle w:val="9"/>
              <w:keepNext/>
              <w:spacing w:line="240" w:lineRule="auto"/>
              <w:ind w:left="63" w:right="63"/>
              <w:rPr>
                <w:rFonts w:hint="eastAsia" w:ascii="宋体" w:hAnsi="宋体" w:eastAsia="宋体" w:cs="宋体"/>
                <w:color w:val="auto"/>
                <w:sz w:val="24"/>
                <w:szCs w:val="24"/>
                <w:highlight w:val="none"/>
              </w:rPr>
            </w:pPr>
          </w:p>
        </w:tc>
      </w:tr>
      <w:tr w14:paraId="10193BF3">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03AED953">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0A683347">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299114D3">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0143270">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5ED4A278">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62DAF286">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03761F07">
            <w:pPr>
              <w:pStyle w:val="9"/>
              <w:keepNext/>
              <w:spacing w:line="240" w:lineRule="auto"/>
              <w:ind w:left="63" w:right="63"/>
              <w:rPr>
                <w:rFonts w:hint="eastAsia" w:ascii="宋体" w:hAnsi="宋体" w:eastAsia="宋体" w:cs="宋体"/>
                <w:color w:val="auto"/>
                <w:sz w:val="24"/>
                <w:szCs w:val="24"/>
                <w:highlight w:val="none"/>
              </w:rPr>
            </w:pPr>
          </w:p>
        </w:tc>
      </w:tr>
      <w:tr w14:paraId="6AFB2D2A">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4AC903D3">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4DCD5EE2">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7AE8996F">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EB4ABBB">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5A5B1E16">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6A1D8BE5">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45DDB69C">
            <w:pPr>
              <w:pStyle w:val="9"/>
              <w:keepNext/>
              <w:spacing w:line="240" w:lineRule="auto"/>
              <w:ind w:left="63" w:right="63"/>
              <w:rPr>
                <w:rFonts w:hint="eastAsia" w:ascii="宋体" w:hAnsi="宋体" w:eastAsia="宋体" w:cs="宋体"/>
                <w:color w:val="auto"/>
                <w:sz w:val="24"/>
                <w:szCs w:val="24"/>
                <w:highlight w:val="none"/>
              </w:rPr>
            </w:pPr>
          </w:p>
        </w:tc>
      </w:tr>
      <w:tr w14:paraId="4FCCA9F4">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20D02CF9">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10221E15">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66BBFF22">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01F63311">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3DA266EE">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6274FC2E">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14EE49F1">
            <w:pPr>
              <w:pStyle w:val="9"/>
              <w:keepNext/>
              <w:spacing w:line="240" w:lineRule="auto"/>
              <w:ind w:left="63" w:right="63"/>
              <w:rPr>
                <w:rFonts w:hint="eastAsia" w:ascii="宋体" w:hAnsi="宋体" w:eastAsia="宋体" w:cs="宋体"/>
                <w:color w:val="auto"/>
                <w:sz w:val="24"/>
                <w:szCs w:val="24"/>
                <w:highlight w:val="none"/>
              </w:rPr>
            </w:pPr>
          </w:p>
        </w:tc>
      </w:tr>
      <w:tr w14:paraId="21B75AA2">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4A79A53B">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1F44038E">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E4FA4F3">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5D76165">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29D145A4">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694125B4">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3EABD5EB">
            <w:pPr>
              <w:pStyle w:val="9"/>
              <w:keepNext/>
              <w:spacing w:line="240" w:lineRule="auto"/>
              <w:ind w:left="63" w:right="63"/>
              <w:rPr>
                <w:rFonts w:hint="eastAsia" w:ascii="宋体" w:hAnsi="宋体" w:eastAsia="宋体" w:cs="宋体"/>
                <w:color w:val="auto"/>
                <w:sz w:val="24"/>
                <w:szCs w:val="24"/>
                <w:highlight w:val="none"/>
              </w:rPr>
            </w:pPr>
          </w:p>
        </w:tc>
      </w:tr>
      <w:tr w14:paraId="0369FD8E">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61A3BC42">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0B37F873">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754F86A3">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356E2CED">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07CCD5B7">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5E7C5E67">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3F47F687">
            <w:pPr>
              <w:pStyle w:val="9"/>
              <w:keepNext/>
              <w:spacing w:line="240" w:lineRule="auto"/>
              <w:ind w:left="63" w:right="63"/>
              <w:rPr>
                <w:rFonts w:hint="eastAsia" w:ascii="宋体" w:hAnsi="宋体" w:eastAsia="宋体" w:cs="宋体"/>
                <w:color w:val="auto"/>
                <w:sz w:val="24"/>
                <w:szCs w:val="24"/>
                <w:highlight w:val="none"/>
              </w:rPr>
            </w:pPr>
          </w:p>
        </w:tc>
      </w:tr>
      <w:tr w14:paraId="1F3CE3A3">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7ED7B16F">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4BA64324">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4E19C2D9">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4C6D5CBE">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162B524D">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74A27503">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3DECBD47">
            <w:pPr>
              <w:pStyle w:val="9"/>
              <w:keepNext/>
              <w:spacing w:line="240" w:lineRule="auto"/>
              <w:ind w:left="63" w:right="63"/>
              <w:rPr>
                <w:rFonts w:hint="eastAsia" w:ascii="宋体" w:hAnsi="宋体" w:eastAsia="宋体" w:cs="宋体"/>
                <w:color w:val="auto"/>
                <w:sz w:val="24"/>
                <w:szCs w:val="24"/>
                <w:highlight w:val="none"/>
              </w:rPr>
            </w:pPr>
          </w:p>
        </w:tc>
      </w:tr>
      <w:tr w14:paraId="168FA686">
        <w:tblPrEx>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noWrap w:val="0"/>
            <w:vAlign w:val="top"/>
          </w:tcPr>
          <w:p w14:paraId="44CB2EBD">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0275DEB2">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6" w:space="0"/>
              <w:right w:val="single" w:color="auto" w:sz="6" w:space="0"/>
            </w:tcBorders>
            <w:noWrap w:val="0"/>
            <w:vAlign w:val="top"/>
          </w:tcPr>
          <w:p w14:paraId="2D112879">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6" w:space="0"/>
              <w:right w:val="single" w:color="auto" w:sz="6" w:space="0"/>
            </w:tcBorders>
            <w:noWrap w:val="0"/>
            <w:vAlign w:val="top"/>
          </w:tcPr>
          <w:p w14:paraId="5AAF7B84">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6" w:space="0"/>
              <w:right w:val="single" w:color="auto" w:sz="6" w:space="0"/>
            </w:tcBorders>
            <w:noWrap w:val="0"/>
            <w:vAlign w:val="top"/>
          </w:tcPr>
          <w:p w14:paraId="67BF4ED2">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top"/>
          </w:tcPr>
          <w:p w14:paraId="3D1F97E7">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6" w:space="0"/>
              <w:right w:val="single" w:color="auto" w:sz="12" w:space="0"/>
            </w:tcBorders>
            <w:noWrap w:val="0"/>
            <w:vAlign w:val="top"/>
          </w:tcPr>
          <w:p w14:paraId="5A2485CE">
            <w:pPr>
              <w:pStyle w:val="9"/>
              <w:keepNext/>
              <w:spacing w:line="240" w:lineRule="auto"/>
              <w:ind w:left="63" w:right="63"/>
              <w:rPr>
                <w:rFonts w:hint="eastAsia" w:ascii="宋体" w:hAnsi="宋体" w:eastAsia="宋体" w:cs="宋体"/>
                <w:color w:val="auto"/>
                <w:sz w:val="24"/>
                <w:szCs w:val="24"/>
                <w:highlight w:val="none"/>
              </w:rPr>
            </w:pPr>
          </w:p>
        </w:tc>
      </w:tr>
      <w:tr w14:paraId="5C785CB2">
        <w:tblPrEx>
          <w:tblCellMar>
            <w:top w:w="0" w:type="dxa"/>
            <w:left w:w="28" w:type="dxa"/>
            <w:bottom w:w="0" w:type="dxa"/>
            <w:right w:w="28" w:type="dxa"/>
          </w:tblCellMar>
        </w:tblPrEx>
        <w:tc>
          <w:tcPr>
            <w:tcW w:w="993" w:type="dxa"/>
            <w:tcBorders>
              <w:top w:val="single" w:color="auto" w:sz="6" w:space="0"/>
              <w:left w:val="single" w:color="auto" w:sz="12" w:space="0"/>
              <w:bottom w:val="single" w:color="auto" w:sz="12" w:space="0"/>
              <w:right w:val="single" w:color="auto" w:sz="6" w:space="0"/>
            </w:tcBorders>
            <w:noWrap w:val="0"/>
            <w:vAlign w:val="top"/>
          </w:tcPr>
          <w:p w14:paraId="6527BC54">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12" w:space="0"/>
              <w:right w:val="single" w:color="auto" w:sz="6" w:space="0"/>
            </w:tcBorders>
            <w:noWrap w:val="0"/>
            <w:vAlign w:val="top"/>
          </w:tcPr>
          <w:p w14:paraId="0875F0E4">
            <w:pPr>
              <w:pStyle w:val="9"/>
              <w:keepNext/>
              <w:spacing w:line="240" w:lineRule="auto"/>
              <w:ind w:left="63" w:right="63"/>
              <w:rPr>
                <w:rFonts w:hint="eastAsia" w:ascii="宋体" w:hAnsi="宋体" w:eastAsia="宋体" w:cs="宋体"/>
                <w:color w:val="auto"/>
                <w:sz w:val="24"/>
                <w:szCs w:val="24"/>
                <w:highlight w:val="none"/>
              </w:rPr>
            </w:pPr>
          </w:p>
        </w:tc>
        <w:tc>
          <w:tcPr>
            <w:tcW w:w="851" w:type="dxa"/>
            <w:tcBorders>
              <w:top w:val="single" w:color="auto" w:sz="6" w:space="0"/>
              <w:left w:val="single" w:color="auto" w:sz="6" w:space="0"/>
              <w:bottom w:val="single" w:color="auto" w:sz="12" w:space="0"/>
              <w:right w:val="single" w:color="auto" w:sz="6" w:space="0"/>
            </w:tcBorders>
            <w:noWrap w:val="0"/>
            <w:vAlign w:val="top"/>
          </w:tcPr>
          <w:p w14:paraId="352F8E14">
            <w:pPr>
              <w:pStyle w:val="9"/>
              <w:keepNext/>
              <w:spacing w:line="240" w:lineRule="auto"/>
              <w:ind w:left="63" w:right="63"/>
              <w:rPr>
                <w:rFonts w:hint="eastAsia" w:ascii="宋体" w:hAnsi="宋体" w:eastAsia="宋体" w:cs="宋体"/>
                <w:color w:val="auto"/>
                <w:sz w:val="24"/>
                <w:szCs w:val="24"/>
                <w:highlight w:val="none"/>
              </w:rPr>
            </w:pPr>
          </w:p>
        </w:tc>
        <w:tc>
          <w:tcPr>
            <w:tcW w:w="774" w:type="dxa"/>
            <w:tcBorders>
              <w:top w:val="single" w:color="auto" w:sz="6" w:space="0"/>
              <w:left w:val="single" w:color="auto" w:sz="6" w:space="0"/>
              <w:bottom w:val="single" w:color="auto" w:sz="12" w:space="0"/>
              <w:right w:val="single" w:color="auto" w:sz="6" w:space="0"/>
            </w:tcBorders>
            <w:noWrap w:val="0"/>
            <w:vAlign w:val="top"/>
          </w:tcPr>
          <w:p w14:paraId="1DC84F83">
            <w:pPr>
              <w:pStyle w:val="9"/>
              <w:keepNext/>
              <w:spacing w:line="240" w:lineRule="auto"/>
              <w:ind w:left="63" w:right="63"/>
              <w:rPr>
                <w:rFonts w:hint="eastAsia" w:ascii="宋体" w:hAnsi="宋体" w:eastAsia="宋体" w:cs="宋体"/>
                <w:color w:val="auto"/>
                <w:sz w:val="24"/>
                <w:szCs w:val="24"/>
                <w:highlight w:val="none"/>
              </w:rPr>
            </w:pPr>
          </w:p>
        </w:tc>
        <w:tc>
          <w:tcPr>
            <w:tcW w:w="1352" w:type="dxa"/>
            <w:tcBorders>
              <w:top w:val="single" w:color="auto" w:sz="6" w:space="0"/>
              <w:left w:val="single" w:color="auto" w:sz="6" w:space="0"/>
              <w:bottom w:val="single" w:color="auto" w:sz="12" w:space="0"/>
              <w:right w:val="single" w:color="auto" w:sz="6" w:space="0"/>
            </w:tcBorders>
            <w:noWrap w:val="0"/>
            <w:vAlign w:val="top"/>
          </w:tcPr>
          <w:p w14:paraId="0FC2DA75">
            <w:pPr>
              <w:pStyle w:val="9"/>
              <w:keepNext/>
              <w:spacing w:line="240" w:lineRule="auto"/>
              <w:ind w:left="63" w:right="63"/>
              <w:rPr>
                <w:rFonts w:hint="eastAsia" w:ascii="宋体" w:hAnsi="宋体" w:eastAsia="宋体" w:cs="宋体"/>
                <w:color w:val="auto"/>
                <w:sz w:val="24"/>
                <w:szCs w:val="24"/>
                <w:highlight w:val="none"/>
              </w:rPr>
            </w:pPr>
          </w:p>
        </w:tc>
        <w:tc>
          <w:tcPr>
            <w:tcW w:w="1418" w:type="dxa"/>
            <w:tcBorders>
              <w:top w:val="single" w:color="auto" w:sz="6" w:space="0"/>
              <w:left w:val="single" w:color="auto" w:sz="6" w:space="0"/>
              <w:bottom w:val="single" w:color="auto" w:sz="12" w:space="0"/>
              <w:right w:val="single" w:color="auto" w:sz="6" w:space="0"/>
            </w:tcBorders>
            <w:noWrap w:val="0"/>
            <w:vAlign w:val="top"/>
          </w:tcPr>
          <w:p w14:paraId="6FF68A7A">
            <w:pPr>
              <w:pStyle w:val="9"/>
              <w:keepNext/>
              <w:spacing w:line="240" w:lineRule="auto"/>
              <w:ind w:left="63" w:right="63"/>
              <w:rPr>
                <w:rFonts w:hint="eastAsia" w:ascii="宋体" w:hAnsi="宋体" w:eastAsia="宋体" w:cs="宋体"/>
                <w:color w:val="auto"/>
                <w:sz w:val="24"/>
                <w:szCs w:val="24"/>
                <w:highlight w:val="none"/>
              </w:rPr>
            </w:pPr>
          </w:p>
        </w:tc>
        <w:tc>
          <w:tcPr>
            <w:tcW w:w="1701" w:type="dxa"/>
            <w:tcBorders>
              <w:top w:val="single" w:color="auto" w:sz="6" w:space="0"/>
              <w:left w:val="single" w:color="auto" w:sz="6" w:space="0"/>
              <w:bottom w:val="single" w:color="auto" w:sz="12" w:space="0"/>
              <w:right w:val="single" w:color="auto" w:sz="12" w:space="0"/>
            </w:tcBorders>
            <w:noWrap w:val="0"/>
            <w:vAlign w:val="top"/>
          </w:tcPr>
          <w:p w14:paraId="12797AC3">
            <w:pPr>
              <w:pStyle w:val="9"/>
              <w:keepNext/>
              <w:spacing w:line="240" w:lineRule="auto"/>
              <w:ind w:left="63" w:right="63"/>
              <w:rPr>
                <w:rFonts w:hint="eastAsia" w:ascii="宋体" w:hAnsi="宋体" w:eastAsia="宋体" w:cs="宋体"/>
                <w:color w:val="auto"/>
                <w:sz w:val="24"/>
                <w:szCs w:val="24"/>
                <w:highlight w:val="none"/>
              </w:rPr>
            </w:pPr>
          </w:p>
        </w:tc>
      </w:tr>
    </w:tbl>
    <w:p w14:paraId="76F12A96">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AD87C05">
      <w:pPr>
        <w:spacing w:before="156" w:beforeLines="50" w:after="156" w:afterLines="50" w:line="240" w:lineRule="auto"/>
        <w:jc w:val="center"/>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4631" w:name="_Toc537"/>
      <w:bookmarkStart w:id="4632" w:name="_Toc14046"/>
      <w:bookmarkStart w:id="4633" w:name="_Toc20378"/>
      <w:bookmarkStart w:id="4634" w:name="_Toc19464"/>
      <w:bookmarkStart w:id="4635" w:name="_Toc29957"/>
      <w:bookmarkStart w:id="4636" w:name="_Toc26805"/>
      <w:bookmarkStart w:id="4637" w:name="_Toc17429"/>
      <w:bookmarkStart w:id="4638" w:name="_Toc18335"/>
      <w:bookmarkStart w:id="4639" w:name="_Toc12181"/>
      <w:bookmarkStart w:id="4640" w:name="_Toc18330"/>
      <w:bookmarkStart w:id="4641" w:name="_Toc13819"/>
      <w:bookmarkStart w:id="4642" w:name="_Toc19002"/>
      <w:bookmarkStart w:id="4643" w:name="_Toc29378"/>
      <w:bookmarkStart w:id="4644" w:name="_Toc20112"/>
      <w:bookmarkStart w:id="4645" w:name="_Toc15967"/>
      <w:r>
        <w:rPr>
          <w:rFonts w:hint="eastAsia" w:ascii="宋体" w:hAnsi="宋体" w:eastAsia="宋体" w:cs="宋体"/>
          <w:color w:val="auto"/>
          <w:sz w:val="24"/>
          <w:szCs w:val="24"/>
          <w:highlight w:val="none"/>
        </w:rPr>
        <w:t>11-3：专业工程暂估价表</w:t>
      </w:r>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p>
    <w:tbl>
      <w:tblPr>
        <w:tblStyle w:val="28"/>
        <w:tblW w:w="8817" w:type="dxa"/>
        <w:tblInd w:w="80" w:type="dxa"/>
        <w:tblLayout w:type="fixed"/>
        <w:tblCellMar>
          <w:top w:w="0" w:type="dxa"/>
          <w:left w:w="28" w:type="dxa"/>
          <w:bottom w:w="0" w:type="dxa"/>
          <w:right w:w="28" w:type="dxa"/>
        </w:tblCellMar>
      </w:tblPr>
      <w:tblGrid>
        <w:gridCol w:w="879"/>
        <w:gridCol w:w="1984"/>
        <w:gridCol w:w="4678"/>
        <w:gridCol w:w="1276"/>
      </w:tblGrid>
      <w:tr w14:paraId="6751B345">
        <w:tblPrEx>
          <w:tblCellMar>
            <w:top w:w="0" w:type="dxa"/>
            <w:left w:w="28" w:type="dxa"/>
            <w:bottom w:w="0" w:type="dxa"/>
            <w:right w:w="28" w:type="dxa"/>
          </w:tblCellMar>
        </w:tblPrEx>
        <w:tc>
          <w:tcPr>
            <w:tcW w:w="879" w:type="dxa"/>
            <w:tcBorders>
              <w:top w:val="single" w:color="auto" w:sz="12" w:space="0"/>
              <w:left w:val="single" w:color="auto" w:sz="12" w:space="0"/>
              <w:bottom w:val="double" w:color="auto" w:sz="2" w:space="0"/>
              <w:right w:val="single" w:color="auto" w:sz="6" w:space="0"/>
            </w:tcBorders>
            <w:noWrap w:val="0"/>
            <w:vAlign w:val="top"/>
          </w:tcPr>
          <w:p w14:paraId="503D60B1">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84" w:type="dxa"/>
            <w:tcBorders>
              <w:top w:val="single" w:color="auto" w:sz="12" w:space="0"/>
              <w:left w:val="single" w:color="auto" w:sz="6" w:space="0"/>
              <w:bottom w:val="double" w:color="auto" w:sz="2" w:space="0"/>
              <w:right w:val="single" w:color="auto" w:sz="6" w:space="0"/>
            </w:tcBorders>
            <w:noWrap w:val="0"/>
            <w:vAlign w:val="top"/>
          </w:tcPr>
          <w:p w14:paraId="121EE735">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专业工程名称</w:t>
            </w:r>
          </w:p>
        </w:tc>
        <w:tc>
          <w:tcPr>
            <w:tcW w:w="4678" w:type="dxa"/>
            <w:tcBorders>
              <w:top w:val="single" w:color="auto" w:sz="12" w:space="0"/>
              <w:left w:val="single" w:color="auto" w:sz="6" w:space="0"/>
              <w:bottom w:val="double" w:color="auto" w:sz="2" w:space="0"/>
              <w:right w:val="single" w:color="auto" w:sz="6" w:space="0"/>
            </w:tcBorders>
            <w:noWrap w:val="0"/>
            <w:vAlign w:val="top"/>
          </w:tcPr>
          <w:p w14:paraId="1CA9739A">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工程内容</w:t>
            </w:r>
          </w:p>
        </w:tc>
        <w:tc>
          <w:tcPr>
            <w:tcW w:w="1276" w:type="dxa"/>
            <w:tcBorders>
              <w:top w:val="single" w:color="auto" w:sz="12" w:space="0"/>
              <w:left w:val="single" w:color="auto" w:sz="6" w:space="0"/>
              <w:bottom w:val="double" w:color="auto" w:sz="2" w:space="0"/>
              <w:right w:val="single" w:color="auto" w:sz="12" w:space="0"/>
            </w:tcBorders>
            <w:noWrap w:val="0"/>
            <w:vAlign w:val="top"/>
          </w:tcPr>
          <w:p w14:paraId="3077BEF9">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金额</w:t>
            </w:r>
          </w:p>
        </w:tc>
      </w:tr>
      <w:tr w14:paraId="0BDDAB99">
        <w:tblPrEx>
          <w:tblCellMar>
            <w:top w:w="0" w:type="dxa"/>
            <w:left w:w="28" w:type="dxa"/>
            <w:bottom w:w="0" w:type="dxa"/>
            <w:right w:w="28" w:type="dxa"/>
          </w:tblCellMar>
        </w:tblPrEx>
        <w:tc>
          <w:tcPr>
            <w:tcW w:w="879" w:type="dxa"/>
            <w:tcBorders>
              <w:top w:val="double" w:color="auto" w:sz="2" w:space="0"/>
              <w:left w:val="single" w:color="auto" w:sz="12" w:space="0"/>
              <w:bottom w:val="single" w:color="auto" w:sz="6" w:space="0"/>
              <w:right w:val="single" w:color="auto" w:sz="6" w:space="0"/>
            </w:tcBorders>
            <w:noWrap w:val="0"/>
            <w:vAlign w:val="top"/>
          </w:tcPr>
          <w:p w14:paraId="43F452B8">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double" w:color="auto" w:sz="2" w:space="0"/>
              <w:left w:val="single" w:color="auto" w:sz="6" w:space="0"/>
              <w:bottom w:val="single" w:color="auto" w:sz="6" w:space="0"/>
              <w:right w:val="single" w:color="auto" w:sz="6" w:space="0"/>
            </w:tcBorders>
            <w:noWrap w:val="0"/>
            <w:vAlign w:val="top"/>
          </w:tcPr>
          <w:p w14:paraId="0B563B60">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double" w:color="auto" w:sz="2" w:space="0"/>
              <w:left w:val="single" w:color="auto" w:sz="6" w:space="0"/>
              <w:bottom w:val="single" w:color="auto" w:sz="6" w:space="0"/>
              <w:right w:val="single" w:color="auto" w:sz="6" w:space="0"/>
            </w:tcBorders>
            <w:noWrap w:val="0"/>
            <w:vAlign w:val="top"/>
          </w:tcPr>
          <w:p w14:paraId="41A627CF">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double" w:color="auto" w:sz="2" w:space="0"/>
              <w:left w:val="single" w:color="auto" w:sz="6" w:space="0"/>
              <w:bottom w:val="single" w:color="auto" w:sz="6" w:space="0"/>
              <w:right w:val="single" w:color="auto" w:sz="12" w:space="0"/>
            </w:tcBorders>
            <w:noWrap w:val="0"/>
            <w:vAlign w:val="top"/>
          </w:tcPr>
          <w:p w14:paraId="56BFA298">
            <w:pPr>
              <w:pStyle w:val="9"/>
              <w:keepNext/>
              <w:spacing w:line="240" w:lineRule="auto"/>
              <w:ind w:left="63" w:right="63"/>
              <w:rPr>
                <w:rFonts w:hint="eastAsia" w:ascii="宋体" w:hAnsi="宋体" w:eastAsia="宋体" w:cs="宋体"/>
                <w:color w:val="auto"/>
                <w:sz w:val="24"/>
                <w:szCs w:val="24"/>
                <w:highlight w:val="none"/>
              </w:rPr>
            </w:pPr>
          </w:p>
        </w:tc>
      </w:tr>
      <w:tr w14:paraId="09D668C5">
        <w:tblPrEx>
          <w:tblCellMar>
            <w:top w:w="0" w:type="dxa"/>
            <w:left w:w="28" w:type="dxa"/>
            <w:bottom w:w="0" w:type="dxa"/>
            <w:right w:w="28" w:type="dxa"/>
          </w:tblCellMar>
        </w:tblPrEx>
        <w:tc>
          <w:tcPr>
            <w:tcW w:w="879" w:type="dxa"/>
            <w:tcBorders>
              <w:top w:val="nil"/>
              <w:left w:val="single" w:color="auto" w:sz="12" w:space="0"/>
              <w:bottom w:val="single" w:color="auto" w:sz="6" w:space="0"/>
              <w:right w:val="single" w:color="auto" w:sz="6" w:space="0"/>
            </w:tcBorders>
            <w:noWrap w:val="0"/>
            <w:vAlign w:val="top"/>
          </w:tcPr>
          <w:p w14:paraId="571444D2">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nil"/>
              <w:left w:val="single" w:color="auto" w:sz="6" w:space="0"/>
              <w:bottom w:val="single" w:color="auto" w:sz="6" w:space="0"/>
              <w:right w:val="single" w:color="auto" w:sz="6" w:space="0"/>
            </w:tcBorders>
            <w:noWrap w:val="0"/>
            <w:vAlign w:val="top"/>
          </w:tcPr>
          <w:p w14:paraId="2A80670A">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nil"/>
              <w:left w:val="single" w:color="auto" w:sz="6" w:space="0"/>
              <w:bottom w:val="single" w:color="auto" w:sz="6" w:space="0"/>
              <w:right w:val="single" w:color="auto" w:sz="6" w:space="0"/>
            </w:tcBorders>
            <w:noWrap w:val="0"/>
            <w:vAlign w:val="top"/>
          </w:tcPr>
          <w:p w14:paraId="2912870B">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nil"/>
              <w:left w:val="single" w:color="auto" w:sz="6" w:space="0"/>
              <w:bottom w:val="single" w:color="auto" w:sz="6" w:space="0"/>
              <w:right w:val="single" w:color="auto" w:sz="12" w:space="0"/>
            </w:tcBorders>
            <w:noWrap w:val="0"/>
            <w:vAlign w:val="top"/>
          </w:tcPr>
          <w:p w14:paraId="4344B866">
            <w:pPr>
              <w:pStyle w:val="9"/>
              <w:keepNext/>
              <w:spacing w:line="240" w:lineRule="auto"/>
              <w:ind w:left="63" w:right="63"/>
              <w:rPr>
                <w:rFonts w:hint="eastAsia" w:ascii="宋体" w:hAnsi="宋体" w:eastAsia="宋体" w:cs="宋体"/>
                <w:color w:val="auto"/>
                <w:sz w:val="24"/>
                <w:szCs w:val="24"/>
                <w:highlight w:val="none"/>
              </w:rPr>
            </w:pPr>
          </w:p>
        </w:tc>
      </w:tr>
      <w:tr w14:paraId="243FEFAB">
        <w:tblPrEx>
          <w:tblCellMar>
            <w:top w:w="0" w:type="dxa"/>
            <w:left w:w="28" w:type="dxa"/>
            <w:bottom w:w="0" w:type="dxa"/>
            <w:right w:w="28" w:type="dxa"/>
          </w:tblCellMar>
        </w:tblPrEx>
        <w:tc>
          <w:tcPr>
            <w:tcW w:w="879" w:type="dxa"/>
            <w:tcBorders>
              <w:top w:val="nil"/>
              <w:left w:val="single" w:color="auto" w:sz="12" w:space="0"/>
              <w:bottom w:val="single" w:color="auto" w:sz="6" w:space="0"/>
              <w:right w:val="single" w:color="auto" w:sz="6" w:space="0"/>
            </w:tcBorders>
            <w:noWrap w:val="0"/>
            <w:vAlign w:val="top"/>
          </w:tcPr>
          <w:p w14:paraId="44FB9934">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nil"/>
              <w:left w:val="single" w:color="auto" w:sz="6" w:space="0"/>
              <w:bottom w:val="single" w:color="auto" w:sz="6" w:space="0"/>
              <w:right w:val="single" w:color="auto" w:sz="6" w:space="0"/>
            </w:tcBorders>
            <w:noWrap w:val="0"/>
            <w:vAlign w:val="top"/>
          </w:tcPr>
          <w:p w14:paraId="21042875">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nil"/>
              <w:left w:val="single" w:color="auto" w:sz="6" w:space="0"/>
              <w:bottom w:val="single" w:color="auto" w:sz="6" w:space="0"/>
              <w:right w:val="single" w:color="auto" w:sz="6" w:space="0"/>
            </w:tcBorders>
            <w:noWrap w:val="0"/>
            <w:vAlign w:val="top"/>
          </w:tcPr>
          <w:p w14:paraId="78A8773A">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nil"/>
              <w:left w:val="single" w:color="auto" w:sz="6" w:space="0"/>
              <w:bottom w:val="single" w:color="auto" w:sz="6" w:space="0"/>
              <w:right w:val="single" w:color="auto" w:sz="12" w:space="0"/>
            </w:tcBorders>
            <w:noWrap w:val="0"/>
            <w:vAlign w:val="top"/>
          </w:tcPr>
          <w:p w14:paraId="74A3FF7F">
            <w:pPr>
              <w:pStyle w:val="9"/>
              <w:keepNext/>
              <w:spacing w:line="240" w:lineRule="auto"/>
              <w:ind w:left="63" w:right="63"/>
              <w:rPr>
                <w:rFonts w:hint="eastAsia" w:ascii="宋体" w:hAnsi="宋体" w:eastAsia="宋体" w:cs="宋体"/>
                <w:color w:val="auto"/>
                <w:sz w:val="24"/>
                <w:szCs w:val="24"/>
                <w:highlight w:val="none"/>
              </w:rPr>
            </w:pPr>
          </w:p>
        </w:tc>
      </w:tr>
      <w:tr w14:paraId="04225914">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3A6B4A25">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56163E98">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4E630E2C">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5FED2001">
            <w:pPr>
              <w:pStyle w:val="9"/>
              <w:keepNext/>
              <w:spacing w:line="240" w:lineRule="auto"/>
              <w:ind w:left="63" w:right="63"/>
              <w:rPr>
                <w:rFonts w:hint="eastAsia" w:ascii="宋体" w:hAnsi="宋体" w:eastAsia="宋体" w:cs="宋体"/>
                <w:color w:val="auto"/>
                <w:sz w:val="24"/>
                <w:szCs w:val="24"/>
                <w:highlight w:val="none"/>
              </w:rPr>
            </w:pPr>
          </w:p>
        </w:tc>
      </w:tr>
      <w:tr w14:paraId="4470336F">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0415030E">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3BF91C49">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5CAE08BA">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58F89106">
            <w:pPr>
              <w:pStyle w:val="9"/>
              <w:keepNext/>
              <w:spacing w:line="240" w:lineRule="auto"/>
              <w:ind w:left="63" w:right="63"/>
              <w:rPr>
                <w:rFonts w:hint="eastAsia" w:ascii="宋体" w:hAnsi="宋体" w:eastAsia="宋体" w:cs="宋体"/>
                <w:color w:val="auto"/>
                <w:sz w:val="24"/>
                <w:szCs w:val="24"/>
                <w:highlight w:val="none"/>
              </w:rPr>
            </w:pPr>
          </w:p>
        </w:tc>
      </w:tr>
      <w:tr w14:paraId="22F72C82">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189193A2">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2688ED2C">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11A216FE">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298971B3">
            <w:pPr>
              <w:pStyle w:val="9"/>
              <w:keepNext/>
              <w:spacing w:line="240" w:lineRule="auto"/>
              <w:ind w:left="63" w:right="63"/>
              <w:rPr>
                <w:rFonts w:hint="eastAsia" w:ascii="宋体" w:hAnsi="宋体" w:eastAsia="宋体" w:cs="宋体"/>
                <w:color w:val="auto"/>
                <w:sz w:val="24"/>
                <w:szCs w:val="24"/>
                <w:highlight w:val="none"/>
              </w:rPr>
            </w:pPr>
          </w:p>
        </w:tc>
      </w:tr>
      <w:tr w14:paraId="09B4EF18">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56C148D8">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23B6CD28">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1CEF91B1">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7A12EC7F">
            <w:pPr>
              <w:pStyle w:val="9"/>
              <w:keepNext/>
              <w:spacing w:line="240" w:lineRule="auto"/>
              <w:ind w:left="63" w:right="63"/>
              <w:rPr>
                <w:rFonts w:hint="eastAsia" w:ascii="宋体" w:hAnsi="宋体" w:eastAsia="宋体" w:cs="宋体"/>
                <w:color w:val="auto"/>
                <w:sz w:val="24"/>
                <w:szCs w:val="24"/>
                <w:highlight w:val="none"/>
              </w:rPr>
            </w:pPr>
          </w:p>
        </w:tc>
      </w:tr>
      <w:tr w14:paraId="19F06F59">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419D2D3A">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45857FB1">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6A00F9C9">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61296A3D">
            <w:pPr>
              <w:pStyle w:val="9"/>
              <w:keepNext/>
              <w:spacing w:line="240" w:lineRule="auto"/>
              <w:ind w:left="63" w:right="63"/>
              <w:rPr>
                <w:rFonts w:hint="eastAsia" w:ascii="宋体" w:hAnsi="宋体" w:eastAsia="宋体" w:cs="宋体"/>
                <w:color w:val="auto"/>
                <w:sz w:val="24"/>
                <w:szCs w:val="24"/>
                <w:highlight w:val="none"/>
              </w:rPr>
            </w:pPr>
          </w:p>
        </w:tc>
      </w:tr>
      <w:tr w14:paraId="1A36A869">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7A9E5625">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6B7596B1">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3E552D33">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1E4CE350">
            <w:pPr>
              <w:pStyle w:val="9"/>
              <w:keepNext/>
              <w:spacing w:line="240" w:lineRule="auto"/>
              <w:ind w:left="63" w:right="63"/>
              <w:rPr>
                <w:rFonts w:hint="eastAsia" w:ascii="宋体" w:hAnsi="宋体" w:eastAsia="宋体" w:cs="宋体"/>
                <w:color w:val="auto"/>
                <w:sz w:val="24"/>
                <w:szCs w:val="24"/>
                <w:highlight w:val="none"/>
              </w:rPr>
            </w:pPr>
          </w:p>
        </w:tc>
      </w:tr>
      <w:tr w14:paraId="2091A779">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29BF6E4F">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4282576C">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25335768">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710DC7FC">
            <w:pPr>
              <w:pStyle w:val="9"/>
              <w:keepNext/>
              <w:spacing w:line="240" w:lineRule="auto"/>
              <w:ind w:left="63" w:right="63"/>
              <w:rPr>
                <w:rFonts w:hint="eastAsia" w:ascii="宋体" w:hAnsi="宋体" w:eastAsia="宋体" w:cs="宋体"/>
                <w:color w:val="auto"/>
                <w:sz w:val="24"/>
                <w:szCs w:val="24"/>
                <w:highlight w:val="none"/>
              </w:rPr>
            </w:pPr>
          </w:p>
        </w:tc>
      </w:tr>
      <w:tr w14:paraId="0571DABC">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37841DE2">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489676D9">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0A1C62C4">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3EE15BF5">
            <w:pPr>
              <w:pStyle w:val="9"/>
              <w:keepNext/>
              <w:spacing w:line="240" w:lineRule="auto"/>
              <w:ind w:left="63" w:right="63"/>
              <w:rPr>
                <w:rFonts w:hint="eastAsia" w:ascii="宋体" w:hAnsi="宋体" w:eastAsia="宋体" w:cs="宋体"/>
                <w:color w:val="auto"/>
                <w:sz w:val="24"/>
                <w:szCs w:val="24"/>
                <w:highlight w:val="none"/>
              </w:rPr>
            </w:pPr>
          </w:p>
        </w:tc>
      </w:tr>
      <w:tr w14:paraId="27CE0C98">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0E66EA31">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11590FAC">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338956D4">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4EFBCDFF">
            <w:pPr>
              <w:pStyle w:val="9"/>
              <w:keepNext/>
              <w:spacing w:line="240" w:lineRule="auto"/>
              <w:ind w:left="63" w:right="63"/>
              <w:rPr>
                <w:rFonts w:hint="eastAsia" w:ascii="宋体" w:hAnsi="宋体" w:eastAsia="宋体" w:cs="宋体"/>
                <w:color w:val="auto"/>
                <w:sz w:val="24"/>
                <w:szCs w:val="24"/>
                <w:highlight w:val="none"/>
              </w:rPr>
            </w:pPr>
          </w:p>
        </w:tc>
      </w:tr>
      <w:tr w14:paraId="675AAE33">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55F57CCC">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791FA2AA">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61C39C56">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25276201">
            <w:pPr>
              <w:pStyle w:val="9"/>
              <w:keepNext/>
              <w:spacing w:line="240" w:lineRule="auto"/>
              <w:ind w:left="63" w:right="63"/>
              <w:rPr>
                <w:rFonts w:hint="eastAsia" w:ascii="宋体" w:hAnsi="宋体" w:eastAsia="宋体" w:cs="宋体"/>
                <w:color w:val="auto"/>
                <w:sz w:val="24"/>
                <w:szCs w:val="24"/>
                <w:highlight w:val="none"/>
              </w:rPr>
            </w:pPr>
          </w:p>
        </w:tc>
      </w:tr>
      <w:tr w14:paraId="6A6116F2">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42913E10">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5E670D62">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2B908573">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0F0BEFA6">
            <w:pPr>
              <w:pStyle w:val="9"/>
              <w:keepNext/>
              <w:spacing w:line="240" w:lineRule="auto"/>
              <w:ind w:left="63" w:right="63"/>
              <w:rPr>
                <w:rFonts w:hint="eastAsia" w:ascii="宋体" w:hAnsi="宋体" w:eastAsia="宋体" w:cs="宋体"/>
                <w:color w:val="auto"/>
                <w:sz w:val="24"/>
                <w:szCs w:val="24"/>
                <w:highlight w:val="none"/>
              </w:rPr>
            </w:pPr>
          </w:p>
        </w:tc>
      </w:tr>
      <w:tr w14:paraId="02D1363D">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22A79A76">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6FF44BFF">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0A176782">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26EDF0A7">
            <w:pPr>
              <w:pStyle w:val="9"/>
              <w:keepNext/>
              <w:spacing w:line="240" w:lineRule="auto"/>
              <w:ind w:left="63" w:right="63"/>
              <w:rPr>
                <w:rFonts w:hint="eastAsia" w:ascii="宋体" w:hAnsi="宋体" w:eastAsia="宋体" w:cs="宋体"/>
                <w:color w:val="auto"/>
                <w:sz w:val="24"/>
                <w:szCs w:val="24"/>
                <w:highlight w:val="none"/>
              </w:rPr>
            </w:pPr>
          </w:p>
        </w:tc>
      </w:tr>
      <w:tr w14:paraId="6B36F946">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6DE4485F">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79E92349">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10F54B82">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26090197">
            <w:pPr>
              <w:pStyle w:val="9"/>
              <w:keepNext/>
              <w:spacing w:line="240" w:lineRule="auto"/>
              <w:ind w:left="63" w:right="63"/>
              <w:rPr>
                <w:rFonts w:hint="eastAsia" w:ascii="宋体" w:hAnsi="宋体" w:eastAsia="宋体" w:cs="宋体"/>
                <w:color w:val="auto"/>
                <w:sz w:val="24"/>
                <w:szCs w:val="24"/>
                <w:highlight w:val="none"/>
              </w:rPr>
            </w:pPr>
          </w:p>
        </w:tc>
      </w:tr>
      <w:tr w14:paraId="1FD9CF19">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150E6302">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356B93CE">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703690DD">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4CF71CC7">
            <w:pPr>
              <w:pStyle w:val="9"/>
              <w:keepNext/>
              <w:spacing w:line="240" w:lineRule="auto"/>
              <w:ind w:left="63" w:right="63"/>
              <w:rPr>
                <w:rFonts w:hint="eastAsia" w:ascii="宋体" w:hAnsi="宋体" w:eastAsia="宋体" w:cs="宋体"/>
                <w:color w:val="auto"/>
                <w:sz w:val="24"/>
                <w:szCs w:val="24"/>
                <w:highlight w:val="none"/>
              </w:rPr>
            </w:pPr>
          </w:p>
        </w:tc>
      </w:tr>
      <w:tr w14:paraId="4EC18D33">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4AA3B49F">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1C9E7ED3">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532C92F9">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5121FDFA">
            <w:pPr>
              <w:pStyle w:val="9"/>
              <w:keepNext/>
              <w:spacing w:line="240" w:lineRule="auto"/>
              <w:ind w:left="63" w:right="63"/>
              <w:rPr>
                <w:rFonts w:hint="eastAsia" w:ascii="宋体" w:hAnsi="宋体" w:eastAsia="宋体" w:cs="宋体"/>
                <w:color w:val="auto"/>
                <w:sz w:val="24"/>
                <w:szCs w:val="24"/>
                <w:highlight w:val="none"/>
              </w:rPr>
            </w:pPr>
          </w:p>
        </w:tc>
      </w:tr>
      <w:tr w14:paraId="6867BB2C">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06A5B77C">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38837E09">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33365A13">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2F0AC8C6">
            <w:pPr>
              <w:pStyle w:val="9"/>
              <w:keepNext/>
              <w:spacing w:line="240" w:lineRule="auto"/>
              <w:ind w:left="63" w:right="63"/>
              <w:rPr>
                <w:rFonts w:hint="eastAsia" w:ascii="宋体" w:hAnsi="宋体" w:eastAsia="宋体" w:cs="宋体"/>
                <w:color w:val="auto"/>
                <w:sz w:val="24"/>
                <w:szCs w:val="24"/>
                <w:highlight w:val="none"/>
              </w:rPr>
            </w:pPr>
          </w:p>
        </w:tc>
      </w:tr>
      <w:tr w14:paraId="7752FAC2">
        <w:tblPrEx>
          <w:tblCellMar>
            <w:top w:w="0" w:type="dxa"/>
            <w:left w:w="28" w:type="dxa"/>
            <w:bottom w:w="0" w:type="dxa"/>
            <w:right w:w="28" w:type="dxa"/>
          </w:tblCellMar>
        </w:tblPrEx>
        <w:tc>
          <w:tcPr>
            <w:tcW w:w="879" w:type="dxa"/>
            <w:tcBorders>
              <w:top w:val="single" w:color="auto" w:sz="6" w:space="0"/>
              <w:left w:val="single" w:color="auto" w:sz="12" w:space="0"/>
              <w:bottom w:val="single" w:color="auto" w:sz="6" w:space="0"/>
              <w:right w:val="single" w:color="auto" w:sz="6" w:space="0"/>
            </w:tcBorders>
            <w:noWrap w:val="0"/>
            <w:vAlign w:val="top"/>
          </w:tcPr>
          <w:p w14:paraId="32E11B7A">
            <w:pPr>
              <w:pStyle w:val="9"/>
              <w:keepNext/>
              <w:spacing w:line="240" w:lineRule="auto"/>
              <w:ind w:left="63" w:right="63"/>
              <w:rPr>
                <w:rFonts w:hint="eastAsia" w:ascii="宋体" w:hAnsi="宋体" w:eastAsia="宋体" w:cs="宋体"/>
                <w:color w:val="auto"/>
                <w:sz w:val="24"/>
                <w:szCs w:val="24"/>
                <w:highlight w:val="none"/>
              </w:rPr>
            </w:pPr>
          </w:p>
        </w:tc>
        <w:tc>
          <w:tcPr>
            <w:tcW w:w="1984" w:type="dxa"/>
            <w:tcBorders>
              <w:top w:val="single" w:color="auto" w:sz="6" w:space="0"/>
              <w:left w:val="single" w:color="auto" w:sz="6" w:space="0"/>
              <w:bottom w:val="single" w:color="auto" w:sz="6" w:space="0"/>
              <w:right w:val="single" w:color="auto" w:sz="6" w:space="0"/>
            </w:tcBorders>
            <w:noWrap w:val="0"/>
            <w:vAlign w:val="top"/>
          </w:tcPr>
          <w:p w14:paraId="401F0785">
            <w:pPr>
              <w:pStyle w:val="9"/>
              <w:keepNext/>
              <w:spacing w:line="240" w:lineRule="auto"/>
              <w:ind w:left="63" w:right="63"/>
              <w:rPr>
                <w:rFonts w:hint="eastAsia" w:ascii="宋体" w:hAnsi="宋体" w:eastAsia="宋体" w:cs="宋体"/>
                <w:color w:val="auto"/>
                <w:sz w:val="24"/>
                <w:szCs w:val="24"/>
                <w:highlight w:val="none"/>
              </w:rPr>
            </w:pPr>
          </w:p>
        </w:tc>
        <w:tc>
          <w:tcPr>
            <w:tcW w:w="4678" w:type="dxa"/>
            <w:tcBorders>
              <w:top w:val="single" w:color="auto" w:sz="6" w:space="0"/>
              <w:left w:val="single" w:color="auto" w:sz="6" w:space="0"/>
              <w:bottom w:val="single" w:color="auto" w:sz="6" w:space="0"/>
              <w:right w:val="single" w:color="auto" w:sz="6" w:space="0"/>
            </w:tcBorders>
            <w:noWrap w:val="0"/>
            <w:vAlign w:val="top"/>
          </w:tcPr>
          <w:p w14:paraId="3017A6D3">
            <w:pPr>
              <w:pStyle w:val="9"/>
              <w:keepNext/>
              <w:spacing w:line="240" w:lineRule="auto"/>
              <w:ind w:left="63" w:right="63"/>
              <w:rPr>
                <w:rFonts w:hint="eastAsia" w:ascii="宋体" w:hAnsi="宋体" w:eastAsia="宋体" w:cs="宋体"/>
                <w:color w:val="auto"/>
                <w:sz w:val="24"/>
                <w:szCs w:val="24"/>
                <w:highlight w:val="none"/>
              </w:rPr>
            </w:pPr>
          </w:p>
        </w:tc>
        <w:tc>
          <w:tcPr>
            <w:tcW w:w="1276" w:type="dxa"/>
            <w:tcBorders>
              <w:top w:val="single" w:color="auto" w:sz="6" w:space="0"/>
              <w:left w:val="single" w:color="auto" w:sz="6" w:space="0"/>
              <w:bottom w:val="single" w:color="auto" w:sz="6" w:space="0"/>
              <w:right w:val="single" w:color="auto" w:sz="12" w:space="0"/>
            </w:tcBorders>
            <w:noWrap w:val="0"/>
            <w:vAlign w:val="top"/>
          </w:tcPr>
          <w:p w14:paraId="4F534AB8">
            <w:pPr>
              <w:pStyle w:val="9"/>
              <w:keepNext/>
              <w:spacing w:line="240" w:lineRule="auto"/>
              <w:ind w:left="63" w:right="63"/>
              <w:rPr>
                <w:rFonts w:hint="eastAsia" w:ascii="宋体" w:hAnsi="宋体" w:eastAsia="宋体" w:cs="宋体"/>
                <w:color w:val="auto"/>
                <w:sz w:val="24"/>
                <w:szCs w:val="24"/>
                <w:highlight w:val="none"/>
              </w:rPr>
            </w:pPr>
          </w:p>
        </w:tc>
      </w:tr>
      <w:tr w14:paraId="61EAF265">
        <w:tblPrEx>
          <w:tblCellMar>
            <w:top w:w="0" w:type="dxa"/>
            <w:left w:w="28" w:type="dxa"/>
            <w:bottom w:w="0" w:type="dxa"/>
            <w:right w:w="28" w:type="dxa"/>
          </w:tblCellMar>
        </w:tblPrEx>
        <w:tc>
          <w:tcPr>
            <w:tcW w:w="8817" w:type="dxa"/>
            <w:gridSpan w:val="4"/>
            <w:tcBorders>
              <w:top w:val="single" w:color="auto" w:sz="6" w:space="0"/>
              <w:left w:val="single" w:color="auto" w:sz="12" w:space="0"/>
              <w:bottom w:val="single" w:color="auto" w:sz="12" w:space="0"/>
              <w:right w:val="single" w:color="auto" w:sz="12" w:space="0"/>
            </w:tcBorders>
            <w:noWrap w:val="0"/>
            <w:vAlign w:val="top"/>
          </w:tcPr>
          <w:p w14:paraId="348BA9C2">
            <w:pPr>
              <w:pStyle w:val="9"/>
              <w:keepNext/>
              <w:spacing w:line="240" w:lineRule="auto"/>
              <w:ind w:left="63" w:right="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小计：</w:t>
            </w:r>
          </w:p>
        </w:tc>
      </w:tr>
    </w:tbl>
    <w:p w14:paraId="363D95EF">
      <w:pPr>
        <w:rPr>
          <w:rFonts w:hint="default" w:ascii="Times New Roman" w:hAnsi="Times New Roman" w:cs="Times New Roman"/>
          <w:color w:val="auto"/>
          <w:highlight w:val="none"/>
        </w:rPr>
      </w:pPr>
    </w:p>
    <w:p w14:paraId="6105D77B">
      <w:pPr>
        <w:rPr>
          <w:rFonts w:hint="default" w:ascii="Times New Roman" w:hAnsi="Times New Roman" w:cs="Times New Roman"/>
          <w:color w:val="auto"/>
          <w:highlight w:val="none"/>
        </w:rPr>
      </w:pPr>
    </w:p>
    <w:p w14:paraId="7CA0CC4A">
      <w:pPr>
        <w:pStyle w:val="2"/>
        <w:adjustRightInd w:val="0"/>
        <w:snapToGrid w:val="0"/>
        <w:jc w:val="both"/>
        <w:rPr>
          <w:color w:val="auto"/>
          <w:highlight w:val="none"/>
        </w:rPr>
      </w:pPr>
    </w:p>
    <w:p w14:paraId="3CB27A4B">
      <w:pPr>
        <w:pStyle w:val="2"/>
        <w:adjustRightInd w:val="0"/>
        <w:snapToGrid w:val="0"/>
        <w:jc w:val="center"/>
        <w:rPr>
          <w:color w:val="auto"/>
          <w:highlight w:val="none"/>
        </w:rPr>
      </w:pPr>
    </w:p>
    <w:p w14:paraId="293B08EA">
      <w:pPr>
        <w:rPr>
          <w:color w:val="auto"/>
          <w:highlight w:val="none"/>
        </w:rPr>
      </w:pPr>
    </w:p>
    <w:p w14:paraId="23A2870F">
      <w:pPr>
        <w:pStyle w:val="27"/>
        <w:rPr>
          <w:color w:val="auto"/>
          <w:highlight w:val="none"/>
        </w:rPr>
      </w:pPr>
    </w:p>
    <w:p w14:paraId="738A1003">
      <w:pPr>
        <w:rPr>
          <w:color w:val="auto"/>
          <w:highlight w:val="none"/>
        </w:rPr>
      </w:pPr>
    </w:p>
    <w:p w14:paraId="305B140D">
      <w:pPr>
        <w:pStyle w:val="27"/>
        <w:rPr>
          <w:color w:val="auto"/>
          <w:highlight w:val="none"/>
        </w:rPr>
      </w:pPr>
    </w:p>
    <w:p w14:paraId="3355577A">
      <w:pPr>
        <w:rPr>
          <w:color w:val="auto"/>
          <w:highlight w:val="none"/>
        </w:rPr>
      </w:pPr>
    </w:p>
    <w:p w14:paraId="5CF626A9">
      <w:pPr>
        <w:pStyle w:val="2"/>
        <w:adjustRightInd w:val="0"/>
        <w:snapToGrid w:val="0"/>
        <w:jc w:val="center"/>
        <w:rPr>
          <w:color w:val="auto"/>
          <w:highlight w:val="none"/>
        </w:rPr>
      </w:pPr>
      <w:bookmarkStart w:id="4646" w:name="_Toc7887"/>
      <w:bookmarkStart w:id="4711" w:name="_GoBack"/>
      <w:bookmarkEnd w:id="4711"/>
      <w:r>
        <w:rPr>
          <w:color w:val="auto"/>
          <w:highlight w:val="none"/>
        </w:rPr>
        <w:t>第</w:t>
      </w:r>
      <w:r>
        <w:rPr>
          <w:rFonts w:hint="eastAsia"/>
          <w:color w:val="auto"/>
          <w:highlight w:val="none"/>
        </w:rPr>
        <w:t>五</w:t>
      </w:r>
      <w:r>
        <w:rPr>
          <w:color w:val="auto"/>
          <w:highlight w:val="none"/>
        </w:rPr>
        <w:t xml:space="preserve">章  </w:t>
      </w:r>
      <w:r>
        <w:rPr>
          <w:rFonts w:hint="eastAsia"/>
          <w:color w:val="auto"/>
          <w:highlight w:val="none"/>
        </w:rPr>
        <w:t>采购需求</w:t>
      </w:r>
      <w:bookmarkEnd w:id="4646"/>
    </w:p>
    <w:p w14:paraId="1E99DE80">
      <w:pPr>
        <w:widowControl w:val="0"/>
        <w:adjustRightInd w:val="0"/>
        <w:snapToGrid w:val="0"/>
        <w:spacing w:line="360" w:lineRule="auto"/>
        <w:ind w:firstLine="482" w:firstLineChars="200"/>
        <w:rPr>
          <w:rFonts w:hint="eastAsia" w:ascii="宋体" w:hAnsi="宋体" w:cs="宋体"/>
          <w:b w:val="0"/>
          <w:bCs w:val="0"/>
          <w:color w:val="auto"/>
          <w:kern w:val="2"/>
          <w:sz w:val="24"/>
          <w:highlight w:val="none"/>
          <w:lang w:val="en-US" w:eastAsia="zh-CN"/>
        </w:rPr>
      </w:pPr>
      <w:bookmarkStart w:id="4647" w:name="_Toc41983109"/>
      <w:bookmarkStart w:id="4648" w:name="_Toc59809719"/>
      <w:bookmarkStart w:id="4649" w:name="_Toc103091626"/>
      <w:r>
        <w:rPr>
          <w:rFonts w:hint="eastAsia" w:ascii="宋体" w:hAnsi="宋体" w:cs="宋体"/>
          <w:b/>
          <w:bCs/>
          <w:color w:val="auto"/>
          <w:sz w:val="24"/>
          <w:highlight w:val="none"/>
        </w:rPr>
        <w:t>一、</w:t>
      </w:r>
      <w:bookmarkEnd w:id="4647"/>
      <w:bookmarkEnd w:id="4648"/>
      <w:bookmarkEnd w:id="4649"/>
      <w:r>
        <w:rPr>
          <w:rFonts w:hint="eastAsia" w:ascii="宋体" w:hAnsi="宋体" w:cs="宋体"/>
          <w:b/>
          <w:bCs/>
          <w:color w:val="auto"/>
          <w:kern w:val="2"/>
          <w:sz w:val="24"/>
          <w:highlight w:val="none"/>
        </w:rPr>
        <w:t>项目</w:t>
      </w:r>
      <w:r>
        <w:rPr>
          <w:rFonts w:hint="eastAsia" w:ascii="宋体" w:hAnsi="宋体" w:cs="宋体"/>
          <w:b/>
          <w:bCs/>
          <w:color w:val="auto"/>
          <w:kern w:val="2"/>
          <w:sz w:val="24"/>
          <w:highlight w:val="none"/>
          <w:lang w:val="en-US" w:eastAsia="zh-CN"/>
        </w:rPr>
        <w:t>名称</w:t>
      </w:r>
      <w:r>
        <w:rPr>
          <w:rFonts w:hint="eastAsia" w:ascii="宋体" w:hAnsi="宋体" w:cs="宋体"/>
          <w:b/>
          <w:bCs/>
          <w:color w:val="auto"/>
          <w:kern w:val="2"/>
          <w:sz w:val="24"/>
          <w:highlight w:val="none"/>
        </w:rPr>
        <w:t>：</w:t>
      </w:r>
      <w:r>
        <w:rPr>
          <w:rFonts w:hint="eastAsia" w:ascii="宋体" w:hAnsi="宋体" w:cs="宋体"/>
          <w:b w:val="0"/>
          <w:bCs w:val="0"/>
          <w:color w:val="auto"/>
          <w:kern w:val="2"/>
          <w:sz w:val="24"/>
          <w:highlight w:val="none"/>
          <w:lang w:val="en-US" w:eastAsia="zh-CN"/>
        </w:rPr>
        <w:t>新街镇坪地营溜溜塘易迁安置点基础设施提升项目</w:t>
      </w:r>
    </w:p>
    <w:p w14:paraId="13F6C82C">
      <w:pPr>
        <w:widowControl w:val="0"/>
        <w:adjustRightInd w:val="0"/>
        <w:snapToGrid w:val="0"/>
        <w:spacing w:line="360" w:lineRule="auto"/>
        <w:ind w:firstLine="482" w:firstLineChars="200"/>
        <w:rPr>
          <w:rFonts w:hint="eastAsia" w:eastAsia="宋体"/>
          <w:color w:val="auto"/>
          <w:highlight w:val="none"/>
          <w:lang w:val="en-US" w:eastAsia="zh-CN"/>
        </w:rPr>
      </w:pPr>
      <w:r>
        <w:rPr>
          <w:rFonts w:hint="eastAsia" w:ascii="宋体" w:hAnsi="宋体" w:eastAsia="宋体" w:cs="宋体"/>
          <w:b/>
          <w:bCs/>
          <w:snapToGrid/>
          <w:color w:val="auto"/>
          <w:kern w:val="2"/>
          <w:sz w:val="24"/>
          <w:szCs w:val="21"/>
          <w:highlight w:val="none"/>
          <w:lang w:val="en-US" w:eastAsia="zh-CN" w:bidi="zh-CN"/>
        </w:rPr>
        <w:t>二、</w:t>
      </w:r>
      <w:r>
        <w:rPr>
          <w:rFonts w:hint="eastAsia" w:ascii="宋体" w:hAnsi="宋体" w:eastAsia="宋体" w:cs="宋体"/>
          <w:b/>
          <w:bCs/>
          <w:color w:val="auto"/>
          <w:kern w:val="2"/>
          <w:sz w:val="24"/>
          <w:szCs w:val="21"/>
          <w:highlight w:val="none"/>
          <w:lang w:bidi="zh-CN"/>
        </w:rPr>
        <w:t>建设</w:t>
      </w:r>
      <w:r>
        <w:rPr>
          <w:rFonts w:hint="eastAsia" w:ascii="宋体" w:hAnsi="宋体" w:eastAsia="宋体" w:cs="宋体"/>
          <w:b/>
          <w:bCs/>
          <w:color w:val="auto"/>
          <w:kern w:val="2"/>
          <w:sz w:val="24"/>
          <w:szCs w:val="21"/>
          <w:highlight w:val="none"/>
          <w:lang w:eastAsia="zh-CN" w:bidi="zh-CN"/>
        </w:rPr>
        <w:t>内容及</w:t>
      </w:r>
      <w:r>
        <w:rPr>
          <w:rFonts w:hint="eastAsia" w:ascii="宋体" w:hAnsi="宋体" w:eastAsia="宋体" w:cs="宋体"/>
          <w:b/>
          <w:bCs/>
          <w:color w:val="auto"/>
          <w:kern w:val="2"/>
          <w:sz w:val="24"/>
          <w:szCs w:val="21"/>
          <w:highlight w:val="none"/>
          <w:lang w:bidi="zh-CN"/>
        </w:rPr>
        <w:t>规模：</w:t>
      </w:r>
      <w:r>
        <w:rPr>
          <w:rFonts w:hint="eastAsia" w:ascii="宋体" w:hAnsi="宋体" w:eastAsia="宋体" w:cs="宋体"/>
          <w:color w:val="auto"/>
          <w:kern w:val="2"/>
          <w:sz w:val="24"/>
          <w:szCs w:val="21"/>
          <w:highlight w:val="none"/>
          <w:lang w:val="en-US" w:eastAsia="zh-CN" w:bidi="zh-CN"/>
        </w:rPr>
        <w:t>新建20盏（6米高、80W）；维修更换10盏（6米高、80W）</w:t>
      </w:r>
      <w:r>
        <w:rPr>
          <w:rFonts w:hint="eastAsia" w:ascii="宋体" w:hAnsi="宋体" w:cs="宋体"/>
          <w:color w:val="auto"/>
          <w:kern w:val="2"/>
          <w:sz w:val="24"/>
          <w:szCs w:val="21"/>
          <w:highlight w:val="none"/>
          <w:lang w:val="en-US" w:eastAsia="zh-CN" w:bidi="zh-CN"/>
        </w:rPr>
        <w:t>、</w:t>
      </w:r>
      <w:r>
        <w:rPr>
          <w:rFonts w:hint="eastAsia" w:ascii="宋体" w:hAnsi="宋体" w:eastAsia="宋体" w:cs="宋体"/>
          <w:color w:val="auto"/>
          <w:kern w:val="2"/>
          <w:sz w:val="24"/>
          <w:szCs w:val="21"/>
          <w:highlight w:val="none"/>
          <w:lang w:val="en-US" w:eastAsia="zh-CN" w:bidi="zh-CN"/>
        </w:rPr>
        <w:t>侧沟126米（清理、硬化、加盖板）；排水沟850米（清理、C25混凝土浇筑、砂浆抹面）</w:t>
      </w:r>
      <w:r>
        <w:rPr>
          <w:rFonts w:hint="eastAsia" w:ascii="宋体" w:hAnsi="宋体" w:cs="宋体"/>
          <w:color w:val="auto"/>
          <w:kern w:val="2"/>
          <w:sz w:val="24"/>
          <w:szCs w:val="21"/>
          <w:highlight w:val="none"/>
          <w:lang w:val="en-US" w:eastAsia="zh-CN" w:bidi="zh-CN"/>
        </w:rPr>
        <w:t>、</w:t>
      </w:r>
      <w:r>
        <w:rPr>
          <w:rFonts w:hint="eastAsia" w:ascii="宋体" w:hAnsi="宋体" w:eastAsia="宋体" w:cs="宋体"/>
          <w:color w:val="auto"/>
          <w:kern w:val="2"/>
          <w:sz w:val="24"/>
          <w:szCs w:val="21"/>
          <w:highlight w:val="none"/>
          <w:lang w:val="en-US" w:eastAsia="zh-CN" w:bidi="zh-CN"/>
        </w:rPr>
        <w:t>1座100立方米、1座50立方米，采用C25混凝土浇筑</w:t>
      </w:r>
      <w:r>
        <w:rPr>
          <w:rFonts w:hint="eastAsia" w:ascii="宋体" w:hAnsi="宋体" w:cs="宋体"/>
          <w:color w:val="auto"/>
          <w:kern w:val="2"/>
          <w:sz w:val="24"/>
          <w:szCs w:val="21"/>
          <w:highlight w:val="none"/>
          <w:lang w:val="en-US" w:eastAsia="zh-CN" w:bidi="zh-CN"/>
        </w:rPr>
        <w:t>、M7.5浆砌石砌筑挡土墙长24米、平均高2.5米，总工程量62.2立方米、路面硬化及配套场地平整370平方米（C25混凝土、18cm厚），分三段（28×7.6m、9×4m、27×4.5m）。</w:t>
      </w:r>
      <w:r>
        <w:rPr>
          <w:rFonts w:hint="eastAsia" w:ascii="宋体" w:hAnsi="宋体" w:eastAsia="宋体" w:cs="宋体"/>
          <w:color w:val="auto"/>
          <w:kern w:val="2"/>
          <w:sz w:val="24"/>
          <w:szCs w:val="21"/>
          <w:highlight w:val="none"/>
          <w:lang w:val="en-US" w:eastAsia="zh-CN" w:bidi="zh-CN"/>
        </w:rPr>
        <w:t>具体内容详见</w:t>
      </w:r>
      <w:r>
        <w:rPr>
          <w:rFonts w:hint="eastAsia" w:asciiTheme="minorEastAsia" w:hAnsiTheme="minorEastAsia" w:cstheme="minorEastAsia"/>
          <w:color w:val="auto"/>
          <w:sz w:val="24"/>
          <w:highlight w:val="none"/>
        </w:rPr>
        <w:t>招标工程量清单</w:t>
      </w:r>
      <w:r>
        <w:rPr>
          <w:rFonts w:hint="eastAsia" w:asciiTheme="minorEastAsia" w:hAnsiTheme="minorEastAsia" w:cstheme="minorEastAsia"/>
          <w:color w:val="auto"/>
          <w:sz w:val="24"/>
          <w:highlight w:val="none"/>
          <w:lang w:val="en-US" w:eastAsia="zh-CN"/>
        </w:rPr>
        <w:t>以及图纸要求</w:t>
      </w:r>
      <w:r>
        <w:rPr>
          <w:rFonts w:hint="eastAsia" w:asciiTheme="minorEastAsia" w:hAnsiTheme="minorEastAsia" w:cstheme="minorEastAsia"/>
          <w:color w:val="auto"/>
          <w:sz w:val="24"/>
          <w:highlight w:val="none"/>
          <w:lang w:eastAsia="zh-CN"/>
        </w:rPr>
        <w:t>。</w:t>
      </w:r>
    </w:p>
    <w:p w14:paraId="588B73E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三、招标范围</w:t>
      </w:r>
      <w:r>
        <w:rPr>
          <w:rFonts w:hint="eastAsia" w:ascii="宋体" w:hAnsi="宋体"/>
          <w:color w:val="auto"/>
          <w:sz w:val="24"/>
          <w:szCs w:val="24"/>
          <w:highlight w:val="none"/>
          <w:lang w:val="en-US" w:eastAsia="zh-CN"/>
        </w:rPr>
        <w:t>：招标工程量清单以及图纸包含的全部内容</w:t>
      </w:r>
    </w:p>
    <w:p w14:paraId="4D64636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四、建设地点</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lang w:eastAsia="zh-CN"/>
        </w:rPr>
        <w:t>鲁甸县新街镇坪地营村委会</w:t>
      </w:r>
      <w:r>
        <w:rPr>
          <w:rFonts w:hint="eastAsia" w:ascii="宋体" w:hAnsi="宋体"/>
          <w:color w:val="auto"/>
          <w:sz w:val="24"/>
          <w:szCs w:val="24"/>
          <w:highlight w:val="none"/>
          <w:lang w:val="en-US" w:eastAsia="zh-CN"/>
        </w:rPr>
        <w:t xml:space="preserve"> </w:t>
      </w:r>
    </w:p>
    <w:p w14:paraId="309AE46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五、计划工期</w:t>
      </w:r>
      <w:r>
        <w:rPr>
          <w:rFonts w:hint="eastAsia" w:ascii="宋体" w:hAnsi="宋体"/>
          <w:color w:val="auto"/>
          <w:sz w:val="24"/>
          <w:szCs w:val="24"/>
          <w:highlight w:val="none"/>
          <w:lang w:val="en-US" w:eastAsia="zh-CN"/>
        </w:rPr>
        <w:t>:</w:t>
      </w:r>
      <w:r>
        <w:rPr>
          <w:rFonts w:hint="eastAsia" w:ascii="宋体" w:hAnsi="宋体" w:eastAsia="宋体" w:cs="宋体"/>
          <w:color w:val="auto"/>
          <w:sz w:val="24"/>
          <w:szCs w:val="24"/>
          <w:highlight w:val="none"/>
        </w:rPr>
        <w:t>自合同签订之日起</w:t>
      </w:r>
      <w:r>
        <w:rPr>
          <w:rFonts w:hint="eastAsia" w:ascii="宋体" w:hAnsi="宋体" w:eastAsia="宋体" w:cs="宋体"/>
          <w:color w:val="auto"/>
          <w:sz w:val="24"/>
          <w:szCs w:val="24"/>
          <w:highlight w:val="none"/>
          <w:lang w:val="en-US" w:eastAsia="zh-CN"/>
        </w:rPr>
        <w:t>约</w:t>
      </w:r>
      <w:r>
        <w:rPr>
          <w:rFonts w:hint="eastAsia" w:ascii="宋体" w:hAnsi="宋体" w:cs="宋体"/>
          <w:color w:val="auto"/>
          <w:sz w:val="24"/>
          <w:szCs w:val="24"/>
          <w:highlight w:val="none"/>
          <w:lang w:val="en-US" w:eastAsia="zh-CN"/>
        </w:rPr>
        <w:t>120</w:t>
      </w:r>
      <w:r>
        <w:rPr>
          <w:rFonts w:hint="eastAsia" w:ascii="宋体" w:hAnsi="宋体" w:eastAsia="宋体" w:cs="宋体"/>
          <w:color w:val="auto"/>
          <w:sz w:val="24"/>
          <w:szCs w:val="24"/>
          <w:highlight w:val="none"/>
        </w:rPr>
        <w:t>日历天</w:t>
      </w:r>
      <w:r>
        <w:rPr>
          <w:rFonts w:hint="eastAsia" w:ascii="宋体" w:hAnsi="宋体"/>
          <w:color w:val="auto"/>
          <w:sz w:val="24"/>
          <w:szCs w:val="24"/>
          <w:highlight w:val="none"/>
          <w:lang w:val="en-US" w:eastAsia="zh-CN"/>
        </w:rPr>
        <w:t>。</w:t>
      </w:r>
    </w:p>
    <w:p w14:paraId="127E0BB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color w:val="auto"/>
          <w:highlight w:val="none"/>
        </w:rPr>
      </w:pPr>
      <w:r>
        <w:rPr>
          <w:rFonts w:hint="eastAsia" w:ascii="宋体" w:hAnsi="宋体"/>
          <w:b/>
          <w:bCs/>
          <w:color w:val="auto"/>
          <w:sz w:val="24"/>
          <w:szCs w:val="24"/>
          <w:highlight w:val="none"/>
          <w:lang w:val="en-US" w:eastAsia="zh-CN"/>
        </w:rPr>
        <w:t>六、质量标准</w:t>
      </w:r>
      <w:r>
        <w:rPr>
          <w:rFonts w:hint="eastAsia" w:ascii="宋体" w:hAnsi="宋体"/>
          <w:color w:val="auto"/>
          <w:sz w:val="24"/>
          <w:szCs w:val="24"/>
          <w:highlight w:val="none"/>
          <w:lang w:val="en-US" w:eastAsia="zh-CN"/>
        </w:rPr>
        <w:t>：符合国家、行业及地方现行的相关标准及规范，并一次性验收合格。</w:t>
      </w:r>
    </w:p>
    <w:p w14:paraId="0BC30390">
      <w:pPr>
        <w:pStyle w:val="9"/>
        <w:spacing w:line="360" w:lineRule="auto"/>
        <w:ind w:firstLine="482" w:firstLineChars="200"/>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七、</w:t>
      </w:r>
      <w:r>
        <w:rPr>
          <w:rFonts w:hint="eastAsia" w:ascii="宋体" w:hAnsi="宋体" w:eastAsia="宋体" w:cs="宋体"/>
          <w:b/>
          <w:bCs/>
          <w:color w:val="auto"/>
          <w:sz w:val="24"/>
          <w:szCs w:val="24"/>
          <w:highlight w:val="none"/>
          <w:lang w:val="en-US" w:eastAsia="zh-CN" w:bidi="ar-SA"/>
        </w:rPr>
        <w:t>招标工程量清单</w:t>
      </w:r>
    </w:p>
    <w:p w14:paraId="10CE2020">
      <w:pPr>
        <w:pStyle w:val="10"/>
        <w:rPr>
          <w:rFonts w:hint="eastAsia"/>
          <w:color w:val="auto"/>
          <w:highlight w:val="none"/>
          <w:lang w:val="en-US" w:eastAsia="zh-CN"/>
        </w:rPr>
      </w:pPr>
      <w:r>
        <w:rPr>
          <w:rFonts w:hint="eastAsia"/>
          <w:color w:val="auto"/>
          <w:highlight w:val="none"/>
          <w:lang w:val="en-US" w:eastAsia="zh-CN"/>
        </w:rPr>
        <w:drawing>
          <wp:inline distT="0" distB="0" distL="114300" distR="114300">
            <wp:extent cx="5253355" cy="7428865"/>
            <wp:effectExtent l="0" t="0" r="4445" b="8255"/>
            <wp:docPr id="46" name="图片 46" descr="新街镇坪地营溜溜塘易迁安置点基础设施提升项目-清单扫描件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新街镇坪地营溜溜塘易迁安置点基础设施提升项目-清单扫描件_01"/>
                    <pic:cNvPicPr>
                      <a:picLocks noChangeAspect="1"/>
                    </pic:cNvPicPr>
                  </pic:nvPicPr>
                  <pic:blipFill>
                    <a:blip r:embed="rId20"/>
                    <a:stretch>
                      <a:fillRect/>
                    </a:stretch>
                  </pic:blipFill>
                  <pic:spPr>
                    <a:xfrm>
                      <a:off x="0" y="0"/>
                      <a:ext cx="5253355" cy="7428865"/>
                    </a:xfrm>
                    <a:prstGeom prst="rect">
                      <a:avLst/>
                    </a:prstGeom>
                  </pic:spPr>
                </pic:pic>
              </a:graphicData>
            </a:graphic>
          </wp:inline>
        </w:drawing>
      </w:r>
      <w:r>
        <w:rPr>
          <w:rFonts w:hint="eastAsia"/>
          <w:color w:val="auto"/>
          <w:highlight w:val="none"/>
          <w:lang w:val="en-US" w:eastAsia="zh-CN"/>
        </w:rPr>
        <w:drawing>
          <wp:inline distT="0" distB="0" distL="114300" distR="114300">
            <wp:extent cx="5253355" cy="7428865"/>
            <wp:effectExtent l="0" t="0" r="4445" b="8255"/>
            <wp:docPr id="45" name="图片 45" descr="新街镇坪地营溜溜塘易迁安置点基础设施提升项目-清单扫描件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新街镇坪地营溜溜塘易迁安置点基础设施提升项目-清单扫描件_02"/>
                    <pic:cNvPicPr>
                      <a:picLocks noChangeAspect="1"/>
                    </pic:cNvPicPr>
                  </pic:nvPicPr>
                  <pic:blipFill>
                    <a:blip r:embed="rId21"/>
                    <a:stretch>
                      <a:fillRect/>
                    </a:stretch>
                  </pic:blipFill>
                  <pic:spPr>
                    <a:xfrm>
                      <a:off x="0" y="0"/>
                      <a:ext cx="5253355" cy="7428865"/>
                    </a:xfrm>
                    <a:prstGeom prst="rect">
                      <a:avLst/>
                    </a:prstGeom>
                  </pic:spPr>
                </pic:pic>
              </a:graphicData>
            </a:graphic>
          </wp:inline>
        </w:drawing>
      </w:r>
      <w:r>
        <w:rPr>
          <w:rFonts w:hint="eastAsia"/>
          <w:color w:val="auto"/>
          <w:highlight w:val="none"/>
          <w:lang w:val="en-US" w:eastAsia="zh-CN"/>
        </w:rPr>
        <w:drawing>
          <wp:inline distT="0" distB="0" distL="114300" distR="114300">
            <wp:extent cx="5254625" cy="7431405"/>
            <wp:effectExtent l="0" t="0" r="3175" b="5715"/>
            <wp:docPr id="44" name="图片 44" descr="新街镇坪地营溜溜塘易迁安置点基础设施提升项目-清单扫描件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新街镇坪地营溜溜塘易迁安置点基础设施提升项目-清单扫描件_03"/>
                    <pic:cNvPicPr>
                      <a:picLocks noChangeAspect="1"/>
                    </pic:cNvPicPr>
                  </pic:nvPicPr>
                  <pic:blipFill>
                    <a:blip r:embed="rId22"/>
                    <a:stretch>
                      <a:fillRect/>
                    </a:stretch>
                  </pic:blipFill>
                  <pic:spPr>
                    <a:xfrm>
                      <a:off x="0" y="0"/>
                      <a:ext cx="525462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4625" cy="7431405"/>
            <wp:effectExtent l="0" t="0" r="3175" b="5715"/>
            <wp:docPr id="43" name="图片 43" descr="新街镇坪地营溜溜塘易迁安置点基础设施提升项目-清单扫描件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新街镇坪地营溜溜塘易迁安置点基础设施提升项目-清单扫描件_04"/>
                    <pic:cNvPicPr>
                      <a:picLocks noChangeAspect="1"/>
                    </pic:cNvPicPr>
                  </pic:nvPicPr>
                  <pic:blipFill>
                    <a:blip r:embed="rId23"/>
                    <a:stretch>
                      <a:fillRect/>
                    </a:stretch>
                  </pic:blipFill>
                  <pic:spPr>
                    <a:xfrm>
                      <a:off x="0" y="0"/>
                      <a:ext cx="525462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3355" cy="7428865"/>
            <wp:effectExtent l="0" t="0" r="4445" b="8255"/>
            <wp:docPr id="42" name="图片 42" descr="新街镇坪地营溜溜塘易迁安置点基础设施提升项目-清单扫描件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新街镇坪地营溜溜塘易迁安置点基础设施提升项目-清单扫描件_05"/>
                    <pic:cNvPicPr>
                      <a:picLocks noChangeAspect="1"/>
                    </pic:cNvPicPr>
                  </pic:nvPicPr>
                  <pic:blipFill>
                    <a:blip r:embed="rId24"/>
                    <a:stretch>
                      <a:fillRect/>
                    </a:stretch>
                  </pic:blipFill>
                  <pic:spPr>
                    <a:xfrm>
                      <a:off x="0" y="0"/>
                      <a:ext cx="5253355" cy="742886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41" name="图片 41" descr="新街镇坪地营溜溜塘易迁安置点基础设施提升项目-清单扫描件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新街镇坪地营溜溜塘易迁安置点基础设施提升项目-清单扫描件_06"/>
                    <pic:cNvPicPr>
                      <a:picLocks noChangeAspect="1"/>
                    </pic:cNvPicPr>
                  </pic:nvPicPr>
                  <pic:blipFill>
                    <a:blip r:embed="rId25"/>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40" name="图片 40" descr="新街镇坪地营溜溜塘易迁安置点基础设施提升项目-清单扫描件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新街镇坪地营溜溜塘易迁安置点基础设施提升项目-清单扫描件_07"/>
                    <pic:cNvPicPr>
                      <a:picLocks noChangeAspect="1"/>
                    </pic:cNvPicPr>
                  </pic:nvPicPr>
                  <pic:blipFill>
                    <a:blip r:embed="rId26"/>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39" name="图片 39" descr="新街镇坪地营溜溜塘易迁安置点基础设施提升项目-清单扫描件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新街镇坪地营溜溜塘易迁安置点基础设施提升项目-清单扫描件_08"/>
                    <pic:cNvPicPr>
                      <a:picLocks noChangeAspect="1"/>
                    </pic:cNvPicPr>
                  </pic:nvPicPr>
                  <pic:blipFill>
                    <a:blip r:embed="rId27"/>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38" name="图片 38" descr="新街镇坪地营溜溜塘易迁安置点基础设施提升项目-清单扫描件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新街镇坪地营溜溜塘易迁安置点基础设施提升项目-清单扫描件_09"/>
                    <pic:cNvPicPr>
                      <a:picLocks noChangeAspect="1"/>
                    </pic:cNvPicPr>
                  </pic:nvPicPr>
                  <pic:blipFill>
                    <a:blip r:embed="rId28"/>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37" name="图片 37" descr="新街镇坪地营溜溜塘易迁安置点基础设施提升项目-清单扫描件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新街镇坪地营溜溜塘易迁安置点基础设施提升项目-清单扫描件_10"/>
                    <pic:cNvPicPr>
                      <a:picLocks noChangeAspect="1"/>
                    </pic:cNvPicPr>
                  </pic:nvPicPr>
                  <pic:blipFill>
                    <a:blip r:embed="rId29"/>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36" name="图片 36" descr="新街镇坪地营溜溜塘易迁安置点基础设施提升项目-清单扫描件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新街镇坪地营溜溜塘易迁安置点基础设施提升项目-清单扫描件_11"/>
                    <pic:cNvPicPr>
                      <a:picLocks noChangeAspect="1"/>
                    </pic:cNvPicPr>
                  </pic:nvPicPr>
                  <pic:blipFill>
                    <a:blip r:embed="rId30"/>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35" name="图片 35" descr="新街镇坪地营溜溜塘易迁安置点基础设施提升项目-清单扫描件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新街镇坪地营溜溜塘易迁安置点基础设施提升项目-清单扫描件_12"/>
                    <pic:cNvPicPr>
                      <a:picLocks noChangeAspect="1"/>
                    </pic:cNvPicPr>
                  </pic:nvPicPr>
                  <pic:blipFill>
                    <a:blip r:embed="rId31"/>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28" name="图片 28" descr="新街镇坪地营溜溜塘易迁安置点基础设施提升项目-清单扫描件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新街镇坪地营溜溜塘易迁安置点基础设施提升项目-清单扫描件_13"/>
                    <pic:cNvPicPr>
                      <a:picLocks noChangeAspect="1"/>
                    </pic:cNvPicPr>
                  </pic:nvPicPr>
                  <pic:blipFill>
                    <a:blip r:embed="rId32"/>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23" name="图片 23" descr="新街镇坪地营溜溜塘易迁安置点基础设施提升项目-清单扫描件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新街镇坪地营溜溜塘易迁安置点基础设施提升项目-清单扫描件_14"/>
                    <pic:cNvPicPr>
                      <a:picLocks noChangeAspect="1"/>
                    </pic:cNvPicPr>
                  </pic:nvPicPr>
                  <pic:blipFill>
                    <a:blip r:embed="rId33"/>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21" name="图片 21" descr="新街镇坪地营溜溜塘易迁安置点基础设施提升项目-清单扫描件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新街镇坪地营溜溜塘易迁安置点基础设施提升项目-清单扫描件_15"/>
                    <pic:cNvPicPr>
                      <a:picLocks noChangeAspect="1"/>
                    </pic:cNvPicPr>
                  </pic:nvPicPr>
                  <pic:blipFill>
                    <a:blip r:embed="rId34"/>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20" name="图片 20" descr="新街镇坪地营溜溜塘易迁安置点基础设施提升项目-清单扫描件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新街镇坪地营溜溜塘易迁安置点基础设施提升项目-清单扫描件_16"/>
                    <pic:cNvPicPr>
                      <a:picLocks noChangeAspect="1"/>
                    </pic:cNvPicPr>
                  </pic:nvPicPr>
                  <pic:blipFill>
                    <a:blip r:embed="rId35"/>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19" name="图片 19" descr="新街镇坪地营溜溜塘易迁安置点基础设施提升项目-清单扫描件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新街镇坪地营溜溜塘易迁安置点基础设施提升项目-清单扫描件_17"/>
                    <pic:cNvPicPr>
                      <a:picLocks noChangeAspect="1"/>
                    </pic:cNvPicPr>
                  </pic:nvPicPr>
                  <pic:blipFill>
                    <a:blip r:embed="rId36"/>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18" name="图片 18" descr="新街镇坪地营溜溜塘易迁安置点基础设施提升项目-清单扫描件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新街镇坪地营溜溜塘易迁安置点基础设施提升项目-清单扫描件_18"/>
                    <pic:cNvPicPr>
                      <a:picLocks noChangeAspect="1"/>
                    </pic:cNvPicPr>
                  </pic:nvPicPr>
                  <pic:blipFill>
                    <a:blip r:embed="rId37"/>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17" name="图片 17" descr="新街镇坪地营溜溜塘易迁安置点基础设施提升项目-清单扫描件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新街镇坪地营溜溜塘易迁安置点基础设施提升项目-清单扫描件_19"/>
                    <pic:cNvPicPr>
                      <a:picLocks noChangeAspect="1"/>
                    </pic:cNvPicPr>
                  </pic:nvPicPr>
                  <pic:blipFill>
                    <a:blip r:embed="rId38"/>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16" name="图片 16" descr="新街镇坪地营溜溜塘易迁安置点基础设施提升项目-清单扫描件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新街镇坪地营溜溜塘易迁安置点基础设施提升项目-清单扫描件_20"/>
                    <pic:cNvPicPr>
                      <a:picLocks noChangeAspect="1"/>
                    </pic:cNvPicPr>
                  </pic:nvPicPr>
                  <pic:blipFill>
                    <a:blip r:embed="rId39"/>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15" name="图片 15" descr="新街镇坪地营溜溜塘易迁安置点基础设施提升项目-清单扫描件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新街镇坪地营溜溜塘易迁安置点基础设施提升项目-清单扫描件_21"/>
                    <pic:cNvPicPr>
                      <a:picLocks noChangeAspect="1"/>
                    </pic:cNvPicPr>
                  </pic:nvPicPr>
                  <pic:blipFill>
                    <a:blip r:embed="rId40"/>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14" name="图片 14" descr="新街镇坪地营溜溜塘易迁安置点基础设施提升项目-清单扫描件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新街镇坪地营溜溜塘易迁安置点基础设施提升项目-清单扫描件_22"/>
                    <pic:cNvPicPr>
                      <a:picLocks noChangeAspect="1"/>
                    </pic:cNvPicPr>
                  </pic:nvPicPr>
                  <pic:blipFill>
                    <a:blip r:embed="rId41"/>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13" name="图片 13" descr="新街镇坪地营溜溜塘易迁安置点基础设施提升项目-清单扫描件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新街镇坪地营溜溜塘易迁安置点基础设施提升项目-清单扫描件_23"/>
                    <pic:cNvPicPr>
                      <a:picLocks noChangeAspect="1"/>
                    </pic:cNvPicPr>
                  </pic:nvPicPr>
                  <pic:blipFill>
                    <a:blip r:embed="rId42"/>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12" name="图片 12" descr="新街镇坪地营溜溜塘易迁安置点基础设施提升项目-清单扫描件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新街镇坪地营溜溜塘易迁安置点基础设施提升项目-清单扫描件_24"/>
                    <pic:cNvPicPr>
                      <a:picLocks noChangeAspect="1"/>
                    </pic:cNvPicPr>
                  </pic:nvPicPr>
                  <pic:blipFill>
                    <a:blip r:embed="rId43"/>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11" name="图片 11" descr="新街镇坪地营溜溜塘易迁安置点基础设施提升项目-清单扫描件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新街镇坪地营溜溜塘易迁安置点基础设施提升项目-清单扫描件_25"/>
                    <pic:cNvPicPr>
                      <a:picLocks noChangeAspect="1"/>
                    </pic:cNvPicPr>
                  </pic:nvPicPr>
                  <pic:blipFill>
                    <a:blip r:embed="rId44"/>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10" name="图片 10" descr="新街镇坪地营溜溜塘易迁安置点基础设施提升项目-清单扫描件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新街镇坪地营溜溜塘易迁安置点基础设施提升项目-清单扫描件_26"/>
                    <pic:cNvPicPr>
                      <a:picLocks noChangeAspect="1"/>
                    </pic:cNvPicPr>
                  </pic:nvPicPr>
                  <pic:blipFill>
                    <a:blip r:embed="rId45"/>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9" name="图片 9" descr="新街镇坪地营溜溜塘易迁安置点基础设施提升项目-清单扫描件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新街镇坪地营溜溜塘易迁安置点基础设施提升项目-清单扫描件_27"/>
                    <pic:cNvPicPr>
                      <a:picLocks noChangeAspect="1"/>
                    </pic:cNvPicPr>
                  </pic:nvPicPr>
                  <pic:blipFill>
                    <a:blip r:embed="rId46"/>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8" name="图片 8" descr="新街镇坪地营溜溜塘易迁安置点基础设施提升项目-清单扫描件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新街镇坪地营溜溜塘易迁安置点基础设施提升项目-清单扫描件_28"/>
                    <pic:cNvPicPr>
                      <a:picLocks noChangeAspect="1"/>
                    </pic:cNvPicPr>
                  </pic:nvPicPr>
                  <pic:blipFill>
                    <a:blip r:embed="rId47"/>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7" name="图片 7" descr="新街镇坪地营溜溜塘易迁安置点基础设施提升项目-清单扫描件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新街镇坪地营溜溜塘易迁安置点基础设施提升项目-清单扫描件_29"/>
                    <pic:cNvPicPr>
                      <a:picLocks noChangeAspect="1"/>
                    </pic:cNvPicPr>
                  </pic:nvPicPr>
                  <pic:blipFill>
                    <a:blip r:embed="rId48"/>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4" name="图片 4" descr="新街镇坪地营溜溜塘易迁安置点基础设施提升项目-清单扫描件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新街镇坪地营溜溜塘易迁安置点基础设施提升项目-清单扫描件_30"/>
                    <pic:cNvPicPr>
                      <a:picLocks noChangeAspect="1"/>
                    </pic:cNvPicPr>
                  </pic:nvPicPr>
                  <pic:blipFill>
                    <a:blip r:embed="rId49"/>
                    <a:stretch>
                      <a:fillRect/>
                    </a:stretch>
                  </pic:blipFill>
                  <pic:spPr>
                    <a:xfrm>
                      <a:off x="0" y="0"/>
                      <a:ext cx="5252085" cy="7431405"/>
                    </a:xfrm>
                    <a:prstGeom prst="rect">
                      <a:avLst/>
                    </a:prstGeom>
                  </pic:spPr>
                </pic:pic>
              </a:graphicData>
            </a:graphic>
          </wp:inline>
        </w:drawing>
      </w:r>
      <w:r>
        <w:rPr>
          <w:rFonts w:hint="eastAsia"/>
          <w:color w:val="auto"/>
          <w:highlight w:val="none"/>
          <w:lang w:val="en-US" w:eastAsia="zh-CN"/>
        </w:rPr>
        <w:drawing>
          <wp:inline distT="0" distB="0" distL="114300" distR="114300">
            <wp:extent cx="5252085" cy="7431405"/>
            <wp:effectExtent l="0" t="0" r="5715" b="5715"/>
            <wp:docPr id="3" name="图片 3" descr="新街镇坪地营溜溜塘易迁安置点基础设施提升项目-清单扫描件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新街镇坪地营溜溜塘易迁安置点基础设施提升项目-清单扫描件_31"/>
                    <pic:cNvPicPr>
                      <a:picLocks noChangeAspect="1"/>
                    </pic:cNvPicPr>
                  </pic:nvPicPr>
                  <pic:blipFill>
                    <a:blip r:embed="rId50"/>
                    <a:stretch>
                      <a:fillRect/>
                    </a:stretch>
                  </pic:blipFill>
                  <pic:spPr>
                    <a:xfrm>
                      <a:off x="0" y="0"/>
                      <a:ext cx="5252085" cy="7431405"/>
                    </a:xfrm>
                    <a:prstGeom prst="rect">
                      <a:avLst/>
                    </a:prstGeom>
                  </pic:spPr>
                </pic:pic>
              </a:graphicData>
            </a:graphic>
          </wp:inline>
        </w:drawing>
      </w:r>
    </w:p>
    <w:p w14:paraId="32BD3B7D">
      <w:pPr>
        <w:rPr>
          <w:rFonts w:hint="default" w:ascii="宋体" w:hAnsi="宋体" w:eastAsia="宋体" w:cs="宋体"/>
          <w:b/>
          <w:bCs/>
          <w:color w:val="auto"/>
          <w:sz w:val="24"/>
          <w:szCs w:val="24"/>
          <w:highlight w:val="none"/>
          <w:lang w:val="en-US" w:eastAsia="zh-CN" w:bidi="ar-SA"/>
        </w:rPr>
      </w:pPr>
      <w:r>
        <w:rPr>
          <w:rFonts w:hint="eastAsia"/>
          <w:color w:val="auto"/>
          <w:highlight w:val="none"/>
          <w:lang w:val="en-US" w:eastAsia="zh-CN"/>
        </w:rPr>
        <w:t xml:space="preserve"> </w:t>
      </w:r>
    </w:p>
    <w:p w14:paraId="0DB320B9">
      <w:pPr>
        <w:rPr>
          <w:rFonts w:hint="eastAsia" w:ascii="宋体" w:hAnsi="宋体" w:eastAsia="宋体" w:cs="宋体"/>
          <w:b/>
          <w:bCs/>
          <w:color w:val="auto"/>
          <w:sz w:val="24"/>
          <w:szCs w:val="24"/>
          <w:highlight w:val="none"/>
          <w:lang w:val="en-US" w:eastAsia="zh-CN" w:bidi="ar-SA"/>
        </w:rPr>
      </w:pPr>
    </w:p>
    <w:p w14:paraId="0D4A2AE5">
      <w:pPr>
        <w:pStyle w:val="9"/>
        <w:rPr>
          <w:rFonts w:hint="eastAsia" w:ascii="宋体" w:hAnsi="宋体" w:eastAsia="宋体" w:cs="宋体"/>
          <w:b/>
          <w:bCs/>
          <w:color w:val="auto"/>
          <w:sz w:val="24"/>
          <w:szCs w:val="24"/>
          <w:highlight w:val="none"/>
          <w:lang w:val="en-US" w:eastAsia="zh-CN" w:bidi="ar-SA"/>
        </w:rPr>
      </w:pPr>
    </w:p>
    <w:p w14:paraId="2F5AA7D9">
      <w:pPr>
        <w:pStyle w:val="10"/>
        <w:rPr>
          <w:rFonts w:hint="eastAsia" w:ascii="宋体" w:hAnsi="宋体" w:eastAsia="宋体" w:cs="宋体"/>
          <w:b/>
          <w:bCs/>
          <w:color w:val="auto"/>
          <w:sz w:val="24"/>
          <w:szCs w:val="24"/>
          <w:highlight w:val="none"/>
          <w:lang w:val="en-US" w:eastAsia="zh-CN" w:bidi="ar-SA"/>
        </w:rPr>
      </w:pPr>
    </w:p>
    <w:p w14:paraId="6314C4B8">
      <w:pPr>
        <w:jc w:val="both"/>
        <w:rPr>
          <w:color w:val="auto"/>
          <w:sz w:val="24"/>
          <w:szCs w:val="24"/>
          <w:highlight w:val="none"/>
        </w:rPr>
      </w:pPr>
    </w:p>
    <w:p w14:paraId="29378A11">
      <w:pPr>
        <w:pStyle w:val="8"/>
        <w:rPr>
          <w:color w:val="auto"/>
          <w:highlight w:val="none"/>
        </w:rPr>
      </w:pPr>
    </w:p>
    <w:bookmarkEnd w:id="84"/>
    <w:bookmarkEnd w:id="85"/>
    <w:bookmarkEnd w:id="86"/>
    <w:bookmarkEnd w:id="87"/>
    <w:p w14:paraId="47EDB58B">
      <w:pPr>
        <w:rPr>
          <w:rFonts w:hint="eastAsia" w:ascii="宋体" w:hAnsi="宋体" w:eastAsia="宋体" w:cs="宋体"/>
          <w:iCs/>
          <w:color w:val="auto"/>
          <w:sz w:val="32"/>
          <w:szCs w:val="32"/>
          <w:highlight w:val="none"/>
        </w:rPr>
      </w:pPr>
      <w:bookmarkStart w:id="4650" w:name="_Toc32586"/>
      <w:r>
        <w:rPr>
          <w:rFonts w:hint="eastAsia" w:ascii="宋体" w:hAnsi="宋体" w:eastAsia="宋体" w:cs="宋体"/>
          <w:iCs/>
          <w:color w:val="auto"/>
          <w:sz w:val="32"/>
          <w:szCs w:val="32"/>
          <w:highlight w:val="none"/>
        </w:rPr>
        <w:br w:type="page"/>
      </w:r>
    </w:p>
    <w:p w14:paraId="3250E25B">
      <w:pPr>
        <w:pStyle w:val="2"/>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t>第</w:t>
      </w:r>
      <w:r>
        <w:rPr>
          <w:rFonts w:hint="eastAsia" w:ascii="宋体" w:hAnsi="宋体" w:eastAsia="宋体" w:cs="宋体"/>
          <w:iCs/>
          <w:color w:val="auto"/>
          <w:sz w:val="32"/>
          <w:szCs w:val="32"/>
          <w:highlight w:val="none"/>
          <w:lang w:val="en-US" w:eastAsia="zh-CN"/>
        </w:rPr>
        <w:t>六</w:t>
      </w:r>
      <w:r>
        <w:rPr>
          <w:rFonts w:hint="eastAsia" w:ascii="宋体" w:hAnsi="宋体" w:eastAsia="宋体" w:cs="宋体"/>
          <w:iCs/>
          <w:color w:val="auto"/>
          <w:sz w:val="32"/>
          <w:szCs w:val="32"/>
          <w:highlight w:val="none"/>
        </w:rPr>
        <w:t>章</w:t>
      </w:r>
      <w:r>
        <w:rPr>
          <w:rFonts w:hint="eastAsia" w:ascii="宋体" w:hAnsi="宋体" w:eastAsia="宋体" w:cs="宋体"/>
          <w:iCs/>
          <w:color w:val="auto"/>
          <w:sz w:val="32"/>
          <w:szCs w:val="32"/>
          <w:highlight w:val="none"/>
          <w:lang w:val="en-US" w:eastAsia="zh-CN"/>
        </w:rPr>
        <w:t xml:space="preserve">  </w:t>
      </w:r>
      <w:r>
        <w:rPr>
          <w:rFonts w:hint="eastAsia" w:ascii="宋体" w:hAnsi="宋体" w:eastAsia="宋体" w:cs="宋体"/>
          <w:iCs/>
          <w:color w:val="auto"/>
          <w:sz w:val="32"/>
          <w:szCs w:val="32"/>
          <w:highlight w:val="none"/>
        </w:rPr>
        <w:t>响应文件格式</w:t>
      </w:r>
      <w:bookmarkEnd w:id="4650"/>
    </w:p>
    <w:p w14:paraId="4E54714E">
      <w:pPr>
        <w:keepNext w:val="0"/>
        <w:keepLines w:val="0"/>
        <w:pageBreakBefore w:val="0"/>
        <w:widowControl/>
        <w:kinsoku/>
        <w:wordWrap/>
        <w:overflowPunct/>
        <w:topLinePunct w:val="0"/>
        <w:autoSpaceDE/>
        <w:autoSpaceDN/>
        <w:bidi w:val="0"/>
        <w:adjustRightInd/>
        <w:snapToGrid/>
        <w:spacing w:line="360" w:lineRule="auto"/>
        <w:ind w:firstLine="437"/>
        <w:jc w:val="center"/>
        <w:textAlignment w:val="auto"/>
        <w:rPr>
          <w:color w:val="auto"/>
          <w:szCs w:val="21"/>
          <w:highlight w:val="none"/>
        </w:rPr>
      </w:pPr>
      <w:r>
        <w:rPr>
          <w:rFonts w:hint="eastAsia" w:ascii="宋体" w:hAnsi="宋体" w:cs="宋体"/>
          <w:b/>
          <w:bCs/>
          <w:color w:val="auto"/>
          <w:sz w:val="44"/>
          <w:szCs w:val="44"/>
          <w:highlight w:val="none"/>
          <w:lang w:val="en-US" w:eastAsia="zh-CN"/>
        </w:rPr>
        <w:t>新街镇坪地营溜溜塘易迁安置点基础设施提升项目</w:t>
      </w:r>
    </w:p>
    <w:p w14:paraId="2DE71E41">
      <w:pPr>
        <w:spacing w:line="460" w:lineRule="exact"/>
        <w:ind w:firstLine="437"/>
        <w:rPr>
          <w:color w:val="auto"/>
          <w:szCs w:val="21"/>
          <w:highlight w:val="none"/>
        </w:rPr>
      </w:pPr>
    </w:p>
    <w:p w14:paraId="004EAC13">
      <w:pPr>
        <w:spacing w:line="460" w:lineRule="exact"/>
        <w:ind w:firstLine="437"/>
        <w:rPr>
          <w:color w:val="auto"/>
          <w:szCs w:val="21"/>
          <w:highlight w:val="none"/>
        </w:rPr>
      </w:pPr>
    </w:p>
    <w:p w14:paraId="0F0D8C96">
      <w:pPr>
        <w:spacing w:line="540" w:lineRule="exact"/>
        <w:rPr>
          <w:color w:val="auto"/>
          <w:szCs w:val="21"/>
          <w:highlight w:val="none"/>
        </w:rPr>
      </w:pPr>
    </w:p>
    <w:p w14:paraId="7A4AF388">
      <w:pPr>
        <w:jc w:val="center"/>
        <w:rPr>
          <w:rFonts w:eastAsia="黑体"/>
          <w:b/>
          <w:color w:val="auto"/>
          <w:sz w:val="72"/>
          <w:szCs w:val="72"/>
          <w:highlight w:val="none"/>
        </w:rPr>
      </w:pPr>
      <w:r>
        <w:rPr>
          <w:rFonts w:eastAsia="黑体"/>
          <w:b/>
          <w:color w:val="auto"/>
          <w:sz w:val="72"/>
          <w:szCs w:val="72"/>
          <w:highlight w:val="none"/>
        </w:rPr>
        <w:t>响应文件</w:t>
      </w:r>
    </w:p>
    <w:p w14:paraId="2E4F9BE7">
      <w:pPr>
        <w:jc w:val="center"/>
        <w:rPr>
          <w:rFonts w:eastAsia="黑体"/>
          <w:color w:val="auto"/>
          <w:sz w:val="32"/>
          <w:szCs w:val="32"/>
          <w:highlight w:val="none"/>
        </w:rPr>
      </w:pPr>
    </w:p>
    <w:p w14:paraId="5C1C5E16">
      <w:pPr>
        <w:jc w:val="center"/>
        <w:rPr>
          <w:rFonts w:eastAsia="黑体"/>
          <w:color w:val="auto"/>
          <w:sz w:val="32"/>
          <w:szCs w:val="32"/>
          <w:highlight w:val="none"/>
        </w:rPr>
      </w:pPr>
      <w:r>
        <w:rPr>
          <w:rFonts w:hint="eastAsia" w:ascii="宋体" w:hAnsi="宋体" w:eastAsia="宋体" w:cs="宋体"/>
          <w:color w:val="auto"/>
          <w:sz w:val="32"/>
          <w:szCs w:val="32"/>
          <w:highlight w:val="none"/>
        </w:rPr>
        <w:t>项目编号：</w:t>
      </w:r>
    </w:p>
    <w:p w14:paraId="72CB87B5">
      <w:pPr>
        <w:spacing w:line="540" w:lineRule="exact"/>
        <w:ind w:firstLine="437"/>
        <w:rPr>
          <w:color w:val="auto"/>
          <w:szCs w:val="21"/>
          <w:highlight w:val="none"/>
        </w:rPr>
      </w:pPr>
    </w:p>
    <w:p w14:paraId="47683E92">
      <w:pPr>
        <w:spacing w:line="540" w:lineRule="exact"/>
        <w:ind w:firstLine="437"/>
        <w:rPr>
          <w:color w:val="auto"/>
          <w:szCs w:val="21"/>
          <w:highlight w:val="none"/>
        </w:rPr>
      </w:pPr>
    </w:p>
    <w:p w14:paraId="3C4B5961">
      <w:pPr>
        <w:spacing w:line="540" w:lineRule="exact"/>
        <w:ind w:firstLine="437"/>
        <w:rPr>
          <w:color w:val="auto"/>
          <w:szCs w:val="21"/>
          <w:highlight w:val="none"/>
        </w:rPr>
      </w:pPr>
    </w:p>
    <w:p w14:paraId="7C25094A">
      <w:pPr>
        <w:pStyle w:val="9"/>
        <w:rPr>
          <w:color w:val="auto"/>
          <w:highlight w:val="none"/>
        </w:rPr>
      </w:pPr>
    </w:p>
    <w:p w14:paraId="006D1D2B">
      <w:pPr>
        <w:spacing w:line="540" w:lineRule="exact"/>
        <w:ind w:firstLine="437"/>
        <w:rPr>
          <w:color w:val="auto"/>
          <w:szCs w:val="21"/>
          <w:highlight w:val="none"/>
        </w:rPr>
      </w:pPr>
    </w:p>
    <w:p w14:paraId="19FBF13C">
      <w:pPr>
        <w:spacing w:line="360" w:lineRule="auto"/>
        <w:ind w:firstLine="437"/>
        <w:rPr>
          <w:rFonts w:eastAsia="黑体"/>
          <w:color w:val="auto"/>
          <w:sz w:val="30"/>
          <w:szCs w:val="30"/>
          <w:highlight w:val="none"/>
        </w:rPr>
      </w:pPr>
      <w:r>
        <w:rPr>
          <w:rFonts w:eastAsia="黑体"/>
          <w:color w:val="auto"/>
          <w:sz w:val="30"/>
          <w:szCs w:val="30"/>
          <w:highlight w:val="none"/>
        </w:rPr>
        <w:t>供应商（</w:t>
      </w:r>
      <w:r>
        <w:rPr>
          <w:rFonts w:hint="eastAsia" w:eastAsia="黑体"/>
          <w:color w:val="auto"/>
          <w:sz w:val="30"/>
          <w:szCs w:val="30"/>
          <w:highlight w:val="none"/>
        </w:rPr>
        <w:t>电子签章</w:t>
      </w:r>
      <w:r>
        <w:rPr>
          <w:rFonts w:eastAsia="黑体"/>
          <w:color w:val="auto"/>
          <w:sz w:val="30"/>
          <w:szCs w:val="30"/>
          <w:highlight w:val="none"/>
        </w:rPr>
        <w:t>）:</w:t>
      </w:r>
      <w:r>
        <w:rPr>
          <w:rFonts w:eastAsia="黑体"/>
          <w:color w:val="auto"/>
          <w:sz w:val="30"/>
          <w:szCs w:val="30"/>
          <w:highlight w:val="none"/>
          <w:u w:val="single"/>
        </w:rPr>
        <w:t xml:space="preserve">                               </w:t>
      </w:r>
    </w:p>
    <w:p w14:paraId="4AE20564">
      <w:pPr>
        <w:spacing w:line="360" w:lineRule="auto"/>
        <w:ind w:firstLine="437"/>
        <w:rPr>
          <w:b/>
          <w:color w:val="auto"/>
          <w:sz w:val="32"/>
          <w:szCs w:val="32"/>
          <w:highlight w:val="none"/>
          <w:u w:val="single"/>
        </w:rPr>
      </w:pPr>
      <w:r>
        <w:rPr>
          <w:rFonts w:eastAsia="黑体"/>
          <w:color w:val="auto"/>
          <w:sz w:val="30"/>
          <w:szCs w:val="30"/>
          <w:highlight w:val="none"/>
        </w:rPr>
        <w:t>法定代表人或其委托代理人（</w:t>
      </w:r>
      <w:r>
        <w:rPr>
          <w:rFonts w:hint="eastAsia" w:eastAsia="黑体"/>
          <w:color w:val="auto"/>
          <w:sz w:val="30"/>
          <w:szCs w:val="30"/>
          <w:highlight w:val="none"/>
        </w:rPr>
        <w:t>电子签章</w:t>
      </w:r>
      <w:r>
        <w:rPr>
          <w:rFonts w:eastAsia="黑体"/>
          <w:color w:val="auto"/>
          <w:sz w:val="30"/>
          <w:szCs w:val="30"/>
          <w:highlight w:val="none"/>
        </w:rPr>
        <w:t>）:</w:t>
      </w:r>
      <w:r>
        <w:rPr>
          <w:rFonts w:eastAsia="黑体"/>
          <w:color w:val="auto"/>
          <w:sz w:val="30"/>
          <w:szCs w:val="30"/>
          <w:highlight w:val="none"/>
          <w:u w:val="single"/>
        </w:rPr>
        <w:t xml:space="preserve">       </w:t>
      </w:r>
      <w:r>
        <w:rPr>
          <w:rFonts w:hint="eastAsia" w:eastAsia="黑体"/>
          <w:color w:val="auto"/>
          <w:sz w:val="30"/>
          <w:szCs w:val="30"/>
          <w:highlight w:val="none"/>
          <w:u w:val="single"/>
        </w:rPr>
        <w:t xml:space="preserve">      </w:t>
      </w:r>
    </w:p>
    <w:p w14:paraId="5CFCB1DB">
      <w:pPr>
        <w:spacing w:line="540" w:lineRule="exact"/>
        <w:ind w:firstLine="2192" w:firstLineChars="685"/>
        <w:rPr>
          <w:rFonts w:eastAsia="黑体"/>
          <w:color w:val="auto"/>
          <w:sz w:val="32"/>
          <w:szCs w:val="32"/>
          <w:highlight w:val="none"/>
        </w:rPr>
      </w:pPr>
      <w:r>
        <w:rPr>
          <w:rFonts w:eastAsia="黑体"/>
          <w:color w:val="auto"/>
          <w:sz w:val="32"/>
          <w:szCs w:val="32"/>
          <w:highlight w:val="none"/>
          <w:u w:val="single"/>
        </w:rPr>
        <w:t xml:space="preserve">         </w:t>
      </w:r>
      <w:r>
        <w:rPr>
          <w:rFonts w:eastAsia="黑体"/>
          <w:color w:val="auto"/>
          <w:sz w:val="32"/>
          <w:szCs w:val="32"/>
          <w:highlight w:val="none"/>
        </w:rPr>
        <w:t>年</w:t>
      </w:r>
      <w:r>
        <w:rPr>
          <w:rFonts w:eastAsia="黑体"/>
          <w:color w:val="auto"/>
          <w:sz w:val="32"/>
          <w:szCs w:val="32"/>
          <w:highlight w:val="none"/>
          <w:u w:val="single"/>
        </w:rPr>
        <w:t xml:space="preserve">      </w:t>
      </w:r>
      <w:r>
        <w:rPr>
          <w:rFonts w:eastAsia="黑体"/>
          <w:color w:val="auto"/>
          <w:sz w:val="32"/>
          <w:szCs w:val="32"/>
          <w:highlight w:val="none"/>
        </w:rPr>
        <w:t>月</w:t>
      </w:r>
      <w:r>
        <w:rPr>
          <w:rFonts w:eastAsia="黑体"/>
          <w:color w:val="auto"/>
          <w:sz w:val="32"/>
          <w:szCs w:val="32"/>
          <w:highlight w:val="none"/>
          <w:u w:val="single"/>
        </w:rPr>
        <w:t xml:space="preserve">      </w:t>
      </w:r>
      <w:r>
        <w:rPr>
          <w:rFonts w:eastAsia="黑体"/>
          <w:color w:val="auto"/>
          <w:sz w:val="32"/>
          <w:szCs w:val="32"/>
          <w:highlight w:val="none"/>
        </w:rPr>
        <w:t>日</w:t>
      </w:r>
    </w:p>
    <w:p w14:paraId="7F5E2472">
      <w:pPr>
        <w:ind w:firstLine="514" w:firstLineChars="257"/>
        <w:rPr>
          <w:rFonts w:hint="eastAsia" w:ascii="宋体" w:hAnsi="宋体"/>
          <w:color w:val="auto"/>
          <w:szCs w:val="21"/>
          <w:highlight w:val="none"/>
        </w:rPr>
      </w:pPr>
    </w:p>
    <w:p w14:paraId="51FF5995">
      <w:pPr>
        <w:rPr>
          <w:color w:val="auto"/>
          <w:highlight w:val="none"/>
        </w:rPr>
        <w:sectPr>
          <w:headerReference r:id="rId6" w:type="default"/>
          <w:footerReference r:id="rId7" w:type="default"/>
          <w:pgSz w:w="11906" w:h="16838"/>
          <w:pgMar w:top="1440" w:right="1800" w:bottom="1440" w:left="1800" w:header="851" w:footer="992" w:gutter="0"/>
          <w:pgNumType w:fmt="decimal"/>
          <w:cols w:space="720" w:num="1"/>
          <w:docGrid w:linePitch="312" w:charSpace="0"/>
        </w:sectPr>
      </w:pPr>
    </w:p>
    <w:p w14:paraId="1AE06331">
      <w:pPr>
        <w:pStyle w:val="3"/>
        <w:rPr>
          <w:rFonts w:hint="eastAsia" w:ascii="宋体" w:hAnsi="宋体" w:cs="宋体"/>
          <w:color w:val="auto"/>
          <w:highlight w:val="none"/>
        </w:rPr>
      </w:pPr>
      <w:bookmarkStart w:id="4651" w:name="_Toc19455"/>
      <w:bookmarkStart w:id="4652" w:name="_Toc7444"/>
      <w:bookmarkStart w:id="4653" w:name="_Toc2971"/>
      <w:bookmarkStart w:id="4654" w:name="OLE_LINK46"/>
      <w:r>
        <w:rPr>
          <w:rFonts w:hint="eastAsia" w:ascii="宋体" w:hAnsi="宋体" w:cs="宋体"/>
          <w:color w:val="auto"/>
          <w:highlight w:val="none"/>
        </w:rPr>
        <w:t>一、响应文件资格审查部分格式</w:t>
      </w:r>
      <w:bookmarkEnd w:id="4651"/>
      <w:bookmarkEnd w:id="4652"/>
      <w:bookmarkEnd w:id="4653"/>
    </w:p>
    <w:bookmarkEnd w:id="4654"/>
    <w:p w14:paraId="72D3DFBB">
      <w:pPr>
        <w:spacing w:line="360" w:lineRule="auto"/>
        <w:ind w:firstLine="616" w:firstLineChars="257"/>
        <w:rPr>
          <w:rFonts w:hint="eastAsia" w:ascii="宋体" w:hAnsi="宋体" w:cs="宋体"/>
          <w:color w:val="auto"/>
          <w:sz w:val="24"/>
          <w:szCs w:val="24"/>
          <w:highlight w:val="none"/>
        </w:rPr>
      </w:pPr>
    </w:p>
    <w:p w14:paraId="71C77ECA">
      <w:pPr>
        <w:spacing w:line="360" w:lineRule="auto"/>
        <w:ind w:firstLine="616" w:firstLineChars="257"/>
        <w:rPr>
          <w:rFonts w:hint="eastAsia" w:ascii="宋体" w:hAnsi="宋体" w:cs="宋体"/>
          <w:color w:val="auto"/>
          <w:sz w:val="24"/>
          <w:szCs w:val="24"/>
          <w:highlight w:val="none"/>
        </w:rPr>
      </w:pPr>
    </w:p>
    <w:p w14:paraId="37E53FB5">
      <w:pPr>
        <w:spacing w:line="360" w:lineRule="auto"/>
        <w:ind w:firstLine="616" w:firstLineChars="257"/>
        <w:rPr>
          <w:rFonts w:hint="eastAsia" w:ascii="宋体" w:hAnsi="宋体" w:cs="宋体"/>
          <w:color w:val="auto"/>
          <w:sz w:val="24"/>
          <w:szCs w:val="24"/>
          <w:highlight w:val="none"/>
        </w:rPr>
      </w:pPr>
    </w:p>
    <w:p w14:paraId="672C7C32">
      <w:pPr>
        <w:spacing w:line="360" w:lineRule="auto"/>
        <w:ind w:firstLine="616" w:firstLineChars="257"/>
        <w:rPr>
          <w:rFonts w:hint="eastAsia" w:ascii="宋体" w:hAnsi="宋体" w:cs="宋体"/>
          <w:color w:val="auto"/>
          <w:sz w:val="24"/>
          <w:szCs w:val="24"/>
          <w:highlight w:val="none"/>
        </w:rPr>
      </w:pPr>
    </w:p>
    <w:p w14:paraId="4A818E46">
      <w:pPr>
        <w:spacing w:line="360" w:lineRule="auto"/>
        <w:ind w:firstLine="616" w:firstLineChars="257"/>
        <w:rPr>
          <w:rFonts w:hint="eastAsia" w:ascii="宋体" w:hAnsi="宋体" w:cs="宋体"/>
          <w:color w:val="auto"/>
          <w:sz w:val="24"/>
          <w:szCs w:val="24"/>
          <w:highlight w:val="none"/>
        </w:rPr>
      </w:pPr>
    </w:p>
    <w:p w14:paraId="4B19A6D3">
      <w:pPr>
        <w:pStyle w:val="3"/>
        <w:rPr>
          <w:rFonts w:hint="eastAsia" w:ascii="宋体" w:hAnsi="宋体" w:cs="宋体"/>
          <w:color w:val="auto"/>
          <w:sz w:val="24"/>
          <w:highlight w:val="none"/>
        </w:rPr>
        <w:sectPr>
          <w:pgSz w:w="11906" w:h="16838"/>
          <w:pgMar w:top="1134" w:right="1247" w:bottom="1134" w:left="1247" w:header="851" w:footer="992" w:gutter="0"/>
          <w:pgNumType w:fmt="decimal"/>
          <w:cols w:space="720" w:num="1"/>
          <w:docGrid w:linePitch="312" w:charSpace="0"/>
        </w:sectPr>
      </w:pPr>
    </w:p>
    <w:p w14:paraId="7BE87888">
      <w:pPr>
        <w:numPr>
          <w:ilvl w:val="0"/>
          <w:numId w:val="5"/>
        </w:numPr>
        <w:spacing w:line="360" w:lineRule="auto"/>
        <w:jc w:val="center"/>
        <w:outlineLvl w:val="2"/>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营业执照或事业单位法人证书或其他组织</w:t>
      </w:r>
    </w:p>
    <w:p w14:paraId="025C4554">
      <w:pPr>
        <w:widowControl w:val="0"/>
        <w:adjustRightInd w:val="0"/>
        <w:snapToGrid w:val="0"/>
        <w:spacing w:line="360" w:lineRule="auto"/>
        <w:ind w:firstLine="400" w:firstLineChars="200"/>
        <w:rPr>
          <w:rFonts w:hint="default"/>
          <w:color w:val="auto"/>
          <w:highlight w:val="none"/>
          <w:lang w:val="en-US" w:eastAsia="zh-CN"/>
        </w:rPr>
      </w:pPr>
    </w:p>
    <w:p w14:paraId="7433CCD0">
      <w:pPr>
        <w:pStyle w:val="9"/>
        <w:spacing w:line="360" w:lineRule="auto"/>
        <w:jc w:val="center"/>
        <w:outlineLvl w:val="3"/>
        <w:rPr>
          <w:rFonts w:cs="宋体"/>
          <w:color w:val="auto"/>
          <w:sz w:val="24"/>
          <w:szCs w:val="24"/>
          <w:highlight w:val="none"/>
        </w:rPr>
      </w:pPr>
      <w:r>
        <w:rPr>
          <w:rFonts w:hint="eastAsia" w:cs="宋体"/>
          <w:color w:val="auto"/>
          <w:sz w:val="24"/>
          <w:szCs w:val="24"/>
          <w:highlight w:val="none"/>
        </w:rPr>
        <w:t>附扫描件加盖单位电子签章</w:t>
      </w:r>
    </w:p>
    <w:p w14:paraId="2BC4E0D3">
      <w:pPr>
        <w:adjustRightInd w:val="0"/>
        <w:snapToGrid w:val="0"/>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543C4341">
      <w:pPr>
        <w:pStyle w:val="8"/>
        <w:rPr>
          <w:rFonts w:hint="eastAsia"/>
          <w:color w:val="auto"/>
          <w:highlight w:val="none"/>
        </w:rPr>
        <w:sectPr>
          <w:pgSz w:w="11906" w:h="16838"/>
          <w:pgMar w:top="1134" w:right="1247" w:bottom="1134" w:left="1247" w:header="851" w:footer="992" w:gutter="0"/>
          <w:pgNumType w:fmt="decimal"/>
          <w:cols w:space="720" w:num="1"/>
          <w:docGrid w:linePitch="312" w:charSpace="0"/>
        </w:sectPr>
      </w:pPr>
    </w:p>
    <w:p w14:paraId="65C75347">
      <w:pPr>
        <w:pStyle w:val="9"/>
        <w:spacing w:before="5"/>
        <w:rPr>
          <w:rFonts w:ascii="Times New Roman" w:hAnsi="Times New Roman" w:cs="Times New Roman"/>
          <w:color w:val="auto"/>
          <w:sz w:val="39"/>
          <w:highlight w:val="none"/>
        </w:rPr>
      </w:pPr>
      <w:bookmarkStart w:id="4655" w:name="_Toc7403"/>
      <w:r>
        <w:rPr>
          <w:rFonts w:ascii="Times New Roman" w:hAnsi="Times New Roman" w:cs="Times New Roman"/>
          <w:color w:val="auto"/>
          <w:highlight w:val="none"/>
        </w:rPr>
        <w:br w:type="column"/>
      </w:r>
    </w:p>
    <w:p w14:paraId="1B456DC1">
      <w:pPr>
        <w:pStyle w:val="2"/>
        <w:spacing w:before="0"/>
        <w:ind w:left="541"/>
        <w:jc w:val="left"/>
        <w:rPr>
          <w:rFonts w:ascii="Times New Roman" w:hAnsi="Times New Roman" w:cs="Times New Roman"/>
          <w:color w:val="auto"/>
          <w:highlight w:val="none"/>
        </w:rPr>
        <w:sectPr>
          <w:pgSz w:w="11910" w:h="16840"/>
          <w:pgMar w:top="1340" w:right="560" w:bottom="1080" w:left="1160" w:header="879" w:footer="892" w:gutter="0"/>
          <w:cols w:equalWidth="0" w:num="2">
            <w:col w:w="3014" w:space="78"/>
            <w:col w:w="7098"/>
          </w:cols>
        </w:sectPr>
      </w:pPr>
      <w:bookmarkStart w:id="4656" w:name="_Toc12235"/>
      <w:bookmarkStart w:id="4657" w:name="_Toc160018033"/>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二</w:t>
      </w:r>
      <w:r>
        <w:rPr>
          <w:rFonts w:hint="eastAsia" w:ascii="Times New Roman" w:hAnsi="Times New Roman" w:cs="Times New Roman"/>
          <w:color w:val="auto"/>
          <w:highlight w:val="none"/>
          <w:lang w:eastAsia="zh-CN"/>
        </w:rPr>
        <w:t>）</w:t>
      </w:r>
      <w:r>
        <w:rPr>
          <w:rFonts w:ascii="Times New Roman" w:hAnsi="Times New Roman" w:cs="Times New Roman"/>
          <w:color w:val="auto"/>
          <w:highlight w:val="none"/>
        </w:rPr>
        <w:t>供应商资格声明书</w:t>
      </w:r>
      <w:bookmarkEnd w:id="4656"/>
      <w:bookmarkEnd w:id="4657"/>
    </w:p>
    <w:p w14:paraId="18F10F38">
      <w:pPr>
        <w:pStyle w:val="9"/>
        <w:spacing w:before="12"/>
        <w:rPr>
          <w:rFonts w:ascii="Times New Roman" w:hAnsi="Times New Roman" w:cs="Times New Roman"/>
          <w:color w:val="auto"/>
          <w:sz w:val="27"/>
          <w:highlight w:val="none"/>
        </w:rPr>
      </w:pPr>
    </w:p>
    <w:p w14:paraId="0A69B9B8">
      <w:pPr>
        <w:pStyle w:val="9"/>
        <w:spacing w:before="66"/>
        <w:ind w:left="54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致：</w:t>
      </w:r>
      <w:r>
        <w:rPr>
          <w:rFonts w:hint="eastAsia" w:ascii="宋体" w:hAnsi="宋体" w:eastAsia="宋体" w:cs="宋体"/>
          <w:color w:val="auto"/>
          <w:sz w:val="24"/>
          <w:szCs w:val="24"/>
          <w:highlight w:val="none"/>
          <w:u w:val="single"/>
          <w:lang w:eastAsia="zh-CN"/>
        </w:rPr>
        <w:t>采购人或采购代理机构</w:t>
      </w:r>
    </w:p>
    <w:p w14:paraId="3D0F71DB">
      <w:pPr>
        <w:pStyle w:val="9"/>
        <w:spacing w:before="161"/>
        <w:ind w:left="102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在参与本次项目磋商中，我单位承诺：</w:t>
      </w:r>
    </w:p>
    <w:p w14:paraId="6544CBFD">
      <w:pPr>
        <w:pStyle w:val="9"/>
        <w:spacing w:before="159"/>
        <w:ind w:left="95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（一）具有良好的商业信誉和健全的财务会计制度；</w:t>
      </w:r>
    </w:p>
    <w:p w14:paraId="7BCCA808">
      <w:pPr>
        <w:pStyle w:val="9"/>
        <w:spacing w:before="158"/>
        <w:ind w:left="95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（二）具有履行合同所必需的设备和专业技术能力；</w:t>
      </w:r>
    </w:p>
    <w:p w14:paraId="6913A925">
      <w:pPr>
        <w:pStyle w:val="9"/>
        <w:spacing w:before="160"/>
        <w:ind w:left="95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（三）有依法缴纳税收和社会保障资金的良好记录；</w:t>
      </w:r>
    </w:p>
    <w:p w14:paraId="3C96D016">
      <w:pPr>
        <w:pStyle w:val="9"/>
        <w:spacing w:before="158" w:line="364" w:lineRule="auto"/>
        <w:ind w:left="1674" w:right="572" w:hanging="721"/>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（四）参加政府采购活动前三年内，在经营活动中没有重大违法记录（</w:t>
      </w:r>
      <w:r>
        <w:rPr>
          <w:rFonts w:hint="eastAsia" w:ascii="宋体" w:hAnsi="宋体" w:eastAsia="宋体" w:cs="宋体"/>
          <w:color w:val="auto"/>
          <w:spacing w:val="-3"/>
          <w:sz w:val="24"/>
          <w:szCs w:val="24"/>
          <w:highlight w:val="none"/>
          <w:lang w:eastAsia="zh-CN"/>
        </w:rPr>
        <w:t>重大违法记</w:t>
      </w:r>
      <w:r>
        <w:rPr>
          <w:rFonts w:hint="eastAsia" w:ascii="宋体" w:hAnsi="宋体" w:eastAsia="宋体" w:cs="宋体"/>
          <w:color w:val="auto"/>
          <w:spacing w:val="-1"/>
          <w:sz w:val="24"/>
          <w:szCs w:val="24"/>
          <w:highlight w:val="none"/>
          <w:lang w:eastAsia="zh-CN"/>
        </w:rPr>
        <w:t>录指因违法经营受到刑事处罚或者责令停产停业、吊销许可证或者执照、较大数额罚款等行政处罚，不包括因违法经营被禁止在一定期限内参加政府采</w:t>
      </w:r>
      <w:r>
        <w:rPr>
          <w:rFonts w:hint="eastAsia" w:ascii="宋体" w:hAnsi="宋体" w:eastAsia="宋体" w:cs="宋体"/>
          <w:color w:val="auto"/>
          <w:sz w:val="24"/>
          <w:szCs w:val="24"/>
          <w:highlight w:val="none"/>
          <w:lang w:eastAsia="zh-CN"/>
        </w:rPr>
        <w:t>购活动，但期限已经届满的情形</w:t>
      </w:r>
      <w:r>
        <w:rPr>
          <w:rFonts w:hint="eastAsia" w:ascii="宋体" w:hAnsi="宋体" w:eastAsia="宋体" w:cs="宋体"/>
          <w:color w:val="auto"/>
          <w:spacing w:val="-121"/>
          <w:sz w:val="24"/>
          <w:szCs w:val="24"/>
          <w:highlight w:val="none"/>
          <w:lang w:eastAsia="zh-CN"/>
        </w:rPr>
        <w:t>）</w:t>
      </w:r>
      <w:r>
        <w:rPr>
          <w:rFonts w:hint="eastAsia" w:ascii="宋体" w:hAnsi="宋体" w:eastAsia="宋体" w:cs="宋体"/>
          <w:color w:val="auto"/>
          <w:sz w:val="24"/>
          <w:szCs w:val="24"/>
          <w:highlight w:val="none"/>
          <w:lang w:eastAsia="zh-CN"/>
        </w:rPr>
        <w:t>；</w:t>
      </w:r>
    </w:p>
    <w:p w14:paraId="74CF85F7">
      <w:pPr>
        <w:pStyle w:val="9"/>
        <w:spacing w:line="362" w:lineRule="auto"/>
        <w:ind w:left="1674" w:right="572" w:hanging="72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w:t>
      </w:r>
      <w:r>
        <w:rPr>
          <w:rFonts w:hint="eastAsia" w:ascii="宋体" w:hAnsi="宋体" w:eastAsia="宋体" w:cs="宋体"/>
          <w:color w:val="auto"/>
          <w:spacing w:val="-1"/>
          <w:sz w:val="24"/>
          <w:szCs w:val="24"/>
          <w:highlight w:val="none"/>
          <w:lang w:eastAsia="zh-CN"/>
        </w:rPr>
        <w:t>我单位不属于政府采购法律、行政法规规定的公益一类事业单位、或使用事</w:t>
      </w:r>
      <w:r>
        <w:rPr>
          <w:rFonts w:hint="eastAsia" w:ascii="宋体" w:hAnsi="宋体" w:eastAsia="宋体" w:cs="宋体"/>
          <w:color w:val="auto"/>
          <w:sz w:val="24"/>
          <w:szCs w:val="24"/>
          <w:highlight w:val="none"/>
          <w:lang w:eastAsia="zh-CN"/>
        </w:rPr>
        <w:t>业编制且由财政拨款保障的群团组织（仅适用于政府购买服务项目</w:t>
      </w:r>
      <w:r>
        <w:rPr>
          <w:rFonts w:hint="eastAsia" w:ascii="宋体" w:hAnsi="宋体" w:eastAsia="宋体" w:cs="宋体"/>
          <w:color w:val="auto"/>
          <w:spacing w:val="-121"/>
          <w:sz w:val="24"/>
          <w:szCs w:val="24"/>
          <w:highlight w:val="none"/>
          <w:lang w:eastAsia="zh-CN"/>
        </w:rPr>
        <w:t>）</w:t>
      </w:r>
      <w:r>
        <w:rPr>
          <w:rFonts w:hint="eastAsia" w:ascii="宋体" w:hAnsi="宋体" w:eastAsia="宋体" w:cs="宋体"/>
          <w:color w:val="auto"/>
          <w:sz w:val="24"/>
          <w:szCs w:val="24"/>
          <w:highlight w:val="none"/>
          <w:lang w:eastAsia="zh-CN"/>
        </w:rPr>
        <w:t>；</w:t>
      </w:r>
    </w:p>
    <w:p w14:paraId="275714BE">
      <w:pPr>
        <w:pStyle w:val="9"/>
        <w:spacing w:before="5" w:line="364" w:lineRule="auto"/>
        <w:ind w:left="1674" w:right="572" w:hanging="721"/>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w:t>
      </w:r>
      <w:r>
        <w:rPr>
          <w:rFonts w:hint="eastAsia" w:ascii="宋体" w:hAnsi="宋体" w:eastAsia="宋体" w:cs="宋体"/>
          <w:color w:val="auto"/>
          <w:spacing w:val="-1"/>
          <w:sz w:val="24"/>
          <w:szCs w:val="24"/>
          <w:highlight w:val="none"/>
          <w:lang w:eastAsia="zh-CN"/>
        </w:rPr>
        <w:t>我单位不存在为采购项目提供整体设计、规范编制或者项目管理、监理、检</w:t>
      </w:r>
      <w:r>
        <w:rPr>
          <w:rFonts w:hint="eastAsia" w:ascii="宋体" w:hAnsi="宋体" w:eastAsia="宋体" w:cs="宋体"/>
          <w:color w:val="auto"/>
          <w:sz w:val="24"/>
          <w:szCs w:val="24"/>
          <w:highlight w:val="none"/>
          <w:lang w:eastAsia="zh-CN"/>
        </w:rPr>
        <w:t>测等服务后，再参加该采购项目的其他采购活动的情形（</w:t>
      </w:r>
      <w:r>
        <w:rPr>
          <w:rFonts w:hint="eastAsia" w:ascii="宋体" w:hAnsi="宋体" w:eastAsia="宋体" w:cs="宋体"/>
          <w:color w:val="auto"/>
          <w:spacing w:val="-2"/>
          <w:sz w:val="24"/>
          <w:szCs w:val="24"/>
          <w:highlight w:val="none"/>
          <w:lang w:eastAsia="zh-CN"/>
        </w:rPr>
        <w:t>单一来源采购项目</w:t>
      </w:r>
      <w:r>
        <w:rPr>
          <w:rFonts w:hint="eastAsia" w:ascii="宋体" w:hAnsi="宋体" w:eastAsia="宋体" w:cs="宋体"/>
          <w:color w:val="auto"/>
          <w:sz w:val="24"/>
          <w:szCs w:val="24"/>
          <w:highlight w:val="none"/>
          <w:lang w:eastAsia="zh-CN"/>
        </w:rPr>
        <w:t>除外</w:t>
      </w:r>
      <w:r>
        <w:rPr>
          <w:rFonts w:hint="eastAsia" w:ascii="宋体" w:hAnsi="宋体" w:eastAsia="宋体" w:cs="宋体"/>
          <w:color w:val="auto"/>
          <w:spacing w:val="-121"/>
          <w:sz w:val="24"/>
          <w:szCs w:val="24"/>
          <w:highlight w:val="none"/>
          <w:lang w:eastAsia="zh-CN"/>
        </w:rPr>
        <w:t>）</w:t>
      </w:r>
      <w:r>
        <w:rPr>
          <w:rFonts w:hint="eastAsia" w:ascii="宋体" w:hAnsi="宋体" w:eastAsia="宋体" w:cs="宋体"/>
          <w:color w:val="auto"/>
          <w:sz w:val="24"/>
          <w:szCs w:val="24"/>
          <w:highlight w:val="none"/>
          <w:lang w:eastAsia="zh-CN"/>
        </w:rPr>
        <w:t>；</w:t>
      </w:r>
    </w:p>
    <w:p w14:paraId="033EB5FD">
      <w:pPr>
        <w:pStyle w:val="9"/>
        <w:spacing w:line="364" w:lineRule="auto"/>
        <w:ind w:left="1674" w:right="572" w:hanging="721"/>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（七）与我单位存在“单位负责人为同一人或者存在直接控股、管理关系”</w:t>
      </w:r>
      <w:r>
        <w:rPr>
          <w:rFonts w:hint="eastAsia" w:ascii="宋体" w:hAnsi="宋体" w:eastAsia="宋体" w:cs="宋体"/>
          <w:color w:val="auto"/>
          <w:spacing w:val="-3"/>
          <w:sz w:val="24"/>
          <w:szCs w:val="24"/>
          <w:highlight w:val="none"/>
          <w:lang w:eastAsia="zh-CN"/>
        </w:rPr>
        <w:t>的其他法</w:t>
      </w:r>
      <w:r>
        <w:rPr>
          <w:rFonts w:hint="eastAsia" w:ascii="宋体" w:hAnsi="宋体" w:eastAsia="宋体" w:cs="宋体"/>
          <w:color w:val="auto"/>
          <w:sz w:val="24"/>
          <w:szCs w:val="24"/>
          <w:highlight w:val="none"/>
          <w:lang w:eastAsia="zh-CN"/>
        </w:rPr>
        <w:t>人单位信息如下（</w:t>
      </w:r>
      <w:r>
        <w:rPr>
          <w:rFonts w:hint="eastAsia" w:ascii="宋体" w:hAnsi="宋体" w:eastAsia="宋体" w:cs="宋体"/>
          <w:color w:val="auto"/>
          <w:spacing w:val="-1"/>
          <w:sz w:val="24"/>
          <w:szCs w:val="24"/>
          <w:highlight w:val="none"/>
          <w:lang w:eastAsia="zh-CN"/>
        </w:rPr>
        <w:t>如有，不论其是否参加同一合同项下的政府采购活动均须</w:t>
      </w:r>
      <w:r>
        <w:rPr>
          <w:rFonts w:hint="eastAsia" w:ascii="宋体" w:hAnsi="宋体" w:eastAsia="宋体" w:cs="宋体"/>
          <w:color w:val="auto"/>
          <w:sz w:val="24"/>
          <w:szCs w:val="24"/>
          <w:highlight w:val="none"/>
          <w:lang w:eastAsia="zh-CN"/>
        </w:rPr>
        <w:t>填写</w:t>
      </w:r>
      <w:r>
        <w:rPr>
          <w:rFonts w:hint="eastAsia" w:ascii="宋体" w:hAnsi="宋体" w:eastAsia="宋体" w:cs="宋体"/>
          <w:color w:val="auto"/>
          <w:spacing w:val="-121"/>
          <w:sz w:val="24"/>
          <w:szCs w:val="24"/>
          <w:highlight w:val="none"/>
          <w:lang w:eastAsia="zh-CN"/>
        </w:rPr>
        <w:t>）</w:t>
      </w:r>
      <w:r>
        <w:rPr>
          <w:rFonts w:hint="eastAsia" w:ascii="宋体" w:hAnsi="宋体" w:eastAsia="宋体" w:cs="宋体"/>
          <w:color w:val="auto"/>
          <w:sz w:val="24"/>
          <w:szCs w:val="24"/>
          <w:highlight w:val="none"/>
          <w:lang w:eastAsia="zh-CN"/>
        </w:rPr>
        <w:t>：</w:t>
      </w:r>
    </w:p>
    <w:tbl>
      <w:tblPr>
        <w:tblStyle w:val="48"/>
        <w:tblW w:w="0" w:type="auto"/>
        <w:tblInd w:w="8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4574"/>
        <w:gridCol w:w="2976"/>
      </w:tblGrid>
      <w:tr w14:paraId="694C4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14:paraId="04C210DC">
            <w:pPr>
              <w:pStyle w:val="50"/>
              <w:spacing w:before="56"/>
              <w:ind w:left="215" w:right="20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4574" w:type="dxa"/>
          </w:tcPr>
          <w:p w14:paraId="33BF1ACE">
            <w:pPr>
              <w:pStyle w:val="50"/>
              <w:spacing w:before="56"/>
              <w:ind w:left="1787" w:right="177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p>
        </w:tc>
        <w:tc>
          <w:tcPr>
            <w:tcW w:w="2976" w:type="dxa"/>
          </w:tcPr>
          <w:p w14:paraId="7317E711">
            <w:pPr>
              <w:pStyle w:val="50"/>
              <w:spacing w:before="56"/>
              <w:ind w:left="989" w:right="97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相互关系</w:t>
            </w:r>
          </w:p>
        </w:tc>
      </w:tr>
      <w:tr w14:paraId="36770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950" w:type="dxa"/>
          </w:tcPr>
          <w:p w14:paraId="4F255A54">
            <w:pPr>
              <w:pStyle w:val="50"/>
              <w:spacing w:before="66"/>
              <w:ind w:left="9"/>
              <w:jc w:val="center"/>
              <w:rPr>
                <w:rFonts w:hint="eastAsia" w:ascii="宋体" w:hAnsi="宋体" w:eastAsia="宋体" w:cs="宋体"/>
                <w:color w:val="auto"/>
                <w:sz w:val="24"/>
                <w:szCs w:val="24"/>
                <w:highlight w:val="none"/>
              </w:rPr>
            </w:pPr>
            <w:r>
              <w:rPr>
                <w:rFonts w:hint="eastAsia" w:ascii="宋体" w:hAnsi="宋体" w:eastAsia="宋体" w:cs="宋体"/>
                <w:color w:val="auto"/>
                <w:w w:val="139"/>
                <w:sz w:val="24"/>
                <w:szCs w:val="24"/>
                <w:highlight w:val="none"/>
              </w:rPr>
              <w:t>1</w:t>
            </w:r>
          </w:p>
        </w:tc>
        <w:tc>
          <w:tcPr>
            <w:tcW w:w="4574" w:type="dxa"/>
          </w:tcPr>
          <w:p w14:paraId="6D928B38">
            <w:pPr>
              <w:pStyle w:val="50"/>
              <w:rPr>
                <w:rFonts w:hint="eastAsia" w:ascii="宋体" w:hAnsi="宋体" w:eastAsia="宋体" w:cs="宋体"/>
                <w:color w:val="auto"/>
                <w:sz w:val="24"/>
                <w:szCs w:val="24"/>
                <w:highlight w:val="none"/>
              </w:rPr>
            </w:pPr>
          </w:p>
        </w:tc>
        <w:tc>
          <w:tcPr>
            <w:tcW w:w="2976" w:type="dxa"/>
          </w:tcPr>
          <w:p w14:paraId="6C1C667F">
            <w:pPr>
              <w:pStyle w:val="50"/>
              <w:rPr>
                <w:rFonts w:hint="eastAsia" w:ascii="宋体" w:hAnsi="宋体" w:eastAsia="宋体" w:cs="宋体"/>
                <w:color w:val="auto"/>
                <w:sz w:val="24"/>
                <w:szCs w:val="24"/>
                <w:highlight w:val="none"/>
              </w:rPr>
            </w:pPr>
          </w:p>
        </w:tc>
      </w:tr>
      <w:tr w14:paraId="23669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14:paraId="3EBD1ECC">
            <w:pPr>
              <w:pStyle w:val="50"/>
              <w:spacing w:before="67"/>
              <w:ind w:left="9"/>
              <w:jc w:val="center"/>
              <w:rPr>
                <w:rFonts w:hint="eastAsia" w:ascii="宋体" w:hAnsi="宋体" w:eastAsia="宋体" w:cs="宋体"/>
                <w:color w:val="auto"/>
                <w:sz w:val="24"/>
                <w:szCs w:val="24"/>
                <w:highlight w:val="none"/>
              </w:rPr>
            </w:pPr>
            <w:r>
              <w:rPr>
                <w:rFonts w:hint="eastAsia" w:ascii="宋体" w:hAnsi="宋体" w:eastAsia="宋体" w:cs="宋体"/>
                <w:color w:val="auto"/>
                <w:w w:val="139"/>
                <w:sz w:val="24"/>
                <w:szCs w:val="24"/>
                <w:highlight w:val="none"/>
              </w:rPr>
              <w:t>2</w:t>
            </w:r>
          </w:p>
        </w:tc>
        <w:tc>
          <w:tcPr>
            <w:tcW w:w="4574" w:type="dxa"/>
          </w:tcPr>
          <w:p w14:paraId="42BDE6AF">
            <w:pPr>
              <w:pStyle w:val="50"/>
              <w:rPr>
                <w:rFonts w:hint="eastAsia" w:ascii="宋体" w:hAnsi="宋体" w:eastAsia="宋体" w:cs="宋体"/>
                <w:color w:val="auto"/>
                <w:sz w:val="24"/>
                <w:szCs w:val="24"/>
                <w:highlight w:val="none"/>
              </w:rPr>
            </w:pPr>
          </w:p>
        </w:tc>
        <w:tc>
          <w:tcPr>
            <w:tcW w:w="2976" w:type="dxa"/>
          </w:tcPr>
          <w:p w14:paraId="3028C61B">
            <w:pPr>
              <w:pStyle w:val="50"/>
              <w:rPr>
                <w:rFonts w:hint="eastAsia" w:ascii="宋体" w:hAnsi="宋体" w:eastAsia="宋体" w:cs="宋体"/>
                <w:color w:val="auto"/>
                <w:sz w:val="24"/>
                <w:szCs w:val="24"/>
                <w:highlight w:val="none"/>
              </w:rPr>
            </w:pPr>
          </w:p>
        </w:tc>
      </w:tr>
      <w:tr w14:paraId="10A20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14:paraId="7EEB905E">
            <w:pPr>
              <w:pStyle w:val="50"/>
              <w:spacing w:before="66"/>
              <w:ind w:left="10"/>
              <w:jc w:val="center"/>
              <w:rPr>
                <w:rFonts w:hint="eastAsia" w:ascii="宋体" w:hAnsi="宋体" w:eastAsia="宋体" w:cs="宋体"/>
                <w:color w:val="auto"/>
                <w:sz w:val="24"/>
                <w:szCs w:val="24"/>
                <w:highlight w:val="none"/>
              </w:rPr>
            </w:pPr>
            <w:r>
              <w:rPr>
                <w:rFonts w:hint="eastAsia" w:ascii="宋体" w:hAnsi="宋体" w:eastAsia="宋体" w:cs="宋体"/>
                <w:color w:val="auto"/>
                <w:w w:val="121"/>
                <w:sz w:val="24"/>
                <w:szCs w:val="24"/>
                <w:highlight w:val="none"/>
              </w:rPr>
              <w:t>…</w:t>
            </w:r>
          </w:p>
        </w:tc>
        <w:tc>
          <w:tcPr>
            <w:tcW w:w="4574" w:type="dxa"/>
          </w:tcPr>
          <w:p w14:paraId="580D0B86">
            <w:pPr>
              <w:pStyle w:val="50"/>
              <w:rPr>
                <w:rFonts w:hint="eastAsia" w:ascii="宋体" w:hAnsi="宋体" w:eastAsia="宋体" w:cs="宋体"/>
                <w:color w:val="auto"/>
                <w:sz w:val="24"/>
                <w:szCs w:val="24"/>
                <w:highlight w:val="none"/>
              </w:rPr>
            </w:pPr>
          </w:p>
        </w:tc>
        <w:tc>
          <w:tcPr>
            <w:tcW w:w="2976" w:type="dxa"/>
          </w:tcPr>
          <w:p w14:paraId="5135B745">
            <w:pPr>
              <w:pStyle w:val="50"/>
              <w:rPr>
                <w:rFonts w:hint="eastAsia" w:ascii="宋体" w:hAnsi="宋体" w:eastAsia="宋体" w:cs="宋体"/>
                <w:color w:val="auto"/>
                <w:sz w:val="24"/>
                <w:szCs w:val="24"/>
                <w:highlight w:val="none"/>
              </w:rPr>
            </w:pPr>
          </w:p>
        </w:tc>
      </w:tr>
    </w:tbl>
    <w:p w14:paraId="7935CB97">
      <w:pPr>
        <w:pStyle w:val="9"/>
        <w:ind w:firstLine="720" w:firstLineChars="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上述声明真实有效，否则我方负全部责任。</w:t>
      </w:r>
    </w:p>
    <w:p w14:paraId="7C8D5AB4">
      <w:pPr>
        <w:pStyle w:val="9"/>
        <w:tabs>
          <w:tab w:val="left" w:pos="7573"/>
          <w:tab w:val="left" w:pos="8293"/>
          <w:tab w:val="left" w:pos="9013"/>
          <w:tab w:val="left" w:pos="9306"/>
        </w:tabs>
        <w:spacing w:line="384" w:lineRule="auto"/>
        <w:ind w:right="878" w:firstLine="5520" w:firstLineChars="23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供应商名称（电子签章</w:t>
      </w:r>
      <w:r>
        <w:rPr>
          <w:rFonts w:hint="eastAsia" w:ascii="宋体" w:hAnsi="宋体" w:eastAsia="宋体" w:cs="宋体"/>
          <w:color w:val="auto"/>
          <w:spacing w:val="-121"/>
          <w:sz w:val="24"/>
          <w:szCs w:val="24"/>
          <w:highlight w:val="none"/>
          <w:lang w:eastAsia="zh-CN"/>
        </w:rPr>
        <w:t>）</w:t>
      </w:r>
      <w:r>
        <w:rPr>
          <w:rFonts w:hint="eastAsia" w:ascii="宋体" w:hAnsi="宋体" w:cs="宋体"/>
          <w:color w:val="auto"/>
          <w:spacing w:val="-1"/>
          <w:sz w:val="24"/>
          <w:szCs w:val="24"/>
          <w:highlight w:val="none"/>
          <w:lang w:eastAsia="zh-CN"/>
        </w:rPr>
        <w:t>）：</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ab/>
      </w:r>
    </w:p>
    <w:p w14:paraId="4D151B12">
      <w:pPr>
        <w:pStyle w:val="9"/>
        <w:tabs>
          <w:tab w:val="left" w:pos="7573"/>
          <w:tab w:val="left" w:pos="8293"/>
          <w:tab w:val="left" w:pos="9013"/>
          <w:tab w:val="left" w:pos="9306"/>
        </w:tabs>
        <w:spacing w:line="384" w:lineRule="auto"/>
        <w:ind w:right="878" w:firstLine="5520" w:firstLineChars="2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ab/>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ab/>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日</w:t>
      </w:r>
    </w:p>
    <w:p w14:paraId="14E94972">
      <w:pPr>
        <w:pStyle w:val="9"/>
        <w:spacing w:line="281" w:lineRule="exact"/>
        <w:ind w:left="541"/>
        <w:rPr>
          <w:rFonts w:hint="eastAsia" w:ascii="宋体" w:hAnsi="宋体" w:eastAsia="宋体" w:cs="宋体"/>
          <w:color w:val="auto"/>
          <w:sz w:val="21"/>
          <w:szCs w:val="21"/>
          <w:highlight w:val="none"/>
          <w:lang w:eastAsia="zh-CN"/>
        </w:rPr>
      </w:pPr>
      <w:r>
        <w:rPr>
          <w:rFonts w:hint="eastAsia" w:ascii="宋体" w:hAnsi="宋体" w:eastAsia="宋体" w:cs="宋体"/>
          <w:color w:val="auto"/>
          <w:sz w:val="24"/>
          <w:szCs w:val="24"/>
          <w:highlight w:val="none"/>
          <w:lang w:eastAsia="zh-CN"/>
        </w:rPr>
        <w:t>说明：</w:t>
      </w:r>
      <w:r>
        <w:rPr>
          <w:rFonts w:hint="eastAsia" w:ascii="宋体" w:hAnsi="宋体" w:eastAsia="宋体" w:cs="宋体"/>
          <w:color w:val="auto"/>
          <w:sz w:val="21"/>
          <w:szCs w:val="21"/>
          <w:highlight w:val="none"/>
          <w:lang w:eastAsia="zh-CN"/>
        </w:rPr>
        <w:t>供应商承诺不实的，依据《政府采购法》第七十七条“提供虚假材料谋取</w:t>
      </w:r>
      <w:r>
        <w:rPr>
          <w:rFonts w:hint="eastAsia" w:ascii="宋体" w:hAnsi="宋体" w:cs="宋体"/>
          <w:color w:val="auto"/>
          <w:sz w:val="21"/>
          <w:szCs w:val="21"/>
          <w:highlight w:val="none"/>
          <w:lang w:eastAsia="zh-CN"/>
        </w:rPr>
        <w:t>成交</w:t>
      </w:r>
      <w:r>
        <w:rPr>
          <w:rFonts w:hint="eastAsia" w:ascii="宋体" w:hAnsi="宋体" w:eastAsia="宋体" w:cs="宋体"/>
          <w:color w:val="auto"/>
          <w:sz w:val="21"/>
          <w:szCs w:val="21"/>
          <w:highlight w:val="none"/>
          <w:lang w:eastAsia="zh-CN"/>
        </w:rPr>
        <w:t>、</w:t>
      </w:r>
    </w:p>
    <w:p w14:paraId="77A81F7A">
      <w:pPr>
        <w:pStyle w:val="9"/>
        <w:spacing w:before="160"/>
        <w:ind w:left="541"/>
        <w:rPr>
          <w:rFonts w:hint="eastAsia" w:ascii="宋体" w:hAnsi="宋体" w:eastAsia="宋体" w:cs="宋体"/>
          <w:color w:val="auto"/>
          <w:sz w:val="24"/>
          <w:szCs w:val="24"/>
          <w:highlight w:val="none"/>
          <w:lang w:eastAsia="zh-CN"/>
        </w:rPr>
        <w:sectPr>
          <w:type w:val="continuous"/>
          <w:pgSz w:w="11910" w:h="16840"/>
          <w:pgMar w:top="1380" w:right="560" w:bottom="280" w:left="1160" w:header="720" w:footer="720" w:gutter="0"/>
          <w:cols w:space="720" w:num="1"/>
        </w:sectPr>
      </w:pPr>
      <w:r>
        <w:rPr>
          <w:rFonts w:hint="eastAsia" w:ascii="宋体" w:hAnsi="宋体" w:eastAsia="宋体" w:cs="宋体"/>
          <w:color w:val="auto"/>
          <w:w w:val="105"/>
          <w:sz w:val="21"/>
          <w:szCs w:val="21"/>
          <w:highlight w:val="none"/>
          <w:lang w:eastAsia="zh-CN"/>
        </w:rPr>
        <w:t>成交的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w w:val="105"/>
          <w:sz w:val="21"/>
          <w:szCs w:val="21"/>
          <w:highlight w:val="none"/>
          <w:lang w:eastAsia="zh-CN"/>
        </w:rPr>
        <w:t>有关规定予以处理。</w:t>
      </w:r>
    </w:p>
    <w:p w14:paraId="40ECA9A5">
      <w:pPr>
        <w:spacing w:line="360" w:lineRule="auto"/>
        <w:ind w:firstLine="480" w:firstLineChars="20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rPr>
        <w:t>）</w:t>
      </w:r>
      <w:bookmarkEnd w:id="4655"/>
      <w:bookmarkStart w:id="4658" w:name="_Toc498357763"/>
      <w:bookmarkStart w:id="4659" w:name="_Toc488434368"/>
      <w:r>
        <w:rPr>
          <w:rFonts w:hint="eastAsia" w:ascii="宋体" w:hAnsi="宋体" w:cs="宋体"/>
          <w:b/>
          <w:bCs/>
          <w:color w:val="auto"/>
          <w:sz w:val="24"/>
          <w:szCs w:val="24"/>
          <w:highlight w:val="none"/>
        </w:rPr>
        <w:t>企业信誉</w:t>
      </w:r>
      <w:bookmarkEnd w:id="4658"/>
      <w:bookmarkEnd w:id="4659"/>
      <w:r>
        <w:rPr>
          <w:rFonts w:hint="eastAsia" w:ascii="宋体" w:hAnsi="宋体" w:cs="宋体"/>
          <w:b/>
          <w:bCs/>
          <w:color w:val="auto"/>
          <w:sz w:val="24"/>
          <w:szCs w:val="24"/>
          <w:highlight w:val="none"/>
        </w:rPr>
        <w:t>承诺函</w:t>
      </w:r>
    </w:p>
    <w:p w14:paraId="0D0EB6BC">
      <w:pPr>
        <w:pStyle w:val="9"/>
        <w:rPr>
          <w:rFonts w:hint="eastAsia" w:ascii="宋体" w:hAnsi="宋体" w:cs="宋体"/>
          <w:color w:val="auto"/>
          <w:sz w:val="24"/>
          <w:szCs w:val="24"/>
          <w:highlight w:val="none"/>
        </w:rPr>
      </w:pPr>
      <w:r>
        <w:rPr>
          <w:rFonts w:hint="eastAsia" w:ascii="宋体" w:hAnsi="宋体" w:cs="宋体"/>
          <w:color w:val="auto"/>
          <w:sz w:val="24"/>
          <w:szCs w:val="24"/>
          <w:highlight w:val="none"/>
        </w:rPr>
        <w:t>自行承诺，格式自理。</w:t>
      </w:r>
    </w:p>
    <w:p w14:paraId="3104CB0B">
      <w:pPr>
        <w:pStyle w:val="12"/>
        <w:rPr>
          <w:rFonts w:hint="eastAsia" w:ascii="宋体" w:hAnsi="宋体" w:cs="宋体"/>
          <w:color w:val="auto"/>
          <w:sz w:val="24"/>
          <w:szCs w:val="24"/>
          <w:highlight w:val="none"/>
        </w:rPr>
      </w:pPr>
    </w:p>
    <w:p w14:paraId="792FC8EA">
      <w:pPr>
        <w:rPr>
          <w:rFonts w:hint="eastAsia" w:ascii="宋体" w:hAnsi="宋体" w:cs="宋体"/>
          <w:color w:val="auto"/>
          <w:sz w:val="24"/>
          <w:szCs w:val="24"/>
          <w:highlight w:val="none"/>
        </w:rPr>
      </w:pPr>
    </w:p>
    <w:p w14:paraId="5D03D20F">
      <w:pPr>
        <w:pStyle w:val="9"/>
        <w:rPr>
          <w:rFonts w:hint="eastAsia" w:ascii="宋体" w:hAnsi="宋体" w:cs="宋体"/>
          <w:color w:val="auto"/>
          <w:sz w:val="24"/>
          <w:szCs w:val="24"/>
          <w:highlight w:val="none"/>
        </w:rPr>
      </w:pPr>
    </w:p>
    <w:p w14:paraId="088D0256">
      <w:pPr>
        <w:pStyle w:val="12"/>
        <w:rPr>
          <w:rFonts w:hint="eastAsia" w:ascii="宋体" w:hAnsi="宋体" w:cs="宋体"/>
          <w:color w:val="auto"/>
          <w:sz w:val="24"/>
          <w:szCs w:val="24"/>
          <w:highlight w:val="none"/>
        </w:rPr>
      </w:pPr>
    </w:p>
    <w:p w14:paraId="655382A1">
      <w:pPr>
        <w:rPr>
          <w:color w:val="auto"/>
          <w:highlight w:val="none"/>
        </w:rPr>
      </w:pPr>
    </w:p>
    <w:p w14:paraId="0524B16F">
      <w:pPr>
        <w:pStyle w:val="19"/>
        <w:spacing w:before="120" w:line="360" w:lineRule="auto"/>
        <w:ind w:left="800"/>
        <w:rPr>
          <w:rFonts w:hint="eastAsia" w:ascii="宋体" w:hAnsi="宋体" w:cs="宋体"/>
          <w:color w:val="auto"/>
          <w:sz w:val="24"/>
          <w:szCs w:val="24"/>
          <w:highlight w:val="none"/>
        </w:rPr>
      </w:pPr>
      <w:r>
        <w:rPr>
          <w:rFonts w:hint="eastAsia" w:ascii="宋体" w:hAnsi="宋体" w:cs="宋体"/>
          <w:color w:val="auto"/>
          <w:sz w:val="24"/>
          <w:szCs w:val="24"/>
          <w:highlight w:val="none"/>
        </w:rPr>
        <w:t>供应商（电子签章）：</w:t>
      </w:r>
      <w:r>
        <w:rPr>
          <w:rFonts w:hint="eastAsia" w:ascii="宋体" w:hAnsi="宋体" w:cs="宋体"/>
          <w:color w:val="auto"/>
          <w:sz w:val="24"/>
          <w:szCs w:val="24"/>
          <w:highlight w:val="none"/>
          <w:u w:val="single"/>
        </w:rPr>
        <w:t xml:space="preserve">                               </w:t>
      </w:r>
    </w:p>
    <w:p w14:paraId="6D16E0CD">
      <w:pPr>
        <w:pStyle w:val="19"/>
        <w:spacing w:before="120" w:line="360" w:lineRule="auto"/>
        <w:ind w:left="8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法定代表人或委托代理人（电子签章）：</w:t>
      </w:r>
      <w:r>
        <w:rPr>
          <w:rFonts w:hint="eastAsia" w:ascii="宋体" w:hAnsi="宋体" w:cs="宋体"/>
          <w:color w:val="auto"/>
          <w:sz w:val="24"/>
          <w:szCs w:val="24"/>
          <w:highlight w:val="none"/>
          <w:u w:val="single"/>
        </w:rPr>
        <w:t xml:space="preserve">             </w:t>
      </w:r>
    </w:p>
    <w:p w14:paraId="60B67FB0">
      <w:pPr>
        <w:pStyle w:val="19"/>
        <w:spacing w:before="120" w:line="360" w:lineRule="auto"/>
        <w:ind w:left="800"/>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58DC831B">
      <w:pPr>
        <w:spacing w:line="360" w:lineRule="auto"/>
        <w:ind w:right="420" w:firstLine="5464" w:firstLineChars="2277"/>
        <w:rPr>
          <w:rFonts w:hint="eastAsia" w:ascii="宋体" w:hAnsi="宋体" w:cs="宋体"/>
          <w:color w:val="auto"/>
          <w:sz w:val="24"/>
          <w:szCs w:val="24"/>
          <w:highlight w:val="none"/>
        </w:rPr>
      </w:pPr>
    </w:p>
    <w:p w14:paraId="4EEE2E00">
      <w:pPr>
        <w:spacing w:line="360" w:lineRule="auto"/>
        <w:jc w:val="center"/>
        <w:rPr>
          <w:rFonts w:hint="eastAsia" w:ascii="宋体" w:hAnsi="宋体" w:cs="宋体"/>
          <w:color w:val="auto"/>
          <w:sz w:val="24"/>
          <w:szCs w:val="24"/>
          <w:highlight w:val="none"/>
        </w:rPr>
      </w:pPr>
    </w:p>
    <w:p w14:paraId="6EFDDB37">
      <w:pPr>
        <w:pStyle w:val="19"/>
        <w:spacing w:before="120" w:line="360" w:lineRule="auto"/>
        <w:ind w:left="800"/>
        <w:jc w:val="center"/>
        <w:rPr>
          <w:rFonts w:hint="eastAsia" w:ascii="宋体" w:hAnsi="宋体" w:cs="宋体"/>
          <w:b/>
          <w:bCs/>
          <w:color w:val="auto"/>
          <w:sz w:val="24"/>
          <w:szCs w:val="24"/>
          <w:highlight w:val="none"/>
        </w:rPr>
      </w:pPr>
      <w:r>
        <w:rPr>
          <w:rFonts w:hint="eastAsia" w:ascii="宋体" w:hAnsi="宋体" w:cs="宋体"/>
          <w:color w:val="auto"/>
          <w:sz w:val="24"/>
          <w:szCs w:val="24"/>
          <w:highlight w:val="none"/>
        </w:rPr>
        <w:br w:type="page"/>
      </w:r>
    </w:p>
    <w:p w14:paraId="433FC1F5">
      <w:pPr>
        <w:pStyle w:val="19"/>
        <w:spacing w:before="120" w:line="440" w:lineRule="exact"/>
        <w:rPr>
          <w:b/>
          <w:bCs/>
          <w:color w:val="auto"/>
          <w:sz w:val="21"/>
          <w:szCs w:val="21"/>
          <w:highlight w:val="none"/>
        </w:rPr>
      </w:pPr>
      <w:r>
        <w:rPr>
          <w:rFonts w:hint="eastAsia"/>
          <w:b/>
          <w:bCs/>
          <w:color w:val="auto"/>
          <w:sz w:val="21"/>
          <w:szCs w:val="21"/>
          <w:highlight w:val="none"/>
        </w:rPr>
        <w:t>（实质性格式要求）</w:t>
      </w:r>
    </w:p>
    <w:p w14:paraId="11531178">
      <w:pPr>
        <w:pStyle w:val="3"/>
        <w:snapToGrid w:val="0"/>
        <w:rPr>
          <w:rFonts w:hint="eastAsia" w:ascii="宋体" w:hAnsi="宋体" w:cs="宋体"/>
          <w:color w:val="auto"/>
          <w:sz w:val="24"/>
          <w:highlight w:val="none"/>
        </w:rPr>
      </w:pPr>
      <w:bookmarkStart w:id="4660" w:name="_Toc4605"/>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四</w:t>
      </w:r>
      <w:r>
        <w:rPr>
          <w:rFonts w:hint="eastAsia" w:ascii="宋体" w:hAnsi="宋体" w:cs="宋体"/>
          <w:bCs/>
          <w:color w:val="auto"/>
          <w:sz w:val="24"/>
          <w:highlight w:val="none"/>
        </w:rPr>
        <w:t>）</w:t>
      </w:r>
      <w:bookmarkStart w:id="4661" w:name="OLE_LINK47"/>
      <w:r>
        <w:rPr>
          <w:rFonts w:hint="eastAsia" w:ascii="宋体" w:hAnsi="宋体" w:cs="宋体"/>
          <w:color w:val="auto"/>
          <w:sz w:val="24"/>
          <w:highlight w:val="none"/>
        </w:rPr>
        <w:t>中小企业声明函（</w:t>
      </w:r>
      <w:r>
        <w:rPr>
          <w:rFonts w:hint="eastAsia" w:ascii="宋体" w:hAnsi="宋体" w:cs="宋体"/>
          <w:color w:val="auto"/>
          <w:sz w:val="24"/>
          <w:highlight w:val="none"/>
          <w:lang w:val="en-US" w:eastAsia="zh-CN"/>
        </w:rPr>
        <w:t>工程</w:t>
      </w:r>
      <w:r>
        <w:rPr>
          <w:rFonts w:hint="eastAsia" w:ascii="宋体" w:hAnsi="宋体" w:cs="宋体"/>
          <w:color w:val="auto"/>
          <w:sz w:val="24"/>
          <w:highlight w:val="none"/>
        </w:rPr>
        <w:t>）</w:t>
      </w:r>
      <w:bookmarkEnd w:id="4660"/>
    </w:p>
    <w:bookmarkEnd w:id="4661"/>
    <w:p w14:paraId="6556AC1F">
      <w:pPr>
        <w:pStyle w:val="9"/>
        <w:adjustRightInd w:val="0"/>
        <w:snapToGrid w:val="0"/>
        <w:spacing w:after="0" w:line="360" w:lineRule="auto"/>
        <w:ind w:firstLine="480" w:firstLineChars="200"/>
        <w:rPr>
          <w:rFonts w:cs="宋体"/>
          <w:color w:val="auto"/>
          <w:sz w:val="24"/>
          <w:szCs w:val="24"/>
          <w:highlight w:val="none"/>
        </w:rPr>
      </w:pPr>
      <w:r>
        <w:rPr>
          <w:rFonts w:hint="eastAsia" w:cs="宋体"/>
          <w:color w:val="auto"/>
          <w:sz w:val="24"/>
          <w:szCs w:val="24"/>
          <w:highlight w:val="none"/>
        </w:rPr>
        <w:t>本公司（联合体）郑重声明，根据《政府采购促进中小企业发展管理办法》（财库﹝2020﹞46 号）及《财政部关于进一步加大政府采购支持中小企业力度的通知》（财库﹝2022﹞19 号）的规定，本公司（联合体）参加</w:t>
      </w:r>
      <w:r>
        <w:rPr>
          <w:rFonts w:hint="eastAsia" w:cs="宋体"/>
          <w:color w:val="auto"/>
          <w:sz w:val="24"/>
          <w:szCs w:val="24"/>
          <w:highlight w:val="none"/>
          <w:u w:val="single"/>
        </w:rPr>
        <w:t>（单位名称）</w:t>
      </w:r>
      <w:r>
        <w:rPr>
          <w:rFonts w:hint="eastAsia" w:cs="宋体"/>
          <w:color w:val="auto"/>
          <w:sz w:val="24"/>
          <w:szCs w:val="24"/>
          <w:highlight w:val="none"/>
        </w:rPr>
        <w:t>的</w:t>
      </w:r>
      <w:r>
        <w:rPr>
          <w:rFonts w:hint="eastAsia" w:cs="宋体"/>
          <w:color w:val="auto"/>
          <w:sz w:val="24"/>
          <w:szCs w:val="24"/>
          <w:highlight w:val="none"/>
          <w:u w:val="single"/>
        </w:rPr>
        <w:t>（项目名称）</w:t>
      </w:r>
      <w:r>
        <w:rPr>
          <w:rFonts w:hint="eastAsia" w:cs="宋体"/>
          <w:color w:val="auto"/>
          <w:sz w:val="24"/>
          <w:szCs w:val="24"/>
          <w:highlight w:val="none"/>
        </w:rPr>
        <w:t>采购活动，</w:t>
      </w:r>
      <w:bookmarkStart w:id="4662" w:name="OLE_LINK48"/>
      <w:r>
        <w:rPr>
          <w:rFonts w:hint="eastAsia" w:cs="宋体"/>
          <w:color w:val="auto"/>
          <w:sz w:val="24"/>
          <w:szCs w:val="24"/>
          <w:highlight w:val="none"/>
        </w:rPr>
        <w:t>工程的施工单位全部为符合政策要求的中小企业</w:t>
      </w:r>
      <w:bookmarkEnd w:id="4662"/>
      <w:r>
        <w:rPr>
          <w:rFonts w:hint="eastAsia" w:cs="宋体"/>
          <w:color w:val="auto"/>
          <w:sz w:val="24"/>
          <w:szCs w:val="24"/>
          <w:highlight w:val="none"/>
        </w:rPr>
        <w:t>。相关企业（含联合体中的中小企业、签订分包意向协议的中小企业） 的具体情况如下：</w:t>
      </w:r>
    </w:p>
    <w:p w14:paraId="68D22762">
      <w:pPr>
        <w:pStyle w:val="43"/>
        <w:keepNext w:val="0"/>
        <w:keepLines w:val="0"/>
        <w:pageBreakBefore w:val="0"/>
        <w:widowControl w:val="0"/>
        <w:numPr>
          <w:ilvl w:val="0"/>
          <w:numId w:val="0"/>
        </w:numPr>
        <w:tabs>
          <w:tab w:val="left" w:pos="1285"/>
          <w:tab w:val="left" w:pos="4528"/>
          <w:tab w:val="left" w:pos="6945"/>
          <w:tab w:val="left" w:pos="9666"/>
        </w:tabs>
        <w:kinsoku/>
        <w:wordWrap/>
        <w:overflowPunct/>
        <w:topLinePunct w:val="0"/>
        <w:autoSpaceDE/>
        <w:autoSpaceDN/>
        <w:bidi w:val="0"/>
        <w:adjustRightInd/>
        <w:snapToGrid/>
        <w:spacing w:line="360" w:lineRule="auto"/>
        <w:ind w:left="0" w:leftChars="0" w:right="11" w:rightChars="0" w:firstLine="480" w:firstLineChars="200"/>
        <w:jc w:val="left"/>
        <w:textAlignment w:val="auto"/>
        <w:rPr>
          <w:rFonts w:hint="eastAsia" w:ascii="Times New Roman" w:hAnsi="Times New Roman" w:eastAsia="宋体" w:cs="宋体"/>
          <w:color w:val="auto"/>
          <w:kern w:val="0"/>
          <w:sz w:val="24"/>
          <w:szCs w:val="24"/>
          <w:highlight w:val="none"/>
          <w:lang w:val="en-US" w:eastAsia="zh-CN" w:bidi="ar-SA"/>
        </w:rPr>
      </w:pPr>
      <w:r>
        <w:rPr>
          <w:rFonts w:hint="eastAsia" w:ascii="Times New Roman" w:hAnsi="Times New Roman" w:eastAsia="宋体" w:cs="宋体"/>
          <w:color w:val="auto"/>
          <w:kern w:val="0"/>
          <w:sz w:val="24"/>
          <w:szCs w:val="24"/>
          <w:highlight w:val="none"/>
          <w:lang w:val="en-US" w:eastAsia="zh-CN" w:bidi="ar-SA"/>
        </w:rPr>
        <mc:AlternateContent>
          <mc:Choice Requires="wps">
            <w:drawing>
              <wp:anchor distT="0" distB="0" distL="114300" distR="114300" simplePos="0" relativeHeight="251663360" behindDoc="1" locked="0" layoutInCell="1" allowOverlap="1">
                <wp:simplePos x="0" y="0"/>
                <wp:positionH relativeFrom="page">
                  <wp:posOffset>1560195</wp:posOffset>
                </wp:positionH>
                <wp:positionV relativeFrom="paragraph">
                  <wp:posOffset>466090</wp:posOffset>
                </wp:positionV>
                <wp:extent cx="836930" cy="0"/>
                <wp:effectExtent l="0" t="0" r="0" b="0"/>
                <wp:wrapNone/>
                <wp:docPr id="26" name="直接连接符 26"/>
                <wp:cNvGraphicFramePr/>
                <a:graphic xmlns:a="http://schemas.openxmlformats.org/drawingml/2006/main">
                  <a:graphicData uri="http://schemas.microsoft.com/office/word/2010/wordprocessingShape">
                    <wps:wsp>
                      <wps:cNvCnPr/>
                      <wps:spPr>
                        <a:xfrm>
                          <a:off x="0" y="0"/>
                          <a:ext cx="83693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22.85pt;margin-top:36.7pt;height:0pt;width:65.9pt;mso-position-horizontal-relative:page;z-index:-251653120;mso-width-relative:page;mso-height-relative:page;" filled="f" stroked="t" coordsize="21600,21600" o:gfxdata="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S8g3d2AAAAAkBAAAPAAAAAAAAAAEAIAAAACIAAABkcnMvZG93bnJldi54bWxQSwEC&#10;FAAUAAAACACHTuJA3MX/QvQBAADlAwAADgAAAAAAAAABACAAAAAnAQAAZHJzL2Uyb0RvYy54bWxQ&#10;SwUGAAAAAAYABgBZAQAAjQUAAAAA&#10;">
                <v:fill on="f" focussize="0,0"/>
                <v:stroke weight="0.6pt" color="#000000" joinstyle="round"/>
                <v:imagedata o:title=""/>
                <o:lock v:ext="edit" aspectratio="f"/>
              </v:line>
            </w:pict>
          </mc:Fallback>
        </mc:AlternateContent>
      </w:r>
      <w:r>
        <w:rPr>
          <w:rFonts w:hint="eastAsia" w:ascii="Times New Roman" w:hAnsi="Times New Roman" w:eastAsia="宋体" w:cs="宋体"/>
          <w:color w:val="auto"/>
          <w:kern w:val="0"/>
          <w:sz w:val="24"/>
          <w:szCs w:val="24"/>
          <w:highlight w:val="none"/>
          <w:lang w:val="en-US" w:eastAsia="zh-CN" w:bidi="ar-SA"/>
        </w:rPr>
        <w:t>1.</w:t>
      </w:r>
      <w:r>
        <w:rPr>
          <w:rFonts w:hint="eastAsia" w:ascii="Times New Roman" w:hAnsi="Times New Roman" w:eastAsia="宋体" w:cs="宋体"/>
          <w:color w:val="auto"/>
          <w:kern w:val="0"/>
          <w:sz w:val="24"/>
          <w:szCs w:val="24"/>
          <w:highlight w:val="none"/>
          <w:u w:val="single"/>
          <w:lang w:val="en-US" w:eastAsia="zh-CN" w:bidi="ar-SA"/>
        </w:rPr>
        <w:t>（标的名称）</w:t>
      </w:r>
      <w:r>
        <w:rPr>
          <w:rFonts w:hint="eastAsia" w:ascii="Times New Roman" w:hAnsi="Times New Roman" w:eastAsia="宋体" w:cs="宋体"/>
          <w:color w:val="auto"/>
          <w:kern w:val="0"/>
          <w:sz w:val="24"/>
          <w:szCs w:val="24"/>
          <w:highlight w:val="none"/>
          <w:lang w:val="en-US" w:eastAsia="zh-CN" w:bidi="ar-SA"/>
        </w:rPr>
        <w:t>，属于</w:t>
      </w:r>
      <w:r>
        <w:rPr>
          <w:rFonts w:hint="eastAsia" w:ascii="Times New Roman" w:hAnsi="Times New Roman" w:cs="宋体"/>
          <w:color w:val="auto"/>
          <w:kern w:val="0"/>
          <w:sz w:val="24"/>
          <w:szCs w:val="24"/>
          <w:highlight w:val="none"/>
          <w:u w:val="single"/>
          <w:lang w:val="en-US" w:eastAsia="zh-CN" w:bidi="ar-SA"/>
        </w:rPr>
        <w:t xml:space="preserve"> 建筑业</w:t>
      </w:r>
      <w:r>
        <w:rPr>
          <w:rFonts w:hint="eastAsia" w:ascii="Times New Roman" w:hAnsi="Times New Roman" w:eastAsia="宋体" w:cs="宋体"/>
          <w:color w:val="auto"/>
          <w:kern w:val="0"/>
          <w:sz w:val="24"/>
          <w:szCs w:val="24"/>
          <w:highlight w:val="none"/>
          <w:u w:val="single"/>
          <w:lang w:val="en-US" w:eastAsia="zh-CN" w:bidi="ar-SA"/>
        </w:rPr>
        <w:t>（采购文件中明确的所属行业）</w:t>
      </w:r>
      <w:r>
        <w:rPr>
          <w:rFonts w:hint="eastAsia" w:ascii="Times New Roman" w:hAnsi="Times New Roman" w:eastAsia="宋体" w:cs="宋体"/>
          <w:color w:val="auto"/>
          <w:kern w:val="0"/>
          <w:sz w:val="24"/>
          <w:szCs w:val="24"/>
          <w:highlight w:val="none"/>
          <w:lang w:val="en-US" w:eastAsia="zh-CN" w:bidi="ar-SA"/>
        </w:rPr>
        <w:t>行业；承建（承接）企业为</w:t>
      </w:r>
      <w:r>
        <w:rPr>
          <w:rFonts w:hint="eastAsia" w:ascii="Times New Roman" w:hAnsi="Times New Roman" w:eastAsia="宋体" w:cs="宋体"/>
          <w:color w:val="auto"/>
          <w:kern w:val="0"/>
          <w:sz w:val="24"/>
          <w:szCs w:val="24"/>
          <w:highlight w:val="none"/>
          <w:u w:val="single"/>
          <w:lang w:val="en-US" w:eastAsia="zh-CN" w:bidi="ar-SA"/>
        </w:rPr>
        <w:t>（企业名称）</w:t>
      </w:r>
      <w:r>
        <w:rPr>
          <w:rFonts w:hint="eastAsia" w:ascii="Times New Roman" w:hAnsi="Times New Roman" w:eastAsia="宋体" w:cs="宋体"/>
          <w:color w:val="auto"/>
          <w:kern w:val="0"/>
          <w:sz w:val="24"/>
          <w:szCs w:val="24"/>
          <w:highlight w:val="none"/>
          <w:u w:val="none"/>
          <w:lang w:val="en-US" w:eastAsia="zh-CN" w:bidi="ar-SA"/>
        </w:rPr>
        <w:t>，从</w:t>
      </w:r>
      <w:r>
        <w:rPr>
          <w:rFonts w:hint="eastAsia" w:ascii="Times New Roman" w:hAnsi="Times New Roman" w:eastAsia="宋体" w:cs="宋体"/>
          <w:color w:val="auto"/>
          <w:kern w:val="0"/>
          <w:sz w:val="24"/>
          <w:szCs w:val="24"/>
          <w:highlight w:val="none"/>
          <w:lang w:val="en-US" w:eastAsia="zh-CN" w:bidi="ar-SA"/>
        </w:rPr>
        <w:t>业人员</w:t>
      </w:r>
      <w:r>
        <w:rPr>
          <w:rFonts w:hint="eastAsia" w:ascii="Times New Roman" w:hAnsi="Times New Roman" w:eastAsia="宋体" w:cs="宋体"/>
          <w:color w:val="auto"/>
          <w:kern w:val="0"/>
          <w:sz w:val="24"/>
          <w:szCs w:val="24"/>
          <w:highlight w:val="none"/>
          <w:u w:val="single"/>
          <w:lang w:val="en-US" w:eastAsia="zh-CN" w:bidi="ar-SA"/>
        </w:rPr>
        <w:t xml:space="preserve">     </w:t>
      </w:r>
      <w:r>
        <w:rPr>
          <w:rFonts w:hint="eastAsia" w:ascii="Times New Roman" w:hAnsi="Times New Roman" w:eastAsia="宋体" w:cs="宋体"/>
          <w:color w:val="auto"/>
          <w:kern w:val="0"/>
          <w:sz w:val="24"/>
          <w:szCs w:val="24"/>
          <w:highlight w:val="none"/>
          <w:lang w:val="en-US" w:eastAsia="zh-CN" w:bidi="ar-SA"/>
        </w:rPr>
        <w:t xml:space="preserve">人，营业收入为 </w:t>
      </w:r>
      <w:r>
        <w:rPr>
          <w:rFonts w:hint="eastAsia" w:ascii="Times New Roman" w:hAnsi="Times New Roman" w:eastAsia="宋体" w:cs="宋体"/>
          <w:color w:val="auto"/>
          <w:kern w:val="0"/>
          <w:sz w:val="24"/>
          <w:szCs w:val="24"/>
          <w:highlight w:val="none"/>
          <w:u w:val="single"/>
          <w:lang w:val="en-US" w:eastAsia="zh-CN" w:bidi="ar-SA"/>
        </w:rPr>
        <w:t xml:space="preserve">     </w:t>
      </w:r>
      <w:r>
        <w:rPr>
          <w:rFonts w:hint="eastAsia" w:ascii="Times New Roman" w:hAnsi="Times New Roman" w:eastAsia="宋体" w:cs="宋体"/>
          <w:color w:val="auto"/>
          <w:kern w:val="0"/>
          <w:sz w:val="24"/>
          <w:szCs w:val="24"/>
          <w:highlight w:val="none"/>
          <w:lang w:val="en-US" w:eastAsia="zh-CN" w:bidi="ar-SA"/>
        </w:rPr>
        <w:t>万元，资产总额为</w:t>
      </w:r>
      <w:r>
        <w:rPr>
          <w:rFonts w:hint="eastAsia" w:ascii="Times New Roman" w:hAnsi="Times New Roman" w:eastAsia="宋体" w:cs="宋体"/>
          <w:color w:val="auto"/>
          <w:kern w:val="0"/>
          <w:sz w:val="24"/>
          <w:szCs w:val="24"/>
          <w:highlight w:val="none"/>
          <w:u w:val="single"/>
          <w:lang w:val="en-US" w:eastAsia="zh-CN" w:bidi="ar-SA"/>
        </w:rPr>
        <w:t xml:space="preserve">    </w:t>
      </w:r>
      <w:r>
        <w:rPr>
          <w:rFonts w:hint="eastAsia" w:ascii="Times New Roman" w:hAnsi="Times New Roman" w:eastAsia="宋体" w:cs="宋体"/>
          <w:color w:val="auto"/>
          <w:kern w:val="0"/>
          <w:sz w:val="24"/>
          <w:szCs w:val="24"/>
          <w:highlight w:val="none"/>
          <w:lang w:val="en-US" w:eastAsia="zh-CN" w:bidi="ar-SA"/>
        </w:rPr>
        <w:t>万元</w:t>
      </w:r>
      <w:r>
        <w:rPr>
          <w:rFonts w:ascii="Times New Roman" w:hAnsi="Times New Roman" w:cs="Times New Roman"/>
          <w:color w:val="auto"/>
          <w:spacing w:val="-46"/>
          <w:sz w:val="24"/>
          <w:highlight w:val="none"/>
          <w:lang w:eastAsia="zh-CN"/>
        </w:rPr>
        <w:t xml:space="preserve"> </w:t>
      </w:r>
      <w:r>
        <w:rPr>
          <w:rFonts w:ascii="Times New Roman" w:hAnsi="Times New Roman" w:eastAsia="Arial Narrow" w:cs="Times New Roman"/>
          <w:color w:val="auto"/>
          <w:spacing w:val="5"/>
          <w:w w:val="137"/>
          <w:position w:val="7"/>
          <w:sz w:val="17"/>
          <w:highlight w:val="none"/>
          <w:lang w:eastAsia="zh-CN"/>
        </w:rPr>
        <w:t>1</w:t>
      </w:r>
      <w:r>
        <w:rPr>
          <w:rFonts w:hint="eastAsia" w:ascii="Times New Roman" w:hAnsi="Times New Roman" w:eastAsia="宋体" w:cs="宋体"/>
          <w:color w:val="auto"/>
          <w:kern w:val="0"/>
          <w:sz w:val="24"/>
          <w:szCs w:val="24"/>
          <w:highlight w:val="none"/>
          <w:lang w:val="en-US" w:eastAsia="zh-CN" w:bidi="ar-SA"/>
        </w:rPr>
        <w:t xml:space="preserve"> ，属于（中型企业、小型企业、微型企业）；</w:t>
      </w:r>
    </w:p>
    <w:p w14:paraId="40455387">
      <w:pPr>
        <w:pStyle w:val="43"/>
        <w:keepNext w:val="0"/>
        <w:keepLines w:val="0"/>
        <w:pageBreakBefore w:val="0"/>
        <w:widowControl w:val="0"/>
        <w:numPr>
          <w:ilvl w:val="0"/>
          <w:numId w:val="0"/>
        </w:numPr>
        <w:tabs>
          <w:tab w:val="left" w:pos="1418"/>
          <w:tab w:val="left" w:pos="4528"/>
          <w:tab w:val="left" w:pos="6945"/>
          <w:tab w:val="left" w:pos="9666"/>
        </w:tabs>
        <w:kinsoku/>
        <w:wordWrap/>
        <w:overflowPunct/>
        <w:topLinePunct w:val="0"/>
        <w:autoSpaceDE/>
        <w:autoSpaceDN/>
        <w:bidi w:val="0"/>
        <w:adjustRightInd/>
        <w:snapToGrid/>
        <w:spacing w:line="360" w:lineRule="auto"/>
        <w:ind w:left="0" w:leftChars="0" w:right="11" w:rightChars="0" w:firstLine="480" w:firstLineChars="200"/>
        <w:jc w:val="both"/>
        <w:textAlignment w:val="auto"/>
        <w:rPr>
          <w:rFonts w:hint="eastAsia" w:ascii="Times New Roman" w:hAnsi="Times New Roman" w:eastAsia="宋体" w:cs="宋体"/>
          <w:color w:val="auto"/>
          <w:kern w:val="0"/>
          <w:sz w:val="24"/>
          <w:szCs w:val="24"/>
          <w:highlight w:val="none"/>
          <w:lang w:val="en-US" w:eastAsia="zh-CN" w:bidi="ar-SA"/>
        </w:rPr>
      </w:pPr>
      <w:r>
        <w:rPr>
          <w:rFonts w:hint="eastAsia" w:ascii="Times New Roman" w:hAnsi="Times New Roman" w:eastAsia="宋体" w:cs="宋体"/>
          <w:color w:val="auto"/>
          <w:kern w:val="0"/>
          <w:sz w:val="24"/>
          <w:szCs w:val="24"/>
          <w:highlight w:val="none"/>
          <w:lang w:val="en-US" w:eastAsia="zh-CN" w:bidi="ar-SA"/>
        </w:rPr>
        <mc:AlternateContent>
          <mc:Choice Requires="wps">
            <w:drawing>
              <wp:anchor distT="0" distB="0" distL="114300" distR="114300" simplePos="0" relativeHeight="251664384" behindDoc="1" locked="0" layoutInCell="1" allowOverlap="1">
                <wp:simplePos x="0" y="0"/>
                <wp:positionH relativeFrom="page">
                  <wp:posOffset>1560195</wp:posOffset>
                </wp:positionH>
                <wp:positionV relativeFrom="paragraph">
                  <wp:posOffset>464820</wp:posOffset>
                </wp:positionV>
                <wp:extent cx="836930" cy="0"/>
                <wp:effectExtent l="0" t="0" r="0" b="0"/>
                <wp:wrapNone/>
                <wp:docPr id="25" name="直接连接符 25"/>
                <wp:cNvGraphicFramePr/>
                <a:graphic xmlns:a="http://schemas.openxmlformats.org/drawingml/2006/main">
                  <a:graphicData uri="http://schemas.microsoft.com/office/word/2010/wordprocessingShape">
                    <wps:wsp>
                      <wps:cNvCnPr/>
                      <wps:spPr>
                        <a:xfrm>
                          <a:off x="0" y="0"/>
                          <a:ext cx="83693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22.85pt;margin-top:36.6pt;height:0pt;width:65.9pt;mso-position-horizontal-relative:page;z-index:-251652096;mso-width-relative:page;mso-height-relative:page;" filled="f" stroked="t" coordsize="21600,21600" o:gfxdata="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9DhGJ1wAAAAkBAAAPAAAAAAAAAAEAIAAAACIAAABkcnMvZG93bnJldi54bWxQSwEC&#10;FAAUAAAACACHTuJAHJOam/UBAADlAwAADgAAAAAAAAABACAAAAAmAQAAZHJzL2Uyb0RvYy54bWxQ&#10;SwUGAAAAAAYABgBZAQAAjQUAAAAA&#10;">
                <v:fill on="f" focussize="0,0"/>
                <v:stroke weight="0.6pt" color="#000000" joinstyle="round"/>
                <v:imagedata o:title=""/>
                <o:lock v:ext="edit" aspectratio="f"/>
              </v:line>
            </w:pict>
          </mc:Fallback>
        </mc:AlternateContent>
      </w:r>
      <w:r>
        <w:rPr>
          <w:rFonts w:hint="eastAsia" w:ascii="Times New Roman" w:hAnsi="Times New Roman" w:eastAsia="宋体" w:cs="宋体"/>
          <w:color w:val="auto"/>
          <w:kern w:val="0"/>
          <w:sz w:val="24"/>
          <w:szCs w:val="24"/>
          <w:highlight w:val="none"/>
          <w:lang w:val="en-US" w:eastAsia="zh-CN" w:bidi="ar-SA"/>
        </w:rPr>
        <w:t>2.</w:t>
      </w:r>
      <w:r>
        <w:rPr>
          <w:rFonts w:hint="eastAsia" w:ascii="Times New Roman" w:hAnsi="Times New Roman" w:eastAsia="宋体" w:cs="宋体"/>
          <w:color w:val="auto"/>
          <w:kern w:val="0"/>
          <w:sz w:val="24"/>
          <w:szCs w:val="24"/>
          <w:highlight w:val="none"/>
          <w:u w:val="single"/>
          <w:lang w:val="en-US" w:eastAsia="zh-CN" w:bidi="ar-SA"/>
        </w:rPr>
        <w:t>（标的名称）</w:t>
      </w:r>
      <w:r>
        <w:rPr>
          <w:rFonts w:hint="eastAsia" w:ascii="Times New Roman" w:hAnsi="Times New Roman" w:eastAsia="宋体" w:cs="宋体"/>
          <w:color w:val="auto"/>
          <w:kern w:val="0"/>
          <w:sz w:val="24"/>
          <w:szCs w:val="24"/>
          <w:highlight w:val="none"/>
          <w:lang w:val="en-US" w:eastAsia="zh-CN" w:bidi="ar-SA"/>
        </w:rPr>
        <w:t xml:space="preserve"> ，属于</w:t>
      </w:r>
      <w:r>
        <w:rPr>
          <w:rFonts w:hint="eastAsia" w:ascii="Times New Roman" w:hAnsi="Times New Roman" w:cs="宋体"/>
          <w:color w:val="auto"/>
          <w:kern w:val="0"/>
          <w:sz w:val="24"/>
          <w:szCs w:val="24"/>
          <w:highlight w:val="none"/>
          <w:u w:val="single"/>
          <w:lang w:val="en-US" w:eastAsia="zh-CN" w:bidi="ar-SA"/>
        </w:rPr>
        <w:t xml:space="preserve">  建筑业</w:t>
      </w:r>
      <w:r>
        <w:rPr>
          <w:rFonts w:hint="eastAsia" w:ascii="Times New Roman" w:hAnsi="Times New Roman" w:eastAsia="宋体" w:cs="宋体"/>
          <w:color w:val="auto"/>
          <w:kern w:val="0"/>
          <w:sz w:val="24"/>
          <w:szCs w:val="24"/>
          <w:highlight w:val="none"/>
          <w:u w:val="single"/>
          <w:lang w:val="en-US" w:eastAsia="zh-CN" w:bidi="ar-SA"/>
        </w:rPr>
        <w:t>（采购文件中明确的所属行业）</w:t>
      </w:r>
      <w:r>
        <w:rPr>
          <w:rFonts w:hint="eastAsia" w:ascii="Times New Roman" w:hAnsi="Times New Roman" w:eastAsia="宋体" w:cs="宋体"/>
          <w:color w:val="auto"/>
          <w:kern w:val="0"/>
          <w:sz w:val="24"/>
          <w:szCs w:val="24"/>
          <w:highlight w:val="none"/>
          <w:lang w:val="en-US" w:eastAsia="zh-CN" w:bidi="ar-SA"/>
        </w:rPr>
        <w:t>行业；承建（承接）企业为</w:t>
      </w:r>
      <w:r>
        <w:rPr>
          <w:rFonts w:hint="eastAsia" w:ascii="Times New Roman" w:hAnsi="Times New Roman" w:eastAsia="宋体" w:cs="宋体"/>
          <w:color w:val="auto"/>
          <w:kern w:val="0"/>
          <w:sz w:val="24"/>
          <w:szCs w:val="24"/>
          <w:highlight w:val="none"/>
          <w:u w:val="none"/>
          <w:lang w:val="en-US" w:eastAsia="zh-CN" w:bidi="ar-SA"/>
        </w:rPr>
        <w:t>（企业名称），从</w:t>
      </w:r>
      <w:r>
        <w:rPr>
          <w:rFonts w:hint="eastAsia" w:ascii="Times New Roman" w:hAnsi="Times New Roman" w:eastAsia="宋体" w:cs="宋体"/>
          <w:color w:val="auto"/>
          <w:kern w:val="0"/>
          <w:sz w:val="24"/>
          <w:szCs w:val="24"/>
          <w:highlight w:val="none"/>
          <w:lang w:val="en-US" w:eastAsia="zh-CN" w:bidi="ar-SA"/>
        </w:rPr>
        <w:t>业人员</w:t>
      </w:r>
      <w:r>
        <w:rPr>
          <w:rFonts w:hint="eastAsia" w:ascii="Times New Roman" w:hAnsi="Times New Roman" w:eastAsia="宋体" w:cs="宋体"/>
          <w:color w:val="auto"/>
          <w:kern w:val="0"/>
          <w:sz w:val="24"/>
          <w:szCs w:val="24"/>
          <w:highlight w:val="none"/>
          <w:u w:val="single"/>
          <w:lang w:val="en-US" w:eastAsia="zh-CN" w:bidi="ar-SA"/>
        </w:rPr>
        <w:t xml:space="preserve">     </w:t>
      </w:r>
      <w:r>
        <w:rPr>
          <w:rFonts w:hint="eastAsia" w:ascii="Times New Roman" w:hAnsi="Times New Roman" w:eastAsia="宋体" w:cs="宋体"/>
          <w:color w:val="auto"/>
          <w:kern w:val="0"/>
          <w:sz w:val="24"/>
          <w:szCs w:val="24"/>
          <w:highlight w:val="none"/>
          <w:lang w:val="en-US" w:eastAsia="zh-CN" w:bidi="ar-SA"/>
        </w:rPr>
        <w:t>人，营业收入为</w:t>
      </w:r>
      <w:r>
        <w:rPr>
          <w:rFonts w:hint="eastAsia" w:ascii="Times New Roman" w:hAnsi="Times New Roman" w:eastAsia="宋体" w:cs="宋体"/>
          <w:color w:val="auto"/>
          <w:kern w:val="0"/>
          <w:sz w:val="24"/>
          <w:szCs w:val="24"/>
          <w:highlight w:val="none"/>
          <w:u w:val="single"/>
          <w:lang w:val="en-US" w:eastAsia="zh-CN" w:bidi="ar-SA"/>
        </w:rPr>
        <w:t xml:space="preserve">    </w:t>
      </w:r>
      <w:r>
        <w:rPr>
          <w:rFonts w:hint="eastAsia" w:ascii="Times New Roman" w:hAnsi="Times New Roman" w:eastAsia="宋体" w:cs="宋体"/>
          <w:color w:val="auto"/>
          <w:kern w:val="0"/>
          <w:sz w:val="24"/>
          <w:szCs w:val="24"/>
          <w:highlight w:val="none"/>
          <w:lang w:val="en-US" w:eastAsia="zh-CN" w:bidi="ar-SA"/>
        </w:rPr>
        <w:t>万元，资产总额为</w:t>
      </w:r>
      <w:r>
        <w:rPr>
          <w:rFonts w:hint="eastAsia" w:ascii="Times New Roman" w:hAnsi="Times New Roman" w:eastAsia="宋体" w:cs="宋体"/>
          <w:color w:val="auto"/>
          <w:kern w:val="0"/>
          <w:sz w:val="24"/>
          <w:szCs w:val="24"/>
          <w:highlight w:val="none"/>
          <w:u w:val="single"/>
          <w:lang w:val="en-US" w:eastAsia="zh-CN" w:bidi="ar-SA"/>
        </w:rPr>
        <w:t xml:space="preserve">     </w:t>
      </w:r>
      <w:r>
        <w:rPr>
          <w:rFonts w:hint="eastAsia" w:ascii="Times New Roman" w:hAnsi="Times New Roman" w:eastAsia="宋体" w:cs="宋体"/>
          <w:color w:val="auto"/>
          <w:kern w:val="0"/>
          <w:sz w:val="24"/>
          <w:szCs w:val="24"/>
          <w:highlight w:val="none"/>
          <w:lang w:val="en-US" w:eastAsia="zh-CN" w:bidi="ar-SA"/>
        </w:rPr>
        <w:t>万元，属于</w:t>
      </w:r>
      <w:r>
        <w:rPr>
          <w:rFonts w:hint="eastAsia" w:ascii="Times New Roman" w:hAnsi="Times New Roman" w:eastAsia="宋体" w:cs="宋体"/>
          <w:color w:val="auto"/>
          <w:kern w:val="0"/>
          <w:sz w:val="24"/>
          <w:szCs w:val="24"/>
          <w:highlight w:val="none"/>
          <w:u w:val="single"/>
          <w:lang w:val="en-US" w:eastAsia="zh-CN" w:bidi="ar-SA"/>
        </w:rPr>
        <w:t>（中型企业、小型企业、微型企业）</w:t>
      </w:r>
      <w:r>
        <w:rPr>
          <w:rFonts w:hint="eastAsia" w:ascii="Times New Roman" w:hAnsi="Times New Roman" w:eastAsia="宋体" w:cs="宋体"/>
          <w:color w:val="auto"/>
          <w:kern w:val="0"/>
          <w:sz w:val="24"/>
          <w:szCs w:val="24"/>
          <w:highlight w:val="none"/>
          <w:lang w:val="en-US" w:eastAsia="zh-CN" w:bidi="ar-SA"/>
        </w:rPr>
        <w:t>；</w:t>
      </w:r>
    </w:p>
    <w:p w14:paraId="15293744">
      <w:pPr>
        <w:pStyle w:val="9"/>
        <w:spacing w:before="11"/>
        <w:jc w:val="both"/>
        <w:rPr>
          <w:rFonts w:ascii="Times New Roman" w:hAnsi="Times New Roman" w:cs="Times New Roman"/>
          <w:color w:val="auto"/>
          <w:sz w:val="31"/>
          <w:highlight w:val="none"/>
          <w:lang w:eastAsia="zh-CN"/>
        </w:rPr>
      </w:pPr>
    </w:p>
    <w:p w14:paraId="0DC08E12">
      <w:pPr>
        <w:pStyle w:val="9"/>
        <w:ind w:left="1045"/>
        <w:jc w:val="both"/>
        <w:rPr>
          <w:rFonts w:ascii="Times New Roman" w:hAnsi="Times New Roman" w:cs="Times New Roman"/>
          <w:color w:val="auto"/>
          <w:highlight w:val="none"/>
          <w:lang w:eastAsia="zh-CN"/>
        </w:rPr>
      </w:pPr>
      <w:r>
        <w:rPr>
          <w:rFonts w:ascii="Times New Roman" w:hAnsi="Times New Roman" w:cs="Times New Roman"/>
          <w:color w:val="auto"/>
          <w:w w:val="120"/>
          <w:highlight w:val="none"/>
          <w:lang w:eastAsia="zh-CN"/>
        </w:rPr>
        <w:t>……</w:t>
      </w:r>
    </w:p>
    <w:p w14:paraId="2608CEA9">
      <w:pPr>
        <w:pStyle w:val="9"/>
        <w:spacing w:before="149" w:line="362" w:lineRule="auto"/>
        <w:ind w:left="541" w:right="576" w:firstLine="504"/>
        <w:jc w:val="both"/>
        <w:rPr>
          <w:rFonts w:ascii="Times New Roman" w:hAnsi="Times New Roman" w:cs="Times New Roman"/>
          <w:color w:val="auto"/>
          <w:sz w:val="24"/>
          <w:szCs w:val="24"/>
          <w:highlight w:val="none"/>
          <w:lang w:eastAsia="zh-CN"/>
        </w:rPr>
      </w:pPr>
      <w:r>
        <w:rPr>
          <w:rFonts w:ascii="Times New Roman" w:hAnsi="Times New Roman" w:cs="Times New Roman"/>
          <w:color w:val="auto"/>
          <w:sz w:val="24"/>
          <w:szCs w:val="24"/>
          <w:highlight w:val="none"/>
          <w:lang w:eastAsia="zh-CN"/>
        </w:rPr>
        <w:t>以上企业，不属于大企业的分支机构，不存在控股股东为大企业的情形，也不存在与大企业的负责人为同一人的情形。</w:t>
      </w:r>
    </w:p>
    <w:p w14:paraId="4F961879">
      <w:pPr>
        <w:pStyle w:val="9"/>
        <w:spacing w:before="5"/>
        <w:ind w:left="1045"/>
        <w:jc w:val="both"/>
        <w:rPr>
          <w:rFonts w:ascii="Times New Roman" w:hAnsi="Times New Roman" w:cs="Times New Roman"/>
          <w:color w:val="auto"/>
          <w:sz w:val="24"/>
          <w:szCs w:val="24"/>
          <w:highlight w:val="none"/>
          <w:lang w:eastAsia="zh-CN"/>
        </w:rPr>
      </w:pPr>
      <w:r>
        <w:rPr>
          <w:rFonts w:ascii="Times New Roman" w:hAnsi="Times New Roman" w:cs="Times New Roman"/>
          <w:color w:val="auto"/>
          <w:sz w:val="24"/>
          <w:szCs w:val="24"/>
          <w:highlight w:val="none"/>
          <w:lang w:eastAsia="zh-CN"/>
        </w:rPr>
        <w:t>本企业对上述声明内容的真实性负责。如有虚假，将依法承担相应责任。</w:t>
      </w:r>
    </w:p>
    <w:p w14:paraId="214B1926">
      <w:pPr>
        <w:pStyle w:val="9"/>
        <w:jc w:val="both"/>
        <w:rPr>
          <w:rFonts w:ascii="Times New Roman" w:hAnsi="Times New Roman" w:cs="Times New Roman"/>
          <w:color w:val="auto"/>
          <w:highlight w:val="none"/>
          <w:lang w:eastAsia="zh-CN"/>
        </w:rPr>
      </w:pPr>
    </w:p>
    <w:p w14:paraId="22CD13AA">
      <w:pPr>
        <w:pStyle w:val="9"/>
        <w:spacing w:before="1"/>
        <w:rPr>
          <w:rFonts w:hint="eastAsia" w:ascii="Times New Roman" w:hAnsi="Times New Roman" w:eastAsia="宋体" w:cs="宋体"/>
          <w:color w:val="auto"/>
          <w:kern w:val="0"/>
          <w:sz w:val="24"/>
          <w:szCs w:val="24"/>
          <w:highlight w:val="none"/>
          <w:lang w:val="en-US" w:eastAsia="zh-CN" w:bidi="ar-SA"/>
        </w:rPr>
      </w:pPr>
    </w:p>
    <w:p w14:paraId="787CB256">
      <w:pPr>
        <w:pStyle w:val="9"/>
        <w:ind w:firstLine="5760" w:firstLineChars="2400"/>
        <w:rPr>
          <w:rFonts w:hint="eastAsia" w:ascii="Times New Roman" w:hAnsi="Times New Roman" w:eastAsia="宋体" w:cs="宋体"/>
          <w:color w:val="auto"/>
          <w:kern w:val="0"/>
          <w:sz w:val="24"/>
          <w:szCs w:val="24"/>
          <w:highlight w:val="none"/>
          <w:lang w:val="en-US" w:eastAsia="zh-CN" w:bidi="ar-SA"/>
        </w:rPr>
      </w:pPr>
      <w:r>
        <w:rPr>
          <w:rFonts w:hint="eastAsia" w:cs="宋体"/>
          <w:color w:val="auto"/>
          <w:kern w:val="0"/>
          <w:sz w:val="24"/>
          <w:szCs w:val="24"/>
          <w:highlight w:val="none"/>
          <w:lang w:val="en-US" w:eastAsia="zh-CN" w:bidi="ar-SA"/>
        </w:rPr>
        <w:t>单位</w:t>
      </w:r>
      <w:r>
        <w:rPr>
          <w:rFonts w:hint="eastAsia" w:ascii="Times New Roman" w:hAnsi="Times New Roman" w:eastAsia="宋体" w:cs="宋体"/>
          <w:color w:val="auto"/>
          <w:kern w:val="0"/>
          <w:sz w:val="24"/>
          <w:szCs w:val="24"/>
          <w:highlight w:val="none"/>
          <w:lang w:val="en-US" w:eastAsia="zh-CN" w:bidi="ar-SA"/>
        </w:rPr>
        <w:t>名称（电子签章）：</w:t>
      </w:r>
    </w:p>
    <w:p w14:paraId="09C28349">
      <w:pPr>
        <w:pStyle w:val="9"/>
        <w:ind w:firstLine="5760" w:firstLineChars="2400"/>
        <w:rPr>
          <w:rFonts w:hint="eastAsia" w:ascii="Times New Roman" w:hAnsi="Times New Roman" w:eastAsia="宋体" w:cs="宋体"/>
          <w:color w:val="auto"/>
          <w:kern w:val="0"/>
          <w:sz w:val="24"/>
          <w:szCs w:val="24"/>
          <w:highlight w:val="none"/>
          <w:lang w:val="en-US" w:eastAsia="zh-CN" w:bidi="ar-SA"/>
        </w:rPr>
      </w:pPr>
      <w:r>
        <w:rPr>
          <w:rFonts w:hint="eastAsia" w:ascii="Times New Roman" w:hAnsi="Times New Roman" w:eastAsia="宋体" w:cs="宋体"/>
          <w:color w:val="auto"/>
          <w:kern w:val="0"/>
          <w:sz w:val="24"/>
          <w:szCs w:val="24"/>
          <w:highlight w:val="none"/>
          <w:lang w:val="en-US" w:eastAsia="zh-CN" w:bidi="ar-SA"/>
        </w:rPr>
        <w:t>日期：</w:t>
      </w:r>
    </w:p>
    <w:p w14:paraId="21641FB3">
      <w:pPr>
        <w:pStyle w:val="9"/>
        <w:rPr>
          <w:rFonts w:ascii="Times New Roman" w:hAnsi="Times New Roman" w:cs="Times New Roman"/>
          <w:color w:val="auto"/>
          <w:sz w:val="20"/>
          <w:highlight w:val="none"/>
          <w:lang w:eastAsia="zh-CN"/>
        </w:rPr>
      </w:pPr>
    </w:p>
    <w:p w14:paraId="0B9B6F10">
      <w:pPr>
        <w:pStyle w:val="9"/>
        <w:rPr>
          <w:rFonts w:ascii="Times New Roman" w:hAnsi="Times New Roman" w:cs="Times New Roman"/>
          <w:color w:val="auto"/>
          <w:sz w:val="20"/>
          <w:highlight w:val="none"/>
          <w:lang w:eastAsia="zh-CN"/>
        </w:rPr>
      </w:pPr>
    </w:p>
    <w:p w14:paraId="29D265BF">
      <w:pPr>
        <w:pStyle w:val="9"/>
        <w:spacing w:before="8"/>
        <w:rPr>
          <w:rFonts w:ascii="Times New Roman" w:hAnsi="Times New Roman" w:cs="Times New Roman"/>
          <w:color w:val="auto"/>
          <w:sz w:val="18"/>
          <w:highlight w:val="none"/>
          <w:lang w:eastAsia="zh-CN"/>
        </w:rPr>
      </w:pPr>
      <w:r>
        <w:rPr>
          <w:rFonts w:ascii="Times New Roman" w:hAnsi="Times New Roman" w:cs="Times New Roman"/>
          <w:color w:val="auto"/>
          <w:highlight w:val="none"/>
        </w:rPr>
        <mc:AlternateContent>
          <mc:Choice Requires="wps">
            <w:drawing>
              <wp:anchor distT="0" distB="0" distL="114300" distR="114300" simplePos="0" relativeHeight="251665408" behindDoc="1" locked="0" layoutInCell="1" allowOverlap="1">
                <wp:simplePos x="0" y="0"/>
                <wp:positionH relativeFrom="page">
                  <wp:posOffset>1011555</wp:posOffset>
                </wp:positionH>
                <wp:positionV relativeFrom="paragraph">
                  <wp:posOffset>165100</wp:posOffset>
                </wp:positionV>
                <wp:extent cx="5681345" cy="1270"/>
                <wp:effectExtent l="0" t="0" r="0" b="0"/>
                <wp:wrapTopAndBottom/>
                <wp:docPr id="27" name="任意多边形 27"/>
                <wp:cNvGraphicFramePr/>
                <a:graphic xmlns:a="http://schemas.openxmlformats.org/drawingml/2006/main">
                  <a:graphicData uri="http://schemas.microsoft.com/office/word/2010/wordprocessingShape">
                    <wps:wsp>
                      <wps:cNvSpPr/>
                      <wps:spPr>
                        <a:xfrm>
                          <a:off x="0" y="0"/>
                          <a:ext cx="5681345" cy="1270"/>
                        </a:xfrm>
                        <a:custGeom>
                          <a:avLst/>
                          <a:gdLst/>
                          <a:ahLst/>
                          <a:cxnLst/>
                          <a:pathLst>
                            <a:path w="8947">
                              <a:moveTo>
                                <a:pt x="0" y="0"/>
                              </a:moveTo>
                              <a:lnTo>
                                <a:pt x="8946" y="0"/>
                              </a:lnTo>
                            </a:path>
                          </a:pathLst>
                        </a:custGeom>
                        <a:noFill/>
                        <a:ln w="6096"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79.65pt;margin-top:13pt;height:0.1pt;width:447.35pt;mso-position-horizontal-relative:page;mso-wrap-distance-bottom:0pt;mso-wrap-distance-top:0pt;z-index:-251651072;mso-width-relative:page;mso-height-relative:page;" filled="f" stroked="t" coordsize="8947,1" o:gfxdata="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kkBZB2AAAAAoBAAAPAAAAAAAAAAEAIAAAACIAAABkcnMvZG93bnJldi54&#10;bWxQSwECFAAUAAAACACHTuJAAmGo5DMCAACHBAAADgAAAAAAAAABACAAAAAnAQAAZHJzL2Uyb0Rv&#10;Yy54bWxQSwUGAAAAAAYABgBZAQAAzAUAAAAA&#10;" path="m0,0l8946,0e">
                <v:fill on="f" focussize="0,0"/>
                <v:stroke weight="0.48pt" color="#000000" joinstyle="round"/>
                <v:imagedata o:title=""/>
                <o:lock v:ext="edit" aspectratio="f"/>
                <w10:wrap type="topAndBottom"/>
              </v:shape>
            </w:pict>
          </mc:Fallback>
        </mc:AlternateContent>
      </w:r>
    </w:p>
    <w:p w14:paraId="09AA76DF">
      <w:pPr>
        <w:spacing w:line="241" w:lineRule="exact"/>
        <w:ind w:left="541"/>
        <w:rPr>
          <w:rFonts w:ascii="Times New Roman" w:hAnsi="Times New Roman" w:cs="Times New Roman"/>
          <w:color w:val="auto"/>
          <w:sz w:val="21"/>
          <w:highlight w:val="none"/>
          <w:lang w:eastAsia="zh-CN"/>
        </w:rPr>
      </w:pPr>
      <w:r>
        <w:rPr>
          <w:rFonts w:ascii="Times New Roman" w:hAnsi="Times New Roman" w:eastAsia="Arial Narrow" w:cs="Times New Roman"/>
          <w:color w:val="auto"/>
          <w:w w:val="125"/>
          <w:position w:val="6"/>
          <w:sz w:val="14"/>
          <w:highlight w:val="none"/>
          <w:lang w:eastAsia="zh-CN"/>
        </w:rPr>
        <w:t xml:space="preserve">1 </w:t>
      </w:r>
      <w:r>
        <w:rPr>
          <w:rFonts w:ascii="Times New Roman" w:hAnsi="Times New Roman" w:cs="Times New Roman"/>
          <w:color w:val="auto"/>
          <w:sz w:val="21"/>
          <w:highlight w:val="none"/>
          <w:lang w:eastAsia="zh-CN"/>
        </w:rPr>
        <w:t>从业人员、营业收入、资产总额填报上一年度数据，无上一年度数据的新成立企业可不填报。</w:t>
      </w:r>
    </w:p>
    <w:p w14:paraId="0D104866">
      <w:pPr>
        <w:pStyle w:val="9"/>
        <w:tabs>
          <w:tab w:val="left" w:pos="4830"/>
        </w:tabs>
        <w:adjustRightInd w:val="0"/>
        <w:snapToGrid w:val="0"/>
        <w:spacing w:after="0" w:line="360" w:lineRule="auto"/>
        <w:ind w:firstLine="645"/>
        <w:rPr>
          <w:rFonts w:cs="宋体"/>
          <w:color w:val="auto"/>
          <w:sz w:val="24"/>
          <w:szCs w:val="24"/>
          <w:highlight w:val="none"/>
        </w:rPr>
      </w:pPr>
    </w:p>
    <w:p w14:paraId="6EEFE879">
      <w:pPr>
        <w:pStyle w:val="9"/>
        <w:tabs>
          <w:tab w:val="left" w:pos="4830"/>
        </w:tabs>
        <w:adjustRightInd w:val="0"/>
        <w:snapToGrid w:val="0"/>
        <w:spacing w:after="0" w:line="360" w:lineRule="auto"/>
        <w:ind w:firstLine="4569" w:firstLineChars="1904"/>
        <w:rPr>
          <w:rFonts w:cs="宋体"/>
          <w:color w:val="auto"/>
          <w:sz w:val="24"/>
          <w:szCs w:val="24"/>
          <w:highlight w:val="none"/>
        </w:rPr>
      </w:pPr>
    </w:p>
    <w:p w14:paraId="56FEC05E">
      <w:pPr>
        <w:adjustRightInd w:val="0"/>
        <w:snapToGrid w:val="0"/>
        <w:spacing w:line="360" w:lineRule="auto"/>
        <w:rPr>
          <w:rFonts w:hint="eastAsia" w:ascii="宋体" w:hAnsi="宋体" w:cs="宋体"/>
          <w:color w:val="auto"/>
          <w:sz w:val="24"/>
          <w:szCs w:val="24"/>
          <w:highlight w:val="none"/>
        </w:rPr>
      </w:pPr>
    </w:p>
    <w:p w14:paraId="59E87784">
      <w:pPr>
        <w:pStyle w:val="21"/>
        <w:adjustRightInd w:val="0"/>
        <w:snapToGrid w:val="0"/>
        <w:spacing w:line="360" w:lineRule="auto"/>
        <w:ind w:left="0"/>
        <w:rPr>
          <w:rFonts w:hint="eastAsia" w:ascii="宋体" w:hAnsi="宋体" w:cs="宋体"/>
          <w:color w:val="auto"/>
          <w:sz w:val="24"/>
          <w:szCs w:val="24"/>
          <w:highlight w:val="none"/>
        </w:rPr>
      </w:pPr>
    </w:p>
    <w:p w14:paraId="03ECB483">
      <w:pPr>
        <w:adjustRightInd w:val="0"/>
        <w:snapToGrid w:val="0"/>
        <w:spacing w:line="360" w:lineRule="auto"/>
        <w:rPr>
          <w:rFonts w:hint="eastAsia" w:ascii="宋体" w:hAnsi="宋体" w:cs="宋体"/>
          <w:color w:val="auto"/>
          <w:sz w:val="24"/>
          <w:szCs w:val="24"/>
          <w:highlight w:val="none"/>
        </w:rPr>
      </w:pPr>
    </w:p>
    <w:p w14:paraId="5A7682C0">
      <w:pPr>
        <w:adjustRightInd w:val="0"/>
        <w:snapToGrid w:val="0"/>
        <w:spacing w:line="360" w:lineRule="auto"/>
        <w:rPr>
          <w:rFonts w:hint="eastAsia" w:ascii="宋体" w:hAnsi="宋体" w:cs="宋体"/>
          <w:color w:val="auto"/>
          <w:sz w:val="24"/>
          <w:szCs w:val="24"/>
          <w:highlight w:val="none"/>
        </w:rPr>
      </w:pPr>
    </w:p>
    <w:p w14:paraId="66C3ED4C">
      <w:pPr>
        <w:adjustRightInd w:val="0"/>
        <w:snapToGrid w:val="0"/>
        <w:spacing w:line="360" w:lineRule="auto"/>
        <w:rPr>
          <w:rFonts w:hint="eastAsia" w:ascii="宋体" w:hAnsi="宋体" w:cs="宋体"/>
          <w:color w:val="auto"/>
          <w:sz w:val="24"/>
          <w:szCs w:val="24"/>
          <w:highlight w:val="none"/>
        </w:rPr>
      </w:pPr>
    </w:p>
    <w:p w14:paraId="3EEFF78D">
      <w:pPr>
        <w:tabs>
          <w:tab w:val="left" w:pos="5580"/>
        </w:tabs>
        <w:spacing w:line="360" w:lineRule="auto"/>
        <w:jc w:val="center"/>
        <w:rPr>
          <w:rFonts w:hint="eastAsia" w:ascii="宋体" w:hAnsi="宋体" w:cs="宋体"/>
          <w:b/>
          <w:snapToGrid w:val="0"/>
          <w:color w:val="auto"/>
          <w:kern w:val="21"/>
          <w:sz w:val="24"/>
          <w:szCs w:val="24"/>
          <w:highlight w:val="none"/>
        </w:rPr>
      </w:pPr>
      <w:r>
        <w:rPr>
          <w:rFonts w:hint="eastAsia" w:ascii="宋体" w:hAnsi="宋体" w:cs="宋体"/>
          <w:b/>
          <w:snapToGrid w:val="0"/>
          <w:color w:val="auto"/>
          <w:kern w:val="21"/>
          <w:sz w:val="24"/>
          <w:szCs w:val="24"/>
          <w:highlight w:val="none"/>
        </w:rPr>
        <w:t>《残疾人福利性单位声明函》（原件。符合《三部门联合发布关于促进残疾人就业政府采购政策的通知》（财库〔2017〕141号）价格扣减条件的供应商须提交）</w:t>
      </w:r>
    </w:p>
    <w:p w14:paraId="362A514E">
      <w:pPr>
        <w:keepNext/>
        <w:keepLines/>
        <w:spacing w:before="120" w:after="120" w:line="360" w:lineRule="auto"/>
        <w:ind w:left="425"/>
        <w:jc w:val="center"/>
        <w:outlineLvl w:val="1"/>
        <w:rPr>
          <w:rFonts w:ascii="Arial" w:hAnsi="Arial"/>
          <w:b/>
          <w:bCs/>
          <w:snapToGrid w:val="0"/>
          <w:color w:val="auto"/>
          <w:kern w:val="21"/>
          <w:sz w:val="24"/>
          <w:szCs w:val="24"/>
          <w:highlight w:val="none"/>
        </w:rPr>
      </w:pPr>
      <w:bookmarkStart w:id="4663" w:name="_Toc26170587"/>
      <w:bookmarkStart w:id="4664" w:name="_Toc8812"/>
      <w:bookmarkStart w:id="4665" w:name="_Toc16532"/>
      <w:bookmarkStart w:id="4666" w:name="OLE_LINK14"/>
      <w:bookmarkStart w:id="4667" w:name="OLE_LINK13"/>
      <w:r>
        <w:rPr>
          <w:rFonts w:hint="eastAsia" w:ascii="Arial" w:hAnsi="Arial"/>
          <w:b/>
          <w:bCs/>
          <w:snapToGrid w:val="0"/>
          <w:color w:val="auto"/>
          <w:kern w:val="21"/>
          <w:sz w:val="24"/>
          <w:szCs w:val="24"/>
          <w:highlight w:val="none"/>
        </w:rPr>
        <w:t>残疾人福利性单位声明函</w:t>
      </w:r>
      <w:bookmarkEnd w:id="4663"/>
      <w:bookmarkEnd w:id="4664"/>
      <w:bookmarkEnd w:id="4665"/>
    </w:p>
    <w:bookmarkEnd w:id="4666"/>
    <w:bookmarkEnd w:id="4667"/>
    <w:p w14:paraId="67086953">
      <w:pPr>
        <w:spacing w:line="360" w:lineRule="auto"/>
        <w:ind w:firstLine="504" w:firstLineChars="200"/>
        <w:rPr>
          <w:rFonts w:ascii="宋体"/>
          <w:snapToGrid w:val="0"/>
          <w:color w:val="auto"/>
          <w:spacing w:val="6"/>
          <w:kern w:val="21"/>
          <w:sz w:val="24"/>
          <w:szCs w:val="24"/>
          <w:highlight w:val="none"/>
        </w:rPr>
      </w:pPr>
      <w:r>
        <w:rPr>
          <w:rFonts w:hint="eastAsia" w:ascii="宋体" w:hAnsi="宋体"/>
          <w:snapToGrid w:val="0"/>
          <w:color w:val="auto"/>
          <w:spacing w:val="6"/>
          <w:kern w:val="21"/>
          <w:sz w:val="24"/>
          <w:szCs w:val="24"/>
          <w:highlight w:val="none"/>
        </w:rPr>
        <w:t>本单位郑重声明，根据《财政部</w:t>
      </w:r>
      <w:r>
        <w:rPr>
          <w:rFonts w:ascii="宋体" w:hAnsi="宋体"/>
          <w:snapToGrid w:val="0"/>
          <w:color w:val="auto"/>
          <w:spacing w:val="6"/>
          <w:kern w:val="21"/>
          <w:sz w:val="24"/>
          <w:szCs w:val="24"/>
          <w:highlight w:val="none"/>
        </w:rPr>
        <w:t xml:space="preserve"> </w:t>
      </w:r>
      <w:r>
        <w:rPr>
          <w:rFonts w:hint="eastAsia" w:ascii="宋体" w:hAnsi="宋体"/>
          <w:snapToGrid w:val="0"/>
          <w:color w:val="auto"/>
          <w:spacing w:val="6"/>
          <w:kern w:val="21"/>
          <w:sz w:val="24"/>
          <w:szCs w:val="24"/>
          <w:highlight w:val="none"/>
        </w:rPr>
        <w:t>民政部</w:t>
      </w:r>
      <w:r>
        <w:rPr>
          <w:rFonts w:ascii="宋体" w:hAnsi="宋体"/>
          <w:snapToGrid w:val="0"/>
          <w:color w:val="auto"/>
          <w:spacing w:val="6"/>
          <w:kern w:val="21"/>
          <w:sz w:val="24"/>
          <w:szCs w:val="24"/>
          <w:highlight w:val="none"/>
        </w:rPr>
        <w:t xml:space="preserve"> </w:t>
      </w:r>
      <w:r>
        <w:rPr>
          <w:rFonts w:hint="eastAsia" w:ascii="宋体" w:hAnsi="宋体"/>
          <w:snapToGrid w:val="0"/>
          <w:color w:val="auto"/>
          <w:spacing w:val="6"/>
          <w:kern w:val="21"/>
          <w:sz w:val="24"/>
          <w:szCs w:val="24"/>
          <w:highlight w:val="none"/>
        </w:rPr>
        <w:t>中国残疾人联合会关于促进残疾人就业政府采购政策的通知》（财库</w:t>
      </w:r>
      <w:r>
        <w:rPr>
          <w:rFonts w:hint="eastAsia" w:ascii="宋体" w:hAnsi="宋体"/>
          <w:snapToGrid w:val="0"/>
          <w:color w:val="auto"/>
          <w:kern w:val="21"/>
          <w:sz w:val="24"/>
          <w:szCs w:val="24"/>
          <w:highlight w:val="none"/>
        </w:rPr>
        <w:t>〔</w:t>
      </w:r>
      <w:r>
        <w:rPr>
          <w:rFonts w:ascii="宋体" w:hAnsi="宋体"/>
          <w:snapToGrid w:val="0"/>
          <w:color w:val="auto"/>
          <w:kern w:val="21"/>
          <w:sz w:val="24"/>
          <w:szCs w:val="24"/>
          <w:highlight w:val="none"/>
        </w:rPr>
        <w:t>2017</w:t>
      </w:r>
      <w:r>
        <w:rPr>
          <w:rFonts w:hint="eastAsia" w:ascii="宋体" w:hAnsi="宋体"/>
          <w:snapToGrid w:val="0"/>
          <w:color w:val="auto"/>
          <w:kern w:val="21"/>
          <w:sz w:val="24"/>
          <w:szCs w:val="24"/>
          <w:highlight w:val="none"/>
        </w:rPr>
        <w:t>〕</w:t>
      </w:r>
      <w:r>
        <w:rPr>
          <w:rFonts w:ascii="宋体" w:hAnsi="宋体"/>
          <w:snapToGrid w:val="0"/>
          <w:color w:val="auto"/>
          <w:kern w:val="21"/>
          <w:sz w:val="24"/>
          <w:szCs w:val="24"/>
          <w:highlight w:val="none"/>
        </w:rPr>
        <w:t xml:space="preserve"> 141</w:t>
      </w:r>
      <w:r>
        <w:rPr>
          <w:rFonts w:hint="eastAsia" w:ascii="宋体" w:hAnsi="宋体"/>
          <w:snapToGrid w:val="0"/>
          <w:color w:val="auto"/>
          <w:spacing w:val="6"/>
          <w:kern w:val="21"/>
          <w:sz w:val="24"/>
          <w:szCs w:val="24"/>
          <w:highlight w:val="none"/>
        </w:rPr>
        <w:t>号）的规定，本单位为符合条件的残疾人福利性单位，且本单位参加</w:t>
      </w:r>
      <w:r>
        <w:rPr>
          <w:rFonts w:ascii="宋体" w:hAnsi="宋体"/>
          <w:snapToGrid w:val="0"/>
          <w:color w:val="auto"/>
          <w:spacing w:val="6"/>
          <w:kern w:val="21"/>
          <w:sz w:val="24"/>
          <w:szCs w:val="24"/>
          <w:highlight w:val="none"/>
        </w:rPr>
        <w:t>______</w:t>
      </w:r>
      <w:r>
        <w:rPr>
          <w:rFonts w:hint="eastAsia" w:ascii="宋体" w:hAnsi="宋体"/>
          <w:snapToGrid w:val="0"/>
          <w:color w:val="auto"/>
          <w:spacing w:val="6"/>
          <w:kern w:val="21"/>
          <w:sz w:val="24"/>
          <w:szCs w:val="24"/>
          <w:highlight w:val="none"/>
        </w:rPr>
        <w:t>单位的</w:t>
      </w:r>
      <w:r>
        <w:rPr>
          <w:rFonts w:ascii="宋体" w:hAnsi="宋体"/>
          <w:snapToGrid w:val="0"/>
          <w:color w:val="auto"/>
          <w:spacing w:val="6"/>
          <w:kern w:val="21"/>
          <w:sz w:val="24"/>
          <w:szCs w:val="24"/>
          <w:highlight w:val="none"/>
        </w:rPr>
        <w:t>______</w:t>
      </w:r>
      <w:r>
        <w:rPr>
          <w:rFonts w:hint="eastAsia" w:ascii="宋体" w:hAnsi="宋体"/>
          <w:snapToGrid w:val="0"/>
          <w:color w:val="auto"/>
          <w:spacing w:val="6"/>
          <w:kern w:val="21"/>
          <w:sz w:val="24"/>
          <w:szCs w:val="24"/>
          <w:highlight w:val="none"/>
        </w:rPr>
        <w:t>项目采购活动提供本单位制造的货物（由本单位承担工程</w:t>
      </w:r>
      <w:r>
        <w:rPr>
          <w:rFonts w:ascii="宋体" w:hAnsi="宋体"/>
          <w:snapToGrid w:val="0"/>
          <w:color w:val="auto"/>
          <w:spacing w:val="6"/>
          <w:kern w:val="21"/>
          <w:sz w:val="24"/>
          <w:szCs w:val="24"/>
          <w:highlight w:val="none"/>
        </w:rPr>
        <w:t>/</w:t>
      </w:r>
      <w:r>
        <w:rPr>
          <w:rFonts w:hint="eastAsia" w:ascii="宋体" w:hAnsi="宋体"/>
          <w:snapToGrid w:val="0"/>
          <w:color w:val="auto"/>
          <w:spacing w:val="6"/>
          <w:kern w:val="21"/>
          <w:sz w:val="24"/>
          <w:szCs w:val="24"/>
          <w:highlight w:val="none"/>
        </w:rPr>
        <w:t>提供服务），或者提供其他残疾人福利性单位制造的货物（不包括使用非残疾人福利性单位注册商标的货物）。</w:t>
      </w:r>
    </w:p>
    <w:p w14:paraId="2714CC5E">
      <w:pPr>
        <w:spacing w:line="360" w:lineRule="auto"/>
        <w:ind w:firstLine="504" w:firstLineChars="200"/>
        <w:rPr>
          <w:rFonts w:ascii="宋体"/>
          <w:snapToGrid w:val="0"/>
          <w:color w:val="auto"/>
          <w:spacing w:val="6"/>
          <w:kern w:val="21"/>
          <w:sz w:val="24"/>
          <w:szCs w:val="24"/>
          <w:highlight w:val="none"/>
        </w:rPr>
      </w:pPr>
      <w:r>
        <w:rPr>
          <w:rFonts w:hint="eastAsia" w:ascii="宋体" w:hAnsi="宋体"/>
          <w:snapToGrid w:val="0"/>
          <w:color w:val="auto"/>
          <w:spacing w:val="6"/>
          <w:kern w:val="21"/>
          <w:sz w:val="24"/>
          <w:szCs w:val="24"/>
          <w:highlight w:val="none"/>
        </w:rPr>
        <w:t>本单位对上述声明的真实性负责。如有虚假，将依法承担相应责任。</w:t>
      </w:r>
    </w:p>
    <w:p w14:paraId="1493AF27">
      <w:pPr>
        <w:spacing w:line="360" w:lineRule="auto"/>
        <w:ind w:firstLine="504" w:firstLineChars="200"/>
        <w:rPr>
          <w:rFonts w:ascii="宋体"/>
          <w:snapToGrid w:val="0"/>
          <w:color w:val="auto"/>
          <w:spacing w:val="6"/>
          <w:kern w:val="21"/>
          <w:sz w:val="24"/>
          <w:szCs w:val="24"/>
          <w:highlight w:val="none"/>
        </w:rPr>
      </w:pPr>
    </w:p>
    <w:p w14:paraId="0145C20D">
      <w:pPr>
        <w:spacing w:line="360" w:lineRule="auto"/>
        <w:ind w:firstLine="504" w:firstLineChars="200"/>
        <w:rPr>
          <w:rFonts w:ascii="宋体"/>
          <w:snapToGrid w:val="0"/>
          <w:color w:val="auto"/>
          <w:spacing w:val="6"/>
          <w:kern w:val="21"/>
          <w:sz w:val="24"/>
          <w:szCs w:val="24"/>
          <w:highlight w:val="none"/>
        </w:rPr>
      </w:pPr>
    </w:p>
    <w:p w14:paraId="75665EA3">
      <w:pPr>
        <w:tabs>
          <w:tab w:val="left" w:pos="4860"/>
        </w:tabs>
        <w:spacing w:line="360" w:lineRule="auto"/>
        <w:ind w:right="1560" w:firstLine="504" w:firstLineChars="200"/>
        <w:jc w:val="center"/>
        <w:rPr>
          <w:rFonts w:ascii="宋体"/>
          <w:snapToGrid w:val="0"/>
          <w:color w:val="auto"/>
          <w:spacing w:val="6"/>
          <w:kern w:val="21"/>
          <w:sz w:val="24"/>
          <w:szCs w:val="24"/>
          <w:highlight w:val="none"/>
        </w:rPr>
      </w:pPr>
      <w:r>
        <w:rPr>
          <w:rFonts w:ascii="宋体" w:hAnsi="宋体"/>
          <w:snapToGrid w:val="0"/>
          <w:color w:val="auto"/>
          <w:spacing w:val="6"/>
          <w:kern w:val="21"/>
          <w:sz w:val="24"/>
          <w:szCs w:val="24"/>
          <w:highlight w:val="none"/>
        </w:rPr>
        <w:t xml:space="preserve">              </w:t>
      </w:r>
      <w:r>
        <w:rPr>
          <w:rFonts w:hint="eastAsia" w:ascii="宋体" w:hAnsi="宋体"/>
          <w:snapToGrid w:val="0"/>
          <w:color w:val="auto"/>
          <w:spacing w:val="6"/>
          <w:kern w:val="21"/>
          <w:sz w:val="24"/>
          <w:szCs w:val="24"/>
          <w:highlight w:val="none"/>
        </w:rPr>
        <w:t>单位名称（电子签章）：</w:t>
      </w:r>
    </w:p>
    <w:p w14:paraId="1D8C4F65">
      <w:pPr>
        <w:tabs>
          <w:tab w:val="left" w:pos="4860"/>
        </w:tabs>
        <w:spacing w:line="360" w:lineRule="auto"/>
        <w:ind w:right="1560" w:firstLine="504" w:firstLineChars="200"/>
        <w:jc w:val="center"/>
        <w:rPr>
          <w:rFonts w:ascii="宋体"/>
          <w:snapToGrid w:val="0"/>
          <w:color w:val="auto"/>
          <w:spacing w:val="6"/>
          <w:kern w:val="21"/>
          <w:sz w:val="24"/>
          <w:szCs w:val="24"/>
          <w:highlight w:val="none"/>
        </w:rPr>
      </w:pPr>
      <w:r>
        <w:rPr>
          <w:rFonts w:ascii="宋体" w:hAnsi="宋体"/>
          <w:snapToGrid w:val="0"/>
          <w:color w:val="auto"/>
          <w:spacing w:val="6"/>
          <w:kern w:val="21"/>
          <w:sz w:val="24"/>
          <w:szCs w:val="24"/>
          <w:highlight w:val="none"/>
        </w:rPr>
        <w:t xml:space="preserve">      </w:t>
      </w:r>
      <w:r>
        <w:rPr>
          <w:rFonts w:hint="eastAsia" w:ascii="宋体" w:hAnsi="宋体"/>
          <w:snapToGrid w:val="0"/>
          <w:color w:val="auto"/>
          <w:spacing w:val="6"/>
          <w:kern w:val="21"/>
          <w:sz w:val="24"/>
          <w:szCs w:val="24"/>
          <w:highlight w:val="none"/>
        </w:rPr>
        <w:t>日</w:t>
      </w:r>
      <w:r>
        <w:rPr>
          <w:rFonts w:ascii="宋体" w:hAnsi="宋体"/>
          <w:snapToGrid w:val="0"/>
          <w:color w:val="auto"/>
          <w:spacing w:val="6"/>
          <w:kern w:val="21"/>
          <w:sz w:val="24"/>
          <w:szCs w:val="24"/>
          <w:highlight w:val="none"/>
        </w:rPr>
        <w:t xml:space="preserve">  </w:t>
      </w:r>
      <w:r>
        <w:rPr>
          <w:rFonts w:hint="eastAsia" w:ascii="宋体" w:hAnsi="宋体"/>
          <w:snapToGrid w:val="0"/>
          <w:color w:val="auto"/>
          <w:spacing w:val="6"/>
          <w:kern w:val="21"/>
          <w:sz w:val="24"/>
          <w:szCs w:val="24"/>
          <w:highlight w:val="none"/>
        </w:rPr>
        <w:t>期：</w:t>
      </w:r>
    </w:p>
    <w:p w14:paraId="611C0271">
      <w:pPr>
        <w:spacing w:line="360" w:lineRule="auto"/>
        <w:rPr>
          <w:rFonts w:ascii="宋体"/>
          <w:b/>
          <w:snapToGrid w:val="0"/>
          <w:color w:val="auto"/>
          <w:kern w:val="21"/>
          <w:sz w:val="24"/>
          <w:szCs w:val="24"/>
          <w:highlight w:val="none"/>
        </w:rPr>
      </w:pPr>
    </w:p>
    <w:p w14:paraId="27DFC07A">
      <w:pPr>
        <w:spacing w:line="360" w:lineRule="auto"/>
        <w:rPr>
          <w:rFonts w:ascii="宋体"/>
          <w:b/>
          <w:snapToGrid w:val="0"/>
          <w:color w:val="auto"/>
          <w:kern w:val="21"/>
          <w:sz w:val="24"/>
          <w:szCs w:val="24"/>
          <w:highlight w:val="none"/>
        </w:rPr>
      </w:pPr>
    </w:p>
    <w:p w14:paraId="57CEF27B">
      <w:pPr>
        <w:spacing w:line="360" w:lineRule="auto"/>
        <w:rPr>
          <w:rFonts w:ascii="宋体"/>
          <w:b/>
          <w:snapToGrid w:val="0"/>
          <w:color w:val="auto"/>
          <w:kern w:val="21"/>
          <w:sz w:val="24"/>
          <w:szCs w:val="24"/>
          <w:highlight w:val="none"/>
        </w:rPr>
      </w:pPr>
    </w:p>
    <w:p w14:paraId="0E6E1CB8">
      <w:pPr>
        <w:keepNext/>
        <w:keepLines/>
        <w:spacing w:after="120" w:line="360" w:lineRule="auto"/>
        <w:ind w:firstLine="482" w:firstLineChars="200"/>
        <w:outlineLvl w:val="1"/>
        <w:rPr>
          <w:rFonts w:hint="eastAsia" w:ascii="宋体" w:hAnsi="宋体"/>
          <w:b/>
          <w:snapToGrid w:val="0"/>
          <w:color w:val="auto"/>
          <w:kern w:val="21"/>
          <w:sz w:val="24"/>
          <w:szCs w:val="24"/>
          <w:highlight w:val="none"/>
        </w:rPr>
      </w:pPr>
      <w:bookmarkStart w:id="4668" w:name="_Toc26170588"/>
      <w:bookmarkStart w:id="4669" w:name="_Toc12539"/>
      <w:bookmarkStart w:id="4670" w:name="_Toc11511"/>
      <w:r>
        <w:rPr>
          <w:rFonts w:hint="eastAsia" w:ascii="宋体" w:hAnsi="宋体"/>
          <w:b/>
          <w:snapToGrid w:val="0"/>
          <w:color w:val="auto"/>
          <w:kern w:val="21"/>
          <w:sz w:val="24"/>
          <w:szCs w:val="24"/>
          <w:highlight w:val="none"/>
        </w:rPr>
        <w:t>注：符合条件的残疾人福利性单位在参加政府采购活动时，应当按《三部门联合发布关于促进残疾人就业政府采购政策的通知》（财库〔</w:t>
      </w:r>
      <w:r>
        <w:rPr>
          <w:rFonts w:ascii="宋体" w:hAnsi="宋体"/>
          <w:b/>
          <w:snapToGrid w:val="0"/>
          <w:color w:val="auto"/>
          <w:kern w:val="21"/>
          <w:sz w:val="24"/>
          <w:szCs w:val="24"/>
          <w:highlight w:val="none"/>
        </w:rPr>
        <w:t>2017</w:t>
      </w:r>
      <w:r>
        <w:rPr>
          <w:rFonts w:hint="eastAsia" w:ascii="宋体" w:hAnsi="宋体"/>
          <w:b/>
          <w:snapToGrid w:val="0"/>
          <w:color w:val="auto"/>
          <w:kern w:val="21"/>
          <w:sz w:val="24"/>
          <w:szCs w:val="24"/>
          <w:highlight w:val="none"/>
        </w:rPr>
        <w:t>〕</w:t>
      </w:r>
      <w:r>
        <w:rPr>
          <w:rFonts w:ascii="宋体" w:hAnsi="宋体"/>
          <w:b/>
          <w:snapToGrid w:val="0"/>
          <w:color w:val="auto"/>
          <w:kern w:val="21"/>
          <w:sz w:val="24"/>
          <w:szCs w:val="24"/>
          <w:highlight w:val="none"/>
        </w:rPr>
        <w:t>141</w:t>
      </w:r>
      <w:r>
        <w:rPr>
          <w:rFonts w:hint="eastAsia" w:ascii="宋体" w:hAnsi="宋体"/>
          <w:b/>
          <w:snapToGrid w:val="0"/>
          <w:color w:val="auto"/>
          <w:kern w:val="21"/>
          <w:sz w:val="24"/>
          <w:szCs w:val="24"/>
          <w:highlight w:val="none"/>
        </w:rPr>
        <w:t>号）提供规定的《残疾人福利性单位声明函》，并对声明的真实性负责。</w:t>
      </w:r>
      <w:bookmarkEnd w:id="4668"/>
      <w:bookmarkEnd w:id="4669"/>
    </w:p>
    <w:p w14:paraId="1E31A041">
      <w:pPr>
        <w:keepNext/>
        <w:keepLines/>
        <w:spacing w:after="120" w:line="360" w:lineRule="auto"/>
        <w:ind w:firstLine="482" w:firstLineChars="200"/>
        <w:outlineLvl w:val="1"/>
        <w:rPr>
          <w:rFonts w:hint="eastAsia" w:ascii="宋体" w:hAnsi="宋体" w:cs="宋体"/>
          <w:b/>
          <w:snapToGrid w:val="0"/>
          <w:color w:val="auto"/>
          <w:kern w:val="21"/>
          <w:sz w:val="24"/>
          <w:szCs w:val="24"/>
          <w:highlight w:val="none"/>
        </w:rPr>
      </w:pPr>
      <w:r>
        <w:rPr>
          <w:rFonts w:ascii="宋体"/>
          <w:b/>
          <w:bCs/>
          <w:snapToGrid w:val="0"/>
          <w:color w:val="auto"/>
          <w:sz w:val="24"/>
          <w:szCs w:val="24"/>
          <w:highlight w:val="none"/>
        </w:rPr>
        <w:br w:type="page"/>
      </w:r>
      <w:bookmarkEnd w:id="4670"/>
      <w:bookmarkStart w:id="4671" w:name="_Toc14379"/>
      <w:r>
        <w:rPr>
          <w:rFonts w:hint="eastAsia" w:ascii="宋体" w:hAnsi="宋体" w:cs="宋体"/>
          <w:b/>
          <w:snapToGrid w:val="0"/>
          <w:color w:val="auto"/>
          <w:kern w:val="21"/>
          <w:sz w:val="24"/>
          <w:szCs w:val="24"/>
          <w:highlight w:val="none"/>
        </w:rPr>
        <w:t>《监狱企业证明文件》（复印件。符合《财政部 司法部关于政府采购支持监狱企业发展有关问题的通知》（财库[2014]68号）价格扣减条件的供应商须提交）</w:t>
      </w:r>
      <w:bookmarkEnd w:id="4671"/>
    </w:p>
    <w:p w14:paraId="7255C4B2">
      <w:pPr>
        <w:keepNext/>
        <w:keepLines/>
        <w:spacing w:before="260" w:after="260" w:line="360" w:lineRule="auto"/>
        <w:ind w:left="425"/>
        <w:jc w:val="center"/>
        <w:outlineLvl w:val="1"/>
        <w:rPr>
          <w:rFonts w:hint="eastAsia" w:ascii="宋体" w:hAnsi="宋体" w:cs="宋体"/>
          <w:b/>
          <w:color w:val="auto"/>
          <w:sz w:val="24"/>
          <w:szCs w:val="24"/>
          <w:highlight w:val="none"/>
        </w:rPr>
      </w:pPr>
      <w:bookmarkStart w:id="4672" w:name="_Toc29342"/>
      <w:bookmarkStart w:id="4673" w:name="_Toc26170589"/>
      <w:bookmarkStart w:id="4674" w:name="_Toc10485"/>
      <w:r>
        <w:rPr>
          <w:rFonts w:hint="eastAsia" w:ascii="宋体" w:hAnsi="宋体" w:cs="宋体"/>
          <w:b/>
          <w:color w:val="auto"/>
          <w:sz w:val="24"/>
          <w:szCs w:val="24"/>
          <w:highlight w:val="none"/>
        </w:rPr>
        <w:t>监狱企业证明文件</w:t>
      </w:r>
      <w:bookmarkEnd w:id="4672"/>
      <w:bookmarkEnd w:id="4673"/>
      <w:bookmarkEnd w:id="4674"/>
    </w:p>
    <w:p w14:paraId="67577CFB">
      <w:pPr>
        <w:spacing w:line="360" w:lineRule="auto"/>
        <w:ind w:firstLine="480" w:firstLineChars="200"/>
        <w:rPr>
          <w:rFonts w:ascii="宋体" w:cs="宋体"/>
          <w:snapToGrid w:val="0"/>
          <w:color w:val="auto"/>
          <w:kern w:val="21"/>
          <w:sz w:val="24"/>
          <w:szCs w:val="24"/>
          <w:highlight w:val="none"/>
        </w:rPr>
      </w:pPr>
      <w:r>
        <w:rPr>
          <w:rFonts w:hint="eastAsia" w:ascii="宋体" w:hAnsi="宋体" w:cs="宋体"/>
          <w:snapToGrid w:val="0"/>
          <w:color w:val="auto"/>
          <w:kern w:val="21"/>
          <w:sz w:val="24"/>
          <w:szCs w:val="24"/>
          <w:highlight w:val="none"/>
        </w:rPr>
        <w:t>根据《财政部</w:t>
      </w:r>
      <w:r>
        <w:rPr>
          <w:rFonts w:ascii="宋体" w:hAnsi="宋体" w:cs="宋体"/>
          <w:snapToGrid w:val="0"/>
          <w:color w:val="auto"/>
          <w:kern w:val="21"/>
          <w:sz w:val="24"/>
          <w:szCs w:val="24"/>
          <w:highlight w:val="none"/>
        </w:rPr>
        <w:t xml:space="preserve"> </w:t>
      </w:r>
      <w:r>
        <w:rPr>
          <w:rFonts w:hint="eastAsia" w:ascii="宋体" w:hAnsi="宋体" w:cs="宋体"/>
          <w:snapToGrid w:val="0"/>
          <w:color w:val="auto"/>
          <w:kern w:val="21"/>
          <w:sz w:val="24"/>
          <w:szCs w:val="24"/>
          <w:highlight w:val="none"/>
        </w:rPr>
        <w:t>司法部关于政府采购支持监狱企业发展有关问题的通知》（财库〔</w:t>
      </w:r>
      <w:r>
        <w:rPr>
          <w:rFonts w:ascii="宋体" w:hAnsi="宋体" w:cs="宋体"/>
          <w:snapToGrid w:val="0"/>
          <w:color w:val="auto"/>
          <w:kern w:val="21"/>
          <w:sz w:val="24"/>
          <w:szCs w:val="24"/>
          <w:highlight w:val="none"/>
        </w:rPr>
        <w:t>2014</w:t>
      </w:r>
      <w:r>
        <w:rPr>
          <w:rFonts w:hint="eastAsia" w:ascii="宋体" w:hAnsi="宋体" w:cs="宋体"/>
          <w:snapToGrid w:val="0"/>
          <w:color w:val="auto"/>
          <w:kern w:val="21"/>
          <w:sz w:val="24"/>
          <w:szCs w:val="24"/>
          <w:highlight w:val="none"/>
        </w:rPr>
        <w:t>〕</w:t>
      </w:r>
      <w:r>
        <w:rPr>
          <w:rFonts w:ascii="宋体" w:hAnsi="宋体" w:cs="宋体"/>
          <w:snapToGrid w:val="0"/>
          <w:color w:val="auto"/>
          <w:kern w:val="21"/>
          <w:sz w:val="24"/>
          <w:szCs w:val="24"/>
          <w:highlight w:val="none"/>
        </w:rPr>
        <w:t>68</w:t>
      </w:r>
      <w:r>
        <w:rPr>
          <w:rFonts w:hint="eastAsia" w:ascii="宋体" w:hAnsi="宋体" w:cs="宋体"/>
          <w:snapToGrid w:val="0"/>
          <w:color w:val="auto"/>
          <w:kern w:val="21"/>
          <w:sz w:val="24"/>
          <w:szCs w:val="24"/>
          <w:highlight w:val="none"/>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975C54">
      <w:pPr>
        <w:spacing w:line="360" w:lineRule="auto"/>
        <w:ind w:firstLine="480" w:firstLineChars="200"/>
        <w:rPr>
          <w:rFonts w:ascii="宋体" w:cs="宋体"/>
          <w:snapToGrid w:val="0"/>
          <w:color w:val="auto"/>
          <w:kern w:val="21"/>
          <w:sz w:val="24"/>
          <w:szCs w:val="24"/>
          <w:highlight w:val="none"/>
        </w:rPr>
      </w:pPr>
      <w:r>
        <w:rPr>
          <w:rFonts w:hint="eastAsia" w:ascii="宋体" w:hAnsi="宋体" w:cs="宋体"/>
          <w:snapToGrid w:val="0"/>
          <w:color w:val="auto"/>
          <w:kern w:val="21"/>
          <w:sz w:val="24"/>
          <w:szCs w:val="24"/>
          <w:highlight w:val="none"/>
        </w:rPr>
        <w:t>监狱企业参加政府采购活动时，应当提供由省级以上监狱管理局、戒毒管理局（含新疆生产建设兵团）出具的属于监狱企业的证明文件。</w:t>
      </w:r>
    </w:p>
    <w:p w14:paraId="6089044D">
      <w:pPr>
        <w:spacing w:line="360" w:lineRule="auto"/>
        <w:rPr>
          <w:rFonts w:ascii="宋体" w:cs="宋体"/>
          <w:b/>
          <w:snapToGrid w:val="0"/>
          <w:color w:val="auto"/>
          <w:kern w:val="21"/>
          <w:sz w:val="24"/>
          <w:szCs w:val="24"/>
          <w:highlight w:val="none"/>
        </w:rPr>
      </w:pPr>
    </w:p>
    <w:p w14:paraId="62B2D212">
      <w:pPr>
        <w:spacing w:line="360" w:lineRule="auto"/>
        <w:ind w:firstLine="482" w:firstLineChars="200"/>
        <w:rPr>
          <w:rFonts w:ascii="宋体" w:cs="宋体"/>
          <w:b/>
          <w:snapToGrid w:val="0"/>
          <w:color w:val="auto"/>
          <w:kern w:val="21"/>
          <w:sz w:val="24"/>
          <w:szCs w:val="24"/>
          <w:highlight w:val="none"/>
        </w:rPr>
      </w:pPr>
      <w:r>
        <w:rPr>
          <w:rFonts w:hint="eastAsia" w:ascii="宋体" w:hAnsi="宋体" w:cs="宋体"/>
          <w:b/>
          <w:snapToGrid w:val="0"/>
          <w:color w:val="auto"/>
          <w:kern w:val="21"/>
          <w:sz w:val="24"/>
          <w:szCs w:val="24"/>
          <w:highlight w:val="none"/>
        </w:rPr>
        <w:t>注：符合条件的监狱企业在参加政府采购活动时，应当按《财政部</w:t>
      </w:r>
      <w:r>
        <w:rPr>
          <w:rFonts w:ascii="宋体" w:hAnsi="宋体" w:cs="宋体"/>
          <w:b/>
          <w:snapToGrid w:val="0"/>
          <w:color w:val="auto"/>
          <w:kern w:val="21"/>
          <w:sz w:val="24"/>
          <w:szCs w:val="24"/>
          <w:highlight w:val="none"/>
        </w:rPr>
        <w:t xml:space="preserve"> </w:t>
      </w:r>
      <w:r>
        <w:rPr>
          <w:rFonts w:hint="eastAsia" w:ascii="宋体" w:hAnsi="宋体" w:cs="宋体"/>
          <w:b/>
          <w:snapToGrid w:val="0"/>
          <w:color w:val="auto"/>
          <w:kern w:val="21"/>
          <w:sz w:val="24"/>
          <w:szCs w:val="24"/>
          <w:highlight w:val="none"/>
        </w:rPr>
        <w:t>司法部关于政府采购支持监狱企业发展有关问题的通知》（财库</w:t>
      </w:r>
      <w:r>
        <w:rPr>
          <w:rFonts w:ascii="宋体" w:hAnsi="宋体" w:cs="宋体"/>
          <w:b/>
          <w:snapToGrid w:val="0"/>
          <w:color w:val="auto"/>
          <w:kern w:val="21"/>
          <w:sz w:val="24"/>
          <w:szCs w:val="24"/>
          <w:highlight w:val="none"/>
        </w:rPr>
        <w:t>[2014]68</w:t>
      </w:r>
      <w:r>
        <w:rPr>
          <w:rFonts w:hint="eastAsia" w:ascii="宋体" w:hAnsi="宋体" w:cs="宋体"/>
          <w:b/>
          <w:snapToGrid w:val="0"/>
          <w:color w:val="auto"/>
          <w:kern w:val="21"/>
          <w:sz w:val="24"/>
          <w:szCs w:val="24"/>
          <w:highlight w:val="none"/>
        </w:rPr>
        <w:t>号）提供规定的《监狱企业证明文件》。</w:t>
      </w:r>
    </w:p>
    <w:p w14:paraId="08654566">
      <w:pPr>
        <w:spacing w:line="360" w:lineRule="auto"/>
        <w:rPr>
          <w:rFonts w:ascii="宋体"/>
          <w:b/>
          <w:snapToGrid w:val="0"/>
          <w:color w:val="auto"/>
          <w:kern w:val="21"/>
          <w:sz w:val="24"/>
          <w:szCs w:val="24"/>
          <w:highlight w:val="none"/>
        </w:rPr>
      </w:pPr>
    </w:p>
    <w:p w14:paraId="65099247">
      <w:pPr>
        <w:spacing w:before="100" w:beforeAutospacing="1" w:after="100" w:afterAutospacing="1" w:line="360" w:lineRule="auto"/>
        <w:ind w:firstLine="420"/>
        <w:rPr>
          <w:rFonts w:ascii="宋体"/>
          <w:color w:val="auto"/>
          <w:sz w:val="24"/>
          <w:szCs w:val="24"/>
          <w:highlight w:val="none"/>
        </w:rPr>
      </w:pPr>
      <w:r>
        <w:rPr>
          <w:rFonts w:hint="eastAsia" w:ascii="宋体" w:hAnsi="宋体"/>
          <w:color w:val="auto"/>
          <w:sz w:val="24"/>
          <w:szCs w:val="24"/>
          <w:highlight w:val="none"/>
        </w:rPr>
        <w:t>供应商名称（</w:t>
      </w:r>
      <w:bookmarkStart w:id="4675" w:name="OLE_LINK15"/>
      <w:r>
        <w:rPr>
          <w:rFonts w:hint="eastAsia" w:ascii="宋体" w:hAnsi="宋体"/>
          <w:color w:val="auto"/>
          <w:sz w:val="24"/>
          <w:szCs w:val="24"/>
          <w:highlight w:val="none"/>
        </w:rPr>
        <w:t>电子签章</w:t>
      </w:r>
      <w:bookmarkEnd w:id="4675"/>
      <w:r>
        <w:rPr>
          <w:rFonts w:hint="eastAsia" w:ascii="宋体" w:hAnsi="宋体"/>
          <w:color w:val="auto"/>
          <w:sz w:val="24"/>
          <w:szCs w:val="24"/>
          <w:highlight w:val="none"/>
        </w:rPr>
        <w:t>）：</w:t>
      </w:r>
    </w:p>
    <w:p w14:paraId="44E5AEE4">
      <w:pPr>
        <w:spacing w:before="100" w:beforeAutospacing="1" w:after="100" w:afterAutospacing="1"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法定代表人或委托代理人（电子签章）：</w:t>
      </w:r>
    </w:p>
    <w:p w14:paraId="30AB9BF8">
      <w:pPr>
        <w:spacing w:line="360" w:lineRule="auto"/>
        <w:ind w:firstLine="480" w:firstLineChars="200"/>
        <w:rPr>
          <w:rFonts w:hint="eastAsia" w:ascii="宋体" w:hAnsi="宋体" w:cs="宋体"/>
          <w:b/>
          <w:bCs/>
          <w:color w:val="auto"/>
          <w:sz w:val="24"/>
          <w:szCs w:val="24"/>
          <w:highlight w:val="none"/>
        </w:rPr>
      </w:pPr>
      <w:r>
        <w:rPr>
          <w:rFonts w:hint="eastAsia" w:ascii="宋体" w:hAnsi="宋体"/>
          <w:color w:val="auto"/>
          <w:sz w:val="24"/>
          <w:szCs w:val="24"/>
          <w:highlight w:val="none"/>
        </w:rPr>
        <w:t>日</w:t>
      </w:r>
      <w:r>
        <w:rPr>
          <w:rFonts w:ascii="宋体"/>
          <w:color w:val="auto"/>
          <w:sz w:val="24"/>
          <w:szCs w:val="24"/>
          <w:highlight w:val="none"/>
        </w:rPr>
        <w:t> </w:t>
      </w:r>
      <w:r>
        <w:rPr>
          <w:rFonts w:ascii="宋体" w:hAnsi="宋体"/>
          <w:color w:val="auto"/>
          <w:sz w:val="24"/>
          <w:szCs w:val="24"/>
          <w:highlight w:val="none"/>
        </w:rPr>
        <w:t xml:space="preserve">  </w:t>
      </w:r>
      <w:r>
        <w:rPr>
          <w:rFonts w:hint="eastAsia" w:ascii="宋体" w:hAnsi="宋体"/>
          <w:color w:val="auto"/>
          <w:sz w:val="24"/>
          <w:szCs w:val="24"/>
          <w:highlight w:val="none"/>
        </w:rPr>
        <w:t>期：</w:t>
      </w:r>
    </w:p>
    <w:p w14:paraId="2A89C0E4">
      <w:pPr>
        <w:spacing w:line="360" w:lineRule="auto"/>
        <w:ind w:firstLine="482" w:firstLineChars="200"/>
        <w:rPr>
          <w:rFonts w:hint="eastAsia" w:ascii="宋体" w:hAnsi="宋体" w:cs="宋体"/>
          <w:b/>
          <w:bCs/>
          <w:color w:val="auto"/>
          <w:sz w:val="24"/>
          <w:szCs w:val="24"/>
          <w:highlight w:val="none"/>
        </w:rPr>
      </w:pPr>
    </w:p>
    <w:p w14:paraId="7FAC432E">
      <w:pPr>
        <w:spacing w:line="360" w:lineRule="auto"/>
        <w:ind w:firstLine="482" w:firstLineChars="200"/>
        <w:rPr>
          <w:rFonts w:hint="eastAsia" w:ascii="宋体" w:hAnsi="宋体" w:cs="宋体"/>
          <w:b/>
          <w:bCs/>
          <w:color w:val="auto"/>
          <w:sz w:val="24"/>
          <w:szCs w:val="24"/>
          <w:highlight w:val="none"/>
        </w:rPr>
      </w:pPr>
    </w:p>
    <w:p w14:paraId="152C6807">
      <w:pPr>
        <w:spacing w:line="360" w:lineRule="auto"/>
        <w:ind w:firstLine="482" w:firstLineChars="200"/>
        <w:rPr>
          <w:rFonts w:hint="eastAsia" w:ascii="宋体" w:hAnsi="宋体" w:cs="宋体"/>
          <w:b/>
          <w:bCs/>
          <w:color w:val="auto"/>
          <w:sz w:val="24"/>
          <w:szCs w:val="24"/>
          <w:highlight w:val="none"/>
        </w:rPr>
      </w:pPr>
    </w:p>
    <w:p w14:paraId="7D32A291">
      <w:pPr>
        <w:spacing w:line="360" w:lineRule="auto"/>
        <w:ind w:firstLine="482" w:firstLineChars="200"/>
        <w:rPr>
          <w:rFonts w:hint="eastAsia" w:ascii="宋体" w:hAnsi="宋体" w:cs="宋体"/>
          <w:b/>
          <w:bCs/>
          <w:color w:val="auto"/>
          <w:sz w:val="24"/>
          <w:szCs w:val="24"/>
          <w:highlight w:val="none"/>
        </w:rPr>
      </w:pPr>
    </w:p>
    <w:p w14:paraId="40ECF7D1">
      <w:pPr>
        <w:spacing w:line="360" w:lineRule="auto"/>
        <w:ind w:firstLine="482" w:firstLineChars="200"/>
        <w:rPr>
          <w:rFonts w:hint="eastAsia" w:ascii="宋体" w:hAnsi="宋体" w:cs="宋体"/>
          <w:b/>
          <w:bCs/>
          <w:color w:val="auto"/>
          <w:sz w:val="24"/>
          <w:szCs w:val="24"/>
          <w:highlight w:val="none"/>
        </w:rPr>
      </w:pPr>
    </w:p>
    <w:p w14:paraId="08F1191B">
      <w:pPr>
        <w:spacing w:line="360" w:lineRule="auto"/>
        <w:ind w:firstLine="482" w:firstLineChars="200"/>
        <w:rPr>
          <w:rFonts w:hint="eastAsia" w:ascii="宋体" w:hAnsi="宋体" w:cs="宋体"/>
          <w:b/>
          <w:bCs/>
          <w:color w:val="auto"/>
          <w:sz w:val="24"/>
          <w:szCs w:val="24"/>
          <w:highlight w:val="none"/>
        </w:rPr>
      </w:pPr>
    </w:p>
    <w:p w14:paraId="280430F7">
      <w:pPr>
        <w:spacing w:line="360" w:lineRule="auto"/>
        <w:ind w:firstLine="482" w:firstLineChars="200"/>
        <w:rPr>
          <w:rFonts w:hint="eastAsia" w:ascii="宋体" w:hAnsi="宋体" w:cs="宋体"/>
          <w:b/>
          <w:bCs/>
          <w:color w:val="auto"/>
          <w:sz w:val="24"/>
          <w:szCs w:val="24"/>
          <w:highlight w:val="none"/>
        </w:rPr>
      </w:pPr>
    </w:p>
    <w:p w14:paraId="005DBC9D">
      <w:pPr>
        <w:pStyle w:val="9"/>
        <w:rPr>
          <w:rFonts w:hint="eastAsia" w:ascii="宋体" w:hAnsi="宋体" w:cs="宋体"/>
          <w:b/>
          <w:bCs/>
          <w:color w:val="auto"/>
          <w:sz w:val="24"/>
          <w:szCs w:val="24"/>
          <w:highlight w:val="none"/>
        </w:rPr>
      </w:pPr>
    </w:p>
    <w:p w14:paraId="3B7A4B08">
      <w:pPr>
        <w:rPr>
          <w:rFonts w:hint="eastAsia" w:ascii="宋体" w:hAnsi="宋体" w:cs="宋体"/>
          <w:b/>
          <w:bCs/>
          <w:color w:val="auto"/>
          <w:sz w:val="24"/>
          <w:szCs w:val="24"/>
          <w:highlight w:val="none"/>
        </w:rPr>
      </w:pPr>
    </w:p>
    <w:p w14:paraId="268AC31A">
      <w:pPr>
        <w:pStyle w:val="9"/>
        <w:rPr>
          <w:rFonts w:hint="eastAsia" w:ascii="宋体" w:hAnsi="宋体" w:cs="宋体"/>
          <w:b/>
          <w:bCs/>
          <w:color w:val="auto"/>
          <w:sz w:val="24"/>
          <w:szCs w:val="24"/>
          <w:highlight w:val="none"/>
        </w:rPr>
      </w:pPr>
    </w:p>
    <w:p w14:paraId="45A0BD55">
      <w:pPr>
        <w:rPr>
          <w:rFonts w:hint="eastAsia" w:ascii="宋体" w:hAnsi="宋体" w:cs="宋体"/>
          <w:b/>
          <w:bCs/>
          <w:color w:val="auto"/>
          <w:sz w:val="24"/>
          <w:szCs w:val="24"/>
          <w:highlight w:val="none"/>
        </w:rPr>
      </w:pPr>
    </w:p>
    <w:p w14:paraId="3D382779">
      <w:pPr>
        <w:pStyle w:val="9"/>
        <w:numPr>
          <w:ilvl w:val="0"/>
          <w:numId w:val="6"/>
        </w:num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财务要求</w:t>
      </w:r>
    </w:p>
    <w:p w14:paraId="2E1EE1B8">
      <w:pPr>
        <w:pStyle w:val="9"/>
        <w:numPr>
          <w:ilvl w:val="0"/>
          <w:numId w:val="0"/>
        </w:numPr>
        <w:ind w:leftChars="0"/>
        <w:jc w:val="center"/>
        <w:rPr>
          <w:rFonts w:hint="eastAsia"/>
          <w:color w:val="auto"/>
          <w:sz w:val="24"/>
          <w:szCs w:val="24"/>
          <w:highlight w:val="none"/>
          <w:lang w:val="en-US" w:eastAsia="zh-CN"/>
        </w:rPr>
      </w:pPr>
      <w:r>
        <w:rPr>
          <w:rFonts w:hint="eastAsia"/>
          <w:color w:val="auto"/>
          <w:sz w:val="24"/>
          <w:szCs w:val="24"/>
          <w:highlight w:val="none"/>
          <w:lang w:val="en-US" w:eastAsia="zh-CN"/>
        </w:rPr>
        <w:t>（满足竞争性磋商文件要求，格式自拟，</w:t>
      </w:r>
      <w:r>
        <w:rPr>
          <w:rFonts w:hint="eastAsia" w:ascii="宋体" w:hAnsi="宋体" w:cs="宋体"/>
          <w:color w:val="auto"/>
          <w:sz w:val="24"/>
          <w:szCs w:val="24"/>
          <w:highlight w:val="none"/>
        </w:rPr>
        <w:t>加盖单位电子签章</w:t>
      </w:r>
      <w:r>
        <w:rPr>
          <w:rFonts w:hint="eastAsia"/>
          <w:color w:val="auto"/>
          <w:sz w:val="24"/>
          <w:szCs w:val="24"/>
          <w:highlight w:val="none"/>
          <w:lang w:val="en-US" w:eastAsia="zh-CN"/>
        </w:rPr>
        <w:t>）</w:t>
      </w:r>
    </w:p>
    <w:p w14:paraId="694BDFAC">
      <w:pPr>
        <w:pStyle w:val="9"/>
        <w:rPr>
          <w:rFonts w:hint="eastAsia"/>
          <w:color w:val="auto"/>
          <w:highlight w:val="none"/>
        </w:rPr>
      </w:pPr>
    </w:p>
    <w:p w14:paraId="1F11297A">
      <w:pPr>
        <w:rPr>
          <w:rFonts w:hint="eastAsia"/>
          <w:color w:val="auto"/>
          <w:highlight w:val="none"/>
        </w:rPr>
      </w:pPr>
    </w:p>
    <w:p w14:paraId="1D1F47EB">
      <w:pPr>
        <w:numPr>
          <w:ilvl w:val="0"/>
          <w:numId w:val="6"/>
        </w:numPr>
        <w:adjustRightInd w:val="0"/>
        <w:snapToGrid w:val="0"/>
        <w:spacing w:line="360" w:lineRule="auto"/>
        <w:ind w:left="0" w:leftChars="0" w:firstLine="0" w:firstLineChars="0"/>
        <w:jc w:val="center"/>
        <w:outlineLvl w:val="1"/>
        <w:rPr>
          <w:rFonts w:hint="eastAsia" w:ascii="宋体" w:hAnsi="宋体" w:cs="宋体"/>
          <w:b/>
          <w:bCs/>
          <w:color w:val="auto"/>
          <w:sz w:val="24"/>
          <w:szCs w:val="24"/>
          <w:highlight w:val="none"/>
        </w:rPr>
      </w:pPr>
      <w:bookmarkStart w:id="4676" w:name="_Toc1968"/>
      <w:r>
        <w:rPr>
          <w:rFonts w:hint="eastAsia" w:ascii="宋体" w:hAnsi="宋体" w:cs="宋体"/>
          <w:b/>
          <w:bCs/>
          <w:color w:val="auto"/>
          <w:sz w:val="24"/>
          <w:szCs w:val="24"/>
          <w:highlight w:val="none"/>
        </w:rPr>
        <w:t>依法缴纳税收和社会保障资金的良好记录</w:t>
      </w:r>
      <w:bookmarkEnd w:id="4676"/>
    </w:p>
    <w:p w14:paraId="26090F23">
      <w:pPr>
        <w:pStyle w:val="9"/>
        <w:numPr>
          <w:ilvl w:val="0"/>
          <w:numId w:val="0"/>
        </w:numPr>
        <w:ind w:leftChars="0"/>
        <w:jc w:val="center"/>
        <w:rPr>
          <w:rFonts w:hint="eastAsia"/>
          <w:color w:val="auto"/>
          <w:sz w:val="24"/>
          <w:szCs w:val="24"/>
          <w:highlight w:val="none"/>
          <w:lang w:val="en-US" w:eastAsia="zh-CN"/>
        </w:rPr>
      </w:pPr>
      <w:r>
        <w:rPr>
          <w:rFonts w:hint="eastAsia"/>
          <w:color w:val="auto"/>
          <w:sz w:val="24"/>
          <w:szCs w:val="24"/>
          <w:highlight w:val="none"/>
          <w:lang w:val="en-US" w:eastAsia="zh-CN"/>
        </w:rPr>
        <w:t>（满足竞争性磋商文件要求，格式自拟，</w:t>
      </w:r>
      <w:r>
        <w:rPr>
          <w:rFonts w:hint="eastAsia" w:ascii="宋体" w:hAnsi="宋体" w:cs="宋体"/>
          <w:color w:val="auto"/>
          <w:sz w:val="24"/>
          <w:szCs w:val="24"/>
          <w:highlight w:val="none"/>
        </w:rPr>
        <w:t>加盖单位电子签章</w:t>
      </w:r>
      <w:r>
        <w:rPr>
          <w:rFonts w:hint="eastAsia"/>
          <w:color w:val="auto"/>
          <w:sz w:val="24"/>
          <w:szCs w:val="24"/>
          <w:highlight w:val="none"/>
          <w:lang w:val="en-US" w:eastAsia="zh-CN"/>
        </w:rPr>
        <w:t>）</w:t>
      </w:r>
    </w:p>
    <w:p w14:paraId="46F86A8C">
      <w:pPr>
        <w:pStyle w:val="10"/>
        <w:rPr>
          <w:rFonts w:hint="eastAsia"/>
          <w:color w:val="auto"/>
          <w:highlight w:val="none"/>
          <w:lang w:val="en-US" w:eastAsia="zh-CN"/>
        </w:rPr>
      </w:pPr>
    </w:p>
    <w:p w14:paraId="697B9135">
      <w:pPr>
        <w:rPr>
          <w:rFonts w:hint="eastAsia"/>
          <w:color w:val="auto"/>
          <w:highlight w:val="none"/>
          <w:lang w:val="en-US" w:eastAsia="zh-CN"/>
        </w:rPr>
      </w:pPr>
    </w:p>
    <w:p w14:paraId="1CFD967E">
      <w:pPr>
        <w:rPr>
          <w:rFonts w:hint="default"/>
          <w:color w:val="auto"/>
          <w:highlight w:val="none"/>
          <w:lang w:val="en-US" w:eastAsia="zh-CN"/>
        </w:rPr>
      </w:pPr>
    </w:p>
    <w:p w14:paraId="07AE1A14">
      <w:pPr>
        <w:numPr>
          <w:ilvl w:val="0"/>
          <w:numId w:val="6"/>
        </w:numPr>
        <w:adjustRightInd w:val="0"/>
        <w:snapToGrid w:val="0"/>
        <w:spacing w:line="360" w:lineRule="auto"/>
        <w:ind w:left="0" w:leftChars="0" w:firstLine="0" w:firstLineChars="0"/>
        <w:jc w:val="center"/>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具备履行合同所必需的设备和专业技术能力的证明材料</w:t>
      </w:r>
    </w:p>
    <w:p w14:paraId="603CE3B7">
      <w:pPr>
        <w:adjustRightInd w:val="0"/>
        <w:snapToGrid w:val="0"/>
        <w:spacing w:line="360" w:lineRule="auto"/>
        <w:ind w:firstLine="480" w:firstLineChars="200"/>
        <w:jc w:val="center"/>
        <w:outlineLvl w:val="3"/>
        <w:rPr>
          <w:rFonts w:hint="eastAsia" w:ascii="宋体" w:hAnsi="宋体" w:cs="宋体"/>
          <w:color w:val="auto"/>
          <w:sz w:val="24"/>
          <w:szCs w:val="24"/>
          <w:highlight w:val="none"/>
        </w:rPr>
      </w:pPr>
      <w:r>
        <w:rPr>
          <w:rFonts w:hint="eastAsia" w:ascii="宋体" w:hAnsi="宋体" w:cs="宋体"/>
          <w:color w:val="auto"/>
          <w:sz w:val="24"/>
          <w:szCs w:val="24"/>
          <w:highlight w:val="none"/>
        </w:rPr>
        <w:t>（格式自拟，加盖单位电子签章）</w:t>
      </w:r>
    </w:p>
    <w:p w14:paraId="0D96D4FF">
      <w:pPr>
        <w:pStyle w:val="9"/>
        <w:rPr>
          <w:rFonts w:hint="eastAsia"/>
          <w:color w:val="auto"/>
          <w:highlight w:val="none"/>
        </w:rPr>
      </w:pPr>
    </w:p>
    <w:p w14:paraId="4AD7F17A">
      <w:pPr>
        <w:pStyle w:val="9"/>
        <w:rPr>
          <w:color w:val="auto"/>
          <w:highlight w:val="none"/>
        </w:rPr>
      </w:pPr>
    </w:p>
    <w:p w14:paraId="5B2FCDF7">
      <w:pPr>
        <w:adjustRightInd w:val="0"/>
        <w:snapToGrid w:val="0"/>
        <w:spacing w:line="360" w:lineRule="auto"/>
        <w:jc w:val="center"/>
        <w:outlineLvl w:val="2"/>
        <w:rPr>
          <w:rFonts w:ascii="宋体" w:hAnsi="宋体" w:cs="宋体"/>
          <w:b/>
          <w:bCs/>
          <w:color w:val="auto"/>
          <w:sz w:val="24"/>
          <w:szCs w:val="24"/>
          <w:highlight w:val="none"/>
        </w:rPr>
      </w:pP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八</w:t>
      </w:r>
      <w:r>
        <w:rPr>
          <w:rFonts w:hint="eastAsia" w:ascii="宋体" w:hAnsi="宋体" w:cs="宋体"/>
          <w:b/>
          <w:bCs/>
          <w:color w:val="auto"/>
          <w:sz w:val="24"/>
          <w:szCs w:val="24"/>
          <w:highlight w:val="none"/>
        </w:rPr>
        <w:t>）参加政府采购活动前 3 年内在经营活动中没有重大违法记录的书面声明</w:t>
      </w:r>
    </w:p>
    <w:p w14:paraId="7E87BC95">
      <w:pPr>
        <w:adjustRightInd w:val="0"/>
        <w:snapToGrid w:val="0"/>
        <w:spacing w:line="360" w:lineRule="auto"/>
        <w:ind w:firstLine="480" w:firstLineChars="200"/>
        <w:jc w:val="center"/>
        <w:outlineLvl w:val="3"/>
        <w:rPr>
          <w:rFonts w:hint="eastAsia" w:ascii="宋体" w:hAnsi="宋体" w:cs="宋体"/>
          <w:color w:val="auto"/>
          <w:sz w:val="24"/>
          <w:szCs w:val="24"/>
          <w:highlight w:val="none"/>
        </w:rPr>
      </w:pPr>
      <w:r>
        <w:rPr>
          <w:rFonts w:hint="eastAsia" w:ascii="宋体" w:hAnsi="宋体" w:cs="宋体"/>
          <w:color w:val="auto"/>
          <w:sz w:val="24"/>
          <w:szCs w:val="24"/>
          <w:highlight w:val="none"/>
        </w:rPr>
        <w:t>（格式自拟，加盖单位电子签章）</w:t>
      </w:r>
    </w:p>
    <w:p w14:paraId="6D3295F7">
      <w:pPr>
        <w:pStyle w:val="9"/>
        <w:rPr>
          <w:color w:val="auto"/>
          <w:highlight w:val="none"/>
        </w:rPr>
      </w:pPr>
    </w:p>
    <w:p w14:paraId="40C5C903">
      <w:pPr>
        <w:rPr>
          <w:color w:val="auto"/>
          <w:highlight w:val="none"/>
        </w:rPr>
      </w:pPr>
    </w:p>
    <w:p w14:paraId="70D9E868">
      <w:pPr>
        <w:numPr>
          <w:ilvl w:val="0"/>
          <w:numId w:val="0"/>
        </w:numPr>
        <w:rPr>
          <w:rFonts w:hint="eastAsia"/>
          <w:color w:val="auto"/>
          <w:highlight w:val="none"/>
          <w:lang w:eastAsia="zh-CN"/>
        </w:rPr>
      </w:pPr>
    </w:p>
    <w:p w14:paraId="3C1FA7EE">
      <w:pPr>
        <w:adjustRightInd w:val="0"/>
        <w:snapToGrid w:val="0"/>
        <w:spacing w:line="360" w:lineRule="auto"/>
        <w:jc w:val="center"/>
        <w:outlineLvl w:val="2"/>
        <w:rPr>
          <w:rFonts w:ascii="宋体" w:hAnsi="宋体" w:cs="宋体"/>
          <w:b/>
          <w:bCs/>
          <w:color w:val="auto"/>
          <w:sz w:val="24"/>
          <w:szCs w:val="24"/>
          <w:highlight w:val="none"/>
        </w:rPr>
      </w:pP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九</w:t>
      </w:r>
      <w:r>
        <w:rPr>
          <w:rFonts w:hint="eastAsia" w:ascii="宋体" w:hAnsi="宋体" w:cs="宋体"/>
          <w:b/>
          <w:bCs/>
          <w:color w:val="auto"/>
          <w:sz w:val="24"/>
          <w:szCs w:val="24"/>
          <w:highlight w:val="none"/>
        </w:rPr>
        <w:t>）信誉要求</w:t>
      </w:r>
    </w:p>
    <w:p w14:paraId="528962F8">
      <w:pPr>
        <w:pStyle w:val="9"/>
        <w:spacing w:line="360" w:lineRule="auto"/>
        <w:jc w:val="center"/>
        <w:rPr>
          <w:rFonts w:cs="宋体"/>
          <w:b/>
          <w:bCs/>
          <w:color w:val="auto"/>
          <w:sz w:val="24"/>
          <w:szCs w:val="24"/>
          <w:highlight w:val="none"/>
        </w:rPr>
        <w:sectPr>
          <w:pgSz w:w="11906" w:h="16838"/>
          <w:pgMar w:top="1418" w:right="1247" w:bottom="1418" w:left="1247" w:header="851" w:footer="992" w:gutter="0"/>
          <w:cols w:space="708" w:num="1"/>
          <w:docGrid w:linePitch="312" w:charSpace="0"/>
        </w:sectPr>
      </w:pPr>
      <w:r>
        <w:rPr>
          <w:rFonts w:hint="eastAsia" w:cs="宋体"/>
          <w:color w:val="auto"/>
          <w:sz w:val="24"/>
          <w:szCs w:val="24"/>
          <w:highlight w:val="none"/>
        </w:rPr>
        <w:t>（</w:t>
      </w:r>
      <w:r>
        <w:rPr>
          <w:rFonts w:hint="eastAsia" w:cs="宋体"/>
          <w:color w:val="auto"/>
          <w:sz w:val="24"/>
          <w:szCs w:val="24"/>
          <w:highlight w:val="none"/>
          <w:lang w:val="en-US" w:eastAsia="zh-CN"/>
        </w:rPr>
        <w:t>满足竞争性磋商文件</w:t>
      </w:r>
      <w:r>
        <w:rPr>
          <w:rFonts w:hint="eastAsia" w:cs="宋体"/>
          <w:color w:val="auto"/>
          <w:sz w:val="24"/>
          <w:szCs w:val="24"/>
          <w:highlight w:val="none"/>
        </w:rPr>
        <w:t>要求</w:t>
      </w:r>
      <w:r>
        <w:rPr>
          <w:rFonts w:hint="eastAsia" w:cs="宋体"/>
          <w:color w:val="auto"/>
          <w:sz w:val="24"/>
          <w:szCs w:val="24"/>
          <w:highlight w:val="none"/>
          <w:lang w:eastAsia="zh-CN"/>
        </w:rPr>
        <w:t>，</w:t>
      </w:r>
      <w:r>
        <w:rPr>
          <w:rFonts w:hint="eastAsia" w:ascii="宋体" w:hAnsi="宋体" w:cs="宋体"/>
          <w:color w:val="auto"/>
          <w:sz w:val="24"/>
          <w:szCs w:val="24"/>
          <w:highlight w:val="none"/>
        </w:rPr>
        <w:t>格式自拟</w:t>
      </w:r>
      <w:r>
        <w:rPr>
          <w:rFonts w:hint="eastAsia" w:ascii="宋体" w:hAnsi="宋体" w:cs="宋体"/>
          <w:color w:val="auto"/>
          <w:sz w:val="24"/>
          <w:szCs w:val="24"/>
          <w:highlight w:val="none"/>
          <w:lang w:eastAsia="zh-CN"/>
        </w:rPr>
        <w:t>，</w:t>
      </w:r>
      <w:r>
        <w:rPr>
          <w:rFonts w:hint="eastAsia" w:cs="宋体"/>
          <w:color w:val="auto"/>
          <w:sz w:val="24"/>
          <w:szCs w:val="24"/>
          <w:highlight w:val="none"/>
        </w:rPr>
        <w:t>加盖单位电子签章）</w:t>
      </w:r>
    </w:p>
    <w:p w14:paraId="5A8496BC">
      <w:pPr>
        <w:spacing w:line="360" w:lineRule="auto"/>
        <w:rPr>
          <w:rFonts w:hint="eastAsia" w:ascii="宋体" w:hAnsi="宋体" w:cs="宋体"/>
          <w:b/>
          <w:bCs/>
          <w:color w:val="auto"/>
          <w:sz w:val="24"/>
          <w:szCs w:val="24"/>
          <w:highlight w:val="none"/>
        </w:rPr>
      </w:pPr>
    </w:p>
    <w:p w14:paraId="090D84B4">
      <w:pPr>
        <w:pStyle w:val="4"/>
        <w:keepNext/>
        <w:keepLines/>
        <w:pageBreakBefore w:val="0"/>
        <w:widowControl w:val="0"/>
        <w:numPr>
          <w:ilvl w:val="0"/>
          <w:numId w:val="0"/>
        </w:numPr>
        <w:kinsoku/>
        <w:wordWrap/>
        <w:overflowPunct/>
        <w:topLinePunct w:val="0"/>
        <w:autoSpaceDE/>
        <w:autoSpaceDN/>
        <w:bidi w:val="0"/>
        <w:adjustRightInd/>
        <w:snapToGrid/>
        <w:spacing w:before="0" w:after="0" w:afterLines="0" w:line="24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（十）特定资格条件证明材料</w:t>
      </w:r>
    </w:p>
    <w:p w14:paraId="38385685">
      <w:pPr>
        <w:rPr>
          <w:rFonts w:hint="eastAsia"/>
          <w:color w:val="auto"/>
          <w:highlight w:val="none"/>
          <w:lang w:val="en-US" w:eastAsia="zh-CN"/>
        </w:rPr>
      </w:pPr>
    </w:p>
    <w:p w14:paraId="12336C59">
      <w:pPr>
        <w:numPr>
          <w:ilvl w:val="0"/>
          <w:numId w:val="7"/>
        </w:numPr>
        <w:jc w:val="center"/>
        <w:rPr>
          <w:rFonts w:hint="eastAsia"/>
          <w:color w:val="auto"/>
          <w:sz w:val="24"/>
          <w:szCs w:val="24"/>
          <w:highlight w:val="none"/>
          <w:lang w:val="en-US" w:eastAsia="zh-CN"/>
        </w:rPr>
      </w:pPr>
      <w:r>
        <w:rPr>
          <w:rFonts w:hint="eastAsia"/>
          <w:b/>
          <w:bCs/>
          <w:color w:val="auto"/>
          <w:sz w:val="24"/>
          <w:szCs w:val="24"/>
          <w:highlight w:val="none"/>
          <w:lang w:val="en-US" w:eastAsia="zh-CN"/>
        </w:rPr>
        <w:t>企业资质证书及安全许可证（扫描件加盖公章）</w:t>
      </w:r>
    </w:p>
    <w:p w14:paraId="69D9C179">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6F03D4CA">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0BAB416A">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765A2169">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09DA75F8">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656CF6E3">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403D0998">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38E3EC79">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48F61BE4">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4D27E444">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16670383">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3181F4D9">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43685E37">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0C1F6AB7">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31FDE92D">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74B75C47">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179B2342">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134B252C">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62058AF1">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7FA8C608">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13B34B82">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7F40A917">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44E90A6C">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5E474C1C">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4D5B1A32">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67B9297D">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1E236B47">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16B8A8DE">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5FBE2AA6">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5F366E12">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107B6659">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6AA162C9">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3DF67606">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34207C97">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4DA7B52B">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3F1EADC5">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052F1C6D">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46B44570">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366ADCEF">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27FC886D">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41621887">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46865748">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19D4E06F">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lang w:val="en-US" w:eastAsia="zh-CN"/>
        </w:rPr>
      </w:pPr>
    </w:p>
    <w:p w14:paraId="7C1EC941">
      <w:pPr>
        <w:pStyle w:val="1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3132" w:firstLineChars="1300"/>
        <w:jc w:val="both"/>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项目负责人简历表</w:t>
      </w:r>
    </w:p>
    <w:p w14:paraId="776C0F3D">
      <w:pPr>
        <w:spacing w:line="240" w:lineRule="auto"/>
        <w:rPr>
          <w:rFonts w:hint="eastAsia" w:ascii="仿宋" w:hAnsi="仿宋" w:eastAsia="仿宋" w:cs="仿宋"/>
          <w:color w:val="auto"/>
          <w:sz w:val="24"/>
          <w:szCs w:val="24"/>
          <w:highlight w:val="none"/>
        </w:rPr>
      </w:pPr>
    </w:p>
    <w:tbl>
      <w:tblPr>
        <w:tblStyle w:val="28"/>
        <w:tblW w:w="0" w:type="auto"/>
        <w:jc w:val="center"/>
        <w:tblLayout w:type="fixed"/>
        <w:tblCellMar>
          <w:top w:w="0" w:type="dxa"/>
          <w:left w:w="0" w:type="dxa"/>
          <w:bottom w:w="0" w:type="dxa"/>
          <w:right w:w="0" w:type="dxa"/>
        </w:tblCellMar>
      </w:tblPr>
      <w:tblGrid>
        <w:gridCol w:w="2049"/>
        <w:gridCol w:w="726"/>
        <w:gridCol w:w="574"/>
        <w:gridCol w:w="1000"/>
        <w:gridCol w:w="1433"/>
        <w:gridCol w:w="1179"/>
        <w:gridCol w:w="788"/>
        <w:gridCol w:w="1435"/>
      </w:tblGrid>
      <w:tr w14:paraId="6C544A56">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07B166C4">
            <w:pPr>
              <w:pStyle w:val="50"/>
              <w:keepNext w:val="0"/>
              <w:keepLines w:val="0"/>
              <w:pageBreakBefore w:val="0"/>
              <w:widowControl w:val="0"/>
              <w:tabs>
                <w:tab w:val="left" w:pos="631"/>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300" w:type="dxa"/>
            <w:gridSpan w:val="2"/>
            <w:tcBorders>
              <w:top w:val="single" w:color="000000" w:sz="4" w:space="0"/>
              <w:left w:val="single" w:color="000000" w:sz="4" w:space="0"/>
              <w:bottom w:val="single" w:color="000000" w:sz="4" w:space="0"/>
              <w:right w:val="single" w:color="000000" w:sz="4" w:space="0"/>
            </w:tcBorders>
            <w:noWrap w:val="0"/>
            <w:vAlign w:val="center"/>
          </w:tcPr>
          <w:p w14:paraId="5544A2F0">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44290A83">
            <w:pPr>
              <w:pStyle w:val="50"/>
              <w:keepNext w:val="0"/>
              <w:keepLines w:val="0"/>
              <w:pageBreakBefore w:val="0"/>
              <w:widowControl w:val="0"/>
              <w:tabs>
                <w:tab w:val="left" w:pos="633"/>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1433" w:type="dxa"/>
            <w:tcBorders>
              <w:top w:val="single" w:color="000000" w:sz="4" w:space="0"/>
              <w:left w:val="single" w:color="000000" w:sz="4" w:space="0"/>
              <w:bottom w:val="single" w:color="000000" w:sz="4" w:space="0"/>
              <w:right w:val="single" w:color="000000" w:sz="4" w:space="0"/>
            </w:tcBorders>
            <w:noWrap w:val="0"/>
            <w:vAlign w:val="center"/>
          </w:tcPr>
          <w:p w14:paraId="36286C62">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510156C8">
            <w:pPr>
              <w:pStyle w:val="50"/>
              <w:keepNext w:val="0"/>
              <w:keepLines w:val="0"/>
              <w:pageBreakBefore w:val="0"/>
              <w:widowControl w:val="0"/>
              <w:tabs>
                <w:tab w:val="left" w:pos="1147"/>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学历</w:t>
            </w:r>
          </w:p>
        </w:tc>
        <w:tc>
          <w:tcPr>
            <w:tcW w:w="1435" w:type="dxa"/>
            <w:tcBorders>
              <w:top w:val="single" w:color="000000" w:sz="4" w:space="0"/>
              <w:left w:val="single" w:color="000000" w:sz="4" w:space="0"/>
              <w:bottom w:val="single" w:color="000000" w:sz="4" w:space="0"/>
              <w:right w:val="single" w:color="000000" w:sz="4" w:space="0"/>
            </w:tcBorders>
            <w:noWrap w:val="0"/>
            <w:vAlign w:val="center"/>
          </w:tcPr>
          <w:p w14:paraId="1B2BF69E">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p>
        </w:tc>
      </w:tr>
      <w:tr w14:paraId="3AAFB8C9">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798BE634">
            <w:pPr>
              <w:pStyle w:val="50"/>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若有</w:t>
            </w:r>
            <w:r>
              <w:rPr>
                <w:rFonts w:hint="eastAsia" w:ascii="仿宋" w:hAnsi="仿宋" w:eastAsia="仿宋" w:cs="仿宋"/>
                <w:color w:val="auto"/>
                <w:sz w:val="24"/>
                <w:szCs w:val="24"/>
                <w:highlight w:val="none"/>
                <w:lang w:eastAsia="zh-CN"/>
              </w:rPr>
              <w:t>）</w:t>
            </w:r>
          </w:p>
        </w:tc>
        <w:tc>
          <w:tcPr>
            <w:tcW w:w="1300" w:type="dxa"/>
            <w:gridSpan w:val="2"/>
            <w:tcBorders>
              <w:top w:val="single" w:color="000000" w:sz="4" w:space="0"/>
              <w:left w:val="single" w:color="000000" w:sz="4" w:space="0"/>
              <w:bottom w:val="single" w:color="000000" w:sz="4" w:space="0"/>
              <w:right w:val="single" w:color="000000" w:sz="4" w:space="0"/>
            </w:tcBorders>
            <w:noWrap w:val="0"/>
            <w:vAlign w:val="center"/>
          </w:tcPr>
          <w:p w14:paraId="0561AC46">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c>
          <w:tcPr>
            <w:tcW w:w="2433" w:type="dxa"/>
            <w:gridSpan w:val="2"/>
            <w:tcBorders>
              <w:top w:val="single" w:color="000000" w:sz="4" w:space="0"/>
              <w:left w:val="single" w:color="000000" w:sz="4" w:space="0"/>
              <w:bottom w:val="single" w:color="000000" w:sz="4" w:space="0"/>
              <w:right w:val="single" w:color="000000" w:sz="4" w:space="0"/>
            </w:tcBorders>
            <w:noWrap w:val="0"/>
            <w:vAlign w:val="center"/>
          </w:tcPr>
          <w:p w14:paraId="0A8BC3E1">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r>
              <w:rPr>
                <w:rFonts w:hint="eastAsia" w:ascii="仿宋" w:hAnsi="仿宋" w:eastAsia="仿宋" w:cs="仿宋"/>
                <w:color w:val="auto"/>
                <w:sz w:val="24"/>
                <w:szCs w:val="24"/>
                <w:highlight w:val="none"/>
                <w:lang w:val="en-US" w:eastAsia="zh-CN"/>
              </w:rPr>
              <w:t>专业</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若有</w:t>
            </w:r>
            <w:r>
              <w:rPr>
                <w:rFonts w:hint="eastAsia" w:ascii="仿宋" w:hAnsi="仿宋" w:eastAsia="仿宋" w:cs="仿宋"/>
                <w:color w:val="auto"/>
                <w:sz w:val="24"/>
                <w:szCs w:val="24"/>
                <w:highlight w:val="none"/>
                <w:lang w:eastAsia="zh-CN"/>
              </w:rPr>
              <w:t>）</w:t>
            </w:r>
          </w:p>
        </w:tc>
        <w:tc>
          <w:tcPr>
            <w:tcW w:w="3402" w:type="dxa"/>
            <w:gridSpan w:val="3"/>
            <w:tcBorders>
              <w:top w:val="single" w:color="000000" w:sz="4" w:space="0"/>
              <w:left w:val="single" w:color="000000" w:sz="4" w:space="0"/>
              <w:bottom w:val="single" w:color="000000" w:sz="4" w:space="0"/>
              <w:right w:val="single" w:color="000000" w:sz="4" w:space="0"/>
            </w:tcBorders>
            <w:noWrap w:val="0"/>
            <w:vAlign w:val="center"/>
          </w:tcPr>
          <w:p w14:paraId="64E7C5CB">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p>
        </w:tc>
      </w:tr>
      <w:tr w14:paraId="68727CEC">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4AEEE404">
            <w:pPr>
              <w:pStyle w:val="50"/>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拟担任职务或岗位</w:t>
            </w:r>
          </w:p>
        </w:tc>
        <w:tc>
          <w:tcPr>
            <w:tcW w:w="3733" w:type="dxa"/>
            <w:gridSpan w:val="4"/>
            <w:tcBorders>
              <w:top w:val="single" w:color="000000" w:sz="4" w:space="0"/>
              <w:left w:val="single" w:color="000000" w:sz="4" w:space="0"/>
              <w:bottom w:val="single" w:color="000000" w:sz="4" w:space="0"/>
              <w:right w:val="single" w:color="000000" w:sz="4" w:space="0"/>
            </w:tcBorders>
            <w:noWrap w:val="0"/>
            <w:vAlign w:val="center"/>
          </w:tcPr>
          <w:p w14:paraId="2A0BC296">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126C3EC3">
            <w:pPr>
              <w:pStyle w:val="50"/>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类似</w:t>
            </w:r>
            <w:r>
              <w:rPr>
                <w:rFonts w:hint="eastAsia" w:ascii="仿宋" w:hAnsi="仿宋" w:eastAsia="仿宋" w:cs="仿宋"/>
                <w:color w:val="auto"/>
                <w:sz w:val="24"/>
                <w:szCs w:val="24"/>
                <w:highlight w:val="none"/>
                <w:lang w:val="en-US" w:eastAsia="zh-CN"/>
              </w:rPr>
              <w:t>工作</w:t>
            </w:r>
            <w:r>
              <w:rPr>
                <w:rFonts w:hint="eastAsia" w:ascii="仿宋" w:hAnsi="仿宋" w:eastAsia="仿宋" w:cs="仿宋"/>
                <w:color w:val="auto"/>
                <w:sz w:val="24"/>
                <w:szCs w:val="24"/>
                <w:highlight w:val="none"/>
              </w:rPr>
              <w:t>经验年限</w:t>
            </w:r>
          </w:p>
        </w:tc>
        <w:tc>
          <w:tcPr>
            <w:tcW w:w="1435" w:type="dxa"/>
            <w:tcBorders>
              <w:top w:val="single" w:color="000000" w:sz="4" w:space="0"/>
              <w:left w:val="single" w:color="000000" w:sz="4" w:space="0"/>
              <w:bottom w:val="single" w:color="000000" w:sz="4" w:space="0"/>
              <w:right w:val="single" w:color="000000" w:sz="4" w:space="0"/>
            </w:tcBorders>
            <w:noWrap w:val="0"/>
            <w:vAlign w:val="center"/>
          </w:tcPr>
          <w:p w14:paraId="1560BCB6">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p>
        </w:tc>
      </w:tr>
      <w:tr w14:paraId="04AD3D89">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682AFBC8">
            <w:pPr>
              <w:pStyle w:val="50"/>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毕业学校</w:t>
            </w:r>
          </w:p>
        </w:tc>
        <w:tc>
          <w:tcPr>
            <w:tcW w:w="7135" w:type="dxa"/>
            <w:gridSpan w:val="7"/>
            <w:tcBorders>
              <w:top w:val="single" w:color="000000" w:sz="4" w:space="0"/>
              <w:left w:val="single" w:color="000000" w:sz="4" w:space="0"/>
              <w:bottom w:val="single" w:color="000000" w:sz="4" w:space="0"/>
              <w:right w:val="single" w:color="000000" w:sz="4" w:space="0"/>
            </w:tcBorders>
            <w:noWrap w:val="0"/>
            <w:vAlign w:val="center"/>
          </w:tcPr>
          <w:p w14:paraId="01C8C801">
            <w:pPr>
              <w:pStyle w:val="50"/>
              <w:keepNext w:val="0"/>
              <w:keepLines w:val="0"/>
              <w:pageBreakBefore w:val="0"/>
              <w:widowControl w:val="0"/>
              <w:tabs>
                <w:tab w:val="left" w:pos="526"/>
                <w:tab w:val="left" w:pos="1052"/>
                <w:tab w:val="left" w:pos="3887"/>
                <w:tab w:val="left" w:pos="5462"/>
                <w:tab w:val="left" w:pos="7140"/>
              </w:tabs>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pacing w:val="-2"/>
                <w:sz w:val="24"/>
                <w:szCs w:val="24"/>
                <w:highlight w:val="none"/>
              </w:rPr>
              <w:t>月毕业于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pacing w:val="-2"/>
                <w:sz w:val="24"/>
                <w:szCs w:val="24"/>
                <w:highlight w:val="none"/>
              </w:rPr>
              <w:t>学校</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pacing w:val="-2"/>
                <w:sz w:val="24"/>
                <w:szCs w:val="24"/>
                <w:highlight w:val="none"/>
              </w:rPr>
              <w:t>专业</w:t>
            </w:r>
          </w:p>
        </w:tc>
      </w:tr>
      <w:tr w14:paraId="32C73A0F">
        <w:tblPrEx>
          <w:tblCellMar>
            <w:top w:w="0" w:type="dxa"/>
            <w:left w:w="0" w:type="dxa"/>
            <w:bottom w:w="0" w:type="dxa"/>
            <w:right w:w="0" w:type="dxa"/>
          </w:tblCellMar>
        </w:tblPrEx>
        <w:trPr>
          <w:trHeight w:val="567" w:hRule="atLeast"/>
          <w:jc w:val="center"/>
        </w:trPr>
        <w:tc>
          <w:tcPr>
            <w:tcW w:w="9184" w:type="dxa"/>
            <w:gridSpan w:val="8"/>
            <w:tcBorders>
              <w:top w:val="single" w:color="000000" w:sz="4" w:space="0"/>
              <w:left w:val="single" w:color="000000" w:sz="4" w:space="0"/>
              <w:bottom w:val="single" w:color="000000" w:sz="4" w:space="0"/>
              <w:right w:val="single" w:color="000000" w:sz="4" w:space="0"/>
            </w:tcBorders>
            <w:noWrap w:val="0"/>
            <w:vAlign w:val="center"/>
          </w:tcPr>
          <w:p w14:paraId="623DD4CB">
            <w:pPr>
              <w:pStyle w:val="50"/>
              <w:keepNext w:val="0"/>
              <w:keepLines w:val="0"/>
              <w:pageBreakBefore w:val="0"/>
              <w:widowControl w:val="0"/>
              <w:tabs>
                <w:tab w:val="left" w:pos="1161"/>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经历</w:t>
            </w:r>
          </w:p>
        </w:tc>
      </w:tr>
      <w:tr w14:paraId="2DDF3130">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2FCD1110">
            <w:pPr>
              <w:pStyle w:val="50"/>
              <w:keepNext w:val="0"/>
              <w:keepLines w:val="0"/>
              <w:pageBreakBefore w:val="0"/>
              <w:widowControl w:val="0"/>
              <w:tabs>
                <w:tab w:val="left" w:pos="447"/>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p>
        </w:tc>
        <w:tc>
          <w:tcPr>
            <w:tcW w:w="3733" w:type="dxa"/>
            <w:gridSpan w:val="4"/>
            <w:tcBorders>
              <w:top w:val="single" w:color="000000" w:sz="4" w:space="0"/>
              <w:left w:val="single" w:color="000000" w:sz="4" w:space="0"/>
              <w:bottom w:val="single" w:color="000000" w:sz="4" w:space="0"/>
              <w:right w:val="single" w:color="000000" w:sz="4" w:space="0"/>
            </w:tcBorders>
            <w:noWrap w:val="0"/>
            <w:vAlign w:val="center"/>
          </w:tcPr>
          <w:p w14:paraId="51068043">
            <w:pPr>
              <w:pStyle w:val="50"/>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参加过的类似项目名称</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2F1C4B7E">
            <w:pPr>
              <w:pStyle w:val="50"/>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担任职务</w:t>
            </w:r>
          </w:p>
        </w:tc>
        <w:tc>
          <w:tcPr>
            <w:tcW w:w="2223" w:type="dxa"/>
            <w:gridSpan w:val="2"/>
            <w:tcBorders>
              <w:top w:val="single" w:color="000000" w:sz="4" w:space="0"/>
              <w:left w:val="single" w:color="000000" w:sz="4" w:space="0"/>
              <w:bottom w:val="single" w:color="000000" w:sz="4" w:space="0"/>
              <w:right w:val="single" w:color="000000" w:sz="4" w:space="0"/>
            </w:tcBorders>
            <w:noWrap w:val="0"/>
            <w:vAlign w:val="center"/>
          </w:tcPr>
          <w:p w14:paraId="4EAA072A">
            <w:pPr>
              <w:pStyle w:val="50"/>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发包人及联</w:t>
            </w:r>
            <w:r>
              <w:rPr>
                <w:rFonts w:hint="eastAsia" w:ascii="仿宋" w:hAnsi="仿宋" w:eastAsia="仿宋" w:cs="仿宋"/>
                <w:color w:val="auto"/>
                <w:sz w:val="24"/>
                <w:szCs w:val="24"/>
                <w:highlight w:val="none"/>
              </w:rPr>
              <w:t>系电话</w:t>
            </w:r>
          </w:p>
        </w:tc>
      </w:tr>
      <w:tr w14:paraId="27555960">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231AB1FA">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c>
          <w:tcPr>
            <w:tcW w:w="3733" w:type="dxa"/>
            <w:gridSpan w:val="4"/>
            <w:tcBorders>
              <w:top w:val="single" w:color="000000" w:sz="4" w:space="0"/>
              <w:left w:val="single" w:color="000000" w:sz="4" w:space="0"/>
              <w:bottom w:val="single" w:color="000000" w:sz="4" w:space="0"/>
              <w:right w:val="single" w:color="000000" w:sz="4" w:space="0"/>
            </w:tcBorders>
            <w:noWrap w:val="0"/>
            <w:vAlign w:val="center"/>
          </w:tcPr>
          <w:p w14:paraId="40693BA8">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646E6650">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c>
          <w:tcPr>
            <w:tcW w:w="2223" w:type="dxa"/>
            <w:gridSpan w:val="2"/>
            <w:tcBorders>
              <w:top w:val="single" w:color="000000" w:sz="4" w:space="0"/>
              <w:left w:val="single" w:color="000000" w:sz="4" w:space="0"/>
              <w:bottom w:val="single" w:color="000000" w:sz="4" w:space="0"/>
              <w:right w:val="single" w:color="000000" w:sz="4" w:space="0"/>
            </w:tcBorders>
            <w:noWrap w:val="0"/>
            <w:vAlign w:val="center"/>
          </w:tcPr>
          <w:p w14:paraId="65275E20">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r>
      <w:tr w14:paraId="2E1AD59E">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33112FBF">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c>
          <w:tcPr>
            <w:tcW w:w="3733" w:type="dxa"/>
            <w:gridSpan w:val="4"/>
            <w:tcBorders>
              <w:top w:val="single" w:color="000000" w:sz="4" w:space="0"/>
              <w:left w:val="single" w:color="000000" w:sz="4" w:space="0"/>
              <w:bottom w:val="single" w:color="000000" w:sz="4" w:space="0"/>
              <w:right w:val="single" w:color="000000" w:sz="4" w:space="0"/>
            </w:tcBorders>
            <w:noWrap w:val="0"/>
            <w:vAlign w:val="center"/>
          </w:tcPr>
          <w:p w14:paraId="60C7A11A">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7B897CD8">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c>
          <w:tcPr>
            <w:tcW w:w="2223" w:type="dxa"/>
            <w:gridSpan w:val="2"/>
            <w:tcBorders>
              <w:top w:val="single" w:color="000000" w:sz="4" w:space="0"/>
              <w:left w:val="single" w:color="000000" w:sz="4" w:space="0"/>
              <w:bottom w:val="single" w:color="000000" w:sz="4" w:space="0"/>
              <w:right w:val="single" w:color="000000" w:sz="4" w:space="0"/>
            </w:tcBorders>
            <w:noWrap w:val="0"/>
            <w:vAlign w:val="center"/>
          </w:tcPr>
          <w:p w14:paraId="4D63B56E">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p>
        </w:tc>
      </w:tr>
      <w:tr w14:paraId="7EC5ECFD">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532AC8B1">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3733" w:type="dxa"/>
            <w:gridSpan w:val="4"/>
            <w:tcBorders>
              <w:top w:val="single" w:color="000000" w:sz="4" w:space="0"/>
              <w:left w:val="single" w:color="000000" w:sz="4" w:space="0"/>
              <w:bottom w:val="single" w:color="000000" w:sz="4" w:space="0"/>
              <w:right w:val="single" w:color="000000" w:sz="4" w:space="0"/>
            </w:tcBorders>
            <w:noWrap w:val="0"/>
            <w:vAlign w:val="center"/>
          </w:tcPr>
          <w:p w14:paraId="6194F34E">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5B841171">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2223" w:type="dxa"/>
            <w:gridSpan w:val="2"/>
            <w:tcBorders>
              <w:top w:val="single" w:color="000000" w:sz="4" w:space="0"/>
              <w:left w:val="single" w:color="000000" w:sz="4" w:space="0"/>
              <w:bottom w:val="single" w:color="000000" w:sz="4" w:space="0"/>
              <w:right w:val="single" w:color="000000" w:sz="4" w:space="0"/>
            </w:tcBorders>
            <w:noWrap w:val="0"/>
            <w:vAlign w:val="center"/>
          </w:tcPr>
          <w:p w14:paraId="33F9CC52">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r>
      <w:tr w14:paraId="5FCB1267">
        <w:tblPrEx>
          <w:tblCellMar>
            <w:top w:w="0" w:type="dxa"/>
            <w:left w:w="0" w:type="dxa"/>
            <w:bottom w:w="0" w:type="dxa"/>
            <w:right w:w="0" w:type="dxa"/>
          </w:tblCellMar>
        </w:tblPrEx>
        <w:trPr>
          <w:trHeight w:val="567" w:hRule="atLeast"/>
          <w:jc w:val="center"/>
        </w:trPr>
        <w:tc>
          <w:tcPr>
            <w:tcW w:w="2775" w:type="dxa"/>
            <w:gridSpan w:val="2"/>
            <w:tcBorders>
              <w:top w:val="single" w:color="000000" w:sz="4" w:space="0"/>
              <w:left w:val="single" w:color="000000" w:sz="4" w:space="0"/>
              <w:bottom w:val="single" w:color="000000" w:sz="4" w:space="0"/>
              <w:right w:val="single" w:color="000000" w:sz="4" w:space="0"/>
            </w:tcBorders>
            <w:noWrap w:val="0"/>
            <w:vAlign w:val="center"/>
          </w:tcPr>
          <w:p w14:paraId="595119A0">
            <w:pPr>
              <w:pStyle w:val="50"/>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获奖情况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若有</w:t>
            </w:r>
            <w:r>
              <w:rPr>
                <w:rFonts w:hint="eastAsia" w:ascii="仿宋" w:hAnsi="仿宋" w:eastAsia="仿宋" w:cs="仿宋"/>
                <w:color w:val="auto"/>
                <w:sz w:val="24"/>
                <w:szCs w:val="24"/>
                <w:highlight w:val="none"/>
                <w:lang w:eastAsia="zh-CN"/>
              </w:rPr>
              <w:t>）</w:t>
            </w:r>
          </w:p>
        </w:tc>
        <w:tc>
          <w:tcPr>
            <w:tcW w:w="6409" w:type="dxa"/>
            <w:gridSpan w:val="6"/>
            <w:tcBorders>
              <w:top w:val="single" w:color="000000" w:sz="4" w:space="0"/>
              <w:left w:val="single" w:color="000000" w:sz="4" w:space="0"/>
              <w:bottom w:val="single" w:color="000000" w:sz="4" w:space="0"/>
              <w:right w:val="single" w:color="000000" w:sz="4" w:space="0"/>
            </w:tcBorders>
            <w:noWrap w:val="0"/>
            <w:vAlign w:val="center"/>
          </w:tcPr>
          <w:p w14:paraId="224DC5BA">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p>
        </w:tc>
      </w:tr>
      <w:tr w14:paraId="135164D8">
        <w:tblPrEx>
          <w:tblCellMar>
            <w:top w:w="0" w:type="dxa"/>
            <w:left w:w="0" w:type="dxa"/>
            <w:bottom w:w="0" w:type="dxa"/>
            <w:right w:w="0" w:type="dxa"/>
          </w:tblCellMar>
        </w:tblPrEx>
        <w:trPr>
          <w:trHeight w:val="567" w:hRule="atLeast"/>
          <w:jc w:val="center"/>
        </w:trPr>
        <w:tc>
          <w:tcPr>
            <w:tcW w:w="2775" w:type="dxa"/>
            <w:gridSpan w:val="2"/>
            <w:tcBorders>
              <w:top w:val="single" w:color="000000" w:sz="4" w:space="0"/>
              <w:left w:val="single" w:color="000000" w:sz="4" w:space="0"/>
              <w:bottom w:val="single" w:color="000000" w:sz="4" w:space="0"/>
              <w:right w:val="single" w:color="000000" w:sz="4" w:space="0"/>
            </w:tcBorders>
            <w:noWrap w:val="0"/>
            <w:vAlign w:val="center"/>
          </w:tcPr>
          <w:p w14:paraId="24251574">
            <w:pPr>
              <w:pStyle w:val="50"/>
              <w:keepNext w:val="0"/>
              <w:keepLines w:val="0"/>
              <w:pageBreakBefore w:val="0"/>
              <w:widowControl w:val="0"/>
              <w:tabs>
                <w:tab w:val="left" w:pos="1576"/>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c>
          <w:tcPr>
            <w:tcW w:w="6409" w:type="dxa"/>
            <w:gridSpan w:val="6"/>
            <w:tcBorders>
              <w:top w:val="single" w:color="000000" w:sz="4" w:space="0"/>
              <w:left w:val="single" w:color="000000" w:sz="4" w:space="0"/>
              <w:bottom w:val="single" w:color="000000" w:sz="4" w:space="0"/>
              <w:right w:val="single" w:color="000000" w:sz="4" w:space="0"/>
            </w:tcBorders>
            <w:noWrap w:val="0"/>
            <w:vAlign w:val="center"/>
          </w:tcPr>
          <w:p w14:paraId="4A6928B6">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仿宋" w:hAnsi="仿宋" w:eastAsia="仿宋" w:cs="仿宋"/>
                <w:color w:val="auto"/>
                <w:sz w:val="24"/>
                <w:szCs w:val="24"/>
                <w:highlight w:val="none"/>
              </w:rPr>
            </w:pPr>
          </w:p>
        </w:tc>
      </w:tr>
    </w:tbl>
    <w:p w14:paraId="59BFA271">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 w:hAnsi="仿宋" w:eastAsia="仿宋" w:cs="仿宋"/>
          <w:color w:val="auto"/>
          <w:sz w:val="24"/>
          <w:szCs w:val="24"/>
          <w:highlight w:val="none"/>
        </w:rPr>
      </w:pPr>
    </w:p>
    <w:p w14:paraId="19E0D475">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要求：</w:t>
      </w:r>
    </w:p>
    <w:p w14:paraId="7DDB214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eastAsia="zh-CN"/>
        </w:rPr>
        <w:t>表后</w:t>
      </w:r>
      <w:r>
        <w:rPr>
          <w:rFonts w:hint="eastAsia" w:ascii="仿宋" w:hAnsi="仿宋" w:eastAsia="仿宋" w:cs="仿宋"/>
          <w:b/>
          <w:bCs/>
          <w:color w:val="auto"/>
          <w:sz w:val="24"/>
          <w:szCs w:val="24"/>
          <w:highlight w:val="none"/>
          <w:lang w:val="en-US" w:eastAsia="zh-CN"/>
        </w:rPr>
        <w:t>附项目负责人的</w:t>
      </w:r>
      <w:r>
        <w:rPr>
          <w:rFonts w:hint="eastAsia" w:ascii="仿宋" w:hAnsi="仿宋" w:eastAsia="仿宋" w:cs="仿宋"/>
          <w:b/>
          <w:bCs/>
          <w:color w:val="auto"/>
          <w:sz w:val="24"/>
          <w:szCs w:val="24"/>
          <w:highlight w:val="none"/>
        </w:rPr>
        <w:t>居民身份证、注册建造师</w:t>
      </w:r>
      <w:r>
        <w:rPr>
          <w:rFonts w:hint="eastAsia" w:ascii="仿宋" w:hAnsi="仿宋" w:eastAsia="仿宋" w:cs="仿宋"/>
          <w:b/>
          <w:bCs/>
          <w:color w:val="auto"/>
          <w:sz w:val="24"/>
          <w:szCs w:val="24"/>
          <w:highlight w:val="none"/>
          <w:lang w:val="en-US" w:eastAsia="zh-CN"/>
        </w:rPr>
        <w:t>证书、有效的安全生产考核合格证书、项目负责人</w:t>
      </w:r>
      <w:r>
        <w:rPr>
          <w:rFonts w:hint="eastAsia" w:ascii="仿宋" w:hAnsi="仿宋" w:eastAsia="仿宋" w:cs="仿宋"/>
          <w:b/>
          <w:bCs/>
          <w:color w:val="auto"/>
          <w:sz w:val="24"/>
          <w:szCs w:val="24"/>
          <w:highlight w:val="none"/>
          <w:lang w:eastAsia="zh-CN"/>
        </w:rPr>
        <w:t>无在建承诺书</w:t>
      </w:r>
      <w:r>
        <w:rPr>
          <w:rFonts w:hint="eastAsia" w:ascii="仿宋" w:hAnsi="仿宋" w:cs="仿宋"/>
          <w:b/>
          <w:bCs/>
          <w:color w:val="auto"/>
          <w:sz w:val="24"/>
          <w:szCs w:val="24"/>
          <w:highlight w:val="none"/>
          <w:lang w:val="en-US" w:eastAsia="zh-CN"/>
        </w:rPr>
        <w:t>，</w:t>
      </w:r>
      <w:r>
        <w:rPr>
          <w:rFonts w:hint="eastAsia" w:ascii="仿宋" w:hAnsi="仿宋" w:eastAsia="仿宋" w:cs="仿宋"/>
          <w:b/>
          <w:bCs/>
          <w:color w:val="auto"/>
          <w:sz w:val="24"/>
          <w:szCs w:val="24"/>
          <w:highlight w:val="none"/>
          <w:lang w:eastAsia="zh-CN"/>
        </w:rPr>
        <w:t>职称证（如有）、</w:t>
      </w:r>
      <w:r>
        <w:rPr>
          <w:rFonts w:hint="eastAsia" w:ascii="仿宋" w:hAnsi="仿宋" w:eastAsia="仿宋" w:cs="仿宋"/>
          <w:b/>
          <w:bCs/>
          <w:color w:val="auto"/>
          <w:sz w:val="24"/>
          <w:szCs w:val="24"/>
          <w:highlight w:val="none"/>
          <w:lang w:val="en-US" w:eastAsia="zh-CN"/>
        </w:rPr>
        <w:t>提供本单位的社保缴纳证明或劳动合同</w:t>
      </w:r>
      <w:r>
        <w:rPr>
          <w:rFonts w:hint="eastAsia" w:ascii="仿宋" w:hAnsi="仿宋" w:eastAsia="仿宋" w:cs="仿宋"/>
          <w:b/>
          <w:bCs/>
          <w:color w:val="auto"/>
          <w:sz w:val="24"/>
          <w:szCs w:val="24"/>
          <w:highlight w:val="none"/>
          <w:lang w:eastAsia="zh-CN"/>
        </w:rPr>
        <w:t>等</w:t>
      </w:r>
      <w:r>
        <w:rPr>
          <w:rFonts w:hint="eastAsia" w:ascii="仿宋" w:hAnsi="仿宋" w:cs="仿宋"/>
          <w:b/>
          <w:bCs/>
          <w:color w:val="auto"/>
          <w:sz w:val="24"/>
          <w:szCs w:val="24"/>
          <w:highlight w:val="none"/>
          <w:lang w:eastAsia="zh-CN"/>
        </w:rPr>
        <w:t>。</w:t>
      </w:r>
    </w:p>
    <w:p w14:paraId="6503D736">
      <w:pPr>
        <w:rPr>
          <w:rFonts w:hint="eastAsia" w:ascii="仿宋" w:hAnsi="仿宋" w:eastAsia="仿宋" w:cs="仿宋"/>
          <w:color w:val="auto"/>
          <w:highlight w:val="none"/>
          <w:lang w:val="en-US" w:eastAsia="zh-CN"/>
        </w:rPr>
      </w:pPr>
    </w:p>
    <w:p w14:paraId="7BC59AB8">
      <w:pPr>
        <w:rPr>
          <w:rFonts w:hint="eastAsia" w:ascii="仿宋" w:hAnsi="仿宋" w:eastAsia="仿宋" w:cs="仿宋"/>
          <w:color w:val="auto"/>
          <w:highlight w:val="none"/>
          <w:lang w:val="en-US" w:eastAsia="zh-CN"/>
        </w:rPr>
      </w:pPr>
    </w:p>
    <w:p w14:paraId="7F9B879B">
      <w:pPr>
        <w:pStyle w:val="8"/>
        <w:numPr>
          <w:ilvl w:val="0"/>
          <w:numId w:val="0"/>
        </w:numPr>
        <w:rPr>
          <w:rFonts w:hint="default"/>
          <w:color w:val="auto"/>
          <w:highlight w:val="none"/>
          <w:lang w:val="en-US" w:eastAsia="zh-CN"/>
        </w:rPr>
      </w:pPr>
    </w:p>
    <w:p w14:paraId="4B4575BA">
      <w:pPr>
        <w:rPr>
          <w:rFonts w:hint="default"/>
          <w:color w:val="auto"/>
          <w:highlight w:val="none"/>
          <w:lang w:val="en-US" w:eastAsia="zh-CN"/>
        </w:rPr>
      </w:pPr>
    </w:p>
    <w:p w14:paraId="00F9AA0B">
      <w:pPr>
        <w:pStyle w:val="8"/>
        <w:rPr>
          <w:rFonts w:hint="default"/>
          <w:color w:val="auto"/>
          <w:highlight w:val="none"/>
          <w:lang w:val="en-US" w:eastAsia="zh-CN"/>
        </w:rPr>
      </w:pPr>
    </w:p>
    <w:p w14:paraId="2C2EA35A">
      <w:pPr>
        <w:rPr>
          <w:rFonts w:hint="default"/>
          <w:color w:val="auto"/>
          <w:highlight w:val="none"/>
          <w:lang w:val="en-US" w:eastAsia="zh-CN"/>
        </w:rPr>
      </w:pPr>
    </w:p>
    <w:p w14:paraId="737CF1D3">
      <w:pPr>
        <w:pStyle w:val="8"/>
        <w:rPr>
          <w:rFonts w:hint="default"/>
          <w:color w:val="auto"/>
          <w:highlight w:val="none"/>
          <w:lang w:val="en-US" w:eastAsia="zh-CN"/>
        </w:rPr>
      </w:pPr>
    </w:p>
    <w:p w14:paraId="4ACE1E6B">
      <w:pPr>
        <w:rPr>
          <w:rFonts w:hint="default"/>
          <w:color w:val="auto"/>
          <w:highlight w:val="none"/>
          <w:lang w:val="en-US" w:eastAsia="zh-CN"/>
        </w:rPr>
      </w:pPr>
    </w:p>
    <w:p w14:paraId="0B34D375">
      <w:pPr>
        <w:pStyle w:val="8"/>
        <w:rPr>
          <w:rFonts w:hint="default"/>
          <w:color w:val="auto"/>
          <w:highlight w:val="none"/>
          <w:lang w:val="en-US" w:eastAsia="zh-CN"/>
        </w:rPr>
      </w:pPr>
    </w:p>
    <w:p w14:paraId="273055B3">
      <w:pPr>
        <w:rPr>
          <w:rFonts w:hint="default"/>
          <w:color w:val="auto"/>
          <w:highlight w:val="none"/>
          <w:lang w:val="en-US" w:eastAsia="zh-CN"/>
        </w:rPr>
      </w:pPr>
    </w:p>
    <w:p w14:paraId="63418F4C">
      <w:pPr>
        <w:pStyle w:val="8"/>
        <w:rPr>
          <w:rFonts w:hint="default"/>
          <w:color w:val="auto"/>
          <w:highlight w:val="none"/>
          <w:lang w:val="en-US" w:eastAsia="zh-CN"/>
        </w:rPr>
      </w:pPr>
    </w:p>
    <w:p w14:paraId="637B80FC">
      <w:pPr>
        <w:rPr>
          <w:rFonts w:hint="default"/>
          <w:color w:val="auto"/>
          <w:highlight w:val="none"/>
          <w:lang w:val="en-US" w:eastAsia="zh-CN"/>
        </w:rPr>
      </w:pPr>
    </w:p>
    <w:p w14:paraId="63FCFB25">
      <w:pPr>
        <w:pStyle w:val="8"/>
        <w:rPr>
          <w:rFonts w:hint="default"/>
          <w:color w:val="auto"/>
          <w:highlight w:val="none"/>
          <w:lang w:val="en-US" w:eastAsia="zh-CN"/>
        </w:rPr>
      </w:pPr>
    </w:p>
    <w:p w14:paraId="1F76E0AF">
      <w:pPr>
        <w:rPr>
          <w:rFonts w:hint="default"/>
          <w:color w:val="auto"/>
          <w:highlight w:val="none"/>
          <w:lang w:val="en-US" w:eastAsia="zh-CN"/>
        </w:rPr>
      </w:pPr>
    </w:p>
    <w:p w14:paraId="5BDA59A7">
      <w:pPr>
        <w:pStyle w:val="8"/>
        <w:rPr>
          <w:rFonts w:hint="default"/>
          <w:color w:val="auto"/>
          <w:highlight w:val="none"/>
          <w:lang w:val="en-US" w:eastAsia="zh-CN"/>
        </w:rPr>
      </w:pPr>
    </w:p>
    <w:p w14:paraId="67875662">
      <w:pPr>
        <w:rPr>
          <w:rFonts w:hint="default"/>
          <w:color w:val="auto"/>
          <w:highlight w:val="none"/>
          <w:lang w:val="en-US" w:eastAsia="zh-CN"/>
        </w:rPr>
      </w:pPr>
    </w:p>
    <w:p w14:paraId="5BBC2645">
      <w:pPr>
        <w:pStyle w:val="8"/>
        <w:rPr>
          <w:rFonts w:hint="default"/>
          <w:color w:val="auto"/>
          <w:highlight w:val="none"/>
          <w:lang w:val="en-US" w:eastAsia="zh-CN"/>
        </w:rPr>
      </w:pPr>
    </w:p>
    <w:p w14:paraId="7DF913D3">
      <w:pPr>
        <w:rPr>
          <w:rFonts w:hint="default"/>
          <w:color w:val="auto"/>
          <w:highlight w:val="none"/>
          <w:lang w:val="en-US" w:eastAsia="zh-CN"/>
        </w:rPr>
      </w:pPr>
    </w:p>
    <w:p w14:paraId="525C8E62">
      <w:pPr>
        <w:jc w:val="center"/>
        <w:rPr>
          <w:rFonts w:hint="eastAsia" w:ascii="仿宋" w:hAnsi="仿宋" w:eastAsia="仿宋" w:cs="仿宋"/>
          <w:b/>
          <w:bCs/>
          <w:color w:val="auto"/>
          <w:sz w:val="24"/>
          <w:szCs w:val="24"/>
          <w:highlight w:val="none"/>
        </w:rPr>
      </w:pPr>
      <w:r>
        <w:rPr>
          <w:rFonts w:hint="eastAsia" w:cs="仿宋"/>
          <w:b/>
          <w:bCs/>
          <w:color w:val="auto"/>
          <w:sz w:val="24"/>
          <w:szCs w:val="24"/>
          <w:highlight w:val="none"/>
          <w:lang w:val="en-US" w:eastAsia="zh-CN"/>
        </w:rPr>
        <w:t>3、</w:t>
      </w:r>
      <w:r>
        <w:rPr>
          <w:rFonts w:hint="eastAsia" w:ascii="仿宋" w:hAnsi="仿宋" w:eastAsia="仿宋" w:cs="仿宋"/>
          <w:b/>
          <w:bCs/>
          <w:color w:val="auto"/>
          <w:sz w:val="24"/>
          <w:szCs w:val="24"/>
          <w:highlight w:val="none"/>
        </w:rPr>
        <w:t>项目负责人无在建承诺书</w:t>
      </w:r>
    </w:p>
    <w:p w14:paraId="2A484C15">
      <w:pPr>
        <w:keepNext w:val="0"/>
        <w:keepLines w:val="0"/>
        <w:pageBreakBefore w:val="0"/>
        <w:widowControl w:val="0"/>
        <w:kinsoku/>
        <w:wordWrap/>
        <w:overflowPunct/>
        <w:topLinePunct w:val="0"/>
        <w:autoSpaceDE/>
        <w:autoSpaceDN/>
        <w:bidi w:val="0"/>
        <w:adjustRightInd/>
        <w:snapToGrid/>
        <w:spacing w:after="312" w:afterLines="100" w:line="440" w:lineRule="exact"/>
        <w:jc w:val="left"/>
        <w:textAlignment w:val="auto"/>
        <w:rPr>
          <w:rFonts w:hint="eastAsia" w:ascii="仿宋" w:hAnsi="仿宋" w:cs="仿宋"/>
          <w:b/>
          <w:bCs/>
          <w:color w:val="auto"/>
          <w:sz w:val="24"/>
          <w:szCs w:val="24"/>
          <w:highlight w:val="none"/>
          <w:u w:val="none"/>
          <w:lang w:val="en-US" w:eastAsia="zh-CN"/>
        </w:rPr>
      </w:pPr>
    </w:p>
    <w:p w14:paraId="667A6875">
      <w:pPr>
        <w:keepNext w:val="0"/>
        <w:keepLines w:val="0"/>
        <w:pageBreakBefore w:val="0"/>
        <w:widowControl w:val="0"/>
        <w:kinsoku/>
        <w:wordWrap/>
        <w:overflowPunct/>
        <w:topLinePunct w:val="0"/>
        <w:autoSpaceDE/>
        <w:autoSpaceDN/>
        <w:bidi w:val="0"/>
        <w:adjustRightInd/>
        <w:snapToGrid/>
        <w:spacing w:after="312" w:afterLines="100" w:line="440" w:lineRule="exact"/>
        <w:jc w:val="left"/>
        <w:textAlignment w:val="auto"/>
        <w:rPr>
          <w:rFonts w:hint="eastAsia" w:ascii="仿宋" w:hAnsi="仿宋" w:eastAsia="仿宋" w:cs="仿宋"/>
          <w:color w:val="auto"/>
          <w:sz w:val="24"/>
          <w:szCs w:val="24"/>
          <w:highlight w:val="none"/>
        </w:rPr>
      </w:pPr>
      <w:r>
        <w:rPr>
          <w:rFonts w:hint="eastAsia" w:ascii="仿宋" w:hAnsi="仿宋" w:cs="仿宋"/>
          <w:b/>
          <w:bCs/>
          <w:color w:val="auto"/>
          <w:sz w:val="24"/>
          <w:szCs w:val="24"/>
          <w:highlight w:val="none"/>
          <w:u w:val="none"/>
          <w:lang w:val="en-US" w:eastAsia="zh-CN"/>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w:t>
      </w:r>
    </w:p>
    <w:p w14:paraId="3B71D007">
      <w:pPr>
        <w:keepNext w:val="0"/>
        <w:keepLines w:val="0"/>
        <w:pageBreakBefore w:val="0"/>
        <w:widowControl w:val="0"/>
        <w:kinsoku/>
        <w:wordWrap/>
        <w:overflowPunct/>
        <w:topLinePunct w:val="0"/>
        <w:autoSpaceDE/>
        <w:autoSpaceDN/>
        <w:bidi w:val="0"/>
        <w:adjustRightInd/>
        <w:snapToGrid/>
        <w:spacing w:after="312" w:afterLines="100"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我方在此声明，我方拟派往</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（项目名称）（以下简称“本工程”）的项目负责人</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（项目负责人姓名）现阶段没有担任任何在建建设工程项目的项目负责人。</w:t>
      </w:r>
    </w:p>
    <w:p w14:paraId="69D7B39A">
      <w:pPr>
        <w:keepNext w:val="0"/>
        <w:keepLines w:val="0"/>
        <w:pageBreakBefore w:val="0"/>
        <w:widowControl w:val="0"/>
        <w:kinsoku/>
        <w:wordWrap/>
        <w:overflowPunct/>
        <w:topLinePunct w:val="0"/>
        <w:autoSpaceDE/>
        <w:autoSpaceDN/>
        <w:bidi w:val="0"/>
        <w:adjustRightInd/>
        <w:snapToGrid/>
        <w:spacing w:after="312" w:afterLines="100"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我方保证上述信息的真实和准确，并愿意承担因我方就此弄虚作假所引起的一切法律后果。</w:t>
      </w:r>
    </w:p>
    <w:p w14:paraId="34ED8A7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p>
    <w:p w14:paraId="297522B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特此承诺</w:t>
      </w:r>
    </w:p>
    <w:p w14:paraId="23BB01D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sz w:val="24"/>
          <w:szCs w:val="24"/>
          <w:highlight w:val="none"/>
        </w:rPr>
      </w:pPr>
    </w:p>
    <w:p w14:paraId="3DF75275">
      <w:pPr>
        <w:pStyle w:val="8"/>
        <w:rPr>
          <w:rFonts w:hint="eastAsia" w:ascii="仿宋" w:hAnsi="仿宋" w:eastAsia="仿宋" w:cs="仿宋"/>
          <w:color w:val="auto"/>
          <w:sz w:val="24"/>
          <w:szCs w:val="24"/>
          <w:highlight w:val="none"/>
        </w:rPr>
      </w:pPr>
    </w:p>
    <w:p w14:paraId="3099E15C">
      <w:pPr>
        <w:rPr>
          <w:rFonts w:hint="eastAsia" w:ascii="仿宋" w:hAnsi="仿宋" w:eastAsia="仿宋" w:cs="仿宋"/>
          <w:color w:val="auto"/>
          <w:sz w:val="24"/>
          <w:szCs w:val="24"/>
          <w:highlight w:val="none"/>
        </w:rPr>
      </w:pPr>
    </w:p>
    <w:p w14:paraId="79648363">
      <w:pPr>
        <w:pStyle w:val="8"/>
        <w:rPr>
          <w:rFonts w:hint="eastAsia" w:ascii="仿宋" w:hAnsi="仿宋" w:eastAsia="仿宋" w:cs="仿宋"/>
          <w:color w:val="auto"/>
          <w:sz w:val="24"/>
          <w:szCs w:val="24"/>
          <w:highlight w:val="none"/>
        </w:rPr>
      </w:pPr>
    </w:p>
    <w:p w14:paraId="59374B69">
      <w:pPr>
        <w:rPr>
          <w:rFonts w:hint="eastAsia" w:ascii="仿宋" w:hAnsi="仿宋" w:eastAsia="仿宋" w:cs="仿宋"/>
          <w:color w:val="auto"/>
          <w:sz w:val="24"/>
          <w:szCs w:val="24"/>
          <w:highlight w:val="none"/>
        </w:rPr>
      </w:pPr>
    </w:p>
    <w:p w14:paraId="0954BDFD">
      <w:pPr>
        <w:pStyle w:val="8"/>
        <w:rPr>
          <w:rFonts w:hint="eastAsia"/>
          <w:color w:val="auto"/>
          <w:highlight w:val="none"/>
        </w:rPr>
      </w:pPr>
    </w:p>
    <w:p w14:paraId="793C0391">
      <w:pPr>
        <w:keepNext w:val="0"/>
        <w:keepLines w:val="0"/>
        <w:pageBreakBefore w:val="0"/>
        <w:widowControl/>
        <w:kinsoku/>
        <w:wordWrap/>
        <w:overflowPunct/>
        <w:topLinePunct w:val="0"/>
        <w:autoSpaceDE/>
        <w:autoSpaceDN/>
        <w:bidi w:val="0"/>
        <w:adjustRightInd/>
        <w:snapToGrid/>
        <w:spacing w:line="360" w:lineRule="auto"/>
        <w:ind w:firstLine="2880" w:firstLineChars="1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供应商（</w:t>
      </w:r>
      <w:r>
        <w:rPr>
          <w:rFonts w:hint="eastAsia" w:ascii="宋体" w:hAnsi="宋体"/>
          <w:color w:val="auto"/>
          <w:sz w:val="24"/>
          <w:szCs w:val="24"/>
          <w:highlight w:val="none"/>
        </w:rPr>
        <w:t>电子签章</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single"/>
        </w:rPr>
        <w:t xml:space="preserve"> </w:t>
      </w:r>
      <w:r>
        <w:rPr>
          <w:rFonts w:hint="eastAsia" w:asciiTheme="minorEastAsia" w:hAnsiTheme="minorEastAsia" w:eastAsiaTheme="minorEastAsia" w:cstheme="minorEastAsia"/>
          <w:b w:val="0"/>
          <w:bCs w:val="0"/>
          <w:color w:val="auto"/>
          <w:sz w:val="24"/>
          <w:szCs w:val="24"/>
          <w:highlight w:val="none"/>
        </w:rPr>
        <w:t xml:space="preserve">                             </w:t>
      </w:r>
    </w:p>
    <w:p w14:paraId="1C295AAB">
      <w:pPr>
        <w:keepNext w:val="0"/>
        <w:keepLines w:val="0"/>
        <w:pageBreakBefore w:val="0"/>
        <w:widowControl/>
        <w:kinsoku/>
        <w:wordWrap/>
        <w:overflowPunct/>
        <w:topLinePunct w:val="0"/>
        <w:autoSpaceDE/>
        <w:autoSpaceDN/>
        <w:bidi w:val="0"/>
        <w:adjustRightInd/>
        <w:snapToGrid/>
        <w:spacing w:line="360" w:lineRule="auto"/>
        <w:ind w:left="2872" w:leftChars="1436" w:firstLine="0" w:firstLineChars="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法定代表人或委托代理人（</w:t>
      </w:r>
      <w:r>
        <w:rPr>
          <w:rFonts w:hint="eastAsia" w:ascii="宋体" w:hAnsi="宋体"/>
          <w:color w:val="auto"/>
          <w:sz w:val="24"/>
          <w:szCs w:val="24"/>
          <w:highlight w:val="none"/>
        </w:rPr>
        <w:t>电子签章</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u w:val="single"/>
        </w:rPr>
        <w:t xml:space="preserve">  </w:t>
      </w:r>
      <w:r>
        <w:rPr>
          <w:rFonts w:hint="eastAsia" w:asciiTheme="minorEastAsia" w:hAnsiTheme="minorEastAsia" w:eastAsiaTheme="minorEastAsia" w:cstheme="minorEastAsia"/>
          <w:b w:val="0"/>
          <w:bCs w:val="0"/>
          <w:color w:val="auto"/>
          <w:sz w:val="24"/>
          <w:szCs w:val="24"/>
          <w:highlight w:val="none"/>
        </w:rPr>
        <w:t xml:space="preserve">            日期：         年      月      日</w:t>
      </w:r>
    </w:p>
    <w:p w14:paraId="39C6DAD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4"/>
          <w:szCs w:val="24"/>
          <w:highlight w:val="none"/>
          <w:lang w:val="en-US" w:eastAsia="zh-CN"/>
        </w:rPr>
      </w:pPr>
    </w:p>
    <w:p w14:paraId="45395506">
      <w:pPr>
        <w:pStyle w:val="7"/>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p>
    <w:p w14:paraId="4F16F47D">
      <w:pPr>
        <w:pStyle w:val="8"/>
        <w:rPr>
          <w:rFonts w:hint="default"/>
          <w:color w:val="auto"/>
          <w:highlight w:val="none"/>
          <w:lang w:val="en-US" w:eastAsia="zh-CN"/>
        </w:rPr>
      </w:pPr>
      <w:r>
        <w:rPr>
          <w:rFonts w:hint="eastAsia" w:ascii="仿宋" w:hAnsi="仿宋" w:eastAsia="仿宋" w:cs="仿宋"/>
          <w:color w:val="auto"/>
          <w:highlight w:val="none"/>
          <w:lang w:val="en-US" w:eastAsia="zh-CN"/>
        </w:rPr>
        <w:br w:type="page"/>
      </w:r>
    </w:p>
    <w:p w14:paraId="72CAF00A">
      <w:pPr>
        <w:pStyle w:val="8"/>
        <w:rPr>
          <w:rFonts w:hint="eastAsia"/>
          <w:color w:val="auto"/>
          <w:highlight w:val="none"/>
          <w:lang w:eastAsia="zh-CN"/>
        </w:rPr>
      </w:pPr>
    </w:p>
    <w:p w14:paraId="21B1EDEE">
      <w:pPr>
        <w:rPr>
          <w:rFonts w:hint="eastAsia"/>
          <w:color w:val="auto"/>
          <w:highlight w:val="none"/>
          <w:lang w:eastAsia="zh-CN"/>
        </w:rPr>
      </w:pPr>
    </w:p>
    <w:p w14:paraId="4C6208F7">
      <w:pPr>
        <w:spacing w:line="360" w:lineRule="auto"/>
        <w:ind w:firstLine="482" w:firstLineChars="2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十一</w:t>
      </w:r>
      <w:r>
        <w:rPr>
          <w:rFonts w:hint="eastAsia" w:ascii="宋体" w:hAnsi="宋体" w:cs="宋体"/>
          <w:b/>
          <w:bCs/>
          <w:color w:val="auto"/>
          <w:sz w:val="24"/>
          <w:szCs w:val="24"/>
          <w:highlight w:val="none"/>
        </w:rPr>
        <w:t>）供应商认为可以提交的其他证件扫描件</w:t>
      </w:r>
    </w:p>
    <w:p w14:paraId="10DF43EE">
      <w:pPr>
        <w:spacing w:line="360" w:lineRule="auto"/>
        <w:jc w:val="center"/>
        <w:rPr>
          <w:rFonts w:hint="eastAsia" w:ascii="宋体" w:hAnsi="宋体"/>
          <w:color w:val="auto"/>
          <w:sz w:val="24"/>
          <w:szCs w:val="24"/>
          <w:highlight w:val="none"/>
        </w:rPr>
      </w:pPr>
      <w:r>
        <w:rPr>
          <w:rFonts w:hint="eastAsia" w:ascii="宋体" w:hAnsi="宋体"/>
          <w:color w:val="auto"/>
          <w:sz w:val="24"/>
          <w:szCs w:val="24"/>
          <w:highlight w:val="none"/>
        </w:rPr>
        <w:t>供应商按照竞争性磋商文件要求及评审办法中的评审内容自行编制。</w:t>
      </w:r>
    </w:p>
    <w:p w14:paraId="00F9AD46">
      <w:pPr>
        <w:pStyle w:val="19"/>
        <w:spacing w:before="120" w:line="360" w:lineRule="auto"/>
        <w:ind w:firstLine="420" w:firstLineChars="200"/>
        <w:rPr>
          <w:rFonts w:hint="eastAsia" w:ascii="宋体" w:hAnsi="宋体" w:cs="宋体"/>
          <w:color w:val="auto"/>
          <w:sz w:val="24"/>
          <w:szCs w:val="24"/>
          <w:highlight w:val="none"/>
        </w:rPr>
      </w:pPr>
      <w:r>
        <w:rPr>
          <w:rFonts w:hint="eastAsia"/>
          <w:color w:val="auto"/>
          <w:sz w:val="21"/>
          <w:szCs w:val="21"/>
          <w:highlight w:val="none"/>
        </w:rPr>
        <w:br w:type="page"/>
      </w:r>
    </w:p>
    <w:p w14:paraId="13EC2A84">
      <w:pPr>
        <w:pStyle w:val="3"/>
        <w:rPr>
          <w:rFonts w:hint="eastAsia" w:ascii="宋体" w:hAnsi="宋体" w:cs="宋体"/>
          <w:color w:val="auto"/>
          <w:highlight w:val="none"/>
        </w:rPr>
      </w:pPr>
      <w:bookmarkStart w:id="4677" w:name="_Toc10875"/>
      <w:bookmarkStart w:id="4678" w:name="_Toc7663"/>
      <w:r>
        <w:rPr>
          <w:rFonts w:hint="eastAsia" w:ascii="宋体" w:hAnsi="宋体" w:cs="宋体"/>
          <w:color w:val="auto"/>
          <w:highlight w:val="none"/>
        </w:rPr>
        <w:t>二、响应文件报价部分格式</w:t>
      </w:r>
      <w:bookmarkEnd w:id="4677"/>
      <w:bookmarkEnd w:id="4678"/>
    </w:p>
    <w:p w14:paraId="1E07E40C">
      <w:pPr>
        <w:pStyle w:val="3"/>
        <w:rPr>
          <w:rFonts w:hint="eastAsia" w:ascii="宋体" w:hAnsi="宋体" w:cs="宋体"/>
          <w:b w:val="0"/>
          <w:color w:val="auto"/>
          <w:sz w:val="24"/>
          <w:highlight w:val="none"/>
        </w:rPr>
        <w:sectPr>
          <w:pgSz w:w="11906" w:h="16838"/>
          <w:pgMar w:top="1134" w:right="1247" w:bottom="1134" w:left="1247" w:header="851" w:footer="992" w:gutter="0"/>
          <w:pgNumType w:fmt="decimal"/>
          <w:cols w:space="720" w:num="1"/>
          <w:docGrid w:linePitch="312" w:charSpace="0"/>
        </w:sectPr>
      </w:pPr>
    </w:p>
    <w:p w14:paraId="76D77027">
      <w:pPr>
        <w:pStyle w:val="19"/>
        <w:spacing w:before="120" w:line="440" w:lineRule="exact"/>
        <w:rPr>
          <w:b/>
          <w:bCs/>
          <w:color w:val="auto"/>
          <w:sz w:val="21"/>
          <w:szCs w:val="21"/>
          <w:highlight w:val="none"/>
        </w:rPr>
      </w:pPr>
      <w:bookmarkStart w:id="4679" w:name="_Toc11876"/>
      <w:r>
        <w:rPr>
          <w:rFonts w:hint="eastAsia"/>
          <w:b/>
          <w:bCs/>
          <w:color w:val="auto"/>
          <w:sz w:val="21"/>
          <w:szCs w:val="21"/>
          <w:highlight w:val="none"/>
        </w:rPr>
        <w:t>（实质性格式要求）</w:t>
      </w:r>
    </w:p>
    <w:p w14:paraId="5E88F1A2">
      <w:pPr>
        <w:pStyle w:val="3"/>
        <w:rPr>
          <w:rFonts w:hint="eastAsia" w:ascii="宋体" w:hAnsi="宋体" w:cs="宋体"/>
          <w:b w:val="0"/>
          <w:color w:val="auto"/>
          <w:sz w:val="24"/>
          <w:highlight w:val="none"/>
        </w:rPr>
      </w:pPr>
      <w:bookmarkStart w:id="4680" w:name="_Toc12994"/>
      <w:r>
        <w:rPr>
          <w:rFonts w:hint="eastAsia" w:ascii="宋体" w:hAnsi="宋体" w:cs="宋体"/>
          <w:b w:val="0"/>
          <w:color w:val="auto"/>
          <w:sz w:val="24"/>
          <w:highlight w:val="none"/>
        </w:rPr>
        <w:t>（一）磋商函</w:t>
      </w:r>
      <w:bookmarkEnd w:id="4679"/>
      <w:bookmarkEnd w:id="4680"/>
    </w:p>
    <w:p w14:paraId="70CBEAFC">
      <w:pPr>
        <w:rPr>
          <w:color w:val="auto"/>
          <w:highlight w:val="none"/>
        </w:rPr>
      </w:pPr>
    </w:p>
    <w:p w14:paraId="69CD16E2">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（采购人名称）</w:t>
      </w:r>
    </w:p>
    <w:p w14:paraId="5E9F3EE7">
      <w:pPr>
        <w:spacing w:line="360" w:lineRule="auto"/>
        <w:ind w:firstLine="463" w:firstLineChars="193"/>
        <w:rPr>
          <w:rFonts w:hint="eastAsia" w:ascii="宋体" w:hAnsi="宋体" w:cs="宋体"/>
          <w:color w:val="auto"/>
          <w:sz w:val="24"/>
          <w:szCs w:val="24"/>
          <w:highlight w:val="none"/>
        </w:rPr>
      </w:pPr>
      <w:r>
        <w:rPr>
          <w:rFonts w:hint="eastAsia" w:ascii="宋体" w:hAnsi="宋体" w:cs="宋体"/>
          <w:color w:val="auto"/>
          <w:sz w:val="24"/>
          <w:szCs w:val="24"/>
          <w:highlight w:val="none"/>
        </w:rPr>
        <w:t>在充分研究</w:t>
      </w:r>
      <w:r>
        <w:rPr>
          <w:rFonts w:hint="eastAsia" w:ascii="宋体" w:hAnsi="宋体" w:cs="宋体"/>
          <w:color w:val="auto"/>
          <w:sz w:val="24"/>
          <w:szCs w:val="24"/>
          <w:highlight w:val="none"/>
          <w:u w:val="single"/>
        </w:rPr>
        <w:t xml:space="preserve">           （项目名称）             </w:t>
      </w:r>
      <w:r>
        <w:rPr>
          <w:rFonts w:hint="eastAsia" w:ascii="宋体" w:hAnsi="宋体" w:cs="宋体"/>
          <w:color w:val="auto"/>
          <w:sz w:val="24"/>
          <w:szCs w:val="24"/>
          <w:highlight w:val="none"/>
        </w:rPr>
        <w:t>（以下简称“本项目”）竞争性磋商文件的全部内容后，我方兹以</w:t>
      </w:r>
      <w:r>
        <w:rPr>
          <w:rFonts w:hint="eastAsia" w:ascii="宋体" w:hAnsi="宋体" w:cs="宋体"/>
          <w:color w:val="auto"/>
          <w:sz w:val="24"/>
          <w:szCs w:val="24"/>
          <w:highlight w:val="none"/>
          <w:u w:val="single"/>
        </w:rPr>
        <w:t>最终磋商报价表</w:t>
      </w:r>
      <w:r>
        <w:rPr>
          <w:rFonts w:hint="eastAsia" w:ascii="宋体" w:hAnsi="宋体" w:eastAsia="宋体" w:cs="宋体"/>
          <w:color w:val="auto"/>
          <w:sz w:val="24"/>
          <w:szCs w:val="24"/>
          <w:highlight w:val="none"/>
        </w:rPr>
        <w:t>的磋商价格和按项目约定有权得到的其</w:t>
      </w:r>
      <w:r>
        <w:rPr>
          <w:rFonts w:hint="eastAsia" w:ascii="宋体" w:hAnsi="宋体" w:cs="宋体"/>
          <w:color w:val="auto"/>
          <w:sz w:val="24"/>
          <w:szCs w:val="24"/>
          <w:highlight w:val="none"/>
          <w:lang w:val="en-US" w:eastAsia="zh-CN"/>
        </w:rPr>
        <w:t>他</w:t>
      </w:r>
      <w:r>
        <w:rPr>
          <w:rFonts w:hint="eastAsia" w:ascii="宋体" w:hAnsi="宋体" w:eastAsia="宋体" w:cs="宋体"/>
          <w:color w:val="auto"/>
          <w:sz w:val="24"/>
          <w:szCs w:val="24"/>
          <w:highlight w:val="none"/>
        </w:rPr>
        <w:t>金额，并严格按照项目</w:t>
      </w:r>
      <w:r>
        <w:rPr>
          <w:rFonts w:hint="eastAsia" w:ascii="宋体" w:hAnsi="宋体" w:eastAsia="宋体" w:cs="宋体"/>
          <w:color w:val="auto"/>
          <w:sz w:val="24"/>
          <w:szCs w:val="24"/>
          <w:highlight w:val="none"/>
          <w:lang w:val="en-US" w:eastAsia="zh-CN"/>
        </w:rPr>
        <w:t>合同</w:t>
      </w:r>
      <w:r>
        <w:rPr>
          <w:rFonts w:hint="eastAsia" w:ascii="宋体" w:hAnsi="宋体" w:eastAsia="宋体" w:cs="宋体"/>
          <w:color w:val="auto"/>
          <w:sz w:val="24"/>
          <w:szCs w:val="24"/>
          <w:highlight w:val="none"/>
        </w:rPr>
        <w:t>约定</w:t>
      </w:r>
      <w:r>
        <w:rPr>
          <w:rFonts w:hint="eastAsia" w:ascii="宋体" w:hAnsi="宋体" w:eastAsia="宋体" w:cs="宋体"/>
          <w:color w:val="auto"/>
          <w:sz w:val="24"/>
          <w:szCs w:val="24"/>
          <w:highlight w:val="none"/>
          <w:lang w:val="en-US" w:eastAsia="zh-CN"/>
        </w:rPr>
        <w:t>完成全部工作</w:t>
      </w:r>
      <w:r>
        <w:rPr>
          <w:rFonts w:hint="eastAsia" w:ascii="宋体" w:hAnsi="宋体" w:cs="宋体"/>
          <w:color w:val="auto"/>
          <w:sz w:val="24"/>
          <w:szCs w:val="24"/>
          <w:highlight w:val="none"/>
          <w:lang w:val="en-US" w:eastAsia="zh-CN"/>
        </w:rPr>
        <w:t>。</w:t>
      </w:r>
    </w:p>
    <w:p w14:paraId="1A01C2BB">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1、如果我方</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，我方保证按照项目约定的</w:t>
      </w:r>
      <w:r>
        <w:rPr>
          <w:rFonts w:hint="eastAsia" w:ascii="宋体" w:hAnsi="宋体" w:cs="宋体"/>
          <w:color w:val="auto"/>
          <w:sz w:val="24"/>
          <w:szCs w:val="24"/>
          <w:highlight w:val="none"/>
          <w:lang w:val="en-US" w:eastAsia="zh-CN"/>
        </w:rPr>
        <w:t>计划工期</w:t>
      </w:r>
      <w:r>
        <w:rPr>
          <w:rFonts w:hint="eastAsia" w:ascii="宋体" w:hAnsi="宋体" w:cs="宋体"/>
          <w:color w:val="auto"/>
          <w:sz w:val="24"/>
          <w:szCs w:val="24"/>
          <w:highlight w:val="none"/>
        </w:rPr>
        <w:t>及</w:t>
      </w:r>
      <w:r>
        <w:rPr>
          <w:rFonts w:hint="eastAsia" w:ascii="宋体" w:hAnsi="宋体" w:cs="宋体"/>
          <w:color w:val="auto"/>
          <w:sz w:val="24"/>
          <w:szCs w:val="24"/>
          <w:highlight w:val="none"/>
          <w:lang w:val="en-US" w:eastAsia="zh-CN"/>
        </w:rPr>
        <w:t>招标范围</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。我方同意本磋商函在竞争性磋商文件规定的提交响应文件截止时间后，在竞争性磋商文件规定的磋商有效期期满前对我方具有约束力，且随时准备接受你方发出的</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通知书。</w:t>
      </w:r>
    </w:p>
    <w:p w14:paraId="2D424176">
      <w:pPr>
        <w:spacing w:line="360" w:lineRule="auto"/>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2、我方同意所提交的响应文件在竞争性磋商文件的供应商须知中规定的磋商有效期</w:t>
      </w:r>
      <w:r>
        <w:rPr>
          <w:rFonts w:hint="eastAsia" w:ascii="宋体" w:hAnsi="宋体" w:cs="宋体"/>
          <w:color w:val="auto"/>
          <w:sz w:val="24"/>
          <w:szCs w:val="24"/>
          <w:highlight w:val="none"/>
          <w:u w:val="single"/>
        </w:rPr>
        <w:t xml:space="preserve"> </w:t>
      </w:r>
    </w:p>
    <w:p w14:paraId="178DFD3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日历天有效，在此期间内如果</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，我方将受此约束。</w:t>
      </w:r>
    </w:p>
    <w:p w14:paraId="70CADCAE">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3、在签署协议书之前，你方的</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通知书连同本磋商函，对双方具有约束力。</w:t>
      </w:r>
    </w:p>
    <w:p w14:paraId="69BCF0B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4、如果我方</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，将按竞争性磋商文件的规定时间及项目条款签订合同。</w:t>
      </w:r>
    </w:p>
    <w:p w14:paraId="5EC76ED9">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 我方已详细审核竞争性磋商文件，我方对竞争性磋商文件各项条款和评审办法无异议，知道必须放弃提出含糊不清或误解问题的权利。</w:t>
      </w:r>
    </w:p>
    <w:p w14:paraId="6BDB6684">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 同意应贵方要求提供与本磋商有关的任何数据和资料，并保证数据和资料的完整性和真实性，若有违反，我方愿意承担一切后果。</w:t>
      </w:r>
    </w:p>
    <w:p w14:paraId="1F630299">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 我方完全理解贵方不一定要接受最低报价的供应商为</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供应商的行为。</w:t>
      </w:r>
    </w:p>
    <w:p w14:paraId="094B9925">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 若贵方需要，我方愿意提供我方作出的一切承诺的证明材料。</w:t>
      </w:r>
    </w:p>
    <w:p w14:paraId="1C482947">
      <w:pPr>
        <w:pStyle w:val="19"/>
        <w:spacing w:before="120" w:line="360" w:lineRule="auto"/>
        <w:ind w:left="800"/>
        <w:rPr>
          <w:rFonts w:hint="eastAsia" w:ascii="宋体" w:hAnsi="宋体" w:cs="宋体"/>
          <w:color w:val="auto"/>
          <w:sz w:val="24"/>
          <w:szCs w:val="24"/>
          <w:highlight w:val="none"/>
        </w:rPr>
      </w:pPr>
    </w:p>
    <w:p w14:paraId="71492784">
      <w:pPr>
        <w:pStyle w:val="19"/>
        <w:spacing w:before="120" w:line="360" w:lineRule="auto"/>
        <w:ind w:left="800"/>
        <w:rPr>
          <w:rFonts w:hint="eastAsia" w:ascii="宋体" w:hAnsi="宋体" w:cs="宋体"/>
          <w:color w:val="auto"/>
          <w:sz w:val="24"/>
          <w:szCs w:val="24"/>
          <w:highlight w:val="none"/>
        </w:rPr>
      </w:pPr>
      <w:r>
        <w:rPr>
          <w:rFonts w:hint="eastAsia" w:ascii="宋体" w:hAnsi="宋体" w:cs="宋体"/>
          <w:color w:val="auto"/>
          <w:sz w:val="24"/>
          <w:szCs w:val="24"/>
          <w:highlight w:val="none"/>
        </w:rPr>
        <w:t>供应商（</w:t>
      </w:r>
      <w:r>
        <w:rPr>
          <w:rFonts w:hint="eastAsia" w:ascii="宋体" w:hAnsi="宋体"/>
          <w:color w:val="auto"/>
          <w:sz w:val="24"/>
          <w:szCs w:val="24"/>
          <w:highlight w:val="none"/>
        </w:rPr>
        <w:t>电子签章</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p>
    <w:p w14:paraId="38FA35FE">
      <w:pPr>
        <w:pStyle w:val="19"/>
        <w:spacing w:before="120" w:line="360" w:lineRule="auto"/>
        <w:ind w:left="8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法定代表人或委托代理人（</w:t>
      </w:r>
      <w:r>
        <w:rPr>
          <w:rFonts w:hint="eastAsia" w:ascii="宋体" w:hAnsi="宋体"/>
          <w:color w:val="auto"/>
          <w:sz w:val="24"/>
          <w:szCs w:val="24"/>
          <w:highlight w:val="none"/>
        </w:rPr>
        <w:t>电子签章</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p>
    <w:p w14:paraId="5951B983">
      <w:pPr>
        <w:pStyle w:val="19"/>
        <w:spacing w:before="120" w:line="360" w:lineRule="auto"/>
        <w:ind w:left="800"/>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6FBB166C">
      <w:pPr>
        <w:spacing w:line="360" w:lineRule="auto"/>
        <w:ind w:firstLine="960" w:firstLineChars="400"/>
        <w:rPr>
          <w:rFonts w:hint="eastAsia" w:ascii="宋体" w:hAnsi="宋体" w:cs="宋体"/>
          <w:color w:val="auto"/>
          <w:sz w:val="24"/>
          <w:szCs w:val="24"/>
          <w:highlight w:val="none"/>
        </w:rPr>
      </w:pPr>
    </w:p>
    <w:p w14:paraId="1080CBDE">
      <w:pPr>
        <w:spacing w:line="360" w:lineRule="auto"/>
        <w:ind w:firstLine="960" w:firstLineChars="400"/>
        <w:rPr>
          <w:rFonts w:hint="eastAsia" w:ascii="宋体" w:hAnsi="宋体" w:cs="宋体"/>
          <w:color w:val="auto"/>
          <w:sz w:val="24"/>
          <w:szCs w:val="24"/>
          <w:highlight w:val="none"/>
        </w:rPr>
      </w:pPr>
    </w:p>
    <w:p w14:paraId="4D4079E8">
      <w:pPr>
        <w:spacing w:line="360" w:lineRule="auto"/>
        <w:ind w:firstLine="960" w:firstLineChars="400"/>
        <w:rPr>
          <w:rFonts w:hint="eastAsia" w:ascii="宋体" w:hAnsi="宋体" w:cs="宋体"/>
          <w:color w:val="auto"/>
          <w:sz w:val="24"/>
          <w:szCs w:val="24"/>
          <w:highlight w:val="none"/>
        </w:rPr>
      </w:pPr>
    </w:p>
    <w:p w14:paraId="24F17328">
      <w:pPr>
        <w:spacing w:line="360" w:lineRule="auto"/>
        <w:ind w:firstLine="960" w:firstLineChars="400"/>
        <w:rPr>
          <w:rFonts w:hint="eastAsia" w:ascii="宋体" w:hAnsi="宋体" w:cs="宋体"/>
          <w:color w:val="auto"/>
          <w:sz w:val="24"/>
          <w:szCs w:val="24"/>
          <w:highlight w:val="none"/>
        </w:rPr>
      </w:pPr>
    </w:p>
    <w:p w14:paraId="70467AB5">
      <w:pPr>
        <w:pStyle w:val="9"/>
        <w:rPr>
          <w:color w:val="auto"/>
          <w:highlight w:val="none"/>
        </w:rPr>
      </w:pPr>
    </w:p>
    <w:p w14:paraId="26F65959">
      <w:pPr>
        <w:pStyle w:val="3"/>
        <w:rPr>
          <w:rFonts w:hint="eastAsia" w:ascii="宋体" w:hAnsi="宋体" w:cs="宋体"/>
          <w:b w:val="0"/>
          <w:color w:val="auto"/>
          <w:sz w:val="24"/>
          <w:highlight w:val="none"/>
        </w:rPr>
        <w:sectPr>
          <w:pgSz w:w="11906" w:h="16838"/>
          <w:pgMar w:top="1134" w:right="1247" w:bottom="1134" w:left="1247" w:header="851" w:footer="992" w:gutter="0"/>
          <w:pgNumType w:fmt="decimal"/>
          <w:cols w:space="720" w:num="1"/>
          <w:docGrid w:linePitch="312" w:charSpace="0"/>
        </w:sectPr>
      </w:pPr>
      <w:bookmarkStart w:id="4681" w:name="_Toc23053"/>
    </w:p>
    <w:p w14:paraId="1BD59738">
      <w:pPr>
        <w:pStyle w:val="3"/>
        <w:rPr>
          <w:rFonts w:hint="eastAsia" w:ascii="宋体" w:hAnsi="宋体" w:cs="宋体"/>
          <w:b w:val="0"/>
          <w:color w:val="auto"/>
          <w:sz w:val="24"/>
          <w:highlight w:val="none"/>
        </w:rPr>
      </w:pPr>
      <w:bookmarkStart w:id="4682" w:name="_Toc9672"/>
      <w:r>
        <w:rPr>
          <w:rFonts w:hint="eastAsia" w:ascii="宋体" w:hAnsi="宋体" w:cs="宋体"/>
          <w:b w:val="0"/>
          <w:color w:val="auto"/>
          <w:sz w:val="24"/>
          <w:highlight w:val="none"/>
        </w:rPr>
        <w:t>（二）磋商函附录</w:t>
      </w:r>
      <w:bookmarkEnd w:id="4681"/>
      <w:bookmarkEnd w:id="4682"/>
    </w:p>
    <w:p w14:paraId="525E4C43">
      <w:pPr>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（采购人名称）</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523"/>
        <w:gridCol w:w="6810"/>
      </w:tblGrid>
      <w:tr w14:paraId="2CEE5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644" w:type="dxa"/>
            <w:vAlign w:val="center"/>
          </w:tcPr>
          <w:p w14:paraId="0319604E">
            <w:pPr>
              <w:spacing w:line="360" w:lineRule="auto"/>
              <w:ind w:left="-3" w:firstLine="3"/>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1523" w:type="dxa"/>
            <w:vAlign w:val="center"/>
          </w:tcPr>
          <w:p w14:paraId="499AEEA1">
            <w:pPr>
              <w:spacing w:line="360" w:lineRule="auto"/>
              <w:ind w:left="-3" w:firstLine="3"/>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内容</w:t>
            </w:r>
          </w:p>
        </w:tc>
        <w:tc>
          <w:tcPr>
            <w:tcW w:w="6810" w:type="dxa"/>
            <w:vAlign w:val="center"/>
          </w:tcPr>
          <w:p w14:paraId="71F792EE">
            <w:pPr>
              <w:spacing w:line="360" w:lineRule="auto"/>
              <w:ind w:left="-3" w:firstLine="3"/>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承诺内容</w:t>
            </w:r>
          </w:p>
        </w:tc>
      </w:tr>
      <w:tr w14:paraId="7EC16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44" w:type="dxa"/>
            <w:vAlign w:val="center"/>
          </w:tcPr>
          <w:p w14:paraId="6F4DB6DF">
            <w:pPr>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p>
        </w:tc>
        <w:tc>
          <w:tcPr>
            <w:tcW w:w="1523" w:type="dxa"/>
            <w:vAlign w:val="center"/>
          </w:tcPr>
          <w:p w14:paraId="5F087520">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供应商资质</w:t>
            </w:r>
          </w:p>
        </w:tc>
        <w:tc>
          <w:tcPr>
            <w:tcW w:w="6810" w:type="dxa"/>
            <w:vAlign w:val="center"/>
          </w:tcPr>
          <w:p w14:paraId="07F05DB8">
            <w:pPr>
              <w:widowControl w:val="0"/>
              <w:tabs>
                <w:tab w:val="left" w:pos="0"/>
                <w:tab w:val="left" w:pos="283"/>
                <w:tab w:val="left" w:pos="1417"/>
              </w:tabs>
              <w:autoSpaceDE w:val="0"/>
              <w:autoSpaceDN w:val="0"/>
              <w:spacing w:line="360" w:lineRule="auto"/>
              <w:textAlignment w:val="bottom"/>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供</w:t>
            </w:r>
            <w:r>
              <w:rPr>
                <w:rFonts w:hint="eastAsia" w:ascii="宋体" w:hAnsi="宋体" w:cs="宋体"/>
                <w:color w:val="auto"/>
                <w:sz w:val="24"/>
                <w:szCs w:val="24"/>
                <w:highlight w:val="none"/>
              </w:rPr>
              <w:t>应商应具备经国家工商行政管理部门登记注册的独立企业（事业）法人资格，具备有效的营业执照或事业单位法人证书，且经营范围符合本次招标需求。</w:t>
            </w:r>
          </w:p>
          <w:p w14:paraId="14DC0AB3">
            <w:pPr>
              <w:widowControl w:val="0"/>
              <w:tabs>
                <w:tab w:val="left" w:pos="0"/>
                <w:tab w:val="left" w:pos="283"/>
                <w:tab w:val="left" w:pos="1417"/>
              </w:tabs>
              <w:autoSpaceDE w:val="0"/>
              <w:autoSpaceDN w:val="0"/>
              <w:spacing w:line="360" w:lineRule="auto"/>
              <w:jc w:val="both"/>
              <w:textAlignment w:val="bottom"/>
              <w:rPr>
                <w:rFonts w:hint="eastAsia" w:ascii="宋体" w:hAnsi="宋体" w:cs="宋体"/>
                <w:color w:val="auto"/>
                <w:sz w:val="24"/>
                <w:szCs w:val="24"/>
                <w:highlight w:val="none"/>
              </w:rPr>
            </w:pPr>
            <w:r>
              <w:rPr>
                <w:rFonts w:hint="eastAsia" w:ascii="宋体" w:hAnsi="宋体" w:cs="宋体"/>
                <w:color w:val="auto"/>
                <w:sz w:val="24"/>
                <w:szCs w:val="24"/>
                <w:highlight w:val="none"/>
              </w:rPr>
              <w:t>（2）符合“竞争性磋商公告”第二条要求。</w:t>
            </w:r>
          </w:p>
        </w:tc>
      </w:tr>
      <w:tr w14:paraId="4BF77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44" w:type="dxa"/>
            <w:vAlign w:val="center"/>
          </w:tcPr>
          <w:p w14:paraId="7F4E460F">
            <w:pPr>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2</w:t>
            </w:r>
          </w:p>
        </w:tc>
        <w:tc>
          <w:tcPr>
            <w:tcW w:w="1523" w:type="dxa"/>
            <w:vAlign w:val="center"/>
          </w:tcPr>
          <w:p w14:paraId="2C43B67B">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供应商履约能力</w:t>
            </w:r>
          </w:p>
        </w:tc>
        <w:tc>
          <w:tcPr>
            <w:tcW w:w="6810" w:type="dxa"/>
            <w:vAlign w:val="center"/>
          </w:tcPr>
          <w:p w14:paraId="4D14EE4E">
            <w:pPr>
              <w:widowControl w:val="0"/>
              <w:tabs>
                <w:tab w:val="left" w:pos="0"/>
                <w:tab w:val="left" w:pos="283"/>
                <w:tab w:val="left" w:pos="1417"/>
              </w:tabs>
              <w:autoSpaceDE w:val="0"/>
              <w:autoSpaceDN w:val="0"/>
              <w:spacing w:line="360" w:lineRule="auto"/>
              <w:jc w:val="both"/>
              <w:textAlignment w:val="bottom"/>
              <w:rPr>
                <w:rFonts w:hint="eastAsia" w:ascii="宋体" w:hAnsi="宋体" w:cs="宋体"/>
                <w:color w:val="auto"/>
                <w:sz w:val="24"/>
                <w:szCs w:val="24"/>
                <w:highlight w:val="none"/>
              </w:rPr>
            </w:pPr>
            <w:r>
              <w:rPr>
                <w:rFonts w:hint="eastAsia" w:ascii="宋体" w:hAnsi="宋体" w:cs="宋体"/>
                <w:color w:val="auto"/>
                <w:sz w:val="24"/>
                <w:szCs w:val="24"/>
                <w:highlight w:val="none"/>
              </w:rPr>
              <w:t>（1）本着认真负责的态度组织项目活动，做好本项目的</w:t>
            </w:r>
            <w:r>
              <w:rPr>
                <w:rFonts w:hint="eastAsia" w:ascii="宋体" w:hAnsi="宋体" w:cs="宋体"/>
                <w:color w:val="auto"/>
                <w:sz w:val="24"/>
                <w:szCs w:val="24"/>
                <w:highlight w:val="none"/>
                <w:lang w:val="en-US" w:eastAsia="zh-CN"/>
              </w:rPr>
              <w:t>施工</w:t>
            </w:r>
            <w:r>
              <w:rPr>
                <w:rFonts w:hint="eastAsia" w:ascii="宋体" w:hAnsi="宋体" w:cs="宋体"/>
                <w:color w:val="auto"/>
                <w:sz w:val="24"/>
                <w:szCs w:val="24"/>
                <w:highlight w:val="none"/>
              </w:rPr>
              <w:t>。</w:t>
            </w:r>
          </w:p>
          <w:p w14:paraId="3EE1F6AE">
            <w:pPr>
              <w:widowControl w:val="0"/>
              <w:tabs>
                <w:tab w:val="left" w:pos="0"/>
                <w:tab w:val="left" w:pos="283"/>
                <w:tab w:val="left" w:pos="1417"/>
              </w:tabs>
              <w:autoSpaceDE w:val="0"/>
              <w:autoSpaceDN w:val="0"/>
              <w:spacing w:line="360" w:lineRule="auto"/>
              <w:jc w:val="both"/>
              <w:textAlignment w:val="bottom"/>
              <w:rPr>
                <w:rFonts w:hint="eastAsia" w:ascii="宋体" w:hAnsi="宋体" w:cs="宋体"/>
                <w:color w:val="auto"/>
                <w:sz w:val="24"/>
                <w:szCs w:val="24"/>
                <w:highlight w:val="none"/>
              </w:rPr>
            </w:pPr>
            <w:r>
              <w:rPr>
                <w:rFonts w:hint="eastAsia" w:ascii="宋体" w:hAnsi="宋体" w:cs="宋体"/>
                <w:color w:val="auto"/>
                <w:sz w:val="24"/>
                <w:szCs w:val="24"/>
                <w:highlight w:val="none"/>
              </w:rPr>
              <w:t>（2）具有履行合同所必需的专业技术能力和专业技术队伍。</w:t>
            </w:r>
          </w:p>
          <w:p w14:paraId="3A0D8643">
            <w:pPr>
              <w:widowControl w:val="0"/>
              <w:tabs>
                <w:tab w:val="left" w:pos="0"/>
                <w:tab w:val="left" w:pos="283"/>
                <w:tab w:val="left" w:pos="1417"/>
              </w:tabs>
              <w:autoSpaceDE w:val="0"/>
              <w:autoSpaceDN w:val="0"/>
              <w:spacing w:line="360" w:lineRule="auto"/>
              <w:jc w:val="both"/>
              <w:textAlignment w:val="bottom"/>
              <w:rPr>
                <w:rFonts w:hint="eastAsia" w:ascii="宋体" w:hAnsi="宋体" w:cs="宋体"/>
                <w:color w:val="auto"/>
                <w:sz w:val="24"/>
                <w:szCs w:val="24"/>
                <w:highlight w:val="none"/>
              </w:rPr>
            </w:pPr>
            <w:r>
              <w:rPr>
                <w:rFonts w:hint="eastAsia" w:ascii="宋体" w:hAnsi="宋体" w:cs="宋体"/>
                <w:color w:val="auto"/>
                <w:sz w:val="24"/>
                <w:szCs w:val="24"/>
                <w:highlight w:val="none"/>
              </w:rPr>
              <w:t>（3）具备签署并履行本合同所需的全部资格、许可。</w:t>
            </w:r>
          </w:p>
        </w:tc>
      </w:tr>
      <w:tr w14:paraId="2EC21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44" w:type="dxa"/>
            <w:vAlign w:val="center"/>
          </w:tcPr>
          <w:p w14:paraId="0D3699B9">
            <w:pPr>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3</w:t>
            </w:r>
          </w:p>
        </w:tc>
        <w:tc>
          <w:tcPr>
            <w:tcW w:w="1523" w:type="dxa"/>
            <w:vAlign w:val="center"/>
          </w:tcPr>
          <w:p w14:paraId="4281651F">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保密性</w:t>
            </w:r>
          </w:p>
        </w:tc>
        <w:tc>
          <w:tcPr>
            <w:tcW w:w="6810" w:type="dxa"/>
            <w:vAlign w:val="center"/>
          </w:tcPr>
          <w:p w14:paraId="1D09D25B">
            <w:pPr>
              <w:spacing w:line="360" w:lineRule="auto"/>
              <w:rPr>
                <w:rFonts w:hint="eastAsia" w:ascii="宋体" w:hAnsi="宋体" w:cs="宋体"/>
                <w:b/>
                <w:bCs/>
                <w:color w:val="auto"/>
                <w:spacing w:val="-6"/>
                <w:sz w:val="24"/>
                <w:szCs w:val="24"/>
                <w:highlight w:val="none"/>
              </w:rPr>
            </w:pPr>
            <w:r>
              <w:rPr>
                <w:rFonts w:hint="eastAsia" w:ascii="宋体" w:hAnsi="宋体" w:cs="宋体"/>
                <w:b/>
                <w:bCs/>
                <w:color w:val="auto"/>
                <w:spacing w:val="-6"/>
                <w:sz w:val="24"/>
                <w:szCs w:val="24"/>
                <w:highlight w:val="none"/>
              </w:rPr>
              <w:t>供应商对此项目的全部内容保密并不得私自转让，或用于其他商业用途。</w:t>
            </w:r>
          </w:p>
        </w:tc>
      </w:tr>
    </w:tbl>
    <w:p w14:paraId="6FBEF5EB">
      <w:pPr>
        <w:spacing w:before="60" w:after="60" w:line="360" w:lineRule="auto"/>
        <w:ind w:firstLine="510"/>
        <w:rPr>
          <w:rFonts w:hint="eastAsia" w:ascii="宋体" w:hAnsi="宋体" w:cs="宋体"/>
          <w:color w:val="auto"/>
          <w:sz w:val="24"/>
          <w:szCs w:val="24"/>
          <w:highlight w:val="none"/>
        </w:rPr>
      </w:pPr>
      <w:r>
        <w:rPr>
          <w:rFonts w:hint="eastAsia" w:ascii="宋体" w:hAnsi="宋体" w:cs="宋体"/>
          <w:color w:val="auto"/>
          <w:sz w:val="24"/>
          <w:szCs w:val="24"/>
          <w:highlight w:val="none"/>
        </w:rPr>
        <w:t>我方承诺以上内容都真实、有效。</w:t>
      </w:r>
    </w:p>
    <w:p w14:paraId="599ADF1F">
      <w:pPr>
        <w:pStyle w:val="19"/>
        <w:spacing w:before="120" w:line="360" w:lineRule="auto"/>
        <w:ind w:left="800"/>
        <w:rPr>
          <w:rFonts w:hint="eastAsia" w:ascii="宋体" w:hAnsi="宋体" w:cs="宋体"/>
          <w:color w:val="auto"/>
          <w:sz w:val="24"/>
          <w:szCs w:val="24"/>
          <w:highlight w:val="none"/>
        </w:rPr>
      </w:pPr>
    </w:p>
    <w:p w14:paraId="7CB7FE31">
      <w:pPr>
        <w:pStyle w:val="19"/>
        <w:spacing w:before="120" w:line="360" w:lineRule="auto"/>
        <w:ind w:left="800"/>
        <w:rPr>
          <w:rFonts w:hint="eastAsia" w:ascii="宋体" w:hAnsi="宋体" w:cs="宋体"/>
          <w:color w:val="auto"/>
          <w:sz w:val="24"/>
          <w:szCs w:val="24"/>
          <w:highlight w:val="none"/>
        </w:rPr>
      </w:pPr>
      <w:r>
        <w:rPr>
          <w:rFonts w:hint="eastAsia" w:ascii="宋体" w:hAnsi="宋体" w:cs="宋体"/>
          <w:color w:val="auto"/>
          <w:sz w:val="24"/>
          <w:szCs w:val="24"/>
          <w:highlight w:val="none"/>
        </w:rPr>
        <w:t>供应商（</w:t>
      </w:r>
      <w:r>
        <w:rPr>
          <w:rFonts w:hint="eastAsia" w:ascii="宋体" w:hAnsi="宋体"/>
          <w:color w:val="auto"/>
          <w:sz w:val="24"/>
          <w:szCs w:val="24"/>
          <w:highlight w:val="none"/>
        </w:rPr>
        <w:t>电子签章</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p>
    <w:p w14:paraId="532AB0B6">
      <w:pPr>
        <w:pStyle w:val="19"/>
        <w:spacing w:before="120" w:line="360" w:lineRule="auto"/>
        <w:ind w:left="8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法定代表人或委托代理人（</w:t>
      </w:r>
      <w:r>
        <w:rPr>
          <w:rFonts w:hint="eastAsia" w:ascii="宋体" w:hAnsi="宋体"/>
          <w:color w:val="auto"/>
          <w:sz w:val="24"/>
          <w:szCs w:val="24"/>
          <w:highlight w:val="none"/>
        </w:rPr>
        <w:t>电子签章</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p>
    <w:p w14:paraId="5E78F6AC">
      <w:pPr>
        <w:pStyle w:val="19"/>
        <w:spacing w:before="120" w:line="360" w:lineRule="auto"/>
        <w:ind w:left="800"/>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6E8649E5">
      <w:pPr>
        <w:pStyle w:val="19"/>
        <w:spacing w:before="120" w:line="360" w:lineRule="auto"/>
        <w:ind w:left="800"/>
        <w:rPr>
          <w:rFonts w:hint="eastAsia" w:ascii="宋体" w:hAnsi="宋体" w:cs="宋体"/>
          <w:color w:val="auto"/>
          <w:sz w:val="24"/>
          <w:szCs w:val="24"/>
          <w:highlight w:val="none"/>
        </w:rPr>
      </w:pPr>
    </w:p>
    <w:p w14:paraId="196801DB">
      <w:pPr>
        <w:pStyle w:val="19"/>
        <w:spacing w:before="120" w:line="360" w:lineRule="auto"/>
        <w:ind w:left="800"/>
        <w:rPr>
          <w:rFonts w:hint="eastAsia" w:ascii="宋体" w:hAnsi="宋体" w:cs="宋体"/>
          <w:color w:val="auto"/>
          <w:sz w:val="24"/>
          <w:szCs w:val="24"/>
          <w:highlight w:val="none"/>
        </w:rPr>
      </w:pPr>
    </w:p>
    <w:p w14:paraId="2B4E857E">
      <w:pPr>
        <w:pStyle w:val="19"/>
        <w:spacing w:before="120" w:line="440" w:lineRule="exact"/>
        <w:ind w:left="800"/>
        <w:rPr>
          <w:color w:val="auto"/>
          <w:sz w:val="21"/>
          <w:szCs w:val="21"/>
          <w:highlight w:val="none"/>
        </w:rPr>
      </w:pPr>
    </w:p>
    <w:p w14:paraId="555D1214">
      <w:pPr>
        <w:pStyle w:val="19"/>
        <w:spacing w:before="120" w:line="440" w:lineRule="exact"/>
        <w:ind w:left="800"/>
        <w:rPr>
          <w:color w:val="auto"/>
          <w:sz w:val="21"/>
          <w:szCs w:val="21"/>
          <w:highlight w:val="none"/>
        </w:rPr>
      </w:pPr>
    </w:p>
    <w:p w14:paraId="51D4EDD4">
      <w:pPr>
        <w:pStyle w:val="19"/>
        <w:spacing w:before="120" w:line="440" w:lineRule="exact"/>
        <w:ind w:left="800"/>
        <w:rPr>
          <w:color w:val="auto"/>
          <w:sz w:val="21"/>
          <w:szCs w:val="21"/>
          <w:highlight w:val="none"/>
        </w:rPr>
      </w:pPr>
    </w:p>
    <w:p w14:paraId="6D7FC254">
      <w:pPr>
        <w:pStyle w:val="19"/>
        <w:spacing w:before="120" w:line="440" w:lineRule="exact"/>
        <w:ind w:left="800"/>
        <w:rPr>
          <w:color w:val="auto"/>
          <w:sz w:val="21"/>
          <w:szCs w:val="21"/>
          <w:highlight w:val="none"/>
        </w:rPr>
      </w:pPr>
    </w:p>
    <w:p w14:paraId="3F9E9A4D">
      <w:pPr>
        <w:pStyle w:val="19"/>
        <w:spacing w:before="120" w:line="440" w:lineRule="exact"/>
        <w:ind w:left="800"/>
        <w:rPr>
          <w:color w:val="auto"/>
          <w:sz w:val="21"/>
          <w:szCs w:val="21"/>
          <w:highlight w:val="none"/>
        </w:rPr>
      </w:pPr>
    </w:p>
    <w:p w14:paraId="156FF945">
      <w:pPr>
        <w:pStyle w:val="19"/>
        <w:spacing w:before="120" w:line="440" w:lineRule="exact"/>
        <w:ind w:left="800"/>
        <w:rPr>
          <w:color w:val="auto"/>
          <w:sz w:val="21"/>
          <w:szCs w:val="21"/>
          <w:highlight w:val="none"/>
        </w:rPr>
      </w:pPr>
    </w:p>
    <w:p w14:paraId="5A1B9B70">
      <w:pPr>
        <w:pStyle w:val="19"/>
        <w:spacing w:before="120" w:line="440" w:lineRule="exact"/>
        <w:ind w:left="800"/>
        <w:rPr>
          <w:color w:val="auto"/>
          <w:sz w:val="21"/>
          <w:szCs w:val="21"/>
          <w:highlight w:val="none"/>
        </w:rPr>
      </w:pPr>
    </w:p>
    <w:p w14:paraId="69620FAB">
      <w:pPr>
        <w:rPr>
          <w:color w:val="auto"/>
          <w:highlight w:val="none"/>
        </w:rPr>
      </w:pPr>
    </w:p>
    <w:p w14:paraId="312EF2ED">
      <w:pPr>
        <w:pStyle w:val="3"/>
        <w:numPr>
          <w:ilvl w:val="0"/>
          <w:numId w:val="8"/>
        </w:numPr>
        <w:rPr>
          <w:rFonts w:hint="eastAsia" w:ascii="宋体" w:hAnsi="宋体" w:cs="宋体"/>
          <w:bCs/>
          <w:color w:val="auto"/>
          <w:sz w:val="28"/>
          <w:szCs w:val="28"/>
          <w:highlight w:val="none"/>
          <w:lang w:val="en-US" w:eastAsia="zh-CN"/>
        </w:rPr>
      </w:pPr>
      <w:bookmarkStart w:id="4683" w:name="_Toc20390"/>
      <w:r>
        <w:rPr>
          <w:rFonts w:hint="eastAsia" w:ascii="宋体" w:hAnsi="宋体" w:cs="宋体"/>
          <w:bCs/>
          <w:color w:val="auto"/>
          <w:sz w:val="28"/>
          <w:szCs w:val="28"/>
          <w:highlight w:val="none"/>
          <w:lang w:val="en-US" w:eastAsia="zh-CN"/>
        </w:rPr>
        <w:t>报价一览表</w:t>
      </w:r>
      <w:bookmarkEnd w:id="4683"/>
    </w:p>
    <w:p w14:paraId="6BC0F20A">
      <w:pPr>
        <w:spacing w:line="384" w:lineRule="auto"/>
        <w:rPr>
          <w:rFonts w:hint="eastAsia" w:ascii="Times New Roman" w:hAnsi="Times New Roman" w:cs="Times New Roman"/>
          <w:color w:val="auto"/>
          <w:highlight w:val="none"/>
          <w:lang w:eastAsia="zh-CN"/>
        </w:rPr>
      </w:pPr>
    </w:p>
    <w:p w14:paraId="1A839758">
      <w:pPr>
        <w:spacing w:line="384" w:lineRule="auto"/>
        <w:rPr>
          <w:rFonts w:hint="eastAsia" w:ascii="Times New Roman" w:hAnsi="Times New Roman" w:cs="Times New Roman" w:eastAsiaTheme="minorEastAsia"/>
          <w:color w:val="auto"/>
          <w:highlight w:val="none"/>
          <w:lang w:eastAsia="zh-CN"/>
        </w:rPr>
      </w:pPr>
      <w:r>
        <w:rPr>
          <w:rFonts w:ascii="Times New Roman" w:hAnsi="Times New Roman" w:cs="Times New Roman"/>
          <w:color w:val="auto"/>
          <w:highlight w:val="none"/>
          <w:lang w:eastAsia="zh-CN"/>
        </w:rPr>
        <w:t>项目编号：</w:t>
      </w:r>
      <w:r>
        <w:rPr>
          <w:rFonts w:ascii="Times New Roman" w:hAnsi="Times New Roman" w:cs="Times New Roman"/>
          <w:color w:val="auto"/>
          <w:highlight w:val="none"/>
          <w:u w:val="single"/>
          <w:lang w:eastAsia="zh-CN"/>
        </w:rPr>
        <w:t xml:space="preserve"> </w:t>
      </w:r>
      <w:r>
        <w:rPr>
          <w:rFonts w:ascii="Times New Roman" w:hAnsi="Times New Roman" w:cs="Times New Roman"/>
          <w:color w:val="auto"/>
          <w:highlight w:val="none"/>
          <w:u w:val="single"/>
          <w:lang w:eastAsia="zh-CN"/>
        </w:rPr>
        <w:tab/>
      </w:r>
      <w:r>
        <w:rPr>
          <w:rFonts w:hint="eastAsia" w:ascii="Times New Roman" w:hAnsi="Times New Roman" w:cs="Times New Roman"/>
          <w:color w:val="auto"/>
          <w:highlight w:val="none"/>
          <w:u w:val="single"/>
          <w:lang w:eastAsia="zh-CN"/>
        </w:rPr>
        <w:t xml:space="preserve">       </w:t>
      </w:r>
      <w:r>
        <w:rPr>
          <w:rFonts w:hint="eastAsia" w:cs="Times New Roman"/>
          <w:color w:val="auto"/>
          <w:highlight w:val="none"/>
          <w:u w:val="single"/>
          <w:lang w:val="en-US" w:eastAsia="zh-CN"/>
        </w:rPr>
        <w:t xml:space="preserve"> </w:t>
      </w:r>
      <w:r>
        <w:rPr>
          <w:rFonts w:hint="eastAsia" w:ascii="Times New Roman" w:hAnsi="Times New Roman" w:cs="Times New Roman"/>
          <w:color w:val="auto"/>
          <w:highlight w:val="none"/>
          <w:u w:val="single"/>
          <w:lang w:eastAsia="zh-CN"/>
        </w:rPr>
        <w:t xml:space="preserve">        </w:t>
      </w:r>
      <w:r>
        <w:rPr>
          <w:rFonts w:hint="eastAsia" w:cs="Times New Roman"/>
          <w:color w:val="auto"/>
          <w:highlight w:val="none"/>
          <w:u w:val="single"/>
          <w:lang w:val="en-US" w:eastAsia="zh-CN"/>
        </w:rPr>
        <w:t xml:space="preserve">   </w:t>
      </w:r>
      <w:r>
        <w:rPr>
          <w:rFonts w:ascii="Times New Roman" w:hAnsi="Times New Roman" w:cs="Times New Roman"/>
          <w:color w:val="auto"/>
          <w:highlight w:val="none"/>
          <w:lang w:eastAsia="zh-CN"/>
        </w:rPr>
        <w:tab/>
      </w:r>
      <w:r>
        <w:rPr>
          <w:rFonts w:hint="eastAsia" w:cs="Times New Roman"/>
          <w:color w:val="auto"/>
          <w:highlight w:val="none"/>
          <w:lang w:val="en-US" w:eastAsia="zh-CN"/>
        </w:rPr>
        <w:t xml:space="preserve">      </w:t>
      </w:r>
      <w:r>
        <w:rPr>
          <w:rFonts w:ascii="Times New Roman" w:hAnsi="Times New Roman" w:cs="Times New Roman"/>
          <w:color w:val="auto"/>
          <w:spacing w:val="-1"/>
          <w:highlight w:val="none"/>
          <w:lang w:eastAsia="zh-CN"/>
        </w:rPr>
        <w:t>项</w:t>
      </w:r>
      <w:r>
        <w:rPr>
          <w:rFonts w:ascii="Times New Roman" w:hAnsi="Times New Roman" w:cs="Times New Roman"/>
          <w:color w:val="auto"/>
          <w:highlight w:val="none"/>
          <w:lang w:eastAsia="zh-CN"/>
        </w:rPr>
        <w:t>目名称：</w:t>
      </w:r>
      <w:r>
        <w:rPr>
          <w:rFonts w:ascii="Times New Roman" w:hAnsi="Times New Roman" w:eastAsia="Times New Roman" w:cs="Times New Roman"/>
          <w:color w:val="auto"/>
          <w:highlight w:val="none"/>
          <w:u w:val="single"/>
          <w:lang w:eastAsia="zh-CN"/>
        </w:rPr>
        <w:t xml:space="preserve"> </w:t>
      </w:r>
      <w:r>
        <w:rPr>
          <w:rFonts w:ascii="Times New Roman" w:hAnsi="Times New Roman" w:eastAsia="Times New Roman" w:cs="Times New Roman"/>
          <w:color w:val="auto"/>
          <w:highlight w:val="none"/>
          <w:u w:val="single"/>
          <w:lang w:eastAsia="zh-CN"/>
        </w:rPr>
        <w:tab/>
      </w:r>
      <w:r>
        <w:rPr>
          <w:rFonts w:hint="eastAsia" w:ascii="Times New Roman" w:hAnsi="Times New Roman" w:cs="Times New Roman" w:eastAsiaTheme="minorEastAsia"/>
          <w:color w:val="auto"/>
          <w:highlight w:val="none"/>
          <w:u w:val="single"/>
          <w:lang w:eastAsia="zh-CN"/>
        </w:rPr>
        <w:t xml:space="preserve">   </w:t>
      </w:r>
      <w:r>
        <w:rPr>
          <w:rFonts w:hint="eastAsia" w:cs="Times New Roman" w:eastAsiaTheme="minorEastAsia"/>
          <w:color w:val="auto"/>
          <w:highlight w:val="none"/>
          <w:u w:val="single"/>
          <w:lang w:val="en-US" w:eastAsia="zh-CN"/>
        </w:rPr>
        <w:t xml:space="preserve">       </w:t>
      </w:r>
      <w:r>
        <w:rPr>
          <w:rFonts w:hint="eastAsia" w:ascii="Times New Roman" w:hAnsi="Times New Roman" w:cs="Times New Roman" w:eastAsiaTheme="minorEastAsia"/>
          <w:color w:val="auto"/>
          <w:highlight w:val="none"/>
          <w:u w:val="single"/>
          <w:lang w:eastAsia="zh-CN"/>
        </w:rPr>
        <w:t xml:space="preserve">  </w:t>
      </w:r>
      <w:r>
        <w:rPr>
          <w:rFonts w:hint="eastAsia" w:cs="Times New Roman" w:eastAsiaTheme="minorEastAsia"/>
          <w:color w:val="auto"/>
          <w:highlight w:val="none"/>
          <w:u w:val="single"/>
          <w:lang w:val="en-US" w:eastAsia="zh-CN"/>
        </w:rPr>
        <w:t xml:space="preserve"> </w:t>
      </w:r>
      <w:r>
        <w:rPr>
          <w:rFonts w:hint="eastAsia" w:ascii="Times New Roman" w:hAnsi="Times New Roman" w:cs="Times New Roman" w:eastAsiaTheme="minorEastAsia"/>
          <w:color w:val="auto"/>
          <w:highlight w:val="none"/>
          <w:u w:val="single"/>
          <w:lang w:eastAsia="zh-CN"/>
        </w:rPr>
        <w:t xml:space="preserve">        </w:t>
      </w:r>
    </w:p>
    <w:tbl>
      <w:tblPr>
        <w:tblStyle w:val="28"/>
        <w:tblW w:w="96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6"/>
        <w:gridCol w:w="1256"/>
        <w:gridCol w:w="1240"/>
        <w:gridCol w:w="1255"/>
        <w:gridCol w:w="1681"/>
        <w:gridCol w:w="1385"/>
        <w:gridCol w:w="1552"/>
      </w:tblGrid>
      <w:tr w14:paraId="752C5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56" w:type="dxa"/>
            <w:vAlign w:val="center"/>
          </w:tcPr>
          <w:p w14:paraId="35FCAC30">
            <w:pPr>
              <w:spacing w:line="360" w:lineRule="auto"/>
              <w:jc w:val="center"/>
              <w:rPr>
                <w:b w:val="0"/>
                <w:bCs/>
                <w:color w:val="auto"/>
                <w:sz w:val="24"/>
                <w:highlight w:val="none"/>
              </w:rPr>
            </w:pPr>
            <w:r>
              <w:rPr>
                <w:rFonts w:hint="eastAsia"/>
                <w:b w:val="0"/>
                <w:bCs/>
                <w:color w:val="auto"/>
                <w:sz w:val="24"/>
                <w:highlight w:val="none"/>
              </w:rPr>
              <w:t>项目名称</w:t>
            </w:r>
          </w:p>
        </w:tc>
        <w:tc>
          <w:tcPr>
            <w:tcW w:w="1256" w:type="dxa"/>
            <w:vAlign w:val="center"/>
          </w:tcPr>
          <w:p w14:paraId="74F19B0E">
            <w:pPr>
              <w:spacing w:line="360" w:lineRule="auto"/>
              <w:jc w:val="center"/>
              <w:rPr>
                <w:rFonts w:hint="default" w:eastAsia="宋体"/>
                <w:b w:val="0"/>
                <w:bCs/>
                <w:color w:val="auto"/>
                <w:sz w:val="24"/>
                <w:highlight w:val="none"/>
                <w:lang w:val="en-US" w:eastAsia="zh-CN"/>
              </w:rPr>
            </w:pPr>
            <w:r>
              <w:rPr>
                <w:rFonts w:hint="eastAsia"/>
                <w:b w:val="0"/>
                <w:bCs/>
                <w:color w:val="auto"/>
                <w:sz w:val="24"/>
                <w:highlight w:val="none"/>
                <w:lang w:val="en-US" w:eastAsia="zh-CN"/>
              </w:rPr>
              <w:t>建设地点</w:t>
            </w:r>
          </w:p>
        </w:tc>
        <w:tc>
          <w:tcPr>
            <w:tcW w:w="1240" w:type="dxa"/>
            <w:vAlign w:val="center"/>
          </w:tcPr>
          <w:p w14:paraId="3DDABBE3">
            <w:pPr>
              <w:spacing w:line="360" w:lineRule="auto"/>
              <w:jc w:val="center"/>
              <w:rPr>
                <w:rFonts w:hint="default" w:eastAsia="宋体"/>
                <w:b w:val="0"/>
                <w:bCs/>
                <w:color w:val="auto"/>
                <w:sz w:val="24"/>
                <w:highlight w:val="none"/>
                <w:lang w:val="en-US" w:eastAsia="zh-CN"/>
              </w:rPr>
            </w:pPr>
            <w:r>
              <w:rPr>
                <w:rFonts w:hint="eastAsia"/>
                <w:b w:val="0"/>
                <w:bCs/>
                <w:color w:val="auto"/>
                <w:sz w:val="24"/>
                <w:highlight w:val="none"/>
                <w:lang w:val="en-US" w:eastAsia="zh-CN"/>
              </w:rPr>
              <w:t>质量标准</w:t>
            </w:r>
          </w:p>
        </w:tc>
        <w:tc>
          <w:tcPr>
            <w:tcW w:w="1255" w:type="dxa"/>
            <w:vAlign w:val="center"/>
          </w:tcPr>
          <w:p w14:paraId="32C6FE3E">
            <w:pPr>
              <w:spacing w:line="360" w:lineRule="auto"/>
              <w:jc w:val="center"/>
              <w:rPr>
                <w:b w:val="0"/>
                <w:bCs/>
                <w:color w:val="auto"/>
                <w:sz w:val="24"/>
                <w:highlight w:val="none"/>
              </w:rPr>
            </w:pPr>
            <w:r>
              <w:rPr>
                <w:rFonts w:hint="eastAsia"/>
                <w:b w:val="0"/>
                <w:bCs/>
                <w:color w:val="auto"/>
                <w:sz w:val="24"/>
                <w:highlight w:val="none"/>
              </w:rPr>
              <w:t>工期</w:t>
            </w:r>
          </w:p>
        </w:tc>
        <w:tc>
          <w:tcPr>
            <w:tcW w:w="1681" w:type="dxa"/>
            <w:vAlign w:val="center"/>
          </w:tcPr>
          <w:p w14:paraId="4B2A4888">
            <w:pPr>
              <w:spacing w:line="360" w:lineRule="auto"/>
              <w:jc w:val="center"/>
              <w:rPr>
                <w:b w:val="0"/>
                <w:bCs/>
                <w:color w:val="auto"/>
                <w:sz w:val="24"/>
                <w:highlight w:val="none"/>
              </w:rPr>
            </w:pPr>
            <w:r>
              <w:rPr>
                <w:rFonts w:hint="eastAsia"/>
                <w:b w:val="0"/>
                <w:bCs/>
                <w:color w:val="auto"/>
                <w:sz w:val="24"/>
                <w:highlight w:val="none"/>
              </w:rPr>
              <w:t>项目经理</w:t>
            </w:r>
          </w:p>
        </w:tc>
        <w:tc>
          <w:tcPr>
            <w:tcW w:w="1385" w:type="dxa"/>
            <w:vAlign w:val="center"/>
          </w:tcPr>
          <w:p w14:paraId="1B23B56B">
            <w:pPr>
              <w:spacing w:line="360" w:lineRule="auto"/>
              <w:jc w:val="center"/>
              <w:rPr>
                <w:rFonts w:hint="eastAsia"/>
                <w:b w:val="0"/>
                <w:bCs/>
                <w:color w:val="auto"/>
                <w:sz w:val="24"/>
                <w:highlight w:val="none"/>
                <w:lang w:eastAsia="zh-CN"/>
              </w:rPr>
            </w:pPr>
            <w:r>
              <w:rPr>
                <w:rFonts w:hint="eastAsia"/>
                <w:b w:val="0"/>
                <w:bCs/>
                <w:color w:val="auto"/>
                <w:sz w:val="24"/>
                <w:highlight w:val="none"/>
              </w:rPr>
              <w:t>执业证书</w:t>
            </w:r>
          </w:p>
          <w:p w14:paraId="62BCD65B">
            <w:pPr>
              <w:spacing w:line="360" w:lineRule="auto"/>
              <w:jc w:val="center"/>
              <w:rPr>
                <w:b w:val="0"/>
                <w:bCs/>
                <w:color w:val="auto"/>
                <w:sz w:val="24"/>
                <w:highlight w:val="none"/>
              </w:rPr>
            </w:pPr>
            <w:r>
              <w:rPr>
                <w:rFonts w:hint="eastAsia"/>
                <w:b w:val="0"/>
                <w:bCs/>
                <w:color w:val="auto"/>
                <w:sz w:val="24"/>
                <w:highlight w:val="none"/>
              </w:rPr>
              <w:t>信息</w:t>
            </w:r>
          </w:p>
        </w:tc>
        <w:tc>
          <w:tcPr>
            <w:tcW w:w="1552" w:type="dxa"/>
            <w:vAlign w:val="center"/>
          </w:tcPr>
          <w:p w14:paraId="3D74D30E">
            <w:pPr>
              <w:spacing w:line="360" w:lineRule="auto"/>
              <w:jc w:val="center"/>
              <w:rPr>
                <w:b w:val="0"/>
                <w:bCs/>
                <w:color w:val="auto"/>
                <w:sz w:val="24"/>
                <w:highlight w:val="none"/>
              </w:rPr>
            </w:pPr>
            <w:r>
              <w:rPr>
                <w:rFonts w:hint="eastAsia"/>
                <w:b w:val="0"/>
                <w:bCs/>
                <w:color w:val="auto"/>
                <w:sz w:val="24"/>
                <w:highlight w:val="none"/>
              </w:rPr>
              <w:t>备注（如果有）</w:t>
            </w:r>
          </w:p>
        </w:tc>
      </w:tr>
      <w:tr w14:paraId="34366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1256" w:type="dxa"/>
            <w:vAlign w:val="center"/>
          </w:tcPr>
          <w:p w14:paraId="33A0CDDB">
            <w:pPr>
              <w:snapToGrid w:val="0"/>
              <w:spacing w:line="360" w:lineRule="auto"/>
              <w:jc w:val="center"/>
              <w:rPr>
                <w:b w:val="0"/>
                <w:bCs/>
                <w:color w:val="auto"/>
                <w:sz w:val="24"/>
                <w:highlight w:val="none"/>
              </w:rPr>
            </w:pPr>
          </w:p>
        </w:tc>
        <w:tc>
          <w:tcPr>
            <w:tcW w:w="1256" w:type="dxa"/>
            <w:vAlign w:val="center"/>
          </w:tcPr>
          <w:p w14:paraId="312EA968">
            <w:pPr>
              <w:snapToGrid w:val="0"/>
              <w:spacing w:line="360" w:lineRule="auto"/>
              <w:jc w:val="center"/>
              <w:rPr>
                <w:b w:val="0"/>
                <w:bCs/>
                <w:color w:val="auto"/>
                <w:sz w:val="24"/>
                <w:highlight w:val="none"/>
              </w:rPr>
            </w:pPr>
          </w:p>
        </w:tc>
        <w:tc>
          <w:tcPr>
            <w:tcW w:w="1240" w:type="dxa"/>
            <w:vAlign w:val="center"/>
          </w:tcPr>
          <w:p w14:paraId="53FD21F0">
            <w:pPr>
              <w:snapToGrid w:val="0"/>
              <w:spacing w:line="360" w:lineRule="auto"/>
              <w:jc w:val="center"/>
              <w:rPr>
                <w:b w:val="0"/>
                <w:bCs/>
                <w:color w:val="auto"/>
                <w:sz w:val="24"/>
                <w:highlight w:val="none"/>
              </w:rPr>
            </w:pPr>
          </w:p>
        </w:tc>
        <w:tc>
          <w:tcPr>
            <w:tcW w:w="1255" w:type="dxa"/>
            <w:vAlign w:val="center"/>
          </w:tcPr>
          <w:p w14:paraId="7D6B5007">
            <w:pPr>
              <w:snapToGrid w:val="0"/>
              <w:spacing w:line="360" w:lineRule="auto"/>
              <w:jc w:val="center"/>
              <w:rPr>
                <w:b w:val="0"/>
                <w:bCs/>
                <w:color w:val="auto"/>
                <w:sz w:val="24"/>
                <w:highlight w:val="none"/>
              </w:rPr>
            </w:pPr>
          </w:p>
        </w:tc>
        <w:tc>
          <w:tcPr>
            <w:tcW w:w="1681" w:type="dxa"/>
            <w:vAlign w:val="center"/>
          </w:tcPr>
          <w:p w14:paraId="1A510407">
            <w:pPr>
              <w:spacing w:line="360" w:lineRule="auto"/>
              <w:jc w:val="center"/>
              <w:rPr>
                <w:b w:val="0"/>
                <w:bCs/>
                <w:color w:val="auto"/>
                <w:sz w:val="24"/>
                <w:highlight w:val="none"/>
              </w:rPr>
            </w:pPr>
          </w:p>
        </w:tc>
        <w:tc>
          <w:tcPr>
            <w:tcW w:w="1385" w:type="dxa"/>
            <w:vAlign w:val="center"/>
          </w:tcPr>
          <w:p w14:paraId="546E8914">
            <w:pPr>
              <w:spacing w:line="360" w:lineRule="auto"/>
              <w:jc w:val="center"/>
              <w:rPr>
                <w:b w:val="0"/>
                <w:bCs/>
                <w:color w:val="auto"/>
                <w:sz w:val="24"/>
                <w:highlight w:val="none"/>
              </w:rPr>
            </w:pPr>
          </w:p>
        </w:tc>
        <w:tc>
          <w:tcPr>
            <w:tcW w:w="1552" w:type="dxa"/>
            <w:vAlign w:val="center"/>
          </w:tcPr>
          <w:p w14:paraId="03F443A2">
            <w:pPr>
              <w:spacing w:line="360" w:lineRule="auto"/>
              <w:jc w:val="center"/>
              <w:rPr>
                <w:b w:val="0"/>
                <w:bCs/>
                <w:color w:val="auto"/>
                <w:sz w:val="24"/>
                <w:highlight w:val="none"/>
              </w:rPr>
            </w:pPr>
          </w:p>
        </w:tc>
      </w:tr>
      <w:tr w14:paraId="72451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3752" w:type="dxa"/>
            <w:gridSpan w:val="3"/>
            <w:vAlign w:val="center"/>
          </w:tcPr>
          <w:p w14:paraId="1E7075CE">
            <w:pPr>
              <w:spacing w:line="360" w:lineRule="auto"/>
              <w:jc w:val="center"/>
              <w:rPr>
                <w:b w:val="0"/>
                <w:bCs/>
                <w:color w:val="auto"/>
                <w:sz w:val="24"/>
                <w:highlight w:val="none"/>
              </w:rPr>
            </w:pPr>
            <w:r>
              <w:rPr>
                <w:rFonts w:hint="eastAsia"/>
                <w:b w:val="0"/>
                <w:bCs/>
                <w:color w:val="auto"/>
                <w:sz w:val="24"/>
                <w:highlight w:val="none"/>
              </w:rPr>
              <w:t>磋商报价（小写）</w:t>
            </w:r>
          </w:p>
        </w:tc>
        <w:tc>
          <w:tcPr>
            <w:tcW w:w="5873" w:type="dxa"/>
            <w:gridSpan w:val="4"/>
            <w:vAlign w:val="center"/>
          </w:tcPr>
          <w:p w14:paraId="52BB3889">
            <w:pPr>
              <w:spacing w:line="360" w:lineRule="auto"/>
              <w:jc w:val="center"/>
              <w:rPr>
                <w:b w:val="0"/>
                <w:bCs/>
                <w:color w:val="auto"/>
                <w:sz w:val="24"/>
                <w:highlight w:val="none"/>
              </w:rPr>
            </w:pPr>
          </w:p>
        </w:tc>
      </w:tr>
      <w:tr w14:paraId="35122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3752" w:type="dxa"/>
            <w:gridSpan w:val="3"/>
            <w:vAlign w:val="center"/>
          </w:tcPr>
          <w:p w14:paraId="52A195EE">
            <w:pPr>
              <w:spacing w:line="360" w:lineRule="auto"/>
              <w:jc w:val="center"/>
              <w:rPr>
                <w:b w:val="0"/>
                <w:bCs/>
                <w:color w:val="auto"/>
                <w:sz w:val="24"/>
                <w:highlight w:val="none"/>
              </w:rPr>
            </w:pPr>
            <w:r>
              <w:rPr>
                <w:rFonts w:hint="eastAsia"/>
                <w:b w:val="0"/>
                <w:bCs/>
                <w:color w:val="auto"/>
                <w:sz w:val="24"/>
                <w:highlight w:val="none"/>
              </w:rPr>
              <w:t>磋商报价（大写）</w:t>
            </w:r>
          </w:p>
        </w:tc>
        <w:tc>
          <w:tcPr>
            <w:tcW w:w="5873" w:type="dxa"/>
            <w:gridSpan w:val="4"/>
            <w:vAlign w:val="center"/>
          </w:tcPr>
          <w:p w14:paraId="43B32101">
            <w:pPr>
              <w:spacing w:line="360" w:lineRule="auto"/>
              <w:jc w:val="center"/>
              <w:rPr>
                <w:b w:val="0"/>
                <w:bCs/>
                <w:color w:val="auto"/>
                <w:sz w:val="24"/>
                <w:highlight w:val="none"/>
              </w:rPr>
            </w:pPr>
          </w:p>
        </w:tc>
      </w:tr>
    </w:tbl>
    <w:p w14:paraId="0EE0B095">
      <w:pPr>
        <w:spacing w:line="384" w:lineRule="auto"/>
        <w:rPr>
          <w:rFonts w:hint="eastAsia" w:ascii="Times New Roman" w:hAnsi="Times New Roman" w:cs="Times New Roman"/>
          <w:color w:val="auto"/>
          <w:highlight w:val="none"/>
          <w:lang w:eastAsia="zh-CN"/>
        </w:rPr>
      </w:pPr>
    </w:p>
    <w:p w14:paraId="4A598620">
      <w:pPr>
        <w:spacing w:line="384" w:lineRule="auto"/>
        <w:rPr>
          <w:rFonts w:hint="eastAsia" w:ascii="Times New Roman" w:hAnsi="Times New Roman" w:cs="Times New Roman"/>
          <w:color w:val="auto"/>
          <w:highlight w:val="none"/>
          <w:lang w:eastAsia="zh-CN"/>
        </w:rPr>
      </w:pPr>
    </w:p>
    <w:p w14:paraId="1D320CCC">
      <w:pPr>
        <w:spacing w:line="384" w:lineRule="auto"/>
        <w:rPr>
          <w:rFonts w:hint="eastAsia" w:ascii="Times New Roman" w:hAnsi="Times New Roman" w:cs="Times New Roman"/>
          <w:color w:val="auto"/>
          <w:highlight w:val="none"/>
          <w:lang w:eastAsia="zh-CN"/>
        </w:rPr>
      </w:pPr>
    </w:p>
    <w:p w14:paraId="6304BE1C">
      <w:pPr>
        <w:spacing w:line="384" w:lineRule="auto"/>
        <w:rPr>
          <w:rFonts w:hint="eastAsia" w:ascii="Times New Roman" w:hAnsi="Times New Roman" w:cs="Times New Roman"/>
          <w:color w:val="auto"/>
          <w:highlight w:val="none"/>
          <w:lang w:eastAsia="zh-CN"/>
        </w:rPr>
      </w:pPr>
    </w:p>
    <w:p w14:paraId="78AD98B0">
      <w:pPr>
        <w:pStyle w:val="19"/>
        <w:spacing w:before="120" w:line="360" w:lineRule="auto"/>
        <w:rPr>
          <w:rFonts w:hint="eastAsia" w:ascii="宋体" w:hAnsi="宋体" w:cs="宋体"/>
          <w:b/>
          <w:bCs/>
          <w:color w:val="auto"/>
          <w:sz w:val="24"/>
          <w:szCs w:val="24"/>
          <w:highlight w:val="none"/>
        </w:rPr>
      </w:pPr>
    </w:p>
    <w:p w14:paraId="27BE061B">
      <w:pPr>
        <w:pStyle w:val="19"/>
        <w:spacing w:before="120" w:line="360" w:lineRule="auto"/>
        <w:ind w:left="800"/>
        <w:rPr>
          <w:rFonts w:hint="eastAsia" w:ascii="宋体" w:hAnsi="宋体" w:cs="宋体"/>
          <w:b/>
          <w:bCs/>
          <w:color w:val="auto"/>
          <w:sz w:val="24"/>
          <w:szCs w:val="24"/>
          <w:highlight w:val="none"/>
        </w:rPr>
      </w:pPr>
      <w:r>
        <w:rPr>
          <w:rFonts w:hint="eastAsia" w:ascii="宋体" w:hAnsi="宋体" w:cs="宋体"/>
          <w:b/>
          <w:color w:val="auto"/>
          <w:sz w:val="24"/>
          <w:szCs w:val="24"/>
          <w:highlight w:val="none"/>
        </w:rPr>
        <w:t>注：因</w:t>
      </w:r>
      <w:r>
        <w:rPr>
          <w:rFonts w:hint="eastAsia"/>
          <w:b/>
          <w:bCs/>
          <w:color w:val="auto"/>
          <w:sz w:val="24"/>
          <w:szCs w:val="24"/>
          <w:highlight w:val="none"/>
        </w:rPr>
        <w:t>政采云系统平台</w:t>
      </w:r>
      <w:r>
        <w:rPr>
          <w:rFonts w:hint="eastAsia" w:ascii="宋体" w:hAnsi="宋体" w:cs="宋体"/>
          <w:b/>
          <w:color w:val="auto"/>
          <w:sz w:val="24"/>
          <w:szCs w:val="24"/>
          <w:highlight w:val="none"/>
        </w:rPr>
        <w:t>系统原因，各供应商在填写系统中时需填写报价，各供应商应认真仔细核对金额大小写及单位，若由供应商填写错误，后果自负。</w:t>
      </w:r>
    </w:p>
    <w:p w14:paraId="27B4ECE2">
      <w:pPr>
        <w:pStyle w:val="19"/>
        <w:spacing w:before="120" w:line="360" w:lineRule="auto"/>
        <w:ind w:left="800"/>
        <w:rPr>
          <w:rFonts w:hint="eastAsia" w:ascii="宋体" w:hAnsi="宋体" w:cs="宋体"/>
          <w:color w:val="auto"/>
          <w:sz w:val="24"/>
          <w:szCs w:val="24"/>
          <w:highlight w:val="none"/>
        </w:rPr>
      </w:pPr>
    </w:p>
    <w:p w14:paraId="66413273">
      <w:pPr>
        <w:pStyle w:val="19"/>
        <w:spacing w:before="120" w:line="360" w:lineRule="auto"/>
        <w:ind w:left="800"/>
        <w:rPr>
          <w:rFonts w:hint="eastAsia" w:ascii="宋体" w:hAnsi="宋体" w:cs="宋体"/>
          <w:color w:val="auto"/>
          <w:sz w:val="24"/>
          <w:szCs w:val="24"/>
          <w:highlight w:val="none"/>
        </w:rPr>
      </w:pPr>
      <w:r>
        <w:rPr>
          <w:rFonts w:hint="eastAsia" w:ascii="宋体" w:hAnsi="宋体" w:cs="宋体"/>
          <w:color w:val="auto"/>
          <w:sz w:val="24"/>
          <w:szCs w:val="24"/>
          <w:highlight w:val="none"/>
        </w:rPr>
        <w:t>供应商（</w:t>
      </w:r>
      <w:r>
        <w:rPr>
          <w:rFonts w:hint="eastAsia" w:ascii="宋体" w:hAnsi="宋体"/>
          <w:color w:val="auto"/>
          <w:sz w:val="24"/>
          <w:szCs w:val="24"/>
          <w:highlight w:val="none"/>
        </w:rPr>
        <w:t>电子签章</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p>
    <w:p w14:paraId="56D182EE">
      <w:pPr>
        <w:pStyle w:val="19"/>
        <w:spacing w:before="120" w:line="360" w:lineRule="auto"/>
        <w:ind w:left="8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法定代表人（负责人）或委托代理人（</w:t>
      </w:r>
      <w:r>
        <w:rPr>
          <w:rFonts w:hint="eastAsia" w:ascii="宋体" w:hAnsi="宋体"/>
          <w:color w:val="auto"/>
          <w:sz w:val="24"/>
          <w:szCs w:val="24"/>
          <w:highlight w:val="none"/>
        </w:rPr>
        <w:t>电子签章</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p>
    <w:p w14:paraId="010F2514">
      <w:pPr>
        <w:pStyle w:val="19"/>
        <w:spacing w:before="120" w:line="360" w:lineRule="auto"/>
        <w:ind w:left="800"/>
        <w:rPr>
          <w:rFonts w:hint="eastAsia" w:ascii="宋体" w:hAnsi="宋体" w:cs="宋体"/>
          <w:bCs/>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5406E223">
      <w:pPr>
        <w:rPr>
          <w:rFonts w:hint="eastAsia"/>
          <w:color w:val="auto"/>
          <w:sz w:val="28"/>
          <w:szCs w:val="28"/>
          <w:highlight w:val="none"/>
          <w:lang w:eastAsia="zh-CN"/>
        </w:rPr>
      </w:pPr>
      <w:r>
        <w:rPr>
          <w:rFonts w:hint="eastAsia"/>
          <w:color w:val="auto"/>
          <w:sz w:val="28"/>
          <w:szCs w:val="28"/>
          <w:highlight w:val="none"/>
          <w:lang w:eastAsia="zh-CN"/>
        </w:rPr>
        <w:br w:type="page"/>
      </w:r>
    </w:p>
    <w:p w14:paraId="377D5177">
      <w:pPr>
        <w:pStyle w:val="3"/>
        <w:rPr>
          <w:color w:val="auto"/>
          <w:sz w:val="21"/>
          <w:szCs w:val="21"/>
          <w:highlight w:val="none"/>
        </w:rPr>
      </w:pPr>
      <w:bookmarkStart w:id="4684" w:name="_Toc17124"/>
      <w:r>
        <w:rPr>
          <w:rFonts w:hint="eastAsia"/>
          <w:color w:val="auto"/>
          <w:sz w:val="28"/>
          <w:szCs w:val="28"/>
          <w:highlight w:val="none"/>
          <w:lang w:eastAsia="zh-CN"/>
        </w:rPr>
        <w:t>（</w:t>
      </w:r>
      <w:r>
        <w:rPr>
          <w:rFonts w:hint="eastAsia"/>
          <w:color w:val="auto"/>
          <w:sz w:val="28"/>
          <w:szCs w:val="28"/>
          <w:highlight w:val="none"/>
          <w:lang w:val="en-US" w:eastAsia="zh-CN"/>
        </w:rPr>
        <w:t>四</w:t>
      </w:r>
      <w:r>
        <w:rPr>
          <w:rFonts w:hint="eastAsia"/>
          <w:color w:val="auto"/>
          <w:sz w:val="28"/>
          <w:szCs w:val="28"/>
          <w:highlight w:val="none"/>
          <w:lang w:eastAsia="zh-CN"/>
        </w:rPr>
        <w:t>）</w:t>
      </w:r>
      <w:r>
        <w:rPr>
          <w:rFonts w:hint="eastAsia"/>
          <w:color w:val="auto"/>
          <w:sz w:val="28"/>
          <w:szCs w:val="28"/>
          <w:highlight w:val="none"/>
          <w:lang w:val="en-US" w:eastAsia="zh-CN"/>
        </w:rPr>
        <w:t>本项目为</w:t>
      </w:r>
      <w:r>
        <w:rPr>
          <w:rFonts w:hint="eastAsia"/>
          <w:color w:val="auto"/>
          <w:sz w:val="28"/>
          <w:szCs w:val="28"/>
          <w:highlight w:val="none"/>
          <w:lang w:eastAsia="zh-CN"/>
        </w:rPr>
        <w:t>采用</w:t>
      </w:r>
      <w:r>
        <w:rPr>
          <w:rFonts w:hint="eastAsia"/>
          <w:color w:val="auto"/>
          <w:sz w:val="28"/>
          <w:szCs w:val="28"/>
          <w:highlight w:val="none"/>
          <w:lang w:val="en-US" w:eastAsia="zh-CN"/>
        </w:rPr>
        <w:t>招标</w:t>
      </w:r>
      <w:r>
        <w:rPr>
          <w:rFonts w:hint="eastAsia"/>
          <w:color w:val="auto"/>
          <w:sz w:val="28"/>
          <w:szCs w:val="28"/>
          <w:highlight w:val="none"/>
          <w:lang w:eastAsia="zh-CN"/>
        </w:rPr>
        <w:t>工程量清单计价方式的采购项目，</w:t>
      </w:r>
      <w:r>
        <w:rPr>
          <w:rFonts w:hint="eastAsia"/>
          <w:color w:val="auto"/>
          <w:sz w:val="28"/>
          <w:szCs w:val="28"/>
          <w:highlight w:val="none"/>
          <w:lang w:val="en-US" w:eastAsia="zh-CN"/>
        </w:rPr>
        <w:t>供应商</w:t>
      </w:r>
      <w:r>
        <w:rPr>
          <w:rFonts w:hint="eastAsia"/>
          <w:color w:val="auto"/>
          <w:sz w:val="28"/>
          <w:szCs w:val="28"/>
          <w:highlight w:val="none"/>
          <w:lang w:eastAsia="zh-CN"/>
        </w:rPr>
        <w:t>应在本部分放置清单计价表格</w:t>
      </w:r>
      <w:bookmarkEnd w:id="4684"/>
    </w:p>
    <w:p w14:paraId="2B30BBD3">
      <w:pPr>
        <w:jc w:val="center"/>
        <w:rPr>
          <w:b/>
          <w:bCs/>
          <w:color w:val="auto"/>
          <w:sz w:val="28"/>
          <w:szCs w:val="28"/>
          <w:highlight w:val="none"/>
          <w:lang w:eastAsia="zh-CN"/>
        </w:rPr>
      </w:pPr>
      <w:r>
        <w:rPr>
          <w:color w:val="auto"/>
          <w:sz w:val="21"/>
          <w:szCs w:val="21"/>
          <w:highlight w:val="none"/>
        </w:rPr>
        <w:br w:type="page"/>
      </w:r>
      <w:r>
        <w:rPr>
          <w:b/>
          <w:bCs/>
          <w:color w:val="auto"/>
          <w:sz w:val="28"/>
          <w:szCs w:val="28"/>
          <w:highlight w:val="none"/>
          <w:lang w:eastAsia="zh-CN"/>
        </w:rPr>
        <w:t>最后报价一览表</w:t>
      </w:r>
    </w:p>
    <w:p w14:paraId="59832BE4">
      <w:pPr>
        <w:rPr>
          <w:color w:val="auto"/>
          <w:highlight w:val="none"/>
        </w:rPr>
      </w:pPr>
    </w:p>
    <w:tbl>
      <w:tblPr>
        <w:tblStyle w:val="28"/>
        <w:tblW w:w="96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6"/>
        <w:gridCol w:w="1256"/>
        <w:gridCol w:w="1240"/>
        <w:gridCol w:w="16"/>
        <w:gridCol w:w="1239"/>
        <w:gridCol w:w="1681"/>
        <w:gridCol w:w="1336"/>
        <w:gridCol w:w="1601"/>
      </w:tblGrid>
      <w:tr w14:paraId="61F48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56" w:type="dxa"/>
            <w:vAlign w:val="center"/>
          </w:tcPr>
          <w:p w14:paraId="42C11B2A">
            <w:pPr>
              <w:spacing w:line="360" w:lineRule="auto"/>
              <w:jc w:val="center"/>
              <w:rPr>
                <w:b w:val="0"/>
                <w:bCs/>
                <w:color w:val="auto"/>
                <w:sz w:val="24"/>
                <w:highlight w:val="none"/>
              </w:rPr>
            </w:pPr>
            <w:r>
              <w:rPr>
                <w:rFonts w:hint="eastAsia"/>
                <w:b w:val="0"/>
                <w:bCs/>
                <w:color w:val="auto"/>
                <w:sz w:val="24"/>
                <w:highlight w:val="none"/>
              </w:rPr>
              <w:t>项目名称</w:t>
            </w:r>
          </w:p>
        </w:tc>
        <w:tc>
          <w:tcPr>
            <w:tcW w:w="1256" w:type="dxa"/>
            <w:vAlign w:val="center"/>
          </w:tcPr>
          <w:p w14:paraId="2757C57B">
            <w:pPr>
              <w:spacing w:line="360" w:lineRule="auto"/>
              <w:jc w:val="center"/>
              <w:rPr>
                <w:rFonts w:hint="default" w:eastAsia="宋体"/>
                <w:b w:val="0"/>
                <w:bCs/>
                <w:color w:val="auto"/>
                <w:sz w:val="24"/>
                <w:highlight w:val="none"/>
                <w:lang w:val="en-US" w:eastAsia="zh-CN"/>
              </w:rPr>
            </w:pPr>
            <w:r>
              <w:rPr>
                <w:rFonts w:hint="eastAsia"/>
                <w:b w:val="0"/>
                <w:bCs/>
                <w:color w:val="auto"/>
                <w:sz w:val="24"/>
                <w:highlight w:val="none"/>
                <w:lang w:val="en-US" w:eastAsia="zh-CN"/>
              </w:rPr>
              <w:t>建设地点</w:t>
            </w:r>
          </w:p>
        </w:tc>
        <w:tc>
          <w:tcPr>
            <w:tcW w:w="1256" w:type="dxa"/>
            <w:gridSpan w:val="2"/>
            <w:vAlign w:val="center"/>
          </w:tcPr>
          <w:p w14:paraId="4BAE1C6D">
            <w:pPr>
              <w:spacing w:line="360" w:lineRule="auto"/>
              <w:jc w:val="center"/>
              <w:rPr>
                <w:rFonts w:hint="default" w:eastAsia="宋体"/>
                <w:b w:val="0"/>
                <w:bCs/>
                <w:color w:val="auto"/>
                <w:sz w:val="24"/>
                <w:highlight w:val="none"/>
                <w:lang w:val="en-US" w:eastAsia="zh-CN"/>
              </w:rPr>
            </w:pPr>
            <w:r>
              <w:rPr>
                <w:rFonts w:hint="eastAsia"/>
                <w:b w:val="0"/>
                <w:bCs/>
                <w:color w:val="auto"/>
                <w:sz w:val="24"/>
                <w:highlight w:val="none"/>
                <w:lang w:val="en-US" w:eastAsia="zh-CN"/>
              </w:rPr>
              <w:t>质量标准</w:t>
            </w:r>
          </w:p>
        </w:tc>
        <w:tc>
          <w:tcPr>
            <w:tcW w:w="1239" w:type="dxa"/>
            <w:vAlign w:val="center"/>
          </w:tcPr>
          <w:p w14:paraId="16820B7F">
            <w:pPr>
              <w:spacing w:line="360" w:lineRule="auto"/>
              <w:jc w:val="center"/>
              <w:rPr>
                <w:b w:val="0"/>
                <w:bCs/>
                <w:color w:val="auto"/>
                <w:sz w:val="24"/>
                <w:highlight w:val="none"/>
              </w:rPr>
            </w:pPr>
            <w:r>
              <w:rPr>
                <w:rFonts w:hint="eastAsia"/>
                <w:b w:val="0"/>
                <w:bCs/>
                <w:color w:val="auto"/>
                <w:sz w:val="24"/>
                <w:highlight w:val="none"/>
              </w:rPr>
              <w:t>工期</w:t>
            </w:r>
          </w:p>
        </w:tc>
        <w:tc>
          <w:tcPr>
            <w:tcW w:w="1681" w:type="dxa"/>
            <w:vAlign w:val="center"/>
          </w:tcPr>
          <w:p w14:paraId="0EF4420B">
            <w:pPr>
              <w:spacing w:line="360" w:lineRule="auto"/>
              <w:jc w:val="center"/>
              <w:rPr>
                <w:b w:val="0"/>
                <w:bCs/>
                <w:color w:val="auto"/>
                <w:sz w:val="24"/>
                <w:highlight w:val="none"/>
              </w:rPr>
            </w:pPr>
            <w:r>
              <w:rPr>
                <w:rFonts w:hint="eastAsia"/>
                <w:b w:val="0"/>
                <w:bCs/>
                <w:color w:val="auto"/>
                <w:sz w:val="24"/>
                <w:highlight w:val="none"/>
              </w:rPr>
              <w:t>项目经理</w:t>
            </w:r>
          </w:p>
        </w:tc>
        <w:tc>
          <w:tcPr>
            <w:tcW w:w="1336" w:type="dxa"/>
            <w:vAlign w:val="center"/>
          </w:tcPr>
          <w:p w14:paraId="7A0C818B">
            <w:pPr>
              <w:spacing w:line="360" w:lineRule="auto"/>
              <w:jc w:val="center"/>
              <w:rPr>
                <w:rFonts w:hint="eastAsia"/>
                <w:b w:val="0"/>
                <w:bCs/>
                <w:color w:val="auto"/>
                <w:sz w:val="24"/>
                <w:highlight w:val="none"/>
                <w:lang w:eastAsia="zh-CN"/>
              </w:rPr>
            </w:pPr>
            <w:r>
              <w:rPr>
                <w:rFonts w:hint="eastAsia"/>
                <w:b w:val="0"/>
                <w:bCs/>
                <w:color w:val="auto"/>
                <w:sz w:val="24"/>
                <w:highlight w:val="none"/>
              </w:rPr>
              <w:t>执业证书</w:t>
            </w:r>
          </w:p>
          <w:p w14:paraId="441C0DCE">
            <w:pPr>
              <w:spacing w:line="360" w:lineRule="auto"/>
              <w:jc w:val="center"/>
              <w:rPr>
                <w:b w:val="0"/>
                <w:bCs/>
                <w:color w:val="auto"/>
                <w:sz w:val="24"/>
                <w:highlight w:val="none"/>
              </w:rPr>
            </w:pPr>
            <w:r>
              <w:rPr>
                <w:rFonts w:hint="eastAsia"/>
                <w:b w:val="0"/>
                <w:bCs/>
                <w:color w:val="auto"/>
                <w:sz w:val="24"/>
                <w:highlight w:val="none"/>
              </w:rPr>
              <w:t>信息</w:t>
            </w:r>
          </w:p>
        </w:tc>
        <w:tc>
          <w:tcPr>
            <w:tcW w:w="1601" w:type="dxa"/>
            <w:vAlign w:val="center"/>
          </w:tcPr>
          <w:p w14:paraId="774F0EB1">
            <w:pPr>
              <w:spacing w:line="360" w:lineRule="auto"/>
              <w:jc w:val="center"/>
              <w:rPr>
                <w:b w:val="0"/>
                <w:bCs/>
                <w:color w:val="auto"/>
                <w:sz w:val="24"/>
                <w:highlight w:val="none"/>
              </w:rPr>
            </w:pPr>
            <w:r>
              <w:rPr>
                <w:rFonts w:hint="eastAsia"/>
                <w:b w:val="0"/>
                <w:bCs/>
                <w:color w:val="auto"/>
                <w:sz w:val="24"/>
                <w:highlight w:val="none"/>
              </w:rPr>
              <w:t>备注（如果有）</w:t>
            </w:r>
          </w:p>
        </w:tc>
      </w:tr>
      <w:tr w14:paraId="3BD44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1256" w:type="dxa"/>
            <w:vAlign w:val="center"/>
          </w:tcPr>
          <w:p w14:paraId="37B68628">
            <w:pPr>
              <w:snapToGrid w:val="0"/>
              <w:spacing w:line="360" w:lineRule="auto"/>
              <w:jc w:val="center"/>
              <w:rPr>
                <w:b w:val="0"/>
                <w:bCs/>
                <w:color w:val="auto"/>
                <w:sz w:val="24"/>
                <w:highlight w:val="none"/>
              </w:rPr>
            </w:pPr>
          </w:p>
        </w:tc>
        <w:tc>
          <w:tcPr>
            <w:tcW w:w="1256" w:type="dxa"/>
            <w:vAlign w:val="center"/>
          </w:tcPr>
          <w:p w14:paraId="34808979">
            <w:pPr>
              <w:snapToGrid w:val="0"/>
              <w:spacing w:line="360" w:lineRule="auto"/>
              <w:jc w:val="center"/>
              <w:rPr>
                <w:b w:val="0"/>
                <w:bCs/>
                <w:color w:val="auto"/>
                <w:sz w:val="24"/>
                <w:highlight w:val="none"/>
              </w:rPr>
            </w:pPr>
          </w:p>
        </w:tc>
        <w:tc>
          <w:tcPr>
            <w:tcW w:w="1256" w:type="dxa"/>
            <w:gridSpan w:val="2"/>
            <w:vAlign w:val="center"/>
          </w:tcPr>
          <w:p w14:paraId="0E322514">
            <w:pPr>
              <w:snapToGrid w:val="0"/>
              <w:spacing w:line="360" w:lineRule="auto"/>
              <w:jc w:val="center"/>
              <w:rPr>
                <w:b w:val="0"/>
                <w:bCs/>
                <w:color w:val="auto"/>
                <w:sz w:val="24"/>
                <w:highlight w:val="none"/>
              </w:rPr>
            </w:pPr>
          </w:p>
        </w:tc>
        <w:tc>
          <w:tcPr>
            <w:tcW w:w="1239" w:type="dxa"/>
            <w:vAlign w:val="center"/>
          </w:tcPr>
          <w:p w14:paraId="0A86052A">
            <w:pPr>
              <w:snapToGrid w:val="0"/>
              <w:spacing w:line="360" w:lineRule="auto"/>
              <w:jc w:val="center"/>
              <w:rPr>
                <w:b w:val="0"/>
                <w:bCs/>
                <w:color w:val="auto"/>
                <w:sz w:val="24"/>
                <w:highlight w:val="none"/>
              </w:rPr>
            </w:pPr>
          </w:p>
        </w:tc>
        <w:tc>
          <w:tcPr>
            <w:tcW w:w="1681" w:type="dxa"/>
            <w:vAlign w:val="center"/>
          </w:tcPr>
          <w:p w14:paraId="1BF7813C">
            <w:pPr>
              <w:spacing w:line="360" w:lineRule="auto"/>
              <w:jc w:val="center"/>
              <w:rPr>
                <w:b w:val="0"/>
                <w:bCs/>
                <w:color w:val="auto"/>
                <w:sz w:val="24"/>
                <w:highlight w:val="none"/>
              </w:rPr>
            </w:pPr>
          </w:p>
        </w:tc>
        <w:tc>
          <w:tcPr>
            <w:tcW w:w="1336" w:type="dxa"/>
            <w:vAlign w:val="center"/>
          </w:tcPr>
          <w:p w14:paraId="187474CA">
            <w:pPr>
              <w:spacing w:line="360" w:lineRule="auto"/>
              <w:jc w:val="center"/>
              <w:rPr>
                <w:b w:val="0"/>
                <w:bCs/>
                <w:color w:val="auto"/>
                <w:sz w:val="24"/>
                <w:highlight w:val="none"/>
              </w:rPr>
            </w:pPr>
          </w:p>
        </w:tc>
        <w:tc>
          <w:tcPr>
            <w:tcW w:w="1601" w:type="dxa"/>
            <w:vAlign w:val="center"/>
          </w:tcPr>
          <w:p w14:paraId="403E4E5D">
            <w:pPr>
              <w:spacing w:line="360" w:lineRule="auto"/>
              <w:jc w:val="center"/>
              <w:rPr>
                <w:b w:val="0"/>
                <w:bCs/>
                <w:color w:val="auto"/>
                <w:sz w:val="24"/>
                <w:highlight w:val="none"/>
              </w:rPr>
            </w:pPr>
          </w:p>
        </w:tc>
      </w:tr>
      <w:tr w14:paraId="07CA9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3752" w:type="dxa"/>
            <w:gridSpan w:val="3"/>
            <w:vAlign w:val="center"/>
          </w:tcPr>
          <w:p w14:paraId="197AC35C">
            <w:pPr>
              <w:spacing w:line="360" w:lineRule="auto"/>
              <w:jc w:val="center"/>
              <w:rPr>
                <w:b w:val="0"/>
                <w:bCs/>
                <w:color w:val="auto"/>
                <w:sz w:val="24"/>
                <w:highlight w:val="none"/>
              </w:rPr>
            </w:pPr>
            <w:r>
              <w:rPr>
                <w:rFonts w:hint="eastAsia"/>
                <w:b w:val="0"/>
                <w:bCs/>
                <w:color w:val="auto"/>
                <w:sz w:val="24"/>
                <w:highlight w:val="none"/>
              </w:rPr>
              <w:t>磋商报价（小写）</w:t>
            </w:r>
          </w:p>
        </w:tc>
        <w:tc>
          <w:tcPr>
            <w:tcW w:w="5873" w:type="dxa"/>
            <w:gridSpan w:val="5"/>
            <w:vAlign w:val="center"/>
          </w:tcPr>
          <w:p w14:paraId="4030C414">
            <w:pPr>
              <w:spacing w:line="360" w:lineRule="auto"/>
              <w:jc w:val="center"/>
              <w:rPr>
                <w:b w:val="0"/>
                <w:bCs/>
                <w:color w:val="auto"/>
                <w:sz w:val="24"/>
                <w:highlight w:val="none"/>
              </w:rPr>
            </w:pPr>
          </w:p>
        </w:tc>
      </w:tr>
      <w:tr w14:paraId="46F18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3752" w:type="dxa"/>
            <w:gridSpan w:val="3"/>
            <w:vAlign w:val="center"/>
          </w:tcPr>
          <w:p w14:paraId="515293F9">
            <w:pPr>
              <w:spacing w:line="360" w:lineRule="auto"/>
              <w:jc w:val="center"/>
              <w:rPr>
                <w:b w:val="0"/>
                <w:bCs/>
                <w:color w:val="auto"/>
                <w:sz w:val="24"/>
                <w:highlight w:val="none"/>
              </w:rPr>
            </w:pPr>
            <w:r>
              <w:rPr>
                <w:rFonts w:hint="eastAsia"/>
                <w:b w:val="0"/>
                <w:bCs/>
                <w:color w:val="auto"/>
                <w:sz w:val="24"/>
                <w:highlight w:val="none"/>
              </w:rPr>
              <w:t>磋商报价（大写）</w:t>
            </w:r>
          </w:p>
        </w:tc>
        <w:tc>
          <w:tcPr>
            <w:tcW w:w="5873" w:type="dxa"/>
            <w:gridSpan w:val="5"/>
            <w:vAlign w:val="center"/>
          </w:tcPr>
          <w:p w14:paraId="33CAF106">
            <w:pPr>
              <w:spacing w:line="360" w:lineRule="auto"/>
              <w:jc w:val="center"/>
              <w:rPr>
                <w:b w:val="0"/>
                <w:bCs/>
                <w:color w:val="auto"/>
                <w:sz w:val="24"/>
                <w:highlight w:val="none"/>
              </w:rPr>
            </w:pPr>
          </w:p>
        </w:tc>
      </w:tr>
    </w:tbl>
    <w:p w14:paraId="44574866">
      <w:pPr>
        <w:pStyle w:val="19"/>
        <w:spacing w:before="120" w:line="360" w:lineRule="auto"/>
        <w:ind w:left="800"/>
        <w:rPr>
          <w:rFonts w:hint="eastAsia"/>
          <w:b/>
          <w:bCs/>
          <w:color w:val="auto"/>
          <w:sz w:val="24"/>
          <w:szCs w:val="24"/>
          <w:highlight w:val="none"/>
        </w:rPr>
      </w:pPr>
    </w:p>
    <w:p w14:paraId="4160BF74">
      <w:pPr>
        <w:pStyle w:val="19"/>
        <w:spacing w:before="120" w:line="360" w:lineRule="auto"/>
        <w:ind w:left="800"/>
        <w:rPr>
          <w:b/>
          <w:bCs/>
          <w:color w:val="auto"/>
          <w:sz w:val="24"/>
          <w:szCs w:val="24"/>
          <w:highlight w:val="none"/>
        </w:rPr>
      </w:pPr>
      <w:r>
        <w:rPr>
          <w:rFonts w:hint="eastAsia"/>
          <w:b/>
          <w:bCs/>
          <w:color w:val="auto"/>
          <w:sz w:val="24"/>
          <w:szCs w:val="24"/>
          <w:highlight w:val="none"/>
        </w:rPr>
        <w:t>注：“最</w:t>
      </w:r>
      <w:r>
        <w:rPr>
          <w:rFonts w:hint="eastAsia"/>
          <w:b/>
          <w:bCs/>
          <w:color w:val="auto"/>
          <w:sz w:val="24"/>
          <w:szCs w:val="24"/>
          <w:highlight w:val="none"/>
          <w:lang w:val="en-US" w:eastAsia="zh-CN"/>
        </w:rPr>
        <w:t>后报价一览表</w:t>
      </w:r>
      <w:r>
        <w:rPr>
          <w:rFonts w:hint="eastAsia"/>
          <w:b/>
          <w:bCs/>
          <w:color w:val="auto"/>
          <w:sz w:val="24"/>
          <w:szCs w:val="24"/>
          <w:highlight w:val="none"/>
        </w:rPr>
        <w:t>”各供应商应等待专家符合性评审通过后，政采云系统平台将通知各供应商进行填写最终报价，请各供应商填写报价时仔细核对。</w:t>
      </w:r>
    </w:p>
    <w:p w14:paraId="3220C9EE">
      <w:pPr>
        <w:pStyle w:val="19"/>
        <w:spacing w:before="120" w:line="360" w:lineRule="auto"/>
        <w:ind w:left="800"/>
        <w:rPr>
          <w:color w:val="auto"/>
          <w:sz w:val="24"/>
          <w:szCs w:val="24"/>
          <w:highlight w:val="none"/>
        </w:rPr>
      </w:pPr>
    </w:p>
    <w:p w14:paraId="09695755">
      <w:pPr>
        <w:pStyle w:val="19"/>
        <w:spacing w:before="120" w:line="360" w:lineRule="auto"/>
        <w:ind w:left="800"/>
        <w:rPr>
          <w:color w:val="auto"/>
          <w:sz w:val="24"/>
          <w:szCs w:val="24"/>
          <w:highlight w:val="none"/>
        </w:rPr>
      </w:pPr>
      <w:r>
        <w:rPr>
          <w:color w:val="auto"/>
          <w:sz w:val="24"/>
          <w:szCs w:val="24"/>
          <w:highlight w:val="none"/>
        </w:rPr>
        <w:t>供应商（</w:t>
      </w:r>
      <w:r>
        <w:rPr>
          <w:rFonts w:hint="eastAsia" w:ascii="宋体" w:hAnsi="宋体"/>
          <w:color w:val="auto"/>
          <w:sz w:val="24"/>
          <w:szCs w:val="24"/>
          <w:highlight w:val="none"/>
        </w:rPr>
        <w:t>电子签章</w:t>
      </w:r>
      <w:r>
        <w:rPr>
          <w:color w:val="auto"/>
          <w:sz w:val="24"/>
          <w:szCs w:val="24"/>
          <w:highlight w:val="none"/>
        </w:rPr>
        <w:t>）：</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p>
    <w:p w14:paraId="29510C54">
      <w:pPr>
        <w:pStyle w:val="19"/>
        <w:spacing w:before="120" w:line="360" w:lineRule="auto"/>
        <w:ind w:left="800"/>
        <w:rPr>
          <w:color w:val="auto"/>
          <w:sz w:val="24"/>
          <w:szCs w:val="24"/>
          <w:highlight w:val="none"/>
          <w:u w:val="single"/>
        </w:rPr>
      </w:pPr>
      <w:r>
        <w:rPr>
          <w:rFonts w:hint="eastAsia"/>
          <w:color w:val="auto"/>
          <w:sz w:val="24"/>
          <w:szCs w:val="24"/>
          <w:highlight w:val="none"/>
        </w:rPr>
        <w:t>法定代表人</w:t>
      </w:r>
      <w:r>
        <w:rPr>
          <w:rFonts w:hint="eastAsia" w:ascii="宋体" w:hAnsi="宋体" w:cs="宋体"/>
          <w:color w:val="auto"/>
          <w:sz w:val="24"/>
          <w:szCs w:val="24"/>
          <w:highlight w:val="none"/>
        </w:rPr>
        <w:t>（负责人）</w:t>
      </w:r>
      <w:r>
        <w:rPr>
          <w:rFonts w:hint="eastAsia"/>
          <w:color w:val="auto"/>
          <w:sz w:val="24"/>
          <w:szCs w:val="24"/>
          <w:highlight w:val="none"/>
        </w:rPr>
        <w:t>或委托代理人（</w:t>
      </w:r>
      <w:r>
        <w:rPr>
          <w:rFonts w:hint="eastAsia" w:ascii="宋体" w:hAnsi="宋体"/>
          <w:color w:val="auto"/>
          <w:sz w:val="24"/>
          <w:szCs w:val="24"/>
          <w:highlight w:val="none"/>
        </w:rPr>
        <w:t>电子签章</w:t>
      </w:r>
      <w:r>
        <w:rPr>
          <w:rFonts w:hint="eastAsia"/>
          <w:color w:val="auto"/>
          <w:sz w:val="24"/>
          <w:szCs w:val="24"/>
          <w:highlight w:val="none"/>
        </w:rPr>
        <w:t>）</w:t>
      </w:r>
      <w:r>
        <w:rPr>
          <w:color w:val="auto"/>
          <w:sz w:val="24"/>
          <w:szCs w:val="24"/>
          <w:highlight w:val="none"/>
        </w:rPr>
        <w:t>：</w:t>
      </w: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p>
    <w:p w14:paraId="279660A4">
      <w:pPr>
        <w:pStyle w:val="19"/>
        <w:spacing w:before="120" w:line="360" w:lineRule="auto"/>
        <w:ind w:left="800"/>
        <w:rPr>
          <w:rFonts w:eastAsia="黑体"/>
          <w:bCs/>
          <w:color w:val="auto"/>
          <w:sz w:val="24"/>
          <w:szCs w:val="24"/>
          <w:highlight w:val="none"/>
        </w:rPr>
      </w:pPr>
      <w:r>
        <w:rPr>
          <w:color w:val="auto"/>
          <w:sz w:val="24"/>
          <w:szCs w:val="24"/>
          <w:highlight w:val="none"/>
        </w:rPr>
        <w:t>日期：</w:t>
      </w:r>
      <w:r>
        <w:rPr>
          <w:color w:val="auto"/>
          <w:sz w:val="24"/>
          <w:szCs w:val="24"/>
          <w:highlight w:val="none"/>
          <w:u w:val="single"/>
        </w:rPr>
        <w:t xml:space="preserve">         </w:t>
      </w:r>
      <w:r>
        <w:rPr>
          <w:color w:val="auto"/>
          <w:sz w:val="24"/>
          <w:szCs w:val="24"/>
          <w:highlight w:val="none"/>
        </w:rPr>
        <w:t>年</w:t>
      </w:r>
      <w:r>
        <w:rPr>
          <w:color w:val="auto"/>
          <w:sz w:val="24"/>
          <w:szCs w:val="24"/>
          <w:highlight w:val="none"/>
          <w:u w:val="single"/>
        </w:rPr>
        <w:t xml:space="preserve">      </w:t>
      </w:r>
      <w:r>
        <w:rPr>
          <w:color w:val="auto"/>
          <w:sz w:val="24"/>
          <w:szCs w:val="24"/>
          <w:highlight w:val="none"/>
        </w:rPr>
        <w:t>月</w:t>
      </w:r>
      <w:r>
        <w:rPr>
          <w:color w:val="auto"/>
          <w:sz w:val="24"/>
          <w:szCs w:val="24"/>
          <w:highlight w:val="none"/>
          <w:u w:val="single"/>
        </w:rPr>
        <w:t xml:space="preserve">      </w:t>
      </w:r>
      <w:r>
        <w:rPr>
          <w:color w:val="auto"/>
          <w:sz w:val="24"/>
          <w:szCs w:val="24"/>
          <w:highlight w:val="none"/>
        </w:rPr>
        <w:t>日</w:t>
      </w:r>
    </w:p>
    <w:p w14:paraId="7FC40D36">
      <w:pPr>
        <w:pStyle w:val="19"/>
        <w:spacing w:before="120" w:line="360" w:lineRule="auto"/>
        <w:ind w:left="800"/>
        <w:rPr>
          <w:color w:val="auto"/>
          <w:sz w:val="24"/>
          <w:szCs w:val="24"/>
          <w:highlight w:val="none"/>
        </w:rPr>
      </w:pPr>
    </w:p>
    <w:p w14:paraId="56833EBE">
      <w:pPr>
        <w:jc w:val="center"/>
        <w:rPr>
          <w:rFonts w:hint="eastAsia" w:ascii="宋体" w:hAnsi="宋体"/>
          <w:color w:val="auto"/>
          <w:sz w:val="30"/>
          <w:szCs w:val="30"/>
          <w:highlight w:val="none"/>
        </w:rPr>
      </w:pPr>
      <w:bookmarkStart w:id="4685" w:name="_Toc229583239"/>
      <w:bookmarkStart w:id="4686" w:name="_Toc197938954"/>
    </w:p>
    <w:p w14:paraId="5446C1F2">
      <w:pPr>
        <w:jc w:val="center"/>
        <w:rPr>
          <w:rFonts w:hint="eastAsia" w:ascii="宋体" w:hAnsi="宋体"/>
          <w:color w:val="auto"/>
          <w:sz w:val="30"/>
          <w:szCs w:val="30"/>
          <w:highlight w:val="none"/>
        </w:rPr>
      </w:pPr>
    </w:p>
    <w:p w14:paraId="16F24EEE">
      <w:pPr>
        <w:jc w:val="center"/>
        <w:rPr>
          <w:rFonts w:hint="eastAsia" w:ascii="宋体" w:hAnsi="宋体"/>
          <w:color w:val="auto"/>
          <w:sz w:val="30"/>
          <w:szCs w:val="30"/>
          <w:highlight w:val="none"/>
        </w:rPr>
      </w:pPr>
    </w:p>
    <w:p w14:paraId="6B615D80">
      <w:pPr>
        <w:jc w:val="center"/>
        <w:rPr>
          <w:rFonts w:hint="eastAsia" w:ascii="宋体" w:hAnsi="宋体"/>
          <w:color w:val="auto"/>
          <w:sz w:val="30"/>
          <w:szCs w:val="30"/>
          <w:highlight w:val="none"/>
        </w:rPr>
      </w:pPr>
    </w:p>
    <w:p w14:paraId="6C0D11A7">
      <w:pPr>
        <w:jc w:val="center"/>
        <w:rPr>
          <w:rFonts w:hint="eastAsia" w:ascii="宋体" w:hAnsi="宋体"/>
          <w:color w:val="auto"/>
          <w:sz w:val="30"/>
          <w:szCs w:val="30"/>
          <w:highlight w:val="none"/>
        </w:rPr>
      </w:pPr>
    </w:p>
    <w:p w14:paraId="529E22B8">
      <w:pPr>
        <w:jc w:val="center"/>
        <w:rPr>
          <w:rFonts w:hint="eastAsia" w:ascii="宋体" w:hAnsi="宋体"/>
          <w:color w:val="auto"/>
          <w:sz w:val="30"/>
          <w:szCs w:val="30"/>
          <w:highlight w:val="none"/>
        </w:rPr>
      </w:pPr>
    </w:p>
    <w:p w14:paraId="285B8D79">
      <w:pPr>
        <w:jc w:val="center"/>
        <w:rPr>
          <w:rFonts w:hint="eastAsia" w:ascii="宋体" w:hAnsi="宋体"/>
          <w:color w:val="auto"/>
          <w:sz w:val="30"/>
          <w:szCs w:val="30"/>
          <w:highlight w:val="none"/>
        </w:rPr>
      </w:pPr>
    </w:p>
    <w:p w14:paraId="3D6EAA7D">
      <w:pPr>
        <w:jc w:val="center"/>
        <w:rPr>
          <w:rFonts w:hint="eastAsia" w:ascii="宋体" w:hAnsi="宋体"/>
          <w:color w:val="auto"/>
          <w:sz w:val="30"/>
          <w:szCs w:val="30"/>
          <w:highlight w:val="none"/>
        </w:rPr>
      </w:pPr>
    </w:p>
    <w:p w14:paraId="20FEE457">
      <w:pPr>
        <w:jc w:val="center"/>
        <w:rPr>
          <w:rFonts w:hint="eastAsia" w:ascii="宋体" w:hAnsi="宋体"/>
          <w:color w:val="auto"/>
          <w:sz w:val="30"/>
          <w:szCs w:val="30"/>
          <w:highlight w:val="none"/>
        </w:rPr>
      </w:pPr>
    </w:p>
    <w:bookmarkEnd w:id="4685"/>
    <w:bookmarkEnd w:id="4686"/>
    <w:p w14:paraId="36E00C16">
      <w:pPr>
        <w:pStyle w:val="3"/>
        <w:rPr>
          <w:rFonts w:hint="eastAsia" w:ascii="宋体" w:hAnsi="宋体" w:cs="宋体"/>
          <w:color w:val="auto"/>
          <w:highlight w:val="none"/>
        </w:rPr>
      </w:pPr>
      <w:r>
        <w:rPr>
          <w:color w:val="auto"/>
          <w:highlight w:val="none"/>
        </w:rPr>
        <w:br w:type="page"/>
      </w:r>
      <w:bookmarkStart w:id="4687" w:name="_Toc8925"/>
      <w:bookmarkStart w:id="4688" w:name="_Toc27026"/>
      <w:r>
        <w:rPr>
          <w:rFonts w:hint="eastAsia" w:ascii="宋体" w:hAnsi="宋体" w:cs="宋体"/>
          <w:color w:val="auto"/>
          <w:highlight w:val="none"/>
        </w:rPr>
        <w:t>三、响应文件商务技术部分格式</w:t>
      </w:r>
      <w:bookmarkEnd w:id="4687"/>
      <w:bookmarkEnd w:id="4688"/>
    </w:p>
    <w:p w14:paraId="621F7C3E">
      <w:pPr>
        <w:keepNext/>
        <w:keepLines/>
        <w:spacing w:before="260" w:after="260" w:line="416" w:lineRule="auto"/>
        <w:jc w:val="center"/>
        <w:outlineLvl w:val="1"/>
        <w:rPr>
          <w:rFonts w:hint="eastAsia" w:ascii="宋体" w:hAnsi="宋体"/>
          <w:b/>
          <w:bCs/>
          <w:color w:val="auto"/>
          <w:sz w:val="30"/>
          <w:szCs w:val="30"/>
          <w:highlight w:val="none"/>
          <w:lang w:val="zh-CN"/>
        </w:rPr>
        <w:sectPr>
          <w:pgSz w:w="11906" w:h="16838"/>
          <w:pgMar w:top="1134" w:right="1247" w:bottom="1134" w:left="1247" w:header="851" w:footer="992" w:gutter="0"/>
          <w:pgNumType w:fmt="decimal"/>
          <w:cols w:space="720" w:num="1"/>
          <w:docGrid w:linePitch="312" w:charSpace="0"/>
        </w:sectPr>
      </w:pPr>
      <w:bookmarkStart w:id="4689" w:name="_Toc462512254"/>
      <w:bookmarkStart w:id="4690" w:name="_Toc495599164"/>
      <w:bookmarkStart w:id="4691" w:name="_Toc503888690"/>
      <w:bookmarkStart w:id="4692" w:name="_Toc469404956"/>
    </w:p>
    <w:bookmarkEnd w:id="4689"/>
    <w:bookmarkEnd w:id="4690"/>
    <w:bookmarkEnd w:id="4691"/>
    <w:bookmarkEnd w:id="4692"/>
    <w:p w14:paraId="0C79EBF0">
      <w:pPr>
        <w:pStyle w:val="3"/>
        <w:widowControl w:val="0"/>
        <w:tabs>
          <w:tab w:val="left" w:pos="360"/>
          <w:tab w:val="clear" w:pos="575"/>
        </w:tabs>
        <w:snapToGrid w:val="0"/>
        <w:rPr>
          <w:rFonts w:hint="eastAsia" w:ascii="宋体" w:hAnsi="宋体" w:cs="宋体"/>
          <w:color w:val="auto"/>
          <w:sz w:val="24"/>
          <w:szCs w:val="24"/>
          <w:highlight w:val="none"/>
        </w:rPr>
      </w:pPr>
      <w:bookmarkStart w:id="4693" w:name="_Toc7334"/>
      <w:bookmarkStart w:id="4694" w:name="_Toc9362"/>
      <w:bookmarkStart w:id="4695" w:name="_Toc24251"/>
      <w:bookmarkStart w:id="4696" w:name="_Toc4445"/>
      <w:bookmarkStart w:id="4697" w:name="_Toc494377192"/>
      <w:bookmarkStart w:id="4698" w:name="_Toc24107"/>
      <w:bookmarkStart w:id="4699" w:name="_Toc15232"/>
      <w:bookmarkStart w:id="4700" w:name="_Toc469404960"/>
      <w:bookmarkStart w:id="4701" w:name="_Toc454873769"/>
      <w:r>
        <w:rPr>
          <w:rFonts w:hint="eastAsia" w:ascii="宋体" w:hAnsi="宋体" w:cs="宋体"/>
          <w:color w:val="auto"/>
          <w:sz w:val="24"/>
          <w:szCs w:val="24"/>
          <w:highlight w:val="none"/>
        </w:rPr>
        <w:t>（一）</w:t>
      </w:r>
      <w:bookmarkEnd w:id="4693"/>
      <w:bookmarkEnd w:id="4694"/>
      <w:bookmarkEnd w:id="4695"/>
      <w:bookmarkEnd w:id="4696"/>
      <w:bookmarkEnd w:id="4697"/>
      <w:bookmarkEnd w:id="4698"/>
      <w:r>
        <w:rPr>
          <w:rFonts w:hint="eastAsia" w:ascii="宋体" w:hAnsi="宋体" w:cs="宋体"/>
          <w:bCs/>
          <w:color w:val="auto"/>
          <w:sz w:val="24"/>
          <w:szCs w:val="24"/>
          <w:highlight w:val="none"/>
        </w:rPr>
        <w:t>供应商企业信息表</w:t>
      </w:r>
      <w:bookmarkEnd w:id="4699"/>
    </w:p>
    <w:tbl>
      <w:tblPr>
        <w:tblStyle w:val="28"/>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9"/>
        <w:gridCol w:w="1181"/>
        <w:gridCol w:w="1179"/>
        <w:gridCol w:w="1520"/>
        <w:gridCol w:w="1305"/>
        <w:gridCol w:w="1965"/>
      </w:tblGrid>
      <w:tr w14:paraId="11CE3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629" w:type="dxa"/>
            <w:vAlign w:val="center"/>
          </w:tcPr>
          <w:p w14:paraId="51790C81">
            <w:pPr>
              <w:autoSpaceDE w:val="0"/>
              <w:autoSpaceDN w:val="0"/>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供应商名称</w:t>
            </w:r>
          </w:p>
        </w:tc>
        <w:tc>
          <w:tcPr>
            <w:tcW w:w="7150" w:type="dxa"/>
            <w:gridSpan w:val="5"/>
            <w:vAlign w:val="center"/>
          </w:tcPr>
          <w:p w14:paraId="324C31E4">
            <w:pPr>
              <w:autoSpaceDE w:val="0"/>
              <w:autoSpaceDN w:val="0"/>
              <w:adjustRightInd w:val="0"/>
              <w:snapToGrid w:val="0"/>
              <w:spacing w:line="360" w:lineRule="auto"/>
              <w:jc w:val="center"/>
              <w:rPr>
                <w:rFonts w:hint="eastAsia" w:ascii="宋体" w:hAnsi="宋体" w:cs="宋体"/>
                <w:color w:val="auto"/>
                <w:sz w:val="24"/>
                <w:szCs w:val="24"/>
                <w:highlight w:val="none"/>
              </w:rPr>
            </w:pPr>
          </w:p>
        </w:tc>
      </w:tr>
      <w:tr w14:paraId="04882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9" w:type="dxa"/>
            <w:vAlign w:val="center"/>
          </w:tcPr>
          <w:p w14:paraId="158F5E7C">
            <w:pPr>
              <w:autoSpaceDE w:val="0"/>
              <w:autoSpaceDN w:val="0"/>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3880" w:type="dxa"/>
            <w:gridSpan w:val="3"/>
            <w:vAlign w:val="center"/>
          </w:tcPr>
          <w:p w14:paraId="62EF853F">
            <w:pPr>
              <w:autoSpaceDE w:val="0"/>
              <w:autoSpaceDN w:val="0"/>
              <w:adjustRightInd w:val="0"/>
              <w:snapToGrid w:val="0"/>
              <w:spacing w:line="360" w:lineRule="auto"/>
              <w:jc w:val="center"/>
              <w:rPr>
                <w:rFonts w:hint="eastAsia" w:ascii="宋体" w:hAnsi="宋体" w:cs="宋体"/>
                <w:color w:val="auto"/>
                <w:sz w:val="24"/>
                <w:szCs w:val="24"/>
                <w:highlight w:val="none"/>
              </w:rPr>
            </w:pPr>
          </w:p>
        </w:tc>
        <w:tc>
          <w:tcPr>
            <w:tcW w:w="1305" w:type="dxa"/>
            <w:vAlign w:val="center"/>
          </w:tcPr>
          <w:p w14:paraId="65057408">
            <w:pPr>
              <w:autoSpaceDE w:val="0"/>
              <w:autoSpaceDN w:val="0"/>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1965" w:type="dxa"/>
            <w:vAlign w:val="center"/>
          </w:tcPr>
          <w:p w14:paraId="709E7AB9">
            <w:pPr>
              <w:autoSpaceDE w:val="0"/>
              <w:autoSpaceDN w:val="0"/>
              <w:adjustRightInd w:val="0"/>
              <w:snapToGrid w:val="0"/>
              <w:spacing w:line="360" w:lineRule="auto"/>
              <w:jc w:val="center"/>
              <w:rPr>
                <w:rFonts w:hint="eastAsia" w:ascii="宋体" w:hAnsi="宋体" w:cs="宋体"/>
                <w:color w:val="auto"/>
                <w:sz w:val="24"/>
                <w:szCs w:val="24"/>
                <w:highlight w:val="none"/>
              </w:rPr>
            </w:pPr>
          </w:p>
        </w:tc>
      </w:tr>
      <w:tr w14:paraId="6AE24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629" w:type="dxa"/>
            <w:vMerge w:val="restart"/>
            <w:vAlign w:val="center"/>
          </w:tcPr>
          <w:p w14:paraId="4DCF1535">
            <w:pPr>
              <w:autoSpaceDE w:val="0"/>
              <w:autoSpaceDN w:val="0"/>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181" w:type="dxa"/>
            <w:vAlign w:val="center"/>
          </w:tcPr>
          <w:p w14:paraId="327CB336">
            <w:pPr>
              <w:autoSpaceDE w:val="0"/>
              <w:autoSpaceDN w:val="0"/>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699" w:type="dxa"/>
            <w:gridSpan w:val="2"/>
            <w:vAlign w:val="center"/>
          </w:tcPr>
          <w:p w14:paraId="6FAF6DDE">
            <w:pPr>
              <w:autoSpaceDE w:val="0"/>
              <w:autoSpaceDN w:val="0"/>
              <w:adjustRightInd w:val="0"/>
              <w:snapToGrid w:val="0"/>
              <w:spacing w:line="360" w:lineRule="auto"/>
              <w:jc w:val="center"/>
              <w:rPr>
                <w:rFonts w:hint="eastAsia" w:ascii="宋体" w:hAnsi="宋体" w:cs="宋体"/>
                <w:color w:val="auto"/>
                <w:sz w:val="24"/>
                <w:szCs w:val="24"/>
                <w:highlight w:val="none"/>
              </w:rPr>
            </w:pPr>
          </w:p>
        </w:tc>
        <w:tc>
          <w:tcPr>
            <w:tcW w:w="1305" w:type="dxa"/>
            <w:vAlign w:val="center"/>
          </w:tcPr>
          <w:p w14:paraId="35040A96">
            <w:pPr>
              <w:autoSpaceDE w:val="0"/>
              <w:autoSpaceDN w:val="0"/>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电 话</w:t>
            </w:r>
          </w:p>
        </w:tc>
        <w:tc>
          <w:tcPr>
            <w:tcW w:w="1965" w:type="dxa"/>
            <w:vAlign w:val="center"/>
          </w:tcPr>
          <w:p w14:paraId="10A41771">
            <w:pPr>
              <w:autoSpaceDE w:val="0"/>
              <w:autoSpaceDN w:val="0"/>
              <w:adjustRightInd w:val="0"/>
              <w:snapToGrid w:val="0"/>
              <w:spacing w:line="360" w:lineRule="auto"/>
              <w:jc w:val="center"/>
              <w:rPr>
                <w:rFonts w:hint="eastAsia" w:ascii="宋体" w:hAnsi="宋体" w:cs="宋体"/>
                <w:color w:val="auto"/>
                <w:sz w:val="24"/>
                <w:szCs w:val="24"/>
                <w:highlight w:val="none"/>
              </w:rPr>
            </w:pPr>
          </w:p>
        </w:tc>
      </w:tr>
      <w:tr w14:paraId="434F8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629" w:type="dxa"/>
            <w:vMerge w:val="continue"/>
            <w:vAlign w:val="center"/>
          </w:tcPr>
          <w:p w14:paraId="26CCEACB">
            <w:pPr>
              <w:autoSpaceDE w:val="0"/>
              <w:autoSpaceDN w:val="0"/>
              <w:adjustRightInd w:val="0"/>
              <w:snapToGrid w:val="0"/>
              <w:spacing w:line="360" w:lineRule="auto"/>
              <w:rPr>
                <w:rFonts w:hint="eastAsia" w:ascii="宋体" w:hAnsi="宋体" w:cs="宋体"/>
                <w:color w:val="auto"/>
                <w:sz w:val="24"/>
                <w:szCs w:val="24"/>
                <w:highlight w:val="none"/>
              </w:rPr>
            </w:pPr>
          </w:p>
        </w:tc>
        <w:tc>
          <w:tcPr>
            <w:tcW w:w="1181" w:type="dxa"/>
            <w:vAlign w:val="center"/>
          </w:tcPr>
          <w:p w14:paraId="6A512D2A">
            <w:pPr>
              <w:autoSpaceDE w:val="0"/>
              <w:autoSpaceDN w:val="0"/>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传 真</w:t>
            </w:r>
          </w:p>
        </w:tc>
        <w:tc>
          <w:tcPr>
            <w:tcW w:w="2699" w:type="dxa"/>
            <w:gridSpan w:val="2"/>
            <w:vAlign w:val="center"/>
          </w:tcPr>
          <w:p w14:paraId="3B6D90AF">
            <w:pPr>
              <w:autoSpaceDE w:val="0"/>
              <w:autoSpaceDN w:val="0"/>
              <w:adjustRightInd w:val="0"/>
              <w:snapToGrid w:val="0"/>
              <w:spacing w:line="360" w:lineRule="auto"/>
              <w:jc w:val="center"/>
              <w:rPr>
                <w:rFonts w:hint="eastAsia" w:ascii="宋体" w:hAnsi="宋体" w:cs="宋体"/>
                <w:color w:val="auto"/>
                <w:sz w:val="24"/>
                <w:szCs w:val="24"/>
                <w:highlight w:val="none"/>
              </w:rPr>
            </w:pPr>
          </w:p>
        </w:tc>
        <w:tc>
          <w:tcPr>
            <w:tcW w:w="1305" w:type="dxa"/>
            <w:vAlign w:val="center"/>
          </w:tcPr>
          <w:p w14:paraId="4E5C5775">
            <w:pPr>
              <w:autoSpaceDE w:val="0"/>
              <w:autoSpaceDN w:val="0"/>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网 址</w:t>
            </w:r>
          </w:p>
        </w:tc>
        <w:tc>
          <w:tcPr>
            <w:tcW w:w="1965" w:type="dxa"/>
            <w:vAlign w:val="center"/>
          </w:tcPr>
          <w:p w14:paraId="52025E52">
            <w:pPr>
              <w:autoSpaceDE w:val="0"/>
              <w:autoSpaceDN w:val="0"/>
              <w:adjustRightInd w:val="0"/>
              <w:snapToGrid w:val="0"/>
              <w:spacing w:line="360" w:lineRule="auto"/>
              <w:jc w:val="center"/>
              <w:rPr>
                <w:rFonts w:hint="eastAsia" w:ascii="宋体" w:hAnsi="宋体" w:cs="宋体"/>
                <w:color w:val="auto"/>
                <w:sz w:val="24"/>
                <w:szCs w:val="24"/>
                <w:highlight w:val="none"/>
              </w:rPr>
            </w:pPr>
          </w:p>
        </w:tc>
      </w:tr>
      <w:tr w14:paraId="354AD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629" w:type="dxa"/>
            <w:vAlign w:val="center"/>
          </w:tcPr>
          <w:p w14:paraId="099FCB38">
            <w:pPr>
              <w:autoSpaceDE w:val="0"/>
              <w:autoSpaceDN w:val="0"/>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法定代表人（或负责人）</w:t>
            </w:r>
          </w:p>
        </w:tc>
        <w:tc>
          <w:tcPr>
            <w:tcW w:w="1181" w:type="dxa"/>
            <w:vAlign w:val="center"/>
          </w:tcPr>
          <w:p w14:paraId="37ACD270">
            <w:pPr>
              <w:autoSpaceDE w:val="0"/>
              <w:autoSpaceDN w:val="0"/>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姓名</w:t>
            </w:r>
          </w:p>
        </w:tc>
        <w:tc>
          <w:tcPr>
            <w:tcW w:w="2699" w:type="dxa"/>
            <w:gridSpan w:val="2"/>
            <w:vAlign w:val="center"/>
          </w:tcPr>
          <w:p w14:paraId="769F1180">
            <w:pPr>
              <w:autoSpaceDE w:val="0"/>
              <w:autoSpaceDN w:val="0"/>
              <w:adjustRightInd w:val="0"/>
              <w:snapToGrid w:val="0"/>
              <w:spacing w:line="360" w:lineRule="auto"/>
              <w:jc w:val="center"/>
              <w:rPr>
                <w:rFonts w:hint="eastAsia" w:ascii="宋体" w:hAnsi="宋体" w:cs="宋体"/>
                <w:color w:val="auto"/>
                <w:sz w:val="24"/>
                <w:szCs w:val="24"/>
                <w:highlight w:val="none"/>
              </w:rPr>
            </w:pPr>
          </w:p>
        </w:tc>
        <w:tc>
          <w:tcPr>
            <w:tcW w:w="1305" w:type="dxa"/>
            <w:vAlign w:val="center"/>
          </w:tcPr>
          <w:p w14:paraId="0F45445F">
            <w:pPr>
              <w:autoSpaceDE w:val="0"/>
              <w:autoSpaceDN w:val="0"/>
              <w:adjustRightInd w:val="0"/>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电话</w:t>
            </w:r>
          </w:p>
        </w:tc>
        <w:tc>
          <w:tcPr>
            <w:tcW w:w="1965" w:type="dxa"/>
            <w:vAlign w:val="center"/>
          </w:tcPr>
          <w:p w14:paraId="0056F198">
            <w:pPr>
              <w:autoSpaceDE w:val="0"/>
              <w:autoSpaceDN w:val="0"/>
              <w:adjustRightInd w:val="0"/>
              <w:snapToGrid w:val="0"/>
              <w:spacing w:line="360" w:lineRule="auto"/>
              <w:jc w:val="center"/>
              <w:rPr>
                <w:rFonts w:hint="eastAsia" w:ascii="宋体" w:hAnsi="宋体" w:cs="宋体"/>
                <w:color w:val="auto"/>
                <w:sz w:val="24"/>
                <w:szCs w:val="24"/>
                <w:highlight w:val="none"/>
              </w:rPr>
            </w:pPr>
          </w:p>
        </w:tc>
      </w:tr>
      <w:tr w14:paraId="73371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629" w:type="dxa"/>
            <w:vAlign w:val="center"/>
          </w:tcPr>
          <w:p w14:paraId="00B74EF2">
            <w:pPr>
              <w:autoSpaceDE w:val="0"/>
              <w:autoSpaceDN w:val="0"/>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成立时间</w:t>
            </w:r>
          </w:p>
        </w:tc>
        <w:tc>
          <w:tcPr>
            <w:tcW w:w="2360" w:type="dxa"/>
            <w:gridSpan w:val="2"/>
            <w:vAlign w:val="center"/>
          </w:tcPr>
          <w:p w14:paraId="0A3F3D44">
            <w:pPr>
              <w:autoSpaceDE w:val="0"/>
              <w:autoSpaceDN w:val="0"/>
              <w:adjustRightInd w:val="0"/>
              <w:snapToGrid w:val="0"/>
              <w:spacing w:line="360" w:lineRule="auto"/>
              <w:jc w:val="center"/>
              <w:rPr>
                <w:rFonts w:hint="eastAsia" w:ascii="宋体" w:hAnsi="宋体" w:cs="宋体"/>
                <w:color w:val="auto"/>
                <w:sz w:val="24"/>
                <w:szCs w:val="24"/>
                <w:highlight w:val="none"/>
              </w:rPr>
            </w:pPr>
          </w:p>
        </w:tc>
        <w:tc>
          <w:tcPr>
            <w:tcW w:w="4790" w:type="dxa"/>
            <w:gridSpan w:val="3"/>
            <w:vAlign w:val="center"/>
          </w:tcPr>
          <w:p w14:paraId="366F4058">
            <w:pPr>
              <w:autoSpaceDE w:val="0"/>
              <w:autoSpaceDN w:val="0"/>
              <w:adjustRightInd w:val="0"/>
              <w:snapToGrid w:val="0"/>
              <w:spacing w:line="360" w:lineRule="auto"/>
              <w:ind w:firstLine="960" w:firstLineChars="40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员工总人数：</w:t>
            </w:r>
          </w:p>
        </w:tc>
      </w:tr>
      <w:tr w14:paraId="203BC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629" w:type="dxa"/>
            <w:vAlign w:val="center"/>
          </w:tcPr>
          <w:p w14:paraId="0CB95AD5">
            <w:pPr>
              <w:autoSpaceDE w:val="0"/>
              <w:autoSpaceDN w:val="0"/>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营业执照等证明文件号</w:t>
            </w:r>
          </w:p>
        </w:tc>
        <w:tc>
          <w:tcPr>
            <w:tcW w:w="7150" w:type="dxa"/>
            <w:gridSpan w:val="5"/>
            <w:vAlign w:val="center"/>
          </w:tcPr>
          <w:p w14:paraId="6A16B8DA">
            <w:pPr>
              <w:autoSpaceDE w:val="0"/>
              <w:autoSpaceDN w:val="0"/>
              <w:adjustRightInd w:val="0"/>
              <w:snapToGrid w:val="0"/>
              <w:spacing w:line="360" w:lineRule="auto"/>
              <w:jc w:val="center"/>
              <w:rPr>
                <w:rFonts w:hint="eastAsia" w:ascii="宋体" w:hAnsi="宋体" w:cs="宋体"/>
                <w:color w:val="auto"/>
                <w:sz w:val="24"/>
                <w:szCs w:val="24"/>
                <w:highlight w:val="none"/>
              </w:rPr>
            </w:pPr>
          </w:p>
        </w:tc>
      </w:tr>
      <w:tr w14:paraId="4EF44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629" w:type="dxa"/>
            <w:vAlign w:val="center"/>
          </w:tcPr>
          <w:p w14:paraId="0DB155E9">
            <w:pPr>
              <w:autoSpaceDE w:val="0"/>
              <w:autoSpaceDN w:val="0"/>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7150" w:type="dxa"/>
            <w:gridSpan w:val="5"/>
            <w:vAlign w:val="center"/>
          </w:tcPr>
          <w:p w14:paraId="3658EDD8">
            <w:pPr>
              <w:autoSpaceDE w:val="0"/>
              <w:autoSpaceDN w:val="0"/>
              <w:adjustRightInd w:val="0"/>
              <w:snapToGrid w:val="0"/>
              <w:spacing w:line="360" w:lineRule="auto"/>
              <w:jc w:val="center"/>
              <w:rPr>
                <w:rFonts w:hint="eastAsia" w:ascii="宋体" w:hAnsi="宋体" w:cs="宋体"/>
                <w:color w:val="auto"/>
                <w:sz w:val="24"/>
                <w:szCs w:val="24"/>
                <w:highlight w:val="none"/>
              </w:rPr>
            </w:pPr>
          </w:p>
        </w:tc>
      </w:tr>
      <w:tr w14:paraId="67A83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629" w:type="dxa"/>
            <w:vAlign w:val="center"/>
          </w:tcPr>
          <w:p w14:paraId="4C49DDC6">
            <w:pPr>
              <w:autoSpaceDE w:val="0"/>
              <w:autoSpaceDN w:val="0"/>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7150" w:type="dxa"/>
            <w:gridSpan w:val="5"/>
            <w:vAlign w:val="center"/>
          </w:tcPr>
          <w:p w14:paraId="24DE6F23">
            <w:pPr>
              <w:autoSpaceDE w:val="0"/>
              <w:autoSpaceDN w:val="0"/>
              <w:adjustRightInd w:val="0"/>
              <w:snapToGrid w:val="0"/>
              <w:spacing w:line="360" w:lineRule="auto"/>
              <w:jc w:val="center"/>
              <w:rPr>
                <w:rFonts w:hint="eastAsia" w:ascii="宋体" w:hAnsi="宋体" w:cs="宋体"/>
                <w:color w:val="auto"/>
                <w:sz w:val="24"/>
                <w:szCs w:val="24"/>
                <w:highlight w:val="none"/>
              </w:rPr>
            </w:pPr>
          </w:p>
        </w:tc>
      </w:tr>
      <w:tr w14:paraId="01BDC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629" w:type="dxa"/>
            <w:vAlign w:val="center"/>
          </w:tcPr>
          <w:p w14:paraId="2A81BF6C">
            <w:pPr>
              <w:autoSpaceDE w:val="0"/>
              <w:autoSpaceDN w:val="0"/>
              <w:adjustRightInd w:val="0"/>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账号</w:t>
            </w:r>
          </w:p>
        </w:tc>
        <w:tc>
          <w:tcPr>
            <w:tcW w:w="7150" w:type="dxa"/>
            <w:gridSpan w:val="5"/>
            <w:vAlign w:val="center"/>
          </w:tcPr>
          <w:p w14:paraId="4D83902E">
            <w:pPr>
              <w:autoSpaceDE w:val="0"/>
              <w:autoSpaceDN w:val="0"/>
              <w:adjustRightInd w:val="0"/>
              <w:snapToGrid w:val="0"/>
              <w:spacing w:line="360" w:lineRule="auto"/>
              <w:jc w:val="center"/>
              <w:rPr>
                <w:rFonts w:hint="eastAsia" w:ascii="宋体" w:hAnsi="宋体" w:cs="宋体"/>
                <w:color w:val="auto"/>
                <w:sz w:val="24"/>
                <w:szCs w:val="24"/>
                <w:highlight w:val="none"/>
              </w:rPr>
            </w:pPr>
          </w:p>
        </w:tc>
      </w:tr>
    </w:tbl>
    <w:p w14:paraId="4B09DCCA">
      <w:pPr>
        <w:adjustRightInd w:val="0"/>
        <w:snapToGrid w:val="0"/>
        <w:spacing w:line="360" w:lineRule="auto"/>
        <w:rPr>
          <w:rFonts w:hint="eastAsia" w:ascii="宋体" w:hAnsi="宋体" w:cs="宋体"/>
          <w:color w:val="auto"/>
          <w:sz w:val="24"/>
          <w:szCs w:val="24"/>
          <w:highlight w:val="none"/>
        </w:rPr>
      </w:pPr>
    </w:p>
    <w:p w14:paraId="507D2DA8">
      <w:pPr>
        <w:adjustRightInd w:val="0"/>
        <w:snapToGrid w:val="0"/>
        <w:spacing w:line="360" w:lineRule="auto"/>
        <w:ind w:firstLine="480" w:firstLineChars="200"/>
        <w:rPr>
          <w:rFonts w:hint="eastAsia" w:ascii="宋体" w:hAnsi="宋体" w:cs="宋体"/>
          <w:color w:val="auto"/>
          <w:kern w:val="1"/>
          <w:sz w:val="24"/>
          <w:szCs w:val="24"/>
          <w:highlight w:val="none"/>
        </w:rPr>
      </w:pPr>
      <w:r>
        <w:rPr>
          <w:rFonts w:hint="eastAsia" w:ascii="宋体" w:hAnsi="宋体" w:cs="宋体"/>
          <w:color w:val="auto"/>
          <w:sz w:val="24"/>
          <w:szCs w:val="24"/>
          <w:highlight w:val="none"/>
        </w:rPr>
        <w:t>供应商名称</w:t>
      </w:r>
      <w:r>
        <w:rPr>
          <w:rFonts w:hint="eastAsia" w:ascii="宋体" w:hAnsi="宋体" w:cs="宋体"/>
          <w:color w:val="auto"/>
          <w:kern w:val="1"/>
          <w:sz w:val="24"/>
          <w:szCs w:val="24"/>
          <w:highlight w:val="none"/>
        </w:rPr>
        <w:t>（</w:t>
      </w:r>
      <w:r>
        <w:rPr>
          <w:rFonts w:hint="eastAsia" w:ascii="宋体" w:hAnsi="宋体"/>
          <w:color w:val="auto"/>
          <w:sz w:val="24"/>
          <w:szCs w:val="24"/>
          <w:highlight w:val="none"/>
        </w:rPr>
        <w:t>电子签章</w:t>
      </w:r>
      <w:r>
        <w:rPr>
          <w:rFonts w:hint="eastAsia" w:ascii="宋体" w:hAnsi="宋体" w:cs="宋体"/>
          <w:color w:val="auto"/>
          <w:kern w:val="1"/>
          <w:sz w:val="24"/>
          <w:szCs w:val="24"/>
          <w:highlight w:val="none"/>
        </w:rPr>
        <w:t>）：</w:t>
      </w:r>
      <w:r>
        <w:rPr>
          <w:rFonts w:hint="eastAsia" w:ascii="宋体" w:hAnsi="宋体" w:cs="宋体"/>
          <w:color w:val="auto"/>
          <w:kern w:val="1"/>
          <w:sz w:val="24"/>
          <w:szCs w:val="24"/>
          <w:highlight w:val="none"/>
          <w:u w:val="single"/>
        </w:rPr>
        <w:t xml:space="preserve">　　　　　　　　　　    　　    </w:t>
      </w:r>
    </w:p>
    <w:p w14:paraId="6658E44D">
      <w:pPr>
        <w:adjustRightInd w:val="0"/>
        <w:snapToGrid w:val="0"/>
        <w:spacing w:line="360" w:lineRule="auto"/>
        <w:ind w:firstLine="480" w:firstLineChars="200"/>
        <w:rPr>
          <w:rFonts w:hint="eastAsia" w:ascii="宋体" w:hAnsi="宋体" w:cs="宋体"/>
          <w:color w:val="auto"/>
          <w:kern w:val="1"/>
          <w:sz w:val="24"/>
          <w:szCs w:val="24"/>
          <w:highlight w:val="none"/>
          <w:u w:val="single"/>
        </w:rPr>
      </w:pPr>
      <w:r>
        <w:rPr>
          <w:rFonts w:hint="eastAsia" w:ascii="宋体" w:hAnsi="宋体" w:cs="宋体"/>
          <w:color w:val="auto"/>
          <w:sz w:val="24"/>
          <w:szCs w:val="24"/>
          <w:highlight w:val="none"/>
        </w:rPr>
        <w:t>法定代表人（负责人）（</w:t>
      </w:r>
      <w:r>
        <w:rPr>
          <w:rFonts w:hint="eastAsia" w:ascii="宋体" w:hAnsi="宋体"/>
          <w:color w:val="auto"/>
          <w:sz w:val="24"/>
          <w:szCs w:val="24"/>
          <w:highlight w:val="none"/>
        </w:rPr>
        <w:t>电子签章</w:t>
      </w:r>
      <w:r>
        <w:rPr>
          <w:rFonts w:hint="eastAsia" w:ascii="宋体" w:hAnsi="宋体" w:cs="宋体"/>
          <w:color w:val="auto"/>
          <w:sz w:val="24"/>
          <w:szCs w:val="24"/>
          <w:highlight w:val="none"/>
        </w:rPr>
        <w:t>）</w:t>
      </w:r>
      <w:r>
        <w:rPr>
          <w:rFonts w:hint="eastAsia" w:ascii="宋体" w:hAnsi="宋体" w:cs="宋体"/>
          <w:color w:val="auto"/>
          <w:kern w:val="1"/>
          <w:sz w:val="24"/>
          <w:szCs w:val="24"/>
          <w:highlight w:val="none"/>
        </w:rPr>
        <w:t>：</w:t>
      </w:r>
      <w:r>
        <w:rPr>
          <w:rFonts w:hint="eastAsia" w:ascii="宋体" w:hAnsi="宋体" w:cs="宋体"/>
          <w:color w:val="auto"/>
          <w:kern w:val="1"/>
          <w:sz w:val="24"/>
          <w:szCs w:val="24"/>
          <w:highlight w:val="none"/>
          <w:u w:val="single"/>
        </w:rPr>
        <w:t xml:space="preserve">　　　　　　      </w:t>
      </w:r>
    </w:p>
    <w:p w14:paraId="4721A4A0">
      <w:pPr>
        <w:adjustRightInd w:val="0"/>
        <w:snapToGrid w:val="0"/>
        <w:spacing w:line="360" w:lineRule="auto"/>
        <w:ind w:firstLine="480" w:firstLineChars="200"/>
        <w:rPr>
          <w:rFonts w:hint="eastAsia" w:ascii="宋体" w:hAnsi="宋体" w:cs="宋体"/>
          <w:color w:val="auto"/>
          <w:kern w:val="1"/>
          <w:sz w:val="24"/>
          <w:szCs w:val="24"/>
          <w:highlight w:val="none"/>
        </w:rPr>
      </w:pPr>
      <w:r>
        <w:rPr>
          <w:rFonts w:hint="eastAsia" w:ascii="宋体" w:hAnsi="宋体" w:cs="宋体"/>
          <w:color w:val="auto"/>
          <w:kern w:val="1"/>
          <w:sz w:val="24"/>
          <w:szCs w:val="24"/>
          <w:highlight w:val="none"/>
        </w:rPr>
        <w:t>日期：</w:t>
      </w:r>
      <w:r>
        <w:rPr>
          <w:rFonts w:hint="eastAsia" w:ascii="宋体" w:hAnsi="宋体" w:cs="宋体"/>
          <w:color w:val="auto"/>
          <w:kern w:val="1"/>
          <w:sz w:val="24"/>
          <w:szCs w:val="24"/>
          <w:highlight w:val="none"/>
          <w:u w:val="single"/>
        </w:rPr>
        <w:t>　　　</w:t>
      </w:r>
      <w:r>
        <w:rPr>
          <w:rFonts w:hint="eastAsia" w:ascii="宋体" w:hAnsi="宋体" w:cs="宋体"/>
          <w:color w:val="auto"/>
          <w:kern w:val="1"/>
          <w:sz w:val="24"/>
          <w:szCs w:val="24"/>
          <w:highlight w:val="none"/>
        </w:rPr>
        <w:t>年</w:t>
      </w:r>
      <w:r>
        <w:rPr>
          <w:rFonts w:hint="eastAsia" w:ascii="宋体" w:hAnsi="宋体" w:cs="宋体"/>
          <w:color w:val="auto"/>
          <w:kern w:val="1"/>
          <w:sz w:val="24"/>
          <w:szCs w:val="24"/>
          <w:highlight w:val="none"/>
          <w:u w:val="single"/>
        </w:rPr>
        <w:t>　　</w:t>
      </w:r>
      <w:r>
        <w:rPr>
          <w:rFonts w:hint="eastAsia" w:ascii="宋体" w:hAnsi="宋体" w:cs="宋体"/>
          <w:color w:val="auto"/>
          <w:kern w:val="1"/>
          <w:sz w:val="24"/>
          <w:szCs w:val="24"/>
          <w:highlight w:val="none"/>
        </w:rPr>
        <w:t>月</w:t>
      </w:r>
      <w:r>
        <w:rPr>
          <w:rFonts w:hint="eastAsia" w:ascii="宋体" w:hAnsi="宋体" w:cs="宋体"/>
          <w:color w:val="auto"/>
          <w:kern w:val="1"/>
          <w:sz w:val="24"/>
          <w:szCs w:val="24"/>
          <w:highlight w:val="none"/>
          <w:u w:val="single"/>
        </w:rPr>
        <w:t>　　</w:t>
      </w:r>
      <w:r>
        <w:rPr>
          <w:rFonts w:hint="eastAsia" w:ascii="宋体" w:hAnsi="宋体" w:cs="宋体"/>
          <w:color w:val="auto"/>
          <w:kern w:val="1"/>
          <w:sz w:val="24"/>
          <w:szCs w:val="24"/>
          <w:highlight w:val="none"/>
        </w:rPr>
        <w:t>日</w:t>
      </w:r>
    </w:p>
    <w:p w14:paraId="4F8CEA51">
      <w:pPr>
        <w:pStyle w:val="3"/>
        <w:ind w:left="420"/>
        <w:rPr>
          <w:rFonts w:hint="eastAsia" w:ascii="宋体" w:hAnsi="宋体" w:cs="宋体"/>
          <w:color w:val="auto"/>
          <w:szCs w:val="30"/>
          <w:highlight w:val="none"/>
        </w:rPr>
        <w:sectPr>
          <w:pgSz w:w="11906" w:h="16838"/>
          <w:pgMar w:top="1440" w:right="1440" w:bottom="1440" w:left="1440" w:header="851" w:footer="992" w:gutter="0"/>
          <w:pgNumType w:fmt="decimal"/>
          <w:cols w:space="720" w:num="1"/>
          <w:docGrid w:type="lines" w:linePitch="312" w:charSpace="0"/>
        </w:sectPr>
      </w:pPr>
    </w:p>
    <w:p w14:paraId="7B2967C4">
      <w:pPr>
        <w:pStyle w:val="19"/>
        <w:spacing w:before="120" w:line="440" w:lineRule="exact"/>
        <w:rPr>
          <w:b/>
          <w:bCs/>
          <w:color w:val="auto"/>
          <w:sz w:val="21"/>
          <w:szCs w:val="21"/>
          <w:highlight w:val="none"/>
        </w:rPr>
      </w:pPr>
      <w:r>
        <w:rPr>
          <w:rFonts w:hint="eastAsia"/>
          <w:b/>
          <w:bCs/>
          <w:color w:val="auto"/>
          <w:sz w:val="21"/>
          <w:szCs w:val="21"/>
          <w:highlight w:val="none"/>
        </w:rPr>
        <w:t>（实质性格式要求）</w:t>
      </w:r>
    </w:p>
    <w:p w14:paraId="091DC185">
      <w:pPr>
        <w:pStyle w:val="3"/>
        <w:rPr>
          <w:rFonts w:hint="eastAsia" w:ascii="宋体" w:hAnsi="宋体" w:cs="宋体"/>
          <w:bCs/>
          <w:color w:val="auto"/>
          <w:sz w:val="24"/>
          <w:highlight w:val="none"/>
        </w:rPr>
      </w:pPr>
      <w:bookmarkStart w:id="4702" w:name="_Toc11545"/>
      <w:bookmarkStart w:id="4703" w:name="_Toc7253"/>
      <w:r>
        <w:rPr>
          <w:rFonts w:hint="eastAsia" w:ascii="宋体" w:hAnsi="宋体" w:cs="宋体"/>
          <w:bCs/>
          <w:color w:val="auto"/>
          <w:sz w:val="24"/>
          <w:highlight w:val="none"/>
        </w:rPr>
        <w:t>（二）法定代表人（负责人）身份证明</w:t>
      </w:r>
      <w:bookmarkEnd w:id="4702"/>
      <w:bookmarkEnd w:id="4703"/>
    </w:p>
    <w:p w14:paraId="0CAE7F5E">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单位名称：</w:t>
      </w:r>
      <w:r>
        <w:rPr>
          <w:rFonts w:hint="eastAsia" w:ascii="宋体" w:hAnsi="宋体" w:cs="宋体"/>
          <w:color w:val="auto"/>
          <w:sz w:val="24"/>
          <w:szCs w:val="24"/>
          <w:highlight w:val="none"/>
          <w:u w:val="single"/>
        </w:rPr>
        <w:t xml:space="preserve">                                                       </w:t>
      </w:r>
    </w:p>
    <w:p w14:paraId="61056EBD">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单位性质：</w:t>
      </w:r>
      <w:r>
        <w:rPr>
          <w:rFonts w:hint="eastAsia" w:ascii="宋体" w:hAnsi="宋体" w:cs="宋体"/>
          <w:color w:val="auto"/>
          <w:sz w:val="24"/>
          <w:szCs w:val="24"/>
          <w:highlight w:val="none"/>
          <w:u w:val="single"/>
        </w:rPr>
        <w:t xml:space="preserve">                                                       </w:t>
      </w:r>
    </w:p>
    <w:p w14:paraId="26142ED8">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u w:val="single"/>
        </w:rPr>
        <w:t xml:space="preserve">                                                       </w:t>
      </w:r>
    </w:p>
    <w:p w14:paraId="7A752886">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成立时间：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29D24D1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经营期限：</w:t>
      </w:r>
      <w:r>
        <w:rPr>
          <w:rFonts w:hint="eastAsia" w:ascii="宋体" w:hAnsi="宋体" w:cs="宋体"/>
          <w:color w:val="auto"/>
          <w:sz w:val="24"/>
          <w:szCs w:val="24"/>
          <w:highlight w:val="none"/>
          <w:u w:val="single"/>
        </w:rPr>
        <w:t xml:space="preserve">                                                       </w:t>
      </w:r>
    </w:p>
    <w:p w14:paraId="34B23A59">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    别：</w:t>
      </w:r>
      <w:r>
        <w:rPr>
          <w:rFonts w:hint="eastAsia" w:ascii="宋体" w:hAnsi="宋体" w:cs="宋体"/>
          <w:color w:val="auto"/>
          <w:sz w:val="24"/>
          <w:szCs w:val="24"/>
          <w:highlight w:val="none"/>
          <w:u w:val="single"/>
        </w:rPr>
        <w:t xml:space="preserve">               </w:t>
      </w:r>
    </w:p>
    <w:p w14:paraId="34464452">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年    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    务：</w:t>
      </w:r>
      <w:r>
        <w:rPr>
          <w:rFonts w:hint="eastAsia" w:ascii="宋体" w:hAnsi="宋体" w:cs="宋体"/>
          <w:color w:val="auto"/>
          <w:sz w:val="24"/>
          <w:szCs w:val="24"/>
          <w:highlight w:val="none"/>
          <w:u w:val="single"/>
        </w:rPr>
        <w:t xml:space="preserve">               </w:t>
      </w:r>
    </w:p>
    <w:p w14:paraId="737DE2B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（供应商名称）的法定代表人。</w:t>
      </w:r>
    </w:p>
    <w:p w14:paraId="5DCFAE8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特此证明。</w:t>
      </w:r>
    </w:p>
    <w:p w14:paraId="7CC4CE51">
      <w:pPr>
        <w:spacing w:line="360" w:lineRule="auto"/>
        <w:rPr>
          <w:rFonts w:hint="eastAsia" w:ascii="宋体" w:hAnsi="宋体" w:cs="宋体"/>
          <w:color w:val="auto"/>
          <w:sz w:val="24"/>
          <w:szCs w:val="24"/>
          <w:highlight w:val="none"/>
        </w:rPr>
      </w:pPr>
    </w:p>
    <w:p w14:paraId="7C96C852">
      <w:pPr>
        <w:spacing w:line="360" w:lineRule="auto"/>
        <w:rPr>
          <w:rFonts w:hint="eastAsia" w:ascii="宋体" w:hAnsi="宋体" w:cs="宋体"/>
          <w:color w:val="auto"/>
          <w:sz w:val="24"/>
          <w:szCs w:val="24"/>
          <w:highlight w:val="none"/>
        </w:rPr>
      </w:pPr>
    </w:p>
    <w:p w14:paraId="7FDF71D5">
      <w:pPr>
        <w:spacing w:line="360" w:lineRule="auto"/>
        <w:rPr>
          <w:rFonts w:hint="eastAsia" w:ascii="宋体" w:hAnsi="宋体" w:cs="宋体"/>
          <w:color w:val="auto"/>
          <w:sz w:val="24"/>
          <w:szCs w:val="24"/>
          <w:highlight w:val="none"/>
        </w:rPr>
      </w:pPr>
    </w:p>
    <w:p w14:paraId="2E4717A5">
      <w:pPr>
        <w:spacing w:line="360" w:lineRule="auto"/>
        <w:rPr>
          <w:rFonts w:hint="eastAsia" w:ascii="宋体" w:hAnsi="宋体" w:cs="宋体"/>
          <w:color w:val="auto"/>
          <w:sz w:val="24"/>
          <w:szCs w:val="24"/>
          <w:highlight w:val="none"/>
        </w:rPr>
      </w:pPr>
    </w:p>
    <w:p w14:paraId="3B2E82CB">
      <w:pPr>
        <w:spacing w:line="360" w:lineRule="auto"/>
        <w:rPr>
          <w:rFonts w:hint="eastAsia" w:ascii="宋体" w:hAnsi="宋体" w:cs="宋体"/>
          <w:color w:val="auto"/>
          <w:sz w:val="24"/>
          <w:szCs w:val="24"/>
          <w:highlight w:val="none"/>
        </w:rPr>
      </w:pPr>
    </w:p>
    <w:p w14:paraId="4B77D629">
      <w:pPr>
        <w:spacing w:line="360" w:lineRule="auto"/>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供应商</w:t>
      </w:r>
      <w:r>
        <w:rPr>
          <w:rFonts w:hint="eastAsia" w:ascii="宋体" w:hAnsi="宋体" w:cs="宋体"/>
          <w:color w:val="auto"/>
          <w:sz w:val="24"/>
          <w:szCs w:val="24"/>
          <w:highlight w:val="none"/>
          <w:lang w:val="en-US" w:eastAsia="zh-CN"/>
        </w:rPr>
        <w:t>名称</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olor w:val="auto"/>
          <w:sz w:val="24"/>
          <w:szCs w:val="24"/>
          <w:highlight w:val="none"/>
        </w:rPr>
        <w:t>电子签章</w:t>
      </w:r>
      <w:r>
        <w:rPr>
          <w:rFonts w:hint="eastAsia" w:ascii="宋体" w:hAnsi="宋体" w:cs="宋体"/>
          <w:color w:val="auto"/>
          <w:sz w:val="24"/>
          <w:szCs w:val="24"/>
          <w:highlight w:val="none"/>
        </w:rPr>
        <w:t>）</w:t>
      </w:r>
    </w:p>
    <w:p w14:paraId="60FBB52D">
      <w:pPr>
        <w:pStyle w:val="9"/>
        <w:rPr>
          <w:rFonts w:hint="eastAsia"/>
          <w:color w:val="auto"/>
          <w:highlight w:val="none"/>
        </w:rPr>
      </w:pPr>
    </w:p>
    <w:p w14:paraId="4CC5B066">
      <w:pPr>
        <w:pStyle w:val="9"/>
        <w:ind w:firstLine="3120" w:firstLineChars="1300"/>
        <w:rPr>
          <w:rFonts w:hint="eastAsia" w:ascii="宋体" w:hAnsi="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法定代表人（单位负责人）（</w:t>
      </w:r>
      <w:r>
        <w:rPr>
          <w:rFonts w:hint="eastAsia" w:ascii="宋体" w:hAnsi="宋体" w:cs="宋体"/>
          <w:color w:val="auto"/>
          <w:sz w:val="24"/>
          <w:szCs w:val="24"/>
          <w:highlight w:val="none"/>
          <w:lang w:val="en-US" w:eastAsia="zh-CN" w:bidi="ar-SA"/>
        </w:rPr>
        <w:t>电子</w:t>
      </w:r>
      <w:r>
        <w:rPr>
          <w:rFonts w:hint="eastAsia" w:ascii="宋体" w:hAnsi="宋体" w:eastAsia="宋体" w:cs="宋体"/>
          <w:color w:val="auto"/>
          <w:sz w:val="24"/>
          <w:szCs w:val="24"/>
          <w:highlight w:val="none"/>
          <w:lang w:val="en-US" w:eastAsia="zh-CN" w:bidi="ar-SA"/>
        </w:rPr>
        <w:t>签章）：</w:t>
      </w:r>
      <w:r>
        <w:rPr>
          <w:rFonts w:hint="eastAsia" w:ascii="宋体" w:hAnsi="宋体" w:cs="宋体"/>
          <w:color w:val="auto"/>
          <w:sz w:val="24"/>
          <w:szCs w:val="24"/>
          <w:highlight w:val="none"/>
          <w:u w:val="single"/>
          <w:lang w:val="en-US" w:eastAsia="zh-CN" w:bidi="ar-SA"/>
        </w:rPr>
        <w:t xml:space="preserve">               </w:t>
      </w:r>
    </w:p>
    <w:p w14:paraId="791389E9">
      <w:pPr>
        <w:rPr>
          <w:rFonts w:hint="eastAsia"/>
          <w:color w:val="auto"/>
          <w:highlight w:val="none"/>
        </w:rPr>
      </w:pPr>
    </w:p>
    <w:p w14:paraId="12CF6B8A">
      <w:pPr>
        <w:wordWrap w:val="0"/>
        <w:spacing w:line="360" w:lineRule="auto"/>
        <w:jc w:val="right"/>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w:t>
      </w:r>
    </w:p>
    <w:p w14:paraId="4462667E">
      <w:pPr>
        <w:spacing w:line="360" w:lineRule="auto"/>
        <w:jc w:val="right"/>
        <w:rPr>
          <w:rFonts w:hint="eastAsia" w:ascii="宋体" w:hAnsi="宋体" w:cs="宋体"/>
          <w:color w:val="auto"/>
          <w:sz w:val="24"/>
          <w:szCs w:val="24"/>
          <w:highlight w:val="none"/>
        </w:rPr>
      </w:pPr>
    </w:p>
    <w:p w14:paraId="2DB68AFF">
      <w:pPr>
        <w:spacing w:line="360" w:lineRule="auto"/>
        <w:jc w:val="right"/>
        <w:rPr>
          <w:rFonts w:hint="eastAsia" w:ascii="宋体" w:hAnsi="宋体" w:cs="宋体"/>
          <w:color w:val="auto"/>
          <w:sz w:val="24"/>
          <w:szCs w:val="24"/>
          <w:highlight w:val="none"/>
        </w:rPr>
      </w:pPr>
    </w:p>
    <w:p w14:paraId="39750D33">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注：附法定代表人身份证扫描件（正反面）。</w:t>
      </w:r>
    </w:p>
    <w:p w14:paraId="43378ADC">
      <w:pPr>
        <w:jc w:val="right"/>
        <w:rPr>
          <w:color w:val="auto"/>
          <w:sz w:val="21"/>
          <w:szCs w:val="21"/>
          <w:highlight w:val="none"/>
        </w:rPr>
      </w:pPr>
    </w:p>
    <w:p w14:paraId="2FEF5CFE">
      <w:pPr>
        <w:jc w:val="right"/>
        <w:rPr>
          <w:color w:val="auto"/>
          <w:sz w:val="21"/>
          <w:szCs w:val="21"/>
          <w:highlight w:val="none"/>
        </w:rPr>
      </w:pPr>
    </w:p>
    <w:p w14:paraId="4ACA0F35">
      <w:pPr>
        <w:jc w:val="right"/>
        <w:rPr>
          <w:color w:val="auto"/>
          <w:sz w:val="21"/>
          <w:szCs w:val="21"/>
          <w:highlight w:val="none"/>
        </w:rPr>
      </w:pPr>
    </w:p>
    <w:p w14:paraId="2ABF5BB8">
      <w:pPr>
        <w:jc w:val="right"/>
        <w:rPr>
          <w:color w:val="auto"/>
          <w:sz w:val="21"/>
          <w:szCs w:val="21"/>
          <w:highlight w:val="none"/>
        </w:rPr>
      </w:pPr>
    </w:p>
    <w:p w14:paraId="0DED8912">
      <w:pPr>
        <w:pStyle w:val="19"/>
        <w:spacing w:before="120" w:line="440" w:lineRule="exact"/>
        <w:rPr>
          <w:b/>
          <w:bCs/>
          <w:color w:val="auto"/>
          <w:sz w:val="21"/>
          <w:szCs w:val="21"/>
          <w:highlight w:val="none"/>
        </w:rPr>
        <w:sectPr>
          <w:pgSz w:w="11906" w:h="16838"/>
          <w:pgMar w:top="1134" w:right="1247" w:bottom="1134" w:left="1247" w:header="851" w:footer="992" w:gutter="0"/>
          <w:pgNumType w:fmt="decimal"/>
          <w:cols w:space="720" w:num="1"/>
          <w:docGrid w:linePitch="312" w:charSpace="0"/>
        </w:sectPr>
      </w:pPr>
      <w:bookmarkStart w:id="4704" w:name="_Toc866"/>
    </w:p>
    <w:p w14:paraId="49FCC1B7">
      <w:pPr>
        <w:pStyle w:val="19"/>
        <w:spacing w:before="120" w:line="440" w:lineRule="exact"/>
        <w:rPr>
          <w:b/>
          <w:bCs/>
          <w:color w:val="auto"/>
          <w:sz w:val="21"/>
          <w:szCs w:val="21"/>
          <w:highlight w:val="none"/>
        </w:rPr>
      </w:pPr>
      <w:r>
        <w:rPr>
          <w:rFonts w:hint="eastAsia"/>
          <w:b/>
          <w:bCs/>
          <w:color w:val="auto"/>
          <w:sz w:val="21"/>
          <w:szCs w:val="21"/>
          <w:highlight w:val="none"/>
        </w:rPr>
        <w:t>（实质性格式要求）</w:t>
      </w:r>
    </w:p>
    <w:p w14:paraId="41F9790C">
      <w:pPr>
        <w:pStyle w:val="3"/>
        <w:rPr>
          <w:rFonts w:hint="eastAsia" w:ascii="宋体" w:hAnsi="宋体" w:cs="宋体"/>
          <w:bCs/>
          <w:color w:val="auto"/>
          <w:sz w:val="24"/>
          <w:highlight w:val="none"/>
        </w:rPr>
      </w:pPr>
      <w:bookmarkStart w:id="4705" w:name="_Toc22840"/>
      <w:r>
        <w:rPr>
          <w:rFonts w:hint="eastAsia" w:ascii="宋体" w:hAnsi="宋体" w:cs="宋体"/>
          <w:bCs/>
          <w:color w:val="auto"/>
          <w:sz w:val="24"/>
          <w:highlight w:val="none"/>
        </w:rPr>
        <w:t>（三）授权委托书</w:t>
      </w:r>
      <w:bookmarkEnd w:id="4704"/>
      <w:bookmarkEnd w:id="4705"/>
    </w:p>
    <w:p w14:paraId="53DE5335">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（供应商名称）的法定代表人，现委托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（姓名）为我方代理人。代理人根据授权，以我方名义签署、澄清、说明、补正、递交、撤回、修改</w:t>
      </w:r>
      <w:r>
        <w:rPr>
          <w:rFonts w:hint="eastAsia" w:ascii="宋体" w:hAnsi="宋体" w:cs="宋体"/>
          <w:color w:val="auto"/>
          <w:sz w:val="24"/>
          <w:szCs w:val="24"/>
          <w:highlight w:val="none"/>
          <w:u w:val="single"/>
        </w:rPr>
        <w:t xml:space="preserve">                     （项目名称）              </w:t>
      </w:r>
      <w:r>
        <w:rPr>
          <w:rFonts w:hint="eastAsia" w:ascii="宋体" w:hAnsi="宋体" w:cs="宋体"/>
          <w:color w:val="auto"/>
          <w:sz w:val="24"/>
          <w:szCs w:val="24"/>
          <w:highlight w:val="none"/>
        </w:rPr>
        <w:t>竞争性磋商响应文件，其法律后果由我方承担。</w:t>
      </w:r>
    </w:p>
    <w:p w14:paraId="0D8C0340">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委托期限：</w:t>
      </w:r>
      <w:r>
        <w:rPr>
          <w:rFonts w:hint="eastAsia" w:ascii="宋体" w:hAnsi="宋体" w:cs="宋体"/>
          <w:color w:val="auto"/>
          <w:sz w:val="24"/>
          <w:szCs w:val="24"/>
          <w:highlight w:val="none"/>
          <w:u w:val="single"/>
        </w:rPr>
        <w:t xml:space="preserve">                                                      </w:t>
      </w:r>
    </w:p>
    <w:p w14:paraId="0138BE44">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4A0FEF55">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代理人无转委托权。</w:t>
      </w:r>
    </w:p>
    <w:p w14:paraId="58C8A7CE">
      <w:pPr>
        <w:spacing w:line="360" w:lineRule="auto"/>
        <w:ind w:firstLine="480" w:firstLineChars="200"/>
        <w:rPr>
          <w:rFonts w:hint="eastAsia" w:ascii="宋体" w:hAnsi="宋体" w:cs="宋体"/>
          <w:color w:val="auto"/>
          <w:sz w:val="24"/>
          <w:szCs w:val="24"/>
          <w:highlight w:val="none"/>
        </w:rPr>
      </w:pPr>
    </w:p>
    <w:p w14:paraId="1D028E79">
      <w:pPr>
        <w:spacing w:line="360" w:lineRule="auto"/>
        <w:ind w:firstLine="480" w:firstLineChars="200"/>
        <w:rPr>
          <w:rFonts w:hint="eastAsia" w:ascii="宋体" w:hAnsi="宋体" w:cs="宋体"/>
          <w:color w:val="auto"/>
          <w:sz w:val="24"/>
          <w:szCs w:val="24"/>
          <w:highlight w:val="none"/>
        </w:rPr>
      </w:pPr>
    </w:p>
    <w:p w14:paraId="15F7DCA9">
      <w:pPr>
        <w:spacing w:line="360" w:lineRule="auto"/>
        <w:ind w:firstLine="480" w:firstLineChars="200"/>
        <w:rPr>
          <w:rFonts w:hint="eastAsia" w:ascii="宋体" w:hAnsi="宋体" w:cs="宋体"/>
          <w:color w:val="auto"/>
          <w:sz w:val="24"/>
          <w:szCs w:val="24"/>
          <w:highlight w:val="none"/>
        </w:rPr>
      </w:pPr>
    </w:p>
    <w:p w14:paraId="1E7BE041">
      <w:pPr>
        <w:spacing w:line="360" w:lineRule="auto"/>
        <w:ind w:firstLine="480" w:firstLineChars="200"/>
        <w:rPr>
          <w:rFonts w:hint="eastAsia" w:ascii="宋体" w:hAnsi="宋体" w:cs="宋体"/>
          <w:color w:val="auto"/>
          <w:sz w:val="24"/>
          <w:szCs w:val="24"/>
          <w:highlight w:val="none"/>
        </w:rPr>
      </w:pPr>
    </w:p>
    <w:p w14:paraId="6D1980A6">
      <w:pPr>
        <w:wordWrap w:val="0"/>
        <w:spacing w:line="360" w:lineRule="auto"/>
        <w:ind w:firstLine="480" w:firstLineChars="20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供  应  商</w:t>
      </w:r>
      <w:r>
        <w:rPr>
          <w:rFonts w:hint="eastAsia" w:ascii="宋体" w:hAnsi="宋体" w:cs="宋体"/>
          <w:color w:val="auto"/>
          <w:sz w:val="24"/>
          <w:szCs w:val="24"/>
          <w:highlight w:val="none"/>
          <w:lang w:val="en-US" w:eastAsia="zh-CN"/>
        </w:rPr>
        <w:t xml:space="preserve"> 名 称</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olor w:val="auto"/>
          <w:sz w:val="24"/>
          <w:szCs w:val="24"/>
          <w:highlight w:val="none"/>
        </w:rPr>
        <w:t>电子签章</w:t>
      </w:r>
      <w:r>
        <w:rPr>
          <w:rFonts w:hint="eastAsia" w:ascii="宋体" w:hAnsi="宋体" w:cs="宋体"/>
          <w:color w:val="auto"/>
          <w:sz w:val="24"/>
          <w:szCs w:val="24"/>
          <w:highlight w:val="none"/>
        </w:rPr>
        <w:t>）</w:t>
      </w:r>
    </w:p>
    <w:p w14:paraId="217FF820">
      <w:pPr>
        <w:wordWrap w:val="0"/>
        <w:spacing w:line="360" w:lineRule="auto"/>
        <w:ind w:firstLine="480" w:firstLineChars="20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法定代表人（负责人）：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olor w:val="auto"/>
          <w:sz w:val="24"/>
          <w:szCs w:val="24"/>
          <w:highlight w:val="none"/>
        </w:rPr>
        <w:t>电子签</w:t>
      </w:r>
      <w:r>
        <w:rPr>
          <w:rFonts w:hint="eastAsia" w:ascii="宋体" w:hAnsi="宋体" w:cs="宋体"/>
          <w:color w:val="auto"/>
          <w:sz w:val="24"/>
          <w:szCs w:val="24"/>
          <w:highlight w:val="none"/>
        </w:rPr>
        <w:t>章）</w:t>
      </w:r>
    </w:p>
    <w:p w14:paraId="2163188F">
      <w:pPr>
        <w:wordWrap w:val="0"/>
        <w:spacing w:line="360" w:lineRule="auto"/>
        <w:ind w:right="44" w:firstLine="3120" w:firstLineChars="130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身份证号码：</w:t>
      </w:r>
      <w:r>
        <w:rPr>
          <w:rFonts w:hint="eastAsia" w:ascii="宋体" w:hAnsi="宋体" w:cs="宋体"/>
          <w:color w:val="auto"/>
          <w:sz w:val="24"/>
          <w:szCs w:val="24"/>
          <w:highlight w:val="none"/>
          <w:u w:val="single"/>
        </w:rPr>
        <w:t xml:space="preserve">                                       </w:t>
      </w:r>
    </w:p>
    <w:p w14:paraId="212F7D29">
      <w:pPr>
        <w:spacing w:line="360" w:lineRule="auto"/>
        <w:ind w:firstLine="480" w:firstLineChars="20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w:t>
      </w:r>
      <w:r>
        <w:rPr>
          <w:rFonts w:hint="eastAsia" w:ascii="宋体" w:hAnsi="宋体" w:cs="宋体"/>
          <w:color w:val="auto"/>
          <w:sz w:val="24"/>
          <w:szCs w:val="24"/>
          <w:highlight w:val="none"/>
          <w:lang w:val="en-US" w:eastAsia="zh-CN"/>
        </w:rPr>
        <w:t>字</w:t>
      </w:r>
      <w:r>
        <w:rPr>
          <w:rFonts w:hint="eastAsia" w:ascii="宋体" w:hAnsi="宋体" w:cs="宋体"/>
          <w:color w:val="auto"/>
          <w:sz w:val="24"/>
          <w:szCs w:val="24"/>
          <w:highlight w:val="none"/>
        </w:rPr>
        <w:t>或</w:t>
      </w:r>
      <w:r>
        <w:rPr>
          <w:rFonts w:hint="eastAsia" w:ascii="宋体" w:hAnsi="宋体" w:cs="宋体"/>
          <w:color w:val="auto"/>
          <w:sz w:val="24"/>
          <w:szCs w:val="24"/>
          <w:highlight w:val="none"/>
          <w:lang w:val="en-US" w:eastAsia="zh-CN"/>
        </w:rPr>
        <w:t>签</w:t>
      </w:r>
      <w:r>
        <w:rPr>
          <w:rFonts w:hint="eastAsia" w:ascii="宋体" w:hAnsi="宋体" w:cs="宋体"/>
          <w:color w:val="auto"/>
          <w:sz w:val="24"/>
          <w:szCs w:val="24"/>
          <w:highlight w:val="none"/>
        </w:rPr>
        <w:t>章）</w:t>
      </w:r>
    </w:p>
    <w:p w14:paraId="3EB54985">
      <w:pPr>
        <w:tabs>
          <w:tab w:val="left" w:pos="8460"/>
        </w:tabs>
        <w:wordWrap w:val="0"/>
        <w:spacing w:line="360" w:lineRule="auto"/>
        <w:ind w:right="44" w:firstLine="3120" w:firstLineChars="1300"/>
        <w:jc w:val="both"/>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身份证号码：</w:t>
      </w:r>
      <w:r>
        <w:rPr>
          <w:rFonts w:hint="eastAsia" w:ascii="宋体" w:hAnsi="宋体" w:cs="宋体"/>
          <w:color w:val="auto"/>
          <w:sz w:val="24"/>
          <w:szCs w:val="24"/>
          <w:highlight w:val="none"/>
          <w:u w:val="single"/>
        </w:rPr>
        <w:t xml:space="preserve">                                      </w:t>
      </w:r>
    </w:p>
    <w:p w14:paraId="5D5145AB">
      <w:pPr>
        <w:spacing w:line="360" w:lineRule="auto"/>
        <w:ind w:right="420" w:firstLine="5400" w:firstLineChars="2250"/>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4B1D970A">
      <w:pPr>
        <w:spacing w:line="360" w:lineRule="auto"/>
        <w:ind w:right="420" w:firstLine="5400" w:firstLineChars="2250"/>
        <w:rPr>
          <w:rFonts w:hint="eastAsia" w:ascii="宋体" w:hAnsi="宋体" w:cs="宋体"/>
          <w:color w:val="auto"/>
          <w:sz w:val="24"/>
          <w:szCs w:val="24"/>
          <w:highlight w:val="none"/>
        </w:rPr>
      </w:pPr>
    </w:p>
    <w:p w14:paraId="59FB4F2A">
      <w:pPr>
        <w:spacing w:line="360" w:lineRule="auto"/>
        <w:ind w:right="420" w:firstLine="5400" w:firstLineChars="2250"/>
        <w:rPr>
          <w:rFonts w:hint="eastAsia" w:ascii="宋体" w:hAnsi="宋体" w:cs="宋体"/>
          <w:color w:val="auto"/>
          <w:sz w:val="24"/>
          <w:szCs w:val="24"/>
          <w:highlight w:val="none"/>
        </w:rPr>
      </w:pPr>
    </w:p>
    <w:p w14:paraId="658F7808">
      <w:pPr>
        <w:spacing w:line="360" w:lineRule="auto"/>
        <w:ind w:right="420"/>
        <w:jc w:val="both"/>
        <w:rPr>
          <w:rFonts w:hint="eastAsia" w:ascii="宋体" w:hAnsi="宋体" w:cs="宋体"/>
          <w:b/>
          <w:color w:val="auto"/>
          <w:sz w:val="24"/>
          <w:szCs w:val="24"/>
          <w:highlight w:val="none"/>
        </w:rPr>
      </w:pPr>
      <w:r>
        <w:rPr>
          <w:rFonts w:hint="eastAsia" w:ascii="宋体" w:hAnsi="宋体" w:cs="宋体"/>
          <w:b/>
          <w:color w:val="auto"/>
          <w:sz w:val="24"/>
          <w:szCs w:val="24"/>
          <w:highlight w:val="none"/>
        </w:rPr>
        <w:t>注：1、附授权委托人身份证扫描件（正反面）。</w:t>
      </w:r>
    </w:p>
    <w:p w14:paraId="3057CC1F">
      <w:pPr>
        <w:spacing w:line="360" w:lineRule="auto"/>
        <w:ind w:right="420" w:firstLine="410" w:firstLineChars="170"/>
        <w:jc w:val="both"/>
        <w:rPr>
          <w:rFonts w:hint="eastAsia" w:ascii="宋体" w:hAnsi="宋体" w:cs="宋体"/>
          <w:b/>
          <w:color w:val="auto"/>
          <w:sz w:val="24"/>
          <w:szCs w:val="24"/>
          <w:highlight w:val="none"/>
        </w:rPr>
      </w:pPr>
      <w:r>
        <w:rPr>
          <w:rFonts w:hint="eastAsia" w:ascii="宋体" w:hAnsi="宋体" w:cs="宋体"/>
          <w:b/>
          <w:color w:val="auto"/>
          <w:sz w:val="24"/>
          <w:szCs w:val="24"/>
          <w:highlight w:val="none"/>
        </w:rPr>
        <w:t>2、如供应商由法定代表人亲自签署响应文件并参与相关活动，则不需要办理授权。如有被授权的代理人签署上述文件，则必须按本格式规定填报并提交授权书，否则被授权的代理人将不被认可。</w:t>
      </w:r>
    </w:p>
    <w:p w14:paraId="014E262B">
      <w:pPr>
        <w:spacing w:line="360" w:lineRule="auto"/>
        <w:ind w:right="420" w:firstLine="410" w:firstLineChars="170"/>
        <w:jc w:val="both"/>
        <w:rPr>
          <w:rFonts w:hint="eastAsia" w:ascii="宋体" w:hAnsi="宋体" w:cs="宋体"/>
          <w:b/>
          <w:color w:val="auto"/>
          <w:sz w:val="24"/>
          <w:szCs w:val="24"/>
          <w:highlight w:val="none"/>
        </w:rPr>
        <w:sectPr>
          <w:pgSz w:w="11906" w:h="16838"/>
          <w:pgMar w:top="1134" w:right="1247" w:bottom="1134" w:left="1247" w:header="851" w:footer="992" w:gutter="0"/>
          <w:pgNumType w:fmt="decimal"/>
          <w:cols w:space="720" w:num="1"/>
          <w:docGrid w:linePitch="312" w:charSpace="0"/>
        </w:sectPr>
      </w:pPr>
      <w:r>
        <w:rPr>
          <w:rFonts w:hint="eastAsia" w:ascii="宋体" w:hAnsi="宋体" w:cs="宋体"/>
          <w:b/>
          <w:color w:val="auto"/>
          <w:sz w:val="24"/>
          <w:szCs w:val="24"/>
          <w:highlight w:val="none"/>
        </w:rPr>
        <w:t>3、本授权委托书配合法定代表人身份证明书使用方可生效。</w:t>
      </w:r>
    </w:p>
    <w:p w14:paraId="3E460783">
      <w:pPr>
        <w:adjustRightInd w:val="0"/>
        <w:snapToGrid w:val="0"/>
        <w:spacing w:line="360" w:lineRule="auto"/>
        <w:jc w:val="center"/>
        <w:rPr>
          <w:rFonts w:hint="eastAsia" w:ascii="宋体" w:hAnsi="宋体"/>
          <w:color w:val="auto"/>
          <w:sz w:val="24"/>
          <w:szCs w:val="24"/>
          <w:highlight w:val="none"/>
        </w:rPr>
      </w:pPr>
      <w:r>
        <w:rPr>
          <w:rFonts w:hint="eastAsia" w:ascii="宋体" w:hAnsi="宋体" w:cs="宋体"/>
          <w:b/>
          <w:color w:val="auto"/>
          <w:sz w:val="30"/>
          <w:szCs w:val="30"/>
          <w:highlight w:val="none"/>
        </w:rPr>
        <w:t>（四）</w:t>
      </w:r>
      <w:r>
        <w:rPr>
          <w:rFonts w:hint="eastAsia" w:ascii="宋体" w:hAnsi="宋体" w:cs="宋体"/>
          <w:b/>
          <w:color w:val="auto"/>
          <w:sz w:val="30"/>
          <w:szCs w:val="30"/>
          <w:highlight w:val="none"/>
          <w:lang w:val="en-US" w:eastAsia="zh-CN"/>
        </w:rPr>
        <w:t>磋商</w:t>
      </w:r>
      <w:r>
        <w:rPr>
          <w:rFonts w:hint="eastAsia" w:ascii="宋体" w:hAnsi="宋体" w:cs="宋体"/>
          <w:b/>
          <w:color w:val="auto"/>
          <w:sz w:val="30"/>
          <w:szCs w:val="30"/>
          <w:highlight w:val="none"/>
        </w:rPr>
        <w:t>保证金凭证/交款单据电子件</w:t>
      </w:r>
    </w:p>
    <w:p w14:paraId="1C57E452">
      <w:pPr>
        <w:pStyle w:val="3"/>
        <w:numPr>
          <w:ilvl w:val="0"/>
          <w:numId w:val="9"/>
        </w:numPr>
        <w:rPr>
          <w:rFonts w:hint="eastAsia" w:ascii="宋体" w:hAnsi="宋体" w:cs="宋体"/>
          <w:color w:val="auto"/>
          <w:szCs w:val="30"/>
          <w:highlight w:val="none"/>
        </w:rPr>
        <w:sectPr>
          <w:pgSz w:w="11906" w:h="16838"/>
          <w:pgMar w:top="1440" w:right="1440" w:bottom="1440" w:left="1440" w:header="851" w:footer="992" w:gutter="0"/>
          <w:pgNumType w:fmt="decimal"/>
          <w:cols w:space="720" w:num="1"/>
          <w:docGrid w:type="lines" w:linePitch="312" w:charSpace="0"/>
        </w:sectPr>
      </w:pPr>
    </w:p>
    <w:p w14:paraId="12FCA667">
      <w:pPr>
        <w:keepNext/>
        <w:keepLines/>
        <w:adjustRightInd w:val="0"/>
        <w:snapToGrid w:val="0"/>
        <w:spacing w:line="360" w:lineRule="auto"/>
        <w:jc w:val="center"/>
        <w:outlineLvl w:val="1"/>
        <w:rPr>
          <w:rFonts w:hint="default" w:ascii="宋体" w:hAnsi="宋体" w:eastAsia="宋体" w:cs="宋体"/>
          <w:b/>
          <w:color w:val="auto"/>
          <w:spacing w:val="40"/>
          <w:sz w:val="32"/>
          <w:szCs w:val="32"/>
          <w:highlight w:val="none"/>
          <w:lang w:val="en-US" w:eastAsia="zh-CN"/>
        </w:rPr>
      </w:pPr>
      <w:bookmarkStart w:id="4706" w:name="_Toc25216"/>
      <w:r>
        <w:rPr>
          <w:rFonts w:hint="eastAsia" w:ascii="宋体" w:hAnsi="宋体" w:cs="宋体"/>
          <w:b/>
          <w:color w:val="auto"/>
          <w:sz w:val="30"/>
          <w:szCs w:val="30"/>
          <w:highlight w:val="none"/>
        </w:rPr>
        <w:t>（五）</w:t>
      </w:r>
      <w:r>
        <w:rPr>
          <w:rFonts w:hint="eastAsia" w:ascii="宋体" w:hAnsi="宋体" w:cs="宋体"/>
          <w:b/>
          <w:color w:val="auto"/>
          <w:spacing w:val="40"/>
          <w:sz w:val="32"/>
          <w:szCs w:val="32"/>
          <w:highlight w:val="none"/>
          <w:lang w:val="en-US" w:eastAsia="zh-CN"/>
        </w:rPr>
        <w:t>技术及商务部分</w:t>
      </w:r>
      <w:bookmarkEnd w:id="4706"/>
    </w:p>
    <w:p w14:paraId="2007FD8A">
      <w:pPr>
        <w:adjustRightInd w:val="0"/>
        <w:snapToGrid w:val="0"/>
        <w:spacing w:line="360" w:lineRule="auto"/>
        <w:rPr>
          <w:rFonts w:hint="eastAsia" w:ascii="宋体" w:hAnsi="宋体" w:cs="宋体"/>
          <w:color w:val="auto"/>
          <w:sz w:val="24"/>
          <w:szCs w:val="24"/>
          <w:highlight w:val="none"/>
        </w:rPr>
      </w:pPr>
    </w:p>
    <w:p w14:paraId="16F0B6F9">
      <w:pPr>
        <w:adjustRightInd w:val="0"/>
        <w:snapToGrid w:val="0"/>
        <w:spacing w:line="360" w:lineRule="auto"/>
        <w:rPr>
          <w:rFonts w:hint="eastAsia" w:ascii="宋体" w:hAnsi="宋体" w:cs="宋体"/>
          <w:color w:val="auto"/>
          <w:sz w:val="24"/>
          <w:szCs w:val="24"/>
          <w:highlight w:val="none"/>
        </w:rPr>
      </w:pPr>
      <w:bookmarkStart w:id="4707" w:name="_Hlk100840443"/>
      <w:r>
        <w:rPr>
          <w:rFonts w:hint="eastAsia" w:ascii="宋体" w:hAnsi="宋体" w:cs="宋体"/>
          <w:color w:val="auto"/>
          <w:sz w:val="24"/>
          <w:szCs w:val="24"/>
          <w:highlight w:val="none"/>
        </w:rPr>
        <w:t>供应商应当就以下内容进行阐述，排版及格式自拟：</w:t>
      </w:r>
    </w:p>
    <w:bookmarkEnd w:id="4707"/>
    <w:p w14:paraId="1FFBFA5A">
      <w:pPr>
        <w:numPr>
          <w:ilvl w:val="0"/>
          <w:numId w:val="10"/>
        </w:numPr>
        <w:adjustRightInd w:val="0"/>
        <w:snapToGrid w:val="0"/>
        <w:spacing w:line="360" w:lineRule="auto"/>
        <w:rPr>
          <w:rFonts w:hint="eastAsia" w:ascii="宋体" w:hAnsi="宋体" w:cs="宋体"/>
          <w:snapToGrid w:val="0"/>
          <w:color w:val="auto"/>
          <w:sz w:val="24"/>
          <w:szCs w:val="24"/>
          <w:highlight w:val="none"/>
        </w:rPr>
      </w:pPr>
      <w:r>
        <w:rPr>
          <w:rFonts w:hint="eastAsia" w:ascii="宋体" w:hAnsi="宋体" w:cs="宋体"/>
          <w:snapToGrid w:val="0"/>
          <w:color w:val="auto"/>
          <w:sz w:val="24"/>
          <w:szCs w:val="24"/>
          <w:highlight w:val="none"/>
        </w:rPr>
        <w:t>施工技术方案</w:t>
      </w:r>
    </w:p>
    <w:p w14:paraId="287E4377">
      <w:pPr>
        <w:numPr>
          <w:ilvl w:val="0"/>
          <w:numId w:val="10"/>
        </w:numPr>
        <w:adjustRightInd w:val="0"/>
        <w:snapToGrid w:val="0"/>
        <w:spacing w:line="360" w:lineRule="auto"/>
        <w:rPr>
          <w:rFonts w:hint="eastAsia" w:ascii="宋体" w:hAnsi="宋体" w:cs="宋体"/>
          <w:snapToGrid w:val="0"/>
          <w:color w:val="auto"/>
          <w:sz w:val="24"/>
          <w:szCs w:val="24"/>
          <w:highlight w:val="none"/>
          <w:lang w:eastAsia="zh-CN"/>
        </w:rPr>
      </w:pPr>
      <w:r>
        <w:rPr>
          <w:rFonts w:hint="eastAsia" w:ascii="宋体" w:hAnsi="宋体" w:cs="宋体"/>
          <w:snapToGrid w:val="0"/>
          <w:color w:val="auto"/>
          <w:sz w:val="24"/>
          <w:szCs w:val="24"/>
          <w:highlight w:val="none"/>
        </w:rPr>
        <w:t>工期承诺和保障措施</w:t>
      </w:r>
    </w:p>
    <w:p w14:paraId="35775E57">
      <w:pPr>
        <w:numPr>
          <w:ilvl w:val="0"/>
          <w:numId w:val="10"/>
        </w:numPr>
        <w:adjustRightInd w:val="0"/>
        <w:snapToGrid w:val="0"/>
        <w:spacing w:line="360" w:lineRule="auto"/>
        <w:rPr>
          <w:rFonts w:hint="eastAsia" w:ascii="宋体" w:hAnsi="宋体" w:cs="宋体"/>
          <w:snapToGrid w:val="0"/>
          <w:color w:val="auto"/>
          <w:sz w:val="24"/>
          <w:szCs w:val="24"/>
          <w:highlight w:val="none"/>
          <w:lang w:eastAsia="zh-CN"/>
        </w:rPr>
      </w:pPr>
      <w:r>
        <w:rPr>
          <w:rFonts w:hint="eastAsia" w:ascii="宋体" w:hAnsi="宋体" w:cs="宋体"/>
          <w:snapToGrid w:val="0"/>
          <w:color w:val="auto"/>
          <w:sz w:val="24"/>
          <w:szCs w:val="24"/>
          <w:highlight w:val="none"/>
          <w:lang w:eastAsia="zh-CN"/>
        </w:rPr>
        <w:t>质量承诺及保证措施</w:t>
      </w:r>
    </w:p>
    <w:p w14:paraId="535EB97C">
      <w:pPr>
        <w:numPr>
          <w:ilvl w:val="0"/>
          <w:numId w:val="10"/>
        </w:numPr>
        <w:adjustRightInd w:val="0"/>
        <w:snapToGrid w:val="0"/>
        <w:spacing w:line="360" w:lineRule="auto"/>
        <w:rPr>
          <w:rFonts w:hint="eastAsia" w:ascii="宋体" w:hAnsi="宋体" w:cs="宋体"/>
          <w:snapToGrid w:val="0"/>
          <w:color w:val="auto"/>
          <w:sz w:val="24"/>
          <w:szCs w:val="24"/>
          <w:highlight w:val="none"/>
          <w:lang w:eastAsia="zh-CN"/>
        </w:rPr>
      </w:pPr>
      <w:r>
        <w:rPr>
          <w:rFonts w:hint="eastAsia" w:ascii="宋体" w:hAnsi="宋体" w:cs="宋体"/>
          <w:snapToGrid w:val="0"/>
          <w:color w:val="auto"/>
          <w:sz w:val="24"/>
          <w:szCs w:val="24"/>
          <w:highlight w:val="none"/>
          <w:lang w:eastAsia="zh-CN"/>
        </w:rPr>
        <w:t>安全文明施工保证措施</w:t>
      </w:r>
    </w:p>
    <w:p w14:paraId="345268EF">
      <w:pPr>
        <w:numPr>
          <w:ilvl w:val="0"/>
          <w:numId w:val="10"/>
        </w:numPr>
        <w:adjustRightInd w:val="0"/>
        <w:snapToGrid w:val="0"/>
        <w:spacing w:line="360" w:lineRule="auto"/>
        <w:rPr>
          <w:rFonts w:hint="eastAsia" w:ascii="宋体" w:hAnsi="宋体" w:cs="宋体"/>
          <w:snapToGrid w:val="0"/>
          <w:color w:val="auto"/>
          <w:sz w:val="24"/>
          <w:szCs w:val="24"/>
          <w:highlight w:val="none"/>
          <w:lang w:eastAsia="zh-CN"/>
        </w:rPr>
      </w:pPr>
      <w:r>
        <w:rPr>
          <w:rFonts w:hint="eastAsia" w:ascii="宋体" w:hAnsi="宋体" w:cs="宋体"/>
          <w:snapToGrid w:val="0"/>
          <w:color w:val="auto"/>
          <w:sz w:val="24"/>
          <w:szCs w:val="24"/>
          <w:highlight w:val="none"/>
          <w:lang w:eastAsia="zh-CN"/>
        </w:rPr>
        <w:t>项目管理人员配置</w:t>
      </w:r>
    </w:p>
    <w:p w14:paraId="227942AF">
      <w:pPr>
        <w:numPr>
          <w:ilvl w:val="0"/>
          <w:numId w:val="10"/>
        </w:numPr>
        <w:adjustRightInd w:val="0"/>
        <w:snapToGrid w:val="0"/>
        <w:spacing w:line="360" w:lineRule="auto"/>
        <w:rPr>
          <w:rFonts w:hint="default" w:ascii="宋体" w:hAnsi="宋体" w:cs="宋体"/>
          <w:snapToGrid w:val="0"/>
          <w:color w:val="auto"/>
          <w:sz w:val="24"/>
          <w:szCs w:val="24"/>
          <w:highlight w:val="none"/>
          <w:lang w:val="en-US" w:eastAsia="zh-CN"/>
        </w:rPr>
      </w:pPr>
      <w:r>
        <w:rPr>
          <w:rFonts w:hint="default" w:ascii="宋体" w:hAnsi="宋体" w:cs="宋体"/>
          <w:snapToGrid w:val="0"/>
          <w:color w:val="auto"/>
          <w:sz w:val="24"/>
          <w:szCs w:val="24"/>
          <w:highlight w:val="none"/>
          <w:lang w:val="en-US" w:eastAsia="zh-CN"/>
        </w:rPr>
        <w:t>劳动力安排、施工机械和材料投入</w:t>
      </w:r>
    </w:p>
    <w:p w14:paraId="6E9FD13A">
      <w:pPr>
        <w:pStyle w:val="8"/>
        <w:rPr>
          <w:rFonts w:hint="default"/>
          <w:color w:val="auto"/>
          <w:highlight w:val="none"/>
          <w:lang w:val="en-US" w:eastAsia="zh-CN"/>
        </w:rPr>
      </w:pPr>
    </w:p>
    <w:p w14:paraId="443B60CF">
      <w:pPr>
        <w:rPr>
          <w:rFonts w:hint="default"/>
          <w:color w:val="auto"/>
          <w:highlight w:val="none"/>
          <w:lang w:val="en-US" w:eastAsia="zh-CN"/>
        </w:rPr>
      </w:pPr>
    </w:p>
    <w:p w14:paraId="4983F15E">
      <w:pPr>
        <w:pStyle w:val="8"/>
        <w:rPr>
          <w:rFonts w:hint="default"/>
          <w:color w:val="auto"/>
          <w:highlight w:val="none"/>
          <w:lang w:val="en-US" w:eastAsia="zh-CN"/>
        </w:rPr>
      </w:pPr>
    </w:p>
    <w:p w14:paraId="16E94625">
      <w:pPr>
        <w:rPr>
          <w:rFonts w:hint="default"/>
          <w:color w:val="auto"/>
          <w:highlight w:val="none"/>
          <w:lang w:val="en-US" w:eastAsia="zh-CN"/>
        </w:rPr>
      </w:pPr>
    </w:p>
    <w:p w14:paraId="090505D8">
      <w:pPr>
        <w:pStyle w:val="8"/>
        <w:rPr>
          <w:rFonts w:hint="default"/>
          <w:color w:val="auto"/>
          <w:highlight w:val="none"/>
          <w:lang w:val="en-US" w:eastAsia="zh-CN"/>
        </w:rPr>
      </w:pPr>
    </w:p>
    <w:p w14:paraId="108E41F4">
      <w:pPr>
        <w:rPr>
          <w:rFonts w:hint="default"/>
          <w:color w:val="auto"/>
          <w:highlight w:val="none"/>
          <w:lang w:val="en-US" w:eastAsia="zh-CN"/>
        </w:rPr>
      </w:pPr>
    </w:p>
    <w:p w14:paraId="711AE8CA">
      <w:pPr>
        <w:pStyle w:val="8"/>
        <w:rPr>
          <w:rFonts w:hint="default"/>
          <w:color w:val="auto"/>
          <w:highlight w:val="none"/>
          <w:lang w:val="en-US" w:eastAsia="zh-CN"/>
        </w:rPr>
      </w:pPr>
    </w:p>
    <w:p w14:paraId="4748AAA4">
      <w:pPr>
        <w:rPr>
          <w:rFonts w:hint="default"/>
          <w:color w:val="auto"/>
          <w:highlight w:val="none"/>
          <w:lang w:val="en-US" w:eastAsia="zh-CN"/>
        </w:rPr>
      </w:pPr>
    </w:p>
    <w:p w14:paraId="249549D2">
      <w:pPr>
        <w:pStyle w:val="8"/>
        <w:rPr>
          <w:rFonts w:hint="default"/>
          <w:color w:val="auto"/>
          <w:highlight w:val="none"/>
          <w:lang w:val="en-US" w:eastAsia="zh-CN"/>
        </w:rPr>
      </w:pPr>
    </w:p>
    <w:p w14:paraId="666B24ED">
      <w:pPr>
        <w:rPr>
          <w:rFonts w:hint="default"/>
          <w:color w:val="auto"/>
          <w:highlight w:val="none"/>
          <w:lang w:val="en-US" w:eastAsia="zh-CN"/>
        </w:rPr>
      </w:pPr>
    </w:p>
    <w:p w14:paraId="00C0D35D">
      <w:pPr>
        <w:pStyle w:val="8"/>
        <w:rPr>
          <w:rFonts w:hint="default"/>
          <w:color w:val="auto"/>
          <w:highlight w:val="none"/>
          <w:lang w:val="en-US" w:eastAsia="zh-CN"/>
        </w:rPr>
      </w:pPr>
    </w:p>
    <w:p w14:paraId="2E0A6A5D">
      <w:pPr>
        <w:rPr>
          <w:rFonts w:hint="default"/>
          <w:color w:val="auto"/>
          <w:highlight w:val="none"/>
          <w:lang w:val="en-US" w:eastAsia="zh-CN"/>
        </w:rPr>
      </w:pPr>
    </w:p>
    <w:p w14:paraId="504AF17F">
      <w:pPr>
        <w:pStyle w:val="8"/>
        <w:rPr>
          <w:rFonts w:hint="default"/>
          <w:color w:val="auto"/>
          <w:highlight w:val="none"/>
          <w:lang w:val="en-US" w:eastAsia="zh-CN"/>
        </w:rPr>
      </w:pPr>
    </w:p>
    <w:p w14:paraId="4BE0AA63">
      <w:pPr>
        <w:rPr>
          <w:rFonts w:hint="default"/>
          <w:color w:val="auto"/>
          <w:highlight w:val="none"/>
          <w:lang w:val="en-US" w:eastAsia="zh-CN"/>
        </w:rPr>
      </w:pPr>
    </w:p>
    <w:p w14:paraId="0BE1B707">
      <w:pPr>
        <w:pStyle w:val="8"/>
        <w:rPr>
          <w:rFonts w:hint="default"/>
          <w:color w:val="auto"/>
          <w:highlight w:val="none"/>
          <w:lang w:val="en-US" w:eastAsia="zh-CN"/>
        </w:rPr>
      </w:pPr>
    </w:p>
    <w:p w14:paraId="3A6EE1DE">
      <w:pPr>
        <w:rPr>
          <w:rFonts w:hint="default"/>
          <w:color w:val="auto"/>
          <w:highlight w:val="none"/>
          <w:lang w:val="en-US" w:eastAsia="zh-CN"/>
        </w:rPr>
      </w:pPr>
    </w:p>
    <w:p w14:paraId="62780465">
      <w:pPr>
        <w:pStyle w:val="8"/>
        <w:rPr>
          <w:rFonts w:hint="default"/>
          <w:color w:val="auto"/>
          <w:highlight w:val="none"/>
          <w:lang w:val="en-US" w:eastAsia="zh-CN"/>
        </w:rPr>
      </w:pPr>
    </w:p>
    <w:p w14:paraId="37B34F2D">
      <w:pPr>
        <w:rPr>
          <w:rFonts w:hint="default"/>
          <w:color w:val="auto"/>
          <w:highlight w:val="none"/>
          <w:lang w:val="en-US" w:eastAsia="zh-CN"/>
        </w:rPr>
      </w:pPr>
    </w:p>
    <w:p w14:paraId="0E293801">
      <w:pPr>
        <w:pStyle w:val="8"/>
        <w:rPr>
          <w:rFonts w:hint="default"/>
          <w:color w:val="auto"/>
          <w:highlight w:val="none"/>
          <w:lang w:val="en-US" w:eastAsia="zh-CN"/>
        </w:rPr>
      </w:pPr>
    </w:p>
    <w:p w14:paraId="4169466C">
      <w:pPr>
        <w:rPr>
          <w:rFonts w:hint="default"/>
          <w:color w:val="auto"/>
          <w:highlight w:val="none"/>
          <w:lang w:val="en-US" w:eastAsia="zh-CN"/>
        </w:rPr>
      </w:pPr>
    </w:p>
    <w:p w14:paraId="77B4947E">
      <w:pPr>
        <w:pStyle w:val="8"/>
        <w:rPr>
          <w:rFonts w:hint="default"/>
          <w:color w:val="auto"/>
          <w:highlight w:val="none"/>
          <w:lang w:val="en-US" w:eastAsia="zh-CN"/>
        </w:rPr>
      </w:pPr>
    </w:p>
    <w:p w14:paraId="73934463">
      <w:pPr>
        <w:rPr>
          <w:rFonts w:hint="default"/>
          <w:color w:val="auto"/>
          <w:highlight w:val="none"/>
          <w:lang w:val="en-US" w:eastAsia="zh-CN"/>
        </w:rPr>
      </w:pPr>
    </w:p>
    <w:p w14:paraId="1717A8E8">
      <w:pPr>
        <w:pStyle w:val="8"/>
        <w:rPr>
          <w:rFonts w:hint="default"/>
          <w:color w:val="auto"/>
          <w:highlight w:val="none"/>
          <w:lang w:val="en-US" w:eastAsia="zh-CN"/>
        </w:rPr>
      </w:pPr>
    </w:p>
    <w:p w14:paraId="553EA3BB">
      <w:pPr>
        <w:rPr>
          <w:rFonts w:hint="default"/>
          <w:color w:val="auto"/>
          <w:highlight w:val="none"/>
          <w:lang w:val="en-US" w:eastAsia="zh-CN"/>
        </w:rPr>
      </w:pPr>
    </w:p>
    <w:p w14:paraId="5AD3EB73">
      <w:pPr>
        <w:pStyle w:val="8"/>
        <w:rPr>
          <w:rFonts w:hint="default"/>
          <w:color w:val="auto"/>
          <w:highlight w:val="none"/>
          <w:lang w:val="en-US" w:eastAsia="zh-CN"/>
        </w:rPr>
      </w:pPr>
    </w:p>
    <w:p w14:paraId="466EE6D5">
      <w:pPr>
        <w:rPr>
          <w:rFonts w:hint="default"/>
          <w:color w:val="auto"/>
          <w:highlight w:val="none"/>
          <w:lang w:val="en-US" w:eastAsia="zh-CN"/>
        </w:rPr>
      </w:pPr>
    </w:p>
    <w:p w14:paraId="12FCC91A">
      <w:pPr>
        <w:pStyle w:val="8"/>
        <w:rPr>
          <w:rFonts w:hint="default"/>
          <w:color w:val="auto"/>
          <w:highlight w:val="none"/>
          <w:lang w:val="en-US" w:eastAsia="zh-CN"/>
        </w:rPr>
      </w:pPr>
    </w:p>
    <w:p w14:paraId="7B878EF5">
      <w:pPr>
        <w:rPr>
          <w:rFonts w:hint="default"/>
          <w:color w:val="auto"/>
          <w:highlight w:val="none"/>
          <w:lang w:val="en-US" w:eastAsia="zh-CN"/>
        </w:rPr>
      </w:pPr>
    </w:p>
    <w:p w14:paraId="5B8AEBAF">
      <w:pPr>
        <w:pStyle w:val="8"/>
        <w:rPr>
          <w:rFonts w:hint="default"/>
          <w:color w:val="auto"/>
          <w:highlight w:val="none"/>
          <w:lang w:val="en-US" w:eastAsia="zh-CN"/>
        </w:rPr>
      </w:pPr>
    </w:p>
    <w:p w14:paraId="4B5EA2F9">
      <w:pP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br w:type="page"/>
      </w:r>
    </w:p>
    <w:p w14:paraId="2878F08C">
      <w:pPr>
        <w:bidi w:val="0"/>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附表</w:t>
      </w:r>
      <w:r>
        <w:rPr>
          <w:rFonts w:hint="eastAsia" w:cs="仿宋"/>
          <w:b/>
          <w:bCs/>
          <w:color w:val="auto"/>
          <w:highlight w:val="none"/>
          <w:lang w:val="en-US" w:eastAsia="zh-CN"/>
        </w:rPr>
        <w:t>1（</w:t>
      </w:r>
      <w:r>
        <w:rPr>
          <w:rFonts w:hint="eastAsia" w:ascii="仿宋" w:hAnsi="仿宋" w:eastAsia="仿宋" w:cs="仿宋"/>
          <w:b/>
          <w:bCs/>
          <w:color w:val="auto"/>
          <w:highlight w:val="none"/>
          <w:lang w:val="en-US" w:eastAsia="zh-CN"/>
        </w:rPr>
        <w:t>格式参考</w:t>
      </w:r>
      <w:r>
        <w:rPr>
          <w:rFonts w:hint="eastAsia" w:cs="仿宋"/>
          <w:b/>
          <w:bCs/>
          <w:color w:val="auto"/>
          <w:highlight w:val="none"/>
          <w:lang w:val="en-US" w:eastAsia="zh-CN"/>
        </w:rPr>
        <w:t>）</w:t>
      </w:r>
      <w:r>
        <w:rPr>
          <w:rFonts w:hint="eastAsia" w:ascii="仿宋" w:hAnsi="仿宋" w:eastAsia="仿宋" w:cs="仿宋"/>
          <w:b/>
          <w:bCs/>
          <w:color w:val="auto"/>
          <w:highlight w:val="none"/>
          <w:lang w:val="en-US" w:eastAsia="zh-CN"/>
        </w:rPr>
        <w:t>：</w:t>
      </w:r>
    </w:p>
    <w:p w14:paraId="2DD97674">
      <w:pPr>
        <w:bidi w:val="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人员配置表</w:t>
      </w:r>
    </w:p>
    <w:p w14:paraId="7F99269A">
      <w:pPr>
        <w:bidi w:val="0"/>
        <w:rPr>
          <w:rFonts w:hint="eastAsia" w:ascii="仿宋" w:hAnsi="仿宋" w:eastAsia="仿宋" w:cs="仿宋"/>
          <w:color w:val="auto"/>
          <w:highlight w:val="none"/>
        </w:rPr>
      </w:pPr>
    </w:p>
    <w:tbl>
      <w:tblPr>
        <w:tblStyle w:val="28"/>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
        <w:gridCol w:w="1276"/>
        <w:gridCol w:w="1619"/>
        <w:gridCol w:w="2050"/>
        <w:gridCol w:w="1344"/>
        <w:gridCol w:w="2001"/>
      </w:tblGrid>
      <w:tr w14:paraId="5382D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vMerge w:val="restart"/>
            <w:tcBorders>
              <w:tl2br w:val="nil"/>
              <w:tr2bl w:val="nil"/>
            </w:tcBorders>
            <w:noWrap w:val="0"/>
            <w:vAlign w:val="center"/>
          </w:tcPr>
          <w:p w14:paraId="713A89E2">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序号</w:t>
            </w:r>
          </w:p>
        </w:tc>
        <w:tc>
          <w:tcPr>
            <w:tcW w:w="1276" w:type="dxa"/>
            <w:vMerge w:val="restart"/>
            <w:tcBorders>
              <w:tl2br w:val="nil"/>
              <w:tr2bl w:val="nil"/>
            </w:tcBorders>
            <w:noWrap w:val="0"/>
            <w:vAlign w:val="center"/>
          </w:tcPr>
          <w:p w14:paraId="03F7BA17">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姓名</w:t>
            </w:r>
          </w:p>
        </w:tc>
        <w:tc>
          <w:tcPr>
            <w:tcW w:w="5013" w:type="dxa"/>
            <w:gridSpan w:val="3"/>
            <w:tcBorders>
              <w:tl2br w:val="nil"/>
              <w:tr2bl w:val="nil"/>
            </w:tcBorders>
            <w:noWrap w:val="0"/>
            <w:vAlign w:val="center"/>
          </w:tcPr>
          <w:p w14:paraId="47A5B938">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执业</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职业资格</w:t>
            </w:r>
            <w:r>
              <w:rPr>
                <w:rFonts w:hint="eastAsia" w:ascii="宋体" w:hAnsi="宋体" w:eastAsia="宋体" w:cs="宋体"/>
                <w:b w:val="0"/>
                <w:bCs/>
                <w:color w:val="auto"/>
                <w:sz w:val="24"/>
                <w:szCs w:val="24"/>
                <w:highlight w:val="none"/>
                <w:lang w:val="en-US" w:eastAsia="zh-CN"/>
              </w:rPr>
              <w:t>/职称</w:t>
            </w:r>
          </w:p>
        </w:tc>
        <w:tc>
          <w:tcPr>
            <w:tcW w:w="2001" w:type="dxa"/>
            <w:vMerge w:val="restart"/>
            <w:tcBorders>
              <w:tl2br w:val="nil"/>
              <w:tr2bl w:val="nil"/>
            </w:tcBorders>
            <w:noWrap w:val="0"/>
            <w:vAlign w:val="center"/>
          </w:tcPr>
          <w:p w14:paraId="601290AA">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拟担任职务或岗位</w:t>
            </w:r>
          </w:p>
        </w:tc>
      </w:tr>
      <w:tr w14:paraId="4DA8C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vMerge w:val="continue"/>
            <w:tcBorders>
              <w:tl2br w:val="nil"/>
              <w:tr2bl w:val="nil"/>
            </w:tcBorders>
            <w:noWrap w:val="0"/>
            <w:vAlign w:val="center"/>
          </w:tcPr>
          <w:p w14:paraId="2A3E9CFE">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276" w:type="dxa"/>
            <w:vMerge w:val="continue"/>
            <w:tcBorders>
              <w:tl2br w:val="nil"/>
              <w:tr2bl w:val="nil"/>
            </w:tcBorders>
            <w:noWrap w:val="0"/>
            <w:vAlign w:val="center"/>
          </w:tcPr>
          <w:p w14:paraId="41C6FFFA">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619" w:type="dxa"/>
            <w:tcBorders>
              <w:tl2br w:val="nil"/>
              <w:tr2bl w:val="nil"/>
            </w:tcBorders>
            <w:noWrap w:val="0"/>
            <w:vAlign w:val="center"/>
          </w:tcPr>
          <w:p w14:paraId="1B95071A">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证书名称</w:t>
            </w:r>
          </w:p>
        </w:tc>
        <w:tc>
          <w:tcPr>
            <w:tcW w:w="2050" w:type="dxa"/>
            <w:tcBorders>
              <w:tl2br w:val="nil"/>
              <w:tr2bl w:val="nil"/>
            </w:tcBorders>
            <w:noWrap w:val="0"/>
            <w:vAlign w:val="center"/>
          </w:tcPr>
          <w:p w14:paraId="5BEC3133">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专业</w:t>
            </w:r>
          </w:p>
        </w:tc>
        <w:tc>
          <w:tcPr>
            <w:tcW w:w="1344" w:type="dxa"/>
            <w:tcBorders>
              <w:tl2br w:val="nil"/>
              <w:tr2bl w:val="nil"/>
            </w:tcBorders>
            <w:noWrap w:val="0"/>
            <w:vAlign w:val="center"/>
          </w:tcPr>
          <w:p w14:paraId="698F0A3D">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等级</w:t>
            </w:r>
          </w:p>
        </w:tc>
        <w:tc>
          <w:tcPr>
            <w:tcW w:w="2001" w:type="dxa"/>
            <w:vMerge w:val="continue"/>
            <w:tcBorders>
              <w:tl2br w:val="nil"/>
              <w:tr2bl w:val="nil"/>
            </w:tcBorders>
            <w:noWrap w:val="0"/>
            <w:vAlign w:val="center"/>
          </w:tcPr>
          <w:p w14:paraId="03CBC02C">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r>
      <w:tr w14:paraId="68518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noWrap w:val="0"/>
            <w:vAlign w:val="center"/>
          </w:tcPr>
          <w:p w14:paraId="22A015B8">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p>
        </w:tc>
        <w:tc>
          <w:tcPr>
            <w:tcW w:w="1276" w:type="dxa"/>
            <w:tcBorders>
              <w:tl2br w:val="nil"/>
              <w:tr2bl w:val="nil"/>
            </w:tcBorders>
            <w:noWrap w:val="0"/>
            <w:vAlign w:val="center"/>
          </w:tcPr>
          <w:p w14:paraId="0E0407E1">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619" w:type="dxa"/>
            <w:tcBorders>
              <w:tl2br w:val="nil"/>
              <w:tr2bl w:val="nil"/>
            </w:tcBorders>
            <w:noWrap w:val="0"/>
            <w:vAlign w:val="center"/>
          </w:tcPr>
          <w:p w14:paraId="2ED197D0">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50" w:type="dxa"/>
            <w:tcBorders>
              <w:tl2br w:val="nil"/>
              <w:tr2bl w:val="nil"/>
            </w:tcBorders>
            <w:noWrap w:val="0"/>
            <w:vAlign w:val="center"/>
          </w:tcPr>
          <w:p w14:paraId="08C2F0BA">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344" w:type="dxa"/>
            <w:tcBorders>
              <w:tl2br w:val="nil"/>
              <w:tr2bl w:val="nil"/>
            </w:tcBorders>
            <w:noWrap w:val="0"/>
            <w:vAlign w:val="center"/>
          </w:tcPr>
          <w:p w14:paraId="12826A79">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01" w:type="dxa"/>
            <w:tcBorders>
              <w:tl2br w:val="nil"/>
              <w:tr2bl w:val="nil"/>
            </w:tcBorders>
            <w:noWrap w:val="0"/>
            <w:vAlign w:val="center"/>
          </w:tcPr>
          <w:p w14:paraId="7B2D0E99">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lang w:val="en-US" w:eastAsia="zh-CN"/>
              </w:rPr>
            </w:pPr>
          </w:p>
        </w:tc>
      </w:tr>
      <w:tr w14:paraId="3015A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noWrap w:val="0"/>
            <w:vAlign w:val="center"/>
          </w:tcPr>
          <w:p w14:paraId="278F0698">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w:t>
            </w:r>
          </w:p>
        </w:tc>
        <w:tc>
          <w:tcPr>
            <w:tcW w:w="1276" w:type="dxa"/>
            <w:tcBorders>
              <w:tl2br w:val="nil"/>
              <w:tr2bl w:val="nil"/>
            </w:tcBorders>
            <w:noWrap w:val="0"/>
            <w:vAlign w:val="center"/>
          </w:tcPr>
          <w:p w14:paraId="473B5225">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619" w:type="dxa"/>
            <w:tcBorders>
              <w:tl2br w:val="nil"/>
              <w:tr2bl w:val="nil"/>
            </w:tcBorders>
            <w:noWrap w:val="0"/>
            <w:vAlign w:val="center"/>
          </w:tcPr>
          <w:p w14:paraId="60148814">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50" w:type="dxa"/>
            <w:tcBorders>
              <w:tl2br w:val="nil"/>
              <w:tr2bl w:val="nil"/>
            </w:tcBorders>
            <w:noWrap w:val="0"/>
            <w:vAlign w:val="center"/>
          </w:tcPr>
          <w:p w14:paraId="1C5DBB8D">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344" w:type="dxa"/>
            <w:tcBorders>
              <w:tl2br w:val="nil"/>
              <w:tr2bl w:val="nil"/>
            </w:tcBorders>
            <w:noWrap w:val="0"/>
            <w:vAlign w:val="center"/>
          </w:tcPr>
          <w:p w14:paraId="789231B1">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01" w:type="dxa"/>
            <w:tcBorders>
              <w:tl2br w:val="nil"/>
              <w:tr2bl w:val="nil"/>
            </w:tcBorders>
            <w:noWrap w:val="0"/>
            <w:vAlign w:val="center"/>
          </w:tcPr>
          <w:p w14:paraId="58484DD9">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r>
      <w:tr w14:paraId="6A9D6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noWrap w:val="0"/>
            <w:vAlign w:val="center"/>
          </w:tcPr>
          <w:p w14:paraId="2EFAC52B">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w:t>
            </w:r>
          </w:p>
        </w:tc>
        <w:tc>
          <w:tcPr>
            <w:tcW w:w="1276" w:type="dxa"/>
            <w:tcBorders>
              <w:tl2br w:val="nil"/>
              <w:tr2bl w:val="nil"/>
            </w:tcBorders>
            <w:noWrap w:val="0"/>
            <w:vAlign w:val="center"/>
          </w:tcPr>
          <w:p w14:paraId="4D278F2E">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619" w:type="dxa"/>
            <w:tcBorders>
              <w:tl2br w:val="nil"/>
              <w:tr2bl w:val="nil"/>
            </w:tcBorders>
            <w:noWrap w:val="0"/>
            <w:vAlign w:val="center"/>
          </w:tcPr>
          <w:p w14:paraId="7A733569">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50" w:type="dxa"/>
            <w:tcBorders>
              <w:tl2br w:val="nil"/>
              <w:tr2bl w:val="nil"/>
            </w:tcBorders>
            <w:noWrap w:val="0"/>
            <w:vAlign w:val="center"/>
          </w:tcPr>
          <w:p w14:paraId="54B3B8F7">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344" w:type="dxa"/>
            <w:tcBorders>
              <w:tl2br w:val="nil"/>
              <w:tr2bl w:val="nil"/>
            </w:tcBorders>
            <w:noWrap w:val="0"/>
            <w:vAlign w:val="center"/>
          </w:tcPr>
          <w:p w14:paraId="16A73362">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01" w:type="dxa"/>
            <w:tcBorders>
              <w:tl2br w:val="nil"/>
              <w:tr2bl w:val="nil"/>
            </w:tcBorders>
            <w:noWrap w:val="0"/>
            <w:vAlign w:val="center"/>
          </w:tcPr>
          <w:p w14:paraId="695B6E45">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r>
      <w:tr w14:paraId="4C896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noWrap w:val="0"/>
            <w:vAlign w:val="center"/>
          </w:tcPr>
          <w:p w14:paraId="2655FF71">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w:t>
            </w:r>
          </w:p>
        </w:tc>
        <w:tc>
          <w:tcPr>
            <w:tcW w:w="1276" w:type="dxa"/>
            <w:tcBorders>
              <w:tl2br w:val="nil"/>
              <w:tr2bl w:val="nil"/>
            </w:tcBorders>
            <w:noWrap w:val="0"/>
            <w:vAlign w:val="center"/>
          </w:tcPr>
          <w:p w14:paraId="3FB33B69">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619" w:type="dxa"/>
            <w:tcBorders>
              <w:tl2br w:val="nil"/>
              <w:tr2bl w:val="nil"/>
            </w:tcBorders>
            <w:noWrap w:val="0"/>
            <w:vAlign w:val="center"/>
          </w:tcPr>
          <w:p w14:paraId="76BD3075">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50" w:type="dxa"/>
            <w:tcBorders>
              <w:tl2br w:val="nil"/>
              <w:tr2bl w:val="nil"/>
            </w:tcBorders>
            <w:noWrap w:val="0"/>
            <w:vAlign w:val="center"/>
          </w:tcPr>
          <w:p w14:paraId="614910D9">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344" w:type="dxa"/>
            <w:tcBorders>
              <w:tl2br w:val="nil"/>
              <w:tr2bl w:val="nil"/>
            </w:tcBorders>
            <w:noWrap w:val="0"/>
            <w:vAlign w:val="center"/>
          </w:tcPr>
          <w:p w14:paraId="6D304294">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01" w:type="dxa"/>
            <w:tcBorders>
              <w:tl2br w:val="nil"/>
              <w:tr2bl w:val="nil"/>
            </w:tcBorders>
            <w:noWrap w:val="0"/>
            <w:vAlign w:val="center"/>
          </w:tcPr>
          <w:p w14:paraId="210F9D88">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r>
      <w:tr w14:paraId="5454B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noWrap w:val="0"/>
            <w:vAlign w:val="center"/>
          </w:tcPr>
          <w:p w14:paraId="541A28C7">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276" w:type="dxa"/>
            <w:tcBorders>
              <w:tl2br w:val="nil"/>
              <w:tr2bl w:val="nil"/>
            </w:tcBorders>
            <w:noWrap w:val="0"/>
            <w:vAlign w:val="center"/>
          </w:tcPr>
          <w:p w14:paraId="6235791D">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619" w:type="dxa"/>
            <w:tcBorders>
              <w:tl2br w:val="nil"/>
              <w:tr2bl w:val="nil"/>
            </w:tcBorders>
            <w:noWrap w:val="0"/>
            <w:vAlign w:val="center"/>
          </w:tcPr>
          <w:p w14:paraId="0F1AE6F5">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50" w:type="dxa"/>
            <w:tcBorders>
              <w:tl2br w:val="nil"/>
              <w:tr2bl w:val="nil"/>
            </w:tcBorders>
            <w:noWrap w:val="0"/>
            <w:vAlign w:val="center"/>
          </w:tcPr>
          <w:p w14:paraId="7EA29686">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344" w:type="dxa"/>
            <w:tcBorders>
              <w:tl2br w:val="nil"/>
              <w:tr2bl w:val="nil"/>
            </w:tcBorders>
            <w:noWrap w:val="0"/>
            <w:vAlign w:val="center"/>
          </w:tcPr>
          <w:p w14:paraId="61FEA9CD">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01" w:type="dxa"/>
            <w:tcBorders>
              <w:tl2br w:val="nil"/>
              <w:tr2bl w:val="nil"/>
            </w:tcBorders>
            <w:noWrap w:val="0"/>
            <w:vAlign w:val="center"/>
          </w:tcPr>
          <w:p w14:paraId="622F3E10">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r>
      <w:tr w14:paraId="23509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noWrap w:val="0"/>
            <w:vAlign w:val="center"/>
          </w:tcPr>
          <w:p w14:paraId="0FA0D92E">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276" w:type="dxa"/>
            <w:tcBorders>
              <w:tl2br w:val="nil"/>
              <w:tr2bl w:val="nil"/>
            </w:tcBorders>
            <w:noWrap w:val="0"/>
            <w:vAlign w:val="center"/>
          </w:tcPr>
          <w:p w14:paraId="710D0006">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619" w:type="dxa"/>
            <w:tcBorders>
              <w:tl2br w:val="nil"/>
              <w:tr2bl w:val="nil"/>
            </w:tcBorders>
            <w:noWrap w:val="0"/>
            <w:vAlign w:val="center"/>
          </w:tcPr>
          <w:p w14:paraId="79209726">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50" w:type="dxa"/>
            <w:tcBorders>
              <w:tl2br w:val="nil"/>
              <w:tr2bl w:val="nil"/>
            </w:tcBorders>
            <w:noWrap w:val="0"/>
            <w:vAlign w:val="center"/>
          </w:tcPr>
          <w:p w14:paraId="1E70DE03">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344" w:type="dxa"/>
            <w:tcBorders>
              <w:tl2br w:val="nil"/>
              <w:tr2bl w:val="nil"/>
            </w:tcBorders>
            <w:noWrap w:val="0"/>
            <w:vAlign w:val="center"/>
          </w:tcPr>
          <w:p w14:paraId="155116E3">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01" w:type="dxa"/>
            <w:tcBorders>
              <w:tl2br w:val="nil"/>
              <w:tr2bl w:val="nil"/>
            </w:tcBorders>
            <w:noWrap w:val="0"/>
            <w:vAlign w:val="center"/>
          </w:tcPr>
          <w:p w14:paraId="00D6B666">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r>
      <w:tr w14:paraId="08468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noWrap w:val="0"/>
            <w:vAlign w:val="center"/>
          </w:tcPr>
          <w:p w14:paraId="6BAD3639">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276" w:type="dxa"/>
            <w:tcBorders>
              <w:tl2br w:val="nil"/>
              <w:tr2bl w:val="nil"/>
            </w:tcBorders>
            <w:noWrap w:val="0"/>
            <w:vAlign w:val="center"/>
          </w:tcPr>
          <w:p w14:paraId="29DEA8B1">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619" w:type="dxa"/>
            <w:tcBorders>
              <w:tl2br w:val="nil"/>
              <w:tr2bl w:val="nil"/>
            </w:tcBorders>
            <w:noWrap w:val="0"/>
            <w:vAlign w:val="center"/>
          </w:tcPr>
          <w:p w14:paraId="3DD9B346">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50" w:type="dxa"/>
            <w:tcBorders>
              <w:tl2br w:val="nil"/>
              <w:tr2bl w:val="nil"/>
            </w:tcBorders>
            <w:noWrap w:val="0"/>
            <w:vAlign w:val="center"/>
          </w:tcPr>
          <w:p w14:paraId="2244E565">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344" w:type="dxa"/>
            <w:tcBorders>
              <w:tl2br w:val="nil"/>
              <w:tr2bl w:val="nil"/>
            </w:tcBorders>
            <w:noWrap w:val="0"/>
            <w:vAlign w:val="center"/>
          </w:tcPr>
          <w:p w14:paraId="2597E19B">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01" w:type="dxa"/>
            <w:tcBorders>
              <w:tl2br w:val="nil"/>
              <w:tr2bl w:val="nil"/>
            </w:tcBorders>
            <w:noWrap w:val="0"/>
            <w:vAlign w:val="center"/>
          </w:tcPr>
          <w:p w14:paraId="6D302191">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r>
      <w:tr w14:paraId="2EC7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noWrap w:val="0"/>
            <w:vAlign w:val="center"/>
          </w:tcPr>
          <w:p w14:paraId="796F8E4C">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276" w:type="dxa"/>
            <w:tcBorders>
              <w:tl2br w:val="nil"/>
              <w:tr2bl w:val="nil"/>
            </w:tcBorders>
            <w:noWrap w:val="0"/>
            <w:vAlign w:val="center"/>
          </w:tcPr>
          <w:p w14:paraId="6972F993">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619" w:type="dxa"/>
            <w:tcBorders>
              <w:tl2br w:val="nil"/>
              <w:tr2bl w:val="nil"/>
            </w:tcBorders>
            <w:noWrap w:val="0"/>
            <w:vAlign w:val="center"/>
          </w:tcPr>
          <w:p w14:paraId="12CB3961">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50" w:type="dxa"/>
            <w:tcBorders>
              <w:tl2br w:val="nil"/>
              <w:tr2bl w:val="nil"/>
            </w:tcBorders>
            <w:noWrap w:val="0"/>
            <w:vAlign w:val="center"/>
          </w:tcPr>
          <w:p w14:paraId="77554BB4">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344" w:type="dxa"/>
            <w:tcBorders>
              <w:tl2br w:val="nil"/>
              <w:tr2bl w:val="nil"/>
            </w:tcBorders>
            <w:noWrap w:val="0"/>
            <w:vAlign w:val="center"/>
          </w:tcPr>
          <w:p w14:paraId="2236056A">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01" w:type="dxa"/>
            <w:tcBorders>
              <w:tl2br w:val="nil"/>
              <w:tr2bl w:val="nil"/>
            </w:tcBorders>
            <w:noWrap w:val="0"/>
            <w:vAlign w:val="center"/>
          </w:tcPr>
          <w:p w14:paraId="6F484638">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r>
      <w:tr w14:paraId="2234D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noWrap w:val="0"/>
            <w:vAlign w:val="center"/>
          </w:tcPr>
          <w:p w14:paraId="6142ABA1">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276" w:type="dxa"/>
            <w:tcBorders>
              <w:tl2br w:val="nil"/>
              <w:tr2bl w:val="nil"/>
            </w:tcBorders>
            <w:noWrap w:val="0"/>
            <w:vAlign w:val="center"/>
          </w:tcPr>
          <w:p w14:paraId="482B6713">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619" w:type="dxa"/>
            <w:tcBorders>
              <w:tl2br w:val="nil"/>
              <w:tr2bl w:val="nil"/>
            </w:tcBorders>
            <w:noWrap w:val="0"/>
            <w:vAlign w:val="center"/>
          </w:tcPr>
          <w:p w14:paraId="36762253">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50" w:type="dxa"/>
            <w:tcBorders>
              <w:tl2br w:val="nil"/>
              <w:tr2bl w:val="nil"/>
            </w:tcBorders>
            <w:noWrap w:val="0"/>
            <w:vAlign w:val="center"/>
          </w:tcPr>
          <w:p w14:paraId="4E3AD650">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344" w:type="dxa"/>
            <w:tcBorders>
              <w:tl2br w:val="nil"/>
              <w:tr2bl w:val="nil"/>
            </w:tcBorders>
            <w:noWrap w:val="0"/>
            <w:vAlign w:val="center"/>
          </w:tcPr>
          <w:p w14:paraId="02596307">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01" w:type="dxa"/>
            <w:tcBorders>
              <w:tl2br w:val="nil"/>
              <w:tr2bl w:val="nil"/>
            </w:tcBorders>
            <w:noWrap w:val="0"/>
            <w:vAlign w:val="center"/>
          </w:tcPr>
          <w:p w14:paraId="2040CADD">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r>
      <w:tr w14:paraId="16088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noWrap w:val="0"/>
            <w:vAlign w:val="center"/>
          </w:tcPr>
          <w:p w14:paraId="152B5B28">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276" w:type="dxa"/>
            <w:tcBorders>
              <w:tl2br w:val="nil"/>
              <w:tr2bl w:val="nil"/>
            </w:tcBorders>
            <w:noWrap w:val="0"/>
            <w:vAlign w:val="center"/>
          </w:tcPr>
          <w:p w14:paraId="62377BE4">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619" w:type="dxa"/>
            <w:tcBorders>
              <w:tl2br w:val="nil"/>
              <w:tr2bl w:val="nil"/>
            </w:tcBorders>
            <w:noWrap w:val="0"/>
            <w:vAlign w:val="center"/>
          </w:tcPr>
          <w:p w14:paraId="08FE7A2C">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50" w:type="dxa"/>
            <w:tcBorders>
              <w:tl2br w:val="nil"/>
              <w:tr2bl w:val="nil"/>
            </w:tcBorders>
            <w:noWrap w:val="0"/>
            <w:vAlign w:val="center"/>
          </w:tcPr>
          <w:p w14:paraId="34E8BF79">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344" w:type="dxa"/>
            <w:tcBorders>
              <w:tl2br w:val="nil"/>
              <w:tr2bl w:val="nil"/>
            </w:tcBorders>
            <w:noWrap w:val="0"/>
            <w:vAlign w:val="center"/>
          </w:tcPr>
          <w:p w14:paraId="5063ED6E">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01" w:type="dxa"/>
            <w:tcBorders>
              <w:tl2br w:val="nil"/>
              <w:tr2bl w:val="nil"/>
            </w:tcBorders>
            <w:noWrap w:val="0"/>
            <w:vAlign w:val="center"/>
          </w:tcPr>
          <w:p w14:paraId="32ECAD66">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r>
      <w:tr w14:paraId="32C6E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noWrap w:val="0"/>
            <w:vAlign w:val="center"/>
          </w:tcPr>
          <w:p w14:paraId="472053D2">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276" w:type="dxa"/>
            <w:tcBorders>
              <w:tl2br w:val="nil"/>
              <w:tr2bl w:val="nil"/>
            </w:tcBorders>
            <w:noWrap w:val="0"/>
            <w:vAlign w:val="center"/>
          </w:tcPr>
          <w:p w14:paraId="45FAE0B1">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619" w:type="dxa"/>
            <w:tcBorders>
              <w:tl2br w:val="nil"/>
              <w:tr2bl w:val="nil"/>
            </w:tcBorders>
            <w:noWrap w:val="0"/>
            <w:vAlign w:val="center"/>
          </w:tcPr>
          <w:p w14:paraId="39F7D102">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50" w:type="dxa"/>
            <w:tcBorders>
              <w:tl2br w:val="nil"/>
              <w:tr2bl w:val="nil"/>
            </w:tcBorders>
            <w:noWrap w:val="0"/>
            <w:vAlign w:val="center"/>
          </w:tcPr>
          <w:p w14:paraId="15B77F36">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1344" w:type="dxa"/>
            <w:tcBorders>
              <w:tl2br w:val="nil"/>
              <w:tr2bl w:val="nil"/>
            </w:tcBorders>
            <w:noWrap w:val="0"/>
            <w:vAlign w:val="center"/>
          </w:tcPr>
          <w:p w14:paraId="52CEEDA7">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c>
          <w:tcPr>
            <w:tcW w:w="2001" w:type="dxa"/>
            <w:tcBorders>
              <w:tl2br w:val="nil"/>
              <w:tr2bl w:val="nil"/>
            </w:tcBorders>
            <w:noWrap w:val="0"/>
            <w:vAlign w:val="center"/>
          </w:tcPr>
          <w:p w14:paraId="100FFB6A">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p>
        </w:tc>
      </w:tr>
      <w:tr w14:paraId="2AEE9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dxa"/>
            <w:tcBorders>
              <w:tl2br w:val="nil"/>
              <w:tr2bl w:val="nil"/>
            </w:tcBorders>
            <w:noWrap w:val="0"/>
            <w:vAlign w:val="center"/>
          </w:tcPr>
          <w:p w14:paraId="58569160">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p>
        </w:tc>
        <w:tc>
          <w:tcPr>
            <w:tcW w:w="1276" w:type="dxa"/>
            <w:tcBorders>
              <w:tl2br w:val="nil"/>
              <w:tr2bl w:val="nil"/>
            </w:tcBorders>
            <w:noWrap w:val="0"/>
            <w:vAlign w:val="center"/>
          </w:tcPr>
          <w:p w14:paraId="50806B82">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p>
        </w:tc>
        <w:tc>
          <w:tcPr>
            <w:tcW w:w="1619" w:type="dxa"/>
            <w:tcBorders>
              <w:tl2br w:val="nil"/>
              <w:tr2bl w:val="nil"/>
            </w:tcBorders>
            <w:noWrap w:val="0"/>
            <w:vAlign w:val="center"/>
          </w:tcPr>
          <w:p w14:paraId="66683998">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p>
        </w:tc>
        <w:tc>
          <w:tcPr>
            <w:tcW w:w="3394" w:type="dxa"/>
            <w:gridSpan w:val="2"/>
            <w:tcBorders>
              <w:tl2br w:val="nil"/>
              <w:tr2bl w:val="nil"/>
            </w:tcBorders>
            <w:noWrap w:val="0"/>
            <w:vAlign w:val="center"/>
          </w:tcPr>
          <w:p w14:paraId="477879A0">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p>
        </w:tc>
        <w:tc>
          <w:tcPr>
            <w:tcW w:w="2001" w:type="dxa"/>
            <w:tcBorders>
              <w:tl2br w:val="nil"/>
              <w:tr2bl w:val="nil"/>
            </w:tcBorders>
            <w:noWrap w:val="0"/>
            <w:vAlign w:val="center"/>
          </w:tcPr>
          <w:p w14:paraId="5A8F86A6">
            <w:pPr>
              <w:keepNext w:val="0"/>
              <w:keepLines w:val="0"/>
              <w:pageBreakBefore w:val="0"/>
              <w:widowControl w:val="0"/>
              <w:kinsoku/>
              <w:wordWrap/>
              <w:overflowPunct/>
              <w:topLinePunct w:val="0"/>
              <w:autoSpaceDE/>
              <w:autoSpaceDN/>
              <w:bidi w:val="0"/>
              <w:adjustRightInd/>
              <w:snapToGrid/>
              <w:spacing w:line="240" w:lineRule="atLeast"/>
              <w:ind w:left="40" w:leftChars="20" w:right="0" w:rightChars="0" w:firstLine="0" w:firstLineChars="0"/>
              <w:jc w:val="center"/>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p>
        </w:tc>
      </w:tr>
    </w:tbl>
    <w:p w14:paraId="7B7E3003">
      <w:pPr>
        <w:rPr>
          <w:rFonts w:hint="eastAsia" w:ascii="仿宋" w:hAnsi="仿宋" w:eastAsia="仿宋" w:cs="仿宋"/>
          <w:color w:val="auto"/>
          <w:sz w:val="24"/>
          <w:szCs w:val="24"/>
          <w:highlight w:val="none"/>
        </w:rPr>
      </w:pPr>
    </w:p>
    <w:p w14:paraId="442DEE01">
      <w:pPr>
        <w:rPr>
          <w:rFonts w:hint="eastAsia" w:ascii="仿宋" w:hAnsi="仿宋" w:eastAsia="仿宋" w:cs="仿宋"/>
          <w:color w:val="auto"/>
          <w:highlight w:val="none"/>
        </w:rPr>
      </w:pPr>
    </w:p>
    <w:p w14:paraId="62B3A673">
      <w:pPr>
        <w:spacing w:line="240" w:lineRule="auto"/>
        <w:ind w:firstLine="0" w:firstLineChars="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4861929A">
      <w:pPr>
        <w:spacing w:line="240" w:lineRule="auto"/>
        <w:ind w:firstLine="0" w:firstLineChars="0"/>
        <w:rPr>
          <w:rFonts w:hint="eastAsia" w:ascii="仿宋" w:hAnsi="仿宋" w:eastAsia="仿宋" w:cs="仿宋"/>
          <w:color w:val="auto"/>
          <w:highlight w:val="none"/>
        </w:rPr>
      </w:pPr>
      <w:r>
        <w:rPr>
          <w:rFonts w:hint="eastAsia" w:ascii="仿宋" w:hAnsi="仿宋" w:eastAsia="仿宋" w:cs="仿宋"/>
          <w:b/>
          <w:bCs/>
          <w:color w:val="auto"/>
          <w:highlight w:val="none"/>
          <w:lang w:val="en-US" w:eastAsia="zh-CN"/>
        </w:rPr>
        <w:t>附表</w:t>
      </w:r>
      <w:r>
        <w:rPr>
          <w:rFonts w:hint="eastAsia" w:cs="仿宋"/>
          <w:b/>
          <w:bCs/>
          <w:color w:val="auto"/>
          <w:highlight w:val="none"/>
          <w:lang w:val="en-US" w:eastAsia="zh-CN"/>
        </w:rPr>
        <w:t>2（</w:t>
      </w:r>
      <w:r>
        <w:rPr>
          <w:rFonts w:hint="eastAsia" w:ascii="仿宋" w:hAnsi="仿宋" w:eastAsia="仿宋" w:cs="仿宋"/>
          <w:b/>
          <w:bCs/>
          <w:color w:val="auto"/>
          <w:highlight w:val="none"/>
          <w:lang w:val="en-US" w:eastAsia="zh-CN"/>
        </w:rPr>
        <w:t>格式参考</w:t>
      </w:r>
      <w:r>
        <w:rPr>
          <w:rFonts w:hint="eastAsia" w:cs="仿宋"/>
          <w:b/>
          <w:bCs/>
          <w:color w:val="auto"/>
          <w:highlight w:val="none"/>
          <w:lang w:val="en-US" w:eastAsia="zh-CN"/>
        </w:rPr>
        <w:t>）</w:t>
      </w:r>
      <w:r>
        <w:rPr>
          <w:rFonts w:hint="eastAsia" w:ascii="仿宋" w:hAnsi="仿宋" w:eastAsia="仿宋" w:cs="仿宋"/>
          <w:b/>
          <w:bCs/>
          <w:color w:val="auto"/>
          <w:highlight w:val="none"/>
          <w:lang w:val="en-US" w:eastAsia="zh-CN"/>
        </w:rPr>
        <w:t>：</w:t>
      </w:r>
    </w:p>
    <w:p w14:paraId="5997681F">
      <w:pPr>
        <w:spacing w:line="240" w:lineRule="auto"/>
        <w:ind w:firstLine="482"/>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主要人员简历表</w:t>
      </w:r>
    </w:p>
    <w:p w14:paraId="554A2050">
      <w:pPr>
        <w:spacing w:line="240" w:lineRule="auto"/>
        <w:ind w:firstLine="0" w:firstLineChars="0"/>
        <w:rPr>
          <w:rFonts w:hint="eastAsia" w:ascii="仿宋" w:hAnsi="仿宋" w:eastAsia="仿宋" w:cs="仿宋"/>
          <w:color w:val="auto"/>
          <w:highlight w:val="none"/>
        </w:rPr>
      </w:pPr>
    </w:p>
    <w:tbl>
      <w:tblPr>
        <w:tblStyle w:val="28"/>
        <w:tblW w:w="9184" w:type="dxa"/>
        <w:jc w:val="center"/>
        <w:tblLayout w:type="fixed"/>
        <w:tblCellMar>
          <w:top w:w="0" w:type="dxa"/>
          <w:left w:w="0" w:type="dxa"/>
          <w:bottom w:w="0" w:type="dxa"/>
          <w:right w:w="0" w:type="dxa"/>
        </w:tblCellMar>
      </w:tblPr>
      <w:tblGrid>
        <w:gridCol w:w="2049"/>
        <w:gridCol w:w="726"/>
        <w:gridCol w:w="574"/>
        <w:gridCol w:w="1000"/>
        <w:gridCol w:w="1433"/>
        <w:gridCol w:w="1179"/>
        <w:gridCol w:w="788"/>
        <w:gridCol w:w="1435"/>
      </w:tblGrid>
      <w:tr w14:paraId="70AE8891">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2E37FC1D">
            <w:pPr>
              <w:pStyle w:val="50"/>
              <w:keepNext w:val="0"/>
              <w:keepLines w:val="0"/>
              <w:pageBreakBefore w:val="0"/>
              <w:widowControl w:val="0"/>
              <w:tabs>
                <w:tab w:val="left" w:pos="631"/>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p>
        </w:tc>
        <w:tc>
          <w:tcPr>
            <w:tcW w:w="1300" w:type="dxa"/>
            <w:gridSpan w:val="2"/>
            <w:tcBorders>
              <w:top w:val="single" w:color="000000" w:sz="4" w:space="0"/>
              <w:left w:val="single" w:color="000000" w:sz="4" w:space="0"/>
              <w:bottom w:val="single" w:color="000000" w:sz="4" w:space="0"/>
              <w:right w:val="single" w:color="000000" w:sz="4" w:space="0"/>
            </w:tcBorders>
            <w:noWrap w:val="0"/>
            <w:vAlign w:val="center"/>
          </w:tcPr>
          <w:p w14:paraId="218410C3">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Theme="minorEastAsia" w:hAnsiTheme="minorEastAsia" w:eastAsiaTheme="minorEastAsia" w:cstheme="minorEastAsia"/>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738CC81C">
            <w:pPr>
              <w:pStyle w:val="50"/>
              <w:keepNext w:val="0"/>
              <w:keepLines w:val="0"/>
              <w:pageBreakBefore w:val="0"/>
              <w:widowControl w:val="0"/>
              <w:tabs>
                <w:tab w:val="left" w:pos="633"/>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年龄</w:t>
            </w:r>
          </w:p>
        </w:tc>
        <w:tc>
          <w:tcPr>
            <w:tcW w:w="1433" w:type="dxa"/>
            <w:tcBorders>
              <w:top w:val="single" w:color="000000" w:sz="4" w:space="0"/>
              <w:left w:val="single" w:color="000000" w:sz="4" w:space="0"/>
              <w:bottom w:val="single" w:color="000000" w:sz="4" w:space="0"/>
              <w:right w:val="single" w:color="000000" w:sz="4" w:space="0"/>
            </w:tcBorders>
            <w:noWrap w:val="0"/>
            <w:vAlign w:val="center"/>
          </w:tcPr>
          <w:p w14:paraId="505568C7">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Theme="minorEastAsia" w:hAnsiTheme="minorEastAsia" w:eastAsiaTheme="minorEastAsia" w:cstheme="minorEastAsia"/>
                <w:color w:val="auto"/>
                <w:sz w:val="24"/>
                <w:szCs w:val="24"/>
                <w:highlight w:val="none"/>
              </w:rPr>
            </w:pP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4067E384">
            <w:pPr>
              <w:pStyle w:val="50"/>
              <w:keepNext w:val="0"/>
              <w:keepLines w:val="0"/>
              <w:pageBreakBefore w:val="0"/>
              <w:widowControl w:val="0"/>
              <w:tabs>
                <w:tab w:val="left" w:pos="1147"/>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学历</w:t>
            </w:r>
          </w:p>
        </w:tc>
        <w:tc>
          <w:tcPr>
            <w:tcW w:w="1435" w:type="dxa"/>
            <w:tcBorders>
              <w:top w:val="single" w:color="000000" w:sz="4" w:space="0"/>
              <w:left w:val="single" w:color="000000" w:sz="4" w:space="0"/>
              <w:bottom w:val="single" w:color="000000" w:sz="4" w:space="0"/>
              <w:right w:val="single" w:color="000000" w:sz="4" w:space="0"/>
            </w:tcBorders>
            <w:noWrap w:val="0"/>
            <w:vAlign w:val="center"/>
          </w:tcPr>
          <w:p w14:paraId="570A64D1">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Theme="minorEastAsia" w:hAnsiTheme="minorEastAsia" w:eastAsiaTheme="minorEastAsia" w:cstheme="minorEastAsia"/>
                <w:color w:val="auto"/>
                <w:sz w:val="24"/>
                <w:szCs w:val="24"/>
                <w:highlight w:val="none"/>
              </w:rPr>
            </w:pPr>
          </w:p>
        </w:tc>
      </w:tr>
      <w:tr w14:paraId="1F0E18B6">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4C87E889">
            <w:pPr>
              <w:pStyle w:val="50"/>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职称</w:t>
            </w:r>
          </w:p>
        </w:tc>
        <w:tc>
          <w:tcPr>
            <w:tcW w:w="1300" w:type="dxa"/>
            <w:gridSpan w:val="2"/>
            <w:tcBorders>
              <w:top w:val="single" w:color="000000" w:sz="4" w:space="0"/>
              <w:left w:val="single" w:color="000000" w:sz="4" w:space="0"/>
              <w:bottom w:val="single" w:color="000000" w:sz="4" w:space="0"/>
              <w:right w:val="single" w:color="000000" w:sz="4" w:space="0"/>
            </w:tcBorders>
            <w:noWrap w:val="0"/>
            <w:vAlign w:val="center"/>
          </w:tcPr>
          <w:p w14:paraId="1D724403">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p>
        </w:tc>
        <w:tc>
          <w:tcPr>
            <w:tcW w:w="2433" w:type="dxa"/>
            <w:gridSpan w:val="2"/>
            <w:tcBorders>
              <w:top w:val="single" w:color="000000" w:sz="4" w:space="0"/>
              <w:left w:val="single" w:color="000000" w:sz="4" w:space="0"/>
              <w:bottom w:val="single" w:color="000000" w:sz="4" w:space="0"/>
              <w:right w:val="single" w:color="000000" w:sz="4" w:space="0"/>
            </w:tcBorders>
            <w:noWrap w:val="0"/>
            <w:vAlign w:val="center"/>
          </w:tcPr>
          <w:p w14:paraId="518EFEEC">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职称</w:t>
            </w:r>
            <w:r>
              <w:rPr>
                <w:rFonts w:hint="eastAsia" w:asciiTheme="minorEastAsia" w:hAnsiTheme="minorEastAsia" w:eastAsiaTheme="minorEastAsia" w:cstheme="minorEastAsia"/>
                <w:color w:val="auto"/>
                <w:sz w:val="24"/>
                <w:szCs w:val="24"/>
                <w:highlight w:val="none"/>
                <w:lang w:val="en-US" w:eastAsia="zh-CN"/>
              </w:rPr>
              <w:t>专业</w:t>
            </w:r>
          </w:p>
        </w:tc>
        <w:tc>
          <w:tcPr>
            <w:tcW w:w="3402" w:type="dxa"/>
            <w:gridSpan w:val="3"/>
            <w:tcBorders>
              <w:top w:val="single" w:color="000000" w:sz="4" w:space="0"/>
              <w:left w:val="single" w:color="000000" w:sz="4" w:space="0"/>
              <w:bottom w:val="single" w:color="000000" w:sz="4" w:space="0"/>
              <w:right w:val="single" w:color="000000" w:sz="4" w:space="0"/>
            </w:tcBorders>
            <w:noWrap w:val="0"/>
            <w:vAlign w:val="center"/>
          </w:tcPr>
          <w:p w14:paraId="7497D0DE">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Theme="minorEastAsia" w:hAnsiTheme="minorEastAsia" w:eastAsiaTheme="minorEastAsia" w:cstheme="minorEastAsia"/>
                <w:color w:val="auto"/>
                <w:sz w:val="24"/>
                <w:szCs w:val="24"/>
                <w:highlight w:val="none"/>
              </w:rPr>
            </w:pPr>
          </w:p>
        </w:tc>
      </w:tr>
      <w:tr w14:paraId="19D65027">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05E29D35">
            <w:pPr>
              <w:pStyle w:val="50"/>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拟担任职务或岗位</w:t>
            </w:r>
          </w:p>
        </w:tc>
        <w:tc>
          <w:tcPr>
            <w:tcW w:w="3733" w:type="dxa"/>
            <w:gridSpan w:val="4"/>
            <w:tcBorders>
              <w:top w:val="single" w:color="000000" w:sz="4" w:space="0"/>
              <w:left w:val="single" w:color="000000" w:sz="4" w:space="0"/>
              <w:bottom w:val="single" w:color="000000" w:sz="4" w:space="0"/>
              <w:right w:val="single" w:color="000000" w:sz="4" w:space="0"/>
            </w:tcBorders>
            <w:noWrap w:val="0"/>
            <w:vAlign w:val="center"/>
          </w:tcPr>
          <w:p w14:paraId="21097C2B">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Theme="minorEastAsia" w:hAnsiTheme="minorEastAsia" w:eastAsiaTheme="minorEastAsia" w:cstheme="minorEastAsia"/>
                <w:color w:val="auto"/>
                <w:sz w:val="24"/>
                <w:szCs w:val="24"/>
                <w:highlight w:val="none"/>
              </w:rPr>
            </w:pPr>
          </w:p>
        </w:tc>
        <w:tc>
          <w:tcPr>
            <w:tcW w:w="1967" w:type="dxa"/>
            <w:gridSpan w:val="2"/>
            <w:tcBorders>
              <w:top w:val="single" w:color="000000" w:sz="4" w:space="0"/>
              <w:left w:val="single" w:color="000000" w:sz="4" w:space="0"/>
              <w:bottom w:val="single" w:color="000000" w:sz="4" w:space="0"/>
              <w:right w:val="single" w:color="000000" w:sz="4" w:space="0"/>
            </w:tcBorders>
            <w:noWrap w:val="0"/>
            <w:vAlign w:val="center"/>
          </w:tcPr>
          <w:p w14:paraId="519E33C5">
            <w:pPr>
              <w:pStyle w:val="50"/>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类似</w:t>
            </w:r>
            <w:r>
              <w:rPr>
                <w:rFonts w:hint="eastAsia" w:asciiTheme="minorEastAsia" w:hAnsiTheme="minorEastAsia" w:eastAsiaTheme="minorEastAsia" w:cstheme="minorEastAsia"/>
                <w:color w:val="auto"/>
                <w:sz w:val="24"/>
                <w:szCs w:val="24"/>
                <w:highlight w:val="none"/>
                <w:lang w:val="en-US" w:eastAsia="zh-CN"/>
              </w:rPr>
              <w:t>工作</w:t>
            </w:r>
            <w:r>
              <w:rPr>
                <w:rFonts w:hint="eastAsia" w:asciiTheme="minorEastAsia" w:hAnsiTheme="minorEastAsia" w:eastAsiaTheme="minorEastAsia" w:cstheme="minorEastAsia"/>
                <w:color w:val="auto"/>
                <w:sz w:val="24"/>
                <w:szCs w:val="24"/>
                <w:highlight w:val="none"/>
              </w:rPr>
              <w:t>经验年限</w:t>
            </w:r>
          </w:p>
        </w:tc>
        <w:tc>
          <w:tcPr>
            <w:tcW w:w="1435" w:type="dxa"/>
            <w:tcBorders>
              <w:top w:val="single" w:color="000000" w:sz="4" w:space="0"/>
              <w:left w:val="single" w:color="000000" w:sz="4" w:space="0"/>
              <w:bottom w:val="single" w:color="000000" w:sz="4" w:space="0"/>
              <w:right w:val="single" w:color="000000" w:sz="4" w:space="0"/>
            </w:tcBorders>
            <w:noWrap w:val="0"/>
            <w:vAlign w:val="center"/>
          </w:tcPr>
          <w:p w14:paraId="6E00C8A8">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Theme="minorEastAsia" w:hAnsiTheme="minorEastAsia" w:eastAsiaTheme="minorEastAsia" w:cstheme="minorEastAsia"/>
                <w:color w:val="auto"/>
                <w:sz w:val="24"/>
                <w:szCs w:val="24"/>
                <w:highlight w:val="none"/>
              </w:rPr>
            </w:pPr>
          </w:p>
        </w:tc>
      </w:tr>
      <w:tr w14:paraId="2F6D71E6">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2C08C86A">
            <w:pPr>
              <w:pStyle w:val="50"/>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毕业学校</w:t>
            </w:r>
          </w:p>
        </w:tc>
        <w:tc>
          <w:tcPr>
            <w:tcW w:w="7135" w:type="dxa"/>
            <w:gridSpan w:val="7"/>
            <w:tcBorders>
              <w:top w:val="single" w:color="000000" w:sz="4" w:space="0"/>
              <w:left w:val="single" w:color="000000" w:sz="4" w:space="0"/>
              <w:bottom w:val="single" w:color="000000" w:sz="4" w:space="0"/>
              <w:right w:val="single" w:color="000000" w:sz="4" w:space="0"/>
            </w:tcBorders>
            <w:noWrap w:val="0"/>
            <w:vAlign w:val="center"/>
          </w:tcPr>
          <w:p w14:paraId="08F97F1E">
            <w:pPr>
              <w:pStyle w:val="50"/>
              <w:keepNext w:val="0"/>
              <w:keepLines w:val="0"/>
              <w:pageBreakBefore w:val="0"/>
              <w:widowControl w:val="0"/>
              <w:tabs>
                <w:tab w:val="left" w:pos="526"/>
                <w:tab w:val="left" w:pos="1052"/>
                <w:tab w:val="left" w:pos="3887"/>
                <w:tab w:val="left" w:pos="5462"/>
                <w:tab w:val="left" w:pos="7140"/>
              </w:tabs>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pacing w:val="-2"/>
                <w:sz w:val="24"/>
                <w:szCs w:val="24"/>
                <w:highlight w:val="none"/>
              </w:rPr>
              <w:t>月毕业于</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pacing w:val="-2"/>
                <w:sz w:val="24"/>
                <w:szCs w:val="24"/>
                <w:highlight w:val="none"/>
              </w:rPr>
              <w:t>学校</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pacing w:val="-2"/>
                <w:sz w:val="24"/>
                <w:szCs w:val="24"/>
                <w:highlight w:val="none"/>
              </w:rPr>
              <w:t>专业</w:t>
            </w:r>
          </w:p>
        </w:tc>
      </w:tr>
      <w:tr w14:paraId="5EE9D690">
        <w:tblPrEx>
          <w:tblCellMar>
            <w:top w:w="0" w:type="dxa"/>
            <w:left w:w="0" w:type="dxa"/>
            <w:bottom w:w="0" w:type="dxa"/>
            <w:right w:w="0" w:type="dxa"/>
          </w:tblCellMar>
        </w:tblPrEx>
        <w:trPr>
          <w:trHeight w:val="567" w:hRule="atLeast"/>
          <w:jc w:val="center"/>
        </w:trPr>
        <w:tc>
          <w:tcPr>
            <w:tcW w:w="9184" w:type="dxa"/>
            <w:gridSpan w:val="8"/>
            <w:tcBorders>
              <w:top w:val="single" w:color="000000" w:sz="4" w:space="0"/>
              <w:left w:val="single" w:color="000000" w:sz="4" w:space="0"/>
              <w:bottom w:val="single" w:color="000000" w:sz="4" w:space="0"/>
              <w:right w:val="single" w:color="000000" w:sz="4" w:space="0"/>
            </w:tcBorders>
            <w:noWrap w:val="0"/>
            <w:vAlign w:val="center"/>
          </w:tcPr>
          <w:p w14:paraId="6E9E1413">
            <w:pPr>
              <w:pStyle w:val="50"/>
              <w:keepNext w:val="0"/>
              <w:keepLines w:val="0"/>
              <w:pageBreakBefore w:val="0"/>
              <w:widowControl w:val="0"/>
              <w:tabs>
                <w:tab w:val="left" w:pos="1161"/>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经历</w:t>
            </w:r>
          </w:p>
        </w:tc>
      </w:tr>
      <w:tr w14:paraId="163C2B22">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7011887A">
            <w:pPr>
              <w:pStyle w:val="50"/>
              <w:keepNext w:val="0"/>
              <w:keepLines w:val="0"/>
              <w:pageBreakBefore w:val="0"/>
              <w:widowControl w:val="0"/>
              <w:tabs>
                <w:tab w:val="left" w:pos="447"/>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时间</w:t>
            </w:r>
          </w:p>
        </w:tc>
        <w:tc>
          <w:tcPr>
            <w:tcW w:w="3733" w:type="dxa"/>
            <w:gridSpan w:val="4"/>
            <w:tcBorders>
              <w:top w:val="single" w:color="000000" w:sz="4" w:space="0"/>
              <w:left w:val="single" w:color="000000" w:sz="4" w:space="0"/>
              <w:bottom w:val="single" w:color="000000" w:sz="4" w:space="0"/>
              <w:right w:val="single" w:color="000000" w:sz="4" w:space="0"/>
            </w:tcBorders>
            <w:noWrap w:val="0"/>
            <w:vAlign w:val="center"/>
          </w:tcPr>
          <w:p w14:paraId="1E60E0DB">
            <w:pPr>
              <w:pStyle w:val="50"/>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参加过的类似项目名称</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6FCBCF11">
            <w:pPr>
              <w:pStyle w:val="50"/>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担任职务</w:t>
            </w:r>
          </w:p>
        </w:tc>
        <w:tc>
          <w:tcPr>
            <w:tcW w:w="2223" w:type="dxa"/>
            <w:gridSpan w:val="2"/>
            <w:tcBorders>
              <w:top w:val="single" w:color="000000" w:sz="4" w:space="0"/>
              <w:left w:val="single" w:color="000000" w:sz="4" w:space="0"/>
              <w:bottom w:val="single" w:color="000000" w:sz="4" w:space="0"/>
              <w:right w:val="single" w:color="000000" w:sz="4" w:space="0"/>
            </w:tcBorders>
            <w:noWrap w:val="0"/>
            <w:vAlign w:val="center"/>
          </w:tcPr>
          <w:p w14:paraId="1E7D0091">
            <w:pPr>
              <w:pStyle w:val="50"/>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发包人及联</w:t>
            </w:r>
            <w:r>
              <w:rPr>
                <w:rFonts w:hint="eastAsia" w:asciiTheme="minorEastAsia" w:hAnsiTheme="minorEastAsia" w:eastAsiaTheme="minorEastAsia" w:cstheme="minorEastAsia"/>
                <w:color w:val="auto"/>
                <w:sz w:val="24"/>
                <w:szCs w:val="24"/>
                <w:highlight w:val="none"/>
              </w:rPr>
              <w:t>系电话</w:t>
            </w:r>
          </w:p>
        </w:tc>
      </w:tr>
      <w:tr w14:paraId="3303AE07">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516446AA">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p>
        </w:tc>
        <w:tc>
          <w:tcPr>
            <w:tcW w:w="3733" w:type="dxa"/>
            <w:gridSpan w:val="4"/>
            <w:tcBorders>
              <w:top w:val="single" w:color="000000" w:sz="4" w:space="0"/>
              <w:left w:val="single" w:color="000000" w:sz="4" w:space="0"/>
              <w:bottom w:val="single" w:color="000000" w:sz="4" w:space="0"/>
              <w:right w:val="single" w:color="000000" w:sz="4" w:space="0"/>
            </w:tcBorders>
            <w:noWrap w:val="0"/>
            <w:vAlign w:val="center"/>
          </w:tcPr>
          <w:p w14:paraId="61E5F233">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185E3E0F">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p>
        </w:tc>
        <w:tc>
          <w:tcPr>
            <w:tcW w:w="2223" w:type="dxa"/>
            <w:gridSpan w:val="2"/>
            <w:tcBorders>
              <w:top w:val="single" w:color="000000" w:sz="4" w:space="0"/>
              <w:left w:val="single" w:color="000000" w:sz="4" w:space="0"/>
              <w:bottom w:val="single" w:color="000000" w:sz="4" w:space="0"/>
              <w:right w:val="single" w:color="000000" w:sz="4" w:space="0"/>
            </w:tcBorders>
            <w:noWrap w:val="0"/>
            <w:vAlign w:val="center"/>
          </w:tcPr>
          <w:p w14:paraId="36C382A8">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p>
        </w:tc>
      </w:tr>
      <w:tr w14:paraId="626596B1">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35525B9B">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p>
        </w:tc>
        <w:tc>
          <w:tcPr>
            <w:tcW w:w="3733" w:type="dxa"/>
            <w:gridSpan w:val="4"/>
            <w:tcBorders>
              <w:top w:val="single" w:color="000000" w:sz="4" w:space="0"/>
              <w:left w:val="single" w:color="000000" w:sz="4" w:space="0"/>
              <w:bottom w:val="single" w:color="000000" w:sz="4" w:space="0"/>
              <w:right w:val="single" w:color="000000" w:sz="4" w:space="0"/>
            </w:tcBorders>
            <w:noWrap w:val="0"/>
            <w:vAlign w:val="center"/>
          </w:tcPr>
          <w:p w14:paraId="4EA019B1">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5B8306D1">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p>
        </w:tc>
        <w:tc>
          <w:tcPr>
            <w:tcW w:w="2223" w:type="dxa"/>
            <w:gridSpan w:val="2"/>
            <w:tcBorders>
              <w:top w:val="single" w:color="000000" w:sz="4" w:space="0"/>
              <w:left w:val="single" w:color="000000" w:sz="4" w:space="0"/>
              <w:bottom w:val="single" w:color="000000" w:sz="4" w:space="0"/>
              <w:right w:val="single" w:color="000000" w:sz="4" w:space="0"/>
            </w:tcBorders>
            <w:noWrap w:val="0"/>
            <w:vAlign w:val="center"/>
          </w:tcPr>
          <w:p w14:paraId="0AD65F3A">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p>
        </w:tc>
      </w:tr>
      <w:tr w14:paraId="0C6EFA11">
        <w:tblPrEx>
          <w:tblCellMar>
            <w:top w:w="0" w:type="dxa"/>
            <w:left w:w="0" w:type="dxa"/>
            <w:bottom w:w="0" w:type="dxa"/>
            <w:right w:w="0" w:type="dxa"/>
          </w:tblCellMar>
        </w:tblPrEx>
        <w:trPr>
          <w:trHeight w:val="567" w:hRule="atLeast"/>
          <w:jc w:val="center"/>
        </w:trPr>
        <w:tc>
          <w:tcPr>
            <w:tcW w:w="2049" w:type="dxa"/>
            <w:tcBorders>
              <w:top w:val="single" w:color="000000" w:sz="4" w:space="0"/>
              <w:left w:val="single" w:color="000000" w:sz="4" w:space="0"/>
              <w:bottom w:val="single" w:color="000000" w:sz="4" w:space="0"/>
              <w:right w:val="single" w:color="000000" w:sz="4" w:space="0"/>
            </w:tcBorders>
            <w:noWrap w:val="0"/>
            <w:vAlign w:val="center"/>
          </w:tcPr>
          <w:p w14:paraId="731C5335">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c>
          <w:tcPr>
            <w:tcW w:w="3733" w:type="dxa"/>
            <w:gridSpan w:val="4"/>
            <w:tcBorders>
              <w:top w:val="single" w:color="000000" w:sz="4" w:space="0"/>
              <w:left w:val="single" w:color="000000" w:sz="4" w:space="0"/>
              <w:bottom w:val="single" w:color="000000" w:sz="4" w:space="0"/>
              <w:right w:val="single" w:color="000000" w:sz="4" w:space="0"/>
            </w:tcBorders>
            <w:noWrap w:val="0"/>
            <w:vAlign w:val="center"/>
          </w:tcPr>
          <w:p w14:paraId="5617493B">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c>
          <w:tcPr>
            <w:tcW w:w="1179" w:type="dxa"/>
            <w:tcBorders>
              <w:top w:val="single" w:color="000000" w:sz="4" w:space="0"/>
              <w:left w:val="single" w:color="000000" w:sz="4" w:space="0"/>
              <w:bottom w:val="single" w:color="000000" w:sz="4" w:space="0"/>
              <w:right w:val="single" w:color="000000" w:sz="4" w:space="0"/>
            </w:tcBorders>
            <w:noWrap w:val="0"/>
            <w:vAlign w:val="center"/>
          </w:tcPr>
          <w:p w14:paraId="0B2B0F31">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c>
          <w:tcPr>
            <w:tcW w:w="2223" w:type="dxa"/>
            <w:gridSpan w:val="2"/>
            <w:tcBorders>
              <w:top w:val="single" w:color="000000" w:sz="4" w:space="0"/>
              <w:left w:val="single" w:color="000000" w:sz="4" w:space="0"/>
              <w:bottom w:val="single" w:color="000000" w:sz="4" w:space="0"/>
              <w:right w:val="single" w:color="000000" w:sz="4" w:space="0"/>
            </w:tcBorders>
            <w:noWrap w:val="0"/>
            <w:vAlign w:val="center"/>
          </w:tcPr>
          <w:p w14:paraId="3546A465">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r>
      <w:tr w14:paraId="51C53AE2">
        <w:tblPrEx>
          <w:tblCellMar>
            <w:top w:w="0" w:type="dxa"/>
            <w:left w:w="0" w:type="dxa"/>
            <w:bottom w:w="0" w:type="dxa"/>
            <w:right w:w="0" w:type="dxa"/>
          </w:tblCellMar>
        </w:tblPrEx>
        <w:trPr>
          <w:trHeight w:val="567" w:hRule="atLeast"/>
          <w:jc w:val="center"/>
        </w:trPr>
        <w:tc>
          <w:tcPr>
            <w:tcW w:w="2775" w:type="dxa"/>
            <w:gridSpan w:val="2"/>
            <w:tcBorders>
              <w:top w:val="single" w:color="000000" w:sz="4" w:space="0"/>
              <w:left w:val="single" w:color="000000" w:sz="4" w:space="0"/>
              <w:bottom w:val="single" w:color="000000" w:sz="4" w:space="0"/>
              <w:right w:val="single" w:color="000000" w:sz="4" w:space="0"/>
            </w:tcBorders>
            <w:noWrap w:val="0"/>
            <w:vAlign w:val="center"/>
          </w:tcPr>
          <w:p w14:paraId="1EF7DD07">
            <w:pPr>
              <w:pStyle w:val="50"/>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获奖情况</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若有</w:t>
            </w:r>
            <w:r>
              <w:rPr>
                <w:rFonts w:hint="eastAsia" w:asciiTheme="minorEastAsia" w:hAnsiTheme="minorEastAsia" w:eastAsiaTheme="minorEastAsia" w:cstheme="minorEastAsia"/>
                <w:color w:val="auto"/>
                <w:sz w:val="24"/>
                <w:szCs w:val="24"/>
                <w:highlight w:val="none"/>
                <w:lang w:eastAsia="zh-CN"/>
              </w:rPr>
              <w:t>）</w:t>
            </w:r>
          </w:p>
        </w:tc>
        <w:tc>
          <w:tcPr>
            <w:tcW w:w="6409" w:type="dxa"/>
            <w:gridSpan w:val="6"/>
            <w:tcBorders>
              <w:top w:val="single" w:color="000000" w:sz="4" w:space="0"/>
              <w:left w:val="single" w:color="000000" w:sz="4" w:space="0"/>
              <w:bottom w:val="single" w:color="000000" w:sz="4" w:space="0"/>
              <w:right w:val="single" w:color="000000" w:sz="4" w:space="0"/>
            </w:tcBorders>
            <w:noWrap w:val="0"/>
            <w:vAlign w:val="center"/>
          </w:tcPr>
          <w:p w14:paraId="50FE84E7">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Theme="minorEastAsia" w:hAnsiTheme="minorEastAsia" w:eastAsiaTheme="minorEastAsia" w:cstheme="minorEastAsia"/>
                <w:color w:val="auto"/>
                <w:sz w:val="24"/>
                <w:szCs w:val="24"/>
                <w:highlight w:val="none"/>
              </w:rPr>
            </w:pPr>
          </w:p>
        </w:tc>
      </w:tr>
      <w:tr w14:paraId="7B087E9D">
        <w:tblPrEx>
          <w:tblCellMar>
            <w:top w:w="0" w:type="dxa"/>
            <w:left w:w="0" w:type="dxa"/>
            <w:bottom w:w="0" w:type="dxa"/>
            <w:right w:w="0" w:type="dxa"/>
          </w:tblCellMar>
        </w:tblPrEx>
        <w:trPr>
          <w:trHeight w:val="567" w:hRule="atLeast"/>
          <w:jc w:val="center"/>
        </w:trPr>
        <w:tc>
          <w:tcPr>
            <w:tcW w:w="2775" w:type="dxa"/>
            <w:gridSpan w:val="2"/>
            <w:tcBorders>
              <w:top w:val="single" w:color="000000" w:sz="4" w:space="0"/>
              <w:left w:val="single" w:color="000000" w:sz="4" w:space="0"/>
              <w:bottom w:val="single" w:color="000000" w:sz="4" w:space="0"/>
              <w:right w:val="single" w:color="000000" w:sz="4" w:space="0"/>
            </w:tcBorders>
            <w:noWrap w:val="0"/>
            <w:vAlign w:val="center"/>
          </w:tcPr>
          <w:p w14:paraId="50FA195B">
            <w:pPr>
              <w:pStyle w:val="50"/>
              <w:keepNext w:val="0"/>
              <w:keepLines w:val="0"/>
              <w:pageBreakBefore w:val="0"/>
              <w:widowControl w:val="0"/>
              <w:tabs>
                <w:tab w:val="left" w:pos="1576"/>
              </w:tabs>
              <w:kinsoku/>
              <w:wordWrap/>
              <w:overflowPunct/>
              <w:topLinePunct w:val="0"/>
              <w:autoSpaceDE/>
              <w:autoSpaceDN/>
              <w:bidi w:val="0"/>
              <w:adjustRightInd/>
              <w:snapToGrid/>
              <w:spacing w:line="360" w:lineRule="exact"/>
              <w:ind w:left="40" w:leftChars="20" w:right="0" w:rightChars="0" w:firstLine="0" w:firstLineChars="0"/>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c>
          <w:tcPr>
            <w:tcW w:w="6409" w:type="dxa"/>
            <w:gridSpan w:val="6"/>
            <w:tcBorders>
              <w:top w:val="single" w:color="000000" w:sz="4" w:space="0"/>
              <w:left w:val="single" w:color="000000" w:sz="4" w:space="0"/>
              <w:bottom w:val="single" w:color="000000" w:sz="4" w:space="0"/>
              <w:right w:val="single" w:color="000000" w:sz="4" w:space="0"/>
            </w:tcBorders>
            <w:noWrap w:val="0"/>
            <w:vAlign w:val="center"/>
          </w:tcPr>
          <w:p w14:paraId="648F8C47">
            <w:pPr>
              <w:keepNext w:val="0"/>
              <w:keepLines w:val="0"/>
              <w:pageBreakBefore w:val="0"/>
              <w:widowControl w:val="0"/>
              <w:kinsoku/>
              <w:wordWrap/>
              <w:overflowPunct/>
              <w:topLinePunct w:val="0"/>
              <w:autoSpaceDE/>
              <w:autoSpaceDN/>
              <w:bidi w:val="0"/>
              <w:adjustRightInd/>
              <w:snapToGrid/>
              <w:spacing w:line="360" w:lineRule="exact"/>
              <w:ind w:left="40" w:leftChars="20" w:right="0" w:rightChars="0" w:firstLine="0" w:firstLineChars="0"/>
              <w:jc w:val="both"/>
              <w:textAlignment w:val="auto"/>
              <w:outlineLvl w:val="9"/>
              <w:rPr>
                <w:rFonts w:hint="eastAsia" w:asciiTheme="minorEastAsia" w:hAnsiTheme="minorEastAsia" w:eastAsiaTheme="minorEastAsia" w:cstheme="minorEastAsia"/>
                <w:color w:val="auto"/>
                <w:sz w:val="24"/>
                <w:szCs w:val="24"/>
                <w:highlight w:val="none"/>
              </w:rPr>
            </w:pPr>
          </w:p>
        </w:tc>
      </w:tr>
    </w:tbl>
    <w:p w14:paraId="5096B36E">
      <w:pPr>
        <w:spacing w:line="240" w:lineRule="auto"/>
        <w:ind w:firstLine="0" w:firstLineChars="0"/>
        <w:rPr>
          <w:rFonts w:hint="eastAsia" w:ascii="仿宋" w:hAnsi="仿宋" w:eastAsia="仿宋" w:cs="仿宋"/>
          <w:color w:val="auto"/>
          <w:highlight w:val="none"/>
        </w:rPr>
      </w:pPr>
    </w:p>
    <w:p w14:paraId="7723A491">
      <w:pPr>
        <w:keepNext w:val="0"/>
        <w:keepLines w:val="0"/>
        <w:pageBreakBefore w:val="0"/>
        <w:widowControl w:val="0"/>
        <w:kinsoku/>
        <w:wordWrap/>
        <w:overflowPunct/>
        <w:topLinePunct w:val="0"/>
        <w:autoSpaceDE/>
        <w:autoSpaceDN/>
        <w:bidi w:val="0"/>
        <w:adjustRightInd/>
        <w:snapToGrid/>
        <w:spacing w:line="400" w:lineRule="exact"/>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要求：</w:t>
      </w:r>
    </w:p>
    <w:p w14:paraId="6F9D68A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仿宋" w:hAnsi="仿宋" w:eastAsia="仿宋" w:cs="仿宋"/>
          <w:b w:val="0"/>
          <w:bCs w:val="0"/>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人员配置表</w:t>
      </w:r>
      <w:r>
        <w:rPr>
          <w:rFonts w:hint="eastAsia" w:ascii="仿宋" w:hAnsi="仿宋" w:eastAsia="仿宋" w:cs="仿宋"/>
          <w:color w:val="auto"/>
          <w:sz w:val="24"/>
          <w:szCs w:val="24"/>
          <w:highlight w:val="none"/>
          <w:lang w:eastAsia="zh-CN"/>
        </w:rPr>
        <w:t>中的所有人员均须提供本表</w:t>
      </w:r>
      <w:r>
        <w:rPr>
          <w:rFonts w:hint="eastAsia" w:ascii="仿宋" w:hAnsi="仿宋" w:eastAsia="仿宋" w:cs="仿宋"/>
          <w:color w:val="auto"/>
          <w:highlight w:val="none"/>
          <w:lang w:val="en-US" w:eastAsia="zh-CN"/>
        </w:rPr>
        <w:t>。</w:t>
      </w:r>
      <w:r>
        <w:rPr>
          <w:rFonts w:hint="eastAsia" w:ascii="仿宋" w:hAnsi="仿宋" w:eastAsia="仿宋" w:cs="仿宋"/>
          <w:color w:val="auto"/>
          <w:sz w:val="24"/>
          <w:szCs w:val="24"/>
          <w:highlight w:val="none"/>
        </w:rPr>
        <w:t>表后</w:t>
      </w:r>
      <w:r>
        <w:rPr>
          <w:rFonts w:hint="eastAsia" w:ascii="仿宋" w:hAnsi="仿宋" w:eastAsia="仿宋" w:cs="仿宋"/>
          <w:color w:val="auto"/>
          <w:sz w:val="24"/>
          <w:szCs w:val="24"/>
          <w:highlight w:val="none"/>
          <w:lang w:eastAsia="zh-CN"/>
        </w:rPr>
        <w:t>相关人员的</w:t>
      </w:r>
      <w:r>
        <w:rPr>
          <w:rFonts w:hint="eastAsia" w:ascii="仿宋" w:hAnsi="仿宋" w:eastAsia="仿宋" w:cs="仿宋"/>
          <w:color w:val="auto"/>
          <w:sz w:val="24"/>
          <w:highlight w:val="none"/>
        </w:rPr>
        <w:t>执业/职业</w:t>
      </w:r>
      <w:r>
        <w:rPr>
          <w:rFonts w:hint="eastAsia" w:ascii="仿宋" w:hAnsi="仿宋" w:eastAsia="仿宋" w:cs="仿宋"/>
          <w:color w:val="auto"/>
          <w:sz w:val="24"/>
          <w:highlight w:val="none"/>
          <w:lang w:val="en-US"/>
        </w:rPr>
        <w:t>/</w:t>
      </w:r>
      <w:r>
        <w:rPr>
          <w:rFonts w:hint="eastAsia" w:ascii="仿宋" w:hAnsi="仿宋" w:eastAsia="仿宋" w:cs="仿宋"/>
          <w:color w:val="auto"/>
          <w:sz w:val="24"/>
          <w:highlight w:val="none"/>
          <w:lang w:val="en-US" w:eastAsia="zh-CN"/>
        </w:rPr>
        <w:t>岗位</w:t>
      </w:r>
      <w:r>
        <w:rPr>
          <w:rFonts w:hint="eastAsia" w:ascii="仿宋" w:hAnsi="仿宋" w:eastAsia="仿宋" w:cs="仿宋"/>
          <w:color w:val="auto"/>
          <w:sz w:val="24"/>
          <w:highlight w:val="none"/>
        </w:rPr>
        <w:t>资格证</w:t>
      </w:r>
      <w:r>
        <w:rPr>
          <w:rFonts w:hint="eastAsia" w:ascii="仿宋" w:hAnsi="仿宋" w:eastAsia="仿宋" w:cs="仿宋"/>
          <w:color w:val="auto"/>
          <w:sz w:val="24"/>
          <w:highlight w:val="none"/>
          <w:lang w:eastAsia="zh-CN"/>
        </w:rPr>
        <w:t>（如有）、</w:t>
      </w:r>
      <w:r>
        <w:rPr>
          <w:rFonts w:hint="eastAsia" w:ascii="仿宋" w:hAnsi="仿宋" w:eastAsia="仿宋" w:cs="仿宋"/>
          <w:color w:val="auto"/>
          <w:sz w:val="24"/>
          <w:szCs w:val="24"/>
          <w:highlight w:val="none"/>
        </w:rPr>
        <w:t>居民身份证、</w:t>
      </w:r>
      <w:r>
        <w:rPr>
          <w:rFonts w:hint="eastAsia" w:ascii="仿宋" w:hAnsi="仿宋" w:eastAsia="仿宋" w:cs="仿宋"/>
          <w:color w:val="auto"/>
          <w:sz w:val="24"/>
          <w:szCs w:val="24"/>
          <w:highlight w:val="none"/>
          <w:lang w:eastAsia="zh-CN"/>
        </w:rPr>
        <w:t>职称证（如有）</w:t>
      </w:r>
      <w:r>
        <w:rPr>
          <w:rFonts w:hint="eastAsia" w:ascii="仿宋" w:hAnsi="仿宋" w:eastAsia="仿宋" w:cs="仿宋"/>
          <w:color w:val="auto"/>
          <w:sz w:val="24"/>
          <w:szCs w:val="24"/>
          <w:highlight w:val="none"/>
        </w:rPr>
        <w:t>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每个人员提供一张表格并附相关资料。</w:t>
      </w:r>
    </w:p>
    <w:p w14:paraId="79E5D226">
      <w:pPr>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br w:type="page"/>
      </w:r>
    </w:p>
    <w:p w14:paraId="019AB19A">
      <w:pPr>
        <w:pStyle w:val="3"/>
        <w:rPr>
          <w:rFonts w:hint="eastAsia" w:ascii="宋体" w:hAnsi="宋体" w:cs="宋体"/>
          <w:color w:val="auto"/>
          <w:szCs w:val="30"/>
          <w:highlight w:val="none"/>
        </w:rPr>
      </w:pPr>
      <w:bookmarkStart w:id="4708" w:name="_Toc15116"/>
      <w:r>
        <w:rPr>
          <w:rFonts w:hint="eastAsia" w:ascii="宋体" w:hAnsi="宋体" w:cs="宋体"/>
          <w:color w:val="auto"/>
          <w:szCs w:val="30"/>
          <w:highlight w:val="none"/>
        </w:rPr>
        <w:t>（六）供应商认为需提交的其他资料</w:t>
      </w:r>
      <w:bookmarkEnd w:id="4708"/>
    </w:p>
    <w:p w14:paraId="7C516D7E">
      <w:pPr>
        <w:spacing w:line="360" w:lineRule="auto"/>
        <w:jc w:val="center"/>
        <w:rPr>
          <w:rFonts w:hint="eastAsia" w:ascii="宋体" w:hAnsi="宋体"/>
          <w:color w:val="auto"/>
          <w:sz w:val="24"/>
          <w:szCs w:val="24"/>
          <w:highlight w:val="none"/>
        </w:rPr>
      </w:pPr>
      <w:r>
        <w:rPr>
          <w:rFonts w:hint="eastAsia" w:ascii="宋体" w:hAnsi="宋体"/>
          <w:color w:val="auto"/>
          <w:sz w:val="24"/>
          <w:szCs w:val="24"/>
          <w:highlight w:val="none"/>
        </w:rPr>
        <w:t>格式自拟</w:t>
      </w:r>
      <w:bookmarkEnd w:id="4700"/>
      <w:bookmarkEnd w:id="4701"/>
    </w:p>
    <w:p w14:paraId="6F3C13C1">
      <w:pPr>
        <w:rPr>
          <w:rFonts w:hint="eastAsia" w:ascii="宋体" w:hAnsi="宋体"/>
          <w:color w:val="auto"/>
          <w:sz w:val="24"/>
          <w:szCs w:val="24"/>
          <w:highlight w:val="none"/>
        </w:rPr>
      </w:pPr>
      <w:r>
        <w:rPr>
          <w:rFonts w:hint="eastAsia" w:ascii="宋体" w:hAnsi="宋体"/>
          <w:color w:val="auto"/>
          <w:sz w:val="24"/>
          <w:szCs w:val="24"/>
          <w:highlight w:val="none"/>
        </w:rPr>
        <w:br w:type="page"/>
      </w:r>
    </w:p>
    <w:p w14:paraId="59154FEB">
      <w:pPr>
        <w:numPr>
          <w:ilvl w:val="0"/>
          <w:numId w:val="0"/>
        </w:numPr>
        <w:spacing w:line="360" w:lineRule="auto"/>
        <w:jc w:val="center"/>
        <w:outlineLvl w:val="0"/>
        <w:rPr>
          <w:rFonts w:hint="eastAsia" w:ascii="宋体" w:hAnsi="宋体" w:cs="宋体"/>
          <w:b/>
          <w:bCs/>
          <w:color w:val="auto"/>
          <w:sz w:val="28"/>
          <w:szCs w:val="28"/>
          <w:highlight w:val="none"/>
          <w:lang w:val="en-US" w:eastAsia="zh-CN"/>
        </w:rPr>
      </w:pPr>
      <w:bookmarkStart w:id="4709" w:name="_Toc25476"/>
      <w:r>
        <w:rPr>
          <w:rFonts w:hint="eastAsia" w:ascii="宋体" w:hAnsi="宋体" w:cs="宋体"/>
          <w:b/>
          <w:bCs/>
          <w:color w:val="auto"/>
          <w:sz w:val="28"/>
          <w:szCs w:val="28"/>
          <w:highlight w:val="none"/>
          <w:lang w:val="en-US" w:eastAsia="zh-CN"/>
        </w:rPr>
        <w:t>第七章 图纸</w:t>
      </w:r>
      <w:bookmarkEnd w:id="4709"/>
    </w:p>
    <w:p w14:paraId="1680027D">
      <w:pPr>
        <w:numPr>
          <w:ilvl w:val="0"/>
          <w:numId w:val="0"/>
        </w:numPr>
        <w:spacing w:line="360" w:lineRule="auto"/>
        <w:jc w:val="center"/>
        <w:rPr>
          <w:rFonts w:hint="default" w:ascii="宋体" w:hAnsi="宋体" w:eastAsia="宋体" w:cs="宋体"/>
          <w:color w:val="auto"/>
          <w:highlight w:val="none"/>
          <w:lang w:val="en-US" w:eastAsia="zh-CN"/>
        </w:rPr>
      </w:pPr>
      <w:r>
        <w:rPr>
          <w:rFonts w:hint="eastAsia" w:ascii="宋体" w:hAnsi="宋体" w:eastAsia="宋体" w:cs="宋体"/>
          <w:b w:val="0"/>
          <w:bCs/>
          <w:color w:val="auto"/>
          <w:kern w:val="0"/>
          <w:sz w:val="24"/>
          <w:szCs w:val="24"/>
          <w:highlight w:val="none"/>
        </w:rPr>
        <w:t>另附，</w:t>
      </w:r>
      <w:r>
        <w:rPr>
          <w:rFonts w:hint="eastAsia" w:ascii="宋体" w:hAnsi="宋体" w:eastAsia="宋体" w:cs="宋体"/>
          <w:b w:val="0"/>
          <w:bCs/>
          <w:color w:val="auto"/>
          <w:kern w:val="0"/>
          <w:sz w:val="24"/>
          <w:szCs w:val="24"/>
          <w:highlight w:val="none"/>
          <w:lang w:val="en-US" w:eastAsia="zh-CN"/>
        </w:rPr>
        <w:t>供应商</w:t>
      </w:r>
      <w:r>
        <w:rPr>
          <w:rFonts w:hint="eastAsia" w:ascii="宋体" w:hAnsi="宋体" w:eastAsia="宋体" w:cs="宋体"/>
          <w:b w:val="0"/>
          <w:bCs/>
          <w:color w:val="auto"/>
          <w:kern w:val="0"/>
          <w:sz w:val="24"/>
          <w:szCs w:val="24"/>
          <w:highlight w:val="none"/>
        </w:rPr>
        <w:t>从</w:t>
      </w:r>
      <w:r>
        <w:rPr>
          <w:rFonts w:hint="eastAsia" w:ascii="宋体" w:hAnsi="宋体" w:eastAsia="宋体" w:cs="宋体"/>
          <w:iCs/>
          <w:color w:val="auto"/>
          <w:sz w:val="24"/>
          <w:szCs w:val="24"/>
          <w:highlight w:val="none"/>
          <w:lang w:eastAsia="zh-CN"/>
        </w:rPr>
        <w:t>“政采云”平台 （http://www.zcygov.cn）</w:t>
      </w:r>
      <w:r>
        <w:rPr>
          <w:rFonts w:hint="eastAsia" w:ascii="宋体" w:hAnsi="宋体" w:eastAsia="宋体" w:cs="宋体"/>
          <w:b w:val="0"/>
          <w:bCs/>
          <w:color w:val="auto"/>
          <w:kern w:val="0"/>
          <w:sz w:val="24"/>
          <w:szCs w:val="24"/>
          <w:highlight w:val="none"/>
        </w:rPr>
        <w:t>上下载电子版图纸</w:t>
      </w:r>
    </w:p>
    <w:p w14:paraId="1DD165A5">
      <w:pPr>
        <w:bidi w:val="0"/>
        <w:jc w:val="center"/>
        <w:rPr>
          <w:color w:val="auto"/>
          <w:highlight w:val="none"/>
          <w:lang w:val="en-US" w:eastAsia="zh-CN"/>
        </w:rPr>
      </w:pPr>
    </w:p>
    <w:sectPr>
      <w:pgSz w:w="11906" w:h="16838"/>
      <w:pgMar w:top="1134" w:right="1247" w:bottom="1134" w:left="1247"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3AED93E-1212-4AAC-9F8D-666800941E71}"/>
  </w:font>
  <w:font w:name="黑体">
    <w:panose1 w:val="02010609060101010101"/>
    <w:charset w:val="86"/>
    <w:family w:val="auto"/>
    <w:pitch w:val="default"/>
    <w:sig w:usb0="800002BF" w:usb1="38CF7CFA" w:usb2="00000016" w:usb3="00000000" w:csb0="00040001" w:csb1="00000000"/>
    <w:embedRegular r:id="rId2" w:fontKey="{7DD2CE83-8D03-476E-A786-138F376E3E9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Sans Serif">
    <w:altName w:val="Arial"/>
    <w:panose1 w:val="020B0500000000000000"/>
    <w:charset w:val="00"/>
    <w:family w:val="swiss"/>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3" w:fontKey="{0D3673FD-B7BE-4B03-BF03-3AD2B1008050}"/>
  </w:font>
  <w:font w:name="仿宋_GB2312">
    <w:altName w:val="仿宋"/>
    <w:panose1 w:val="00000000000000000000"/>
    <w:charset w:val="86"/>
    <w:family w:val="modern"/>
    <w:pitch w:val="default"/>
    <w:sig w:usb0="00000000" w:usb1="00000000" w:usb2="00000000" w:usb3="00000000" w:csb0="00040000" w:csb1="00000000"/>
    <w:embedRegular r:id="rId4" w:fontKey="{5B8564AE-4D26-4A55-9ECA-DF836E53DEAF}"/>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Lucida Sans">
    <w:altName w:val="Lucida Sans Unicode"/>
    <w:panose1 w:val="020B0602030504020204"/>
    <w:charset w:val="00"/>
    <w:family w:val="swiss"/>
    <w:pitch w:val="default"/>
    <w:sig w:usb0="00000000" w:usb1="00000000" w:usb2="00000000" w:usb3="00000000" w:csb0="00000001" w:csb1="00000000"/>
  </w:font>
  <w:font w:name="Lucida Sans Unicode">
    <w:panose1 w:val="020B0602030504020204"/>
    <w:charset w:val="00"/>
    <w:family w:val="auto"/>
    <w:pitch w:val="default"/>
    <w:sig w:usb0="80001AFF" w:usb1="0000396B" w:usb2="00000000" w:usb3="00000000" w:csb0="200000BF" w:csb1="D7F70000"/>
  </w:font>
  <w:font w:name="方正仿宋_GB2312">
    <w:panose1 w:val="02000000000000000000"/>
    <w:charset w:val="86"/>
    <w:family w:val="auto"/>
    <w:pitch w:val="default"/>
    <w:sig w:usb0="A00002BF" w:usb1="184F6CFA" w:usb2="00000012" w:usb3="00000000" w:csb0="00040001" w:csb1="00000000"/>
    <w:embedRegular r:id="rId5" w:fontKey="{E78B6BE3-D456-4744-92D2-9ED881CB7F10}"/>
  </w:font>
  <w:font w:name="Arial Narrow">
    <w:panose1 w:val="020B0606020202030204"/>
    <w:charset w:val="00"/>
    <w:family w:val="swiss"/>
    <w:pitch w:val="default"/>
    <w:sig w:usb0="00000287" w:usb1="00000800" w:usb2="00000000" w:usb3="00000000" w:csb0="2000009F" w:csb1="DFD70000"/>
    <w:embedRegular r:id="rId6" w:fontKey="{BD9BC6D6-B77F-4CDF-AA82-D1820E4DED0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32531">
    <w:pPr>
      <w:pStyle w:val="14"/>
      <w:jc w:val="both"/>
    </w:pPr>
  </w:p>
  <w:p w14:paraId="3202F3FB">
    <w:pPr>
      <w:pStyle w:val="14"/>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C7DE1">
    <w:pPr>
      <w:pStyle w:val="14"/>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5BF345">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D5BF345">
                    <w:pPr>
                      <w:pStyle w:val="14"/>
                    </w:pPr>
                    <w:r>
                      <w:fldChar w:fldCharType="begin"/>
                    </w:r>
                    <w:r>
                      <w:instrText xml:space="preserve"> PAGE  \* MERGEFORMAT </w:instrText>
                    </w:r>
                    <w:r>
                      <w:fldChar w:fldCharType="separate"/>
                    </w:r>
                    <w:r>
                      <w:t>1</w:t>
                    </w:r>
                    <w:r>
                      <w:fldChar w:fldCharType="end"/>
                    </w:r>
                  </w:p>
                </w:txbxContent>
              </v:textbox>
            </v:shape>
          </w:pict>
        </mc:Fallback>
      </mc:AlternateContent>
    </w:r>
  </w:p>
  <w:p w14:paraId="7461DF09">
    <w:pPr>
      <w:pStyle w:val="14"/>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D697C">
    <w:pPr>
      <w:pStyle w:val="9"/>
      <w:spacing w:line="14" w:lineRule="auto"/>
      <w:rPr>
        <w:sz w:val="12"/>
      </w:rPr>
    </w:pPr>
    <w:r>
      <w:rPr>
        <w:sz w:val="1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A08C3C">
                          <w:pPr>
                            <w:pStyle w:val="14"/>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28A08C3C">
                    <w:pPr>
                      <w:pStyle w:val="14"/>
                    </w:pPr>
                    <w:r>
                      <w:fldChar w:fldCharType="begin"/>
                    </w:r>
                    <w:r>
                      <w:instrText xml:space="preserve"> PAGE  \* MERGEFORMAT </w:instrText>
                    </w:r>
                    <w:r>
                      <w:fldChar w:fldCharType="separate"/>
                    </w:r>
                    <w:r>
                      <w:t>36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3EF68">
    <w:pPr>
      <w:pStyle w:val="16"/>
      <w:jc w:val="right"/>
    </w:pPr>
    <w:r>
      <w:rPr>
        <w:rFonts w:hint="eastAsia"/>
      </w:rPr>
      <w:drawing>
        <wp:inline distT="0" distB="0" distL="114300" distR="114300">
          <wp:extent cx="1800225" cy="190500"/>
          <wp:effectExtent l="0" t="0" r="9525" b="0"/>
          <wp:docPr id="6" name="图片 6" descr="公司LOGO（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公司LOGO（新）"/>
                  <pic:cNvPicPr>
                    <a:picLocks noChangeAspect="1"/>
                  </pic:cNvPicPr>
                </pic:nvPicPr>
                <pic:blipFill>
                  <a:blip r:embed="rId1"/>
                  <a:stretch>
                    <a:fillRect/>
                  </a:stretch>
                </pic:blipFill>
                <pic:spPr>
                  <a:xfrm>
                    <a:off x="0" y="0"/>
                    <a:ext cx="1800225" cy="1905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33B74">
    <w:pPr>
      <w:pStyle w:val="16"/>
      <w:pBdr>
        <w:bottom w:val="none" w:color="auto" w:sz="0" w:space="0"/>
      </w:pBdr>
      <w:jc w:val="right"/>
    </w:pPr>
    <w:r>
      <w:rPr>
        <w:rFonts w:hint="eastAsia"/>
      </w:rPr>
      <w:drawing>
        <wp:inline distT="0" distB="0" distL="114300" distR="114300">
          <wp:extent cx="1889760" cy="200025"/>
          <wp:effectExtent l="0" t="0" r="15240" b="9525"/>
          <wp:docPr id="5" name="图片 5" descr="公司LOGO（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公司LOGO（新）"/>
                  <pic:cNvPicPr>
                    <a:picLocks noChangeAspect="1"/>
                  </pic:cNvPicPr>
                </pic:nvPicPr>
                <pic:blipFill>
                  <a:blip r:embed="rId1"/>
                  <a:stretch>
                    <a:fillRect/>
                  </a:stretch>
                </pic:blipFill>
                <pic:spPr>
                  <a:xfrm>
                    <a:off x="0" y="0"/>
                    <a:ext cx="1889760" cy="2000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FC9C79"/>
    <w:multiLevelType w:val="singleLevel"/>
    <w:tmpl w:val="8CFC9C79"/>
    <w:lvl w:ilvl="0" w:tentative="0">
      <w:start w:val="2"/>
      <w:numFmt w:val="chineseCounting"/>
      <w:suff w:val="space"/>
      <w:lvlText w:val="第%1章"/>
      <w:lvlJc w:val="left"/>
      <w:rPr>
        <w:rFonts w:hint="eastAsia"/>
      </w:rPr>
    </w:lvl>
  </w:abstractNum>
  <w:abstractNum w:abstractNumId="1">
    <w:nsid w:val="B49180A3"/>
    <w:multiLevelType w:val="singleLevel"/>
    <w:tmpl w:val="B49180A3"/>
    <w:lvl w:ilvl="0" w:tentative="0">
      <w:start w:val="1"/>
      <w:numFmt w:val="chineseCounting"/>
      <w:suff w:val="nothing"/>
      <w:lvlText w:val="（%1）"/>
      <w:lvlJc w:val="left"/>
      <w:rPr>
        <w:rFonts w:hint="eastAsia"/>
      </w:rPr>
    </w:lvl>
  </w:abstractNum>
  <w:abstractNum w:abstractNumId="2">
    <w:nsid w:val="B5C698F2"/>
    <w:multiLevelType w:val="multilevel"/>
    <w:tmpl w:val="B5C698F2"/>
    <w:lvl w:ilvl="0" w:tentative="0">
      <w:start w:val="1"/>
      <w:numFmt w:val="decimal"/>
      <w:lvlText w:val="%1."/>
      <w:lvlJc w:val="left"/>
      <w:pPr>
        <w:tabs>
          <w:tab w:val="left" w:pos="432"/>
        </w:tabs>
        <w:ind w:left="432" w:hanging="432"/>
      </w:pPr>
      <w:rPr>
        <w:rFonts w:hint="default"/>
      </w:rPr>
    </w:lvl>
    <w:lvl w:ilvl="1" w:tentative="0">
      <w:start w:val="1"/>
      <w:numFmt w:val="decimal"/>
      <w:lvlText w:val="%1.%2."/>
      <w:lvlJc w:val="left"/>
      <w:pPr>
        <w:tabs>
          <w:tab w:val="left" w:pos="575"/>
        </w:tabs>
        <w:ind w:left="575" w:hanging="57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pStyle w:val="5"/>
      <w:lvlText w:val="%1.%2.%3.%4."/>
      <w:lvlJc w:val="left"/>
      <w:pPr>
        <w:tabs>
          <w:tab w:val="left" w:pos="864"/>
        </w:tabs>
        <w:ind w:left="864" w:hanging="864"/>
      </w:pPr>
      <w:rPr>
        <w:rFonts w:hint="default"/>
      </w:rPr>
    </w:lvl>
    <w:lvl w:ilvl="4" w:tentative="0">
      <w:start w:val="1"/>
      <w:numFmt w:val="decimal"/>
      <w:lvlText w:val="%1.%2.%3.%4.%5."/>
      <w:lvlJc w:val="left"/>
      <w:pPr>
        <w:tabs>
          <w:tab w:val="left" w:pos="1008"/>
        </w:tabs>
        <w:ind w:left="1008" w:hanging="1008"/>
      </w:pPr>
      <w:rPr>
        <w:rFonts w:hint="default"/>
      </w:rPr>
    </w:lvl>
    <w:lvl w:ilvl="5" w:tentative="0">
      <w:start w:val="1"/>
      <w:numFmt w:val="decimal"/>
      <w:lvlText w:val="%1.%2.%3.%4.%5.%6."/>
      <w:lvlJc w:val="left"/>
      <w:pPr>
        <w:tabs>
          <w:tab w:val="left" w:pos="1151"/>
        </w:tabs>
        <w:ind w:left="1151" w:hanging="1151"/>
      </w:pPr>
      <w:rPr>
        <w:rFonts w:hint="default"/>
      </w:rPr>
    </w:lvl>
    <w:lvl w:ilvl="6" w:tentative="0">
      <w:start w:val="1"/>
      <w:numFmt w:val="decimal"/>
      <w:lvlText w:val="%1.%2.%3.%4.%5.%6.%7."/>
      <w:lvlJc w:val="left"/>
      <w:pPr>
        <w:tabs>
          <w:tab w:val="left" w:pos="1296"/>
        </w:tabs>
        <w:ind w:left="1296" w:hanging="1296"/>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583"/>
        </w:tabs>
        <w:ind w:left="1583" w:hanging="1583"/>
      </w:pPr>
      <w:rPr>
        <w:rFonts w:hint="default"/>
      </w:rPr>
    </w:lvl>
  </w:abstractNum>
  <w:abstractNum w:abstractNumId="3">
    <w:nsid w:val="D5188C74"/>
    <w:multiLevelType w:val="singleLevel"/>
    <w:tmpl w:val="D5188C74"/>
    <w:lvl w:ilvl="0" w:tentative="0">
      <w:start w:val="1"/>
      <w:numFmt w:val="chineseCounting"/>
      <w:suff w:val="nothing"/>
      <w:lvlText w:val="（%1）"/>
      <w:lvlJc w:val="left"/>
      <w:pPr>
        <w:ind w:left="0" w:firstLine="420"/>
      </w:pPr>
      <w:rPr>
        <w:rFonts w:hint="eastAsia"/>
      </w:rPr>
    </w:lvl>
  </w:abstractNum>
  <w:abstractNum w:abstractNumId="4">
    <w:nsid w:val="D8D64076"/>
    <w:multiLevelType w:val="singleLevel"/>
    <w:tmpl w:val="D8D64076"/>
    <w:lvl w:ilvl="0" w:tentative="0">
      <w:start w:val="5"/>
      <w:numFmt w:val="chineseCounting"/>
      <w:suff w:val="nothing"/>
      <w:lvlText w:val="（%1）"/>
      <w:lvlJc w:val="left"/>
      <w:rPr>
        <w:rFonts w:hint="eastAsia"/>
      </w:rPr>
    </w:lvl>
  </w:abstractNum>
  <w:abstractNum w:abstractNumId="5">
    <w:nsid w:val="037274DB"/>
    <w:multiLevelType w:val="singleLevel"/>
    <w:tmpl w:val="037274DB"/>
    <w:lvl w:ilvl="0" w:tentative="0">
      <w:start w:val="1"/>
      <w:numFmt w:val="decimal"/>
      <w:suff w:val="nothing"/>
      <w:lvlText w:val="%1、"/>
      <w:lvlJc w:val="left"/>
    </w:lvl>
  </w:abstractNum>
  <w:abstractNum w:abstractNumId="6">
    <w:nsid w:val="0C5C5DFD"/>
    <w:multiLevelType w:val="multilevel"/>
    <w:tmpl w:val="0C5C5DF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0E425689"/>
    <w:multiLevelType w:val="singleLevel"/>
    <w:tmpl w:val="0E425689"/>
    <w:lvl w:ilvl="0" w:tentative="0">
      <w:start w:val="1"/>
      <w:numFmt w:val="decimal"/>
      <w:suff w:val="nothing"/>
      <w:lvlText w:val="%1、"/>
      <w:lvlJc w:val="left"/>
    </w:lvl>
  </w:abstractNum>
  <w:abstractNum w:abstractNumId="8">
    <w:nsid w:val="36187668"/>
    <w:multiLevelType w:val="singleLevel"/>
    <w:tmpl w:val="36187668"/>
    <w:lvl w:ilvl="0" w:tentative="0">
      <w:start w:val="3"/>
      <w:numFmt w:val="chineseCounting"/>
      <w:suff w:val="nothing"/>
      <w:lvlText w:val="（%1）"/>
      <w:lvlJc w:val="left"/>
      <w:rPr>
        <w:rFonts w:hint="eastAsia"/>
      </w:rPr>
    </w:lvl>
  </w:abstractNum>
  <w:abstractNum w:abstractNumId="9">
    <w:nsid w:val="7AE2E9A7"/>
    <w:multiLevelType w:val="singleLevel"/>
    <w:tmpl w:val="7AE2E9A7"/>
    <w:lvl w:ilvl="0" w:tentative="0">
      <w:start w:val="3"/>
      <w:numFmt w:val="chineseCounting"/>
      <w:suff w:val="space"/>
      <w:lvlText w:val="第%1章"/>
      <w:lvlJc w:val="left"/>
      <w:rPr>
        <w:rFonts w:hint="eastAsia"/>
      </w:rPr>
    </w:lvl>
  </w:abstractNum>
  <w:num w:numId="1">
    <w:abstractNumId w:val="2"/>
  </w:num>
  <w:num w:numId="2">
    <w:abstractNumId w:val="0"/>
  </w:num>
  <w:num w:numId="3">
    <w:abstractNumId w:val="9"/>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5"/>
  </w:num>
  <w:num w:numId="8">
    <w:abstractNumId w:val="8"/>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 w:name="KSO_WPS_MARK_KEY" w:val="24bcfc60-d73f-40e5-969b-55e3c39f637d"/>
  </w:docVars>
  <w:rsids>
    <w:rsidRoot w:val="2538594F"/>
    <w:rsid w:val="00144612"/>
    <w:rsid w:val="002230D4"/>
    <w:rsid w:val="0023134A"/>
    <w:rsid w:val="004D538C"/>
    <w:rsid w:val="006838D9"/>
    <w:rsid w:val="00750BAF"/>
    <w:rsid w:val="009C2007"/>
    <w:rsid w:val="00B90B50"/>
    <w:rsid w:val="00C162CE"/>
    <w:rsid w:val="00CD79DA"/>
    <w:rsid w:val="00E8639E"/>
    <w:rsid w:val="00F213DA"/>
    <w:rsid w:val="00F9041D"/>
    <w:rsid w:val="01685AF7"/>
    <w:rsid w:val="01A9786E"/>
    <w:rsid w:val="023F66B6"/>
    <w:rsid w:val="025640D8"/>
    <w:rsid w:val="026B3007"/>
    <w:rsid w:val="02D14B9D"/>
    <w:rsid w:val="03A47AEE"/>
    <w:rsid w:val="03E86632"/>
    <w:rsid w:val="05160681"/>
    <w:rsid w:val="057D11DD"/>
    <w:rsid w:val="05AF76AE"/>
    <w:rsid w:val="05B3687C"/>
    <w:rsid w:val="05CC64B2"/>
    <w:rsid w:val="060C0620"/>
    <w:rsid w:val="06A67022"/>
    <w:rsid w:val="06B73051"/>
    <w:rsid w:val="06D30843"/>
    <w:rsid w:val="06D933E0"/>
    <w:rsid w:val="06E34232"/>
    <w:rsid w:val="07256256"/>
    <w:rsid w:val="073247E4"/>
    <w:rsid w:val="07A26389"/>
    <w:rsid w:val="07AB0349"/>
    <w:rsid w:val="08DE4191"/>
    <w:rsid w:val="08F46A11"/>
    <w:rsid w:val="093D3223"/>
    <w:rsid w:val="09971436"/>
    <w:rsid w:val="09A93C38"/>
    <w:rsid w:val="09D92F4C"/>
    <w:rsid w:val="0A067AB9"/>
    <w:rsid w:val="0A2E299B"/>
    <w:rsid w:val="0A426D43"/>
    <w:rsid w:val="0A4B02FE"/>
    <w:rsid w:val="0ABC1EB4"/>
    <w:rsid w:val="0AC0410C"/>
    <w:rsid w:val="0AC260D6"/>
    <w:rsid w:val="0B840657"/>
    <w:rsid w:val="0B9C2958"/>
    <w:rsid w:val="0C09009F"/>
    <w:rsid w:val="0C9154AB"/>
    <w:rsid w:val="0CE0002A"/>
    <w:rsid w:val="0D091D9A"/>
    <w:rsid w:val="0D244E26"/>
    <w:rsid w:val="0D5847C9"/>
    <w:rsid w:val="0D883A97"/>
    <w:rsid w:val="0DA864B6"/>
    <w:rsid w:val="0DB60FFE"/>
    <w:rsid w:val="0E2826F4"/>
    <w:rsid w:val="0F474DFC"/>
    <w:rsid w:val="0F5F4446"/>
    <w:rsid w:val="0F9D0EBF"/>
    <w:rsid w:val="101738D4"/>
    <w:rsid w:val="108D2CE2"/>
    <w:rsid w:val="10C85AC8"/>
    <w:rsid w:val="116C67E6"/>
    <w:rsid w:val="11910E95"/>
    <w:rsid w:val="1191235E"/>
    <w:rsid w:val="11A958FA"/>
    <w:rsid w:val="11C95F01"/>
    <w:rsid w:val="121A20C4"/>
    <w:rsid w:val="126F6B43"/>
    <w:rsid w:val="129465AA"/>
    <w:rsid w:val="129D6735"/>
    <w:rsid w:val="12A9067A"/>
    <w:rsid w:val="135D087A"/>
    <w:rsid w:val="13733DDB"/>
    <w:rsid w:val="137A50EC"/>
    <w:rsid w:val="13BF7656"/>
    <w:rsid w:val="141B6257"/>
    <w:rsid w:val="152534E9"/>
    <w:rsid w:val="15557480"/>
    <w:rsid w:val="155604E2"/>
    <w:rsid w:val="156D6C3E"/>
    <w:rsid w:val="15C27640"/>
    <w:rsid w:val="163D5A89"/>
    <w:rsid w:val="176F6C9D"/>
    <w:rsid w:val="17914E66"/>
    <w:rsid w:val="181F6915"/>
    <w:rsid w:val="182B59BC"/>
    <w:rsid w:val="182E6B59"/>
    <w:rsid w:val="184B1658"/>
    <w:rsid w:val="187327BD"/>
    <w:rsid w:val="18AA2089"/>
    <w:rsid w:val="18DC4232"/>
    <w:rsid w:val="194A0BCA"/>
    <w:rsid w:val="19734C95"/>
    <w:rsid w:val="198636CF"/>
    <w:rsid w:val="1A3F504D"/>
    <w:rsid w:val="1A441CBC"/>
    <w:rsid w:val="1AE8473D"/>
    <w:rsid w:val="1B2B55D1"/>
    <w:rsid w:val="1B4560C7"/>
    <w:rsid w:val="1B8D3B96"/>
    <w:rsid w:val="1B9B5BFC"/>
    <w:rsid w:val="1CC22144"/>
    <w:rsid w:val="1CC655B2"/>
    <w:rsid w:val="1CE67A02"/>
    <w:rsid w:val="1D102FD1"/>
    <w:rsid w:val="1D4330A6"/>
    <w:rsid w:val="1D655CE4"/>
    <w:rsid w:val="1DCD4EF1"/>
    <w:rsid w:val="1E796654"/>
    <w:rsid w:val="1F29350C"/>
    <w:rsid w:val="1F605B4A"/>
    <w:rsid w:val="202F697A"/>
    <w:rsid w:val="20527EFA"/>
    <w:rsid w:val="206A6B9C"/>
    <w:rsid w:val="20ED754E"/>
    <w:rsid w:val="213C22E6"/>
    <w:rsid w:val="218A2E91"/>
    <w:rsid w:val="21C12FBD"/>
    <w:rsid w:val="22010E3A"/>
    <w:rsid w:val="2221772E"/>
    <w:rsid w:val="228E45AD"/>
    <w:rsid w:val="22E34ACE"/>
    <w:rsid w:val="23270D74"/>
    <w:rsid w:val="233C2142"/>
    <w:rsid w:val="23991E57"/>
    <w:rsid w:val="2435189D"/>
    <w:rsid w:val="246D27B7"/>
    <w:rsid w:val="24E2187F"/>
    <w:rsid w:val="251C4579"/>
    <w:rsid w:val="252437BD"/>
    <w:rsid w:val="25290DD3"/>
    <w:rsid w:val="2538594F"/>
    <w:rsid w:val="25406339"/>
    <w:rsid w:val="255567B2"/>
    <w:rsid w:val="25566D90"/>
    <w:rsid w:val="255E0351"/>
    <w:rsid w:val="26210271"/>
    <w:rsid w:val="26EC030B"/>
    <w:rsid w:val="2708477B"/>
    <w:rsid w:val="274B01D5"/>
    <w:rsid w:val="27B13565"/>
    <w:rsid w:val="27E531B5"/>
    <w:rsid w:val="284B7497"/>
    <w:rsid w:val="28706D19"/>
    <w:rsid w:val="289A5E96"/>
    <w:rsid w:val="289E73E3"/>
    <w:rsid w:val="28A864B3"/>
    <w:rsid w:val="28C03598"/>
    <w:rsid w:val="28E31299"/>
    <w:rsid w:val="2936586D"/>
    <w:rsid w:val="29B50E88"/>
    <w:rsid w:val="29E277A3"/>
    <w:rsid w:val="2A2E63B9"/>
    <w:rsid w:val="2B7D2F86"/>
    <w:rsid w:val="2C87042B"/>
    <w:rsid w:val="2D23338D"/>
    <w:rsid w:val="2FF7387C"/>
    <w:rsid w:val="3034552F"/>
    <w:rsid w:val="30695C89"/>
    <w:rsid w:val="30BA4FD6"/>
    <w:rsid w:val="32144BB9"/>
    <w:rsid w:val="323A14BE"/>
    <w:rsid w:val="32BD2B5B"/>
    <w:rsid w:val="32C5717A"/>
    <w:rsid w:val="339E473B"/>
    <w:rsid w:val="34790D04"/>
    <w:rsid w:val="348937F9"/>
    <w:rsid w:val="35057AA9"/>
    <w:rsid w:val="35414510"/>
    <w:rsid w:val="35696FCA"/>
    <w:rsid w:val="35847960"/>
    <w:rsid w:val="35B50461"/>
    <w:rsid w:val="35EF5721"/>
    <w:rsid w:val="35FE5BA1"/>
    <w:rsid w:val="36E20DE2"/>
    <w:rsid w:val="36E41093"/>
    <w:rsid w:val="37256954"/>
    <w:rsid w:val="379664DD"/>
    <w:rsid w:val="37A10C9D"/>
    <w:rsid w:val="37B85195"/>
    <w:rsid w:val="37BE53EC"/>
    <w:rsid w:val="37EF2302"/>
    <w:rsid w:val="37F9283D"/>
    <w:rsid w:val="38041530"/>
    <w:rsid w:val="384229DF"/>
    <w:rsid w:val="386454D7"/>
    <w:rsid w:val="39155CC9"/>
    <w:rsid w:val="3933355D"/>
    <w:rsid w:val="39964FA9"/>
    <w:rsid w:val="39FF3A59"/>
    <w:rsid w:val="3B451940"/>
    <w:rsid w:val="3BF910A8"/>
    <w:rsid w:val="3C125CC6"/>
    <w:rsid w:val="3C6135EF"/>
    <w:rsid w:val="3CA32DC2"/>
    <w:rsid w:val="3CAB7EC8"/>
    <w:rsid w:val="3CC50F8A"/>
    <w:rsid w:val="3CCF59FC"/>
    <w:rsid w:val="3D0636F8"/>
    <w:rsid w:val="3D08138D"/>
    <w:rsid w:val="3D4C105B"/>
    <w:rsid w:val="3DC47569"/>
    <w:rsid w:val="3DC478D4"/>
    <w:rsid w:val="3DD63111"/>
    <w:rsid w:val="3DF77869"/>
    <w:rsid w:val="3E401BE1"/>
    <w:rsid w:val="3E6E11AD"/>
    <w:rsid w:val="3EB017C6"/>
    <w:rsid w:val="3F132951"/>
    <w:rsid w:val="40181D19"/>
    <w:rsid w:val="40A12776"/>
    <w:rsid w:val="40E37C31"/>
    <w:rsid w:val="416D03F2"/>
    <w:rsid w:val="42586730"/>
    <w:rsid w:val="42A01A37"/>
    <w:rsid w:val="42A955DC"/>
    <w:rsid w:val="42D65F34"/>
    <w:rsid w:val="43582AB4"/>
    <w:rsid w:val="43696F7C"/>
    <w:rsid w:val="44003D8B"/>
    <w:rsid w:val="44110F59"/>
    <w:rsid w:val="4427252A"/>
    <w:rsid w:val="44313414"/>
    <w:rsid w:val="44D0772C"/>
    <w:rsid w:val="44DE1D54"/>
    <w:rsid w:val="45604E55"/>
    <w:rsid w:val="45806396"/>
    <w:rsid w:val="46587D6C"/>
    <w:rsid w:val="46A240EA"/>
    <w:rsid w:val="46CD6437"/>
    <w:rsid w:val="46DF533E"/>
    <w:rsid w:val="47385780"/>
    <w:rsid w:val="47675CF9"/>
    <w:rsid w:val="479559FD"/>
    <w:rsid w:val="47B944B8"/>
    <w:rsid w:val="47FE6585"/>
    <w:rsid w:val="48471EC7"/>
    <w:rsid w:val="48F46A43"/>
    <w:rsid w:val="497B2C33"/>
    <w:rsid w:val="4986356D"/>
    <w:rsid w:val="49920C15"/>
    <w:rsid w:val="49D767A1"/>
    <w:rsid w:val="49EA0BB5"/>
    <w:rsid w:val="4A7B537E"/>
    <w:rsid w:val="4B3B68BB"/>
    <w:rsid w:val="4B9D30D2"/>
    <w:rsid w:val="4BCD39B7"/>
    <w:rsid w:val="4C155372"/>
    <w:rsid w:val="4C184710"/>
    <w:rsid w:val="4C246542"/>
    <w:rsid w:val="4C6C0E4D"/>
    <w:rsid w:val="4CF3744D"/>
    <w:rsid w:val="4CFB4554"/>
    <w:rsid w:val="4D3352D0"/>
    <w:rsid w:val="4D346DAF"/>
    <w:rsid w:val="4D8F5E30"/>
    <w:rsid w:val="4DA929B3"/>
    <w:rsid w:val="4DAD1CF2"/>
    <w:rsid w:val="4DE1374A"/>
    <w:rsid w:val="4DFA0CB0"/>
    <w:rsid w:val="4E070A5F"/>
    <w:rsid w:val="4E1C4782"/>
    <w:rsid w:val="4E2E44B5"/>
    <w:rsid w:val="4E7D15B4"/>
    <w:rsid w:val="4E956C6A"/>
    <w:rsid w:val="4E9D1D67"/>
    <w:rsid w:val="4EE17548"/>
    <w:rsid w:val="4F0C78AF"/>
    <w:rsid w:val="4FB84A85"/>
    <w:rsid w:val="4FC86546"/>
    <w:rsid w:val="4FF4756B"/>
    <w:rsid w:val="50CC731F"/>
    <w:rsid w:val="50D141A0"/>
    <w:rsid w:val="51921A3F"/>
    <w:rsid w:val="51976F41"/>
    <w:rsid w:val="51A96E51"/>
    <w:rsid w:val="521A547C"/>
    <w:rsid w:val="522F36E3"/>
    <w:rsid w:val="526C497B"/>
    <w:rsid w:val="529671F9"/>
    <w:rsid w:val="52CA29FF"/>
    <w:rsid w:val="536707EC"/>
    <w:rsid w:val="53787B5A"/>
    <w:rsid w:val="53BF2BDD"/>
    <w:rsid w:val="53C71634"/>
    <w:rsid w:val="53E05BCF"/>
    <w:rsid w:val="543B3965"/>
    <w:rsid w:val="54C33BA9"/>
    <w:rsid w:val="551B5793"/>
    <w:rsid w:val="552C5BF2"/>
    <w:rsid w:val="5588094F"/>
    <w:rsid w:val="55E714D8"/>
    <w:rsid w:val="56835CE6"/>
    <w:rsid w:val="56BF65F2"/>
    <w:rsid w:val="576F1DC6"/>
    <w:rsid w:val="579E5E58"/>
    <w:rsid w:val="57D367F9"/>
    <w:rsid w:val="57EC1669"/>
    <w:rsid w:val="58164938"/>
    <w:rsid w:val="584A20D5"/>
    <w:rsid w:val="58EC332F"/>
    <w:rsid w:val="58F50014"/>
    <w:rsid w:val="591250FF"/>
    <w:rsid w:val="5A054C64"/>
    <w:rsid w:val="5A3E3CD2"/>
    <w:rsid w:val="5A6E2809"/>
    <w:rsid w:val="5A923916"/>
    <w:rsid w:val="5C3038D6"/>
    <w:rsid w:val="5C367357"/>
    <w:rsid w:val="5CDA5F34"/>
    <w:rsid w:val="5D303DA6"/>
    <w:rsid w:val="5D3269C9"/>
    <w:rsid w:val="5D485594"/>
    <w:rsid w:val="5DE1762D"/>
    <w:rsid w:val="5DEE675B"/>
    <w:rsid w:val="5E921635"/>
    <w:rsid w:val="5EB016E9"/>
    <w:rsid w:val="5F772F8F"/>
    <w:rsid w:val="5FA233F9"/>
    <w:rsid w:val="5FA56CCD"/>
    <w:rsid w:val="5FB32A6C"/>
    <w:rsid w:val="5FCC49D7"/>
    <w:rsid w:val="5FFB4413"/>
    <w:rsid w:val="606B0A08"/>
    <w:rsid w:val="60E37BC1"/>
    <w:rsid w:val="60FF640C"/>
    <w:rsid w:val="61FF2DEE"/>
    <w:rsid w:val="627B1F67"/>
    <w:rsid w:val="62A274F4"/>
    <w:rsid w:val="62B47F03"/>
    <w:rsid w:val="630E06E5"/>
    <w:rsid w:val="63576530"/>
    <w:rsid w:val="64662B1A"/>
    <w:rsid w:val="64876FCA"/>
    <w:rsid w:val="648D1ADE"/>
    <w:rsid w:val="64B82DFD"/>
    <w:rsid w:val="64C016F0"/>
    <w:rsid w:val="64EF4547"/>
    <w:rsid w:val="65EF15EA"/>
    <w:rsid w:val="66060087"/>
    <w:rsid w:val="660D0F51"/>
    <w:rsid w:val="665948F7"/>
    <w:rsid w:val="66786475"/>
    <w:rsid w:val="66794A10"/>
    <w:rsid w:val="669D6A02"/>
    <w:rsid w:val="66AB26EF"/>
    <w:rsid w:val="66C14DEC"/>
    <w:rsid w:val="6751773B"/>
    <w:rsid w:val="67D72A35"/>
    <w:rsid w:val="67F26828"/>
    <w:rsid w:val="68297D70"/>
    <w:rsid w:val="69B0699A"/>
    <w:rsid w:val="69C441F4"/>
    <w:rsid w:val="69E71C90"/>
    <w:rsid w:val="6A77474D"/>
    <w:rsid w:val="6AF64881"/>
    <w:rsid w:val="6B916358"/>
    <w:rsid w:val="6C35676A"/>
    <w:rsid w:val="6C67530A"/>
    <w:rsid w:val="6D45284C"/>
    <w:rsid w:val="6D6830E8"/>
    <w:rsid w:val="6D853C9A"/>
    <w:rsid w:val="6DE74EEC"/>
    <w:rsid w:val="6E0F17B6"/>
    <w:rsid w:val="6E54240F"/>
    <w:rsid w:val="6E597A7A"/>
    <w:rsid w:val="6E6F0B30"/>
    <w:rsid w:val="6EFF182A"/>
    <w:rsid w:val="6FD97662"/>
    <w:rsid w:val="706618EC"/>
    <w:rsid w:val="707B75D6"/>
    <w:rsid w:val="71035C45"/>
    <w:rsid w:val="71170A63"/>
    <w:rsid w:val="714455D8"/>
    <w:rsid w:val="71B20DD6"/>
    <w:rsid w:val="72FA6ED8"/>
    <w:rsid w:val="73450346"/>
    <w:rsid w:val="73857529"/>
    <w:rsid w:val="73C6500C"/>
    <w:rsid w:val="74903A25"/>
    <w:rsid w:val="75B25848"/>
    <w:rsid w:val="75CA69D9"/>
    <w:rsid w:val="75E6623C"/>
    <w:rsid w:val="762878B8"/>
    <w:rsid w:val="76C04405"/>
    <w:rsid w:val="76DF776C"/>
    <w:rsid w:val="778B42C3"/>
    <w:rsid w:val="779E3DFE"/>
    <w:rsid w:val="783B7D77"/>
    <w:rsid w:val="78626448"/>
    <w:rsid w:val="78AC7370"/>
    <w:rsid w:val="78C733B9"/>
    <w:rsid w:val="79144124"/>
    <w:rsid w:val="79346574"/>
    <w:rsid w:val="797057FE"/>
    <w:rsid w:val="79725A1A"/>
    <w:rsid w:val="7973709D"/>
    <w:rsid w:val="7979176B"/>
    <w:rsid w:val="797E3479"/>
    <w:rsid w:val="79891A1F"/>
    <w:rsid w:val="7A302E88"/>
    <w:rsid w:val="7AA53BCD"/>
    <w:rsid w:val="7ABD0F17"/>
    <w:rsid w:val="7AE91D0C"/>
    <w:rsid w:val="7B0B2A79"/>
    <w:rsid w:val="7B1623D5"/>
    <w:rsid w:val="7BD32739"/>
    <w:rsid w:val="7BE20509"/>
    <w:rsid w:val="7C1D7794"/>
    <w:rsid w:val="7C7C6041"/>
    <w:rsid w:val="7D5800C9"/>
    <w:rsid w:val="7DF20527"/>
    <w:rsid w:val="7E83691D"/>
    <w:rsid w:val="7ED4682F"/>
    <w:rsid w:val="7F0B7D77"/>
    <w:rsid w:val="7F1E3F4E"/>
    <w:rsid w:val="7F390D88"/>
    <w:rsid w:val="7F9F090D"/>
    <w:rsid w:val="7FE03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1"/>
    <w:qFormat/>
    <w:uiPriority w:val="0"/>
    <w:pPr>
      <w:keepNext/>
      <w:keepLines/>
      <w:spacing w:line="360" w:lineRule="auto"/>
      <w:jc w:val="center"/>
      <w:outlineLvl w:val="0"/>
    </w:pPr>
    <w:rPr>
      <w:rFonts w:cs="Arial"/>
      <w:b/>
      <w:snapToGrid w:val="0"/>
      <w:color w:val="000000"/>
      <w:kern w:val="44"/>
      <w:sz w:val="32"/>
      <w:szCs w:val="21"/>
    </w:rPr>
  </w:style>
  <w:style w:type="paragraph" w:styleId="3">
    <w:name w:val="heading 2"/>
    <w:basedOn w:val="1"/>
    <w:next w:val="1"/>
    <w:semiHidden/>
    <w:unhideWhenUsed/>
    <w:qFormat/>
    <w:uiPriority w:val="0"/>
    <w:pPr>
      <w:keepNext/>
      <w:keepLines/>
      <w:tabs>
        <w:tab w:val="left" w:pos="575"/>
      </w:tabs>
      <w:adjustRightInd w:val="0"/>
      <w:spacing w:line="360" w:lineRule="auto"/>
      <w:jc w:val="center"/>
      <w:textAlignment w:val="baseline"/>
      <w:outlineLvl w:val="1"/>
    </w:pPr>
    <w:rPr>
      <w:b/>
      <w:snapToGrid w:val="0"/>
      <w:color w:val="000000"/>
      <w:sz w:val="30"/>
      <w:szCs w:val="24"/>
    </w:rPr>
  </w:style>
  <w:style w:type="paragraph" w:styleId="4">
    <w:name w:val="heading 3"/>
    <w:basedOn w:val="1"/>
    <w:next w:val="1"/>
    <w:link w:val="33"/>
    <w:semiHidden/>
    <w:unhideWhenUsed/>
    <w:qFormat/>
    <w:uiPriority w:val="0"/>
    <w:pPr>
      <w:keepNext/>
      <w:keepLines/>
      <w:spacing w:line="480" w:lineRule="auto"/>
      <w:jc w:val="center"/>
      <w:outlineLvl w:val="2"/>
    </w:pPr>
    <w:rPr>
      <w:b/>
    </w:rPr>
  </w:style>
  <w:style w:type="paragraph" w:styleId="5">
    <w:name w:val="heading 4"/>
    <w:basedOn w:val="1"/>
    <w:next w:val="1"/>
    <w:semiHidden/>
    <w:unhideWhenUsed/>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ind w:firstLine="420"/>
    </w:pPr>
  </w:style>
  <w:style w:type="paragraph" w:styleId="8">
    <w:name w:val="toa heading"/>
    <w:basedOn w:val="1"/>
    <w:next w:val="1"/>
    <w:qFormat/>
    <w:uiPriority w:val="0"/>
    <w:pPr>
      <w:spacing w:before="120"/>
    </w:pPr>
    <w:rPr>
      <w:rFonts w:ascii="Arial" w:hAnsi="Arial" w:cs="Arial"/>
      <w:sz w:val="24"/>
    </w:rPr>
  </w:style>
  <w:style w:type="paragraph" w:styleId="9">
    <w:name w:val="Body Text"/>
    <w:basedOn w:val="1"/>
    <w:next w:val="10"/>
    <w:qFormat/>
    <w:uiPriority w:val="0"/>
    <w:pPr>
      <w:spacing w:after="120"/>
    </w:pPr>
  </w:style>
  <w:style w:type="paragraph" w:styleId="10">
    <w:name w:val="Date"/>
    <w:basedOn w:val="1"/>
    <w:next w:val="1"/>
    <w:qFormat/>
    <w:uiPriority w:val="0"/>
    <w:rPr>
      <w:sz w:val="24"/>
      <w:szCs w:val="22"/>
    </w:rPr>
  </w:style>
  <w:style w:type="paragraph" w:styleId="11">
    <w:name w:val="Body Text Indent"/>
    <w:basedOn w:val="1"/>
    <w:qFormat/>
    <w:uiPriority w:val="0"/>
    <w:pPr>
      <w:spacing w:after="120"/>
      <w:ind w:left="420" w:leftChars="200"/>
    </w:pPr>
  </w:style>
  <w:style w:type="paragraph" w:styleId="12">
    <w:name w:val="toc 5"/>
    <w:basedOn w:val="1"/>
    <w:next w:val="1"/>
    <w:qFormat/>
    <w:uiPriority w:val="0"/>
    <w:pPr>
      <w:ind w:left="800"/>
    </w:pPr>
    <w:rPr>
      <w:sz w:val="18"/>
      <w:szCs w:val="18"/>
    </w:rPr>
  </w:style>
  <w:style w:type="paragraph" w:styleId="13">
    <w:name w:val="Plain Text"/>
    <w:basedOn w:val="1"/>
    <w:next w:val="1"/>
    <w:qFormat/>
    <w:uiPriority w:val="0"/>
    <w:rPr>
      <w:rFonts w:ascii="宋体" w:hAnsi="Courier New"/>
      <w:kern w:val="2"/>
      <w:sz w:val="24"/>
      <w:szCs w:val="24"/>
    </w:rPr>
  </w:style>
  <w:style w:type="paragraph" w:styleId="14">
    <w:name w:val="footer"/>
    <w:basedOn w:val="1"/>
    <w:qFormat/>
    <w:uiPriority w:val="0"/>
    <w:pPr>
      <w:tabs>
        <w:tab w:val="center" w:pos="4153"/>
        <w:tab w:val="right" w:pos="8306"/>
      </w:tabs>
      <w:snapToGrid w:val="0"/>
    </w:pPr>
    <w:rPr>
      <w:sz w:val="18"/>
      <w:szCs w:val="18"/>
    </w:rPr>
  </w:style>
  <w:style w:type="paragraph" w:styleId="15">
    <w:name w:val="envelope return"/>
    <w:basedOn w:val="1"/>
    <w:qFormat/>
    <w:uiPriority w:val="0"/>
    <w:pPr>
      <w:snapToGrid w:val="0"/>
    </w:pPr>
    <w:rPr>
      <w:rFonts w:ascii="Arial" w:hAnsi="Arial" w:eastAsia="宋体" w:cs="Times New Roman"/>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tabs>
        <w:tab w:val="right" w:leader="dot" w:pos="9402"/>
      </w:tabs>
      <w:spacing w:before="120" w:after="120" w:line="360" w:lineRule="auto"/>
    </w:pPr>
    <w:rPr>
      <w:b/>
      <w:bCs/>
      <w:caps/>
    </w:rPr>
  </w:style>
  <w:style w:type="paragraph" w:styleId="18">
    <w:name w:val="Subtitle"/>
    <w:basedOn w:val="1"/>
    <w:next w:val="1"/>
    <w:link w:val="42"/>
    <w:qFormat/>
    <w:uiPriority w:val="0"/>
    <w:pPr>
      <w:widowControl w:val="0"/>
      <w:spacing w:before="240" w:after="60" w:line="312" w:lineRule="auto"/>
      <w:jc w:val="center"/>
      <w:outlineLvl w:val="1"/>
    </w:pPr>
    <w:rPr>
      <w:rFonts w:ascii="Cambria" w:hAnsi="Cambria"/>
      <w:b/>
      <w:bCs/>
      <w:kern w:val="28"/>
      <w:sz w:val="32"/>
      <w:szCs w:val="32"/>
    </w:rPr>
  </w:style>
  <w:style w:type="paragraph" w:styleId="19">
    <w:name w:val="footnote text"/>
    <w:basedOn w:val="1"/>
    <w:qFormat/>
    <w:uiPriority w:val="0"/>
    <w:pPr>
      <w:widowControl w:val="0"/>
      <w:adjustRightInd w:val="0"/>
      <w:spacing w:line="312" w:lineRule="atLeast"/>
      <w:textAlignment w:val="baseline"/>
    </w:pPr>
    <w:rPr>
      <w:sz w:val="18"/>
    </w:rPr>
  </w:style>
  <w:style w:type="paragraph" w:styleId="20">
    <w:name w:val="Body Text Indent 3"/>
    <w:basedOn w:val="1"/>
    <w:qFormat/>
    <w:uiPriority w:val="0"/>
    <w:pPr>
      <w:overflowPunct w:val="0"/>
      <w:autoSpaceDE w:val="0"/>
      <w:autoSpaceDN w:val="0"/>
      <w:adjustRightInd w:val="0"/>
      <w:spacing w:line="360" w:lineRule="auto"/>
      <w:ind w:firstLine="540"/>
      <w:jc w:val="both"/>
      <w:textAlignment w:val="baseline"/>
    </w:pPr>
    <w:rPr>
      <w:rFonts w:ascii="宋体" w:hAnsi="MS Sans Serif"/>
      <w:color w:val="000000"/>
      <w:sz w:val="24"/>
    </w:rPr>
  </w:style>
  <w:style w:type="paragraph" w:styleId="21">
    <w:name w:val="toc 2"/>
    <w:basedOn w:val="1"/>
    <w:next w:val="1"/>
    <w:qFormat/>
    <w:uiPriority w:val="39"/>
    <w:pPr>
      <w:ind w:left="200"/>
    </w:pPr>
    <w:rPr>
      <w:smallCaps/>
    </w:rPr>
  </w:style>
  <w:style w:type="paragraph" w:styleId="22">
    <w:name w:val="Body Text 2"/>
    <w:basedOn w:val="1"/>
    <w:qFormat/>
    <w:uiPriority w:val="0"/>
    <w:pPr>
      <w:spacing w:after="120" w:line="480" w:lineRule="auto"/>
    </w:pPr>
  </w:style>
  <w:style w:type="paragraph" w:styleId="2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4">
    <w:name w:val="Normal (Web)"/>
    <w:basedOn w:val="1"/>
    <w:qFormat/>
    <w:uiPriority w:val="0"/>
    <w:pPr>
      <w:spacing w:before="100" w:beforeAutospacing="1" w:after="100" w:afterAutospacing="1"/>
    </w:pPr>
    <w:rPr>
      <w:rFonts w:ascii="宋体" w:hAnsi="宋体" w:cs="宋体"/>
      <w:sz w:val="24"/>
      <w:szCs w:val="24"/>
    </w:rPr>
  </w:style>
  <w:style w:type="paragraph" w:styleId="25">
    <w:name w:val="Title"/>
    <w:basedOn w:val="1"/>
    <w:next w:val="1"/>
    <w:qFormat/>
    <w:uiPriority w:val="0"/>
    <w:pPr>
      <w:widowControl w:val="0"/>
      <w:spacing w:before="240" w:after="60"/>
      <w:jc w:val="center"/>
      <w:outlineLvl w:val="0"/>
    </w:pPr>
    <w:rPr>
      <w:rFonts w:ascii="Cambria" w:hAnsi="Cambria"/>
      <w:b/>
      <w:bCs/>
      <w:kern w:val="2"/>
      <w:sz w:val="32"/>
      <w:szCs w:val="32"/>
    </w:rPr>
  </w:style>
  <w:style w:type="paragraph" w:styleId="26">
    <w:name w:val="Body Text First Indent"/>
    <w:basedOn w:val="9"/>
    <w:next w:val="27"/>
    <w:qFormat/>
    <w:uiPriority w:val="0"/>
    <w:pPr>
      <w:ind w:firstLine="420" w:firstLineChars="100"/>
    </w:pPr>
    <w:rPr>
      <w:bCs/>
      <w:kern w:val="44"/>
      <w:sz w:val="52"/>
      <w:szCs w:val="44"/>
    </w:rPr>
  </w:style>
  <w:style w:type="paragraph" w:styleId="27">
    <w:name w:val="Body Text First Indent 2"/>
    <w:basedOn w:val="11"/>
    <w:qFormat/>
    <w:uiPriority w:val="0"/>
    <w:pPr>
      <w:ind w:firstLine="420" w:firstLineChars="200"/>
    </w:pPr>
  </w:style>
  <w:style w:type="table" w:styleId="29">
    <w:name w:val="Table Grid"/>
    <w:basedOn w:val="28"/>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1">
    <w:name w:val="page number"/>
    <w:basedOn w:val="30"/>
    <w:qFormat/>
    <w:uiPriority w:val="0"/>
  </w:style>
  <w:style w:type="character" w:styleId="32">
    <w:name w:val="Hyperlink"/>
    <w:basedOn w:val="30"/>
    <w:qFormat/>
    <w:uiPriority w:val="99"/>
    <w:rPr>
      <w:rFonts w:hint="eastAsia" w:ascii="微软雅黑" w:hAnsi="微软雅黑" w:eastAsia="微软雅黑" w:cs="微软雅黑"/>
      <w:color w:val="428BCA"/>
      <w:u w:val="none"/>
    </w:rPr>
  </w:style>
  <w:style w:type="character" w:customStyle="1" w:styleId="33">
    <w:name w:val="标题 3 字符"/>
    <w:link w:val="4"/>
    <w:qFormat/>
    <w:uiPriority w:val="0"/>
    <w:rPr>
      <w:rFonts w:ascii="Times New Roman" w:hAnsi="Times New Roman" w:eastAsia="宋体"/>
      <w:b/>
      <w:sz w:val="24"/>
    </w:rPr>
  </w:style>
  <w:style w:type="paragraph" w:customStyle="1" w:styleId="34">
    <w:name w:val="无间隔3"/>
    <w:qFormat/>
    <w:uiPriority w:val="1"/>
    <w:pPr>
      <w:adjustRightInd w:val="0"/>
      <w:snapToGrid w:val="0"/>
    </w:pPr>
    <w:rPr>
      <w:rFonts w:ascii="Tahoma" w:hAnsi="Tahoma" w:eastAsia="微软雅黑" w:cs="Times New Roman"/>
      <w:sz w:val="22"/>
      <w:szCs w:val="22"/>
      <w:lang w:val="en-US" w:eastAsia="zh-CN" w:bidi="ar-SA"/>
    </w:rPr>
  </w:style>
  <w:style w:type="paragraph" w:customStyle="1" w:styleId="35">
    <w:name w:val="样式 标题 3 + (中文) 黑体 小四 非加粗 段前: 7.8 磅 段后: 0 磅 行距: 固定值 20 磅"/>
    <w:basedOn w:val="4"/>
    <w:qFormat/>
    <w:uiPriority w:val="0"/>
    <w:pPr>
      <w:widowControl w:val="0"/>
      <w:spacing w:line="400" w:lineRule="exact"/>
      <w:jc w:val="both"/>
    </w:pPr>
    <w:rPr>
      <w:rFonts w:eastAsia="黑体" w:cs="宋体"/>
      <w:b w:val="0"/>
      <w:kern w:val="2"/>
      <w:sz w:val="24"/>
    </w:rPr>
  </w:style>
  <w:style w:type="paragraph" w:customStyle="1" w:styleId="36">
    <w:name w:val="表格文字"/>
    <w:basedOn w:val="1"/>
    <w:qFormat/>
    <w:uiPriority w:val="0"/>
    <w:pPr>
      <w:widowControl w:val="0"/>
      <w:adjustRightInd w:val="0"/>
      <w:spacing w:line="420" w:lineRule="atLeast"/>
      <w:textAlignment w:val="baseline"/>
    </w:pPr>
    <w:rPr>
      <w:sz w:val="21"/>
    </w:rPr>
  </w:style>
  <w:style w:type="paragraph" w:customStyle="1" w:styleId="37">
    <w:name w:val="zhang"/>
    <w:basedOn w:val="1"/>
    <w:qFormat/>
    <w:uiPriority w:val="0"/>
    <w:pPr>
      <w:spacing w:before="100" w:beforeAutospacing="1" w:after="100" w:afterAutospacing="1"/>
    </w:pPr>
    <w:rPr>
      <w:b/>
      <w:bCs/>
      <w:smallCaps/>
      <w:color w:val="000000"/>
    </w:rPr>
  </w:style>
  <w:style w:type="paragraph" w:customStyle="1" w:styleId="38">
    <w:name w:val="TOC 标题2"/>
    <w:basedOn w:val="2"/>
    <w:next w:val="1"/>
    <w:qFormat/>
    <w:uiPriority w:val="0"/>
    <w:pPr>
      <w:widowControl w:val="0"/>
      <w:spacing w:line="576" w:lineRule="auto"/>
      <w:jc w:val="both"/>
      <w:outlineLvl w:val="9"/>
    </w:pPr>
    <w:rPr>
      <w:rFonts w:ascii="Calibri" w:hAnsi="Calibri"/>
    </w:rPr>
  </w:style>
  <w:style w:type="paragraph" w:customStyle="1" w:styleId="39">
    <w:name w:val="p0"/>
    <w:basedOn w:val="1"/>
    <w:qFormat/>
    <w:uiPriority w:val="0"/>
    <w:pPr>
      <w:jc w:val="both"/>
    </w:pPr>
    <w:rPr>
      <w:sz w:val="21"/>
    </w:rPr>
  </w:style>
  <w:style w:type="character" w:customStyle="1" w:styleId="40">
    <w:name w:val="15"/>
    <w:qFormat/>
    <w:uiPriority w:val="0"/>
    <w:rPr>
      <w:rFonts w:hint="default" w:ascii="Times New Roman" w:hAnsi="Times New Roman" w:cs="Times New Roman"/>
      <w:color w:val="464445"/>
      <w:u w:val="none"/>
    </w:rPr>
  </w:style>
  <w:style w:type="character" w:customStyle="1" w:styleId="41">
    <w:name w:val="标题 字符"/>
    <w:qFormat/>
    <w:uiPriority w:val="10"/>
    <w:rPr>
      <w:rFonts w:ascii="Arial" w:hAnsi="Arial"/>
      <w:b/>
      <w:sz w:val="32"/>
    </w:rPr>
  </w:style>
  <w:style w:type="character" w:customStyle="1" w:styleId="42">
    <w:name w:val="副标题 字符"/>
    <w:link w:val="18"/>
    <w:qFormat/>
    <w:uiPriority w:val="11"/>
    <w:rPr>
      <w:rFonts w:ascii="Cambria" w:hAnsi="Cambria"/>
      <w:b/>
      <w:bCs/>
      <w:kern w:val="28"/>
      <w:sz w:val="32"/>
      <w:szCs w:val="32"/>
    </w:rPr>
  </w:style>
  <w:style w:type="paragraph" w:styleId="43">
    <w:name w:val="List Paragraph"/>
    <w:basedOn w:val="1"/>
    <w:qFormat/>
    <w:uiPriority w:val="0"/>
    <w:pPr>
      <w:widowControl w:val="0"/>
      <w:ind w:firstLine="420" w:firstLineChars="200"/>
      <w:jc w:val="both"/>
    </w:pPr>
    <w:rPr>
      <w:rFonts w:ascii="Calibri" w:hAnsi="Calibri"/>
      <w:kern w:val="2"/>
      <w:sz w:val="21"/>
      <w:szCs w:val="22"/>
    </w:rPr>
  </w:style>
  <w:style w:type="character" w:customStyle="1" w:styleId="44">
    <w:name w:val="HTML Markup"/>
    <w:qFormat/>
    <w:uiPriority w:val="0"/>
    <w:rPr>
      <w:vanish/>
      <w:color w:val="FF0000"/>
    </w:rPr>
  </w:style>
  <w:style w:type="table" w:customStyle="1" w:styleId="45">
    <w:name w:val="Table Normal_0"/>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46">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47">
    <w:name w:val="Table Text"/>
    <w:basedOn w:val="1"/>
    <w:semiHidden/>
    <w:qFormat/>
    <w:uiPriority w:val="0"/>
    <w:rPr>
      <w:rFonts w:ascii="仿宋" w:hAnsi="仿宋" w:eastAsia="仿宋" w:cs="仿宋"/>
      <w:sz w:val="21"/>
      <w:szCs w:val="21"/>
      <w:lang w:eastAsia="en-US"/>
    </w:rPr>
  </w:style>
  <w:style w:type="table" w:customStyle="1" w:styleId="48">
    <w:name w:val="Table Normal"/>
    <w:semiHidden/>
    <w:unhideWhenUsed/>
    <w:qFormat/>
    <w:uiPriority w:val="0"/>
    <w:tblPr>
      <w:tblCellMar>
        <w:top w:w="0" w:type="dxa"/>
        <w:left w:w="0" w:type="dxa"/>
        <w:bottom w:w="0" w:type="dxa"/>
        <w:right w:w="0" w:type="dxa"/>
      </w:tblCellMar>
    </w:tblPr>
  </w:style>
  <w:style w:type="paragraph" w:customStyle="1" w:styleId="49">
    <w:name w:val="NormalIndent"/>
    <w:basedOn w:val="1"/>
    <w:qFormat/>
    <w:uiPriority w:val="0"/>
    <w:pPr>
      <w:ind w:firstLine="420" w:firstLineChars="200"/>
    </w:pPr>
    <w:rPr>
      <w:rFonts w:ascii="Calibri" w:hAnsi="Calibri"/>
    </w:rPr>
  </w:style>
  <w:style w:type="paragraph" w:customStyle="1" w:styleId="50">
    <w:name w:val="Table Paragraph"/>
    <w:basedOn w:val="1"/>
    <w:qFormat/>
    <w:uiPriority w:val="1"/>
  </w:style>
  <w:style w:type="paragraph" w:customStyle="1" w:styleId="51">
    <w:name w:val="正文2"/>
    <w:basedOn w:val="1"/>
    <w:qFormat/>
    <w:uiPriority w:val="0"/>
    <w:pPr>
      <w:adjustRightInd w:val="0"/>
      <w:spacing w:before="156" w:line="360" w:lineRule="auto"/>
      <w:ind w:firstLine="510" w:firstLineChars="200"/>
      <w:jc w:val="both"/>
    </w:pPr>
    <w:rPr>
      <w:rFonts w:asciiTheme="minorHAnsi" w:hAnsiTheme="minorHAnsi" w:cstheme="minorBidi"/>
      <w:kern w:val="2"/>
      <w:sz w:val="24"/>
    </w:rPr>
  </w:style>
  <w:style w:type="paragraph" w:customStyle="1" w:styleId="52">
    <w:name w:val="Body text|1"/>
    <w:basedOn w:val="1"/>
    <w:qFormat/>
    <w:uiPriority w:val="99"/>
    <w:pPr>
      <w:spacing w:line="480" w:lineRule="auto"/>
    </w:pPr>
    <w:rPr>
      <w:rFonts w:ascii="宋体" w:hAnsi="宋体" w:cs="宋体"/>
      <w:sz w:val="22"/>
      <w:szCs w:val="22"/>
      <w:lang w:val="zh-TW" w:eastAsia="zh-TW"/>
    </w:rPr>
  </w:style>
  <w:style w:type="paragraph" w:styleId="5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4">
    <w:name w:val="正文缩进1"/>
    <w:basedOn w:val="1"/>
    <w:next w:val="55"/>
    <w:qFormat/>
    <w:uiPriority w:val="99"/>
    <w:pPr>
      <w:spacing w:line="360" w:lineRule="auto"/>
      <w:ind w:firstLine="420"/>
    </w:pPr>
    <w:rPr>
      <w:sz w:val="24"/>
    </w:rPr>
  </w:style>
  <w:style w:type="paragraph" w:customStyle="1" w:styleId="55">
    <w:name w:val="Default"/>
    <w:unhideWhenUsed/>
    <w:qFormat/>
    <w:uiPriority w:val="99"/>
    <w:pPr>
      <w:widowControl w:val="0"/>
      <w:autoSpaceDE w:val="0"/>
      <w:autoSpaceDN w:val="0"/>
      <w:adjustRightInd w:val="0"/>
    </w:pPr>
    <w:rPr>
      <w:rFonts w:hint="eastAsia" w:ascii="仿宋_GB2312" w:hAnsi="仿宋_GB2312" w:eastAsia="仿宋_GB2312" w:cs="Times New Roman"/>
      <w:color w:val="000000"/>
      <w:sz w:val="24"/>
      <w:lang w:val="en-US" w:eastAsia="zh-CN" w:bidi="ar-SA"/>
    </w:rPr>
  </w:style>
  <w:style w:type="paragraph" w:customStyle="1" w:styleId="56">
    <w:name w:val="列出段落1"/>
    <w:basedOn w:val="1"/>
    <w:qFormat/>
    <w:uiPriority w:val="34"/>
    <w:pPr>
      <w:autoSpaceDE/>
      <w:autoSpaceDN/>
      <w:adjustRightInd w:val="0"/>
      <w:spacing w:line="360" w:lineRule="auto"/>
      <w:ind w:firstLine="200" w:firstLineChars="200"/>
      <w:jc w:val="both"/>
    </w:pPr>
    <w:rPr>
      <w:rFonts w:ascii="Times New Roman" w:hAnsi="Times New Roman" w:eastAsia="楷体_GB2312" w:cs="Lucida Sans"/>
      <w:kern w:val="2"/>
      <w:sz w:val="24"/>
      <w:szCs w:val="24"/>
      <w:lang w:eastAsia="zh-CN"/>
    </w:rPr>
  </w:style>
  <w:style w:type="paragraph" w:customStyle="1" w:styleId="57">
    <w:name w:val="TOC 标题1"/>
    <w:basedOn w:val="2"/>
    <w:next w:val="1"/>
    <w:qFormat/>
    <w:uiPriority w:val="0"/>
    <w:pPr>
      <w:keepLines/>
      <w:widowControl w:val="0"/>
      <w:numPr>
        <w:ilvl w:val="0"/>
        <w:numId w:val="0"/>
      </w:numPr>
      <w:spacing w:before="340" w:after="330" w:line="576" w:lineRule="auto"/>
      <w:jc w:val="both"/>
      <w:outlineLvl w:val="9"/>
    </w:pPr>
    <w:rPr>
      <w:rFonts w:ascii="Calibri" w:hAnsi="Calibri" w:eastAsia="宋体"/>
      <w:bCs/>
      <w:kern w:val="44"/>
      <w:sz w:val="44"/>
      <w:szCs w:val="44"/>
    </w:rPr>
  </w:style>
  <w:style w:type="paragraph" w:customStyle="1" w:styleId="58">
    <w:name w:val="_Style 6"/>
    <w:basedOn w:val="2"/>
    <w:next w:val="1"/>
    <w:qFormat/>
    <w:uiPriority w:val="0"/>
    <w:pPr>
      <w:outlineLvl w:val="9"/>
    </w:p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4" Type="http://schemas.openxmlformats.org/officeDocument/2006/relationships/fontTable" Target="fontTable.xml"/><Relationship Id="rId53" Type="http://schemas.openxmlformats.org/officeDocument/2006/relationships/customXml" Target="../customXml/item2.xml"/><Relationship Id="rId52" Type="http://schemas.openxmlformats.org/officeDocument/2006/relationships/numbering" Target="numbering.xml"/><Relationship Id="rId51" Type="http://schemas.openxmlformats.org/officeDocument/2006/relationships/customXml" Target="../customXml/item1.xml"/><Relationship Id="rId50" Type="http://schemas.openxmlformats.org/officeDocument/2006/relationships/image" Target="media/image38.png"/><Relationship Id="rId5" Type="http://schemas.openxmlformats.org/officeDocument/2006/relationships/footer" Target="footer2.xml"/><Relationship Id="rId49" Type="http://schemas.openxmlformats.org/officeDocument/2006/relationships/image" Target="media/image37.png"/><Relationship Id="rId48" Type="http://schemas.openxmlformats.org/officeDocument/2006/relationships/image" Target="media/image36.png"/><Relationship Id="rId47" Type="http://schemas.openxmlformats.org/officeDocument/2006/relationships/image" Target="media/image35.png"/><Relationship Id="rId46" Type="http://schemas.openxmlformats.org/officeDocument/2006/relationships/image" Target="media/image34.png"/><Relationship Id="rId45" Type="http://schemas.openxmlformats.org/officeDocument/2006/relationships/image" Target="media/image33.png"/><Relationship Id="rId44" Type="http://schemas.openxmlformats.org/officeDocument/2006/relationships/image" Target="media/image32.png"/><Relationship Id="rId43" Type="http://schemas.openxmlformats.org/officeDocument/2006/relationships/image" Target="media/image31.png"/><Relationship Id="rId42" Type="http://schemas.openxmlformats.org/officeDocument/2006/relationships/image" Target="media/image30.png"/><Relationship Id="rId41" Type="http://schemas.openxmlformats.org/officeDocument/2006/relationships/image" Target="media/image29.png"/><Relationship Id="rId40" Type="http://schemas.openxmlformats.org/officeDocument/2006/relationships/image" Target="media/image28.png"/><Relationship Id="rId4" Type="http://schemas.openxmlformats.org/officeDocument/2006/relationships/header" Target="header1.xml"/><Relationship Id="rId39" Type="http://schemas.openxmlformats.org/officeDocument/2006/relationships/image" Target="media/image27.png"/><Relationship Id="rId38" Type="http://schemas.openxmlformats.org/officeDocument/2006/relationships/image" Target="media/image26.png"/><Relationship Id="rId37" Type="http://schemas.openxmlformats.org/officeDocument/2006/relationships/image" Target="media/image25.png"/><Relationship Id="rId36" Type="http://schemas.openxmlformats.org/officeDocument/2006/relationships/image" Target="media/image24.png"/><Relationship Id="rId35" Type="http://schemas.openxmlformats.org/officeDocument/2006/relationships/image" Target="media/image23.png"/><Relationship Id="rId34" Type="http://schemas.openxmlformats.org/officeDocument/2006/relationships/image" Target="media/image22.png"/><Relationship Id="rId33" Type="http://schemas.openxmlformats.org/officeDocument/2006/relationships/image" Target="media/image21.png"/><Relationship Id="rId32" Type="http://schemas.openxmlformats.org/officeDocument/2006/relationships/image" Target="media/image20.png"/><Relationship Id="rId31" Type="http://schemas.openxmlformats.org/officeDocument/2006/relationships/image" Target="media/image19.png"/><Relationship Id="rId30" Type="http://schemas.openxmlformats.org/officeDocument/2006/relationships/image" Target="media/image18.png"/><Relationship Id="rId3" Type="http://schemas.openxmlformats.org/officeDocument/2006/relationships/footer" Target="footer1.xml"/><Relationship Id="rId29" Type="http://schemas.openxmlformats.org/officeDocument/2006/relationships/image" Target="media/image17.png"/><Relationship Id="rId28" Type="http://schemas.openxmlformats.org/officeDocument/2006/relationships/image" Target="media/image16.png"/><Relationship Id="rId27" Type="http://schemas.openxmlformats.org/officeDocument/2006/relationships/image" Target="media/image15.png"/><Relationship Id="rId26" Type="http://schemas.openxmlformats.org/officeDocument/2006/relationships/image" Target="media/image14.png"/><Relationship Id="rId25" Type="http://schemas.openxmlformats.org/officeDocument/2006/relationships/image" Target="media/image13.png"/><Relationship Id="rId24" Type="http://schemas.openxmlformats.org/officeDocument/2006/relationships/image" Target="media/image12.png"/><Relationship Id="rId23" Type="http://schemas.openxmlformats.org/officeDocument/2006/relationships/image" Target="media/image11.png"/><Relationship Id="rId22" Type="http://schemas.openxmlformats.org/officeDocument/2006/relationships/image" Target="media/image10.png"/><Relationship Id="rId21" Type="http://schemas.openxmlformats.org/officeDocument/2006/relationships/image" Target="media/image9.png"/><Relationship Id="rId20" Type="http://schemas.openxmlformats.org/officeDocument/2006/relationships/image" Target="media/image8.png"/><Relationship Id="rId2" Type="http://schemas.openxmlformats.org/officeDocument/2006/relationships/settings" Target="settings.xml"/><Relationship Id="rId19" Type="http://schemas.openxmlformats.org/officeDocument/2006/relationships/image" Target="../AppData/Local/Temp/ksohtml/wps5E1C.tmp.png" TargetMode="External"/><Relationship Id="rId18" Type="http://schemas.openxmlformats.org/officeDocument/2006/relationships/image" Target="media/image7.png"/><Relationship Id="rId17" Type="http://schemas.openxmlformats.org/officeDocument/2006/relationships/image" Target="../AppData/Local/Temp/ksohtml/wps5E1B.tmp.png" TargetMode="External"/><Relationship Id="rId16" Type="http://schemas.openxmlformats.org/officeDocument/2006/relationships/image" Target="media/image6.png"/><Relationship Id="rId15" Type="http://schemas.openxmlformats.org/officeDocument/2006/relationships/image" Target="../AppData/Local/Temp/ksohtml/wps5E0A.tmp.png" TargetMode="External"/><Relationship Id="rId14" Type="http://schemas.openxmlformats.org/officeDocument/2006/relationships/image" Target="media/image5.png"/><Relationship Id="rId13" Type="http://schemas.openxmlformats.org/officeDocument/2006/relationships/image" Target="../AppData/Local/Temp/ksohtml/wps5E09.tmp.png" TargetMode="External"/><Relationship Id="rId12" Type="http://schemas.openxmlformats.org/officeDocument/2006/relationships/image" Target="media/image4.png"/><Relationship Id="rId11" Type="http://schemas.openxmlformats.org/officeDocument/2006/relationships/image" Target="../AppData/Local/Temp/ksohtml/wps5E08.tmp.png" TargetMode="External"/><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467bc85b-99c5-4858-b7f8-aa59190a79e0</errorID>
      <errorWord>墨江县</errorWord>
      <group>L1_Knowledge</group>
      <groupName>知识性问题</groupName>
      <ability>L2_Location</ability>
      <abilityName>地名检查</abilityName>
      <candidateList>
        <item>墨江哈尼族自治县</item>
      </candidateList>
      <explain>自治区州县缩写不规范。《地名管理条例》第十八条规定，标识牌、公共平台发布的信息、各类公文证件、学习类公开出版物、地图、法律法规规定等场景范围内必须使用标准地名。</explain>
      <paraID>5A347E35</paraID>
      <start>0</start>
      <end>3</end>
      <status>unmodified</status>
      <modifiedWord/>
      <trackRevisions>false</trackRevisions>
    </reviewItem>
    <reviewItem>
      <errorID>663dcfac-c10c-4b97-b2b6-3c54e24a3818</errorID>
      <errorWord>:</errorWord>
      <group>L1_Format</group>
      <groupName>格式问题</groupName>
      <ability>L2_HalfPunc</ability>
      <abilityName>全半角检查</abilityName>
      <candidateList>
        <item>：</item>
      </candidateList>
      <explain>文本全半角错误。</explain>
      <paraID>501964EE</paraID>
      <start>6</start>
      <end>7</end>
      <status>modified</status>
      <modifiedWord>：</modifiedWord>
      <trackRevisions>false</trackRevisions>
    </reviewItem>
    <reviewItem>
      <errorID>dea712df-3a35-4ec9-b236-e8d0ac6cc8c8</errorID>
      <errorWord>(</errorWord>
      <group>L1_Format</group>
      <groupName>格式问题</groupName>
      <ability>L2_HalfPunc</ability>
      <abilityName>全半角检查</abilityName>
      <candidateList>
        <item>（</item>
      </candidateList>
      <explain>文本全半角错误。</explain>
      <paraID> A38736F</paraID>
      <start>38</start>
      <end>39</end>
      <status>modified</status>
      <modifiedWord>（</modifiedWord>
      <trackRevisions>false</trackRevisions>
    </reviewItem>
    <reviewItem>
      <errorID>d4cdc359-ea3e-4102-a610-7ac4fc04a669</errorID>
      <errorWord>)</errorWord>
      <group>L1_Format</group>
      <groupName>格式问题</groupName>
      <ability>L2_HalfPunc</ability>
      <abilityName>全半角检查</abilityName>
      <candidateList>
        <item>）</item>
      </candidateList>
      <explain>文本全半角错误。</explain>
      <paraID> A38736F</paraID>
      <start>263</start>
      <end>264</end>
      <status>modified</status>
      <modifiedWord>）</modifiedWord>
      <trackRevisions>false</trackRevisions>
    </reviewItem>
    <reviewItem>
      <errorID>5447d373-9a46-42bd-a6fa-72e577414077</errorID>
      <errorWord>(</errorWord>
      <group>L1_Format</group>
      <groupName>格式问题</groupName>
      <ability>L2_HalfPunc</ability>
      <abilityName>全半角检查</abilityName>
      <candidateList>
        <item>（</item>
      </candidateList>
      <explain>文本全半角错误。</explain>
      <paraID> E0B9736</paraID>
      <start>51</start>
      <end>52</end>
      <status>modified</status>
      <modifiedWord>（</modifiedWord>
      <trackRevisions>false</trackRevisions>
    </reviewItem>
    <reviewItem>
      <errorID>dd7b0c96-78b4-4ae4-a078-3a576da7b642</errorID>
      <errorWord>)</errorWord>
      <group>L1_Format</group>
      <groupName>格式问题</groupName>
      <ability>L2_HalfPunc</ability>
      <abilityName>全半角检查</abilityName>
      <candidateList>
        <item>）</item>
      </candidateList>
      <explain>文本全半角错误。</explain>
      <paraID> E0B9736</paraID>
      <start>72</start>
      <end>73</end>
      <status>modified</status>
      <modifiedWord>）</modifiedWord>
      <trackRevisions>false</trackRevisions>
    </reviewItem>
    <reviewItem>
      <errorID>9de81634-e920-4ae1-afeb-afa6096515e9</errorID>
      <errorWord>(</errorWord>
      <group>L1_Format</group>
      <groupName>格式问题</groupName>
      <ability>L2_HalfPunc</ability>
      <abilityName>全半角检查</abilityName>
      <candidateList>
        <item>（</item>
      </candidateList>
      <explain>文本全半角错误。</explain>
      <paraID> E0B9736</paraID>
      <start>81</start>
      <end>82</end>
      <status>modified</status>
      <modifiedWord>（</modifiedWord>
      <trackRevisions>false</trackRevisions>
    </reviewItem>
    <reviewItem>
      <errorID>7bc6f56d-f4b4-4051-9ce5-51a4e693a96b</errorID>
      <errorWord>是否发</errorWord>
      <group>L1_Word</group>
      <groupName>字词问题</groupName>
      <ability>L2_Typo</ability>
      <abilityName>字词错误</abilityName>
      <candidateList>
        <item>是否</item>
      </candidateList>
      <explain/>
      <paraID> E0B9736</paraID>
      <start>111</start>
      <end>113</end>
      <status>modified</status>
      <modifiedWord>是否</modifiedWord>
      <trackRevisions>false</trackRevisions>
    </reviewItem>
    <reviewItem>
      <errorID>074826ab-fc91-4cd0-a093-634ab733e29c</errorID>
      <errorWord>墨江县</errorWord>
      <group>L1_Knowledge</group>
      <groupName>知识性问题</groupName>
      <ability>L2_Location</ability>
      <abilityName>地名检查</abilityName>
      <candidateList>
        <item>墨江哈尼族自治县</item>
      </candidateList>
      <explain>自治区州县缩写不规范。《地名管理条例》第十八条规定，标识牌、公共平台发布的信息、各类公文证件、学习类公开出版物、地图、法律法规规定等场景范围内必须使用标准地名。</explain>
      <paraID>33A259B4</paraID>
      <start>0</start>
      <end>3</end>
      <status>unmodified</status>
      <modifiedWord/>
      <trackRevisions>false</trackRevisions>
    </reviewItem>
    <reviewItem>
      <errorID>ace75be1-f95c-489d-8a4e-26e26271de85</errorID>
      <errorWord>墨江县</errorWord>
      <group>L1_Knowledge</group>
      <groupName>知识性问题</groupName>
      <ability>L2_Location</ability>
      <abilityName>地名检查</abilityName>
      <candidateList>
        <item>墨江哈尼族自治县</item>
      </candidateList>
      <explain>自治区州县缩写不规范。《地名管理条例》第十八条规定，标识牌、公共平台发布的信息、各类公文证件、学习类公开出版物、地图、法律法规规定等场景范围内必须使用标准地名。</explain>
      <paraID>32BAB4C0</paraID>
      <start>0</start>
      <end>3</end>
      <status>unmodified</status>
      <modifiedWord/>
      <trackRevisions>false</trackRevisions>
    </reviewItem>
    <reviewItem>
      <errorID>6c6c5ea1-e0fe-4bc3-b003-5a13eab95bb3</errorID>
      <errorWord>墨江县</errorWord>
      <group>L1_Knowledge</group>
      <groupName>知识性问题</groupName>
      <ability>L2_Location</ability>
      <abilityName>地名检查</abilityName>
      <candidateList>
        <item>墨江哈尼族自治县</item>
      </candidateList>
      <explain>自治区州县缩写不规范。《地名管理条例》第十八条规定，标识牌、公共平台发布的信息、各类公文证件、学习类公开出版物、地图、法律法规规定等场景范围内必须使用标准地名。</explain>
      <paraID>7A0BCA4C</paraID>
      <start>7</start>
      <end>10</end>
      <status>unmodified</status>
      <modifiedWord/>
      <trackRevisions>false</trackRevisions>
    </reviewItem>
    <reviewItem>
      <errorID>3350d4cb-a75a-41bb-8a19-962b3f13394c</errorID>
      <errorWord>万</errorWord>
      <group>L1_Word</group>
      <groupName>字词问题</groupName>
      <ability>L2_Typo</ability>
      <abilityName>字词错误</abilityName>
      <candidateList>
        <item>万元</item>
      </candidateList>
      <explain/>
      <paraID> E0EC45B</paraID>
      <start>57</start>
      <end>58</end>
      <status>unmodified</status>
      <modifiedWord/>
      <trackRevisions>false</trackRevisions>
    </reviewItem>
    <reviewItem>
      <errorID>3fd7de39-e5a0-48b1-9bf2-3bd67b670bf7</errorID>
      <errorWord>函管</errorWord>
      <group>L1_AI</group>
      <groupName>深度校对</groupName>
      <ability>L2_AI_Word</ability>
      <abilityName>字词纠错</abilityName>
      <candidateList>
        <item>涵管</item>
      </candidateList>
      <explain/>
      <paraID>3018DE96</paraID>
      <start>27</start>
      <end>29</end>
      <status>unmodified</status>
      <modifiedWord/>
      <trackRevisions>false</trackRevisions>
    </reviewItem>
    <reviewItem>
      <errorID>88e0fdfc-218c-4abb-96db-b1b15ba3a0b2</errorID>
      <errorWord>墨江县</errorWord>
      <group>L1_Knowledge</group>
      <groupName>知识性问题</groupName>
      <ability>L2_Location</ability>
      <abilityName>地名检查</abilityName>
      <candidateList>
        <item>墨江哈尼族自治县</item>
      </candidateList>
      <explain>自治区州县缩写不规范。《地名管理条例》第十八条规定，标识牌、公共平台发布的信息、各类公文证件、学习类公开出版物、地图、法律法规规定等场景范围内必须使用标准地名。</explain>
      <paraID>307237B8</paraID>
      <start>9</start>
      <end>12</end>
      <status>unmodified</status>
      <modifiedWord/>
      <trackRevisions>false</trackRevisions>
    </reviewItem>
    <reviewItem>
      <errorID>75fdc989-8a34-4154-9aef-eb27911a26d4</errorID>
      <errorWord>:</errorWord>
      <group>L1_Format</group>
      <groupName>格式问题</groupName>
      <ability>L2_HalfPunc</ability>
      <abilityName>全半角检查</abilityName>
      <candidateList>
        <item>：</item>
      </candidateList>
      <explain>文本全半角错误。</explain>
      <paraID>2DE4E6FC</paraID>
      <start>6</start>
      <end>7</end>
      <status>modified</status>
      <modifiedWord>：</modifiedWord>
      <trackRevisions>false</trackRevisions>
    </reviewItem>
    <reviewItem>
      <errorID>8f9f451f-ee6f-46eb-a4f6-462cd441225b</errorID>
      <errorWord>)</errorWord>
      <group>L1_Format</group>
      <groupName>格式问题</groupName>
      <ability>L2_HalfPunc</ability>
      <abilityName>全半角检查</abilityName>
      <candidateList>
        <item>）</item>
      </candidateList>
      <explain>文本全半角错误。</explain>
      <paraID>2425A7B9</paraID>
      <start>21</start>
      <end>22</end>
      <status>modified</status>
      <modifiedWord>）</modifiedWord>
      <trackRevisions>false</trackRevisions>
    </reviewItem>
    <reviewItem>
      <errorID>efb0e54e-b356-4d6a-a378-fb21ba305f4e</errorID>
      <errorWord>(</errorWord>
      <group>L1_Format</group>
      <groupName>格式问题</groupName>
      <ability>L2_HalfPunc</ability>
      <abilityName>全半角检查</abilityName>
      <candidateList>
        <item>（</item>
      </candidateList>
      <explain>文本全半角错误。</explain>
      <paraID>2425A7B9</paraID>
      <start>71</start>
      <end>72</end>
      <status>modified</status>
      <modifiedWord>（</modifiedWord>
      <trackRevisions>false</trackRevisions>
    </reviewItem>
    <reviewItem>
      <errorID>5ccf5218-6406-4335-aee3-b038148015da</errorID>
      <errorWord>[2020]46号</errorWord>
      <group>L1_Knowledge</group>
      <groupName>知识性问题</groupName>
      <ability>L2_Knowledge</ability>
      <abilityName>其他知识</abilityName>
      <candidateList>
        <item>〔2020〕46号</item>
      </candidateList>
      <explain>发文字号格式错误。</explain>
      <paraID>2425A7B9</paraID>
      <start>74</start>
      <end>83</end>
      <status>modified</status>
      <modifiedWord>〔2020〕46号</modifiedWord>
      <trackRevisions>false</trackRevisions>
    </reviewItem>
    <reviewItem>
      <errorID>b8dd7814-9218-49a9-a024-b37b66724d1e</errorID>
      <errorWord>)</errorWord>
      <group>L1_Format</group>
      <groupName>格式问题</groupName>
      <ability>L2_HalfPunc</ability>
      <abilityName>全半角检查</abilityName>
      <candidateList>
        <item>）</item>
      </candidateList>
      <explain>文本全半角错误。</explain>
      <paraID>2425A7B9</paraID>
      <start>83</start>
      <end>84</end>
      <status>modified</status>
      <modifiedWord>）</modifiedWord>
      <trackRevisions>false</trackRevisions>
    </reviewItem>
    <reviewItem>
      <errorID>bde436fa-368a-4400-b37a-14f216e66623</errorID>
      <errorWord>给以</errorWord>
      <group>L1_AI</group>
      <groupName>深度校对</groupName>
      <ability>L2_AI_Word</ability>
      <abilityName>字词纠错</abilityName>
      <candidateList>
        <item>给予</item>
      </candidateList>
      <explain/>
      <paraID>4A5135F8</paraID>
      <start>54</start>
      <end>56</end>
      <status>modified</status>
      <modifiedWord>给予</modifiedWord>
      <trackRevisions>false</trackRevisions>
    </reviewItem>
    <reviewItem>
      <errorID>64b3b045-dbcc-41a3-bf31-c982eab8e467</errorID>
      <errorWord>(</errorWord>
      <group>L1_Format</group>
      <groupName>格式问题</groupName>
      <ability>L2_HalfPunc</ability>
      <abilityName>全半角检查</abilityName>
      <candidateList>
        <item>（</item>
      </candidateList>
      <explain>文本全半角错误。</explain>
      <paraID>4F6B7D67</paraID>
      <start>22</start>
      <end>23</end>
      <status>modified</status>
      <modifiedWord>（</modifiedWord>
      <trackRevisions>false</trackRevisions>
    </reviewItem>
    <reviewItem>
      <errorID>4ef7c8f0-1585-4ac1-84dc-643b2b4a2fef</errorID>
      <errorWord>)</errorWord>
      <group>L1_Format</group>
      <groupName>格式问题</groupName>
      <ability>L2_HalfPunc</ability>
      <abilityName>全半角检查</abilityName>
      <candidateList>
        <item>）</item>
      </candidateList>
      <explain>文本全半角错误。</explain>
      <paraID>4F6B7D67</paraID>
      <start>32</start>
      <end>33</end>
      <status>modified</status>
      <modifiedWord>）</modifiedWord>
      <trackRevisions>false</trackRevisions>
    </reviewItem>
    <reviewItem>
      <errorID>43f1f8fa-46a7-463a-a9e0-9fe12b759cd8</errorID>
      <errorWord>(</errorWord>
      <group>L1_Format</group>
      <groupName>格式问题</groupName>
      <ability>L2_HalfPunc</ability>
      <abilityName>全半角检查</abilityName>
      <candidateList>
        <item>（</item>
      </candidateList>
      <explain>文本全半角错误。</explain>
      <paraID>60CF501C</paraID>
      <start>30</start>
      <end>31</end>
      <status>modified</status>
      <modifiedWord>（</modifiedWord>
      <trackRevisions>false</trackRevisions>
    </reviewItem>
    <reviewItem>
      <errorID>bad19dbc-1f2b-4f71-b2c5-ed7bb48fe942</errorID>
      <errorWord>)</errorWord>
      <group>L1_Format</group>
      <groupName>格式问题</groupName>
      <ability>L2_HalfPunc</ability>
      <abilityName>全半角检查</abilityName>
      <candidateList>
        <item>）</item>
      </candidateList>
      <explain>文本全半角错误。</explain>
      <paraID>60CF501C</paraID>
      <start>37</start>
      <end>38</end>
      <status>modified</status>
      <modifiedWord>）</modifiedWord>
      <trackRevisions>false</trackRevisions>
    </reviewItem>
    <reviewItem>
      <errorID>2bd87601-450e-42fb-bf86-1ef407f7a39f</errorID>
      <errorWord>、严重失信主体名单，</errorWord>
      <group>L1_AI</group>
      <groupName>深度校对</groupName>
      <ability>L2_AI_Punc</ability>
      <abilityName>标点纠错</abilityName>
      <candidateList>
        <item>”“严重失信主体名单”“</item>
      </candidateList>
      <explain/>
      <paraID>3E49D78D</paraID>
      <start>65</start>
      <end>75</end>
      <status>unmodified</status>
      <modifiedWord/>
      <trackRevisions>false</trackRevisions>
    </reviewItem>
    <reviewItem>
      <errorID>594879af-0ff3-49fd-aacb-62319ea6c12e</errorID>
      <errorWord>：</errorWord>
      <group>L1_AI</group>
      <groupName>深度校对</groupName>
      <ability>L2_AI_Punc</ability>
      <abilityName>标点纠错</abilityName>
      <candidateList>
        <item>:</item>
      </candidateList>
      <explain/>
      <paraID>4FDD4E0E</paraID>
      <start>17</start>
      <end>18</end>
      <status>unmodified</status>
      <modifiedWord/>
      <trackRevisions>false</trackRevisions>
    </reviewItem>
    <reviewItem>
      <errorID>74979f7d-c511-413d-aece-71d25104d214</errorID>
      <errorWord>-</errorWord>
      <group>L1_Format</group>
      <groupName>格式问题</groupName>
      <ability>L2_HalfPunc</ability>
      <abilityName>全半角检查</abilityName>
      <candidateList>
        <item>－</item>
      </candidateList>
      <explain>文本全半角错误。</explain>
      <paraID>4FDD4E0E</paraID>
      <start>49</start>
      <end>50</end>
      <status>unmodified</status>
      <modifiedWord/>
      <trackRevisions>false</trackRevisions>
    </reviewItem>
    <reviewItem>
      <errorID>b5f46923-babf-486f-8f90-380f904e4b81</errorID>
      <errorWord>-</errorWord>
      <group>L1_Format</group>
      <groupName>格式问题</groupName>
      <ability>L2_HalfPunc</ability>
      <abilityName>全半角检查</abilityName>
      <candidateList>
        <item>－</item>
      </candidateList>
      <explain>文本全半角错误。</explain>
      <paraID>4FDD4E0E</paraID>
      <start>54</start>
      <end>55</end>
      <status>unmodified</status>
      <modifiedWord/>
      <trackRevisions>false</trackRevisions>
    </reviewItem>
    <reviewItem>
      <errorID>c0acbb7c-5937-422c-87d9-e3dc100c551c</errorID>
      <errorWord>-</errorWord>
      <group>L1_Format</group>
      <groupName>格式问题</groupName>
      <ability>L2_HalfPunc</ability>
      <abilityName>全半角检查</abilityName>
      <candidateList>
        <item>－</item>
      </candidateList>
      <explain>文本全半角错误。</explain>
      <paraID>4FDD4E0E</paraID>
      <start>62</start>
      <end>63</end>
      <status>unmodified</status>
      <modifiedWord/>
      <trackRevisions>false</trackRevisions>
    </reviewItem>
    <reviewItem>
      <errorID>948555f1-981c-429d-8569-01956f79a20c</errorID>
      <errorWord>-</errorWord>
      <group>L1_Format</group>
      <groupName>格式问题</groupName>
      <ability>L2_HalfPunc</ability>
      <abilityName>全半角检查</abilityName>
      <candidateList>
        <item>－</item>
      </candidateList>
      <explain>文本全半角错误。</explain>
      <paraID>4FDD4E0E</paraID>
      <start>68</start>
      <end>69</end>
      <status>modified</status>
      <modifiedWord>－</modifiedWord>
      <trackRevisions>false</trackRevisions>
    </reviewItem>
    <reviewItem>
      <errorID>320265d1-80dc-4644-8428-f80a8b3989a6</errorID>
      <errorWord>)</errorWord>
      <group>L1_Format</group>
      <groupName>格式问题</groupName>
      <ability>L2_HalfPunc</ability>
      <abilityName>全半角检查</abilityName>
      <candidateList>
        <item>）</item>
      </candidateList>
      <explain>文本全半角错误。</explain>
      <paraID>42B79A3A</paraID>
      <start>28</start>
      <end>29</end>
      <status>modified</status>
      <modifiedWord>）</modifiedWord>
      <trackRevisions>false</trackRevisions>
    </reviewItem>
    <reviewItem>
      <errorID>c650c98b-9e4c-4e78-9b37-95e1fcfb51ea</errorID>
      <errorWord>注册</errorWord>
      <group>L1_AI</group>
      <groupName>深度校对</groupName>
      <ability>L2_AI_Word</ability>
      <abilityName>字词纠错</abilityName>
      <candidateList>
        <item>在</item>
      </candidateList>
      <explain/>
      <paraID>620184F2</paraID>
      <start>19</start>
      <end>21</end>
      <status>unmodified</status>
      <modifiedWord/>
      <trackRevisions>false</trackRevisions>
    </reviewItem>
    <reviewItem>
      <errorID>55ed7713-b178-439c-a105-999d03ae61b5</errorID>
      <errorWord>账号</errorWord>
      <group>L1_AI</group>
      <groupName>深度校对</groupName>
      <ability>L2_AI_Grammar</ability>
      <abilityName>语法纠错</abilityName>
      <candidateList>
        <item>注册账号</item>
      </candidateList>
      <explain/>
      <paraID>620184F2</paraID>
      <start>26</start>
      <end>28</end>
      <status>unmodified</status>
      <modifiedWord/>
      <trackRevisions>false</trackRevisions>
    </reviewItem>
    <reviewItem>
      <errorID>86516d3e-59a3-4738-8e3e-5f362c533057</errorID>
      <errorWord>，</errorWord>
      <group>L1_AI</group>
      <groupName>深度校对</groupName>
      <ability>L2_AI_Punc</ability>
      <abilityName>标点纠错</abilityName>
      <candidateList>
        <item>。</item>
      </candidateList>
      <explain/>
      <paraID>620184F2</paraID>
      <start>41</start>
      <end>42</end>
      <status>unmodified</status>
      <modifiedWord/>
      <trackRevisions>false</trackRevisions>
    </reviewItem>
    <reviewItem>
      <errorID>cc880005-386e-41c3-8192-b6bb2bfa3fb4</errorID>
      <errorWord>）的</errorWord>
      <group>L1_AI</group>
      <groupName>深度校对</groupName>
      <ability>L2_AI_Word</ability>
      <abilityName>字词纠错</abilityName>
      <candidateList>
        <item>）</item>
      </candidateList>
      <explain/>
      <paraID>620184F2</paraID>
      <start>56</start>
      <end>58</end>
      <status>unmodified</status>
      <modifiedWord/>
      <trackRevisions>false</trackRevisions>
    </reviewItem>
    <reviewItem>
      <errorID>5fd31091-6129-42a2-bb65-3463fbc001c1</errorID>
      <errorWord>CA 可</errorWord>
      <group>L1_AI</group>
      <groupName>深度校对</groupName>
      <ability>L2_AI_Grammar</ability>
      <abilityName>语法纠错</abilityName>
      <candidateList>
        <item>CA</item>
      </candidateList>
      <explain/>
      <paraID>620184F2</paraID>
      <start>191</start>
      <end>195</end>
      <status>unmodified</status>
      <modifiedWord/>
      <trackRevisions>false</trackRevisions>
    </reviewItem>
    <reviewItem>
      <errorID>d6111de0-38d2-49e6-9a67-a6f5883b21a7</errorID>
      <errorWord>客户服务支持</errorWord>
      <group>L1_AI</group>
      <groupName>深度校对</groupName>
      <ability>L2_AI_Grammar</ability>
      <abilityName>语法纠错</abilityName>
      <candidateList>
        <item>客户服务</item>
      </candidateList>
      <explain/>
      <paraID>620184F2</paraID>
      <start>219</start>
      <end>225</end>
      <status>unmodified</status>
      <modifiedWord/>
      <trackRevisions>false</trackRevisions>
    </reviewItem>
    <reviewItem>
      <errorID>18f2e7a5-9103-45e7-b3ec-26931679a6ae</errorID>
      <errorWord>政府</errorWord>
      <group>L1_AI</group>
      <groupName>深度校对</groupName>
      <ability>L2_AI_Punc</ability>
      <abilityName>标点纠错</abilityName>
      <candidateList>
        <item>。政府</item>
      </candidateList>
      <explain/>
      <paraID>620184F2</paraID>
      <start>264</start>
      <end>266</end>
      <status>unmodified</status>
      <modifiedWord/>
      <trackRevisions>false</trackRevisions>
    </reviewItem>
    <reviewItem>
      <errorID>f149d913-1bcb-4c16-9667-cc9ca9b3732a</errorID>
      <errorWord>之后</errorWord>
      <group>L1_AI</group>
      <groupName>深度校对</groupName>
      <ability>L2_AI_Word</ability>
      <abilityName>字词纠错</abilityName>
      <candidateList>
        <item>后，</item>
      </candidateList>
      <explain/>
      <paraID>4593066E</paraID>
      <start>15</start>
      <end>17</end>
      <status>unmodified</status>
      <modifiedWord/>
      <trackRevisions>false</trackRevisions>
    </reviewItem>
    <reviewItem>
      <errorID>f0e874a5-7c30-47b9-af9f-bc66da5b8d8d</errorID>
      <errorWord>企业</errorWord>
      <group>L1_AI</group>
      <groupName>深度校对</groupName>
      <ability>L2_AI_Word</ability>
      <abilityName>字词纠错</abilityName>
      <candidateList>
        <item>将企业</item>
      </candidateList>
      <explain/>
      <paraID>4593066E</paraID>
      <start>25</start>
      <end>27</end>
      <status>unmodified</status>
      <modifiedWord/>
      <trackRevisions>false</trackRevisions>
    </reviewItem>
    <reviewItem>
      <errorID>0295a313-2dcc-46c8-8eda-b5c8157b06b1</errorID>
      <errorWord>投标竞争性</errorWord>
      <group>L1_AI</group>
      <groupName>深度校对</groupName>
      <ability>L2_AI_Word</ability>
      <abilityName>字词纠错</abilityName>
      <candidateList>
        <item>投标或竞争性</item>
      </candidateList>
      <explain/>
      <paraID> F38BF5F</paraID>
      <start>37</start>
      <end>42</end>
      <status>unmodified</status>
      <modifiedWord/>
      <trackRevisions>false</trackRevisions>
    </reviewItem>
    <reviewItem>
      <errorID>43475af2-c9df-4acc-900e-7624e1b4530b</errorID>
      <errorWord>可拨打</errorWord>
      <group>L1_AI</group>
      <groupName>深度校对</groupName>
      <ability>L2_AI_Punc</ability>
      <abilityName>标点纠错</abilityName>
      <candidateList>
        <item>，可拨打</item>
      </candidateList>
      <explain/>
      <paraID>1FAC4E23</paraID>
      <start>7</start>
      <end>10</end>
      <status>unmodified</status>
      <modifiedWord/>
      <trackRevisions>false</trackRevisions>
    </reviewItem>
    <reviewItem>
      <errorID>48c88869-bceb-4316-b205-44b489dcc761</errorID>
      <errorWord>，</errorWord>
      <group>L1_AI</group>
      <groupName>深度校对</groupName>
      <ability>L2_AI_Punc</ability>
      <abilityName>标点纠错</abilityName>
      <candidateList>
        <item>；</item>
      </candidateList>
      <explain/>
      <paraID>1FAC4E23</paraID>
      <start>28</start>
      <end>29</end>
      <status>unmodified</status>
      <modifiedWord/>
      <trackRevisions>false</trackRevisions>
    </reviewItem>
    <reviewItem>
      <errorID>cdde99ca-3886-4889-8477-be4e7db2b1b7</errorID>
      <errorWord>可</errorWord>
      <group>L1_AI</group>
      <groupName>深度校对</groupName>
      <ability>L2_AI_Punc</ability>
      <abilityName>标点纠错</abilityName>
      <candidateList>
        <item>，可</item>
      </candidateList>
      <explain/>
      <paraID>1FAC4E23</paraID>
      <start>39</start>
      <end>40</end>
      <status>unmodified</status>
      <modifiedWord/>
      <trackRevisions>false</trackRevisions>
    </reviewItem>
    <reviewItem>
      <errorID>82f05845-8685-4eea-8645-da26634500b9</errorID>
      <errorWord>合法</errorWord>
      <group>L1_AI</group>
      <groupName>深度校对</groupName>
      <ability>L2_AI_Word</ability>
      <abilityName>字词纠错</abilityName>
      <candidateList>
        <item>已合法</item>
      </candidateList>
      <explain/>
      <paraID>76AEC467</paraID>
      <start>17</start>
      <end>19</end>
      <status>unmodified</status>
      <modifiedWord/>
      <trackRevisions>false</trackRevisions>
    </reviewItem>
    <reviewItem>
      <errorID>87ee0583-4420-4c69-825a-da589ba1c057</errorID>
      <errorWord>获取了</errorWord>
      <group>L1_AI</group>
      <groupName>深度校对</groupName>
      <ability>L2_AI_Word</ability>
      <abilityName>字词纠错</abilityName>
      <candidateList>
        <item>获取</item>
      </candidateList>
      <explain/>
      <paraID>76AEC467</paraID>
      <start>19</start>
      <end>22</end>
      <status>unmodified</status>
      <modifiedWord/>
      <trackRevisions>false</trackRevisions>
    </reviewItem>
    <reviewItem>
      <errorID>63869ff2-f374-4e82-acc4-746362da6e01</errorID>
      <errorWord>:</errorWord>
      <group>L1_Format</group>
      <groupName>格式问题</groupName>
      <ability>L2_HalfPunc</ability>
      <abilityName>全半角检查</abilityName>
      <candidateList>
        <item>：</item>
      </candidateList>
      <explain>文本全半角错误。</explain>
      <paraID>6EF5E3C5</paraID>
      <start>11</start>
      <end>12</end>
      <status>unmodified</status>
      <modifiedWord/>
      <trackRevisions>false</trackRevisions>
    </reviewItem>
    <reviewItem>
      <errorID>e8b10855-e4c1-4f51-987c-aa4e8645a623</errorID>
      <errorWord> </errorWord>
      <group>L1_AI</group>
      <groupName>深度校对</groupName>
      <ability>L2_AI_Punc</ability>
      <abilityName>标点纠错</abilityName>
      <candidateList>
        <item/>
      </candidateList>
      <explain>此处空格冗余，建议删除。</explain>
      <paraID>68FEF003</paraID>
      <start>18</start>
      <end>19</end>
      <status>unmodified</status>
      <modifiedWord/>
      <trackRevisions>false</trackRevisions>
    </reviewItem>
    <reviewItem>
      <errorID>b86bcd0f-7919-4fb6-a151-7c1ee9fb6011</errorID>
      <errorWord> </errorWord>
      <group>L1_AI</group>
      <groupName>深度校对</groupName>
      <ability>L2_AI_Punc</ability>
      <abilityName>标点纠错</abilityName>
      <candidateList>
        <item/>
      </candidateList>
      <explain>此处空格冗余，建议删除。</explain>
      <paraID>68FEF003</paraID>
      <start>20</start>
      <end>21</end>
      <status>unmodified</status>
      <modifiedWord/>
      <trackRevisions>false</trackRevisions>
    </reviewItem>
    <reviewItem>
      <errorID>ddf3b056-87b0-490d-96a6-c62955bce9dc</errorID>
      <errorWord>(北京时间)</errorWord>
      <group>L1_AI</group>
      <groupName>深度校对</groupName>
      <ability>L2_AI_Punc</ability>
      <abilityName>标点纠错</abilityName>
      <candidateList>
        <item>（北京时间）</item>
      </candidateList>
      <explain/>
      <paraID>68FEF003</paraID>
      <start>31</start>
      <end>37</end>
      <status>unmodified</status>
      <modifiedWord/>
      <trackRevisions>false</trackRevisions>
    </reviewItem>
    <reviewItem>
      <errorID>bcaba9f0-6c64-4bf1-8d26-d696c2cad258</errorID>
      <errorWord>进行</errorWord>
      <group>L1_AI</group>
      <groupName>深度校对</groupName>
      <ability>L2_AI_Word</ability>
      <abilityName>字词纠错</abilityName>
      <candidateList>
        <item>在</item>
      </candidateList>
      <explain/>
      <paraID>634D99FF</paraID>
      <start>77</start>
      <end>79</end>
      <status>unmodified</status>
      <modifiedWord/>
      <trackRevisions>false</trackRevisions>
    </reviewItem>
    <reviewItem>
      <errorID>6b75d7c3-4524-4c53-9973-d846597d1dde</errorID>
      <errorWord>注册</errorWord>
      <group>L1_AI</group>
      <groupName>深度校对</groupName>
      <ability>L2_AI_Grammar</ability>
      <abilityName>语法纠错</abilityName>
      <candidateList>
        <item>进行注册</item>
      </candidateList>
      <explain/>
      <paraID>634D99FF</paraID>
      <start>94</start>
      <end>96</end>
      <status>unmodified</status>
      <modifiedWord/>
      <trackRevisions>false</trackRevisions>
    </reviewItem>
    <reviewItem>
      <errorID>18603cf8-cc14-431e-9ff2-033cbca06a2d</errorID>
      <errorWord>数字证书确认</errorWord>
      <group>L1_AI</group>
      <groupName>深度校对</groupName>
      <ability>L2_AI_Grammar</ability>
      <abilityName>语法纠错</abilityName>
      <candidateList>
        <item>数字证书</item>
      </candidateList>
      <explain/>
      <paraID>634D99FF</paraID>
      <start>106</start>
      <end>112</end>
      <status>unmodified</status>
      <modifiedWord/>
      <trackRevisions>false</trackRevisions>
    </reviewItem>
    <reviewItem>
      <errorID>1b7d3ae3-23da-4e09-81d3-2a0402b0bb50</errorID>
      <errorWord>使用</errorWord>
      <group>L1_AI</group>
      <groupName>深度校对</groupName>
      <ability>L2_AI_Word</ability>
      <abilityName>字词纠错</abilityName>
      <candidateList>
        <item>按照</item>
      </candidateList>
      <explain/>
      <paraID>1CBFF9F8</paraID>
      <start>51</start>
      <end>53</end>
      <status>unmodified</status>
      <modifiedWord/>
      <trackRevisions>false</trackRevisions>
    </reviewItem>
    <reviewItem>
      <errorID>1fa0af3e-f24c-46e8-8271-ef907ec19601</errorID>
      <errorWord> </errorWord>
      <group>L1_AI</group>
      <groupName>深度校对</groupName>
      <ability>L2_AI_Punc</ability>
      <abilityName>标点纠错</abilityName>
      <candidateList>
        <item/>
      </candidateList>
      <explain>此处空格冗余，建议删除。</explain>
      <paraID> 58F2EF0</paraID>
      <start>48</start>
      <end>49</end>
      <status>unmodified</status>
      <modifiedWord/>
      <trackRevisions>false</trackRevisions>
    </reviewItem>
    <reviewItem>
      <errorID>f48dd24f-65bc-45dd-b27d-e03537eb8cc2</errorID>
      <errorWord>，</errorWord>
      <group>L1_AI</group>
      <groupName>深度校对</groupName>
      <ability>L2_AI_Punc</ability>
      <abilityName>标点纠错</abilityName>
      <candidateList>
        <item>。</item>
      </candidateList>
      <explain/>
      <paraID> 58F2EF0</paraID>
      <start>77</start>
      <end>78</end>
      <status>unmodified</status>
      <modifiedWord/>
      <trackRevisions>false</trackRevisions>
    </reviewItem>
    <reviewItem>
      <errorID>5232b182-9f28-4a13-9a36-09d3e5cd7ea5</errorID>
      <errorWord>内容信息</errorWord>
      <group>L1_AI</group>
      <groupName>深度校对</groupName>
      <ability>L2_AI_Grammar</ability>
      <abilityName>语法纠错</abilityName>
      <candidateList>
        <item>内容</item>
      </candidateList>
      <explain/>
      <paraID> 58F2EF0</paraID>
      <start>93</start>
      <end>97</end>
      <status>unmodified</status>
      <modifiedWord/>
      <trackRevisions>false</trackRevisions>
    </reviewItem>
    <reviewItem>
      <errorID>d2f2fcd2-1334-4dea-ac15-8b6cda5e5a1f</errorID>
      <errorWord>墨江县</errorWord>
      <group>L1_Knowledge</group>
      <groupName>知识性问题</groupName>
      <ability>L2_Location</ability>
      <abilityName>地名检查</abilityName>
      <candidateList>
        <item>墨江哈尼族自治县</item>
      </candidateList>
      <explain>自治区州县缩写不规范。《地名管理条例》第十八条规定，标识牌、公共平台发布的信息、各类公文证件、学习类公开出版物、地图、法律法规规定等场景范围内必须使用标准地名。</explain>
      <paraID>728E48E1</paraID>
      <start>4</start>
      <end>7</end>
      <status>unmodified</status>
      <modifiedWord/>
      <trackRevisions>false</trackRevisions>
    </reviewItem>
    <reviewItem>
      <errorID>563aa71d-1f92-436d-9fbc-fda8f1081adb</errorID>
      <errorWord>须知前</errorWord>
      <group>L1_AI</group>
      <groupName>深度校对</groupName>
      <ability>L2_AI_Word</ability>
      <abilityName>字词纠错</abilityName>
      <candidateList>
        <item>须知</item>
      </candidateList>
      <explain/>
      <paraID>1B1E91C8</paraID>
      <start>3</start>
      <end>6</end>
      <status>unmodified</status>
      <modifiedWord/>
      <trackRevisions>false</trackRevisions>
    </reviewItem>
    <reviewItem>
      <errorID>e3d2cab5-61dc-4525-aea7-0815bcf90005</errorID>
      <errorWord>地 址</errorWord>
      <group>L1_AI</group>
      <groupName>深度校对</groupName>
      <ability>L2_AI_Word</ability>
      <abilityName>字词纠错</abilityName>
      <candidateList>
        <item>地址</item>
      </candidateList>
      <explain/>
      <paraID>27EF249D</paraID>
      <start>0</start>
      <end>3</end>
      <status>unmodified</status>
      <modifiedWord/>
      <trackRevisions>false</trackRevisions>
    </reviewItem>
    <reviewItem>
      <errorID>3c1c5306-6eca-49d9-bf1f-d7efd59f0d9d</errorID>
      <errorWord>墨江县</errorWord>
      <group>L1_Knowledge</group>
      <groupName>知识性问题</groupName>
      <ability>L2_Location</ability>
      <abilityName>地名检查</abilityName>
      <candidateList>
        <item>墨江哈尼族自治县</item>
      </candidateList>
      <explain>自治区州县缩写不规范。《地名管理条例》第十八条规定，标识牌、公共平台发布的信息、各类公文证件、学习类公开出版物、地图、法律法规规定等场景范围内必须使用标准地名。</explain>
      <paraID>27EF249D</paraID>
      <start>4</start>
      <end>7</end>
      <status>unmodified</status>
      <modifiedWord/>
      <trackRevisions>false</trackRevisions>
    </reviewItem>
    <reviewItem>
      <errorID>3335b91a-0f92-424e-aca8-7a7c1690fa20</errorID>
      <errorWord>地   址</errorWord>
      <group>L1_AI</group>
      <groupName>深度校对</groupName>
      <ability>L2_AI_Grammar</ability>
      <abilityName>语法纠错</abilityName>
      <candidateList>
        <item>地址</item>
      </candidateList>
      <explain/>
      <paraID>6FEB25F8</paraID>
      <start>0</start>
      <end>5</end>
      <status>unmodified</status>
      <modifiedWord/>
      <trackRevisions>false</trackRevisions>
    </reviewItem>
    <reviewItem>
      <errorID>03e6aeb3-df9d-4af2-8a6f-7c5230fd77f4</errorID>
      <errorWord>联 系 人</errorWord>
      <group>L1_AI</group>
      <groupName>深度校对</groupName>
      <ability>L2_AI_Grammar</ability>
      <abilityName>语法纠错</abilityName>
      <candidateList>
        <item>联系人</item>
      </candidateList>
      <explain/>
      <paraID>466FC211</paraID>
      <start>0</start>
      <end>5</end>
      <status>unmodified</status>
      <modifiedWord/>
      <trackRevisions>false</trackRevisions>
    </reviewItem>
    <reviewItem>
      <errorID>b83c1f55-4c84-4451-ad1f-b86bfb32adcf</errorID>
      <errorWord>函管</errorWord>
      <group>L1_AI</group>
      <groupName>深度校对</groupName>
      <ability>L2_AI_Word</ability>
      <abilityName>字词纠错</abilityName>
      <candidateList>
        <item>涵管</item>
      </candidateList>
      <explain/>
      <paraID>27F64345</paraID>
      <start>17</start>
      <end>19</end>
      <status>unmodified</status>
      <modifiedWord/>
      <trackRevisions>false</trackRevisions>
    </reviewItem>
    <reviewItem>
      <errorID>c35eb985-bf19-45f9-ad95-059caffdb950</errorID>
      <errorWord>墨江县</errorWord>
      <group>L1_Knowledge</group>
      <groupName>知识性问题</groupName>
      <ability>L2_Location</ability>
      <abilityName>地名检查</abilityName>
      <candidateList>
        <item>墨江哈尼族自治县</item>
      </candidateList>
      <explain>自治区州县缩写不规范。《地名管理条例》第十八条规定，标识牌、公共平台发布的信息、各类公文证件、学习类公开出版物、地图、法律法规规定等场景范围内必须使用标准地名。</explain>
      <paraID>58356181</paraID>
      <start>0</start>
      <end>3</end>
      <status>unmodified</status>
      <modifiedWord/>
      <trackRevisions>false</trackRevisions>
    </reviewItem>
    <reviewItem>
      <errorID>823e960d-2755-4967-8685-e7d0f4ffebca</errorID>
      <errorWord>：/，</errorWord>
      <group>L1_Punc</group>
      <groupName>标点问题</groupName>
      <ability>L2_Punc</ability>
      <abilityName>标点符号检查</abilityName>
      <candidateList>
        <item>：</item>
      </candidateList>
      <explain/>
      <paraID> 69BE8E7</paraID>
      <start>14</start>
      <end>17</end>
      <status>unmodified</status>
      <modifiedWord/>
      <trackRevisions>false</trackRevisions>
    </reviewItem>
    <reviewItem>
      <errorID>e97a535a-6932-44dc-b6cd-ade365caa24d</errorID>
      <errorWord>，</errorWord>
      <group>L1_Word</group>
      <groupName>字词问题</groupName>
      <ability>L2_Typo</ability>
      <abilityName>字词错误</abilityName>
      <candidateList>
        <item>，在</item>
      </candidateList>
      <explain/>
      <paraID>72F284AD</paraID>
      <start>40</start>
      <end>41</end>
      <status>unmodified</status>
      <modifiedWord/>
      <trackRevisions>false</trackRevisions>
    </reviewItem>
    <reviewItem>
      <errorID>7f8950e2-f009-4e28-8d2f-6ad7a4701f88</errorID>
      <errorWord>交缴纳</errorWord>
      <group>L1_Word</group>
      <groupName>字词问题</groupName>
      <ability>L2_Typo</ability>
      <abilityName>字词错误</abilityName>
      <candidateList>
        <item>缴纳</item>
      </candidateList>
      <explain>〈动〉交纳：～税款。</explain>
      <paraID>72F284AD</paraID>
      <start>68</start>
      <end>71</end>
      <status>unmodified</status>
      <modifiedWord/>
      <trackRevisions>false</trackRevisions>
    </reviewItem>
    <reviewItem>
      <errorID>519fe8ae-e237-458e-bf05-e7b4fffb6836</errorID>
      <errorWord>接收</errorWord>
      <group>L1_Word</group>
      <groupName>字词问题</groupName>
      <ability>L2_Typo</ability>
      <abilityName>字词错误</abilityName>
      <candidateList>
        <item>接受</item>
      </candidateList>
      <explain>存在发音相同字词的误用。</explain>
      <paraID>63575F65</paraID>
      <start>0</start>
      <end>2</end>
      <status>unmodified</status>
      <modifiedWord/>
      <trackRevisions>false</trackRevisions>
    </reviewItem>
    <reviewItem>
      <errorID>9671916f-e9f2-4eef-8d1e-b65481859a17</errorID>
      <errorWord>-</errorWord>
      <group>L1_Format</group>
      <groupName>格式问题</groupName>
      <ability>L2_HalfPunc</ability>
      <abilityName>全半角检查</abilityName>
      <candidateList>
        <item>－</item>
      </candidateList>
      <explain>文本全半角错误。</explain>
      <paraID>5379BE93</paraID>
      <start>21</start>
      <end>22</end>
      <status>unmodified</status>
      <modifiedWord/>
      <trackRevisions>false</trackRevisions>
    </reviewItem>
    <reviewItem>
      <errorID>6e229035-bb5a-4e12-84d5-9245fb0bb659</errorID>
      <errorWord>(</errorWord>
      <group>L1_Format</group>
      <groupName>格式问题</groupName>
      <ability>L2_HalfPunc</ability>
      <abilityName>全半角检查</abilityName>
      <candidateList>
        <item>（</item>
      </candidateList>
      <explain>文本全半角错误。</explain>
      <paraID>7F3BE6EB</paraID>
      <start>38</start>
      <end>39</end>
      <status>unmodified</status>
      <modifiedWord/>
      <trackRevisions>false</trackRevisions>
    </reviewItem>
    <reviewItem>
      <errorID>7012b08b-d678-4f9b-be72-a0fed6cf029c</errorID>
      <errorWord>)</errorWord>
      <group>L1_Format</group>
      <groupName>格式问题</groupName>
      <ability>L2_HalfPunc</ability>
      <abilityName>全半角检查</abilityName>
      <candidateList>
        <item>）</item>
      </candidateList>
      <explain>文本全半角错误。</explain>
      <paraID>7F3BE6EB</paraID>
      <start>61</start>
      <end>62</end>
      <status>unmodified</status>
      <modifiedWord/>
      <trackRevisions>false</trackRevisions>
    </reviewItem>
    <reviewItem>
      <errorID>6560075c-c13b-4ac6-bb9e-1308ce9a9200</errorID>
      <errorWord>(</errorWord>
      <group>L1_Format</group>
      <groupName>格式问题</groupName>
      <ability>L2_HalfPunc</ability>
      <abilityName>全半角检查</abilityName>
      <candidateList>
        <item>（</item>
      </candidateList>
      <explain>文本全半角错误。</explain>
      <paraID>7F3BE6EB</paraID>
      <start>70</start>
      <end>71</end>
      <status>unmodified</status>
      <modifiedWord/>
      <trackRevisions>false</trackRevisions>
    </reviewItem>
    <reviewItem>
      <errorID>cde30d39-1c7f-4dce-8259-cd39e4aa426a</errorID>
      <errorWord>)</errorWord>
      <group>L1_Format</group>
      <groupName>格式问题</groupName>
      <ability>L2_HalfPunc</ability>
      <abilityName>全半角检查</abilityName>
      <candidateList>
        <item>）</item>
      </candidateList>
      <explain>文本全半角错误。</explain>
      <paraID>7F3BE6EB</paraID>
      <start>86</start>
      <end>87</end>
      <status>unmodified</status>
      <modifiedWord/>
      <trackRevisions>false</trackRevisions>
    </reviewItem>
    <reviewItem>
      <errorID>bb9f1c96-4a2c-4cc2-8e65-6985af7ff273</errorID>
      <errorWord>须提交</errorWord>
      <group>L1_Word</group>
      <groupName>字词问题</groupName>
      <ability>L2_Typo</ability>
      <abilityName>字词错误</abilityName>
      <candidateList>
        <item>需提交</item>
      </candidateList>
      <explain>存在发音相同字词的误用。</explain>
      <paraID> BE454D5</paraID>
      <start>20</start>
      <end>23</end>
      <status>unmodified</status>
      <modifiedWord/>
      <trackRevisions>false</trackRevisions>
    </reviewItem>
    <reviewItem>
      <errorID>4041b5c0-ea73-4133-b2b0-3494befb915d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17BDAD34</paraID>
      <start>157</start>
      <end>160</end>
      <status>unmodified</status>
      <modifiedWord/>
      <trackRevisions>false</trackRevisions>
    </reviewItem>
    <reviewItem>
      <errorID>5ef45417-ada2-4018-934b-ea7b8742fac7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50CE16DF</paraID>
      <start>48</start>
      <end>51</end>
      <status>unmodified</status>
      <modifiedWord/>
      <trackRevisions>false</trackRevisions>
    </reviewItem>
    <reviewItem>
      <errorID>5ab3764c-892d-44f1-bdf6-6256a40aeff4</errorID>
      <errorWord>到投</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4EFDFAE4</paraID>
      <start>76</start>
      <end>78</end>
      <status>unmodified</status>
      <modifiedWord/>
      <trackRevisions>false</trackRevisions>
    </reviewItem>
    <reviewItem>
      <errorID>ed5538fb-b133-46f0-8cf9-ed8a1f2c4b00</errorID>
      <errorWord>。。</errorWord>
      <group>L1_Punc</group>
      <groupName>标点问题</groupName>
      <ability>L2_Punc</ability>
      <abilityName>标点符号检查</abilityName>
      <candidateList>
        <item>。</item>
      </candidateList>
      <explain/>
      <paraID>7EC14056</paraID>
      <start>112</start>
      <end>114</end>
      <status>unmodified</status>
      <modifiedWord/>
      <trackRevisions>false</trackRevisions>
    </reviewItem>
    <reviewItem>
      <errorID>f11294f0-15a9-4741-936d-ef15fdaadc39</errorID>
      <errorWord>操作合</errorWord>
      <group>L1_Word</group>
      <groupName>字词问题</groupName>
      <ability>L2_Typo</ability>
      <abilityName>字词错误</abilityName>
      <candidateList>
        <item>操作台</item>
      </candidateList>
      <explain/>
      <paraID>2C1EB012</paraID>
      <start>9</start>
      <end>12</end>
      <status>unmodified</status>
      <modifiedWord/>
      <trackRevisions>false</trackRevisions>
    </reviewItem>
    <reviewItem>
      <errorID>105d4ec0-1187-47f9-afbe-94ba6a170953</errorID>
      <errorWord>间</errorWord>
      <group>L1_Word</group>
      <groupName>字词问题</groupName>
      <ability>L2_Typo</ability>
      <abilityName>字词错误</abilityName>
      <candidateList>
        <item>间之</item>
      </candidateList>
      <explain/>
      <paraID>7FC80DC2</paraID>
      <start>13</start>
      <end>14</end>
      <status>unmodified</status>
      <modifiedWord/>
      <trackRevisions>false</trackRevisions>
    </reviewItem>
    <reviewItem>
      <errorID>7f8d7ebc-69bc-4294-beab-090ec4bf64bf</errorID>
      <errorWord>法律、法规</errorWord>
      <group>L1_Word</group>
      <groupName>字词问题</groupName>
      <ability>L2_Typo</ability>
      <abilityName>字词错误</abilityName>
      <candidateList>
        <item>法律法规</item>
      </candidateList>
      <explain/>
      <paraID>2A8E25BC</paraID>
      <start>14</start>
      <end>19</end>
      <status>unmodified</status>
      <modifiedWord/>
      <trackRevisions>false</trackRevisions>
    </reviewItem>
    <reviewItem>
      <errorID>87d9e384-51f6-401c-a373-4c7eecd6e8c6</errorID>
      <errorWord>其它</errorWord>
      <group>L1_Word</group>
      <groupName>字词问题</groupName>
      <ability>L2_Alias</ability>
      <abilityName>也作/曾用词</abilityName>
      <candidateList>
        <item>其他</item>
      </candidateList>
      <explain>词汇[其它]为不规范表述或旧称，其规范书面表述为[其他]。</explain>
      <paraID>2A8E25BC</paraID>
      <start>27</start>
      <end>29</end>
      <status>unmodified</status>
      <modifiedWord/>
      <trackRevisions>false</trackRevisions>
    </reviewItem>
    <reviewItem>
      <errorID>b3cdf3c2-285d-4f92-b9c6-029d7dafecd3</errorID>
      <errorWord>二名</errorWord>
      <group>L1_Word</group>
      <groupName>字词问题</groupName>
      <ability>L2_Typo</ability>
      <abilityName>字词错误</abilityName>
      <candidateList>
        <item>两名</item>
      </candidateList>
      <explain/>
      <paraID> 9AC866E</paraID>
      <start>70</start>
      <end>72</end>
      <status>unmodified</status>
      <modifiedWord/>
      <trackRevisions>false</trackRevisions>
    </reviewItem>
    <reviewItem>
      <errorID>cc75bac1-023f-458e-9c65-f1c26a606fac</errorID>
      <errorWord>（</errorWord>
      <group>L1_Format</group>
      <groupName>格式问题</groupName>
      <ability>L2_HalfPunc</ability>
      <abilityName>全半角检查</abilityName>
      <candidateList>
        <item>(</item>
      </candidateList>
      <explain>文本全半角错误。</explain>
      <paraID> DDB0297</paraID>
      <start>0</start>
      <end>1</end>
      <status>unmodified</status>
      <modifiedWord/>
      <trackRevisions>false</trackRevisions>
    </reviewItem>
    <reviewItem>
      <errorID>aea9ae9f-ea9b-4ba9-83f7-a776bd5befdb</errorID>
      <errorWord>）</errorWord>
      <group>L1_Format</group>
      <groupName>格式问题</groupName>
      <ability>L2_HalfPunc</ability>
      <abilityName>全半角检查</abilityName>
      <candidateList>
        <item>)</item>
      </candidateList>
      <explain>文本全半角错误。</explain>
      <paraID> DDB0297</paraID>
      <start>13</start>
      <end>14</end>
      <status>unmodified</status>
      <modifiedWord/>
      <trackRevisions>false</trackRevisions>
    </reviewItem>
    <reviewItem>
      <errorID>1722f90c-82a4-473b-910a-0ca62a9cd9e5</errorID>
      <errorWord>房</errorWord>
      <group>L1_Word</group>
      <groupName>字词问题</groupName>
      <ability>L2_Typo</ability>
      <abilityName>字词错误</abilityName>
      <candidateList>
        <item>房和</item>
      </candidateList>
      <explain/>
      <paraID>3243D790</paraID>
      <start>72</start>
      <end>73</end>
      <status>unmodified</status>
      <modifiedWord/>
      <trackRevisions>false</trackRevisions>
    </reviewItem>
    <reviewItem>
      <errorID>3d79867d-adef-4d4a-89e1-b13b80baba3e</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6958F021</paraID>
      <start>27</start>
      <end>37</end>
      <status>unmodified</status>
      <modifiedWord/>
      <trackRevisions>false</trackRevisions>
    </reviewItem>
    <reviewItem>
      <errorID>b507ed30-f189-44ec-8d1e-bb122c249042</errorID>
      <errorWord>“/</errorWord>
      <group>L1_Punc</group>
      <groupName>标点问题</groupName>
      <ability>L2_Punc</ability>
      <abilityName>标点符号检查</abilityName>
      <candidateList>
        <item>“</item>
      </candidateList>
      <explain/>
      <paraID>592928B9</paraID>
      <start>81</start>
      <end>83</end>
      <status>unmodified</status>
      <modifiedWord/>
      <trackRevisions>false</trackRevisions>
    </reviewItem>
    <reviewItem>
      <errorID>984e3d47-c846-48ad-9c99-0571f8abcd60</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5208C2BD</paraID>
      <start>127</start>
      <end>129</end>
      <status>unmodified</status>
      <modifiedWord/>
      <trackRevisions>false</trackRevisions>
    </reviewItem>
    <reviewItem>
      <errorID>ced455a1-8235-4073-9d91-1547af739468</errorID>
      <errorWord>送达至</errorWord>
      <group>L1_Word</group>
      <groupName>字词问题</groupName>
      <ability>L2_Typo</ability>
      <abilityName>字词错误</abilityName>
      <candidateList>
        <item>送达</item>
      </candidateList>
      <explain/>
      <paraID>3ABCAAFA</paraID>
      <start>22</start>
      <end>25</end>
      <status>unmodified</status>
      <modifiedWord/>
      <trackRevisions>false</trackRevisions>
    </reviewItem>
    <reviewItem>
      <errorID>c9826725-c4b8-415b-94c1-a1e82e631e4f</errorID>
      <errorWord>涵义</errorWord>
      <group>L1_Word</group>
      <groupName>字词问题</groupName>
      <ability>L2_Alias</ability>
      <abilityName>也作/曾用词</abilityName>
      <candidateList>
        <item>含义</item>
      </candidateList>
      <explain>词汇[涵义]为不规范表述或旧称，其规范书面表述为[含义]。</explain>
      <paraID>7DB75675</paraID>
      <start>31</start>
      <end>33</end>
      <status>unmodified</status>
      <modifiedWord/>
      <trackRevisions>false</trackRevisions>
    </reviewItem>
    <reviewItem>
      <errorID>9a0e3405-7d1b-4530-a641-bf97158369bb</errorID>
      <errorWord>涵义</errorWord>
      <group>L1_Word</group>
      <groupName>字词问题</groupName>
      <ability>L2_Alias</ability>
      <abilityName>也作/曾用词</abilityName>
      <candidateList>
        <item>含义</item>
      </candidateList>
      <explain>词汇[涵义]为不规范表述或旧称，其规范书面表述为[含义]。</explain>
      <paraID>7DB75675</paraID>
      <start>77</start>
      <end>79</end>
      <status>unmodified</status>
      <modifiedWord/>
      <trackRevisions>false</trackRevisions>
    </reviewItem>
    <reviewItem>
      <errorID>d80f5ec5-9970-4353-9584-8f96b9381ebf</errorID>
      <errorWord>作</errorWord>
      <group>L1_Word</group>
      <groupName>字词问题</groupName>
      <ability>L2_Typo</ability>
      <abilityName>字词错误</abilityName>
      <candidateList>
        <item>做</item>
      </candidateList>
      <explain>存在发音相同字词的误用。</explain>
      <paraID>6467A433</paraID>
      <start>124</start>
      <end>125</end>
      <status>unmodified</status>
      <modifiedWord/>
      <trackRevisions>false</trackRevisions>
    </reviewItem>
    <reviewItem>
      <errorID>c5fb436f-0a50-4c6d-bb1f-537ad8cf6619</errorID>
      <errorWord>，</errorWord>
      <group>L1_Word</group>
      <groupName>字词问题</groupName>
      <ability>L2_Typo</ability>
      <abilityName>字词错误</abilityName>
      <candidateList>
        <item>，在</item>
      </candidateList>
      <explain/>
      <paraID>5B3CBE41</paraID>
      <start>28</start>
      <end>29</end>
      <status>unmodified</status>
      <modifiedWord/>
      <trackRevisions>false</trackRevisions>
    </reviewItem>
    <reviewItem>
      <errorID>23c17993-732f-4df8-b1b3-8a4efec11c15</errorID>
      <errorWord>，</errorWord>
      <group>L1_Word</group>
      <groupName>字词问题</groupName>
      <ability>L2_Typo</ability>
      <abilityName>字词错误</abilityName>
      <candidateList>
        <item>，以</item>
      </candidateList>
      <explain/>
      <paraID>7AF7F2FF</paraID>
      <start>23</start>
      <end>24</end>
      <status>unmodified</status>
      <modifiedWord/>
      <trackRevisions>false</trackRevisions>
    </reviewItem>
    <reviewItem>
      <errorID>f869f77b-abe8-4fcb-98f7-df6508b2e20e</errorID>
      <errorWord>噪音</errorWord>
      <group>L1_Word</group>
      <groupName>字词问题</groupName>
      <ability>L2_Alias</ability>
      <abilityName>也作/曾用词</abilityName>
      <candidateList>
        <item>噪声</item>
      </candidateList>
      <explain>词汇[噪音]为不规范表述或旧称，其规范书面表述为[噪声]。</explain>
      <paraID>3ECC76CD</paraID>
      <start>69</start>
      <end>71</end>
      <status>unmodified</status>
      <modifiedWord/>
      <trackRevisions>false</trackRevisions>
    </reviewItem>
    <reviewItem>
      <errorID>ef4abfa4-08a9-4e81-982b-3eafcec8a018</errorID>
      <errorWord>天</errorWord>
      <group>L1_Word</group>
      <groupName>字词问题</groupName>
      <ability>L2_Typo</ability>
      <abilityName>字词错误</abilityName>
      <candidateList>
        <item>天内</item>
      </candidateList>
      <explain/>
      <paraID>25363551</paraID>
      <start>81</start>
      <end>82</end>
      <status>unmodified</status>
      <modifiedWord/>
      <trackRevisions>false</trackRevisions>
    </reviewItem>
    <reviewItem>
      <errorID>b23883ac-b92e-4e8d-abcb-5fa1039e8794</errorID>
      <errorWord>任何的</errorWord>
      <group>L1_Word</group>
      <groupName>字词问题</groupName>
      <ability>L2_Typo</ability>
      <abilityName>字词错误</abilityName>
      <candidateList>
        <item>任何</item>
      </candidateList>
      <explain>〈代〉指示代词。不论什么：～人都要遵纪守法｜我们能够战胜～困难。</explain>
      <paraID>2899541A</paraID>
      <start>65</start>
      <end>68</end>
      <status>unmodified</status>
      <modifiedWord/>
      <trackRevisions>false</trackRevisions>
    </reviewItem>
    <reviewItem>
      <errorID>81372a92-76e4-4810-94a6-735ea7845e61</errorID>
      <errorWord>运入</errorWord>
      <group>L1_Word</group>
      <groupName>字词问题</groupName>
      <ability>L2_Typo</ability>
      <abilityName>字词错误</abilityName>
      <candidateList>
        <item>进入</item>
      </candidateList>
      <explain>〈动〉支进到某个范围或某个时期里：～学校｜～新阶段◇～角色。</explain>
      <paraID>77DA82D6</paraID>
      <start>3</start>
      <end>5</end>
      <status>unmodified</status>
      <modifiedWord/>
      <trackRevisions>false</trackRevisions>
    </reviewItem>
    <reviewItem>
      <errorID>f490c6ed-9543-4cf6-8576-ff86db4d38d7</errorID>
      <errorWord>款</errorWord>
      <group>L1_Word</group>
      <groupName>字词问题</groupName>
      <ability>L2_Typo</ability>
      <abilityName>字词错误</abilityName>
      <candidateList>
        <item>款中</item>
      </candidateList>
      <explain/>
      <paraID>2F69BC0B</paraID>
      <start>62</start>
      <end>63</end>
      <status>unmodified</status>
      <modifiedWord/>
      <trackRevisions>false</trackRevisions>
    </reviewItem>
    <reviewItem>
      <errorID>bf08abc6-63a8-4ae0-ad31-218bee71b716</errorID>
      <errorWord>款</errorWord>
      <group>L1_Word</group>
      <groupName>字词问题</groupName>
      <ability>L2_Typo</ability>
      <abilityName>字词错误</abilityName>
      <candidateList>
        <item>款中</item>
      </candidateList>
      <explain/>
      <paraID>6B976293</paraID>
      <start>39</start>
      <end>40</end>
      <status>unmodified</status>
      <modifiedWord/>
      <trackRevisions>false</trackRevisions>
    </reviewItem>
    <reviewItem>
      <errorID>21db0d3e-a63c-49b0-8f6b-9d6774112c3b</errorID>
      <errorWord>限</errorWord>
      <group>L1_Word</group>
      <groupName>字词问题</groupName>
      <ability>L2_Typo</ability>
      <abilityName>字词错误</abilityName>
      <candidateList>
        <item>限内</item>
      </candidateList>
      <explain/>
      <paraID>37AD03DC</paraID>
      <start>24</start>
      <end>25</end>
      <status>unmodified</status>
      <modifiedWord/>
      <trackRevisions>false</trackRevisions>
    </reviewItem>
    <reviewItem>
      <errorID>25b9a7b5-0b17-4f09-b1a1-b4724e4c8825</errorID>
      <errorWord>款</errorWord>
      <group>L1_Word</group>
      <groupName>字词问题</groupName>
      <ability>L2_Typo</ability>
      <abilityName>字词错误</abilityName>
      <candidateList>
        <item>款中</item>
      </candidateList>
      <explain/>
      <paraID> 1379C47</paraID>
      <start>181</start>
      <end>182</end>
      <status>unmodified</status>
      <modifiedWord/>
      <trackRevisions>false</trackRevisions>
    </reviewItem>
    <reviewItem>
      <errorID>fc7e420c-6fe1-495d-862f-32454d178141</errorID>
      <errorWord>（</errorWord>
      <group>L1_Format</group>
      <groupName>格式问题</groupName>
      <ability>L2_HalfPunc</ability>
      <abilityName>全半角检查</abilityName>
      <candidateList>
        <item>(</item>
      </candidateList>
      <explain>文本全半角错误。</explain>
      <paraID>798F553D</paraID>
      <start>0</start>
      <end>1</end>
      <status>unmodified</status>
      <modifiedWord/>
      <trackRevisions>false</trackRevisions>
    </reviewItem>
    <reviewItem>
      <errorID>29cd629c-c621-452c-b1bb-305db83589cf</errorID>
      <errorWord>）</errorWord>
      <group>L1_Format</group>
      <groupName>格式问题</groupName>
      <ability>L2_HalfPunc</ability>
      <abilityName>全半角检查</abilityName>
      <candidateList>
        <item>)</item>
      </candidateList>
      <explain>文本全半角错误。</explain>
      <paraID>798F553D</paraID>
      <start>2</start>
      <end>3</end>
      <status>unmodified</status>
      <modifiedWord/>
      <trackRevisions>false</trackRevisions>
    </reviewItem>
    <reviewItem>
      <errorID>de6fa624-b78f-4e05-9092-cea6c3b167c9</errorID>
      <errorWord>；</errorWord>
      <group>L1_Format</group>
      <groupName>格式问题</groupName>
      <ability>L2_HalfPunc</ability>
      <abilityName>全半角检查</abilityName>
      <candidateList>
        <item>;</item>
      </candidateList>
      <explain>文本全半角错误。</explain>
      <paraID>798F553D</paraID>
      <start>38</start>
      <end>39</end>
      <status>unmodified</status>
      <modifiedWord/>
      <trackRevisions>false</trackRevisions>
    </reviewItem>
    <reviewItem>
      <errorID>a9990ae4-e2c0-4187-8f53-6a72b7bcd668</errorID>
      <errorWord>（</errorWord>
      <group>L1_Format</group>
      <groupName>格式问题</groupName>
      <ability>L2_HalfPunc</ability>
      <abilityName>全半角检查</abilityName>
      <candidateList>
        <item>(</item>
      </candidateList>
      <explain>文本全半角错误。</explain>
      <paraID>46717292</paraID>
      <start>0</start>
      <end>1</end>
      <status>unmodified</status>
      <modifiedWord/>
      <trackRevisions>false</trackRevisions>
    </reviewItem>
    <reviewItem>
      <errorID>1d6e939b-b863-4397-bd07-f8a5f78d0dff</errorID>
      <errorWord>）</errorWord>
      <group>L1_Format</group>
      <groupName>格式问题</groupName>
      <ability>L2_HalfPunc</ability>
      <abilityName>全半角检查</abilityName>
      <candidateList>
        <item>)</item>
      </candidateList>
      <explain>文本全半角错误。</explain>
      <paraID>46717292</paraID>
      <start>2</start>
      <end>3</end>
      <status>unmodified</status>
      <modifiedWord/>
      <trackRevisions>false</trackRevisions>
    </reviewItem>
    <reviewItem>
      <errorID>5d1e3832-4bbe-4c3e-a84e-2b91ff9b100e</errorID>
      <errorWord>；</errorWord>
      <group>L1_Format</group>
      <groupName>格式问题</groupName>
      <ability>L2_HalfPunc</ability>
      <abilityName>全半角检查</abilityName>
      <candidateList>
        <item>;</item>
      </candidateList>
      <explain>文本全半角错误。</explain>
      <paraID>46717292</paraID>
      <start>38</start>
      <end>39</end>
      <status>unmodified</status>
      <modifiedWord/>
      <trackRevisions>false</trackRevisions>
    </reviewItem>
    <reviewItem>
      <errorID>3d4e92a8-3f0f-4e86-bdeb-7029449b27dc</errorID>
      <errorWord>（</errorWord>
      <group>L1_Format</group>
      <groupName>格式问题</groupName>
      <ability>L2_HalfPunc</ability>
      <abilityName>全半角检查</abilityName>
      <candidateList>
        <item>(</item>
      </candidateList>
      <explain>文本全半角错误。</explain>
      <paraID>34F552D4</paraID>
      <start>0</start>
      <end>1</end>
      <status>unmodified</status>
      <modifiedWord/>
      <trackRevisions>false</trackRevisions>
    </reviewItem>
    <reviewItem>
      <errorID>203d413c-1585-46cb-861f-a71c7da70b9c</errorID>
      <errorWord>）</errorWord>
      <group>L1_Format</group>
      <groupName>格式问题</groupName>
      <ability>L2_HalfPunc</ability>
      <abilityName>全半角检查</abilityName>
      <candidateList>
        <item>)</item>
      </candidateList>
      <explain>文本全半角错误。</explain>
      <paraID>34F552D4</paraID>
      <start>2</start>
      <end>3</end>
      <status>unmodified</status>
      <modifiedWord/>
      <trackRevisions>false</trackRevisions>
    </reviewItem>
    <reviewItem>
      <errorID>cbb07242-1751-4159-965a-8d56ae92424d</errorID>
      <errorWord>。</errorWord>
      <group>L1_Format</group>
      <groupName>格式问题</groupName>
      <ability>L2_HalfPunc</ability>
      <abilityName>全半角检查</abilityName>
      <candidateList>
        <item>.</item>
      </candidateList>
      <explain>文本全半角错误。</explain>
      <paraID>34F552D4</paraID>
      <start>38</start>
      <end>39</end>
      <status>unmodified</status>
      <modifiedWord/>
      <trackRevisions>false</trackRevisions>
    </reviewItem>
    <reviewItem>
      <errorID>743006cb-5ba8-4b22-a711-6725c8a2850c</errorID>
      <errorWord>（</errorWord>
      <group>L1_Format</group>
      <groupName>格式问题</groupName>
      <ability>L2_HalfPunc</ability>
      <abilityName>全半角检查</abilityName>
      <candidateList>
        <item>(</item>
      </candidateList>
      <explain>文本全半角错误。</explain>
      <paraID>351FCAB3</paraID>
      <start>0</start>
      <end>1</end>
      <status>unmodified</status>
      <modifiedWord/>
      <trackRevisions>false</trackRevisions>
    </reviewItem>
    <reviewItem>
      <errorID>45c2200d-56d3-4ef4-9e87-01bf5d4aa6b5</errorID>
      <errorWord>）</errorWord>
      <group>L1_Format</group>
      <groupName>格式问题</groupName>
      <ability>L2_HalfPunc</ability>
      <abilityName>全半角检查</abilityName>
      <candidateList>
        <item>)</item>
      </candidateList>
      <explain>文本全半角错误。</explain>
      <paraID>351FCAB3</paraID>
      <start>2</start>
      <end>3</end>
      <status>unmodified</status>
      <modifiedWord/>
      <trackRevisions>false</trackRevisions>
    </reviewItem>
    <reviewItem>
      <errorID>f5b9fad3-1ed3-4ebe-9737-6e11330d0d1e</errorID>
      <errorWord>；</errorWord>
      <group>L1_Format</group>
      <groupName>格式问题</groupName>
      <ability>L2_HalfPunc</ability>
      <abilityName>全半角检查</abilityName>
      <candidateList>
        <item>;</item>
      </candidateList>
      <explain>文本全半角错误。</explain>
      <paraID>351FCAB3</paraID>
      <start>46</start>
      <end>47</end>
      <status>unmodified</status>
      <modifiedWord/>
      <trackRevisions>false</trackRevisions>
    </reviewItem>
    <reviewItem>
      <errorID>0415ecdc-3f79-46c6-8309-b8f759cccfb9</errorID>
      <errorWord>（</errorWord>
      <group>L1_Format</group>
      <groupName>格式问题</groupName>
      <ability>L2_HalfPunc</ability>
      <abilityName>全半角检查</abilityName>
      <candidateList>
        <item>(</item>
      </candidateList>
      <explain>文本全半角错误。</explain>
      <paraID>764C2DAD</paraID>
      <start>0</start>
      <end>1</end>
      <status>unmodified</status>
      <modifiedWord/>
      <trackRevisions>false</trackRevisions>
    </reviewItem>
    <reviewItem>
      <errorID>8ed6c933-61bc-4d55-aca0-1165be4327fc</errorID>
      <errorWord>）</errorWord>
      <group>L1_Format</group>
      <groupName>格式问题</groupName>
      <ability>L2_HalfPunc</ability>
      <abilityName>全半角检查</abilityName>
      <candidateList>
        <item>)</item>
      </candidateList>
      <explain>文本全半角错误。</explain>
      <paraID>764C2DAD</paraID>
      <start>2</start>
      <end>3</end>
      <status>unmodified</status>
      <modifiedWord/>
      <trackRevisions>false</trackRevisions>
    </reviewItem>
    <reviewItem>
      <errorID>4aba8d9b-ffa8-4345-bae8-f7178f8461a4</errorID>
      <errorWord>；</errorWord>
      <group>L1_Format</group>
      <groupName>格式问题</groupName>
      <ability>L2_HalfPunc</ability>
      <abilityName>全半角检查</abilityName>
      <candidateList>
        <item>;</item>
      </candidateList>
      <explain>文本全半角错误。</explain>
      <paraID>764C2DAD</paraID>
      <start>46</start>
      <end>47</end>
      <status>unmodified</status>
      <modifiedWord/>
      <trackRevisions>false</trackRevisions>
    </reviewItem>
    <reviewItem>
      <errorID>6ac24115-b608-431e-8586-b757deb55afd</errorID>
      <errorWord>（</errorWord>
      <group>L1_Format</group>
      <groupName>格式问题</groupName>
      <ability>L2_HalfPunc</ability>
      <abilityName>全半角检查</abilityName>
      <candidateList>
        <item>(</item>
      </candidateList>
      <explain>文本全半角错误。</explain>
      <paraID> 2223F7F</paraID>
      <start>0</start>
      <end>1</end>
      <status>unmodified</status>
      <modifiedWord/>
      <trackRevisions>false</trackRevisions>
    </reviewItem>
    <reviewItem>
      <errorID>7e8764f7-2538-442d-af44-d5703845205f</errorID>
      <errorWord>）</errorWord>
      <group>L1_Format</group>
      <groupName>格式问题</groupName>
      <ability>L2_HalfPunc</ability>
      <abilityName>全半角检查</abilityName>
      <candidateList>
        <item>)</item>
      </candidateList>
      <explain>文本全半角错误。</explain>
      <paraID> 2223F7F</paraID>
      <start>2</start>
      <end>3</end>
      <status>unmodified</status>
      <modifiedWord/>
      <trackRevisions>false</trackRevisions>
    </reviewItem>
    <reviewItem>
      <errorID>13f6b774-bb88-48c7-8fc0-61e6cc615041</errorID>
      <errorWord>。</errorWord>
      <group>L1_Format</group>
      <groupName>格式问题</groupName>
      <ability>L2_HalfPunc</ability>
      <abilityName>全半角检查</abilityName>
      <candidateList>
        <item>.</item>
      </candidateList>
      <explain>文本全半角错误。</explain>
      <paraID> 2223F7F</paraID>
      <start>46</start>
      <end>47</end>
      <status>unmodified</status>
      <modifiedWord/>
      <trackRevisions>false</trackRevisions>
    </reviewItem>
    <reviewItem>
      <errorID>8c9fb734-ae97-48d9-b3d0-1ead22303352</errorID>
      <errorWord>变更的</errorWord>
      <group>L1_Word</group>
      <groupName>字词问题</groupName>
      <ability>L2_Typo</ability>
      <abilityName>字词错误</abilityName>
      <candidateList>
        <item>变更</item>
      </candidateList>
      <explain>〈动〉改变；变动：～原定赛程｜修订版的内容有些～。</explain>
      <paraID>690DDDF3</paraID>
      <start>2</start>
      <end>5</end>
      <status>unmodified</status>
      <modifiedWord/>
      <trackRevisions>false</trackRevisions>
    </reviewItem>
    <reviewItem>
      <errorID>d83d4bfa-4d61-4ecd-b5e9-c2a2ac438c50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14FE323A</paraID>
      <start>0</start>
      <end>2</end>
      <status>unmodified</status>
      <modifiedWord/>
      <trackRevisions>false</trackRevisions>
    </reviewItem>
    <reviewItem>
      <errorID>8ec7be73-fab6-4f8a-9205-8ee1c4be8129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6017F8BF</paraID>
      <start>0</start>
      <end>2</end>
      <status>unmodified</status>
      <modifiedWord/>
      <trackRevisions>false</trackRevisions>
    </reviewItem>
    <reviewItem>
      <errorID>0725641c-be08-4dd3-b732-32445ef03663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16D546F3</paraID>
      <start>0</start>
      <end>2</end>
      <status>unmodified</status>
      <modifiedWord/>
      <trackRevisions>false</trackRevisions>
    </reviewItem>
    <reviewItem>
      <errorID>1ea90a3f-6c45-45d0-a92c-e67936e82de7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2A4592E1</paraID>
      <start>0</start>
      <end>2</end>
      <status>unmodified</status>
      <modifiedWord/>
      <trackRevisions>false</trackRevisions>
    </reviewItem>
    <reviewItem>
      <errorID>1310df29-1db8-4bbe-9802-fad4dbb5ae41</errorID>
      <errorWord>。</errorWord>
      <group>L1_Punc</group>
      <groupName>标点问题</groupName>
      <ability>L2_Punc</ability>
      <abilityName>标点符号检查</abilityName>
      <candidateList/>
      <explain/>
      <paraID>3248A25D</paraID>
      <start>73</start>
      <end>74</end>
      <status>unmodified</status>
      <modifiedWord/>
      <trackRevisions>false</trackRevisions>
    </reviewItem>
    <reviewItem>
      <errorID>cb8303bf-4f24-4e05-a6cf-85ffce0e2336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4AF72BC9</paraID>
      <start>0</start>
      <end>2</end>
      <status>unmodified</status>
      <modifiedWord/>
      <trackRevisions>false</trackRevisions>
    </reviewItem>
    <reviewItem>
      <errorID>33bbc39b-0064-44ae-ad6d-4ec613e5300a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519F2EE3</paraID>
      <start>0</start>
      <end>2</end>
      <status>unmodified</status>
      <modifiedWord/>
      <trackRevisions>false</trackRevisions>
    </reviewItem>
    <reviewItem>
      <errorID>1d2a67c7-0940-458a-be21-687bd1df2c27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1152FFA</paraID>
      <start>0</start>
      <end>2</end>
      <status>unmodified</status>
      <modifiedWord/>
      <trackRevisions>false</trackRevisions>
    </reviewItem>
    <reviewItem>
      <errorID>0b72ae6c-7ff2-41f6-b342-be9e65330771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1934AF86</paraID>
      <start>0</start>
      <end>2</end>
      <status>unmodified</status>
      <modifiedWord/>
      <trackRevisions>false</trackRevisions>
    </reviewItem>
    <reviewItem>
      <errorID>4ddc3f88-4b9b-4366-9f10-d3f9fb937117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7AE4CBEC</paraID>
      <start>0</start>
      <end>2</end>
      <status>unmodified</status>
      <modifiedWord/>
      <trackRevisions>false</trackRevisions>
    </reviewItem>
    <reviewItem>
      <errorID>cb0304c5-26c6-4056-bf83-71164f487667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CAF72E8</paraID>
      <start>0</start>
      <end>2</end>
      <status>unmodified</status>
      <modifiedWord/>
      <trackRevisions>false</trackRevisions>
    </reviewItem>
    <reviewItem>
      <errorID>7427bb43-eb07-46a5-b14d-5ba28e496782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71AD8CA5</paraID>
      <start>0</start>
      <end>2</end>
      <status>unmodified</status>
      <modifiedWord/>
      <trackRevisions>false</trackRevisions>
    </reviewItem>
    <reviewItem>
      <errorID>34e07527-11ef-4dd3-8506-75c142e8c8ce</errorID>
      <errorWord>。</errorWord>
      <group>L1_Punc</group>
      <groupName>标点问题</groupName>
      <ability>L2_Punc</ability>
      <abilityName>标点符号检查</abilityName>
      <candidateList/>
      <explain/>
      <paraID>2E4B4659</paraID>
      <start>73</start>
      <end>74</end>
      <status>unmodified</status>
      <modifiedWord/>
      <trackRevisions>false</trackRevisions>
    </reviewItem>
    <reviewItem>
      <errorID>9145ae65-123e-4975-8eb0-955e482d323c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1B1E5B75</paraID>
      <start>0</start>
      <end>2</end>
      <status>unmodified</status>
      <modifiedWord/>
      <trackRevisions>false</trackRevisions>
    </reviewItem>
    <reviewItem>
      <errorID>c36b50c7-5fd3-4d6b-b14f-fe78d0b74426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48045E2F</paraID>
      <start>0</start>
      <end>2</end>
      <status>unmodified</status>
      <modifiedWord/>
      <trackRevisions>false</trackRevisions>
    </reviewItem>
    <reviewItem>
      <errorID>636e6366-70dc-47e9-ab2e-f5b41e5ccb12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2427CC29</paraID>
      <start>0</start>
      <end>2</end>
      <status>unmodified</status>
      <modifiedWord/>
      <trackRevisions>false</trackRevisions>
    </reviewItem>
    <reviewItem>
      <errorID>7fcb9be2-80a3-43d0-89ff-d8323b637b72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1205255C</paraID>
      <start>0</start>
      <end>2</end>
      <status>unmodified</status>
      <modifiedWord/>
      <trackRevisions>false</trackRevisions>
    </reviewItem>
    <reviewItem>
      <errorID>87f2d461-769a-4b37-838c-8d3f09bf7a70</errorID>
      <errorWord>下</errorWord>
      <group>L1_Word</group>
      <groupName>字词问题</groupName>
      <ability>L2_Typo</ability>
      <abilityName>字词错误</abilityName>
      <candidateList>
        <item>下简</item>
      </candidateList>
      <explain/>
      <paraID>6ADFB905</paraID>
      <start>37</start>
      <end>38</end>
      <status>unmodified</status>
      <modifiedWord/>
      <trackRevisions>false</trackRevisions>
    </reviewItem>
    <reviewItem>
      <errorID>99318856-9d66-48c7-99da-c35d8c8a0f06</errorID>
      <errorWord>，</errorWord>
      <group>L1_Word</group>
      <groupName>字词问题</groupName>
      <ability>L2_Typo</ability>
      <abilityName>字词错误</abilityName>
      <candidateList>
        <item>，并</item>
      </candidateList>
      <explain/>
      <paraID>6ADFB905</paraID>
      <start>145</start>
      <end>146</end>
      <status>unmodified</status>
      <modifiedWord/>
      <trackRevisions>false</trackRevisions>
    </reviewItem>
    <reviewItem>
      <errorID>d54f5356-a4f2-4e1b-985a-aa93acd9fa6c</errorID>
      <errorWord>下</errorWord>
      <group>L1_Word</group>
      <groupName>字词问题</groupName>
      <ability>L2_Typo</ability>
      <abilityName>字词错误</abilityName>
      <candidateList>
        <item>下简</item>
      </candidateList>
      <explain/>
      <paraID>5FC4E85D</paraID>
      <start>28</start>
      <end>29</end>
      <status>unmodified</status>
      <modifiedWord/>
      <trackRevisions>false</trackRevisions>
    </reviewItem>
    <reviewItem>
      <errorID>604a4370-dcf8-442c-891b-a75079f454ab</errorID>
      <errorWord>７</errorWord>
      <group>L1_Format</group>
      <groupName>格式问题</groupName>
      <ability>L2_HalfPunc</ability>
      <abilityName>全半角检查</abilityName>
      <candidateList>
        <item>7</item>
      </candidateList>
      <explain>文本全半角错误。</explain>
      <paraID>25FEFC8C</paraID>
      <start>50</start>
      <end>51</end>
      <status>unmodified</status>
      <modifiedWord/>
      <trackRevisions>false</trackRevisions>
    </reviewItem>
    <reviewItem>
      <errorID>e5e780d1-ed4b-4fa8-aed2-f1a78a00e7d7</errorID>
      <errorWord>下</errorWord>
      <group>L1_Word</group>
      <groupName>字词问题</groupName>
      <ability>L2_Typo</ability>
      <abilityName>字词错误</abilityName>
      <candidateList>
        <item>下简</item>
      </candidateList>
      <explain/>
      <paraID>161E9219</paraID>
      <start>67</start>
      <end>68</end>
      <status>unmodified</status>
      <modifiedWord/>
      <trackRevisions>false</trackRevisions>
    </reviewItem>
    <reviewItem>
      <errorID>f8bb78c1-d0e2-4abf-86a2-cfbd7449f909</errorID>
      <errorWord>７</errorWord>
      <group>L1_Format</group>
      <groupName>格式问题</groupName>
      <ability>L2_HalfPunc</ability>
      <abilityName>全半角检查</abilityName>
      <candidateList>
        <item>7</item>
      </candidateList>
      <explain>文本全半角错误。</explain>
      <paraID>623ABED6</paraID>
      <start>25</start>
      <end>26</end>
      <status>unmodified</status>
      <modifiedWord/>
      <trackRevisions>false</trackRevisions>
    </reviewItem>
    <reviewItem>
      <errorID>f4978f5e-0b75-4cfa-a9bc-514fcac9147b</errorID>
      <errorWord>：</errorWord>
      <group>L1_Format</group>
      <groupName>格式问题</groupName>
      <ability>L2_HalfPunc</ability>
      <abilityName>全半角检查</abilityName>
      <candidateList>
        <item>:</item>
      </candidateList>
      <explain>文本全半角错误。</explain>
      <paraID>3119EC9B</paraID>
      <start>5</start>
      <end>6</end>
      <status>unmodified</status>
      <modifiedWord/>
      <trackRevisions>false</trackRevisions>
    </reviewItem>
    <reviewItem>
      <errorID>deb93362-285d-433d-85f5-96e434558e7d</errorID>
      <errorWord>合价</errorWord>
      <group>L1_Word</group>
      <groupName>字词问题</groupName>
      <ability>L2_Typo</ability>
      <abilityName>字词错误</abilityName>
      <candidateList>
        <item>合计</item>
      </candidateList>
      <explain/>
      <paraID>2D7E3CC3</paraID>
      <start>0</start>
      <end>2</end>
      <status>unmodified</status>
      <modifiedWord/>
      <trackRevisions>false</trackRevisions>
    </reviewItem>
    <reviewItem>
      <errorID>11391114-94ac-4427-bb3c-a6e16b20ebf5</errorID>
      <errorWord>合价</errorWord>
      <group>L1_Word</group>
      <groupName>字词问题</groupName>
      <ability>L2_Typo</ability>
      <abilityName>字词错误</abilityName>
      <candidateList>
        <item>合计</item>
      </candidateList>
      <explain/>
      <paraID>7C585566</paraID>
      <start>0</start>
      <end>2</end>
      <status>unmodified</status>
      <modifiedWord/>
      <trackRevisions>false</trackRevisions>
    </reviewItem>
    <reviewItem>
      <errorID>35ba6c3e-27bb-4c7e-9f52-84db8465adb8</errorID>
      <errorWord>墨江县</errorWord>
      <group>L1_Knowledge</group>
      <groupName>知识性问题</groupName>
      <ability>L2_Location</ability>
      <abilityName>地名检查</abilityName>
      <candidateList>
        <item>墨江哈尼族自治县</item>
      </candidateList>
      <explain>自治区州县缩写不规范。《地名管理条例》第十八条规定，标识牌、公共平台发布的信息、各类公文证件、学习类公开出版物、地图、法律法规规定等场景范围内必须使用标准地名。</explain>
      <paraID>1E99DE80</paraID>
      <start>7</start>
      <end>10</end>
      <status>unmodified</status>
      <modifiedWord/>
      <trackRevisions>false</trackRevisions>
    </reviewItem>
    <reviewItem>
      <errorID>8cdd76bb-a146-4bcc-b171-c18ec31a1eb4</errorID>
      <errorWord>函管</errorWord>
      <group>L1_Word</group>
      <groupName>字词问题</groupName>
      <ability>L2_Typo</ability>
      <abilityName>字词错误</abilityName>
      <candidateList>
        <item>涵管</item>
      </candidateList>
      <explain/>
      <paraID>13F6C82C</paraID>
      <start>27</start>
      <end>29</end>
      <status>unmodified</status>
      <modifiedWord/>
      <trackRevisions>false</trackRevisions>
    </reviewItem>
    <reviewItem>
      <errorID>81f80f9e-cb71-4a98-81dd-f1e85e31bdc6</errorID>
      <errorWord>墨江县</errorWord>
      <group>L1_Knowledge</group>
      <groupName>知识性问题</groupName>
      <ability>L2_Location</ability>
      <abilityName>地名检查</abilityName>
      <candidateList>
        <item>墨江哈尼族自治县</item>
      </candidateList>
      <explain>自治区州县缩写不规范。《地名管理条例》第十八条规定，标识牌、公共平台发布的信息、各类公文证件、学习类公开出版物、地图、法律法规规定等场景范围内必须使用标准地名。</explain>
      <paraID>4D646363</paraID>
      <start>7</start>
      <end>10</end>
      <status>unmodified</status>
      <modifiedWord/>
      <trackRevisions>false</trackRevisions>
    </reviewItem>
    <reviewItem>
      <errorID>e91ee8d0-3161-478d-8367-c6792dd1ebb9</errorID>
      <errorWord>:</errorWord>
      <group>L1_Format</group>
      <groupName>格式问题</groupName>
      <ability>L2_HalfPunc</ability>
      <abilityName>全半角检查</abilityName>
      <candidateList>
        <item>：</item>
      </candidateList>
      <explain>文本全半角错误。</explain>
      <paraID>309AE467</paraID>
      <start>6</start>
      <end>7</end>
      <status>unmodified</status>
      <modifiedWord/>
      <trackRevisions>false</trackRevisions>
    </reviewItem>
    <reviewItem>
      <errorID>346ec64c-d0d3-4f6b-ac6e-f74e5ffd75eb</errorID>
      <errorWord>墨江县</errorWord>
      <group>L1_Knowledge</group>
      <groupName>知识性问题</groupName>
      <ability>L2_Location</ability>
      <abilityName>地名检查</abilityName>
      <candidateList>
        <item>墨江哈尼族自治县</item>
      </candidateList>
      <explain>自治区州县缩写不规范。《地名管理条例》第十八条规定，标识牌、公共平台发布的信息、各类公文证件、学习类公开出版物、地图、法律法规规定等场景范围内必须使用标准地名。</explain>
      <paraID>4E54714E</paraID>
      <start>0</start>
      <end>3</end>
      <status>unmodified</status>
      <modifiedWord/>
      <trackRevisions>false</trackRevisions>
    </reviewItem>
    <reviewItem>
      <errorID>e46a5fc4-bf0b-4ffc-b58c-eafc6b73e9e5</errorID>
      <errorWord>:</errorWord>
      <group>L1_Format</group>
      <groupName>格式问题</groupName>
      <ability>L2_HalfPunc</ability>
      <abilityName>全半角检查</abilityName>
      <candidateList>
        <item>：</item>
      </candidateList>
      <explain>文本全半角错误。</explain>
      <paraID>19FBF13C</paraID>
      <start>9</start>
      <end>10</end>
      <status>unmodified</status>
      <modifiedWord/>
      <trackRevisions>false</trackRevisions>
    </reviewItem>
    <reviewItem>
      <errorID>403e342d-a22b-400b-bb83-ebe5f9312b83</errorID>
      <errorWord>:</errorWord>
      <group>L1_Format</group>
      <groupName>格式问题</groupName>
      <ability>L2_HalfPunc</ability>
      <abilityName>全半角检查</abilityName>
      <candidateList>
        <item>：</item>
      </candidateList>
      <explain>文本全半角错误。</explain>
      <paraID>4AE20564</paraID>
      <start>18</start>
      <end>19</end>
      <status>unmodified</status>
      <modifiedWord/>
      <trackRevisions>false</trackRevisions>
    </reviewItem>
    <reviewItem>
      <errorID>d13580cd-5b2b-49c4-9418-5811baa8013a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74CF85F7</paraID>
      <start>31</start>
      <end>33</end>
      <status>unmodified</status>
      <modifiedWord/>
      <trackRevisions>false</trackRevisions>
    </reviewItem>
    <reviewItem>
      <errorID>767ce220-b027-4167-a194-b2f5c5279feb</errorID>
      <errorWord>《政府采购法》</errorWord>
      <group>L1_Word</group>
      <groupName>字词问题</groupName>
      <ability>L2_Typo</ability>
      <abilityName>字词错误</abilityName>
      <candidateList>
        <item>《中华人民共和国政府采购法》</item>
      </candidateList>
      <explain/>
      <paraID>14E94972</paraID>
      <start>14</start>
      <end>21</end>
      <status>unmodified</status>
      <modifiedWord/>
      <trackRevisions>false</trackRevisions>
    </reviewItem>
    <reviewItem>
      <errorID>4e8ed219-ec39-418e-82f7-9e994015ddc9</errorID>
      <errorWord>（</errorWord>
      <group>L1_Punc</group>
      <groupName>标点问题</groupName>
      <ability>L2_Punc</ability>
      <abilityName>标点符号检查</abilityName>
      <candidateList/>
      <explain>同一形式括号套用。</explain>
      <paraID>3EEFF78D</paraID>
      <start>46</start>
      <end>47</end>
      <status>unmodified</status>
      <modifiedWord/>
      <trackRevisions>false</trackRevisions>
    </reviewItem>
    <reviewItem>
      <errorID>31ac72f7-b5aa-4705-a0a8-7aad5ef95e04</errorID>
      <errorWord>）</errorWord>
      <group>L1_Punc</group>
      <groupName>标点问题</groupName>
      <ability>L2_Punc</ability>
      <abilityName>标点符号检查</abilityName>
      <candidateList/>
      <explain>同一形式括号套用。</explain>
      <paraID>3EEFF78D</paraID>
      <start>59</start>
      <end>60</end>
      <status>unmodified</status>
      <modifiedWord/>
      <trackRevisions>false</trackRevisions>
    </reviewItem>
    <reviewItem>
      <errorID>e5aa961b-7268-41e8-902d-394337bbf61c</errorID>
      <errorWord>〔2017〕 141号</errorWord>
      <group>L1_Knowledge</group>
      <groupName>知识性问题</groupName>
      <ability>L2_Knowledge</ability>
      <abilityName>其他知识</abilityName>
      <candidateList>
        <item>〔2017〕141号</item>
      </candidateList>
      <explain>发文字号格式错误。</explain>
      <paraID>67086953</paraID>
      <start>49</start>
      <end>60</end>
      <status>unmodified</status>
      <modifiedWord/>
      <trackRevisions>false</trackRevisions>
    </reviewItem>
    <reviewItem>
      <errorID>fe9cc8c2-3f6d-46b4-8c29-9a85198bf125</errorID>
      <errorWord>（</errorWord>
      <group>L1_Punc</group>
      <groupName>标点问题</groupName>
      <ability>L2_Punc</ability>
      <abilityName>标点符号检查</abilityName>
      <candidateList/>
      <explain>同一形式括号套用。</explain>
      <paraID>1E31A041</paraID>
      <start>48</start>
      <end>49</end>
      <status>unmodified</status>
      <modifiedWord/>
      <trackRevisions>false</trackRevisions>
    </reviewItem>
    <reviewItem>
      <errorID>ba47709b-3fc3-49c0-b480-02d56d902cfc</errorID>
      <errorWord>[2014]68号</errorWord>
      <group>L1_Knowledge</group>
      <groupName>知识性问题</groupName>
      <ability>L2_Knowledge</ability>
      <abilityName>其他知识</abilityName>
      <candidateList>
        <item>〔2014〕68号</item>
      </candidateList>
      <explain>发文字号格式错误。</explain>
      <paraID>1E31A041</paraID>
      <start>51</start>
      <end>60</end>
      <status>unmodified</status>
      <modifiedWord/>
      <trackRevisions>false</trackRevisions>
    </reviewItem>
    <reviewItem>
      <errorID>123506b9-d07b-4a2b-87a4-10e5cfbeea82</errorID>
      <errorWord>）</errorWord>
      <group>L1_Punc</group>
      <groupName>标点问题</groupName>
      <ability>L2_Punc</ability>
      <abilityName>标点符号检查</abilityName>
      <candidateList/>
      <explain>同一形式括号套用。</explain>
      <paraID>1E31A041</paraID>
      <start>60</start>
      <end>61</end>
      <status>unmodified</status>
      <modifiedWord/>
      <trackRevisions>false</trackRevisions>
    </reviewItem>
    <reviewItem>
      <errorID>d9dac6a4-bc21-4898-8b3c-c2ecbce1c0ce</errorID>
      <errorWord>[2014]68号</errorWord>
      <group>L1_Knowledge</group>
      <groupName>知识性问题</groupName>
      <ability>L2_Knowledge</ability>
      <abilityName>其他知识</abilityName>
      <candidateList>
        <item>〔2014〕68号</item>
      </candidateList>
      <explain>发文字号格式错误。</explain>
      <paraID>62B2D212</paraID>
      <start>58</start>
      <end>67</end>
      <status>unmodified</status>
      <modifiedWord/>
      <trackRevisions>false</trackRevisions>
    </reviewItem>
    <reviewItem>
      <errorID>81c862a3-986c-4477-a1c7-752e547f9ea5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7C1EC941</paraID>
      <start>0</start>
      <end>2</end>
      <status>unmodified</status>
      <modifiedWord/>
      <trackRevisions>false</trackRevisions>
    </reviewItem>
    <reviewItem>
      <errorID>7a126e0e-3f2c-4583-b475-e15e17997450</errorID>
      <errorWord>..</errorWord>
      <group>L1_Punc</group>
      <groupName>标点问题</groupName>
      <ability>L2_Punc</ability>
      <abilityName>标点符号检查</abilityName>
      <candidateList>
        <item>.</item>
      </candidateList>
      <explain/>
      <paraID>6194F34E</paraID>
      <start>0</start>
      <end>2</end>
      <status>unmodified</status>
      <modifiedWord/>
      <trackRevisions>false</trackRevisions>
    </reviewItem>
    <reviewItem>
      <errorID>674d7ed2-8c32-449f-a918-617a28218003</errorID>
      <errorWord>..</errorWord>
      <group>L1_Punc</group>
      <groupName>标点问题</groupName>
      <ability>L2_Punc</ability>
      <abilityName>标点符号检查</abilityName>
      <candidateList>
        <item>.</item>
      </candidateList>
      <explain/>
      <paraID>5B841171</paraID>
      <start>0</start>
      <end>2</end>
      <status>unmodified</status>
      <modifiedWord/>
      <trackRevisions>false</trackRevisions>
    </reviewItem>
    <reviewItem>
      <errorID>2f6dab7b-cacd-43d1-8111-405662d07562</errorID>
      <errorWord>..</errorWord>
      <group>L1_Punc</group>
      <groupName>标点问题</groupName>
      <ability>L2_Punc</ability>
      <abilityName>标点符号检查</abilityName>
      <candidateList>
        <item>.</item>
      </candidateList>
      <explain/>
      <paraID>33F9CC52</paraID>
      <start>0</start>
      <end>2</end>
      <status>unmodified</status>
      <modifiedWord/>
      <trackRevisions>false</trackRevisions>
    </reviewItem>
    <reviewItem>
      <errorID>1a265124-ec8e-492b-b333-5777e9ff75dc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525C8E62</paraID>
      <start>0</start>
      <end>2</end>
      <status>unmodified</status>
      <modifiedWord/>
      <trackRevisions>false</trackRevisions>
    </reviewItem>
    <reviewItem>
      <errorID>067766e7-e231-4993-a39a-80619a84f594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1A01C2BB</paraID>
      <start>0</start>
      <end>2</end>
      <status>unmodified</status>
      <modifiedWord/>
      <trackRevisions>false</trackRevisions>
    </reviewItem>
    <reviewItem>
      <errorID>efd7c9d1-f34c-4e1b-b869-04657f63ed36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2D424176</paraID>
      <start>0</start>
      <end>2</end>
      <status>unmodified</status>
      <modifiedWord/>
      <trackRevisions>false</trackRevisions>
    </reviewItem>
    <reviewItem>
      <errorID>f627092c-b873-4869-a11f-8e8566e1abbf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70CADCAE</paraID>
      <start>0</start>
      <end>2</end>
      <status>unmodified</status>
      <modifiedWord/>
      <trackRevisions>false</trackRevisions>
    </reviewItem>
    <reviewItem>
      <errorID>8864cbbf-a99e-4034-902f-81d815ea6e21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69BCF0BF</paraID>
      <start>0</start>
      <end>2</end>
      <status>unmodified</status>
      <modifiedWord/>
      <trackRevisions>false</trackRevisions>
    </reviewItem>
    <reviewItem>
      <errorID>2de52560-cc6c-42b0-b69f-190c6118069a</errorID>
      <errorWord>本</errorWord>
      <group>L1_Word</group>
      <groupName>字词问题</groupName>
      <ability>L2_Typo</ability>
      <abilityName>字词错误</abilityName>
      <candidateList>
        <item>本次</item>
      </candidateList>
      <explain/>
      <paraID>6BDB6684</paraID>
      <start>13</start>
      <end>14</end>
      <status>unmodified</status>
      <modifiedWord/>
      <trackRevisions>false</trackRevisions>
    </reviewItem>
    <reviewItem>
      <errorID>33986633-e247-43e8-b55f-7d7251f8dfda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27BE061B</paraID>
      <start>22</start>
      <end>25</end>
      <status>unmodified</status>
      <modifiedWord/>
      <trackRevisions>false</trackRevisions>
    </reviewItem>
    <reviewItem>
      <errorID>fc3b7f83-f9d2-47a5-987f-35536b2d2d96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3057CC1F</paraID>
      <start>0</start>
      <end>2</end>
      <status>unmodified</status>
      <modifiedWord/>
      <trackRevisions>false</trackRevisions>
    </reviewItem>
    <reviewItem>
      <errorID>22dfead0-0df6-49fc-b086-8167f9c2a632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14E262B</paraID>
      <start>0</start>
      <end>2</end>
      <status>unmodified</status>
      <modifiedWord/>
      <trackRevisions>false</trackRevisions>
    </reviewItem>
    <reviewItem>
      <errorID>2985b189-d4db-4211-8d0a-63373ce2835c</errorID>
      <errorWord>..</errorWord>
      <group>L1_Punc</group>
      <groupName>标点问题</groupName>
      <ability>L2_Punc</ability>
      <abilityName>标点符号检查</abilityName>
      <candidateList>
        <item>.</item>
      </candidateList>
      <explain/>
      <paraID>5617493B</paraID>
      <start>0</start>
      <end>2</end>
      <status>unmodified</status>
      <modifiedWord/>
      <trackRevisions>false</trackRevisions>
    </reviewItem>
    <reviewItem>
      <errorID>071a7228-4419-4406-8494-b13f9a9a0b1c</errorID>
      <errorWord>..</errorWord>
      <group>L1_Punc</group>
      <groupName>标点问题</groupName>
      <ability>L2_Punc</ability>
      <abilityName>标点符号检查</abilityName>
      <candidateList>
        <item>.</item>
      </candidateList>
      <explain/>
      <paraID> B2B0F31</paraID>
      <start>0</start>
      <end>2</end>
      <status>unmodified</status>
      <modifiedWord/>
      <trackRevisions>false</trackRevisions>
    </reviewItem>
    <reviewItem>
      <errorID>84c3b90e-1def-460e-a5ce-98317d382584</errorID>
      <errorWord>..</errorWord>
      <group>L1_Punc</group>
      <groupName>标点问题</groupName>
      <ability>L2_Punc</ability>
      <abilityName>标点符号检查</abilityName>
      <candidateList>
        <item>.</item>
      </candidateList>
      <explain/>
      <paraID>3546A465</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d261b1-feab-473a-bf7e-e867b35b0f0c}">
  <ds:schemaRefs/>
</ds:datastoreItem>
</file>

<file path=docProps/app.xml><?xml version="1.0" encoding="utf-8"?>
<Properties xmlns="http://schemas.openxmlformats.org/officeDocument/2006/extended-properties" xmlns:vt="http://schemas.openxmlformats.org/officeDocument/2006/docPropsVTypes">
  <Template>Normal</Template>
  <Pages>173</Pages>
  <Words>16030</Words>
  <Characters>17552</Characters>
  <Lines>240</Lines>
  <Paragraphs>67</Paragraphs>
  <TotalTime>4</TotalTime>
  <ScaleCrop>false</ScaleCrop>
  <LinksUpToDate>false</LinksUpToDate>
  <CharactersWithSpaces>17745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2024-09-02T08:59:00Z</dcterms:created>
  <dc:creator>二贰叁</dc:creator>
  <cp:lastModifiedBy>28143</cp:lastModifiedBy>
  <dcterms:modified xsi:type="dcterms:W3CDTF">2026-05-29T07:25:11Z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1BF43AB4B5464083B3059F926462E312_13</vt:lpwstr>
  </property>
  <property fmtid="{D5CDD505-2E9C-101B-9397-08002B2CF9AE}" pid="4" name="KSOTemplateDocerSaveRecord">
    <vt:lpwstr>eyJoZGlkIjoiMWRmYTE1OWM3YzY4ODEzNTgxZjljMmE0NWVhNzNjN2EiLCJ1c2VySWQiOiI1MTY5MzE1NzcifQ==</vt:lpwstr>
  </property>
</Properties>
</file>