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BD6453">
      <w:pPr>
        <w:adjustRightInd w:val="0"/>
        <w:snapToGrid w:val="0"/>
        <w:spacing w:line="288" w:lineRule="auto"/>
        <w:ind w:left="238"/>
        <w:jc w:val="center"/>
        <w:outlineLvl w:val="0"/>
        <w:rPr>
          <w:rFonts w:ascii="宋体" w:hAnsi="宋体"/>
          <w:b/>
          <w:bCs/>
          <w:sz w:val="32"/>
          <w:szCs w:val="32"/>
          <w:highlight w:val="none"/>
        </w:rPr>
      </w:pPr>
      <w:bookmarkStart w:id="3" w:name="_GoBack"/>
      <w:bookmarkEnd w:id="3"/>
      <w:r>
        <w:rPr>
          <w:rFonts w:hint="eastAsia" w:ascii="宋体" w:hAnsi="宋体"/>
          <w:b/>
          <w:bCs/>
          <w:sz w:val="32"/>
          <w:szCs w:val="32"/>
          <w:highlight w:val="none"/>
        </w:rPr>
        <w:t>采购需求</w:t>
      </w:r>
    </w:p>
    <w:p w14:paraId="21637093">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一</w:t>
      </w:r>
      <w:r>
        <w:rPr>
          <w:rFonts w:ascii="宋体" w:hAnsi="宋体"/>
          <w:b/>
          <w:sz w:val="21"/>
          <w:szCs w:val="21"/>
          <w:highlight w:val="none"/>
        </w:rPr>
        <w:t>、</w:t>
      </w:r>
      <w:r>
        <w:rPr>
          <w:rFonts w:hint="eastAsia" w:ascii="宋体" w:hAnsi="宋体"/>
          <w:b/>
          <w:sz w:val="21"/>
          <w:szCs w:val="21"/>
          <w:highlight w:val="none"/>
        </w:rPr>
        <w:t>为落实政府采购政策需满足的要求：</w:t>
      </w:r>
    </w:p>
    <w:tbl>
      <w:tblPr>
        <w:tblStyle w:val="3"/>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0860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AD12611">
            <w:pPr>
              <w:adjustRightInd w:val="0"/>
              <w:snapToGrid w:val="0"/>
              <w:spacing w:line="288" w:lineRule="auto"/>
              <w:jc w:val="center"/>
              <w:rPr>
                <w:rFonts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256" w:type="dxa"/>
            <w:noWrap w:val="0"/>
            <w:vAlign w:val="center"/>
          </w:tcPr>
          <w:p w14:paraId="6DEF76EC">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政策名称</w:t>
            </w:r>
          </w:p>
        </w:tc>
        <w:tc>
          <w:tcPr>
            <w:tcW w:w="5529" w:type="dxa"/>
            <w:noWrap w:val="0"/>
            <w:vAlign w:val="center"/>
          </w:tcPr>
          <w:p w14:paraId="6F503F4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内容</w:t>
            </w:r>
          </w:p>
        </w:tc>
      </w:tr>
      <w:tr w14:paraId="685E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662924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1</w:t>
            </w:r>
          </w:p>
        </w:tc>
        <w:tc>
          <w:tcPr>
            <w:tcW w:w="3256" w:type="dxa"/>
            <w:noWrap w:val="0"/>
            <w:vAlign w:val="center"/>
          </w:tcPr>
          <w:p w14:paraId="04F1392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政府采购进口产品</w:t>
            </w:r>
          </w:p>
        </w:tc>
        <w:tc>
          <w:tcPr>
            <w:tcW w:w="5529" w:type="dxa"/>
            <w:noWrap w:val="0"/>
            <w:vAlign w:val="center"/>
          </w:tcPr>
          <w:p w14:paraId="526B71A0">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允许采购进口产品</w:t>
            </w:r>
          </w:p>
        </w:tc>
      </w:tr>
      <w:tr w14:paraId="7067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7A1C5A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2</w:t>
            </w:r>
          </w:p>
        </w:tc>
        <w:tc>
          <w:tcPr>
            <w:tcW w:w="3256" w:type="dxa"/>
            <w:noWrap w:val="0"/>
            <w:vAlign w:val="center"/>
          </w:tcPr>
          <w:p w14:paraId="4485A041">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政府强制采购节能产品</w:t>
            </w:r>
          </w:p>
        </w:tc>
        <w:tc>
          <w:tcPr>
            <w:tcW w:w="5529" w:type="dxa"/>
            <w:noWrap w:val="0"/>
            <w:vAlign w:val="center"/>
          </w:tcPr>
          <w:p w14:paraId="5FED1FD7">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05CA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3F6D02C0">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3</w:t>
            </w:r>
          </w:p>
        </w:tc>
        <w:tc>
          <w:tcPr>
            <w:tcW w:w="3256" w:type="dxa"/>
            <w:noWrap w:val="0"/>
            <w:vAlign w:val="center"/>
          </w:tcPr>
          <w:p w14:paraId="33B3E7AB">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政府优先采购节能、环保产品</w:t>
            </w:r>
          </w:p>
        </w:tc>
        <w:tc>
          <w:tcPr>
            <w:tcW w:w="5529" w:type="dxa"/>
            <w:noWrap w:val="0"/>
            <w:vAlign w:val="center"/>
          </w:tcPr>
          <w:p w14:paraId="354ADAC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2A03F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F045DA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4</w:t>
            </w:r>
          </w:p>
        </w:tc>
        <w:tc>
          <w:tcPr>
            <w:tcW w:w="3256" w:type="dxa"/>
            <w:noWrap w:val="0"/>
            <w:vAlign w:val="center"/>
          </w:tcPr>
          <w:p w14:paraId="3FEC59BE">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政府采购支持科技创新</w:t>
            </w:r>
          </w:p>
        </w:tc>
        <w:tc>
          <w:tcPr>
            <w:tcW w:w="5529" w:type="dxa"/>
            <w:noWrap w:val="0"/>
            <w:vAlign w:val="center"/>
          </w:tcPr>
          <w:p w14:paraId="119A56D2">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21"/>
                <w:highlight w:val="none"/>
              </w:rPr>
              <w:t>不适用</w:t>
            </w:r>
          </w:p>
        </w:tc>
      </w:tr>
      <w:tr w14:paraId="57E6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27A510F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5</w:t>
            </w:r>
          </w:p>
        </w:tc>
        <w:tc>
          <w:tcPr>
            <w:tcW w:w="3256" w:type="dxa"/>
            <w:noWrap w:val="0"/>
            <w:vAlign w:val="center"/>
          </w:tcPr>
          <w:p w14:paraId="004481D4">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5529" w:type="dxa"/>
            <w:noWrap w:val="0"/>
            <w:vAlign w:val="center"/>
          </w:tcPr>
          <w:p w14:paraId="6BBA1E86">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p w14:paraId="1B264234">
            <w:pPr>
              <w:adjustRightInd w:val="0"/>
              <w:snapToGrid w:val="0"/>
              <w:spacing w:line="288" w:lineRule="auto"/>
              <w:jc w:val="left"/>
              <w:rPr>
                <w:rFonts w:hint="eastAsia" w:ascii="宋体" w:hAnsi="宋体"/>
                <w:b/>
                <w:bCs/>
                <w:color w:val="auto"/>
                <w:sz w:val="21"/>
                <w:szCs w:val="21"/>
                <w:highlight w:val="none"/>
              </w:rPr>
            </w:pPr>
            <w:r>
              <w:rPr>
                <w:rFonts w:hint="eastAsia" w:ascii="宋体" w:hAnsi="宋体"/>
                <w:b/>
                <w:bCs/>
                <w:color w:val="auto"/>
                <w:sz w:val="21"/>
                <w:szCs w:val="21"/>
                <w:highlight w:val="none"/>
              </w:rPr>
              <w:t>本项目属性为：货物</w:t>
            </w:r>
          </w:p>
          <w:p w14:paraId="1DACF073">
            <w:pPr>
              <w:adjustRightInd w:val="0"/>
              <w:snapToGrid w:val="0"/>
              <w:spacing w:line="288" w:lineRule="auto"/>
              <w:jc w:val="left"/>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采购标的对应的中小企业划分标准所属行业：</w:t>
            </w:r>
            <w:r>
              <w:rPr>
                <w:rFonts w:hint="eastAsia" w:ascii="宋体" w:hAnsi="宋体"/>
                <w:b/>
                <w:bCs/>
                <w:color w:val="auto"/>
                <w:sz w:val="21"/>
                <w:szCs w:val="21"/>
                <w:highlight w:val="none"/>
                <w:lang w:val="en-US" w:eastAsia="zh-CN"/>
              </w:rPr>
              <w:t>工业</w:t>
            </w:r>
          </w:p>
          <w:p w14:paraId="545B4F6E">
            <w:pPr>
              <w:adjustRightInd w:val="0"/>
              <w:snapToGrid w:val="0"/>
              <w:spacing w:line="288" w:lineRule="auto"/>
              <w:jc w:val="left"/>
              <w:rPr>
                <w:rFonts w:ascii="宋体" w:hAnsi="宋体" w:cs="宋体"/>
                <w:b/>
                <w:bCs/>
                <w:color w:val="auto"/>
                <w:sz w:val="21"/>
                <w:szCs w:val="21"/>
                <w:highlight w:val="none"/>
              </w:rPr>
            </w:pPr>
            <w:r>
              <w:rPr>
                <w:rFonts w:hint="eastAsia" w:ascii="宋体" w:hAnsi="宋体"/>
                <w:b/>
                <w:bCs/>
                <w:color w:val="auto"/>
                <w:sz w:val="21"/>
                <w:szCs w:val="21"/>
                <w:highlight w:val="none"/>
              </w:rPr>
              <w:t>中小企业划型标准：</w:t>
            </w:r>
            <w:r>
              <w:rPr>
                <w:rFonts w:hint="eastAsia" w:ascii="宋体" w:hAnsi="宋体"/>
                <w:b w:val="0"/>
                <w:bCs w:val="0"/>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EB4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F0F6DE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6</w:t>
            </w:r>
          </w:p>
        </w:tc>
        <w:tc>
          <w:tcPr>
            <w:tcW w:w="3256" w:type="dxa"/>
            <w:noWrap w:val="0"/>
            <w:vAlign w:val="center"/>
          </w:tcPr>
          <w:p w14:paraId="1ECBE725">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5529" w:type="dxa"/>
            <w:noWrap w:val="0"/>
            <w:vAlign w:val="center"/>
          </w:tcPr>
          <w:p w14:paraId="0ABAF78B">
            <w:pPr>
              <w:adjustRightInd w:val="0"/>
              <w:snapToGrid w:val="0"/>
              <w:spacing w:line="288" w:lineRule="auto"/>
              <w:jc w:val="left"/>
              <w:rPr>
                <w:rFonts w:ascii="宋体" w:hAnsi="宋体"/>
                <w:b/>
                <w:bCs/>
                <w:color w:val="auto"/>
                <w:sz w:val="21"/>
                <w:szCs w:val="21"/>
                <w:highlight w:val="none"/>
              </w:rPr>
            </w:pPr>
            <w:r>
              <w:rPr>
                <w:rFonts w:hint="eastAsia" w:ascii="宋体" w:hAnsi="宋体" w:cs="宋体"/>
                <w:color w:val="auto"/>
                <w:sz w:val="21"/>
                <w:szCs w:val="21"/>
                <w:highlight w:val="none"/>
              </w:rPr>
              <w:t>提供材料详见招标文件第六章“报价文件”</w:t>
            </w:r>
          </w:p>
        </w:tc>
      </w:tr>
      <w:tr w14:paraId="16D2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617432D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7</w:t>
            </w:r>
          </w:p>
        </w:tc>
        <w:tc>
          <w:tcPr>
            <w:tcW w:w="3256" w:type="dxa"/>
            <w:noWrap w:val="0"/>
            <w:vAlign w:val="center"/>
          </w:tcPr>
          <w:p w14:paraId="52E2FB82">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5529" w:type="dxa"/>
            <w:noWrap w:val="0"/>
            <w:vAlign w:val="center"/>
          </w:tcPr>
          <w:p w14:paraId="5100C933">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bookmarkEnd w:id="0"/>
    </w:tbl>
    <w:p w14:paraId="3BD6F9BB">
      <w:pPr>
        <w:adjustRightInd w:val="0"/>
        <w:snapToGrid w:val="0"/>
        <w:spacing w:line="288" w:lineRule="auto"/>
        <w:rPr>
          <w:rFonts w:ascii="宋体" w:hAnsi="宋体"/>
          <w:sz w:val="21"/>
          <w:szCs w:val="21"/>
          <w:highlight w:val="none"/>
        </w:rPr>
      </w:pPr>
    </w:p>
    <w:p w14:paraId="0EB836AF">
      <w:pPr>
        <w:adjustRightInd w:val="0"/>
        <w:snapToGrid w:val="0"/>
        <w:spacing w:line="288" w:lineRule="auto"/>
        <w:outlineLvl w:val="1"/>
        <w:rPr>
          <w:rFonts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采购资金的支付方式、时间、条件：</w:t>
      </w:r>
    </w:p>
    <w:tbl>
      <w:tblPr>
        <w:tblStyle w:val="3"/>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231BF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42C87088">
            <w:pPr>
              <w:adjustRightInd w:val="0"/>
              <w:snapToGrid w:val="0"/>
              <w:spacing w:line="288" w:lineRule="auto"/>
              <w:jc w:val="center"/>
              <w:rPr>
                <w:rFonts w:ascii="宋体" w:hAnsi="宋体"/>
                <w:b/>
                <w:spacing w:val="-6"/>
                <w:sz w:val="21"/>
                <w:szCs w:val="21"/>
                <w:highlight w:val="none"/>
              </w:rPr>
            </w:pPr>
            <w:bookmarkStart w:id="1" w:name="_Hlk45005608"/>
            <w:r>
              <w:rPr>
                <w:rFonts w:hint="eastAsia" w:ascii="宋体" w:hAnsi="宋体"/>
                <w:b/>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1EEA420D">
            <w:pPr>
              <w:autoSpaceDE w:val="0"/>
              <w:autoSpaceDN w:val="0"/>
              <w:adjustRightInd w:val="0"/>
              <w:snapToGrid w:val="0"/>
              <w:spacing w:line="288" w:lineRule="auto"/>
              <w:jc w:val="left"/>
              <w:rPr>
                <w:rFonts w:ascii="宋体" w:hAnsi="宋体" w:cs="宋体"/>
                <w:spacing w:val="-6"/>
                <w:kern w:val="0"/>
                <w:sz w:val="21"/>
                <w:szCs w:val="21"/>
                <w:highlight w:val="none"/>
              </w:rPr>
            </w:pPr>
            <w:r>
              <w:rPr>
                <w:rFonts w:ascii="宋体" w:hAnsi="宋体" w:cs="宋体"/>
                <w:spacing w:val="-6"/>
                <w:kern w:val="0"/>
                <w:sz w:val="21"/>
                <w:szCs w:val="21"/>
                <w:highlight w:val="none"/>
              </w:rPr>
              <w:t>1、</w:t>
            </w:r>
            <w:r>
              <w:rPr>
                <w:rFonts w:hint="eastAsia" w:ascii="宋体" w:hAnsi="宋体" w:cs="宋体"/>
                <w:spacing w:val="-6"/>
                <w:kern w:val="0"/>
                <w:sz w:val="21"/>
                <w:szCs w:val="21"/>
                <w:highlight w:val="none"/>
              </w:rPr>
              <w:t>货款支付方式：</w:t>
            </w:r>
          </w:p>
          <w:p w14:paraId="1D04EB7A">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(1)国产设备及境内直接供货的进口设备:货到经安装调试,用户认定合格后，凭用户出具的安装调试报告支付90%货款(如供应商支付10%履约保证金，付全款。保证金在验收后无息退还);验收合格后凭用户出具的验收报告支付10%货款。</w:t>
            </w:r>
          </w:p>
          <w:p w14:paraId="046804E7">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(2)境外供货的设备，在外贸公司签订外贸合同、办出免表后，如外贸公司已开出信用证或境外公司出具一个月内发货说明后，由需方向外贸公司付全款:外贸公司凭装运单支付境外公司90%货款(如供应商支付10%履约保证金，付全款。保证金在验收后无息退还);验收合格后凭用户出具的验收报告支付尾款。</w:t>
            </w:r>
          </w:p>
          <w:p w14:paraId="265369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2、货款的结算：</w:t>
            </w:r>
          </w:p>
          <w:p w14:paraId="5F1C6041">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国产设备及境内直接供货的进口设备货款由需方负责支付。</w:t>
            </w:r>
          </w:p>
          <w:p w14:paraId="0259249B">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开票信息：开具增值税专用发票；</w:t>
            </w:r>
          </w:p>
          <w:p w14:paraId="20294C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抬头：浙江大学</w:t>
            </w:r>
          </w:p>
          <w:p w14:paraId="154F8E98">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纳税人识别号：12100000470095016Q</w:t>
            </w:r>
          </w:p>
          <w:p w14:paraId="05B008F7">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地址：杭州市余杭塘路866号，电话88981919</w:t>
            </w:r>
          </w:p>
          <w:p w14:paraId="1EEA1ECC">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开户行：农行杭州市浙大支行紫金港支行</w:t>
            </w:r>
          </w:p>
          <w:p w14:paraId="1E9DD7CF">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账号：19042201040000014</w:t>
            </w:r>
          </w:p>
          <w:p w14:paraId="3566DCBE">
            <w:pPr>
              <w:autoSpaceDE w:val="0"/>
              <w:autoSpaceDN w:val="0"/>
              <w:adjustRightInd w:val="0"/>
              <w:snapToGrid w:val="0"/>
              <w:spacing w:line="288" w:lineRule="auto"/>
              <w:jc w:val="left"/>
              <w:rPr>
                <w:rFonts w:hint="eastAsia" w:ascii="宋体" w:hAnsi="宋体" w:eastAsia="宋体" w:cs="宋体"/>
                <w:spacing w:val="-6"/>
                <w:kern w:val="0"/>
                <w:sz w:val="21"/>
                <w:szCs w:val="21"/>
                <w:highlight w:val="none"/>
                <w:lang w:val="en-US" w:eastAsia="zh-CN" w:bidi="ar-SA"/>
              </w:rPr>
            </w:pPr>
            <w:r>
              <w:rPr>
                <w:rFonts w:hint="eastAsia" w:ascii="宋体" w:hAnsi="宋体" w:cs="宋体"/>
                <w:spacing w:val="-6"/>
                <w:kern w:val="0"/>
                <w:sz w:val="21"/>
                <w:szCs w:val="21"/>
                <w:highlight w:val="none"/>
              </w:rPr>
              <w:t>行号：103331004223</w:t>
            </w:r>
          </w:p>
        </w:tc>
      </w:tr>
      <w:bookmarkEnd w:id="1"/>
    </w:tbl>
    <w:p w14:paraId="220164FD">
      <w:pPr>
        <w:adjustRightInd w:val="0"/>
        <w:snapToGrid w:val="0"/>
        <w:spacing w:line="288" w:lineRule="auto"/>
        <w:ind w:left="238" w:hanging="238" w:hangingChars="113"/>
        <w:rPr>
          <w:rFonts w:ascii="宋体" w:hAnsi="宋体"/>
          <w:b/>
          <w:sz w:val="21"/>
          <w:szCs w:val="21"/>
          <w:highlight w:val="none"/>
        </w:rPr>
      </w:pPr>
    </w:p>
    <w:p w14:paraId="403A740C">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三</w:t>
      </w:r>
      <w:r>
        <w:rPr>
          <w:rFonts w:ascii="宋体" w:hAnsi="宋体"/>
          <w:b/>
          <w:sz w:val="21"/>
          <w:szCs w:val="21"/>
          <w:highlight w:val="none"/>
        </w:rPr>
        <w:t>、</w:t>
      </w:r>
      <w:r>
        <w:rPr>
          <w:rFonts w:hint="eastAsia" w:ascii="宋体" w:hAnsi="宋体"/>
          <w:b/>
          <w:sz w:val="21"/>
          <w:szCs w:val="21"/>
          <w:highlight w:val="none"/>
        </w:rPr>
        <w:t>服务</w:t>
      </w:r>
      <w:r>
        <w:rPr>
          <w:rFonts w:ascii="宋体" w:hAnsi="宋体"/>
          <w:b/>
          <w:sz w:val="21"/>
          <w:szCs w:val="21"/>
          <w:highlight w:val="none"/>
        </w:rPr>
        <w:t>要求</w:t>
      </w:r>
      <w:r>
        <w:rPr>
          <w:rFonts w:hint="eastAsia" w:ascii="宋体" w:hAnsi="宋体"/>
          <w:b/>
          <w:spacing w:val="-6"/>
          <w:sz w:val="21"/>
          <w:szCs w:val="21"/>
          <w:highlight w:val="none"/>
        </w:rPr>
        <w:t>（技术要求里另有注明的以技术要求为准）</w:t>
      </w:r>
      <w:r>
        <w:rPr>
          <w:rFonts w:ascii="宋体" w:hAnsi="宋体"/>
          <w:b/>
          <w:sz w:val="21"/>
          <w:szCs w:val="21"/>
          <w:highlight w:val="none"/>
        </w:rPr>
        <w:t>：</w:t>
      </w:r>
    </w:p>
    <w:tbl>
      <w:tblPr>
        <w:tblStyle w:val="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8207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1E72B5A4">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733AD56F">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sz w:val="21"/>
                <w:szCs w:val="21"/>
                <w:highlight w:val="none"/>
                <w:lang w:eastAsia="zh-CN"/>
              </w:rPr>
              <w:t>合同签订后3个月内完成交付。</w:t>
            </w:r>
          </w:p>
        </w:tc>
      </w:tr>
      <w:tr w14:paraId="1245F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6818073">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0FAB363">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采购人指定安装的地点。</w:t>
            </w:r>
          </w:p>
        </w:tc>
      </w:tr>
      <w:tr w14:paraId="6C693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D41E599">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6AB32BE">
            <w:pPr>
              <w:adjustRightInd w:val="0"/>
              <w:snapToGrid w:val="0"/>
              <w:spacing w:line="288"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年，项目验收合格后开始计算。</w:t>
            </w:r>
          </w:p>
        </w:tc>
      </w:tr>
      <w:tr w14:paraId="0F6F3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07"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52AFFAD">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5B9E00C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.在质保期内，供应商应对货物出现的质量及安全问题负责处理解决并承担一切费用。</w:t>
            </w:r>
          </w:p>
          <w:p w14:paraId="0EED877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质保期内出现无法排除的故障，供应商需无条件更换同型号产品。</w:t>
            </w:r>
          </w:p>
          <w:p w14:paraId="5E0BF65A">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质保期满后，供应商继续为采购人服务，仅收取零配件成本费。</w:t>
            </w:r>
          </w:p>
          <w:p w14:paraId="5981954B">
            <w:pPr>
              <w:adjustRightInd w:val="0"/>
              <w:snapToGrid w:val="0"/>
              <w:spacing w:line="288" w:lineRule="auto"/>
              <w:rPr>
                <w:rFonts w:hint="eastAsia"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因人为因素出现的故障不在免费保修范围内。</w:t>
            </w:r>
          </w:p>
          <w:p w14:paraId="291E7023">
            <w:pPr>
              <w:adjustRightInd w:val="0"/>
              <w:snapToGrid w:val="0"/>
              <w:spacing w:line="288" w:lineRule="auto"/>
              <w:rPr>
                <w:rFonts w:ascii="宋体" w:hAnsi="宋体" w:eastAsia="宋体" w:cs="宋体"/>
                <w:sz w:val="21"/>
                <w:szCs w:val="21"/>
                <w:highlight w:val="none"/>
                <w:u w:val="single"/>
              </w:rPr>
            </w:pPr>
            <w:r>
              <w:rPr>
                <w:rFonts w:ascii="宋体" w:hAnsi="宋体" w:eastAsia="宋体" w:cs="宋体"/>
                <w:sz w:val="21"/>
                <w:szCs w:val="21"/>
                <w:highlight w:val="none"/>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u w:val="none"/>
              </w:rPr>
              <w:t>如在使用过程中发生质量问题，供应商维修响应时间：</w:t>
            </w:r>
            <w:r>
              <w:rPr>
                <w:rFonts w:hint="eastAsia" w:ascii="宋体" w:hAnsi="宋体" w:cs="宋体"/>
                <w:sz w:val="21"/>
                <w:szCs w:val="21"/>
                <w:highlight w:val="none"/>
                <w:u w:val="single"/>
                <w:lang w:val="en-US" w:eastAsia="zh-CN"/>
              </w:rPr>
              <w:t>2</w:t>
            </w:r>
            <w:r>
              <w:rPr>
                <w:rFonts w:hint="eastAsia" w:ascii="宋体" w:hAnsi="宋体" w:eastAsia="宋体" w:cs="宋体"/>
                <w:sz w:val="21"/>
                <w:szCs w:val="21"/>
                <w:highlight w:val="none"/>
                <w:u w:val="single"/>
              </w:rPr>
              <w:t>小时以内；</w:t>
            </w:r>
          </w:p>
          <w:p w14:paraId="4AA9B10F">
            <w:pPr>
              <w:adjustRightInd w:val="0"/>
              <w:snapToGrid w:val="0"/>
              <w:spacing w:line="288"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none"/>
              </w:rPr>
              <w:t>电话技术支持时间：</w:t>
            </w:r>
            <w:r>
              <w:rPr>
                <w:rFonts w:hint="eastAsia" w:ascii="宋体" w:hAnsi="宋体" w:cs="宋体"/>
                <w:sz w:val="21"/>
                <w:szCs w:val="21"/>
                <w:highlight w:val="none"/>
                <w:u w:val="single"/>
                <w:lang w:val="en-US" w:eastAsia="zh-CN"/>
              </w:rPr>
              <w:t>2</w:t>
            </w:r>
            <w:r>
              <w:rPr>
                <w:rFonts w:hint="eastAsia" w:ascii="宋体" w:hAnsi="宋体" w:eastAsia="宋体" w:cs="宋体"/>
                <w:sz w:val="21"/>
                <w:szCs w:val="21"/>
                <w:highlight w:val="none"/>
                <w:u w:val="single"/>
              </w:rPr>
              <w:t>小时以内；</w:t>
            </w:r>
          </w:p>
          <w:p w14:paraId="79681E8D">
            <w:pPr>
              <w:adjustRightInd w:val="0"/>
              <w:snapToGrid w:val="0"/>
              <w:spacing w:line="288"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若需上门维修，则在：</w:t>
            </w:r>
            <w:r>
              <w:rPr>
                <w:rFonts w:hint="eastAsia" w:ascii="宋体" w:hAnsi="宋体" w:cs="宋体"/>
                <w:sz w:val="21"/>
                <w:szCs w:val="21"/>
                <w:highlight w:val="none"/>
                <w:u w:val="single"/>
                <w:lang w:val="en-US" w:eastAsia="zh-CN"/>
              </w:rPr>
              <w:t>48</w:t>
            </w:r>
            <w:r>
              <w:rPr>
                <w:rFonts w:hint="eastAsia" w:ascii="宋体" w:hAnsi="宋体" w:eastAsia="宋体" w:cs="宋体"/>
                <w:sz w:val="21"/>
                <w:szCs w:val="21"/>
                <w:highlight w:val="none"/>
                <w:u w:val="single"/>
              </w:rPr>
              <w:t>小时内到达现场并进行维修；</w:t>
            </w:r>
          </w:p>
          <w:p w14:paraId="481738B9">
            <w:pPr>
              <w:adjustRightInd w:val="0"/>
              <w:snapToGrid w:val="0"/>
              <w:spacing w:line="288" w:lineRule="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6.供应商应提供详细的</w:t>
            </w:r>
            <w:r>
              <w:rPr>
                <w:rFonts w:hint="eastAsia" w:ascii="宋体" w:hAnsi="宋体" w:eastAsia="宋体" w:cs="宋体"/>
                <w:sz w:val="21"/>
                <w:szCs w:val="21"/>
                <w:highlight w:val="none"/>
              </w:rPr>
              <w:t>售后服务方案、售后服务承诺、售后服务保障措施。</w:t>
            </w:r>
          </w:p>
        </w:tc>
      </w:tr>
      <w:tr w14:paraId="7DD5A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7ECE462">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DDEE890">
            <w:pPr>
              <w:adjustRightInd w:val="0"/>
              <w:snapToGrid w:val="0"/>
              <w:spacing w:line="288" w:lineRule="auto"/>
              <w:rPr>
                <w:rFonts w:hint="eastAsia" w:ascii="宋体" w:hAnsi="宋体" w:eastAsia="宋体" w:cs="Times New Roman"/>
                <w:spacing w:val="-6"/>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w:t>
            </w:r>
            <w:r>
              <w:rPr>
                <w:rFonts w:hint="eastAsia" w:ascii="宋体" w:hAnsi="宋体" w:eastAsia="宋体" w:cs="宋体"/>
                <w:sz w:val="21"/>
                <w:szCs w:val="21"/>
                <w:highlight w:val="none"/>
              </w:rPr>
              <w:t>供应商应按招标文件规定向采购人提供全新</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原装合格产品，</w:t>
            </w:r>
            <w:r>
              <w:rPr>
                <w:rFonts w:hint="eastAsia" w:ascii="宋体" w:hAnsi="宋体" w:eastAsia="宋体" w:cs="宋体"/>
                <w:sz w:val="21"/>
                <w:szCs w:val="21"/>
                <w:highlight w:val="none"/>
                <w:lang w:val="en-US" w:eastAsia="zh-CN"/>
              </w:rPr>
              <w:t>产品应</w:t>
            </w:r>
            <w:r>
              <w:rPr>
                <w:rFonts w:hint="eastAsia" w:ascii="宋体" w:hAnsi="宋体" w:eastAsia="宋体" w:cs="宋体"/>
                <w:sz w:val="21"/>
                <w:szCs w:val="21"/>
                <w:highlight w:val="none"/>
              </w:rPr>
              <w:t>符合国家法律法规规定。</w:t>
            </w:r>
            <w:r>
              <w:rPr>
                <w:rFonts w:hint="eastAsia" w:ascii="宋体" w:hAnsi="宋体" w:eastAsia="宋体" w:cs="Times New Roman"/>
                <w:spacing w:val="-6"/>
                <w:sz w:val="21"/>
                <w:szCs w:val="21"/>
                <w:highlight w:val="none"/>
              </w:rPr>
              <w:t>供应商应保证所提供的货物或其中任何一部分均不会侵犯第三方的知识产权。</w:t>
            </w:r>
          </w:p>
          <w:p w14:paraId="0A6B195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供应商应</w:t>
            </w:r>
            <w:r>
              <w:rPr>
                <w:rFonts w:hint="eastAsia" w:ascii="宋体" w:hAnsi="宋体" w:eastAsia="宋体" w:cs="宋体"/>
                <w:sz w:val="21"/>
                <w:szCs w:val="21"/>
                <w:highlight w:val="none"/>
              </w:rPr>
              <w:t>提供有关的全套技术文件。</w:t>
            </w:r>
          </w:p>
          <w:p w14:paraId="27EFE74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.安装调试：</w:t>
            </w:r>
          </w:p>
          <w:p w14:paraId="4A5A9993">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.1安装地点：采购人指定地点；</w:t>
            </w:r>
          </w:p>
          <w:p w14:paraId="46ECCEF6">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B9FC1A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.3如供应商委托国内代理（或其他机构）负责安装或配合安装应在签约时指明，但供应商仍要对合同货物及其安装质量负全部责任；</w:t>
            </w:r>
          </w:p>
          <w:p w14:paraId="2DC7D3F7">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.4安装标准：符合我国国家有关技术规范要求和技术标准，所有的软件和硬件必须保证同时安装到位；</w:t>
            </w:r>
          </w:p>
          <w:p w14:paraId="2ADA9B6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.5供应商免费提供合同货物的安装服务；</w:t>
            </w:r>
          </w:p>
          <w:p w14:paraId="2B3FF25D">
            <w:pPr>
              <w:adjustRightInd w:val="0"/>
              <w:snapToGrid w:val="0"/>
              <w:spacing w:line="288" w:lineRule="auto"/>
              <w:rPr>
                <w:rFonts w:hint="eastAsia"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.6供应商在投标文件中应提供安装调试计划</w:t>
            </w:r>
            <w:r>
              <w:rPr>
                <w:rFonts w:hint="eastAsia" w:ascii="宋体" w:hAnsi="宋体" w:eastAsia="宋体" w:cs="宋体"/>
                <w:sz w:val="21"/>
                <w:szCs w:val="21"/>
                <w:highlight w:val="none"/>
                <w:lang w:val="en-US" w:eastAsia="zh-CN"/>
              </w:rPr>
              <w:t>和安装调试方案</w:t>
            </w:r>
            <w:r>
              <w:rPr>
                <w:rFonts w:hint="eastAsia" w:ascii="宋体" w:hAnsi="宋体" w:eastAsia="宋体" w:cs="宋体"/>
                <w:sz w:val="21"/>
                <w:szCs w:val="21"/>
                <w:highlight w:val="none"/>
              </w:rPr>
              <w:t>。</w:t>
            </w:r>
          </w:p>
          <w:p w14:paraId="6E443C44">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.技术支持：</w:t>
            </w:r>
          </w:p>
          <w:p w14:paraId="72A063E2">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供应商应及时免费提供合同货物软件的升级，免费提供合同货物新功能和应用的资料。</w:t>
            </w:r>
          </w:p>
          <w:p w14:paraId="6C3BBCD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.供应商应提供质保期满后主要零部件报价单、质保期满后维护费、软件升级及其相关服务内容；</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rPr>
              <w:t>产品相关配件、附件、备品备件及耗材的准备和保障措施、消耗水平和成本</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w:t>
            </w:r>
          </w:p>
        </w:tc>
      </w:tr>
      <w:tr w14:paraId="2EC49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384B641">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50203ADE">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供应商应对采购人的操作人员、维修人员免费进行培训；</w:t>
            </w:r>
          </w:p>
          <w:p w14:paraId="6A7074A3">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2.培训</w:t>
            </w:r>
            <w:r>
              <w:rPr>
                <w:rFonts w:hint="eastAsia" w:ascii="宋体" w:hAnsi="宋体" w:eastAsia="宋体" w:cs="宋体"/>
                <w:sz w:val="21"/>
                <w:szCs w:val="21"/>
                <w:highlight w:val="none"/>
              </w:rPr>
              <w:t>实现方式、时间、地点、人数应在投标文件中详细说明</w:t>
            </w:r>
            <w:r>
              <w:rPr>
                <w:rFonts w:hint="eastAsia" w:ascii="宋体" w:hAnsi="宋体" w:eastAsia="宋体" w:cs="宋体"/>
                <w:sz w:val="21"/>
                <w:szCs w:val="21"/>
                <w:highlight w:val="none"/>
                <w:lang w:eastAsia="zh-CN"/>
              </w:rPr>
              <w:t>；</w:t>
            </w:r>
          </w:p>
          <w:p w14:paraId="353F443A">
            <w:pPr>
              <w:adjustRightInd w:val="0"/>
              <w:snapToGrid w:val="0"/>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供应商应提供相应的培训计划、培训范围，实施方案</w:t>
            </w:r>
            <w:r>
              <w:rPr>
                <w:rFonts w:hint="eastAsia" w:ascii="宋体" w:hAnsi="宋体" w:cs="宋体"/>
                <w:sz w:val="21"/>
                <w:szCs w:val="21"/>
                <w:highlight w:val="none"/>
                <w:lang w:eastAsia="zh-CN"/>
              </w:rPr>
              <w:t>。</w:t>
            </w:r>
          </w:p>
        </w:tc>
      </w:tr>
      <w:tr w14:paraId="3567A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0C5A8C71">
            <w:pPr>
              <w:adjustRightInd w:val="0"/>
              <w:snapToGrid w:val="0"/>
              <w:spacing w:line="288"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476C7246">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1.验收由采购人负责实施；</w:t>
            </w:r>
          </w:p>
          <w:p w14:paraId="44C27DF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2.验收依据：</w:t>
            </w:r>
          </w:p>
          <w:p w14:paraId="43C36A3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2.1合同、招标文件、投标文件；</w:t>
            </w:r>
          </w:p>
          <w:p w14:paraId="0D0A7DA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2.2供应商提供的技术规格、经采购人认可的合同货物的有效检验文件；</w:t>
            </w:r>
          </w:p>
          <w:p w14:paraId="0424E12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2.3供应商投标文件中提供的经采购人认可的合同货物的验收标准（符合中国有关的国家、地方、行业标准）和检测办法及相应检测手段。</w:t>
            </w:r>
          </w:p>
          <w:p w14:paraId="5B9F8AB8">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EBA426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4.验收合格的条件：</w:t>
            </w:r>
          </w:p>
          <w:p w14:paraId="4CD3D8E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4.1所供货物符合产品标准和合同的要求；</w:t>
            </w:r>
          </w:p>
          <w:p w14:paraId="4C03818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4.2在进行测试和验收过程中发现的问题已被解决并得到采购人的认可；</w:t>
            </w:r>
          </w:p>
          <w:p w14:paraId="1070212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4.3合同中规定的所有货物和材料均已交付；</w:t>
            </w:r>
          </w:p>
          <w:p w14:paraId="0A5F3F1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4.4所供货物已通过使用单位组织的验收；</w:t>
            </w:r>
          </w:p>
          <w:p w14:paraId="7C04E3EF">
            <w:pPr>
              <w:adjustRightInd w:val="0"/>
              <w:snapToGrid w:val="0"/>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4.5所有相关的技术文件及资料均已提交并得到接受。</w:t>
            </w:r>
          </w:p>
        </w:tc>
      </w:tr>
    </w:tbl>
    <w:p w14:paraId="3978BC0C">
      <w:pPr>
        <w:adjustRightInd w:val="0"/>
        <w:snapToGrid w:val="0"/>
        <w:spacing w:line="288" w:lineRule="auto"/>
        <w:ind w:left="238" w:hanging="238" w:hangingChars="113"/>
        <w:rPr>
          <w:rFonts w:ascii="宋体" w:hAnsi="宋体"/>
          <w:b/>
          <w:sz w:val="21"/>
          <w:szCs w:val="21"/>
          <w:highlight w:val="none"/>
        </w:rPr>
      </w:pPr>
    </w:p>
    <w:p w14:paraId="35815BE5">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四</w:t>
      </w:r>
      <w:r>
        <w:rPr>
          <w:rFonts w:ascii="宋体" w:hAnsi="宋体"/>
          <w:b/>
          <w:sz w:val="21"/>
          <w:szCs w:val="21"/>
          <w:highlight w:val="none"/>
        </w:rPr>
        <w:t>、技术要求</w:t>
      </w:r>
    </w:p>
    <w:p w14:paraId="32004C89">
      <w:pPr>
        <w:adjustRightInd w:val="0"/>
        <w:snapToGrid w:val="0"/>
        <w:spacing w:line="288" w:lineRule="auto"/>
        <w:rPr>
          <w:rFonts w:ascii="宋体" w:hAnsi="宋体"/>
          <w:sz w:val="21"/>
          <w:szCs w:val="21"/>
          <w:highlight w:val="none"/>
        </w:rPr>
      </w:pPr>
    </w:p>
    <w:p w14:paraId="0CBAABFA">
      <w:pPr>
        <w:adjustRightInd w:val="0"/>
        <w:snapToGrid w:val="0"/>
        <w:spacing w:line="288" w:lineRule="auto"/>
        <w:rPr>
          <w:rFonts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bookmarkStart w:id="2" w:name="_Hlk94018176"/>
      <w:r>
        <w:rPr>
          <w:rFonts w:hint="eastAsia" w:ascii="宋体" w:hAnsi="宋体" w:cs="宋体"/>
          <w:sz w:val="21"/>
          <w:szCs w:val="21"/>
          <w:highlight w:val="none"/>
        </w:rPr>
        <w:t>如技术要求中未注明需执行的国家相关标准、行业标准、地方标准或者其他标准、规范的，执行最新标准、规范。</w:t>
      </w:r>
      <w:bookmarkEnd w:id="2"/>
    </w:p>
    <w:p w14:paraId="6978F90F">
      <w:pPr>
        <w:adjustRightInd w:val="0"/>
        <w:snapToGrid w:val="0"/>
        <w:spacing w:line="288" w:lineRule="auto"/>
        <w:rPr>
          <w:rFonts w:ascii="宋体" w:hAnsi="宋体" w:cs="宋体"/>
          <w:b w:val="0"/>
          <w:bCs w:val="0"/>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w:t>
      </w:r>
      <w:r>
        <w:rPr>
          <w:rFonts w:hint="eastAsia" w:ascii="宋体" w:hAnsi="宋体" w:cs="宋体"/>
          <w:b w:val="0"/>
          <w:bCs w:val="0"/>
          <w:sz w:val="21"/>
          <w:szCs w:val="21"/>
          <w:highlight w:val="none"/>
        </w:rPr>
        <w:t>电感耦合等离子体质谱仪（ICP-MS）可同时分析从痕量到常量级的70多种元素，可以实现元素的总量分析、同位素分析；气相色谱质谱联用仪（</w:t>
      </w:r>
      <w:r>
        <w:rPr>
          <w:rFonts w:ascii="宋体" w:hAnsi="宋体" w:cs="宋体"/>
          <w:b w:val="0"/>
          <w:bCs w:val="0"/>
          <w:sz w:val="21"/>
          <w:szCs w:val="21"/>
          <w:highlight w:val="none"/>
        </w:rPr>
        <w:t>GCMS</w:t>
      </w:r>
      <w:r>
        <w:rPr>
          <w:rFonts w:hint="eastAsia" w:ascii="宋体" w:hAnsi="宋体" w:cs="宋体"/>
          <w:b w:val="0"/>
          <w:bCs w:val="0"/>
          <w:sz w:val="21"/>
          <w:szCs w:val="21"/>
          <w:highlight w:val="none"/>
        </w:rPr>
        <w:t>）可进行高分辨率、高灵敏度的复杂有机物检测，可以实现有机物分离鉴定、痕量检测和复杂样品分析。</w:t>
      </w:r>
    </w:p>
    <w:p w14:paraId="26F32BA3">
      <w:pPr>
        <w:adjustRightInd w:val="0"/>
        <w:snapToGrid w:val="0"/>
        <w:spacing w:line="288" w:lineRule="auto"/>
        <w:rPr>
          <w:rFonts w:ascii="宋体" w:hAnsi="宋体"/>
          <w:b/>
          <w:bCs/>
          <w:spacing w:val="-4"/>
          <w:sz w:val="21"/>
          <w:szCs w:val="21"/>
          <w:highlight w:val="none"/>
        </w:rPr>
      </w:pPr>
      <w:r>
        <w:rPr>
          <w:rFonts w:ascii="宋体" w:hAnsi="宋体"/>
          <w:b/>
          <w:bCs/>
          <w:spacing w:val="-4"/>
          <w:sz w:val="21"/>
          <w:szCs w:val="21"/>
          <w:highlight w:val="none"/>
        </w:rPr>
        <w:t>3.</w:t>
      </w:r>
      <w:r>
        <w:rPr>
          <w:rFonts w:hint="eastAsia" w:ascii="宋体" w:hAnsi="宋体"/>
          <w:b/>
          <w:bCs/>
          <w:spacing w:val="-4"/>
          <w:sz w:val="21"/>
          <w:szCs w:val="21"/>
          <w:highlight w:val="none"/>
        </w:rPr>
        <w:t>需满足的质量、安全、技术规格、物理特性等要求：</w:t>
      </w:r>
    </w:p>
    <w:tbl>
      <w:tblPr>
        <w:tblStyle w:val="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2B775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A34A1EA">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810" w:type="dxa"/>
            <w:vAlign w:val="center"/>
          </w:tcPr>
          <w:p w14:paraId="14A1057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661" w:type="dxa"/>
            <w:vAlign w:val="center"/>
          </w:tcPr>
          <w:p w14:paraId="5E35F45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661" w:type="dxa"/>
            <w:vAlign w:val="center"/>
          </w:tcPr>
          <w:p w14:paraId="790368F1">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6269" w:type="dxa"/>
            <w:vAlign w:val="center"/>
          </w:tcPr>
          <w:p w14:paraId="15322ED2">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质量、安全、技术规格、物理特性等要求</w:t>
            </w:r>
          </w:p>
        </w:tc>
      </w:tr>
      <w:tr w14:paraId="0C87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3668DA8">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1810" w:type="dxa"/>
            <w:shd w:val="clear" w:color="auto" w:fill="auto"/>
            <w:vAlign w:val="center"/>
          </w:tcPr>
          <w:p w14:paraId="54E7046B">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电感耦合等离子体质谱仪</w:t>
            </w:r>
          </w:p>
          <w:p w14:paraId="73468D01">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（允许进口）</w:t>
            </w:r>
          </w:p>
          <w:p w14:paraId="405FE41D">
            <w:pPr>
              <w:adjustRightInd w:val="0"/>
              <w:snapToGrid w:val="0"/>
              <w:spacing w:line="288" w:lineRule="auto"/>
              <w:jc w:val="center"/>
              <w:rPr>
                <w:rFonts w:ascii="宋体" w:hAnsi="宋体" w:cs="宋体"/>
                <w:bCs/>
                <w:sz w:val="21"/>
                <w:szCs w:val="21"/>
                <w:highlight w:val="none"/>
              </w:rPr>
            </w:pPr>
            <w:r>
              <w:rPr>
                <w:rFonts w:hint="eastAsia" w:ascii="宋体" w:hAnsi="宋体" w:cs="宋体"/>
                <w:b/>
                <w:sz w:val="21"/>
                <w:szCs w:val="21"/>
                <w:highlight w:val="none"/>
              </w:rPr>
              <w:t>（核心产品）</w:t>
            </w:r>
          </w:p>
        </w:tc>
        <w:tc>
          <w:tcPr>
            <w:tcW w:w="661" w:type="dxa"/>
            <w:vAlign w:val="center"/>
          </w:tcPr>
          <w:p w14:paraId="44CDA461">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661" w:type="dxa"/>
            <w:vAlign w:val="center"/>
          </w:tcPr>
          <w:p w14:paraId="1B660510">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台</w:t>
            </w:r>
          </w:p>
        </w:tc>
        <w:tc>
          <w:tcPr>
            <w:tcW w:w="6269" w:type="dxa"/>
            <w:vAlign w:val="center"/>
          </w:tcPr>
          <w:p w14:paraId="64F21FA2">
            <w:pPr>
              <w:pStyle w:val="2"/>
              <w:spacing w:before="0" w:beforeAutospacing="0" w:after="0" w:afterAutospacing="0" w:line="288" w:lineRule="auto"/>
              <w:ind w:firstLine="0"/>
              <w:jc w:val="both"/>
              <w:rPr>
                <w:rFonts w:asciiTheme="minorEastAsia" w:hAnsiTheme="minorEastAsia" w:eastAsiaTheme="minorEastAsia" w:cstheme="minorEastAsia"/>
                <w:b/>
                <w:color w:val="000000"/>
                <w:kern w:val="2"/>
                <w:sz w:val="21"/>
                <w:szCs w:val="21"/>
                <w:highlight w:val="none"/>
              </w:rPr>
            </w:pPr>
            <w:r>
              <w:rPr>
                <w:rFonts w:hint="eastAsia" w:asciiTheme="minorEastAsia" w:hAnsiTheme="minorEastAsia" w:eastAsiaTheme="minorEastAsia" w:cstheme="minorEastAsia"/>
                <w:b/>
                <w:color w:val="000000"/>
                <w:kern w:val="2"/>
                <w:sz w:val="21"/>
                <w:szCs w:val="21"/>
                <w:highlight w:val="none"/>
              </w:rPr>
              <w:t>1.总体要求</w:t>
            </w:r>
          </w:p>
          <w:p w14:paraId="3AB26ABB">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 电感耦合等离子体质谱仪必须具备以下核心部件：</w:t>
            </w:r>
          </w:p>
          <w:p w14:paraId="5E6CE72D">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1.1. 离子透镜：具有可施加电压的提取透镜，轴向聚焦并提升离子传输效率。偏转透镜可实现离轴偏转，将待测离子与中性粒子及光子有效分离，降低系统背景噪声。</w:t>
            </w:r>
          </w:p>
          <w:p w14:paraId="15FFB2B7">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1.2.除干扰装置：具备独立八极杆型设计的碰撞/反应池，彻底去除质谱干扰，确保测定结果准确性。</w:t>
            </w:r>
          </w:p>
          <w:p w14:paraId="4DE37375">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1.3. 四极杆质量过滤器：通过四极杆质量扫描实现待测元素定性检测。</w:t>
            </w:r>
          </w:p>
          <w:p w14:paraId="09C0D15C">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1.4. 检测器：双模式电子倍增器，经转换放大为可记录的电信号，实现待测元素定量检测。</w:t>
            </w:r>
          </w:p>
          <w:p w14:paraId="022D0DC7">
            <w:pPr>
              <w:pStyle w:val="5"/>
              <w:spacing w:line="288" w:lineRule="auto"/>
              <w:jc w:val="both"/>
              <w:rPr>
                <w:rFonts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2. 该仪器应适用于不同应用领域的各类样品的元素分析、同位素分析和元素形态分析任务，满足制药、食品、环境、地质、化工、生物、材料等分析要求。</w:t>
            </w:r>
          </w:p>
          <w:p w14:paraId="63E0F46A">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2.工作条件</w:t>
            </w:r>
          </w:p>
          <w:p w14:paraId="31206120">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2.1. 环境温度： 15~30</w:t>
            </w:r>
            <w:r>
              <w:rPr>
                <w:rFonts w:hint="eastAsia" w:asciiTheme="minorEastAsia" w:hAnsiTheme="minorEastAsia" w:eastAsiaTheme="minorEastAsia" w:cstheme="minorEastAsia"/>
                <w:color w:val="000000"/>
                <w:sz w:val="21"/>
                <w:szCs w:val="21"/>
                <w:highlight w:val="none"/>
              </w:rPr>
              <w:sym w:font="Symbol" w:char="F0B0"/>
            </w:r>
            <w:r>
              <w:rPr>
                <w:rFonts w:hint="eastAsia" w:asciiTheme="minorEastAsia" w:hAnsiTheme="minorEastAsia" w:eastAsiaTheme="minorEastAsia" w:cstheme="minorEastAsia"/>
                <w:color w:val="000000"/>
                <w:sz w:val="21"/>
                <w:szCs w:val="21"/>
                <w:highlight w:val="none"/>
              </w:rPr>
              <w:t>C</w:t>
            </w:r>
          </w:p>
          <w:p w14:paraId="525C8327">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2.2. 环境湿度： 20~80%</w:t>
            </w:r>
          </w:p>
          <w:p w14:paraId="0CE82A05">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2.3. 电源：200~240V，30A，50/60Hz</w:t>
            </w:r>
          </w:p>
          <w:p w14:paraId="593BAF8B">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3.技术参数</w:t>
            </w:r>
          </w:p>
          <w:p w14:paraId="267A1DF7">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 硬件</w:t>
            </w:r>
          </w:p>
          <w:p w14:paraId="14FF839F">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3.1.1 雾化器：高效同心雾化器，提供最佳雾化效率。</w:t>
            </w:r>
          </w:p>
          <w:p w14:paraId="2FF033E6">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3.1.2. 雾室：双通道石英材质，死体积小，记忆效应低，筛选气溶胶均匀且稳定，必须包裹于帕尔帖制冷装置中，低温提升去溶剂效果。</w:t>
            </w:r>
          </w:p>
          <w:p w14:paraId="1FA16B08">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★3.1.3高盐样品进样系统：仪器配置高盐样品进样组件或全自动在线稀释装置，无需手动稀释，可连续测定TDS含量不低于25%的样品溶液；</w:t>
            </w:r>
            <w:r>
              <w:rPr>
                <w:rFonts w:hint="eastAsia" w:asciiTheme="minorEastAsia" w:hAnsiTheme="minorEastAsia" w:eastAsiaTheme="minorEastAsia" w:cstheme="minorEastAsia"/>
                <w:b/>
                <w:bCs/>
                <w:color w:val="000000"/>
                <w:sz w:val="21"/>
                <w:szCs w:val="21"/>
                <w:highlight w:val="none"/>
                <w:u w:val="single"/>
              </w:rPr>
              <w:t>配置2路气体即补偿气和稀释气体，稀释气体拥有5种不同稀释比，可实现4倍、8倍、25倍、50倍、100倍的预设稀释条件自由切换</w:t>
            </w:r>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b/>
                <w:bCs/>
                <w:color w:val="000000"/>
                <w:sz w:val="21"/>
                <w:szCs w:val="21"/>
                <w:highlight w:val="none"/>
              </w:rPr>
              <w:t>（投标文件中提供软件2路气体和预设稀释倍数设定的软件截图证明满足下划线内容）</w:t>
            </w:r>
          </w:p>
          <w:p w14:paraId="36CDBAC9">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3.1.4.气路控制：整机配备5路高精度气体质量流量计，控制包括等离子体气、辅助气、载气、稀释气、碰撞气等气体流速。</w:t>
            </w:r>
          </w:p>
          <w:p w14:paraId="6FCE9D2D">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3.1.5. 基体匹配系统：为应对不同盐度，不同基体样品直接上机分析，须至少拥有3种不同的等离子体模式（高灵敏度、常规和高基体HMI），在无须熄灭等离子体前提下可实现在线快速切换，确保最佳基体解离效果。</w:t>
            </w:r>
          </w:p>
          <w:p w14:paraId="4E03333B">
            <w:pPr>
              <w:pStyle w:val="2"/>
              <w:spacing w:before="0" w:beforeAutospacing="0" w:after="0" w:afterAutospacing="0" w:line="288" w:lineRule="auto"/>
              <w:ind w:firstLine="0"/>
              <w:jc w:val="both"/>
              <w:rPr>
                <w:rFonts w:asciiTheme="minorEastAsia" w:hAnsiTheme="minorEastAsia" w:eastAsiaTheme="minorEastAsia" w:cstheme="minorEastAsia"/>
                <w:b/>
                <w:bCs/>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★3.1.6.离子源：固态射频发生器，功率范围600~1600W，</w:t>
            </w:r>
            <w:r>
              <w:rPr>
                <w:rFonts w:hint="eastAsia" w:asciiTheme="minorEastAsia" w:hAnsiTheme="minorEastAsia" w:eastAsiaTheme="minorEastAsia" w:cstheme="minorEastAsia"/>
                <w:b/>
                <w:bCs/>
                <w:color w:val="000000"/>
                <w:kern w:val="2"/>
                <w:sz w:val="21"/>
                <w:szCs w:val="21"/>
                <w:highlight w:val="none"/>
                <w:u w:val="single"/>
              </w:rPr>
              <w:t>频率≤27.12 MHz</w:t>
            </w:r>
            <w:r>
              <w:rPr>
                <w:rFonts w:hint="eastAsia" w:asciiTheme="minorEastAsia" w:hAnsiTheme="minorEastAsia" w:eastAsiaTheme="minorEastAsia" w:cstheme="minorEastAsia"/>
                <w:color w:val="000000"/>
                <w:kern w:val="2"/>
                <w:sz w:val="21"/>
                <w:szCs w:val="21"/>
                <w:highlight w:val="none"/>
              </w:rPr>
              <w:t>。变频设计快速匹配样品基体剧烈变化，水切换至有机相不熄火。</w:t>
            </w:r>
            <w:r>
              <w:rPr>
                <w:rFonts w:hint="eastAsia" w:asciiTheme="minorEastAsia" w:hAnsiTheme="minorEastAsia" w:eastAsiaTheme="minorEastAsia" w:cstheme="minorEastAsia"/>
                <w:b/>
                <w:bCs/>
                <w:color w:val="000000"/>
                <w:kern w:val="2"/>
                <w:sz w:val="21"/>
                <w:szCs w:val="21"/>
                <w:highlight w:val="none"/>
                <w:u w:val="single"/>
              </w:rPr>
              <w:t>屏蔽炬设计消除二次放电</w:t>
            </w:r>
            <w:r>
              <w:rPr>
                <w:rFonts w:hint="eastAsia" w:asciiTheme="minorEastAsia" w:hAnsiTheme="minorEastAsia" w:eastAsiaTheme="minorEastAsia" w:cstheme="minorEastAsia"/>
                <w:color w:val="000000"/>
                <w:kern w:val="2"/>
                <w:sz w:val="21"/>
                <w:szCs w:val="21"/>
                <w:highlight w:val="none"/>
              </w:rPr>
              <w:t>，等离子体真正接地，彻底杜绝意外放电打坏射频线圈。</w:t>
            </w:r>
            <w:r>
              <w:rPr>
                <w:rFonts w:hint="eastAsia" w:asciiTheme="minorEastAsia" w:hAnsiTheme="minorEastAsia" w:eastAsiaTheme="minorEastAsia" w:cstheme="minorEastAsia"/>
                <w:b/>
                <w:bCs/>
                <w:color w:val="000000"/>
                <w:kern w:val="2"/>
                <w:sz w:val="21"/>
                <w:szCs w:val="21"/>
                <w:highlight w:val="none"/>
              </w:rPr>
              <w:t>（投标文件中提供射频频率指标的软件截图和炬管屏蔽炬实物图或彩页材料等证明满足下划线内容）</w:t>
            </w:r>
          </w:p>
          <w:p w14:paraId="66340F3C">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3.1.7. 炬管：必须为全石英材质，无O圈一体式设计，拆卸维护方便，炬管X/Y/Z定位可由电机控制自动完成。</w:t>
            </w:r>
          </w:p>
          <w:p w14:paraId="75121791">
            <w:pPr>
              <w:pStyle w:val="2"/>
              <w:spacing w:before="0" w:beforeAutospacing="0" w:after="0" w:afterAutospacing="0" w:line="288" w:lineRule="auto"/>
              <w:ind w:firstLine="0"/>
              <w:jc w:val="both"/>
              <w:rPr>
                <w:rFonts w:asciiTheme="minorEastAsia" w:hAnsiTheme="minorEastAsia" w:eastAsiaTheme="minorEastAsia" w:cstheme="minorEastAsia"/>
                <w:b/>
                <w:bCs/>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★3.1.8.接口：镍制样品锥和截取锥组成的双锥接口，</w:t>
            </w:r>
            <w:r>
              <w:rPr>
                <w:rFonts w:hint="eastAsia" w:asciiTheme="minorEastAsia" w:hAnsiTheme="minorEastAsia" w:eastAsiaTheme="minorEastAsia" w:cstheme="minorEastAsia"/>
                <w:b/>
                <w:bCs/>
                <w:color w:val="000000"/>
                <w:kern w:val="2"/>
                <w:sz w:val="21"/>
                <w:szCs w:val="21"/>
                <w:highlight w:val="none"/>
                <w:u w:val="single"/>
              </w:rPr>
              <w:t>要求锥数量≤2个，采样锥孔径≤1.0mm，截取锥孔径≤0.50mm</w:t>
            </w:r>
            <w:r>
              <w:rPr>
                <w:rFonts w:hint="eastAsia" w:asciiTheme="minorEastAsia" w:hAnsiTheme="minorEastAsia" w:eastAsiaTheme="minorEastAsia" w:cstheme="minorEastAsia"/>
                <w:color w:val="000000"/>
                <w:kern w:val="2"/>
                <w:sz w:val="21"/>
                <w:szCs w:val="21"/>
                <w:highlight w:val="none"/>
              </w:rPr>
              <w:t>。两锥之间不得通入任何碰撞或反应气体。</w:t>
            </w:r>
            <w:r>
              <w:rPr>
                <w:rFonts w:hint="eastAsia" w:asciiTheme="minorEastAsia" w:hAnsiTheme="minorEastAsia" w:eastAsiaTheme="minorEastAsia" w:cstheme="minorEastAsia"/>
                <w:b/>
                <w:bCs/>
                <w:color w:val="000000"/>
                <w:kern w:val="2"/>
                <w:sz w:val="21"/>
                <w:szCs w:val="21"/>
                <w:highlight w:val="none"/>
              </w:rPr>
              <w:t>（投标文件中提供材料证明满足下划线内容）</w:t>
            </w:r>
          </w:p>
          <w:p w14:paraId="1323F71A">
            <w:pPr>
              <w:pStyle w:val="2"/>
              <w:spacing w:before="0" w:beforeAutospacing="0" w:after="0" w:afterAutospacing="0" w:line="288" w:lineRule="auto"/>
              <w:ind w:firstLine="0"/>
              <w:jc w:val="both"/>
              <w:rPr>
                <w:rFonts w:asciiTheme="minorEastAsia" w:hAnsiTheme="minorEastAsia" w:eastAsiaTheme="minorEastAsia" w:cstheme="minorEastAsia"/>
                <w:b/>
                <w:bCs/>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3.1.9. 离子透镜：</w:t>
            </w:r>
            <w:r>
              <w:rPr>
                <w:rFonts w:hint="eastAsia" w:asciiTheme="minorEastAsia" w:hAnsiTheme="minorEastAsia" w:eastAsiaTheme="minorEastAsia" w:cstheme="minorEastAsia"/>
                <w:b w:val="0"/>
                <w:bCs w:val="0"/>
                <w:color w:val="000000"/>
                <w:kern w:val="2"/>
                <w:sz w:val="21"/>
                <w:szCs w:val="21"/>
                <w:highlight w:val="none"/>
                <w:u w:val="none"/>
              </w:rPr>
              <w:t>必须配备两个提取透镜</w:t>
            </w:r>
            <w:r>
              <w:rPr>
                <w:rFonts w:hint="eastAsia" w:asciiTheme="minorEastAsia" w:hAnsiTheme="minorEastAsia" w:eastAsiaTheme="minorEastAsia" w:cstheme="minorEastAsia"/>
                <w:color w:val="000000"/>
                <w:kern w:val="2"/>
                <w:sz w:val="21"/>
                <w:szCs w:val="21"/>
                <w:highlight w:val="none"/>
              </w:rPr>
              <w:t>，可施加电压来增强离子提取效果。偏转透镜可同时施加正、负双电压，实现双离轴偏转，降噪同时提升整体灵敏度。</w:t>
            </w:r>
          </w:p>
          <w:p w14:paraId="64921B33">
            <w:pPr>
              <w:pStyle w:val="2"/>
              <w:spacing w:before="0" w:beforeAutospacing="0" w:after="0" w:afterAutospacing="0" w:line="288" w:lineRule="auto"/>
              <w:ind w:firstLine="0"/>
              <w:jc w:val="both"/>
              <w:rPr>
                <w:rFonts w:asciiTheme="minorEastAsia" w:hAnsiTheme="minorEastAsia" w:eastAsiaTheme="minorEastAsia" w:cstheme="minorEastAsia"/>
                <w:b/>
                <w:bCs/>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★3.1.10. 碰撞/反应池：</w:t>
            </w:r>
            <w:r>
              <w:rPr>
                <w:rFonts w:hint="eastAsia" w:asciiTheme="minorEastAsia" w:hAnsiTheme="minorEastAsia" w:eastAsiaTheme="minorEastAsia" w:cstheme="minorEastAsia"/>
                <w:b/>
                <w:bCs/>
                <w:color w:val="000000"/>
                <w:kern w:val="2"/>
                <w:sz w:val="21"/>
                <w:szCs w:val="21"/>
                <w:highlight w:val="none"/>
                <w:u w:val="single"/>
              </w:rPr>
              <w:t>温控型八极杆设计，要求温度范围55~95℃</w:t>
            </w:r>
            <w:r>
              <w:rPr>
                <w:rFonts w:hint="eastAsia" w:asciiTheme="minorEastAsia" w:hAnsiTheme="minorEastAsia" w:eastAsiaTheme="minorEastAsia" w:cstheme="minorEastAsia"/>
                <w:color w:val="000000"/>
                <w:kern w:val="2"/>
                <w:sz w:val="21"/>
                <w:szCs w:val="21"/>
                <w:highlight w:val="none"/>
              </w:rPr>
              <w:t>，0.1℃可调。必须拥有3种以上工作模式，除干扰以碰撞模式为优先。</w:t>
            </w:r>
            <w:r>
              <w:rPr>
                <w:rFonts w:hint="eastAsia" w:asciiTheme="minorEastAsia" w:hAnsiTheme="minorEastAsia" w:eastAsiaTheme="minorEastAsia" w:cstheme="minorEastAsia"/>
                <w:b/>
                <w:bCs/>
                <w:color w:val="000000"/>
                <w:kern w:val="2"/>
                <w:sz w:val="21"/>
                <w:szCs w:val="21"/>
                <w:highlight w:val="none"/>
                <w:u w:val="single"/>
              </w:rPr>
              <w:t>氦气流速可设为12 mL/min</w:t>
            </w:r>
            <w:r>
              <w:rPr>
                <w:rFonts w:hint="eastAsia" w:asciiTheme="minorEastAsia" w:hAnsiTheme="minorEastAsia" w:eastAsiaTheme="minorEastAsia" w:cstheme="minorEastAsia"/>
                <w:color w:val="000000"/>
                <w:kern w:val="2"/>
                <w:sz w:val="21"/>
                <w:szCs w:val="21"/>
                <w:highlight w:val="none"/>
              </w:rPr>
              <w:t>，彻底消除如ArAr+、ClO+对Se、V的干扰。</w:t>
            </w:r>
            <w:r>
              <w:rPr>
                <w:rFonts w:hint="eastAsia" w:asciiTheme="minorEastAsia" w:hAnsiTheme="minorEastAsia" w:eastAsiaTheme="minorEastAsia" w:cstheme="minorEastAsia"/>
                <w:b/>
                <w:bCs/>
                <w:color w:val="000000"/>
                <w:kern w:val="2"/>
                <w:sz w:val="21"/>
                <w:szCs w:val="21"/>
                <w:highlight w:val="none"/>
              </w:rPr>
              <w:t>(投标文件中须提供八极杆池温控参数和氦气气体流量的软件截图证明满足下划线内容）</w:t>
            </w:r>
          </w:p>
          <w:p w14:paraId="647A1CE8">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kern w:val="2"/>
                <w:sz w:val="21"/>
                <w:szCs w:val="21"/>
                <w:highlight w:val="none"/>
              </w:rPr>
              <w:t>3.1.11.四极杆质量过滤器：钼材质物理双曲面设计，</w:t>
            </w:r>
            <w:r>
              <w:rPr>
                <w:rFonts w:hint="eastAsia" w:asciiTheme="minorEastAsia" w:hAnsiTheme="minorEastAsia" w:eastAsiaTheme="minorEastAsia" w:cstheme="minorEastAsia"/>
                <w:b/>
                <w:bCs/>
                <w:color w:val="000000"/>
                <w:kern w:val="2"/>
                <w:sz w:val="21"/>
                <w:szCs w:val="21"/>
                <w:highlight w:val="none"/>
                <w:u w:val="single"/>
              </w:rPr>
              <w:t>驱动频率≥2.8 MHz</w:t>
            </w:r>
            <w:r>
              <w:rPr>
                <w:rFonts w:hint="eastAsia" w:asciiTheme="minorEastAsia" w:hAnsiTheme="minorEastAsia" w:eastAsiaTheme="minorEastAsia" w:cstheme="minorEastAsia"/>
                <w:color w:val="000000"/>
                <w:kern w:val="2"/>
                <w:sz w:val="21"/>
                <w:szCs w:val="21"/>
                <w:highlight w:val="none"/>
              </w:rPr>
              <w:t>，质量范围不低于2~258 amu</w:t>
            </w:r>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b/>
                <w:bCs/>
                <w:color w:val="000000"/>
                <w:sz w:val="21"/>
                <w:szCs w:val="21"/>
                <w:highlight w:val="none"/>
              </w:rPr>
              <w:t>（</w:t>
            </w:r>
            <w:r>
              <w:rPr>
                <w:rFonts w:hint="eastAsia" w:asciiTheme="minorEastAsia" w:hAnsiTheme="minorEastAsia" w:eastAsiaTheme="minorEastAsia" w:cstheme="minorEastAsia"/>
                <w:b/>
                <w:bCs/>
                <w:color w:val="000000"/>
                <w:kern w:val="2"/>
                <w:sz w:val="21"/>
                <w:szCs w:val="21"/>
                <w:highlight w:val="none"/>
              </w:rPr>
              <w:t>投标文件中</w:t>
            </w:r>
            <w:r>
              <w:rPr>
                <w:rFonts w:hint="eastAsia" w:asciiTheme="minorEastAsia" w:hAnsiTheme="minorEastAsia" w:eastAsiaTheme="minorEastAsia" w:cstheme="minorEastAsia"/>
                <w:b/>
                <w:bCs/>
                <w:color w:val="000000"/>
                <w:sz w:val="21"/>
                <w:szCs w:val="21"/>
                <w:highlight w:val="none"/>
              </w:rPr>
              <w:t>提供四极杆驱动频率软件截图证明</w:t>
            </w:r>
            <w:r>
              <w:rPr>
                <w:rFonts w:hint="eastAsia" w:asciiTheme="minorEastAsia" w:hAnsiTheme="minorEastAsia" w:eastAsiaTheme="minorEastAsia" w:cstheme="minorEastAsia"/>
                <w:b/>
                <w:bCs/>
                <w:color w:val="000000"/>
                <w:kern w:val="2"/>
                <w:sz w:val="21"/>
                <w:szCs w:val="21"/>
                <w:highlight w:val="none"/>
              </w:rPr>
              <w:t>满足下划线内容</w:t>
            </w:r>
            <w:r>
              <w:rPr>
                <w:rFonts w:hint="eastAsia" w:asciiTheme="minorEastAsia" w:hAnsiTheme="minorEastAsia" w:eastAsiaTheme="minorEastAsia" w:cstheme="minorEastAsia"/>
                <w:b/>
                <w:bCs/>
                <w:color w:val="000000"/>
                <w:sz w:val="21"/>
                <w:szCs w:val="21"/>
                <w:highlight w:val="none"/>
              </w:rPr>
              <w:t>）</w:t>
            </w:r>
          </w:p>
          <w:p w14:paraId="1DE6DEA6">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3.1.12.检测器：正交型双模式电子倍增器，脉冲和模拟模式间可自动切换。待测离子通过质量过滤器后，经90度偏转再进入检测器，降噪同时大幅延长检测器寿命。</w:t>
            </w:r>
          </w:p>
          <w:p w14:paraId="1E15F6DF">
            <w:pPr>
              <w:pStyle w:val="2"/>
              <w:spacing w:before="0" w:beforeAutospacing="0" w:after="0" w:afterAutospacing="0" w:line="288" w:lineRule="auto"/>
              <w:ind w:firstLine="0"/>
              <w:jc w:val="both"/>
              <w:rPr>
                <w:rFonts w:hint="eastAsia" w:asciiTheme="minorEastAsia" w:hAnsiTheme="minorEastAsia" w:eastAsiaTheme="minorEastAsia" w:cstheme="minorEastAsia"/>
                <w:b/>
                <w:bCs/>
                <w:color w:val="000000"/>
                <w:kern w:val="2"/>
                <w:sz w:val="21"/>
                <w:szCs w:val="21"/>
                <w:highlight w:val="none"/>
                <w:lang w:eastAsia="zh-CN"/>
              </w:rPr>
            </w:pPr>
            <w:r>
              <w:rPr>
                <w:rFonts w:hint="eastAsia" w:asciiTheme="minorEastAsia" w:hAnsiTheme="minorEastAsia" w:eastAsiaTheme="minorEastAsia" w:cstheme="minorEastAsia"/>
                <w:color w:val="000000"/>
                <w:kern w:val="2"/>
                <w:sz w:val="21"/>
                <w:szCs w:val="21"/>
                <w:highlight w:val="none"/>
              </w:rPr>
              <w:t>3.1.13.</w:t>
            </w:r>
            <w:r>
              <w:rPr>
                <w:rFonts w:hint="eastAsia" w:asciiTheme="minorEastAsia" w:hAnsiTheme="minorEastAsia" w:eastAsiaTheme="minorEastAsia" w:cstheme="minorEastAsia"/>
                <w:b/>
                <w:bCs/>
                <w:color w:val="000000"/>
                <w:kern w:val="2"/>
                <w:sz w:val="21"/>
                <w:szCs w:val="21"/>
                <w:highlight w:val="none"/>
              </w:rPr>
              <w:t>检测器寿命</w:t>
            </w:r>
            <w:r>
              <w:rPr>
                <w:rFonts w:hint="eastAsia" w:asciiTheme="minorEastAsia" w:hAnsiTheme="minorEastAsia" w:eastAsiaTheme="minorEastAsia" w:cstheme="minorEastAsia"/>
                <w:color w:val="000000"/>
                <w:kern w:val="2"/>
                <w:sz w:val="21"/>
                <w:szCs w:val="21"/>
                <w:highlight w:val="none"/>
              </w:rPr>
              <w:t>：电感耦合等离子体质谱仪检测器在每天250个饮用水样品以上的高频使用中寿命在10年以上，如果无法提供</w:t>
            </w:r>
            <w:r>
              <w:rPr>
                <w:rFonts w:hint="eastAsia" w:asciiTheme="minorEastAsia" w:hAnsiTheme="minorEastAsia" w:eastAsiaTheme="minorEastAsia" w:cstheme="minorEastAsia"/>
                <w:color w:val="000000"/>
                <w:kern w:val="2"/>
                <w:sz w:val="21"/>
                <w:szCs w:val="21"/>
                <w:highlight w:val="none"/>
                <w:lang w:val="en-US" w:eastAsia="zh-CN"/>
              </w:rPr>
              <w:t>达到以上要求</w:t>
            </w:r>
            <w:r>
              <w:rPr>
                <w:rFonts w:hint="eastAsia" w:asciiTheme="minorEastAsia" w:hAnsiTheme="minorEastAsia" w:eastAsiaTheme="minorEastAsia" w:cstheme="minorEastAsia"/>
                <w:color w:val="000000"/>
                <w:kern w:val="2"/>
                <w:sz w:val="21"/>
                <w:szCs w:val="21"/>
                <w:highlight w:val="none"/>
              </w:rPr>
              <w:t>，需额外配置5个检测器备用。</w:t>
            </w:r>
            <w:r>
              <w:rPr>
                <w:rFonts w:hint="eastAsia" w:asciiTheme="minorEastAsia" w:hAnsiTheme="minorEastAsia" w:eastAsiaTheme="minorEastAsia" w:cstheme="minorEastAsia"/>
                <w:b/>
                <w:bCs/>
                <w:color w:val="000000"/>
                <w:kern w:val="2"/>
                <w:sz w:val="21"/>
                <w:szCs w:val="21"/>
                <w:highlight w:val="none"/>
                <w:lang w:eastAsia="zh-CN"/>
              </w:rPr>
              <w:t>（</w:t>
            </w:r>
            <w:r>
              <w:rPr>
                <w:rFonts w:hint="eastAsia" w:asciiTheme="minorEastAsia" w:hAnsiTheme="minorEastAsia" w:eastAsiaTheme="minorEastAsia" w:cstheme="minorEastAsia"/>
                <w:b/>
                <w:bCs/>
                <w:color w:val="000000"/>
                <w:kern w:val="2"/>
                <w:sz w:val="21"/>
                <w:szCs w:val="21"/>
                <w:highlight w:val="none"/>
                <w:lang w:val="en-US" w:eastAsia="zh-CN"/>
              </w:rPr>
              <w:t>需提供承诺函</w:t>
            </w:r>
            <w:r>
              <w:rPr>
                <w:rFonts w:hint="eastAsia" w:asciiTheme="minorEastAsia" w:hAnsiTheme="minorEastAsia" w:eastAsiaTheme="minorEastAsia" w:cstheme="minorEastAsia"/>
                <w:b/>
                <w:bCs/>
                <w:color w:val="000000"/>
                <w:kern w:val="2"/>
                <w:sz w:val="21"/>
                <w:szCs w:val="21"/>
                <w:highlight w:val="none"/>
                <w:lang w:eastAsia="zh-CN"/>
              </w:rPr>
              <w:t>）</w:t>
            </w:r>
          </w:p>
          <w:p w14:paraId="0C511FF1">
            <w:pPr>
              <w:pStyle w:val="2"/>
              <w:spacing w:before="0" w:beforeAutospacing="0" w:after="0" w:afterAutospacing="0" w:line="288" w:lineRule="auto"/>
              <w:ind w:firstLine="0"/>
              <w:jc w:val="both"/>
              <w:rPr>
                <w:rFonts w:asciiTheme="minorEastAsia" w:hAnsiTheme="minorEastAsia" w:eastAsiaTheme="minorEastAsia" w:cstheme="minorEastAsia"/>
                <w:b/>
                <w:bCs/>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3.1.14. 碰撞/反应池干扰消除能力：由于ArAr+多原子离子对Se元素的严重干扰使之成为判断除干扰模式有效与否的关键指标，在无须使用如CH4或H2或O2或NH3气等反应气体模式下，可通过He碰撞模式直接将干扰彻底消除，获得78Se的DL≤5.0ppt，BEC≤5.0ppt，同时在7mL/min氦气流速下，78Se的BEC达到2.0ppt。如果必须在反应模式下实现以上DL和BEC要求，碰撞/反应池必须额外配置两路反应气路，并且由单独的质子流量计分别控制流量，实现在同一方法中的在线自动切换。</w:t>
            </w:r>
          </w:p>
          <w:p w14:paraId="7140B66A">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3.2. 工作站</w:t>
            </w:r>
          </w:p>
          <w:p w14:paraId="161C98E8">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3.2.1. 原厂配置计算机系统。</w:t>
            </w:r>
            <w:r>
              <w:rPr>
                <w:rFonts w:hint="eastAsia"/>
                <w:sz w:val="21"/>
                <w:szCs w:val="21"/>
                <w:highlight w:val="none"/>
              </w:rPr>
              <w:t>性能不低于</w:t>
            </w:r>
            <w:r>
              <w:rPr>
                <w:rFonts w:hint="eastAsia" w:asciiTheme="minorEastAsia" w:hAnsiTheme="minorEastAsia" w:eastAsiaTheme="minorEastAsia" w:cstheme="minorEastAsia"/>
                <w:color w:val="000000"/>
                <w:kern w:val="2"/>
                <w:sz w:val="21"/>
                <w:szCs w:val="21"/>
                <w:highlight w:val="none"/>
              </w:rPr>
              <w:t>i5-8500，16G，1T HDD，4G独立显卡，21.5寸显示器（分辨率：1920×1080），win11系统。</w:t>
            </w:r>
          </w:p>
          <w:p w14:paraId="4A28E8E0">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3.2.2. 打印复印彩色激光一体机，打印分辨率1200*2400dpi，打印速度：彩色10ppm，黑白12ppm，内存256MB，纸张大小A4。</w:t>
            </w:r>
          </w:p>
          <w:p w14:paraId="7AEE532D">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3.3. 软件</w:t>
            </w:r>
          </w:p>
          <w:p w14:paraId="5E6760A0">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3.3.1. 操作系统：Windows 11。</w:t>
            </w:r>
          </w:p>
          <w:p w14:paraId="3F40711A">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3.3.2. 全自动工作条件调谐（AutoTuning）。</w:t>
            </w:r>
          </w:p>
          <w:p w14:paraId="2FFCAA38">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3.3.3. 虚拟内标法（VIS）通过在已有的多个内标元素之间的插入一个“虚拟”的内标进行校正，虚拟内标更接近目标元素质量数，更可靠地校正各种样品基体效应。</w:t>
            </w:r>
          </w:p>
          <w:p w14:paraId="2A84D9E9">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3.3.4. 批量数据表功能质量控制标准的在线显示与控制数据直接输出到Microsoft Excel表格（随机配置）或LIMS数据系统。</w:t>
            </w:r>
          </w:p>
          <w:p w14:paraId="3DE996AD">
            <w:pPr>
              <w:pStyle w:val="2"/>
              <w:spacing w:before="0" w:beforeAutospacing="0" w:after="0" w:afterAutospacing="0" w:line="288" w:lineRule="auto"/>
              <w:ind w:firstLine="0"/>
              <w:jc w:val="both"/>
              <w:rPr>
                <w:rFonts w:asciiTheme="minorEastAsia" w:hAnsiTheme="minorEastAsia" w:eastAsiaTheme="minorEastAsia" w:cstheme="minorEastAsia"/>
                <w:b/>
                <w:bCs/>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3.3.5 软件在线辅助学习系统：原厂软件工作站提供全方位在线辅助学习资料，包含从工作原理到软件操作及日常维护等各个方面，并配套视频资料。</w:t>
            </w:r>
          </w:p>
          <w:p w14:paraId="5F4187E5">
            <w:pPr>
              <w:pStyle w:val="2"/>
              <w:spacing w:before="0" w:beforeAutospacing="0" w:after="0" w:afterAutospacing="0" w:line="288" w:lineRule="auto"/>
              <w:ind w:firstLine="0"/>
              <w:jc w:val="both"/>
              <w:rPr>
                <w:rFonts w:asciiTheme="minorEastAsia" w:hAnsiTheme="minorEastAsia" w:eastAsiaTheme="minorEastAsia" w:cstheme="minorEastAsia"/>
                <w:b/>
                <w:bCs/>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3.3.6智能半定量功能，提供未知样品元素周期表热力图，快速获取样品组成信息，指引样品前处理及过程，优化测试方法参数。</w:t>
            </w:r>
          </w:p>
          <w:p w14:paraId="218AEE41">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 性能指标（3.4.1~3.4.5指标须在氧化物产率(CeO+/Ce+) ≤1.8 %下检测）</w:t>
            </w:r>
          </w:p>
          <w:p w14:paraId="65D5F20C">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3.4.1. 灵敏度</w:t>
            </w:r>
          </w:p>
          <w:p w14:paraId="47179A96">
            <w:pPr>
              <w:pStyle w:val="2"/>
              <w:spacing w:before="0" w:beforeAutospacing="0" w:after="0" w:afterAutospacing="0" w:line="288" w:lineRule="auto"/>
              <w:ind w:left="420"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7Li ≥60M cps/ppm</w:t>
            </w:r>
          </w:p>
          <w:p w14:paraId="74B79F49">
            <w:pPr>
              <w:pStyle w:val="2"/>
              <w:spacing w:before="0" w:beforeAutospacing="0" w:after="0" w:afterAutospacing="0" w:line="288" w:lineRule="auto"/>
              <w:ind w:left="420"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89Y ≥250M cps/ppm</w:t>
            </w:r>
          </w:p>
          <w:p w14:paraId="08765336">
            <w:pPr>
              <w:pStyle w:val="2"/>
              <w:spacing w:before="0" w:beforeAutospacing="0" w:after="0" w:afterAutospacing="0" w:line="288" w:lineRule="auto"/>
              <w:ind w:left="420"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205Tl ≥300M cps/ppm</w:t>
            </w:r>
          </w:p>
          <w:p w14:paraId="45999501">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3.4.2. 检测限</w:t>
            </w:r>
          </w:p>
          <w:p w14:paraId="354F60E2">
            <w:pPr>
              <w:pStyle w:val="2"/>
              <w:spacing w:before="0" w:beforeAutospacing="0" w:after="0" w:afterAutospacing="0" w:line="288" w:lineRule="auto"/>
              <w:ind w:left="420"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9Be ≤ 0.5 ppt</w:t>
            </w:r>
          </w:p>
          <w:p w14:paraId="4959338E">
            <w:pPr>
              <w:pStyle w:val="2"/>
              <w:spacing w:before="0" w:beforeAutospacing="0" w:after="0" w:afterAutospacing="0" w:line="288" w:lineRule="auto"/>
              <w:ind w:left="420"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115In ≤ 0.1 ppt</w:t>
            </w:r>
          </w:p>
          <w:p w14:paraId="1C17A30C">
            <w:pPr>
              <w:pStyle w:val="2"/>
              <w:spacing w:before="0" w:beforeAutospacing="0" w:after="0" w:afterAutospacing="0" w:line="288" w:lineRule="auto"/>
              <w:ind w:left="420"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209Bi ≤ 0.1 ppt</w:t>
            </w:r>
          </w:p>
          <w:p w14:paraId="553B54F5">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3.4.3. 背景 ≤ 1 cps （在质量数9 amu处实测背景）</w:t>
            </w:r>
          </w:p>
          <w:p w14:paraId="00FBD152">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3.4.4. 氧化物产率（CeO+/Ce+）≤1.8%</w:t>
            </w:r>
          </w:p>
          <w:p w14:paraId="214A0D07">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3.4.5. 双电荷产率（Ce2+/Ce+）≤3.0%</w:t>
            </w:r>
          </w:p>
          <w:p w14:paraId="566FDBAA">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3.4.6. 短期稳定性（RSD）≤2% （20 min） （须在1ppb标准溶液中测定）</w:t>
            </w:r>
          </w:p>
          <w:p w14:paraId="2E05FE32">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3.4.7. 长期稳定性（RSD）≤3% （2 h） （须在1ppb标准溶液中测定）</w:t>
            </w:r>
          </w:p>
          <w:p w14:paraId="3B45369F">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3.4.8高盐进样系统：</w:t>
            </w:r>
          </w:p>
          <w:p w14:paraId="3E8FE714">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a. 高盐测试指标：标准模式(No Gas)下，氧化物产率CeO+/Ce+ ≤ 0.3 %。</w:t>
            </w:r>
          </w:p>
          <w:p w14:paraId="73648CA3">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b. 稳定性指标：3.0% NaCl溶液中含10ppb的Pb、Cd、As、Cu、Zn等目标元素，连续进样1h，分析次数大于20次，各目标元素测定结果RSD≤5%。</w:t>
            </w:r>
          </w:p>
          <w:p w14:paraId="5E8E497E">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4四元泵：</w:t>
            </w:r>
          </w:p>
          <w:p w14:paraId="4488E748">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4.1两个双活塞串联泵，具有独特的伺服控制可变冲程驱动、浮动活塞设计，在线真空脱气机。</w:t>
            </w:r>
          </w:p>
          <w:p w14:paraId="4511C942">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4.2具有连续自动可变冲程和自动溶剂压缩因子校正功能。</w:t>
            </w:r>
          </w:p>
          <w:p w14:paraId="0425B224">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4.3流速范围：0.001~10.0mL/min,0.001mL/min步进。</w:t>
            </w:r>
          </w:p>
          <w:p w14:paraId="566C3FB0">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4.4、流速精密度：&lt;0.07%RSD或0.02minSD 。</w:t>
            </w:r>
          </w:p>
          <w:p w14:paraId="17BEC32A">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4.5、流速准确度：±1%或10uL/min。</w:t>
            </w:r>
          </w:p>
          <w:p w14:paraId="454E6A9B">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4.6、压力脉动：&lt;1%。</w:t>
            </w:r>
          </w:p>
          <w:p w14:paraId="6BDAA646">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4.7、操作压力：0~4 00bar。</w:t>
            </w:r>
          </w:p>
          <w:p w14:paraId="743924DA">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4.8、梯度组成精密度：&lt;0.2%RSD。</w:t>
            </w:r>
          </w:p>
          <w:p w14:paraId="003FBB50">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5、自动进样器</w:t>
            </w:r>
          </w:p>
          <w:p w14:paraId="61688330">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5.1、采用高压、阀进样技术，通过微型计量泵精确控制取样体积。</w:t>
            </w:r>
          </w:p>
          <w:p w14:paraId="6C76B880">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5.2、具有编程进样功能，具有柱前衍生、柱前样品自动稀释、自动混合等复杂进样功能。</w:t>
            </w:r>
          </w:p>
          <w:p w14:paraId="30FB27E6">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5.3、进样范围：0.1~100ul任意体积精确进样，无需更换定量环。</w:t>
            </w:r>
          </w:p>
          <w:p w14:paraId="47BD7CED">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5.4、进样精度：&lt;0.25%RSD。</w:t>
            </w:r>
          </w:p>
          <w:p w14:paraId="2F43E28E">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5.5、pH 范围：1.0~9.5。</w:t>
            </w:r>
          </w:p>
          <w:p w14:paraId="0AF99B48">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5.6、样品容量：≥132位（2mL样品瓶）。</w:t>
            </w:r>
          </w:p>
          <w:p w14:paraId="114352EC">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5.7、交叉污染：0.004%。</w:t>
            </w:r>
          </w:p>
          <w:p w14:paraId="1A8765E1">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6、柱温箱</w:t>
            </w:r>
          </w:p>
          <w:p w14:paraId="0E1333EF">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6.1、控温原理：半导体加热。</w:t>
            </w:r>
          </w:p>
          <w:p w14:paraId="38BBC64D">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6.2、控温范围：室温下10℃～80℃。</w:t>
            </w:r>
          </w:p>
          <w:p w14:paraId="5241B64F">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6.3、控温精度：±0.15℃。</w:t>
            </w:r>
          </w:p>
          <w:p w14:paraId="427B32BF">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6.4、控温准确度：±0.5℃。</w:t>
            </w:r>
          </w:p>
          <w:p w14:paraId="49437FCE">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6.5、柱容量：30cm×2。</w:t>
            </w:r>
          </w:p>
          <w:p w14:paraId="1E485FF7">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7 紫外检测器</w:t>
            </w:r>
          </w:p>
          <w:p w14:paraId="38DC51D9">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7.1光源：氘灯。</w:t>
            </w:r>
          </w:p>
          <w:p w14:paraId="57CFB6C4">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7.2波长范围：190-600nm，氘灯和内置氧化钬滤光片自动校正波长。</w:t>
            </w:r>
          </w:p>
          <w:p w14:paraId="2F9A7EFB">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7.3实时信号：2个实时信号。</w:t>
            </w:r>
          </w:p>
          <w:p w14:paraId="040818DC">
            <w:pPr>
              <w:spacing w:line="288" w:lineRule="auto"/>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7.4最大采集速率：120HZ。</w:t>
            </w:r>
          </w:p>
          <w:p w14:paraId="1559482D">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8.基本配置不低于以下要求</w:t>
            </w:r>
          </w:p>
          <w:p w14:paraId="7CB5C2B6">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8.1. 电感耦合等离子体质谱仪 主机以及安装工具包1套 ，包含半导体控温装置、5个高精度气体质量流量计（MFC）、雾化器、雾化室、炬管、射频发生器、接口、离子透镜、机械泵和分子涡轮泵、碰撞反应池（必须有）、四极杆质量过滤器及检测器等。</w:t>
            </w:r>
          </w:p>
          <w:p w14:paraId="3EE246F3">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8.2.</w:t>
            </w:r>
            <w:r>
              <w:rPr>
                <w:rFonts w:asciiTheme="minorEastAsia" w:hAnsiTheme="minorEastAsia" w:eastAsiaTheme="minorEastAsia" w:cstheme="minorEastAsia"/>
                <w:color w:val="000000"/>
                <w:kern w:val="2"/>
                <w:sz w:val="21"/>
                <w:szCs w:val="21"/>
                <w:highlight w:val="none"/>
              </w:rPr>
              <w:t xml:space="preserve"> </w:t>
            </w:r>
            <w:r>
              <w:rPr>
                <w:rFonts w:hint="eastAsia" w:asciiTheme="minorEastAsia" w:hAnsiTheme="minorEastAsia" w:eastAsiaTheme="minorEastAsia" w:cstheme="minorEastAsia"/>
                <w:color w:val="000000"/>
                <w:kern w:val="2"/>
                <w:sz w:val="21"/>
                <w:szCs w:val="21"/>
                <w:highlight w:val="none"/>
              </w:rPr>
              <w:t>原装操作软件1套。</w:t>
            </w:r>
          </w:p>
          <w:p w14:paraId="6A34158C">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8.3.</w:t>
            </w:r>
            <w:r>
              <w:rPr>
                <w:rFonts w:asciiTheme="minorEastAsia" w:hAnsiTheme="minorEastAsia" w:eastAsiaTheme="minorEastAsia" w:cstheme="minorEastAsia"/>
                <w:color w:val="000000"/>
                <w:kern w:val="2"/>
                <w:sz w:val="21"/>
                <w:szCs w:val="21"/>
                <w:highlight w:val="none"/>
              </w:rPr>
              <w:t xml:space="preserve"> </w:t>
            </w:r>
            <w:r>
              <w:rPr>
                <w:rFonts w:hint="eastAsia" w:asciiTheme="minorEastAsia" w:hAnsiTheme="minorEastAsia" w:eastAsiaTheme="minorEastAsia" w:cstheme="minorEastAsia"/>
                <w:color w:val="000000"/>
                <w:kern w:val="2"/>
                <w:sz w:val="21"/>
                <w:szCs w:val="21"/>
                <w:highlight w:val="none"/>
              </w:rPr>
              <w:t>原厂配置计算机系统 1套。</w:t>
            </w:r>
          </w:p>
          <w:p w14:paraId="10549A83">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 xml:space="preserve">8.4. 高基体氩气自动稀释装置 1套。  </w:t>
            </w:r>
          </w:p>
          <w:p w14:paraId="2A2EFA5A">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8.5. 冷却循环水机 1台。</w:t>
            </w:r>
          </w:p>
          <w:p w14:paraId="48E2E407">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8.6.电感耦合等离子体质谱仪调谐母液、多元素标准溶液、内标溶液各1套。</w:t>
            </w:r>
          </w:p>
          <w:p w14:paraId="61860569">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8.7.四元泵 1套</w:t>
            </w:r>
          </w:p>
          <w:p w14:paraId="51E38B25">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8.8 自动进样器 1套</w:t>
            </w:r>
          </w:p>
          <w:p w14:paraId="50AA9C5C">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8.9 柱温箱 1套</w:t>
            </w:r>
          </w:p>
          <w:p w14:paraId="7C32D13D">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8.10 紫外检测器 1套</w:t>
            </w:r>
          </w:p>
          <w:p w14:paraId="7DC01D74">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8.11 软件 1套</w:t>
            </w:r>
          </w:p>
          <w:p w14:paraId="0E2EC080">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asciiTheme="minorEastAsia" w:hAnsiTheme="minorEastAsia" w:eastAsiaTheme="minorEastAsia" w:cstheme="minorEastAsia"/>
                <w:color w:val="000000"/>
                <w:kern w:val="2"/>
                <w:sz w:val="21"/>
                <w:szCs w:val="21"/>
                <w:highlight w:val="none"/>
              </w:rPr>
              <w:t>8.12 UPS</w:t>
            </w:r>
            <w:r>
              <w:rPr>
                <w:rFonts w:hint="eastAsia" w:asciiTheme="minorEastAsia" w:hAnsiTheme="minorEastAsia" w:eastAsiaTheme="minorEastAsia" w:cstheme="minorEastAsia"/>
                <w:color w:val="000000"/>
                <w:kern w:val="2"/>
                <w:sz w:val="21"/>
                <w:szCs w:val="21"/>
                <w:highlight w:val="none"/>
              </w:rPr>
              <w:t xml:space="preserve">（10KVA，续航1小时） </w:t>
            </w:r>
            <w:r>
              <w:rPr>
                <w:rFonts w:asciiTheme="minorEastAsia" w:hAnsiTheme="minorEastAsia" w:eastAsiaTheme="minorEastAsia" w:cstheme="minorEastAsia"/>
                <w:color w:val="000000"/>
                <w:kern w:val="2"/>
                <w:sz w:val="21"/>
                <w:szCs w:val="21"/>
                <w:highlight w:val="none"/>
              </w:rPr>
              <w:t>1</w:t>
            </w:r>
            <w:r>
              <w:rPr>
                <w:rFonts w:hint="eastAsia" w:asciiTheme="minorEastAsia" w:hAnsiTheme="minorEastAsia" w:eastAsiaTheme="minorEastAsia" w:cstheme="minorEastAsia"/>
                <w:color w:val="000000"/>
                <w:kern w:val="2"/>
                <w:sz w:val="21"/>
                <w:szCs w:val="21"/>
                <w:highlight w:val="none"/>
              </w:rPr>
              <w:t>台</w:t>
            </w:r>
          </w:p>
          <w:p w14:paraId="3C8FF1B0">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9.备件与耗材（主机及招标要求外）</w:t>
            </w:r>
          </w:p>
          <w:p w14:paraId="7B13266F">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9.1. 蠕动泵进样管 24根。</w:t>
            </w:r>
          </w:p>
          <w:p w14:paraId="49DDDDA4">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9.2. 蠕动泵废液管24根。</w:t>
            </w:r>
          </w:p>
          <w:p w14:paraId="6D152E32">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9.3. 蠕动泵内标管24根。</w:t>
            </w:r>
          </w:p>
          <w:p w14:paraId="2A2F5F9F">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9.4. 采样锥O圈   3个。</w:t>
            </w:r>
          </w:p>
          <w:p w14:paraId="77968C0A">
            <w:pPr>
              <w:pStyle w:val="2"/>
              <w:spacing w:before="0" w:beforeAutospacing="0" w:after="0" w:afterAutospacing="0" w:line="288" w:lineRule="auto"/>
              <w:ind w:firstLine="0"/>
              <w:jc w:val="both"/>
              <w:rPr>
                <w:rFonts w:asciiTheme="minorEastAsia" w:hAnsiTheme="minorEastAsia" w:eastAsiaTheme="minorEastAsia" w:cstheme="minorEastAsia"/>
                <w:color w:val="000000"/>
                <w:kern w:val="2"/>
                <w:sz w:val="21"/>
                <w:szCs w:val="21"/>
                <w:highlight w:val="none"/>
              </w:rPr>
            </w:pPr>
            <w:r>
              <w:rPr>
                <w:rFonts w:hint="eastAsia" w:asciiTheme="minorEastAsia" w:hAnsiTheme="minorEastAsia" w:eastAsiaTheme="minorEastAsia" w:cstheme="minorEastAsia"/>
                <w:color w:val="000000"/>
                <w:kern w:val="2"/>
                <w:sz w:val="21"/>
                <w:szCs w:val="21"/>
                <w:highlight w:val="none"/>
              </w:rPr>
              <w:t>9.5. 聚四氟乙烯进样管   5米。</w:t>
            </w:r>
          </w:p>
          <w:p w14:paraId="324B5D5F">
            <w:pPr>
              <w:pStyle w:val="2"/>
              <w:spacing w:before="0" w:beforeAutospacing="0" w:after="0" w:afterAutospacing="0" w:line="288" w:lineRule="auto"/>
              <w:ind w:firstLine="0" w:firstLineChars="0"/>
              <w:jc w:val="both"/>
              <w:rPr>
                <w:rFonts w:cs="宋体"/>
                <w:sz w:val="21"/>
                <w:szCs w:val="21"/>
                <w:highlight w:val="none"/>
              </w:rPr>
            </w:pPr>
            <w:r>
              <w:rPr>
                <w:rFonts w:hint="eastAsia" w:asciiTheme="minorEastAsia" w:hAnsiTheme="minorEastAsia" w:eastAsiaTheme="minorEastAsia" w:cstheme="minorEastAsia"/>
                <w:color w:val="000000"/>
                <w:kern w:val="2"/>
                <w:sz w:val="21"/>
                <w:szCs w:val="21"/>
                <w:highlight w:val="none"/>
              </w:rPr>
              <w:t>9.6. 超纯机械泵油或含氟聚合油   2升。</w:t>
            </w:r>
          </w:p>
        </w:tc>
      </w:tr>
      <w:tr w14:paraId="4E2E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24B2083">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2</w:t>
            </w:r>
          </w:p>
        </w:tc>
        <w:tc>
          <w:tcPr>
            <w:tcW w:w="1810" w:type="dxa"/>
            <w:shd w:val="clear" w:color="auto" w:fill="auto"/>
            <w:vAlign w:val="center"/>
          </w:tcPr>
          <w:p w14:paraId="1C36999C">
            <w:pPr>
              <w:adjustRightInd w:val="0"/>
              <w:snapToGrid w:val="0"/>
              <w:spacing w:line="288" w:lineRule="auto"/>
              <w:jc w:val="center"/>
              <w:rPr>
                <w:rFonts w:ascii="宋体" w:hAnsi="宋体"/>
                <w:sz w:val="21"/>
                <w:szCs w:val="21"/>
                <w:highlight w:val="none"/>
              </w:rPr>
            </w:pPr>
            <w:r>
              <w:rPr>
                <w:rFonts w:hint="eastAsia" w:ascii="宋体" w:hAnsi="宋体"/>
                <w:sz w:val="21"/>
                <w:szCs w:val="21"/>
                <w:highlight w:val="none"/>
              </w:rPr>
              <w:t>气相色谱质谱联用仪</w:t>
            </w:r>
          </w:p>
          <w:p w14:paraId="6C9BE8DA">
            <w:pPr>
              <w:adjustRightInd w:val="0"/>
              <w:snapToGrid w:val="0"/>
              <w:spacing w:line="288" w:lineRule="auto"/>
              <w:jc w:val="center"/>
              <w:rPr>
                <w:rFonts w:ascii="宋体" w:hAnsi="宋体"/>
                <w:sz w:val="21"/>
                <w:szCs w:val="21"/>
                <w:highlight w:val="none"/>
              </w:rPr>
            </w:pPr>
            <w:r>
              <w:rPr>
                <w:rFonts w:hint="eastAsia" w:ascii="宋体" w:hAnsi="宋体" w:cs="宋体"/>
                <w:bCs/>
                <w:sz w:val="21"/>
                <w:szCs w:val="21"/>
                <w:highlight w:val="none"/>
              </w:rPr>
              <w:t>（允许进口）</w:t>
            </w:r>
          </w:p>
        </w:tc>
        <w:tc>
          <w:tcPr>
            <w:tcW w:w="661" w:type="dxa"/>
            <w:vAlign w:val="center"/>
          </w:tcPr>
          <w:p w14:paraId="41B379B8">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661" w:type="dxa"/>
            <w:vAlign w:val="center"/>
          </w:tcPr>
          <w:p w14:paraId="695EBB4A">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台</w:t>
            </w:r>
          </w:p>
        </w:tc>
        <w:tc>
          <w:tcPr>
            <w:tcW w:w="6269" w:type="dxa"/>
            <w:vAlign w:val="center"/>
          </w:tcPr>
          <w:p w14:paraId="046FEFD5">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1柱箱</w:t>
            </w:r>
          </w:p>
          <w:p w14:paraId="06A5AFEE">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1.1温度分辨：1℃温度设定，0.1℃程序设定。</w:t>
            </w:r>
          </w:p>
          <w:p w14:paraId="2B3E738D">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1.2温度稳定性：&lt;0.01℃每1℃环境变化。</w:t>
            </w:r>
          </w:p>
          <w:p w14:paraId="3D37EA38">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1.3程序升温：19阶20平台</w:t>
            </w:r>
          </w:p>
          <w:p w14:paraId="3B4E4A93">
            <w:pPr>
              <w:spacing w:line="288" w:lineRule="auto"/>
              <w:rPr>
                <w:rFonts w:hint="eastAsia"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★1.4气相色谱内部自带载气识别功能，可以智能判断所连接的载气与所需要的载气是否一致</w:t>
            </w:r>
            <w:r>
              <w:rPr>
                <w:rFonts w:hint="eastAsia" w:asciiTheme="minorEastAsia" w:hAnsiTheme="minorEastAsia" w:eastAsiaTheme="minorEastAsia" w:cstheme="minorEastAsia"/>
                <w:b/>
                <w:bCs w:val="0"/>
                <w:spacing w:val="-6"/>
                <w:sz w:val="21"/>
                <w:szCs w:val="21"/>
                <w:highlight w:val="none"/>
              </w:rPr>
              <w:t>(投标文件中提供截图作为证明);</w:t>
            </w:r>
          </w:p>
          <w:p w14:paraId="6F1649D3">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2分流/无分流进样口（带电子气路控制）</w:t>
            </w:r>
          </w:p>
          <w:p w14:paraId="08288AD8">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2.1电子参数设定压力、流速和分流比。</w:t>
            </w:r>
          </w:p>
          <w:p w14:paraId="4D6DB086">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2.2流量范围：流量设定范围：0～200ml/min（以N2为载气时）0～1250ml/min（以H2，He为载气时）</w:t>
            </w:r>
          </w:p>
          <w:p w14:paraId="7543B0FA">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2.3数字式电子气路控制保证气体流量精度。</w:t>
            </w:r>
          </w:p>
          <w:p w14:paraId="7E228622">
            <w:pPr>
              <w:spacing w:line="288" w:lineRule="auto"/>
              <w:rPr>
                <w:rFonts w:asciiTheme="minorEastAsia" w:hAnsiTheme="minorEastAsia" w:eastAsiaTheme="minorEastAsia" w:cstheme="minorEastAsia"/>
                <w:b/>
                <w:bCs w:val="0"/>
                <w:spacing w:val="-6"/>
                <w:sz w:val="21"/>
                <w:szCs w:val="21"/>
                <w:highlight w:val="none"/>
              </w:rPr>
            </w:pPr>
            <w:r>
              <w:rPr>
                <w:rFonts w:hint="eastAsia" w:asciiTheme="minorEastAsia" w:hAnsiTheme="minorEastAsia" w:eastAsiaTheme="minorEastAsia" w:cstheme="minorEastAsia"/>
                <w:bCs/>
                <w:spacing w:val="-6"/>
                <w:sz w:val="21"/>
                <w:szCs w:val="21"/>
                <w:highlight w:val="none"/>
              </w:rPr>
              <w:t>2.4分流/不分流进样口：快速扳转系统，更换衬管无需拆卸螺丝</w:t>
            </w:r>
            <w:r>
              <w:rPr>
                <w:rFonts w:hint="eastAsia" w:asciiTheme="minorEastAsia" w:hAnsiTheme="minorEastAsia" w:eastAsiaTheme="minorEastAsia" w:cstheme="minorEastAsia"/>
                <w:b/>
                <w:bCs w:val="0"/>
                <w:spacing w:val="-6"/>
                <w:sz w:val="21"/>
                <w:szCs w:val="21"/>
                <w:highlight w:val="none"/>
              </w:rPr>
              <w:t>（需提供彩图说明）</w:t>
            </w:r>
          </w:p>
          <w:p w14:paraId="5B749E6E">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3电子气路控制</w:t>
            </w:r>
          </w:p>
          <w:p w14:paraId="704CF572">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3.1自动海拔高度压力及室温补偿。</w:t>
            </w:r>
          </w:p>
          <w:p w14:paraId="4C8DA741">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3.2具有恒流，恒压，程序增加流速，程序升压及压力脉冲等操作模式的电子气路控制。</w:t>
            </w:r>
          </w:p>
          <w:p w14:paraId="17C224B5">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w:t>
            </w:r>
            <w:r>
              <w:rPr>
                <w:rFonts w:hint="eastAsia" w:asciiTheme="minorEastAsia" w:hAnsiTheme="minorEastAsia" w:eastAsiaTheme="minorEastAsia" w:cstheme="minorEastAsia"/>
                <w:bCs/>
                <w:spacing w:val="-6"/>
                <w:sz w:val="21"/>
                <w:szCs w:val="21"/>
                <w:highlight w:val="none"/>
              </w:rPr>
              <w:tab/>
            </w:r>
            <w:r>
              <w:rPr>
                <w:rFonts w:hint="eastAsia" w:asciiTheme="minorEastAsia" w:hAnsiTheme="minorEastAsia" w:eastAsiaTheme="minorEastAsia" w:cstheme="minorEastAsia"/>
                <w:bCs/>
                <w:spacing w:val="-6"/>
                <w:sz w:val="21"/>
                <w:szCs w:val="21"/>
                <w:highlight w:val="none"/>
              </w:rPr>
              <w:t>质谱检测器</w:t>
            </w:r>
          </w:p>
          <w:p w14:paraId="36C23169">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4.1具有网络通讯功能，可实现远程操作</w:t>
            </w:r>
          </w:p>
          <w:p w14:paraId="13944E06">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4.2侧开式面板，面板控制器可显示质谱状态信息及质谱工作参数的输入</w:t>
            </w:r>
          </w:p>
          <w:p w14:paraId="7379F942">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4.3结构紧凑，无需冷却水及压缩空气冷却</w:t>
            </w:r>
          </w:p>
          <w:p w14:paraId="0271E700">
            <w:pPr>
              <w:spacing w:line="288"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pacing w:val="-6"/>
                <w:sz w:val="21"/>
                <w:szCs w:val="21"/>
                <w:highlight w:val="none"/>
              </w:rPr>
              <w:t>4.</w:t>
            </w:r>
            <w:r>
              <w:rPr>
                <w:rFonts w:hint="eastAsia" w:asciiTheme="minorEastAsia" w:hAnsiTheme="minorEastAsia" w:eastAsiaTheme="minorEastAsia" w:cstheme="minorEastAsia"/>
                <w:bCs/>
                <w:spacing w:val="-6"/>
                <w:sz w:val="21"/>
                <w:szCs w:val="21"/>
                <w:highlight w:val="none"/>
                <w:u w:val="none"/>
              </w:rPr>
              <w:t>4</w:t>
            </w:r>
            <w:r>
              <w:rPr>
                <w:rFonts w:hint="eastAsia" w:asciiTheme="minorEastAsia" w:hAnsiTheme="minorEastAsia" w:eastAsiaTheme="minorEastAsia" w:cstheme="minorEastAsia"/>
                <w:sz w:val="21"/>
                <w:szCs w:val="21"/>
                <w:highlight w:val="none"/>
                <w:u w:val="none"/>
              </w:rPr>
              <w:t>质量数范围：0.6-1091amu</w:t>
            </w:r>
          </w:p>
          <w:p w14:paraId="2BC28947">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4.5透镜设计，非预四极杆，可以消除边缘场效应带来的质量歧视</w:t>
            </w:r>
          </w:p>
          <w:p w14:paraId="3F1899F5">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4.6质量轴稳定性: 优于0.10amu/48小时</w:t>
            </w:r>
          </w:p>
          <w:p w14:paraId="0FA40D67">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4.7灵敏度：全扫描灵敏度（电子轰击源EI）：1pg八氟萘（OFN）,信/噪比≥1500：1(扫描范围: 50-300amu)</w:t>
            </w:r>
          </w:p>
          <w:p w14:paraId="242A3134">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4.8动态范围：全动态范围为10</w:t>
            </w:r>
            <w:r>
              <w:rPr>
                <w:rFonts w:hint="eastAsia" w:asciiTheme="minorEastAsia" w:hAnsiTheme="minorEastAsia" w:eastAsiaTheme="minorEastAsia" w:cstheme="minorEastAsia"/>
                <w:bCs/>
                <w:spacing w:val="-6"/>
                <w:sz w:val="21"/>
                <w:szCs w:val="21"/>
                <w:highlight w:val="none"/>
                <w:vertAlign w:val="superscript"/>
              </w:rPr>
              <w:t>6</w:t>
            </w:r>
          </w:p>
          <w:p w14:paraId="34110332">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4.9选择离子模式检测（SIM）最多可有100组，每组最多可选择60个离子</w:t>
            </w:r>
          </w:p>
          <w:p w14:paraId="52023E1C">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4.10质谱工作站可根据全扫描得到的数据，自动选择目标化合物的特征离子并对其进行分组，最后保存到分析方法当中，无须手动输入</w:t>
            </w:r>
          </w:p>
          <w:p w14:paraId="17565DE6">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4.11具有全扫描/选择离子检测同时采集功能</w:t>
            </w:r>
          </w:p>
          <w:p w14:paraId="44501DE5">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4.12备有两根长效灯丝的高效电子轰击源，采用完全惰性的材料制成</w:t>
            </w:r>
          </w:p>
          <w:p w14:paraId="66E2BEFF">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4.13</w:t>
            </w:r>
            <w:r>
              <w:rPr>
                <w:rFonts w:hint="eastAsia" w:asciiTheme="minorEastAsia" w:hAnsiTheme="minorEastAsia" w:eastAsiaTheme="minorEastAsia" w:cstheme="minorEastAsia"/>
                <w:bCs/>
                <w:spacing w:val="-6"/>
                <w:sz w:val="21"/>
                <w:szCs w:val="21"/>
                <w:highlight w:val="none"/>
                <w:u w:val="none"/>
              </w:rPr>
              <w:t>离子化能量：≥240eV</w:t>
            </w:r>
          </w:p>
          <w:p w14:paraId="288A6AB9">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4.14离子源温度：通过软件独立设置，最高可设温度350˚C</w:t>
            </w:r>
          </w:p>
          <w:p w14:paraId="0050D0CA">
            <w:pPr>
              <w:spacing w:line="288"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pacing w:val="-6"/>
                <w:sz w:val="21"/>
                <w:szCs w:val="21"/>
                <w:highlight w:val="none"/>
              </w:rPr>
              <w:t>4.15</w:t>
            </w:r>
            <w:r>
              <w:rPr>
                <w:rFonts w:hint="eastAsia" w:asciiTheme="minorEastAsia" w:hAnsiTheme="minorEastAsia" w:eastAsiaTheme="minorEastAsia" w:cstheme="minorEastAsia"/>
                <w:bCs/>
                <w:spacing w:val="-6"/>
                <w:sz w:val="21"/>
                <w:szCs w:val="21"/>
                <w:highlight w:val="none"/>
                <w:u w:val="none"/>
              </w:rPr>
              <w:t>四极杆质量分析器：双曲面石英镀金四极杆，独立温控，最高可达200℃</w:t>
            </w:r>
          </w:p>
          <w:p w14:paraId="5F130737">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4.16</w:t>
            </w:r>
            <w:r>
              <w:rPr>
                <w:rFonts w:hint="eastAsia" w:asciiTheme="minorEastAsia" w:hAnsiTheme="minorEastAsia" w:eastAsiaTheme="minorEastAsia" w:cstheme="minorEastAsia"/>
                <w:bCs/>
                <w:spacing w:val="-6"/>
                <w:sz w:val="21"/>
                <w:szCs w:val="21"/>
                <w:highlight w:val="none"/>
                <w:u w:val="none"/>
              </w:rPr>
              <w:t>双灯丝设计，灯丝电流：0-300uA。</w:t>
            </w:r>
          </w:p>
          <w:p w14:paraId="7227B7D2">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4.17检测器：长效高能量电子倍增器</w:t>
            </w:r>
          </w:p>
          <w:p w14:paraId="79863D1E">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4.18真空系统：分子涡轮泵255升/秒抽率</w:t>
            </w:r>
          </w:p>
          <w:p w14:paraId="41C503E4">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4.19气质接口温度: 独立控温，100-350℃</w:t>
            </w:r>
          </w:p>
          <w:p w14:paraId="7285C60B">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★4.20具有利用压力或者流量-时间曲线法自动校准保留时间功能,该功能需具有使待测物保留时间完全一致的保留时间锁定效果</w:t>
            </w:r>
            <w:r>
              <w:rPr>
                <w:rFonts w:hint="eastAsia" w:asciiTheme="minorEastAsia" w:hAnsiTheme="minorEastAsia" w:eastAsiaTheme="minorEastAsia" w:cstheme="minorEastAsia"/>
                <w:b/>
                <w:bCs w:val="0"/>
                <w:spacing w:val="-6"/>
                <w:sz w:val="21"/>
                <w:szCs w:val="21"/>
                <w:highlight w:val="none"/>
              </w:rPr>
              <w:t>(投标文件中提供保留时间锁定采集操作的截图作为证明材料:包含保留时间和流量的校准曲线结果、校正曲线方程及大于0.9999 相关系数)。</w:t>
            </w:r>
          </w:p>
          <w:p w14:paraId="4175AF38">
            <w:pPr>
              <w:spacing w:line="288" w:lineRule="auto"/>
              <w:rPr>
                <w:rFonts w:hint="eastAsia" w:asciiTheme="minorEastAsia" w:hAnsiTheme="minorEastAsia" w:eastAsiaTheme="minorEastAsia" w:cstheme="minorEastAsia"/>
                <w:b/>
                <w:bCs w:val="0"/>
                <w:spacing w:val="-6"/>
                <w:sz w:val="21"/>
                <w:szCs w:val="21"/>
                <w:highlight w:val="none"/>
              </w:rPr>
            </w:pPr>
            <w:r>
              <w:rPr>
                <w:rFonts w:hint="eastAsia" w:asciiTheme="minorEastAsia" w:hAnsiTheme="minorEastAsia" w:eastAsiaTheme="minorEastAsia" w:cstheme="minorEastAsia"/>
                <w:bCs/>
                <w:spacing w:val="-6"/>
                <w:sz w:val="21"/>
                <w:szCs w:val="21"/>
                <w:highlight w:val="none"/>
              </w:rPr>
              <w:t>★4.21 质谱软件具备自动水和空气检测功能，无需手动设置调谐参数即可快速实现漏气检查并生成报告，便于用户确认质谱状态</w:t>
            </w:r>
            <w:r>
              <w:rPr>
                <w:rFonts w:hint="eastAsia" w:asciiTheme="minorEastAsia" w:hAnsiTheme="minorEastAsia" w:eastAsiaTheme="minorEastAsia" w:cstheme="minorEastAsia"/>
                <w:b/>
                <w:bCs w:val="0"/>
                <w:spacing w:val="-6"/>
                <w:sz w:val="21"/>
                <w:szCs w:val="21"/>
                <w:highlight w:val="none"/>
              </w:rPr>
              <w:t>（投标文件中提供水和空气检查报告结果文件截图证明）。</w:t>
            </w:r>
          </w:p>
          <w:p w14:paraId="4432F912">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5、自动进样器</w:t>
            </w:r>
          </w:p>
          <w:p w14:paraId="222899B7">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5.1单个进样塔的样品盘位数16位</w:t>
            </w:r>
          </w:p>
          <w:p w14:paraId="4BE5600F">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5.2 非内置式，液体进样量范围：通常介于0.1-50μL之间，支持250ul进样针</w:t>
            </w:r>
          </w:p>
          <w:p w14:paraId="1CDFF0CC">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5.3 可升级配置样品加温/降温/涡旋/条形码等样品预处理功能。</w:t>
            </w:r>
          </w:p>
          <w:p w14:paraId="5C321E3E">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5.4 交叉污染：小于十万分之一。</w:t>
            </w:r>
          </w:p>
          <w:p w14:paraId="0DA78AF3">
            <w:pPr>
              <w:adjustRightInd w:val="0"/>
              <w:snapToGrid w:val="0"/>
              <w:spacing w:line="288"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6.配置要求不低于以下要求：</w:t>
            </w:r>
          </w:p>
          <w:p w14:paraId="1CEE23B1">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6.1气相色谱主机1套；</w:t>
            </w:r>
          </w:p>
          <w:p w14:paraId="4732E94B">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6.2毛细管进样口1套；</w:t>
            </w:r>
          </w:p>
          <w:p w14:paraId="3577CDB5">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6.3质谱主机 1套 ；</w:t>
            </w:r>
          </w:p>
          <w:p w14:paraId="11DF5CC0">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6.4自动进样器1套；</w:t>
            </w:r>
          </w:p>
          <w:p w14:paraId="52BA2F65">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6.5气相色谱安装工具包1套；</w:t>
            </w:r>
          </w:p>
          <w:p w14:paraId="4E587B93">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6.6自动进样针，6/包 1包</w:t>
            </w:r>
          </w:p>
          <w:p w14:paraId="01C40C33">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6.7 柱螺母，2/包 1包</w:t>
            </w:r>
          </w:p>
          <w:p w14:paraId="628924E7">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6.8不粘连衬管O 形圈 1包；</w:t>
            </w:r>
          </w:p>
          <w:p w14:paraId="357ADDAB">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6.9进样隔垫1包；</w:t>
            </w:r>
          </w:p>
          <w:p w14:paraId="083045AF">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6.10色谱柱 1根；</w:t>
            </w:r>
          </w:p>
          <w:p w14:paraId="3C8CCBC2">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6.11通用分流/不分流衬管1包；</w:t>
            </w:r>
          </w:p>
          <w:p w14:paraId="4747A6B8">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6.12石墨密封垫圈1包；</w:t>
            </w:r>
          </w:p>
          <w:p w14:paraId="5B15D716">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6.13分流平板 1个</w:t>
            </w:r>
          </w:p>
          <w:p w14:paraId="5519F563">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6.14液体样品瓶隔垫与瓶盖2包；</w:t>
            </w:r>
          </w:p>
          <w:p w14:paraId="2E3DCC89">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6.15 大容积捕集阱，氦气</w:t>
            </w:r>
          </w:p>
          <w:p w14:paraId="046AC222">
            <w:pPr>
              <w:spacing w:line="288" w:lineRule="auto"/>
              <w:rPr>
                <w:rFonts w:asciiTheme="minorEastAsia" w:hAnsiTheme="minorEastAsia" w:eastAsiaTheme="minorEastAsia" w:cstheme="minorEastAsia"/>
                <w:bCs/>
                <w:spacing w:val="-6"/>
                <w:sz w:val="21"/>
                <w:szCs w:val="21"/>
                <w:highlight w:val="none"/>
              </w:rPr>
            </w:pPr>
            <w:r>
              <w:rPr>
                <w:rFonts w:hint="eastAsia" w:asciiTheme="minorEastAsia" w:hAnsiTheme="minorEastAsia" w:eastAsiaTheme="minorEastAsia" w:cstheme="minorEastAsia"/>
                <w:bCs/>
                <w:spacing w:val="-6"/>
                <w:sz w:val="21"/>
                <w:szCs w:val="21"/>
                <w:highlight w:val="none"/>
              </w:rPr>
              <w:t>6.16工作站1台（性能不低于：i5，16G，1T HDD，4G独立显卡，21.5寸显示器）；</w:t>
            </w:r>
          </w:p>
          <w:p w14:paraId="57423825">
            <w:pPr>
              <w:pStyle w:val="2"/>
              <w:spacing w:before="0" w:beforeAutospacing="0" w:after="0" w:afterAutospacing="0" w:line="288" w:lineRule="auto"/>
              <w:ind w:firstLine="0"/>
              <w:jc w:val="both"/>
              <w:rPr>
                <w:rFonts w:asciiTheme="minorEastAsia" w:hAnsiTheme="minorEastAsia" w:eastAsiaTheme="minorEastAsia" w:cstheme="minorEastAsia"/>
                <w:color w:val="000000"/>
                <w:sz w:val="21"/>
                <w:szCs w:val="21"/>
                <w:highlight w:val="none"/>
              </w:rPr>
            </w:pPr>
            <w:r>
              <w:rPr>
                <w:rFonts w:asciiTheme="minorEastAsia" w:hAnsiTheme="minorEastAsia" w:eastAsiaTheme="minorEastAsia" w:cstheme="minorEastAsia"/>
                <w:color w:val="000000"/>
                <w:kern w:val="2"/>
                <w:sz w:val="21"/>
                <w:szCs w:val="21"/>
                <w:highlight w:val="none"/>
              </w:rPr>
              <w:t>6.17 UPS</w:t>
            </w:r>
            <w:r>
              <w:rPr>
                <w:rFonts w:hint="eastAsia" w:asciiTheme="minorEastAsia" w:hAnsiTheme="minorEastAsia" w:eastAsiaTheme="minorEastAsia" w:cstheme="minorEastAsia"/>
                <w:color w:val="000000"/>
                <w:kern w:val="2"/>
                <w:sz w:val="21"/>
                <w:szCs w:val="21"/>
                <w:highlight w:val="none"/>
              </w:rPr>
              <w:t>（</w:t>
            </w:r>
            <w:r>
              <w:rPr>
                <w:rFonts w:asciiTheme="minorEastAsia" w:hAnsiTheme="minorEastAsia" w:eastAsiaTheme="minorEastAsia" w:cstheme="minorEastAsia"/>
                <w:color w:val="000000"/>
                <w:kern w:val="2"/>
                <w:sz w:val="21"/>
                <w:szCs w:val="21"/>
                <w:highlight w:val="none"/>
              </w:rPr>
              <w:t>6</w:t>
            </w:r>
            <w:r>
              <w:rPr>
                <w:rFonts w:hint="eastAsia" w:asciiTheme="minorEastAsia" w:hAnsiTheme="minorEastAsia" w:eastAsiaTheme="minorEastAsia" w:cstheme="minorEastAsia"/>
                <w:color w:val="000000"/>
                <w:kern w:val="2"/>
                <w:sz w:val="21"/>
                <w:szCs w:val="21"/>
                <w:highlight w:val="none"/>
              </w:rPr>
              <w:t xml:space="preserve">KVA，续航1小时） </w:t>
            </w:r>
            <w:r>
              <w:rPr>
                <w:rFonts w:asciiTheme="minorEastAsia" w:hAnsiTheme="minorEastAsia" w:eastAsiaTheme="minorEastAsia" w:cstheme="minorEastAsia"/>
                <w:color w:val="000000"/>
                <w:kern w:val="2"/>
                <w:sz w:val="21"/>
                <w:szCs w:val="21"/>
                <w:highlight w:val="none"/>
              </w:rPr>
              <w:t>1</w:t>
            </w:r>
            <w:r>
              <w:rPr>
                <w:rFonts w:hint="eastAsia" w:asciiTheme="minorEastAsia" w:hAnsiTheme="minorEastAsia" w:eastAsiaTheme="minorEastAsia" w:cstheme="minorEastAsia"/>
                <w:color w:val="000000"/>
                <w:kern w:val="2"/>
                <w:sz w:val="21"/>
                <w:szCs w:val="21"/>
                <w:highlight w:val="none"/>
              </w:rPr>
              <w:t>台</w:t>
            </w:r>
          </w:p>
        </w:tc>
      </w:tr>
    </w:tbl>
    <w:p w14:paraId="55A7E2F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outlineLvl w:val="9"/>
        <w:rPr>
          <w:rFonts w:hint="eastAsia" w:ascii="宋体" w:hAnsi="宋体" w:cs="宋体"/>
          <w:b/>
          <w:bCs w:val="0"/>
          <w:sz w:val="21"/>
          <w:szCs w:val="21"/>
          <w:highlight w:val="none"/>
          <w:lang w:val="en-US" w:eastAsia="zh-CN"/>
        </w:rPr>
      </w:pPr>
      <w:r>
        <w:rPr>
          <w:rFonts w:hint="eastAsia" w:ascii="宋体" w:hAnsi="宋体" w:cs="宋体"/>
          <w:b/>
          <w:bCs w:val="0"/>
          <w:sz w:val="21"/>
          <w:szCs w:val="21"/>
          <w:highlight w:val="none"/>
          <w:lang w:val="en-US" w:eastAsia="zh-CN"/>
        </w:rPr>
        <w:t>注：投标人需根据以上要求提供对应材料，未提供或不符合技术要求的视为1项负偏离。</w:t>
      </w:r>
    </w:p>
    <w:p w14:paraId="3EEB922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4F3330"/>
    <w:rsid w:val="1CDD0E6C"/>
    <w:rsid w:val="4E4F3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customStyle="1" w:styleId="5">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2025-10-28T00:45:00Z</dcterms:created>
  <dc:creator>刘冰冰</dc:creator>
  <cp:lastModifiedBy>刘冰冰</cp:lastModifiedBy>
  <dcterms:modified xsi:type="dcterms:W3CDTF">2025-10-28T00:46:18Z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900C536817B64A309AE24E533625E535_13</vt:lpwstr>
  </property>
  <property fmtid="{D5CDD505-2E9C-101B-9397-08002B2CF9AE}" pid="4" name="KSOTemplateDocerSaveRecord">
    <vt:lpwstr>eyJoZGlkIjoiZmZkMWFjNDM1NzNmYzdiM2JkYWM5YjhmZTllYTliMjAiLCJ1c2VySWQiOiIxNjExODE3NTMwIn0=</vt:lpwstr>
  </property>
</Properties>
</file>