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51641B">
      <w:pPr>
        <w:jc w:val="center"/>
        <w:rPr>
          <w:b/>
          <w:bCs/>
        </w:rPr>
      </w:pPr>
      <w:r>
        <w:rPr>
          <w:rFonts w:ascii="宋体" w:hAnsi="宋体" w:eastAsia="宋体" w:cs="宋体"/>
          <w:b/>
          <w:bCs/>
          <w:sz w:val="24"/>
          <w:szCs w:val="24"/>
        </w:rPr>
        <w:t>实质性响应一览表</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3819"/>
        <w:gridCol w:w="2553"/>
        <w:gridCol w:w="1298"/>
      </w:tblGrid>
      <w:tr w14:paraId="3B4D9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3F7A2E1C">
            <w:pPr>
              <w:rPr>
                <w:lang w:eastAsia="zh-CN"/>
              </w:rPr>
            </w:pPr>
            <w:r>
              <w:rPr>
                <w:rFonts w:hint="eastAsia"/>
                <w:lang w:eastAsia="zh-CN"/>
              </w:rPr>
              <w:t>序号</w:t>
            </w:r>
          </w:p>
        </w:tc>
        <w:tc>
          <w:tcPr>
            <w:tcW w:w="2301" w:type="pct"/>
          </w:tcPr>
          <w:p w14:paraId="4D47BAE4">
            <w:pPr>
              <w:rPr>
                <w:lang w:eastAsia="zh-CN"/>
              </w:rPr>
            </w:pPr>
            <w:r>
              <w:rPr>
                <w:rFonts w:hint="eastAsia"/>
                <w:lang w:eastAsia="zh-CN"/>
              </w:rPr>
              <w:t>实质性响应条款</w:t>
            </w:r>
          </w:p>
        </w:tc>
        <w:tc>
          <w:tcPr>
            <w:tcW w:w="1538" w:type="pct"/>
          </w:tcPr>
          <w:p w14:paraId="53D9AB0C">
            <w:pPr>
              <w:rPr>
                <w:lang w:eastAsia="zh-CN"/>
              </w:rPr>
            </w:pPr>
            <w:r>
              <w:rPr>
                <w:rFonts w:hint="eastAsia"/>
                <w:lang w:eastAsia="zh-CN"/>
              </w:rPr>
              <w:t>投标人响应情况</w:t>
            </w:r>
          </w:p>
        </w:tc>
        <w:tc>
          <w:tcPr>
            <w:tcW w:w="782" w:type="pct"/>
          </w:tcPr>
          <w:p w14:paraId="6083CC9D">
            <w:pPr>
              <w:rPr>
                <w:lang w:eastAsia="zh-CN"/>
              </w:rPr>
            </w:pPr>
            <w:r>
              <w:rPr>
                <w:rFonts w:hint="eastAsia"/>
                <w:lang w:eastAsia="zh-CN"/>
              </w:rPr>
              <w:t>差异</w:t>
            </w:r>
          </w:p>
        </w:tc>
      </w:tr>
      <w:tr w14:paraId="59700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377" w:type="pct"/>
            <w:vAlign w:val="center"/>
          </w:tcPr>
          <w:p w14:paraId="2B28FC18">
            <w:pPr>
              <w:jc w:val="center"/>
              <w:rPr>
                <w:lang w:eastAsia="zh-CN"/>
              </w:rPr>
            </w:pPr>
            <w:r>
              <w:rPr>
                <w:rFonts w:hint="eastAsia"/>
                <w:lang w:eastAsia="zh-CN"/>
              </w:rPr>
              <w:t>1</w:t>
            </w:r>
          </w:p>
        </w:tc>
        <w:tc>
          <w:tcPr>
            <w:tcW w:w="2301" w:type="pct"/>
          </w:tcPr>
          <w:p w14:paraId="05F278EE">
            <w:pPr>
              <w:pStyle w:val="1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autoSpaceDE/>
              <w:autoSpaceDN/>
              <w:adjustRightInd/>
              <w:spacing w:before="105" w:beforeAutospacing="0" w:after="105" w:afterAutospacing="0" w:line="360" w:lineRule="auto"/>
              <w:ind w:right="0" w:rightChars="0"/>
              <w:jc w:val="both"/>
              <w:textAlignment w:val="auto"/>
              <w:rPr>
                <w:rFonts w:asciiTheme="minorHAnsi" w:hAnsiTheme="minorHAnsi" w:eastAsiaTheme="minorEastAsia" w:cstheme="minorBidi"/>
                <w:color w:val="000000"/>
                <w:sz w:val="22"/>
                <w:szCs w:val="22"/>
                <w:lang w:val="en-US" w:eastAsia="zh-CN" w:bidi="ar-SA"/>
              </w:rPr>
            </w:pPr>
            <w:r>
              <w:rPr>
                <w:color w:val="000000"/>
                <w:sz w:val="22"/>
              </w:rPr>
              <w:t>★1.中标人应按照《中华人民共和国劳动法》的相关规定签订劳动合同和按时发放工资，服务人员工资不得低于广州市企业职工最低工资标准（工资不含按国家规定中标人必须支付的社会保险及其他应付费用）。</w:t>
            </w:r>
          </w:p>
        </w:tc>
        <w:tc>
          <w:tcPr>
            <w:tcW w:w="1538" w:type="pct"/>
          </w:tcPr>
          <w:p w14:paraId="08531BDE">
            <w:pPr>
              <w:rPr>
                <w:lang w:eastAsia="zh-CN"/>
              </w:rPr>
            </w:pPr>
          </w:p>
        </w:tc>
        <w:tc>
          <w:tcPr>
            <w:tcW w:w="782" w:type="pct"/>
          </w:tcPr>
          <w:p w14:paraId="7760D8F4">
            <w:pPr>
              <w:rPr>
                <w:lang w:eastAsia="zh-CN"/>
              </w:rPr>
            </w:pPr>
          </w:p>
        </w:tc>
      </w:tr>
      <w:tr w14:paraId="56FDF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377" w:type="pct"/>
            <w:vAlign w:val="center"/>
          </w:tcPr>
          <w:p w14:paraId="3A29F6FA">
            <w:pPr>
              <w:jc w:val="center"/>
              <w:rPr>
                <w:lang w:eastAsia="zh-CN"/>
              </w:rPr>
            </w:pPr>
            <w:r>
              <w:rPr>
                <w:rFonts w:hint="eastAsia"/>
                <w:lang w:eastAsia="zh-CN"/>
              </w:rPr>
              <w:t>2</w:t>
            </w:r>
          </w:p>
        </w:tc>
        <w:tc>
          <w:tcPr>
            <w:tcW w:w="2301" w:type="pct"/>
          </w:tcPr>
          <w:p w14:paraId="116E41B5">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5" w:beforeAutospacing="0" w:after="105" w:afterAutospacing="0" w:line="360" w:lineRule="auto"/>
              <w:ind w:right="0" w:rightChars="0"/>
              <w:jc w:val="both"/>
              <w:rPr>
                <w:rFonts w:asciiTheme="minorHAnsi" w:hAnsiTheme="minorHAnsi" w:eastAsiaTheme="minorEastAsia" w:cstheme="minorBidi"/>
                <w:color w:val="000000"/>
                <w:sz w:val="22"/>
                <w:szCs w:val="22"/>
                <w:lang w:val="en-US" w:eastAsia="en-US" w:bidi="ar-SA"/>
              </w:rPr>
            </w:pPr>
            <w:r>
              <w:rPr>
                <w:color w:val="000000"/>
                <w:sz w:val="22"/>
              </w:rPr>
              <w:t>★2.中标人应按照《中华人民共和国社会保险法》和《住房公积金管理条例》的相关规定，支付国家规定必须购买的社会保险费用和缴存住房公积金。</w:t>
            </w:r>
          </w:p>
        </w:tc>
        <w:tc>
          <w:tcPr>
            <w:tcW w:w="1538" w:type="pct"/>
          </w:tcPr>
          <w:p w14:paraId="23FCF9A5"/>
        </w:tc>
        <w:tc>
          <w:tcPr>
            <w:tcW w:w="782" w:type="pct"/>
          </w:tcPr>
          <w:p w14:paraId="3B020170"/>
        </w:tc>
      </w:tr>
      <w:tr w14:paraId="03631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377" w:type="pct"/>
            <w:vAlign w:val="center"/>
          </w:tcPr>
          <w:p w14:paraId="43D82677">
            <w:pPr>
              <w:jc w:val="center"/>
              <w:rPr>
                <w:rFonts w:hint="default"/>
                <w:lang w:val="en-US" w:eastAsia="zh-CN"/>
              </w:rPr>
            </w:pPr>
            <w:r>
              <w:rPr>
                <w:rFonts w:hint="eastAsia"/>
                <w:lang w:val="en-US" w:eastAsia="zh-CN"/>
              </w:rPr>
              <w:t>3</w:t>
            </w:r>
          </w:p>
        </w:tc>
        <w:tc>
          <w:tcPr>
            <w:tcW w:w="2301" w:type="pct"/>
          </w:tcPr>
          <w:p w14:paraId="1145ABCC">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360" w:lineRule="auto"/>
              <w:ind w:right="0" w:rightChars="0"/>
              <w:jc w:val="both"/>
              <w:textAlignment w:val="auto"/>
              <w:rPr>
                <w:rFonts w:hint="eastAsia" w:asciiTheme="minorHAnsi" w:hAnsiTheme="minorHAnsi" w:eastAsiaTheme="minorEastAsia" w:cstheme="minorBidi"/>
                <w:color w:val="000000"/>
                <w:sz w:val="22"/>
                <w:szCs w:val="22"/>
                <w:lang w:val="en-US" w:eastAsia="en-US" w:bidi="ar-SA"/>
              </w:rPr>
            </w:pPr>
            <w:r>
              <w:rPr>
                <w:color w:val="000000"/>
                <w:sz w:val="22"/>
              </w:rPr>
              <w:t>★3.投标人须承诺按照《广东省公安厅关于加强和规范消防控制室管理的通告》（粤公通字〔2015〕209号）规定，安排图书馆消防控制室（含治安保卫、消防安全、楼宇自控等管理功能）岗位的服务人员不得少于6人，人员须持人社部门颁发的四级或以上《消防设施操作员证》或四级或以上建（构）筑物消防员证上岗，三班轮值，每班不少于2人，巡视并形成记录。每班工作时间不得超过8小时，专人专岗，不得兼岗。中标人无法提供有效的持证或每班监控人员不符合国家有关的规定，将按合同违约条款，终止合同，并报监管部门处理，由此引起的一切后果，由中标人承担。投标时必须提供以上人员的上岗证书扫描件。（提供相关证书扫描件及承诺函，格式自拟）</w:t>
            </w:r>
          </w:p>
        </w:tc>
        <w:tc>
          <w:tcPr>
            <w:tcW w:w="1538" w:type="pct"/>
          </w:tcPr>
          <w:p w14:paraId="3C268233"/>
        </w:tc>
        <w:tc>
          <w:tcPr>
            <w:tcW w:w="782" w:type="pct"/>
          </w:tcPr>
          <w:p w14:paraId="30FA3081"/>
        </w:tc>
      </w:tr>
      <w:tr w14:paraId="0C240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2366D00A">
            <w:pPr>
              <w:jc w:val="center"/>
              <w:rPr>
                <w:rFonts w:hint="default"/>
                <w:lang w:val="en-US" w:eastAsia="zh-CN"/>
              </w:rPr>
            </w:pPr>
            <w:r>
              <w:rPr>
                <w:rFonts w:hint="eastAsia"/>
                <w:lang w:val="en-US" w:eastAsia="zh-CN"/>
              </w:rPr>
              <w:t>4</w:t>
            </w:r>
          </w:p>
        </w:tc>
        <w:tc>
          <w:tcPr>
            <w:tcW w:w="2301" w:type="pct"/>
          </w:tcPr>
          <w:p w14:paraId="0FB08A4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5" w:beforeAutospacing="0" w:after="105" w:afterAutospacing="0"/>
              <w:ind w:right="0" w:rightChars="0"/>
              <w:jc w:val="both"/>
              <w:rPr>
                <w:rFonts w:hint="eastAsia" w:asciiTheme="minorHAnsi" w:hAnsiTheme="minorHAnsi" w:eastAsiaTheme="minorEastAsia" w:cstheme="minorBidi"/>
                <w:color w:val="000000"/>
                <w:sz w:val="22"/>
                <w:szCs w:val="22"/>
                <w:lang w:val="en-US" w:eastAsia="en-US" w:bidi="ar-SA"/>
              </w:rPr>
            </w:pPr>
            <w:r>
              <w:rPr>
                <w:color w:val="000000"/>
                <w:sz w:val="22"/>
              </w:rPr>
              <w:t>★4.中标人应按照《中华人民共和国劳动法》的要求，正常工作时间8小时/天，加班时间符合国家法定要求。</w:t>
            </w:r>
          </w:p>
        </w:tc>
        <w:tc>
          <w:tcPr>
            <w:tcW w:w="1538" w:type="pct"/>
          </w:tcPr>
          <w:p w14:paraId="206C6E3A"/>
        </w:tc>
        <w:tc>
          <w:tcPr>
            <w:tcW w:w="782" w:type="pct"/>
          </w:tcPr>
          <w:p w14:paraId="6C3A6EA0"/>
        </w:tc>
      </w:tr>
      <w:tr w14:paraId="400C3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139E46AC">
            <w:pPr>
              <w:jc w:val="center"/>
              <w:rPr>
                <w:rFonts w:hint="default"/>
                <w:lang w:val="en-US" w:eastAsia="zh-CN"/>
              </w:rPr>
            </w:pPr>
            <w:r>
              <w:rPr>
                <w:rFonts w:hint="eastAsia"/>
                <w:lang w:val="en-US" w:eastAsia="zh-CN"/>
              </w:rPr>
              <w:t>5</w:t>
            </w:r>
          </w:p>
        </w:tc>
        <w:tc>
          <w:tcPr>
            <w:tcW w:w="2301" w:type="pct"/>
          </w:tcPr>
          <w:p w14:paraId="1EB5213C">
            <w:pPr>
              <w:pStyle w:val="17"/>
              <w:spacing w:before="105" w:after="105"/>
              <w:rPr>
                <w:color w:val="auto"/>
                <w:sz w:val="21"/>
              </w:rPr>
            </w:pPr>
            <w:r>
              <w:rPr>
                <w:color w:val="000000"/>
                <w:sz w:val="22"/>
              </w:rPr>
              <w:t>★6.高、低压值班人员要求具有应急管理部门颁发的特种作业操作证（高压电工作业或低压电工作业），三班轮值，每班不少于2人。</w:t>
            </w:r>
            <w:r>
              <w:rPr>
                <w:rFonts w:hint="eastAsia"/>
                <w:color w:val="000000"/>
                <w:sz w:val="22"/>
                <w:lang w:val="en-US" w:eastAsia="zh-CN"/>
              </w:rPr>
              <w:t>中标后</w:t>
            </w:r>
            <w:r>
              <w:rPr>
                <w:color w:val="000000"/>
                <w:sz w:val="22"/>
              </w:rPr>
              <w:t>提供不少于6人由应急管理部门颁发的特种作业操作证（高压电工作业或低压电工作业）</w:t>
            </w:r>
            <w:r>
              <w:rPr>
                <w:rFonts w:hint="eastAsia"/>
                <w:color w:val="000000"/>
                <w:sz w:val="22"/>
                <w:lang w:val="en-US" w:eastAsia="zh-CN"/>
              </w:rPr>
              <w:t>给采购人核验</w:t>
            </w:r>
            <w:r>
              <w:rPr>
                <w:color w:val="000000"/>
                <w:sz w:val="22"/>
              </w:rPr>
              <w:t>。（提供承诺函，格式自拟）</w:t>
            </w:r>
          </w:p>
        </w:tc>
        <w:tc>
          <w:tcPr>
            <w:tcW w:w="1538" w:type="pct"/>
          </w:tcPr>
          <w:p w14:paraId="7B507F28"/>
        </w:tc>
        <w:tc>
          <w:tcPr>
            <w:tcW w:w="782" w:type="pct"/>
          </w:tcPr>
          <w:p w14:paraId="03BFAE37"/>
        </w:tc>
      </w:tr>
      <w:tr w14:paraId="1F0F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6089DA36">
            <w:pPr>
              <w:jc w:val="center"/>
              <w:rPr>
                <w:rFonts w:hint="default"/>
                <w:lang w:val="en-US" w:eastAsia="zh-CN"/>
              </w:rPr>
            </w:pPr>
            <w:r>
              <w:rPr>
                <w:rFonts w:hint="eastAsia"/>
                <w:lang w:val="en-US" w:eastAsia="zh-CN"/>
              </w:rPr>
              <w:t>6</w:t>
            </w:r>
          </w:p>
        </w:tc>
        <w:tc>
          <w:tcPr>
            <w:tcW w:w="2301" w:type="pct"/>
          </w:tcPr>
          <w:p w14:paraId="4A60AA00">
            <w:pPr>
              <w:pStyle w:val="17"/>
              <w:spacing w:before="105" w:after="105"/>
              <w:rPr>
                <w:color w:val="auto"/>
                <w:sz w:val="21"/>
              </w:rPr>
            </w:pPr>
            <w:r>
              <w:rPr>
                <w:color w:val="000000"/>
                <w:sz w:val="22"/>
              </w:rPr>
              <w:t>★7.本项目购买公众责任险及相关责任险要求：为保障进入图书馆管辖范围内人员的安全，投标人应承诺，如获中标，中标后购买公众责任险（累计赔偿限额不低于1000万元/年，被保险人应包括图书馆），包括但不限于事故责任险、事故财产损失险、人员伤害险（含高空坠落、电梯运行过程中的突然故障、内外石材幕墙及玻璃损坏和坠落造成第三者的人身伤亡或财产损失），附加责任险包括广告及装置、空中运行物体坠落、志愿者第三者责任险（包括图书馆聘用时工和实习生）、火灾和爆炸、电梯、停车场、客人财产等。事故责任险每次事故责任限额不低于1000万元，其中，事故财产损失险每次事故财产损失限额不低于100万元，人</w:t>
            </w:r>
            <w:r>
              <w:rPr>
                <w:sz w:val="22"/>
              </w:rPr>
              <w:t>员伤害险每人责任限额不低于900万元，广告及装置责任险累计赔偿限额不少于200万元/年，空中运行物体坠落险累计赔偿限额不少于500万元/年，火灾和爆炸责任险累计赔偿限额不少于300万元/年， 志愿者第三者责任险限额不少于100万元/年。电梯责任险累计赔偿限额不少于600万元/年，停车场责任险累计责任限额不低于100万元/年，每次事故每个</w:t>
            </w:r>
            <w:r>
              <w:rPr>
                <w:color w:val="000000"/>
                <w:sz w:val="22"/>
              </w:rPr>
              <w:t>车位责任险限额20万元/年，包括但不限于车辆盗抢险、划痕险及水淹险等。客人财产责任险累计赔偿限额不低于100万元。另外，增加购买雇主责任险，赔偿限额不低于50万元/人。中标人服务人员在本项目管理范围内发生违法、违规行为的，所造成一切后果及损失，由中标人承担责任和负责赔偿。（提供承诺函，格式自拟）</w:t>
            </w:r>
          </w:p>
        </w:tc>
        <w:tc>
          <w:tcPr>
            <w:tcW w:w="1538" w:type="pct"/>
          </w:tcPr>
          <w:p w14:paraId="4200F620"/>
        </w:tc>
        <w:tc>
          <w:tcPr>
            <w:tcW w:w="782" w:type="pct"/>
          </w:tcPr>
          <w:p w14:paraId="1065A53F"/>
        </w:tc>
      </w:tr>
      <w:tr w14:paraId="72408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2B2580F4">
            <w:pPr>
              <w:jc w:val="center"/>
              <w:rPr>
                <w:rFonts w:hint="default"/>
                <w:lang w:val="en-US" w:eastAsia="zh-CN"/>
              </w:rPr>
            </w:pPr>
            <w:r>
              <w:rPr>
                <w:rFonts w:hint="eastAsia"/>
                <w:lang w:val="en-US" w:eastAsia="zh-CN"/>
              </w:rPr>
              <w:t>7</w:t>
            </w:r>
          </w:p>
        </w:tc>
        <w:tc>
          <w:tcPr>
            <w:tcW w:w="2301" w:type="pct"/>
          </w:tcPr>
          <w:p w14:paraId="5E48F43D">
            <w:pPr>
              <w:pStyle w:val="17"/>
              <w:spacing w:before="105" w:after="105"/>
              <w:rPr>
                <w:color w:val="auto"/>
                <w:sz w:val="21"/>
              </w:rPr>
            </w:pPr>
            <w:r>
              <w:rPr>
                <w:color w:val="000000"/>
                <w:sz w:val="22"/>
              </w:rPr>
              <w:t>★9.投标人承诺投标文件中所有资料（包括但不限于合同、评价、证明、证书、证件等）的复印件、扫描件均与原件相符，均为真实合法有效；投标文件中所有拟派管理服务人员需为投标人的在职人员。采购人在与中标人签订合同前逐一核对，如因中标人提供虚假材料谋取中标的，视为违约，并上报财政部门依法处理。（投标时提供承诺函，格式自拟）</w:t>
            </w:r>
          </w:p>
        </w:tc>
        <w:tc>
          <w:tcPr>
            <w:tcW w:w="1538" w:type="pct"/>
          </w:tcPr>
          <w:p w14:paraId="12C8D1E2"/>
        </w:tc>
        <w:tc>
          <w:tcPr>
            <w:tcW w:w="782" w:type="pct"/>
          </w:tcPr>
          <w:p w14:paraId="08D57D68"/>
        </w:tc>
      </w:tr>
      <w:tr w14:paraId="18F37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20A75A9F">
            <w:pPr>
              <w:jc w:val="center"/>
              <w:rPr>
                <w:rFonts w:hint="default"/>
                <w:lang w:val="en-US" w:eastAsia="zh-CN"/>
              </w:rPr>
            </w:pPr>
            <w:r>
              <w:rPr>
                <w:rFonts w:hint="eastAsia"/>
                <w:lang w:val="en-US" w:eastAsia="zh-CN"/>
              </w:rPr>
              <w:t>8</w:t>
            </w:r>
          </w:p>
        </w:tc>
        <w:tc>
          <w:tcPr>
            <w:tcW w:w="2301" w:type="pct"/>
          </w:tcPr>
          <w:p w14:paraId="2B872DD4">
            <w:pPr>
              <w:pStyle w:val="17"/>
              <w:spacing w:before="105" w:after="105"/>
              <w:rPr>
                <w:color w:val="auto"/>
                <w:sz w:val="21"/>
              </w:rPr>
            </w:pPr>
            <w:r>
              <w:rPr>
                <w:color w:val="000000"/>
                <w:sz w:val="22"/>
              </w:rPr>
              <w:t>★11.派驻现场的人员由投标人派出的（派驻现场的人员指项目经理、项目副经理、人事专员、安保员、工程技术员共55名人员），投标人需承诺拟派驻现场的人员是投标人单位员工（提供承诺函，格式自拟）。</w:t>
            </w:r>
          </w:p>
        </w:tc>
        <w:tc>
          <w:tcPr>
            <w:tcW w:w="1538" w:type="pct"/>
          </w:tcPr>
          <w:p w14:paraId="73B945D9"/>
        </w:tc>
        <w:tc>
          <w:tcPr>
            <w:tcW w:w="782" w:type="pct"/>
          </w:tcPr>
          <w:p w14:paraId="465BB320"/>
        </w:tc>
      </w:tr>
      <w:tr w14:paraId="351EF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57619E48">
            <w:pPr>
              <w:jc w:val="center"/>
              <w:rPr>
                <w:rFonts w:hint="default"/>
                <w:lang w:val="en-US" w:eastAsia="zh-CN"/>
              </w:rPr>
            </w:pPr>
            <w:r>
              <w:rPr>
                <w:rFonts w:hint="eastAsia"/>
                <w:lang w:val="en-US" w:eastAsia="zh-CN"/>
              </w:rPr>
              <w:t>9</w:t>
            </w:r>
          </w:p>
        </w:tc>
        <w:tc>
          <w:tcPr>
            <w:tcW w:w="2301" w:type="pct"/>
          </w:tcPr>
          <w:p w14:paraId="106A4DF4">
            <w:pPr>
              <w:pStyle w:val="17"/>
              <w:widowControl/>
              <w:spacing w:before="105" w:after="105"/>
              <w:rPr>
                <w:color w:val="auto"/>
                <w:sz w:val="21"/>
              </w:rPr>
            </w:pPr>
            <w:r>
              <w:rPr>
                <w:color w:val="000000"/>
                <w:sz w:val="22"/>
              </w:rPr>
              <w:t>★1.本项目报价分为：人员单人月度综合单价报价和专项服务年度分项报价二部分，投标人应在开标一览表报出投标总价，在投标文件其余任意位置报出上述分项报价。</w:t>
            </w:r>
          </w:p>
        </w:tc>
        <w:tc>
          <w:tcPr>
            <w:tcW w:w="1538" w:type="pct"/>
          </w:tcPr>
          <w:p w14:paraId="6BC20806"/>
        </w:tc>
        <w:tc>
          <w:tcPr>
            <w:tcW w:w="782" w:type="pct"/>
          </w:tcPr>
          <w:p w14:paraId="4FCFB916"/>
        </w:tc>
      </w:tr>
      <w:tr w14:paraId="1B0C8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19CB0F65">
            <w:pPr>
              <w:jc w:val="center"/>
              <w:rPr>
                <w:rFonts w:hint="default"/>
                <w:lang w:val="en-US" w:eastAsia="zh-CN"/>
              </w:rPr>
            </w:pPr>
            <w:r>
              <w:rPr>
                <w:rFonts w:hint="eastAsia"/>
                <w:lang w:val="en-US" w:eastAsia="zh-CN"/>
              </w:rPr>
              <w:t>10</w:t>
            </w:r>
          </w:p>
        </w:tc>
        <w:tc>
          <w:tcPr>
            <w:tcW w:w="2301" w:type="pct"/>
          </w:tcPr>
          <w:p w14:paraId="1A7FEB9D">
            <w:pPr>
              <w:pStyle w:val="17"/>
              <w:widowControl/>
              <w:spacing w:before="105" w:after="105"/>
              <w:rPr>
                <w:color w:val="auto"/>
                <w:sz w:val="21"/>
              </w:rPr>
            </w:pPr>
            <w:r>
              <w:rPr>
                <w:color w:val="000000"/>
                <w:sz w:val="22"/>
              </w:rPr>
              <w:t>★2.维修备用金：</w:t>
            </w:r>
            <w:r>
              <w:rPr>
                <w:sz w:val="22"/>
              </w:rPr>
              <w:t>参照本年度预算，明年维修费用约250000元维修费用，投标人的报价需包含该部分费用，用于建筑维修、设施设备维修、配件更换等支出（含维修产生的耗材物料费以及人工费等），该费用以实际维修产生费用为依据，相关支出凭证需经采购人签名核实。</w:t>
            </w:r>
            <w:r>
              <w:rPr>
                <w:color w:val="000000"/>
                <w:sz w:val="22"/>
              </w:rPr>
              <w:t>（提供承诺函，格式自拟）</w:t>
            </w:r>
          </w:p>
        </w:tc>
        <w:tc>
          <w:tcPr>
            <w:tcW w:w="1538" w:type="pct"/>
          </w:tcPr>
          <w:p w14:paraId="2AC46F9B"/>
        </w:tc>
        <w:tc>
          <w:tcPr>
            <w:tcW w:w="782" w:type="pct"/>
          </w:tcPr>
          <w:p w14:paraId="68BC496B"/>
        </w:tc>
      </w:tr>
      <w:tr w14:paraId="1B9B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35F21C15">
            <w:pPr>
              <w:jc w:val="center"/>
              <w:rPr>
                <w:rFonts w:hint="default"/>
                <w:lang w:val="en-US" w:eastAsia="zh-CN"/>
              </w:rPr>
            </w:pPr>
            <w:r>
              <w:rPr>
                <w:rFonts w:hint="eastAsia"/>
                <w:lang w:val="en-US" w:eastAsia="zh-CN"/>
              </w:rPr>
              <w:t>11</w:t>
            </w:r>
          </w:p>
        </w:tc>
        <w:tc>
          <w:tcPr>
            <w:tcW w:w="2301" w:type="pct"/>
          </w:tcPr>
          <w:p w14:paraId="5DFB364C">
            <w:pPr>
              <w:pStyle w:val="17"/>
              <w:jc w:val="both"/>
              <w:rPr>
                <w:rFonts w:hint="eastAsia" w:eastAsiaTheme="minorEastAsia"/>
                <w:color w:val="000000"/>
                <w:sz w:val="24"/>
                <w:lang w:eastAsia="zh-CN"/>
              </w:rPr>
            </w:pPr>
            <w:bookmarkStart w:id="0" w:name="C99"/>
            <w:r>
              <w:rPr>
                <w:color w:val="000000"/>
                <w:sz w:val="24"/>
              </w:rPr>
              <w:t>项目经理</w:t>
            </w:r>
            <w:bookmarkEnd w:id="0"/>
            <w:r>
              <w:rPr>
                <w:rFonts w:hint="eastAsia"/>
                <w:color w:val="000000"/>
                <w:sz w:val="24"/>
                <w:lang w:eastAsia="zh-CN"/>
              </w:rPr>
              <w:t>：</w:t>
            </w:r>
          </w:p>
          <w:p w14:paraId="1EE0C65E">
            <w:pPr>
              <w:pStyle w:val="17"/>
              <w:rPr>
                <w:color w:val="auto"/>
                <w:sz w:val="21"/>
              </w:rPr>
            </w:pPr>
            <w:r>
              <w:rPr>
                <w:color w:val="000000"/>
                <w:sz w:val="24"/>
              </w:rPr>
              <w:t>★要求驻场项目经理具有建（构）筑物消防员或消防设施操作员证书（</w:t>
            </w:r>
            <w:r>
              <w:rPr>
                <w:rFonts w:hint="eastAsia"/>
                <w:color w:val="000000"/>
                <w:sz w:val="24"/>
                <w:lang w:val="en-US" w:eastAsia="zh-CN"/>
              </w:rPr>
              <w:t>提供承诺函，承诺中标后</w:t>
            </w:r>
            <w:r>
              <w:rPr>
                <w:color w:val="000000"/>
                <w:sz w:val="24"/>
              </w:rPr>
              <w:t>提供证书扫描件</w:t>
            </w:r>
            <w:r>
              <w:rPr>
                <w:rFonts w:hint="eastAsia"/>
                <w:color w:val="000000"/>
                <w:sz w:val="24"/>
                <w:lang w:eastAsia="zh-CN"/>
              </w:rPr>
              <w:t>，</w:t>
            </w:r>
            <w:r>
              <w:rPr>
                <w:rFonts w:hint="eastAsia"/>
                <w:color w:val="000000"/>
                <w:sz w:val="24"/>
                <w:lang w:val="en-US" w:eastAsia="zh-CN"/>
              </w:rPr>
              <w:t>格式自拟</w:t>
            </w:r>
            <w:r>
              <w:rPr>
                <w:color w:val="000000"/>
                <w:sz w:val="24"/>
              </w:rPr>
              <w:t>）。</w:t>
            </w:r>
          </w:p>
        </w:tc>
        <w:tc>
          <w:tcPr>
            <w:tcW w:w="1538" w:type="pct"/>
          </w:tcPr>
          <w:p w14:paraId="76B66C72"/>
        </w:tc>
        <w:tc>
          <w:tcPr>
            <w:tcW w:w="782" w:type="pct"/>
          </w:tcPr>
          <w:p w14:paraId="7BD4275C"/>
        </w:tc>
      </w:tr>
      <w:tr w14:paraId="159A9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758B0EE9">
            <w:pPr>
              <w:jc w:val="center"/>
              <w:rPr>
                <w:rFonts w:hint="default"/>
                <w:lang w:val="en-US" w:eastAsia="zh-CN"/>
              </w:rPr>
            </w:pPr>
            <w:r>
              <w:rPr>
                <w:rFonts w:hint="eastAsia"/>
                <w:lang w:val="en-US" w:eastAsia="zh-CN"/>
              </w:rPr>
              <w:t>12</w:t>
            </w:r>
          </w:p>
        </w:tc>
        <w:tc>
          <w:tcPr>
            <w:tcW w:w="2301" w:type="pct"/>
          </w:tcPr>
          <w:p w14:paraId="69943F78">
            <w:pPr>
              <w:pStyle w:val="17"/>
              <w:keepNext w:val="0"/>
              <w:keepLines w:val="0"/>
              <w:pageBreakBefore w:val="0"/>
              <w:widowControl/>
              <w:bidi w:val="0"/>
              <w:spacing w:line="400" w:lineRule="exact"/>
              <w:rPr>
                <w:rFonts w:hint="eastAsia" w:asciiTheme="minorEastAsia" w:hAnsiTheme="minorEastAsia" w:cstheme="minorEastAsia"/>
                <w:color w:val="000000"/>
                <w:sz w:val="24"/>
                <w:lang w:eastAsia="zh-CN"/>
              </w:rPr>
            </w:pPr>
            <w:r>
              <w:rPr>
                <w:rFonts w:asciiTheme="minorEastAsia" w:hAnsiTheme="minorEastAsia" w:cstheme="minorEastAsia"/>
                <w:color w:val="000000"/>
                <w:sz w:val="24"/>
              </w:rPr>
              <w:t>项目经理</w:t>
            </w:r>
            <w:r>
              <w:rPr>
                <w:rFonts w:hint="eastAsia" w:asciiTheme="minorEastAsia" w:hAnsiTheme="minorEastAsia" w:cstheme="minorEastAsia"/>
                <w:color w:val="000000"/>
                <w:sz w:val="24"/>
                <w:lang w:eastAsia="zh-CN"/>
              </w:rPr>
              <w:t>：</w:t>
            </w:r>
          </w:p>
          <w:p w14:paraId="773E328E">
            <w:pPr>
              <w:pStyle w:val="17"/>
              <w:keepNext w:val="0"/>
              <w:keepLines w:val="0"/>
              <w:pageBreakBefore w:val="0"/>
              <w:widowControl/>
              <w:bidi w:val="0"/>
              <w:spacing w:line="400" w:lineRule="exact"/>
              <w:rPr>
                <w:rFonts w:asciiTheme="minorEastAsia" w:hAnsiTheme="minorEastAsia" w:cstheme="minorEastAsia"/>
                <w:color w:val="000000"/>
                <w:sz w:val="24"/>
              </w:rPr>
            </w:pPr>
            <w:r>
              <w:rPr>
                <w:color w:val="000000"/>
                <w:sz w:val="24"/>
              </w:rPr>
              <w:t>★持有人社部门颁发的应急救援员证书（</w:t>
            </w:r>
            <w:r>
              <w:rPr>
                <w:rFonts w:hint="eastAsia"/>
                <w:color w:val="000000"/>
                <w:sz w:val="24"/>
                <w:lang w:val="en-US" w:eastAsia="zh-CN"/>
              </w:rPr>
              <w:t>提供承诺函，承诺中标后</w:t>
            </w:r>
            <w:r>
              <w:rPr>
                <w:color w:val="000000"/>
                <w:sz w:val="24"/>
              </w:rPr>
              <w:t>提供证书扫描件</w:t>
            </w:r>
            <w:r>
              <w:rPr>
                <w:rFonts w:hint="eastAsia"/>
                <w:color w:val="000000"/>
                <w:sz w:val="24"/>
                <w:lang w:eastAsia="zh-CN"/>
              </w:rPr>
              <w:t>，</w:t>
            </w:r>
            <w:r>
              <w:rPr>
                <w:rFonts w:hint="eastAsia"/>
                <w:color w:val="000000"/>
                <w:sz w:val="24"/>
                <w:lang w:val="en-US" w:eastAsia="zh-CN"/>
              </w:rPr>
              <w:t>格式自拟</w:t>
            </w:r>
            <w:r>
              <w:rPr>
                <w:color w:val="000000"/>
                <w:sz w:val="24"/>
              </w:rPr>
              <w:t>）。</w:t>
            </w:r>
          </w:p>
        </w:tc>
        <w:tc>
          <w:tcPr>
            <w:tcW w:w="1538" w:type="pct"/>
          </w:tcPr>
          <w:p w14:paraId="4BA80EB8"/>
        </w:tc>
        <w:tc>
          <w:tcPr>
            <w:tcW w:w="782" w:type="pct"/>
          </w:tcPr>
          <w:p w14:paraId="2250C6BA"/>
        </w:tc>
      </w:tr>
      <w:tr w14:paraId="1670B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52AE0624">
            <w:pPr>
              <w:jc w:val="center"/>
              <w:rPr>
                <w:rFonts w:hint="default"/>
                <w:lang w:val="en-US" w:eastAsia="zh-CN"/>
              </w:rPr>
            </w:pPr>
            <w:r>
              <w:rPr>
                <w:rFonts w:hint="eastAsia"/>
                <w:lang w:val="en-US" w:eastAsia="zh-CN"/>
              </w:rPr>
              <w:t>13</w:t>
            </w:r>
          </w:p>
        </w:tc>
        <w:tc>
          <w:tcPr>
            <w:tcW w:w="2301" w:type="pct"/>
          </w:tcPr>
          <w:p w14:paraId="691F29FF">
            <w:pPr>
              <w:pStyle w:val="17"/>
              <w:keepNext w:val="0"/>
              <w:keepLines w:val="0"/>
              <w:pageBreakBefore w:val="0"/>
              <w:widowControl/>
              <w:bidi w:val="0"/>
              <w:spacing w:line="400" w:lineRule="exact"/>
              <w:rPr>
                <w:rFonts w:hint="eastAsia" w:asciiTheme="minorEastAsia" w:hAnsiTheme="minorEastAsia" w:cstheme="minorEastAsia"/>
                <w:color w:val="000000"/>
                <w:sz w:val="24"/>
                <w:lang w:eastAsia="zh-CN"/>
              </w:rPr>
            </w:pPr>
            <w:bookmarkStart w:id="1" w:name="C102"/>
            <w:r>
              <w:rPr>
                <w:rFonts w:asciiTheme="minorEastAsia" w:hAnsiTheme="minorEastAsia" w:cstheme="minorEastAsia"/>
                <w:color w:val="000000"/>
                <w:sz w:val="24"/>
              </w:rPr>
              <w:t>项目</w:t>
            </w:r>
            <w:r>
              <w:rPr>
                <w:rFonts w:asciiTheme="minorEastAsia" w:hAnsiTheme="minorEastAsia" w:cstheme="minorEastAsia"/>
                <w:color w:val="000000"/>
                <w:sz w:val="24"/>
                <w:lang w:eastAsia="zh-CN"/>
              </w:rPr>
              <w:t>副</w:t>
            </w:r>
            <w:r>
              <w:rPr>
                <w:rFonts w:asciiTheme="minorEastAsia" w:hAnsiTheme="minorEastAsia" w:cstheme="minorEastAsia"/>
                <w:color w:val="000000"/>
                <w:sz w:val="24"/>
              </w:rPr>
              <w:t>经理</w:t>
            </w:r>
            <w:bookmarkEnd w:id="1"/>
            <w:r>
              <w:rPr>
                <w:rFonts w:hint="eastAsia" w:asciiTheme="minorEastAsia" w:hAnsiTheme="minorEastAsia" w:cstheme="minorEastAsia"/>
                <w:color w:val="000000"/>
                <w:sz w:val="24"/>
                <w:lang w:eastAsia="zh-CN"/>
              </w:rPr>
              <w:t>：</w:t>
            </w:r>
          </w:p>
          <w:p w14:paraId="4FD94E5B">
            <w:pPr>
              <w:pStyle w:val="17"/>
              <w:keepNext w:val="0"/>
              <w:keepLines w:val="0"/>
              <w:pageBreakBefore w:val="0"/>
              <w:widowControl/>
              <w:bidi w:val="0"/>
              <w:spacing w:line="400" w:lineRule="exact"/>
              <w:rPr>
                <w:rFonts w:asciiTheme="minorEastAsia" w:hAnsiTheme="minorEastAsia" w:cstheme="minorEastAsia"/>
                <w:color w:val="000000"/>
                <w:sz w:val="24"/>
              </w:rPr>
            </w:pPr>
            <w:r>
              <w:rPr>
                <w:rFonts w:asciiTheme="minorEastAsia" w:hAnsiTheme="minorEastAsia" w:cstheme="minorEastAsia"/>
                <w:color w:val="000000"/>
                <w:sz w:val="24"/>
              </w:rPr>
              <w:t>①★具备四级或以上消防设施操作员或建（构）筑物消防员职业资格证（</w:t>
            </w:r>
            <w:r>
              <w:rPr>
                <w:rFonts w:hint="eastAsia" w:asciiTheme="minorEastAsia" w:hAnsiTheme="minorEastAsia" w:cstheme="minorEastAsia"/>
                <w:color w:val="000000"/>
                <w:sz w:val="24"/>
                <w:lang w:val="en-US" w:eastAsia="zh-CN"/>
              </w:rPr>
              <w:t>提供承诺函，承诺中标后</w:t>
            </w:r>
            <w:r>
              <w:rPr>
                <w:rFonts w:asciiTheme="minorEastAsia" w:hAnsiTheme="minorEastAsia" w:cstheme="minorEastAsia"/>
                <w:color w:val="000000"/>
                <w:sz w:val="24"/>
              </w:rPr>
              <w:t>提供证书扫描件</w:t>
            </w:r>
            <w:r>
              <w:rPr>
                <w:rFonts w:hint="eastAsia" w:asciiTheme="minorEastAsia" w:hAnsiTheme="minorEastAsia" w:cstheme="minorEastAsia"/>
                <w:color w:val="000000"/>
                <w:sz w:val="24"/>
                <w:lang w:eastAsia="zh-CN"/>
              </w:rPr>
              <w:t>，</w:t>
            </w:r>
            <w:r>
              <w:rPr>
                <w:rFonts w:hint="eastAsia" w:asciiTheme="minorEastAsia" w:hAnsiTheme="minorEastAsia" w:cstheme="minorEastAsia"/>
                <w:color w:val="000000"/>
                <w:sz w:val="24"/>
                <w:lang w:val="en-US" w:eastAsia="zh-CN"/>
              </w:rPr>
              <w:t>格式自拟</w:t>
            </w:r>
            <w:r>
              <w:rPr>
                <w:rFonts w:asciiTheme="minorEastAsia" w:hAnsiTheme="minorEastAsia" w:cstheme="minorEastAsia"/>
                <w:color w:val="000000"/>
                <w:sz w:val="24"/>
              </w:rPr>
              <w:t>）。</w:t>
            </w:r>
          </w:p>
        </w:tc>
        <w:tc>
          <w:tcPr>
            <w:tcW w:w="1538" w:type="pct"/>
          </w:tcPr>
          <w:p w14:paraId="40B8F79A"/>
        </w:tc>
        <w:tc>
          <w:tcPr>
            <w:tcW w:w="782" w:type="pct"/>
          </w:tcPr>
          <w:p w14:paraId="61C02287"/>
        </w:tc>
      </w:tr>
      <w:tr w14:paraId="31271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15BE7934">
            <w:pPr>
              <w:jc w:val="center"/>
              <w:rPr>
                <w:rFonts w:hint="default"/>
                <w:lang w:val="en-US" w:eastAsia="zh-CN"/>
              </w:rPr>
            </w:pPr>
            <w:r>
              <w:rPr>
                <w:rFonts w:hint="eastAsia"/>
                <w:lang w:val="en-US" w:eastAsia="zh-CN"/>
              </w:rPr>
              <w:t>14</w:t>
            </w:r>
          </w:p>
        </w:tc>
        <w:tc>
          <w:tcPr>
            <w:tcW w:w="2301" w:type="pct"/>
          </w:tcPr>
          <w:p w14:paraId="24EE6525">
            <w:pPr>
              <w:pStyle w:val="17"/>
              <w:jc w:val="both"/>
              <w:rPr>
                <w:rFonts w:hint="eastAsia" w:eastAsiaTheme="minorEastAsia"/>
                <w:color w:val="000000"/>
                <w:sz w:val="24"/>
                <w:lang w:eastAsia="zh-CN"/>
              </w:rPr>
            </w:pPr>
            <w:r>
              <w:rPr>
                <w:color w:val="000000"/>
                <w:sz w:val="24"/>
              </w:rPr>
              <w:t>项目</w:t>
            </w:r>
            <w:r>
              <w:rPr>
                <w:color w:val="000000"/>
                <w:sz w:val="24"/>
                <w:lang w:eastAsia="zh-CN"/>
              </w:rPr>
              <w:t>副</w:t>
            </w:r>
            <w:r>
              <w:rPr>
                <w:color w:val="000000"/>
                <w:sz w:val="24"/>
              </w:rPr>
              <w:t>经理</w:t>
            </w:r>
            <w:r>
              <w:rPr>
                <w:rFonts w:hint="eastAsia"/>
                <w:color w:val="000000"/>
                <w:sz w:val="24"/>
                <w:lang w:eastAsia="zh-CN"/>
              </w:rPr>
              <w:t>：</w:t>
            </w:r>
          </w:p>
          <w:p w14:paraId="08F85C8B">
            <w:pPr>
              <w:rPr>
                <w:color w:val="auto"/>
                <w:sz w:val="21"/>
              </w:rPr>
            </w:pPr>
            <w:r>
              <w:rPr>
                <w:color w:val="000000"/>
                <w:sz w:val="24"/>
              </w:rPr>
              <w:t>②★由人力资源和社会保障部门或技能人员职业资格实施部门（单位）颁发的应急救援员证书。具有较强的组织能力，能开展安保、消防培训、演练能力，应急处理及组织协调能力强（</w:t>
            </w:r>
            <w:r>
              <w:rPr>
                <w:rFonts w:hint="eastAsia"/>
                <w:color w:val="000000"/>
                <w:sz w:val="24"/>
                <w:lang w:val="en-US" w:eastAsia="zh-CN"/>
              </w:rPr>
              <w:t>提供承诺函，承诺中标后</w:t>
            </w:r>
            <w:r>
              <w:rPr>
                <w:color w:val="000000"/>
                <w:sz w:val="24"/>
              </w:rPr>
              <w:t>提供证书扫描件</w:t>
            </w:r>
            <w:r>
              <w:rPr>
                <w:rFonts w:hint="eastAsia"/>
                <w:color w:val="000000"/>
                <w:sz w:val="24"/>
                <w:lang w:eastAsia="zh-CN"/>
              </w:rPr>
              <w:t>，</w:t>
            </w:r>
            <w:r>
              <w:rPr>
                <w:rFonts w:hint="eastAsia"/>
                <w:color w:val="000000"/>
                <w:sz w:val="24"/>
                <w:lang w:val="en-US" w:eastAsia="zh-CN"/>
              </w:rPr>
              <w:t>格式自拟</w:t>
            </w:r>
            <w:r>
              <w:rPr>
                <w:color w:val="000000"/>
                <w:sz w:val="24"/>
              </w:rPr>
              <w:t>）。</w:t>
            </w:r>
          </w:p>
        </w:tc>
        <w:tc>
          <w:tcPr>
            <w:tcW w:w="1538" w:type="pct"/>
          </w:tcPr>
          <w:p w14:paraId="3D8774EF"/>
        </w:tc>
        <w:tc>
          <w:tcPr>
            <w:tcW w:w="782" w:type="pct"/>
          </w:tcPr>
          <w:p w14:paraId="7D33ED57"/>
        </w:tc>
      </w:tr>
      <w:tr w14:paraId="6AAB7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0AC5158C">
            <w:pPr>
              <w:jc w:val="center"/>
              <w:rPr>
                <w:rFonts w:hint="default"/>
                <w:lang w:val="en-US" w:eastAsia="zh-CN"/>
              </w:rPr>
            </w:pPr>
            <w:r>
              <w:rPr>
                <w:rFonts w:hint="eastAsia"/>
                <w:lang w:val="en-US" w:eastAsia="zh-CN"/>
              </w:rPr>
              <w:t>15</w:t>
            </w:r>
          </w:p>
        </w:tc>
        <w:tc>
          <w:tcPr>
            <w:tcW w:w="2301" w:type="pct"/>
          </w:tcPr>
          <w:p w14:paraId="19AA53ED">
            <w:pPr>
              <w:pStyle w:val="17"/>
              <w:rPr>
                <w:rFonts w:hint="eastAsia"/>
                <w:color w:val="000000"/>
                <w:sz w:val="24"/>
                <w:lang w:eastAsia="zh-CN"/>
              </w:rPr>
            </w:pPr>
            <w:r>
              <w:rPr>
                <w:color w:val="000000"/>
                <w:sz w:val="24"/>
              </w:rPr>
              <w:t>安保人员</w:t>
            </w:r>
            <w:r>
              <w:rPr>
                <w:rFonts w:hint="eastAsia"/>
                <w:color w:val="000000"/>
                <w:sz w:val="24"/>
                <w:lang w:eastAsia="zh-CN"/>
              </w:rPr>
              <w:t>：</w:t>
            </w:r>
          </w:p>
          <w:p w14:paraId="611D6992">
            <w:pPr>
              <w:pStyle w:val="17"/>
              <w:rPr>
                <w:color w:val="auto"/>
                <w:sz w:val="21"/>
              </w:rPr>
            </w:pPr>
            <w:r>
              <w:rPr>
                <w:color w:val="000000"/>
                <w:sz w:val="24"/>
              </w:rPr>
              <w:t>★主管（1人）需具备人力资源和社会保障部门颁发的应急救援员职业资格证书（</w:t>
            </w:r>
            <w:r>
              <w:rPr>
                <w:rFonts w:hint="eastAsia"/>
                <w:color w:val="000000"/>
                <w:sz w:val="24"/>
                <w:lang w:val="en-US" w:eastAsia="zh-CN"/>
              </w:rPr>
              <w:t>提供承诺函，承诺中标后</w:t>
            </w:r>
            <w:r>
              <w:rPr>
                <w:color w:val="000000"/>
                <w:sz w:val="24"/>
              </w:rPr>
              <w:t>提供证书扫描件</w:t>
            </w:r>
            <w:r>
              <w:rPr>
                <w:rFonts w:hint="eastAsia"/>
                <w:color w:val="000000"/>
                <w:sz w:val="24"/>
                <w:lang w:eastAsia="zh-CN"/>
              </w:rPr>
              <w:t>，</w:t>
            </w:r>
            <w:r>
              <w:rPr>
                <w:rFonts w:hint="eastAsia"/>
                <w:color w:val="000000"/>
                <w:sz w:val="24"/>
                <w:lang w:val="en-US" w:eastAsia="zh-CN"/>
              </w:rPr>
              <w:t>格式自拟</w:t>
            </w:r>
            <w:r>
              <w:rPr>
                <w:color w:val="000000"/>
                <w:sz w:val="24"/>
              </w:rPr>
              <w:t>）。</w:t>
            </w:r>
            <w:r>
              <w:rPr>
                <w:sz w:val="19"/>
              </w:rPr>
              <w:t xml:space="preserve"> </w:t>
            </w:r>
          </w:p>
        </w:tc>
        <w:tc>
          <w:tcPr>
            <w:tcW w:w="1538" w:type="pct"/>
          </w:tcPr>
          <w:p w14:paraId="68878350"/>
        </w:tc>
        <w:tc>
          <w:tcPr>
            <w:tcW w:w="782" w:type="pct"/>
          </w:tcPr>
          <w:p w14:paraId="3447CFB9"/>
        </w:tc>
      </w:tr>
      <w:tr w14:paraId="2F98E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542B9765">
            <w:pPr>
              <w:jc w:val="center"/>
              <w:rPr>
                <w:rFonts w:hint="default"/>
                <w:lang w:val="en-US" w:eastAsia="zh-CN"/>
              </w:rPr>
            </w:pPr>
            <w:r>
              <w:rPr>
                <w:rFonts w:hint="eastAsia"/>
                <w:lang w:val="en-US" w:eastAsia="zh-CN"/>
              </w:rPr>
              <w:t>16</w:t>
            </w:r>
          </w:p>
        </w:tc>
        <w:tc>
          <w:tcPr>
            <w:tcW w:w="2301" w:type="pct"/>
          </w:tcPr>
          <w:p w14:paraId="3E4778B8">
            <w:pPr>
              <w:pStyle w:val="17"/>
              <w:rPr>
                <w:rFonts w:hint="eastAsia"/>
                <w:color w:val="000000"/>
                <w:sz w:val="24"/>
                <w:lang w:eastAsia="zh-CN"/>
              </w:rPr>
            </w:pPr>
            <w:r>
              <w:rPr>
                <w:color w:val="000000"/>
                <w:sz w:val="24"/>
              </w:rPr>
              <w:t>设施设备管理人员</w:t>
            </w:r>
            <w:r>
              <w:rPr>
                <w:rFonts w:hint="eastAsia"/>
                <w:color w:val="000000"/>
                <w:sz w:val="24"/>
                <w:lang w:eastAsia="zh-CN"/>
              </w:rPr>
              <w:t>：</w:t>
            </w:r>
          </w:p>
          <w:p w14:paraId="290752EA">
            <w:pPr>
              <w:pStyle w:val="17"/>
              <w:rPr>
                <w:color w:val="auto"/>
                <w:sz w:val="21"/>
              </w:rPr>
            </w:pPr>
            <w:r>
              <w:rPr>
                <w:color w:val="000000"/>
                <w:sz w:val="24"/>
              </w:rPr>
              <w:t>★技术主管（1人）应急管理部门颁发的特种作业操作证（操作项目：高压电工作业）（</w:t>
            </w:r>
            <w:r>
              <w:rPr>
                <w:rFonts w:hint="eastAsia"/>
                <w:color w:val="000000"/>
                <w:sz w:val="24"/>
                <w:lang w:val="en-US" w:eastAsia="zh-CN"/>
              </w:rPr>
              <w:t>提供承诺函，承诺中标后</w:t>
            </w:r>
            <w:r>
              <w:rPr>
                <w:color w:val="000000"/>
                <w:sz w:val="24"/>
              </w:rPr>
              <w:t>提供证书扫描件</w:t>
            </w:r>
            <w:r>
              <w:rPr>
                <w:rFonts w:hint="eastAsia"/>
                <w:color w:val="000000"/>
                <w:sz w:val="24"/>
                <w:lang w:eastAsia="zh-CN"/>
              </w:rPr>
              <w:t>，</w:t>
            </w:r>
            <w:r>
              <w:rPr>
                <w:rFonts w:hint="eastAsia"/>
                <w:color w:val="000000"/>
                <w:sz w:val="24"/>
                <w:lang w:val="en-US" w:eastAsia="zh-CN"/>
              </w:rPr>
              <w:t>格式自拟</w:t>
            </w:r>
            <w:r>
              <w:rPr>
                <w:color w:val="000000"/>
                <w:sz w:val="24"/>
              </w:rPr>
              <w:t>）。</w:t>
            </w:r>
          </w:p>
        </w:tc>
        <w:tc>
          <w:tcPr>
            <w:tcW w:w="1538" w:type="pct"/>
          </w:tcPr>
          <w:p w14:paraId="54585E27"/>
        </w:tc>
        <w:tc>
          <w:tcPr>
            <w:tcW w:w="782" w:type="pct"/>
          </w:tcPr>
          <w:p w14:paraId="257E4F51"/>
        </w:tc>
      </w:tr>
      <w:tr w14:paraId="0DF6D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2E465F95">
            <w:pPr>
              <w:jc w:val="center"/>
              <w:rPr>
                <w:rFonts w:hint="default"/>
                <w:lang w:val="en-US" w:eastAsia="zh-CN"/>
              </w:rPr>
            </w:pPr>
            <w:r>
              <w:rPr>
                <w:rFonts w:hint="eastAsia"/>
                <w:lang w:val="en-US" w:eastAsia="zh-CN"/>
              </w:rPr>
              <w:t>17</w:t>
            </w:r>
          </w:p>
        </w:tc>
        <w:tc>
          <w:tcPr>
            <w:tcW w:w="2301" w:type="pct"/>
          </w:tcPr>
          <w:p w14:paraId="56943541">
            <w:pPr>
              <w:pStyle w:val="17"/>
              <w:rPr>
                <w:rFonts w:hint="eastAsia"/>
                <w:color w:val="000000"/>
                <w:sz w:val="24"/>
                <w:lang w:eastAsia="zh-CN"/>
              </w:rPr>
            </w:pPr>
            <w:r>
              <w:rPr>
                <w:color w:val="000000"/>
                <w:sz w:val="24"/>
              </w:rPr>
              <w:t>设施设备管理人员</w:t>
            </w:r>
            <w:r>
              <w:rPr>
                <w:rFonts w:hint="eastAsia"/>
                <w:color w:val="000000"/>
                <w:sz w:val="24"/>
                <w:lang w:eastAsia="zh-CN"/>
              </w:rPr>
              <w:t>：</w:t>
            </w:r>
          </w:p>
          <w:p w14:paraId="4FA4680F">
            <w:pPr>
              <w:pStyle w:val="17"/>
              <w:rPr>
                <w:color w:val="auto"/>
                <w:sz w:val="21"/>
              </w:rPr>
            </w:pPr>
            <w:r>
              <w:rPr>
                <w:color w:val="000000"/>
                <w:sz w:val="24"/>
              </w:rPr>
              <w:t>★（2）供电运行和电器维修人员持证上岗，至少2人持有应急管理部门颁发的特种作业操作证（操作项目：高压电工作业），并有3年以上工作经验，懂电脑操作（提供相关证书材料及相关工作经验，提供由供应商出具的声明文件（声明内容应包含该人员从事对应工作内容的起止时间及所负责的工作内容，不同单位可累计）或提供相关工作经验证明材料（既往劳动合同或既往项目工作经历证明的项目合同或工作评价表或验收证明等相关材料扫描件），不同单位的项目经验年限可累计）。</w:t>
            </w:r>
          </w:p>
        </w:tc>
        <w:tc>
          <w:tcPr>
            <w:tcW w:w="1538" w:type="pct"/>
          </w:tcPr>
          <w:p w14:paraId="2BEC5B6F"/>
        </w:tc>
        <w:tc>
          <w:tcPr>
            <w:tcW w:w="782" w:type="pct"/>
          </w:tcPr>
          <w:p w14:paraId="3E605CAF"/>
        </w:tc>
      </w:tr>
      <w:tr w14:paraId="7C65B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6DDE32CD">
            <w:pPr>
              <w:jc w:val="center"/>
              <w:rPr>
                <w:rFonts w:hint="default"/>
                <w:lang w:val="en-US" w:eastAsia="zh-CN"/>
              </w:rPr>
            </w:pPr>
            <w:r>
              <w:rPr>
                <w:rFonts w:hint="eastAsia"/>
                <w:lang w:val="en-US" w:eastAsia="zh-CN"/>
              </w:rPr>
              <w:t>18</w:t>
            </w:r>
          </w:p>
        </w:tc>
        <w:tc>
          <w:tcPr>
            <w:tcW w:w="2301" w:type="pct"/>
          </w:tcPr>
          <w:p w14:paraId="73B8BB27">
            <w:pPr>
              <w:pStyle w:val="17"/>
              <w:rPr>
                <w:color w:val="auto"/>
                <w:sz w:val="21"/>
              </w:rPr>
            </w:pPr>
            <w:r>
              <w:rPr>
                <w:color w:val="000000"/>
                <w:sz w:val="24"/>
              </w:rPr>
              <w:t>★（4）消防控制室岗位人员持证上岗，不少于6名人员须持人社部门颁发的消防设施操作员证或建（构）筑物消防员职业资格证，并有3年以上工作经验（提供相关证书材料及相关工作经验，提供由供应商出具的声明文件（声明内容应包含该人员从事对应工作内容的起止时间及所负责的工作内容，不同单位可累计）或提供相关工作经验证明材料（既往劳动合同或既往项目工作经历证明的项目合同或工作评价表或验收证明等相关材料扫描件），不同单位的项目经验年限可累计）。</w:t>
            </w:r>
          </w:p>
        </w:tc>
        <w:tc>
          <w:tcPr>
            <w:tcW w:w="1538" w:type="pct"/>
          </w:tcPr>
          <w:p w14:paraId="50870109"/>
        </w:tc>
        <w:tc>
          <w:tcPr>
            <w:tcW w:w="782" w:type="pct"/>
          </w:tcPr>
          <w:p w14:paraId="6EDE8140"/>
        </w:tc>
      </w:tr>
      <w:tr w14:paraId="23B61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51F4C5C2">
            <w:pPr>
              <w:jc w:val="center"/>
              <w:rPr>
                <w:rFonts w:hint="default"/>
                <w:lang w:val="en-US" w:eastAsia="zh-CN"/>
              </w:rPr>
            </w:pPr>
            <w:r>
              <w:rPr>
                <w:rFonts w:hint="eastAsia"/>
                <w:lang w:val="en-US" w:eastAsia="zh-CN"/>
              </w:rPr>
              <w:t>19</w:t>
            </w:r>
          </w:p>
        </w:tc>
        <w:tc>
          <w:tcPr>
            <w:tcW w:w="2301" w:type="pct"/>
          </w:tcPr>
          <w:p w14:paraId="28A105D9">
            <w:pPr>
              <w:pStyle w:val="17"/>
              <w:spacing w:before="105" w:after="105"/>
              <w:rPr>
                <w:color w:val="auto"/>
                <w:sz w:val="21"/>
              </w:rPr>
            </w:pPr>
            <w:r>
              <w:rPr>
                <w:color w:val="000000"/>
                <w:sz w:val="22"/>
              </w:rPr>
              <w:t>★7.负责消防监控室(含治安保卫、消防安全、楼宇自控等管理功能)的值守，在岗人员须持《消防设施操作员证》或建（构）筑物消防员证上岗，24小时监控，每班不少于2人、巡视并形成记录(提供承诺函，格式自拟)。</w:t>
            </w:r>
            <w:bookmarkStart w:id="2" w:name="_GoBack"/>
            <w:bookmarkEnd w:id="2"/>
          </w:p>
        </w:tc>
        <w:tc>
          <w:tcPr>
            <w:tcW w:w="1538" w:type="pct"/>
          </w:tcPr>
          <w:p w14:paraId="19EA485F"/>
        </w:tc>
        <w:tc>
          <w:tcPr>
            <w:tcW w:w="782" w:type="pct"/>
          </w:tcPr>
          <w:p w14:paraId="6D19C8B8"/>
        </w:tc>
      </w:tr>
      <w:tr w14:paraId="66A07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4FF803F2">
            <w:pPr>
              <w:jc w:val="center"/>
              <w:rPr>
                <w:rFonts w:hint="default"/>
                <w:lang w:val="en-US" w:eastAsia="zh-CN"/>
              </w:rPr>
            </w:pPr>
            <w:r>
              <w:rPr>
                <w:rFonts w:hint="eastAsia"/>
                <w:lang w:val="en-US" w:eastAsia="zh-CN"/>
              </w:rPr>
              <w:t>20</w:t>
            </w:r>
          </w:p>
        </w:tc>
        <w:tc>
          <w:tcPr>
            <w:tcW w:w="2301" w:type="pct"/>
          </w:tcPr>
          <w:p w14:paraId="43436FB4">
            <w:pPr>
              <w:pStyle w:val="17"/>
              <w:spacing w:before="105" w:after="105"/>
              <w:rPr>
                <w:color w:val="auto"/>
                <w:sz w:val="21"/>
              </w:rPr>
            </w:pPr>
            <w:r>
              <w:rPr>
                <w:color w:val="000000"/>
                <w:sz w:val="22"/>
              </w:rPr>
              <w:t>★19.负责图书馆整体外墙清洗（1年1次），清洗人员应具备符合作业要求的中华人民共和国特种作业操作证(提供承诺函，格式自拟)。</w:t>
            </w:r>
          </w:p>
        </w:tc>
        <w:tc>
          <w:tcPr>
            <w:tcW w:w="1538" w:type="pct"/>
          </w:tcPr>
          <w:p w14:paraId="2F5561DB"/>
        </w:tc>
        <w:tc>
          <w:tcPr>
            <w:tcW w:w="782" w:type="pct"/>
          </w:tcPr>
          <w:p w14:paraId="39FF6512"/>
        </w:tc>
      </w:tr>
    </w:tbl>
    <w:p w14:paraId="79CD7DDE">
      <w:pPr>
        <w:pStyle w:val="3"/>
        <w:spacing w:before="62"/>
        <w:ind w:left="490"/>
      </w:pPr>
      <w:r>
        <w:t>说明：</w:t>
      </w:r>
    </w:p>
    <w:p w14:paraId="5B62A17C">
      <w:pPr>
        <w:pStyle w:val="10"/>
        <w:widowControl w:val="0"/>
        <w:numPr>
          <w:ilvl w:val="0"/>
          <w:numId w:val="1"/>
        </w:numPr>
        <w:tabs>
          <w:tab w:val="left" w:pos="673"/>
        </w:tabs>
        <w:autoSpaceDE w:val="0"/>
        <w:autoSpaceDN w:val="0"/>
        <w:spacing w:before="103" w:after="0" w:line="240" w:lineRule="auto"/>
        <w:contextualSpacing w:val="0"/>
        <w:rPr>
          <w:sz w:val="19"/>
          <w:lang w:eastAsia="zh-CN"/>
        </w:rPr>
      </w:pPr>
      <w:r>
        <w:rPr>
          <w:sz w:val="19"/>
          <w:lang w:eastAsia="zh-CN"/>
        </w:rPr>
        <w:t>实质性响应条款一览表后续内容请根据第二章采购需求</w:t>
      </w:r>
      <w:r>
        <w:rPr>
          <w:rFonts w:hint="eastAsia" w:ascii="Arial Unicode MS" w:hAnsi="Arial Unicode MS" w:eastAsia="Arial Unicode MS"/>
          <w:spacing w:val="-5"/>
          <w:sz w:val="19"/>
          <w:lang w:eastAsia="zh-CN"/>
        </w:rPr>
        <w:t>★</w:t>
      </w:r>
      <w:r>
        <w:rPr>
          <w:sz w:val="19"/>
          <w:lang w:eastAsia="zh-CN"/>
        </w:rPr>
        <w:t>号条款详细列举</w:t>
      </w:r>
    </w:p>
    <w:p w14:paraId="71DA0B5A">
      <w:pPr>
        <w:pStyle w:val="10"/>
        <w:widowControl w:val="0"/>
        <w:numPr>
          <w:ilvl w:val="0"/>
          <w:numId w:val="1"/>
        </w:numPr>
        <w:tabs>
          <w:tab w:val="left" w:pos="673"/>
        </w:tabs>
        <w:autoSpaceDE w:val="0"/>
        <w:autoSpaceDN w:val="0"/>
        <w:spacing w:before="53" w:after="0" w:line="240" w:lineRule="auto"/>
        <w:contextualSpacing w:val="0"/>
        <w:rPr>
          <w:sz w:val="19"/>
          <w:lang w:eastAsia="zh-CN"/>
        </w:rPr>
      </w:pPr>
      <w:r>
        <w:rPr>
          <w:w w:val="105"/>
          <w:sz w:val="19"/>
          <w:lang w:eastAsia="zh-CN"/>
        </w:rPr>
        <w:t>本表所列条款必须一一予以响应</w:t>
      </w:r>
      <w:r>
        <w:rPr>
          <w:w w:val="135"/>
          <w:sz w:val="19"/>
          <w:lang w:eastAsia="zh-CN"/>
        </w:rPr>
        <w:t>，</w:t>
      </w:r>
      <w:r>
        <w:rPr>
          <w:rFonts w:hint="eastAsia" w:ascii="Arial Unicode MS" w:hAnsi="Arial Unicode MS" w:eastAsia="Arial Unicode MS"/>
          <w:w w:val="135"/>
          <w:sz w:val="19"/>
          <w:lang w:eastAsia="zh-CN"/>
        </w:rPr>
        <w:t>“</w:t>
      </w:r>
      <w:r>
        <w:rPr>
          <w:w w:val="105"/>
          <w:sz w:val="19"/>
          <w:lang w:eastAsia="zh-CN"/>
        </w:rPr>
        <w:t>投标人响应情况</w:t>
      </w:r>
      <w:r>
        <w:rPr>
          <w:rFonts w:hint="eastAsia" w:ascii="Arial Unicode MS" w:hAnsi="Arial Unicode MS" w:eastAsia="Arial Unicode MS"/>
          <w:spacing w:val="-4"/>
          <w:w w:val="135"/>
          <w:sz w:val="19"/>
          <w:lang w:eastAsia="zh-CN"/>
        </w:rPr>
        <w:t>”</w:t>
      </w:r>
      <w:r>
        <w:rPr>
          <w:w w:val="105"/>
          <w:sz w:val="19"/>
          <w:lang w:eastAsia="zh-CN"/>
        </w:rPr>
        <w:t>一栏应填写具体的响应内容，有差异的要具体说明。</w:t>
      </w:r>
    </w:p>
    <w:p w14:paraId="54F27ED2">
      <w:pPr>
        <w:autoSpaceDE w:val="0"/>
        <w:autoSpaceDN w:val="0"/>
        <w:spacing w:before="490" w:after="0" w:line="26" w:lineRule="exact"/>
        <w:rPr>
          <w:sz w:val="19"/>
          <w:lang w:eastAsia="zh-CN"/>
        </w:rPr>
      </w:pPr>
      <w:r>
        <w:rPr>
          <w:sz w:val="19"/>
          <w:lang w:eastAsia="zh-CN"/>
        </w:rPr>
        <w:t>请投标人认真填写本表内容，如填写错误将可能导致投标无效。</w:t>
      </w:r>
    </w:p>
    <w:p w14:paraId="2D8FC1CB">
      <w:pPr>
        <w:pStyle w:val="10"/>
        <w:widowControl w:val="0"/>
        <w:numPr>
          <w:ilvl w:val="0"/>
          <w:numId w:val="1"/>
        </w:numPr>
        <w:tabs>
          <w:tab w:val="left" w:pos="673"/>
        </w:tabs>
        <w:autoSpaceDE w:val="0"/>
        <w:autoSpaceDN w:val="0"/>
        <w:spacing w:before="53" w:after="0" w:line="240" w:lineRule="auto"/>
        <w:contextualSpacing w:val="0"/>
        <w:rPr>
          <w:rFonts w:hint="default"/>
          <w:w w:val="105"/>
          <w:sz w:val="19"/>
          <w:lang w:val="en-US" w:eastAsia="zh-CN"/>
        </w:rPr>
      </w:pPr>
      <w:r>
        <w:rPr>
          <w:w w:val="105"/>
          <w:sz w:val="19"/>
          <w:lang w:eastAsia="zh-CN"/>
        </w:rPr>
        <w:t>若未参与部分采购包，可不填报该部分采购包相关内容</w:t>
      </w:r>
      <w:r>
        <w:rPr>
          <w:rFonts w:hint="eastAsia"/>
          <w:w w:val="105"/>
          <w:sz w:val="19"/>
          <w:lang w:val="en-US" w:eastAsia="zh-CN"/>
        </w:rPr>
        <w:t>。</w:t>
      </w:r>
    </w:p>
    <w:p w14:paraId="1A8550DA">
      <w:pPr>
        <w:rPr>
          <w:lang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3252E7"/>
    <w:multiLevelType w:val="multilevel"/>
    <w:tmpl w:val="113252E7"/>
    <w:lvl w:ilvl="0" w:tentative="0">
      <w:start w:val="1"/>
      <w:numFmt w:val="decimal"/>
      <w:lvlText w:val="%1."/>
      <w:lvlJc w:val="left"/>
      <w:pPr>
        <w:ind w:left="672" w:hanging="183"/>
      </w:pPr>
      <w:rPr>
        <w:rFonts w:hint="default" w:ascii="Arial Unicode MS" w:hAnsi="Arial Unicode MS" w:eastAsia="Arial Unicode MS" w:cs="Arial Unicode MS"/>
        <w:spacing w:val="-3"/>
        <w:w w:val="115"/>
        <w:sz w:val="17"/>
        <w:szCs w:val="17"/>
        <w:lang w:val="zh-CN" w:eastAsia="zh-CN" w:bidi="zh-CN"/>
      </w:rPr>
    </w:lvl>
    <w:lvl w:ilvl="1" w:tentative="0">
      <w:start w:val="0"/>
      <w:numFmt w:val="bullet"/>
      <w:lvlText w:val="•"/>
      <w:lvlJc w:val="left"/>
      <w:pPr>
        <w:ind w:left="1694" w:hanging="183"/>
      </w:pPr>
      <w:rPr>
        <w:rFonts w:hint="default"/>
        <w:lang w:val="zh-CN" w:eastAsia="zh-CN" w:bidi="zh-CN"/>
      </w:rPr>
    </w:lvl>
    <w:lvl w:ilvl="2" w:tentative="0">
      <w:start w:val="0"/>
      <w:numFmt w:val="bullet"/>
      <w:lvlText w:val="•"/>
      <w:lvlJc w:val="left"/>
      <w:pPr>
        <w:ind w:left="2708" w:hanging="183"/>
      </w:pPr>
      <w:rPr>
        <w:rFonts w:hint="default"/>
        <w:lang w:val="zh-CN" w:eastAsia="zh-CN" w:bidi="zh-CN"/>
      </w:rPr>
    </w:lvl>
    <w:lvl w:ilvl="3" w:tentative="0">
      <w:start w:val="0"/>
      <w:numFmt w:val="bullet"/>
      <w:lvlText w:val="•"/>
      <w:lvlJc w:val="left"/>
      <w:pPr>
        <w:ind w:left="3722" w:hanging="183"/>
      </w:pPr>
      <w:rPr>
        <w:rFonts w:hint="default"/>
        <w:lang w:val="zh-CN" w:eastAsia="zh-CN" w:bidi="zh-CN"/>
      </w:rPr>
    </w:lvl>
    <w:lvl w:ilvl="4" w:tentative="0">
      <w:start w:val="0"/>
      <w:numFmt w:val="bullet"/>
      <w:lvlText w:val="•"/>
      <w:lvlJc w:val="left"/>
      <w:pPr>
        <w:ind w:left="4736" w:hanging="183"/>
      </w:pPr>
      <w:rPr>
        <w:rFonts w:hint="default"/>
        <w:lang w:val="zh-CN" w:eastAsia="zh-CN" w:bidi="zh-CN"/>
      </w:rPr>
    </w:lvl>
    <w:lvl w:ilvl="5" w:tentative="0">
      <w:start w:val="0"/>
      <w:numFmt w:val="bullet"/>
      <w:lvlText w:val="•"/>
      <w:lvlJc w:val="left"/>
      <w:pPr>
        <w:ind w:left="5750" w:hanging="183"/>
      </w:pPr>
      <w:rPr>
        <w:rFonts w:hint="default"/>
        <w:lang w:val="zh-CN" w:eastAsia="zh-CN" w:bidi="zh-CN"/>
      </w:rPr>
    </w:lvl>
    <w:lvl w:ilvl="6" w:tentative="0">
      <w:start w:val="0"/>
      <w:numFmt w:val="bullet"/>
      <w:lvlText w:val="•"/>
      <w:lvlJc w:val="left"/>
      <w:pPr>
        <w:ind w:left="6764" w:hanging="183"/>
      </w:pPr>
      <w:rPr>
        <w:rFonts w:hint="default"/>
        <w:lang w:val="zh-CN" w:eastAsia="zh-CN" w:bidi="zh-CN"/>
      </w:rPr>
    </w:lvl>
    <w:lvl w:ilvl="7" w:tentative="0">
      <w:start w:val="0"/>
      <w:numFmt w:val="bullet"/>
      <w:lvlText w:val="•"/>
      <w:lvlJc w:val="left"/>
      <w:pPr>
        <w:ind w:left="7778" w:hanging="183"/>
      </w:pPr>
      <w:rPr>
        <w:rFonts w:hint="default"/>
        <w:lang w:val="zh-CN" w:eastAsia="zh-CN" w:bidi="zh-CN"/>
      </w:rPr>
    </w:lvl>
    <w:lvl w:ilvl="8" w:tentative="0">
      <w:start w:val="0"/>
      <w:numFmt w:val="bullet"/>
      <w:lvlText w:val="•"/>
      <w:lvlJc w:val="left"/>
      <w:pPr>
        <w:ind w:left="8792" w:hanging="183"/>
      </w:pPr>
      <w:rPr>
        <w:rFonts w:hint="default"/>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822"/>
    <w:rsid w:val="00033E3A"/>
    <w:rsid w:val="00043CBD"/>
    <w:rsid w:val="000A715C"/>
    <w:rsid w:val="000B1218"/>
    <w:rsid w:val="000B7E75"/>
    <w:rsid w:val="000E2307"/>
    <w:rsid w:val="0011094C"/>
    <w:rsid w:val="001125EC"/>
    <w:rsid w:val="001270E2"/>
    <w:rsid w:val="0019103B"/>
    <w:rsid w:val="001A3148"/>
    <w:rsid w:val="001C4F01"/>
    <w:rsid w:val="001C74BB"/>
    <w:rsid w:val="001E103A"/>
    <w:rsid w:val="001F4347"/>
    <w:rsid w:val="002139AD"/>
    <w:rsid w:val="002532E0"/>
    <w:rsid w:val="0027371A"/>
    <w:rsid w:val="00273D07"/>
    <w:rsid w:val="00297FDB"/>
    <w:rsid w:val="002A1CAE"/>
    <w:rsid w:val="002B418D"/>
    <w:rsid w:val="002C090A"/>
    <w:rsid w:val="002C1518"/>
    <w:rsid w:val="002D254D"/>
    <w:rsid w:val="00321C28"/>
    <w:rsid w:val="003316B9"/>
    <w:rsid w:val="00333A2F"/>
    <w:rsid w:val="00333F28"/>
    <w:rsid w:val="003508B3"/>
    <w:rsid w:val="003965C2"/>
    <w:rsid w:val="003A290B"/>
    <w:rsid w:val="003C321A"/>
    <w:rsid w:val="003E55A0"/>
    <w:rsid w:val="00427D67"/>
    <w:rsid w:val="0045556D"/>
    <w:rsid w:val="00487450"/>
    <w:rsid w:val="00492824"/>
    <w:rsid w:val="004A20CC"/>
    <w:rsid w:val="004C2F15"/>
    <w:rsid w:val="004F40BE"/>
    <w:rsid w:val="00502BC6"/>
    <w:rsid w:val="0050744B"/>
    <w:rsid w:val="00517B6E"/>
    <w:rsid w:val="00523DA1"/>
    <w:rsid w:val="00556CEA"/>
    <w:rsid w:val="005649D9"/>
    <w:rsid w:val="0057124F"/>
    <w:rsid w:val="005853E9"/>
    <w:rsid w:val="005C1C6F"/>
    <w:rsid w:val="005D1F01"/>
    <w:rsid w:val="005F1A0A"/>
    <w:rsid w:val="00603737"/>
    <w:rsid w:val="00636C57"/>
    <w:rsid w:val="006409BA"/>
    <w:rsid w:val="00643E2A"/>
    <w:rsid w:val="00650A83"/>
    <w:rsid w:val="0067564D"/>
    <w:rsid w:val="00691DE1"/>
    <w:rsid w:val="006D6D64"/>
    <w:rsid w:val="00710C96"/>
    <w:rsid w:val="007173BA"/>
    <w:rsid w:val="00723FB5"/>
    <w:rsid w:val="0073006C"/>
    <w:rsid w:val="00744264"/>
    <w:rsid w:val="00781EDD"/>
    <w:rsid w:val="00782853"/>
    <w:rsid w:val="00782EEB"/>
    <w:rsid w:val="00794CEB"/>
    <w:rsid w:val="007C511A"/>
    <w:rsid w:val="007D006A"/>
    <w:rsid w:val="007E104E"/>
    <w:rsid w:val="008259F5"/>
    <w:rsid w:val="00825D62"/>
    <w:rsid w:val="00831D5B"/>
    <w:rsid w:val="008561CC"/>
    <w:rsid w:val="00870C3D"/>
    <w:rsid w:val="008D3060"/>
    <w:rsid w:val="008D6822"/>
    <w:rsid w:val="008E2EFC"/>
    <w:rsid w:val="008F425E"/>
    <w:rsid w:val="00923934"/>
    <w:rsid w:val="00927CA8"/>
    <w:rsid w:val="009306C6"/>
    <w:rsid w:val="00936FEC"/>
    <w:rsid w:val="00942E69"/>
    <w:rsid w:val="009432F3"/>
    <w:rsid w:val="00947AF5"/>
    <w:rsid w:val="00947D02"/>
    <w:rsid w:val="00957A64"/>
    <w:rsid w:val="00991DD1"/>
    <w:rsid w:val="009A6653"/>
    <w:rsid w:val="009A6F76"/>
    <w:rsid w:val="009B48EE"/>
    <w:rsid w:val="009C3A78"/>
    <w:rsid w:val="00A15B83"/>
    <w:rsid w:val="00A3549A"/>
    <w:rsid w:val="00A52D6D"/>
    <w:rsid w:val="00A64ADA"/>
    <w:rsid w:val="00A73DB0"/>
    <w:rsid w:val="00AB2BFD"/>
    <w:rsid w:val="00AF07CC"/>
    <w:rsid w:val="00AF3FEB"/>
    <w:rsid w:val="00B12F66"/>
    <w:rsid w:val="00B23DC9"/>
    <w:rsid w:val="00B5316A"/>
    <w:rsid w:val="00BB5B26"/>
    <w:rsid w:val="00BC57F7"/>
    <w:rsid w:val="00BC796B"/>
    <w:rsid w:val="00BF59EA"/>
    <w:rsid w:val="00C04C8A"/>
    <w:rsid w:val="00C222D5"/>
    <w:rsid w:val="00C4353C"/>
    <w:rsid w:val="00C649E6"/>
    <w:rsid w:val="00C77C4B"/>
    <w:rsid w:val="00C80C13"/>
    <w:rsid w:val="00CD3B1A"/>
    <w:rsid w:val="00CE710C"/>
    <w:rsid w:val="00D2326E"/>
    <w:rsid w:val="00D251E5"/>
    <w:rsid w:val="00D3733C"/>
    <w:rsid w:val="00DA3841"/>
    <w:rsid w:val="00DB270A"/>
    <w:rsid w:val="00DC02E8"/>
    <w:rsid w:val="00DC6827"/>
    <w:rsid w:val="00DE642C"/>
    <w:rsid w:val="00DF0A2F"/>
    <w:rsid w:val="00E106ED"/>
    <w:rsid w:val="00E12635"/>
    <w:rsid w:val="00E41B23"/>
    <w:rsid w:val="00E81948"/>
    <w:rsid w:val="00E901AF"/>
    <w:rsid w:val="00E94AB7"/>
    <w:rsid w:val="00EA3EB6"/>
    <w:rsid w:val="00EA422C"/>
    <w:rsid w:val="00EB5969"/>
    <w:rsid w:val="00EC29E0"/>
    <w:rsid w:val="00EE7893"/>
    <w:rsid w:val="00F1584D"/>
    <w:rsid w:val="00F32E96"/>
    <w:rsid w:val="00F33E13"/>
    <w:rsid w:val="00F47D93"/>
    <w:rsid w:val="00F561AC"/>
    <w:rsid w:val="00F81E0D"/>
    <w:rsid w:val="00F83650"/>
    <w:rsid w:val="00F8783F"/>
    <w:rsid w:val="00FA11F1"/>
    <w:rsid w:val="00FB1060"/>
    <w:rsid w:val="00FB1D18"/>
    <w:rsid w:val="00FC326B"/>
    <w:rsid w:val="00FD5305"/>
    <w:rsid w:val="00FF2578"/>
    <w:rsid w:val="01AE52EF"/>
    <w:rsid w:val="149638D1"/>
    <w:rsid w:val="180A3DBB"/>
    <w:rsid w:val="1AFB48FB"/>
    <w:rsid w:val="1C3E3BBB"/>
    <w:rsid w:val="223C63CB"/>
    <w:rsid w:val="23D04147"/>
    <w:rsid w:val="245134A9"/>
    <w:rsid w:val="28CB6BF8"/>
    <w:rsid w:val="2F043893"/>
    <w:rsid w:val="3413390F"/>
    <w:rsid w:val="3D052D63"/>
    <w:rsid w:val="3FED6775"/>
    <w:rsid w:val="4C832FFA"/>
    <w:rsid w:val="70313FE1"/>
    <w:rsid w:val="77522677"/>
    <w:rsid w:val="7F2451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2"/>
    <w:basedOn w:val="1"/>
    <w:next w:val="1"/>
    <w:qFormat/>
    <w:uiPriority w:val="0"/>
    <w:pPr>
      <w:keepNext/>
      <w:keepLines/>
      <w:autoSpaceDE w:val="0"/>
      <w:autoSpaceDN w:val="0"/>
      <w:adjustRightInd w:val="0"/>
      <w:spacing w:before="360" w:after="260" w:line="360" w:lineRule="auto"/>
      <w:jc w:val="center"/>
      <w:textAlignment w:val="baseline"/>
      <w:outlineLvl w:val="1"/>
    </w:pPr>
    <w:rPr>
      <w:rFonts w:ascii="Arial" w:hAnsi="Arial" w:eastAsia="黑体"/>
      <w:b/>
      <w:spacing w:val="24"/>
      <w:kern w:val="0"/>
      <w:sz w:val="24"/>
      <w:szCs w:val="20"/>
    </w:rPr>
  </w:style>
  <w:style w:type="character" w:default="1" w:styleId="8">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1"/>
    <w:unhideWhenUsed/>
    <w:qFormat/>
    <w:uiPriority w:val="99"/>
    <w:pPr>
      <w:spacing w:after="120"/>
    </w:pPr>
  </w:style>
  <w:style w:type="paragraph" w:styleId="4">
    <w:name w:val="Plain Text"/>
    <w:basedOn w:val="1"/>
    <w:qFormat/>
    <w:uiPriority w:val="0"/>
    <w:rPr>
      <w:rFonts w:ascii="宋体" w:hAnsi="Courier New" w:cs="Courier New"/>
      <w:szCs w:val="21"/>
    </w:rPr>
  </w:style>
  <w:style w:type="paragraph" w:styleId="5">
    <w:name w:val="Normal (Web)"/>
    <w:basedOn w:val="1"/>
    <w:semiHidden/>
    <w:unhideWhenUsed/>
    <w:qFormat/>
    <w:uiPriority w:val="99"/>
    <w:rPr>
      <w:sz w:val="24"/>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annotation reference"/>
    <w:qFormat/>
    <w:uiPriority w:val="99"/>
    <w:rPr>
      <w:sz w:val="21"/>
      <w:szCs w:val="21"/>
    </w:rPr>
  </w:style>
  <w:style w:type="paragraph" w:styleId="10">
    <w:name w:val="List Paragraph"/>
    <w:basedOn w:val="1"/>
    <w:qFormat/>
    <w:uiPriority w:val="1"/>
    <w:pPr>
      <w:ind w:left="720"/>
      <w:contextualSpacing/>
    </w:pPr>
  </w:style>
  <w:style w:type="character" w:customStyle="1" w:styleId="11">
    <w:name w:val="正文文本 字符"/>
    <w:basedOn w:val="8"/>
    <w:link w:val="3"/>
    <w:qFormat/>
    <w:uiPriority w:val="99"/>
    <w:rPr>
      <w:kern w:val="0"/>
      <w:sz w:val="22"/>
      <w:lang w:eastAsia="en-US"/>
    </w:rPr>
  </w:style>
  <w:style w:type="table" w:customStyle="1" w:styleId="12">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13">
    <w:name w:val="Table Paragraph"/>
    <w:basedOn w:val="1"/>
    <w:qFormat/>
    <w:uiPriority w:val="1"/>
    <w:pPr>
      <w:widowControl w:val="0"/>
      <w:autoSpaceDE w:val="0"/>
      <w:autoSpaceDN w:val="0"/>
      <w:spacing w:after="0" w:line="240" w:lineRule="auto"/>
    </w:pPr>
    <w:rPr>
      <w:rFonts w:ascii="宋体" w:hAnsi="宋体" w:eastAsia="宋体" w:cs="宋体"/>
      <w:lang w:val="zh-CN" w:eastAsia="zh-CN" w:bidi="zh-CN"/>
    </w:rPr>
  </w:style>
  <w:style w:type="paragraph" w:customStyle="1" w:styleId="14">
    <w:name w:val="段"/>
    <w:basedOn w:val="1"/>
    <w:qFormat/>
    <w:uiPriority w:val="0"/>
    <w:pPr>
      <w:tabs>
        <w:tab w:val="center" w:pos="4201"/>
        <w:tab w:val="right" w:leader="dot" w:pos="9298"/>
      </w:tabs>
      <w:autoSpaceDE w:val="0"/>
      <w:autoSpaceDN w:val="0"/>
      <w:ind w:firstLine="420" w:firstLineChars="200"/>
    </w:pPr>
    <w:rPr>
      <w:rFonts w:ascii="宋体" w:hAnsi="宋体"/>
      <w:kern w:val="24"/>
      <w:sz w:val="20"/>
      <w:szCs w:val="32"/>
    </w:rPr>
  </w:style>
  <w:style w:type="paragraph" w:customStyle="1" w:styleId="15">
    <w:name w:val="正文（正式）"/>
    <w:basedOn w:val="1"/>
    <w:qFormat/>
    <w:uiPriority w:val="0"/>
    <w:pPr>
      <w:ind w:firstLine="480"/>
    </w:pPr>
    <w:rPr>
      <w:rFonts w:cs="宋体"/>
      <w:szCs w:val="20"/>
    </w:rPr>
  </w:style>
  <w:style w:type="paragraph" w:customStyle="1" w:styleId="16">
    <w:name w:val="方案正文"/>
    <w:basedOn w:val="1"/>
    <w:qFormat/>
    <w:uiPriority w:val="0"/>
    <w:pPr>
      <w:spacing w:line="360" w:lineRule="auto"/>
      <w:ind w:firstLine="200" w:firstLineChars="200"/>
    </w:pPr>
    <w:rPr>
      <w:rFonts w:ascii="Times New Roman" w:hAnsi="Times New Roman" w:cs="Times New Roman"/>
      <w:szCs w:val="22"/>
    </w:rPr>
  </w:style>
  <w:style w:type="paragraph" w:customStyle="1" w:styleId="17">
    <w:name w:val="null3"/>
    <w:hidden/>
    <w:qFormat/>
    <w:uiPriority w:val="0"/>
    <w:rPr>
      <w:rFonts w:hint="eastAsia"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2845</Words>
  <Characters>2908</Characters>
  <Lines>228</Lines>
  <Paragraphs>112</Paragraphs>
  <TotalTime>0</TotalTime>
  <ScaleCrop>false</ScaleCrop>
  <LinksUpToDate>false</LinksUpToDate>
  <CharactersWithSpaces>2910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2025-06-13T08:39:00Z</dcterms:created>
  <dc:creator>王灿</dc:creator>
  <cp:lastModifiedBy>刘伟</cp:lastModifiedBy>
  <dcterms:modified xsi:type="dcterms:W3CDTF">2026-10-21T06:10:40Z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7A86B39636404991B0CF4484FBC7CD09_12</vt:lpwstr>
  </property>
  <property fmtid="{D5CDD505-2E9C-101B-9397-08002B2CF9AE}" pid="4" name="KSOTemplateDocerSaveRecord">
    <vt:lpwstr>eyJoZGlkIjoiZTA2ZDQyMTQzNzEwYjU3MjM3YTUwMTllMGM3MWNiMWUiLCJ1c2VySWQiOiI4NjEzMjY1NzUifQ==</vt:lpwstr>
  </property>
</Properties>
</file>