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F5E3C">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Chars="0" w:right="0" w:rightChars="0"/>
        <w:jc w:val="center"/>
        <w:outlineLvl w:val="1"/>
        <w:rPr>
          <w:rFonts w:hint="eastAsia" w:ascii="宋体" w:hAnsi="宋体" w:eastAsia="宋体" w:cs="宋体"/>
          <w:b/>
          <w:bCs/>
          <w:i w:val="0"/>
          <w:iCs w:val="0"/>
          <w:caps w:val="0"/>
          <w:color w:val="333333"/>
          <w:spacing w:val="0"/>
          <w:sz w:val="39"/>
          <w:szCs w:val="39"/>
          <w:shd w:val="clear" w:fill="FFFFFF"/>
        </w:rPr>
      </w:pPr>
      <w:bookmarkStart w:id="0" w:name="_Toc1114"/>
      <w:bookmarkStart w:id="1" w:name="_Toc23480"/>
      <w:r>
        <w:rPr>
          <w:rFonts w:hint="eastAsia" w:ascii="宋体" w:hAnsi="宋体" w:eastAsia="宋体" w:cs="宋体"/>
          <w:b/>
          <w:bCs/>
          <w:i w:val="0"/>
          <w:iCs w:val="0"/>
          <w:caps w:val="0"/>
          <w:color w:val="333333"/>
          <w:spacing w:val="0"/>
          <w:sz w:val="39"/>
          <w:szCs w:val="39"/>
          <w:shd w:val="clear" w:fill="FFFFFF"/>
        </w:rPr>
        <w:t>合同文本</w:t>
      </w:r>
      <w:bookmarkEnd w:id="0"/>
      <w:bookmarkEnd w:id="1"/>
    </w:p>
    <w:p w14:paraId="10BA6416">
      <w:pPr>
        <w:pageBreakBefore w:val="0"/>
        <w:wordWrap/>
        <w:overflowPunct/>
        <w:topLinePunct w:val="0"/>
        <w:bidi w:val="0"/>
        <w:spacing w:line="360" w:lineRule="auto"/>
        <w:jc w:val="center"/>
        <w:rPr>
          <w:rFonts w:hint="eastAsia" w:cstheme="minorBidi"/>
          <w:b/>
          <w:bCs/>
          <w:kern w:val="0"/>
          <w:sz w:val="40"/>
          <w:szCs w:val="40"/>
          <w:highlight w:val="none"/>
          <w:lang w:val="en-US" w:eastAsia="zh-CN"/>
        </w:rPr>
      </w:pPr>
    </w:p>
    <w:p w14:paraId="1037BDA4">
      <w:pPr>
        <w:pageBreakBefore w:val="0"/>
        <w:wordWrap/>
        <w:overflowPunct/>
        <w:topLinePunct w:val="0"/>
        <w:bidi w:val="0"/>
        <w:spacing w:line="360" w:lineRule="auto"/>
        <w:jc w:val="center"/>
        <w:rPr>
          <w:rFonts w:hint="eastAsia" w:cstheme="minorBidi"/>
          <w:b/>
          <w:bCs/>
          <w:kern w:val="0"/>
          <w:sz w:val="40"/>
          <w:szCs w:val="40"/>
          <w:highlight w:val="none"/>
          <w:lang w:val="en-US" w:eastAsia="zh-CN"/>
        </w:rPr>
      </w:pPr>
    </w:p>
    <w:p w14:paraId="50804091">
      <w:pPr>
        <w:pageBreakBefore w:val="0"/>
        <w:wordWrap/>
        <w:overflowPunct/>
        <w:topLinePunct w:val="0"/>
        <w:bidi w:val="0"/>
        <w:spacing w:line="360" w:lineRule="auto"/>
        <w:jc w:val="center"/>
        <w:rPr>
          <w:rFonts w:hint="eastAsia" w:cstheme="minorBidi"/>
          <w:b/>
          <w:bCs/>
          <w:kern w:val="0"/>
          <w:sz w:val="40"/>
          <w:szCs w:val="40"/>
          <w:highlight w:val="none"/>
          <w:lang w:val="en-US" w:eastAsia="zh-CN"/>
        </w:rPr>
      </w:pPr>
      <w:bookmarkStart w:id="2" w:name="_GoBack"/>
      <w:bookmarkEnd w:id="2"/>
    </w:p>
    <w:p w14:paraId="039C70D5">
      <w:pPr>
        <w:pageBreakBefore w:val="0"/>
        <w:wordWrap/>
        <w:overflowPunct/>
        <w:topLinePunct w:val="0"/>
        <w:bidi w:val="0"/>
        <w:spacing w:line="360" w:lineRule="auto"/>
        <w:jc w:val="center"/>
        <w:rPr>
          <w:rFonts w:hint="eastAsia" w:cstheme="minorBidi"/>
          <w:b/>
          <w:bCs/>
          <w:kern w:val="0"/>
          <w:sz w:val="40"/>
          <w:szCs w:val="40"/>
          <w:highlight w:val="none"/>
          <w:lang w:val="en-US" w:eastAsia="zh-CN"/>
        </w:rPr>
      </w:pPr>
    </w:p>
    <w:p w14:paraId="5ED0702B">
      <w:pPr>
        <w:pageBreakBefore w:val="0"/>
        <w:wordWrap/>
        <w:overflowPunct/>
        <w:topLinePunct w:val="0"/>
        <w:bidi w:val="0"/>
        <w:spacing w:line="360" w:lineRule="auto"/>
        <w:jc w:val="center"/>
        <w:rPr>
          <w:rFonts w:hint="eastAsia" w:cstheme="minorBidi"/>
          <w:b/>
          <w:bCs/>
          <w:kern w:val="0"/>
          <w:sz w:val="40"/>
          <w:szCs w:val="40"/>
          <w:highlight w:val="none"/>
          <w:lang w:val="en-US" w:eastAsia="zh-CN"/>
        </w:rPr>
      </w:pPr>
    </w:p>
    <w:p w14:paraId="2067F822">
      <w:pPr>
        <w:pageBreakBefore w:val="0"/>
        <w:wordWrap/>
        <w:overflowPunct/>
        <w:topLinePunct w:val="0"/>
        <w:bidi w:val="0"/>
        <w:spacing w:line="360" w:lineRule="auto"/>
        <w:jc w:val="center"/>
        <w:rPr>
          <w:rFonts w:hint="eastAsia" w:ascii="宋体" w:hAnsi="宋体" w:eastAsia="宋体" w:cs="宋体"/>
          <w:b/>
          <w:bCs/>
          <w:i w:val="0"/>
          <w:iCs w:val="0"/>
          <w:caps w:val="0"/>
          <w:color w:val="333333"/>
          <w:spacing w:val="0"/>
          <w:kern w:val="0"/>
          <w:sz w:val="39"/>
          <w:szCs w:val="39"/>
          <w:highlight w:val="none"/>
          <w:shd w:val="clear" w:fill="FFFFFF"/>
          <w:lang w:val="en-US" w:eastAsia="zh-CN" w:bidi="ar"/>
        </w:rPr>
      </w:pPr>
      <w:r>
        <w:rPr>
          <w:rFonts w:hint="eastAsia" w:ascii="宋体" w:hAnsi="宋体" w:cs="宋体"/>
          <w:b/>
          <w:bCs/>
          <w:i w:val="0"/>
          <w:iCs w:val="0"/>
          <w:caps w:val="0"/>
          <w:color w:val="333333"/>
          <w:spacing w:val="0"/>
          <w:kern w:val="0"/>
          <w:sz w:val="39"/>
          <w:szCs w:val="39"/>
          <w:highlight w:val="none"/>
          <w:shd w:val="clear" w:fill="FFFFFF"/>
          <w:lang w:val="en-US" w:eastAsia="zh-CN" w:bidi="ar"/>
        </w:rPr>
        <w:t>中小学生健康体检</w:t>
      </w:r>
    </w:p>
    <w:p w14:paraId="4928CBCC">
      <w:pPr>
        <w:pageBreakBefore w:val="0"/>
        <w:wordWrap/>
        <w:overflowPunct/>
        <w:topLinePunct w:val="0"/>
        <w:bidi w:val="0"/>
        <w:spacing w:line="360" w:lineRule="auto"/>
        <w:jc w:val="center"/>
        <w:rPr>
          <w:rFonts w:hint="eastAsia" w:ascii="宋体" w:hAnsi="宋体" w:eastAsia="宋体" w:cs="宋体"/>
          <w:b/>
          <w:bCs/>
          <w:i w:val="0"/>
          <w:iCs w:val="0"/>
          <w:caps w:val="0"/>
          <w:color w:val="333333"/>
          <w:spacing w:val="0"/>
          <w:kern w:val="0"/>
          <w:sz w:val="39"/>
          <w:szCs w:val="39"/>
          <w:shd w:val="clear" w:fill="FFFFFF"/>
          <w:lang w:val="en-US" w:eastAsia="zh-Hans" w:bidi="ar"/>
        </w:rPr>
      </w:pPr>
    </w:p>
    <w:p w14:paraId="3F94769A">
      <w:pPr>
        <w:pageBreakBefore w:val="0"/>
        <w:wordWrap/>
        <w:overflowPunct/>
        <w:topLinePunct w:val="0"/>
        <w:bidi w:val="0"/>
        <w:spacing w:line="360" w:lineRule="auto"/>
        <w:jc w:val="center"/>
        <w:rPr>
          <w:rFonts w:hint="eastAsia" w:ascii="宋体" w:hAnsi="宋体" w:eastAsia="宋体" w:cs="宋体"/>
          <w:b/>
          <w:bCs/>
          <w:i w:val="0"/>
          <w:iCs w:val="0"/>
          <w:caps w:val="0"/>
          <w:color w:val="333333"/>
          <w:spacing w:val="0"/>
          <w:kern w:val="0"/>
          <w:sz w:val="39"/>
          <w:szCs w:val="39"/>
          <w:shd w:val="clear" w:fill="FFFFFF"/>
          <w:lang w:val="en-US" w:eastAsia="zh-Hans" w:bidi="ar"/>
        </w:rPr>
      </w:pPr>
      <w:r>
        <w:rPr>
          <w:rFonts w:hint="eastAsia" w:ascii="宋体" w:hAnsi="宋体" w:eastAsia="宋体" w:cs="宋体"/>
          <w:b/>
          <w:bCs/>
          <w:i w:val="0"/>
          <w:iCs w:val="0"/>
          <w:caps w:val="0"/>
          <w:color w:val="333333"/>
          <w:spacing w:val="0"/>
          <w:kern w:val="0"/>
          <w:sz w:val="39"/>
          <w:szCs w:val="39"/>
          <w:shd w:val="clear" w:fill="FFFFFF"/>
          <w:lang w:val="en-US" w:eastAsia="zh-Hans" w:bidi="ar"/>
        </w:rPr>
        <w:t>服 务 合 同</w:t>
      </w:r>
    </w:p>
    <w:p w14:paraId="00F5BC37">
      <w:pPr>
        <w:pageBreakBefore w:val="0"/>
        <w:wordWrap/>
        <w:overflowPunct/>
        <w:topLinePunct w:val="0"/>
        <w:bidi w:val="0"/>
        <w:spacing w:line="360" w:lineRule="auto"/>
        <w:jc w:val="center"/>
        <w:rPr>
          <w:rFonts w:hint="eastAsia" w:asciiTheme="minorHAnsi" w:hAnsiTheme="minorHAnsi" w:eastAsiaTheme="minorEastAsia" w:cstheme="minorBidi"/>
          <w:b/>
          <w:bCs/>
          <w:kern w:val="0"/>
          <w:sz w:val="21"/>
          <w:szCs w:val="21"/>
          <w:highlight w:val="none"/>
          <w:lang w:val="en-US" w:eastAsia="zh-Hans"/>
        </w:rPr>
      </w:pPr>
    </w:p>
    <w:p w14:paraId="185A554B">
      <w:pPr>
        <w:pageBreakBefore w:val="0"/>
        <w:wordWrap/>
        <w:overflowPunct/>
        <w:topLinePunct w:val="0"/>
        <w:bidi w:val="0"/>
        <w:spacing w:line="360" w:lineRule="auto"/>
        <w:jc w:val="center"/>
        <w:rPr>
          <w:rFonts w:hint="eastAsia" w:asciiTheme="minorHAnsi" w:hAnsiTheme="minorHAnsi" w:eastAsiaTheme="minorEastAsia" w:cstheme="minorBidi"/>
          <w:b/>
          <w:bCs/>
          <w:kern w:val="0"/>
          <w:sz w:val="21"/>
          <w:szCs w:val="21"/>
          <w:highlight w:val="none"/>
          <w:lang w:val="en-US" w:eastAsia="zh-Hans"/>
        </w:rPr>
      </w:pPr>
    </w:p>
    <w:p w14:paraId="36D5AC1F">
      <w:pPr>
        <w:pageBreakBefore w:val="0"/>
        <w:wordWrap/>
        <w:overflowPunct/>
        <w:topLinePunct w:val="0"/>
        <w:bidi w:val="0"/>
        <w:spacing w:line="360" w:lineRule="auto"/>
        <w:jc w:val="center"/>
        <w:rPr>
          <w:rFonts w:hint="eastAsia" w:asciiTheme="minorHAnsi" w:hAnsiTheme="minorHAnsi" w:eastAsiaTheme="minorEastAsia" w:cstheme="minorBidi"/>
          <w:b/>
          <w:bCs/>
          <w:kern w:val="0"/>
          <w:sz w:val="21"/>
          <w:szCs w:val="21"/>
          <w:highlight w:val="none"/>
          <w:lang w:val="en-US" w:eastAsia="zh-Hans"/>
        </w:rPr>
      </w:pPr>
    </w:p>
    <w:p w14:paraId="6CB1F3A2">
      <w:pPr>
        <w:pageBreakBefore w:val="0"/>
        <w:wordWrap/>
        <w:overflowPunct/>
        <w:topLinePunct w:val="0"/>
        <w:bidi w:val="0"/>
        <w:spacing w:line="360" w:lineRule="auto"/>
        <w:jc w:val="center"/>
        <w:rPr>
          <w:rFonts w:hint="eastAsia" w:asciiTheme="minorHAnsi" w:hAnsiTheme="minorHAnsi" w:eastAsiaTheme="minorEastAsia" w:cstheme="minorBidi"/>
          <w:b/>
          <w:bCs/>
          <w:kern w:val="0"/>
          <w:sz w:val="21"/>
          <w:szCs w:val="21"/>
          <w:highlight w:val="none"/>
          <w:lang w:val="en-US" w:eastAsia="zh-Hans"/>
        </w:rPr>
      </w:pPr>
    </w:p>
    <w:p w14:paraId="469A2D29">
      <w:pPr>
        <w:pageBreakBefore w:val="0"/>
        <w:wordWrap/>
        <w:overflowPunct/>
        <w:topLinePunct w:val="0"/>
        <w:bidi w:val="0"/>
        <w:spacing w:line="360" w:lineRule="auto"/>
        <w:jc w:val="center"/>
        <w:rPr>
          <w:rFonts w:hint="eastAsia" w:asciiTheme="minorHAnsi" w:hAnsiTheme="minorHAnsi" w:eastAsiaTheme="minorEastAsia" w:cstheme="minorBidi"/>
          <w:b/>
          <w:bCs/>
          <w:kern w:val="0"/>
          <w:sz w:val="21"/>
          <w:szCs w:val="21"/>
          <w:highlight w:val="none"/>
          <w:lang w:val="en-US" w:eastAsia="zh-Hans"/>
        </w:rPr>
      </w:pPr>
    </w:p>
    <w:p w14:paraId="2B37E73A">
      <w:pPr>
        <w:pageBreakBefore w:val="0"/>
        <w:wordWrap/>
        <w:overflowPunct/>
        <w:topLinePunct w:val="0"/>
        <w:bidi w:val="0"/>
        <w:spacing w:line="360" w:lineRule="auto"/>
        <w:jc w:val="center"/>
        <w:rPr>
          <w:rFonts w:hint="eastAsia" w:asciiTheme="minorHAnsi" w:hAnsiTheme="minorHAnsi" w:eastAsiaTheme="minorEastAsia" w:cstheme="minorBidi"/>
          <w:b/>
          <w:bCs/>
          <w:kern w:val="0"/>
          <w:sz w:val="21"/>
          <w:szCs w:val="21"/>
          <w:highlight w:val="none"/>
          <w:lang w:val="en-US" w:eastAsia="zh-Hans"/>
        </w:rPr>
      </w:pPr>
    </w:p>
    <w:p w14:paraId="36583BDE">
      <w:pPr>
        <w:pageBreakBefore w:val="0"/>
        <w:wordWrap/>
        <w:overflowPunct/>
        <w:topLinePunct w:val="0"/>
        <w:bidi w:val="0"/>
        <w:spacing w:line="360" w:lineRule="auto"/>
        <w:jc w:val="center"/>
        <w:rPr>
          <w:rFonts w:hint="eastAsia" w:asciiTheme="minorHAnsi" w:hAnsiTheme="minorHAnsi" w:eastAsiaTheme="minorEastAsia" w:cstheme="minorBidi"/>
          <w:b/>
          <w:bCs/>
          <w:kern w:val="0"/>
          <w:sz w:val="21"/>
          <w:szCs w:val="21"/>
          <w:highlight w:val="none"/>
          <w:lang w:val="en-US" w:eastAsia="zh-Hans"/>
        </w:rPr>
      </w:pPr>
    </w:p>
    <w:p w14:paraId="5359E020">
      <w:pPr>
        <w:pageBreakBefore w:val="0"/>
        <w:wordWrap/>
        <w:overflowPunct/>
        <w:topLinePunct w:val="0"/>
        <w:bidi w:val="0"/>
        <w:spacing w:line="360" w:lineRule="auto"/>
        <w:jc w:val="center"/>
        <w:rPr>
          <w:rFonts w:hint="eastAsia" w:asciiTheme="minorHAnsi" w:hAnsiTheme="minorHAnsi" w:eastAsiaTheme="minorEastAsia" w:cstheme="minorBidi"/>
          <w:b/>
          <w:bCs/>
          <w:kern w:val="0"/>
          <w:sz w:val="21"/>
          <w:szCs w:val="21"/>
          <w:highlight w:val="none"/>
          <w:lang w:val="en-US" w:eastAsia="zh-Hans"/>
        </w:rPr>
      </w:pPr>
    </w:p>
    <w:p w14:paraId="78161FEC">
      <w:pPr>
        <w:pageBreakBefore w:val="0"/>
        <w:wordWrap/>
        <w:overflowPunct/>
        <w:topLinePunct w:val="0"/>
        <w:bidi w:val="0"/>
        <w:spacing w:line="360" w:lineRule="auto"/>
        <w:jc w:val="center"/>
        <w:rPr>
          <w:rFonts w:hint="eastAsia" w:asciiTheme="minorHAnsi" w:hAnsiTheme="minorHAnsi" w:eastAsiaTheme="minorEastAsia" w:cstheme="minorBidi"/>
          <w:b/>
          <w:bCs/>
          <w:kern w:val="0"/>
          <w:sz w:val="21"/>
          <w:szCs w:val="21"/>
          <w:highlight w:val="none"/>
          <w:lang w:val="en-US" w:eastAsia="zh-Hans"/>
        </w:rPr>
      </w:pPr>
    </w:p>
    <w:p w14:paraId="5688FFDF">
      <w:pPr>
        <w:pageBreakBefore w:val="0"/>
        <w:wordWrap/>
        <w:overflowPunct/>
        <w:topLinePunct w:val="0"/>
        <w:bidi w:val="0"/>
        <w:spacing w:line="360" w:lineRule="auto"/>
        <w:jc w:val="center"/>
        <w:rPr>
          <w:rFonts w:hint="eastAsia" w:asciiTheme="minorHAnsi" w:hAnsiTheme="minorHAnsi" w:eastAsiaTheme="minorEastAsia" w:cstheme="minorBidi"/>
          <w:b/>
          <w:bCs/>
          <w:kern w:val="0"/>
          <w:sz w:val="21"/>
          <w:szCs w:val="21"/>
          <w:highlight w:val="none"/>
          <w:lang w:val="en-US" w:eastAsia="zh-Hans"/>
        </w:rPr>
      </w:pPr>
    </w:p>
    <w:p w14:paraId="103E12CC">
      <w:pPr>
        <w:pageBreakBefore w:val="0"/>
        <w:wordWrap/>
        <w:overflowPunct/>
        <w:topLinePunct w:val="0"/>
        <w:bidi w:val="0"/>
        <w:spacing w:line="360" w:lineRule="auto"/>
        <w:jc w:val="center"/>
        <w:rPr>
          <w:rFonts w:hint="eastAsia" w:asciiTheme="minorHAnsi" w:hAnsiTheme="minorHAnsi" w:eastAsiaTheme="minorEastAsia" w:cstheme="minorBidi"/>
          <w:b/>
          <w:bCs/>
          <w:kern w:val="0"/>
          <w:sz w:val="21"/>
          <w:szCs w:val="21"/>
          <w:highlight w:val="none"/>
          <w:lang w:val="en-US" w:eastAsia="zh-Hans"/>
        </w:rPr>
      </w:pPr>
    </w:p>
    <w:p w14:paraId="2295F37D">
      <w:pPr>
        <w:pageBreakBefore w:val="0"/>
        <w:wordWrap/>
        <w:overflowPunct/>
        <w:topLinePunct w:val="0"/>
        <w:bidi w:val="0"/>
        <w:spacing w:line="360" w:lineRule="auto"/>
        <w:jc w:val="center"/>
        <w:rPr>
          <w:rFonts w:hint="eastAsia" w:asciiTheme="minorHAnsi" w:hAnsiTheme="minorHAnsi" w:eastAsiaTheme="minorEastAsia" w:cstheme="minorBidi"/>
          <w:b/>
          <w:bCs/>
          <w:kern w:val="0"/>
          <w:sz w:val="21"/>
          <w:szCs w:val="21"/>
          <w:highlight w:val="none"/>
          <w:lang w:val="en-US" w:eastAsia="zh-Hans"/>
        </w:rPr>
      </w:pPr>
      <w:r>
        <w:rPr>
          <w:rFonts w:hint="eastAsia" w:asciiTheme="minorHAnsi" w:hAnsiTheme="minorHAnsi" w:eastAsiaTheme="minorEastAsia" w:cstheme="minorBidi"/>
          <w:b/>
          <w:bCs/>
          <w:kern w:val="0"/>
          <w:sz w:val="21"/>
          <w:szCs w:val="21"/>
          <w:highlight w:val="none"/>
          <w:lang w:val="en-US" w:eastAsia="zh-Hans"/>
        </w:rPr>
        <w:t>（示范文本）</w:t>
      </w:r>
    </w:p>
    <w:p w14:paraId="21EB92E1">
      <w:pPr>
        <w:pageBreakBefore w:val="0"/>
        <w:wordWrap/>
        <w:overflowPunct/>
        <w:topLinePunct w:val="0"/>
        <w:bidi w:val="0"/>
        <w:spacing w:line="360" w:lineRule="auto"/>
        <w:jc w:val="left"/>
        <w:rPr>
          <w:rFonts w:hint="eastAsia" w:asciiTheme="minorHAnsi" w:hAnsiTheme="minorHAnsi" w:eastAsiaTheme="minorEastAsia" w:cstheme="minorBidi"/>
          <w:b/>
          <w:bCs/>
          <w:kern w:val="0"/>
          <w:sz w:val="21"/>
          <w:szCs w:val="21"/>
          <w:highlight w:val="none"/>
          <w:lang w:val="en-US" w:eastAsia="zh-Hans"/>
        </w:rPr>
      </w:pPr>
    </w:p>
    <w:p w14:paraId="258C7F11">
      <w:pPr>
        <w:pageBreakBefore w:val="0"/>
        <w:wordWrap/>
        <w:overflowPunct/>
        <w:topLinePunct w:val="0"/>
        <w:bidi w:val="0"/>
        <w:spacing w:line="360" w:lineRule="auto"/>
        <w:jc w:val="center"/>
        <w:rPr>
          <w:rFonts w:hint="eastAsia" w:asciiTheme="minorHAnsi" w:hAnsiTheme="minorHAnsi" w:eastAsiaTheme="minorEastAsia" w:cstheme="minorBidi"/>
          <w:b/>
          <w:bCs/>
          <w:kern w:val="0"/>
          <w:sz w:val="21"/>
          <w:szCs w:val="21"/>
          <w:highlight w:val="none"/>
          <w:lang w:val="en-US" w:eastAsia="zh-Hans"/>
        </w:rPr>
      </w:pPr>
      <w:r>
        <w:rPr>
          <w:rFonts w:hint="eastAsia" w:asciiTheme="minorHAnsi" w:hAnsiTheme="minorHAnsi" w:eastAsiaTheme="minorEastAsia" w:cstheme="minorBidi"/>
          <w:b/>
          <w:bCs/>
          <w:kern w:val="0"/>
          <w:sz w:val="21"/>
          <w:szCs w:val="21"/>
          <w:highlight w:val="none"/>
          <w:lang w:val="en-US" w:eastAsia="zh-Hans"/>
        </w:rPr>
        <w:t>成交供应商和采购人也可根据项目特点自行拟定合同条款。</w:t>
      </w:r>
    </w:p>
    <w:p w14:paraId="5F090402">
      <w:pPr>
        <w:pStyle w:val="5"/>
      </w:pPr>
    </w:p>
    <w:p w14:paraId="3A80B496">
      <w:pPr>
        <w:pStyle w:val="5"/>
        <w:rPr>
          <w:rFonts w:hint="eastAsia" w:asciiTheme="minorEastAsia" w:hAnsiTheme="minorEastAsia" w:eastAsiaTheme="minorEastAsia" w:cstheme="minorEastAsia"/>
          <w:color w:val="auto"/>
          <w:sz w:val="24"/>
          <w:szCs w:val="24"/>
          <w:highlight w:val="none"/>
        </w:rPr>
      </w:pPr>
      <w:r>
        <w:t xml:space="preserve"> </w:t>
      </w:r>
      <w:r>
        <w:br w:type="textWrapping"/>
      </w:r>
      <w:r>
        <w:br w:type="page"/>
      </w:r>
    </w:p>
    <w:p w14:paraId="3870B408">
      <w:pPr>
        <w:tabs>
          <w:tab w:val="left" w:pos="735"/>
        </w:tabs>
        <w:autoSpaceDE w:val="0"/>
        <w:autoSpaceDN w:val="0"/>
        <w:adjustRightInd w:val="0"/>
        <w:snapToGrid w:val="0"/>
        <w:spacing w:before="240" w:beforeLines="100" w:line="358" w:lineRule="auto"/>
        <w:ind w:firstLine="629"/>
        <w:rPr>
          <w:rFonts w:hint="eastAsia" w:asciiTheme="minorEastAsia" w:hAnsiTheme="minorEastAsia" w:eastAsiaTheme="minorEastAsia" w:cstheme="minorEastAsia"/>
          <w:b/>
          <w:bCs/>
          <w:sz w:val="24"/>
          <w:szCs w:val="24"/>
          <w:highlight w:val="none"/>
          <w:lang w:val="zh-CN"/>
        </w:rPr>
      </w:pPr>
      <w:r>
        <w:rPr>
          <w:rFonts w:hint="eastAsia" w:asciiTheme="minorEastAsia" w:hAnsiTheme="minorEastAsia" w:eastAsiaTheme="minorEastAsia" w:cstheme="minorEastAsia"/>
          <w:b/>
          <w:bCs/>
          <w:sz w:val="24"/>
          <w:szCs w:val="24"/>
          <w:highlight w:val="none"/>
          <w:lang w:val="zh-CN"/>
        </w:rPr>
        <w:t>甲方：</w:t>
      </w:r>
      <w:r>
        <w:rPr>
          <w:rFonts w:hint="eastAsia" w:asciiTheme="minorEastAsia" w:hAnsiTheme="minorEastAsia" w:eastAsiaTheme="minorEastAsia" w:cstheme="minorEastAsia"/>
          <w:bCs/>
          <w:sz w:val="24"/>
          <w:szCs w:val="24"/>
          <w:highlight w:val="none"/>
          <w:lang w:val="zh-CN"/>
        </w:rPr>
        <w:t>（前款所称采购人）         住所：</w:t>
      </w:r>
    </w:p>
    <w:p w14:paraId="7A58B826">
      <w:pPr>
        <w:tabs>
          <w:tab w:val="left" w:pos="735"/>
        </w:tabs>
        <w:autoSpaceDE w:val="0"/>
        <w:autoSpaceDN w:val="0"/>
        <w:adjustRightInd w:val="0"/>
        <w:snapToGrid w:val="0"/>
        <w:spacing w:line="358" w:lineRule="auto"/>
        <w:ind w:firstLine="631"/>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
          <w:bCs/>
          <w:sz w:val="24"/>
          <w:szCs w:val="24"/>
          <w:highlight w:val="none"/>
          <w:lang w:val="zh-CN"/>
        </w:rPr>
        <w:t>乙方：</w:t>
      </w:r>
      <w:r>
        <w:rPr>
          <w:rFonts w:hint="eastAsia" w:asciiTheme="minorEastAsia" w:hAnsiTheme="minorEastAsia" w:eastAsiaTheme="minorEastAsia" w:cstheme="minorEastAsia"/>
          <w:bCs/>
          <w:sz w:val="24"/>
          <w:szCs w:val="24"/>
          <w:highlight w:val="none"/>
          <w:lang w:val="zh-CN"/>
        </w:rPr>
        <w:t>（前款所称成交供应商）     住所：</w:t>
      </w:r>
    </w:p>
    <w:p w14:paraId="6188A566">
      <w:pPr>
        <w:adjustRightInd w:val="0"/>
        <w:snapToGrid w:val="0"/>
        <w:spacing w:line="358" w:lineRule="auto"/>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一、合同内容</w:t>
      </w:r>
    </w:p>
    <w:p w14:paraId="0CAC1AB4">
      <w:pPr>
        <w:adjustRightInd w:val="0"/>
        <w:snapToGrid w:val="0"/>
        <w:spacing w:line="358"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（标的、数量、质量等）:</w:t>
      </w:r>
    </w:p>
    <w:p w14:paraId="70E9DD96">
      <w:pPr>
        <w:adjustRightInd w:val="0"/>
        <w:snapToGrid w:val="0"/>
        <w:spacing w:line="358" w:lineRule="auto"/>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二、合同价款</w:t>
      </w:r>
    </w:p>
    <w:p w14:paraId="135986AD">
      <w:pPr>
        <w:adjustRightInd w:val="0"/>
        <w:snapToGrid w:val="0"/>
        <w:spacing w:line="358"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1、合同总价暂定：人民币</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sz w:val="24"/>
          <w:szCs w:val="24"/>
          <w:highlight w:val="none"/>
          <w:lang w:val="en-US" w:eastAsia="zh-CN"/>
        </w:rPr>
        <w:t>小学</w:t>
      </w:r>
      <w:r>
        <w:rPr>
          <w:rFonts w:hint="eastAsia" w:asciiTheme="minorEastAsia" w:hAnsiTheme="minorEastAsia" w:eastAsiaTheme="minorEastAsia" w:cstheme="minorEastAsia"/>
          <w:sz w:val="24"/>
          <w:szCs w:val="24"/>
          <w:highlight w:val="none"/>
        </w:rPr>
        <w:t>学生</w:t>
      </w:r>
      <w:r>
        <w:rPr>
          <w:rFonts w:hint="eastAsia" w:asciiTheme="minorEastAsia" w:hAnsiTheme="minorEastAsia" w:eastAsiaTheme="minorEastAsia" w:cstheme="minorEastAsia"/>
          <w:sz w:val="24"/>
          <w:szCs w:val="24"/>
          <w:highlight w:val="none"/>
          <w:lang w:val="en-US" w:eastAsia="zh-CN"/>
        </w:rPr>
        <w:t>体检</w:t>
      </w:r>
      <w:r>
        <w:rPr>
          <w:rFonts w:hint="eastAsia" w:asciiTheme="minorEastAsia" w:hAnsiTheme="minorEastAsia" w:eastAsiaTheme="minorEastAsia" w:cstheme="minorEastAsia"/>
          <w:sz w:val="24"/>
          <w:szCs w:val="24"/>
          <w:highlight w:val="none"/>
        </w:rPr>
        <w:t>单价：人民币</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元/人，</w:t>
      </w:r>
      <w:r>
        <w:rPr>
          <w:rFonts w:hint="eastAsia" w:asciiTheme="minorEastAsia" w:hAnsiTheme="minorEastAsia" w:eastAsiaTheme="minorEastAsia" w:cstheme="minorEastAsia"/>
          <w:sz w:val="24"/>
          <w:szCs w:val="24"/>
          <w:highlight w:val="none"/>
          <w:lang w:val="en-US" w:eastAsia="zh-CN"/>
        </w:rPr>
        <w:t>初中</w:t>
      </w:r>
      <w:r>
        <w:rPr>
          <w:rFonts w:hint="eastAsia" w:asciiTheme="minorEastAsia" w:hAnsiTheme="minorEastAsia" w:eastAsiaTheme="minorEastAsia" w:cstheme="minorEastAsia"/>
          <w:sz w:val="24"/>
          <w:szCs w:val="24"/>
          <w:highlight w:val="none"/>
        </w:rPr>
        <w:t>学生</w:t>
      </w:r>
      <w:r>
        <w:rPr>
          <w:rFonts w:hint="eastAsia" w:asciiTheme="minorEastAsia" w:hAnsiTheme="minorEastAsia" w:eastAsiaTheme="minorEastAsia" w:cstheme="minorEastAsia"/>
          <w:sz w:val="24"/>
          <w:szCs w:val="24"/>
          <w:highlight w:val="none"/>
          <w:lang w:val="en-US" w:eastAsia="zh-CN"/>
        </w:rPr>
        <w:t>体检</w:t>
      </w:r>
      <w:r>
        <w:rPr>
          <w:rFonts w:hint="eastAsia" w:asciiTheme="minorEastAsia" w:hAnsiTheme="minorEastAsia" w:eastAsiaTheme="minorEastAsia" w:cstheme="minorEastAsia"/>
          <w:sz w:val="24"/>
          <w:szCs w:val="24"/>
          <w:highlight w:val="none"/>
        </w:rPr>
        <w:t>单价：人民币</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元/人，</w:t>
      </w:r>
      <w:r>
        <w:rPr>
          <w:rFonts w:hint="eastAsia" w:asciiTheme="minorEastAsia" w:hAnsiTheme="minorEastAsia" w:eastAsiaTheme="minorEastAsia" w:cstheme="minorEastAsia"/>
          <w:sz w:val="24"/>
          <w:szCs w:val="24"/>
          <w:highlight w:val="none"/>
          <w:lang w:val="en-US" w:eastAsia="zh-CN"/>
        </w:rPr>
        <w:t>高一学生体检</w:t>
      </w:r>
      <w:r>
        <w:rPr>
          <w:rFonts w:hint="eastAsia" w:asciiTheme="minorEastAsia" w:hAnsiTheme="minorEastAsia" w:eastAsiaTheme="minorEastAsia" w:cstheme="minorEastAsia"/>
          <w:sz w:val="24"/>
          <w:szCs w:val="24"/>
          <w:highlight w:val="none"/>
        </w:rPr>
        <w:t>单价：人民币</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元/人</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高二、高三学生体检单价：人民币</w:t>
      </w:r>
      <w:r>
        <w:rPr>
          <w:rFonts w:hint="eastAsia" w:asciiTheme="minorEastAsia" w:hAnsiTheme="minorEastAsia" w:eastAsiaTheme="minorEastAsia" w:cstheme="minorEastAsia"/>
          <w:sz w:val="24"/>
          <w:szCs w:val="24"/>
          <w:highlight w:val="none"/>
          <w:u w:val="single"/>
          <w:lang w:val="en-US" w:eastAsia="zh-CN"/>
        </w:rPr>
        <w:t xml:space="preserve">       元</w:t>
      </w:r>
      <w:r>
        <w:rPr>
          <w:rFonts w:hint="eastAsia" w:asciiTheme="minorEastAsia" w:hAnsiTheme="minorEastAsia" w:eastAsiaTheme="minorEastAsia" w:cstheme="minorEastAsia"/>
          <w:sz w:val="24"/>
          <w:szCs w:val="24"/>
          <w:highlight w:val="none"/>
        </w:rPr>
        <w:t>。</w:t>
      </w:r>
    </w:p>
    <w:p w14:paraId="60553323">
      <w:pPr>
        <w:adjustRightInd w:val="0"/>
        <w:snapToGrid w:val="0"/>
        <w:spacing w:line="358"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2、费用结算方法：按照实际参加体检的学生人数，据实结算。</w:t>
      </w:r>
    </w:p>
    <w:p w14:paraId="4BC2B949">
      <w:pPr>
        <w:adjustRightInd w:val="0"/>
        <w:snapToGrid w:val="0"/>
        <w:spacing w:line="358"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3、本次健康体检由成交供应商和各学校签订服务合同</w:t>
      </w:r>
    </w:p>
    <w:p w14:paraId="2D10B88F">
      <w:pPr>
        <w:adjustRightInd w:val="0"/>
        <w:snapToGrid w:val="0"/>
        <w:spacing w:line="358"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4、本项目服务期限两年，合同一年一签。（采购人根据供应商服务情况，进行综合考核，考核合格后，自行决定是否续签次年）。</w:t>
      </w:r>
    </w:p>
    <w:p w14:paraId="4E81B757">
      <w:pPr>
        <w:adjustRightInd w:val="0"/>
        <w:snapToGrid w:val="0"/>
        <w:spacing w:line="358" w:lineRule="auto"/>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三、合同结算</w:t>
      </w:r>
    </w:p>
    <w:p w14:paraId="782FDB24">
      <w:pPr>
        <w:adjustRightInd w:val="0"/>
        <w:snapToGrid w:val="0"/>
        <w:spacing w:line="358"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1、资金支付条件及时间：</w:t>
      </w:r>
    </w:p>
    <w:p w14:paraId="5C33D4F3">
      <w:pPr>
        <w:adjustRightInd w:val="0"/>
        <w:snapToGrid w:val="0"/>
        <w:spacing w:line="358"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各校学生体检结束，由各校确认后，乙方开具正式发票，各校按实际体检学生人数的体检报告一次性支付体检费用。</w:t>
      </w:r>
    </w:p>
    <w:p w14:paraId="33181652">
      <w:pPr>
        <w:adjustRightInd w:val="0"/>
        <w:snapToGrid w:val="0"/>
        <w:spacing w:line="358"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2、结算方式：银行转账。</w:t>
      </w:r>
    </w:p>
    <w:p w14:paraId="42356C2A">
      <w:pPr>
        <w:adjustRightInd w:val="0"/>
        <w:snapToGrid w:val="0"/>
        <w:spacing w:line="358"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3、结算单位：</w:t>
      </w:r>
      <w:r>
        <w:rPr>
          <w:rFonts w:hint="eastAsia" w:asciiTheme="minorEastAsia" w:hAnsiTheme="minorEastAsia" w:eastAsiaTheme="minorEastAsia" w:cstheme="minorEastAsia"/>
          <w:sz w:val="24"/>
          <w:szCs w:val="24"/>
          <w:highlight w:val="none"/>
          <w:lang w:val="en-US" w:eastAsia="zh-CN"/>
        </w:rPr>
        <w:t>由各学校负责结算，乙方开具合同总价款的全额发票交各学校</w:t>
      </w:r>
      <w:r>
        <w:rPr>
          <w:rFonts w:hint="eastAsia" w:asciiTheme="minorEastAsia" w:hAnsiTheme="minorEastAsia" w:eastAsiaTheme="minorEastAsia" w:cstheme="minorEastAsia"/>
          <w:sz w:val="24"/>
          <w:szCs w:val="24"/>
          <w:highlight w:val="none"/>
        </w:rPr>
        <w:t>。</w:t>
      </w:r>
    </w:p>
    <w:p w14:paraId="0D04EB18">
      <w:pPr>
        <w:adjustRightInd w:val="0"/>
        <w:snapToGrid w:val="0"/>
        <w:spacing w:line="358" w:lineRule="auto"/>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四、服务期、地点及方式:</w:t>
      </w:r>
    </w:p>
    <w:p w14:paraId="182E64C2">
      <w:pPr>
        <w:adjustRightInd w:val="0"/>
        <w:snapToGrid w:val="0"/>
        <w:spacing w:line="358"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服务期限</w:t>
      </w:r>
      <w:r>
        <w:rPr>
          <w:rFonts w:hint="eastAsia" w:asciiTheme="minorEastAsia" w:hAnsiTheme="minorEastAsia" w:eastAsiaTheme="minorEastAsia" w:cstheme="minorEastAsia"/>
          <w:sz w:val="24"/>
          <w:szCs w:val="24"/>
          <w:highlight w:val="none"/>
        </w:rPr>
        <w:t>：第一年体检服务期为自合同签订之日起至2026年4月30日前完成，第二年体检服务期为自合同签订之日起至2027年4月30日前完成。</w:t>
      </w:r>
    </w:p>
    <w:p w14:paraId="03B6C369">
      <w:pPr>
        <w:adjustRightInd w:val="0"/>
        <w:snapToGrid w:val="0"/>
        <w:spacing w:line="358"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服务地点</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bCs/>
          <w:sz w:val="24"/>
          <w:szCs w:val="24"/>
          <w:highlight w:val="none"/>
          <w:lang w:val="zh-CN"/>
        </w:rPr>
        <w:t>按照采购人要求</w:t>
      </w:r>
    </w:p>
    <w:p w14:paraId="355DF723">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sz w:val="24"/>
          <w:szCs w:val="24"/>
          <w:highlight w:val="none"/>
        </w:rPr>
        <w:t>3、</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方式：</w:t>
      </w:r>
      <w:r>
        <w:rPr>
          <w:rFonts w:hint="eastAsia" w:asciiTheme="minorEastAsia" w:hAnsiTheme="minorEastAsia" w:eastAsiaTheme="minorEastAsia" w:cstheme="minorEastAsia"/>
          <w:bCs/>
          <w:sz w:val="24"/>
          <w:szCs w:val="24"/>
          <w:highlight w:val="none"/>
          <w:lang w:val="zh-CN"/>
        </w:rPr>
        <w:t>按照采购人要求</w:t>
      </w:r>
    </w:p>
    <w:p w14:paraId="459A5E7D">
      <w:pPr>
        <w:adjustRightInd w:val="0"/>
        <w:snapToGrid w:val="0"/>
        <w:spacing w:line="358" w:lineRule="auto"/>
        <w:ind w:firstLine="482" w:firstLineChars="200"/>
        <w:rPr>
          <w:rFonts w:hint="eastAsia" w:asciiTheme="minorEastAsia" w:hAnsiTheme="minorEastAsia" w:eastAsiaTheme="minorEastAsia" w:cstheme="minorEastAsia"/>
          <w:b/>
          <w:bCs/>
          <w:sz w:val="24"/>
          <w:szCs w:val="24"/>
          <w:highlight w:val="none"/>
          <w:lang w:val="zh-CN"/>
        </w:rPr>
      </w:pPr>
      <w:r>
        <w:rPr>
          <w:rFonts w:hint="eastAsia" w:asciiTheme="minorEastAsia" w:hAnsiTheme="minorEastAsia" w:eastAsiaTheme="minorEastAsia" w:cstheme="minorEastAsia"/>
          <w:b/>
          <w:bCs/>
          <w:sz w:val="24"/>
          <w:szCs w:val="24"/>
          <w:highlight w:val="none"/>
          <w:lang w:val="zh-CN"/>
        </w:rPr>
        <w:t>五、服务内容：</w:t>
      </w:r>
    </w:p>
    <w:p w14:paraId="142EA8C2">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常规项目</w:t>
      </w:r>
    </w:p>
    <w:p w14:paraId="4D18EB1D">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1、内科常规检查：心、肺、肝、脾</w:t>
      </w:r>
    </w:p>
    <w:p w14:paraId="433005A3">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2、眼科检查：视力、色觉、沙眼、结膜炎</w:t>
      </w:r>
    </w:p>
    <w:p w14:paraId="53C09DED">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3、口腔科检查：牙齿、牙周</w:t>
      </w:r>
    </w:p>
    <w:p w14:paraId="7745B86E">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4、耳鼻咽喉检查：听力、耳、鼻、咽、喉、扁桃体</w:t>
      </w:r>
    </w:p>
    <w:p w14:paraId="0749728E">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5、外科检查：头部、颈部、胸部、脊柱、四肢、皮肤、淋巴结</w:t>
      </w:r>
    </w:p>
    <w:p w14:paraId="34C16233">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6、形体指标检查：身高、体重、胸围、营养评价</w:t>
      </w:r>
    </w:p>
    <w:p w14:paraId="4F9FB542">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7、机能指标检查：肺活量、脉搏、血压</w:t>
      </w:r>
    </w:p>
    <w:p w14:paraId="71AF5452">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实验室检查</w:t>
      </w:r>
    </w:p>
    <w:p w14:paraId="67499796">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1、血红蛋白(在校学生每年一次必检项目)</w:t>
      </w:r>
    </w:p>
    <w:p w14:paraId="08DB5CFA">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2、结核菌素试验（</w:t>
      </w:r>
      <w:r>
        <w:rPr>
          <w:rFonts w:hint="eastAsia" w:asciiTheme="minorEastAsia" w:hAnsiTheme="minorEastAsia" w:eastAsiaTheme="minorEastAsia" w:cstheme="minorEastAsia"/>
          <w:bCs/>
          <w:sz w:val="24"/>
          <w:szCs w:val="24"/>
          <w:highlight w:val="none"/>
          <w:lang w:val="en-US" w:eastAsia="zh-CN"/>
        </w:rPr>
        <w:t>住校生、</w:t>
      </w:r>
      <w:r>
        <w:rPr>
          <w:rFonts w:hint="eastAsia" w:asciiTheme="minorEastAsia" w:hAnsiTheme="minorEastAsia" w:eastAsiaTheme="minorEastAsia" w:cstheme="minorEastAsia"/>
          <w:bCs/>
          <w:sz w:val="24"/>
          <w:szCs w:val="24"/>
          <w:highlight w:val="none"/>
          <w:lang w:val="zh-CN"/>
        </w:rPr>
        <w:t>高中入学新生必检项目)</w:t>
      </w:r>
    </w:p>
    <w:p w14:paraId="36AD1B5B">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3、肝功能:谷丙转氨酶、胆红素。(高中入学新生、寄宿制学生必检项目，异常者检查乙肝表面抗原)</w:t>
      </w:r>
    </w:p>
    <w:p w14:paraId="51CA7CFE">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4、蛔虫卵(14周岁以下学生中开展),按照入学新生及小学四年级学生10%的比例确定监测点校，作为监测点校入学新生及四年级学生必检项目。</w:t>
      </w:r>
    </w:p>
    <w:p w14:paraId="07378BEA">
      <w:pPr>
        <w:adjustRightInd w:val="0"/>
        <w:snapToGrid w:val="0"/>
        <w:spacing w:line="358" w:lineRule="auto"/>
        <w:ind w:firstLine="480" w:firstLineChars="200"/>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5、体检地点：由乙方自行安排车辆下校体检。</w:t>
      </w:r>
    </w:p>
    <w:p w14:paraId="5A1675B6">
      <w:pPr>
        <w:adjustRightInd w:val="0"/>
        <w:snapToGrid w:val="0"/>
        <w:spacing w:line="360" w:lineRule="auto"/>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六、甲方的权利和义务</w:t>
      </w:r>
    </w:p>
    <w:p w14:paraId="283B945E">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1、负责提供体检所需要的场地；</w:t>
      </w:r>
    </w:p>
    <w:p w14:paraId="60D945E8">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2、组织学生有序的进入场地进行体检；</w:t>
      </w:r>
    </w:p>
    <w:p w14:paraId="169BD361">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3、为乙方提供统一的学生信息电子表格；</w:t>
      </w:r>
    </w:p>
    <w:p w14:paraId="041F5231">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4、体检结束时，按照实际参与人数支付乙方体检费用。</w:t>
      </w:r>
    </w:p>
    <w:p w14:paraId="7FB689DB">
      <w:pPr>
        <w:adjustRightInd w:val="0"/>
        <w:snapToGrid w:val="0"/>
        <w:spacing w:line="360" w:lineRule="auto"/>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七、乙方的权利和义务</w:t>
      </w:r>
    </w:p>
    <w:p w14:paraId="4B6E240A">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1、负责组织具有医疗资质的医务人员对甲方学生进行体检；</w:t>
      </w:r>
    </w:p>
    <w:p w14:paraId="0A2B8678">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2、体检所需要的医疗器具必须符合国家规定标准；</w:t>
      </w:r>
    </w:p>
    <w:p w14:paraId="52BDA439">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3、体检中不得擅自缩小体检项目；</w:t>
      </w:r>
    </w:p>
    <w:p w14:paraId="3BD9C040">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4、将体检应注意的事项提前通知甲方。</w:t>
      </w:r>
    </w:p>
    <w:p w14:paraId="3EE6A913">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5、为甲方完成相应的学生健康档案的填写，交甲方存档；</w:t>
      </w:r>
    </w:p>
    <w:p w14:paraId="5EEC3205">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6、承担义务人员不具备相应资质，医疗器具不符合国家规定标准来产生的事故责任。</w:t>
      </w:r>
    </w:p>
    <w:p w14:paraId="30A76178">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7、为甲方完成学生终检统计表</w:t>
      </w:r>
    </w:p>
    <w:p w14:paraId="41F2EB39">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8、体检结束，由体检机构给受检学校发放常规体检项目个体报告单，承担实验室检查项目的乙方给受检过程有异常的学生发放疾病报告单。</w:t>
      </w:r>
    </w:p>
    <w:p w14:paraId="58DEC569">
      <w:pPr>
        <w:adjustRightInd w:val="0"/>
        <w:snapToGrid w:val="0"/>
        <w:spacing w:line="360" w:lineRule="auto"/>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八、保密条款</w:t>
      </w:r>
    </w:p>
    <w:p w14:paraId="1FC8C19C">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1、合同双方在订立合同过程中知悉的对方商业秘密等资料，无论合同是否成立，不得泄密或不正当使用。</w:t>
      </w:r>
    </w:p>
    <w:p w14:paraId="466D0179">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2、泄密或不正当使用对方商业秘密给对方造成损失的，应该承担赔偿责任。</w:t>
      </w:r>
    </w:p>
    <w:p w14:paraId="6080E5D8">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3、保密责任不因合同履行完毕而解除。未经双方同意，任何一方不得以任何形式公开本合同及附件内容，以及在合同订立、履行中知悉的对方商业秘密等资料。</w:t>
      </w:r>
    </w:p>
    <w:p w14:paraId="4EA04140">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任何一方对在本合同履行过程中以任何方式获知的另一方商业秘密或其他技术及经营信息均负有保密义务，不得向任何其他第三方透露或泄露，但中国现行法律、法规另有规定或经另一方书面同意的除外，不论本合同是否变更、解除或终止，上述约定的效力不受影响。</w:t>
      </w:r>
    </w:p>
    <w:p w14:paraId="600048E4">
      <w:pPr>
        <w:adjustRightInd w:val="0"/>
        <w:snapToGrid w:val="0"/>
        <w:spacing w:line="360" w:lineRule="auto"/>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九、违约责任</w:t>
      </w:r>
    </w:p>
    <w:p w14:paraId="461BBF34">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1、按《民法典》中的相关条款执行。</w:t>
      </w:r>
    </w:p>
    <w:p w14:paraId="113E376F">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2、乙方履约延误</w:t>
      </w:r>
    </w:p>
    <w:p w14:paraId="44034A6A">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2-1、如乙方事先未征得甲方同意并得到甲方的谅解而单方面延迟服务期限，将按违约终止合同。</w:t>
      </w:r>
    </w:p>
    <w:p w14:paraId="1A109730">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服务时间或对乙方加收误期赔偿金。每延误一周的赔偿费按迟交或未提供服务的服务费用的百分之零点五（0.5%）计收，直至提供服务为止。误期赔偿费的最高限额为合同价格的百分之五（5%）。一旦达到误期赔偿费的最高限额，甲方可终止合同。</w:t>
      </w:r>
    </w:p>
    <w:p w14:paraId="691F5E93">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3、违约终止合同：未按合同要求提供服务，甲方会同监督机构有权终止合同，对乙方违约行为进行追究，同时按政府采购法的有关规定进行相应的处罚。</w:t>
      </w:r>
    </w:p>
    <w:p w14:paraId="4352AC54">
      <w:pPr>
        <w:adjustRightInd w:val="0"/>
        <w:snapToGrid w:val="0"/>
        <w:spacing w:line="360" w:lineRule="auto"/>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十、不可抗力事件处理</w:t>
      </w:r>
    </w:p>
    <w:p w14:paraId="077D09AD">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1、在合同有效期内，任何一方因不可抗力事件导致不能履行合同，则合同履行期可延长，其延长期与不可抗力影响期相同。</w:t>
      </w:r>
    </w:p>
    <w:p w14:paraId="4030567C">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2、不可抗力事件发生后，应立即通知对方，并寄送有关权威机构出具的证明。</w:t>
      </w:r>
    </w:p>
    <w:p w14:paraId="365525ED">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3、不可抗力事件延续</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天以上，双方应通过友好协商，确定是否继续履行合同。</w:t>
      </w:r>
    </w:p>
    <w:p w14:paraId="57F36433">
      <w:pPr>
        <w:adjustRightInd w:val="0"/>
        <w:snapToGrid w:val="0"/>
        <w:spacing w:line="360" w:lineRule="auto"/>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十一、合同组成</w:t>
      </w:r>
    </w:p>
    <w:p w14:paraId="0F00A652">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1、成交通知书</w:t>
      </w:r>
    </w:p>
    <w:p w14:paraId="6D8C8679">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2、合同文件</w:t>
      </w:r>
    </w:p>
    <w:p w14:paraId="7E3959C6">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3、国家相关规范及标准</w:t>
      </w:r>
    </w:p>
    <w:p w14:paraId="4A23D5BB">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4、竞争性磋商文件</w:t>
      </w:r>
    </w:p>
    <w:p w14:paraId="1BC748F9">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5、磋商响应文件</w:t>
      </w:r>
    </w:p>
    <w:p w14:paraId="2496A32F">
      <w:pPr>
        <w:adjustRightInd w:val="0"/>
        <w:snapToGrid w:val="0"/>
        <w:spacing w:line="360" w:lineRule="auto"/>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十二、解决争议的方法</w:t>
      </w:r>
    </w:p>
    <w:p w14:paraId="1574ABC6">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凡因本合同引起的或与本合同有关的争议，双方应友好协商解决。协商不成时，双方均同意采用以下第（  ）种争议解决方式：</w:t>
      </w:r>
    </w:p>
    <w:p w14:paraId="5C3A35FB">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（1）甲、乙双方均同意向（甲方所在地人民法院）提起诉讼。</w:t>
      </w:r>
    </w:p>
    <w:p w14:paraId="2C57982F">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（2）甲、乙双方均同意向（仲裁委员会）提起仲裁。</w:t>
      </w:r>
    </w:p>
    <w:p w14:paraId="07351221">
      <w:pPr>
        <w:adjustRightInd w:val="0"/>
        <w:snapToGrid w:val="0"/>
        <w:spacing w:line="360" w:lineRule="auto"/>
        <w:ind w:firstLine="482" w:firstLineChars="200"/>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十三、合同生效及其它</w:t>
      </w:r>
    </w:p>
    <w:p w14:paraId="4BEC26D7">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1、合同未尽事宜、由甲、乙双方协商，作为合同补充，与原合同具有同等法律效力。</w:t>
      </w:r>
    </w:p>
    <w:p w14:paraId="1A755CA9">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 本合同一式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份，甲方、乙方双方分别执</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份，</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备案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份。</w:t>
      </w:r>
    </w:p>
    <w:p w14:paraId="1083295D">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3、合同经甲乙双方盖章、签字后生效，合同签订地点为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14:paraId="3F145A2C">
      <w:pPr>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4、生效时间：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35BDC86B">
      <w:pPr>
        <w:adjustRightInd w:val="0"/>
        <w:snapToGrid w:val="0"/>
        <w:spacing w:line="358" w:lineRule="auto"/>
        <w:ind w:firstLine="482" w:firstLineChars="200"/>
        <w:rPr>
          <w:rFonts w:hint="eastAsia" w:asciiTheme="minorEastAsia" w:hAnsiTheme="minorEastAsia" w:eastAsiaTheme="minorEastAsia" w:cstheme="minorEastAsia"/>
          <w:b/>
          <w:sz w:val="24"/>
          <w:szCs w:val="24"/>
          <w:highlight w:val="none"/>
        </w:rPr>
      </w:pPr>
    </w:p>
    <w:tbl>
      <w:tblPr>
        <w:tblStyle w:val="3"/>
        <w:tblW w:w="0" w:type="auto"/>
        <w:jc w:val="center"/>
        <w:tblLayout w:type="fixed"/>
        <w:tblCellMar>
          <w:top w:w="0" w:type="dxa"/>
          <w:left w:w="108" w:type="dxa"/>
          <w:bottom w:w="0" w:type="dxa"/>
          <w:right w:w="108" w:type="dxa"/>
        </w:tblCellMar>
      </w:tblPr>
      <w:tblGrid>
        <w:gridCol w:w="4643"/>
        <w:gridCol w:w="4643"/>
      </w:tblGrid>
      <w:tr w14:paraId="0F1241A6">
        <w:tblPrEx>
          <w:tblCellMar>
            <w:top w:w="0" w:type="dxa"/>
            <w:left w:w="108" w:type="dxa"/>
            <w:bottom w:w="0" w:type="dxa"/>
            <w:right w:w="108" w:type="dxa"/>
          </w:tblCellMar>
        </w:tblPrEx>
        <w:trPr>
          <w:jc w:val="center"/>
        </w:trPr>
        <w:tc>
          <w:tcPr>
            <w:tcW w:w="4643" w:type="dxa"/>
            <w:noWrap w:val="0"/>
            <w:vAlign w:val="top"/>
          </w:tcPr>
          <w:p w14:paraId="14E9C792">
            <w:pPr>
              <w:widowControl/>
              <w:autoSpaceDE w:val="0"/>
              <w:autoSpaceDN w:val="0"/>
              <w:snapToGrid w:val="0"/>
              <w:spacing w:line="358" w:lineRule="auto"/>
              <w:ind w:right="-154"/>
              <w:textAlignment w:val="bottom"/>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甲方名称</w:t>
            </w:r>
            <w:r>
              <w:rPr>
                <w:rFonts w:hint="eastAsia" w:asciiTheme="minorEastAsia" w:hAnsiTheme="minorEastAsia" w:eastAsiaTheme="minorEastAsia" w:cstheme="minorEastAsia"/>
                <w:spacing w:val="-20"/>
                <w:kern w:val="0"/>
                <w:sz w:val="24"/>
                <w:szCs w:val="24"/>
                <w:highlight w:val="none"/>
              </w:rPr>
              <w:t>（盖章）</w:t>
            </w:r>
            <w:r>
              <w:rPr>
                <w:rFonts w:hint="eastAsia" w:asciiTheme="minorEastAsia" w:hAnsiTheme="minorEastAsia" w:eastAsiaTheme="minorEastAsia" w:cstheme="minorEastAsia"/>
                <w:kern w:val="0"/>
                <w:sz w:val="24"/>
                <w:szCs w:val="24"/>
                <w:highlight w:val="none"/>
              </w:rPr>
              <w:t>：</w:t>
            </w:r>
          </w:p>
          <w:p w14:paraId="6A322ACC">
            <w:pPr>
              <w:widowControl/>
              <w:autoSpaceDE w:val="0"/>
              <w:autoSpaceDN w:val="0"/>
              <w:snapToGrid w:val="0"/>
              <w:spacing w:line="358" w:lineRule="auto"/>
              <w:ind w:right="-154"/>
              <w:textAlignment w:val="bottom"/>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地址：</w:t>
            </w:r>
          </w:p>
          <w:p w14:paraId="383F3EEE">
            <w:pPr>
              <w:widowControl/>
              <w:autoSpaceDE w:val="0"/>
              <w:autoSpaceDN w:val="0"/>
              <w:snapToGrid w:val="0"/>
              <w:spacing w:line="358" w:lineRule="auto"/>
              <w:ind w:right="-154"/>
              <w:textAlignment w:val="bottom"/>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代表人（签字）：</w:t>
            </w:r>
          </w:p>
          <w:p w14:paraId="557CAB28">
            <w:pPr>
              <w:widowControl/>
              <w:autoSpaceDE w:val="0"/>
              <w:autoSpaceDN w:val="0"/>
              <w:snapToGrid w:val="0"/>
              <w:spacing w:line="358" w:lineRule="auto"/>
              <w:ind w:right="-154"/>
              <w:textAlignment w:val="bottom"/>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电话：</w:t>
            </w:r>
          </w:p>
          <w:p w14:paraId="1F10607E">
            <w:pPr>
              <w:widowControl/>
              <w:autoSpaceDE w:val="0"/>
              <w:autoSpaceDN w:val="0"/>
              <w:snapToGrid w:val="0"/>
              <w:spacing w:line="358" w:lineRule="auto"/>
              <w:ind w:right="-154"/>
              <w:textAlignment w:val="bottom"/>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开户银行：</w:t>
            </w:r>
          </w:p>
          <w:p w14:paraId="18C67A1D">
            <w:pPr>
              <w:widowControl/>
              <w:autoSpaceDE w:val="0"/>
              <w:autoSpaceDN w:val="0"/>
              <w:snapToGrid w:val="0"/>
              <w:spacing w:line="358" w:lineRule="auto"/>
              <w:ind w:right="-154"/>
              <w:textAlignment w:val="bottom"/>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帐号：</w:t>
            </w:r>
          </w:p>
        </w:tc>
        <w:tc>
          <w:tcPr>
            <w:tcW w:w="4643" w:type="dxa"/>
            <w:noWrap w:val="0"/>
            <w:vAlign w:val="top"/>
          </w:tcPr>
          <w:p w14:paraId="07A8E833">
            <w:pPr>
              <w:widowControl/>
              <w:autoSpaceDE w:val="0"/>
              <w:autoSpaceDN w:val="0"/>
              <w:snapToGrid w:val="0"/>
              <w:spacing w:line="358" w:lineRule="auto"/>
              <w:ind w:right="-154"/>
              <w:textAlignment w:val="bottom"/>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乙方名称</w:t>
            </w:r>
            <w:r>
              <w:rPr>
                <w:rFonts w:hint="eastAsia" w:asciiTheme="minorEastAsia" w:hAnsiTheme="minorEastAsia" w:eastAsiaTheme="minorEastAsia" w:cstheme="minorEastAsia"/>
                <w:spacing w:val="-20"/>
                <w:kern w:val="0"/>
                <w:sz w:val="24"/>
                <w:szCs w:val="24"/>
                <w:highlight w:val="none"/>
              </w:rPr>
              <w:t>（盖章）</w:t>
            </w:r>
            <w:r>
              <w:rPr>
                <w:rFonts w:hint="eastAsia" w:asciiTheme="minorEastAsia" w:hAnsiTheme="minorEastAsia" w:eastAsiaTheme="minorEastAsia" w:cstheme="minorEastAsia"/>
                <w:kern w:val="0"/>
                <w:sz w:val="24"/>
                <w:szCs w:val="24"/>
                <w:highlight w:val="none"/>
              </w:rPr>
              <w:t>:</w:t>
            </w:r>
          </w:p>
          <w:p w14:paraId="12BF28C2">
            <w:pPr>
              <w:widowControl/>
              <w:autoSpaceDE w:val="0"/>
              <w:autoSpaceDN w:val="0"/>
              <w:snapToGrid w:val="0"/>
              <w:spacing w:line="358" w:lineRule="auto"/>
              <w:ind w:right="-154"/>
              <w:textAlignment w:val="bottom"/>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地址：</w:t>
            </w:r>
          </w:p>
          <w:p w14:paraId="5320AE42">
            <w:pPr>
              <w:widowControl/>
              <w:autoSpaceDE w:val="0"/>
              <w:autoSpaceDN w:val="0"/>
              <w:snapToGrid w:val="0"/>
              <w:spacing w:line="358" w:lineRule="auto"/>
              <w:ind w:right="-154"/>
              <w:textAlignment w:val="bottom"/>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代表人（签字）：</w:t>
            </w:r>
          </w:p>
          <w:p w14:paraId="5E3608A5">
            <w:pPr>
              <w:widowControl/>
              <w:autoSpaceDE w:val="0"/>
              <w:autoSpaceDN w:val="0"/>
              <w:snapToGrid w:val="0"/>
              <w:spacing w:line="358" w:lineRule="auto"/>
              <w:ind w:right="-154"/>
              <w:textAlignment w:val="bottom"/>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电话：</w:t>
            </w:r>
          </w:p>
          <w:p w14:paraId="691DE39A">
            <w:pPr>
              <w:widowControl/>
              <w:autoSpaceDE w:val="0"/>
              <w:autoSpaceDN w:val="0"/>
              <w:snapToGrid w:val="0"/>
              <w:spacing w:line="358" w:lineRule="auto"/>
              <w:ind w:right="-154"/>
              <w:textAlignment w:val="bottom"/>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开户银行：</w:t>
            </w:r>
          </w:p>
          <w:p w14:paraId="5BBFB4D0">
            <w:pPr>
              <w:widowControl/>
              <w:autoSpaceDE w:val="0"/>
              <w:autoSpaceDN w:val="0"/>
              <w:snapToGrid w:val="0"/>
              <w:spacing w:line="358" w:lineRule="auto"/>
              <w:ind w:right="-154"/>
              <w:textAlignment w:val="bottom"/>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帐号：</w:t>
            </w:r>
          </w:p>
        </w:tc>
      </w:tr>
    </w:tbl>
    <w:p w14:paraId="3C0BB3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0269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2025-09-02T09:26:28Z</dcterms:created>
  <dc:creator>PC</dc:creator>
  <cp:lastModifiedBy>doit</cp:lastModifiedBy>
  <dcterms:modified xsi:type="dcterms:W3CDTF">2025-09-02T09:26:48Z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eyJoZGlkIjoiMWZlOGMwODkwNzQyMDY3YmQ2M2QxOWMzOTg5YjY5YjAiLCJ1c2VySWQiOiI1NDQyNTk1OTUifQ==</vt:lpwstr>
  </property>
  <property fmtid="{D5CDD505-2E9C-101B-9397-08002B2CF9AE}" pid="4" name="ICV">
    <vt:lpwstr>32C44837160841D3A9521EDC6F868B70_12</vt:lpwstr>
  </property>
</Properties>
</file>