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BD6453">
      <w:pPr>
        <w:adjustRightInd w:val="0"/>
        <w:snapToGrid w:val="0"/>
        <w:spacing w:line="288" w:lineRule="auto"/>
        <w:ind w:left="238"/>
        <w:jc w:val="center"/>
        <w:outlineLvl w:val="0"/>
        <w:rPr>
          <w:rFonts w:ascii="宋体" w:hAnsi="宋体"/>
          <w:b/>
          <w:bCs/>
          <w:sz w:val="32"/>
          <w:szCs w:val="32"/>
          <w:highlight w:val="none"/>
        </w:rPr>
      </w:pPr>
      <w:bookmarkStart w:id="3" w:name="_GoBack"/>
      <w:bookmarkEnd w:id="3"/>
      <w:r>
        <w:rPr>
          <w:rFonts w:hint="eastAsia" w:ascii="宋体" w:hAnsi="宋体"/>
          <w:b/>
          <w:bCs/>
          <w:sz w:val="32"/>
          <w:szCs w:val="32"/>
          <w:highlight w:val="none"/>
        </w:rPr>
        <w:t>采购需求</w:t>
      </w:r>
    </w:p>
    <w:p w14:paraId="21637093">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一</w:t>
      </w:r>
      <w:r>
        <w:rPr>
          <w:rFonts w:ascii="宋体" w:hAnsi="宋体"/>
          <w:b/>
          <w:sz w:val="21"/>
          <w:szCs w:val="21"/>
          <w:highlight w:val="none"/>
        </w:rPr>
        <w:t>、</w:t>
      </w:r>
      <w:r>
        <w:rPr>
          <w:rFonts w:hint="eastAsia" w:ascii="宋体" w:hAnsi="宋体"/>
          <w:b/>
          <w:sz w:val="21"/>
          <w:szCs w:val="21"/>
          <w:highlight w:val="none"/>
        </w:rPr>
        <w:t>为落实政府采购政策需满足的要求：</w:t>
      </w:r>
    </w:p>
    <w:tbl>
      <w:tblPr>
        <w:tblStyle w:val="3"/>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0860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AD12611">
            <w:pPr>
              <w:adjustRightInd w:val="0"/>
              <w:snapToGrid w:val="0"/>
              <w:spacing w:line="288" w:lineRule="auto"/>
              <w:jc w:val="center"/>
              <w:rPr>
                <w:rFonts w:ascii="宋体" w:hAnsi="宋体" w:cs="宋体"/>
                <w:b/>
                <w:bCs/>
                <w:sz w:val="21"/>
                <w:szCs w:val="21"/>
                <w:highlight w:val="none"/>
              </w:rPr>
            </w:pPr>
            <w:bookmarkStart w:id="0" w:name="_Hlk45005599"/>
            <w:r>
              <w:rPr>
                <w:rFonts w:hint="eastAsia" w:ascii="宋体" w:hAnsi="宋体" w:cs="宋体"/>
                <w:b/>
                <w:bCs/>
                <w:sz w:val="21"/>
                <w:szCs w:val="21"/>
                <w:highlight w:val="none"/>
              </w:rPr>
              <w:t>序号</w:t>
            </w:r>
          </w:p>
        </w:tc>
        <w:tc>
          <w:tcPr>
            <w:tcW w:w="3256" w:type="dxa"/>
            <w:noWrap w:val="0"/>
            <w:vAlign w:val="center"/>
          </w:tcPr>
          <w:p w14:paraId="6DEF76EC">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政策名称</w:t>
            </w:r>
          </w:p>
        </w:tc>
        <w:tc>
          <w:tcPr>
            <w:tcW w:w="5529" w:type="dxa"/>
            <w:noWrap w:val="0"/>
            <w:vAlign w:val="center"/>
          </w:tcPr>
          <w:p w14:paraId="6F503F4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内容</w:t>
            </w:r>
          </w:p>
        </w:tc>
      </w:tr>
      <w:tr w14:paraId="685E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662924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1</w:t>
            </w:r>
          </w:p>
        </w:tc>
        <w:tc>
          <w:tcPr>
            <w:tcW w:w="3256" w:type="dxa"/>
            <w:noWrap w:val="0"/>
            <w:vAlign w:val="center"/>
          </w:tcPr>
          <w:p w14:paraId="04F13922">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政府采购进口产品</w:t>
            </w:r>
          </w:p>
        </w:tc>
        <w:tc>
          <w:tcPr>
            <w:tcW w:w="5529" w:type="dxa"/>
            <w:noWrap w:val="0"/>
            <w:vAlign w:val="center"/>
          </w:tcPr>
          <w:p w14:paraId="526B71A0">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允许采购进口产品</w:t>
            </w:r>
          </w:p>
        </w:tc>
      </w:tr>
      <w:tr w14:paraId="7067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7A1C5A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2</w:t>
            </w:r>
          </w:p>
        </w:tc>
        <w:tc>
          <w:tcPr>
            <w:tcW w:w="3256" w:type="dxa"/>
            <w:noWrap w:val="0"/>
            <w:vAlign w:val="center"/>
          </w:tcPr>
          <w:p w14:paraId="4485A041">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政府强制采购节能产品</w:t>
            </w:r>
          </w:p>
        </w:tc>
        <w:tc>
          <w:tcPr>
            <w:tcW w:w="5529" w:type="dxa"/>
            <w:noWrap w:val="0"/>
            <w:vAlign w:val="center"/>
          </w:tcPr>
          <w:p w14:paraId="5FED1FD7">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05CA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3F6D02C0">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3</w:t>
            </w:r>
          </w:p>
        </w:tc>
        <w:tc>
          <w:tcPr>
            <w:tcW w:w="3256" w:type="dxa"/>
            <w:noWrap w:val="0"/>
            <w:vAlign w:val="center"/>
          </w:tcPr>
          <w:p w14:paraId="33B3E7AB">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政府优先采购节能、环保产品</w:t>
            </w:r>
          </w:p>
        </w:tc>
        <w:tc>
          <w:tcPr>
            <w:tcW w:w="5529" w:type="dxa"/>
            <w:noWrap w:val="0"/>
            <w:vAlign w:val="center"/>
          </w:tcPr>
          <w:p w14:paraId="354ADAC2">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2A03F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F045DA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4</w:t>
            </w:r>
          </w:p>
        </w:tc>
        <w:tc>
          <w:tcPr>
            <w:tcW w:w="3256" w:type="dxa"/>
            <w:noWrap w:val="0"/>
            <w:vAlign w:val="center"/>
          </w:tcPr>
          <w:p w14:paraId="3FEC59BE">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16"/>
                <w:highlight w:val="none"/>
              </w:rPr>
              <w:t>政府采购支持科技创新</w:t>
            </w:r>
          </w:p>
        </w:tc>
        <w:tc>
          <w:tcPr>
            <w:tcW w:w="5529" w:type="dxa"/>
            <w:noWrap w:val="0"/>
            <w:vAlign w:val="center"/>
          </w:tcPr>
          <w:p w14:paraId="119A56D2">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21"/>
                <w:highlight w:val="none"/>
              </w:rPr>
              <w:t>不适用</w:t>
            </w:r>
          </w:p>
        </w:tc>
      </w:tr>
      <w:tr w14:paraId="57E6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27A510F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5</w:t>
            </w:r>
          </w:p>
        </w:tc>
        <w:tc>
          <w:tcPr>
            <w:tcW w:w="3256" w:type="dxa"/>
            <w:noWrap w:val="0"/>
            <w:vAlign w:val="center"/>
          </w:tcPr>
          <w:p w14:paraId="004481D4">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5529" w:type="dxa"/>
            <w:noWrap w:val="0"/>
            <w:vAlign w:val="center"/>
          </w:tcPr>
          <w:p w14:paraId="6BBA1E86">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p w14:paraId="1B264234">
            <w:pPr>
              <w:adjustRightInd w:val="0"/>
              <w:snapToGrid w:val="0"/>
              <w:spacing w:line="288" w:lineRule="auto"/>
              <w:jc w:val="left"/>
              <w:rPr>
                <w:rFonts w:hint="eastAsia" w:ascii="宋体" w:hAnsi="宋体"/>
                <w:b/>
                <w:bCs/>
                <w:color w:val="auto"/>
                <w:sz w:val="21"/>
                <w:szCs w:val="21"/>
                <w:highlight w:val="none"/>
              </w:rPr>
            </w:pPr>
            <w:r>
              <w:rPr>
                <w:rFonts w:hint="eastAsia" w:ascii="宋体" w:hAnsi="宋体"/>
                <w:b/>
                <w:bCs/>
                <w:color w:val="auto"/>
                <w:sz w:val="21"/>
                <w:szCs w:val="21"/>
                <w:highlight w:val="none"/>
              </w:rPr>
              <w:t>本项目属性为：货物</w:t>
            </w:r>
          </w:p>
          <w:p w14:paraId="1DACF073">
            <w:pPr>
              <w:adjustRightInd w:val="0"/>
              <w:snapToGrid w:val="0"/>
              <w:spacing w:line="288" w:lineRule="auto"/>
              <w:jc w:val="left"/>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采购标的对应的中小企业划分标准所属行业：</w:t>
            </w:r>
            <w:r>
              <w:rPr>
                <w:rFonts w:hint="eastAsia" w:ascii="宋体" w:hAnsi="宋体"/>
                <w:b/>
                <w:bCs/>
                <w:color w:val="auto"/>
                <w:sz w:val="21"/>
                <w:szCs w:val="21"/>
                <w:highlight w:val="none"/>
                <w:lang w:val="en-US" w:eastAsia="zh-CN"/>
              </w:rPr>
              <w:t>工业</w:t>
            </w:r>
          </w:p>
          <w:p w14:paraId="545B4F6E">
            <w:pPr>
              <w:adjustRightInd w:val="0"/>
              <w:snapToGrid w:val="0"/>
              <w:spacing w:line="288" w:lineRule="auto"/>
              <w:jc w:val="left"/>
              <w:rPr>
                <w:rFonts w:ascii="宋体" w:hAnsi="宋体" w:cs="宋体"/>
                <w:b/>
                <w:bCs/>
                <w:color w:val="auto"/>
                <w:sz w:val="21"/>
                <w:szCs w:val="21"/>
                <w:highlight w:val="none"/>
              </w:rPr>
            </w:pPr>
            <w:r>
              <w:rPr>
                <w:rFonts w:hint="eastAsia" w:ascii="宋体" w:hAnsi="宋体"/>
                <w:b/>
                <w:bCs/>
                <w:color w:val="auto"/>
                <w:sz w:val="21"/>
                <w:szCs w:val="21"/>
                <w:highlight w:val="none"/>
              </w:rPr>
              <w:t>中小企业划型标准：</w:t>
            </w:r>
            <w:r>
              <w:rPr>
                <w:rFonts w:hint="eastAsia" w:ascii="宋体" w:hAnsi="宋体"/>
                <w:b w:val="0"/>
                <w:bCs w:val="0"/>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EB4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F0F6DE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6</w:t>
            </w:r>
          </w:p>
        </w:tc>
        <w:tc>
          <w:tcPr>
            <w:tcW w:w="3256" w:type="dxa"/>
            <w:noWrap w:val="0"/>
            <w:vAlign w:val="center"/>
          </w:tcPr>
          <w:p w14:paraId="1ECBE725">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5529" w:type="dxa"/>
            <w:noWrap w:val="0"/>
            <w:vAlign w:val="center"/>
          </w:tcPr>
          <w:p w14:paraId="0ABAF78B">
            <w:pPr>
              <w:adjustRightInd w:val="0"/>
              <w:snapToGrid w:val="0"/>
              <w:spacing w:line="288" w:lineRule="auto"/>
              <w:jc w:val="left"/>
              <w:rPr>
                <w:rFonts w:ascii="宋体" w:hAnsi="宋体"/>
                <w:b/>
                <w:bCs/>
                <w:color w:val="auto"/>
                <w:sz w:val="21"/>
                <w:szCs w:val="21"/>
                <w:highlight w:val="none"/>
              </w:rPr>
            </w:pPr>
            <w:r>
              <w:rPr>
                <w:rFonts w:hint="eastAsia" w:ascii="宋体" w:hAnsi="宋体" w:cs="宋体"/>
                <w:color w:val="auto"/>
                <w:sz w:val="21"/>
                <w:szCs w:val="21"/>
                <w:highlight w:val="none"/>
              </w:rPr>
              <w:t>提供材料详见招标文件第六章“报价文件”</w:t>
            </w:r>
          </w:p>
        </w:tc>
      </w:tr>
      <w:tr w14:paraId="16D2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617432D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7</w:t>
            </w:r>
          </w:p>
        </w:tc>
        <w:tc>
          <w:tcPr>
            <w:tcW w:w="3256" w:type="dxa"/>
            <w:noWrap w:val="0"/>
            <w:vAlign w:val="center"/>
          </w:tcPr>
          <w:p w14:paraId="52E2FB82">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5529" w:type="dxa"/>
            <w:noWrap w:val="0"/>
            <w:vAlign w:val="center"/>
          </w:tcPr>
          <w:p w14:paraId="5100C933">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bookmarkEnd w:id="0"/>
    </w:tbl>
    <w:p w14:paraId="3BD6F9BB">
      <w:pPr>
        <w:adjustRightInd w:val="0"/>
        <w:snapToGrid w:val="0"/>
        <w:spacing w:line="288" w:lineRule="auto"/>
        <w:rPr>
          <w:rFonts w:ascii="宋体" w:hAnsi="宋体"/>
          <w:sz w:val="21"/>
          <w:szCs w:val="21"/>
          <w:highlight w:val="none"/>
        </w:rPr>
      </w:pPr>
    </w:p>
    <w:p w14:paraId="0EB836AF">
      <w:pPr>
        <w:adjustRightInd w:val="0"/>
        <w:snapToGrid w:val="0"/>
        <w:spacing w:line="288" w:lineRule="auto"/>
        <w:outlineLvl w:val="1"/>
        <w:rPr>
          <w:rFonts w:ascii="宋体" w:hAnsi="宋体"/>
          <w:b/>
          <w:sz w:val="21"/>
          <w:szCs w:val="21"/>
          <w:highlight w:val="none"/>
        </w:rPr>
      </w:pPr>
      <w:r>
        <w:rPr>
          <w:rFonts w:hint="eastAsia" w:ascii="宋体" w:hAnsi="宋体"/>
          <w:b/>
          <w:sz w:val="21"/>
          <w:szCs w:val="21"/>
          <w:highlight w:val="none"/>
        </w:rPr>
        <w:t>二</w:t>
      </w:r>
      <w:r>
        <w:rPr>
          <w:rFonts w:ascii="宋体" w:hAnsi="宋体"/>
          <w:b/>
          <w:sz w:val="21"/>
          <w:szCs w:val="21"/>
          <w:highlight w:val="none"/>
        </w:rPr>
        <w:t>、</w:t>
      </w:r>
      <w:r>
        <w:rPr>
          <w:rFonts w:hint="eastAsia" w:ascii="宋体" w:hAnsi="宋体"/>
          <w:b/>
          <w:sz w:val="21"/>
          <w:szCs w:val="21"/>
          <w:highlight w:val="none"/>
        </w:rPr>
        <w:t>采购资金的支付方式、时间、条件：</w:t>
      </w:r>
    </w:p>
    <w:tbl>
      <w:tblPr>
        <w:tblStyle w:val="3"/>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231BF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42C87088">
            <w:pPr>
              <w:adjustRightInd w:val="0"/>
              <w:snapToGrid w:val="0"/>
              <w:spacing w:line="288" w:lineRule="auto"/>
              <w:jc w:val="center"/>
              <w:rPr>
                <w:rFonts w:ascii="宋体" w:hAnsi="宋体"/>
                <w:b/>
                <w:spacing w:val="-6"/>
                <w:sz w:val="21"/>
                <w:szCs w:val="21"/>
                <w:highlight w:val="none"/>
              </w:rPr>
            </w:pPr>
            <w:bookmarkStart w:id="1" w:name="_Hlk45005608"/>
            <w:r>
              <w:rPr>
                <w:rFonts w:hint="eastAsia" w:ascii="宋体" w:hAnsi="宋体"/>
                <w:b/>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noWrap w:val="0"/>
            <w:vAlign w:val="center"/>
          </w:tcPr>
          <w:p w14:paraId="1EEA420D">
            <w:pPr>
              <w:autoSpaceDE w:val="0"/>
              <w:autoSpaceDN w:val="0"/>
              <w:adjustRightInd w:val="0"/>
              <w:snapToGrid w:val="0"/>
              <w:spacing w:line="288" w:lineRule="auto"/>
              <w:jc w:val="left"/>
              <w:rPr>
                <w:rFonts w:ascii="宋体" w:hAnsi="宋体" w:cs="宋体"/>
                <w:spacing w:val="-6"/>
                <w:kern w:val="0"/>
                <w:sz w:val="21"/>
                <w:szCs w:val="21"/>
                <w:highlight w:val="none"/>
              </w:rPr>
            </w:pPr>
            <w:r>
              <w:rPr>
                <w:rFonts w:ascii="宋体" w:hAnsi="宋体" w:cs="宋体"/>
                <w:spacing w:val="-6"/>
                <w:kern w:val="0"/>
                <w:sz w:val="21"/>
                <w:szCs w:val="21"/>
                <w:highlight w:val="none"/>
              </w:rPr>
              <w:t>1、</w:t>
            </w:r>
            <w:r>
              <w:rPr>
                <w:rFonts w:hint="eastAsia" w:ascii="宋体" w:hAnsi="宋体" w:cs="宋体"/>
                <w:spacing w:val="-6"/>
                <w:kern w:val="0"/>
                <w:sz w:val="21"/>
                <w:szCs w:val="21"/>
                <w:highlight w:val="none"/>
              </w:rPr>
              <w:t>货款支付方式：</w:t>
            </w:r>
          </w:p>
          <w:p w14:paraId="1D04EB7A">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(1)国产设备及境内直接供货的进口设备:货到经安装调试,用户认定合格后，凭用户出具的安装调试报告支付90%货款(如供应商支付10%履约保证金，付全款。保证金在验收后无息退还);验收合格后凭用户出具的验收报告支付10%货款。</w:t>
            </w:r>
          </w:p>
          <w:p w14:paraId="046804E7">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(2)境外供货的设备，在外贸公司签订外贸合同、办出免表后，如外贸公司已开出信用证或境外公司出具一个月内发货说明后，由需方向外贸公司付全款:外贸公司凭装运单支付境外公司90%货款(如供应商支付10%履约保证金，付全款。保证金在验收后无息退还);验收合格后凭用户出具的验收报告支付尾款。</w:t>
            </w:r>
          </w:p>
          <w:p w14:paraId="26536970">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2、货款的结算：</w:t>
            </w:r>
          </w:p>
          <w:p w14:paraId="5F1C6041">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国产设备及境内直接供货的进口设备货款由需方负责支付。</w:t>
            </w:r>
          </w:p>
          <w:p w14:paraId="0259249B">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开票信息：开具增值税专用发票；</w:t>
            </w:r>
          </w:p>
          <w:p w14:paraId="20294C70">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抬头：浙江大学</w:t>
            </w:r>
          </w:p>
          <w:p w14:paraId="154F8E98">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纳税人识别号：12100000470095016Q</w:t>
            </w:r>
          </w:p>
          <w:p w14:paraId="05B008F7">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地址：杭州市余杭塘路866号，电话88981919</w:t>
            </w:r>
          </w:p>
          <w:p w14:paraId="1EEA1ECC">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开户行：农行杭州市浙大支行紫金港支行</w:t>
            </w:r>
          </w:p>
          <w:p w14:paraId="1E9DD7CF">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账号：19042201040000014</w:t>
            </w:r>
          </w:p>
          <w:p w14:paraId="3566DCBE">
            <w:pPr>
              <w:autoSpaceDE w:val="0"/>
              <w:autoSpaceDN w:val="0"/>
              <w:adjustRightInd w:val="0"/>
              <w:snapToGrid w:val="0"/>
              <w:spacing w:line="288" w:lineRule="auto"/>
              <w:jc w:val="left"/>
              <w:rPr>
                <w:rFonts w:hint="eastAsia" w:ascii="宋体" w:hAnsi="宋体" w:eastAsia="宋体" w:cs="宋体"/>
                <w:spacing w:val="-6"/>
                <w:kern w:val="0"/>
                <w:sz w:val="21"/>
                <w:szCs w:val="21"/>
                <w:highlight w:val="none"/>
                <w:lang w:val="en-US" w:eastAsia="zh-CN" w:bidi="ar-SA"/>
              </w:rPr>
            </w:pPr>
            <w:r>
              <w:rPr>
                <w:rFonts w:hint="eastAsia" w:ascii="宋体" w:hAnsi="宋体" w:cs="宋体"/>
                <w:spacing w:val="-6"/>
                <w:kern w:val="0"/>
                <w:sz w:val="21"/>
                <w:szCs w:val="21"/>
                <w:highlight w:val="none"/>
              </w:rPr>
              <w:t>行号：103331004223</w:t>
            </w:r>
          </w:p>
        </w:tc>
      </w:tr>
      <w:bookmarkEnd w:id="1"/>
    </w:tbl>
    <w:p w14:paraId="220164FD">
      <w:pPr>
        <w:adjustRightInd w:val="0"/>
        <w:snapToGrid w:val="0"/>
        <w:spacing w:line="288" w:lineRule="auto"/>
        <w:ind w:left="238" w:hanging="238" w:hangingChars="113"/>
        <w:rPr>
          <w:rFonts w:ascii="宋体" w:hAnsi="宋体"/>
          <w:b/>
          <w:sz w:val="21"/>
          <w:szCs w:val="21"/>
          <w:highlight w:val="none"/>
        </w:rPr>
      </w:pPr>
    </w:p>
    <w:p w14:paraId="403A740C">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三</w:t>
      </w:r>
      <w:r>
        <w:rPr>
          <w:rFonts w:ascii="宋体" w:hAnsi="宋体"/>
          <w:b/>
          <w:sz w:val="21"/>
          <w:szCs w:val="21"/>
          <w:highlight w:val="none"/>
        </w:rPr>
        <w:t>、</w:t>
      </w:r>
      <w:r>
        <w:rPr>
          <w:rFonts w:hint="eastAsia" w:ascii="宋体" w:hAnsi="宋体"/>
          <w:b/>
          <w:sz w:val="21"/>
          <w:szCs w:val="21"/>
          <w:highlight w:val="none"/>
        </w:rPr>
        <w:t>服务</w:t>
      </w:r>
      <w:r>
        <w:rPr>
          <w:rFonts w:ascii="宋体" w:hAnsi="宋体"/>
          <w:b/>
          <w:sz w:val="21"/>
          <w:szCs w:val="21"/>
          <w:highlight w:val="none"/>
        </w:rPr>
        <w:t>要求</w:t>
      </w:r>
      <w:r>
        <w:rPr>
          <w:rFonts w:hint="eastAsia" w:ascii="宋体" w:hAnsi="宋体"/>
          <w:b/>
          <w:spacing w:val="-6"/>
          <w:sz w:val="21"/>
          <w:szCs w:val="21"/>
          <w:highlight w:val="none"/>
        </w:rPr>
        <w:t>（技术要求里另有注明的以技术要求为准）</w:t>
      </w:r>
      <w:r>
        <w:rPr>
          <w:rFonts w:ascii="宋体" w:hAnsi="宋体"/>
          <w:b/>
          <w:sz w:val="21"/>
          <w:szCs w:val="21"/>
          <w:highlight w:val="none"/>
        </w:rPr>
        <w:t>：</w:t>
      </w:r>
    </w:p>
    <w:tbl>
      <w:tblPr>
        <w:tblStyle w:val="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58207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1E72B5A4">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733AD56F">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合同签订后3个月内交付至用户指定地点</w:t>
            </w:r>
          </w:p>
        </w:tc>
      </w:tr>
      <w:tr w14:paraId="1245F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6818073">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0FAB363">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采购人指定地点</w:t>
            </w:r>
          </w:p>
        </w:tc>
      </w:tr>
      <w:tr w14:paraId="6C6933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D41E599">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6AB32BE">
            <w:pPr>
              <w:adjustRightInd w:val="0"/>
              <w:snapToGrid w:val="0"/>
              <w:spacing w:line="288" w:lineRule="auto"/>
              <w:rPr>
                <w:rFonts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年，项目验收合格后开始计算。</w:t>
            </w:r>
          </w:p>
        </w:tc>
      </w:tr>
      <w:tr w14:paraId="0F6F3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05"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52AFFAD">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5B9E00C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.在质保期内，供应商应对货物出现的质量及安全问题负责处理解决并承担一切费用。</w:t>
            </w:r>
          </w:p>
          <w:p w14:paraId="0EED877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质保期内出现无法排除的故障，供应商需无条件更换同型号产品。</w:t>
            </w:r>
          </w:p>
          <w:p w14:paraId="5E0BF65A">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质保期满后，供应商继续为采购人服务，仅收取零配件成本费。</w:t>
            </w:r>
          </w:p>
          <w:p w14:paraId="5981954B">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因人为因素出现的故障不在免费保修范围内。</w:t>
            </w:r>
          </w:p>
          <w:p w14:paraId="22E88C9C">
            <w:pPr>
              <w:adjustRightInd w:val="0"/>
              <w:snapToGrid w:val="0"/>
              <w:spacing w:line="288" w:lineRule="auto"/>
              <w:rPr>
                <w:rFonts w:ascii="宋体" w:hAnsi="宋体" w:eastAsia="宋体" w:cs="宋体"/>
                <w:sz w:val="21"/>
                <w:szCs w:val="21"/>
                <w:highlight w:val="none"/>
                <w:u w:val="single"/>
              </w:rPr>
            </w:pPr>
            <w:r>
              <w:rPr>
                <w:rFonts w:ascii="宋体" w:hAnsi="宋体" w:eastAsia="宋体" w:cs="宋体"/>
                <w:sz w:val="21"/>
                <w:szCs w:val="21"/>
                <w:highlight w:val="none"/>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u w:val="none"/>
              </w:rPr>
              <w:t>如在使用过程中发生质量问题，供应商维修响应时间：</w:t>
            </w:r>
            <w:r>
              <w:rPr>
                <w:rFonts w:hint="eastAsia" w:ascii="宋体" w:hAnsi="宋体" w:cs="宋体"/>
                <w:sz w:val="21"/>
                <w:szCs w:val="21"/>
                <w:highlight w:val="none"/>
                <w:u w:val="single"/>
                <w:lang w:val="en-US" w:eastAsia="zh-CN"/>
              </w:rPr>
              <w:t>24</w:t>
            </w:r>
            <w:r>
              <w:rPr>
                <w:rFonts w:hint="eastAsia" w:ascii="宋体" w:hAnsi="宋体" w:eastAsia="宋体" w:cs="宋体"/>
                <w:sz w:val="21"/>
                <w:szCs w:val="21"/>
                <w:highlight w:val="none"/>
                <w:u w:val="single"/>
              </w:rPr>
              <w:t>小时以内；</w:t>
            </w:r>
          </w:p>
          <w:p w14:paraId="364FF0B5">
            <w:pPr>
              <w:adjustRightInd w:val="0"/>
              <w:snapToGrid w:val="0"/>
              <w:spacing w:line="288" w:lineRule="auto"/>
              <w:rPr>
                <w:rFonts w:ascii="宋体" w:hAnsi="宋体" w:eastAsia="宋体" w:cs="宋体"/>
                <w:sz w:val="21"/>
                <w:szCs w:val="21"/>
                <w:highlight w:val="none"/>
                <w:u w:val="single"/>
              </w:rPr>
            </w:pPr>
            <w:r>
              <w:rPr>
                <w:rFonts w:hint="eastAsia" w:ascii="宋体" w:hAnsi="宋体" w:eastAsia="宋体" w:cs="宋体"/>
                <w:sz w:val="21"/>
                <w:szCs w:val="21"/>
                <w:highlight w:val="none"/>
                <w:u w:val="none"/>
              </w:rPr>
              <w:t>电话技术支持时间：</w:t>
            </w:r>
            <w:r>
              <w:rPr>
                <w:rFonts w:hint="eastAsia" w:ascii="宋体" w:hAnsi="宋体" w:cs="宋体"/>
                <w:sz w:val="21"/>
                <w:szCs w:val="21"/>
                <w:highlight w:val="none"/>
                <w:u w:val="single"/>
                <w:lang w:val="en-US" w:eastAsia="zh-CN"/>
              </w:rPr>
              <w:t>4</w:t>
            </w:r>
            <w:r>
              <w:rPr>
                <w:rFonts w:hint="eastAsia" w:ascii="宋体" w:hAnsi="宋体" w:eastAsia="宋体" w:cs="宋体"/>
                <w:sz w:val="21"/>
                <w:szCs w:val="21"/>
                <w:highlight w:val="none"/>
                <w:u w:val="single"/>
              </w:rPr>
              <w:t>小时以内；</w:t>
            </w:r>
          </w:p>
          <w:p w14:paraId="7F1E64D4">
            <w:pPr>
              <w:adjustRightInd w:val="0"/>
              <w:snapToGrid w:val="0"/>
              <w:spacing w:line="288"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若需上门维修，则在：</w:t>
            </w:r>
            <w:r>
              <w:rPr>
                <w:rFonts w:hint="eastAsia" w:ascii="宋体" w:hAnsi="宋体" w:cs="宋体"/>
                <w:sz w:val="21"/>
                <w:szCs w:val="21"/>
                <w:highlight w:val="none"/>
                <w:u w:val="single"/>
                <w:lang w:val="en-US" w:eastAsia="zh-CN"/>
              </w:rPr>
              <w:t>48小时</w:t>
            </w:r>
            <w:r>
              <w:rPr>
                <w:rFonts w:hint="eastAsia" w:ascii="宋体" w:hAnsi="宋体" w:eastAsia="宋体" w:cs="宋体"/>
                <w:sz w:val="21"/>
                <w:szCs w:val="21"/>
                <w:highlight w:val="none"/>
                <w:u w:val="single"/>
              </w:rPr>
              <w:t>内到达现场并进行维修；</w:t>
            </w:r>
          </w:p>
          <w:p w14:paraId="2806E79A">
            <w:pPr>
              <w:adjustRightInd w:val="0"/>
              <w:snapToGrid w:val="0"/>
              <w:spacing w:line="288" w:lineRule="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6.供应商应提供详细的</w:t>
            </w:r>
            <w:r>
              <w:rPr>
                <w:rFonts w:hint="eastAsia" w:ascii="宋体" w:hAnsi="宋体" w:eastAsia="宋体" w:cs="宋体"/>
                <w:sz w:val="21"/>
                <w:szCs w:val="21"/>
                <w:highlight w:val="none"/>
              </w:rPr>
              <w:t>售后服务方案、售后服务承诺、售后服务保障措施。</w:t>
            </w:r>
          </w:p>
        </w:tc>
      </w:tr>
      <w:tr w14:paraId="7DD5A8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7ECE462">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1DDEE890">
            <w:pPr>
              <w:adjustRightInd w:val="0"/>
              <w:snapToGrid w:val="0"/>
              <w:spacing w:line="288" w:lineRule="auto"/>
              <w:rPr>
                <w:rFonts w:hint="eastAsia" w:ascii="宋体" w:hAnsi="宋体" w:eastAsia="宋体" w:cs="Times New Roman"/>
                <w:spacing w:val="-6"/>
                <w:sz w:val="21"/>
                <w:szCs w:val="21"/>
                <w:highlight w:val="none"/>
              </w:rPr>
            </w:pPr>
            <w:r>
              <w:rPr>
                <w:rFonts w:hint="eastAsia" w:ascii="宋体" w:hAnsi="宋体" w:eastAsia="宋体" w:cs="宋体"/>
                <w:sz w:val="21"/>
                <w:szCs w:val="21"/>
                <w:highlight w:val="none"/>
              </w:rPr>
              <w:t>▲1</w:t>
            </w:r>
            <w:r>
              <w:rPr>
                <w:rFonts w:ascii="宋体" w:hAnsi="宋体" w:eastAsia="宋体" w:cs="宋体"/>
                <w:sz w:val="21"/>
                <w:szCs w:val="21"/>
                <w:highlight w:val="none"/>
              </w:rPr>
              <w:t>.</w:t>
            </w:r>
            <w:r>
              <w:rPr>
                <w:rFonts w:hint="eastAsia" w:ascii="宋体" w:hAnsi="宋体" w:eastAsia="宋体" w:cs="宋体"/>
                <w:sz w:val="21"/>
                <w:szCs w:val="21"/>
                <w:highlight w:val="none"/>
              </w:rPr>
              <w:t>供应商应按招标文件规定向采购人提供全新</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原装合格产品，</w:t>
            </w:r>
            <w:r>
              <w:rPr>
                <w:rFonts w:hint="eastAsia" w:ascii="宋体" w:hAnsi="宋体" w:eastAsia="宋体" w:cs="宋体"/>
                <w:sz w:val="21"/>
                <w:szCs w:val="21"/>
                <w:highlight w:val="none"/>
                <w:lang w:val="en-US" w:eastAsia="zh-CN"/>
              </w:rPr>
              <w:t>产品应</w:t>
            </w:r>
            <w:r>
              <w:rPr>
                <w:rFonts w:hint="eastAsia" w:ascii="宋体" w:hAnsi="宋体" w:eastAsia="宋体" w:cs="宋体"/>
                <w:sz w:val="21"/>
                <w:szCs w:val="21"/>
                <w:highlight w:val="none"/>
              </w:rPr>
              <w:t>符合国家法律法规规定。</w:t>
            </w:r>
            <w:r>
              <w:rPr>
                <w:rFonts w:hint="eastAsia" w:ascii="宋体" w:hAnsi="宋体" w:eastAsia="宋体" w:cs="Times New Roman"/>
                <w:spacing w:val="-6"/>
                <w:sz w:val="21"/>
                <w:szCs w:val="21"/>
                <w:highlight w:val="none"/>
              </w:rPr>
              <w:t>供应商应保证所提供的货物或其中任何一部分均不会侵犯第三方的知识产权。</w:t>
            </w:r>
          </w:p>
          <w:p w14:paraId="0A6B195A">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供应商应</w:t>
            </w:r>
            <w:r>
              <w:rPr>
                <w:rFonts w:hint="eastAsia" w:ascii="宋体" w:hAnsi="宋体" w:eastAsia="宋体" w:cs="宋体"/>
                <w:sz w:val="21"/>
                <w:szCs w:val="21"/>
                <w:highlight w:val="none"/>
              </w:rPr>
              <w:t>提供有关的全套技术文件。</w:t>
            </w:r>
          </w:p>
          <w:p w14:paraId="27EFE74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.安装调试：</w:t>
            </w:r>
          </w:p>
          <w:p w14:paraId="4A5A9993">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.1安装地点：采购人指定地点；</w:t>
            </w:r>
          </w:p>
          <w:p w14:paraId="46ECCEF6">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2B9FC1A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.3如供应商委托国内代理（或其他机构）负责安装或配合安装应在签约时指明，但供应商仍要对合同货物及其安装质量负全部责任；</w:t>
            </w:r>
          </w:p>
          <w:p w14:paraId="2DC7D3F7">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.4安装标准：符合我国国家有关技术规范要求和技术标准，所有的软件和硬件必须保证同时安装到位；</w:t>
            </w:r>
          </w:p>
          <w:p w14:paraId="2ADA9B6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.5供应商免费提供合同货物的安装服务；</w:t>
            </w:r>
          </w:p>
          <w:p w14:paraId="2B3FF25D">
            <w:pPr>
              <w:adjustRightInd w:val="0"/>
              <w:snapToGrid w:val="0"/>
              <w:spacing w:line="288" w:lineRule="auto"/>
              <w:rPr>
                <w:rFonts w:hint="eastAsia"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.6供应商在投标文件中应提供安装调试计划</w:t>
            </w:r>
            <w:r>
              <w:rPr>
                <w:rFonts w:hint="eastAsia" w:ascii="宋体" w:hAnsi="宋体" w:eastAsia="宋体" w:cs="宋体"/>
                <w:sz w:val="21"/>
                <w:szCs w:val="21"/>
                <w:highlight w:val="none"/>
                <w:lang w:val="en-US" w:eastAsia="zh-CN"/>
              </w:rPr>
              <w:t>和安装调试方案</w:t>
            </w:r>
            <w:r>
              <w:rPr>
                <w:rFonts w:hint="eastAsia" w:ascii="宋体" w:hAnsi="宋体" w:eastAsia="宋体" w:cs="宋体"/>
                <w:sz w:val="21"/>
                <w:szCs w:val="21"/>
                <w:highlight w:val="none"/>
              </w:rPr>
              <w:t>。</w:t>
            </w:r>
          </w:p>
          <w:p w14:paraId="6E443C44">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.技术支持：</w:t>
            </w:r>
          </w:p>
          <w:p w14:paraId="72A063E2">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供应商应及时免费提供合同货物软件的升级，免费提供合同货物新功能和应用的资料。</w:t>
            </w:r>
          </w:p>
          <w:p w14:paraId="6C3BBCD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.供应商应提供质保期满后主要零部件报价单、质保期满后维护费、软件升级及其相关服务内容；</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rPr>
              <w:t>产品相关配件、附件、备品备件及耗材的准备和保障措施、消耗水平和成本</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w:t>
            </w:r>
          </w:p>
        </w:tc>
      </w:tr>
      <w:tr w14:paraId="2EC49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384B641">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0581A1F4">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eastAsia="zh-CN"/>
              </w:rPr>
              <w:t>要求原厂</w:t>
            </w:r>
            <w:r>
              <w:rPr>
                <w:rFonts w:hint="eastAsia" w:ascii="宋体" w:hAnsi="宋体" w:cs="宋体"/>
                <w:sz w:val="21"/>
                <w:szCs w:val="21"/>
                <w:highlight w:val="none"/>
                <w:lang w:val="en-US" w:eastAsia="zh-CN"/>
              </w:rPr>
              <w:t>或</w:t>
            </w:r>
            <w:r>
              <w:rPr>
                <w:rFonts w:hint="eastAsia" w:ascii="宋体" w:hAnsi="宋体" w:cs="宋体"/>
                <w:sz w:val="21"/>
                <w:szCs w:val="21"/>
                <w:highlight w:val="none"/>
                <w:lang w:eastAsia="zh-CN"/>
              </w:rPr>
              <w:t>授权维修机构</w:t>
            </w:r>
            <w:r>
              <w:rPr>
                <w:rFonts w:hint="eastAsia" w:ascii="宋体" w:hAnsi="宋体" w:eastAsia="宋体" w:cs="宋体"/>
                <w:sz w:val="21"/>
                <w:szCs w:val="21"/>
                <w:highlight w:val="none"/>
              </w:rPr>
              <w:t>对采购人的操作人员、维修人员免费进行培训；</w:t>
            </w:r>
          </w:p>
          <w:p w14:paraId="262E16BE">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2.培训</w:t>
            </w:r>
            <w:r>
              <w:rPr>
                <w:rFonts w:hint="eastAsia" w:ascii="宋体" w:hAnsi="宋体" w:eastAsia="宋体" w:cs="宋体"/>
                <w:sz w:val="21"/>
                <w:szCs w:val="21"/>
                <w:highlight w:val="none"/>
              </w:rPr>
              <w:t>实现方式、时间、地点、人数应在投标文件中详细说明</w:t>
            </w:r>
            <w:r>
              <w:rPr>
                <w:rFonts w:hint="eastAsia" w:ascii="宋体" w:hAnsi="宋体" w:eastAsia="宋体" w:cs="宋体"/>
                <w:sz w:val="21"/>
                <w:szCs w:val="21"/>
                <w:highlight w:val="none"/>
                <w:lang w:eastAsia="zh-CN"/>
              </w:rPr>
              <w:t>；</w:t>
            </w:r>
          </w:p>
          <w:p w14:paraId="6C70A97F">
            <w:pPr>
              <w:adjustRightInd w:val="0"/>
              <w:snapToGrid w:val="0"/>
              <w:spacing w:line="288" w:lineRule="auto"/>
              <w:rPr>
                <w:rFonts w:ascii="宋体" w:hAnsi="宋体" w:eastAsia="宋体" w:cs="宋体"/>
                <w:b/>
                <w:bCs/>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供应商应提供相应的培训计划、培训范围，实施方案</w:t>
            </w:r>
            <w:r>
              <w:rPr>
                <w:rFonts w:hint="eastAsia" w:ascii="宋体" w:hAnsi="宋体" w:cs="宋体"/>
                <w:sz w:val="21"/>
                <w:szCs w:val="21"/>
                <w:highlight w:val="none"/>
                <w:lang w:eastAsia="zh-CN"/>
              </w:rPr>
              <w:t>。</w:t>
            </w:r>
          </w:p>
        </w:tc>
      </w:tr>
      <w:tr w14:paraId="3567A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0C5A8C71">
            <w:pPr>
              <w:adjustRightInd w:val="0"/>
              <w:snapToGrid w:val="0"/>
              <w:spacing w:line="288"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476C7246">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1.验收由采购人负责实施；</w:t>
            </w:r>
          </w:p>
          <w:p w14:paraId="44C27DF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2.验收依据：</w:t>
            </w:r>
          </w:p>
          <w:p w14:paraId="43C36A3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2.1合同、招标文件、投标文件；</w:t>
            </w:r>
          </w:p>
          <w:p w14:paraId="0D0A7DA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2.2供应商提供的技术规格、经采购人认可的合同货物的有效检验文件；</w:t>
            </w:r>
          </w:p>
          <w:p w14:paraId="0424E12C">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2.3供应商投标文件中提供的经采购人认可的合同货物的验收标准（符合中国有关的国家、地方、行业标准）和检测办法及相应检测手段。</w:t>
            </w:r>
          </w:p>
          <w:p w14:paraId="5B9F8AB8">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EBA426A">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4.验收合格的条件：</w:t>
            </w:r>
          </w:p>
          <w:p w14:paraId="4CD3D8EC">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4.1所供货物符合产品标准和合同的要求；</w:t>
            </w:r>
          </w:p>
          <w:p w14:paraId="4C03818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4.2在进行测试和验收过程中发现的问题已被解决并得到采购人的认可；</w:t>
            </w:r>
          </w:p>
          <w:p w14:paraId="1070212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4.3合同中规定的所有货物和材料均已交付；</w:t>
            </w:r>
          </w:p>
          <w:p w14:paraId="0A5F3F1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4.4所供货物已通过使用单位组织的验收；</w:t>
            </w:r>
          </w:p>
          <w:p w14:paraId="7C04E3EF">
            <w:pPr>
              <w:adjustRightInd w:val="0"/>
              <w:snapToGrid w:val="0"/>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4.5所有相关的技术文件及资料均已提交并得到接受。</w:t>
            </w:r>
          </w:p>
        </w:tc>
      </w:tr>
    </w:tbl>
    <w:p w14:paraId="3978BC0C">
      <w:pPr>
        <w:adjustRightInd w:val="0"/>
        <w:snapToGrid w:val="0"/>
        <w:spacing w:line="288" w:lineRule="auto"/>
        <w:ind w:left="238" w:hanging="238" w:hangingChars="113"/>
        <w:rPr>
          <w:rFonts w:ascii="宋体" w:hAnsi="宋体"/>
          <w:b/>
          <w:sz w:val="21"/>
          <w:szCs w:val="21"/>
          <w:highlight w:val="none"/>
        </w:rPr>
      </w:pPr>
    </w:p>
    <w:p w14:paraId="35815BE5">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四</w:t>
      </w:r>
      <w:r>
        <w:rPr>
          <w:rFonts w:ascii="宋体" w:hAnsi="宋体"/>
          <w:b/>
          <w:sz w:val="21"/>
          <w:szCs w:val="21"/>
          <w:highlight w:val="none"/>
        </w:rPr>
        <w:t>、技术要求</w:t>
      </w:r>
    </w:p>
    <w:p w14:paraId="32004C89">
      <w:pPr>
        <w:adjustRightInd w:val="0"/>
        <w:snapToGrid w:val="0"/>
        <w:spacing w:line="288" w:lineRule="auto"/>
        <w:rPr>
          <w:rFonts w:ascii="宋体" w:hAnsi="宋体"/>
          <w:sz w:val="21"/>
          <w:szCs w:val="21"/>
          <w:highlight w:val="none"/>
        </w:rPr>
      </w:pPr>
    </w:p>
    <w:p w14:paraId="0CBAABFA">
      <w:pPr>
        <w:adjustRightInd w:val="0"/>
        <w:snapToGrid w:val="0"/>
        <w:spacing w:line="288" w:lineRule="auto"/>
        <w:rPr>
          <w:rFonts w:ascii="宋体" w:hAnsi="宋体" w:cs="宋体"/>
          <w:b/>
          <w:bCs/>
          <w:sz w:val="21"/>
          <w:szCs w:val="21"/>
          <w:highlight w:val="none"/>
        </w:rPr>
      </w:pPr>
      <w:r>
        <w:rPr>
          <w:rFonts w:hint="eastAsia" w:ascii="宋体" w:hAnsi="宋体" w:cs="宋体"/>
          <w:b/>
          <w:bCs/>
          <w:sz w:val="21"/>
          <w:szCs w:val="21"/>
          <w:highlight w:val="none"/>
        </w:rPr>
        <w:t>1</w:t>
      </w:r>
      <w:r>
        <w:rPr>
          <w:rFonts w:ascii="宋体" w:hAnsi="宋体" w:cs="宋体"/>
          <w:b/>
          <w:bCs/>
          <w:sz w:val="21"/>
          <w:szCs w:val="21"/>
          <w:highlight w:val="none"/>
        </w:rPr>
        <w:t>.</w:t>
      </w:r>
      <w:r>
        <w:rPr>
          <w:rFonts w:hint="eastAsia" w:ascii="宋体" w:hAnsi="宋体" w:cs="宋体"/>
          <w:b/>
          <w:bCs/>
          <w:sz w:val="21"/>
          <w:szCs w:val="21"/>
          <w:highlight w:val="none"/>
        </w:rPr>
        <w:t>需执行的国家相关标准、行业标准、地方标准或者其他标准、规范：</w:t>
      </w:r>
      <w:bookmarkStart w:id="2" w:name="_Hlk94018176"/>
      <w:r>
        <w:rPr>
          <w:rFonts w:hint="eastAsia" w:ascii="宋体" w:hAnsi="宋体" w:cs="宋体"/>
          <w:sz w:val="21"/>
          <w:szCs w:val="21"/>
          <w:highlight w:val="none"/>
        </w:rPr>
        <w:t>如技术要求中未注明需执行的国家相关标准、行业标准、地方标准或者其他标准、规范的，执行最新标准、规范。</w:t>
      </w:r>
      <w:bookmarkEnd w:id="2"/>
    </w:p>
    <w:p w14:paraId="42FED1AB">
      <w:pPr>
        <w:adjustRightInd w:val="0"/>
        <w:snapToGrid w:val="0"/>
        <w:spacing w:line="288" w:lineRule="auto"/>
        <w:rPr>
          <w:rFonts w:ascii="宋体" w:hAnsi="宋体" w:cs="宋体"/>
          <w:b w:val="0"/>
          <w:bCs w:val="0"/>
          <w:sz w:val="21"/>
          <w:szCs w:val="21"/>
          <w:highlight w:val="none"/>
        </w:rPr>
      </w:pPr>
      <w:r>
        <w:rPr>
          <w:rFonts w:ascii="宋体" w:hAnsi="宋体" w:cs="宋体"/>
          <w:b/>
          <w:bCs/>
          <w:sz w:val="21"/>
          <w:szCs w:val="21"/>
          <w:highlight w:val="none"/>
        </w:rPr>
        <w:t>2</w:t>
      </w:r>
      <w:r>
        <w:rPr>
          <w:rFonts w:hint="eastAsia" w:ascii="宋体" w:hAnsi="宋体" w:cs="宋体"/>
          <w:b/>
          <w:bCs/>
          <w:sz w:val="21"/>
          <w:szCs w:val="21"/>
          <w:highlight w:val="none"/>
        </w:rPr>
        <w:t>.需实现的功能或者目标：</w:t>
      </w:r>
      <w:r>
        <w:rPr>
          <w:rFonts w:hint="eastAsia" w:ascii="宋体" w:hAnsi="宋体" w:cs="宋体"/>
          <w:b w:val="0"/>
          <w:bCs w:val="0"/>
          <w:sz w:val="21"/>
          <w:szCs w:val="21"/>
          <w:highlight w:val="none"/>
        </w:rPr>
        <w:t>可用对未知物质分子量检测，物质定性研究</w:t>
      </w:r>
    </w:p>
    <w:p w14:paraId="26F32BA3">
      <w:pPr>
        <w:adjustRightInd w:val="0"/>
        <w:snapToGrid w:val="0"/>
        <w:spacing w:line="288" w:lineRule="auto"/>
        <w:rPr>
          <w:rFonts w:ascii="宋体" w:hAnsi="宋体"/>
          <w:b/>
          <w:bCs/>
          <w:spacing w:val="-4"/>
          <w:sz w:val="21"/>
          <w:szCs w:val="21"/>
          <w:highlight w:val="none"/>
        </w:rPr>
      </w:pPr>
      <w:r>
        <w:rPr>
          <w:rFonts w:ascii="宋体" w:hAnsi="宋体"/>
          <w:b/>
          <w:bCs/>
          <w:spacing w:val="-4"/>
          <w:sz w:val="21"/>
          <w:szCs w:val="21"/>
          <w:highlight w:val="none"/>
        </w:rPr>
        <w:t>3.</w:t>
      </w:r>
      <w:r>
        <w:rPr>
          <w:rFonts w:hint="eastAsia" w:ascii="宋体" w:hAnsi="宋体"/>
          <w:b/>
          <w:bCs/>
          <w:spacing w:val="-4"/>
          <w:sz w:val="21"/>
          <w:szCs w:val="21"/>
          <w:highlight w:val="none"/>
        </w:rPr>
        <w:t>需满足的质量、安全、技术规格、物理特性等要求：</w:t>
      </w:r>
    </w:p>
    <w:tbl>
      <w:tblPr>
        <w:tblStyle w:val="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84"/>
        <w:gridCol w:w="690"/>
        <w:gridCol w:w="654"/>
        <w:gridCol w:w="6073"/>
      </w:tblGrid>
      <w:tr w14:paraId="2689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4645517">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序号</w:t>
            </w:r>
          </w:p>
        </w:tc>
        <w:tc>
          <w:tcPr>
            <w:tcW w:w="1984" w:type="dxa"/>
            <w:vAlign w:val="center"/>
          </w:tcPr>
          <w:p w14:paraId="15A2D95A">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名称</w:t>
            </w:r>
          </w:p>
        </w:tc>
        <w:tc>
          <w:tcPr>
            <w:tcW w:w="690" w:type="dxa"/>
            <w:vAlign w:val="center"/>
          </w:tcPr>
          <w:p w14:paraId="01CDAA0A">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数量</w:t>
            </w:r>
          </w:p>
        </w:tc>
        <w:tc>
          <w:tcPr>
            <w:tcW w:w="654" w:type="dxa"/>
            <w:vAlign w:val="center"/>
          </w:tcPr>
          <w:p w14:paraId="742A7123">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单位</w:t>
            </w:r>
          </w:p>
        </w:tc>
        <w:tc>
          <w:tcPr>
            <w:tcW w:w="6073" w:type="dxa"/>
            <w:vAlign w:val="center"/>
          </w:tcPr>
          <w:p w14:paraId="19C4DD89">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质量、安全、技术规格、物理特性等要求</w:t>
            </w:r>
          </w:p>
        </w:tc>
      </w:tr>
      <w:tr w14:paraId="492C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38AEDA5">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984" w:type="dxa"/>
            <w:vAlign w:val="center"/>
          </w:tcPr>
          <w:p w14:paraId="30EFFF8E">
            <w:pPr>
              <w:adjustRightInd w:val="0"/>
              <w:snapToGrid w:val="0"/>
              <w:spacing w:line="288" w:lineRule="auto"/>
              <w:jc w:val="center"/>
              <w:rPr>
                <w:rFonts w:hint="eastAsia" w:ascii="宋体" w:hAnsi="宋体" w:cs="宋体"/>
                <w:bCs/>
                <w:sz w:val="21"/>
                <w:szCs w:val="21"/>
                <w:highlight w:val="none"/>
              </w:rPr>
            </w:pPr>
            <w:r>
              <w:rPr>
                <w:rFonts w:hint="eastAsia" w:ascii="宋体" w:hAnsi="宋体" w:cs="宋体"/>
                <w:bCs/>
                <w:sz w:val="21"/>
                <w:szCs w:val="21"/>
                <w:highlight w:val="none"/>
              </w:rPr>
              <w:t>气相-质谱联用仪</w:t>
            </w:r>
          </w:p>
          <w:p w14:paraId="343B479C">
            <w:pPr>
              <w:adjustRightInd w:val="0"/>
              <w:snapToGrid w:val="0"/>
              <w:spacing w:line="288" w:lineRule="auto"/>
              <w:jc w:val="center"/>
              <w:rPr>
                <w:rFonts w:hint="eastAsia" w:ascii="宋体" w:hAnsi="宋体" w:cs="宋体"/>
                <w:b/>
                <w:sz w:val="21"/>
                <w:szCs w:val="21"/>
                <w:highlight w:val="none"/>
              </w:rPr>
            </w:pPr>
            <w:r>
              <w:rPr>
                <w:rFonts w:hint="eastAsia" w:ascii="宋体" w:hAnsi="宋体" w:cs="宋体"/>
                <w:b/>
                <w:sz w:val="21"/>
                <w:szCs w:val="21"/>
                <w:highlight w:val="none"/>
              </w:rPr>
              <w:t>（核心产品）</w:t>
            </w:r>
          </w:p>
          <w:p w14:paraId="425C28CE">
            <w:pPr>
              <w:adjustRightInd w:val="0"/>
              <w:snapToGrid w:val="0"/>
              <w:spacing w:line="288" w:lineRule="auto"/>
              <w:jc w:val="center"/>
              <w:rPr>
                <w:rFonts w:hint="eastAsia" w:ascii="宋体" w:hAnsi="宋体" w:cs="宋体"/>
                <w:bCs/>
                <w:sz w:val="21"/>
                <w:szCs w:val="21"/>
                <w:highlight w:val="none"/>
              </w:rPr>
            </w:pPr>
            <w:r>
              <w:rPr>
                <w:rFonts w:hint="eastAsia" w:ascii="宋体" w:hAnsi="宋体" w:cs="宋体"/>
                <w:b/>
                <w:sz w:val="21"/>
                <w:szCs w:val="21"/>
                <w:highlight w:val="none"/>
              </w:rPr>
              <w:t>（允许进口）</w:t>
            </w:r>
          </w:p>
        </w:tc>
        <w:tc>
          <w:tcPr>
            <w:tcW w:w="690" w:type="dxa"/>
            <w:vAlign w:val="center"/>
          </w:tcPr>
          <w:p w14:paraId="3409A40E">
            <w:pPr>
              <w:adjustRightInd w:val="0"/>
              <w:snapToGrid w:val="0"/>
              <w:spacing w:line="288" w:lineRule="auto"/>
              <w:jc w:val="center"/>
              <w:rPr>
                <w:rFonts w:hint="eastAsia" w:ascii="宋体" w:hAnsi="宋体" w:cs="宋体"/>
                <w:sz w:val="21"/>
                <w:szCs w:val="21"/>
                <w:highlight w:val="none"/>
              </w:rPr>
            </w:pPr>
            <w:r>
              <w:rPr>
                <w:rFonts w:hint="eastAsia" w:ascii="宋体" w:hAnsi="宋体" w:cs="宋体"/>
                <w:bCs/>
                <w:sz w:val="21"/>
                <w:szCs w:val="21"/>
                <w:highlight w:val="none"/>
              </w:rPr>
              <w:t>1</w:t>
            </w:r>
          </w:p>
        </w:tc>
        <w:tc>
          <w:tcPr>
            <w:tcW w:w="654" w:type="dxa"/>
            <w:vAlign w:val="center"/>
          </w:tcPr>
          <w:p w14:paraId="63793567">
            <w:pPr>
              <w:adjustRightInd w:val="0"/>
              <w:snapToGrid w:val="0"/>
              <w:spacing w:line="288" w:lineRule="auto"/>
              <w:jc w:val="center"/>
              <w:rPr>
                <w:rFonts w:hint="eastAsia" w:ascii="宋体" w:hAnsi="宋体" w:cs="宋体"/>
                <w:sz w:val="21"/>
                <w:szCs w:val="21"/>
                <w:highlight w:val="none"/>
              </w:rPr>
            </w:pPr>
            <w:r>
              <w:rPr>
                <w:rFonts w:hint="eastAsia" w:ascii="宋体" w:hAnsi="宋体" w:cs="宋体"/>
                <w:bCs/>
                <w:sz w:val="21"/>
                <w:szCs w:val="21"/>
                <w:highlight w:val="none"/>
              </w:rPr>
              <w:t>台</w:t>
            </w:r>
          </w:p>
        </w:tc>
        <w:tc>
          <w:tcPr>
            <w:tcW w:w="6073" w:type="dxa"/>
            <w:vAlign w:val="center"/>
          </w:tcPr>
          <w:p w14:paraId="54EB21F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一．质谱部分</w:t>
            </w:r>
          </w:p>
          <w:p w14:paraId="7839AC2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  基本性能</w:t>
            </w:r>
          </w:p>
          <w:p w14:paraId="3E7BF09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1.1   质量数范围: 1.5 ～ 1000 u</w:t>
            </w:r>
          </w:p>
          <w:p w14:paraId="4C1CF89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1.2   ★灵敏度:EI Scan：1pg 八氟萘OFN m/z 272  S/N ＞ 600 (rms) ；IDL: IDL ≤24 fg（100 fg OFN 8次连续进样，272m/z，峰面积RSD 8%）</w:t>
            </w:r>
          </w:p>
          <w:p w14:paraId="0EB8B73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1.3  分辨率：R≧2M（FWHM)</w:t>
            </w:r>
          </w:p>
          <w:p w14:paraId="61740E2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1.4  质量稳定性：≤±0.1u/48小时 (恒温)</w:t>
            </w:r>
          </w:p>
          <w:p w14:paraId="15A14758">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 xml:space="preserve">1.5  最大扫描速度：10,000 u/sec </w:t>
            </w:r>
          </w:p>
          <w:p w14:paraId="6199F82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1.6 ★采样频率：可达100Hz</w:t>
            </w:r>
          </w:p>
          <w:p w14:paraId="6D5308F8">
            <w:pPr>
              <w:adjustRightInd w:val="0"/>
              <w:snapToGrid w:val="0"/>
              <w:spacing w:line="288" w:lineRule="auto"/>
              <w:jc w:val="left"/>
              <w:rPr>
                <w:rFonts w:hint="eastAsia" w:ascii="宋体" w:hAnsi="宋体" w:cs="宋体"/>
                <w:sz w:val="21"/>
                <w:szCs w:val="21"/>
                <w:highlight w:val="none"/>
              </w:rPr>
            </w:pPr>
          </w:p>
          <w:p w14:paraId="6A17B8C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  离子源</w:t>
            </w:r>
          </w:p>
          <w:p w14:paraId="0D59627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2.1  EI</w:t>
            </w:r>
          </w:p>
          <w:p w14:paraId="17B5AA5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  离子源材质：整体惰性化高灵敏度离子源</w:t>
            </w:r>
          </w:p>
          <w:p w14:paraId="6B6BF90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  离子化能量：10 ～ 200eV</w:t>
            </w:r>
          </w:p>
          <w:p w14:paraId="77E0E758">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2.4  离子源温度：独立控温，140 ～ 350℃</w:t>
            </w:r>
          </w:p>
          <w:p w14:paraId="45B11468">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2.5  灯丝电流：5 ～ 250μA（发射电流）</w:t>
            </w:r>
          </w:p>
          <w:p w14:paraId="2A1D607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  双灯丝设计</w:t>
            </w:r>
          </w:p>
          <w:p w14:paraId="5137384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 xml:space="preserve">2.7  </w:t>
            </w:r>
            <w:r>
              <w:rPr>
                <w:rFonts w:hint="eastAsia" w:ascii="宋体" w:hAnsi="宋体" w:cs="宋体"/>
                <w:bCs/>
                <w:sz w:val="21"/>
                <w:szCs w:val="21"/>
                <w:highlight w:val="none"/>
              </w:rPr>
              <w:t>气相-质谱联用仪</w:t>
            </w:r>
            <w:r>
              <w:rPr>
                <w:rFonts w:hint="eastAsia" w:ascii="宋体" w:hAnsi="宋体" w:cs="宋体"/>
                <w:sz w:val="21"/>
                <w:szCs w:val="21"/>
                <w:highlight w:val="none"/>
              </w:rPr>
              <w:t>接口温度：50 ～ 350℃</w:t>
            </w:r>
          </w:p>
          <w:p w14:paraId="525FB797">
            <w:pPr>
              <w:adjustRightInd w:val="0"/>
              <w:snapToGrid w:val="0"/>
              <w:spacing w:line="288" w:lineRule="auto"/>
              <w:jc w:val="left"/>
              <w:rPr>
                <w:rFonts w:hint="eastAsia" w:ascii="宋体" w:hAnsi="宋体" w:cs="宋体"/>
                <w:sz w:val="21"/>
                <w:szCs w:val="21"/>
                <w:highlight w:val="none"/>
              </w:rPr>
            </w:pPr>
          </w:p>
          <w:p w14:paraId="43154ED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  质量分析器</w:t>
            </w:r>
          </w:p>
          <w:p w14:paraId="393D3CA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3.1  ★配备预四极的高精度全金属四极杆，预四极可转动可清洗打磨，主四极杆可清洗打磨，有效抗污染。</w:t>
            </w:r>
          </w:p>
          <w:p w14:paraId="06E21897">
            <w:pPr>
              <w:pStyle w:val="2"/>
              <w:rPr>
                <w:rFonts w:hint="eastAsia" w:ascii="宋体" w:hAnsi="宋体" w:cs="宋体"/>
                <w:sz w:val="21"/>
                <w:szCs w:val="21"/>
                <w:highlight w:val="none"/>
              </w:rPr>
            </w:pPr>
            <w:r>
              <w:rPr>
                <w:rFonts w:hint="eastAsia" w:ascii="宋体" w:hAnsi="宋体" w:cs="宋体"/>
                <w:sz w:val="21"/>
                <w:szCs w:val="21"/>
                <w:highlight w:val="none"/>
              </w:rPr>
              <w:t>3.2 ★具有快速扫描技术,能够最大限度的减少快速扫描时灵敏度和质谱图正确性的降低。</w:t>
            </w:r>
          </w:p>
          <w:p w14:paraId="08788B8E">
            <w:pPr>
              <w:rPr>
                <w:highlight w:val="none"/>
              </w:rPr>
            </w:pPr>
          </w:p>
          <w:p w14:paraId="63C7592E">
            <w:pPr>
              <w:adjustRightInd w:val="0"/>
              <w:snapToGrid w:val="0"/>
              <w:spacing w:line="288" w:lineRule="auto"/>
              <w:jc w:val="left"/>
              <w:rPr>
                <w:rFonts w:hint="eastAsia" w:ascii="宋体" w:hAnsi="宋体" w:cs="宋体"/>
                <w:sz w:val="21"/>
                <w:szCs w:val="21"/>
                <w:highlight w:val="none"/>
              </w:rPr>
            </w:pPr>
          </w:p>
          <w:p w14:paraId="0656827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  扫描功能:</w:t>
            </w:r>
          </w:p>
          <w:p w14:paraId="0D9DA7B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4.1  扫描功能:</w:t>
            </w:r>
          </w:p>
          <w:p w14:paraId="7C5ECE8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支持全扫描模式(Scan)、选择离子扫描模式(SIM)以及Scan/SIM同时扫描模式。</w:t>
            </w:r>
          </w:p>
          <w:p w14:paraId="5A34763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4.2  在SIM模式下，最大支持64通道 x 128 组。</w:t>
            </w:r>
          </w:p>
          <w:p w14:paraId="2ADCE5DF">
            <w:pPr>
              <w:adjustRightInd w:val="0"/>
              <w:snapToGrid w:val="0"/>
              <w:spacing w:line="288" w:lineRule="auto"/>
              <w:jc w:val="left"/>
              <w:rPr>
                <w:rFonts w:hint="eastAsia" w:ascii="宋体" w:hAnsi="宋体" w:cs="宋体"/>
                <w:sz w:val="21"/>
                <w:szCs w:val="21"/>
                <w:highlight w:val="none"/>
              </w:rPr>
            </w:pPr>
          </w:p>
          <w:p w14:paraId="508F0AA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5  检测系统</w:t>
            </w:r>
          </w:p>
          <w:p w14:paraId="6BA54A8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5.1  二次电子倍增管，配备偏转透镜和±10kV转换打拿极。</w:t>
            </w:r>
          </w:p>
          <w:p w14:paraId="4D27D24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5.2  离轴连续打拿电子倍增器。</w:t>
            </w:r>
          </w:p>
          <w:p w14:paraId="34D4928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5.3  动态范围：8×10</w:t>
            </w:r>
            <w:r>
              <w:rPr>
                <w:rFonts w:hint="eastAsia" w:ascii="宋体" w:hAnsi="宋体" w:cs="宋体"/>
                <w:sz w:val="21"/>
                <w:szCs w:val="21"/>
                <w:highlight w:val="none"/>
                <w:vertAlign w:val="superscript"/>
              </w:rPr>
              <w:t>6</w:t>
            </w:r>
          </w:p>
          <w:p w14:paraId="57D5D4D6">
            <w:pPr>
              <w:adjustRightInd w:val="0"/>
              <w:snapToGrid w:val="0"/>
              <w:spacing w:line="288" w:lineRule="auto"/>
              <w:jc w:val="left"/>
              <w:rPr>
                <w:rFonts w:hint="eastAsia" w:ascii="宋体" w:hAnsi="宋体" w:cs="宋体"/>
                <w:sz w:val="21"/>
                <w:szCs w:val="21"/>
                <w:highlight w:val="none"/>
              </w:rPr>
            </w:pPr>
          </w:p>
          <w:p w14:paraId="05E6E70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  真空系统</w:t>
            </w:r>
          </w:p>
          <w:p w14:paraId="684EFF58">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6.1  高真空：单涡轮分子泵系统（80L/sec）</w:t>
            </w:r>
          </w:p>
          <w:p w14:paraId="74BC51C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6.2  低真空：30L/min（60Hz）机械泵</w:t>
            </w:r>
          </w:p>
          <w:p w14:paraId="05AF7A5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6.3  标准配备皮拉尼真空规</w:t>
            </w:r>
          </w:p>
          <w:p w14:paraId="71318B7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6.4  软件直接监测低真空</w:t>
            </w:r>
          </w:p>
          <w:p w14:paraId="6936411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6.5  柱流量最大可达最大4mL/min（He）</w:t>
            </w:r>
          </w:p>
          <w:p w14:paraId="5D7FCAC0">
            <w:pPr>
              <w:adjustRightInd w:val="0"/>
              <w:snapToGrid w:val="0"/>
              <w:spacing w:line="288" w:lineRule="auto"/>
              <w:jc w:val="left"/>
              <w:rPr>
                <w:rFonts w:hint="eastAsia" w:ascii="宋体" w:hAnsi="宋体" w:cs="宋体"/>
                <w:sz w:val="21"/>
                <w:szCs w:val="21"/>
                <w:highlight w:val="none"/>
              </w:rPr>
            </w:pPr>
          </w:p>
          <w:p w14:paraId="7CE31BF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三．气相色谱部分</w:t>
            </w:r>
          </w:p>
          <w:p w14:paraId="33F9347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  柱温箱</w:t>
            </w:r>
          </w:p>
          <w:p w14:paraId="501F4EE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1.1  柱箱温度：室温以上4℃ ～ 450℃</w:t>
            </w:r>
          </w:p>
          <w:p w14:paraId="1BB2BFF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1.2  程序升温：20阶21平台</w:t>
            </w:r>
          </w:p>
          <w:p w14:paraId="41713BD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1.3  ★最大升温速率：250℃/min，以0.01℃/min增加</w:t>
            </w:r>
          </w:p>
          <w:p w14:paraId="761EBE5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1.4  温度设定精度：0.1℃</w:t>
            </w:r>
          </w:p>
          <w:p w14:paraId="34E7680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1.5  ★控温精度：0.01℃</w:t>
            </w:r>
          </w:p>
          <w:p w14:paraId="38E56C5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1.6  温度稳定性：周围温度每变化1℃，柱温箱温度变化小于0.01℃</w:t>
            </w:r>
          </w:p>
          <w:p w14:paraId="68FF7C8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1.7  冷却速度：从 450 ℃降到 50℃ ≤3.4min</w:t>
            </w:r>
          </w:p>
          <w:p w14:paraId="0E9397A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1.8  具有柱温箱温度的自动保护功能。</w:t>
            </w:r>
          </w:p>
          <w:p w14:paraId="0DC60D1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1.9  最大运行时间：9999.99分钟</w:t>
            </w:r>
          </w:p>
          <w:p w14:paraId="67E64433">
            <w:pPr>
              <w:adjustRightInd w:val="0"/>
              <w:snapToGrid w:val="0"/>
              <w:spacing w:line="288" w:lineRule="auto"/>
              <w:jc w:val="left"/>
              <w:rPr>
                <w:rFonts w:hint="eastAsia" w:ascii="宋体" w:hAnsi="宋体" w:cs="宋体"/>
                <w:sz w:val="21"/>
                <w:szCs w:val="21"/>
                <w:highlight w:val="none"/>
              </w:rPr>
            </w:pPr>
          </w:p>
          <w:p w14:paraId="51992BF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  分流/不分流进样口</w:t>
            </w:r>
          </w:p>
          <w:p w14:paraId="2EBE86D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2.1  最高温度：450℃</w:t>
            </w:r>
          </w:p>
          <w:p w14:paraId="1883864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  ★配备全自动电子流量控制系统，具备室温补偿和自动环境补偿功能支持恒流，恒压，程序增加流速，程序升压及压力脉冲等操作模式以及独特的恒线速度控制功能。</w:t>
            </w:r>
          </w:p>
          <w:p w14:paraId="6D332EB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  标准配备载气节省模式</w:t>
            </w:r>
          </w:p>
          <w:p w14:paraId="583DA8A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2.4  压力设定范围：0 ～ 1035 kPa</w:t>
            </w:r>
          </w:p>
          <w:p w14:paraId="48555FA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2.5  升压速率设定范围：-400 ～ 400 kPa/min</w:t>
            </w:r>
          </w:p>
          <w:p w14:paraId="409DC7F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  压力程序：最大7阶</w:t>
            </w:r>
          </w:p>
          <w:p w14:paraId="0178F75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2.7  ★分流比设定范围：0 ～ 9999.9</w:t>
            </w:r>
          </w:p>
          <w:p w14:paraId="2E0B190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2.8  流量设定范围：0～1250mL/min</w:t>
            </w:r>
          </w:p>
          <w:p w14:paraId="5EE358EB">
            <w:pPr>
              <w:adjustRightInd w:val="0"/>
              <w:snapToGrid w:val="0"/>
              <w:spacing w:line="288" w:lineRule="auto"/>
              <w:jc w:val="left"/>
              <w:rPr>
                <w:rFonts w:hint="eastAsia" w:ascii="宋体" w:hAnsi="宋体" w:cs="宋体"/>
                <w:sz w:val="21"/>
                <w:szCs w:val="21"/>
                <w:highlight w:val="none"/>
              </w:rPr>
            </w:pPr>
          </w:p>
          <w:p w14:paraId="7DDF836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  面板键盘</w:t>
            </w:r>
          </w:p>
          <w:p w14:paraId="13DEEEB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3.1  完全控制及显示所有温度区域和载气流量</w:t>
            </w:r>
          </w:p>
          <w:p w14:paraId="0298513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3.2  完全控制所有检测器功能和检测器气体</w:t>
            </w:r>
          </w:p>
          <w:p w14:paraId="0F5C176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3.3  实时时间程序和系统诊断，在线帮助和记事本记录程序事件</w:t>
            </w:r>
          </w:p>
          <w:p w14:paraId="0EC2BCC2">
            <w:pPr>
              <w:adjustRightInd w:val="0"/>
              <w:snapToGrid w:val="0"/>
              <w:spacing w:line="288" w:lineRule="auto"/>
              <w:jc w:val="left"/>
              <w:rPr>
                <w:rFonts w:hint="eastAsia" w:ascii="宋体" w:hAnsi="宋体" w:cs="宋体"/>
                <w:sz w:val="21"/>
                <w:szCs w:val="21"/>
                <w:highlight w:val="none"/>
              </w:rPr>
            </w:pPr>
          </w:p>
          <w:p w14:paraId="5C39873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  其他</w:t>
            </w:r>
          </w:p>
          <w:p w14:paraId="46FEA2D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4.1  配备节能模式，可在批处理完成后自动运行</w:t>
            </w:r>
          </w:p>
          <w:p w14:paraId="21A8094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4.2  配备150位自动液体进样器</w:t>
            </w:r>
          </w:p>
          <w:p w14:paraId="0E38D80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4.3支持氦气节省模块。</w:t>
            </w:r>
          </w:p>
          <w:p w14:paraId="175F9199">
            <w:pPr>
              <w:adjustRightInd w:val="0"/>
              <w:snapToGrid w:val="0"/>
              <w:spacing w:line="288" w:lineRule="auto"/>
              <w:jc w:val="left"/>
              <w:rPr>
                <w:rFonts w:hint="eastAsia" w:ascii="宋体" w:hAnsi="宋体" w:cs="宋体"/>
                <w:sz w:val="21"/>
                <w:szCs w:val="21"/>
                <w:highlight w:val="none"/>
              </w:rPr>
            </w:pPr>
          </w:p>
          <w:p w14:paraId="50B28528">
            <w:pPr>
              <w:adjustRightInd w:val="0"/>
              <w:snapToGrid w:val="0"/>
              <w:spacing w:line="288" w:lineRule="auto"/>
              <w:jc w:val="left"/>
              <w:rPr>
                <w:rFonts w:hint="eastAsia" w:ascii="宋体" w:hAnsi="宋体" w:cs="宋体"/>
                <w:sz w:val="21"/>
                <w:szCs w:val="21"/>
                <w:highlight w:val="none"/>
              </w:rPr>
            </w:pPr>
          </w:p>
          <w:p w14:paraId="6941260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四  数据处理系统</w:t>
            </w:r>
          </w:p>
          <w:p w14:paraId="498DC3F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  数据采集和文件格式</w:t>
            </w:r>
          </w:p>
          <w:p w14:paraId="25A57BD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仪器支持支持Scan，SIM和FASST（快速自动Scan/SIM同时扫描）数据采集方式。采用一体化的数据结构，利用定量浏览器和数据浏览器可方便的进行分析操作和信息追溯，满足GLP操作规范。</w:t>
            </w:r>
          </w:p>
          <w:p w14:paraId="186D629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 方法创建</w:t>
            </w:r>
          </w:p>
          <w:p w14:paraId="50C646F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★支持Smart SIM功能（自动创建SIM表）、支持COAST功能（自动创建SIM表）和AART功能（基于保留指数的保留时间自动校正）等功能。</w:t>
            </w:r>
          </w:p>
          <w:p w14:paraId="1007A9C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3维护支持</w:t>
            </w:r>
          </w:p>
          <w:p w14:paraId="20FEE85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支持不停机进样口维护功能（用户无需停止真空系统即可进行进样口的维护）和浏览导航功能（引导用户进行仪器的使用和维护等操作）。</w:t>
            </w:r>
          </w:p>
          <w:p w14:paraId="377946E8">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  数据库和方法包</w:t>
            </w:r>
          </w:p>
          <w:p w14:paraId="0791A61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支持NIST库，Wiley库，同时还有多种基于保留指数开发的方法包和数据库。</w:t>
            </w:r>
          </w:p>
          <w:p w14:paraId="7AE7E17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5  谱库检索</w:t>
            </w:r>
          </w:p>
          <w:p w14:paraId="05751E29">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具有相似度检索，指定条件的相似度检索，反检索，索引查询等功能。</w:t>
            </w:r>
          </w:p>
          <w:p w14:paraId="249070D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  质量控制</w:t>
            </w:r>
          </w:p>
          <w:p w14:paraId="7193C8C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具有高精度控制QA/QC功能，支持自动计算信噪比、精密度、回收率、检出限等方法学指标，仪器系统检查功能和用户安全管理功能。</w:t>
            </w:r>
          </w:p>
          <w:p w14:paraId="63456977">
            <w:pPr>
              <w:adjustRightInd w:val="0"/>
              <w:snapToGrid w:val="0"/>
              <w:spacing w:line="288" w:lineRule="auto"/>
              <w:jc w:val="left"/>
              <w:rPr>
                <w:rFonts w:hint="eastAsia" w:ascii="宋体" w:hAnsi="宋体" w:cs="宋体"/>
                <w:sz w:val="21"/>
                <w:szCs w:val="21"/>
                <w:highlight w:val="none"/>
              </w:rPr>
            </w:pPr>
          </w:p>
          <w:p w14:paraId="5D34AA3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配置清单</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不低于以下要求</w:t>
            </w:r>
            <w:r>
              <w:rPr>
                <w:rFonts w:hint="eastAsia" w:ascii="宋体" w:hAnsi="宋体" w:cs="宋体"/>
                <w:sz w:val="21"/>
                <w:szCs w:val="21"/>
                <w:highlight w:val="none"/>
                <w:lang w:eastAsia="zh-CN"/>
              </w:rPr>
              <w:t>）</w:t>
            </w:r>
            <w:r>
              <w:rPr>
                <w:rFonts w:hint="eastAsia" w:ascii="宋体" w:hAnsi="宋体" w:cs="宋体"/>
                <w:sz w:val="21"/>
                <w:szCs w:val="21"/>
                <w:highlight w:val="none"/>
              </w:rPr>
              <w:t>：</w:t>
            </w:r>
          </w:p>
          <w:p w14:paraId="6865A2E9">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1.气质联用仪主机1套；</w:t>
            </w:r>
          </w:p>
          <w:p w14:paraId="6550FCFD">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2.机械泵1套；</w:t>
            </w:r>
          </w:p>
          <w:p w14:paraId="35E96CE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 简体中文工作站1套；</w:t>
            </w:r>
          </w:p>
          <w:p w14:paraId="464586B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 谱谱库1套；</w:t>
            </w:r>
          </w:p>
          <w:p w14:paraId="27A990B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 仪器维护工具包1套；</w:t>
            </w:r>
          </w:p>
          <w:p w14:paraId="1DFEF50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5. 常用耗材包1套；</w:t>
            </w:r>
          </w:p>
          <w:p w14:paraId="0C1405F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 弱极性色谱柱1根；</w:t>
            </w:r>
          </w:p>
          <w:p w14:paraId="17003BD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7. 液体自动进样器1套；</w:t>
            </w:r>
          </w:p>
        </w:tc>
      </w:tr>
      <w:tr w14:paraId="1DD9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D11A434">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984" w:type="dxa"/>
            <w:vAlign w:val="center"/>
          </w:tcPr>
          <w:p w14:paraId="03F6EA10">
            <w:pPr>
              <w:adjustRightInd w:val="0"/>
              <w:snapToGrid w:val="0"/>
              <w:spacing w:line="288" w:lineRule="auto"/>
              <w:jc w:val="center"/>
              <w:rPr>
                <w:rFonts w:hint="eastAsia" w:ascii="宋体" w:hAnsi="宋体" w:cs="宋体"/>
                <w:bCs/>
                <w:sz w:val="21"/>
                <w:szCs w:val="21"/>
                <w:highlight w:val="none"/>
              </w:rPr>
            </w:pPr>
            <w:r>
              <w:rPr>
                <w:rFonts w:hint="eastAsia" w:ascii="宋体" w:hAnsi="宋体" w:cs="宋体"/>
                <w:bCs/>
                <w:sz w:val="21"/>
                <w:szCs w:val="21"/>
                <w:highlight w:val="none"/>
              </w:rPr>
              <w:t>液相切片联用系统</w:t>
            </w:r>
          </w:p>
          <w:p w14:paraId="5C689505">
            <w:pPr>
              <w:adjustRightInd w:val="0"/>
              <w:snapToGrid w:val="0"/>
              <w:spacing w:line="288" w:lineRule="auto"/>
              <w:jc w:val="center"/>
              <w:rPr>
                <w:rFonts w:hint="eastAsia" w:ascii="宋体" w:hAnsi="宋体" w:cs="宋体"/>
                <w:bCs/>
                <w:sz w:val="21"/>
                <w:szCs w:val="21"/>
                <w:highlight w:val="none"/>
              </w:rPr>
            </w:pPr>
            <w:r>
              <w:rPr>
                <w:rFonts w:hint="eastAsia" w:ascii="宋体" w:hAnsi="宋体" w:cs="宋体"/>
                <w:b/>
                <w:sz w:val="21"/>
                <w:szCs w:val="21"/>
                <w:highlight w:val="none"/>
              </w:rPr>
              <w:t>（允许进口）</w:t>
            </w:r>
          </w:p>
        </w:tc>
        <w:tc>
          <w:tcPr>
            <w:tcW w:w="690" w:type="dxa"/>
            <w:vAlign w:val="center"/>
          </w:tcPr>
          <w:p w14:paraId="56C523C1">
            <w:pPr>
              <w:adjustRightInd w:val="0"/>
              <w:snapToGrid w:val="0"/>
              <w:spacing w:line="288" w:lineRule="auto"/>
              <w:jc w:val="center"/>
              <w:rPr>
                <w:rFonts w:hint="eastAsia" w:ascii="宋体" w:hAnsi="宋体" w:cs="宋体"/>
                <w:sz w:val="21"/>
                <w:szCs w:val="21"/>
                <w:highlight w:val="none"/>
              </w:rPr>
            </w:pPr>
            <w:r>
              <w:rPr>
                <w:rFonts w:hint="eastAsia" w:ascii="宋体" w:hAnsi="宋体" w:cs="宋体"/>
                <w:bCs/>
                <w:sz w:val="21"/>
                <w:szCs w:val="21"/>
                <w:highlight w:val="none"/>
              </w:rPr>
              <w:t>1</w:t>
            </w:r>
          </w:p>
        </w:tc>
        <w:tc>
          <w:tcPr>
            <w:tcW w:w="654" w:type="dxa"/>
            <w:vAlign w:val="center"/>
          </w:tcPr>
          <w:p w14:paraId="2B7E67C4">
            <w:pPr>
              <w:adjustRightInd w:val="0"/>
              <w:snapToGrid w:val="0"/>
              <w:spacing w:line="288" w:lineRule="auto"/>
              <w:jc w:val="center"/>
              <w:rPr>
                <w:rFonts w:hint="eastAsia" w:ascii="宋体" w:hAnsi="宋体" w:cs="宋体"/>
                <w:sz w:val="21"/>
                <w:szCs w:val="21"/>
                <w:highlight w:val="none"/>
              </w:rPr>
            </w:pPr>
            <w:r>
              <w:rPr>
                <w:rFonts w:hint="eastAsia" w:ascii="宋体" w:hAnsi="宋体" w:cs="宋体"/>
                <w:bCs/>
                <w:sz w:val="21"/>
                <w:szCs w:val="21"/>
                <w:highlight w:val="none"/>
              </w:rPr>
              <w:t>台</w:t>
            </w:r>
          </w:p>
        </w:tc>
        <w:tc>
          <w:tcPr>
            <w:tcW w:w="6073" w:type="dxa"/>
            <w:vAlign w:val="center"/>
          </w:tcPr>
          <w:p w14:paraId="70B4ECE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液相切片联用系统由1台高效液相色谱和1台冰冻切片机共同组成。</w:t>
            </w:r>
          </w:p>
          <w:p w14:paraId="3044E65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高效液相色谱参数</w:t>
            </w:r>
          </w:p>
          <w:p w14:paraId="0CAD884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一、操作环境</w:t>
            </w:r>
          </w:p>
          <w:p w14:paraId="0145B16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工作电压：100V—240V，600VA</w:t>
            </w:r>
          </w:p>
          <w:p w14:paraId="193DA5B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工作温度：4-35℃</w:t>
            </w:r>
          </w:p>
          <w:p w14:paraId="4D68DFD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相对湿度：20到85%</w:t>
            </w:r>
          </w:p>
          <w:p w14:paraId="73A4389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二、仪器部分</w:t>
            </w:r>
          </w:p>
          <w:p w14:paraId="27BDDF7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2.1系统控制：</w:t>
            </w:r>
          </w:p>
          <w:p w14:paraId="0BB9E7E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2.1.1仪器面板：支持，彩色液晶触控屏，图形用户操作界面</w:t>
            </w:r>
          </w:p>
          <w:p w14:paraId="20C1D5C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2.1.2工作站：支持，图形用户操作界面</w:t>
            </w:r>
          </w:p>
          <w:p w14:paraId="21993B6D">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2.1.3移动终端：支持手机、平板电脑等智能终端，图形用户操作界面</w:t>
            </w:r>
          </w:p>
          <w:p w14:paraId="7F131C99">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 输液泵</w:t>
            </w:r>
          </w:p>
          <w:p w14:paraId="6662DE0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2.2.1脱气单元：共5路：4路流动相+1路清洗液 （体积 400uL）</w:t>
            </w:r>
          </w:p>
          <w:p w14:paraId="3C4391A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2.2.2★泵类型：并联双柱塞</w:t>
            </w:r>
          </w:p>
          <w:p w14:paraId="050FB21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2.2.3泵腔体积：10uL，减小压力脉动且减小延迟体积</w:t>
            </w:r>
          </w:p>
          <w:p w14:paraId="5C52668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2.2.4脉动：&lt; 0.10MPa（1.0mL/min，10MPa，水）</w:t>
            </w:r>
          </w:p>
          <w:p w14:paraId="3E1A404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2.2.5★流速范围：0.0001～10 mL/min</w:t>
            </w:r>
          </w:p>
          <w:p w14:paraId="29A34C7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2.2.6流速重现性：&lt;0.050%RSD 或 &lt;0.02minSD</w:t>
            </w:r>
          </w:p>
          <w:p w14:paraId="17DD7516">
            <w:pPr>
              <w:rPr>
                <w:highlight w:val="none"/>
              </w:rPr>
            </w:pPr>
          </w:p>
          <w:p w14:paraId="6856568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2.2.7梯度：4元低压梯度</w:t>
            </w:r>
          </w:p>
          <w:p w14:paraId="4BEEBF8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2.2.8梯度范围：0～100%（0.1% 步进）</w:t>
            </w:r>
          </w:p>
          <w:p w14:paraId="497FB57D">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2.2.9梯度程序：20步</w:t>
            </w:r>
          </w:p>
          <w:p w14:paraId="2F80C9B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2.2.10梯度准确度：±0.10%（0.1～2mL/min，1～20MPa，指定条件），梯度重现性：±0.10%（1mL/min，10MPa，指定条件）</w:t>
            </w:r>
          </w:p>
          <w:p w14:paraId="720DDD0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2.2.11最大耐压：50MPa</w:t>
            </w:r>
          </w:p>
          <w:p w14:paraId="127336A7">
            <w:pPr>
              <w:adjustRightInd w:val="0"/>
              <w:snapToGrid w:val="0"/>
              <w:spacing w:line="288" w:lineRule="auto"/>
              <w:jc w:val="left"/>
              <w:rPr>
                <w:rFonts w:hint="eastAsia" w:ascii="宋体" w:hAnsi="宋体" w:cs="宋体"/>
                <w:sz w:val="21"/>
                <w:szCs w:val="21"/>
                <w:highlight w:val="none"/>
              </w:rPr>
            </w:pPr>
          </w:p>
          <w:p w14:paraId="35C551D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 自动进样器</w:t>
            </w:r>
          </w:p>
          <w:p w14:paraId="606266C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2.3.1进样方式：全量进样（无样品损失）</w:t>
            </w:r>
          </w:p>
          <w:p w14:paraId="40A94E3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2.3.2最大耐压：50MPa</w:t>
            </w:r>
          </w:p>
          <w:p w14:paraId="64B4FC8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2.3.3进样准确度：±1.0%（50uL，N=10）</w:t>
            </w:r>
          </w:p>
          <w:p w14:paraId="7EC1A38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2.3.4进样体积：0.1～50uL</w:t>
            </w:r>
          </w:p>
          <w:p w14:paraId="44FFEFDE">
            <w:pPr>
              <w:rPr>
                <w:highlight w:val="none"/>
              </w:rPr>
            </w:pPr>
          </w:p>
          <w:p w14:paraId="718A535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2.3.5交叉污染: ≦ 0.0028% (典型值)</w:t>
            </w:r>
          </w:p>
          <w:p w14:paraId="261BF469">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2.3.6进样周期：15sec（5uL）</w:t>
            </w:r>
          </w:p>
          <w:p w14:paraId="5CDE5C2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2.3.7★样品数量：≥216位（1.5mL）</w:t>
            </w:r>
          </w:p>
          <w:p w14:paraId="35AEC7D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2.3.8样品盘材质：金属材质，更利于热传导实现快速制冷</w:t>
            </w:r>
          </w:p>
          <w:p w14:paraId="28C30CB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2.3.9样品制冷：4～45℃（室温不超过30℃、湿度不超过时70%时，可低至4℃</w:t>
            </w:r>
          </w:p>
          <w:p w14:paraId="26A202DD">
            <w:pPr>
              <w:rPr>
                <w:highlight w:val="none"/>
              </w:rPr>
            </w:pPr>
          </w:p>
          <w:p w14:paraId="3560E1C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2.3.10进样线性：&gt;0.9999（1～100uL，指定条件）</w:t>
            </w:r>
          </w:p>
          <w:p w14:paraId="6A95FC5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2.3.11前处理功能：支持样品转移，添加，稀释</w:t>
            </w:r>
          </w:p>
          <w:p w14:paraId="0973B5DB">
            <w:pPr>
              <w:adjustRightInd w:val="0"/>
              <w:snapToGrid w:val="0"/>
              <w:spacing w:line="288" w:lineRule="auto"/>
              <w:jc w:val="left"/>
              <w:rPr>
                <w:rFonts w:hint="eastAsia" w:ascii="宋体" w:hAnsi="宋体" w:cs="宋体"/>
                <w:sz w:val="21"/>
                <w:szCs w:val="21"/>
                <w:highlight w:val="none"/>
              </w:rPr>
            </w:pPr>
          </w:p>
          <w:p w14:paraId="797025F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2.4 柱温箱</w:t>
            </w:r>
          </w:p>
          <w:p w14:paraId="25DF292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2.4.1加热/制冷方式：强制空气循环式，色谱柱加热更均匀</w:t>
            </w:r>
          </w:p>
          <w:p w14:paraId="4514399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2.4.2★容量：可放置6根色谱和梯度混合器、柱切换阀等</w:t>
            </w:r>
          </w:p>
          <w:p w14:paraId="24A97FA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2.4.3★控温范围：室温-12～90℃</w:t>
            </w:r>
          </w:p>
          <w:p w14:paraId="3653201F">
            <w:pPr>
              <w:adjustRightInd w:val="0"/>
              <w:snapToGrid w:val="0"/>
              <w:spacing w:line="288" w:lineRule="auto"/>
              <w:jc w:val="left"/>
              <w:rPr>
                <w:rFonts w:hint="eastAsia" w:ascii="宋体" w:hAnsi="宋体" w:cs="宋体"/>
                <w:sz w:val="21"/>
                <w:szCs w:val="21"/>
                <w:highlight w:val="none"/>
              </w:rPr>
            </w:pPr>
          </w:p>
          <w:p w14:paraId="562E115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2.5 高灵敏度二极管正列检测器</w:t>
            </w:r>
          </w:p>
          <w:p w14:paraId="249E14D9">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2.5.1波长范围：190-700nm</w:t>
            </w:r>
          </w:p>
          <w:p w14:paraId="6EA50A4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2.5.2二极管数量：1024</w:t>
            </w:r>
          </w:p>
          <w:p w14:paraId="0F02C32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2.5.3设备分辨率：≦0.6 nm/pixel，波长准确度：≦±1nm</w:t>
            </w:r>
          </w:p>
          <w:p w14:paraId="03B7B01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2.5.4★噪音：&lt;±3.0×10-6AU（250 nm，参比 350 nm）</w:t>
            </w:r>
          </w:p>
          <w:p w14:paraId="435822E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2.5.5漂移：600x10-6AU/h（250 nm，参比350 nm）</w:t>
            </w:r>
          </w:p>
          <w:p w14:paraId="523681D2">
            <w:pPr>
              <w:adjustRightInd w:val="0"/>
              <w:snapToGrid w:val="0"/>
              <w:spacing w:line="288" w:lineRule="auto"/>
              <w:jc w:val="left"/>
              <w:rPr>
                <w:rFonts w:hint="eastAsia" w:ascii="宋体" w:hAnsi="宋体" w:cs="宋体"/>
                <w:sz w:val="21"/>
                <w:szCs w:val="21"/>
                <w:highlight w:val="none"/>
              </w:rPr>
            </w:pPr>
          </w:p>
          <w:p w14:paraId="71BDBEA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2.6蒸发光散射检测器</w:t>
            </w:r>
          </w:p>
          <w:p w14:paraId="690B5918">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2.6.1 蒸发方式:低温蒸发型</w:t>
            </w:r>
          </w:p>
          <w:p w14:paraId="084ACC6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2.6.2 ★蒸发温度范围:室温－130°C</w:t>
            </w:r>
          </w:p>
          <w:p w14:paraId="57A001F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2.6.3气体流量范围:1.0–4.0L/min</w:t>
            </w:r>
          </w:p>
          <w:p w14:paraId="248A1D30">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2.6.4流动相流速范围:0.01-3.00mL/min</w:t>
            </w:r>
          </w:p>
          <w:p w14:paraId="181C29B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2.6.5光源:650 nm 半导体激光器</w:t>
            </w:r>
          </w:p>
          <w:p w14:paraId="5834AB5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2.6.6★基线噪声:0.05 mV（30min,1 mL/min 甲醇，蒸发温度35℃，气体流量3.0L/min）</w:t>
            </w:r>
          </w:p>
          <w:p w14:paraId="761875C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2.6.7★基线漂移:≤1 mV/30min（1 mL/min 甲醇，蒸发温度35℃，气体流量3.0L/min）</w:t>
            </w:r>
          </w:p>
          <w:p w14:paraId="793044C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2.6.8最低检测限：≤5.0×10-6 g/mL （胆固醇-甲醇溶液）（1mL/min 甲醇，蒸发温度35℃，气体流量3.0L/min）</w:t>
            </w:r>
          </w:p>
          <w:p w14:paraId="63C762F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2.6.9其他功能:压力、流量、温度警报，自动停机；序列完成自动关闭气路、光源</w:t>
            </w:r>
          </w:p>
          <w:p w14:paraId="7BD477C6">
            <w:pPr>
              <w:adjustRightInd w:val="0"/>
              <w:snapToGrid w:val="0"/>
              <w:spacing w:line="288" w:lineRule="auto"/>
              <w:jc w:val="left"/>
              <w:rPr>
                <w:rFonts w:hint="eastAsia" w:ascii="宋体" w:hAnsi="宋体" w:cs="宋体"/>
                <w:sz w:val="21"/>
                <w:szCs w:val="21"/>
                <w:highlight w:val="none"/>
              </w:rPr>
            </w:pPr>
          </w:p>
          <w:p w14:paraId="2F9C06A8">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三、色谱工作站</w:t>
            </w:r>
          </w:p>
          <w:p w14:paraId="4EA9D4D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图形用户操作界面，方便友好，易于使用，工作站基于windows 系统，数据传输基于主流的网络协议，确保数据真实可靠。可以使用同一厂家工作站控制所有可扩展部件（包括输液泵、检测器等），进行数据采集和分析处理；</w:t>
            </w:r>
          </w:p>
          <w:p w14:paraId="7E153CE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配置清单</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不低于以下要求</w:t>
            </w:r>
            <w:r>
              <w:rPr>
                <w:rFonts w:hint="eastAsia" w:ascii="宋体" w:hAnsi="宋体" w:cs="宋体"/>
                <w:sz w:val="21"/>
                <w:szCs w:val="21"/>
                <w:highlight w:val="none"/>
                <w:lang w:eastAsia="zh-CN"/>
              </w:rPr>
              <w:t>）</w:t>
            </w:r>
            <w:r>
              <w:rPr>
                <w:rFonts w:hint="eastAsia" w:ascii="宋体" w:hAnsi="宋体" w:cs="宋体"/>
                <w:sz w:val="21"/>
                <w:szCs w:val="21"/>
                <w:highlight w:val="none"/>
              </w:rPr>
              <w:t>：</w:t>
            </w:r>
          </w:p>
          <w:p w14:paraId="5B2D589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 xml:space="preserve"> 1 高效液相色谱仪主机1套，包括：高精度输液泵1套，5路真空脱气机1套，低压梯度单元1套；高效混合器1套；高灵敏度二极管正列检测器1套；制冷型柱温箱1套；</w:t>
            </w:r>
          </w:p>
          <w:p w14:paraId="7C1C836E">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 xml:space="preserve"> 2. 低温型蒸发光散射检测器1套；</w:t>
            </w:r>
          </w:p>
          <w:p w14:paraId="05E4F13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 xml:space="preserve"> 3. 仪器安装维护附件包1套；</w:t>
            </w:r>
          </w:p>
          <w:p w14:paraId="5667A81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 xml:space="preserve"> 4. 简体中文版工作站1套；</w:t>
            </w:r>
          </w:p>
          <w:p w14:paraId="09E2704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 xml:space="preserve"> 5. 耗材备件包1套；</w:t>
            </w:r>
          </w:p>
          <w:p w14:paraId="6009B629">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 xml:space="preserve"> 5. C18色谱柱1根；</w:t>
            </w:r>
          </w:p>
          <w:p w14:paraId="02D64849">
            <w:pPr>
              <w:adjustRightInd w:val="0"/>
              <w:snapToGrid w:val="0"/>
              <w:spacing w:line="288" w:lineRule="auto"/>
              <w:jc w:val="left"/>
              <w:rPr>
                <w:rFonts w:hint="eastAsia" w:ascii="宋体" w:hAnsi="宋体" w:cs="宋体"/>
                <w:sz w:val="21"/>
                <w:szCs w:val="21"/>
                <w:highlight w:val="none"/>
              </w:rPr>
            </w:pPr>
          </w:p>
          <w:p w14:paraId="3381EDA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冰冻切片机参数</w:t>
            </w:r>
          </w:p>
          <w:p w14:paraId="09AEB29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1.★具备双压缩机制冷系统；</w:t>
            </w:r>
          </w:p>
          <w:p w14:paraId="6760827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2.箱体制冷温度范围：0～ -35℃；</w:t>
            </w:r>
          </w:p>
          <w:p w14:paraId="0B80817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3.样品头制冷温度范围：≥-10℃至-50℃；</w:t>
            </w:r>
          </w:p>
          <w:p w14:paraId="61DC767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4.速冻架样品位点≥15个，速冻架半导体控制位点≥2个；</w:t>
            </w:r>
          </w:p>
          <w:p w14:paraId="47B8998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5.速冷架制冷温度最低达：-42℃；</w:t>
            </w:r>
          </w:p>
          <w:p w14:paraId="27E444A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6.样本回缩功能：20um或者可以关闭；</w:t>
            </w:r>
          </w:p>
          <w:p w14:paraId="1503F03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7.样本定位：8°（X-Y轴），样品托360°旋转；</w:t>
            </w:r>
          </w:p>
          <w:p w14:paraId="01DB2BD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8.最大标本尺寸：≥50X80mm；</w:t>
            </w:r>
          </w:p>
          <w:p w14:paraId="1FF9C983">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9.切片厚度：1～100μm，最小步进单位0.5μm</w:t>
            </w:r>
          </w:p>
          <w:p w14:paraId="4701F8C5">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10.切片厚度调节方式：箱体外部，保护操作者安全</w:t>
            </w:r>
          </w:p>
          <w:p w14:paraId="530CB27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11.修块厚度可以选择设定两种格式，临床型10-40um、科研型1-600um；标本垂直样本幅度：≥59mm</w:t>
            </w:r>
          </w:p>
          <w:p w14:paraId="22444F38">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12.标本水平位移：≥25 mm</w:t>
            </w:r>
          </w:p>
          <w:p w14:paraId="212562F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13.电动粗进速度：2档；快：0.9mm/s，慢：0.3mm/s</w:t>
            </w:r>
          </w:p>
          <w:p w14:paraId="73A6B979">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14.刀架送风技术，刀架不结霜，易于长时间切片</w:t>
            </w:r>
          </w:p>
          <w:p w14:paraId="6C15F4BA">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15.控制键盘可锁定</w:t>
            </w:r>
          </w:p>
          <w:p w14:paraId="4BB6085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16.按键式操作机身，便于戴手套操作；</w:t>
            </w:r>
          </w:p>
          <w:p w14:paraId="783EABF6">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17.★带有自动紫外线消毒系统，表面杀菌率达到99.999%；消毒周期有30分钟和180分钟或以上多种可选，当滑窗被打开时,紫外灯自动熄灭</w:t>
            </w:r>
          </w:p>
          <w:p w14:paraId="706EC28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18.UVC消毒：经认证的UVC灯完全可以达到针对细菌、病毒和真菌的表面消毒。一键控制UVC消毒系统，可分30或180分钟两档消毒，并可以随时开启和终止消毒。探测器可探测到滑窗是否密闭，真正的安全保护，不会辐射到人体。在-20°C条件下，有效针对工作区域的表面和空气消毒</w:t>
            </w:r>
            <w:r>
              <w:rPr>
                <w:rFonts w:hint="eastAsia" w:ascii="宋体" w:hAnsi="宋体" w:cs="宋体"/>
                <w:b/>
                <w:bCs/>
                <w:sz w:val="21"/>
                <w:szCs w:val="21"/>
                <w:highlight w:val="none"/>
                <w:lang w:eastAsia="zh-CN"/>
              </w:rPr>
              <w:t>（</w:t>
            </w:r>
            <w:r>
              <w:rPr>
                <w:rFonts w:hint="eastAsia" w:ascii="宋体" w:hAnsi="宋体" w:cs="宋体"/>
                <w:b/>
                <w:bCs/>
                <w:sz w:val="21"/>
                <w:szCs w:val="21"/>
                <w:highlight w:val="none"/>
                <w:lang w:val="en-US" w:eastAsia="zh-CN"/>
              </w:rPr>
              <w:t>投标时提供相关证明材料，未提供或不符合要求的，视为1项负偏离</w:t>
            </w:r>
            <w:r>
              <w:rPr>
                <w:rFonts w:hint="eastAsia" w:ascii="宋体" w:hAnsi="宋体" w:cs="宋体"/>
                <w:b/>
                <w:bCs/>
                <w:sz w:val="21"/>
                <w:szCs w:val="21"/>
                <w:highlight w:val="none"/>
                <w:lang w:eastAsia="zh-CN"/>
              </w:rPr>
              <w:t>）</w:t>
            </w:r>
            <w:r>
              <w:rPr>
                <w:rFonts w:hint="eastAsia" w:ascii="宋体" w:hAnsi="宋体" w:cs="宋体"/>
                <w:sz w:val="21"/>
                <w:szCs w:val="21"/>
                <w:highlight w:val="none"/>
              </w:rPr>
              <w:t>。无臭氧，无毒性，消毒需先清理厢室内的碎屑，再进行UVC消毒才有效。</w:t>
            </w:r>
          </w:p>
          <w:p w14:paraId="2FABC95C">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19.仪器表面有抗菌涂层，可有效阻止感染性物质在仪器外部的繁殖。</w:t>
            </w:r>
          </w:p>
          <w:p w14:paraId="4BD067F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20.自动消毒持续时间：30min～3hours,安全无毒害，无排放无残留，符合环保理念；</w:t>
            </w:r>
          </w:p>
          <w:p w14:paraId="24D846B1">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21.刀架适用宽刀片和窄刀片（宽刀片刀架＋窄刀片专用插件＝新刀架），对刀片全长施加均匀夹力，实现无振动切片；刀片架的精准的侧向移动功能确保刀片的全长都可以被利用到；配备集成的红色安全护手和退刀辅助器（标配带有磁铁的小刷子）；</w:t>
            </w:r>
          </w:p>
          <w:p w14:paraId="7D47716B">
            <w:pPr>
              <w:rPr>
                <w:highlight w:val="none"/>
              </w:rPr>
            </w:pPr>
          </w:p>
          <w:p w14:paraId="10C85622">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22.冷冻箱手动、自动除霜功能：冷冻箱可手动除霜；支持自动除霜功能每24小时一次，除霜持续时间≤12 min；</w:t>
            </w:r>
          </w:p>
          <w:p w14:paraId="34A80E6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23.含主动制冷的样品头；</w:t>
            </w:r>
          </w:p>
        </w:tc>
      </w:tr>
    </w:tbl>
    <w:p w14:paraId="06C3988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164201"/>
    <w:rsid w:val="61164201"/>
    <w:rsid w:val="69D20A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2025-09-12T05:44:00Z</dcterms:created>
  <dc:creator>刘冰冰</dc:creator>
  <cp:lastModifiedBy>刘冰冰</cp:lastModifiedBy>
  <dcterms:modified xsi:type="dcterms:W3CDTF">2025-09-12T05:45:29Z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C294122FCCFB4044AC2F247BEB97208D_13</vt:lpwstr>
  </property>
  <property fmtid="{D5CDD505-2E9C-101B-9397-08002B2CF9AE}" pid="4" name="KSOTemplateDocerSaveRecord">
    <vt:lpwstr>eyJoZGlkIjoiZmZkMWFjNDM1NzNmYzdiM2JkYWM5YjhmZTllYTliMjAiLCJ1c2VySWQiOiIxNjExODE3NTMwIn0=</vt:lpwstr>
  </property>
</Properties>
</file>