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rPr>
          <w:rFonts w:ascii="宋体" w:hAnsi="宋体"/>
          <w:bCs/>
          <w:color w:val="auto"/>
          <w:szCs w:val="32"/>
          <w:highlight w:val="none"/>
        </w:rPr>
      </w:pPr>
      <w:r>
        <w:rPr>
          <w:rFonts w:hint="eastAsia" w:ascii="宋体" w:hAnsi="宋体"/>
          <w:b/>
          <w:color w:val="auto"/>
          <w:sz w:val="32"/>
          <w:szCs w:val="32"/>
          <w:highlight w:val="none"/>
        </w:rPr>
        <w:t xml:space="preserve">                </w:t>
      </w:r>
    </w:p>
    <w:p>
      <w:pPr>
        <w:adjustRightInd w:val="0"/>
        <w:snapToGrid w:val="0"/>
        <w:rPr>
          <w:rFonts w:ascii="宋体" w:hAnsi="宋体"/>
          <w:b/>
          <w:color w:val="auto"/>
          <w:sz w:val="24"/>
          <w:highlight w:val="none"/>
        </w:rPr>
      </w:pPr>
    </w:p>
    <w:p>
      <w:pPr>
        <w:adjustRightInd w:val="0"/>
        <w:snapToGrid w:val="0"/>
        <w:jc w:val="center"/>
        <w:rPr>
          <w:rFonts w:ascii="宋体" w:hAnsi="宋体"/>
          <w:b/>
          <w:color w:val="auto"/>
          <w:sz w:val="24"/>
          <w:highlight w:val="none"/>
        </w:rPr>
      </w:pPr>
    </w:p>
    <w:p>
      <w:pPr>
        <w:adjustRightInd w:val="0"/>
        <w:snapToGrid w:val="0"/>
        <w:jc w:val="center"/>
        <w:rPr>
          <w:rFonts w:ascii="宋体" w:hAnsi="宋体"/>
          <w:b/>
          <w:color w:val="auto"/>
          <w:sz w:val="24"/>
          <w:highlight w:val="none"/>
        </w:rPr>
      </w:pPr>
    </w:p>
    <w:p>
      <w:pPr>
        <w:adjustRightInd w:val="0"/>
        <w:snapToGrid w:val="0"/>
        <w:jc w:val="center"/>
        <w:rPr>
          <w:rFonts w:ascii="宋体" w:hAnsi="宋体"/>
          <w:b/>
          <w:color w:val="auto"/>
          <w:sz w:val="24"/>
          <w:highlight w:val="none"/>
        </w:rPr>
      </w:pPr>
    </w:p>
    <w:p>
      <w:pPr>
        <w:adjustRightInd w:val="0"/>
        <w:snapToGrid w:val="0"/>
        <w:jc w:val="center"/>
        <w:rPr>
          <w:rFonts w:ascii="宋体" w:hAnsi="宋体"/>
          <w:b/>
          <w:color w:val="auto"/>
          <w:sz w:val="24"/>
          <w:highlight w:val="none"/>
        </w:rPr>
      </w:pPr>
    </w:p>
    <w:p>
      <w:pPr>
        <w:adjustRightInd w:val="0"/>
        <w:snapToGrid w:val="0"/>
        <w:jc w:val="center"/>
        <w:rPr>
          <w:rFonts w:ascii="宋体" w:hAnsi="宋体"/>
          <w:b/>
          <w:color w:val="auto"/>
          <w:sz w:val="24"/>
          <w:highlight w:val="none"/>
        </w:rPr>
      </w:pPr>
    </w:p>
    <w:p>
      <w:pPr>
        <w:adjustRightInd w:val="0"/>
        <w:snapToGrid w:val="0"/>
        <w:jc w:val="center"/>
        <w:rPr>
          <w:rFonts w:ascii="宋体" w:hAnsi="宋体"/>
          <w:b/>
          <w:color w:val="auto"/>
          <w:sz w:val="24"/>
          <w:highlight w:val="none"/>
        </w:rPr>
      </w:pPr>
    </w:p>
    <w:p>
      <w:pPr>
        <w:adjustRightInd w:val="0"/>
        <w:snapToGrid w:val="0"/>
        <w:jc w:val="center"/>
        <w:rPr>
          <w:rFonts w:ascii="宋体" w:hAnsi="宋体"/>
          <w:b/>
          <w:color w:val="auto"/>
          <w:sz w:val="24"/>
          <w:highlight w:val="none"/>
        </w:rPr>
      </w:pPr>
    </w:p>
    <w:p>
      <w:pPr>
        <w:adjustRightInd w:val="0"/>
        <w:snapToGrid w:val="0"/>
        <w:jc w:val="center"/>
        <w:rPr>
          <w:rFonts w:ascii="宋体" w:hAnsi="宋体"/>
          <w:b/>
          <w:color w:val="auto"/>
          <w:sz w:val="24"/>
          <w:highlight w:val="none"/>
        </w:rPr>
      </w:pPr>
    </w:p>
    <w:p>
      <w:pPr>
        <w:adjustRightInd w:val="0"/>
        <w:snapToGrid w:val="0"/>
        <w:jc w:val="center"/>
        <w:rPr>
          <w:rFonts w:ascii="宋体" w:hAnsi="宋体"/>
          <w:b/>
          <w:color w:val="auto"/>
          <w:sz w:val="24"/>
          <w:highlight w:val="none"/>
        </w:rPr>
      </w:pPr>
    </w:p>
    <w:p>
      <w:pPr>
        <w:adjustRightInd w:val="0"/>
        <w:snapToGrid w:val="0"/>
        <w:jc w:val="center"/>
        <w:rPr>
          <w:rFonts w:ascii="宋体" w:hAnsi="宋体"/>
          <w:b/>
          <w:color w:val="auto"/>
          <w:sz w:val="24"/>
          <w:highlight w:val="none"/>
        </w:rPr>
      </w:pPr>
    </w:p>
    <w:p>
      <w:pPr>
        <w:adjustRightInd w:val="0"/>
        <w:snapToGrid w:val="0"/>
        <w:jc w:val="center"/>
        <w:rPr>
          <w:rFonts w:ascii="宋体" w:hAnsi="宋体"/>
          <w:b/>
          <w:color w:val="auto"/>
          <w:sz w:val="24"/>
          <w:highlight w:val="none"/>
        </w:rPr>
      </w:pPr>
    </w:p>
    <w:p>
      <w:pPr>
        <w:adjustRightInd w:val="0"/>
        <w:snapToGrid w:val="0"/>
        <w:spacing w:before="936" w:beforeLines="300"/>
        <w:jc w:val="center"/>
        <w:rPr>
          <w:rFonts w:ascii="黑体" w:eastAsia="黑体"/>
          <w:b/>
          <w:color w:val="auto"/>
          <w:kern w:val="44"/>
          <w:sz w:val="48"/>
          <w:szCs w:val="20"/>
          <w:highlight w:val="none"/>
        </w:rPr>
      </w:pPr>
      <w:r>
        <w:rPr>
          <w:rFonts w:hint="eastAsia" w:ascii="黑体" w:eastAsia="黑体"/>
          <w:b/>
          <w:color w:val="auto"/>
          <w:kern w:val="44"/>
          <w:sz w:val="48"/>
          <w:szCs w:val="20"/>
          <w:highlight w:val="none"/>
        </w:rPr>
        <w:t>第八部分  采购需求</w:t>
      </w:r>
      <w:r>
        <w:rPr>
          <w:rFonts w:ascii="黑体" w:eastAsia="黑体"/>
          <w:b/>
          <w:color w:val="auto"/>
          <w:kern w:val="44"/>
          <w:sz w:val="48"/>
          <w:szCs w:val="20"/>
          <w:highlight w:val="none"/>
        </w:rPr>
        <w:br w:type="page"/>
      </w:r>
    </w:p>
    <w:p>
      <w:pPr>
        <w:adjustRightInd w:val="0"/>
        <w:snapToGrid w:val="0"/>
        <w:jc w:val="center"/>
        <w:rPr>
          <w:rFonts w:ascii="宋体" w:hAnsi="宋体"/>
          <w:b/>
          <w:color w:val="auto"/>
          <w:sz w:val="30"/>
          <w:szCs w:val="30"/>
          <w:highlight w:val="none"/>
        </w:rPr>
      </w:pPr>
      <w:r>
        <w:rPr>
          <w:rFonts w:hint="eastAsia" w:ascii="宋体" w:hAnsi="宋体"/>
          <w:b/>
          <w:color w:val="auto"/>
          <w:sz w:val="30"/>
          <w:szCs w:val="30"/>
          <w:highlight w:val="none"/>
        </w:rPr>
        <w:t>一、货物需求一览表</w:t>
      </w:r>
    </w:p>
    <w:p>
      <w:pPr>
        <w:adjustRightInd w:val="0"/>
        <w:snapToGrid w:val="0"/>
        <w:jc w:val="center"/>
        <w:rPr>
          <w:rFonts w:ascii="宋体" w:hAnsi="宋体"/>
          <w:b/>
          <w:color w:val="auto"/>
          <w:sz w:val="30"/>
          <w:szCs w:val="30"/>
          <w:highlight w:val="none"/>
        </w:rPr>
      </w:pPr>
    </w:p>
    <w:tbl>
      <w:tblPr>
        <w:tblStyle w:val="3"/>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1765"/>
        <w:gridCol w:w="252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noWrap w:val="0"/>
            <w:vAlign w:val="center"/>
          </w:tcPr>
          <w:p>
            <w:pPr>
              <w:jc w:val="center"/>
              <w:rPr>
                <w:rFonts w:ascii="宋体" w:hAnsi="Bookman Old Style"/>
                <w:color w:val="auto"/>
                <w:sz w:val="24"/>
                <w:highlight w:val="none"/>
              </w:rPr>
            </w:pPr>
            <w:r>
              <w:rPr>
                <w:rFonts w:hint="eastAsia" w:ascii="宋体" w:hAnsi="Bookman Old Style"/>
                <w:color w:val="auto"/>
                <w:sz w:val="24"/>
                <w:highlight w:val="none"/>
              </w:rPr>
              <w:t>包号</w:t>
            </w:r>
          </w:p>
        </w:tc>
        <w:tc>
          <w:tcPr>
            <w:tcW w:w="2640" w:type="dxa"/>
            <w:noWrap w:val="0"/>
            <w:vAlign w:val="center"/>
          </w:tcPr>
          <w:p>
            <w:pPr>
              <w:jc w:val="center"/>
              <w:rPr>
                <w:rFonts w:ascii="宋体" w:hAnsi="Bookman Old Style"/>
                <w:color w:val="auto"/>
                <w:sz w:val="24"/>
                <w:highlight w:val="none"/>
              </w:rPr>
            </w:pPr>
            <w:r>
              <w:rPr>
                <w:rFonts w:hint="eastAsia" w:ascii="宋体" w:hAnsi="Bookman Old Style"/>
                <w:color w:val="auto"/>
                <w:sz w:val="24"/>
                <w:highlight w:val="none"/>
              </w:rPr>
              <w:t>货物名称</w:t>
            </w:r>
          </w:p>
        </w:tc>
        <w:tc>
          <w:tcPr>
            <w:tcW w:w="635" w:type="dxa"/>
            <w:noWrap w:val="0"/>
            <w:vAlign w:val="center"/>
          </w:tcPr>
          <w:p>
            <w:pPr>
              <w:jc w:val="center"/>
              <w:rPr>
                <w:rFonts w:ascii="宋体" w:hAnsi="Bookman Old Style"/>
                <w:color w:val="auto"/>
                <w:sz w:val="24"/>
                <w:highlight w:val="none"/>
              </w:rPr>
            </w:pPr>
            <w:r>
              <w:rPr>
                <w:rFonts w:hint="eastAsia" w:ascii="宋体" w:hAnsi="Bookman Old Style"/>
                <w:color w:val="auto"/>
                <w:sz w:val="24"/>
                <w:highlight w:val="none"/>
              </w:rPr>
              <w:t>数量</w:t>
            </w:r>
          </w:p>
        </w:tc>
        <w:tc>
          <w:tcPr>
            <w:tcW w:w="1320" w:type="dxa"/>
            <w:noWrap w:val="0"/>
            <w:vAlign w:val="center"/>
          </w:tcPr>
          <w:p>
            <w:pPr>
              <w:jc w:val="center"/>
              <w:rPr>
                <w:rFonts w:ascii="宋体" w:hAnsi="Bookman Old Style"/>
                <w:color w:val="auto"/>
                <w:sz w:val="24"/>
                <w:highlight w:val="none"/>
              </w:rPr>
            </w:pPr>
            <w:r>
              <w:rPr>
                <w:rFonts w:hint="eastAsia" w:ascii="宋体" w:hAnsi="Bookman Old Style"/>
                <w:color w:val="auto"/>
                <w:sz w:val="24"/>
                <w:highlight w:val="none"/>
              </w:rPr>
              <w:t>交货期</w:t>
            </w:r>
          </w:p>
        </w:tc>
        <w:tc>
          <w:tcPr>
            <w:tcW w:w="1765" w:type="dxa"/>
            <w:noWrap w:val="0"/>
            <w:vAlign w:val="center"/>
          </w:tcPr>
          <w:p>
            <w:pPr>
              <w:jc w:val="center"/>
              <w:rPr>
                <w:rFonts w:ascii="宋体" w:hAnsi="Bookman Old Style"/>
                <w:color w:val="auto"/>
                <w:sz w:val="24"/>
                <w:highlight w:val="none"/>
              </w:rPr>
            </w:pPr>
            <w:r>
              <w:rPr>
                <w:rFonts w:hint="eastAsia" w:ascii="宋体" w:hAnsi="Bookman Old Style"/>
                <w:color w:val="auto"/>
                <w:sz w:val="24"/>
                <w:highlight w:val="none"/>
              </w:rPr>
              <w:t>指定到货港</w:t>
            </w:r>
          </w:p>
        </w:tc>
        <w:tc>
          <w:tcPr>
            <w:tcW w:w="2520" w:type="dxa"/>
            <w:noWrap w:val="0"/>
            <w:vAlign w:val="center"/>
          </w:tcPr>
          <w:p>
            <w:pPr>
              <w:jc w:val="center"/>
              <w:rPr>
                <w:rFonts w:ascii="宋体" w:hAnsi="Bookman Old Style"/>
                <w:color w:val="auto"/>
                <w:sz w:val="24"/>
                <w:highlight w:val="none"/>
                <w:shd w:val="pct10" w:color="auto" w:fill="FFFFFF"/>
              </w:rPr>
            </w:pPr>
            <w:r>
              <w:rPr>
                <w:rFonts w:hint="eastAsia" w:ascii="宋体" w:hAnsi="Bookman Old Style"/>
                <w:color w:val="auto"/>
                <w:sz w:val="24"/>
                <w:highlight w:val="none"/>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noWrap w:val="0"/>
            <w:vAlign w:val="center"/>
          </w:tcPr>
          <w:p>
            <w:pPr>
              <w:jc w:val="center"/>
              <w:rPr>
                <w:rFonts w:ascii="宋体"/>
                <w:color w:val="auto"/>
                <w:sz w:val="24"/>
                <w:highlight w:val="none"/>
              </w:rPr>
            </w:pPr>
            <w:r>
              <w:rPr>
                <w:rFonts w:hint="eastAsia" w:ascii="宋体"/>
                <w:color w:val="auto"/>
                <w:sz w:val="24"/>
                <w:highlight w:val="none"/>
                <w:lang w:val="en-US" w:eastAsia="zh-CN"/>
              </w:rPr>
              <w:t>2</w:t>
            </w:r>
            <w:r>
              <w:rPr>
                <w:rFonts w:hint="eastAsia" w:ascii="宋体"/>
                <w:color w:val="auto"/>
                <w:sz w:val="24"/>
                <w:highlight w:val="none"/>
              </w:rPr>
              <w:t>1</w:t>
            </w:r>
          </w:p>
        </w:tc>
        <w:tc>
          <w:tcPr>
            <w:tcW w:w="2640" w:type="dxa"/>
            <w:noWrap w:val="0"/>
            <w:vAlign w:val="center"/>
          </w:tcPr>
          <w:p>
            <w:pPr>
              <w:jc w:val="center"/>
              <w:rPr>
                <w:rFonts w:ascii="Bookman Old Style" w:hAnsi="Bookman Old Style"/>
                <w:color w:val="auto"/>
                <w:sz w:val="24"/>
                <w:highlight w:val="none"/>
              </w:rPr>
            </w:pPr>
            <w:r>
              <w:rPr>
                <w:rFonts w:hint="eastAsia" w:ascii="Bookman Old Style" w:hAnsi="Bookman Old Style"/>
                <w:color w:val="auto"/>
                <w:sz w:val="24"/>
                <w:highlight w:val="none"/>
              </w:rPr>
              <w:t>基质辅助激光解析电离飞行时间质谱仪</w:t>
            </w:r>
          </w:p>
        </w:tc>
        <w:tc>
          <w:tcPr>
            <w:tcW w:w="635" w:type="dxa"/>
            <w:noWrap w:val="0"/>
            <w:vAlign w:val="center"/>
          </w:tcPr>
          <w:p>
            <w:pPr>
              <w:jc w:val="center"/>
              <w:rPr>
                <w:rFonts w:ascii="宋体" w:hAnsi="Bookman Old Style"/>
                <w:color w:val="auto"/>
                <w:sz w:val="24"/>
                <w:highlight w:val="none"/>
              </w:rPr>
            </w:pPr>
            <w:r>
              <w:rPr>
                <w:rFonts w:hint="eastAsia" w:ascii="宋体" w:hAnsi="Bookman Old Style"/>
                <w:color w:val="auto"/>
                <w:sz w:val="24"/>
                <w:highlight w:val="none"/>
              </w:rPr>
              <w:t>1套</w:t>
            </w:r>
          </w:p>
        </w:tc>
        <w:tc>
          <w:tcPr>
            <w:tcW w:w="5605" w:type="dxa"/>
            <w:gridSpan w:val="3"/>
            <w:noWrap w:val="0"/>
            <w:vAlign w:val="center"/>
          </w:tcPr>
          <w:p>
            <w:pPr>
              <w:jc w:val="center"/>
              <w:rPr>
                <w:rFonts w:ascii="宋体" w:hAnsi="Bookman Old Style"/>
                <w:color w:val="auto"/>
                <w:sz w:val="24"/>
                <w:highlight w:val="none"/>
              </w:rPr>
            </w:pPr>
            <w:r>
              <w:rPr>
                <w:rFonts w:hint="eastAsia" w:ascii="宋体" w:hAnsi="Bookman Old Style"/>
                <w:color w:val="auto"/>
                <w:sz w:val="24"/>
                <w:highlight w:val="none"/>
              </w:rPr>
              <w:t>详见具体技术规格</w:t>
            </w:r>
          </w:p>
        </w:tc>
      </w:tr>
    </w:tbl>
    <w:p>
      <w:pPr>
        <w:adjustRightInd w:val="0"/>
        <w:snapToGrid w:val="0"/>
        <w:jc w:val="center"/>
        <w:rPr>
          <w:rFonts w:ascii="宋体" w:hAnsi="宋体"/>
          <w:b/>
          <w:color w:val="auto"/>
          <w:sz w:val="30"/>
          <w:szCs w:val="30"/>
          <w:highlight w:val="none"/>
        </w:rPr>
      </w:pPr>
    </w:p>
    <w:p>
      <w:pPr>
        <w:adjustRightInd w:val="0"/>
        <w:snapToGrid w:val="0"/>
        <w:jc w:val="center"/>
        <w:rPr>
          <w:rFonts w:ascii="宋体" w:hAnsi="宋体"/>
          <w:b/>
          <w:color w:val="auto"/>
          <w:sz w:val="30"/>
          <w:szCs w:val="30"/>
          <w:highlight w:val="none"/>
        </w:rPr>
      </w:pPr>
    </w:p>
    <w:p>
      <w:pPr>
        <w:adjustRightInd w:val="0"/>
        <w:snapToGrid w:val="0"/>
        <w:jc w:val="center"/>
        <w:rPr>
          <w:rFonts w:ascii="宋体" w:hAnsi="宋体"/>
          <w:b/>
          <w:color w:val="auto"/>
          <w:sz w:val="30"/>
          <w:szCs w:val="30"/>
          <w:highlight w:val="none"/>
        </w:rPr>
      </w:pPr>
    </w:p>
    <w:p>
      <w:pPr>
        <w:rPr>
          <w:rFonts w:ascii="Bookman Old Style" w:hAnsi="Bookman Old Style"/>
          <w:color w:val="auto"/>
          <w:sz w:val="24"/>
          <w:highlight w:val="none"/>
        </w:rPr>
      </w:pPr>
      <w:r>
        <w:rPr>
          <w:rFonts w:hint="eastAsia"/>
          <w:color w:val="auto"/>
          <w:sz w:val="24"/>
          <w:highlight w:val="none"/>
        </w:rPr>
        <w:t>注：投标人须对上述投标内容中完整的一包或几包进行投标，</w:t>
      </w:r>
      <w:r>
        <w:rPr>
          <w:rFonts w:hint="eastAsia" w:ascii="Bookman Old Style" w:hAnsi="Bookman Old Style"/>
          <w:color w:val="auto"/>
          <w:sz w:val="24"/>
          <w:highlight w:val="none"/>
        </w:rPr>
        <w:t>不完整的投标将视为非响应性投标予以拒绝。</w:t>
      </w: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color w:val="auto"/>
          <w:szCs w:val="21"/>
          <w:highlight w:val="none"/>
        </w:rPr>
      </w:pPr>
    </w:p>
    <w:p>
      <w:pPr>
        <w:adjustRightInd w:val="0"/>
        <w:snapToGrid w:val="0"/>
        <w:rPr>
          <w:rFonts w:ascii="宋体" w:hAnsi="宋体"/>
          <w:b/>
          <w:color w:val="auto"/>
          <w:sz w:val="30"/>
          <w:szCs w:val="30"/>
          <w:highlight w:val="none"/>
        </w:rPr>
      </w:pPr>
      <w:r>
        <w:rPr>
          <w:rFonts w:ascii="宋体" w:hAnsi="宋体"/>
          <w:b/>
          <w:color w:val="auto"/>
          <w:sz w:val="30"/>
          <w:szCs w:val="30"/>
          <w:highlight w:val="none"/>
        </w:rPr>
        <w:br w:type="page"/>
      </w:r>
    </w:p>
    <w:p>
      <w:pPr>
        <w:adjustRightInd w:val="0"/>
        <w:snapToGrid w:val="0"/>
        <w:rPr>
          <w:rFonts w:hint="eastAsia" w:ascii="宋体" w:hAnsi="宋体"/>
          <w:b/>
          <w:color w:val="auto"/>
          <w:sz w:val="30"/>
          <w:szCs w:val="30"/>
          <w:highlight w:val="none"/>
        </w:rPr>
      </w:pPr>
    </w:p>
    <w:p>
      <w:pPr>
        <w:numPr>
          <w:ilvl w:val="2"/>
          <w:numId w:val="1"/>
        </w:numPr>
        <w:tabs>
          <w:tab w:val="left" w:pos="720"/>
          <w:tab w:val="clear" w:pos="1560"/>
        </w:tabs>
        <w:adjustRightInd w:val="0"/>
        <w:snapToGrid w:val="0"/>
        <w:ind w:hanging="1560"/>
        <w:jc w:val="center"/>
        <w:rPr>
          <w:rFonts w:ascii="宋体" w:hAnsi="宋体"/>
          <w:b/>
          <w:color w:val="auto"/>
          <w:sz w:val="30"/>
          <w:szCs w:val="30"/>
          <w:highlight w:val="none"/>
        </w:rPr>
      </w:pPr>
      <w:r>
        <w:rPr>
          <w:rFonts w:hint="eastAsia" w:ascii="宋体" w:hAnsi="宋体"/>
          <w:b/>
          <w:color w:val="auto"/>
          <w:sz w:val="30"/>
          <w:szCs w:val="30"/>
          <w:highlight w:val="none"/>
        </w:rPr>
        <w:t>总则</w:t>
      </w:r>
    </w:p>
    <w:p>
      <w:pPr>
        <w:spacing w:before="156" w:beforeLines="50" w:after="156" w:afterLines="50" w:line="360" w:lineRule="auto"/>
        <w:ind w:left="601" w:hanging="601"/>
        <w:rPr>
          <w:rFonts w:ascii="宋体" w:hAnsi="宋体"/>
          <w:b/>
          <w:color w:val="auto"/>
          <w:sz w:val="28"/>
          <w:highlight w:val="none"/>
        </w:rPr>
      </w:pPr>
      <w:r>
        <w:rPr>
          <w:rFonts w:ascii="宋体" w:hAnsi="宋体"/>
          <w:b/>
          <w:color w:val="auto"/>
          <w:sz w:val="28"/>
          <w:highlight w:val="none"/>
        </w:rPr>
        <w:t>1</w:t>
      </w:r>
      <w:r>
        <w:rPr>
          <w:rFonts w:hint="eastAsia" w:ascii="宋体" w:hAnsi="宋体"/>
          <w:b/>
          <w:color w:val="auto"/>
          <w:sz w:val="28"/>
          <w:highlight w:val="none"/>
        </w:rPr>
        <w:t>、投标要求</w:t>
      </w:r>
    </w:p>
    <w:p>
      <w:pPr>
        <w:spacing w:line="360" w:lineRule="auto"/>
        <w:ind w:left="554" w:hanging="554" w:hangingChars="231"/>
        <w:rPr>
          <w:rFonts w:hint="eastAsia" w:ascii="宋体" w:hAnsi="宋体"/>
          <w:color w:val="auto"/>
          <w:sz w:val="24"/>
          <w:highlight w:val="none"/>
        </w:rPr>
      </w:pPr>
      <w:r>
        <w:rPr>
          <w:rFonts w:ascii="宋体" w:hAnsi="宋体"/>
          <w:color w:val="auto"/>
          <w:sz w:val="24"/>
          <w:highlight w:val="none"/>
        </w:rPr>
        <w:t xml:space="preserve">1.1 </w:t>
      </w:r>
      <w:r>
        <w:rPr>
          <w:rFonts w:hint="eastAsia" w:ascii="宋体" w:hAnsi="宋体"/>
          <w:color w:val="auto"/>
          <w:sz w:val="24"/>
          <w:highlight w:val="none"/>
        </w:rPr>
        <w:t xml:space="preserve"> 投标人在准备投标书时，务必在所提供的商品的技术规格文件中，标明型号、商标名称、目录号。</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pPr>
        <w:spacing w:line="360" w:lineRule="auto"/>
        <w:ind w:left="554" w:hanging="554" w:hangingChars="231"/>
        <w:rPr>
          <w:rFonts w:hint="eastAsia" w:ascii="宋体"/>
          <w:color w:val="auto"/>
          <w:sz w:val="24"/>
          <w:highlight w:val="none"/>
        </w:rPr>
      </w:pPr>
      <w:r>
        <w:rPr>
          <w:rFonts w:hint="eastAsia" w:ascii="宋体" w:hAnsi="宋体"/>
          <w:color w:val="auto"/>
          <w:sz w:val="24"/>
          <w:highlight w:val="none"/>
        </w:rPr>
        <w:t xml:space="preserve">1.3  </w:t>
      </w:r>
      <w:r>
        <w:rPr>
          <w:rFonts w:hint="eastAsia"/>
          <w:color w:val="auto"/>
          <w:sz w:val="24"/>
          <w:highlight w:val="none"/>
        </w:rPr>
        <w:t>投标人提供的</w:t>
      </w:r>
      <w:r>
        <w:rPr>
          <w:rFonts w:hint="eastAsia" w:ascii="宋体"/>
          <w:color w:val="auto"/>
          <w:sz w:val="24"/>
          <w:highlight w:val="none"/>
        </w:rPr>
        <w:t>产品</w:t>
      </w:r>
      <w:r>
        <w:rPr>
          <w:rFonts w:hint="eastAsia"/>
          <w:color w:val="auto"/>
          <w:sz w:val="24"/>
          <w:highlight w:val="none"/>
        </w:rPr>
        <w:t>样本，必须是“原件”而非复印件，</w:t>
      </w:r>
      <w:r>
        <w:rPr>
          <w:rFonts w:hint="eastAsia" w:ascii="宋体"/>
          <w:color w:val="auto"/>
          <w:sz w:val="24"/>
          <w:highlight w:val="none"/>
        </w:rPr>
        <w:t>图表、简图、电路图以及印刷电路板图等都应</w:t>
      </w:r>
      <w:r>
        <w:rPr>
          <w:rFonts w:hint="eastAsia"/>
          <w:color w:val="auto"/>
          <w:sz w:val="24"/>
          <w:highlight w:val="none"/>
        </w:rPr>
        <w:t>清晰易读。买方有权</w:t>
      </w:r>
      <w:r>
        <w:rPr>
          <w:rFonts w:hint="eastAsia" w:ascii="宋体"/>
          <w:color w:val="auto"/>
          <w:sz w:val="24"/>
          <w:highlight w:val="none"/>
        </w:rPr>
        <w:t>不付任何附加费用</w:t>
      </w:r>
      <w:r>
        <w:rPr>
          <w:rFonts w:hint="eastAsia"/>
          <w:color w:val="auto"/>
          <w:sz w:val="24"/>
          <w:highlight w:val="none"/>
        </w:rPr>
        <w:t>复制这些资料</w:t>
      </w:r>
      <w:r>
        <w:rPr>
          <w:rFonts w:hint="eastAsia" w:ascii="宋体"/>
          <w:color w:val="auto"/>
          <w:sz w:val="24"/>
          <w:highlight w:val="none"/>
        </w:rPr>
        <w:t>以供参考。</w:t>
      </w:r>
    </w:p>
    <w:p>
      <w:pPr>
        <w:spacing w:line="360" w:lineRule="auto"/>
        <w:ind w:left="554" w:hanging="554" w:hangingChars="231"/>
        <w:rPr>
          <w:rFonts w:hint="eastAsia" w:ascii="宋体"/>
          <w:color w:val="auto"/>
          <w:sz w:val="24"/>
          <w:highlight w:val="none"/>
        </w:rPr>
      </w:pPr>
      <w:r>
        <w:rPr>
          <w:rFonts w:hint="eastAsia" w:ascii="宋体"/>
          <w:color w:val="auto"/>
          <w:sz w:val="24"/>
          <w:highlight w:val="none"/>
        </w:rPr>
        <w:t>1.4  投标人的投标产品应符合国家有关部门规定的相应技术、节能、安全和环保标准；如国家有关部门对投标人的投标产品有强制性规定或要求的，则投标人的投标产品必须符合相应规定或要求。</w:t>
      </w:r>
    </w:p>
    <w:p>
      <w:pPr>
        <w:spacing w:before="156" w:beforeLines="50" w:after="156" w:afterLines="50" w:line="360" w:lineRule="auto"/>
        <w:ind w:left="601" w:hanging="601"/>
        <w:rPr>
          <w:rFonts w:ascii="宋体" w:hAnsi="宋体"/>
          <w:b/>
          <w:color w:val="auto"/>
          <w:sz w:val="28"/>
          <w:highlight w:val="none"/>
        </w:rPr>
      </w:pPr>
      <w:r>
        <w:rPr>
          <w:rFonts w:hint="eastAsia" w:ascii="宋体" w:hAnsi="宋体"/>
          <w:b/>
          <w:color w:val="auto"/>
          <w:sz w:val="28"/>
          <w:highlight w:val="none"/>
        </w:rPr>
        <w:t>2、评标标准</w:t>
      </w:r>
    </w:p>
    <w:p>
      <w:pPr>
        <w:spacing w:line="360" w:lineRule="auto"/>
        <w:ind w:left="554" w:hanging="554" w:hangingChars="231"/>
        <w:rPr>
          <w:rFonts w:hint="eastAsia" w:ascii="宋体"/>
          <w:color w:val="auto"/>
          <w:sz w:val="24"/>
          <w:highlight w:val="none"/>
        </w:rPr>
      </w:pPr>
      <w:r>
        <w:rPr>
          <w:rFonts w:ascii="宋体" w:hAnsi="宋体"/>
          <w:color w:val="auto"/>
          <w:sz w:val="24"/>
          <w:highlight w:val="none"/>
        </w:rPr>
        <w:t>2.</w:t>
      </w:r>
      <w:r>
        <w:rPr>
          <w:rFonts w:hint="eastAsia" w:ascii="宋体" w:hAnsi="宋体"/>
          <w:color w:val="auto"/>
          <w:sz w:val="24"/>
          <w:highlight w:val="none"/>
        </w:rPr>
        <w:t xml:space="preserve">1  </w:t>
      </w:r>
      <w:r>
        <w:rPr>
          <w:rFonts w:hint="eastAsia"/>
          <w:color w:val="auto"/>
          <w:sz w:val="24"/>
          <w:highlight w:val="none"/>
        </w:rPr>
        <w:t>除招标文件中指定的附件和专用工具外，</w:t>
      </w:r>
      <w:r>
        <w:rPr>
          <w:rFonts w:hint="eastAsia" w:ascii="宋体"/>
          <w:color w:val="auto"/>
          <w:sz w:val="24"/>
          <w:highlight w:val="none"/>
        </w:rPr>
        <w:t>投标人应提供仪器设备的正常运行和常规保养所需的全套标准附件、专用工具</w:t>
      </w:r>
      <w:r>
        <w:rPr>
          <w:rFonts w:hint="eastAsia"/>
          <w:color w:val="auto"/>
          <w:sz w:val="24"/>
          <w:highlight w:val="none"/>
        </w:rPr>
        <w:t>和消耗品</w:t>
      </w:r>
      <w:r>
        <w:rPr>
          <w:rFonts w:hint="eastAsia" w:ascii="宋体"/>
          <w:color w:val="auto"/>
          <w:sz w:val="24"/>
          <w:highlight w:val="none"/>
        </w:rPr>
        <w:t>。投标人在投标书中需列出这些附件和工具的数量和单价的清单，这些附件和工具的报价的总值需计入投标价中。</w:t>
      </w:r>
    </w:p>
    <w:p>
      <w:pPr>
        <w:spacing w:line="360" w:lineRule="auto"/>
        <w:ind w:left="554" w:hanging="554" w:hangingChars="231"/>
        <w:rPr>
          <w:rFonts w:hint="eastAsia"/>
          <w:color w:val="auto"/>
          <w:sz w:val="24"/>
          <w:highlight w:val="none"/>
        </w:rPr>
      </w:pPr>
      <w:r>
        <w:rPr>
          <w:rFonts w:hint="eastAsia" w:ascii="宋体" w:hAnsi="宋体"/>
          <w:color w:val="auto"/>
          <w:sz w:val="24"/>
          <w:highlight w:val="none"/>
        </w:rPr>
        <w:t xml:space="preserve">2.2  </w:t>
      </w:r>
      <w:r>
        <w:rPr>
          <w:rFonts w:hint="eastAsia"/>
          <w:color w:val="auto"/>
          <w:sz w:val="24"/>
          <w:highlight w:val="none"/>
        </w:rPr>
        <w:t>对于标书</w:t>
      </w:r>
      <w:r>
        <w:rPr>
          <w:rFonts w:hint="eastAsia" w:ascii="宋体"/>
          <w:color w:val="auto"/>
          <w:sz w:val="24"/>
          <w:highlight w:val="none"/>
        </w:rPr>
        <w:t>技术规范中已列</w:t>
      </w:r>
      <w:r>
        <w:rPr>
          <w:rFonts w:hint="eastAsia"/>
          <w:color w:val="auto"/>
          <w:sz w:val="24"/>
          <w:highlight w:val="none"/>
        </w:rPr>
        <w:t>出的作为查询选件的附件、零配件、专用工具和消耗品，投标书中</w:t>
      </w:r>
      <w:r>
        <w:rPr>
          <w:rFonts w:hint="eastAsia" w:ascii="宋体"/>
          <w:color w:val="auto"/>
          <w:sz w:val="24"/>
          <w:highlight w:val="none"/>
        </w:rPr>
        <w:t>应列明其数量、单价、总价供买方参考。投标人也可推荐买方没有要求的附件或专用工具作为选件，并列明其数量、单价、总价供买方参考。选件价格不计入评标价中。</w:t>
      </w:r>
      <w:r>
        <w:rPr>
          <w:rFonts w:hint="eastAsia"/>
          <w:color w:val="auto"/>
          <w:sz w:val="24"/>
          <w:highlight w:val="none"/>
        </w:rPr>
        <w:t>选件一旦为用户接受，其费用将加入合同价中。</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2.3  为便于用户进行接收仪器的准备工作，卖方应在合同生效后</w:t>
      </w:r>
      <w:r>
        <w:rPr>
          <w:rFonts w:hint="eastAsia" w:ascii="宋体" w:hAnsi="宋体"/>
          <w:b/>
          <w:color w:val="auto"/>
          <w:sz w:val="24"/>
          <w:highlight w:val="none"/>
        </w:rPr>
        <w:t>60</w:t>
      </w:r>
      <w:r>
        <w:rPr>
          <w:rFonts w:hint="eastAsia" w:ascii="宋体" w:hAnsi="宋体"/>
          <w:color w:val="auto"/>
          <w:sz w:val="24"/>
          <w:highlight w:val="none"/>
        </w:rPr>
        <w:t>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4</w:t>
      </w:r>
      <w:r>
        <w:rPr>
          <w:rFonts w:ascii="宋体" w:hAnsi="宋体"/>
          <w:color w:val="auto"/>
          <w:sz w:val="24"/>
          <w:highlight w:val="none"/>
        </w:rPr>
        <w:t xml:space="preserve"> </w:t>
      </w:r>
      <w:r>
        <w:rPr>
          <w:rFonts w:hint="eastAsia" w:ascii="宋体" w:hAnsi="宋体"/>
          <w:color w:val="auto"/>
          <w:sz w:val="24"/>
          <w:highlight w:val="none"/>
        </w:rPr>
        <w:t xml:space="preserve"> 关于设备的安装调试，如果有必要的安装准备条件，卖方应在合同生效后一个月内向买方提出详细的要求或计划。安装调试的费用应计入投标价中，并应单独列出，供评标使用。</w:t>
      </w:r>
    </w:p>
    <w:p>
      <w:pPr>
        <w:spacing w:line="360" w:lineRule="auto"/>
        <w:ind w:left="554" w:hanging="554" w:hangingChars="231"/>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5  制造厂家提供的培训指的是涉及货物的基本原理、操作使用和保养维修等有关内容的培训。培训教员的培训费、旅费、食宿费等费用和培训场地费及培训资料费均应由卖方支付。</w:t>
      </w:r>
    </w:p>
    <w:p>
      <w:pPr>
        <w:spacing w:before="156" w:beforeLines="50" w:after="156" w:afterLines="50" w:line="360" w:lineRule="auto"/>
        <w:ind w:left="601" w:hanging="601"/>
        <w:rPr>
          <w:rFonts w:hint="eastAsia" w:ascii="宋体" w:hAnsi="宋体"/>
          <w:b/>
          <w:color w:val="auto"/>
          <w:sz w:val="28"/>
          <w:highlight w:val="none"/>
        </w:rPr>
      </w:pPr>
      <w:r>
        <w:rPr>
          <w:rFonts w:hint="eastAsia" w:ascii="宋体" w:hAnsi="宋体"/>
          <w:b/>
          <w:color w:val="auto"/>
          <w:sz w:val="28"/>
          <w:highlight w:val="none"/>
        </w:rPr>
        <w:t>3、工作条件</w:t>
      </w:r>
    </w:p>
    <w:p>
      <w:pPr>
        <w:spacing w:after="312" w:afterLines="100" w:line="360" w:lineRule="auto"/>
        <w:rPr>
          <w:rFonts w:hint="eastAsia" w:ascii="宋体" w:hAnsi="宋体"/>
          <w:color w:val="auto"/>
          <w:sz w:val="24"/>
          <w:highlight w:val="none"/>
        </w:rPr>
      </w:pPr>
      <w:r>
        <w:rPr>
          <w:rFonts w:hint="eastAsia" w:ascii="宋体" w:hAnsi="宋体"/>
          <w:color w:val="auto"/>
          <w:sz w:val="24"/>
          <w:highlight w:val="none"/>
        </w:rPr>
        <w:t>除非在技术规格中另有说明，所有仪器、设备和系统都应符合下列要求：</w:t>
      </w:r>
      <w:r>
        <w:rPr>
          <w:rFonts w:ascii="宋体" w:hAnsi="宋体"/>
          <w:color w:val="auto"/>
          <w:sz w:val="24"/>
          <w:highlight w:val="none"/>
        </w:rPr>
        <w:t xml:space="preserve"> </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3.1  适于在气温为摄氏</w:t>
      </w:r>
      <w:r>
        <w:rPr>
          <w:rFonts w:ascii="宋体" w:hAnsi="宋体"/>
          <w:b/>
          <w:color w:val="auto"/>
          <w:sz w:val="24"/>
          <w:highlight w:val="none"/>
        </w:rPr>
        <w:t>-40</w:t>
      </w:r>
      <w:r>
        <w:rPr>
          <w:rFonts w:hint="eastAsia" w:ascii="宋体" w:hAnsi="宋体"/>
          <w:b/>
          <w:color w:val="auto"/>
          <w:sz w:val="24"/>
          <w:highlight w:val="none"/>
        </w:rPr>
        <w:t>℃～＋</w:t>
      </w:r>
      <w:r>
        <w:rPr>
          <w:rFonts w:ascii="宋体" w:hAnsi="宋体"/>
          <w:b/>
          <w:color w:val="auto"/>
          <w:sz w:val="24"/>
          <w:highlight w:val="none"/>
        </w:rPr>
        <w:t>50</w:t>
      </w:r>
      <w:r>
        <w:rPr>
          <w:rFonts w:hint="eastAsia" w:ascii="宋体" w:hAnsi="宋体"/>
          <w:b/>
          <w:color w:val="auto"/>
          <w:sz w:val="24"/>
          <w:highlight w:val="none"/>
        </w:rPr>
        <w:t>℃</w:t>
      </w:r>
      <w:r>
        <w:rPr>
          <w:rFonts w:hint="eastAsia" w:ascii="宋体" w:hAnsi="宋体"/>
          <w:color w:val="auto"/>
          <w:sz w:val="24"/>
          <w:highlight w:val="none"/>
        </w:rPr>
        <w:t>和相对湿度为</w:t>
      </w:r>
      <w:r>
        <w:rPr>
          <w:rFonts w:ascii="宋体" w:hAnsi="宋体"/>
          <w:b/>
          <w:color w:val="auto"/>
          <w:sz w:val="24"/>
          <w:highlight w:val="none"/>
        </w:rPr>
        <w:t>90</w:t>
      </w:r>
      <w:r>
        <w:rPr>
          <w:rFonts w:hint="eastAsia" w:ascii="宋体" w:hAnsi="宋体"/>
          <w:b/>
          <w:color w:val="auto"/>
          <w:sz w:val="24"/>
          <w:highlight w:val="none"/>
        </w:rPr>
        <w:t>％</w:t>
      </w:r>
      <w:r>
        <w:rPr>
          <w:rFonts w:hint="eastAsia" w:ascii="宋体" w:hAnsi="宋体"/>
          <w:color w:val="auto"/>
          <w:sz w:val="24"/>
          <w:highlight w:val="none"/>
        </w:rPr>
        <w:t>的环境条件下运输和贮存。</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3.2  适于在电源</w:t>
      </w:r>
      <w:r>
        <w:rPr>
          <w:rFonts w:ascii="宋体" w:hAnsi="宋体"/>
          <w:b/>
          <w:color w:val="auto"/>
          <w:sz w:val="24"/>
          <w:highlight w:val="none"/>
        </w:rPr>
        <w:t>220V</w:t>
      </w:r>
      <w:r>
        <w:rPr>
          <w:rFonts w:hint="eastAsia" w:ascii="宋体" w:hAnsi="宋体"/>
          <w:b/>
          <w:color w:val="auto"/>
          <w:sz w:val="24"/>
          <w:highlight w:val="none"/>
        </w:rPr>
        <w:t>（</w:t>
      </w:r>
      <w:r>
        <w:rPr>
          <w:rFonts w:ascii="宋体" w:hAnsi="宋体"/>
          <w:b/>
          <w:color w:val="auto"/>
          <w:sz w:val="24"/>
          <w:highlight w:val="none"/>
        </w:rPr>
        <w:sym w:font="Symbol" w:char="F0B1"/>
      </w:r>
      <w:r>
        <w:rPr>
          <w:rFonts w:ascii="宋体" w:hAnsi="宋体"/>
          <w:b/>
          <w:color w:val="auto"/>
          <w:sz w:val="24"/>
          <w:highlight w:val="none"/>
        </w:rPr>
        <w:t>10</w:t>
      </w:r>
      <w:r>
        <w:rPr>
          <w:rFonts w:hint="eastAsia" w:ascii="宋体" w:hAnsi="宋体"/>
          <w:b/>
          <w:color w:val="auto"/>
          <w:sz w:val="24"/>
          <w:highlight w:val="none"/>
        </w:rPr>
        <w:t>％）</w:t>
      </w:r>
      <w:r>
        <w:rPr>
          <w:rFonts w:ascii="宋体" w:hAnsi="宋体"/>
          <w:b/>
          <w:color w:val="auto"/>
          <w:sz w:val="24"/>
          <w:highlight w:val="none"/>
        </w:rPr>
        <w:t>/50Hz</w:t>
      </w:r>
      <w:r>
        <w:rPr>
          <w:rFonts w:hint="eastAsia" w:ascii="宋体" w:hAnsi="宋体"/>
          <w:color w:val="auto"/>
          <w:sz w:val="24"/>
          <w:highlight w:val="none"/>
        </w:rPr>
        <w:t>、气温摄氏</w:t>
      </w:r>
      <w:r>
        <w:rPr>
          <w:rFonts w:hint="eastAsia" w:ascii="宋体" w:hAnsi="宋体"/>
          <w:b/>
          <w:color w:val="auto"/>
          <w:sz w:val="24"/>
          <w:highlight w:val="none"/>
        </w:rPr>
        <w:t>+1</w:t>
      </w:r>
      <w:r>
        <w:rPr>
          <w:rFonts w:ascii="宋体" w:hAnsi="宋体"/>
          <w:b/>
          <w:color w:val="auto"/>
          <w:sz w:val="24"/>
          <w:highlight w:val="none"/>
        </w:rPr>
        <w:t>5</w:t>
      </w:r>
      <w:r>
        <w:rPr>
          <w:rFonts w:hint="eastAsia" w:ascii="宋体" w:hAnsi="宋体"/>
          <w:b/>
          <w:color w:val="auto"/>
          <w:sz w:val="24"/>
          <w:highlight w:val="none"/>
        </w:rPr>
        <w:t>℃～＋3</w:t>
      </w:r>
      <w:r>
        <w:rPr>
          <w:rFonts w:ascii="宋体" w:hAnsi="宋体"/>
          <w:b/>
          <w:color w:val="auto"/>
          <w:sz w:val="24"/>
          <w:highlight w:val="none"/>
        </w:rPr>
        <w:t>0</w:t>
      </w:r>
      <w:r>
        <w:rPr>
          <w:rFonts w:hint="eastAsia" w:ascii="宋体" w:hAnsi="宋体"/>
          <w:b/>
          <w:color w:val="auto"/>
          <w:sz w:val="24"/>
          <w:highlight w:val="none"/>
        </w:rPr>
        <w:t>℃</w:t>
      </w:r>
      <w:r>
        <w:rPr>
          <w:rFonts w:hint="eastAsia" w:ascii="宋体" w:hAnsi="宋体"/>
          <w:color w:val="auto"/>
          <w:sz w:val="24"/>
          <w:highlight w:val="none"/>
        </w:rPr>
        <w:t>和相对湿度小于</w:t>
      </w:r>
      <w:r>
        <w:rPr>
          <w:rFonts w:ascii="宋体" w:hAnsi="宋体"/>
          <w:b/>
          <w:color w:val="auto"/>
          <w:sz w:val="24"/>
          <w:highlight w:val="none"/>
        </w:rPr>
        <w:t>8</w:t>
      </w:r>
      <w:r>
        <w:rPr>
          <w:rFonts w:hint="eastAsia" w:ascii="宋体" w:hAnsi="宋体"/>
          <w:b/>
          <w:color w:val="auto"/>
          <w:sz w:val="24"/>
          <w:highlight w:val="none"/>
        </w:rPr>
        <w:t>0％</w:t>
      </w:r>
      <w:r>
        <w:rPr>
          <w:rFonts w:hint="eastAsia" w:ascii="宋体" w:hAnsi="宋体"/>
          <w:color w:val="auto"/>
          <w:sz w:val="24"/>
          <w:highlight w:val="none"/>
        </w:rPr>
        <w:t>的环境条件下运行。</w:t>
      </w:r>
      <w:r>
        <w:rPr>
          <w:rFonts w:hint="eastAsia" w:ascii="宋体" w:hAnsi="宋体"/>
          <w:b/>
          <w:color w:val="auto"/>
          <w:sz w:val="24"/>
          <w:highlight w:val="none"/>
        </w:rPr>
        <w:t>能够连续正常工作。</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3.3  配置符合中国有关标准要求的插头，如果没有这样的插头，则需</w:t>
      </w:r>
      <w:r>
        <w:rPr>
          <w:rFonts w:hint="eastAsia" w:ascii="宋体"/>
          <w:color w:val="auto"/>
          <w:sz w:val="24"/>
          <w:highlight w:val="none"/>
        </w:rPr>
        <w:t>提供适当的转</w:t>
      </w:r>
      <w:r>
        <w:rPr>
          <w:rFonts w:hint="eastAsia" w:ascii="宋体" w:hAnsi="宋体"/>
          <w:color w:val="auto"/>
          <w:sz w:val="24"/>
          <w:highlight w:val="none"/>
        </w:rPr>
        <w:t>换插座。</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3.4  如产品达不到上述要求，投标人应注明其偏差。如仪器设备需要特殊工作条件（如水、电源、磁场强度、温度、湿度、动强度等）投标人应在投标书中加以说明。</w:t>
      </w:r>
    </w:p>
    <w:p>
      <w:pPr>
        <w:rPr>
          <w:rFonts w:hint="eastAsia" w:eastAsia="黑体"/>
          <w:b/>
          <w:bCs/>
          <w:color w:val="auto"/>
          <w:kern w:val="44"/>
          <w:sz w:val="24"/>
          <w:highlight w:val="none"/>
        </w:rPr>
      </w:pPr>
    </w:p>
    <w:p>
      <w:pPr>
        <w:spacing w:before="156" w:beforeLines="50" w:after="156" w:afterLines="50" w:line="360" w:lineRule="auto"/>
        <w:ind w:left="601" w:hanging="601"/>
        <w:rPr>
          <w:rFonts w:hint="eastAsia" w:ascii="宋体" w:hAnsi="宋体"/>
          <w:b/>
          <w:color w:val="auto"/>
          <w:sz w:val="28"/>
          <w:highlight w:val="none"/>
        </w:rPr>
      </w:pPr>
      <w:r>
        <w:rPr>
          <w:rFonts w:hint="eastAsia" w:ascii="宋体" w:hAnsi="宋体"/>
          <w:b/>
          <w:color w:val="auto"/>
          <w:sz w:val="28"/>
          <w:highlight w:val="none"/>
        </w:rPr>
        <w:t>4、验收标准</w:t>
      </w:r>
    </w:p>
    <w:p>
      <w:pPr>
        <w:spacing w:after="312" w:afterLines="100" w:line="360" w:lineRule="auto"/>
        <w:rPr>
          <w:rFonts w:hint="eastAsia" w:ascii="宋体" w:hAnsi="宋体"/>
          <w:color w:val="auto"/>
          <w:sz w:val="24"/>
          <w:highlight w:val="none"/>
        </w:rPr>
      </w:pPr>
      <w:r>
        <w:rPr>
          <w:rFonts w:hint="eastAsia" w:ascii="宋体" w:hAnsi="宋体"/>
          <w:color w:val="auto"/>
          <w:sz w:val="24"/>
          <w:highlight w:val="none"/>
        </w:rPr>
        <w:t>除非在技术规格中另有说明，所有仪器、设备和系统按下列要求进行验收：</w:t>
      </w:r>
      <w:r>
        <w:rPr>
          <w:rFonts w:ascii="宋体" w:hAnsi="宋体"/>
          <w:color w:val="auto"/>
          <w:sz w:val="24"/>
          <w:highlight w:val="none"/>
        </w:rPr>
        <w:t xml:space="preserve"> </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4.1  仪器设备运抵安装现场后，买方将与卖方共同开箱验收</w:t>
      </w:r>
      <w:r>
        <w:rPr>
          <w:rFonts w:ascii="宋体" w:hAnsi="宋体"/>
          <w:color w:val="auto"/>
          <w:sz w:val="24"/>
          <w:highlight w:val="none"/>
        </w:rPr>
        <w:t xml:space="preserve">, </w:t>
      </w:r>
      <w:r>
        <w:rPr>
          <w:rFonts w:hint="eastAsia" w:ascii="宋体" w:hAnsi="宋体"/>
          <w:color w:val="auto"/>
          <w:sz w:val="24"/>
          <w:highlight w:val="none"/>
        </w:rPr>
        <w:t>如卖方届时不派人来</w:t>
      </w:r>
      <w:r>
        <w:rPr>
          <w:rFonts w:ascii="宋体" w:hAnsi="宋体"/>
          <w:color w:val="auto"/>
          <w:sz w:val="24"/>
          <w:highlight w:val="none"/>
        </w:rPr>
        <w:t xml:space="preserve">, </w:t>
      </w:r>
      <w:r>
        <w:rPr>
          <w:rFonts w:hint="eastAsia" w:ascii="宋体" w:hAnsi="宋体"/>
          <w:color w:val="auto"/>
          <w:sz w:val="24"/>
          <w:highlight w:val="none"/>
        </w:rPr>
        <w:t>则验收结果应以买方的验收报告为最终验收结果。验收时发现短缺、破损</w:t>
      </w:r>
      <w:r>
        <w:rPr>
          <w:rFonts w:ascii="宋体" w:hAnsi="宋体"/>
          <w:color w:val="auto"/>
          <w:sz w:val="24"/>
          <w:highlight w:val="none"/>
        </w:rPr>
        <w:t xml:space="preserve">, </w:t>
      </w:r>
      <w:r>
        <w:rPr>
          <w:rFonts w:hint="eastAsia" w:ascii="宋体" w:hAnsi="宋体"/>
          <w:color w:val="auto"/>
          <w:sz w:val="24"/>
          <w:highlight w:val="none"/>
        </w:rPr>
        <w:t>买方有权要求卖方负责更换。</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 xml:space="preserve">4.2  </w:t>
      </w:r>
      <w:r>
        <w:rPr>
          <w:rFonts w:hint="eastAsia"/>
          <w:color w:val="auto"/>
          <w:sz w:val="24"/>
          <w:highlight w:val="none"/>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hint="eastAsia" w:ascii="宋体" w:hAnsi="宋体"/>
          <w:color w:val="auto"/>
          <w:sz w:val="24"/>
          <w:highlight w:val="none"/>
        </w:rPr>
      </w:pPr>
      <w:r>
        <w:rPr>
          <w:rFonts w:hint="eastAsia" w:ascii="宋体" w:hAnsi="宋体"/>
          <w:color w:val="auto"/>
          <w:sz w:val="24"/>
          <w:highlight w:val="none"/>
        </w:rPr>
        <w:t xml:space="preserve">4.3  </w:t>
      </w:r>
      <w:r>
        <w:rPr>
          <w:rFonts w:ascii="宋体" w:hAnsi="宋体"/>
          <w:color w:val="auto"/>
          <w:sz w:val="24"/>
          <w:highlight w:val="none"/>
        </w:rPr>
        <w:t>验收由采购人、中标人及相关人员依国家有关标准、合同及有关附件要求进行，验收完毕由采购人及中标人在验收报告上签名。</w:t>
      </w:r>
    </w:p>
    <w:p>
      <w:pPr>
        <w:pStyle w:val="2"/>
        <w:spacing w:line="360" w:lineRule="auto"/>
        <w:ind w:left="410" w:hanging="410" w:hangingChars="170"/>
        <w:rPr>
          <w:rFonts w:hint="eastAsia" w:hAnsi="宋体"/>
          <w:b/>
          <w:color w:val="auto"/>
          <w:sz w:val="24"/>
          <w:szCs w:val="24"/>
          <w:highlight w:val="none"/>
        </w:rPr>
      </w:pPr>
    </w:p>
    <w:p>
      <w:pPr>
        <w:pStyle w:val="2"/>
        <w:spacing w:line="360" w:lineRule="auto"/>
        <w:ind w:left="410" w:hanging="410" w:hangingChars="170"/>
        <w:rPr>
          <w:rFonts w:hint="eastAsia" w:hAnsi="宋体"/>
          <w:b/>
          <w:color w:val="auto"/>
          <w:sz w:val="24"/>
          <w:szCs w:val="24"/>
          <w:highlight w:val="none"/>
        </w:rPr>
      </w:pPr>
      <w:r>
        <w:rPr>
          <w:rFonts w:hint="eastAsia" w:hAnsi="宋体"/>
          <w:b/>
          <w:color w:val="auto"/>
          <w:sz w:val="24"/>
          <w:szCs w:val="24"/>
          <w:highlight w:val="none"/>
        </w:rPr>
        <w:t>5、本技术规格书中标注“*”号的为实质性要求，不满足其投标将被拒绝。</w:t>
      </w:r>
    </w:p>
    <w:p>
      <w:pPr>
        <w:pStyle w:val="2"/>
        <w:spacing w:line="360" w:lineRule="auto"/>
        <w:rPr>
          <w:rFonts w:hint="eastAsia" w:hAnsi="宋体"/>
          <w:b/>
          <w:color w:val="auto"/>
          <w:sz w:val="24"/>
          <w:szCs w:val="24"/>
          <w:highlight w:val="none"/>
        </w:rPr>
      </w:pPr>
    </w:p>
    <w:p>
      <w:pPr>
        <w:pStyle w:val="2"/>
        <w:spacing w:line="360" w:lineRule="auto"/>
        <w:rPr>
          <w:rFonts w:hint="eastAsia" w:hAnsi="宋体"/>
          <w:b/>
          <w:color w:val="auto"/>
          <w:sz w:val="24"/>
          <w:szCs w:val="24"/>
          <w:highlight w:val="none"/>
        </w:rPr>
      </w:pPr>
      <w:r>
        <w:rPr>
          <w:rFonts w:hint="eastAsia" w:hAnsi="宋体"/>
          <w:b/>
          <w:color w:val="auto"/>
          <w:sz w:val="24"/>
          <w:szCs w:val="24"/>
          <w:highlight w:val="none"/>
        </w:rPr>
        <w:t>6、如在具体技术规格中有本总则不一致之处，以具体技术规格中的要求为准。</w:t>
      </w:r>
    </w:p>
    <w:p>
      <w:pPr>
        <w:pStyle w:val="2"/>
        <w:spacing w:line="360" w:lineRule="auto"/>
        <w:rPr>
          <w:rFonts w:hAnsi="宋体"/>
          <w:b/>
          <w:color w:val="auto"/>
          <w:sz w:val="24"/>
          <w:szCs w:val="24"/>
          <w:highlight w:val="none"/>
        </w:rPr>
      </w:pPr>
    </w:p>
    <w:p>
      <w:pPr>
        <w:spacing w:after="156" w:afterLines="50"/>
        <w:ind w:left="601" w:hanging="601"/>
        <w:rPr>
          <w:rFonts w:ascii="宋体" w:hAnsi="宋体"/>
          <w:b/>
          <w:color w:val="auto"/>
          <w:sz w:val="28"/>
          <w:highlight w:val="none"/>
        </w:rPr>
      </w:pPr>
      <w:r>
        <w:rPr>
          <w:rFonts w:ascii="宋体" w:hAnsi="宋体"/>
          <w:b/>
          <w:color w:val="auto"/>
          <w:sz w:val="28"/>
          <w:highlight w:val="none"/>
        </w:rPr>
        <w:br w:type="page"/>
      </w:r>
      <w:r>
        <w:rPr>
          <w:rFonts w:hint="eastAsia" w:ascii="宋体" w:hAnsi="宋体"/>
          <w:b/>
          <w:color w:val="auto"/>
          <w:sz w:val="28"/>
          <w:highlight w:val="none"/>
        </w:rPr>
        <w:t>三、具体技术规格</w:t>
      </w:r>
    </w:p>
    <w:p>
      <w:pPr>
        <w:rPr>
          <w:color w:val="auto"/>
          <w:sz w:val="24"/>
          <w:highlight w:val="none"/>
        </w:rPr>
      </w:pPr>
    </w:p>
    <w:p>
      <w:pPr>
        <w:jc w:val="center"/>
        <w:rPr>
          <w:b/>
          <w:color w:val="auto"/>
          <w:sz w:val="24"/>
          <w:highlight w:val="none"/>
        </w:rPr>
      </w:pPr>
      <w:r>
        <w:rPr>
          <w:rFonts w:hint="eastAsia"/>
          <w:b/>
          <w:color w:val="auto"/>
          <w:sz w:val="24"/>
          <w:highlight w:val="none"/>
        </w:rPr>
        <w:t>第</w:t>
      </w:r>
      <w:r>
        <w:rPr>
          <w:rFonts w:hint="eastAsia"/>
          <w:b/>
          <w:color w:val="auto"/>
          <w:sz w:val="24"/>
          <w:highlight w:val="none"/>
          <w:lang w:val="en-US" w:eastAsia="zh-CN"/>
        </w:rPr>
        <w:t>2</w:t>
      </w:r>
      <w:r>
        <w:rPr>
          <w:rFonts w:hint="eastAsia"/>
          <w:b/>
          <w:color w:val="auto"/>
          <w:sz w:val="24"/>
          <w:highlight w:val="none"/>
        </w:rPr>
        <w:t xml:space="preserve">1包 </w:t>
      </w:r>
      <w:r>
        <w:rPr>
          <w:rFonts w:hint="eastAsia"/>
          <w:b/>
          <w:bCs/>
          <w:color w:val="auto"/>
          <w:sz w:val="28"/>
          <w:szCs w:val="28"/>
          <w:highlight w:val="none"/>
        </w:rPr>
        <w:t>基质辅助激光解析电离飞行时间质谱仪</w:t>
      </w:r>
    </w:p>
    <w:p>
      <w:pPr>
        <w:rPr>
          <w:b/>
          <w:color w:val="auto"/>
          <w:sz w:val="24"/>
          <w:highlight w:val="none"/>
        </w:rPr>
      </w:pPr>
    </w:p>
    <w:p>
      <w:pPr>
        <w:rPr>
          <w:b/>
          <w:color w:val="auto"/>
          <w:sz w:val="24"/>
          <w:highlight w:val="none"/>
        </w:rPr>
      </w:pPr>
    </w:p>
    <w:p>
      <w:pPr>
        <w:numPr>
          <w:ilvl w:val="0"/>
          <w:numId w:val="2"/>
        </w:numPr>
        <w:rPr>
          <w:b/>
          <w:color w:val="auto"/>
          <w:sz w:val="24"/>
          <w:highlight w:val="none"/>
        </w:rPr>
      </w:pPr>
      <w:r>
        <w:rPr>
          <w:rFonts w:hint="eastAsia"/>
          <w:b/>
          <w:color w:val="auto"/>
          <w:sz w:val="24"/>
          <w:highlight w:val="none"/>
        </w:rPr>
        <w:t>技术要求：</w:t>
      </w:r>
    </w:p>
    <w:p>
      <w:pPr>
        <w:rPr>
          <w:b/>
          <w:color w:val="auto"/>
          <w:sz w:val="24"/>
          <w:highlight w:val="none"/>
        </w:rPr>
      </w:pPr>
    </w:p>
    <w:p>
      <w:pPr>
        <w:numPr>
          <w:ilvl w:val="0"/>
          <w:numId w:val="3"/>
        </w:numPr>
        <w:spacing w:line="360" w:lineRule="auto"/>
        <w:rPr>
          <w:b/>
          <w:color w:val="auto"/>
          <w:sz w:val="24"/>
          <w:highlight w:val="none"/>
        </w:rPr>
      </w:pPr>
      <w:r>
        <w:rPr>
          <w:rFonts w:hint="eastAsia"/>
          <w:b/>
          <w:color w:val="auto"/>
          <w:sz w:val="24"/>
          <w:highlight w:val="none"/>
        </w:rPr>
        <w:t>工作条件：</w:t>
      </w:r>
    </w:p>
    <w:p>
      <w:pPr>
        <w:spacing w:line="360" w:lineRule="auto"/>
        <w:rPr>
          <w:color w:val="auto"/>
          <w:sz w:val="24"/>
          <w:highlight w:val="none"/>
        </w:rPr>
      </w:pPr>
      <w:r>
        <w:rPr>
          <w:rFonts w:hint="eastAsia"/>
          <w:color w:val="auto"/>
          <w:sz w:val="24"/>
          <w:highlight w:val="none"/>
        </w:rPr>
        <w:t xml:space="preserve">1.1工作电压 220V 单相三线交流电；总功率约 1000 瓦（零地电压必须小于 2 伏） </w:t>
      </w:r>
    </w:p>
    <w:p>
      <w:pPr>
        <w:spacing w:line="360" w:lineRule="auto"/>
        <w:rPr>
          <w:color w:val="auto"/>
          <w:sz w:val="24"/>
          <w:highlight w:val="none"/>
        </w:rPr>
      </w:pPr>
      <w:r>
        <w:rPr>
          <w:rFonts w:hint="eastAsia"/>
          <w:color w:val="auto"/>
          <w:sz w:val="24"/>
          <w:highlight w:val="none"/>
        </w:rPr>
        <w:t>1.2环境温度：仪器最佳运行温度 21℃ ± 3℃， 波动 &lt; 3 ℃ /hour</w:t>
      </w:r>
    </w:p>
    <w:p>
      <w:pPr>
        <w:spacing w:line="360" w:lineRule="auto"/>
        <w:rPr>
          <w:color w:val="auto"/>
          <w:sz w:val="24"/>
          <w:highlight w:val="none"/>
        </w:rPr>
      </w:pPr>
      <w:r>
        <w:rPr>
          <w:rFonts w:hint="eastAsia"/>
          <w:color w:val="auto"/>
          <w:sz w:val="24"/>
          <w:highlight w:val="none"/>
        </w:rPr>
        <w:t xml:space="preserve">1.3湿度要求：30℃下 15% - 85%无结露 </w:t>
      </w:r>
    </w:p>
    <w:p>
      <w:pPr>
        <w:spacing w:line="360" w:lineRule="auto"/>
        <w:rPr>
          <w:color w:val="auto"/>
          <w:sz w:val="24"/>
          <w:highlight w:val="none"/>
        </w:rPr>
      </w:pPr>
    </w:p>
    <w:p>
      <w:pPr>
        <w:numPr>
          <w:ilvl w:val="0"/>
          <w:numId w:val="3"/>
        </w:numPr>
        <w:spacing w:line="360" w:lineRule="auto"/>
        <w:rPr>
          <w:b/>
          <w:color w:val="auto"/>
          <w:sz w:val="24"/>
          <w:highlight w:val="none"/>
        </w:rPr>
      </w:pPr>
      <w:r>
        <w:rPr>
          <w:rFonts w:hint="eastAsia"/>
          <w:b/>
          <w:color w:val="auto"/>
          <w:sz w:val="24"/>
          <w:highlight w:val="none"/>
        </w:rPr>
        <w:t>设备用途：</w:t>
      </w:r>
    </w:p>
    <w:p>
      <w:pPr>
        <w:spacing w:line="360" w:lineRule="auto"/>
        <w:rPr>
          <w:color w:val="auto"/>
          <w:sz w:val="24"/>
          <w:highlight w:val="none"/>
        </w:rPr>
      </w:pPr>
      <w:r>
        <w:rPr>
          <w:rFonts w:hint="eastAsia"/>
          <w:color w:val="auto"/>
          <w:sz w:val="24"/>
          <w:highlight w:val="none"/>
        </w:rPr>
        <w:t xml:space="preserve">2.1  用于常规化合物的分子量测定以及聚合物金属配位化合物等大分子测定表征。       </w:t>
      </w:r>
    </w:p>
    <w:p>
      <w:pPr>
        <w:spacing w:line="360" w:lineRule="auto"/>
        <w:rPr>
          <w:color w:val="auto"/>
          <w:sz w:val="24"/>
          <w:highlight w:val="none"/>
        </w:rPr>
      </w:pPr>
    </w:p>
    <w:p>
      <w:pPr>
        <w:numPr>
          <w:ilvl w:val="0"/>
          <w:numId w:val="3"/>
        </w:numPr>
        <w:spacing w:line="360" w:lineRule="auto"/>
        <w:rPr>
          <w:b/>
          <w:color w:val="auto"/>
          <w:sz w:val="24"/>
          <w:highlight w:val="none"/>
        </w:rPr>
      </w:pPr>
      <w:r>
        <w:rPr>
          <w:rFonts w:hint="eastAsia"/>
          <w:b/>
          <w:color w:val="auto"/>
          <w:sz w:val="24"/>
          <w:highlight w:val="none"/>
        </w:rPr>
        <w:t>技术规格：</w:t>
      </w:r>
    </w:p>
    <w:p>
      <w:pPr>
        <w:spacing w:line="360" w:lineRule="auto"/>
        <w:ind w:firstLine="240" w:firstLineChars="100"/>
        <w:rPr>
          <w:color w:val="auto"/>
          <w:sz w:val="24"/>
          <w:highlight w:val="none"/>
        </w:rPr>
      </w:pPr>
      <w:r>
        <w:rPr>
          <w:rFonts w:hint="eastAsia"/>
          <w:color w:val="auto"/>
          <w:sz w:val="24"/>
          <w:highlight w:val="none"/>
        </w:rPr>
        <w:t>3.1离子源</w:t>
      </w:r>
    </w:p>
    <w:p>
      <w:pPr>
        <w:spacing w:line="360" w:lineRule="auto"/>
        <w:ind w:firstLine="240" w:firstLineChars="100"/>
        <w:rPr>
          <w:color w:val="auto"/>
          <w:sz w:val="24"/>
          <w:highlight w:val="none"/>
        </w:rPr>
      </w:pPr>
      <w:r>
        <w:rPr>
          <w:rFonts w:hint="eastAsia"/>
          <w:color w:val="auto"/>
          <w:sz w:val="24"/>
          <w:highlight w:val="none"/>
        </w:rPr>
        <w:t>3.1.1样品盘采用工业标准的微滴定盘设计，可点384个样品</w:t>
      </w:r>
    </w:p>
    <w:p>
      <w:pPr>
        <w:spacing w:line="360" w:lineRule="auto"/>
        <w:ind w:firstLine="240" w:firstLineChars="100"/>
        <w:rPr>
          <w:color w:val="auto"/>
          <w:sz w:val="24"/>
          <w:highlight w:val="none"/>
        </w:rPr>
      </w:pPr>
      <w:r>
        <w:rPr>
          <w:rFonts w:hint="eastAsia"/>
          <w:color w:val="auto"/>
          <w:sz w:val="24"/>
          <w:highlight w:val="none"/>
        </w:rPr>
        <w:t xml:space="preserve">3.1.2离子源电离处为高灵敏度的无网格设计 </w:t>
      </w:r>
    </w:p>
    <w:p>
      <w:pPr>
        <w:spacing w:line="360" w:lineRule="auto"/>
        <w:ind w:firstLine="240" w:firstLineChars="100"/>
        <w:rPr>
          <w:color w:val="auto"/>
          <w:sz w:val="24"/>
          <w:highlight w:val="none"/>
        </w:rPr>
      </w:pPr>
      <w:r>
        <w:rPr>
          <w:rFonts w:hint="eastAsia"/>
          <w:color w:val="auto"/>
          <w:sz w:val="24"/>
          <w:highlight w:val="none"/>
        </w:rPr>
        <w:t xml:space="preserve">#3.1.3配备智能化红外激光自动清洗离子源装置，通过软件一键式完成离子源清洗，整个过程在15分钟内完成。 </w:t>
      </w:r>
    </w:p>
    <w:p>
      <w:pPr>
        <w:spacing w:line="360" w:lineRule="auto"/>
        <w:ind w:firstLine="240" w:firstLineChars="100"/>
        <w:rPr>
          <w:color w:val="auto"/>
          <w:sz w:val="24"/>
          <w:highlight w:val="none"/>
        </w:rPr>
      </w:pPr>
      <w:r>
        <w:rPr>
          <w:rFonts w:hint="eastAsia"/>
          <w:color w:val="auto"/>
          <w:sz w:val="24"/>
          <w:highlight w:val="none"/>
        </w:rPr>
        <w:t>3.2飞行管</w:t>
      </w:r>
    </w:p>
    <w:p>
      <w:pPr>
        <w:spacing w:line="360" w:lineRule="auto"/>
        <w:ind w:firstLine="240" w:firstLineChars="100"/>
        <w:rPr>
          <w:color w:val="auto"/>
          <w:sz w:val="24"/>
          <w:highlight w:val="none"/>
        </w:rPr>
      </w:pPr>
      <w:r>
        <w:rPr>
          <w:rFonts w:hint="eastAsia"/>
          <w:color w:val="auto"/>
          <w:sz w:val="24"/>
          <w:highlight w:val="none"/>
        </w:rPr>
        <w:t>3.2.1无轴、无网V形飞行管</w:t>
      </w:r>
    </w:p>
    <w:p>
      <w:pPr>
        <w:spacing w:line="360" w:lineRule="auto"/>
        <w:ind w:firstLine="240" w:firstLineChars="100"/>
        <w:rPr>
          <w:color w:val="auto"/>
          <w:sz w:val="24"/>
          <w:highlight w:val="none"/>
        </w:rPr>
      </w:pPr>
      <w:r>
        <w:rPr>
          <w:rFonts w:hint="eastAsia"/>
          <w:color w:val="auto"/>
          <w:sz w:val="24"/>
          <w:highlight w:val="none"/>
        </w:rPr>
        <w:t>3.2.2快速响应、高灵敏度的检测器</w:t>
      </w:r>
    </w:p>
    <w:p>
      <w:pPr>
        <w:spacing w:line="360" w:lineRule="auto"/>
        <w:ind w:firstLine="240" w:firstLineChars="100"/>
        <w:rPr>
          <w:color w:val="auto"/>
          <w:sz w:val="24"/>
          <w:highlight w:val="none"/>
        </w:rPr>
      </w:pPr>
      <w:r>
        <w:rPr>
          <w:rFonts w:hint="eastAsia"/>
          <w:color w:val="auto"/>
          <w:sz w:val="24"/>
          <w:highlight w:val="none"/>
        </w:rPr>
        <w:t>3.2.3二阶反射器实现二级聚焦（时间、空间双聚焦）</w:t>
      </w:r>
    </w:p>
    <w:p>
      <w:pPr>
        <w:spacing w:line="360" w:lineRule="auto"/>
        <w:ind w:firstLine="240" w:firstLineChars="100"/>
        <w:rPr>
          <w:color w:val="auto"/>
          <w:sz w:val="24"/>
          <w:highlight w:val="none"/>
        </w:rPr>
      </w:pPr>
      <w:r>
        <w:rPr>
          <w:rFonts w:hint="eastAsia"/>
          <w:color w:val="auto"/>
          <w:sz w:val="24"/>
          <w:highlight w:val="none"/>
        </w:rPr>
        <w:t>#3.2.4无油免维护机械泵</w:t>
      </w:r>
    </w:p>
    <w:p>
      <w:pPr>
        <w:spacing w:line="360" w:lineRule="auto"/>
        <w:ind w:firstLine="240" w:firstLineChars="100"/>
        <w:rPr>
          <w:color w:val="auto"/>
          <w:sz w:val="24"/>
          <w:highlight w:val="none"/>
        </w:rPr>
      </w:pPr>
      <w:r>
        <w:rPr>
          <w:rFonts w:hint="eastAsia"/>
          <w:color w:val="auto"/>
          <w:sz w:val="24"/>
          <w:highlight w:val="none"/>
        </w:rPr>
        <w:t>3.3激光器</w:t>
      </w:r>
    </w:p>
    <w:p>
      <w:pPr>
        <w:spacing w:line="360" w:lineRule="auto"/>
        <w:ind w:firstLine="240" w:firstLineChars="100"/>
        <w:rPr>
          <w:color w:val="auto"/>
          <w:sz w:val="24"/>
          <w:highlight w:val="none"/>
        </w:rPr>
      </w:pPr>
      <w:r>
        <w:rPr>
          <w:rFonts w:hint="eastAsia"/>
          <w:color w:val="auto"/>
          <w:sz w:val="24"/>
          <w:highlight w:val="none"/>
        </w:rPr>
        <w:t>3.3.1采用固体激光器</w:t>
      </w:r>
    </w:p>
    <w:p>
      <w:pPr>
        <w:spacing w:line="360" w:lineRule="auto"/>
        <w:ind w:firstLine="240" w:firstLineChars="100"/>
        <w:rPr>
          <w:color w:val="auto"/>
          <w:sz w:val="24"/>
          <w:highlight w:val="none"/>
        </w:rPr>
      </w:pPr>
      <w:r>
        <w:rPr>
          <w:rFonts w:hint="eastAsia"/>
          <w:color w:val="auto"/>
          <w:sz w:val="24"/>
          <w:highlight w:val="none"/>
        </w:rPr>
        <w:t xml:space="preserve">#3.3.2激光频率在1-2000Hz范围内可调，波长355nm </w:t>
      </w:r>
    </w:p>
    <w:p>
      <w:pPr>
        <w:spacing w:line="360" w:lineRule="auto"/>
        <w:ind w:firstLine="240" w:firstLineChars="100"/>
        <w:rPr>
          <w:color w:val="auto"/>
          <w:sz w:val="24"/>
          <w:highlight w:val="none"/>
        </w:rPr>
      </w:pPr>
      <w:r>
        <w:rPr>
          <w:rFonts w:hint="eastAsia"/>
          <w:color w:val="auto"/>
          <w:sz w:val="24"/>
          <w:highlight w:val="none"/>
        </w:rPr>
        <w:t>3.3.3激光聚焦点直径通过软件可调</w:t>
      </w:r>
    </w:p>
    <w:p>
      <w:pPr>
        <w:spacing w:line="360" w:lineRule="auto"/>
        <w:ind w:firstLine="240" w:firstLineChars="100"/>
        <w:rPr>
          <w:color w:val="auto"/>
          <w:sz w:val="24"/>
          <w:highlight w:val="none"/>
        </w:rPr>
      </w:pPr>
      <w:r>
        <w:rPr>
          <w:rFonts w:hint="eastAsia"/>
          <w:color w:val="auto"/>
          <w:sz w:val="24"/>
          <w:highlight w:val="none"/>
        </w:rPr>
        <w:t>3.4工作模式</w:t>
      </w:r>
    </w:p>
    <w:p>
      <w:pPr>
        <w:spacing w:line="360" w:lineRule="auto"/>
        <w:ind w:firstLine="240" w:firstLineChars="100"/>
        <w:rPr>
          <w:color w:val="auto"/>
          <w:sz w:val="24"/>
          <w:highlight w:val="none"/>
        </w:rPr>
      </w:pPr>
      <w:r>
        <w:rPr>
          <w:rFonts w:hint="eastAsia"/>
          <w:color w:val="auto"/>
          <w:sz w:val="24"/>
          <w:highlight w:val="none"/>
        </w:rPr>
        <w:t>#3.4.1具有线性和反射模式</w:t>
      </w:r>
    </w:p>
    <w:p>
      <w:pPr>
        <w:spacing w:line="360" w:lineRule="auto"/>
        <w:ind w:firstLine="240" w:firstLineChars="100"/>
        <w:rPr>
          <w:color w:val="auto"/>
          <w:sz w:val="24"/>
          <w:highlight w:val="none"/>
        </w:rPr>
      </w:pPr>
      <w:r>
        <w:rPr>
          <w:rFonts w:hint="eastAsia"/>
          <w:color w:val="auto"/>
          <w:sz w:val="24"/>
          <w:highlight w:val="none"/>
        </w:rPr>
        <w:t>3.4.2所有模式均提供正负离子检测功能</w:t>
      </w:r>
    </w:p>
    <w:p>
      <w:pPr>
        <w:spacing w:line="360" w:lineRule="auto"/>
        <w:ind w:firstLine="240" w:firstLineChars="100"/>
        <w:rPr>
          <w:color w:val="auto"/>
          <w:sz w:val="24"/>
          <w:highlight w:val="none"/>
        </w:rPr>
      </w:pPr>
      <w:r>
        <w:rPr>
          <w:rFonts w:hint="eastAsia"/>
          <w:color w:val="auto"/>
          <w:sz w:val="24"/>
          <w:highlight w:val="none"/>
        </w:rPr>
        <w:t>3.4.3电脑控制各种检测模式转换和正负离子检测模式转换</w:t>
      </w:r>
    </w:p>
    <w:p>
      <w:pPr>
        <w:spacing w:line="360" w:lineRule="auto"/>
        <w:ind w:firstLine="240" w:firstLineChars="100"/>
        <w:rPr>
          <w:color w:val="auto"/>
          <w:sz w:val="24"/>
          <w:highlight w:val="none"/>
        </w:rPr>
      </w:pPr>
      <w:r>
        <w:rPr>
          <w:rFonts w:hint="eastAsia"/>
          <w:color w:val="auto"/>
          <w:sz w:val="24"/>
          <w:highlight w:val="none"/>
        </w:rPr>
        <w:t>#3.5模数转换器</w:t>
      </w:r>
    </w:p>
    <w:p>
      <w:pPr>
        <w:spacing w:line="360" w:lineRule="auto"/>
        <w:ind w:firstLine="240" w:firstLineChars="100"/>
        <w:rPr>
          <w:color w:val="auto"/>
          <w:sz w:val="24"/>
          <w:highlight w:val="none"/>
        </w:rPr>
      </w:pPr>
      <w:r>
        <w:rPr>
          <w:rFonts w:hint="eastAsia"/>
          <w:color w:val="auto"/>
          <w:sz w:val="24"/>
          <w:highlight w:val="none"/>
        </w:rPr>
        <w:t>配备高性能、快速的 &gt;4G 的模数转换器</w:t>
      </w:r>
    </w:p>
    <w:p>
      <w:pPr>
        <w:spacing w:line="360" w:lineRule="auto"/>
        <w:ind w:firstLine="240" w:firstLineChars="100"/>
        <w:rPr>
          <w:color w:val="auto"/>
          <w:sz w:val="24"/>
          <w:highlight w:val="none"/>
        </w:rPr>
      </w:pPr>
      <w:r>
        <w:rPr>
          <w:rFonts w:hint="eastAsia"/>
          <w:color w:val="auto"/>
          <w:sz w:val="24"/>
          <w:highlight w:val="none"/>
        </w:rPr>
        <w:t>3.6离子碎裂模式</w:t>
      </w:r>
    </w:p>
    <w:p>
      <w:pPr>
        <w:spacing w:line="360" w:lineRule="auto"/>
        <w:ind w:firstLine="240" w:firstLineChars="100"/>
        <w:rPr>
          <w:color w:val="auto"/>
          <w:sz w:val="24"/>
          <w:highlight w:val="none"/>
        </w:rPr>
      </w:pPr>
      <w:r>
        <w:rPr>
          <w:rFonts w:hint="eastAsia"/>
          <w:color w:val="auto"/>
          <w:sz w:val="24"/>
          <w:highlight w:val="none"/>
        </w:rPr>
        <w:t>具有CID和ISD两种MS/MS模式，可通过软件控制。</w:t>
      </w:r>
    </w:p>
    <w:p>
      <w:pPr>
        <w:spacing w:line="360" w:lineRule="auto"/>
        <w:ind w:firstLine="240" w:firstLineChars="100"/>
        <w:rPr>
          <w:color w:val="auto"/>
          <w:sz w:val="24"/>
          <w:highlight w:val="none"/>
        </w:rPr>
      </w:pPr>
      <w:r>
        <w:rPr>
          <w:rFonts w:hint="eastAsia"/>
          <w:color w:val="auto"/>
          <w:sz w:val="24"/>
          <w:highlight w:val="none"/>
        </w:rPr>
        <w:t>3.7能量碰撞室 (Collision Cell)</w:t>
      </w:r>
    </w:p>
    <w:p>
      <w:pPr>
        <w:spacing w:line="360" w:lineRule="auto"/>
        <w:ind w:firstLine="240" w:firstLineChars="100"/>
        <w:rPr>
          <w:color w:val="auto"/>
          <w:sz w:val="24"/>
          <w:highlight w:val="none"/>
        </w:rPr>
      </w:pPr>
      <w:r>
        <w:rPr>
          <w:rFonts w:hint="eastAsia"/>
          <w:color w:val="auto"/>
          <w:sz w:val="24"/>
          <w:highlight w:val="none"/>
        </w:rPr>
        <w:t xml:space="preserve">提供高能量碰撞使样品产生多种碎片离子峰，区分多肽/多糖精细结构差异 </w:t>
      </w:r>
    </w:p>
    <w:p>
      <w:pPr>
        <w:spacing w:line="360" w:lineRule="auto"/>
        <w:ind w:firstLine="240" w:firstLineChars="100"/>
        <w:rPr>
          <w:color w:val="auto"/>
          <w:sz w:val="24"/>
          <w:highlight w:val="none"/>
        </w:rPr>
      </w:pPr>
      <w:r>
        <w:rPr>
          <w:rFonts w:hint="eastAsia"/>
          <w:color w:val="auto"/>
          <w:sz w:val="24"/>
          <w:highlight w:val="none"/>
        </w:rPr>
        <w:t>3.8自诊断系统</w:t>
      </w:r>
    </w:p>
    <w:p>
      <w:pPr>
        <w:spacing w:line="360" w:lineRule="auto"/>
        <w:ind w:firstLine="240" w:firstLineChars="100"/>
        <w:rPr>
          <w:color w:val="auto"/>
          <w:sz w:val="24"/>
          <w:highlight w:val="none"/>
        </w:rPr>
      </w:pPr>
      <w:r>
        <w:rPr>
          <w:rFonts w:hint="eastAsia"/>
          <w:color w:val="auto"/>
          <w:sz w:val="24"/>
          <w:highlight w:val="none"/>
        </w:rPr>
        <w:t>提供自动化的自诊断程序，使仪器可进行方便、快速的全自动自我诊断。</w:t>
      </w:r>
    </w:p>
    <w:p>
      <w:pPr>
        <w:spacing w:line="360" w:lineRule="auto"/>
        <w:ind w:firstLine="240" w:firstLineChars="100"/>
        <w:rPr>
          <w:color w:val="auto"/>
          <w:sz w:val="24"/>
          <w:highlight w:val="none"/>
        </w:rPr>
      </w:pPr>
      <w:r>
        <w:rPr>
          <w:rFonts w:hint="eastAsia"/>
          <w:color w:val="auto"/>
          <w:sz w:val="24"/>
          <w:highlight w:val="none"/>
        </w:rPr>
        <w:t>3.9远程监控：提供安全的ISDN点对点连接，实现远程服务。</w:t>
      </w:r>
    </w:p>
    <w:p>
      <w:pPr>
        <w:spacing w:line="360" w:lineRule="auto"/>
        <w:ind w:firstLine="240" w:firstLineChars="100"/>
        <w:rPr>
          <w:color w:val="auto"/>
          <w:sz w:val="24"/>
          <w:highlight w:val="none"/>
        </w:rPr>
      </w:pPr>
      <w:r>
        <w:rPr>
          <w:rFonts w:hint="eastAsia"/>
          <w:color w:val="auto"/>
          <w:sz w:val="24"/>
          <w:highlight w:val="none"/>
        </w:rPr>
        <w:t>3.10仪器控制与数据处理软件包</w:t>
      </w:r>
    </w:p>
    <w:p>
      <w:pPr>
        <w:spacing w:line="360" w:lineRule="auto"/>
        <w:ind w:firstLine="240" w:firstLineChars="100"/>
        <w:rPr>
          <w:color w:val="auto"/>
          <w:sz w:val="24"/>
          <w:highlight w:val="none"/>
        </w:rPr>
      </w:pPr>
      <w:r>
        <w:rPr>
          <w:rFonts w:hint="eastAsia"/>
          <w:color w:val="auto"/>
          <w:sz w:val="24"/>
          <w:highlight w:val="none"/>
        </w:rPr>
        <w:t>3.10.1基于Window 的仪器控制系统</w:t>
      </w:r>
    </w:p>
    <w:p>
      <w:pPr>
        <w:spacing w:line="360" w:lineRule="auto"/>
        <w:ind w:firstLine="240" w:firstLineChars="100"/>
        <w:rPr>
          <w:color w:val="auto"/>
          <w:sz w:val="24"/>
          <w:highlight w:val="none"/>
        </w:rPr>
      </w:pPr>
      <w:r>
        <w:rPr>
          <w:rFonts w:hint="eastAsia"/>
          <w:color w:val="auto"/>
          <w:sz w:val="24"/>
          <w:highlight w:val="none"/>
        </w:rPr>
        <w:t>3.10.2软件包：包括仪器控制、数据采集和数据处理集一体的软件以及质谱数据分析处理软件。</w:t>
      </w:r>
    </w:p>
    <w:p>
      <w:pPr>
        <w:spacing w:line="360" w:lineRule="auto"/>
        <w:ind w:firstLine="240" w:firstLineChars="100"/>
        <w:rPr>
          <w:color w:val="auto"/>
          <w:sz w:val="24"/>
          <w:highlight w:val="none"/>
        </w:rPr>
      </w:pPr>
      <w:r>
        <w:rPr>
          <w:rFonts w:hint="eastAsia"/>
          <w:color w:val="auto"/>
          <w:sz w:val="24"/>
          <w:highlight w:val="none"/>
        </w:rPr>
        <w:t>3.10.3自动化数据采集利用模糊逻辑算法，具有人工智能，可根据样品的信号强度和分辨率自动调整激光能量、采集次数和采集位置。</w:t>
      </w:r>
    </w:p>
    <w:p>
      <w:pPr>
        <w:spacing w:line="360" w:lineRule="auto"/>
        <w:ind w:firstLine="240" w:firstLineChars="100"/>
        <w:rPr>
          <w:color w:val="auto"/>
          <w:sz w:val="24"/>
          <w:highlight w:val="none"/>
        </w:rPr>
      </w:pPr>
      <w:r>
        <w:rPr>
          <w:rFonts w:hint="eastAsia"/>
          <w:color w:val="auto"/>
          <w:sz w:val="24"/>
          <w:highlight w:val="none"/>
        </w:rPr>
        <w:t>3.10.4信号采集及数据处理可实现自动化，保持高质量一致的数据结果。</w:t>
      </w:r>
    </w:p>
    <w:p>
      <w:pPr>
        <w:spacing w:line="360" w:lineRule="auto"/>
        <w:ind w:firstLine="240" w:firstLineChars="100"/>
        <w:rPr>
          <w:color w:val="auto"/>
          <w:sz w:val="24"/>
          <w:highlight w:val="none"/>
        </w:rPr>
      </w:pPr>
      <w:r>
        <w:rPr>
          <w:rFonts w:hint="eastAsia"/>
          <w:color w:val="auto"/>
          <w:sz w:val="24"/>
          <w:highlight w:val="none"/>
        </w:rPr>
        <w:t>3.11 技术指标</w:t>
      </w:r>
    </w:p>
    <w:p>
      <w:pPr>
        <w:spacing w:line="360" w:lineRule="auto"/>
        <w:ind w:firstLine="240" w:firstLineChars="100"/>
        <w:rPr>
          <w:color w:val="auto"/>
          <w:sz w:val="24"/>
          <w:highlight w:val="none"/>
        </w:rPr>
      </w:pPr>
      <w:r>
        <w:rPr>
          <w:rFonts w:hint="eastAsia"/>
          <w:color w:val="auto"/>
          <w:sz w:val="24"/>
          <w:highlight w:val="none"/>
        </w:rPr>
        <w:t>*3.11.1质量范围： 50-500,000 Da</w:t>
      </w:r>
    </w:p>
    <w:p>
      <w:pPr>
        <w:spacing w:line="360" w:lineRule="auto"/>
        <w:ind w:firstLine="240" w:firstLineChars="100"/>
        <w:rPr>
          <w:color w:val="auto"/>
          <w:sz w:val="24"/>
          <w:highlight w:val="none"/>
        </w:rPr>
      </w:pPr>
      <w:r>
        <w:rPr>
          <w:rFonts w:hint="eastAsia"/>
          <w:color w:val="auto"/>
          <w:sz w:val="24"/>
          <w:highlight w:val="none"/>
        </w:rPr>
        <w:t xml:space="preserve">*3.11.2分辨率：线性模式 ≥ 1,100 (cytochrome C, m/z 12361)；反射模式 &gt; 26,000 (多肽) </w:t>
      </w:r>
    </w:p>
    <w:p>
      <w:pPr>
        <w:spacing w:line="360" w:lineRule="auto"/>
        <w:ind w:firstLine="240" w:firstLineChars="100"/>
        <w:rPr>
          <w:color w:val="auto"/>
          <w:sz w:val="24"/>
          <w:highlight w:val="none"/>
        </w:rPr>
      </w:pPr>
      <w:r>
        <w:rPr>
          <w:rFonts w:hint="eastAsia"/>
          <w:color w:val="auto"/>
          <w:sz w:val="24"/>
          <w:highlight w:val="none"/>
        </w:rPr>
        <w:t>*3.11.3 灵敏度</w:t>
      </w:r>
    </w:p>
    <w:p>
      <w:pPr>
        <w:spacing w:line="360" w:lineRule="auto"/>
        <w:ind w:firstLine="240" w:firstLineChars="100"/>
        <w:rPr>
          <w:color w:val="auto"/>
          <w:sz w:val="24"/>
          <w:highlight w:val="none"/>
        </w:rPr>
      </w:pPr>
      <w:r>
        <w:rPr>
          <w:rFonts w:hint="eastAsia"/>
          <w:color w:val="auto"/>
          <w:sz w:val="24"/>
          <w:highlight w:val="none"/>
        </w:rPr>
        <w:t>线性模式 500fmol，信噪比&gt; 100:1 （蛋白BSA）</w:t>
      </w:r>
    </w:p>
    <w:p>
      <w:pPr>
        <w:spacing w:line="360" w:lineRule="auto"/>
        <w:ind w:firstLine="240" w:firstLineChars="100"/>
        <w:rPr>
          <w:color w:val="auto"/>
          <w:sz w:val="24"/>
          <w:highlight w:val="none"/>
        </w:rPr>
      </w:pPr>
      <w:r>
        <w:rPr>
          <w:rFonts w:hint="eastAsia"/>
          <w:color w:val="auto"/>
          <w:sz w:val="24"/>
          <w:highlight w:val="none"/>
        </w:rPr>
        <w:t>反射模式的灵敏度:  250amol，信噪比&gt; 100:1 （多肽）</w:t>
      </w:r>
    </w:p>
    <w:p>
      <w:pPr>
        <w:spacing w:line="360" w:lineRule="auto"/>
        <w:ind w:firstLine="240" w:firstLineChars="100"/>
        <w:rPr>
          <w:color w:val="auto"/>
          <w:sz w:val="24"/>
          <w:highlight w:val="none"/>
        </w:rPr>
      </w:pPr>
      <w:r>
        <w:rPr>
          <w:rFonts w:hint="eastAsia"/>
          <w:color w:val="auto"/>
          <w:sz w:val="24"/>
          <w:highlight w:val="none"/>
        </w:rPr>
        <w:t>3.11.4  质量准确度（均值）</w:t>
      </w:r>
    </w:p>
    <w:p>
      <w:pPr>
        <w:spacing w:line="360" w:lineRule="auto"/>
        <w:ind w:firstLine="240" w:firstLineChars="100"/>
        <w:rPr>
          <w:color w:val="auto"/>
          <w:sz w:val="24"/>
          <w:highlight w:val="none"/>
        </w:rPr>
      </w:pPr>
      <w:r>
        <w:rPr>
          <w:rFonts w:hint="eastAsia"/>
          <w:color w:val="auto"/>
          <w:sz w:val="24"/>
          <w:highlight w:val="none"/>
        </w:rPr>
        <w:t>反射模式：内标法 ≤ 2 ppm；外标法 ≤ 10 ppm</w:t>
      </w:r>
    </w:p>
    <w:p>
      <w:pPr>
        <w:spacing w:line="360" w:lineRule="auto"/>
        <w:ind w:firstLine="240" w:firstLineChars="100"/>
        <w:rPr>
          <w:color w:val="auto"/>
          <w:sz w:val="24"/>
          <w:highlight w:val="none"/>
        </w:rPr>
      </w:pPr>
      <w:r>
        <w:rPr>
          <w:rFonts w:hint="eastAsia"/>
          <w:color w:val="auto"/>
          <w:sz w:val="24"/>
          <w:highlight w:val="none"/>
        </w:rPr>
        <w:t>3.11.5  串联质谱（FAST/PSD）性能</w:t>
      </w:r>
    </w:p>
    <w:p>
      <w:pPr>
        <w:spacing w:line="360" w:lineRule="auto"/>
        <w:ind w:firstLine="240" w:firstLineChars="100"/>
        <w:rPr>
          <w:color w:val="auto"/>
          <w:sz w:val="24"/>
          <w:highlight w:val="none"/>
        </w:rPr>
      </w:pPr>
      <w:r>
        <w:rPr>
          <w:rFonts w:hint="eastAsia"/>
          <w:color w:val="auto"/>
          <w:sz w:val="24"/>
          <w:highlight w:val="none"/>
        </w:rPr>
        <w:t>3.11.5.1 拥有CID（collsion induced dissociation）和ISD（in source decay）串联质谱功能</w:t>
      </w:r>
    </w:p>
    <w:p>
      <w:pPr>
        <w:spacing w:line="360" w:lineRule="auto"/>
        <w:ind w:firstLine="240" w:firstLineChars="100"/>
        <w:rPr>
          <w:color w:val="auto"/>
          <w:sz w:val="24"/>
          <w:highlight w:val="none"/>
        </w:rPr>
      </w:pPr>
      <w:r>
        <w:rPr>
          <w:rFonts w:hint="eastAsia"/>
          <w:color w:val="auto"/>
          <w:sz w:val="24"/>
          <w:highlight w:val="none"/>
        </w:rPr>
        <w:t>3.11.5.2 串联质谱模式灵敏度：1pmol Substance P(m/z 1,347)，碎片峰650.4Da，S/N&gt;10:1</w:t>
      </w:r>
    </w:p>
    <w:p>
      <w:pPr>
        <w:spacing w:line="360" w:lineRule="auto"/>
        <w:ind w:firstLine="240" w:firstLineChars="100"/>
        <w:rPr>
          <w:color w:val="auto"/>
          <w:sz w:val="24"/>
          <w:highlight w:val="none"/>
        </w:rPr>
      </w:pPr>
      <w:r>
        <w:rPr>
          <w:rFonts w:hint="eastAsia"/>
          <w:color w:val="auto"/>
          <w:sz w:val="24"/>
          <w:highlight w:val="none"/>
        </w:rPr>
        <w:t>3.11.5.3 离子源内衰减功能（ISD）</w:t>
      </w:r>
    </w:p>
    <w:p>
      <w:pPr>
        <w:spacing w:line="360" w:lineRule="auto"/>
        <w:ind w:firstLine="240" w:firstLineChars="100"/>
        <w:rPr>
          <w:color w:val="auto"/>
          <w:sz w:val="24"/>
          <w:highlight w:val="none"/>
        </w:rPr>
      </w:pPr>
      <w:r>
        <w:rPr>
          <w:rFonts w:hint="eastAsia"/>
          <w:color w:val="auto"/>
          <w:sz w:val="24"/>
          <w:highlight w:val="none"/>
        </w:rPr>
        <w:t>ISD对大蛋白样品可不需酶解直接进行检测。</w:t>
      </w:r>
    </w:p>
    <w:p>
      <w:pPr>
        <w:spacing w:line="360" w:lineRule="auto"/>
        <w:ind w:firstLine="480"/>
        <w:rPr>
          <w:color w:val="auto"/>
          <w:sz w:val="24"/>
          <w:highlight w:val="none"/>
        </w:rPr>
      </w:pPr>
    </w:p>
    <w:p>
      <w:pPr>
        <w:spacing w:line="360" w:lineRule="auto"/>
        <w:rPr>
          <w:b/>
          <w:color w:val="auto"/>
          <w:sz w:val="24"/>
          <w:highlight w:val="none"/>
        </w:rPr>
      </w:pPr>
      <w:r>
        <w:rPr>
          <w:rFonts w:hint="eastAsia"/>
          <w:b/>
          <w:color w:val="auto"/>
          <w:sz w:val="24"/>
          <w:highlight w:val="none"/>
        </w:rPr>
        <w:t>4. 产品配置要求</w:t>
      </w:r>
    </w:p>
    <w:p>
      <w:pPr>
        <w:spacing w:line="360" w:lineRule="auto"/>
        <w:ind w:left="523" w:hanging="523" w:hangingChars="218"/>
        <w:rPr>
          <w:color w:val="auto"/>
          <w:sz w:val="24"/>
          <w:highlight w:val="none"/>
        </w:rPr>
      </w:pPr>
      <w:r>
        <w:rPr>
          <w:rFonts w:hint="eastAsia"/>
          <w:color w:val="auto"/>
          <w:sz w:val="24"/>
          <w:highlight w:val="none"/>
        </w:rPr>
        <w:t>4.1基质辅助激光解析电离飞行时间质谱仪主机</w:t>
      </w:r>
    </w:p>
    <w:p>
      <w:pPr>
        <w:spacing w:line="360" w:lineRule="auto"/>
        <w:ind w:left="523" w:hanging="523" w:hangingChars="218"/>
        <w:rPr>
          <w:color w:val="auto"/>
          <w:sz w:val="24"/>
          <w:highlight w:val="none"/>
        </w:rPr>
      </w:pPr>
      <w:r>
        <w:rPr>
          <w:rFonts w:hint="eastAsia"/>
          <w:color w:val="auto"/>
          <w:sz w:val="24"/>
          <w:highlight w:val="none"/>
        </w:rPr>
        <w:t>4.2仪器控制软件和电脑</w:t>
      </w:r>
    </w:p>
    <w:p>
      <w:pPr>
        <w:spacing w:line="360" w:lineRule="auto"/>
        <w:ind w:left="523" w:hanging="523" w:hangingChars="218"/>
        <w:rPr>
          <w:color w:val="auto"/>
          <w:sz w:val="24"/>
          <w:highlight w:val="none"/>
        </w:rPr>
      </w:pPr>
      <w:r>
        <w:rPr>
          <w:rFonts w:hint="eastAsia"/>
          <w:color w:val="auto"/>
          <w:sz w:val="24"/>
          <w:highlight w:val="none"/>
        </w:rPr>
        <w:t>4.3聚合物分析软件</w:t>
      </w:r>
    </w:p>
    <w:p>
      <w:pPr>
        <w:spacing w:line="360" w:lineRule="auto"/>
        <w:ind w:left="523" w:hanging="523" w:hangingChars="218"/>
        <w:rPr>
          <w:color w:val="auto"/>
          <w:sz w:val="24"/>
          <w:highlight w:val="none"/>
        </w:rPr>
      </w:pPr>
      <w:r>
        <w:rPr>
          <w:rFonts w:hint="eastAsia"/>
          <w:color w:val="auto"/>
          <w:sz w:val="24"/>
          <w:highlight w:val="none"/>
        </w:rPr>
        <w:t>4.4耗材包：靶托一块，靶板两块，多肽混合标品，蛋白混合标品各一盒，三种基质各一盒。</w:t>
      </w:r>
    </w:p>
    <w:p>
      <w:pPr>
        <w:spacing w:line="360" w:lineRule="auto"/>
        <w:ind w:left="523" w:hanging="523" w:hangingChars="218"/>
        <w:rPr>
          <w:color w:val="auto"/>
          <w:sz w:val="24"/>
          <w:highlight w:val="none"/>
        </w:rPr>
      </w:pPr>
      <w:r>
        <w:rPr>
          <w:rFonts w:hint="eastAsia"/>
          <w:color w:val="auto"/>
          <w:sz w:val="24"/>
          <w:highlight w:val="none"/>
        </w:rPr>
        <w:t xml:space="preserve">        </w:t>
      </w:r>
    </w:p>
    <w:p>
      <w:pPr>
        <w:tabs>
          <w:tab w:val="left" w:pos="540"/>
        </w:tabs>
        <w:spacing w:line="360" w:lineRule="auto"/>
        <w:rPr>
          <w:b/>
          <w:color w:val="auto"/>
          <w:sz w:val="24"/>
          <w:highlight w:val="none"/>
        </w:rPr>
      </w:pPr>
      <w:r>
        <w:rPr>
          <w:rFonts w:hint="eastAsia"/>
          <w:b/>
          <w:color w:val="auto"/>
          <w:sz w:val="24"/>
          <w:highlight w:val="none"/>
        </w:rPr>
        <w:t>5.技术文件</w:t>
      </w:r>
    </w:p>
    <w:p>
      <w:pPr>
        <w:spacing w:line="360" w:lineRule="auto"/>
        <w:ind w:left="523" w:hanging="523" w:hangingChars="218"/>
        <w:rPr>
          <w:color w:val="auto"/>
          <w:sz w:val="24"/>
          <w:highlight w:val="none"/>
        </w:rPr>
      </w:pPr>
      <w:r>
        <w:rPr>
          <w:rFonts w:hint="eastAsia"/>
          <w:color w:val="auto"/>
          <w:sz w:val="24"/>
          <w:highlight w:val="none"/>
        </w:rPr>
        <w:t>5.1 投标人应提供仪器主体及主要附件的详细的操作，安装，及调整说明书。</w:t>
      </w:r>
    </w:p>
    <w:p>
      <w:pPr>
        <w:spacing w:line="360" w:lineRule="auto"/>
        <w:ind w:left="523" w:hanging="523" w:hangingChars="218"/>
        <w:rPr>
          <w:color w:val="auto"/>
          <w:sz w:val="24"/>
          <w:highlight w:val="none"/>
        </w:rPr>
      </w:pPr>
      <w:r>
        <w:rPr>
          <w:rFonts w:hint="eastAsia"/>
          <w:color w:val="auto"/>
          <w:sz w:val="24"/>
          <w:highlight w:val="none"/>
        </w:rPr>
        <w:t>5.2 投标人应提供仪器使用软件的所有说明书。</w:t>
      </w:r>
    </w:p>
    <w:p>
      <w:pPr>
        <w:spacing w:line="360" w:lineRule="auto"/>
        <w:ind w:left="523" w:hanging="523" w:hangingChars="218"/>
        <w:rPr>
          <w:color w:val="auto"/>
          <w:sz w:val="24"/>
          <w:highlight w:val="none"/>
        </w:rPr>
      </w:pPr>
      <w:r>
        <w:rPr>
          <w:rFonts w:hint="eastAsia"/>
          <w:color w:val="auto"/>
          <w:sz w:val="24"/>
          <w:highlight w:val="none"/>
        </w:rPr>
        <w:t>5.3 投标人应提供电子版说明书。</w:t>
      </w:r>
    </w:p>
    <w:p>
      <w:pPr>
        <w:spacing w:line="360" w:lineRule="auto"/>
        <w:ind w:left="523" w:hanging="523" w:hangingChars="218"/>
        <w:rPr>
          <w:color w:val="auto"/>
          <w:sz w:val="24"/>
          <w:highlight w:val="none"/>
        </w:rPr>
      </w:pPr>
      <w:r>
        <w:rPr>
          <w:rFonts w:hint="eastAsia"/>
          <w:color w:val="auto"/>
          <w:sz w:val="24"/>
          <w:highlight w:val="none"/>
        </w:rPr>
        <w:t>5.4 投标人应提供仪器使用软件的备份。</w:t>
      </w:r>
    </w:p>
    <w:p>
      <w:pPr>
        <w:spacing w:line="360" w:lineRule="auto"/>
        <w:ind w:left="523" w:hanging="523" w:hangingChars="218"/>
        <w:rPr>
          <w:color w:val="auto"/>
          <w:sz w:val="24"/>
          <w:highlight w:val="none"/>
        </w:rPr>
      </w:pPr>
      <w:r>
        <w:rPr>
          <w:rFonts w:hint="eastAsia"/>
          <w:color w:val="auto"/>
          <w:sz w:val="24"/>
          <w:highlight w:val="none"/>
        </w:rPr>
        <w:t>5.5 提供维护操作手册。</w:t>
      </w:r>
    </w:p>
    <w:p>
      <w:pPr>
        <w:spacing w:line="360" w:lineRule="auto"/>
        <w:rPr>
          <w:color w:val="auto"/>
          <w:sz w:val="24"/>
          <w:highlight w:val="none"/>
        </w:rPr>
      </w:pPr>
    </w:p>
    <w:p>
      <w:pPr>
        <w:spacing w:line="360" w:lineRule="auto"/>
        <w:rPr>
          <w:b/>
          <w:color w:val="auto"/>
          <w:sz w:val="24"/>
          <w:highlight w:val="none"/>
        </w:rPr>
      </w:pPr>
      <w:r>
        <w:rPr>
          <w:rFonts w:hint="eastAsia"/>
          <w:b/>
          <w:color w:val="auto"/>
          <w:sz w:val="24"/>
          <w:highlight w:val="none"/>
        </w:rPr>
        <w:t>（二）质保及售后服务：</w:t>
      </w:r>
    </w:p>
    <w:p>
      <w:pPr>
        <w:spacing w:line="360" w:lineRule="auto"/>
        <w:rPr>
          <w:color w:val="auto"/>
          <w:sz w:val="24"/>
          <w:highlight w:val="none"/>
        </w:rPr>
      </w:pPr>
      <w:r>
        <w:rPr>
          <w:rFonts w:hint="eastAsia"/>
          <w:color w:val="auto"/>
          <w:sz w:val="24"/>
          <w:highlight w:val="none"/>
        </w:rPr>
        <w:t xml:space="preserve">1.1 设备安装、调试和验收 </w:t>
      </w:r>
    </w:p>
    <w:p>
      <w:pPr>
        <w:spacing w:line="360" w:lineRule="auto"/>
        <w:rPr>
          <w:color w:val="auto"/>
          <w:sz w:val="24"/>
          <w:highlight w:val="none"/>
        </w:rPr>
      </w:pPr>
      <w:r>
        <w:rPr>
          <w:rFonts w:hint="eastAsia"/>
          <w:color w:val="auto"/>
          <w:sz w:val="24"/>
          <w:highlight w:val="none"/>
        </w:rPr>
        <w:t>1.1.1 卖方应在合同生效后的1个月内到向买方提出详细的安装要求并提供技术咨询。</w:t>
      </w:r>
    </w:p>
    <w:p>
      <w:pPr>
        <w:spacing w:line="360" w:lineRule="auto"/>
        <w:rPr>
          <w:color w:val="auto"/>
          <w:sz w:val="24"/>
          <w:highlight w:val="none"/>
        </w:rPr>
      </w:pPr>
      <w:r>
        <w:rPr>
          <w:rFonts w:hint="eastAsia"/>
          <w:color w:val="auto"/>
          <w:sz w:val="24"/>
          <w:highlight w:val="none"/>
        </w:rPr>
        <w:t>1.1.2 仪器到达买方所在地后，在接到买方通知后2周内卖方进行安装调试，并在1个月内完成所有技术指标。若1个月内无法达到技术指标，买方有权退货，此时卖方必须全额退回买方已支付的款项，同时承担由此给买方带来的一切经济损失和其它相关责任。</w:t>
      </w:r>
    </w:p>
    <w:p>
      <w:pPr>
        <w:spacing w:line="360" w:lineRule="auto"/>
        <w:rPr>
          <w:color w:val="auto"/>
          <w:sz w:val="24"/>
          <w:highlight w:val="none"/>
        </w:rPr>
      </w:pPr>
      <w:r>
        <w:rPr>
          <w:rFonts w:hint="eastAsia"/>
          <w:color w:val="auto"/>
          <w:sz w:val="24"/>
          <w:highlight w:val="none"/>
        </w:rPr>
        <w:t>1.1.3 仪器到达买方现场后，买方提供常规的单相220V/50Hz电源；卖方提供所有仪器的连接件和连接件电缆及各种必需的附件/软件，达到进行安装调试时不需要买方提供任何零配件的情况下完成所有系统技术指标。</w:t>
      </w:r>
    </w:p>
    <w:p>
      <w:pPr>
        <w:spacing w:line="360" w:lineRule="auto"/>
        <w:rPr>
          <w:color w:val="auto"/>
          <w:sz w:val="24"/>
          <w:highlight w:val="none"/>
        </w:rPr>
      </w:pPr>
      <w:r>
        <w:rPr>
          <w:rFonts w:hint="eastAsia"/>
          <w:color w:val="auto"/>
          <w:sz w:val="24"/>
          <w:highlight w:val="none"/>
        </w:rPr>
        <w:t>1.2 质量保证：卖方保证所提供产品是全新的、其功能与指标满足制造商的技术标准，并保证无条件满足中华人民共和国国家强制性执行标准，确保人身安全和劳动保护条件。</w:t>
      </w:r>
    </w:p>
    <w:p>
      <w:pPr>
        <w:spacing w:line="360" w:lineRule="auto"/>
        <w:rPr>
          <w:color w:val="auto"/>
          <w:sz w:val="24"/>
          <w:highlight w:val="none"/>
        </w:rPr>
      </w:pPr>
      <w:r>
        <w:rPr>
          <w:rFonts w:hint="eastAsia"/>
          <w:color w:val="auto"/>
          <w:sz w:val="24"/>
          <w:highlight w:val="none"/>
        </w:rPr>
        <w:t>1.3 技术培训：卖方设备安装调试完成后，应对用户技术人员进行调试、操作、仪器维护、故障排除等方面的现场培训，时间不少于3个工作日。</w:t>
      </w:r>
    </w:p>
    <w:p>
      <w:pPr>
        <w:spacing w:line="360" w:lineRule="auto"/>
        <w:rPr>
          <w:color w:val="auto"/>
          <w:sz w:val="24"/>
          <w:highlight w:val="none"/>
        </w:rPr>
      </w:pPr>
      <w:r>
        <w:rPr>
          <w:rFonts w:hint="eastAsia"/>
          <w:color w:val="auto"/>
          <w:sz w:val="24"/>
          <w:highlight w:val="none"/>
        </w:rPr>
        <w:t>1.4 保修期：卖方提供12个月以上的免费保修（验收合格签字次日起不少于12个月）。保修期内出现故障导致仪器停用的时间，从保修期中扣除。保修期满前1个月内卖方应负责一次免费全面检查，并写出正式报告，如发现潜在问题，应负责排除。</w:t>
      </w:r>
    </w:p>
    <w:p>
      <w:pPr>
        <w:spacing w:line="360" w:lineRule="auto"/>
        <w:rPr>
          <w:color w:val="auto"/>
          <w:sz w:val="24"/>
          <w:highlight w:val="none"/>
        </w:rPr>
      </w:pPr>
      <w:r>
        <w:rPr>
          <w:rFonts w:hint="eastAsia"/>
          <w:color w:val="auto"/>
          <w:sz w:val="24"/>
          <w:highlight w:val="none"/>
        </w:rPr>
        <w:t>1.5 维修响应时间：卖方应在24小时内对用户的服务要求作出响应，维修服务包括电话指导和现场维修；需要现场维修的，卖方工程师应尽快到达仪器现场；当设备故障严重时,须在五个工作日内到现场解决问题。</w:t>
      </w:r>
    </w:p>
    <w:p>
      <w:pPr>
        <w:spacing w:line="360" w:lineRule="auto"/>
        <w:rPr>
          <w:color w:val="auto"/>
          <w:sz w:val="24"/>
          <w:highlight w:val="none"/>
        </w:rPr>
      </w:pPr>
      <w:r>
        <w:rPr>
          <w:rFonts w:hint="eastAsia"/>
          <w:color w:val="auto"/>
          <w:sz w:val="24"/>
          <w:highlight w:val="none"/>
        </w:rPr>
        <w:t>1.6 软、硬件升级：仪器在保修期内，卖方应免费向用户提供仪器软件升级服务，与之相关的硬件升级收取成本费。</w:t>
      </w:r>
    </w:p>
    <w:p>
      <w:pPr>
        <w:spacing w:line="360" w:lineRule="auto"/>
        <w:rPr>
          <w:b/>
          <w:color w:val="auto"/>
          <w:sz w:val="24"/>
          <w:highlight w:val="none"/>
        </w:rPr>
      </w:pPr>
      <w:r>
        <w:rPr>
          <w:rFonts w:hint="eastAsia"/>
          <w:b/>
          <w:color w:val="auto"/>
          <w:sz w:val="24"/>
          <w:highlight w:val="none"/>
        </w:rPr>
        <w:t>（三） 订货数量：</w:t>
      </w:r>
    </w:p>
    <w:p>
      <w:pPr>
        <w:spacing w:line="360" w:lineRule="auto"/>
        <w:ind w:firstLine="240" w:firstLineChars="100"/>
        <w:rPr>
          <w:color w:val="auto"/>
          <w:sz w:val="24"/>
          <w:highlight w:val="none"/>
        </w:rPr>
      </w:pPr>
      <w:r>
        <w:rPr>
          <w:rFonts w:hint="eastAsia"/>
          <w:color w:val="auto"/>
          <w:sz w:val="24"/>
          <w:highlight w:val="none"/>
        </w:rPr>
        <w:t xml:space="preserve"> 1套</w:t>
      </w:r>
    </w:p>
    <w:p>
      <w:pPr>
        <w:spacing w:line="360" w:lineRule="auto"/>
        <w:rPr>
          <w:color w:val="auto"/>
          <w:sz w:val="24"/>
          <w:highlight w:val="none"/>
        </w:rPr>
      </w:pPr>
    </w:p>
    <w:p>
      <w:pPr>
        <w:spacing w:line="360" w:lineRule="auto"/>
        <w:rPr>
          <w:b/>
          <w:color w:val="auto"/>
          <w:sz w:val="24"/>
          <w:highlight w:val="none"/>
        </w:rPr>
      </w:pPr>
      <w:r>
        <w:rPr>
          <w:rFonts w:hint="eastAsia"/>
          <w:b/>
          <w:color w:val="auto"/>
          <w:sz w:val="24"/>
          <w:highlight w:val="none"/>
        </w:rPr>
        <w:t>（四） 目的港：</w:t>
      </w:r>
    </w:p>
    <w:p>
      <w:pPr>
        <w:spacing w:line="360" w:lineRule="auto"/>
        <w:ind w:firstLine="240"/>
        <w:rPr>
          <w:color w:val="auto"/>
          <w:sz w:val="24"/>
          <w:highlight w:val="none"/>
        </w:rPr>
      </w:pPr>
      <w:r>
        <w:rPr>
          <w:rFonts w:hint="eastAsia"/>
          <w:color w:val="auto"/>
          <w:sz w:val="24"/>
          <w:highlight w:val="none"/>
        </w:rPr>
        <w:t xml:space="preserve"> CIP福州用户现场（或CIP上海中标方负责上海到用户现场的运输和保险）</w:t>
      </w:r>
    </w:p>
    <w:p>
      <w:pPr>
        <w:spacing w:line="360" w:lineRule="auto"/>
        <w:rPr>
          <w:color w:val="auto"/>
          <w:sz w:val="24"/>
          <w:highlight w:val="none"/>
        </w:rPr>
      </w:pPr>
    </w:p>
    <w:p>
      <w:pPr>
        <w:spacing w:line="360" w:lineRule="auto"/>
        <w:rPr>
          <w:b/>
          <w:color w:val="auto"/>
          <w:sz w:val="24"/>
          <w:highlight w:val="none"/>
        </w:rPr>
      </w:pPr>
      <w:r>
        <w:rPr>
          <w:rFonts w:hint="eastAsia"/>
          <w:b/>
          <w:color w:val="auto"/>
          <w:sz w:val="24"/>
          <w:highlight w:val="none"/>
        </w:rPr>
        <w:t>（五）交货日期：</w:t>
      </w:r>
    </w:p>
    <w:p>
      <w:pPr>
        <w:spacing w:line="360" w:lineRule="auto"/>
        <w:rPr>
          <w:rFonts w:hint="eastAsia" w:ascii="inherit" w:hAnsi="inherit" w:cs="宋体"/>
          <w:color w:val="auto"/>
          <w:kern w:val="0"/>
          <w:sz w:val="24"/>
          <w:highlight w:val="none"/>
        </w:rPr>
      </w:pPr>
      <w:r>
        <w:rPr>
          <w:rFonts w:hint="eastAsia"/>
          <w:color w:val="auto"/>
          <w:sz w:val="24"/>
          <w:highlight w:val="none"/>
        </w:rPr>
        <w:t xml:space="preserve">合同生效后8个月内。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 w:name="仿宋_GB2312">
    <w:altName w:val="仿宋"/>
    <w:panose1 w:val="02010609030101010101"/>
    <w:charset w:val="86"/>
    <w:family w:val="modern"/>
    <w:pitch w:val="default"/>
    <w:sig w:usb0="00000000" w:usb1="00000000" w:usb2="00000000" w:usb3="00000000" w:csb0="00040000" w:csb1="00000000"/>
  </w:font>
  <w:font w:name="inherit">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VkYzdjODk4ZWI5MDNiZmQ2YmU5MDUyNmUyYTY1OWUifQ=="/>
  </w:docVars>
  <w:rsids>
    <w:rsidRoot w:val="317C5814"/>
    <w:rsid w:val="317C58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2023-07-25T08:29:00Z</dcterms:created>
  <dc:creator>godjiao</dc:creator>
  <cp:lastModifiedBy>godjiao</cp:lastModifiedBy>
  <dcterms:modified xsi:type="dcterms:W3CDTF">2023-07-25T08:29:34Z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405F6D01CDE948758BC6A6C3B02DDD3F_11</vt:lpwstr>
  </property>
</Properties>
</file>