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BE479B">
      <w:pPr>
        <w:pStyle w:val="2"/>
        <w:spacing w:before="120" w:beforeLines="50" w:after="0" w:line="560" w:lineRule="exact"/>
        <w:jc w:val="center"/>
        <w:rPr>
          <w:rFonts w:hint="eastAsia" w:ascii="宋体" w:hAnsi="宋体" w:eastAsia="宋体"/>
          <w:color w:val="auto"/>
          <w:highlight w:val="none"/>
        </w:rPr>
      </w:pPr>
      <w:r>
        <w:rPr>
          <w:rFonts w:hint="eastAsia" w:ascii="宋体" w:hAnsi="宋体" w:eastAsia="宋体"/>
          <w:color w:val="auto"/>
          <w:highlight w:val="none"/>
        </w:rPr>
        <w:t>项目说明和采购需求</w:t>
      </w:r>
    </w:p>
    <w:p w14:paraId="4C55C854">
      <w:pPr>
        <w:rPr>
          <w:rFonts w:hint="eastAsia"/>
          <w:color w:val="auto"/>
          <w:highlight w:val="none"/>
        </w:rPr>
      </w:pPr>
    </w:p>
    <w:p w14:paraId="31D39916">
      <w:pPr>
        <w:pStyle w:val="3"/>
        <w:spacing w:line="500" w:lineRule="exact"/>
        <w:outlineLvl w:val="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一、商务部分</w:t>
      </w:r>
    </w:p>
    <w:p w14:paraId="6592020D">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1、报价要求</w:t>
      </w:r>
    </w:p>
    <w:p w14:paraId="0D895B8D">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投标人报价必须包括完成本项目服务和提供设备的所有费用，包括但不限于：系统建设、设备、包装、送货、安装、调试、检测、验收、培训、技术服务（包括技术资料、图纸的提供）、质保期内保障等一切支出，并包含所有税费。</w:t>
      </w:r>
    </w:p>
    <w:p w14:paraId="79B541D1">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2、交货要求</w:t>
      </w:r>
    </w:p>
    <w:p w14:paraId="365DF168">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交货期：合同签订之日起8个月内完成项目实施方案、设备安装、系统调试等合同约定的全部工作，并通过采购人组织的验收。</w:t>
      </w:r>
    </w:p>
    <w:p w14:paraId="448C4248">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交货地点：采购人指定地点。</w:t>
      </w:r>
    </w:p>
    <w:p w14:paraId="7522EB56">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交货要求：</w:t>
      </w:r>
    </w:p>
    <w:p w14:paraId="5BC5D726">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①中标人应提供原装、全新的、符合质量标准的货物，不得以旧货翻新充数，并按有关要求进行包装及装运。</w:t>
      </w:r>
    </w:p>
    <w:p w14:paraId="1BC6F90B">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②中标人应将所提供货物的装箱清单、用户手册、原厂保修卡、随机资料及配件、随机工具等交付给采购人；中标人不能完整交付货物及本款规定的单证和工具的，视为未按合同约定供货，中标人必须负责补齐，因此导致逾期交付的，由中标人承担相关的违约责任。</w:t>
      </w:r>
    </w:p>
    <w:p w14:paraId="29543340">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3、包装、运输、保管及保险</w:t>
      </w:r>
    </w:p>
    <w:p w14:paraId="2E4BBA8E">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①由中标人负责按国家相关标准进行货物包装且包装必须为制造商原厂包装，设备的包装均应有良好的防湿、防锈、防潮、防雨、防腐及防碰撞的措施，货物包装还应符合《商品包装政府采购需求标准（试行）》。凡由于包装不良造成的损失和由此产生的费用均由中标人承担。</w:t>
      </w:r>
    </w:p>
    <w:p w14:paraId="1558C5E5">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②中标人负责货物运输到交货现场过程中的货物保险；全部货物运输，包括装卸车、现场的卸货（由采购人指定卸货地点）等费用计入投标报价。</w:t>
      </w:r>
    </w:p>
    <w:p w14:paraId="79CACD15">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③各种设备，必须提供装箱清单，采购人按装箱清单验收货物。</w:t>
      </w:r>
    </w:p>
    <w:p w14:paraId="61511F10">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④货物在合同验收合格并交付采购人试运行前的保险由中标人负责，中标人负责其派出的现场服务人员人身意外保险。</w:t>
      </w:r>
    </w:p>
    <w:p w14:paraId="4D058DD8">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⑤货物在合同验收合格并交付采购人试运行前所发生的保管费用由中标人承担。</w:t>
      </w:r>
    </w:p>
    <w:p w14:paraId="679C4C39">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4、设备调试</w:t>
      </w:r>
    </w:p>
    <w:p w14:paraId="0F6ACFD0">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 xml:space="preserve">中标人负责本项目的安装、调试。安装所需工具设施物料由中标人自备、自费运到现场，完工后自费搬走。设备的拆箱、安装、通电、调试等项工作由中标人负责，但必须在采购人的指定人员的参与下进行。投标文件中给出的具体安装和测试方法，在实际实施前必须先经采购人同意方可进行。    </w:t>
      </w:r>
    </w:p>
    <w:p w14:paraId="436FB922">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5、验收</w:t>
      </w:r>
    </w:p>
    <w:p w14:paraId="705901AA">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①验收依据</w:t>
      </w:r>
    </w:p>
    <w:p w14:paraId="20E4DEA0">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按照《国家无线电办公室关于印发&lt;无线电管理技术和技术设施建设项目管理指导意见&gt;的通知》（国无函办〔2019〕21号）、《国家无线电办公室关于进一步加强无线电管理基础和技术设施建设项目验收有关工作的通知》（国无函办〔2020〕31号）、《工业和信息化部办公厅关于印发&lt;无线电管理经费业务管理办法&gt;的通知》（工信厅无〔2024〕78号）和《宁夏回族自治区财政厅关于印发&lt;宁夏回族自治区政府采购履约验收管理暂行办法&gt;的通知》（宁财规发〔2022〕10号）规定组织实施项目验收工作。</w:t>
      </w:r>
    </w:p>
    <w:p w14:paraId="171F62A2">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②验收标准</w:t>
      </w:r>
    </w:p>
    <w:p w14:paraId="44A58433">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项目履约验收遵循全面完整、客观真实、公开透明的原则，由采购人自行组织履约验收。验收标准和内容按照国家无线电办公室和自治区财政厅相关要求执行，招标文件（谈判文件、磋商文件、询价通知书、征集文件等）、投标文件（响应文件）、采购合同、封样样品等是履约验收工作的基本依据，订立的补充合同或合同当事人其他有效约定应当作为采购合同组成部分。</w:t>
      </w:r>
    </w:p>
    <w:p w14:paraId="466E749E">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③验收程序</w:t>
      </w:r>
    </w:p>
    <w:p w14:paraId="6A676F65">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验收程序具体如下：</w:t>
      </w:r>
    </w:p>
    <w:p w14:paraId="6C6807A6">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验收申请。履约验收条件达到时，中标人应当组织内部自验，自验合格后及时向采购人书面提出履约验收申请，自验情况作为相关证明材料。</w:t>
      </w:r>
    </w:p>
    <w:p w14:paraId="377397D6">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组织验收。经监理和采购人审核，达到履约验收条件的，启动履约验收程序，成立履约验收小组，负责采购项目履约验收具体工作，验收合格后，出具验收报告。</w:t>
      </w:r>
    </w:p>
    <w:p w14:paraId="4903F505">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项目验收分为合同验收、初步验收和竣工验收三个环节，由项目实施小组组织实施。</w:t>
      </w:r>
    </w:p>
    <w:p w14:paraId="08E35FB0">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合同验收</w:t>
      </w:r>
    </w:p>
    <w:p w14:paraId="4608F202">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中标人将合同约定产品运输、装卸至采购人约定地点，并完成项目软件、硬件系统生产、调试后，向采购人提出合同验收申请，经同意后，组织相关人员实施合同验收。合同验收主要包括以下三部分内容：</w:t>
      </w:r>
    </w:p>
    <w:p w14:paraId="7646E967">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外观检查：检查系统和设备及内外包装是否完好，有无破损、碰伤、浸湿、受潮、变形等情况，如发现上述问题，应拍照留据，做好详细记录，并要求中标人及时整改。</w:t>
      </w:r>
    </w:p>
    <w:p w14:paraId="3A61966C">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数量验收：以供货合同和装箱单为依据，检查系统硬件设备、主机、辅机、附件、配件的规格、型号、配置及数量，并逐件清查核对。与系统设备配套使用的软件系统的名称、软件系统介质形式、数量等。认真检查随机资料及附件是否齐全，如设备说明书、产品检验合格证书等。做好记录，写明验收地点、时间、参加人员、设备名称、型号、序列号、生产日期、应到和实到数量等。</w:t>
      </w:r>
    </w:p>
    <w:p w14:paraId="6708F3A0">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出厂功能测试：严格按照合同条款、投标响应文件、设备使用说明书的规定和程序，进行开机测试、系统功能验证，并审查相关文档。</w:t>
      </w:r>
    </w:p>
    <w:p w14:paraId="2B48FA73">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初步验收。</w:t>
      </w:r>
    </w:p>
    <w:p w14:paraId="0F67B576">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项目合同验收通过后，需要采用专业质量检测机构检测的，应委托具备资质的第三方检测机构进行检验检测并出具检测报告。检测合格且中标人完成施工、调测后，向采购人与监理方提出书面初步验收申请，经同意后组织初步验收。</w:t>
      </w:r>
    </w:p>
    <w:p w14:paraId="71A1D9ED">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竣工验收</w:t>
      </w:r>
    </w:p>
    <w:p w14:paraId="4091A3EE">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项目初步验收通过后，交付采购人试运行，试运行结束后，中标人向采购人提交竣工验收申请，经采购人审核同意并组织专家竣工验收，验收通过后，正式交付采购人使用。</w:t>
      </w:r>
    </w:p>
    <w:p w14:paraId="0B991510">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6、技术资料</w:t>
      </w:r>
    </w:p>
    <w:p w14:paraId="6F423008">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①中标人应于验收后向采购人提供验收报告，由中标人负责技术文档的归纳、整理、提交，并提供完整的软、硬件技术资料。</w:t>
      </w:r>
    </w:p>
    <w:p w14:paraId="12E79D7D">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 xml:space="preserve">②中标人供货时须提供以下文件：装箱清单、设备合格证、设备使用说明书、出厂试验报告及合同规定的备品配件、主要元器件的出厂合格证、主要元器件的安装使用说明书。 </w:t>
      </w:r>
    </w:p>
    <w:p w14:paraId="1CA6CB9F">
      <w:pPr>
        <w:numPr>
          <w:ilvl w:val="0"/>
          <w:numId w:val="1"/>
        </w:num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质量保证及售后服务</w:t>
      </w:r>
    </w:p>
    <w:p w14:paraId="0BE47705">
      <w:pPr>
        <w:numPr>
          <w:ilvl w:val="0"/>
          <w:numId w:val="0"/>
        </w:num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（1）中标人应按照招标文件规定的货物性能、技术要求、质量标准向采购人提供未经使用的全新产品。</w:t>
      </w:r>
    </w:p>
    <w:p w14:paraId="49164523">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（2）中标人提供的货物在质保期内因货物本身的质量问题发生故障，中标人应负责免费更换。对更换后仍达不到技术要求的，根据实际情况，经双方协商，可按以下办法处理：</w:t>
      </w:r>
    </w:p>
    <w:p w14:paraId="7C9255F6">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更换：由中标人承担所发生的全部费用。</w:t>
      </w:r>
    </w:p>
    <w:p w14:paraId="232837B6">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贬值处理：由采购人、中标人双方合议定价。</w:t>
      </w:r>
    </w:p>
    <w:p w14:paraId="77BAAD53">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退货处理：中标人应退还采购人支付的合同款，同时应承担该货物的直接费用（拆除、运输、保险、检验等相关费用）。</w:t>
      </w:r>
    </w:p>
    <w:p w14:paraId="5FA5695A">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3）如在使用过程中发生质量问题，中标人在接到采购人通知后12小时内/非工作日24小时内能及时提出解决方案，48小时内完成故障处理；若48小时内无法完成故障处理的，应在72小时内提供不低于现有设备性能的备机供采购人使用。</w:t>
      </w:r>
    </w:p>
    <w:p w14:paraId="3370E8C8">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（4）本项目质保期3年。（自竣工验收合格之日起计算）在质保期内，中标人应对货物出现的质量及安全问题负责，并承担一切费用。</w:t>
      </w:r>
    </w:p>
    <w:p w14:paraId="2EA67DF4">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（5）中标人在质保期内，接到采购人维修通知后不能及时到场维修，或拒绝维修的，采购人有权另行委托第三方进行维修，所发生的维修费用均由中标人承担。</w:t>
      </w:r>
    </w:p>
    <w:p w14:paraId="1B3BC01A">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6）中标人需派代表到采购人现场进行技术服务，指导采购人按双方约定的标准或技术协议或图纸进行安装、分部调试和启动，并负责解决合同设备在安装调试中发现的制造质量及性能等有关问题，费用由中标人负担。如果中标人未按采购人要求按时进行技术服务，则采购人有权通过其他渠道取得相应服务，在书面通知中标人后，从应向中标人支付的任何一笔款项中扣除相关费用。</w:t>
      </w:r>
    </w:p>
    <w:p w14:paraId="34F8E594">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（7）中标人派到采购人现场服务的技术人员应是有实践经验、可胜任此项工作的专业技术人员。</w:t>
      </w:r>
    </w:p>
    <w:p w14:paraId="1DB27DD3">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（8）中标人有义务在必要时邀请采购人参与中标人的技术设计，并向采购人解释技术设计。如遇有重大问题需要双方立即研究协商时，任何一方均可建议召开会议，一般情况下，在采购人所在地召开会议。</w:t>
      </w:r>
    </w:p>
    <w:p w14:paraId="3B22A31F">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9）中标人提出并经双方在会议上确定的指导安装、调试和运行技术服务方案，中标人如有修改，须以书面形式通知采购人，经采购人同意后方可进行。为适应现场条件的要求，采购人有权提出变更或修改意见，并书面通知中标人，中标人应给予充分考虑，并且应尽量满足采购人要求。</w:t>
      </w:r>
    </w:p>
    <w:p w14:paraId="0ABE2367">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（10）中标人在质保期内，应负责对系统进行升级维护，所发生的升级维护费用均由中标人承担。</w:t>
      </w:r>
    </w:p>
    <w:p w14:paraId="54904ACE">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8、人员培训</w:t>
      </w:r>
    </w:p>
    <w:p w14:paraId="65470ECC">
      <w:pPr>
        <w:spacing w:line="560" w:lineRule="exact"/>
        <w:ind w:firstLine="720" w:firstLineChars="3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中标人应根据采购人要求，为采购人指定的人员提供技术指导和培训。</w:t>
      </w:r>
    </w:p>
    <w:p w14:paraId="389E1325">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（1）中标人应制定详细的培训计划，派出的培训讲师必须熟悉各项功能，并有一定的教学经验。</w:t>
      </w:r>
    </w:p>
    <w:p w14:paraId="4D427D26">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（2）中标人应向采购人提供系统的结构、功能、安装部署、运行管理、维护、操作等方面的培训资料和培训课件。</w:t>
      </w:r>
    </w:p>
    <w:p w14:paraId="66A857C7">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（3）地点和方式：中标人根据采购人指定的培训地点、人数，不少于3天的培训方式进行培训，保障采购人人员能够达到熟练使用系统的程度。</w:t>
      </w:r>
    </w:p>
    <w:p w14:paraId="626F823C">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（4）培训内容：应涉及原理、操作、维护、及信息安全和保密等内容。</w:t>
      </w:r>
    </w:p>
    <w:p w14:paraId="4B9A406F">
      <w:p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9、保密要求</w:t>
      </w:r>
    </w:p>
    <w:p w14:paraId="3AEA924E">
      <w:p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投标人须对采购人的项目相关信息严格保密，未经采购人书面同意，不得向任何第三方披露。投标人应采取合理的技术和管理措施，确保采购人信息的安全性，防止信息泄露、篡改或丢失。如投标人违反保密义务，采购人有权追究其法律责任，并要求赔偿因此造成的全部损失。</w:t>
      </w:r>
    </w:p>
    <w:p w14:paraId="7A281F8F">
      <w:pPr>
        <w:pStyle w:val="3"/>
        <w:spacing w:line="500" w:lineRule="exact"/>
        <w:outlineLvl w:val="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二、技术部分</w:t>
      </w:r>
    </w:p>
    <w:p w14:paraId="403B5F3B">
      <w:pPr>
        <w:spacing w:line="560" w:lineRule="exact"/>
        <w:ind w:firstLine="720" w:firstLineChars="3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（1）采购清单</w:t>
      </w:r>
    </w:p>
    <w:p w14:paraId="7D0692E8">
      <w:pPr>
        <w:spacing w:line="560" w:lineRule="exact"/>
        <w:ind w:firstLine="720" w:firstLineChars="3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采购清单如下表：</w:t>
      </w:r>
    </w:p>
    <w:tbl>
      <w:tblPr>
        <w:tblStyle w:val="4"/>
        <w:tblW w:w="8111" w:type="dxa"/>
        <w:tblInd w:w="3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47"/>
        <w:gridCol w:w="5198"/>
        <w:gridCol w:w="918"/>
        <w:gridCol w:w="948"/>
      </w:tblGrid>
      <w:tr w14:paraId="4E14B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trPr>
        <w:tc>
          <w:tcPr>
            <w:tcW w:w="1047" w:type="dxa"/>
            <w:noWrap w:val="0"/>
            <w:vAlign w:val="center"/>
          </w:tcPr>
          <w:p w14:paraId="09F88354">
            <w:pPr>
              <w:widowControl/>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序号</w:t>
            </w:r>
          </w:p>
        </w:tc>
        <w:tc>
          <w:tcPr>
            <w:tcW w:w="5198" w:type="dxa"/>
            <w:noWrap w:val="0"/>
            <w:vAlign w:val="center"/>
          </w:tcPr>
          <w:p w14:paraId="462C7800">
            <w:pPr>
              <w:widowControl/>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系统名称及功能模块</w:t>
            </w:r>
          </w:p>
        </w:tc>
        <w:tc>
          <w:tcPr>
            <w:tcW w:w="918" w:type="dxa"/>
            <w:noWrap w:val="0"/>
            <w:vAlign w:val="center"/>
          </w:tcPr>
          <w:p w14:paraId="67B8347C">
            <w:pPr>
              <w:widowControl/>
              <w:spacing w:line="360" w:lineRule="exact"/>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单位</w:t>
            </w:r>
          </w:p>
        </w:tc>
        <w:tc>
          <w:tcPr>
            <w:tcW w:w="948" w:type="dxa"/>
            <w:noWrap w:val="0"/>
            <w:vAlign w:val="center"/>
          </w:tcPr>
          <w:p w14:paraId="5E12BA57">
            <w:pPr>
              <w:widowControl/>
              <w:spacing w:line="360" w:lineRule="exact"/>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数量</w:t>
            </w:r>
          </w:p>
        </w:tc>
      </w:tr>
      <w:tr w14:paraId="499A4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47" w:type="dxa"/>
            <w:noWrap w:val="0"/>
            <w:vAlign w:val="center"/>
          </w:tcPr>
          <w:p w14:paraId="74BA65AD">
            <w:pPr>
              <w:widowControl/>
              <w:spacing w:line="360" w:lineRule="exact"/>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（一）</w:t>
            </w:r>
          </w:p>
        </w:tc>
        <w:tc>
          <w:tcPr>
            <w:tcW w:w="5198" w:type="dxa"/>
            <w:noWrap w:val="0"/>
            <w:vAlign w:val="center"/>
          </w:tcPr>
          <w:p w14:paraId="2AF902D2">
            <w:pPr>
              <w:widowControl/>
              <w:spacing w:line="360" w:lineRule="exact"/>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反无设备监管应用系统</w:t>
            </w:r>
          </w:p>
        </w:tc>
        <w:tc>
          <w:tcPr>
            <w:tcW w:w="918" w:type="dxa"/>
            <w:noWrap w:val="0"/>
            <w:vAlign w:val="center"/>
          </w:tcPr>
          <w:p w14:paraId="200359A5">
            <w:pPr>
              <w:widowControl/>
              <w:jc w:val="center"/>
              <w:rPr>
                <w:rFonts w:hint="eastAsia" w:ascii="宋体" w:hAnsi="宋体" w:eastAsia="宋体" w:cs="宋体"/>
                <w:color w:val="auto"/>
                <w:kern w:val="0"/>
                <w:sz w:val="24"/>
                <w:szCs w:val="24"/>
              </w:rPr>
            </w:pPr>
          </w:p>
        </w:tc>
        <w:tc>
          <w:tcPr>
            <w:tcW w:w="948" w:type="dxa"/>
            <w:noWrap w:val="0"/>
            <w:vAlign w:val="center"/>
          </w:tcPr>
          <w:p w14:paraId="7494ED23">
            <w:pPr>
              <w:widowControl/>
              <w:jc w:val="center"/>
              <w:rPr>
                <w:rFonts w:hint="eastAsia" w:ascii="宋体" w:hAnsi="宋体" w:eastAsia="宋体" w:cs="宋体"/>
                <w:b/>
                <w:bCs/>
                <w:color w:val="auto"/>
                <w:kern w:val="0"/>
                <w:sz w:val="24"/>
                <w:szCs w:val="24"/>
              </w:rPr>
            </w:pPr>
          </w:p>
        </w:tc>
      </w:tr>
      <w:tr w14:paraId="07F95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47" w:type="dxa"/>
            <w:noWrap w:val="0"/>
            <w:vAlign w:val="center"/>
          </w:tcPr>
          <w:p w14:paraId="207F707B">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5198" w:type="dxa"/>
            <w:noWrap w:val="0"/>
            <w:vAlign w:val="center"/>
          </w:tcPr>
          <w:p w14:paraId="710A3A4B">
            <w:pPr>
              <w:widowControl/>
              <w:spacing w:line="36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反无设备全生命周期信息管理功能模块</w:t>
            </w:r>
          </w:p>
        </w:tc>
        <w:tc>
          <w:tcPr>
            <w:tcW w:w="918" w:type="dxa"/>
            <w:noWrap w:val="0"/>
            <w:vAlign w:val="center"/>
          </w:tcPr>
          <w:p w14:paraId="2672EBDA">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套</w:t>
            </w:r>
          </w:p>
        </w:tc>
        <w:tc>
          <w:tcPr>
            <w:tcW w:w="948" w:type="dxa"/>
            <w:noWrap w:val="0"/>
            <w:vAlign w:val="center"/>
          </w:tcPr>
          <w:p w14:paraId="02BEFAD1">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r>
      <w:tr w14:paraId="3C9AF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47" w:type="dxa"/>
            <w:noWrap w:val="0"/>
            <w:vAlign w:val="center"/>
          </w:tcPr>
          <w:p w14:paraId="775B2C19">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p>
        </w:tc>
        <w:tc>
          <w:tcPr>
            <w:tcW w:w="5198" w:type="dxa"/>
            <w:noWrap w:val="0"/>
            <w:vAlign w:val="center"/>
          </w:tcPr>
          <w:p w14:paraId="063EED8F">
            <w:pPr>
              <w:widowControl/>
              <w:spacing w:line="36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反无设备运行监管功能模块</w:t>
            </w:r>
          </w:p>
        </w:tc>
        <w:tc>
          <w:tcPr>
            <w:tcW w:w="918" w:type="dxa"/>
            <w:noWrap w:val="0"/>
            <w:vAlign w:val="center"/>
          </w:tcPr>
          <w:p w14:paraId="1770E3AF">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套</w:t>
            </w:r>
          </w:p>
        </w:tc>
        <w:tc>
          <w:tcPr>
            <w:tcW w:w="948" w:type="dxa"/>
            <w:noWrap w:val="0"/>
            <w:vAlign w:val="center"/>
          </w:tcPr>
          <w:p w14:paraId="0AC69F58">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r>
      <w:tr w14:paraId="59F0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47" w:type="dxa"/>
            <w:noWrap w:val="0"/>
            <w:vAlign w:val="center"/>
          </w:tcPr>
          <w:p w14:paraId="62F1B237">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p>
        </w:tc>
        <w:tc>
          <w:tcPr>
            <w:tcW w:w="5198" w:type="dxa"/>
            <w:noWrap w:val="0"/>
            <w:vAlign w:val="center"/>
          </w:tcPr>
          <w:p w14:paraId="1A48BCBB">
            <w:pPr>
              <w:widowControl/>
              <w:spacing w:line="36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重大活动保障功能模块</w:t>
            </w:r>
          </w:p>
        </w:tc>
        <w:tc>
          <w:tcPr>
            <w:tcW w:w="918" w:type="dxa"/>
            <w:noWrap w:val="0"/>
            <w:vAlign w:val="center"/>
          </w:tcPr>
          <w:p w14:paraId="2CF79C15">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套</w:t>
            </w:r>
          </w:p>
        </w:tc>
        <w:tc>
          <w:tcPr>
            <w:tcW w:w="948" w:type="dxa"/>
            <w:noWrap w:val="0"/>
            <w:vAlign w:val="center"/>
          </w:tcPr>
          <w:p w14:paraId="6D21BA8F">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r>
      <w:tr w14:paraId="350AC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47" w:type="dxa"/>
            <w:noWrap w:val="0"/>
            <w:vAlign w:val="center"/>
          </w:tcPr>
          <w:p w14:paraId="033324F6">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w:t>
            </w:r>
          </w:p>
        </w:tc>
        <w:tc>
          <w:tcPr>
            <w:tcW w:w="5198" w:type="dxa"/>
            <w:noWrap w:val="0"/>
            <w:vAlign w:val="center"/>
          </w:tcPr>
          <w:p w14:paraId="56B65856">
            <w:pPr>
              <w:widowControl/>
              <w:spacing w:line="36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部门和行业能力协同功能模块</w:t>
            </w:r>
          </w:p>
        </w:tc>
        <w:tc>
          <w:tcPr>
            <w:tcW w:w="918" w:type="dxa"/>
            <w:noWrap w:val="0"/>
            <w:vAlign w:val="center"/>
          </w:tcPr>
          <w:p w14:paraId="565E7862">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套</w:t>
            </w:r>
          </w:p>
        </w:tc>
        <w:tc>
          <w:tcPr>
            <w:tcW w:w="948" w:type="dxa"/>
            <w:noWrap w:val="0"/>
            <w:vAlign w:val="center"/>
          </w:tcPr>
          <w:p w14:paraId="22D66D2D">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r>
      <w:tr w14:paraId="1F5C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47" w:type="dxa"/>
            <w:noWrap w:val="0"/>
            <w:vAlign w:val="center"/>
          </w:tcPr>
          <w:p w14:paraId="140CF021">
            <w:pPr>
              <w:widowControl/>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（二）</w:t>
            </w:r>
          </w:p>
        </w:tc>
        <w:tc>
          <w:tcPr>
            <w:tcW w:w="5198" w:type="dxa"/>
            <w:noWrap w:val="0"/>
            <w:vAlign w:val="center"/>
          </w:tcPr>
          <w:p w14:paraId="68D58304">
            <w:pPr>
              <w:widowControl/>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前端数据感知系统</w:t>
            </w:r>
          </w:p>
        </w:tc>
        <w:tc>
          <w:tcPr>
            <w:tcW w:w="918" w:type="dxa"/>
            <w:noWrap w:val="0"/>
            <w:vAlign w:val="center"/>
          </w:tcPr>
          <w:p w14:paraId="2583F03E">
            <w:pPr>
              <w:widowControl/>
              <w:jc w:val="center"/>
              <w:rPr>
                <w:rFonts w:hint="eastAsia" w:ascii="宋体" w:hAnsi="宋体" w:eastAsia="宋体" w:cs="宋体"/>
                <w:color w:val="auto"/>
                <w:kern w:val="0"/>
                <w:sz w:val="24"/>
                <w:szCs w:val="24"/>
              </w:rPr>
            </w:pPr>
          </w:p>
        </w:tc>
        <w:tc>
          <w:tcPr>
            <w:tcW w:w="948" w:type="dxa"/>
            <w:noWrap w:val="0"/>
            <w:vAlign w:val="center"/>
          </w:tcPr>
          <w:p w14:paraId="763C8099">
            <w:pPr>
              <w:widowControl/>
              <w:jc w:val="center"/>
              <w:rPr>
                <w:rFonts w:hint="eastAsia" w:ascii="宋体" w:hAnsi="宋体" w:eastAsia="宋体" w:cs="宋体"/>
                <w:b/>
                <w:bCs/>
                <w:color w:val="auto"/>
                <w:kern w:val="0"/>
                <w:sz w:val="24"/>
                <w:szCs w:val="24"/>
              </w:rPr>
            </w:pPr>
          </w:p>
        </w:tc>
      </w:tr>
      <w:tr w14:paraId="4DFEE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47" w:type="dxa"/>
            <w:noWrap w:val="0"/>
            <w:vAlign w:val="center"/>
          </w:tcPr>
          <w:p w14:paraId="3D2E326F">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5198" w:type="dxa"/>
            <w:noWrap w:val="0"/>
            <w:vAlign w:val="center"/>
          </w:tcPr>
          <w:p w14:paraId="4AF659A7">
            <w:pPr>
              <w:widowControl/>
              <w:spacing w:line="36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车载轻量级反制范围检测模块</w:t>
            </w:r>
          </w:p>
        </w:tc>
        <w:tc>
          <w:tcPr>
            <w:tcW w:w="918" w:type="dxa"/>
            <w:noWrap w:val="0"/>
            <w:vAlign w:val="center"/>
          </w:tcPr>
          <w:p w14:paraId="01892E44">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个</w:t>
            </w:r>
          </w:p>
        </w:tc>
        <w:tc>
          <w:tcPr>
            <w:tcW w:w="948" w:type="dxa"/>
            <w:noWrap w:val="0"/>
            <w:vAlign w:val="center"/>
          </w:tcPr>
          <w:p w14:paraId="76F78607">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r>
      <w:tr w14:paraId="65EA4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47" w:type="dxa"/>
            <w:noWrap w:val="0"/>
            <w:vAlign w:val="center"/>
          </w:tcPr>
          <w:p w14:paraId="25409F9A">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p>
        </w:tc>
        <w:tc>
          <w:tcPr>
            <w:tcW w:w="5198" w:type="dxa"/>
            <w:noWrap w:val="0"/>
            <w:vAlign w:val="center"/>
          </w:tcPr>
          <w:p w14:paraId="78F39428">
            <w:pPr>
              <w:widowControl/>
              <w:spacing w:line="36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频谱主动感知设备</w:t>
            </w:r>
          </w:p>
        </w:tc>
        <w:tc>
          <w:tcPr>
            <w:tcW w:w="918" w:type="dxa"/>
            <w:noWrap w:val="0"/>
            <w:vAlign w:val="center"/>
          </w:tcPr>
          <w:p w14:paraId="309B1215">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个</w:t>
            </w:r>
          </w:p>
        </w:tc>
        <w:tc>
          <w:tcPr>
            <w:tcW w:w="948" w:type="dxa"/>
            <w:noWrap w:val="0"/>
            <w:vAlign w:val="center"/>
          </w:tcPr>
          <w:p w14:paraId="52E0A09E">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10</w:t>
            </w:r>
          </w:p>
        </w:tc>
      </w:tr>
      <w:tr w14:paraId="7001E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47" w:type="dxa"/>
            <w:noWrap w:val="0"/>
            <w:vAlign w:val="center"/>
          </w:tcPr>
          <w:p w14:paraId="032D522F">
            <w:pPr>
              <w:widowControl/>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（三）</w:t>
            </w:r>
          </w:p>
        </w:tc>
        <w:tc>
          <w:tcPr>
            <w:tcW w:w="5198" w:type="dxa"/>
            <w:noWrap w:val="0"/>
            <w:vAlign w:val="center"/>
          </w:tcPr>
          <w:p w14:paraId="05802F89">
            <w:pPr>
              <w:widowControl/>
              <w:spacing w:line="360" w:lineRule="exact"/>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信息安全防护系统</w:t>
            </w:r>
          </w:p>
        </w:tc>
        <w:tc>
          <w:tcPr>
            <w:tcW w:w="918" w:type="dxa"/>
            <w:noWrap w:val="0"/>
            <w:vAlign w:val="center"/>
          </w:tcPr>
          <w:p w14:paraId="399987AF">
            <w:pPr>
              <w:widowControl/>
              <w:jc w:val="center"/>
              <w:rPr>
                <w:rFonts w:hint="eastAsia" w:ascii="宋体" w:hAnsi="宋体" w:eastAsia="宋体" w:cs="宋体"/>
                <w:color w:val="auto"/>
                <w:kern w:val="0"/>
                <w:sz w:val="24"/>
                <w:szCs w:val="24"/>
              </w:rPr>
            </w:pPr>
          </w:p>
        </w:tc>
        <w:tc>
          <w:tcPr>
            <w:tcW w:w="948" w:type="dxa"/>
            <w:noWrap w:val="0"/>
            <w:vAlign w:val="center"/>
          </w:tcPr>
          <w:p w14:paraId="5B76CE4D">
            <w:pPr>
              <w:widowControl/>
              <w:jc w:val="center"/>
              <w:rPr>
                <w:rFonts w:hint="eastAsia" w:ascii="宋体" w:hAnsi="宋体" w:eastAsia="宋体" w:cs="宋体"/>
                <w:b/>
                <w:bCs/>
                <w:color w:val="auto"/>
                <w:kern w:val="0"/>
                <w:sz w:val="24"/>
                <w:szCs w:val="24"/>
              </w:rPr>
            </w:pPr>
          </w:p>
        </w:tc>
      </w:tr>
      <w:tr w14:paraId="6D021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1047" w:type="dxa"/>
            <w:noWrap w:val="0"/>
            <w:vAlign w:val="center"/>
          </w:tcPr>
          <w:p w14:paraId="16A7E491">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5198" w:type="dxa"/>
            <w:noWrap w:val="0"/>
            <w:vAlign w:val="center"/>
          </w:tcPr>
          <w:p w14:paraId="2E7ABF8A">
            <w:pPr>
              <w:widowControl/>
              <w:spacing w:line="36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数据安全采集传输与接入认证系统</w:t>
            </w:r>
          </w:p>
        </w:tc>
        <w:tc>
          <w:tcPr>
            <w:tcW w:w="918" w:type="dxa"/>
            <w:noWrap w:val="0"/>
            <w:vAlign w:val="center"/>
          </w:tcPr>
          <w:p w14:paraId="251AEDC3">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套</w:t>
            </w:r>
          </w:p>
        </w:tc>
        <w:tc>
          <w:tcPr>
            <w:tcW w:w="948" w:type="dxa"/>
            <w:noWrap w:val="0"/>
            <w:vAlign w:val="center"/>
          </w:tcPr>
          <w:p w14:paraId="17FAD9A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r>
      <w:tr w14:paraId="2985A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1047" w:type="dxa"/>
            <w:noWrap w:val="0"/>
            <w:vAlign w:val="center"/>
          </w:tcPr>
          <w:p w14:paraId="0E81947D">
            <w:pPr>
              <w:widowControl/>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1.1</w:t>
            </w:r>
          </w:p>
        </w:tc>
        <w:tc>
          <w:tcPr>
            <w:tcW w:w="5198" w:type="dxa"/>
            <w:noWrap w:val="0"/>
            <w:vAlign w:val="center"/>
          </w:tcPr>
          <w:p w14:paraId="142656E8">
            <w:pPr>
              <w:widowControl/>
              <w:spacing w:line="360" w:lineRule="exact"/>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数据安全采集传输模块</w:t>
            </w:r>
          </w:p>
        </w:tc>
        <w:tc>
          <w:tcPr>
            <w:tcW w:w="918" w:type="dxa"/>
            <w:noWrap w:val="0"/>
            <w:vAlign w:val="center"/>
          </w:tcPr>
          <w:p w14:paraId="46ED45B0">
            <w:pPr>
              <w:widowControl/>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个</w:t>
            </w:r>
          </w:p>
        </w:tc>
        <w:tc>
          <w:tcPr>
            <w:tcW w:w="948" w:type="dxa"/>
            <w:noWrap w:val="0"/>
            <w:vAlign w:val="center"/>
          </w:tcPr>
          <w:p w14:paraId="10D2D50E">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r>
      <w:tr w14:paraId="55C19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6" w:hRule="atLeast"/>
        </w:trPr>
        <w:tc>
          <w:tcPr>
            <w:tcW w:w="1047" w:type="dxa"/>
            <w:noWrap w:val="0"/>
            <w:vAlign w:val="center"/>
          </w:tcPr>
          <w:p w14:paraId="23432F1F">
            <w:pPr>
              <w:widowControl/>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1.2</w:t>
            </w:r>
          </w:p>
        </w:tc>
        <w:tc>
          <w:tcPr>
            <w:tcW w:w="5198" w:type="dxa"/>
            <w:noWrap w:val="0"/>
            <w:vAlign w:val="center"/>
          </w:tcPr>
          <w:p w14:paraId="2CB9B1A8">
            <w:pPr>
              <w:widowControl/>
              <w:spacing w:line="360" w:lineRule="exact"/>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数据安全认证系统</w:t>
            </w:r>
          </w:p>
        </w:tc>
        <w:tc>
          <w:tcPr>
            <w:tcW w:w="918" w:type="dxa"/>
            <w:noWrap w:val="0"/>
            <w:vAlign w:val="center"/>
          </w:tcPr>
          <w:p w14:paraId="57441D60">
            <w:pPr>
              <w:widowControl/>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套</w:t>
            </w:r>
          </w:p>
        </w:tc>
        <w:tc>
          <w:tcPr>
            <w:tcW w:w="948" w:type="dxa"/>
            <w:noWrap w:val="0"/>
            <w:vAlign w:val="center"/>
          </w:tcPr>
          <w:p w14:paraId="1FA04CAE">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r>
      <w:tr w14:paraId="0BE72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1047" w:type="dxa"/>
            <w:noWrap w:val="0"/>
            <w:vAlign w:val="center"/>
          </w:tcPr>
          <w:p w14:paraId="663EBF33">
            <w:pPr>
              <w:widowControl/>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2</w:t>
            </w:r>
          </w:p>
        </w:tc>
        <w:tc>
          <w:tcPr>
            <w:tcW w:w="5198" w:type="dxa"/>
            <w:noWrap w:val="0"/>
            <w:vAlign w:val="center"/>
          </w:tcPr>
          <w:p w14:paraId="49F32D11">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单向导入系统</w:t>
            </w:r>
          </w:p>
        </w:tc>
        <w:tc>
          <w:tcPr>
            <w:tcW w:w="918" w:type="dxa"/>
            <w:noWrap w:val="0"/>
            <w:vAlign w:val="center"/>
          </w:tcPr>
          <w:p w14:paraId="32C1670D">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套</w:t>
            </w:r>
          </w:p>
        </w:tc>
        <w:tc>
          <w:tcPr>
            <w:tcW w:w="948" w:type="dxa"/>
            <w:noWrap w:val="0"/>
            <w:vAlign w:val="center"/>
          </w:tcPr>
          <w:p w14:paraId="6D1656E3">
            <w:pPr>
              <w:widowControl/>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r>
    </w:tbl>
    <w:p w14:paraId="73DBBF44">
      <w:pPr>
        <w:numPr>
          <w:ilvl w:val="0"/>
          <w:numId w:val="0"/>
        </w:numPr>
        <w:spacing w:line="560" w:lineRule="exact"/>
        <w:ind w:firstLine="480" w:firstLineChars="200"/>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（2）项目建设系统功能要求及性能指标</w:t>
      </w:r>
    </w:p>
    <w:tbl>
      <w:tblPr>
        <w:tblStyle w:val="5"/>
        <w:tblW w:w="92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927"/>
        <w:gridCol w:w="1214"/>
        <w:gridCol w:w="4991"/>
        <w:gridCol w:w="736"/>
        <w:gridCol w:w="709"/>
      </w:tblGrid>
      <w:tr w14:paraId="754A1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722" w:type="dxa"/>
            <w:noWrap w:val="0"/>
            <w:vAlign w:val="center"/>
          </w:tcPr>
          <w:p w14:paraId="37EFB04D">
            <w:pPr>
              <w:spacing w:line="560" w:lineRule="exact"/>
              <w:jc w:val="center"/>
              <w:outlineLvl w:val="1"/>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序号</w:t>
            </w:r>
          </w:p>
        </w:tc>
        <w:tc>
          <w:tcPr>
            <w:tcW w:w="927" w:type="dxa"/>
            <w:noWrap w:val="0"/>
            <w:vAlign w:val="center"/>
          </w:tcPr>
          <w:p w14:paraId="159A1BD8">
            <w:pPr>
              <w:spacing w:line="560" w:lineRule="exact"/>
              <w:jc w:val="center"/>
              <w:outlineLvl w:val="1"/>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rPr>
              <w:t>系统名称</w:t>
            </w:r>
          </w:p>
        </w:tc>
        <w:tc>
          <w:tcPr>
            <w:tcW w:w="1214" w:type="dxa"/>
            <w:noWrap w:val="0"/>
            <w:vAlign w:val="center"/>
          </w:tcPr>
          <w:p w14:paraId="47C8E6B1">
            <w:pPr>
              <w:spacing w:line="560" w:lineRule="exact"/>
              <w:jc w:val="center"/>
              <w:outlineLvl w:val="1"/>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功能</w:t>
            </w:r>
          </w:p>
          <w:p w14:paraId="00B47AFF">
            <w:pPr>
              <w:spacing w:line="560" w:lineRule="exact"/>
              <w:jc w:val="center"/>
              <w:outlineLvl w:val="1"/>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rPr>
              <w:t>模块</w:t>
            </w:r>
          </w:p>
        </w:tc>
        <w:tc>
          <w:tcPr>
            <w:tcW w:w="4991" w:type="dxa"/>
            <w:noWrap w:val="0"/>
            <w:vAlign w:val="center"/>
          </w:tcPr>
          <w:p w14:paraId="57D35287">
            <w:pPr>
              <w:spacing w:line="560" w:lineRule="exact"/>
              <w:jc w:val="center"/>
              <w:outlineLvl w:val="1"/>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功能要求及性能指标</w:t>
            </w:r>
          </w:p>
        </w:tc>
        <w:tc>
          <w:tcPr>
            <w:tcW w:w="736" w:type="dxa"/>
            <w:noWrap w:val="0"/>
            <w:vAlign w:val="center"/>
          </w:tcPr>
          <w:p w14:paraId="198FC17E">
            <w:pPr>
              <w:spacing w:line="560" w:lineRule="exact"/>
              <w:jc w:val="center"/>
              <w:outlineLvl w:val="1"/>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单位</w:t>
            </w:r>
          </w:p>
        </w:tc>
        <w:tc>
          <w:tcPr>
            <w:tcW w:w="709" w:type="dxa"/>
            <w:noWrap w:val="0"/>
            <w:vAlign w:val="center"/>
          </w:tcPr>
          <w:p w14:paraId="499A86AE">
            <w:pPr>
              <w:spacing w:line="560" w:lineRule="exact"/>
              <w:jc w:val="center"/>
              <w:outlineLvl w:val="1"/>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数量</w:t>
            </w:r>
          </w:p>
        </w:tc>
      </w:tr>
      <w:tr w14:paraId="28531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 w:type="dxa"/>
            <w:vMerge w:val="restart"/>
            <w:noWrap w:val="0"/>
            <w:vAlign w:val="center"/>
          </w:tcPr>
          <w:p w14:paraId="3D2E6B21">
            <w:pPr>
              <w:spacing w:line="560" w:lineRule="exact"/>
              <w:jc w:val="center"/>
              <w:outlineLvl w:val="1"/>
              <w:rPr>
                <w:rFonts w:hint="eastAsia" w:ascii="宋体" w:hAnsi="宋体" w:eastAsia="宋体" w:cs="宋体"/>
                <w:b/>
                <w:color w:val="auto"/>
                <w:sz w:val="24"/>
                <w:szCs w:val="24"/>
                <w:vertAlign w:val="baseline"/>
                <w:lang w:val="en-US" w:eastAsia="zh-CN"/>
              </w:rPr>
            </w:pPr>
          </w:p>
          <w:p w14:paraId="6DFCF499">
            <w:pPr>
              <w:spacing w:line="560" w:lineRule="exact"/>
              <w:jc w:val="center"/>
              <w:outlineLvl w:val="1"/>
              <w:rPr>
                <w:rFonts w:hint="eastAsia" w:ascii="宋体" w:hAnsi="宋体" w:eastAsia="宋体" w:cs="宋体"/>
                <w:b/>
                <w:color w:val="auto"/>
                <w:sz w:val="24"/>
                <w:szCs w:val="24"/>
                <w:vertAlign w:val="baseline"/>
                <w:lang w:val="en-US" w:eastAsia="zh-CN"/>
              </w:rPr>
            </w:pPr>
          </w:p>
          <w:p w14:paraId="4CA908AF">
            <w:pPr>
              <w:spacing w:line="560" w:lineRule="exact"/>
              <w:jc w:val="center"/>
              <w:outlineLvl w:val="1"/>
              <w:rPr>
                <w:rFonts w:hint="eastAsia" w:ascii="宋体" w:hAnsi="宋体" w:eastAsia="宋体" w:cs="宋体"/>
                <w:b/>
                <w:color w:val="auto"/>
                <w:sz w:val="24"/>
                <w:szCs w:val="24"/>
                <w:vertAlign w:val="baseline"/>
                <w:lang w:val="en-US" w:eastAsia="zh-CN"/>
              </w:rPr>
            </w:pPr>
          </w:p>
          <w:p w14:paraId="5570E92E">
            <w:pPr>
              <w:spacing w:line="560" w:lineRule="exact"/>
              <w:jc w:val="center"/>
              <w:outlineLvl w:val="1"/>
              <w:rPr>
                <w:rFonts w:hint="eastAsia" w:ascii="宋体" w:hAnsi="宋体" w:eastAsia="宋体" w:cs="宋体"/>
                <w:b/>
                <w:color w:val="auto"/>
                <w:sz w:val="24"/>
                <w:szCs w:val="24"/>
                <w:vertAlign w:val="baseline"/>
                <w:lang w:val="en-US" w:eastAsia="zh-CN"/>
              </w:rPr>
            </w:pPr>
          </w:p>
          <w:p w14:paraId="303BCCA8">
            <w:pPr>
              <w:spacing w:line="560" w:lineRule="exact"/>
              <w:jc w:val="center"/>
              <w:outlineLvl w:val="1"/>
              <w:rPr>
                <w:rFonts w:hint="eastAsia" w:ascii="宋体" w:hAnsi="宋体" w:eastAsia="宋体" w:cs="宋体"/>
                <w:b/>
                <w:color w:val="auto"/>
                <w:sz w:val="24"/>
                <w:szCs w:val="24"/>
                <w:vertAlign w:val="baseline"/>
                <w:lang w:val="en-US" w:eastAsia="zh-CN"/>
              </w:rPr>
            </w:pPr>
          </w:p>
          <w:p w14:paraId="60EE2228">
            <w:pPr>
              <w:spacing w:line="560" w:lineRule="exact"/>
              <w:jc w:val="center"/>
              <w:outlineLvl w:val="1"/>
              <w:rPr>
                <w:rFonts w:hint="eastAsia" w:ascii="宋体" w:hAnsi="宋体" w:eastAsia="宋体" w:cs="宋体"/>
                <w:b/>
                <w:color w:val="auto"/>
                <w:sz w:val="24"/>
                <w:szCs w:val="24"/>
                <w:vertAlign w:val="baseline"/>
                <w:lang w:val="en-US" w:eastAsia="zh-CN"/>
              </w:rPr>
            </w:pPr>
          </w:p>
          <w:p w14:paraId="1B06ED9D">
            <w:pPr>
              <w:spacing w:line="560" w:lineRule="exact"/>
              <w:jc w:val="center"/>
              <w:outlineLvl w:val="1"/>
              <w:rPr>
                <w:rFonts w:hint="eastAsia" w:ascii="宋体" w:hAnsi="宋体" w:eastAsia="宋体" w:cs="宋体"/>
                <w:b/>
                <w:color w:val="auto"/>
                <w:sz w:val="24"/>
                <w:szCs w:val="24"/>
                <w:vertAlign w:val="baseline"/>
                <w:lang w:val="en-US" w:eastAsia="zh-CN"/>
              </w:rPr>
            </w:pPr>
          </w:p>
          <w:p w14:paraId="5949B13A">
            <w:pPr>
              <w:spacing w:line="560" w:lineRule="exact"/>
              <w:jc w:val="center"/>
              <w:outlineLvl w:val="1"/>
              <w:rPr>
                <w:rFonts w:hint="eastAsia" w:ascii="宋体" w:hAnsi="宋体" w:eastAsia="宋体" w:cs="宋体"/>
                <w:b/>
                <w:color w:val="auto"/>
                <w:sz w:val="24"/>
                <w:szCs w:val="24"/>
                <w:vertAlign w:val="baseline"/>
                <w:lang w:val="en-US" w:eastAsia="zh-CN"/>
              </w:rPr>
            </w:pPr>
          </w:p>
          <w:p w14:paraId="75864DFC">
            <w:pPr>
              <w:spacing w:line="560" w:lineRule="exact"/>
              <w:jc w:val="center"/>
              <w:outlineLvl w:val="1"/>
              <w:rPr>
                <w:rFonts w:hint="eastAsia" w:ascii="宋体" w:hAnsi="宋体" w:eastAsia="宋体" w:cs="宋体"/>
                <w:b/>
                <w:color w:val="auto"/>
                <w:sz w:val="24"/>
                <w:szCs w:val="24"/>
                <w:vertAlign w:val="baseline"/>
                <w:lang w:val="en-US" w:eastAsia="zh-CN"/>
              </w:rPr>
            </w:pPr>
          </w:p>
          <w:p w14:paraId="22256575">
            <w:pPr>
              <w:spacing w:line="560" w:lineRule="exact"/>
              <w:jc w:val="center"/>
              <w:outlineLvl w:val="1"/>
              <w:rPr>
                <w:rFonts w:hint="eastAsia" w:ascii="宋体" w:hAnsi="宋体" w:eastAsia="宋体" w:cs="宋体"/>
                <w:b/>
                <w:color w:val="auto"/>
                <w:sz w:val="24"/>
                <w:szCs w:val="24"/>
                <w:vertAlign w:val="baseline"/>
                <w:lang w:val="en-US" w:eastAsia="zh-CN"/>
              </w:rPr>
            </w:pPr>
          </w:p>
          <w:p w14:paraId="65E82B7C">
            <w:pPr>
              <w:spacing w:line="560" w:lineRule="exact"/>
              <w:jc w:val="center"/>
              <w:outlineLvl w:val="1"/>
              <w:rPr>
                <w:rFonts w:hint="eastAsia" w:ascii="宋体" w:hAnsi="宋体" w:eastAsia="宋体" w:cs="宋体"/>
                <w:b/>
                <w:color w:val="auto"/>
                <w:sz w:val="24"/>
                <w:szCs w:val="24"/>
                <w:vertAlign w:val="baseline"/>
                <w:lang w:val="en-US" w:eastAsia="zh-CN"/>
              </w:rPr>
            </w:pPr>
          </w:p>
          <w:p w14:paraId="384E449C">
            <w:pPr>
              <w:spacing w:line="560" w:lineRule="exact"/>
              <w:jc w:val="center"/>
              <w:outlineLvl w:val="1"/>
              <w:rPr>
                <w:rFonts w:hint="eastAsia" w:ascii="宋体" w:hAnsi="宋体" w:eastAsia="宋体" w:cs="宋体"/>
                <w:b/>
                <w:color w:val="auto"/>
                <w:sz w:val="24"/>
                <w:szCs w:val="24"/>
                <w:vertAlign w:val="baseline"/>
                <w:lang w:val="en-US" w:eastAsia="zh-CN"/>
              </w:rPr>
            </w:pPr>
          </w:p>
          <w:p w14:paraId="56491150">
            <w:pPr>
              <w:spacing w:line="560" w:lineRule="exact"/>
              <w:jc w:val="center"/>
              <w:outlineLvl w:val="1"/>
              <w:rPr>
                <w:rFonts w:hint="eastAsia" w:ascii="宋体" w:hAnsi="宋体" w:eastAsia="宋体" w:cs="宋体"/>
                <w:b/>
                <w:color w:val="auto"/>
                <w:sz w:val="24"/>
                <w:szCs w:val="24"/>
                <w:vertAlign w:val="baseline"/>
                <w:lang w:val="en-US" w:eastAsia="zh-CN"/>
              </w:rPr>
            </w:pPr>
          </w:p>
          <w:p w14:paraId="1F6DACEC">
            <w:pPr>
              <w:spacing w:line="560" w:lineRule="exact"/>
              <w:jc w:val="center"/>
              <w:outlineLvl w:val="1"/>
              <w:rPr>
                <w:rFonts w:hint="eastAsia" w:ascii="宋体" w:hAnsi="宋体" w:eastAsia="宋体" w:cs="宋体"/>
                <w:b/>
                <w:color w:val="auto"/>
                <w:sz w:val="24"/>
                <w:szCs w:val="24"/>
                <w:vertAlign w:val="baseline"/>
                <w:lang w:val="en-US" w:eastAsia="zh-CN"/>
              </w:rPr>
            </w:pPr>
          </w:p>
          <w:p w14:paraId="56C6BEF2">
            <w:pPr>
              <w:spacing w:line="560" w:lineRule="exact"/>
              <w:jc w:val="center"/>
              <w:outlineLvl w:val="1"/>
              <w:rPr>
                <w:rFonts w:hint="eastAsia" w:ascii="宋体" w:hAnsi="宋体" w:eastAsia="宋体" w:cs="宋体"/>
                <w:b/>
                <w:color w:val="auto"/>
                <w:sz w:val="24"/>
                <w:szCs w:val="24"/>
                <w:vertAlign w:val="baseline"/>
                <w:lang w:val="en-US" w:eastAsia="zh-CN"/>
              </w:rPr>
            </w:pPr>
          </w:p>
          <w:p w14:paraId="249A192C">
            <w:pPr>
              <w:spacing w:line="560" w:lineRule="exact"/>
              <w:jc w:val="center"/>
              <w:outlineLvl w:val="1"/>
              <w:rPr>
                <w:rFonts w:hint="eastAsia" w:ascii="宋体" w:hAnsi="宋体" w:eastAsia="宋体" w:cs="宋体"/>
                <w:b/>
                <w:color w:val="auto"/>
                <w:sz w:val="24"/>
                <w:szCs w:val="24"/>
                <w:vertAlign w:val="baseline"/>
                <w:lang w:val="en-US" w:eastAsia="zh-CN"/>
              </w:rPr>
            </w:pPr>
            <w:r>
              <w:rPr>
                <w:rFonts w:hint="eastAsia" w:ascii="宋体" w:hAnsi="宋体" w:eastAsia="宋体" w:cs="宋体"/>
                <w:b/>
                <w:color w:val="auto"/>
                <w:sz w:val="24"/>
                <w:szCs w:val="24"/>
                <w:vertAlign w:val="baseline"/>
                <w:lang w:val="en-US" w:eastAsia="zh-CN"/>
              </w:rPr>
              <w:t>1</w:t>
            </w:r>
          </w:p>
          <w:p w14:paraId="0A2960FF">
            <w:pPr>
              <w:spacing w:line="560" w:lineRule="exact"/>
              <w:jc w:val="left"/>
              <w:outlineLvl w:val="1"/>
              <w:rPr>
                <w:rFonts w:hint="eastAsia" w:ascii="宋体" w:hAnsi="宋体" w:eastAsia="宋体" w:cs="宋体"/>
                <w:b/>
                <w:color w:val="auto"/>
                <w:sz w:val="24"/>
                <w:szCs w:val="24"/>
                <w:vertAlign w:val="baseline"/>
                <w:lang w:val="en-US" w:eastAsia="zh-CN"/>
              </w:rPr>
            </w:pPr>
          </w:p>
          <w:p w14:paraId="4471E564">
            <w:pPr>
              <w:spacing w:line="560" w:lineRule="exact"/>
              <w:jc w:val="left"/>
              <w:outlineLvl w:val="1"/>
              <w:rPr>
                <w:rFonts w:hint="eastAsia" w:ascii="宋体" w:hAnsi="宋体" w:eastAsia="宋体" w:cs="宋体"/>
                <w:b/>
                <w:color w:val="auto"/>
                <w:sz w:val="24"/>
                <w:szCs w:val="24"/>
                <w:vertAlign w:val="baseline"/>
                <w:lang w:val="en-US" w:eastAsia="zh-CN"/>
              </w:rPr>
            </w:pPr>
          </w:p>
          <w:p w14:paraId="1C9D73D1">
            <w:pPr>
              <w:spacing w:line="560" w:lineRule="exact"/>
              <w:jc w:val="left"/>
              <w:outlineLvl w:val="1"/>
              <w:rPr>
                <w:rFonts w:hint="eastAsia" w:ascii="宋体" w:hAnsi="宋体" w:eastAsia="宋体" w:cs="宋体"/>
                <w:b/>
                <w:color w:val="auto"/>
                <w:sz w:val="24"/>
                <w:szCs w:val="24"/>
                <w:vertAlign w:val="baseline"/>
                <w:lang w:val="en-US" w:eastAsia="zh-CN"/>
              </w:rPr>
            </w:pPr>
            <w:r>
              <w:rPr>
                <w:rFonts w:hint="eastAsia" w:ascii="宋体" w:hAnsi="宋体" w:eastAsia="宋体" w:cs="宋体"/>
                <w:b/>
                <w:color w:val="auto"/>
                <w:sz w:val="24"/>
                <w:szCs w:val="24"/>
                <w:vertAlign w:val="baseline"/>
                <w:lang w:val="en-US" w:eastAsia="zh-CN"/>
              </w:rPr>
              <w:t xml:space="preserve"> </w:t>
            </w:r>
          </w:p>
        </w:tc>
        <w:tc>
          <w:tcPr>
            <w:tcW w:w="927" w:type="dxa"/>
            <w:vMerge w:val="restart"/>
            <w:noWrap w:val="0"/>
            <w:vAlign w:val="center"/>
          </w:tcPr>
          <w:p w14:paraId="6ED3331E">
            <w:pPr>
              <w:spacing w:line="560" w:lineRule="exact"/>
              <w:jc w:val="left"/>
              <w:outlineLvl w:val="1"/>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auto"/>
                <w:kern w:val="0"/>
                <w:sz w:val="24"/>
                <w:szCs w:val="24"/>
              </w:rPr>
              <w:t>反无设备监管应用系统</w:t>
            </w:r>
          </w:p>
        </w:tc>
        <w:tc>
          <w:tcPr>
            <w:tcW w:w="1214" w:type="dxa"/>
            <w:noWrap w:val="0"/>
            <w:vAlign w:val="center"/>
          </w:tcPr>
          <w:p w14:paraId="338016B5">
            <w:pPr>
              <w:spacing w:line="560" w:lineRule="exact"/>
              <w:jc w:val="both"/>
              <w:outlineLvl w:val="1"/>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kern w:val="0"/>
                <w:sz w:val="24"/>
                <w:szCs w:val="24"/>
              </w:rPr>
              <w:t>反无设备全生命周期信息管理功能模块</w:t>
            </w:r>
          </w:p>
        </w:tc>
        <w:tc>
          <w:tcPr>
            <w:tcW w:w="4991" w:type="dxa"/>
            <w:noWrap w:val="0"/>
            <w:vAlign w:val="top"/>
          </w:tcPr>
          <w:p w14:paraId="2CFE2DED">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color w:val="auto"/>
                <w:sz w:val="24"/>
                <w:szCs w:val="24"/>
                <w:highlight w:val="none"/>
                <w:lang w:val="en-US" w:eastAsia="zh-CN" w:bidi="he-IL"/>
              </w:rPr>
              <w:t>该模块汇聚反无设备的相关信息，应具备反无设备的自治区销售备案信息、设置使用评估信息、设台管理信息、监督检查信息，提升对反无设备全生命周期的信息化管理能力，并形成自治区反无设备基础数据库，具备可视化展示能力。</w:t>
            </w:r>
          </w:p>
          <w:p w14:paraId="07717C64">
            <w:pPr>
              <w:pStyle w:val="7"/>
              <w:spacing w:line="560" w:lineRule="exact"/>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自治区销售备案信息：</w:t>
            </w:r>
            <w:r>
              <w:rPr>
                <w:rFonts w:hint="eastAsia" w:ascii="宋体" w:hAnsi="宋体" w:eastAsia="宋体" w:cs="宋体"/>
                <w:color w:val="auto"/>
                <w:sz w:val="24"/>
                <w:szCs w:val="24"/>
                <w:highlight w:val="none"/>
                <w:lang w:val="en-US" w:eastAsia="zh-CN" w:bidi="he-IL"/>
              </w:rPr>
              <w:t>汇总生产企业反无设备的销售备案信息，应具备生产企业信息、设备信息等。</w:t>
            </w:r>
          </w:p>
          <w:p w14:paraId="7522DE40">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生产企业信息汇总：</w:t>
            </w:r>
            <w:r>
              <w:rPr>
                <w:rFonts w:hint="eastAsia" w:ascii="宋体" w:hAnsi="宋体" w:eastAsia="宋体" w:cs="宋体"/>
                <w:color w:val="auto"/>
                <w:sz w:val="24"/>
                <w:szCs w:val="24"/>
                <w:highlight w:val="none"/>
                <w:lang w:val="en-US" w:eastAsia="zh-CN" w:bidi="he-IL"/>
              </w:rPr>
              <w:t>汇总生产企业信息，应具备企业主体名称、统一社会信用代码、法定代表人姓名、法定代表人身份证号、联系人姓名、联系人电话、工商营业执照扫描件、经营类型、经营所在地、实体经营场所详细地址、经营范围、企业网站地址、使用用户单位信息等。</w:t>
            </w:r>
          </w:p>
          <w:p w14:paraId="29693E20">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设备信息汇总：</w:t>
            </w:r>
            <w:r>
              <w:rPr>
                <w:rFonts w:hint="eastAsia" w:ascii="宋体" w:hAnsi="宋体" w:eastAsia="宋体" w:cs="宋体"/>
                <w:color w:val="auto"/>
                <w:sz w:val="24"/>
                <w:szCs w:val="24"/>
                <w:highlight w:val="none"/>
                <w:lang w:val="en-US" w:eastAsia="zh-CN" w:bidi="he-IL"/>
              </w:rPr>
              <w:t>汇总设备信息，应具备设备类型、设备型号、设备数量及产品标识信息等。</w:t>
            </w:r>
          </w:p>
          <w:p w14:paraId="50034A59">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销售备案信息管理：</w:t>
            </w:r>
            <w:r>
              <w:rPr>
                <w:rFonts w:hint="eastAsia" w:ascii="宋体" w:hAnsi="宋体" w:eastAsia="宋体" w:cs="宋体"/>
                <w:color w:val="auto"/>
                <w:sz w:val="24"/>
                <w:szCs w:val="24"/>
                <w:highlight w:val="none"/>
                <w:lang w:val="en-US" w:eastAsia="zh-CN" w:bidi="he-IL"/>
              </w:rPr>
              <w:t>支持对销售备案信息的增加、删除、修改、查看功能。</w:t>
            </w:r>
          </w:p>
          <w:p w14:paraId="4BA8393E">
            <w:pPr>
              <w:pStyle w:val="7"/>
              <w:spacing w:line="560" w:lineRule="exact"/>
              <w:ind w:firstLine="640"/>
              <w:rPr>
                <w:rFonts w:hint="eastAsia" w:ascii="宋体" w:hAnsi="宋体" w:eastAsia="宋体" w:cs="宋体"/>
                <w:b/>
                <w:bCs/>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设置使用评估信息：</w:t>
            </w:r>
          </w:p>
          <w:p w14:paraId="5435D530">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color w:val="auto"/>
                <w:sz w:val="24"/>
                <w:szCs w:val="24"/>
                <w:highlight w:val="none"/>
                <w:lang w:val="en-US" w:eastAsia="zh-CN" w:bidi="he-IL"/>
              </w:rPr>
              <w:t>汇聚重点区域、重要目标设置使用的固定、车载及便携式反无设备的现场测试验证评估信息，实现反无设备设置使用评估的信息化管理。</w:t>
            </w:r>
          </w:p>
          <w:p w14:paraId="5A35BA47">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设备基本信息汇总：</w:t>
            </w:r>
            <w:r>
              <w:rPr>
                <w:rFonts w:hint="eastAsia" w:ascii="宋体" w:hAnsi="宋体" w:eastAsia="宋体" w:cs="宋体"/>
                <w:color w:val="auto"/>
                <w:sz w:val="24"/>
                <w:szCs w:val="24"/>
                <w:highlight w:val="none"/>
                <w:lang w:val="en-US" w:eastAsia="zh-CN" w:bidi="he-IL"/>
              </w:rPr>
              <w:t>汇总设备基本信息，应具备评估报告编号、设备名称、设备型号、设备序列号等。</w:t>
            </w:r>
          </w:p>
          <w:p w14:paraId="6DBCDF6F">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设备参数信息汇总：</w:t>
            </w:r>
            <w:r>
              <w:rPr>
                <w:rFonts w:hint="eastAsia" w:ascii="宋体" w:hAnsi="宋体" w:eastAsia="宋体" w:cs="宋体"/>
                <w:color w:val="auto"/>
                <w:sz w:val="24"/>
                <w:szCs w:val="24"/>
                <w:highlight w:val="none"/>
                <w:lang w:val="en-US" w:eastAsia="zh-CN" w:bidi="he-IL"/>
              </w:rPr>
              <w:t>汇总设备参数信息，应具备发射频率范围、占用带宽、发射功率等。</w:t>
            </w:r>
          </w:p>
          <w:p w14:paraId="5D3B5744">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评估信息展示：</w:t>
            </w:r>
            <w:r>
              <w:rPr>
                <w:rFonts w:hint="eastAsia" w:ascii="宋体" w:hAnsi="宋体" w:eastAsia="宋体" w:cs="宋体"/>
                <w:color w:val="auto"/>
                <w:sz w:val="24"/>
                <w:szCs w:val="24"/>
                <w:highlight w:val="none"/>
                <w:lang w:val="en-US" w:eastAsia="zh-CN" w:bidi="he-IL"/>
              </w:rPr>
              <w:t>评估信息展示应具备对周围环境敏感目标的电磁辐射影响、有效防御距离、现场设备安装照片等。</w:t>
            </w:r>
          </w:p>
          <w:p w14:paraId="58E25061">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评估结果展示：</w:t>
            </w:r>
            <w:r>
              <w:rPr>
                <w:rFonts w:hint="eastAsia" w:ascii="宋体" w:hAnsi="宋体" w:eastAsia="宋体" w:cs="宋体"/>
                <w:color w:val="auto"/>
                <w:sz w:val="24"/>
                <w:szCs w:val="24"/>
                <w:highlight w:val="none"/>
                <w:lang w:val="en-US" w:eastAsia="zh-CN" w:bidi="he-IL"/>
              </w:rPr>
              <w:t>通过列表形式展示评估单位、评估结果、评估报告、评估时间等。</w:t>
            </w:r>
          </w:p>
          <w:p w14:paraId="563FC860">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评估功能管理：</w:t>
            </w:r>
            <w:r>
              <w:rPr>
                <w:rFonts w:hint="eastAsia" w:ascii="宋体" w:hAnsi="宋体" w:eastAsia="宋体" w:cs="宋体"/>
                <w:color w:val="auto"/>
                <w:sz w:val="24"/>
                <w:szCs w:val="24"/>
                <w:highlight w:val="none"/>
                <w:lang w:val="en-US" w:eastAsia="zh-CN" w:bidi="he-IL"/>
              </w:rPr>
              <w:t>评估功能管理应具备设置使用评估信息的增加、删除、修改、查看功能。</w:t>
            </w:r>
          </w:p>
          <w:p w14:paraId="6CC5036B">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设台管理信息：</w:t>
            </w:r>
            <w:r>
              <w:rPr>
                <w:rFonts w:hint="eastAsia" w:ascii="宋体" w:hAnsi="宋体" w:eastAsia="宋体" w:cs="宋体"/>
                <w:color w:val="auto"/>
                <w:sz w:val="24"/>
                <w:szCs w:val="24"/>
                <w:highlight w:val="none"/>
                <w:lang w:val="en-US" w:eastAsia="zh-CN" w:bidi="he-IL"/>
              </w:rPr>
              <w:t>汇总相关行业及部门在要地及重点目标设置的反无设备信息，为无线电管理机构对反无设备的使用管理提供更好支撑，确保反无设备的合法、安全、有效使用。</w:t>
            </w:r>
          </w:p>
          <w:p w14:paraId="51666AF8">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用户信息汇总：</w:t>
            </w:r>
            <w:r>
              <w:rPr>
                <w:rFonts w:hint="eastAsia" w:ascii="宋体" w:hAnsi="宋体" w:eastAsia="宋体" w:cs="宋体"/>
                <w:color w:val="auto"/>
                <w:sz w:val="24"/>
                <w:szCs w:val="24"/>
                <w:highlight w:val="none"/>
                <w:lang w:val="en-US" w:eastAsia="zh-CN" w:bidi="he-IL"/>
              </w:rPr>
              <w:t>汇总用户信息，应具备用户单位、联系人、联系电话等。</w:t>
            </w:r>
          </w:p>
          <w:p w14:paraId="378640CE">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设备信息汇总：</w:t>
            </w:r>
            <w:r>
              <w:rPr>
                <w:rFonts w:hint="eastAsia" w:ascii="宋体" w:hAnsi="宋体" w:eastAsia="宋体" w:cs="宋体"/>
                <w:color w:val="auto"/>
                <w:sz w:val="24"/>
                <w:szCs w:val="24"/>
                <w:highlight w:val="none"/>
                <w:lang w:val="en-US" w:eastAsia="zh-CN" w:bidi="he-IL"/>
              </w:rPr>
              <w:t>汇总设备信息，应具备设备型号、型号核准代码、设备编码、使用场景、使用说明、主要反制目标及范围、使用地点及时间、设备部署真高、设备有效覆盖视场角和俯仰角、天线方向性等。</w:t>
            </w:r>
          </w:p>
          <w:p w14:paraId="582B10B4">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设置使用申请管理：</w:t>
            </w:r>
            <w:r>
              <w:rPr>
                <w:rFonts w:hint="eastAsia" w:ascii="宋体" w:hAnsi="宋体" w:eastAsia="宋体" w:cs="宋体"/>
                <w:color w:val="auto"/>
                <w:sz w:val="24"/>
                <w:szCs w:val="24"/>
                <w:highlight w:val="none"/>
                <w:lang w:val="en-US" w:eastAsia="zh-CN" w:bidi="he-IL"/>
              </w:rPr>
              <w:t>绑定前端数据感知系统中的频谱主动感知设备，提供设置使用信息增加、删除、修改、查看功能。</w:t>
            </w:r>
          </w:p>
          <w:p w14:paraId="73B4DAF6">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监督检查信息：</w:t>
            </w:r>
            <w:r>
              <w:rPr>
                <w:rFonts w:hint="eastAsia" w:ascii="宋体" w:hAnsi="宋体" w:eastAsia="宋体" w:cs="宋体"/>
                <w:color w:val="auto"/>
                <w:sz w:val="24"/>
                <w:szCs w:val="24"/>
                <w:highlight w:val="none"/>
                <w:lang w:val="en-US" w:eastAsia="zh-CN" w:bidi="he-IL"/>
              </w:rPr>
              <w:t>监督检查功能需实现汇总反无设备日常检查和专项检查信息。应具备无线电管理机构对研制、生产、进口、销售、维修和设置、使用反无设备的监督检查工作信息化管理功能。</w:t>
            </w:r>
          </w:p>
          <w:p w14:paraId="668E89E4">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监督检查信息汇总：</w:t>
            </w:r>
            <w:r>
              <w:rPr>
                <w:rFonts w:hint="eastAsia" w:ascii="宋体" w:hAnsi="宋体" w:eastAsia="宋体" w:cs="宋体"/>
                <w:color w:val="auto"/>
                <w:sz w:val="24"/>
                <w:szCs w:val="24"/>
                <w:highlight w:val="none"/>
                <w:lang w:val="en-US" w:eastAsia="zh-CN" w:bidi="he-IL"/>
              </w:rPr>
              <w:t>汇总监督检查信息，应具备反无设备研制、生产、销售和维修检查（无线电频率划分规定及管理规定符合情况、技术指标核定情况、销售备案及代码标注情况、有害干扰抑制情况）和生产企业检查（生产能力、技术力量、质量保证体系情况）的时间、检查人、备查用户、检查形式、任务状态、检查结果、评估报告、全过程记录归档资料（行政执法文书、音像记录、电子数据和检测报告）等功能。</w:t>
            </w:r>
          </w:p>
          <w:p w14:paraId="7CDE4E8E">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监督检查管理：</w:t>
            </w:r>
            <w:r>
              <w:rPr>
                <w:rFonts w:hint="eastAsia" w:ascii="宋体" w:hAnsi="宋体" w:eastAsia="宋体" w:cs="宋体"/>
                <w:color w:val="auto"/>
                <w:sz w:val="24"/>
                <w:szCs w:val="24"/>
                <w:highlight w:val="none"/>
                <w:lang w:val="en-US" w:eastAsia="zh-CN" w:bidi="he-IL"/>
              </w:rPr>
              <w:t>监督检查管理应具备监督检查信息的增加、删除、修改、查看功能。</w:t>
            </w:r>
          </w:p>
          <w:p w14:paraId="00F44CA6">
            <w:pPr>
              <w:spacing w:line="560" w:lineRule="exact"/>
              <w:jc w:val="left"/>
              <w:outlineLvl w:val="1"/>
              <w:rPr>
                <w:rFonts w:hint="eastAsia" w:ascii="宋体" w:hAnsi="宋体" w:eastAsia="宋体" w:cs="宋体"/>
                <w:b/>
                <w:color w:val="auto"/>
                <w:sz w:val="24"/>
                <w:szCs w:val="24"/>
                <w:vertAlign w:val="baseline"/>
                <w:lang w:val="en-US" w:eastAsia="zh-CN"/>
              </w:rPr>
            </w:pPr>
          </w:p>
        </w:tc>
        <w:tc>
          <w:tcPr>
            <w:tcW w:w="736" w:type="dxa"/>
            <w:noWrap w:val="0"/>
            <w:vAlign w:val="center"/>
          </w:tcPr>
          <w:p w14:paraId="3C5AFB9A">
            <w:pPr>
              <w:widowControl/>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0"/>
                <w:sz w:val="24"/>
                <w:szCs w:val="24"/>
              </w:rPr>
              <w:t>套</w:t>
            </w:r>
          </w:p>
        </w:tc>
        <w:tc>
          <w:tcPr>
            <w:tcW w:w="709" w:type="dxa"/>
            <w:noWrap w:val="0"/>
            <w:vAlign w:val="center"/>
          </w:tcPr>
          <w:p w14:paraId="5B4864C5">
            <w:pPr>
              <w:widowControl/>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0"/>
                <w:sz w:val="24"/>
                <w:szCs w:val="24"/>
              </w:rPr>
              <w:t>1</w:t>
            </w:r>
          </w:p>
        </w:tc>
      </w:tr>
      <w:tr w14:paraId="73569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3" w:hRule="atLeast"/>
        </w:trPr>
        <w:tc>
          <w:tcPr>
            <w:tcW w:w="722" w:type="dxa"/>
            <w:vMerge w:val="continue"/>
            <w:noWrap w:val="0"/>
            <w:vAlign w:val="top"/>
          </w:tcPr>
          <w:p w14:paraId="54372F00">
            <w:pPr>
              <w:spacing w:line="560" w:lineRule="exact"/>
              <w:jc w:val="left"/>
              <w:outlineLvl w:val="1"/>
              <w:rPr>
                <w:rFonts w:hint="eastAsia" w:ascii="宋体" w:hAnsi="宋体" w:eastAsia="宋体" w:cs="宋体"/>
                <w:b/>
                <w:color w:val="auto"/>
                <w:sz w:val="24"/>
                <w:szCs w:val="24"/>
                <w:vertAlign w:val="baseline"/>
                <w:lang w:val="en-US" w:eastAsia="zh-CN"/>
              </w:rPr>
            </w:pPr>
          </w:p>
        </w:tc>
        <w:tc>
          <w:tcPr>
            <w:tcW w:w="927" w:type="dxa"/>
            <w:vMerge w:val="continue"/>
            <w:noWrap w:val="0"/>
            <w:vAlign w:val="top"/>
          </w:tcPr>
          <w:p w14:paraId="487DDA19">
            <w:pPr>
              <w:spacing w:line="560" w:lineRule="exact"/>
              <w:jc w:val="left"/>
              <w:outlineLvl w:val="1"/>
              <w:rPr>
                <w:rFonts w:hint="eastAsia" w:ascii="宋体" w:hAnsi="宋体" w:eastAsia="宋体" w:cs="宋体"/>
                <w:b/>
                <w:color w:val="auto"/>
                <w:sz w:val="24"/>
                <w:szCs w:val="24"/>
                <w:vertAlign w:val="baseline"/>
                <w:lang w:val="en-US" w:eastAsia="zh-CN"/>
              </w:rPr>
            </w:pPr>
          </w:p>
        </w:tc>
        <w:tc>
          <w:tcPr>
            <w:tcW w:w="1214" w:type="dxa"/>
            <w:noWrap w:val="0"/>
            <w:vAlign w:val="center"/>
          </w:tcPr>
          <w:p w14:paraId="1696ECC8">
            <w:pPr>
              <w:spacing w:line="560" w:lineRule="exact"/>
              <w:jc w:val="center"/>
              <w:outlineLvl w:val="1"/>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kern w:val="0"/>
                <w:sz w:val="24"/>
                <w:szCs w:val="24"/>
              </w:rPr>
              <w:t>反无设备运行监管功能模块</w:t>
            </w:r>
          </w:p>
        </w:tc>
        <w:tc>
          <w:tcPr>
            <w:tcW w:w="4991" w:type="dxa"/>
            <w:noWrap w:val="0"/>
            <w:vAlign w:val="top"/>
          </w:tcPr>
          <w:p w14:paraId="26C78842">
            <w:pPr>
              <w:pStyle w:val="7"/>
              <w:spacing w:line="560" w:lineRule="exact"/>
              <w:ind w:firstLine="643"/>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bidi="he-IL"/>
              </w:rPr>
              <w:t>反无设备运行状态监测:</w:t>
            </w:r>
            <w:r>
              <w:rPr>
                <w:rFonts w:hint="eastAsia" w:ascii="宋体" w:hAnsi="宋体" w:eastAsia="宋体" w:cs="宋体"/>
                <w:color w:val="auto"/>
                <w:sz w:val="24"/>
                <w:szCs w:val="24"/>
                <w:highlight w:val="none"/>
                <w:lang w:val="en-US" w:eastAsia="zh-CN" w:bidi="he-IL"/>
              </w:rPr>
              <w:t>反无设备运行状态监测功能需实现汇聚反无设备实时状态数据、前端数据感知系统采集的数据，与反无设备的型号核准、设置使用评估数据比对分析，需实现对反无设备工作状态的异常识别和性能监测，研判反无设备是否存在违规发射等异常状态。反无设备的使用单位和架设地址等敏感信息通过数据混淆处理后展示。</w:t>
            </w:r>
          </w:p>
          <w:p w14:paraId="1084A685">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设备详情展示：</w:t>
            </w:r>
            <w:r>
              <w:rPr>
                <w:rFonts w:hint="eastAsia" w:ascii="宋体" w:hAnsi="宋体" w:eastAsia="宋体" w:cs="宋体"/>
                <w:color w:val="auto"/>
                <w:sz w:val="24"/>
                <w:szCs w:val="24"/>
                <w:highlight w:val="none"/>
                <w:lang w:val="en-US" w:eastAsia="zh-CN" w:bidi="he-IL"/>
              </w:rPr>
              <w:t>设备详情展示内容应具备设备的基本信息（使用单位、联系人及联系电话、架设地址等）、设备运行状态信息（发射时间、发射时长等）、设备图片、探测信号信息（频率、功率、占用带宽、发射时间、持续时间等）等功能。</w:t>
            </w:r>
          </w:p>
          <w:p w14:paraId="1E08F930">
            <w:pPr>
              <w:pStyle w:val="7"/>
              <w:spacing w:line="560" w:lineRule="exact"/>
              <w:ind w:firstLine="640"/>
              <w:rPr>
                <w:rFonts w:hint="eastAsia" w:ascii="宋体" w:hAnsi="宋体" w:eastAsia="宋体" w:cs="宋体"/>
                <w:b/>
                <w:bCs/>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★频谱信息展示：分段实时展示监测的频谱信息，常用频段包括但不限于425MHz-445MHz，840MHz-860MHz，902MHz-928MHz，1160MHz-1280MHz，1424MHz-1448MHz，1550MHz-1625MHz，2400MHz-2500MHz，5700MHz-5900MHz。</w:t>
            </w:r>
          </w:p>
          <w:p w14:paraId="0B3B5ADA">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异常告警信息展示：</w:t>
            </w:r>
            <w:r>
              <w:rPr>
                <w:rFonts w:hint="eastAsia" w:ascii="宋体" w:hAnsi="宋体" w:eastAsia="宋体" w:cs="宋体"/>
                <w:color w:val="auto"/>
                <w:sz w:val="24"/>
                <w:szCs w:val="24"/>
                <w:highlight w:val="none"/>
                <w:lang w:val="en-US" w:eastAsia="zh-CN" w:bidi="he-IL"/>
              </w:rPr>
              <w:t>分类展示异常告警信息，应具备应发未发和违规发射两种异常情况。当设备有异常告警情况发生时，应显示告警信息供决策者处置。</w:t>
            </w:r>
          </w:p>
          <w:p w14:paraId="6C816020">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设备架设位置展示：</w:t>
            </w:r>
            <w:r>
              <w:rPr>
                <w:rFonts w:hint="eastAsia" w:ascii="宋体" w:hAnsi="宋体" w:eastAsia="宋体" w:cs="宋体"/>
                <w:color w:val="auto"/>
                <w:sz w:val="24"/>
                <w:szCs w:val="24"/>
                <w:highlight w:val="none"/>
                <w:lang w:val="en-US" w:eastAsia="zh-CN" w:bidi="he-IL"/>
              </w:rPr>
              <w:t>基于GIS地图以不同图标不同颜色等形式直观展示反无设备和频谱主动感知设备架设位置和运行状态等信息，运行状态应显示在线、离线等状态。</w:t>
            </w:r>
          </w:p>
          <w:p w14:paraId="0475B31C">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无线电反制信号覆盖和发现能力评估：</w:t>
            </w:r>
            <w:r>
              <w:rPr>
                <w:rFonts w:hint="eastAsia" w:ascii="宋体" w:hAnsi="宋体" w:eastAsia="宋体" w:cs="宋体"/>
                <w:color w:val="auto"/>
                <w:sz w:val="24"/>
                <w:szCs w:val="24"/>
                <w:highlight w:val="none"/>
                <w:lang w:val="en-US" w:eastAsia="zh-CN" w:bidi="he-IL"/>
              </w:rPr>
              <w:t>通过直接和间接采集反无设备的工作状态参数，建立仿真模型，比对重点目标或区域的物理区域范围计算分析，评估反无设备防御能力的覆盖范围。</w:t>
            </w:r>
          </w:p>
          <w:p w14:paraId="0819692B">
            <w:pPr>
              <w:pStyle w:val="7"/>
              <w:spacing w:line="560" w:lineRule="exact"/>
              <w:ind w:firstLine="640"/>
              <w:rPr>
                <w:rFonts w:hint="eastAsia" w:ascii="宋体" w:hAnsi="宋体" w:eastAsia="宋体" w:cs="宋体"/>
                <w:color w:val="auto"/>
                <w:sz w:val="24"/>
                <w:szCs w:val="24"/>
                <w:highlight w:val="none"/>
                <w:lang w:val="en-US" w:eastAsia="zh-CN" w:bidi="he-IL"/>
              </w:rPr>
            </w:pPr>
            <w:r>
              <w:rPr>
                <w:rFonts w:hint="eastAsia" w:ascii="宋体" w:hAnsi="宋体" w:eastAsia="宋体" w:cs="宋体"/>
                <w:b/>
                <w:bCs/>
                <w:color w:val="auto"/>
                <w:sz w:val="24"/>
                <w:szCs w:val="24"/>
                <w:highlight w:val="none"/>
                <w:lang w:val="en-US" w:eastAsia="zh-CN" w:bidi="he-IL"/>
              </w:rPr>
              <w:t>覆盖范围评估：</w:t>
            </w:r>
            <w:r>
              <w:rPr>
                <w:rFonts w:hint="eastAsia" w:ascii="宋体" w:hAnsi="宋体" w:eastAsia="宋体" w:cs="宋体"/>
                <w:color w:val="auto"/>
                <w:sz w:val="24"/>
                <w:szCs w:val="24"/>
                <w:highlight w:val="none"/>
                <w:lang w:val="en-US" w:eastAsia="zh-CN" w:bidi="he-IL"/>
              </w:rPr>
              <w:t>根据基础模型和功率值的不同，应具备评估反无设备防御能力覆盖范围的功能。</w:t>
            </w:r>
          </w:p>
          <w:p w14:paraId="0E221C15">
            <w:pPr>
              <w:pStyle w:val="7"/>
              <w:spacing w:line="560" w:lineRule="exact"/>
              <w:ind w:firstLine="640"/>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auto"/>
                <w:sz w:val="24"/>
                <w:szCs w:val="24"/>
                <w:highlight w:val="none"/>
                <w:lang w:val="en-US" w:eastAsia="zh-CN" w:bidi="he-IL"/>
              </w:rPr>
              <w:t>覆盖范围展示：</w:t>
            </w:r>
            <w:r>
              <w:rPr>
                <w:rFonts w:hint="eastAsia" w:ascii="宋体" w:hAnsi="宋体" w:eastAsia="宋体" w:cs="宋体"/>
                <w:color w:val="auto"/>
                <w:sz w:val="24"/>
                <w:szCs w:val="24"/>
                <w:highlight w:val="none"/>
                <w:lang w:val="en-US" w:eastAsia="zh-CN" w:bidi="he-IL"/>
              </w:rPr>
              <w:t>结合GIS地图和热力球形图可视化展示反无设备防御效果。</w:t>
            </w:r>
          </w:p>
        </w:tc>
        <w:tc>
          <w:tcPr>
            <w:tcW w:w="736" w:type="dxa"/>
            <w:noWrap w:val="0"/>
            <w:vAlign w:val="center"/>
          </w:tcPr>
          <w:p w14:paraId="5CC7F344">
            <w:pPr>
              <w:widowControl/>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0"/>
                <w:sz w:val="24"/>
                <w:szCs w:val="24"/>
              </w:rPr>
              <w:t>套</w:t>
            </w:r>
          </w:p>
        </w:tc>
        <w:tc>
          <w:tcPr>
            <w:tcW w:w="709" w:type="dxa"/>
            <w:noWrap w:val="0"/>
            <w:vAlign w:val="center"/>
          </w:tcPr>
          <w:p w14:paraId="10FDB17B">
            <w:pPr>
              <w:widowControl/>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0"/>
                <w:sz w:val="24"/>
                <w:szCs w:val="24"/>
              </w:rPr>
              <w:t>1</w:t>
            </w:r>
          </w:p>
        </w:tc>
      </w:tr>
      <w:tr w14:paraId="0B0DE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 w:type="dxa"/>
            <w:vMerge w:val="continue"/>
            <w:noWrap w:val="0"/>
            <w:vAlign w:val="top"/>
          </w:tcPr>
          <w:p w14:paraId="2ED2770C">
            <w:pPr>
              <w:spacing w:line="560" w:lineRule="exact"/>
              <w:jc w:val="left"/>
              <w:outlineLvl w:val="1"/>
              <w:rPr>
                <w:rFonts w:hint="eastAsia" w:ascii="宋体" w:hAnsi="宋体" w:eastAsia="宋体" w:cs="宋体"/>
                <w:b/>
                <w:color w:val="auto"/>
                <w:sz w:val="24"/>
                <w:szCs w:val="24"/>
                <w:vertAlign w:val="baseline"/>
                <w:lang w:val="en-US" w:eastAsia="zh-CN"/>
              </w:rPr>
            </w:pPr>
          </w:p>
        </w:tc>
        <w:tc>
          <w:tcPr>
            <w:tcW w:w="927" w:type="dxa"/>
            <w:vMerge w:val="continue"/>
            <w:noWrap w:val="0"/>
            <w:vAlign w:val="top"/>
          </w:tcPr>
          <w:p w14:paraId="165CB278">
            <w:pPr>
              <w:spacing w:line="560" w:lineRule="exact"/>
              <w:jc w:val="left"/>
              <w:outlineLvl w:val="1"/>
              <w:rPr>
                <w:rFonts w:hint="eastAsia" w:ascii="宋体" w:hAnsi="宋体" w:eastAsia="宋体" w:cs="宋体"/>
                <w:b/>
                <w:color w:val="auto"/>
                <w:sz w:val="24"/>
                <w:szCs w:val="24"/>
                <w:vertAlign w:val="baseline"/>
                <w:lang w:val="en-US" w:eastAsia="zh-CN"/>
              </w:rPr>
            </w:pPr>
          </w:p>
        </w:tc>
        <w:tc>
          <w:tcPr>
            <w:tcW w:w="1214" w:type="dxa"/>
            <w:noWrap w:val="0"/>
            <w:vAlign w:val="center"/>
          </w:tcPr>
          <w:p w14:paraId="7D2583CD">
            <w:pPr>
              <w:spacing w:line="560" w:lineRule="exact"/>
              <w:jc w:val="center"/>
              <w:outlineLvl w:val="1"/>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kern w:val="0"/>
                <w:sz w:val="24"/>
                <w:szCs w:val="24"/>
              </w:rPr>
              <w:t>重大活动保障功能模块</w:t>
            </w:r>
          </w:p>
        </w:tc>
        <w:tc>
          <w:tcPr>
            <w:tcW w:w="4991" w:type="dxa"/>
            <w:noWrap w:val="0"/>
            <w:vAlign w:val="top"/>
          </w:tcPr>
          <w:p w14:paraId="4CAA9BBD">
            <w:pPr>
              <w:pStyle w:val="7"/>
              <w:numPr>
                <w:ilvl w:val="0"/>
                <w:numId w:val="0"/>
              </w:numPr>
              <w:spacing w:line="560" w:lineRule="exact"/>
              <w:ind w:firstLine="480" w:firstLineChars="200"/>
              <w:outlineLvl w:val="9"/>
              <w:rPr>
                <w:rFonts w:hint="eastAsia" w:ascii="宋体" w:hAnsi="宋体" w:eastAsia="宋体" w:cs="宋体"/>
                <w:b w:val="0"/>
                <w:bCs w:val="0"/>
                <w:color w:val="auto"/>
                <w:sz w:val="24"/>
                <w:szCs w:val="24"/>
                <w:lang w:val="en-US" w:eastAsia="zh-CN" w:bidi="he-IL"/>
              </w:rPr>
            </w:pPr>
            <w:r>
              <w:rPr>
                <w:rFonts w:hint="eastAsia" w:ascii="宋体" w:hAnsi="宋体" w:eastAsia="宋体" w:cs="宋体"/>
                <w:b w:val="0"/>
                <w:bCs w:val="0"/>
                <w:color w:val="auto"/>
                <w:sz w:val="24"/>
                <w:szCs w:val="24"/>
                <w:lang w:val="en-US" w:eastAsia="zh-CN" w:bidi="he-IL"/>
              </w:rPr>
              <w:t>具备重大活动保障任务动态配置、动态实现管制区域内的</w:t>
            </w:r>
            <w:r>
              <w:rPr>
                <w:rFonts w:hint="eastAsia" w:ascii="宋体" w:hAnsi="宋体" w:eastAsia="宋体" w:cs="宋体"/>
                <w:b w:val="0"/>
                <w:bCs w:val="0"/>
                <w:color w:val="auto"/>
                <w:sz w:val="24"/>
                <w:szCs w:val="24"/>
                <w:highlight w:val="none"/>
                <w:lang w:val="en-US" w:eastAsia="zh-CN" w:bidi="he-IL"/>
              </w:rPr>
              <w:t>力量部署展</w:t>
            </w:r>
            <w:r>
              <w:rPr>
                <w:rFonts w:hint="eastAsia" w:ascii="宋体" w:hAnsi="宋体" w:eastAsia="宋体" w:cs="宋体"/>
                <w:b w:val="0"/>
                <w:bCs w:val="0"/>
                <w:color w:val="auto"/>
                <w:sz w:val="24"/>
                <w:szCs w:val="24"/>
                <w:lang w:val="en-US" w:eastAsia="zh-CN" w:bidi="he-IL"/>
              </w:rPr>
              <w:t>示、异常发射告警和处置等功能。</w:t>
            </w:r>
          </w:p>
          <w:p w14:paraId="279BF7F4">
            <w:pPr>
              <w:pStyle w:val="7"/>
              <w:numPr>
                <w:ilvl w:val="0"/>
                <w:numId w:val="0"/>
              </w:numPr>
              <w:spacing w:line="560" w:lineRule="exact"/>
              <w:ind w:firstLine="482" w:firstLineChars="200"/>
              <w:outlineLvl w:val="9"/>
              <w:rPr>
                <w:rFonts w:hint="eastAsia" w:ascii="宋体" w:hAnsi="宋体" w:eastAsia="宋体" w:cs="宋体"/>
                <w:b w:val="0"/>
                <w:bCs w:val="0"/>
                <w:color w:val="auto"/>
                <w:sz w:val="24"/>
                <w:szCs w:val="24"/>
                <w:lang w:val="en-US" w:eastAsia="zh-CN" w:bidi="he-IL"/>
              </w:rPr>
            </w:pPr>
            <w:r>
              <w:rPr>
                <w:rFonts w:hint="eastAsia" w:ascii="宋体" w:hAnsi="宋体" w:eastAsia="宋体" w:cs="宋体"/>
                <w:b/>
                <w:bCs/>
                <w:color w:val="auto"/>
                <w:sz w:val="24"/>
                <w:szCs w:val="24"/>
                <w:lang w:val="en-US" w:eastAsia="zh-CN" w:bidi="he-IL"/>
              </w:rPr>
              <w:t>保障任务动态配置：</w:t>
            </w:r>
            <w:r>
              <w:rPr>
                <w:rFonts w:hint="eastAsia" w:ascii="宋体" w:hAnsi="宋体" w:eastAsia="宋体" w:cs="宋体"/>
                <w:b w:val="0"/>
                <w:bCs w:val="0"/>
                <w:color w:val="auto"/>
                <w:sz w:val="24"/>
                <w:szCs w:val="24"/>
                <w:lang w:val="en-US" w:eastAsia="zh-CN" w:bidi="he-IL"/>
              </w:rPr>
              <w:t>对重大活动保障任务的多区域动态配置、频谱主动感知设备选择、监测力量配置。</w:t>
            </w:r>
          </w:p>
          <w:p w14:paraId="15BDDE19">
            <w:pPr>
              <w:pStyle w:val="7"/>
              <w:numPr>
                <w:ilvl w:val="0"/>
                <w:numId w:val="0"/>
              </w:numPr>
              <w:spacing w:line="560" w:lineRule="exact"/>
              <w:ind w:firstLine="482" w:firstLineChars="200"/>
              <w:outlineLvl w:val="9"/>
              <w:rPr>
                <w:rFonts w:hint="eastAsia" w:ascii="宋体" w:hAnsi="宋体" w:eastAsia="宋体" w:cs="宋体"/>
                <w:b w:val="0"/>
                <w:bCs w:val="0"/>
                <w:color w:val="auto"/>
                <w:sz w:val="24"/>
                <w:szCs w:val="24"/>
                <w:lang w:val="en-US" w:eastAsia="zh-CN" w:bidi="he-IL"/>
              </w:rPr>
            </w:pPr>
            <w:r>
              <w:rPr>
                <w:rFonts w:hint="eastAsia" w:ascii="宋体" w:hAnsi="宋体" w:eastAsia="宋体" w:cs="宋体"/>
                <w:b/>
                <w:bCs/>
                <w:color w:val="auto"/>
                <w:sz w:val="24"/>
                <w:szCs w:val="24"/>
                <w:lang w:val="en-US" w:eastAsia="zh-CN" w:bidi="he-IL"/>
              </w:rPr>
              <w:t>力</w:t>
            </w:r>
            <w:r>
              <w:rPr>
                <w:rFonts w:hint="eastAsia" w:ascii="宋体" w:hAnsi="宋体" w:eastAsia="宋体" w:cs="宋体"/>
                <w:b/>
                <w:bCs/>
                <w:color w:val="auto"/>
                <w:sz w:val="24"/>
                <w:szCs w:val="24"/>
                <w:highlight w:val="none"/>
                <w:lang w:val="en-US" w:eastAsia="zh-CN" w:bidi="he-IL"/>
              </w:rPr>
              <w:t>量部署展示：</w:t>
            </w:r>
            <w:r>
              <w:rPr>
                <w:rFonts w:hint="eastAsia" w:ascii="宋体" w:hAnsi="宋体" w:eastAsia="宋体" w:cs="宋体"/>
                <w:b w:val="0"/>
                <w:bCs w:val="0"/>
                <w:color w:val="auto"/>
                <w:sz w:val="24"/>
                <w:szCs w:val="24"/>
                <w:highlight w:val="none"/>
                <w:lang w:val="en-US" w:eastAsia="zh-CN" w:bidi="he-IL"/>
              </w:rPr>
              <w:t>基于GIS地图、数据分析等核心服务能力，实现重大活动保障</w:t>
            </w:r>
            <w:r>
              <w:rPr>
                <w:rFonts w:hint="eastAsia" w:ascii="宋体" w:hAnsi="宋体" w:eastAsia="宋体" w:cs="宋体"/>
                <w:b w:val="0"/>
                <w:bCs w:val="0"/>
                <w:color w:val="auto"/>
                <w:sz w:val="24"/>
                <w:szCs w:val="24"/>
                <w:lang w:val="en-US" w:eastAsia="zh-CN" w:bidi="he-IL"/>
              </w:rPr>
              <w:t>资源的可视化调度及重要数据的可视化展示，可多区域、可视化的分析展示力量部署情况及查看对应的详情数据。</w:t>
            </w:r>
          </w:p>
          <w:p w14:paraId="1275002F">
            <w:pPr>
              <w:pStyle w:val="7"/>
              <w:numPr>
                <w:ilvl w:val="0"/>
                <w:numId w:val="0"/>
              </w:numPr>
              <w:spacing w:line="560" w:lineRule="exact"/>
              <w:ind w:firstLine="482" w:firstLineChars="200"/>
              <w:outlineLvl w:val="9"/>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auto"/>
                <w:sz w:val="24"/>
                <w:szCs w:val="24"/>
                <w:lang w:val="en-US" w:eastAsia="zh-CN" w:bidi="he-IL"/>
              </w:rPr>
              <w:t>异常发射告警和处置：</w:t>
            </w:r>
            <w:r>
              <w:rPr>
                <w:rFonts w:hint="eastAsia" w:ascii="宋体" w:hAnsi="宋体" w:eastAsia="宋体" w:cs="宋体"/>
                <w:b w:val="0"/>
                <w:bCs w:val="0"/>
                <w:color w:val="auto"/>
                <w:sz w:val="24"/>
                <w:szCs w:val="24"/>
                <w:lang w:val="en-US" w:eastAsia="zh-CN" w:bidi="he-IL"/>
              </w:rPr>
              <w:t>在重大活动保障期间发现反无设备的异常并告警处置。</w:t>
            </w:r>
          </w:p>
        </w:tc>
        <w:tc>
          <w:tcPr>
            <w:tcW w:w="736" w:type="dxa"/>
            <w:noWrap w:val="0"/>
            <w:vAlign w:val="center"/>
          </w:tcPr>
          <w:p w14:paraId="093B4BA4">
            <w:pPr>
              <w:widowControl/>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0"/>
                <w:sz w:val="24"/>
                <w:szCs w:val="24"/>
              </w:rPr>
              <w:t>套</w:t>
            </w:r>
          </w:p>
        </w:tc>
        <w:tc>
          <w:tcPr>
            <w:tcW w:w="709" w:type="dxa"/>
            <w:noWrap w:val="0"/>
            <w:vAlign w:val="center"/>
          </w:tcPr>
          <w:p w14:paraId="79259219">
            <w:pPr>
              <w:widowControl/>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0"/>
                <w:sz w:val="24"/>
                <w:szCs w:val="24"/>
              </w:rPr>
              <w:t>1</w:t>
            </w:r>
          </w:p>
        </w:tc>
      </w:tr>
      <w:tr w14:paraId="6797D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 w:type="dxa"/>
            <w:vMerge w:val="continue"/>
            <w:noWrap w:val="0"/>
            <w:vAlign w:val="top"/>
          </w:tcPr>
          <w:p w14:paraId="6075FF72">
            <w:pPr>
              <w:spacing w:line="560" w:lineRule="exact"/>
              <w:jc w:val="left"/>
              <w:outlineLvl w:val="1"/>
              <w:rPr>
                <w:rFonts w:hint="eastAsia" w:ascii="宋体" w:hAnsi="宋体" w:eastAsia="宋体" w:cs="宋体"/>
                <w:b/>
                <w:color w:val="auto"/>
                <w:sz w:val="24"/>
                <w:szCs w:val="24"/>
                <w:vertAlign w:val="baseline"/>
                <w:lang w:val="en-US" w:eastAsia="zh-CN"/>
              </w:rPr>
            </w:pPr>
          </w:p>
        </w:tc>
        <w:tc>
          <w:tcPr>
            <w:tcW w:w="927" w:type="dxa"/>
            <w:vMerge w:val="continue"/>
            <w:noWrap w:val="0"/>
            <w:vAlign w:val="top"/>
          </w:tcPr>
          <w:p w14:paraId="7FEF5F70">
            <w:pPr>
              <w:spacing w:line="560" w:lineRule="exact"/>
              <w:jc w:val="left"/>
              <w:outlineLvl w:val="1"/>
              <w:rPr>
                <w:rFonts w:hint="eastAsia" w:ascii="宋体" w:hAnsi="宋体" w:eastAsia="宋体" w:cs="宋体"/>
                <w:b/>
                <w:color w:val="auto"/>
                <w:sz w:val="24"/>
                <w:szCs w:val="24"/>
                <w:vertAlign w:val="baseline"/>
                <w:lang w:val="en-US" w:eastAsia="zh-CN"/>
              </w:rPr>
            </w:pPr>
          </w:p>
        </w:tc>
        <w:tc>
          <w:tcPr>
            <w:tcW w:w="1214" w:type="dxa"/>
            <w:noWrap w:val="0"/>
            <w:vAlign w:val="center"/>
          </w:tcPr>
          <w:p w14:paraId="20967451">
            <w:pPr>
              <w:spacing w:line="560" w:lineRule="exact"/>
              <w:jc w:val="center"/>
              <w:outlineLvl w:val="1"/>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部门和行业能力协同功能模块</w:t>
            </w:r>
          </w:p>
        </w:tc>
        <w:tc>
          <w:tcPr>
            <w:tcW w:w="4991" w:type="dxa"/>
            <w:noWrap w:val="0"/>
            <w:vAlign w:val="top"/>
          </w:tcPr>
          <w:p w14:paraId="53EFD12F">
            <w:pPr>
              <w:pStyle w:val="7"/>
              <w:spacing w:line="560" w:lineRule="exact"/>
              <w:ind w:firstLine="64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部门和行业能力协同功能需实现权限设置、权限申请和审批、数据共享等，并预留相关接口，根据部门或行业的职责权限和实际工作需求进行信息共享，完成反无设备状态动态监测、数据分析、异常告警和核查处置等任务，形成对该部门或行业相关业务工作的支撑能力。</w:t>
            </w:r>
          </w:p>
          <w:p w14:paraId="1C4FD93D">
            <w:pPr>
              <w:pStyle w:val="7"/>
              <w:spacing w:line="560" w:lineRule="exact"/>
              <w:ind w:firstLine="640"/>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权限设置：</w:t>
            </w:r>
            <w:r>
              <w:rPr>
                <w:rFonts w:hint="eastAsia" w:ascii="宋体" w:hAnsi="宋体" w:eastAsia="宋体" w:cs="宋体"/>
                <w:b w:val="0"/>
                <w:bCs w:val="0"/>
                <w:color w:val="auto"/>
                <w:sz w:val="24"/>
                <w:szCs w:val="24"/>
                <w:lang w:val="en-US" w:eastAsia="zh-CN"/>
              </w:rPr>
              <w:t>管理员对不同角色的用户进行权限分配，确保只有经过授权的用户才能够访问相关数据和操作。</w:t>
            </w:r>
          </w:p>
          <w:p w14:paraId="1B72C68C">
            <w:pPr>
              <w:pStyle w:val="7"/>
              <w:spacing w:line="560" w:lineRule="exact"/>
              <w:ind w:firstLine="640"/>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权限申请和审批：</w:t>
            </w:r>
            <w:r>
              <w:rPr>
                <w:rFonts w:hint="eastAsia" w:ascii="宋体" w:hAnsi="宋体" w:eastAsia="宋体" w:cs="宋体"/>
                <w:b w:val="0"/>
                <w:bCs w:val="0"/>
                <w:color w:val="auto"/>
                <w:sz w:val="24"/>
                <w:szCs w:val="24"/>
                <w:lang w:val="en-US" w:eastAsia="zh-CN"/>
              </w:rPr>
              <w:t>实现对共享数据的申请、审批、配置、记录等，各部门/行业根据职责权限和实际工作需求申请权限，系统管理员审批后可实现权限内的数据共享。</w:t>
            </w:r>
          </w:p>
          <w:p w14:paraId="7ED10D85">
            <w:pPr>
              <w:pStyle w:val="7"/>
              <w:spacing w:line="560" w:lineRule="exact"/>
              <w:ind w:firstLine="640"/>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数据接口：</w:t>
            </w:r>
            <w:r>
              <w:rPr>
                <w:rFonts w:hint="eastAsia" w:ascii="宋体" w:hAnsi="宋体" w:eastAsia="宋体" w:cs="宋体"/>
                <w:b w:val="0"/>
                <w:bCs w:val="0"/>
                <w:color w:val="auto"/>
                <w:sz w:val="24"/>
                <w:szCs w:val="24"/>
                <w:lang w:val="en-US" w:eastAsia="zh-CN"/>
              </w:rPr>
              <w:t>通过服务层来管理数据共享，提供统一的数据访问接口，实现信息共享。</w:t>
            </w:r>
          </w:p>
          <w:p w14:paraId="208FC815">
            <w:pPr>
              <w:pStyle w:val="7"/>
              <w:spacing w:line="560" w:lineRule="exact"/>
              <w:ind w:firstLine="640"/>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静态数据共享：</w:t>
            </w:r>
            <w:r>
              <w:rPr>
                <w:rFonts w:hint="eastAsia" w:ascii="宋体" w:hAnsi="宋体" w:eastAsia="宋体" w:cs="宋体"/>
                <w:b w:val="0"/>
                <w:bCs w:val="0"/>
                <w:color w:val="auto"/>
                <w:sz w:val="24"/>
                <w:szCs w:val="24"/>
                <w:lang w:val="en-US" w:eastAsia="zh-CN"/>
              </w:rPr>
              <w:t>静态数据共享</w:t>
            </w:r>
            <w:r>
              <w:rPr>
                <w:rFonts w:hint="eastAsia" w:ascii="宋体" w:hAnsi="宋体" w:eastAsia="宋体" w:cs="宋体"/>
                <w:color w:val="auto"/>
                <w:sz w:val="24"/>
                <w:szCs w:val="24"/>
                <w:highlight w:val="none"/>
                <w:lang w:val="en-US" w:eastAsia="zh-CN" w:bidi="he-IL"/>
              </w:rPr>
              <w:t>应具备</w:t>
            </w:r>
            <w:r>
              <w:rPr>
                <w:rFonts w:hint="eastAsia" w:ascii="宋体" w:hAnsi="宋体" w:eastAsia="宋体" w:cs="宋体"/>
                <w:b w:val="0"/>
                <w:bCs w:val="0"/>
                <w:color w:val="auto"/>
                <w:sz w:val="24"/>
                <w:szCs w:val="24"/>
                <w:lang w:val="en-US" w:eastAsia="zh-CN"/>
              </w:rPr>
              <w:t>销售备案数据、设置使用评估数据、设置使用信息数据、监督检查数据。</w:t>
            </w:r>
          </w:p>
          <w:p w14:paraId="5B482668">
            <w:pPr>
              <w:spacing w:line="560" w:lineRule="exact"/>
              <w:ind w:firstLine="482" w:firstLineChars="200"/>
              <w:jc w:val="left"/>
              <w:outlineLvl w:val="1"/>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auto"/>
                <w:kern w:val="2"/>
                <w:sz w:val="24"/>
                <w:szCs w:val="24"/>
                <w:lang w:val="en-US" w:eastAsia="zh-CN" w:bidi="ar-SA"/>
              </w:rPr>
              <w:t>动态数据共享：</w:t>
            </w:r>
            <w:r>
              <w:rPr>
                <w:rFonts w:hint="eastAsia" w:ascii="宋体" w:hAnsi="宋体" w:eastAsia="宋体" w:cs="宋体"/>
                <w:b w:val="0"/>
                <w:bCs w:val="0"/>
                <w:color w:val="auto"/>
                <w:kern w:val="2"/>
                <w:sz w:val="24"/>
                <w:szCs w:val="24"/>
                <w:lang w:val="en-US" w:eastAsia="zh-CN" w:bidi="ar-SA"/>
              </w:rPr>
              <w:t>动态数据共享应具备反无设备运行状态数据、频谱主动感知数据、异常告警数据、重大活动保障信息数据和共享记录数据。</w:t>
            </w:r>
          </w:p>
        </w:tc>
        <w:tc>
          <w:tcPr>
            <w:tcW w:w="736" w:type="dxa"/>
            <w:noWrap w:val="0"/>
            <w:vAlign w:val="center"/>
          </w:tcPr>
          <w:p w14:paraId="4BD67A9C">
            <w:pPr>
              <w:widowControl/>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0"/>
                <w:sz w:val="24"/>
                <w:szCs w:val="24"/>
              </w:rPr>
              <w:t>套</w:t>
            </w:r>
          </w:p>
        </w:tc>
        <w:tc>
          <w:tcPr>
            <w:tcW w:w="709" w:type="dxa"/>
            <w:noWrap w:val="0"/>
            <w:vAlign w:val="center"/>
          </w:tcPr>
          <w:p w14:paraId="0872EB09">
            <w:pPr>
              <w:widowControl/>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0"/>
                <w:sz w:val="24"/>
                <w:szCs w:val="24"/>
              </w:rPr>
              <w:t>1</w:t>
            </w:r>
          </w:p>
        </w:tc>
      </w:tr>
      <w:tr w14:paraId="6D004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 w:type="dxa"/>
            <w:vMerge w:val="continue"/>
            <w:noWrap w:val="0"/>
            <w:vAlign w:val="top"/>
          </w:tcPr>
          <w:p w14:paraId="136DB7F2">
            <w:pPr>
              <w:spacing w:line="560" w:lineRule="exact"/>
              <w:jc w:val="left"/>
              <w:outlineLvl w:val="1"/>
              <w:rPr>
                <w:rFonts w:hint="eastAsia" w:ascii="宋体" w:hAnsi="宋体" w:eastAsia="宋体" w:cs="宋体"/>
                <w:b/>
                <w:color w:val="auto"/>
                <w:sz w:val="24"/>
                <w:szCs w:val="24"/>
                <w:vertAlign w:val="baseline"/>
                <w:lang w:val="en-US" w:eastAsia="zh-CN"/>
              </w:rPr>
            </w:pPr>
          </w:p>
        </w:tc>
        <w:tc>
          <w:tcPr>
            <w:tcW w:w="927" w:type="dxa"/>
            <w:vMerge w:val="continue"/>
            <w:noWrap w:val="0"/>
            <w:vAlign w:val="top"/>
          </w:tcPr>
          <w:p w14:paraId="794E0C62">
            <w:pPr>
              <w:spacing w:line="560" w:lineRule="exact"/>
              <w:jc w:val="left"/>
              <w:outlineLvl w:val="1"/>
              <w:rPr>
                <w:rFonts w:hint="eastAsia" w:ascii="宋体" w:hAnsi="宋体" w:eastAsia="宋体" w:cs="宋体"/>
                <w:b/>
                <w:color w:val="auto"/>
                <w:sz w:val="24"/>
                <w:szCs w:val="24"/>
                <w:vertAlign w:val="baseline"/>
                <w:lang w:val="en-US" w:eastAsia="zh-CN"/>
              </w:rPr>
            </w:pPr>
          </w:p>
        </w:tc>
        <w:tc>
          <w:tcPr>
            <w:tcW w:w="1214" w:type="dxa"/>
            <w:noWrap w:val="0"/>
            <w:vAlign w:val="center"/>
          </w:tcPr>
          <w:p w14:paraId="343C89D0">
            <w:pPr>
              <w:pStyle w:val="7"/>
              <w:spacing w:line="560" w:lineRule="exact"/>
              <w:ind w:left="0" w:leftChars="0" w:firstLine="0" w:firstLineChars="0"/>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系统部署环境</w:t>
            </w:r>
          </w:p>
          <w:p w14:paraId="24648930">
            <w:pPr>
              <w:spacing w:line="560" w:lineRule="exact"/>
              <w:jc w:val="center"/>
              <w:outlineLvl w:val="1"/>
              <w:rPr>
                <w:rFonts w:hint="eastAsia" w:ascii="宋体" w:hAnsi="宋体" w:eastAsia="宋体" w:cs="宋体"/>
                <w:b/>
                <w:bCs/>
                <w:color w:val="auto"/>
                <w:kern w:val="0"/>
                <w:sz w:val="24"/>
                <w:szCs w:val="24"/>
              </w:rPr>
            </w:pPr>
          </w:p>
        </w:tc>
        <w:tc>
          <w:tcPr>
            <w:tcW w:w="6436" w:type="dxa"/>
            <w:gridSpan w:val="3"/>
            <w:noWrap w:val="0"/>
            <w:vAlign w:val="center"/>
          </w:tcPr>
          <w:p w14:paraId="525D8A2E">
            <w:pPr>
              <w:widowControl/>
              <w:jc w:val="both"/>
              <w:rPr>
                <w:rFonts w:hint="eastAsia" w:ascii="宋体" w:hAnsi="宋体" w:eastAsia="宋体" w:cs="宋体"/>
                <w:color w:val="auto"/>
                <w:kern w:val="0"/>
                <w:sz w:val="24"/>
                <w:szCs w:val="24"/>
              </w:rPr>
            </w:pPr>
            <w:r>
              <w:rPr>
                <w:rFonts w:hint="eastAsia" w:ascii="宋体" w:hAnsi="宋体" w:eastAsia="宋体" w:cs="宋体"/>
                <w:color w:val="auto"/>
                <w:sz w:val="24"/>
                <w:szCs w:val="24"/>
              </w:rPr>
              <w:t>反无设备监管应用系统需部署在高性能基础平台上，实现反无设备监管应用系统数据存储、数据处理、网络通信及系统运行等功能。高性能基础平台技术参数：处理器≥32核 2.5GHz，硬盘总容量≥4T，内存总容量≥32G。</w:t>
            </w:r>
            <w:bookmarkStart w:id="1" w:name="_GoBack"/>
            <w:bookmarkEnd w:id="1"/>
          </w:p>
        </w:tc>
      </w:tr>
      <w:tr w14:paraId="150CA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 w:type="dxa"/>
            <w:vMerge w:val="restart"/>
            <w:noWrap w:val="0"/>
            <w:vAlign w:val="center"/>
          </w:tcPr>
          <w:p w14:paraId="74C2CA60">
            <w:pPr>
              <w:spacing w:line="560" w:lineRule="exact"/>
              <w:jc w:val="center"/>
              <w:outlineLvl w:val="1"/>
              <w:rPr>
                <w:rFonts w:hint="eastAsia" w:ascii="宋体" w:hAnsi="宋体" w:eastAsia="宋体" w:cs="宋体"/>
                <w:b/>
                <w:color w:val="auto"/>
                <w:sz w:val="24"/>
                <w:szCs w:val="24"/>
                <w:vertAlign w:val="baseline"/>
                <w:lang w:val="en-US" w:eastAsia="zh-CN"/>
              </w:rPr>
            </w:pPr>
            <w:r>
              <w:rPr>
                <w:rFonts w:hint="eastAsia" w:ascii="宋体" w:hAnsi="宋体" w:eastAsia="宋体" w:cs="宋体"/>
                <w:b/>
                <w:color w:val="auto"/>
                <w:sz w:val="24"/>
                <w:szCs w:val="24"/>
                <w:vertAlign w:val="baseline"/>
                <w:lang w:val="en-US" w:eastAsia="zh-CN"/>
              </w:rPr>
              <w:t>2</w:t>
            </w:r>
          </w:p>
        </w:tc>
        <w:tc>
          <w:tcPr>
            <w:tcW w:w="927" w:type="dxa"/>
            <w:vMerge w:val="restart"/>
            <w:noWrap w:val="0"/>
            <w:vAlign w:val="center"/>
          </w:tcPr>
          <w:p w14:paraId="6E0FADEA">
            <w:pPr>
              <w:spacing w:line="560" w:lineRule="exact"/>
              <w:jc w:val="center"/>
              <w:outlineLvl w:val="1"/>
              <w:rPr>
                <w:rFonts w:hint="eastAsia" w:ascii="宋体" w:hAnsi="宋体" w:eastAsia="宋体" w:cs="宋体"/>
                <w:b/>
                <w:bCs/>
                <w:color w:val="auto"/>
                <w:kern w:val="0"/>
                <w:sz w:val="24"/>
                <w:szCs w:val="24"/>
              </w:rPr>
            </w:pPr>
          </w:p>
          <w:p w14:paraId="3E3F431A">
            <w:pPr>
              <w:spacing w:line="560" w:lineRule="exact"/>
              <w:jc w:val="center"/>
              <w:outlineLvl w:val="1"/>
              <w:rPr>
                <w:rFonts w:hint="eastAsia" w:ascii="宋体" w:hAnsi="宋体" w:eastAsia="宋体" w:cs="宋体"/>
                <w:b/>
                <w:bCs/>
                <w:color w:val="auto"/>
                <w:kern w:val="0"/>
                <w:sz w:val="24"/>
                <w:szCs w:val="24"/>
              </w:rPr>
            </w:pPr>
          </w:p>
          <w:p w14:paraId="25BEBB6A">
            <w:pPr>
              <w:spacing w:line="560" w:lineRule="exact"/>
              <w:jc w:val="center"/>
              <w:outlineLvl w:val="1"/>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auto"/>
                <w:kern w:val="0"/>
                <w:sz w:val="24"/>
                <w:szCs w:val="24"/>
              </w:rPr>
              <w:t>前端数据感知系统</w:t>
            </w:r>
          </w:p>
        </w:tc>
        <w:tc>
          <w:tcPr>
            <w:tcW w:w="1214" w:type="dxa"/>
            <w:noWrap w:val="0"/>
            <w:vAlign w:val="center"/>
          </w:tcPr>
          <w:p w14:paraId="0A923E94">
            <w:pPr>
              <w:spacing w:line="560" w:lineRule="exact"/>
              <w:jc w:val="left"/>
              <w:outlineLvl w:val="1"/>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车载轻量级反制范围检测模块</w:t>
            </w:r>
          </w:p>
        </w:tc>
        <w:tc>
          <w:tcPr>
            <w:tcW w:w="4991" w:type="dxa"/>
            <w:noWrap w:val="0"/>
            <w:vAlign w:val="top"/>
          </w:tcPr>
          <w:p w14:paraId="23FB68CD">
            <w:pPr>
              <w:pStyle w:val="7"/>
              <w:numPr>
                <w:ilvl w:val="0"/>
                <w:numId w:val="0"/>
              </w:numPr>
              <w:spacing w:line="560" w:lineRule="exact"/>
              <w:ind w:firstLine="480" w:firstLineChars="200"/>
              <w:outlineLvl w:val="9"/>
              <w:rPr>
                <w:rFonts w:hint="eastAsia" w:ascii="宋体" w:hAnsi="宋体" w:eastAsia="宋体" w:cs="宋体"/>
                <w:b w:val="0"/>
                <w:bCs w:val="0"/>
                <w:color w:val="auto"/>
                <w:sz w:val="24"/>
                <w:szCs w:val="24"/>
                <w:highlight w:val="none"/>
                <w:lang w:eastAsia="zh-CN" w:bidi="he-IL"/>
              </w:rPr>
            </w:pPr>
            <w:r>
              <w:rPr>
                <w:rFonts w:hint="eastAsia" w:ascii="宋体" w:hAnsi="宋体" w:eastAsia="宋体" w:cs="宋体"/>
                <w:b w:val="0"/>
                <w:bCs w:val="0"/>
                <w:color w:val="auto"/>
                <w:sz w:val="24"/>
                <w:szCs w:val="24"/>
                <w:highlight w:val="none"/>
                <w:lang w:bidi="he-IL"/>
              </w:rPr>
              <w:t>前端数据感知系统</w:t>
            </w:r>
            <w:r>
              <w:rPr>
                <w:rFonts w:hint="eastAsia" w:ascii="宋体" w:hAnsi="宋体" w:eastAsia="宋体" w:cs="宋体"/>
                <w:b w:val="0"/>
                <w:bCs w:val="0"/>
                <w:color w:val="auto"/>
                <w:sz w:val="24"/>
                <w:szCs w:val="24"/>
                <w:highlight w:val="none"/>
                <w:lang w:val="en-US" w:eastAsia="zh-CN" w:bidi="he-IL"/>
              </w:rPr>
              <w:t>通过</w:t>
            </w:r>
            <w:r>
              <w:rPr>
                <w:rFonts w:hint="eastAsia" w:ascii="宋体" w:hAnsi="宋体" w:eastAsia="宋体" w:cs="宋体"/>
                <w:b w:val="0"/>
                <w:bCs w:val="0"/>
                <w:color w:val="auto"/>
                <w:sz w:val="24"/>
                <w:szCs w:val="24"/>
                <w:highlight w:val="none"/>
                <w:lang w:bidi="he-IL"/>
              </w:rPr>
              <w:t>频谱主动感知子系统、自治区监测网（已建设）获取反无</w:t>
            </w:r>
            <w:r>
              <w:rPr>
                <w:rFonts w:hint="eastAsia" w:ascii="宋体" w:hAnsi="宋体" w:eastAsia="宋体" w:cs="宋体"/>
                <w:b w:val="0"/>
                <w:bCs w:val="0"/>
                <w:color w:val="auto"/>
                <w:sz w:val="24"/>
                <w:szCs w:val="24"/>
                <w:highlight w:val="none"/>
                <w:lang w:val="en-US" w:eastAsia="zh-CN" w:bidi="he-IL"/>
              </w:rPr>
              <w:t>设备</w:t>
            </w:r>
            <w:r>
              <w:rPr>
                <w:rFonts w:hint="eastAsia" w:ascii="宋体" w:hAnsi="宋体" w:eastAsia="宋体" w:cs="宋体"/>
                <w:b w:val="0"/>
                <w:bCs w:val="0"/>
                <w:color w:val="auto"/>
                <w:sz w:val="24"/>
                <w:szCs w:val="24"/>
                <w:highlight w:val="none"/>
                <w:lang w:bidi="he-IL"/>
              </w:rPr>
              <w:t>相关基础数据</w:t>
            </w:r>
            <w:r>
              <w:rPr>
                <w:rFonts w:hint="eastAsia" w:ascii="宋体" w:hAnsi="宋体" w:eastAsia="宋体" w:cs="宋体"/>
                <w:b w:val="0"/>
                <w:bCs w:val="0"/>
                <w:color w:val="auto"/>
                <w:sz w:val="24"/>
                <w:szCs w:val="24"/>
                <w:highlight w:val="none"/>
                <w:lang w:eastAsia="zh-CN" w:bidi="he-IL"/>
              </w:rPr>
              <w:t>。</w:t>
            </w:r>
          </w:p>
          <w:p w14:paraId="61A00833">
            <w:pPr>
              <w:pStyle w:val="7"/>
              <w:spacing w:line="560" w:lineRule="exact"/>
              <w:ind w:firstLine="640"/>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rPr>
              <w:t>车载轻量级反制范围检测模块</w:t>
            </w:r>
            <w:r>
              <w:rPr>
                <w:rFonts w:hint="eastAsia" w:ascii="宋体" w:hAnsi="宋体" w:eastAsia="宋体" w:cs="宋体"/>
                <w:b/>
                <w:bCs/>
                <w:color w:val="auto"/>
                <w:sz w:val="24"/>
                <w:szCs w:val="24"/>
                <w:highlight w:val="none"/>
                <w:lang w:val="en-US" w:eastAsia="zh-CN"/>
              </w:rPr>
              <w:t>功能要求：</w:t>
            </w:r>
            <w:r>
              <w:rPr>
                <w:rFonts w:hint="eastAsia" w:ascii="宋体" w:hAnsi="宋体" w:eastAsia="宋体" w:cs="宋体"/>
                <w:b w:val="0"/>
                <w:bCs w:val="0"/>
                <w:color w:val="auto"/>
                <w:sz w:val="24"/>
                <w:szCs w:val="24"/>
                <w:highlight w:val="none"/>
              </w:rPr>
              <w:t>对</w:t>
            </w:r>
            <w:r>
              <w:rPr>
                <w:rFonts w:hint="eastAsia" w:ascii="宋体" w:hAnsi="宋体" w:eastAsia="宋体" w:cs="宋体"/>
                <w:color w:val="auto"/>
                <w:sz w:val="24"/>
                <w:szCs w:val="24"/>
                <w:highlight w:val="none"/>
              </w:rPr>
              <w:t>反无设备主动防御有效作用距离等进行测试。同时可实现定期的监督检查，保证在使用期间其主要技术指标符合要求。</w:t>
            </w:r>
          </w:p>
          <w:p w14:paraId="6B66FD56">
            <w:pPr>
              <w:pStyle w:val="7"/>
              <w:spacing w:line="560" w:lineRule="exact"/>
              <w:ind w:firstLine="640"/>
              <w:outlineLvl w:val="9"/>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性能指标：</w:t>
            </w:r>
            <w:r>
              <w:rPr>
                <w:rFonts w:hint="eastAsia" w:ascii="宋体" w:hAnsi="宋体" w:eastAsia="宋体" w:cs="宋体"/>
                <w:color w:val="auto"/>
                <w:sz w:val="24"/>
                <w:szCs w:val="24"/>
              </w:rPr>
              <w:t>车载轻量级反制范围检测模块</w:t>
            </w:r>
            <w:r>
              <w:rPr>
                <w:rFonts w:hint="eastAsia" w:ascii="宋体" w:hAnsi="宋体" w:eastAsia="宋体" w:cs="宋体"/>
                <w:color w:val="auto"/>
                <w:sz w:val="24"/>
                <w:szCs w:val="24"/>
                <w:lang w:val="en-US" w:eastAsia="zh-CN"/>
              </w:rPr>
              <w:t>具备</w:t>
            </w:r>
            <w:r>
              <w:rPr>
                <w:rFonts w:hint="eastAsia" w:ascii="宋体" w:hAnsi="宋体" w:eastAsia="宋体" w:cs="宋体"/>
                <w:color w:val="auto"/>
                <w:sz w:val="24"/>
                <w:szCs w:val="24"/>
              </w:rPr>
              <w:t>以北斗B3i频段为比较对象，测试GPS是否被干扰设备压制</w:t>
            </w:r>
            <w:r>
              <w:rPr>
                <w:rFonts w:hint="eastAsia" w:ascii="宋体" w:hAnsi="宋体" w:eastAsia="宋体" w:cs="宋体"/>
                <w:color w:val="auto"/>
                <w:sz w:val="24"/>
                <w:szCs w:val="24"/>
                <w:lang w:val="en-US" w:eastAsia="zh-CN"/>
              </w:rPr>
              <w:t>的能力</w:t>
            </w:r>
            <w:r>
              <w:rPr>
                <w:rFonts w:hint="eastAsia" w:ascii="宋体" w:hAnsi="宋体" w:eastAsia="宋体" w:cs="宋体"/>
                <w:color w:val="auto"/>
                <w:sz w:val="24"/>
                <w:szCs w:val="24"/>
              </w:rPr>
              <w:t>。</w:t>
            </w:r>
          </w:p>
          <w:p w14:paraId="67740B71">
            <w:pPr>
              <w:pStyle w:val="7"/>
              <w:spacing w:line="560" w:lineRule="exact"/>
              <w:ind w:firstLine="640"/>
              <w:rPr>
                <w:rFonts w:hint="eastAsia" w:ascii="宋体" w:hAnsi="宋体" w:eastAsia="宋体" w:cs="宋体"/>
                <w:color w:val="auto"/>
                <w:sz w:val="24"/>
                <w:szCs w:val="24"/>
              </w:rPr>
            </w:pPr>
            <w:r>
              <w:rPr>
                <w:rFonts w:hint="eastAsia" w:ascii="宋体" w:hAnsi="宋体" w:eastAsia="宋体" w:cs="宋体"/>
                <w:color w:val="auto"/>
                <w:sz w:val="24"/>
                <w:szCs w:val="24"/>
              </w:rPr>
              <w:t>具有高精度B3i频段北斗导航模组、GPS/GLONASS多模导航模组、路测系统内置防爆电池组、内置操作系统主板、路测系统数据分析软件。</w:t>
            </w:r>
          </w:p>
          <w:p w14:paraId="78738EDD">
            <w:pPr>
              <w:pStyle w:val="7"/>
              <w:spacing w:line="560" w:lineRule="exact"/>
              <w:ind w:firstLine="64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支持内置电源</w:t>
            </w:r>
            <w:r>
              <w:rPr>
                <w:rFonts w:hint="eastAsia" w:ascii="宋体" w:hAnsi="宋体" w:eastAsia="宋体" w:cs="宋体"/>
                <w:color w:val="auto"/>
                <w:sz w:val="24"/>
                <w:szCs w:val="24"/>
                <w:lang w:eastAsia="zh-CN"/>
              </w:rPr>
              <w:t>。</w:t>
            </w:r>
          </w:p>
          <w:p w14:paraId="2767E0F5">
            <w:pPr>
              <w:pStyle w:val="7"/>
              <w:spacing w:line="560" w:lineRule="exact"/>
              <w:ind w:firstLine="64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支持实时数据无线传输</w:t>
            </w:r>
            <w:r>
              <w:rPr>
                <w:rFonts w:hint="eastAsia" w:ascii="宋体" w:hAnsi="宋体" w:eastAsia="宋体" w:cs="宋体"/>
                <w:color w:val="auto"/>
                <w:sz w:val="24"/>
                <w:szCs w:val="24"/>
                <w:lang w:eastAsia="zh-CN"/>
              </w:rPr>
              <w:t>。</w:t>
            </w:r>
          </w:p>
          <w:p w14:paraId="602FF6FC">
            <w:pPr>
              <w:pStyle w:val="7"/>
              <w:spacing w:line="560" w:lineRule="exact"/>
              <w:ind w:firstLine="64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支持实时绘制数据曲线</w:t>
            </w:r>
            <w:r>
              <w:rPr>
                <w:rFonts w:hint="eastAsia" w:ascii="宋体" w:hAnsi="宋体" w:eastAsia="宋体" w:cs="宋体"/>
                <w:color w:val="auto"/>
                <w:sz w:val="24"/>
                <w:szCs w:val="24"/>
                <w:lang w:eastAsia="zh-CN"/>
              </w:rPr>
              <w:t>。</w:t>
            </w:r>
          </w:p>
          <w:p w14:paraId="5D7A08CC">
            <w:pPr>
              <w:pStyle w:val="7"/>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路测设备续航时间≥3小时。</w:t>
            </w:r>
          </w:p>
          <w:p w14:paraId="4D26F8B8">
            <w:pPr>
              <w:pStyle w:val="7"/>
              <w:spacing w:line="560" w:lineRule="exact"/>
              <w:ind w:firstLine="640"/>
              <w:rPr>
                <w:rFonts w:hint="eastAsia" w:ascii="宋体" w:hAnsi="宋体" w:eastAsia="宋体" w:cs="宋体"/>
                <w:b/>
                <w:bCs/>
                <w:color w:val="auto"/>
                <w:sz w:val="24"/>
                <w:szCs w:val="24"/>
                <w:highlight w:val="none"/>
                <w:lang w:eastAsia="zh-CN"/>
              </w:rPr>
            </w:pPr>
            <w:r>
              <w:rPr>
                <w:rFonts w:hint="eastAsia" w:ascii="宋体" w:hAnsi="宋体" w:eastAsia="宋体" w:cs="宋体"/>
                <w:b w:val="0"/>
                <w:bCs w:val="0"/>
                <w:color w:val="auto"/>
                <w:sz w:val="24"/>
                <w:szCs w:val="24"/>
              </w:rPr>
              <w:t>支持北斗频点北</w:t>
            </w:r>
            <w:r>
              <w:rPr>
                <w:rFonts w:hint="eastAsia" w:ascii="宋体" w:hAnsi="宋体" w:eastAsia="宋体" w:cs="宋体"/>
                <w:b w:val="0"/>
                <w:bCs w:val="0"/>
                <w:color w:val="auto"/>
                <w:sz w:val="24"/>
                <w:szCs w:val="24"/>
                <w:highlight w:val="none"/>
              </w:rPr>
              <w:t>斗B3i</w:t>
            </w:r>
            <w:r>
              <w:rPr>
                <w:rFonts w:hint="eastAsia" w:ascii="宋体" w:hAnsi="宋体" w:eastAsia="宋体" w:cs="宋体"/>
                <w:b w:val="0"/>
                <w:bCs w:val="0"/>
                <w:color w:val="auto"/>
                <w:sz w:val="24"/>
                <w:szCs w:val="24"/>
                <w:highlight w:val="none"/>
                <w:lang w:eastAsia="zh-CN"/>
              </w:rPr>
              <w:t>。</w:t>
            </w:r>
          </w:p>
          <w:p w14:paraId="362D0D32">
            <w:pPr>
              <w:pStyle w:val="7"/>
              <w:spacing w:line="560" w:lineRule="exact"/>
              <w:ind w:firstLine="64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★支持GPS频点GPS L1、GLONASS L1。</w:t>
            </w:r>
          </w:p>
          <w:p w14:paraId="26F09F6E">
            <w:pPr>
              <w:pStyle w:val="7"/>
              <w:spacing w:line="560" w:lineRule="exact"/>
              <w:ind w:left="0" w:leftChars="0" w:firstLine="480" w:firstLineChars="200"/>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sz w:val="24"/>
                <w:szCs w:val="24"/>
                <w:highlight w:val="none"/>
              </w:rPr>
              <w:t>配置智能化控制终端，将反无</w:t>
            </w:r>
            <w:r>
              <w:rPr>
                <w:rFonts w:hint="eastAsia" w:ascii="宋体" w:hAnsi="宋体" w:eastAsia="宋体" w:cs="宋体"/>
                <w:color w:val="auto"/>
                <w:sz w:val="24"/>
                <w:szCs w:val="24"/>
              </w:rPr>
              <w:t>设备主动防御有效作用距离测试结果传输至智能化控制终端，智能化控制终端技术参数：处理器核心数量≥16，内存≥32G，存储空间≥1T。</w:t>
            </w:r>
          </w:p>
        </w:tc>
        <w:tc>
          <w:tcPr>
            <w:tcW w:w="736" w:type="dxa"/>
            <w:noWrap w:val="0"/>
            <w:vAlign w:val="center"/>
          </w:tcPr>
          <w:p w14:paraId="69D06F21">
            <w:pPr>
              <w:widowControl/>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0"/>
                <w:sz w:val="24"/>
                <w:szCs w:val="24"/>
                <w:lang w:val="en-US" w:eastAsia="zh-CN"/>
              </w:rPr>
              <w:t>个</w:t>
            </w:r>
          </w:p>
        </w:tc>
        <w:tc>
          <w:tcPr>
            <w:tcW w:w="709" w:type="dxa"/>
            <w:noWrap w:val="0"/>
            <w:vAlign w:val="center"/>
          </w:tcPr>
          <w:p w14:paraId="34DF0114">
            <w:pPr>
              <w:widowControl/>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0"/>
                <w:sz w:val="24"/>
                <w:szCs w:val="24"/>
              </w:rPr>
              <w:t>1</w:t>
            </w:r>
          </w:p>
        </w:tc>
      </w:tr>
      <w:tr w14:paraId="028B8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 w:type="dxa"/>
            <w:vMerge w:val="continue"/>
            <w:noWrap w:val="0"/>
            <w:vAlign w:val="top"/>
          </w:tcPr>
          <w:p w14:paraId="24C674F6">
            <w:pPr>
              <w:spacing w:line="560" w:lineRule="exact"/>
              <w:jc w:val="left"/>
              <w:outlineLvl w:val="1"/>
              <w:rPr>
                <w:rFonts w:hint="eastAsia" w:ascii="宋体" w:hAnsi="宋体" w:eastAsia="宋体" w:cs="宋体"/>
                <w:b/>
                <w:color w:val="auto"/>
                <w:sz w:val="24"/>
                <w:szCs w:val="24"/>
                <w:vertAlign w:val="baseline"/>
                <w:lang w:val="en-US" w:eastAsia="zh-CN"/>
              </w:rPr>
            </w:pPr>
          </w:p>
        </w:tc>
        <w:tc>
          <w:tcPr>
            <w:tcW w:w="927" w:type="dxa"/>
            <w:vMerge w:val="continue"/>
            <w:noWrap w:val="0"/>
            <w:vAlign w:val="top"/>
          </w:tcPr>
          <w:p w14:paraId="76FF06CD">
            <w:pPr>
              <w:spacing w:line="560" w:lineRule="exact"/>
              <w:jc w:val="left"/>
              <w:outlineLvl w:val="1"/>
              <w:rPr>
                <w:rFonts w:hint="eastAsia" w:ascii="宋体" w:hAnsi="宋体" w:eastAsia="宋体" w:cs="宋体"/>
                <w:b/>
                <w:color w:val="auto"/>
                <w:sz w:val="24"/>
                <w:szCs w:val="24"/>
                <w:vertAlign w:val="baseline"/>
                <w:lang w:val="en-US" w:eastAsia="zh-CN"/>
              </w:rPr>
            </w:pPr>
          </w:p>
        </w:tc>
        <w:tc>
          <w:tcPr>
            <w:tcW w:w="1214" w:type="dxa"/>
            <w:noWrap w:val="0"/>
            <w:vAlign w:val="center"/>
          </w:tcPr>
          <w:p w14:paraId="6262E5CD">
            <w:pPr>
              <w:spacing w:line="560" w:lineRule="exact"/>
              <w:jc w:val="center"/>
              <w:outlineLvl w:val="1"/>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频谱主动感知设备</w:t>
            </w:r>
          </w:p>
        </w:tc>
        <w:tc>
          <w:tcPr>
            <w:tcW w:w="4991" w:type="dxa"/>
            <w:noWrap w:val="0"/>
            <w:vAlign w:val="top"/>
          </w:tcPr>
          <w:p w14:paraId="28E8406D">
            <w:pPr>
              <w:pStyle w:val="7"/>
              <w:spacing w:line="560" w:lineRule="exact"/>
              <w:ind w:firstLine="640"/>
              <w:rPr>
                <w:rFonts w:hint="eastAsia" w:ascii="宋体" w:hAnsi="宋体" w:eastAsia="宋体" w:cs="宋体"/>
                <w:color w:val="auto"/>
                <w:sz w:val="24"/>
                <w:szCs w:val="24"/>
                <w:highlight w:val="yellow"/>
                <w:lang w:eastAsia="zh-CN"/>
              </w:rPr>
            </w:pPr>
            <w:bookmarkStart w:id="0" w:name="OLE_LINK1"/>
            <w:r>
              <w:rPr>
                <w:rFonts w:hint="eastAsia" w:ascii="宋体" w:hAnsi="宋体" w:eastAsia="宋体" w:cs="宋体"/>
                <w:b/>
                <w:bCs/>
                <w:color w:val="auto"/>
                <w:sz w:val="24"/>
                <w:szCs w:val="24"/>
                <w:highlight w:val="none"/>
                <w:lang w:val="en-US" w:eastAsia="zh-CN"/>
              </w:rPr>
              <w:t>功能要求：</w:t>
            </w:r>
            <w:bookmarkEnd w:id="0"/>
            <w:r>
              <w:rPr>
                <w:rFonts w:hint="eastAsia" w:ascii="宋体" w:hAnsi="宋体" w:eastAsia="宋体" w:cs="宋体"/>
                <w:color w:val="auto"/>
                <w:sz w:val="24"/>
                <w:szCs w:val="24"/>
                <w:highlight w:val="none"/>
              </w:rPr>
              <w:t>频谱主动感知</w:t>
            </w:r>
            <w:r>
              <w:rPr>
                <w:rFonts w:hint="eastAsia" w:ascii="宋体" w:hAnsi="宋体" w:eastAsia="宋体" w:cs="宋体"/>
                <w:color w:val="auto"/>
                <w:sz w:val="24"/>
                <w:szCs w:val="24"/>
                <w:highlight w:val="none"/>
                <w:lang w:val="en-US" w:eastAsia="zh-CN"/>
              </w:rPr>
              <w:t>设备</w:t>
            </w:r>
            <w:r>
              <w:rPr>
                <w:rFonts w:hint="eastAsia" w:ascii="宋体" w:hAnsi="宋体" w:eastAsia="宋体" w:cs="宋体"/>
                <w:color w:val="auto"/>
                <w:sz w:val="24"/>
                <w:szCs w:val="24"/>
                <w:highlight w:val="none"/>
              </w:rPr>
              <w:t>部署于重点目标用户反无设备周边，实时监测反无设备工作时的开关机状态、持续发射时间、工作频率、发射功率、带宽、杂散</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该设备产生的数据采用设备接入控制和信息安全防护等安全技术措施，通过网络回传。</w:t>
            </w:r>
          </w:p>
          <w:p w14:paraId="2D41F2A7">
            <w:pPr>
              <w:pStyle w:val="7"/>
              <w:spacing w:line="560" w:lineRule="exact"/>
              <w:ind w:firstLine="640"/>
              <w:outlineLvl w:val="9"/>
              <w:rPr>
                <w:rFonts w:hint="eastAsia" w:ascii="宋体" w:hAnsi="宋体" w:eastAsia="宋体" w:cs="宋体"/>
                <w:b w:val="0"/>
                <w:bCs w:val="0"/>
                <w:color w:val="auto"/>
                <w:sz w:val="24"/>
                <w:szCs w:val="24"/>
                <w:lang w:bidi="he-IL"/>
              </w:rPr>
            </w:pPr>
            <w:r>
              <w:rPr>
                <w:rFonts w:hint="eastAsia" w:ascii="宋体" w:hAnsi="宋体" w:eastAsia="宋体" w:cs="宋体"/>
                <w:b/>
                <w:bCs/>
                <w:color w:val="auto"/>
                <w:sz w:val="24"/>
                <w:szCs w:val="24"/>
                <w:lang w:val="en-US" w:eastAsia="zh-CN" w:bidi="he-IL"/>
              </w:rPr>
              <w:t>性能指标：</w:t>
            </w:r>
            <w:r>
              <w:rPr>
                <w:rFonts w:hint="eastAsia" w:ascii="宋体" w:hAnsi="宋体" w:eastAsia="宋体" w:cs="宋体"/>
                <w:b w:val="0"/>
                <w:bCs w:val="0"/>
                <w:color w:val="auto"/>
                <w:sz w:val="24"/>
                <w:szCs w:val="24"/>
                <w:lang w:bidi="he-IL"/>
              </w:rPr>
              <w:t>频谱主动感知设备由射频前端、主控模块和无线传输模块组成，模块具备设备远程控制功能。</w:t>
            </w:r>
          </w:p>
          <w:p w14:paraId="7FB86841">
            <w:pPr>
              <w:pStyle w:val="7"/>
              <w:spacing w:line="560" w:lineRule="exact"/>
              <w:ind w:firstLine="640"/>
              <w:outlineLvl w:val="9"/>
              <w:rPr>
                <w:rFonts w:hint="eastAsia" w:ascii="宋体" w:hAnsi="宋体" w:eastAsia="宋体" w:cs="宋体"/>
                <w:b w:val="0"/>
                <w:bCs w:val="0"/>
                <w:color w:val="auto"/>
                <w:sz w:val="24"/>
                <w:szCs w:val="24"/>
                <w:lang w:bidi="he-IL"/>
              </w:rPr>
            </w:pPr>
            <w:r>
              <w:rPr>
                <w:rFonts w:hint="eastAsia" w:ascii="宋体" w:hAnsi="宋体" w:eastAsia="宋体" w:cs="宋体"/>
                <w:b w:val="0"/>
                <w:bCs w:val="0"/>
                <w:color w:val="auto"/>
                <w:sz w:val="24"/>
                <w:szCs w:val="24"/>
                <w:lang w:bidi="he-IL"/>
              </w:rPr>
              <w:t>支持开机自动化任务执行。</w:t>
            </w:r>
          </w:p>
          <w:p w14:paraId="12320AA8">
            <w:pPr>
              <w:pStyle w:val="7"/>
              <w:spacing w:line="560" w:lineRule="exact"/>
              <w:ind w:firstLine="640"/>
              <w:outlineLvl w:val="9"/>
              <w:rPr>
                <w:rFonts w:hint="eastAsia" w:ascii="宋体" w:hAnsi="宋体" w:eastAsia="宋体" w:cs="宋体"/>
                <w:b w:val="0"/>
                <w:bCs w:val="0"/>
                <w:color w:val="auto"/>
                <w:sz w:val="24"/>
                <w:szCs w:val="24"/>
                <w:lang w:bidi="he-IL"/>
              </w:rPr>
            </w:pPr>
            <w:r>
              <w:rPr>
                <w:rFonts w:hint="eastAsia" w:ascii="宋体" w:hAnsi="宋体" w:eastAsia="宋体" w:cs="宋体"/>
                <w:b w:val="0"/>
                <w:bCs w:val="0"/>
                <w:color w:val="auto"/>
                <w:sz w:val="24"/>
                <w:szCs w:val="24"/>
                <w:lang w:bidi="he-IL"/>
              </w:rPr>
              <w:t>支持通过无线电管理专网进行无线数据回传。</w:t>
            </w:r>
          </w:p>
          <w:p w14:paraId="4FD0BEB5">
            <w:pPr>
              <w:pStyle w:val="7"/>
              <w:spacing w:line="560" w:lineRule="exact"/>
              <w:ind w:firstLine="640"/>
              <w:outlineLvl w:val="9"/>
              <w:rPr>
                <w:rFonts w:hint="eastAsia" w:ascii="宋体" w:hAnsi="宋体" w:eastAsia="宋体" w:cs="宋体"/>
                <w:b w:val="0"/>
                <w:bCs w:val="0"/>
                <w:color w:val="auto"/>
                <w:sz w:val="24"/>
                <w:szCs w:val="24"/>
                <w:lang w:bidi="he-IL"/>
              </w:rPr>
            </w:pPr>
            <w:r>
              <w:rPr>
                <w:rFonts w:hint="eastAsia" w:ascii="宋体" w:hAnsi="宋体" w:eastAsia="宋体" w:cs="宋体"/>
                <w:b w:val="0"/>
                <w:bCs w:val="0"/>
                <w:color w:val="auto"/>
                <w:sz w:val="24"/>
                <w:szCs w:val="24"/>
                <w:lang w:bidi="he-IL"/>
              </w:rPr>
              <w:t>支持SMA接收天线接口。</w:t>
            </w:r>
          </w:p>
          <w:p w14:paraId="7848206E">
            <w:pPr>
              <w:pStyle w:val="7"/>
              <w:spacing w:line="560" w:lineRule="exact"/>
              <w:ind w:left="638" w:leftChars="304" w:firstLine="0" w:firstLineChars="0"/>
              <w:outlineLvl w:val="9"/>
              <w:rPr>
                <w:rFonts w:hint="eastAsia" w:ascii="宋体" w:hAnsi="宋体" w:eastAsia="宋体" w:cs="宋体"/>
                <w:b w:val="0"/>
                <w:bCs w:val="0"/>
                <w:color w:val="auto"/>
                <w:sz w:val="24"/>
                <w:szCs w:val="24"/>
                <w:highlight w:val="none"/>
                <w:lang w:val="en-US" w:eastAsia="zh-CN" w:bidi="he-IL"/>
              </w:rPr>
            </w:pPr>
            <w:r>
              <w:rPr>
                <w:rFonts w:hint="eastAsia" w:ascii="宋体" w:hAnsi="宋体" w:eastAsia="宋体" w:cs="宋体"/>
                <w:b w:val="0"/>
                <w:bCs w:val="0"/>
                <w:color w:val="auto"/>
                <w:sz w:val="24"/>
                <w:szCs w:val="24"/>
                <w:lang w:bidi="he-IL"/>
              </w:rPr>
              <w:t>接口：不限于LTE Cat4 Sim、RJ45 1000Mb/s</w:t>
            </w:r>
            <w:r>
              <w:rPr>
                <w:rFonts w:hint="eastAsia" w:ascii="宋体" w:hAnsi="宋体" w:eastAsia="宋体" w:cs="宋体"/>
                <w:b w:val="0"/>
                <w:bCs w:val="0"/>
                <w:color w:val="auto"/>
                <w:sz w:val="24"/>
                <w:szCs w:val="24"/>
                <w:highlight w:val="none"/>
                <w:lang w:bidi="he-IL"/>
              </w:rPr>
              <w:t>、12VDC input。输入功率：≥-15dBm。</w:t>
            </w:r>
            <w:r>
              <w:rPr>
                <w:rFonts w:hint="eastAsia" w:ascii="宋体" w:hAnsi="宋体" w:eastAsia="宋体" w:cs="宋体"/>
                <w:b w:val="0"/>
                <w:bCs w:val="0"/>
                <w:color w:val="auto"/>
                <w:sz w:val="24"/>
                <w:szCs w:val="24"/>
                <w:highlight w:val="none"/>
                <w:lang w:val="en-US" w:eastAsia="zh-CN" w:bidi="he-IL"/>
              </w:rPr>
              <w:t xml:space="preserve">   </w:t>
            </w:r>
          </w:p>
          <w:p w14:paraId="23FF4ABD">
            <w:pPr>
              <w:pStyle w:val="7"/>
              <w:spacing w:line="560" w:lineRule="exact"/>
              <w:ind w:firstLine="640"/>
              <w:outlineLvl w:val="9"/>
              <w:rPr>
                <w:rFonts w:hint="eastAsia" w:ascii="宋体" w:hAnsi="宋体" w:eastAsia="宋体" w:cs="宋体"/>
                <w:b/>
                <w:bCs/>
                <w:color w:val="auto"/>
                <w:sz w:val="24"/>
                <w:szCs w:val="24"/>
                <w:highlight w:val="none"/>
                <w:lang w:bidi="he-IL"/>
              </w:rPr>
            </w:pPr>
            <w:r>
              <w:rPr>
                <w:rFonts w:hint="eastAsia" w:ascii="宋体" w:hAnsi="宋体" w:eastAsia="宋体" w:cs="宋体"/>
                <w:b/>
                <w:bCs/>
                <w:color w:val="auto"/>
                <w:sz w:val="24"/>
                <w:szCs w:val="24"/>
                <w:highlight w:val="none"/>
                <w:lang w:bidi="he-IL"/>
              </w:rPr>
              <w:t>★频率范围：70MHz-6GHz。</w:t>
            </w:r>
          </w:p>
          <w:p w14:paraId="028F0F04">
            <w:pPr>
              <w:spacing w:line="560" w:lineRule="exact"/>
              <w:ind w:firstLine="482" w:firstLineChars="200"/>
              <w:jc w:val="left"/>
              <w:outlineLvl w:val="1"/>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auto"/>
                <w:sz w:val="24"/>
                <w:szCs w:val="24"/>
                <w:highlight w:val="none"/>
                <w:lang w:bidi="he-IL"/>
              </w:rPr>
              <w:t>★接收灵敏度：≤-110dBm。</w:t>
            </w:r>
          </w:p>
        </w:tc>
        <w:tc>
          <w:tcPr>
            <w:tcW w:w="736" w:type="dxa"/>
            <w:noWrap w:val="0"/>
            <w:vAlign w:val="center"/>
          </w:tcPr>
          <w:p w14:paraId="66319270">
            <w:pPr>
              <w:widowControl/>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0"/>
                <w:sz w:val="24"/>
                <w:szCs w:val="24"/>
                <w:lang w:val="en-US" w:eastAsia="zh-CN"/>
              </w:rPr>
              <w:t>个</w:t>
            </w:r>
          </w:p>
        </w:tc>
        <w:tc>
          <w:tcPr>
            <w:tcW w:w="709" w:type="dxa"/>
            <w:noWrap w:val="0"/>
            <w:vAlign w:val="center"/>
          </w:tcPr>
          <w:p w14:paraId="6597BBD1">
            <w:pPr>
              <w:widowControl/>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0"/>
                <w:sz w:val="24"/>
                <w:szCs w:val="24"/>
              </w:rPr>
              <w:t>10</w:t>
            </w:r>
          </w:p>
        </w:tc>
      </w:tr>
      <w:tr w14:paraId="5CC6A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 w:type="dxa"/>
            <w:vMerge w:val="restart"/>
            <w:noWrap w:val="0"/>
            <w:vAlign w:val="center"/>
          </w:tcPr>
          <w:p w14:paraId="7EF7D2F8">
            <w:pPr>
              <w:spacing w:line="560" w:lineRule="exact"/>
              <w:jc w:val="center"/>
              <w:outlineLvl w:val="1"/>
              <w:rPr>
                <w:rFonts w:hint="eastAsia" w:ascii="宋体" w:hAnsi="宋体" w:eastAsia="宋体" w:cs="宋体"/>
                <w:b/>
                <w:color w:val="auto"/>
                <w:sz w:val="24"/>
                <w:szCs w:val="24"/>
                <w:vertAlign w:val="baseline"/>
                <w:lang w:val="en-US" w:eastAsia="zh-CN"/>
              </w:rPr>
            </w:pPr>
            <w:r>
              <w:rPr>
                <w:rFonts w:hint="eastAsia" w:ascii="宋体" w:hAnsi="宋体" w:eastAsia="宋体" w:cs="宋体"/>
                <w:b/>
                <w:color w:val="auto"/>
                <w:sz w:val="24"/>
                <w:szCs w:val="24"/>
                <w:vertAlign w:val="baseline"/>
                <w:lang w:val="en-US" w:eastAsia="zh-CN"/>
              </w:rPr>
              <w:t>3</w:t>
            </w:r>
          </w:p>
        </w:tc>
        <w:tc>
          <w:tcPr>
            <w:tcW w:w="927" w:type="dxa"/>
            <w:vMerge w:val="restart"/>
            <w:noWrap w:val="0"/>
            <w:vAlign w:val="center"/>
          </w:tcPr>
          <w:p w14:paraId="40C5A342">
            <w:pPr>
              <w:spacing w:line="560" w:lineRule="exact"/>
              <w:jc w:val="center"/>
              <w:outlineLvl w:val="1"/>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auto"/>
                <w:kern w:val="0"/>
                <w:sz w:val="24"/>
                <w:szCs w:val="24"/>
              </w:rPr>
              <w:t>信息安全防护系统</w:t>
            </w:r>
          </w:p>
        </w:tc>
        <w:tc>
          <w:tcPr>
            <w:tcW w:w="1214" w:type="dxa"/>
            <w:noWrap w:val="0"/>
            <w:vAlign w:val="center"/>
          </w:tcPr>
          <w:p w14:paraId="51F5A8E7">
            <w:pPr>
              <w:spacing w:line="560" w:lineRule="exact"/>
              <w:jc w:val="center"/>
              <w:outlineLvl w:val="1"/>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数据安全采集传输与接入认证系统</w:t>
            </w:r>
          </w:p>
        </w:tc>
        <w:tc>
          <w:tcPr>
            <w:tcW w:w="4991" w:type="dxa"/>
            <w:noWrap w:val="0"/>
            <w:vAlign w:val="top"/>
          </w:tcPr>
          <w:p w14:paraId="406B4031">
            <w:pPr>
              <w:pStyle w:val="7"/>
              <w:numPr>
                <w:ilvl w:val="0"/>
                <w:numId w:val="0"/>
              </w:numPr>
              <w:spacing w:line="560" w:lineRule="exact"/>
              <w:ind w:leftChars="200" w:firstLine="241" w:firstLineChars="100"/>
              <w:jc w:val="both"/>
              <w:outlineLvl w:val="2"/>
              <w:rPr>
                <w:rFonts w:hint="eastAsia" w:ascii="宋体" w:hAnsi="宋体" w:eastAsia="宋体" w:cs="宋体"/>
                <w:b/>
                <w:bCs/>
                <w:color w:val="auto"/>
                <w:sz w:val="24"/>
                <w:szCs w:val="24"/>
              </w:rPr>
            </w:pPr>
            <w:r>
              <w:rPr>
                <w:rFonts w:hint="eastAsia" w:ascii="宋体" w:hAnsi="宋体" w:eastAsia="宋体" w:cs="宋体"/>
                <w:b/>
                <w:bCs/>
                <w:color w:val="auto"/>
                <w:sz w:val="24"/>
                <w:szCs w:val="24"/>
              </w:rPr>
              <w:t>数据安全采集传输与接入认</w:t>
            </w:r>
          </w:p>
          <w:p w14:paraId="5553E055">
            <w:pPr>
              <w:pStyle w:val="7"/>
              <w:numPr>
                <w:ilvl w:val="0"/>
                <w:numId w:val="0"/>
              </w:numPr>
              <w:spacing w:line="560" w:lineRule="exact"/>
              <w:jc w:val="both"/>
              <w:outlineLvl w:val="2"/>
              <w:rPr>
                <w:rFonts w:hint="eastAsia" w:ascii="宋体" w:hAnsi="宋体" w:eastAsia="宋体" w:cs="宋体"/>
                <w:color w:val="auto"/>
                <w:sz w:val="24"/>
                <w:szCs w:val="24"/>
              </w:rPr>
            </w:pPr>
            <w:r>
              <w:rPr>
                <w:rFonts w:hint="eastAsia" w:ascii="宋体" w:hAnsi="宋体" w:eastAsia="宋体" w:cs="宋体"/>
                <w:b/>
                <w:bCs/>
                <w:color w:val="auto"/>
                <w:sz w:val="24"/>
                <w:szCs w:val="24"/>
              </w:rPr>
              <w:t>证系统</w:t>
            </w:r>
            <w:r>
              <w:rPr>
                <w:rFonts w:hint="eastAsia" w:ascii="宋体" w:hAnsi="宋体" w:eastAsia="宋体" w:cs="宋体"/>
                <w:b/>
                <w:bCs/>
                <w:color w:val="auto"/>
                <w:sz w:val="24"/>
                <w:szCs w:val="24"/>
                <w:lang w:val="en-US" w:eastAsia="zh-CN"/>
              </w:rPr>
              <w:t>功能要求：</w:t>
            </w:r>
            <w:r>
              <w:rPr>
                <w:rFonts w:hint="eastAsia" w:ascii="宋体" w:hAnsi="宋体" w:eastAsia="宋体" w:cs="宋体"/>
                <w:color w:val="auto"/>
                <w:sz w:val="24"/>
                <w:szCs w:val="24"/>
              </w:rPr>
              <w:t>数据安全采集传输与接入认证系统</w:t>
            </w:r>
            <w:r>
              <w:rPr>
                <w:rFonts w:hint="eastAsia" w:ascii="宋体" w:hAnsi="宋体" w:eastAsia="宋体" w:cs="宋体"/>
                <w:color w:val="auto"/>
                <w:sz w:val="24"/>
                <w:szCs w:val="24"/>
                <w:highlight w:val="none"/>
                <w:lang w:val="en-US" w:eastAsia="zh-CN" w:bidi="he-IL"/>
              </w:rPr>
              <w:t>应具备</w:t>
            </w:r>
            <w:r>
              <w:rPr>
                <w:rFonts w:hint="eastAsia" w:ascii="宋体" w:hAnsi="宋体" w:eastAsia="宋体" w:cs="宋体"/>
                <w:color w:val="auto"/>
                <w:sz w:val="24"/>
                <w:szCs w:val="24"/>
              </w:rPr>
              <w:t>数据安全采集传输模块和数据安全认证系统。数据安全采集传输模块与反无设备直连，实现反无设备运行状态数据的采集、安全防护和单向传输控制。通过无线电管理专网传输至数据安全认证系统，通过数据安全认证系统回传至监管平台。通过配置高性能基础平台，实现数据安全采集传输与接入认证系统数据存储、数据处理、网络通信及系统运行等功能。</w:t>
            </w:r>
          </w:p>
          <w:p w14:paraId="5C4AB6E0">
            <w:pPr>
              <w:pStyle w:val="7"/>
              <w:spacing w:line="560" w:lineRule="exact"/>
              <w:ind w:firstLine="64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时采集在用反无设备的运行状态信息，包括设备标识信息、开关机状态、持续发射时间、工作频率、功率、带宽等，支撑反无设备监管应用系统中的反无设备运行状态监测功能。按照《无人驾驶航空器无线电反制设备数据接口协议》，接入相关行业满足要求的无人驾驶航空器无线电反制设备。</w:t>
            </w:r>
          </w:p>
          <w:p w14:paraId="6991DAF0">
            <w:pPr>
              <w:pStyle w:val="7"/>
              <w:spacing w:line="560" w:lineRule="exact"/>
              <w:ind w:firstLine="640"/>
              <w:jc w:val="both"/>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数据安全采集传输模块</w:t>
            </w:r>
            <w:r>
              <w:rPr>
                <w:rFonts w:hint="eastAsia" w:ascii="宋体" w:hAnsi="宋体" w:eastAsia="宋体" w:cs="宋体"/>
                <w:b/>
                <w:bCs/>
                <w:color w:val="auto"/>
                <w:sz w:val="24"/>
                <w:szCs w:val="24"/>
                <w:lang w:val="en-US" w:eastAsia="zh-CN"/>
              </w:rPr>
              <w:t>性能指标：</w:t>
            </w:r>
          </w:p>
          <w:p w14:paraId="3088E1D7">
            <w:pPr>
              <w:pStyle w:val="7"/>
              <w:spacing w:line="560" w:lineRule="exact"/>
              <w:ind w:firstLine="640"/>
              <w:jc w:val="both"/>
              <w:rPr>
                <w:rFonts w:hint="eastAsia" w:ascii="宋体" w:hAnsi="宋体" w:eastAsia="宋体" w:cs="宋体"/>
                <w:color w:val="auto"/>
                <w:sz w:val="24"/>
                <w:szCs w:val="24"/>
              </w:rPr>
            </w:pPr>
            <w:r>
              <w:rPr>
                <w:rFonts w:hint="eastAsia" w:ascii="宋体" w:hAnsi="宋体" w:eastAsia="宋体" w:cs="宋体"/>
                <w:color w:val="auto"/>
                <w:sz w:val="24"/>
                <w:szCs w:val="24"/>
              </w:rPr>
              <w:t>整机吞吐率：≥50Mbps。</w:t>
            </w:r>
          </w:p>
          <w:p w14:paraId="745125BF">
            <w:pPr>
              <w:pStyle w:val="7"/>
              <w:spacing w:line="560" w:lineRule="exact"/>
              <w:ind w:firstLine="640"/>
              <w:jc w:val="both"/>
              <w:rPr>
                <w:rFonts w:hint="eastAsia" w:ascii="宋体" w:hAnsi="宋体" w:eastAsia="宋体" w:cs="宋体"/>
                <w:color w:val="auto"/>
                <w:sz w:val="24"/>
                <w:szCs w:val="24"/>
              </w:rPr>
            </w:pPr>
            <w:r>
              <w:rPr>
                <w:rFonts w:hint="eastAsia" w:ascii="宋体" w:hAnsi="宋体" w:eastAsia="宋体" w:cs="宋体"/>
                <w:color w:val="auto"/>
                <w:sz w:val="24"/>
                <w:szCs w:val="24"/>
              </w:rPr>
              <w:t>约定吞吐率下，处理时延＜1ms。</w:t>
            </w:r>
          </w:p>
          <w:p w14:paraId="18748A02">
            <w:pPr>
              <w:pStyle w:val="7"/>
              <w:spacing w:line="560" w:lineRule="exact"/>
              <w:ind w:firstLine="640"/>
              <w:jc w:val="both"/>
              <w:rPr>
                <w:rFonts w:hint="eastAsia" w:ascii="宋体" w:hAnsi="宋体" w:eastAsia="宋体" w:cs="宋体"/>
                <w:color w:val="auto"/>
                <w:sz w:val="24"/>
                <w:szCs w:val="24"/>
              </w:rPr>
            </w:pPr>
            <w:r>
              <w:rPr>
                <w:rFonts w:hint="eastAsia" w:ascii="宋体" w:hAnsi="宋体" w:eastAsia="宋体" w:cs="宋体"/>
                <w:color w:val="auto"/>
                <w:sz w:val="24"/>
                <w:szCs w:val="24"/>
              </w:rPr>
              <w:t>约定吞吐率下，丢包率为0。</w:t>
            </w:r>
          </w:p>
          <w:p w14:paraId="0A9FFC99">
            <w:pPr>
              <w:pStyle w:val="7"/>
              <w:spacing w:line="560" w:lineRule="exact"/>
              <w:ind w:firstLine="640"/>
              <w:jc w:val="both"/>
              <w:rPr>
                <w:rFonts w:hint="eastAsia" w:ascii="宋体" w:hAnsi="宋体" w:eastAsia="宋体" w:cs="宋体"/>
                <w:color w:val="auto"/>
                <w:sz w:val="24"/>
                <w:szCs w:val="24"/>
              </w:rPr>
            </w:pPr>
            <w:r>
              <w:rPr>
                <w:rFonts w:hint="eastAsia" w:ascii="宋体" w:hAnsi="宋体" w:eastAsia="宋体" w:cs="宋体"/>
                <w:color w:val="auto"/>
                <w:sz w:val="24"/>
                <w:szCs w:val="24"/>
              </w:rPr>
              <w:t>支持的最大隧道数：≥1024。</w:t>
            </w:r>
          </w:p>
          <w:p w14:paraId="4390DEB6">
            <w:pPr>
              <w:pStyle w:val="7"/>
              <w:spacing w:line="560" w:lineRule="exact"/>
              <w:ind w:firstLine="640"/>
              <w:jc w:val="both"/>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数据安全认证系统</w:t>
            </w:r>
            <w:r>
              <w:rPr>
                <w:rFonts w:hint="eastAsia" w:ascii="宋体" w:hAnsi="宋体" w:eastAsia="宋体" w:cs="宋体"/>
                <w:b/>
                <w:bCs/>
                <w:color w:val="auto"/>
                <w:sz w:val="24"/>
                <w:szCs w:val="24"/>
                <w:lang w:val="en-US" w:eastAsia="zh-CN"/>
              </w:rPr>
              <w:t>性能指标：</w:t>
            </w:r>
          </w:p>
          <w:p w14:paraId="2CD8CEB6">
            <w:pPr>
              <w:pStyle w:val="7"/>
              <w:spacing w:line="560" w:lineRule="exact"/>
              <w:ind w:firstLine="640"/>
              <w:jc w:val="both"/>
              <w:rPr>
                <w:rFonts w:hint="eastAsia" w:ascii="宋体" w:hAnsi="宋体" w:eastAsia="宋体" w:cs="宋体"/>
                <w:color w:val="auto"/>
                <w:sz w:val="24"/>
                <w:szCs w:val="24"/>
              </w:rPr>
            </w:pPr>
            <w:r>
              <w:rPr>
                <w:rFonts w:hint="eastAsia" w:ascii="宋体" w:hAnsi="宋体" w:eastAsia="宋体" w:cs="宋体"/>
                <w:color w:val="auto"/>
                <w:sz w:val="24"/>
                <w:szCs w:val="24"/>
              </w:rPr>
              <w:t>整机吞吐率：≥1Gbps。</w:t>
            </w:r>
          </w:p>
          <w:p w14:paraId="5059F270">
            <w:pPr>
              <w:pStyle w:val="7"/>
              <w:spacing w:line="560" w:lineRule="exact"/>
              <w:ind w:firstLine="640"/>
              <w:jc w:val="both"/>
              <w:rPr>
                <w:rFonts w:hint="eastAsia" w:ascii="宋体" w:hAnsi="宋体" w:eastAsia="宋体" w:cs="宋体"/>
                <w:color w:val="auto"/>
                <w:sz w:val="24"/>
                <w:szCs w:val="24"/>
              </w:rPr>
            </w:pPr>
            <w:r>
              <w:rPr>
                <w:rFonts w:hint="eastAsia" w:ascii="宋体" w:hAnsi="宋体" w:eastAsia="宋体" w:cs="宋体"/>
                <w:color w:val="auto"/>
                <w:sz w:val="24"/>
                <w:szCs w:val="24"/>
              </w:rPr>
              <w:t>约定吞吐率下，处理时延＜1ms。</w:t>
            </w:r>
          </w:p>
          <w:p w14:paraId="248053B2">
            <w:pPr>
              <w:pStyle w:val="7"/>
              <w:spacing w:line="560" w:lineRule="exact"/>
              <w:ind w:firstLine="640"/>
              <w:jc w:val="both"/>
              <w:rPr>
                <w:rFonts w:hint="eastAsia" w:ascii="宋体" w:hAnsi="宋体" w:eastAsia="宋体" w:cs="宋体"/>
                <w:color w:val="auto"/>
                <w:sz w:val="24"/>
                <w:szCs w:val="24"/>
              </w:rPr>
            </w:pPr>
            <w:r>
              <w:rPr>
                <w:rFonts w:hint="eastAsia" w:ascii="宋体" w:hAnsi="宋体" w:eastAsia="宋体" w:cs="宋体"/>
                <w:color w:val="auto"/>
                <w:sz w:val="24"/>
                <w:szCs w:val="24"/>
              </w:rPr>
              <w:t>约定吞吐率下，丢包率为0。</w:t>
            </w:r>
          </w:p>
          <w:p w14:paraId="69EF2949">
            <w:pPr>
              <w:pStyle w:val="7"/>
              <w:spacing w:line="560" w:lineRule="exact"/>
              <w:ind w:firstLine="640"/>
              <w:jc w:val="both"/>
              <w:rPr>
                <w:rFonts w:hint="eastAsia" w:ascii="宋体" w:hAnsi="宋体" w:eastAsia="宋体" w:cs="宋体"/>
                <w:color w:val="auto"/>
                <w:sz w:val="24"/>
                <w:szCs w:val="24"/>
              </w:rPr>
            </w:pPr>
            <w:r>
              <w:rPr>
                <w:rFonts w:hint="eastAsia" w:ascii="宋体" w:hAnsi="宋体" w:eastAsia="宋体" w:cs="宋体"/>
                <w:color w:val="auto"/>
                <w:sz w:val="24"/>
                <w:szCs w:val="24"/>
              </w:rPr>
              <w:t>支持的最大隧道数：≥40000。</w:t>
            </w:r>
          </w:p>
          <w:p w14:paraId="2C5FF8F3">
            <w:pPr>
              <w:pStyle w:val="7"/>
              <w:spacing w:line="560" w:lineRule="exact"/>
              <w:ind w:firstLine="640"/>
              <w:jc w:val="both"/>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auto"/>
                <w:sz w:val="24"/>
                <w:szCs w:val="24"/>
              </w:rPr>
              <w:t>部署环境要求</w:t>
            </w:r>
            <w:r>
              <w:rPr>
                <w:rFonts w:hint="eastAsia" w:ascii="宋体" w:hAnsi="宋体" w:eastAsia="宋体" w:cs="宋体"/>
                <w:b/>
                <w:bCs/>
                <w:color w:val="auto"/>
                <w:sz w:val="24"/>
                <w:szCs w:val="24"/>
                <w:lang w:eastAsia="zh-CN"/>
              </w:rPr>
              <w:t>：</w:t>
            </w:r>
            <w:r>
              <w:rPr>
                <w:rFonts w:hint="eastAsia" w:ascii="宋体" w:hAnsi="宋体" w:eastAsia="宋体" w:cs="宋体"/>
                <w:color w:val="auto"/>
                <w:sz w:val="24"/>
                <w:szCs w:val="24"/>
              </w:rPr>
              <w:t>数据安全采集传输与接入认证系统需部署在高性能基础平台上，高性能基础平台技术参数：处理器≥32核 2.5GHz，硬盘总容量≥4T，内存总容量≥32G。</w:t>
            </w:r>
          </w:p>
        </w:tc>
        <w:tc>
          <w:tcPr>
            <w:tcW w:w="736" w:type="dxa"/>
            <w:noWrap w:val="0"/>
            <w:vAlign w:val="center"/>
          </w:tcPr>
          <w:p w14:paraId="5D366F59">
            <w:pPr>
              <w:widowControl/>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0"/>
                <w:sz w:val="24"/>
                <w:szCs w:val="24"/>
              </w:rPr>
              <w:t>套</w:t>
            </w:r>
          </w:p>
        </w:tc>
        <w:tc>
          <w:tcPr>
            <w:tcW w:w="709" w:type="dxa"/>
            <w:noWrap w:val="0"/>
            <w:vAlign w:val="center"/>
          </w:tcPr>
          <w:p w14:paraId="7A851BBE">
            <w:pPr>
              <w:widowControl/>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0"/>
                <w:sz w:val="24"/>
                <w:szCs w:val="24"/>
                <w:highlight w:val="none"/>
              </w:rPr>
              <w:t>1</w:t>
            </w:r>
          </w:p>
        </w:tc>
      </w:tr>
      <w:tr w14:paraId="14B5A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 w:type="dxa"/>
            <w:vMerge w:val="continue"/>
            <w:noWrap w:val="0"/>
            <w:vAlign w:val="top"/>
          </w:tcPr>
          <w:p w14:paraId="5FDA7A4D">
            <w:pPr>
              <w:spacing w:line="560" w:lineRule="exact"/>
              <w:jc w:val="left"/>
              <w:outlineLvl w:val="1"/>
              <w:rPr>
                <w:rFonts w:hint="eastAsia" w:ascii="宋体" w:hAnsi="宋体" w:eastAsia="宋体" w:cs="宋体"/>
                <w:b/>
                <w:color w:val="auto"/>
                <w:sz w:val="24"/>
                <w:szCs w:val="24"/>
                <w:vertAlign w:val="baseline"/>
                <w:lang w:val="en-US" w:eastAsia="zh-CN"/>
              </w:rPr>
            </w:pPr>
          </w:p>
        </w:tc>
        <w:tc>
          <w:tcPr>
            <w:tcW w:w="927" w:type="dxa"/>
            <w:vMerge w:val="continue"/>
            <w:noWrap w:val="0"/>
            <w:vAlign w:val="top"/>
          </w:tcPr>
          <w:p w14:paraId="5A79185E">
            <w:pPr>
              <w:spacing w:line="560" w:lineRule="exact"/>
              <w:jc w:val="left"/>
              <w:outlineLvl w:val="1"/>
              <w:rPr>
                <w:rFonts w:hint="eastAsia" w:ascii="宋体" w:hAnsi="宋体" w:eastAsia="宋体" w:cs="宋体"/>
                <w:b/>
                <w:color w:val="auto"/>
                <w:sz w:val="24"/>
                <w:szCs w:val="24"/>
                <w:vertAlign w:val="baseline"/>
                <w:lang w:val="en-US" w:eastAsia="zh-CN"/>
              </w:rPr>
            </w:pPr>
          </w:p>
        </w:tc>
        <w:tc>
          <w:tcPr>
            <w:tcW w:w="1214" w:type="dxa"/>
            <w:noWrap w:val="0"/>
            <w:vAlign w:val="center"/>
          </w:tcPr>
          <w:p w14:paraId="3D312CBA">
            <w:pPr>
              <w:spacing w:line="560" w:lineRule="exact"/>
              <w:jc w:val="center"/>
              <w:outlineLvl w:val="1"/>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单向导入系统</w:t>
            </w:r>
          </w:p>
        </w:tc>
        <w:tc>
          <w:tcPr>
            <w:tcW w:w="4991" w:type="dxa"/>
            <w:noWrap w:val="0"/>
            <w:vAlign w:val="top"/>
          </w:tcPr>
          <w:p w14:paraId="77B01A43">
            <w:pPr>
              <w:pStyle w:val="7"/>
              <w:spacing w:line="560" w:lineRule="exact"/>
              <w:ind w:firstLine="640"/>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功能要求：</w:t>
            </w:r>
            <w:r>
              <w:rPr>
                <w:rFonts w:hint="eastAsia" w:ascii="宋体" w:hAnsi="宋体" w:eastAsia="宋体" w:cs="宋体"/>
                <w:color w:val="auto"/>
                <w:sz w:val="24"/>
                <w:szCs w:val="24"/>
              </w:rPr>
              <w:t>单向导入系统实现外网到敏感内网的信息单向导入并且保证反方向无任何信息传输或反馈。阻止内网信息通过网络连接泄露到外部网络，数据在导入过程中即传即删。部门和行业非敏感数据以及数据汇聚系统清洗和处理后的数据通过单向导入系统接入反无设备监管应用系统。</w:t>
            </w:r>
          </w:p>
          <w:p w14:paraId="0A620B2F">
            <w:pPr>
              <w:pStyle w:val="7"/>
              <w:spacing w:line="560" w:lineRule="exact"/>
              <w:ind w:firstLine="64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性能指标：</w:t>
            </w:r>
          </w:p>
          <w:p w14:paraId="7FF2DFCD">
            <w:pPr>
              <w:pStyle w:val="7"/>
              <w:spacing w:line="560" w:lineRule="exact"/>
              <w:ind w:firstLine="640"/>
              <w:rPr>
                <w:rFonts w:hint="eastAsia" w:ascii="宋体" w:hAnsi="宋体" w:eastAsia="宋体" w:cs="宋体"/>
                <w:color w:val="auto"/>
                <w:sz w:val="24"/>
                <w:szCs w:val="24"/>
              </w:rPr>
            </w:pPr>
            <w:r>
              <w:rPr>
                <w:rFonts w:hint="eastAsia" w:ascii="宋体" w:hAnsi="宋体" w:eastAsia="宋体" w:cs="宋体"/>
                <w:color w:val="auto"/>
                <w:sz w:val="24"/>
                <w:szCs w:val="24"/>
              </w:rPr>
              <w:t>吞吐率：≥500Mbps。</w:t>
            </w:r>
          </w:p>
          <w:p w14:paraId="0F0B98DB">
            <w:pPr>
              <w:pStyle w:val="7"/>
              <w:spacing w:line="560" w:lineRule="exact"/>
              <w:ind w:firstLine="640"/>
              <w:rPr>
                <w:rFonts w:hint="eastAsia" w:ascii="宋体" w:hAnsi="宋体" w:eastAsia="宋体" w:cs="宋体"/>
                <w:color w:val="auto"/>
                <w:sz w:val="24"/>
                <w:szCs w:val="24"/>
              </w:rPr>
            </w:pPr>
            <w:r>
              <w:rPr>
                <w:rFonts w:hint="eastAsia" w:ascii="宋体" w:hAnsi="宋体" w:eastAsia="宋体" w:cs="宋体"/>
                <w:color w:val="auto"/>
                <w:sz w:val="24"/>
                <w:szCs w:val="24"/>
              </w:rPr>
              <w:t>内网接口：≥6GE。</w:t>
            </w:r>
          </w:p>
          <w:p w14:paraId="33AB99DC">
            <w:pPr>
              <w:pStyle w:val="7"/>
              <w:spacing w:line="560" w:lineRule="exact"/>
              <w:ind w:firstLine="640"/>
              <w:rPr>
                <w:rFonts w:hint="eastAsia" w:ascii="宋体" w:hAnsi="宋体" w:eastAsia="宋体" w:cs="宋体"/>
                <w:color w:val="auto"/>
                <w:sz w:val="24"/>
                <w:szCs w:val="24"/>
              </w:rPr>
            </w:pPr>
            <w:r>
              <w:rPr>
                <w:rFonts w:hint="eastAsia" w:ascii="宋体" w:hAnsi="宋体" w:eastAsia="宋体" w:cs="宋体"/>
                <w:color w:val="auto"/>
                <w:sz w:val="24"/>
                <w:szCs w:val="24"/>
              </w:rPr>
              <w:t>外网接口：≥6GE。</w:t>
            </w:r>
          </w:p>
          <w:p w14:paraId="51C5B5A3">
            <w:pPr>
              <w:pStyle w:val="7"/>
              <w:spacing w:line="560" w:lineRule="exact"/>
              <w:ind w:firstLine="640"/>
              <w:rPr>
                <w:rFonts w:hint="eastAsia" w:ascii="宋体" w:hAnsi="宋体" w:eastAsia="宋体" w:cs="宋体"/>
                <w:color w:val="auto"/>
                <w:sz w:val="24"/>
                <w:szCs w:val="24"/>
              </w:rPr>
            </w:pPr>
            <w:r>
              <w:rPr>
                <w:rFonts w:hint="eastAsia" w:ascii="宋体" w:hAnsi="宋体" w:eastAsia="宋体" w:cs="宋体"/>
                <w:color w:val="auto"/>
                <w:sz w:val="24"/>
                <w:szCs w:val="24"/>
              </w:rPr>
              <w:t>管理接口：RJ45。</w:t>
            </w:r>
          </w:p>
          <w:p w14:paraId="241A849D">
            <w:pPr>
              <w:pStyle w:val="7"/>
              <w:spacing w:line="560" w:lineRule="exact"/>
              <w:ind w:firstLine="640"/>
              <w:rPr>
                <w:rFonts w:hint="eastAsia" w:ascii="宋体" w:hAnsi="宋体" w:eastAsia="宋体" w:cs="宋体"/>
                <w:color w:val="auto"/>
                <w:sz w:val="24"/>
                <w:szCs w:val="24"/>
              </w:rPr>
            </w:pPr>
            <w:r>
              <w:rPr>
                <w:rFonts w:hint="eastAsia" w:ascii="宋体" w:hAnsi="宋体" w:eastAsia="宋体" w:cs="宋体"/>
                <w:color w:val="auto"/>
                <w:sz w:val="24"/>
                <w:szCs w:val="24"/>
              </w:rPr>
              <w:t>平均无故障工作时间（MTBF）：≥5年。</w:t>
            </w:r>
          </w:p>
          <w:p w14:paraId="55ECF9BC">
            <w:pPr>
              <w:pStyle w:val="7"/>
              <w:spacing w:line="560" w:lineRule="exact"/>
              <w:ind w:firstLine="640"/>
              <w:rPr>
                <w:rFonts w:hint="eastAsia" w:ascii="宋体" w:hAnsi="宋体" w:eastAsia="宋体" w:cs="宋体"/>
                <w:color w:val="auto"/>
                <w:sz w:val="24"/>
                <w:szCs w:val="24"/>
              </w:rPr>
            </w:pPr>
            <w:r>
              <w:rPr>
                <w:rFonts w:hint="eastAsia" w:ascii="宋体" w:hAnsi="宋体" w:eastAsia="宋体" w:cs="宋体"/>
                <w:color w:val="auto"/>
                <w:sz w:val="24"/>
                <w:szCs w:val="24"/>
              </w:rPr>
              <w:t>支持数据库同步。</w:t>
            </w:r>
          </w:p>
          <w:p w14:paraId="45D96107">
            <w:pPr>
              <w:pStyle w:val="7"/>
              <w:spacing w:line="560" w:lineRule="exact"/>
              <w:ind w:firstLine="640"/>
              <w:rPr>
                <w:rFonts w:hint="eastAsia" w:ascii="宋体" w:hAnsi="宋体" w:eastAsia="宋体" w:cs="宋体"/>
                <w:color w:val="auto"/>
                <w:sz w:val="24"/>
                <w:szCs w:val="24"/>
              </w:rPr>
            </w:pPr>
            <w:r>
              <w:rPr>
                <w:rFonts w:hint="eastAsia" w:ascii="宋体" w:hAnsi="宋体" w:eastAsia="宋体" w:cs="宋体"/>
                <w:color w:val="auto"/>
                <w:sz w:val="24"/>
                <w:szCs w:val="24"/>
              </w:rPr>
              <w:t>支持组播代理。</w:t>
            </w:r>
          </w:p>
          <w:p w14:paraId="65F00323">
            <w:pPr>
              <w:spacing w:line="560" w:lineRule="exact"/>
              <w:ind w:firstLine="480" w:firstLineChars="200"/>
              <w:jc w:val="left"/>
              <w:outlineLvl w:val="1"/>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2"/>
                <w:sz w:val="24"/>
                <w:szCs w:val="24"/>
                <w:lang w:val="en-US" w:eastAsia="zh-CN" w:bidi="ar-SA"/>
              </w:rPr>
              <w:t>支持备份功能。</w:t>
            </w:r>
          </w:p>
        </w:tc>
        <w:tc>
          <w:tcPr>
            <w:tcW w:w="736" w:type="dxa"/>
            <w:noWrap w:val="0"/>
            <w:vAlign w:val="center"/>
          </w:tcPr>
          <w:p w14:paraId="421EAF34">
            <w:pPr>
              <w:widowControl/>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0"/>
                <w:sz w:val="24"/>
                <w:szCs w:val="24"/>
              </w:rPr>
              <w:t>套</w:t>
            </w:r>
          </w:p>
        </w:tc>
        <w:tc>
          <w:tcPr>
            <w:tcW w:w="709" w:type="dxa"/>
            <w:noWrap w:val="0"/>
            <w:vAlign w:val="center"/>
          </w:tcPr>
          <w:p w14:paraId="5DE88667">
            <w:pPr>
              <w:widowControl/>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color w:val="auto"/>
                <w:kern w:val="0"/>
                <w:sz w:val="24"/>
                <w:szCs w:val="24"/>
              </w:rPr>
              <w:t>1</w:t>
            </w:r>
          </w:p>
        </w:tc>
      </w:tr>
    </w:tbl>
    <w:p w14:paraId="083A97D6">
      <w:pPr>
        <w:numPr>
          <w:ilvl w:val="0"/>
          <w:numId w:val="0"/>
        </w:num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（3）数据接入方式</w:t>
      </w:r>
    </w:p>
    <w:p w14:paraId="2EA55732">
      <w:pPr>
        <w:numPr>
          <w:ilvl w:val="0"/>
          <w:numId w:val="0"/>
        </w:numPr>
        <w:spacing w:line="560" w:lineRule="exact"/>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本项目数据接入方式应具备反无设备主动上报数据、频谱监测感知数据、部门和行业共享信息。</w:t>
      </w:r>
    </w:p>
    <w:p w14:paraId="445C79CA">
      <w:pPr>
        <w:numPr>
          <w:ilvl w:val="0"/>
          <w:numId w:val="0"/>
        </w:num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数据汇聚：反无设备数据安全采集传输模块、频谱主动感知设备、自治区监测网上报的数据通过无线电管理专网进入数据汇聚系统进行数据的汇聚、清洗和处理。</w:t>
      </w:r>
    </w:p>
    <w:p w14:paraId="084FB955">
      <w:pPr>
        <w:numPr>
          <w:ilvl w:val="0"/>
          <w:numId w:val="0"/>
        </w:numPr>
        <w:spacing w:line="560" w:lineRule="exact"/>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反无设备主动上报数据：反无设备数据安全采集传输模块，采用设备接入控制和信息安全防护等安全技术措施，通过无线电管理专网回传至监管平台。</w:t>
      </w:r>
    </w:p>
    <w:p w14:paraId="457E45FF">
      <w:pPr>
        <w:numPr>
          <w:ilvl w:val="0"/>
          <w:numId w:val="0"/>
        </w:num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数据安全采集传输与接入认证系统：数据安全采集传输模块与反无设备直连，实现反无设备运行状态数据的采集、安全防护和单向传输控制，并通过无线电管理专网至数据安全认证系统，通过数据安全认证系统回传至监管平台。</w:t>
      </w:r>
    </w:p>
    <w:p w14:paraId="78B99E11">
      <w:pPr>
        <w:numPr>
          <w:ilvl w:val="0"/>
          <w:numId w:val="0"/>
        </w:numPr>
        <w:spacing w:line="560" w:lineRule="exact"/>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反无设备运行状态数据通过直连采集功能模块或数据安全采集传输与接入认证系统进行回传。</w:t>
      </w:r>
    </w:p>
    <w:p w14:paraId="0590754E">
      <w:pPr>
        <w:numPr>
          <w:ilvl w:val="0"/>
          <w:numId w:val="0"/>
        </w:num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数据安全采集传输模块与反无设备直连，实现回传数据的单向接入。</w:t>
      </w:r>
    </w:p>
    <w:p w14:paraId="002E9F1E">
      <w:pPr>
        <w:numPr>
          <w:ilvl w:val="0"/>
          <w:numId w:val="0"/>
        </w:numPr>
        <w:spacing w:line="560" w:lineRule="exact"/>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频谱监测感知数据：频谱主动感知设备的数据通过无线电管理专网进行回传。自治区监测网上报数据通过无线电管理专网进行回传。</w:t>
      </w:r>
    </w:p>
    <w:p w14:paraId="5DB03713">
      <w:pPr>
        <w:numPr>
          <w:ilvl w:val="0"/>
          <w:numId w:val="0"/>
        </w:num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频谱主动感知设备通过频谱主动监测判断附近反无设备的实时运行状态，将实时监测到的数据通过VPN卡经内网服务器将数据推送至监管平台。</w:t>
      </w:r>
    </w:p>
    <w:p w14:paraId="703B5C50">
      <w:pPr>
        <w:numPr>
          <w:ilvl w:val="0"/>
          <w:numId w:val="0"/>
        </w:numPr>
        <w:spacing w:line="560" w:lineRule="exact"/>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部门和行业共享信息：部门和行业的内部信息预留电子政务外网相关接口。</w:t>
      </w:r>
    </w:p>
    <w:p w14:paraId="1FA92114">
      <w:pPr>
        <w:numPr>
          <w:ilvl w:val="0"/>
          <w:numId w:val="0"/>
        </w:num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（4）网络安全</w:t>
      </w:r>
    </w:p>
    <w:p w14:paraId="7276D24E">
      <w:pPr>
        <w:numPr>
          <w:ilvl w:val="0"/>
          <w:numId w:val="0"/>
        </w:numPr>
        <w:spacing w:line="560" w:lineRule="exact"/>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本项目部署在自治区无委办已有机房，本次项目安全设计全部依托于原有无线电管理一体化平台，该平台满足等级保护包括安全物理环境、安全通信网络、安全区域边界、安全计算环境、安全管理中心五个方面要求。</w:t>
      </w:r>
    </w:p>
    <w:p w14:paraId="2DC35DD6">
      <w:pPr>
        <w:numPr>
          <w:ilvl w:val="0"/>
          <w:numId w:val="0"/>
        </w:numPr>
        <w:spacing w:line="560" w:lineRule="exact"/>
        <w:ind w:firstLine="480" w:firstLineChars="200"/>
        <w:rPr>
          <w:rFonts w:hint="default" w:ascii="宋体" w:hAnsi="宋体" w:eastAsia="宋体" w:cs="宋体"/>
          <w:bCs/>
          <w:color w:val="auto"/>
          <w:kern w:val="0"/>
          <w:sz w:val="24"/>
          <w:szCs w:val="24"/>
          <w:highlight w:val="none"/>
          <w:lang w:val="en-US" w:eastAsia="zh-CN"/>
        </w:rPr>
      </w:pPr>
      <w:r>
        <w:rPr>
          <w:rFonts w:hint="default" w:ascii="宋体" w:hAnsi="宋体" w:eastAsia="宋体" w:cs="宋体"/>
          <w:bCs/>
          <w:color w:val="auto"/>
          <w:kern w:val="0"/>
          <w:sz w:val="24"/>
          <w:szCs w:val="24"/>
          <w:highlight w:val="none"/>
          <w:lang w:val="en-US" w:eastAsia="zh-CN"/>
        </w:rPr>
        <w:t>（5）软件测评</w:t>
      </w:r>
    </w:p>
    <w:p w14:paraId="010ACBC6">
      <w:pPr>
        <w:rPr>
          <w:color w:val="auto"/>
        </w:rPr>
      </w:pPr>
      <w:r>
        <w:rPr>
          <w:rFonts w:hint="default" w:ascii="宋体" w:hAnsi="宋体" w:eastAsia="宋体" w:cs="宋体"/>
          <w:bCs/>
          <w:color w:val="auto"/>
          <w:kern w:val="0"/>
          <w:sz w:val="24"/>
          <w:szCs w:val="24"/>
          <w:highlight w:val="none"/>
          <w:lang w:val="en-US" w:eastAsia="zh-CN"/>
        </w:rPr>
        <w:t>中标人负责本项目软件系统搭建完成后，由具备相关资质的第三方测试机构对软件的所有招投标要求和合同约定的系统功能进行测试，并提供有效的测试报告。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68EFEA"/>
    <w:multiLevelType w:val="singleLevel"/>
    <w:tmpl w:val="4868EFEA"/>
    <w:lvl w:ilvl="0" w:tentative="0">
      <w:start w:val="7"/>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F12E58"/>
    <w:rsid w:val="37884B79"/>
    <w:rsid w:val="5AA242AB"/>
    <w:rsid w:val="6FD904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99"/>
    <w:pPr>
      <w:keepNext/>
      <w:keepLines/>
      <w:spacing w:before="260" w:after="260" w:line="416" w:lineRule="auto"/>
      <w:outlineLvl w:val="1"/>
    </w:pPr>
    <w:rPr>
      <w:rFonts w:ascii="Arial" w:hAnsi="Arial" w:eastAsia="黑体"/>
      <w:b/>
      <w:bCs/>
      <w:sz w:val="32"/>
      <w:szCs w:val="32"/>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Plain Text"/>
    <w:basedOn w:val="1"/>
    <w:qFormat/>
    <w:uiPriority w:val="0"/>
    <w:rPr>
      <w:rFonts w:ascii="宋体" w:hAnsi="Courier New"/>
      <w:kern w:val="0"/>
      <w:sz w:val="20"/>
    </w:rPr>
  </w:style>
  <w:style w:type="table" w:styleId="5">
    <w:name w:val="Table Grid"/>
    <w:basedOn w:val="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01正文"/>
    <w:basedOn w:val="1"/>
    <w:qFormat/>
    <w:uiPriority w:val="0"/>
    <w:pPr>
      <w:widowControl/>
      <w:spacing w:line="360" w:lineRule="auto"/>
      <w:ind w:firstLine="420" w:firstLineChars="200"/>
      <w:jc w:val="left"/>
    </w:pPr>
    <w:rPr>
      <w:rFonts w:ascii="宋体" w:hAnsi="宋体" w:eastAsia="宋体" w:cs="Times New Roman"/>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8275</Words>
  <Characters>8552</Characters>
  <Lines>0</Lines>
  <Paragraphs>0</Paragraphs>
  <TotalTime>0</TotalTime>
  <ScaleCrop>false</ScaleCrop>
  <LinksUpToDate>false</LinksUpToDate>
  <CharactersWithSpaces>8569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2025-03-25T07:34:00Z</dcterms:created>
  <dc:creator>Administrator</dc:creator>
  <cp:lastModifiedBy>Administrator</cp:lastModifiedBy>
  <dcterms:modified xsi:type="dcterms:W3CDTF">2025-03-25T10:19:53Z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eyJoZGlkIjoiNDc3MGJlZTNkNDU3N2FkNWRkNWViOGY2MTQ1NDljOWYiLCJ1c2VySWQiOiIzNjgyMjIyNjYifQ==</vt:lpwstr>
  </property>
  <property fmtid="{D5CDD505-2E9C-101B-9397-08002B2CF9AE}" pid="4" name="ICV">
    <vt:lpwstr>F7AA9ED6775B4BB4BF388F27C36A167E_12</vt:lpwstr>
  </property>
</Properties>
</file>