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8F3F71">
      <w:pPr>
        <w:spacing w:line="360" w:lineRule="auto"/>
        <w:jc w:val="center"/>
        <w:rPr>
          <w:rFonts w:hint="eastAsia" w:ascii="宋体" w:hAnsi="宋体" w:eastAsia="宋体" w:cs="Times New Roman"/>
          <w:color w:val="auto"/>
          <w:sz w:val="24"/>
          <w:szCs w:val="24"/>
          <w:highlight w:val="none"/>
          <w:lang w:eastAsia="zh-CN"/>
        </w:rPr>
      </w:pPr>
      <w:bookmarkStart w:id="0" w:name="OLE_LINK20"/>
      <w:r>
        <w:rPr>
          <w:rFonts w:hint="eastAsia" w:ascii="黑体" w:eastAsia="黑体" w:cs="黑体"/>
          <w:color w:val="auto"/>
          <w:sz w:val="44"/>
          <w:szCs w:val="44"/>
          <w:highlight w:val="none"/>
          <w:lang w:eastAsia="zh-CN"/>
        </w:rPr>
        <w:t>云南省新庄矿区地质勘查成果总结报告、云南省新庄矿区总体规划修编、云南省新庄矿区总体规划环境影响评价编审项目（二次）</w:t>
      </w:r>
    </w:p>
    <w:bookmarkEnd w:id="0"/>
    <w:p w14:paraId="40817AAA">
      <w:pPr>
        <w:spacing w:line="360" w:lineRule="auto"/>
        <w:rPr>
          <w:rFonts w:hint="eastAsia" w:ascii="宋体" w:hAnsi="宋体" w:eastAsia="宋体" w:cs="Times New Roman"/>
          <w:color w:val="auto"/>
          <w:sz w:val="24"/>
          <w:szCs w:val="24"/>
          <w:highlight w:val="none"/>
        </w:rPr>
      </w:pPr>
    </w:p>
    <w:p w14:paraId="424B9078">
      <w:pPr>
        <w:spacing w:line="360" w:lineRule="auto"/>
        <w:rPr>
          <w:rFonts w:hint="eastAsia" w:ascii="宋体" w:hAnsi="宋体" w:eastAsia="宋体" w:cs="Times New Roman"/>
          <w:color w:val="auto"/>
          <w:sz w:val="24"/>
          <w:szCs w:val="24"/>
          <w:highlight w:val="none"/>
        </w:rPr>
      </w:pPr>
    </w:p>
    <w:p w14:paraId="2F8A6BCF">
      <w:pPr>
        <w:pStyle w:val="16"/>
        <w:rPr>
          <w:rFonts w:hint="eastAsia" w:ascii="宋体" w:hAnsi="宋体" w:eastAsia="宋体" w:cs="Times New Roman"/>
          <w:color w:val="auto"/>
          <w:sz w:val="24"/>
          <w:szCs w:val="24"/>
          <w:highlight w:val="none"/>
        </w:rPr>
      </w:pPr>
    </w:p>
    <w:p w14:paraId="2FD54280">
      <w:pPr>
        <w:rPr>
          <w:rFonts w:hint="eastAsia" w:ascii="宋体" w:hAnsi="宋体" w:eastAsia="宋体" w:cs="Times New Roman"/>
          <w:color w:val="auto"/>
          <w:sz w:val="24"/>
          <w:szCs w:val="24"/>
          <w:highlight w:val="none"/>
        </w:rPr>
      </w:pPr>
    </w:p>
    <w:p w14:paraId="3D05D5D3">
      <w:pPr>
        <w:pStyle w:val="16"/>
        <w:rPr>
          <w:rFonts w:hint="eastAsia"/>
          <w:color w:val="auto"/>
          <w:highlight w:val="none"/>
        </w:rPr>
      </w:pPr>
    </w:p>
    <w:p w14:paraId="5677D51B">
      <w:pPr>
        <w:rPr>
          <w:rFonts w:hint="eastAsia"/>
          <w:color w:val="auto"/>
          <w:highlight w:val="none"/>
        </w:rPr>
      </w:pPr>
    </w:p>
    <w:p w14:paraId="36130E9C">
      <w:pPr>
        <w:pStyle w:val="16"/>
        <w:rPr>
          <w:rFonts w:hint="eastAsia"/>
          <w:color w:val="auto"/>
          <w:highlight w:val="none"/>
        </w:rPr>
      </w:pPr>
    </w:p>
    <w:p w14:paraId="67F214B9">
      <w:pPr>
        <w:spacing w:line="360" w:lineRule="auto"/>
        <w:rPr>
          <w:rFonts w:hint="eastAsia" w:ascii="宋体" w:hAnsi="宋体" w:eastAsia="宋体" w:cs="Times New Roman"/>
          <w:color w:val="auto"/>
          <w:sz w:val="24"/>
          <w:szCs w:val="24"/>
          <w:highlight w:val="none"/>
        </w:rPr>
      </w:pPr>
    </w:p>
    <w:p w14:paraId="4D11E1D6">
      <w:pPr>
        <w:spacing w:line="360" w:lineRule="auto"/>
        <w:jc w:val="center"/>
        <w:rPr>
          <w:rFonts w:hint="eastAsia" w:ascii="宋体" w:hAnsi="宋体" w:eastAsia="宋体" w:cs="宋体"/>
          <w:b/>
          <w:bCs/>
          <w:color w:val="auto"/>
          <w:sz w:val="96"/>
          <w:szCs w:val="96"/>
          <w:highlight w:val="none"/>
        </w:rPr>
      </w:pPr>
      <w:r>
        <w:rPr>
          <w:rFonts w:hint="eastAsia" w:ascii="宋体" w:hAnsi="宋体" w:eastAsia="宋体" w:cs="宋体"/>
          <w:b/>
          <w:bCs/>
          <w:color w:val="auto"/>
          <w:sz w:val="96"/>
          <w:szCs w:val="96"/>
          <w:highlight w:val="none"/>
        </w:rPr>
        <w:t>招</w:t>
      </w:r>
      <w:r>
        <w:rPr>
          <w:rFonts w:ascii="宋体" w:hAnsi="宋体" w:eastAsia="宋体" w:cs="宋体"/>
          <w:b/>
          <w:bCs/>
          <w:color w:val="auto"/>
          <w:sz w:val="96"/>
          <w:szCs w:val="96"/>
          <w:highlight w:val="none"/>
        </w:rPr>
        <w:t xml:space="preserve"> </w:t>
      </w:r>
      <w:r>
        <w:rPr>
          <w:rFonts w:hint="eastAsia" w:ascii="宋体" w:hAnsi="宋体" w:eastAsia="宋体" w:cs="宋体"/>
          <w:b/>
          <w:bCs/>
          <w:color w:val="auto"/>
          <w:sz w:val="96"/>
          <w:szCs w:val="96"/>
          <w:highlight w:val="none"/>
        </w:rPr>
        <w:t>标</w:t>
      </w:r>
      <w:r>
        <w:rPr>
          <w:rFonts w:ascii="宋体" w:hAnsi="宋体" w:eastAsia="宋体" w:cs="宋体"/>
          <w:b/>
          <w:bCs/>
          <w:color w:val="auto"/>
          <w:sz w:val="96"/>
          <w:szCs w:val="96"/>
          <w:highlight w:val="none"/>
        </w:rPr>
        <w:t xml:space="preserve"> </w:t>
      </w:r>
      <w:r>
        <w:rPr>
          <w:rFonts w:hint="eastAsia" w:ascii="宋体" w:hAnsi="宋体" w:eastAsia="宋体" w:cs="宋体"/>
          <w:b/>
          <w:bCs/>
          <w:color w:val="auto"/>
          <w:sz w:val="96"/>
          <w:szCs w:val="96"/>
          <w:highlight w:val="none"/>
        </w:rPr>
        <w:t>文</w:t>
      </w:r>
      <w:r>
        <w:rPr>
          <w:rFonts w:ascii="宋体" w:hAnsi="宋体" w:eastAsia="宋体" w:cs="宋体"/>
          <w:b/>
          <w:bCs/>
          <w:color w:val="auto"/>
          <w:sz w:val="96"/>
          <w:szCs w:val="96"/>
          <w:highlight w:val="none"/>
        </w:rPr>
        <w:t xml:space="preserve"> </w:t>
      </w:r>
      <w:r>
        <w:rPr>
          <w:rFonts w:hint="eastAsia" w:ascii="宋体" w:hAnsi="宋体" w:eastAsia="宋体" w:cs="宋体"/>
          <w:b/>
          <w:bCs/>
          <w:color w:val="auto"/>
          <w:sz w:val="96"/>
          <w:szCs w:val="96"/>
          <w:highlight w:val="none"/>
        </w:rPr>
        <w:t>件</w:t>
      </w:r>
    </w:p>
    <w:p w14:paraId="4211A669">
      <w:pPr>
        <w:pStyle w:val="16"/>
        <w:snapToGrid w:val="0"/>
        <w:spacing w:line="360" w:lineRule="auto"/>
        <w:ind w:left="63" w:right="63"/>
        <w:rPr>
          <w:rFonts w:hint="eastAsia" w:ascii="黑体" w:hAnsi="等线" w:eastAsia="黑体" w:cs="黑体"/>
          <w:color w:val="auto"/>
          <w:kern w:val="2"/>
          <w:sz w:val="28"/>
          <w:szCs w:val="28"/>
          <w:highlight w:val="none"/>
        </w:rPr>
      </w:pPr>
      <w:r>
        <w:rPr>
          <w:rFonts w:hint="eastAsia" w:ascii="黑体" w:hAnsi="等线" w:eastAsia="黑体" w:cs="黑体"/>
          <w:color w:val="auto"/>
          <w:kern w:val="2"/>
          <w:sz w:val="28"/>
          <w:szCs w:val="28"/>
          <w:highlight w:val="none"/>
        </w:rPr>
        <w:t>（项目编号：</w:t>
      </w:r>
      <w:r>
        <w:rPr>
          <w:rFonts w:hint="eastAsia" w:ascii="黑体" w:hAnsi="等线" w:eastAsia="黑体" w:cs="黑体"/>
          <w:color w:val="auto"/>
          <w:kern w:val="2"/>
          <w:sz w:val="28"/>
          <w:szCs w:val="28"/>
          <w:highlight w:val="none"/>
          <w:lang w:eastAsia="zh-CN"/>
        </w:rPr>
        <w:t>ZTZC2025-G3-01032-YNXX-0011</w:t>
      </w:r>
      <w:r>
        <w:rPr>
          <w:rFonts w:hint="eastAsia" w:ascii="黑体" w:hAnsi="等线" w:eastAsia="黑体" w:cs="黑体"/>
          <w:color w:val="auto"/>
          <w:kern w:val="2"/>
          <w:sz w:val="28"/>
          <w:szCs w:val="28"/>
          <w:highlight w:val="none"/>
        </w:rPr>
        <w:t>）</w:t>
      </w:r>
    </w:p>
    <w:p w14:paraId="3A29D18D">
      <w:pPr>
        <w:spacing w:line="360" w:lineRule="auto"/>
        <w:rPr>
          <w:rFonts w:hint="eastAsia" w:ascii="宋体" w:hAnsi="宋体" w:eastAsia="宋体" w:cs="Times New Roman"/>
          <w:color w:val="auto"/>
          <w:sz w:val="24"/>
          <w:szCs w:val="24"/>
          <w:highlight w:val="none"/>
        </w:rPr>
      </w:pPr>
    </w:p>
    <w:p w14:paraId="7158EC08">
      <w:pPr>
        <w:spacing w:line="360" w:lineRule="auto"/>
        <w:rPr>
          <w:rFonts w:hint="eastAsia"/>
          <w:color w:val="auto"/>
          <w:highlight w:val="none"/>
        </w:rPr>
      </w:pPr>
    </w:p>
    <w:p w14:paraId="407A7DB7">
      <w:pPr>
        <w:pStyle w:val="16"/>
        <w:ind w:left="0" w:leftChars="0" w:right="63" w:firstLine="0" w:firstLineChars="0"/>
        <w:jc w:val="both"/>
        <w:rPr>
          <w:color w:val="auto"/>
          <w:highlight w:val="none"/>
        </w:rPr>
      </w:pPr>
    </w:p>
    <w:p w14:paraId="3635BE9B">
      <w:pPr>
        <w:spacing w:line="360" w:lineRule="auto"/>
        <w:rPr>
          <w:rFonts w:hint="eastAsia" w:ascii="宋体" w:hAnsi="宋体" w:eastAsia="宋体" w:cs="Times New Roman"/>
          <w:color w:val="auto"/>
          <w:sz w:val="24"/>
          <w:szCs w:val="24"/>
          <w:highlight w:val="none"/>
        </w:rPr>
      </w:pPr>
    </w:p>
    <w:p w14:paraId="46DE1414">
      <w:pPr>
        <w:pStyle w:val="16"/>
        <w:ind w:left="0" w:leftChars="0" w:right="63" w:firstLine="0" w:firstLineChars="0"/>
        <w:jc w:val="both"/>
        <w:rPr>
          <w:color w:val="auto"/>
          <w:highlight w:val="none"/>
        </w:rPr>
      </w:pPr>
    </w:p>
    <w:p w14:paraId="50B51FF4">
      <w:pPr>
        <w:rPr>
          <w:rFonts w:hint="eastAsia"/>
          <w:color w:val="auto"/>
          <w:highlight w:val="none"/>
        </w:rPr>
      </w:pPr>
    </w:p>
    <w:p w14:paraId="4F97A191">
      <w:pPr>
        <w:spacing w:line="360" w:lineRule="auto"/>
        <w:rPr>
          <w:rFonts w:hint="eastAsia" w:ascii="宋体" w:hAnsi="宋体" w:eastAsia="宋体" w:cs="Times New Roman"/>
          <w:color w:val="auto"/>
          <w:sz w:val="24"/>
          <w:szCs w:val="24"/>
          <w:highlight w:val="none"/>
        </w:rPr>
      </w:pPr>
    </w:p>
    <w:p w14:paraId="071E0DEC">
      <w:pPr>
        <w:spacing w:line="360" w:lineRule="auto"/>
        <w:rPr>
          <w:rFonts w:hint="eastAsia" w:ascii="宋体" w:hAnsi="宋体" w:eastAsia="宋体" w:cs="Times New Roman"/>
          <w:color w:val="auto"/>
          <w:sz w:val="24"/>
          <w:szCs w:val="24"/>
          <w:highlight w:val="none"/>
        </w:rPr>
      </w:pPr>
    </w:p>
    <w:p w14:paraId="2708CCD6">
      <w:pPr>
        <w:spacing w:line="360" w:lineRule="auto"/>
        <w:rPr>
          <w:rFonts w:hint="eastAsia" w:ascii="宋体" w:hAnsi="宋体" w:eastAsia="宋体" w:cs="Times New Roman"/>
          <w:color w:val="auto"/>
          <w:sz w:val="24"/>
          <w:szCs w:val="24"/>
          <w:highlight w:val="none"/>
        </w:rPr>
      </w:pPr>
    </w:p>
    <w:p w14:paraId="2E38ADC0">
      <w:pPr>
        <w:spacing w:line="360" w:lineRule="auto"/>
        <w:rPr>
          <w:rFonts w:hint="eastAsia" w:ascii="华文行楷" w:eastAsia="华文行楷" w:cs="华文行楷"/>
          <w:color w:val="auto"/>
          <w:sz w:val="32"/>
          <w:szCs w:val="32"/>
          <w:highlight w:val="none"/>
          <w:u w:val="single"/>
          <w:lang w:eastAsia="zh-CN"/>
        </w:rPr>
      </w:pPr>
      <w:r>
        <w:rPr>
          <w:rFonts w:hint="eastAsia" w:ascii="华文行楷" w:eastAsia="华文行楷" w:cs="华文行楷"/>
          <w:color w:val="auto"/>
          <w:sz w:val="32"/>
          <w:szCs w:val="32"/>
          <w:highlight w:val="none"/>
        </w:rPr>
        <w:t>采</w:t>
      </w:r>
      <w:r>
        <w:rPr>
          <w:rFonts w:ascii="华文行楷" w:eastAsia="华文行楷" w:cs="华文行楷"/>
          <w:color w:val="auto"/>
          <w:sz w:val="32"/>
          <w:szCs w:val="32"/>
          <w:highlight w:val="none"/>
        </w:rPr>
        <w:t xml:space="preserve">   </w:t>
      </w:r>
      <w:r>
        <w:rPr>
          <w:rFonts w:hint="eastAsia" w:ascii="华文行楷" w:eastAsia="华文行楷" w:cs="华文行楷"/>
          <w:color w:val="auto"/>
          <w:sz w:val="32"/>
          <w:szCs w:val="32"/>
          <w:highlight w:val="none"/>
        </w:rPr>
        <w:t>购</w:t>
      </w:r>
      <w:r>
        <w:rPr>
          <w:rFonts w:ascii="华文行楷" w:eastAsia="华文行楷" w:cs="华文行楷"/>
          <w:color w:val="auto"/>
          <w:sz w:val="32"/>
          <w:szCs w:val="32"/>
          <w:highlight w:val="none"/>
        </w:rPr>
        <w:t xml:space="preserve">   </w:t>
      </w:r>
      <w:r>
        <w:rPr>
          <w:rFonts w:hint="eastAsia" w:ascii="华文行楷" w:eastAsia="华文行楷" w:cs="华文行楷"/>
          <w:color w:val="auto"/>
          <w:sz w:val="32"/>
          <w:szCs w:val="32"/>
          <w:highlight w:val="none"/>
        </w:rPr>
        <w:t>人：</w:t>
      </w:r>
      <w:bookmarkStart w:id="1" w:name="OLE_LINK21"/>
      <w:r>
        <w:rPr>
          <w:rFonts w:hint="eastAsia" w:ascii="华文行楷" w:eastAsia="华文行楷" w:cs="华文行楷"/>
          <w:color w:val="auto"/>
          <w:sz w:val="32"/>
          <w:szCs w:val="32"/>
          <w:highlight w:val="none"/>
          <w:u w:val="single"/>
          <w:lang w:eastAsia="zh-CN"/>
        </w:rPr>
        <w:t>威信县能源局</w:t>
      </w:r>
      <w:bookmarkEnd w:id="1"/>
    </w:p>
    <w:p w14:paraId="78EFA971">
      <w:pPr>
        <w:spacing w:line="360" w:lineRule="auto"/>
        <w:rPr>
          <w:rFonts w:hint="eastAsia" w:ascii="华文行楷" w:eastAsia="华文行楷" w:cs="Times New Roman"/>
          <w:color w:val="auto"/>
          <w:sz w:val="32"/>
          <w:szCs w:val="32"/>
          <w:highlight w:val="none"/>
          <w:u w:val="single"/>
          <w:lang w:eastAsia="zh-CN"/>
        </w:rPr>
      </w:pPr>
      <w:r>
        <w:rPr>
          <w:rFonts w:hint="eastAsia" w:ascii="华文行楷" w:eastAsia="华文行楷" w:cs="华文行楷"/>
          <w:color w:val="auto"/>
          <w:sz w:val="32"/>
          <w:szCs w:val="32"/>
          <w:highlight w:val="none"/>
        </w:rPr>
        <w:t>采购代理机构：</w:t>
      </w:r>
      <w:r>
        <w:rPr>
          <w:rFonts w:hint="eastAsia" w:ascii="华文行楷" w:eastAsia="华文行楷" w:cs="华文行楷"/>
          <w:color w:val="auto"/>
          <w:sz w:val="32"/>
          <w:szCs w:val="32"/>
          <w:highlight w:val="none"/>
          <w:u w:val="single"/>
          <w:lang w:eastAsia="zh-CN"/>
        </w:rPr>
        <w:t>云南兴欣招标咨询有限公司</w:t>
      </w:r>
    </w:p>
    <w:p w14:paraId="1D4455C1">
      <w:pPr>
        <w:spacing w:line="720" w:lineRule="auto"/>
        <w:jc w:val="center"/>
        <w:rPr>
          <w:rFonts w:hint="eastAsia" w:ascii="华文行楷" w:eastAsia="华文行楷" w:cs="Times New Roman"/>
          <w:color w:val="auto"/>
          <w:sz w:val="32"/>
          <w:szCs w:val="32"/>
          <w:highlight w:val="none"/>
        </w:rPr>
      </w:pPr>
      <w:r>
        <w:rPr>
          <w:rFonts w:hint="eastAsia" w:ascii="华文行楷" w:hAnsi="Times New Roman" w:eastAsia="华文行楷" w:cs="华文行楷"/>
          <w:color w:val="auto"/>
          <w:sz w:val="32"/>
          <w:szCs w:val="32"/>
          <w:highlight w:val="none"/>
        </w:rPr>
        <w:t>2025</w:t>
      </w:r>
      <w:r>
        <w:rPr>
          <w:rFonts w:hint="eastAsia" w:ascii="华文行楷" w:eastAsia="华文行楷" w:cs="华文行楷"/>
          <w:color w:val="auto"/>
          <w:sz w:val="32"/>
          <w:szCs w:val="32"/>
          <w:highlight w:val="none"/>
        </w:rPr>
        <w:t>年</w:t>
      </w:r>
      <w:r>
        <w:rPr>
          <w:rFonts w:hint="eastAsia" w:ascii="华文行楷" w:hAnsi="Times New Roman" w:eastAsia="华文行楷" w:cs="华文行楷"/>
          <w:color w:val="auto"/>
          <w:sz w:val="32"/>
          <w:szCs w:val="32"/>
          <w:highlight w:val="none"/>
        </w:rPr>
        <w:t>0</w:t>
      </w:r>
      <w:r>
        <w:rPr>
          <w:rFonts w:hint="eastAsia" w:ascii="华文行楷" w:hAnsi="Times New Roman" w:eastAsia="华文行楷" w:cs="华文行楷"/>
          <w:color w:val="auto"/>
          <w:sz w:val="32"/>
          <w:szCs w:val="32"/>
          <w:highlight w:val="none"/>
          <w:lang w:val="en-US" w:eastAsia="zh-CN"/>
        </w:rPr>
        <w:t>9</w:t>
      </w:r>
      <w:r>
        <w:rPr>
          <w:rFonts w:hint="eastAsia" w:ascii="华文行楷" w:eastAsia="华文行楷" w:cs="华文行楷"/>
          <w:color w:val="auto"/>
          <w:sz w:val="32"/>
          <w:szCs w:val="32"/>
          <w:highlight w:val="none"/>
        </w:rPr>
        <w:t>月</w:t>
      </w:r>
    </w:p>
    <w:p w14:paraId="619A90C6">
      <w:pPr>
        <w:rPr>
          <w:rFonts w:hint="eastAsia" w:ascii="宋体" w:hAnsi="宋体" w:eastAsia="宋体" w:cs="Times New Roman"/>
          <w:color w:val="auto"/>
          <w:highlight w:val="none"/>
        </w:rPr>
        <w:sectPr>
          <w:headerReference r:id="rId4" w:type="first"/>
          <w:pgSz w:w="11906" w:h="16838"/>
          <w:pgMar w:top="1418" w:right="1134" w:bottom="1418" w:left="1134" w:header="851" w:footer="992" w:gutter="0"/>
          <w:cols w:space="720" w:num="1"/>
          <w:titlePg/>
          <w:docGrid w:linePitch="326" w:charSpace="48333"/>
        </w:sectPr>
      </w:pPr>
    </w:p>
    <w:p w14:paraId="01B0D699">
      <w:pPr>
        <w:spacing w:line="600" w:lineRule="auto"/>
        <w:jc w:val="center"/>
        <w:rPr>
          <w:rFonts w:hint="eastAsia" w:ascii="宋体" w:hAnsi="宋体" w:eastAsia="宋体" w:cs="Times New Roman"/>
          <w:b/>
          <w:bCs/>
          <w:color w:val="auto"/>
          <w:sz w:val="28"/>
          <w:szCs w:val="28"/>
          <w:highlight w:val="none"/>
        </w:rPr>
      </w:pPr>
      <w:r>
        <w:rPr>
          <w:rFonts w:hint="eastAsia" w:ascii="宋体" w:hAnsi="宋体" w:eastAsia="宋体" w:cs="宋体"/>
          <w:b/>
          <w:bCs/>
          <w:color w:val="auto"/>
          <w:sz w:val="32"/>
          <w:szCs w:val="32"/>
          <w:highlight w:val="none"/>
          <w:lang w:val="zh-CN"/>
        </w:rPr>
        <w:t>目</w:t>
      </w:r>
      <w:r>
        <w:rPr>
          <w:rFonts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zh-CN"/>
        </w:rPr>
        <w:t xml:space="preserve"> </w:t>
      </w:r>
      <w:r>
        <w:rPr>
          <w:rFonts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zh-CN"/>
        </w:rPr>
        <w:t>录</w:t>
      </w:r>
    </w:p>
    <w:p w14:paraId="782556D0">
      <w:pPr>
        <w:pStyle w:val="27"/>
        <w:spacing w:line="600" w:lineRule="auto"/>
        <w:rPr>
          <w:rFonts w:hint="eastAsia" w:ascii="宋体" w:hAnsi="宋体" w:eastAsia="宋体" w:cstheme="minorBidi"/>
          <w:color w:val="auto"/>
          <w:sz w:val="24"/>
          <w:szCs w:val="28"/>
          <w:highlight w:val="none"/>
          <w14:ligatures w14:val="standardContextual"/>
        </w:rPr>
      </w:pPr>
      <w:r>
        <w:rPr>
          <w:rFonts w:ascii="黑体" w:hAnsi="黑体" w:eastAsia="黑体" w:cs="黑体"/>
          <w:color w:val="auto"/>
          <w:sz w:val="22"/>
          <w:szCs w:val="22"/>
          <w:highlight w:val="none"/>
        </w:rPr>
        <w:fldChar w:fldCharType="begin"/>
      </w:r>
      <w:r>
        <w:rPr>
          <w:rFonts w:ascii="黑体" w:hAnsi="黑体" w:eastAsia="黑体" w:cs="黑体"/>
          <w:color w:val="auto"/>
          <w:sz w:val="22"/>
          <w:szCs w:val="22"/>
          <w:highlight w:val="none"/>
        </w:rPr>
        <w:instrText xml:space="preserve"> TOC \o "1-3" \h \z \u </w:instrText>
      </w:r>
      <w:r>
        <w:rPr>
          <w:rFonts w:ascii="黑体" w:hAnsi="黑体" w:eastAsia="黑体" w:cs="黑体"/>
          <w:color w:val="auto"/>
          <w:sz w:val="22"/>
          <w:szCs w:val="22"/>
          <w:highlight w:val="none"/>
        </w:rPr>
        <w:fldChar w:fldCharType="separate"/>
      </w:r>
      <w:r>
        <w:rPr>
          <w:color w:val="auto"/>
          <w:highlight w:val="none"/>
        </w:rPr>
        <w:fldChar w:fldCharType="begin"/>
      </w:r>
      <w:r>
        <w:rPr>
          <w:color w:val="auto"/>
          <w:highlight w:val="none"/>
        </w:rPr>
        <w:instrText xml:space="preserve"> HYPERLINK \l "_Toc164432879" </w:instrText>
      </w:r>
      <w:r>
        <w:rPr>
          <w:color w:val="auto"/>
          <w:highlight w:val="none"/>
        </w:rPr>
        <w:fldChar w:fldCharType="separate"/>
      </w:r>
      <w:r>
        <w:rPr>
          <w:rStyle w:val="46"/>
          <w:rFonts w:ascii="宋体" w:hAnsi="宋体" w:eastAsia="宋体" w:cs="宋体"/>
          <w:color w:val="auto"/>
          <w:sz w:val="24"/>
          <w:szCs w:val="24"/>
          <w:highlight w:val="none"/>
        </w:rPr>
        <w:t>第一章 招标公告</w:t>
      </w:r>
      <w:r>
        <w:rPr>
          <w:rFonts w:ascii="宋体" w:hAnsi="宋体" w:eastAsia="宋体"/>
          <w:color w:val="auto"/>
          <w:sz w:val="24"/>
          <w:szCs w:val="24"/>
          <w:highlight w:val="none"/>
        </w:rPr>
        <w:tab/>
      </w: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PAGEREF _Toc164432879 \h </w:instrText>
      </w:r>
      <w:r>
        <w:rPr>
          <w:rFonts w:ascii="宋体" w:hAnsi="宋体" w:eastAsia="宋体"/>
          <w:color w:val="auto"/>
          <w:sz w:val="24"/>
          <w:szCs w:val="24"/>
          <w:highlight w:val="none"/>
        </w:rPr>
        <w:fldChar w:fldCharType="separate"/>
      </w:r>
      <w:r>
        <w:rPr>
          <w:rFonts w:ascii="宋体" w:hAnsi="宋体" w:eastAsia="宋体"/>
          <w:color w:val="auto"/>
          <w:sz w:val="24"/>
          <w:szCs w:val="24"/>
          <w:highlight w:val="none"/>
        </w:rPr>
        <w:t>2</w:t>
      </w:r>
      <w:r>
        <w:rPr>
          <w:rFonts w:ascii="宋体" w:hAnsi="宋体" w:eastAsia="宋体"/>
          <w:color w:val="auto"/>
          <w:sz w:val="24"/>
          <w:szCs w:val="24"/>
          <w:highlight w:val="none"/>
        </w:rPr>
        <w:fldChar w:fldCharType="end"/>
      </w:r>
      <w:r>
        <w:rPr>
          <w:rFonts w:ascii="宋体" w:hAnsi="宋体" w:eastAsia="宋体"/>
          <w:color w:val="auto"/>
          <w:sz w:val="24"/>
          <w:szCs w:val="24"/>
          <w:highlight w:val="none"/>
        </w:rPr>
        <w:fldChar w:fldCharType="end"/>
      </w:r>
    </w:p>
    <w:p w14:paraId="4B806259">
      <w:pPr>
        <w:pStyle w:val="27"/>
        <w:spacing w:line="600" w:lineRule="auto"/>
        <w:rPr>
          <w:rFonts w:hint="eastAsia" w:ascii="宋体" w:hAnsi="宋体" w:eastAsia="宋体" w:cstheme="minorBidi"/>
          <w:color w:val="auto"/>
          <w:sz w:val="24"/>
          <w:szCs w:val="28"/>
          <w:highlight w:val="none"/>
          <w14:ligatures w14:val="standardContextual"/>
        </w:rPr>
      </w:pPr>
      <w:r>
        <w:rPr>
          <w:color w:val="auto"/>
          <w:highlight w:val="none"/>
        </w:rPr>
        <w:fldChar w:fldCharType="begin"/>
      </w:r>
      <w:r>
        <w:rPr>
          <w:color w:val="auto"/>
          <w:highlight w:val="none"/>
        </w:rPr>
        <w:instrText xml:space="preserve"> HYPERLINK \l "_Toc164432887" </w:instrText>
      </w:r>
      <w:r>
        <w:rPr>
          <w:color w:val="auto"/>
          <w:highlight w:val="none"/>
        </w:rPr>
        <w:fldChar w:fldCharType="separate"/>
      </w:r>
      <w:r>
        <w:rPr>
          <w:rStyle w:val="46"/>
          <w:rFonts w:ascii="宋体" w:hAnsi="宋体" w:eastAsia="宋体" w:cs="宋体"/>
          <w:color w:val="auto"/>
          <w:sz w:val="24"/>
          <w:szCs w:val="24"/>
          <w:highlight w:val="none"/>
        </w:rPr>
        <w:t>第二章 投标人须知</w:t>
      </w:r>
      <w:r>
        <w:rPr>
          <w:rFonts w:ascii="宋体" w:hAnsi="宋体" w:eastAsia="宋体"/>
          <w:color w:val="auto"/>
          <w:sz w:val="24"/>
          <w:szCs w:val="24"/>
          <w:highlight w:val="none"/>
        </w:rPr>
        <w:tab/>
      </w: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PAGEREF _Toc164432887 \h </w:instrText>
      </w:r>
      <w:r>
        <w:rPr>
          <w:rFonts w:ascii="宋体" w:hAnsi="宋体" w:eastAsia="宋体"/>
          <w:color w:val="auto"/>
          <w:sz w:val="24"/>
          <w:szCs w:val="24"/>
          <w:highlight w:val="none"/>
        </w:rPr>
        <w:fldChar w:fldCharType="separate"/>
      </w:r>
      <w:r>
        <w:rPr>
          <w:rFonts w:ascii="宋体" w:hAnsi="宋体" w:eastAsia="宋体"/>
          <w:color w:val="auto"/>
          <w:sz w:val="24"/>
          <w:szCs w:val="24"/>
          <w:highlight w:val="none"/>
        </w:rPr>
        <w:t>5</w:t>
      </w:r>
      <w:r>
        <w:rPr>
          <w:rFonts w:ascii="宋体" w:hAnsi="宋体" w:eastAsia="宋体"/>
          <w:color w:val="auto"/>
          <w:sz w:val="24"/>
          <w:szCs w:val="24"/>
          <w:highlight w:val="none"/>
        </w:rPr>
        <w:fldChar w:fldCharType="end"/>
      </w:r>
      <w:r>
        <w:rPr>
          <w:rFonts w:ascii="宋体" w:hAnsi="宋体" w:eastAsia="宋体"/>
          <w:color w:val="auto"/>
          <w:sz w:val="24"/>
          <w:szCs w:val="24"/>
          <w:highlight w:val="none"/>
        </w:rPr>
        <w:fldChar w:fldCharType="end"/>
      </w:r>
    </w:p>
    <w:p w14:paraId="1749D9C2">
      <w:pPr>
        <w:pStyle w:val="27"/>
        <w:spacing w:line="600" w:lineRule="auto"/>
        <w:rPr>
          <w:rFonts w:hint="eastAsia" w:ascii="宋体" w:hAnsi="宋体" w:eastAsia="宋体" w:cstheme="minorBidi"/>
          <w:color w:val="auto"/>
          <w:sz w:val="24"/>
          <w:szCs w:val="28"/>
          <w:highlight w:val="none"/>
          <w14:ligatures w14:val="standardContextual"/>
        </w:rPr>
      </w:pPr>
      <w:r>
        <w:rPr>
          <w:color w:val="auto"/>
          <w:highlight w:val="none"/>
        </w:rPr>
        <w:fldChar w:fldCharType="begin"/>
      </w:r>
      <w:r>
        <w:rPr>
          <w:color w:val="auto"/>
          <w:highlight w:val="none"/>
        </w:rPr>
        <w:instrText xml:space="preserve"> HYPERLINK \l "_Toc164432945" </w:instrText>
      </w:r>
      <w:r>
        <w:rPr>
          <w:color w:val="auto"/>
          <w:highlight w:val="none"/>
        </w:rPr>
        <w:fldChar w:fldCharType="separate"/>
      </w:r>
      <w:r>
        <w:rPr>
          <w:rStyle w:val="46"/>
          <w:rFonts w:ascii="宋体" w:hAnsi="宋体" w:eastAsia="宋体" w:cs="宋体"/>
          <w:color w:val="auto"/>
          <w:sz w:val="24"/>
          <w:szCs w:val="24"/>
          <w:highlight w:val="none"/>
        </w:rPr>
        <w:t>第三章 评标办法</w:t>
      </w:r>
      <w:r>
        <w:rPr>
          <w:rFonts w:ascii="宋体" w:hAnsi="宋体" w:eastAsia="宋体"/>
          <w:color w:val="auto"/>
          <w:sz w:val="24"/>
          <w:szCs w:val="24"/>
          <w:highlight w:val="none"/>
        </w:rPr>
        <w:tab/>
      </w: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PAGEREF _Toc164432945 \h </w:instrText>
      </w:r>
      <w:r>
        <w:rPr>
          <w:rFonts w:ascii="宋体" w:hAnsi="宋体" w:eastAsia="宋体"/>
          <w:color w:val="auto"/>
          <w:sz w:val="24"/>
          <w:szCs w:val="24"/>
          <w:highlight w:val="none"/>
        </w:rPr>
        <w:fldChar w:fldCharType="separate"/>
      </w:r>
      <w:r>
        <w:rPr>
          <w:rFonts w:ascii="宋体" w:hAnsi="宋体" w:eastAsia="宋体"/>
          <w:color w:val="auto"/>
          <w:sz w:val="24"/>
          <w:szCs w:val="24"/>
          <w:highlight w:val="none"/>
        </w:rPr>
        <w:t>19</w:t>
      </w:r>
      <w:r>
        <w:rPr>
          <w:rFonts w:ascii="宋体" w:hAnsi="宋体" w:eastAsia="宋体"/>
          <w:color w:val="auto"/>
          <w:sz w:val="24"/>
          <w:szCs w:val="24"/>
          <w:highlight w:val="none"/>
        </w:rPr>
        <w:fldChar w:fldCharType="end"/>
      </w:r>
      <w:r>
        <w:rPr>
          <w:rFonts w:ascii="宋体" w:hAnsi="宋体" w:eastAsia="宋体"/>
          <w:color w:val="auto"/>
          <w:sz w:val="24"/>
          <w:szCs w:val="24"/>
          <w:highlight w:val="none"/>
        </w:rPr>
        <w:fldChar w:fldCharType="end"/>
      </w:r>
    </w:p>
    <w:p w14:paraId="0733B0C3">
      <w:pPr>
        <w:pStyle w:val="27"/>
        <w:spacing w:line="600" w:lineRule="auto"/>
        <w:rPr>
          <w:rFonts w:hint="eastAsia" w:ascii="宋体" w:hAnsi="宋体" w:eastAsia="宋体" w:cstheme="minorBidi"/>
          <w:color w:val="auto"/>
          <w:sz w:val="24"/>
          <w:szCs w:val="28"/>
          <w:highlight w:val="none"/>
          <w14:ligatures w14:val="standardContextual"/>
        </w:rPr>
      </w:pPr>
      <w:r>
        <w:rPr>
          <w:color w:val="auto"/>
          <w:highlight w:val="none"/>
        </w:rPr>
        <w:fldChar w:fldCharType="begin"/>
      </w:r>
      <w:r>
        <w:rPr>
          <w:color w:val="auto"/>
          <w:highlight w:val="none"/>
        </w:rPr>
        <w:instrText xml:space="preserve"> HYPERLINK \l "_Toc164432957" </w:instrText>
      </w:r>
      <w:r>
        <w:rPr>
          <w:color w:val="auto"/>
          <w:highlight w:val="none"/>
        </w:rPr>
        <w:fldChar w:fldCharType="separate"/>
      </w:r>
      <w:r>
        <w:rPr>
          <w:rStyle w:val="46"/>
          <w:rFonts w:ascii="宋体" w:hAnsi="宋体" w:eastAsia="宋体" w:cs="宋体"/>
          <w:color w:val="auto"/>
          <w:sz w:val="24"/>
          <w:szCs w:val="24"/>
          <w:highlight w:val="none"/>
        </w:rPr>
        <w:t>第四章 合同草案</w:t>
      </w:r>
      <w:r>
        <w:rPr>
          <w:rFonts w:ascii="宋体" w:hAnsi="宋体" w:eastAsia="宋体"/>
          <w:color w:val="auto"/>
          <w:sz w:val="24"/>
          <w:szCs w:val="24"/>
          <w:highlight w:val="none"/>
        </w:rPr>
        <w:tab/>
      </w: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PAGEREF _Toc164432957 \h </w:instrText>
      </w:r>
      <w:r>
        <w:rPr>
          <w:rFonts w:ascii="宋体" w:hAnsi="宋体" w:eastAsia="宋体"/>
          <w:color w:val="auto"/>
          <w:sz w:val="24"/>
          <w:szCs w:val="24"/>
          <w:highlight w:val="none"/>
        </w:rPr>
        <w:fldChar w:fldCharType="separate"/>
      </w:r>
      <w:r>
        <w:rPr>
          <w:rFonts w:ascii="宋体" w:hAnsi="宋体" w:eastAsia="宋体"/>
          <w:color w:val="auto"/>
          <w:sz w:val="24"/>
          <w:szCs w:val="24"/>
          <w:highlight w:val="none"/>
        </w:rPr>
        <w:t>26</w:t>
      </w:r>
      <w:r>
        <w:rPr>
          <w:rFonts w:ascii="宋体" w:hAnsi="宋体" w:eastAsia="宋体"/>
          <w:color w:val="auto"/>
          <w:sz w:val="24"/>
          <w:szCs w:val="24"/>
          <w:highlight w:val="none"/>
        </w:rPr>
        <w:fldChar w:fldCharType="end"/>
      </w:r>
      <w:r>
        <w:rPr>
          <w:rFonts w:ascii="宋体" w:hAnsi="宋体" w:eastAsia="宋体"/>
          <w:color w:val="auto"/>
          <w:sz w:val="24"/>
          <w:szCs w:val="24"/>
          <w:highlight w:val="none"/>
        </w:rPr>
        <w:fldChar w:fldCharType="end"/>
      </w:r>
    </w:p>
    <w:p w14:paraId="6510CEAD">
      <w:pPr>
        <w:pStyle w:val="27"/>
        <w:spacing w:line="600" w:lineRule="auto"/>
        <w:rPr>
          <w:rFonts w:hint="eastAsia" w:ascii="宋体" w:hAnsi="宋体" w:eastAsia="宋体" w:cstheme="minorBidi"/>
          <w:color w:val="auto"/>
          <w:sz w:val="24"/>
          <w:szCs w:val="28"/>
          <w:highlight w:val="none"/>
          <w14:ligatures w14:val="standardContextual"/>
        </w:rPr>
      </w:pPr>
      <w:r>
        <w:rPr>
          <w:color w:val="auto"/>
          <w:highlight w:val="none"/>
        </w:rPr>
        <w:fldChar w:fldCharType="begin"/>
      </w:r>
      <w:r>
        <w:rPr>
          <w:color w:val="auto"/>
          <w:highlight w:val="none"/>
        </w:rPr>
        <w:instrText xml:space="preserve"> HYPERLINK \l "_Toc164432958" </w:instrText>
      </w:r>
      <w:r>
        <w:rPr>
          <w:color w:val="auto"/>
          <w:highlight w:val="none"/>
        </w:rPr>
        <w:fldChar w:fldCharType="separate"/>
      </w:r>
      <w:r>
        <w:rPr>
          <w:rStyle w:val="46"/>
          <w:rFonts w:ascii="宋体" w:hAnsi="宋体" w:eastAsia="宋体" w:cs="宋体"/>
          <w:color w:val="auto"/>
          <w:sz w:val="24"/>
          <w:szCs w:val="24"/>
          <w:highlight w:val="none"/>
        </w:rPr>
        <w:t>第五章 采购需求</w:t>
      </w:r>
      <w:r>
        <w:rPr>
          <w:rFonts w:ascii="宋体" w:hAnsi="宋体" w:eastAsia="宋体"/>
          <w:color w:val="auto"/>
          <w:sz w:val="24"/>
          <w:szCs w:val="24"/>
          <w:highlight w:val="none"/>
        </w:rPr>
        <w:tab/>
      </w: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PAGEREF _Toc164432958 \h </w:instrText>
      </w:r>
      <w:r>
        <w:rPr>
          <w:rFonts w:ascii="宋体" w:hAnsi="宋体" w:eastAsia="宋体"/>
          <w:color w:val="auto"/>
          <w:sz w:val="24"/>
          <w:szCs w:val="24"/>
          <w:highlight w:val="none"/>
        </w:rPr>
        <w:fldChar w:fldCharType="separate"/>
      </w:r>
      <w:r>
        <w:rPr>
          <w:rFonts w:ascii="宋体" w:hAnsi="宋体" w:eastAsia="宋体"/>
          <w:color w:val="auto"/>
          <w:sz w:val="24"/>
          <w:szCs w:val="24"/>
          <w:highlight w:val="none"/>
        </w:rPr>
        <w:t>32</w:t>
      </w:r>
      <w:r>
        <w:rPr>
          <w:rFonts w:ascii="宋体" w:hAnsi="宋体" w:eastAsia="宋体"/>
          <w:color w:val="auto"/>
          <w:sz w:val="24"/>
          <w:szCs w:val="24"/>
          <w:highlight w:val="none"/>
        </w:rPr>
        <w:fldChar w:fldCharType="end"/>
      </w:r>
      <w:r>
        <w:rPr>
          <w:rFonts w:ascii="宋体" w:hAnsi="宋体" w:eastAsia="宋体"/>
          <w:color w:val="auto"/>
          <w:sz w:val="24"/>
          <w:szCs w:val="24"/>
          <w:highlight w:val="none"/>
        </w:rPr>
        <w:fldChar w:fldCharType="end"/>
      </w:r>
    </w:p>
    <w:p w14:paraId="50D5B8A2">
      <w:pPr>
        <w:pStyle w:val="27"/>
        <w:spacing w:line="600" w:lineRule="auto"/>
        <w:rPr>
          <w:rFonts w:hint="eastAsia" w:ascii="宋体" w:hAnsi="宋体" w:eastAsia="宋体" w:cstheme="minorBidi"/>
          <w:color w:val="auto"/>
          <w:sz w:val="24"/>
          <w:szCs w:val="28"/>
          <w:highlight w:val="none"/>
          <w14:ligatures w14:val="standardContextual"/>
        </w:rPr>
      </w:pPr>
      <w:r>
        <w:rPr>
          <w:color w:val="auto"/>
          <w:highlight w:val="none"/>
        </w:rPr>
        <w:fldChar w:fldCharType="begin"/>
      </w:r>
      <w:r>
        <w:rPr>
          <w:color w:val="auto"/>
          <w:highlight w:val="none"/>
        </w:rPr>
        <w:instrText xml:space="preserve"> HYPERLINK \l "_Toc164432959" </w:instrText>
      </w:r>
      <w:r>
        <w:rPr>
          <w:color w:val="auto"/>
          <w:highlight w:val="none"/>
        </w:rPr>
        <w:fldChar w:fldCharType="separate"/>
      </w:r>
      <w:r>
        <w:rPr>
          <w:rStyle w:val="46"/>
          <w:rFonts w:ascii="宋体" w:hAnsi="宋体" w:eastAsia="宋体" w:cs="宋体"/>
          <w:color w:val="auto"/>
          <w:sz w:val="24"/>
          <w:szCs w:val="24"/>
          <w:highlight w:val="none"/>
        </w:rPr>
        <w:t>第六章 投标文件格式</w:t>
      </w:r>
      <w:r>
        <w:rPr>
          <w:rFonts w:ascii="宋体" w:hAnsi="宋体" w:eastAsia="宋体"/>
          <w:color w:val="auto"/>
          <w:sz w:val="24"/>
          <w:szCs w:val="24"/>
          <w:highlight w:val="none"/>
        </w:rPr>
        <w:tab/>
      </w:r>
      <w:r>
        <w:rPr>
          <w:rFonts w:ascii="宋体" w:hAnsi="宋体" w:eastAsia="宋体"/>
          <w:color w:val="auto"/>
          <w:sz w:val="24"/>
          <w:szCs w:val="24"/>
          <w:highlight w:val="none"/>
        </w:rPr>
        <w:fldChar w:fldCharType="begin"/>
      </w:r>
      <w:r>
        <w:rPr>
          <w:rFonts w:ascii="宋体" w:hAnsi="宋体" w:eastAsia="宋体"/>
          <w:color w:val="auto"/>
          <w:sz w:val="24"/>
          <w:szCs w:val="24"/>
          <w:highlight w:val="none"/>
        </w:rPr>
        <w:instrText xml:space="preserve"> PAGEREF _Toc164432959 \h </w:instrText>
      </w:r>
      <w:r>
        <w:rPr>
          <w:rFonts w:ascii="宋体" w:hAnsi="宋体" w:eastAsia="宋体"/>
          <w:color w:val="auto"/>
          <w:sz w:val="24"/>
          <w:szCs w:val="24"/>
          <w:highlight w:val="none"/>
        </w:rPr>
        <w:fldChar w:fldCharType="separate"/>
      </w:r>
      <w:r>
        <w:rPr>
          <w:rFonts w:ascii="宋体" w:hAnsi="宋体" w:eastAsia="宋体"/>
          <w:color w:val="auto"/>
          <w:sz w:val="24"/>
          <w:szCs w:val="24"/>
          <w:highlight w:val="none"/>
        </w:rPr>
        <w:t>34</w:t>
      </w:r>
      <w:r>
        <w:rPr>
          <w:rFonts w:ascii="宋体" w:hAnsi="宋体" w:eastAsia="宋体"/>
          <w:color w:val="auto"/>
          <w:sz w:val="24"/>
          <w:szCs w:val="24"/>
          <w:highlight w:val="none"/>
        </w:rPr>
        <w:fldChar w:fldCharType="end"/>
      </w:r>
      <w:r>
        <w:rPr>
          <w:rFonts w:ascii="宋体" w:hAnsi="宋体" w:eastAsia="宋体"/>
          <w:color w:val="auto"/>
          <w:sz w:val="24"/>
          <w:szCs w:val="24"/>
          <w:highlight w:val="none"/>
        </w:rPr>
        <w:fldChar w:fldCharType="end"/>
      </w:r>
    </w:p>
    <w:p w14:paraId="32190D5F">
      <w:pPr>
        <w:spacing w:line="600" w:lineRule="auto"/>
        <w:rPr>
          <w:rFonts w:hint="eastAsia" w:ascii="宋体" w:hAnsi="宋体" w:eastAsia="宋体" w:cs="Times New Roman"/>
          <w:color w:val="auto"/>
          <w:highlight w:val="none"/>
        </w:rPr>
        <w:sectPr>
          <w:headerReference r:id="rId5" w:type="default"/>
          <w:footerReference r:id="rId7" w:type="default"/>
          <w:headerReference r:id="rId6" w:type="even"/>
          <w:footerReference r:id="rId8" w:type="even"/>
          <w:pgSz w:w="11906" w:h="16838"/>
          <w:pgMar w:top="1418" w:right="1134" w:bottom="1418" w:left="1134" w:header="992" w:footer="964" w:gutter="0"/>
          <w:pgNumType w:fmt="lowerRoman" w:start="1"/>
          <w:cols w:space="720" w:num="1"/>
          <w:docGrid w:linePitch="326" w:charSpace="48333"/>
        </w:sectPr>
      </w:pPr>
      <w:r>
        <w:rPr>
          <w:rFonts w:ascii="黑体" w:hAnsi="黑体" w:eastAsia="黑体" w:cs="黑体"/>
          <w:color w:val="auto"/>
          <w:sz w:val="22"/>
          <w:szCs w:val="22"/>
          <w:highlight w:val="none"/>
        </w:rPr>
        <w:fldChar w:fldCharType="end"/>
      </w:r>
    </w:p>
    <w:p w14:paraId="0622CC48">
      <w:pPr>
        <w:pStyle w:val="2"/>
        <w:spacing w:before="0" w:after="0" w:line="360" w:lineRule="auto"/>
        <w:jc w:val="center"/>
        <w:rPr>
          <w:rFonts w:ascii="宋体"/>
          <w:color w:val="auto"/>
          <w:sz w:val="36"/>
          <w:szCs w:val="36"/>
          <w:highlight w:val="none"/>
        </w:rPr>
      </w:pPr>
      <w:bookmarkStart w:id="2" w:name="_Toc164432879"/>
      <w:r>
        <w:rPr>
          <w:rFonts w:hint="eastAsia" w:ascii="宋体" w:hAnsi="宋体" w:cs="宋体"/>
          <w:color w:val="auto"/>
          <w:sz w:val="36"/>
          <w:szCs w:val="36"/>
          <w:highlight w:val="none"/>
        </w:rPr>
        <w:t>第一章</w:t>
      </w:r>
      <w:r>
        <w:rPr>
          <w:rFonts w:ascii="宋体" w:hAnsi="宋体" w:cs="宋体"/>
          <w:color w:val="auto"/>
          <w:sz w:val="36"/>
          <w:szCs w:val="36"/>
          <w:highlight w:val="none"/>
        </w:rPr>
        <w:t xml:space="preserve"> </w:t>
      </w:r>
      <w:r>
        <w:rPr>
          <w:rFonts w:hint="eastAsia" w:ascii="宋体" w:hAnsi="宋体" w:cs="宋体"/>
          <w:color w:val="auto"/>
          <w:sz w:val="36"/>
          <w:szCs w:val="36"/>
          <w:highlight w:val="none"/>
        </w:rPr>
        <w:t>招标公告</w:t>
      </w:r>
      <w:bookmarkEnd w:id="2"/>
    </w:p>
    <w:p w14:paraId="0003A6AC">
      <w:pPr>
        <w:spacing w:line="360" w:lineRule="auto"/>
        <w:jc w:val="center"/>
        <w:rPr>
          <w:rFonts w:hint="eastAsia" w:ascii="宋体" w:hAnsi="宋体" w:eastAsia="宋体" w:cs="宋体"/>
          <w:b/>
          <w:bCs/>
          <w:color w:val="auto"/>
          <w:sz w:val="28"/>
          <w:szCs w:val="28"/>
          <w:highlight w:val="none"/>
          <w:lang w:eastAsia="zh-CN"/>
        </w:rPr>
      </w:pPr>
      <w:bookmarkStart w:id="3" w:name="OLE_LINK6"/>
      <w:bookmarkStart w:id="4" w:name="_Hlk174121460"/>
      <w:bookmarkStart w:id="5" w:name="_Hlk77342518"/>
      <w:r>
        <w:rPr>
          <w:rFonts w:hint="eastAsia" w:ascii="宋体" w:hAnsi="宋体" w:eastAsia="宋体" w:cs="宋体"/>
          <w:b/>
          <w:bCs/>
          <w:color w:val="auto"/>
          <w:sz w:val="28"/>
          <w:szCs w:val="28"/>
          <w:highlight w:val="none"/>
          <w:lang w:eastAsia="zh-CN"/>
        </w:rPr>
        <w:t>云南省新庄矿区地质勘查成果总结报告、云南省新庄矿区总体规划修编、云南省新庄矿区总体规划环境影响评价编审项目（二次）</w:t>
      </w:r>
    </w:p>
    <w:bookmarkEnd w:id="3"/>
    <w:p w14:paraId="271DD706">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招标公告</w:t>
      </w:r>
    </w:p>
    <w:p w14:paraId="3ECEC00C">
      <w:pPr>
        <w:pBdr>
          <w:top w:val="single" w:color="auto" w:sz="4" w:space="1"/>
          <w:left w:val="single" w:color="auto" w:sz="4" w:space="4"/>
          <w:bottom w:val="single" w:color="auto" w:sz="4" w:space="1"/>
          <w:right w:val="single" w:color="auto" w:sz="4" w:space="4"/>
        </w:pBd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项目概况</w:t>
      </w:r>
    </w:p>
    <w:p w14:paraId="1CAA5CDF">
      <w:pPr>
        <w:pBdr>
          <w:top w:val="single" w:color="auto" w:sz="4" w:space="1"/>
          <w:left w:val="single" w:color="auto" w:sz="4" w:space="4"/>
          <w:bottom w:val="single" w:color="auto" w:sz="4" w:space="1"/>
          <w:right w:val="single" w:color="auto" w:sz="4" w:space="4"/>
        </w:pBd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u w:val="single"/>
          <w:lang w:eastAsia="zh-CN"/>
        </w:rPr>
        <w:t>云南省新庄矿区地质勘查成果总结报告、云南省新庄矿区总体规划修编、云南省新庄矿区总体规划环境影响评价编审项目（二次）</w:t>
      </w:r>
      <w:r>
        <w:rPr>
          <w:rFonts w:hint="eastAsia" w:ascii="宋体" w:hAnsi="宋体" w:eastAsia="宋体" w:cs="宋体"/>
          <w:color w:val="auto"/>
          <w:highlight w:val="none"/>
        </w:rPr>
        <w:t>招标项目的潜在投标人应在</w:t>
      </w:r>
      <w:r>
        <w:rPr>
          <w:rFonts w:hint="eastAsia" w:ascii="宋体" w:hAnsi="宋体" w:eastAsia="宋体" w:cs="宋体"/>
          <w:color w:val="auto"/>
          <w:highlight w:val="none"/>
          <w:u w:val="single"/>
        </w:rPr>
        <w:t>政府采购云平台（网址</w:t>
      </w:r>
      <w:r>
        <w:rPr>
          <w:rFonts w:ascii="宋体" w:hAnsi="宋体" w:eastAsia="宋体" w:cs="宋体"/>
          <w:color w:val="auto"/>
          <w:highlight w:val="none"/>
          <w:u w:val="single"/>
        </w:rPr>
        <w:t>:https://www.zcygov.cn/）</w:t>
      </w:r>
      <w:r>
        <w:rPr>
          <w:rFonts w:hint="eastAsia" w:ascii="宋体" w:hAnsi="宋体" w:eastAsia="宋体" w:cs="宋体"/>
          <w:color w:val="auto"/>
          <w:highlight w:val="none"/>
          <w:u w:val="single"/>
        </w:rPr>
        <w:t>获取招标文件，并于</w:t>
      </w:r>
      <w:r>
        <w:rPr>
          <w:rFonts w:hint="eastAsia" w:ascii="宋体" w:hAnsi="宋体" w:eastAsia="宋体" w:cs="宋体"/>
          <w:color w:val="auto"/>
          <w:highlight w:val="none"/>
          <w:u w:val="single"/>
          <w:lang w:eastAsia="zh-CN"/>
        </w:rPr>
        <w:t>2025-09-29</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15</w:t>
      </w:r>
      <w:r>
        <w:rPr>
          <w:rFonts w:ascii="宋体" w:hAnsi="宋体" w:eastAsia="宋体" w:cs="宋体"/>
          <w:color w:val="auto"/>
          <w:highlight w:val="none"/>
          <w:u w:val="single"/>
        </w:rPr>
        <w:t>:</w:t>
      </w:r>
      <w:r>
        <w:rPr>
          <w:rFonts w:hint="eastAsia" w:ascii="宋体" w:hAnsi="宋体" w:eastAsia="宋体" w:cs="宋体"/>
          <w:color w:val="auto"/>
          <w:highlight w:val="none"/>
          <w:u w:val="single"/>
        </w:rPr>
        <w:t>00</w:t>
      </w:r>
      <w:r>
        <w:rPr>
          <w:rFonts w:hint="eastAsia" w:ascii="宋体" w:hAnsi="宋体" w:eastAsia="宋体" w:cs="宋体"/>
          <w:color w:val="auto"/>
          <w:highlight w:val="none"/>
        </w:rPr>
        <w:t>（北京时间）前递交投标文件。</w:t>
      </w:r>
    </w:p>
    <w:p w14:paraId="4EB9A456">
      <w:pPr>
        <w:keepNext/>
        <w:keepLines/>
        <w:spacing w:line="360" w:lineRule="auto"/>
        <w:outlineLvl w:val="1"/>
        <w:rPr>
          <w:rFonts w:hint="eastAsia" w:ascii="宋体" w:hAnsi="宋体" w:eastAsia="宋体" w:cs="Times New Roman"/>
          <w:b/>
          <w:bCs/>
          <w:color w:val="auto"/>
          <w:kern w:val="0"/>
          <w:highlight w:val="none"/>
        </w:rPr>
      </w:pPr>
      <w:bookmarkStart w:id="6" w:name="_Toc164432880"/>
      <w:bookmarkStart w:id="7" w:name="_Toc120282391"/>
      <w:bookmarkStart w:id="8" w:name="_Toc77504025"/>
      <w:bookmarkStart w:id="9" w:name="_Toc3786"/>
      <w:bookmarkStart w:id="10" w:name="_Toc107396163"/>
      <w:bookmarkStart w:id="11" w:name="_Toc77658035"/>
      <w:bookmarkStart w:id="12" w:name="_Toc77116636"/>
      <w:r>
        <w:rPr>
          <w:rFonts w:hint="eastAsia" w:ascii="宋体" w:hAnsi="宋体" w:eastAsia="宋体" w:cs="宋体"/>
          <w:b/>
          <w:bCs/>
          <w:color w:val="auto"/>
          <w:kern w:val="0"/>
          <w:highlight w:val="none"/>
        </w:rPr>
        <w:t>一、项目基本情况</w:t>
      </w:r>
      <w:bookmarkEnd w:id="6"/>
      <w:bookmarkEnd w:id="7"/>
      <w:bookmarkEnd w:id="8"/>
      <w:bookmarkEnd w:id="9"/>
      <w:bookmarkEnd w:id="10"/>
      <w:bookmarkEnd w:id="11"/>
      <w:bookmarkEnd w:id="12"/>
    </w:p>
    <w:p w14:paraId="42E26277">
      <w:pPr>
        <w:adjustRightInd w:val="0"/>
        <w:spacing w:line="360" w:lineRule="auto"/>
        <w:ind w:firstLine="420" w:firstLineChars="200"/>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项目编号：</w:t>
      </w:r>
      <w:r>
        <w:rPr>
          <w:rFonts w:hint="eastAsia" w:ascii="宋体" w:hAnsi="宋体" w:eastAsia="宋体" w:cs="宋体"/>
          <w:color w:val="auto"/>
          <w:highlight w:val="none"/>
          <w:lang w:eastAsia="zh-CN"/>
        </w:rPr>
        <w:t>ZTZC2025-G3-01032-YNXX-0011</w:t>
      </w:r>
    </w:p>
    <w:p w14:paraId="01E8464D">
      <w:pPr>
        <w:adjustRightInd w:val="0"/>
        <w:spacing w:line="360" w:lineRule="auto"/>
        <w:ind w:firstLine="420" w:firstLineChars="200"/>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项目名称：</w:t>
      </w:r>
      <w:r>
        <w:rPr>
          <w:rFonts w:hint="eastAsia" w:ascii="宋体" w:hAnsi="宋体" w:eastAsia="宋体" w:cs="宋体"/>
          <w:color w:val="auto"/>
          <w:highlight w:val="none"/>
          <w:lang w:eastAsia="zh-CN"/>
        </w:rPr>
        <w:t>云南省新庄矿区地质勘查成果总结报告、云南省新庄矿区总体规划修编、云南省新庄矿区总体规划环境影响评价编审项目（二次）</w:t>
      </w:r>
    </w:p>
    <w:p w14:paraId="46DDADFF">
      <w:pPr>
        <w:adjustRightInd w:val="0"/>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预算金额（万元）：</w:t>
      </w:r>
      <w:r>
        <w:rPr>
          <w:rFonts w:hint="eastAsia" w:ascii="宋体" w:hAnsi="宋体" w:eastAsia="宋体" w:cs="宋体"/>
          <w:color w:val="auto"/>
          <w:highlight w:val="none"/>
          <w:lang w:val="en-US" w:eastAsia="zh-CN"/>
        </w:rPr>
        <w:t>300</w:t>
      </w:r>
    </w:p>
    <w:p w14:paraId="4168E80E">
      <w:pPr>
        <w:adjustRightInd w:val="0"/>
        <w:spacing w:line="360" w:lineRule="auto"/>
        <w:ind w:firstLine="420" w:firstLineChars="200"/>
        <w:rPr>
          <w:rFonts w:hint="default" w:ascii="宋体" w:hAnsi="宋体" w:eastAsia="宋体" w:cs="宋体"/>
          <w:color w:val="auto"/>
          <w:highlight w:val="none"/>
          <w:lang w:val="en-US" w:eastAsia="zh-CN"/>
        </w:rPr>
      </w:pPr>
      <w:r>
        <w:rPr>
          <w:rFonts w:hint="eastAsia" w:ascii="宋体" w:hAnsi="宋体" w:eastAsia="宋体" w:cs="宋体"/>
          <w:color w:val="auto"/>
          <w:highlight w:val="none"/>
        </w:rPr>
        <w:t>最高限价（万元）：3</w:t>
      </w:r>
      <w:r>
        <w:rPr>
          <w:rFonts w:hint="eastAsia" w:ascii="宋体" w:hAnsi="宋体" w:eastAsia="宋体" w:cs="宋体"/>
          <w:color w:val="auto"/>
          <w:highlight w:val="none"/>
          <w:lang w:val="en-US" w:eastAsia="zh-CN"/>
        </w:rPr>
        <w:t>00</w:t>
      </w:r>
    </w:p>
    <w:p w14:paraId="048B3EB5">
      <w:pPr>
        <w:adjustRightInd w:val="0"/>
        <w:spacing w:line="360" w:lineRule="auto"/>
        <w:ind w:firstLine="420" w:firstLineChars="200"/>
        <w:rPr>
          <w:rFonts w:hint="eastAsia" w:ascii="宋体" w:hAnsi="宋体" w:eastAsia="宋体" w:cs="宋体"/>
          <w:color w:val="auto"/>
          <w:highlight w:val="none"/>
        </w:rPr>
      </w:pPr>
      <w:bookmarkStart w:id="13" w:name="OLE_LINK7"/>
      <w:bookmarkStart w:id="14" w:name="OLE_LINK8"/>
      <w:r>
        <w:rPr>
          <w:rFonts w:hint="eastAsia" w:ascii="宋体" w:hAnsi="宋体" w:eastAsia="宋体" w:cs="宋体"/>
          <w:color w:val="auto"/>
          <w:highlight w:val="none"/>
        </w:rPr>
        <w:t>采购需求：</w:t>
      </w:r>
      <w:bookmarkStart w:id="15" w:name="OLE_LINK3"/>
      <w:r>
        <w:rPr>
          <w:rFonts w:hint="eastAsia" w:ascii="宋体" w:hAnsi="宋体" w:eastAsia="宋体" w:cs="宋体"/>
          <w:color w:val="auto"/>
          <w:highlight w:val="none"/>
        </w:rPr>
        <w:t>在新庄矿区内煤矿集中区域开展地质勘查成果总结、矿区总体规划修编、矿区总体规划环境影响评价工作。通过收集资料、调查等工作手段，了解矿区所涉及的矿业权设置等，收集、核实、汇编矿区地质勘查及开发资料与成果，编制云南省新庄矿区地质勘查成果总结报告；从环境保护的角度论证规划方案的合理性和可行性，促进矿区开发与生态环境的协调发展，提出环境可行的矿区开发方案，编制云南省新庄矿区总体规划环境影响评价报告；依据矿区地质勘查成果总结报告，结合矿区的资源条件和外部建设条件，科学规划煤炭资源勘查开发秩序，合理开发利用煤炭资源和划分井田，开展云南省新庄矿区总体规划修编。</w:t>
      </w:r>
    </w:p>
    <w:bookmarkEnd w:id="13"/>
    <w:bookmarkEnd w:id="15"/>
    <w:p w14:paraId="6CF16BA9">
      <w:pPr>
        <w:adjustRightInd w:val="0"/>
        <w:spacing w:line="360" w:lineRule="auto"/>
        <w:ind w:firstLine="420" w:firstLineChars="200"/>
        <w:rPr>
          <w:rFonts w:hint="eastAsia" w:ascii="宋体" w:hAnsi="宋体" w:eastAsia="宋体" w:cs="宋体"/>
          <w:color w:val="auto"/>
          <w:highlight w:val="none"/>
        </w:rPr>
      </w:pPr>
      <w:bookmarkStart w:id="16" w:name="OLE_LINK11"/>
      <w:r>
        <w:rPr>
          <w:rFonts w:hint="eastAsia" w:ascii="宋体" w:hAnsi="宋体" w:eastAsia="宋体" w:cs="宋体"/>
          <w:color w:val="auto"/>
          <w:highlight w:val="none"/>
        </w:rPr>
        <w:t>服务标准：符合国家、云南省现行相关标准、规范和强制性条文等要求，并达到一次性验收合格。</w:t>
      </w:r>
    </w:p>
    <w:p w14:paraId="04BC1E4C">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服务地点：</w:t>
      </w:r>
      <w:r>
        <w:rPr>
          <w:rFonts w:hint="eastAsia" w:ascii="宋体" w:hAnsi="宋体" w:eastAsia="宋体" w:cs="宋体"/>
          <w:color w:val="auto"/>
          <w:highlight w:val="none"/>
          <w:lang w:eastAsia="zh-CN"/>
        </w:rPr>
        <w:t>新庄矿区</w:t>
      </w:r>
      <w:r>
        <w:rPr>
          <w:rFonts w:hint="eastAsia" w:ascii="宋体" w:hAnsi="宋体" w:eastAsia="宋体" w:cs="宋体"/>
          <w:color w:val="auto"/>
          <w:highlight w:val="none"/>
        </w:rPr>
        <w:t>。</w:t>
      </w:r>
    </w:p>
    <w:bookmarkEnd w:id="16"/>
    <w:p w14:paraId="3FE2EC4D">
      <w:pPr>
        <w:adjustRightInd w:val="0"/>
        <w:spacing w:line="360" w:lineRule="auto"/>
        <w:ind w:firstLine="420" w:firstLineChars="200"/>
        <w:rPr>
          <w:rFonts w:hint="eastAsia" w:ascii="宋体" w:hAnsi="宋体" w:eastAsia="宋体" w:cs="Times New Roman"/>
          <w:color w:val="auto"/>
          <w:kern w:val="0"/>
          <w:highlight w:val="none"/>
        </w:rPr>
      </w:pPr>
      <w:bookmarkStart w:id="17" w:name="OLE_LINK18"/>
      <w:r>
        <w:rPr>
          <w:rFonts w:hint="eastAsia" w:ascii="宋体" w:hAnsi="宋体" w:eastAsia="宋体" w:cs="宋体"/>
          <w:color w:val="auto"/>
          <w:kern w:val="0"/>
          <w:highlight w:val="none"/>
        </w:rPr>
        <w:t>合同履行期限</w:t>
      </w:r>
      <w:bookmarkEnd w:id="17"/>
      <w:r>
        <w:rPr>
          <w:rFonts w:hint="eastAsia" w:ascii="宋体" w:hAnsi="宋体" w:eastAsia="宋体" w:cs="宋体"/>
          <w:color w:val="auto"/>
          <w:kern w:val="0"/>
          <w:highlight w:val="none"/>
        </w:rPr>
        <w:t>：</w:t>
      </w:r>
      <w:bookmarkStart w:id="18" w:name="OLE_LINK10"/>
      <w:r>
        <w:rPr>
          <w:rFonts w:hint="eastAsia" w:ascii="宋体" w:hAnsi="宋体" w:eastAsia="宋体" w:cs="Times New Roman"/>
          <w:color w:val="auto"/>
          <w:kern w:val="0"/>
          <w:highlight w:val="none"/>
          <w:lang w:eastAsia="zh-CN"/>
        </w:rPr>
        <w:t>自开工之日起3个月内完成云南省新庄矿区地质勘查成果总结报告编制；收到经评审的矿区总体地质报告、规划区涉及各类保护区及相关规划审查意见表后，3个月内提交云南省新庄矿区总体规划报告送审，规划方案经征求能源局意见后4个月内提交云南省新庄矿区环境影响评价报告书送审。</w:t>
      </w:r>
    </w:p>
    <w:bookmarkEnd w:id="14"/>
    <w:bookmarkEnd w:id="18"/>
    <w:p w14:paraId="7F9023A1">
      <w:pPr>
        <w:adjustRightInd w:val="0"/>
        <w:spacing w:line="360" w:lineRule="auto"/>
        <w:ind w:firstLine="420" w:firstLineChars="200"/>
        <w:rPr>
          <w:rFonts w:hint="eastAsia" w:ascii="宋体" w:hAnsi="宋体" w:eastAsia="宋体" w:cs="Times New Roman"/>
          <w:color w:val="auto"/>
          <w:kern w:val="0"/>
          <w:highlight w:val="none"/>
        </w:rPr>
      </w:pPr>
      <w:r>
        <w:rPr>
          <w:rFonts w:hint="eastAsia" w:ascii="宋体" w:hAnsi="宋体" w:eastAsia="宋体" w:cs="宋体"/>
          <w:color w:val="auto"/>
          <w:kern w:val="0"/>
          <w:highlight w:val="none"/>
        </w:rPr>
        <w:t>本项目不接受联合体投标。</w:t>
      </w:r>
    </w:p>
    <w:p w14:paraId="57B3D9A3">
      <w:pPr>
        <w:keepNext/>
        <w:keepLines/>
        <w:spacing w:line="360" w:lineRule="auto"/>
        <w:outlineLvl w:val="1"/>
        <w:rPr>
          <w:rFonts w:hint="eastAsia" w:ascii="宋体" w:hAnsi="宋体" w:eastAsia="宋体" w:cs="Times New Roman"/>
          <w:b/>
          <w:bCs/>
          <w:color w:val="auto"/>
          <w:kern w:val="0"/>
          <w:highlight w:val="none"/>
        </w:rPr>
      </w:pPr>
      <w:bookmarkStart w:id="19" w:name="_Toc77504026"/>
      <w:bookmarkStart w:id="20" w:name="_Toc120282392"/>
      <w:bookmarkStart w:id="21" w:name="_Toc164432881"/>
      <w:bookmarkStart w:id="22" w:name="_Toc77658036"/>
      <w:bookmarkStart w:id="23" w:name="_Toc24326"/>
      <w:bookmarkStart w:id="24" w:name="_Toc107396164"/>
      <w:bookmarkStart w:id="25" w:name="_Toc77116637"/>
      <w:r>
        <w:rPr>
          <w:rFonts w:hint="eastAsia" w:ascii="宋体" w:hAnsi="宋体" w:eastAsia="宋体" w:cs="宋体"/>
          <w:b/>
          <w:bCs/>
          <w:color w:val="auto"/>
          <w:kern w:val="0"/>
          <w:highlight w:val="none"/>
        </w:rPr>
        <w:t>二、申请人的资格要求：</w:t>
      </w:r>
      <w:bookmarkEnd w:id="19"/>
      <w:bookmarkEnd w:id="20"/>
      <w:bookmarkEnd w:id="21"/>
      <w:bookmarkEnd w:id="22"/>
      <w:bookmarkEnd w:id="23"/>
      <w:bookmarkEnd w:id="24"/>
      <w:bookmarkEnd w:id="25"/>
    </w:p>
    <w:p w14:paraId="29B12FB0">
      <w:pPr>
        <w:adjustRightInd w:val="0"/>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满足《中华人民共和国政府采购法》第二十二条规定；</w:t>
      </w:r>
    </w:p>
    <w:p w14:paraId="0D7F34E1">
      <w:pPr>
        <w:adjustRightInd w:val="0"/>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rPr>
        <w:t>落实政府采购政策需满足的资格要求：无，本项目非专门面向中小企业采购。</w:t>
      </w:r>
    </w:p>
    <w:p w14:paraId="641C4938">
      <w:pPr>
        <w:adjustRightInd w:val="0"/>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3.</w:t>
      </w:r>
      <w:r>
        <w:rPr>
          <w:rFonts w:hint="eastAsia" w:ascii="宋体" w:hAnsi="宋体" w:eastAsia="宋体" w:cs="宋体"/>
          <w:color w:val="auto"/>
          <w:highlight w:val="none"/>
        </w:rPr>
        <w:t>本项目的特定资格要求：</w:t>
      </w:r>
    </w:p>
    <w:p w14:paraId="2C31CD00">
      <w:pPr>
        <w:adjustRightInd w:val="0"/>
        <w:spacing w:line="360" w:lineRule="auto"/>
        <w:ind w:firstLine="420" w:firstLineChars="200"/>
        <w:rPr>
          <w:rFonts w:hint="eastAsia" w:ascii="宋体" w:hAnsi="宋体" w:eastAsia="宋体" w:cs="宋体"/>
          <w:color w:val="auto"/>
          <w:highlight w:val="none"/>
        </w:rPr>
      </w:pPr>
      <w:bookmarkStart w:id="26" w:name="OLE_LINK12"/>
      <w:r>
        <w:rPr>
          <w:rFonts w:hint="eastAsia" w:ascii="宋体" w:hAnsi="宋体" w:eastAsia="宋体" w:cs="宋体"/>
          <w:color w:val="auto"/>
          <w:highlight w:val="none"/>
        </w:rPr>
        <w:t>3.1具备煤炭行业工程咨询单位甲级资质。</w:t>
      </w:r>
    </w:p>
    <w:p w14:paraId="0D9242CF">
      <w:pPr>
        <w:adjustRightInd w:val="0"/>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3.</w:t>
      </w:r>
      <w:bookmarkStart w:id="27" w:name="_Hlk164846871"/>
      <w:r>
        <w:rPr>
          <w:rFonts w:hint="eastAsia" w:ascii="宋体" w:hAnsi="宋体" w:eastAsia="宋体" w:cs="宋体"/>
          <w:color w:val="auto"/>
          <w:highlight w:val="none"/>
        </w:rPr>
        <w:t>2投标人在递交投标文件截止时间前未被列入“信用中国”网站</w:t>
      </w:r>
      <w:r>
        <w:rPr>
          <w:rFonts w:ascii="宋体" w:hAnsi="宋体" w:eastAsia="宋体" w:cs="宋体"/>
          <w:color w:val="auto"/>
          <w:highlight w:val="none"/>
        </w:rPr>
        <w:t>(www.creditchina.gov.cn)失信被执行人、重大税收违法案件当事人名单，中国政府采购网(www.ccgp.gov.cn)政府采购严重违法失信行为记录名单。</w:t>
      </w:r>
      <w:bookmarkEnd w:id="27"/>
    </w:p>
    <w:p w14:paraId="3F19AF74">
      <w:pPr>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3.3人员要求：拟派项目负责人为本单位在职人员且持有中级及以上职称证书。</w:t>
      </w:r>
    </w:p>
    <w:p w14:paraId="576CCE14">
      <w:pPr>
        <w:adjustRightInd w:val="0"/>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3.</w:t>
      </w:r>
      <w:r>
        <w:rPr>
          <w:rFonts w:hint="eastAsia" w:ascii="宋体" w:hAnsi="宋体" w:eastAsia="宋体" w:cs="宋体"/>
          <w:color w:val="auto"/>
          <w:highlight w:val="none"/>
        </w:rPr>
        <w:t>4单位负责人为同一人或者存在控股、管理关系的不同单位，不得同时参加本采购项目投标。</w:t>
      </w:r>
    </w:p>
    <w:p w14:paraId="042AC669">
      <w:pPr>
        <w:adjustRightInd w:val="0"/>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3.</w:t>
      </w:r>
      <w:r>
        <w:rPr>
          <w:rFonts w:hint="eastAsia" w:ascii="宋体" w:hAnsi="宋体" w:eastAsia="宋体" w:cs="宋体"/>
          <w:color w:val="auto"/>
          <w:highlight w:val="none"/>
        </w:rPr>
        <w:t>5投标人不得存在下列情形之一：</w:t>
      </w:r>
    </w:p>
    <w:p w14:paraId="780A6842">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）被暂停、取消投标或禁止参加采购活动且处于有效期内的；</w:t>
      </w:r>
    </w:p>
    <w:p w14:paraId="424E9C12">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）处于被责令停产停业、暂扣或者吊销执照、暂扣或者吊销许可证、吊销资质证书状态；</w:t>
      </w:r>
    </w:p>
    <w:p w14:paraId="5CC62E30">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）进入清算程序，或被宣告破产，或其他丧失履约能力的情形。</w:t>
      </w:r>
    </w:p>
    <w:bookmarkEnd w:id="26"/>
    <w:p w14:paraId="39E6C480">
      <w:pPr>
        <w:keepNext/>
        <w:keepLines/>
        <w:spacing w:line="360" w:lineRule="auto"/>
        <w:outlineLvl w:val="1"/>
        <w:rPr>
          <w:rFonts w:hint="eastAsia" w:ascii="宋体" w:hAnsi="宋体" w:eastAsia="宋体" w:cs="Times New Roman"/>
          <w:b/>
          <w:bCs/>
          <w:color w:val="auto"/>
          <w:kern w:val="0"/>
          <w:highlight w:val="none"/>
        </w:rPr>
      </w:pPr>
      <w:bookmarkStart w:id="28" w:name="_Toc77658037"/>
      <w:bookmarkStart w:id="29" w:name="_Toc120282393"/>
      <w:bookmarkStart w:id="30" w:name="_Toc164432882"/>
      <w:bookmarkStart w:id="31" w:name="_Toc77504027"/>
      <w:bookmarkStart w:id="32" w:name="_Toc77116638"/>
      <w:bookmarkStart w:id="33" w:name="_Toc11787"/>
      <w:bookmarkStart w:id="34" w:name="_Toc107396165"/>
      <w:r>
        <w:rPr>
          <w:rFonts w:hint="eastAsia" w:ascii="宋体" w:hAnsi="宋体" w:eastAsia="宋体" w:cs="宋体"/>
          <w:b/>
          <w:bCs/>
          <w:color w:val="auto"/>
          <w:kern w:val="0"/>
          <w:highlight w:val="none"/>
        </w:rPr>
        <w:t>三、获取招标文件</w:t>
      </w:r>
      <w:bookmarkEnd w:id="28"/>
      <w:bookmarkEnd w:id="29"/>
      <w:bookmarkEnd w:id="30"/>
      <w:bookmarkEnd w:id="31"/>
      <w:bookmarkEnd w:id="32"/>
      <w:bookmarkEnd w:id="33"/>
      <w:bookmarkEnd w:id="34"/>
    </w:p>
    <w:p w14:paraId="5AAE358C">
      <w:pPr>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时间：</w:t>
      </w:r>
      <w:r>
        <w:rPr>
          <w:rFonts w:ascii="宋体" w:hAnsi="宋体" w:eastAsia="宋体" w:cs="宋体"/>
          <w:color w:val="auto"/>
          <w:highlight w:val="none"/>
        </w:rPr>
        <w:t>202</w:t>
      </w:r>
      <w:r>
        <w:rPr>
          <w:rFonts w:hint="eastAsia" w:ascii="宋体" w:hAnsi="宋体" w:eastAsia="宋体" w:cs="宋体"/>
          <w:color w:val="auto"/>
          <w:highlight w:val="none"/>
        </w:rPr>
        <w:t>5</w:t>
      </w:r>
      <w:r>
        <w:rPr>
          <w:rFonts w:ascii="宋体" w:hAnsi="宋体" w:eastAsia="宋体" w:cs="宋体"/>
          <w:color w:val="auto"/>
          <w:highlight w:val="none"/>
        </w:rPr>
        <w:t>-</w:t>
      </w:r>
      <w:r>
        <w:rPr>
          <w:rFonts w:hint="eastAsia" w:ascii="宋体" w:hAnsi="宋体" w:eastAsia="宋体" w:cs="宋体"/>
          <w:color w:val="auto"/>
          <w:highlight w:val="none"/>
        </w:rPr>
        <w:t>0</w:t>
      </w:r>
      <w:r>
        <w:rPr>
          <w:rFonts w:hint="eastAsia" w:ascii="宋体" w:hAnsi="宋体" w:eastAsia="宋体" w:cs="宋体"/>
          <w:color w:val="auto"/>
          <w:highlight w:val="none"/>
          <w:lang w:val="en-US" w:eastAsia="zh-CN"/>
        </w:rPr>
        <w:t>9</w:t>
      </w:r>
      <w:r>
        <w:rPr>
          <w:rFonts w:ascii="宋体" w:hAnsi="宋体" w:eastAsia="宋体" w:cs="宋体"/>
          <w:color w:val="auto"/>
          <w:highlight w:val="none"/>
        </w:rPr>
        <w:t>-</w:t>
      </w:r>
      <w:r>
        <w:rPr>
          <w:rFonts w:hint="eastAsia" w:ascii="宋体" w:hAnsi="宋体" w:eastAsia="宋体" w:cs="宋体"/>
          <w:color w:val="auto"/>
          <w:highlight w:val="none"/>
          <w:lang w:val="en-US" w:eastAsia="zh-CN"/>
        </w:rPr>
        <w:t>08</w:t>
      </w:r>
      <w:r>
        <w:rPr>
          <w:rFonts w:ascii="宋体" w:hAnsi="宋体" w:eastAsia="宋体" w:cs="宋体"/>
          <w:color w:val="auto"/>
          <w:highlight w:val="none"/>
        </w:rPr>
        <w:t xml:space="preserve"> </w:t>
      </w:r>
      <w:r>
        <w:rPr>
          <w:rFonts w:hint="eastAsia" w:ascii="宋体" w:hAnsi="宋体" w:eastAsia="宋体" w:cs="宋体"/>
          <w:color w:val="auto"/>
          <w:highlight w:val="none"/>
        </w:rPr>
        <w:t>06:00</w:t>
      </w:r>
      <w:r>
        <w:rPr>
          <w:rFonts w:ascii="宋体" w:hAnsi="宋体" w:eastAsia="宋体" w:cs="宋体"/>
          <w:color w:val="auto"/>
          <w:highlight w:val="none"/>
        </w:rPr>
        <w:t>至202</w:t>
      </w:r>
      <w:r>
        <w:rPr>
          <w:rFonts w:hint="eastAsia" w:ascii="宋体" w:hAnsi="宋体" w:eastAsia="宋体" w:cs="宋体"/>
          <w:color w:val="auto"/>
          <w:highlight w:val="none"/>
        </w:rPr>
        <w:t>5</w:t>
      </w:r>
      <w:r>
        <w:rPr>
          <w:rFonts w:ascii="宋体" w:hAnsi="宋体" w:eastAsia="宋体" w:cs="宋体"/>
          <w:color w:val="auto"/>
          <w:highlight w:val="none"/>
        </w:rPr>
        <w:t>-</w:t>
      </w:r>
      <w:r>
        <w:rPr>
          <w:rFonts w:hint="eastAsia" w:ascii="宋体" w:hAnsi="宋体" w:eastAsia="宋体" w:cs="宋体"/>
          <w:color w:val="auto"/>
          <w:highlight w:val="none"/>
        </w:rPr>
        <w:t>0</w:t>
      </w:r>
      <w:r>
        <w:rPr>
          <w:rFonts w:hint="eastAsia" w:ascii="宋体" w:hAnsi="宋体" w:eastAsia="宋体" w:cs="宋体"/>
          <w:color w:val="auto"/>
          <w:highlight w:val="none"/>
          <w:lang w:val="en-US" w:eastAsia="zh-CN"/>
        </w:rPr>
        <w:t>9</w:t>
      </w:r>
      <w:r>
        <w:rPr>
          <w:rFonts w:ascii="宋体" w:hAnsi="宋体" w:eastAsia="宋体" w:cs="宋体"/>
          <w:color w:val="auto"/>
          <w:highlight w:val="none"/>
        </w:rPr>
        <w:t>-</w:t>
      </w:r>
      <w:r>
        <w:rPr>
          <w:rFonts w:hint="eastAsia" w:ascii="宋体" w:hAnsi="宋体" w:eastAsia="宋体" w:cs="宋体"/>
          <w:color w:val="auto"/>
          <w:highlight w:val="none"/>
          <w:lang w:val="en-US" w:eastAsia="zh-CN"/>
        </w:rPr>
        <w:t>16</w:t>
      </w:r>
      <w:r>
        <w:rPr>
          <w:rFonts w:ascii="宋体" w:hAnsi="宋体" w:eastAsia="宋体" w:cs="宋体"/>
          <w:color w:val="auto"/>
          <w:highlight w:val="none"/>
        </w:rPr>
        <w:t xml:space="preserve"> 23:59，</w:t>
      </w:r>
      <w:r>
        <w:rPr>
          <w:rFonts w:hint="eastAsia" w:ascii="宋体" w:hAnsi="宋体" w:eastAsia="宋体" w:cs="宋体"/>
          <w:color w:val="auto"/>
          <w:highlight w:val="none"/>
        </w:rPr>
        <w:t>每天上午06:00至12:00，下午12:00至23:59（北京时间，法定节假日除外）</w:t>
      </w:r>
    </w:p>
    <w:p w14:paraId="458081EB">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地点：政府采购云平台（网址：</w:t>
      </w:r>
      <w:r>
        <w:rPr>
          <w:rFonts w:ascii="宋体" w:hAnsi="宋体" w:eastAsia="宋体" w:cs="宋体"/>
          <w:color w:val="auto"/>
          <w:highlight w:val="none"/>
        </w:rPr>
        <w:t>https://www.zcygov.cn/）</w:t>
      </w:r>
    </w:p>
    <w:p w14:paraId="6E04F2B4">
      <w:pPr>
        <w:wordWrap w:val="0"/>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方式：（1）凡有意参加投标者，须在政采云平台办理数字证书（CA），并在政采云绑定数字证书（CA）后在该网上获取采购文件及其他采购资料，数字证书（CA）详见其办理流程（CA申领链接：http://yzt.ynsmartcert.cn/cms/yztyztzt.html）。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未按招标公告要求获取采购文件的不得参与本项目投标。</w:t>
      </w:r>
    </w:p>
    <w:p w14:paraId="00C1DC36">
      <w:pPr>
        <w:numPr>
          <w:ilvl w:val="0"/>
          <w:numId w:val="0"/>
        </w:numPr>
        <w:adjustRightInd w:val="0"/>
        <w:spacing w:line="360" w:lineRule="auto"/>
        <w:rPr>
          <w:rFonts w:hint="eastAsia" w:ascii="宋体" w:hAnsi="宋体" w:eastAsia="宋体" w:cs="宋体"/>
          <w:b/>
          <w:bCs/>
          <w:color w:val="auto"/>
          <w:kern w:val="0"/>
          <w:highlight w:val="none"/>
        </w:rPr>
      </w:pPr>
      <w:bookmarkStart w:id="35" w:name="_Toc77116640"/>
      <w:bookmarkStart w:id="36" w:name="_Toc23350"/>
      <w:bookmarkStart w:id="37" w:name="_Toc107396167"/>
      <w:bookmarkStart w:id="38" w:name="_Toc120282395"/>
      <w:bookmarkStart w:id="39" w:name="_Toc77504029"/>
      <w:bookmarkStart w:id="40" w:name="_Toc77658039"/>
      <w:r>
        <w:rPr>
          <w:rFonts w:hint="eastAsia" w:ascii="宋体" w:hAnsi="宋体" w:eastAsia="宋体" w:cs="宋体"/>
          <w:b/>
          <w:bCs/>
          <w:color w:val="auto"/>
          <w:kern w:val="0"/>
          <w:highlight w:val="none"/>
          <w:lang w:val="en-US" w:eastAsia="zh-CN"/>
        </w:rPr>
        <w:t>四、</w:t>
      </w:r>
      <w:r>
        <w:rPr>
          <w:rFonts w:hint="eastAsia" w:ascii="宋体" w:hAnsi="宋体" w:eastAsia="宋体" w:cs="宋体"/>
          <w:b/>
          <w:bCs/>
          <w:color w:val="auto"/>
          <w:kern w:val="0"/>
          <w:highlight w:val="none"/>
        </w:rPr>
        <w:t>提交投标文件截止时间、开标时间和地点</w:t>
      </w:r>
    </w:p>
    <w:p w14:paraId="7ACA9E8F">
      <w:pPr>
        <w:numPr>
          <w:ilvl w:val="0"/>
          <w:numId w:val="0"/>
        </w:num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提交投标文件截止时间及开标时间：</w:t>
      </w:r>
      <w:r>
        <w:rPr>
          <w:rFonts w:hint="eastAsia" w:ascii="宋体" w:hAnsi="宋体" w:eastAsia="宋体" w:cs="宋体"/>
          <w:color w:val="auto"/>
          <w:highlight w:val="none"/>
          <w:lang w:eastAsia="zh-CN"/>
        </w:rPr>
        <w:t>2025-09-29</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15</w:t>
      </w:r>
      <w:r>
        <w:rPr>
          <w:rFonts w:ascii="宋体" w:hAnsi="宋体" w:eastAsia="宋体" w:cs="宋体"/>
          <w:color w:val="auto"/>
          <w:highlight w:val="none"/>
        </w:rPr>
        <w:t>:</w:t>
      </w:r>
      <w:r>
        <w:rPr>
          <w:rFonts w:hint="eastAsia" w:ascii="宋体" w:hAnsi="宋体" w:eastAsia="宋体" w:cs="宋体"/>
          <w:color w:val="auto"/>
          <w:highlight w:val="none"/>
        </w:rPr>
        <w:t>00（北京时间）</w:t>
      </w:r>
    </w:p>
    <w:p w14:paraId="4A31D0DB">
      <w:pPr>
        <w:adjustRightInd w:val="0"/>
        <w:spacing w:line="360" w:lineRule="auto"/>
        <w:ind w:firstLine="420" w:firstLineChars="200"/>
        <w:rPr>
          <w:rFonts w:hint="eastAsia" w:ascii="宋体" w:hAnsi="宋体" w:eastAsia="宋体" w:cs="宋体"/>
          <w:color w:val="auto"/>
          <w:highlight w:val="none"/>
        </w:rPr>
      </w:pPr>
      <w:bookmarkStart w:id="41" w:name="_Toc31379"/>
      <w:r>
        <w:rPr>
          <w:rFonts w:hint="eastAsia" w:ascii="宋体" w:hAnsi="宋体" w:eastAsia="宋体" w:cs="宋体"/>
          <w:color w:val="auto"/>
          <w:highlight w:val="none"/>
        </w:rPr>
        <w:t>地点：</w:t>
      </w:r>
      <w:bookmarkEnd w:id="41"/>
      <w:r>
        <w:rPr>
          <w:rFonts w:hint="eastAsia" w:ascii="宋体" w:hAnsi="宋体" w:eastAsia="宋体" w:cs="宋体"/>
          <w:color w:val="auto"/>
          <w:highlight w:val="none"/>
          <w:lang w:eastAsia="zh-CN"/>
        </w:rPr>
        <w:t>云南兴欣招标咨询有限公司</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昭通市昭阳区彩云小区B区3栋1单元802室</w:t>
      </w:r>
      <w:r>
        <w:rPr>
          <w:rFonts w:hint="eastAsia" w:ascii="宋体" w:hAnsi="宋体" w:eastAsia="宋体" w:cs="宋体"/>
          <w:color w:val="auto"/>
          <w:highlight w:val="none"/>
        </w:rPr>
        <w:t>），投标人无需到达开标地点，须在政府采购云平台进行远程解密电子版投标文件。</w:t>
      </w:r>
    </w:p>
    <w:p w14:paraId="7426339A">
      <w:pPr>
        <w:keepNext/>
        <w:keepLines/>
        <w:spacing w:line="360" w:lineRule="auto"/>
        <w:outlineLvl w:val="1"/>
        <w:rPr>
          <w:rFonts w:hint="eastAsia" w:ascii="宋体" w:hAnsi="宋体" w:eastAsia="宋体" w:cs="Times New Roman"/>
          <w:b/>
          <w:bCs/>
          <w:color w:val="auto"/>
          <w:kern w:val="0"/>
          <w:highlight w:val="none"/>
        </w:rPr>
      </w:pPr>
      <w:bookmarkStart w:id="42" w:name="_Toc164432884"/>
      <w:r>
        <w:rPr>
          <w:rFonts w:hint="eastAsia" w:ascii="宋体" w:hAnsi="宋体" w:eastAsia="宋体" w:cs="宋体"/>
          <w:b/>
          <w:bCs/>
          <w:color w:val="auto"/>
          <w:kern w:val="0"/>
          <w:highlight w:val="none"/>
        </w:rPr>
        <w:t>五、公告期限</w:t>
      </w:r>
      <w:bookmarkEnd w:id="35"/>
      <w:bookmarkEnd w:id="36"/>
      <w:bookmarkEnd w:id="37"/>
      <w:bookmarkEnd w:id="38"/>
      <w:bookmarkEnd w:id="39"/>
      <w:bookmarkEnd w:id="40"/>
      <w:bookmarkEnd w:id="42"/>
    </w:p>
    <w:p w14:paraId="7896972C">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自本公告发布之日起</w:t>
      </w:r>
      <w:r>
        <w:rPr>
          <w:rFonts w:ascii="宋体" w:hAnsi="宋体" w:eastAsia="宋体" w:cs="宋体"/>
          <w:color w:val="auto"/>
          <w:highlight w:val="none"/>
        </w:rPr>
        <w:t>5</w:t>
      </w:r>
      <w:r>
        <w:rPr>
          <w:rFonts w:hint="eastAsia" w:ascii="宋体" w:hAnsi="宋体" w:eastAsia="宋体" w:cs="宋体"/>
          <w:color w:val="auto"/>
          <w:highlight w:val="none"/>
        </w:rPr>
        <w:t>个工作日。</w:t>
      </w:r>
    </w:p>
    <w:p w14:paraId="4432797B">
      <w:pPr>
        <w:keepNext/>
        <w:keepLines/>
        <w:spacing w:line="360" w:lineRule="auto"/>
        <w:outlineLvl w:val="1"/>
        <w:rPr>
          <w:rFonts w:hint="eastAsia" w:ascii="宋体" w:hAnsi="宋体" w:eastAsia="宋体" w:cs="Times New Roman"/>
          <w:b/>
          <w:bCs/>
          <w:color w:val="auto"/>
          <w:kern w:val="0"/>
          <w:highlight w:val="none"/>
        </w:rPr>
      </w:pPr>
      <w:bookmarkStart w:id="43" w:name="_Toc164432885"/>
      <w:bookmarkStart w:id="44" w:name="_Toc77658040"/>
      <w:bookmarkStart w:id="45" w:name="_Toc77116641"/>
      <w:bookmarkStart w:id="46" w:name="_Toc77504030"/>
      <w:bookmarkStart w:id="47" w:name="_Toc107396168"/>
      <w:bookmarkStart w:id="48" w:name="_Toc120282396"/>
      <w:bookmarkStart w:id="49" w:name="_Toc8981"/>
      <w:r>
        <w:rPr>
          <w:rFonts w:hint="eastAsia" w:ascii="宋体" w:hAnsi="宋体" w:eastAsia="宋体" w:cs="宋体"/>
          <w:b/>
          <w:bCs/>
          <w:color w:val="auto"/>
          <w:kern w:val="0"/>
          <w:highlight w:val="none"/>
          <w:lang w:val="en-US" w:eastAsia="zh-CN"/>
        </w:rPr>
        <w:t>六</w:t>
      </w:r>
      <w:r>
        <w:rPr>
          <w:rFonts w:hint="eastAsia" w:ascii="宋体" w:hAnsi="宋体" w:eastAsia="宋体" w:cs="宋体"/>
          <w:b/>
          <w:bCs/>
          <w:color w:val="auto"/>
          <w:kern w:val="0"/>
          <w:highlight w:val="none"/>
        </w:rPr>
        <w:t>、其他补充事宜</w:t>
      </w:r>
      <w:bookmarkEnd w:id="43"/>
      <w:bookmarkEnd w:id="44"/>
      <w:bookmarkEnd w:id="45"/>
      <w:bookmarkEnd w:id="46"/>
      <w:bookmarkEnd w:id="47"/>
      <w:bookmarkEnd w:id="48"/>
      <w:bookmarkEnd w:id="49"/>
    </w:p>
    <w:p w14:paraId="5F6B3F52">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开标方式：网上开标</w:t>
      </w:r>
    </w:p>
    <w:p w14:paraId="30690C40">
      <w:pPr>
        <w:adjustRightInd w:val="0"/>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是否需要缴纳投标保证金：否</w:t>
      </w:r>
    </w:p>
    <w:p w14:paraId="4907B676">
      <w:pPr>
        <w:adjustRightInd w:val="0"/>
        <w:snapToGri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其他</w:t>
      </w:r>
    </w:p>
    <w:p w14:paraId="67D8EE09">
      <w:pPr>
        <w:wordWrap w:val="0"/>
        <w:adjustRightInd w:val="0"/>
        <w:snapToGrid w:val="0"/>
        <w:spacing w:line="360" w:lineRule="auto"/>
        <w:ind w:firstLine="420" w:firstLineChars="200"/>
        <w:rPr>
          <w:rFonts w:hint="eastAsia" w:ascii="宋体" w:hAnsi="宋体" w:eastAsia="宋体" w:cs="宋体"/>
          <w:color w:val="auto"/>
          <w:highlight w:val="none"/>
        </w:rPr>
      </w:pPr>
      <w:bookmarkStart w:id="50" w:name="OLE_LINK14"/>
      <w:r>
        <w:rPr>
          <w:rFonts w:hint="eastAsia" w:ascii="宋体" w:hAnsi="宋体" w:eastAsia="宋体" w:cs="宋体"/>
          <w:color w:val="auto"/>
          <w:highlight w:val="none"/>
        </w:rPr>
        <w:t>（1）投标人在政采云平台办理CA如有问题可拨打政采云客户服务热线95763进行咨询，数字证书问题可咨询云南壹证通CA：0871-67276028，云南CA操作问题，请致电云南CA：4006727666；云南CA紧急联系方式：15288315056，如因投标人自身原因造成无法投标或投标失败等由投标人自行承担。</w:t>
      </w:r>
    </w:p>
    <w:p w14:paraId="0830C98E">
      <w:pPr>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本次公告在</w:t>
      </w:r>
      <w:r>
        <w:rPr>
          <w:rFonts w:ascii="宋体" w:hAnsi="宋体" w:eastAsia="宋体" w:cs="宋体"/>
          <w:color w:val="auto"/>
          <w:highlight w:val="none"/>
        </w:rPr>
        <w:t>云南省政府采购网（网址：http://www.yngp.com/）</w:t>
      </w:r>
      <w:r>
        <w:rPr>
          <w:rFonts w:hint="eastAsia" w:ascii="宋体" w:hAnsi="宋体" w:eastAsia="宋体" w:cs="宋体"/>
          <w:color w:val="auto"/>
          <w:highlight w:val="none"/>
        </w:rPr>
        <w:t>发布，我公司对其他网站或媒体转载的公告及公告内容不承担任何责任</w:t>
      </w:r>
      <w:r>
        <w:rPr>
          <w:rFonts w:ascii="宋体" w:hAnsi="宋体" w:eastAsia="宋体" w:cs="宋体"/>
          <w:color w:val="auto"/>
          <w:highlight w:val="none"/>
        </w:rPr>
        <w:t>。</w:t>
      </w:r>
    </w:p>
    <w:bookmarkEnd w:id="50"/>
    <w:p w14:paraId="52B110D8">
      <w:pPr>
        <w:pStyle w:val="3"/>
        <w:spacing w:before="0" w:after="0" w:line="360" w:lineRule="auto"/>
        <w:rPr>
          <w:rFonts w:hint="eastAsia" w:ascii="宋体" w:hAnsi="宋体" w:eastAsia="宋体" w:cs="宋体"/>
          <w:color w:val="auto"/>
          <w:sz w:val="21"/>
          <w:szCs w:val="21"/>
          <w:highlight w:val="none"/>
        </w:rPr>
      </w:pPr>
      <w:bookmarkStart w:id="51" w:name="_Toc77658041"/>
      <w:bookmarkStart w:id="52" w:name="_Toc7764"/>
      <w:bookmarkStart w:id="53" w:name="_Toc107396169"/>
      <w:bookmarkStart w:id="54" w:name="_Toc77504031"/>
      <w:bookmarkStart w:id="55" w:name="_Toc164432886"/>
      <w:bookmarkStart w:id="56" w:name="_Toc77116642"/>
      <w:bookmarkStart w:id="57" w:name="_Toc120282397"/>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、对本次招标提出询问，请按以下方式联系。</w:t>
      </w:r>
      <w:bookmarkEnd w:id="51"/>
      <w:bookmarkEnd w:id="52"/>
      <w:bookmarkEnd w:id="53"/>
      <w:bookmarkEnd w:id="54"/>
      <w:bookmarkEnd w:id="55"/>
      <w:bookmarkEnd w:id="56"/>
      <w:bookmarkEnd w:id="57"/>
    </w:p>
    <w:p w14:paraId="6DE01A83">
      <w:pPr>
        <w:spacing w:line="360" w:lineRule="auto"/>
        <w:ind w:firstLine="420"/>
        <w:rPr>
          <w:rFonts w:hint="eastAsia" w:ascii="宋体" w:hAnsi="宋体" w:eastAsia="宋体" w:cs="Times New Roman"/>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rPr>
        <w:t>采购人信息</w:t>
      </w:r>
    </w:p>
    <w:p w14:paraId="496610F2">
      <w:pPr>
        <w:spacing w:line="360" w:lineRule="auto"/>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威信县能源局</w:t>
      </w:r>
    </w:p>
    <w:p w14:paraId="6BA4E968">
      <w:pPr>
        <w:spacing w:line="360" w:lineRule="auto"/>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highlight w:val="none"/>
          <w:lang w:eastAsia="zh-CN"/>
        </w:rPr>
        <w:t>威信县扎西镇麒麟社区龙泉路188号</w:t>
      </w:r>
    </w:p>
    <w:p w14:paraId="309B1E4A">
      <w:pPr>
        <w:spacing w:line="360" w:lineRule="auto"/>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rPr>
        <w:t>联系方式：</w:t>
      </w:r>
      <w:r>
        <w:rPr>
          <w:rFonts w:hint="eastAsia" w:ascii="宋体" w:hAnsi="宋体" w:eastAsia="宋体" w:cs="宋体"/>
          <w:color w:val="auto"/>
          <w:highlight w:val="none"/>
          <w:lang w:eastAsia="zh-CN"/>
        </w:rPr>
        <w:t>0870-3190019</w:t>
      </w:r>
    </w:p>
    <w:p w14:paraId="49E5B8C0">
      <w:pPr>
        <w:pStyle w:val="16"/>
        <w:ind w:left="63" w:right="63"/>
        <w:rPr>
          <w:color w:val="auto"/>
          <w:highlight w:val="none"/>
        </w:rPr>
      </w:pPr>
    </w:p>
    <w:p w14:paraId="0CED7C9D">
      <w:pPr>
        <w:spacing w:line="360" w:lineRule="auto"/>
        <w:ind w:firstLine="420"/>
        <w:rPr>
          <w:rFonts w:hint="eastAsia" w:ascii="宋体" w:hAnsi="宋体" w:eastAsia="宋体" w:cs="Times New Roman"/>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rPr>
        <w:t>采购代理机构信息</w:t>
      </w:r>
    </w:p>
    <w:p w14:paraId="0DD244DE">
      <w:pPr>
        <w:spacing w:line="360" w:lineRule="auto"/>
        <w:ind w:firstLine="420"/>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云南兴欣招标咨询有限公司</w:t>
      </w:r>
    </w:p>
    <w:p w14:paraId="56A8A41B">
      <w:pPr>
        <w:spacing w:line="360" w:lineRule="auto"/>
        <w:ind w:firstLine="420"/>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地</w:t>
      </w:r>
      <w:r>
        <w:rPr>
          <w:rFonts w:ascii="宋体" w:hAnsi="宋体" w:eastAsia="宋体" w:cs="宋体"/>
          <w:color w:val="auto"/>
          <w:highlight w:val="none"/>
        </w:rPr>
        <w:t xml:space="preserve"> </w:t>
      </w:r>
      <w:r>
        <w:rPr>
          <w:rFonts w:hint="eastAsia" w:ascii="宋体" w:hAnsi="宋体" w:eastAsia="宋体" w:cs="宋体"/>
          <w:color w:val="auto"/>
          <w:highlight w:val="none"/>
        </w:rPr>
        <w:t>址：</w:t>
      </w:r>
      <w:r>
        <w:rPr>
          <w:rFonts w:hint="eastAsia" w:ascii="宋体" w:hAnsi="宋体" w:eastAsia="宋体" w:cs="宋体"/>
          <w:color w:val="auto"/>
          <w:highlight w:val="none"/>
          <w:lang w:eastAsia="zh-CN"/>
        </w:rPr>
        <w:t>昭通市昭阳区彩云小区B区3栋1单元802室</w:t>
      </w:r>
    </w:p>
    <w:p w14:paraId="1EAC8723">
      <w:pPr>
        <w:spacing w:line="360" w:lineRule="auto"/>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rPr>
        <w:t>联系方式：</w:t>
      </w:r>
      <w:r>
        <w:rPr>
          <w:rFonts w:hint="eastAsia" w:ascii="宋体" w:hAnsi="宋体" w:eastAsia="宋体"/>
          <w:color w:val="auto"/>
          <w:highlight w:val="none"/>
          <w:lang w:eastAsia="zh-CN"/>
        </w:rPr>
        <w:t>19187659198</w:t>
      </w:r>
    </w:p>
    <w:p w14:paraId="5BC90FB2">
      <w:pPr>
        <w:spacing w:line="360" w:lineRule="auto"/>
        <w:ind w:firstLine="420"/>
        <w:rPr>
          <w:rFonts w:hint="eastAsia" w:ascii="宋体" w:hAnsi="宋体" w:eastAsia="宋体" w:cs="宋体"/>
          <w:color w:val="auto"/>
          <w:highlight w:val="none"/>
        </w:rPr>
      </w:pPr>
    </w:p>
    <w:p w14:paraId="4B6C1287">
      <w:pPr>
        <w:spacing w:line="360" w:lineRule="auto"/>
        <w:ind w:firstLine="420"/>
        <w:rPr>
          <w:rFonts w:hint="eastAsia" w:ascii="宋体" w:hAnsi="宋体" w:eastAsia="宋体" w:cs="Times New Roman"/>
          <w:color w:val="auto"/>
          <w:highlight w:val="none"/>
        </w:rPr>
      </w:pPr>
      <w:r>
        <w:rPr>
          <w:rFonts w:ascii="宋体" w:hAnsi="宋体" w:eastAsia="宋体" w:cs="宋体"/>
          <w:color w:val="auto"/>
          <w:highlight w:val="none"/>
        </w:rPr>
        <w:t>3.</w:t>
      </w:r>
      <w:r>
        <w:rPr>
          <w:rFonts w:hint="eastAsia" w:ascii="宋体" w:hAnsi="宋体" w:eastAsia="宋体" w:cs="宋体"/>
          <w:color w:val="auto"/>
          <w:highlight w:val="none"/>
        </w:rPr>
        <w:t>项目联系方式</w:t>
      </w:r>
    </w:p>
    <w:p w14:paraId="0C0FB058">
      <w:pPr>
        <w:spacing w:line="360" w:lineRule="auto"/>
        <w:ind w:firstLine="420"/>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项目联系人：</w:t>
      </w:r>
      <w:r>
        <w:rPr>
          <w:rFonts w:hint="eastAsia" w:ascii="宋体" w:hAnsi="宋体" w:eastAsia="宋体"/>
          <w:color w:val="auto"/>
          <w:highlight w:val="none"/>
          <w:lang w:eastAsia="zh-CN"/>
        </w:rPr>
        <w:t>王龙</w:t>
      </w:r>
    </w:p>
    <w:p w14:paraId="50ECD7A4">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电</w:t>
      </w:r>
      <w:r>
        <w:rPr>
          <w:rFonts w:ascii="宋体" w:hAnsi="宋体" w:eastAsia="宋体" w:cs="宋体"/>
          <w:color w:val="auto"/>
          <w:highlight w:val="none"/>
        </w:rPr>
        <w:t xml:space="preserve"> </w:t>
      </w:r>
      <w:r>
        <w:rPr>
          <w:rFonts w:hint="eastAsia" w:ascii="宋体" w:hAnsi="宋体" w:eastAsia="宋体" w:cs="宋体"/>
          <w:color w:val="auto"/>
          <w:highlight w:val="none"/>
        </w:rPr>
        <w:t>话：</w:t>
      </w:r>
      <w:r>
        <w:rPr>
          <w:rFonts w:hint="eastAsia" w:ascii="宋体" w:hAnsi="宋体" w:eastAsia="宋体"/>
          <w:color w:val="auto"/>
          <w:highlight w:val="none"/>
          <w:lang w:eastAsia="zh-CN"/>
        </w:rPr>
        <w:t>19187659198</w:t>
      </w:r>
    </w:p>
    <w:bookmarkEnd w:id="4"/>
    <w:p w14:paraId="291986D8">
      <w:pPr>
        <w:pStyle w:val="2"/>
        <w:spacing w:before="0" w:after="0" w:line="360" w:lineRule="auto"/>
        <w:jc w:val="center"/>
        <w:rPr>
          <w:rFonts w:hint="eastAsia" w:ascii="宋体" w:hAnsi="宋体" w:cs="宋体"/>
          <w:color w:val="auto"/>
          <w:sz w:val="36"/>
          <w:szCs w:val="36"/>
          <w:highlight w:val="none"/>
        </w:rPr>
      </w:pPr>
      <w:r>
        <w:rPr>
          <w:rFonts w:ascii="宋体" w:hAnsi="宋体" w:cs="宋体"/>
          <w:color w:val="auto"/>
          <w:highlight w:val="none"/>
        </w:rPr>
        <w:br w:type="page"/>
      </w:r>
      <w:bookmarkEnd w:id="5"/>
      <w:bookmarkStart w:id="58" w:name="_Toc164432887"/>
      <w:r>
        <w:rPr>
          <w:rFonts w:hint="eastAsia" w:ascii="宋体" w:hAnsi="宋体" w:cs="宋体"/>
          <w:color w:val="auto"/>
          <w:sz w:val="36"/>
          <w:szCs w:val="36"/>
          <w:highlight w:val="none"/>
        </w:rPr>
        <w:t>第二章</w:t>
      </w:r>
      <w:r>
        <w:rPr>
          <w:rFonts w:ascii="宋体" w:hAnsi="宋体" w:cs="宋体"/>
          <w:color w:val="auto"/>
          <w:sz w:val="36"/>
          <w:szCs w:val="36"/>
          <w:highlight w:val="none"/>
        </w:rPr>
        <w:t xml:space="preserve"> </w:t>
      </w:r>
      <w:r>
        <w:rPr>
          <w:rFonts w:hint="eastAsia" w:ascii="宋体" w:hAnsi="宋体" w:cs="宋体"/>
          <w:color w:val="auto"/>
          <w:sz w:val="36"/>
          <w:szCs w:val="36"/>
          <w:highlight w:val="none"/>
        </w:rPr>
        <w:t>投标人须知</w:t>
      </w:r>
      <w:bookmarkEnd w:id="58"/>
    </w:p>
    <w:p w14:paraId="5356E542">
      <w:pPr>
        <w:pStyle w:val="3"/>
        <w:spacing w:before="0" w:after="0" w:line="360" w:lineRule="auto"/>
        <w:jc w:val="center"/>
        <w:rPr>
          <w:rFonts w:hint="eastAsia" w:ascii="宋体" w:hAnsi="宋体" w:eastAsia="宋体" w:cs="Times New Roman"/>
          <w:color w:val="auto"/>
          <w:sz w:val="28"/>
          <w:szCs w:val="28"/>
          <w:highlight w:val="none"/>
        </w:rPr>
      </w:pPr>
      <w:bookmarkStart w:id="59" w:name="_Toc70424824"/>
      <w:bookmarkStart w:id="60" w:name="_Toc77658043"/>
      <w:bookmarkStart w:id="61" w:name="_Toc120282399"/>
      <w:bookmarkStart w:id="62" w:name="_Toc77504033"/>
      <w:bookmarkStart w:id="63" w:name="_Toc164432888"/>
      <w:bookmarkStart w:id="64" w:name="_Toc107396171"/>
      <w:bookmarkStart w:id="65" w:name="_Toc8512"/>
      <w:bookmarkStart w:id="66" w:name="_Toc77116644"/>
      <w:r>
        <w:rPr>
          <w:rFonts w:hint="eastAsia" w:ascii="宋体" w:hAnsi="宋体" w:eastAsia="宋体" w:cs="宋体"/>
          <w:color w:val="auto"/>
          <w:sz w:val="28"/>
          <w:szCs w:val="28"/>
          <w:highlight w:val="none"/>
        </w:rPr>
        <w:t>投标人须知前附表</w:t>
      </w:r>
      <w:bookmarkEnd w:id="59"/>
      <w:bookmarkEnd w:id="60"/>
      <w:bookmarkEnd w:id="61"/>
      <w:bookmarkEnd w:id="62"/>
      <w:bookmarkEnd w:id="63"/>
      <w:bookmarkEnd w:id="64"/>
      <w:bookmarkEnd w:id="65"/>
      <w:bookmarkEnd w:id="66"/>
    </w:p>
    <w:tbl>
      <w:tblPr>
        <w:tblStyle w:val="39"/>
        <w:tblW w:w="9355" w:type="dxa"/>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693"/>
        <w:gridCol w:w="5670"/>
      </w:tblGrid>
      <w:tr w14:paraId="1D84570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992" w:type="dxa"/>
            <w:tcBorders>
              <w:top w:val="thinThickSmallGap" w:color="auto" w:sz="12" w:space="0"/>
            </w:tcBorders>
            <w:vAlign w:val="center"/>
          </w:tcPr>
          <w:p w14:paraId="47A5F82E">
            <w:pPr>
              <w:jc w:val="center"/>
              <w:rPr>
                <w:rFonts w:hint="eastAsia" w:ascii="宋体" w:hAnsi="宋体" w:eastAsia="宋体" w:cs="Times New Roman"/>
                <w:b/>
                <w:bCs/>
                <w:color w:val="auto"/>
                <w:highlight w:val="none"/>
              </w:rPr>
            </w:pPr>
            <w:r>
              <w:rPr>
                <w:rFonts w:hint="eastAsia" w:ascii="宋体" w:hAnsi="宋体" w:eastAsia="宋体" w:cs="宋体"/>
                <w:b/>
                <w:bCs/>
                <w:color w:val="auto"/>
                <w:highlight w:val="none"/>
              </w:rPr>
              <w:t>条款号</w:t>
            </w:r>
          </w:p>
        </w:tc>
        <w:tc>
          <w:tcPr>
            <w:tcW w:w="2693" w:type="dxa"/>
            <w:tcBorders>
              <w:top w:val="thinThickSmallGap" w:color="auto" w:sz="12" w:space="0"/>
            </w:tcBorders>
            <w:vAlign w:val="center"/>
          </w:tcPr>
          <w:p w14:paraId="452EE96F">
            <w:pPr>
              <w:jc w:val="center"/>
              <w:rPr>
                <w:rFonts w:hint="eastAsia" w:ascii="宋体" w:hAnsi="宋体" w:eastAsia="宋体" w:cs="Times New Roman"/>
                <w:b/>
                <w:bCs/>
                <w:color w:val="auto"/>
                <w:highlight w:val="none"/>
              </w:rPr>
            </w:pPr>
            <w:r>
              <w:rPr>
                <w:rFonts w:hint="eastAsia" w:ascii="宋体" w:hAnsi="宋体" w:eastAsia="宋体" w:cs="宋体"/>
                <w:b/>
                <w:bCs/>
                <w:color w:val="auto"/>
                <w:highlight w:val="none"/>
              </w:rPr>
              <w:t>条款内容</w:t>
            </w:r>
          </w:p>
        </w:tc>
        <w:tc>
          <w:tcPr>
            <w:tcW w:w="5670" w:type="dxa"/>
            <w:tcBorders>
              <w:top w:val="thinThickSmallGap" w:color="auto" w:sz="12" w:space="0"/>
            </w:tcBorders>
            <w:vAlign w:val="center"/>
          </w:tcPr>
          <w:p w14:paraId="33BE104E">
            <w:pPr>
              <w:jc w:val="center"/>
              <w:rPr>
                <w:rFonts w:hint="eastAsia" w:ascii="宋体" w:hAnsi="宋体" w:eastAsia="宋体" w:cs="Times New Roman"/>
                <w:b/>
                <w:bCs/>
                <w:color w:val="auto"/>
                <w:highlight w:val="none"/>
              </w:rPr>
            </w:pPr>
            <w:r>
              <w:rPr>
                <w:rFonts w:hint="eastAsia" w:ascii="宋体" w:hAnsi="宋体" w:eastAsia="宋体" w:cs="宋体"/>
                <w:b/>
                <w:bCs/>
                <w:color w:val="auto"/>
                <w:highlight w:val="none"/>
              </w:rPr>
              <w:t>编列内容</w:t>
            </w:r>
          </w:p>
        </w:tc>
      </w:tr>
      <w:tr w14:paraId="1F30CE9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90B8773">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1.1.2</w:t>
            </w:r>
          </w:p>
        </w:tc>
        <w:tc>
          <w:tcPr>
            <w:tcW w:w="2693" w:type="dxa"/>
            <w:vAlign w:val="center"/>
          </w:tcPr>
          <w:p w14:paraId="4A5833CC">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采购人</w:t>
            </w:r>
          </w:p>
        </w:tc>
        <w:tc>
          <w:tcPr>
            <w:tcW w:w="5670" w:type="dxa"/>
            <w:vAlign w:val="center"/>
          </w:tcPr>
          <w:p w14:paraId="34C7FE0A">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名  称：</w:t>
            </w:r>
            <w:r>
              <w:rPr>
                <w:rFonts w:hint="eastAsia" w:ascii="宋体" w:hAnsi="宋体" w:eastAsia="宋体" w:cs="宋体"/>
                <w:color w:val="auto"/>
                <w:highlight w:val="none"/>
                <w:lang w:eastAsia="zh-CN"/>
              </w:rPr>
              <w:t>威信县能源局</w:t>
            </w:r>
          </w:p>
          <w:p w14:paraId="776992CE">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地  址：</w:t>
            </w:r>
            <w:r>
              <w:rPr>
                <w:rFonts w:hint="eastAsia" w:ascii="宋体" w:hAnsi="宋体" w:eastAsia="宋体" w:cs="宋体"/>
                <w:color w:val="auto"/>
                <w:highlight w:val="none"/>
                <w:lang w:eastAsia="zh-CN"/>
              </w:rPr>
              <w:t>威信县扎西镇麒麟社区龙泉路188号</w:t>
            </w:r>
          </w:p>
          <w:p w14:paraId="2831EC7D">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吴工</w:t>
            </w:r>
          </w:p>
          <w:p w14:paraId="1E4A306F">
            <w:pPr>
              <w:spacing w:before="120" w:beforeLines="50"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电  话：</w:t>
            </w:r>
            <w:r>
              <w:rPr>
                <w:rFonts w:hint="eastAsia" w:ascii="宋体" w:hAnsi="宋体" w:eastAsia="宋体" w:cs="宋体"/>
                <w:color w:val="auto"/>
                <w:highlight w:val="none"/>
                <w:lang w:eastAsia="zh-CN"/>
              </w:rPr>
              <w:t>0870-3190019</w:t>
            </w:r>
          </w:p>
        </w:tc>
      </w:tr>
      <w:tr w14:paraId="7FA4B23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E716C04">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1.1.3</w:t>
            </w:r>
          </w:p>
        </w:tc>
        <w:tc>
          <w:tcPr>
            <w:tcW w:w="2693" w:type="dxa"/>
            <w:vAlign w:val="center"/>
          </w:tcPr>
          <w:p w14:paraId="5049990A">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采购代理机构</w:t>
            </w:r>
          </w:p>
        </w:tc>
        <w:tc>
          <w:tcPr>
            <w:tcW w:w="5670" w:type="dxa"/>
            <w:vAlign w:val="center"/>
          </w:tcPr>
          <w:p w14:paraId="3280E854">
            <w:pPr>
              <w:spacing w:before="120" w:beforeLines="50" w:line="360" w:lineRule="auto"/>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名</w:t>
            </w:r>
            <w:r>
              <w:rPr>
                <w:rFonts w:ascii="宋体" w:hAnsi="宋体" w:eastAsia="宋体" w:cs="宋体"/>
                <w:color w:val="auto"/>
                <w:highlight w:val="none"/>
              </w:rPr>
              <w:t xml:space="preserve">  </w:t>
            </w:r>
            <w:r>
              <w:rPr>
                <w:rFonts w:hint="eastAsia" w:ascii="宋体" w:hAnsi="宋体" w:eastAsia="宋体" w:cs="宋体"/>
                <w:color w:val="auto"/>
                <w:highlight w:val="none"/>
              </w:rPr>
              <w:t>称：</w:t>
            </w:r>
            <w:r>
              <w:rPr>
                <w:rFonts w:hint="eastAsia" w:ascii="宋体" w:hAnsi="宋体" w:eastAsia="宋体" w:cs="宋体"/>
                <w:color w:val="auto"/>
                <w:highlight w:val="none"/>
                <w:lang w:eastAsia="zh-CN"/>
              </w:rPr>
              <w:t>云南兴欣招标咨询有限公司</w:t>
            </w:r>
          </w:p>
          <w:p w14:paraId="165DB43D">
            <w:pPr>
              <w:spacing w:before="120" w:beforeLines="50" w:line="360" w:lineRule="auto"/>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地</w:t>
            </w:r>
            <w:r>
              <w:rPr>
                <w:rFonts w:ascii="宋体" w:hAnsi="宋体" w:eastAsia="宋体" w:cs="宋体"/>
                <w:color w:val="auto"/>
                <w:highlight w:val="none"/>
              </w:rPr>
              <w:t xml:space="preserve">  </w:t>
            </w:r>
            <w:r>
              <w:rPr>
                <w:rFonts w:hint="eastAsia" w:ascii="宋体" w:hAnsi="宋体" w:eastAsia="宋体" w:cs="宋体"/>
                <w:color w:val="auto"/>
                <w:highlight w:val="none"/>
              </w:rPr>
              <w:t>址：</w:t>
            </w:r>
            <w:bookmarkStart w:id="67" w:name="OLE_LINK15"/>
            <w:r>
              <w:rPr>
                <w:rFonts w:hint="eastAsia" w:ascii="宋体" w:hAnsi="宋体" w:eastAsia="宋体"/>
                <w:color w:val="auto"/>
                <w:highlight w:val="none"/>
                <w:lang w:eastAsia="zh-CN"/>
              </w:rPr>
              <w:t>昭通市昭阳区彩云小区B区3栋1单元802室</w:t>
            </w:r>
          </w:p>
          <w:bookmarkEnd w:id="67"/>
          <w:p w14:paraId="23D833D8">
            <w:pPr>
              <w:spacing w:before="120" w:beforeLines="50" w:line="360" w:lineRule="auto"/>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王龙</w:t>
            </w:r>
          </w:p>
          <w:p w14:paraId="3849BB56">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电</w:t>
            </w:r>
            <w:r>
              <w:rPr>
                <w:rFonts w:ascii="宋体" w:hAnsi="宋体" w:eastAsia="宋体" w:cs="宋体"/>
                <w:color w:val="auto"/>
                <w:highlight w:val="none"/>
              </w:rPr>
              <w:t xml:space="preserve">  </w:t>
            </w:r>
            <w:r>
              <w:rPr>
                <w:rFonts w:hint="eastAsia" w:ascii="宋体" w:hAnsi="宋体" w:eastAsia="宋体" w:cs="宋体"/>
                <w:color w:val="auto"/>
                <w:highlight w:val="none"/>
              </w:rPr>
              <w:t>话：</w:t>
            </w:r>
            <w:r>
              <w:rPr>
                <w:rFonts w:hint="eastAsia" w:ascii="宋体" w:hAnsi="宋体" w:eastAsia="宋体" w:cs="宋体"/>
                <w:color w:val="auto"/>
                <w:highlight w:val="none"/>
                <w:lang w:eastAsia="zh-CN"/>
              </w:rPr>
              <w:t>19187659198</w:t>
            </w:r>
          </w:p>
        </w:tc>
      </w:tr>
      <w:tr w14:paraId="3BA91AF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C5628B2">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1.1.4</w:t>
            </w:r>
          </w:p>
        </w:tc>
        <w:tc>
          <w:tcPr>
            <w:tcW w:w="2693" w:type="dxa"/>
            <w:vAlign w:val="center"/>
          </w:tcPr>
          <w:p w14:paraId="40641566">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招标项目名称</w:t>
            </w:r>
          </w:p>
        </w:tc>
        <w:tc>
          <w:tcPr>
            <w:tcW w:w="5670" w:type="dxa"/>
            <w:vAlign w:val="center"/>
          </w:tcPr>
          <w:p w14:paraId="5A95B0B6">
            <w:pPr>
              <w:spacing w:before="120" w:beforeLines="50" w:line="360" w:lineRule="auto"/>
              <w:rPr>
                <w:rFonts w:hint="eastAsia" w:ascii="宋体" w:hAnsi="宋体" w:eastAsia="宋体" w:cs="Times New Roman"/>
                <w:color w:val="auto"/>
                <w:highlight w:val="none"/>
                <w:lang w:eastAsia="zh-CN"/>
              </w:rPr>
            </w:pPr>
            <w:r>
              <w:rPr>
                <w:rFonts w:hint="eastAsia" w:ascii="宋体" w:hAnsi="宋体" w:eastAsia="宋体" w:cs="宋体"/>
                <w:color w:val="auto"/>
                <w:highlight w:val="none"/>
                <w:lang w:eastAsia="zh-CN"/>
              </w:rPr>
              <w:t>云南省新庄矿区地质勘查成果总结报告、云南省新庄矿区总体规划修编、云南省新庄矿区总体规划环境影响评价编审项目（二次）</w:t>
            </w:r>
          </w:p>
        </w:tc>
      </w:tr>
      <w:tr w14:paraId="1A4193F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17C88AA">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1.1.5</w:t>
            </w:r>
          </w:p>
        </w:tc>
        <w:tc>
          <w:tcPr>
            <w:tcW w:w="2693" w:type="dxa"/>
            <w:vAlign w:val="center"/>
          </w:tcPr>
          <w:p w14:paraId="0193C32B">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服务地点</w:t>
            </w:r>
          </w:p>
        </w:tc>
        <w:tc>
          <w:tcPr>
            <w:tcW w:w="5670" w:type="dxa"/>
            <w:vAlign w:val="center"/>
          </w:tcPr>
          <w:p w14:paraId="1CB30132">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lang w:eastAsia="zh-CN"/>
              </w:rPr>
              <w:t>新庄矿区</w:t>
            </w:r>
            <w:r>
              <w:rPr>
                <w:rFonts w:hint="eastAsia" w:ascii="宋体" w:hAnsi="宋体" w:eastAsia="宋体" w:cs="宋体"/>
                <w:color w:val="auto"/>
                <w:highlight w:val="none"/>
              </w:rPr>
              <w:t>。</w:t>
            </w:r>
          </w:p>
        </w:tc>
      </w:tr>
      <w:tr w14:paraId="079A20F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0D61D91">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1.2.1</w:t>
            </w:r>
          </w:p>
        </w:tc>
        <w:tc>
          <w:tcPr>
            <w:tcW w:w="2693" w:type="dxa"/>
            <w:vAlign w:val="center"/>
          </w:tcPr>
          <w:p w14:paraId="11393A07">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资金来源</w:t>
            </w:r>
          </w:p>
        </w:tc>
        <w:tc>
          <w:tcPr>
            <w:tcW w:w="5670" w:type="dxa"/>
            <w:vAlign w:val="center"/>
          </w:tcPr>
          <w:p w14:paraId="5B73E161">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财政资金</w:t>
            </w:r>
          </w:p>
        </w:tc>
      </w:tr>
      <w:tr w14:paraId="141AA375">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EEFEF63">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1.2.2</w:t>
            </w:r>
          </w:p>
        </w:tc>
        <w:tc>
          <w:tcPr>
            <w:tcW w:w="2693" w:type="dxa"/>
            <w:vAlign w:val="center"/>
          </w:tcPr>
          <w:p w14:paraId="15BF7745">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资金落实情况</w:t>
            </w:r>
          </w:p>
        </w:tc>
        <w:tc>
          <w:tcPr>
            <w:tcW w:w="5670" w:type="dxa"/>
            <w:vAlign w:val="center"/>
          </w:tcPr>
          <w:p w14:paraId="6D4F3E6C">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已落实</w:t>
            </w:r>
          </w:p>
        </w:tc>
      </w:tr>
      <w:tr w14:paraId="20A36DE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CFD7A79">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1.3.1</w:t>
            </w:r>
          </w:p>
        </w:tc>
        <w:tc>
          <w:tcPr>
            <w:tcW w:w="2693" w:type="dxa"/>
            <w:vAlign w:val="center"/>
          </w:tcPr>
          <w:p w14:paraId="03504BED">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采购范围</w:t>
            </w:r>
          </w:p>
        </w:tc>
        <w:tc>
          <w:tcPr>
            <w:tcW w:w="5670" w:type="dxa"/>
            <w:vAlign w:val="center"/>
          </w:tcPr>
          <w:p w14:paraId="04E6ADBA">
            <w:pPr>
              <w:adjustRightInd w:val="0"/>
              <w:spacing w:line="360" w:lineRule="auto"/>
              <w:ind w:firstLine="420" w:firstLineChars="200"/>
              <w:rPr>
                <w:rFonts w:hint="eastAsia" w:ascii="宋体" w:hAnsi="宋体" w:eastAsia="宋体" w:cs="宋体"/>
                <w:color w:val="auto"/>
                <w:highlight w:val="none"/>
              </w:rPr>
            </w:pPr>
            <w:r>
              <w:rPr>
                <w:rFonts w:hint="eastAsia" w:ascii="宋体" w:hAnsi="宋体" w:eastAsia="宋体" w:cs="Times New Roman"/>
                <w:color w:val="auto"/>
                <w:highlight w:val="none"/>
              </w:rPr>
              <w:t>在新庄矿区内煤矿集中区域开展地质勘查成果总结、矿区总体规划修编、矿区总体规划环境影响评价工作。通过收集资料、调查等工作手段，了解矿区所涉及的矿业权设置等，收集、核实、汇编矿区地质勘查及开发资料与成果，编制云南省新庄矿区地质勘查成果总结报告；从环境保护的角度论证规划方案的合理性和可行性，促进矿区开发与生态环境的协调发展，提出环境可行的矿区开发方案，编制云南省新庄矿区总体规划环境影响评价报告；依据矿区地质勘查成果总结报告，结合矿区的资源条件和外部建设条件，科学规划煤炭资源勘查开发秩序，合理开发利用煤炭资源和划分井田，开展云南省新庄矿区总体规划修编。具体内容详见采购文件第五章“采购需求”。</w:t>
            </w:r>
          </w:p>
        </w:tc>
      </w:tr>
      <w:tr w14:paraId="536D60B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8BCB6CD">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1.3.2</w:t>
            </w:r>
          </w:p>
        </w:tc>
        <w:tc>
          <w:tcPr>
            <w:tcW w:w="2693" w:type="dxa"/>
            <w:vAlign w:val="center"/>
          </w:tcPr>
          <w:p w14:paraId="3ABD9590">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合同履行期限</w:t>
            </w:r>
          </w:p>
        </w:tc>
        <w:tc>
          <w:tcPr>
            <w:tcW w:w="5670" w:type="dxa"/>
            <w:vAlign w:val="center"/>
          </w:tcPr>
          <w:p w14:paraId="161F8CE8">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kern w:val="0"/>
                <w:highlight w:val="none"/>
                <w:lang w:eastAsia="zh-CN"/>
              </w:rPr>
              <w:t>自开工之日起3个月内完成云南省新庄矿区地质勘查成果总结报告编制；收到经评审的矿区总体地质报告、规划区涉及各类保护区及相关规划审查意见表后，3个月内提交云南省新庄矿区总体规划报告送审，规划方案经征求能源局意见后4个月内提交云南省新庄矿区环境影响评价报告书送审</w:t>
            </w:r>
            <w:r>
              <w:rPr>
                <w:rFonts w:hint="eastAsia" w:ascii="宋体" w:hAnsi="宋体" w:eastAsia="宋体" w:cs="宋体"/>
                <w:color w:val="auto"/>
                <w:kern w:val="0"/>
                <w:highlight w:val="none"/>
              </w:rPr>
              <w:t>。</w:t>
            </w:r>
          </w:p>
        </w:tc>
      </w:tr>
      <w:tr w14:paraId="3D3A48E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62454C7">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1.3.3</w:t>
            </w:r>
          </w:p>
        </w:tc>
        <w:tc>
          <w:tcPr>
            <w:tcW w:w="2693" w:type="dxa"/>
            <w:vAlign w:val="center"/>
          </w:tcPr>
          <w:p w14:paraId="5AD51947">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服务标准</w:t>
            </w:r>
          </w:p>
        </w:tc>
        <w:tc>
          <w:tcPr>
            <w:tcW w:w="5670" w:type="dxa"/>
            <w:vAlign w:val="center"/>
          </w:tcPr>
          <w:p w14:paraId="3C37A178">
            <w:pPr>
              <w:spacing w:before="120" w:beforeLines="5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符合国家、云南省现行相关标准、规范和强制性条文等要求，并达到一次性验收合格。</w:t>
            </w:r>
          </w:p>
        </w:tc>
      </w:tr>
      <w:tr w14:paraId="7211137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00C2E6D">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1.4.1</w:t>
            </w:r>
          </w:p>
        </w:tc>
        <w:tc>
          <w:tcPr>
            <w:tcW w:w="2693" w:type="dxa"/>
            <w:vAlign w:val="center"/>
          </w:tcPr>
          <w:p w14:paraId="6E5DB0E9">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投标人资格要求</w:t>
            </w:r>
          </w:p>
        </w:tc>
        <w:tc>
          <w:tcPr>
            <w:tcW w:w="5670" w:type="dxa"/>
            <w:vAlign w:val="center"/>
          </w:tcPr>
          <w:p w14:paraId="1B58C605">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（一）满足《中华人民共和国政府采购法》第二十二条规定：</w:t>
            </w:r>
          </w:p>
          <w:p w14:paraId="37B17A2B">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1.1具有独立承担民事责任的能力；</w:t>
            </w:r>
          </w:p>
          <w:p w14:paraId="2EA8A0FC">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1.2具有良好的商业信誉和健全的财务会计制度；</w:t>
            </w:r>
          </w:p>
          <w:p w14:paraId="1634A377">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1.3具有履行合同所必需的设备和专业技术能力；</w:t>
            </w:r>
          </w:p>
          <w:p w14:paraId="7C6FBD61">
            <w:pPr>
              <w:adjustRightInd w:val="0"/>
              <w:spacing w:line="360" w:lineRule="auto"/>
              <w:jc w:val="left"/>
              <w:rPr>
                <w:rFonts w:hint="eastAsia" w:ascii="宋体" w:hAnsi="宋体" w:cs="宋体"/>
                <w:color w:val="auto"/>
                <w:highlight w:val="none"/>
              </w:rPr>
            </w:pPr>
            <w:r>
              <w:rPr>
                <w:rFonts w:hint="eastAsia" w:ascii="宋体" w:hAnsi="宋体" w:eastAsia="宋体" w:cs="宋体"/>
                <w:color w:val="auto"/>
                <w:highlight w:val="none"/>
              </w:rPr>
              <w:t>1.4有依法缴纳税收和社会保障资金的良好记录；</w:t>
            </w:r>
          </w:p>
          <w:p w14:paraId="65C1386F">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1.5参加政府采购活动前三年内，在经营活动中没有重大违法记录；</w:t>
            </w:r>
          </w:p>
          <w:p w14:paraId="409EE074">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p w14:paraId="2A158BB9">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（二）</w:t>
            </w:r>
            <w:r>
              <w:rPr>
                <w:rFonts w:ascii="宋体" w:hAnsi="宋体" w:eastAsia="宋体" w:cs="宋体"/>
                <w:color w:val="auto"/>
                <w:highlight w:val="none"/>
              </w:rPr>
              <w:t>落实政府采购政策需满足的资格要求：</w:t>
            </w:r>
            <w:r>
              <w:rPr>
                <w:rFonts w:hint="eastAsia" w:ascii="宋体" w:hAnsi="宋体" w:eastAsia="宋体" w:cs="宋体"/>
                <w:color w:val="auto"/>
                <w:highlight w:val="none"/>
              </w:rPr>
              <w:t>无，本项目非专门面向中小企业采购。</w:t>
            </w:r>
          </w:p>
          <w:p w14:paraId="179DF9EC">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（三）特定资格要求：</w:t>
            </w:r>
          </w:p>
          <w:p w14:paraId="228991AD">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3.1具备煤炭行业工程咨询单位甲级资质。</w:t>
            </w:r>
          </w:p>
          <w:p w14:paraId="12A6638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3.2投标人在递交投标文件截止时间前未被列入“信用中国”网站(www.creditchina.gov.cn)失信被执行人、重大税收违法案件当事人名单，中国政府采购网(www.ccgp.gov.cn)政府采购严重违法失信行为记录名单。</w:t>
            </w:r>
          </w:p>
          <w:p w14:paraId="1444148C">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3.3人员要求：拟派项目负责人为本单位在职人员且持有中级及以上职称证书。</w:t>
            </w:r>
          </w:p>
          <w:p w14:paraId="12D4F9AE">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3.4单位负责人为同一人或者存在控股、管理关系的不同单位，不得同时参加本采购项目投标。</w:t>
            </w:r>
          </w:p>
          <w:p w14:paraId="0F7B523E">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3.5投标人不得存在下列情形之一：</w:t>
            </w:r>
          </w:p>
          <w:p w14:paraId="090ED9B0">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（1）被暂停、取消投标或禁止参加采购活动且处于有效期内的；</w:t>
            </w:r>
          </w:p>
          <w:p w14:paraId="19C1DB27">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（2）处于被责令停产停业、暂扣或者吊销执照、暂扣或者吊销许可证、吊销资质证书状态；</w:t>
            </w:r>
          </w:p>
          <w:p w14:paraId="3D013312">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（3）进入清算程序，或被宣告破产，或其他丧失履约能力的情形。</w:t>
            </w:r>
          </w:p>
        </w:tc>
      </w:tr>
      <w:tr w14:paraId="1A06B4F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42421C9">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1.4.2</w:t>
            </w:r>
          </w:p>
        </w:tc>
        <w:tc>
          <w:tcPr>
            <w:tcW w:w="2693" w:type="dxa"/>
            <w:vAlign w:val="center"/>
          </w:tcPr>
          <w:p w14:paraId="4930CB00">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是否接受联合体</w:t>
            </w:r>
          </w:p>
        </w:tc>
        <w:tc>
          <w:tcPr>
            <w:tcW w:w="5670" w:type="dxa"/>
            <w:vAlign w:val="center"/>
          </w:tcPr>
          <w:p w14:paraId="6FE89491">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■不接受</w:t>
            </w:r>
          </w:p>
          <w:p w14:paraId="48986926">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□接受，应满足下列要求：</w:t>
            </w:r>
          </w:p>
        </w:tc>
      </w:tr>
      <w:tr w14:paraId="4A6CE15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E5A341E">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1.9.1</w:t>
            </w:r>
          </w:p>
        </w:tc>
        <w:tc>
          <w:tcPr>
            <w:tcW w:w="2693" w:type="dxa"/>
            <w:vAlign w:val="center"/>
          </w:tcPr>
          <w:p w14:paraId="358E0D16">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踏勘现场</w:t>
            </w:r>
          </w:p>
        </w:tc>
        <w:tc>
          <w:tcPr>
            <w:tcW w:w="5670" w:type="dxa"/>
            <w:vAlign w:val="center"/>
          </w:tcPr>
          <w:p w14:paraId="2598C296">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■不组织</w:t>
            </w:r>
          </w:p>
          <w:p w14:paraId="706DB3CE">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□组织，踏勘时间：</w:t>
            </w:r>
          </w:p>
          <w:p w14:paraId="3B97D255">
            <w:pPr>
              <w:spacing w:before="120" w:beforeLines="50" w:line="360" w:lineRule="auto"/>
              <w:ind w:firstLine="840" w:firstLineChars="400"/>
              <w:rPr>
                <w:rFonts w:hint="eastAsia" w:ascii="宋体" w:hAnsi="宋体" w:eastAsia="宋体" w:cs="Times New Roman"/>
                <w:color w:val="auto"/>
                <w:highlight w:val="none"/>
              </w:rPr>
            </w:pPr>
            <w:r>
              <w:rPr>
                <w:rFonts w:hint="eastAsia" w:ascii="宋体" w:hAnsi="宋体" w:eastAsia="宋体" w:cs="宋体"/>
                <w:color w:val="auto"/>
                <w:highlight w:val="none"/>
              </w:rPr>
              <w:t>踏勘集中地点：</w:t>
            </w:r>
          </w:p>
        </w:tc>
      </w:tr>
      <w:tr w14:paraId="1F487B7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E0CC37B">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1.10</w:t>
            </w:r>
          </w:p>
        </w:tc>
        <w:tc>
          <w:tcPr>
            <w:tcW w:w="2693" w:type="dxa"/>
            <w:vAlign w:val="center"/>
          </w:tcPr>
          <w:p w14:paraId="5AB42477">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投标预备会</w:t>
            </w:r>
          </w:p>
        </w:tc>
        <w:tc>
          <w:tcPr>
            <w:tcW w:w="5670" w:type="dxa"/>
            <w:vAlign w:val="center"/>
          </w:tcPr>
          <w:p w14:paraId="4BE7E0D1">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■不召开</w:t>
            </w:r>
          </w:p>
          <w:p w14:paraId="19A887DF">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□召开，召开时间：</w:t>
            </w:r>
          </w:p>
          <w:p w14:paraId="71713699">
            <w:pPr>
              <w:spacing w:before="120" w:beforeLines="50" w:line="360" w:lineRule="auto"/>
              <w:ind w:firstLine="840" w:firstLineChars="400"/>
              <w:rPr>
                <w:rFonts w:hint="eastAsia" w:ascii="宋体" w:hAnsi="宋体" w:eastAsia="宋体" w:cs="Times New Roman"/>
                <w:color w:val="auto"/>
                <w:highlight w:val="none"/>
              </w:rPr>
            </w:pPr>
            <w:r>
              <w:rPr>
                <w:rFonts w:hint="eastAsia" w:ascii="宋体" w:hAnsi="宋体" w:eastAsia="宋体" w:cs="宋体"/>
                <w:color w:val="auto"/>
                <w:highlight w:val="none"/>
              </w:rPr>
              <w:t>召开地点：</w:t>
            </w:r>
          </w:p>
        </w:tc>
      </w:tr>
      <w:tr w14:paraId="0556D7D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AB4CBF6">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1.12.2</w:t>
            </w:r>
          </w:p>
        </w:tc>
        <w:tc>
          <w:tcPr>
            <w:tcW w:w="2693" w:type="dxa"/>
            <w:vAlign w:val="center"/>
          </w:tcPr>
          <w:p w14:paraId="45016665">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对非关键条款的偏差</w:t>
            </w:r>
          </w:p>
        </w:tc>
        <w:tc>
          <w:tcPr>
            <w:tcW w:w="5670" w:type="dxa"/>
            <w:vAlign w:val="center"/>
          </w:tcPr>
          <w:p w14:paraId="61C21C36">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允许偏差的范围：满足使用功能条件下允许细微偏差</w:t>
            </w:r>
          </w:p>
          <w:p w14:paraId="6EC1368E">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允许偏差的项数：</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项</w:t>
            </w:r>
          </w:p>
        </w:tc>
      </w:tr>
      <w:tr w14:paraId="336A044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FA3A02E">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2.1</w:t>
            </w:r>
          </w:p>
        </w:tc>
        <w:tc>
          <w:tcPr>
            <w:tcW w:w="2693" w:type="dxa"/>
            <w:vAlign w:val="center"/>
          </w:tcPr>
          <w:p w14:paraId="73450AAE">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构成招标文件的其他资料</w:t>
            </w:r>
          </w:p>
        </w:tc>
        <w:tc>
          <w:tcPr>
            <w:tcW w:w="5670" w:type="dxa"/>
            <w:vAlign w:val="center"/>
          </w:tcPr>
          <w:p w14:paraId="3AB7ACB9">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资料名称：</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澄清、修改等补充文件</w:t>
            </w:r>
          </w:p>
        </w:tc>
      </w:tr>
      <w:tr w14:paraId="12FF465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53223A8">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2.2.1</w:t>
            </w:r>
          </w:p>
        </w:tc>
        <w:tc>
          <w:tcPr>
            <w:tcW w:w="2693" w:type="dxa"/>
            <w:vAlign w:val="center"/>
          </w:tcPr>
          <w:p w14:paraId="6F8EA90A">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投标人要求澄清招标文件的时间</w:t>
            </w:r>
          </w:p>
        </w:tc>
        <w:tc>
          <w:tcPr>
            <w:tcW w:w="5670" w:type="dxa"/>
            <w:vAlign w:val="center"/>
          </w:tcPr>
          <w:p w14:paraId="4EF7C9A3">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截止时间：</w:t>
            </w:r>
            <w:r>
              <w:rPr>
                <w:rFonts w:hint="eastAsia" w:ascii="宋体" w:hAnsi="宋体" w:eastAsia="宋体" w:cs="宋体"/>
                <w:color w:val="auto"/>
                <w:highlight w:val="none"/>
                <w:u w:val="single"/>
              </w:rPr>
              <w:t>获取采购文件期限届满之日起</w:t>
            </w:r>
            <w:r>
              <w:rPr>
                <w:rFonts w:ascii="宋体" w:hAnsi="宋体" w:eastAsia="宋体" w:cs="宋体"/>
                <w:color w:val="auto"/>
                <w:highlight w:val="none"/>
                <w:u w:val="single"/>
              </w:rPr>
              <w:t>7</w:t>
            </w:r>
            <w:r>
              <w:rPr>
                <w:rFonts w:hint="eastAsia" w:ascii="宋体" w:hAnsi="宋体" w:eastAsia="宋体" w:cs="宋体"/>
                <w:color w:val="auto"/>
                <w:highlight w:val="none"/>
                <w:u w:val="single"/>
              </w:rPr>
              <w:t>个工作日内</w:t>
            </w:r>
          </w:p>
        </w:tc>
      </w:tr>
      <w:tr w14:paraId="3B5B181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63B1096">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3.1.1</w:t>
            </w:r>
          </w:p>
        </w:tc>
        <w:tc>
          <w:tcPr>
            <w:tcW w:w="2693" w:type="dxa"/>
            <w:vAlign w:val="center"/>
          </w:tcPr>
          <w:p w14:paraId="02F82A2E">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构成投标文件的其他资料</w:t>
            </w:r>
          </w:p>
        </w:tc>
        <w:tc>
          <w:tcPr>
            <w:tcW w:w="5670" w:type="dxa"/>
            <w:vAlign w:val="center"/>
          </w:tcPr>
          <w:p w14:paraId="0576D878">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资料名称：</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澄清、说明和补正</w:t>
            </w:r>
          </w:p>
        </w:tc>
      </w:tr>
      <w:tr w14:paraId="2ACF6D1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0B7E012">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3.2.2</w:t>
            </w:r>
          </w:p>
        </w:tc>
        <w:tc>
          <w:tcPr>
            <w:tcW w:w="2693" w:type="dxa"/>
            <w:vAlign w:val="center"/>
          </w:tcPr>
          <w:p w14:paraId="191BE629">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采购标的数量增减幅度</w:t>
            </w:r>
          </w:p>
        </w:tc>
        <w:tc>
          <w:tcPr>
            <w:tcW w:w="5670" w:type="dxa"/>
            <w:vAlign w:val="center"/>
          </w:tcPr>
          <w:p w14:paraId="5E5981A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采购标的数量增减幅度：</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ascii="宋体" w:hAnsi="宋体" w:eastAsia="宋体" w:cs="宋体"/>
                <w:color w:val="auto"/>
                <w:highlight w:val="none"/>
              </w:rPr>
              <w:t>%</w:t>
            </w:r>
          </w:p>
        </w:tc>
      </w:tr>
      <w:tr w14:paraId="2F748ED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299A0AA">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3.2.3</w:t>
            </w:r>
          </w:p>
        </w:tc>
        <w:tc>
          <w:tcPr>
            <w:tcW w:w="2693" w:type="dxa"/>
            <w:vAlign w:val="center"/>
          </w:tcPr>
          <w:p w14:paraId="0AB57D44">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最高限价或其计算方法</w:t>
            </w:r>
          </w:p>
        </w:tc>
        <w:tc>
          <w:tcPr>
            <w:tcW w:w="5670" w:type="dxa"/>
            <w:vAlign w:val="center"/>
          </w:tcPr>
          <w:p w14:paraId="6F935591">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□无</w:t>
            </w:r>
          </w:p>
          <w:p w14:paraId="0246A0E7">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■有，最高限价或其计算方法：</w:t>
            </w:r>
          </w:p>
          <w:p w14:paraId="6A976FE5">
            <w:pPr>
              <w:spacing w:before="120" w:beforeLines="50" w:line="360" w:lineRule="auto"/>
              <w:ind w:firstLine="211" w:firstLineChars="1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最高限价：本项目最高限价为</w:t>
            </w:r>
            <w:r>
              <w:rPr>
                <w:rFonts w:hint="eastAsia" w:ascii="宋体" w:hAnsi="宋体" w:eastAsia="宋体" w:cs="宋体"/>
                <w:b/>
                <w:bCs/>
                <w:color w:val="auto"/>
                <w:highlight w:val="none"/>
                <w:u w:val="single"/>
                <w:lang w:val="en-US" w:eastAsia="zh-CN"/>
              </w:rPr>
              <w:t>3000000.00</w:t>
            </w:r>
            <w:r>
              <w:rPr>
                <w:rFonts w:hint="eastAsia" w:ascii="宋体" w:hAnsi="宋体" w:eastAsia="宋体" w:cs="宋体"/>
                <w:b/>
                <w:bCs/>
                <w:color w:val="auto"/>
                <w:highlight w:val="none"/>
                <w:u w:val="single"/>
              </w:rPr>
              <w:t>元（大写：</w:t>
            </w:r>
            <w:r>
              <w:rPr>
                <w:rFonts w:hint="eastAsia" w:ascii="宋体" w:hAnsi="宋体" w:eastAsia="宋体" w:cs="宋体"/>
                <w:b/>
                <w:bCs/>
                <w:color w:val="auto"/>
                <w:highlight w:val="none"/>
                <w:u w:val="single"/>
                <w:lang w:val="en-US" w:eastAsia="zh-CN"/>
              </w:rPr>
              <w:t>叁佰万元整</w:t>
            </w:r>
            <w:r>
              <w:rPr>
                <w:rFonts w:hint="eastAsia" w:ascii="宋体" w:hAnsi="宋体" w:eastAsia="宋体" w:cs="宋体"/>
                <w:b/>
                <w:bCs/>
                <w:color w:val="auto"/>
                <w:highlight w:val="none"/>
                <w:u w:val="single"/>
              </w:rPr>
              <w:t>）；</w:t>
            </w:r>
          </w:p>
          <w:p w14:paraId="4B4EF75D">
            <w:pPr>
              <w:spacing w:before="120" w:beforeLines="50" w:line="360" w:lineRule="auto"/>
              <w:ind w:firstLine="210" w:firstLineChars="100"/>
              <w:rPr>
                <w:rFonts w:hint="eastAsia" w:ascii="宋体" w:hAnsi="宋体" w:eastAsia="宋体" w:cs="Times New Roman"/>
                <w:color w:val="auto"/>
                <w:highlight w:val="none"/>
              </w:rPr>
            </w:pPr>
            <w:r>
              <w:rPr>
                <w:rFonts w:hint="eastAsia" w:ascii="宋体" w:hAnsi="宋体" w:eastAsia="宋体" w:cs="宋体"/>
                <w:color w:val="auto"/>
                <w:highlight w:val="none"/>
                <w:u w:val="single"/>
              </w:rPr>
              <w:t>投标人投标报价应不高于最高限价，否则其投标文件将被视为无效。</w:t>
            </w:r>
          </w:p>
        </w:tc>
      </w:tr>
      <w:tr w14:paraId="441C10E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597AE36">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3.2.4</w:t>
            </w:r>
          </w:p>
        </w:tc>
        <w:tc>
          <w:tcPr>
            <w:tcW w:w="2693" w:type="dxa"/>
            <w:vAlign w:val="center"/>
          </w:tcPr>
          <w:p w14:paraId="47030FA1">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投标报价的其他要求</w:t>
            </w:r>
          </w:p>
        </w:tc>
        <w:tc>
          <w:tcPr>
            <w:tcW w:w="5670" w:type="dxa"/>
            <w:vAlign w:val="center"/>
          </w:tcPr>
          <w:p w14:paraId="5B7B6E4D">
            <w:pPr>
              <w:spacing w:before="120" w:beforeLines="5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（1）报价应包括为完成合同范围内所需的一切费用。</w:t>
            </w:r>
          </w:p>
          <w:p w14:paraId="29435F82">
            <w:pPr>
              <w:spacing w:before="120" w:beforeLines="5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（2）投标人应依据招标文件要求，按国家及行业现行标准及规范，结合投标人自身实力情况自行测算出满足采购需求的报价。任何包含价格调整要求的投标将被认定为非实质响应招标文件而被否决。</w:t>
            </w:r>
          </w:p>
          <w:p w14:paraId="18B3C869">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评标委员会经过对供应商的报价进行比较或基于专业经验认为某一供应商的报价过低，可能对其履约造成影响时，应当要求该供应商作出书面说明并提供相应的证明材料。供应商不能合理说明或者不能提供相应证明材料的，其投标文件将被视为无效。</w:t>
            </w:r>
          </w:p>
        </w:tc>
      </w:tr>
      <w:tr w14:paraId="5F98D94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3C04C14">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3.3.1</w:t>
            </w:r>
          </w:p>
        </w:tc>
        <w:tc>
          <w:tcPr>
            <w:tcW w:w="2693" w:type="dxa"/>
            <w:vAlign w:val="center"/>
          </w:tcPr>
          <w:p w14:paraId="0333418F">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投标文件有效期</w:t>
            </w:r>
          </w:p>
        </w:tc>
        <w:tc>
          <w:tcPr>
            <w:tcW w:w="5670" w:type="dxa"/>
            <w:vAlign w:val="center"/>
          </w:tcPr>
          <w:p w14:paraId="6066B774">
            <w:pPr>
              <w:spacing w:before="120" w:beforeLines="50" w:line="360" w:lineRule="auto"/>
              <w:rPr>
                <w:rFonts w:hint="eastAsia" w:ascii="宋体" w:hAnsi="宋体" w:eastAsia="宋体" w:cs="Times New Roman"/>
                <w:color w:val="auto"/>
                <w:highlight w:val="none"/>
              </w:rPr>
            </w:pPr>
            <w:r>
              <w:rPr>
                <w:rFonts w:ascii="宋体" w:hAnsi="宋体" w:eastAsia="宋体" w:cs="宋体"/>
                <w:color w:val="auto"/>
                <w:highlight w:val="none"/>
              </w:rPr>
              <w:t>90</w:t>
            </w:r>
            <w:r>
              <w:rPr>
                <w:rFonts w:hint="eastAsia" w:ascii="宋体" w:hAnsi="宋体" w:eastAsia="宋体" w:cs="宋体"/>
                <w:color w:val="auto"/>
                <w:highlight w:val="none"/>
              </w:rPr>
              <w:t>日历天</w:t>
            </w:r>
          </w:p>
        </w:tc>
      </w:tr>
      <w:tr w14:paraId="178DA8C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5D528A2">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3.4.1</w:t>
            </w:r>
          </w:p>
        </w:tc>
        <w:tc>
          <w:tcPr>
            <w:tcW w:w="2693" w:type="dxa"/>
            <w:vAlign w:val="center"/>
          </w:tcPr>
          <w:p w14:paraId="5D84712B">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投标保证金</w:t>
            </w:r>
          </w:p>
        </w:tc>
        <w:tc>
          <w:tcPr>
            <w:tcW w:w="5670" w:type="dxa"/>
            <w:vAlign w:val="center"/>
          </w:tcPr>
          <w:p w14:paraId="3CF65FCE">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■不要求递交</w:t>
            </w:r>
          </w:p>
          <w:p w14:paraId="52C62BDD">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□要求递交</w:t>
            </w:r>
          </w:p>
        </w:tc>
      </w:tr>
      <w:tr w14:paraId="63011AE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091D9C7">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3.4.2</w:t>
            </w:r>
          </w:p>
        </w:tc>
        <w:tc>
          <w:tcPr>
            <w:tcW w:w="2693" w:type="dxa"/>
            <w:vAlign w:val="center"/>
          </w:tcPr>
          <w:p w14:paraId="665C7331">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退还投标保证金的时间</w:t>
            </w:r>
          </w:p>
        </w:tc>
        <w:tc>
          <w:tcPr>
            <w:tcW w:w="5670" w:type="dxa"/>
            <w:vAlign w:val="center"/>
          </w:tcPr>
          <w:p w14:paraId="03BC1F15">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未中标人的投标保证金在中标结果公告公示后</w:t>
            </w:r>
            <w:r>
              <w:rPr>
                <w:rFonts w:ascii="宋体" w:hAnsi="宋体" w:eastAsia="宋体" w:cs="宋体"/>
                <w:color w:val="auto"/>
                <w:highlight w:val="none"/>
              </w:rPr>
              <w:t>5</w:t>
            </w:r>
            <w:r>
              <w:rPr>
                <w:rFonts w:hint="eastAsia" w:ascii="宋体" w:hAnsi="宋体" w:eastAsia="宋体" w:cs="宋体"/>
                <w:color w:val="auto"/>
                <w:highlight w:val="none"/>
              </w:rPr>
              <w:t>个工作日内退还，中标人的投标保证金在采购合同签订后</w:t>
            </w:r>
            <w:r>
              <w:rPr>
                <w:rFonts w:ascii="宋体" w:hAnsi="宋体" w:eastAsia="宋体" w:cs="宋体"/>
                <w:color w:val="auto"/>
                <w:highlight w:val="none"/>
              </w:rPr>
              <w:t>5</w:t>
            </w:r>
            <w:r>
              <w:rPr>
                <w:rFonts w:hint="eastAsia" w:ascii="宋体" w:hAnsi="宋体" w:eastAsia="宋体" w:cs="宋体"/>
                <w:color w:val="auto"/>
                <w:highlight w:val="none"/>
              </w:rPr>
              <w:t>个工作日内退还。</w:t>
            </w:r>
          </w:p>
        </w:tc>
      </w:tr>
      <w:tr w14:paraId="2A7FB46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3C720B8D">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3.4.3</w:t>
            </w:r>
          </w:p>
        </w:tc>
        <w:tc>
          <w:tcPr>
            <w:tcW w:w="2693" w:type="dxa"/>
            <w:vAlign w:val="center"/>
          </w:tcPr>
          <w:p w14:paraId="7E31EED2">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不退还投标保证金的其他情形</w:t>
            </w:r>
          </w:p>
        </w:tc>
        <w:tc>
          <w:tcPr>
            <w:tcW w:w="5670" w:type="dxa"/>
            <w:vAlign w:val="center"/>
          </w:tcPr>
          <w:p w14:paraId="5CA3DCE2">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）投标人在投标文件中提供虚假材料的；</w:t>
            </w:r>
          </w:p>
          <w:p w14:paraId="155DA7D7">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）投标人与采购人、其他投标人或者采购代理机构恶意串通的；</w:t>
            </w:r>
          </w:p>
          <w:p w14:paraId="44FC9F7F">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）法律法规规定的其他情形。</w:t>
            </w:r>
          </w:p>
        </w:tc>
      </w:tr>
      <w:tr w14:paraId="0F97F13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03901DB">
            <w:pPr>
              <w:spacing w:before="120" w:beforeLines="50" w:line="360" w:lineRule="auto"/>
              <w:jc w:val="center"/>
              <w:rPr>
                <w:rFonts w:hint="eastAsia" w:ascii="宋体" w:hAnsi="宋体" w:eastAsia="宋体" w:cs="宋体"/>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.6.1</w:t>
            </w:r>
          </w:p>
        </w:tc>
        <w:tc>
          <w:tcPr>
            <w:tcW w:w="2693" w:type="dxa"/>
            <w:vAlign w:val="center"/>
          </w:tcPr>
          <w:p w14:paraId="2608DCA4">
            <w:pPr>
              <w:spacing w:before="120" w:beforeLines="50" w:line="360" w:lineRule="auto"/>
              <w:jc w:val="center"/>
              <w:rPr>
                <w:rFonts w:hint="eastAsia" w:ascii="宋体" w:hAnsi="宋体" w:eastAsia="宋体" w:cs="宋体"/>
                <w:color w:val="auto"/>
                <w:highlight w:val="none"/>
              </w:rPr>
            </w:pPr>
            <w:r>
              <w:rPr>
                <w:rFonts w:hint="eastAsia" w:ascii="宋体" w:hAnsi="宋体" w:eastAsia="宋体" w:cs="Times New Roman"/>
                <w:color w:val="auto"/>
                <w:highlight w:val="none"/>
              </w:rPr>
              <w:t>对关键条款进行响应的证据或证明材料要求</w:t>
            </w:r>
          </w:p>
        </w:tc>
        <w:tc>
          <w:tcPr>
            <w:tcW w:w="5670" w:type="dxa"/>
            <w:vAlign w:val="center"/>
          </w:tcPr>
          <w:p w14:paraId="3D054E41">
            <w:pPr>
              <w:spacing w:before="120" w:beforeLines="50" w:line="360" w:lineRule="auto"/>
              <w:rPr>
                <w:rFonts w:hint="eastAsia" w:ascii="宋体" w:hAnsi="宋体" w:eastAsia="宋体" w:cs="宋体"/>
                <w:color w:val="auto"/>
                <w:highlight w:val="none"/>
              </w:rPr>
            </w:pPr>
            <w:r>
              <w:rPr>
                <w:rFonts w:hint="eastAsia" w:ascii="宋体" w:hAnsi="宋体" w:eastAsia="宋体" w:cs="Times New Roman"/>
                <w:color w:val="auto"/>
                <w:highlight w:val="none"/>
              </w:rPr>
              <w:t>扫描件应清晰可见</w:t>
            </w:r>
          </w:p>
        </w:tc>
      </w:tr>
      <w:tr w14:paraId="5C350AB7">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30D0658">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3.6.2</w:t>
            </w:r>
          </w:p>
        </w:tc>
        <w:tc>
          <w:tcPr>
            <w:tcW w:w="2693" w:type="dxa"/>
            <w:vAlign w:val="center"/>
          </w:tcPr>
          <w:p w14:paraId="35B94F7C">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投标方案数量</w:t>
            </w:r>
          </w:p>
        </w:tc>
        <w:tc>
          <w:tcPr>
            <w:tcW w:w="5670" w:type="dxa"/>
            <w:vAlign w:val="center"/>
          </w:tcPr>
          <w:p w14:paraId="212B2902">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■投标人只能提出唯一投标方案</w:t>
            </w:r>
          </w:p>
          <w:p w14:paraId="0FD0E6DB">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□投标人可提出多个投标方案</w:t>
            </w:r>
          </w:p>
        </w:tc>
      </w:tr>
      <w:tr w14:paraId="2039D5E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9E9004B">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3.7.1</w:t>
            </w:r>
          </w:p>
        </w:tc>
        <w:tc>
          <w:tcPr>
            <w:tcW w:w="2693" w:type="dxa"/>
            <w:vAlign w:val="center"/>
          </w:tcPr>
          <w:p w14:paraId="7ABD3A13">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电子投标文件要求</w:t>
            </w:r>
          </w:p>
        </w:tc>
        <w:tc>
          <w:tcPr>
            <w:tcW w:w="5670" w:type="dxa"/>
            <w:vAlign w:val="center"/>
          </w:tcPr>
          <w:p w14:paraId="4869DC6B">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投标人应当在投标文件提交截止时间前完成电子投标文件的上传、提交，投标文件提交截止时间以后上传提交的，视为无效。</w:t>
            </w:r>
          </w:p>
        </w:tc>
      </w:tr>
      <w:tr w14:paraId="5DC226F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5CFE15F">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3.7.2</w:t>
            </w:r>
          </w:p>
        </w:tc>
        <w:tc>
          <w:tcPr>
            <w:tcW w:w="2693" w:type="dxa"/>
            <w:vAlign w:val="center"/>
          </w:tcPr>
          <w:p w14:paraId="7305ED46">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投标文件电子签章及电子签名要求</w:t>
            </w:r>
          </w:p>
        </w:tc>
        <w:tc>
          <w:tcPr>
            <w:tcW w:w="5670" w:type="dxa"/>
            <w:vAlign w:val="center"/>
          </w:tcPr>
          <w:p w14:paraId="456C889F">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按照投标文件格式，采用单位和个人数字证书电子签章及电子签名。</w:t>
            </w:r>
          </w:p>
          <w:p w14:paraId="6FC20EB4">
            <w:pPr>
              <w:spacing w:before="120" w:beforeLines="50" w:line="360" w:lineRule="auto"/>
              <w:rPr>
                <w:rFonts w:hint="eastAsia" w:ascii="宋体" w:hAnsi="宋体" w:eastAsia="宋体" w:cs="Times New Roman"/>
                <w:b/>
                <w:bCs/>
                <w:color w:val="auto"/>
                <w:highlight w:val="none"/>
              </w:rPr>
            </w:pPr>
            <w:r>
              <w:rPr>
                <w:rFonts w:hint="eastAsia" w:ascii="宋体" w:hAnsi="宋体" w:eastAsia="宋体" w:cs="宋体"/>
                <w:b/>
                <w:bCs/>
                <w:color w:val="auto"/>
                <w:highlight w:val="none"/>
              </w:rPr>
              <w:t>注：</w:t>
            </w:r>
            <w:r>
              <w:rPr>
                <w:rFonts w:ascii="宋体" w:hAnsi="宋体" w:eastAsia="宋体" w:cs="宋体"/>
                <w:b/>
                <w:bCs/>
                <w:color w:val="auto"/>
                <w:highlight w:val="none"/>
              </w:rPr>
              <w:t>1.</w:t>
            </w:r>
            <w:r>
              <w:rPr>
                <w:rFonts w:hint="eastAsia" w:ascii="宋体" w:hAnsi="宋体" w:eastAsia="宋体" w:cs="宋体"/>
                <w:b/>
                <w:bCs/>
                <w:color w:val="auto"/>
                <w:highlight w:val="none"/>
              </w:rPr>
              <w:t>投标文件需逐页电子签章。</w:t>
            </w:r>
          </w:p>
          <w:p w14:paraId="02BB1285">
            <w:pPr>
              <w:spacing w:before="120" w:beforeLines="50" w:line="360" w:lineRule="auto"/>
              <w:ind w:firstLine="422" w:firstLineChars="200"/>
              <w:rPr>
                <w:rFonts w:hint="eastAsia" w:ascii="宋体" w:hAnsi="宋体" w:eastAsia="宋体" w:cs="Times New Roman"/>
                <w:color w:val="auto"/>
                <w:highlight w:val="none"/>
              </w:rPr>
            </w:pPr>
            <w:r>
              <w:rPr>
                <w:rFonts w:ascii="宋体" w:hAnsi="宋体" w:eastAsia="宋体" w:cs="宋体"/>
                <w:b/>
                <w:bCs/>
                <w:color w:val="auto"/>
                <w:highlight w:val="none"/>
              </w:rPr>
              <w:t>2.</w:t>
            </w:r>
            <w:r>
              <w:rPr>
                <w:rFonts w:hint="eastAsia" w:ascii="宋体" w:hAnsi="宋体" w:eastAsia="宋体" w:cs="宋体"/>
                <w:b/>
                <w:bCs/>
                <w:color w:val="auto"/>
                <w:highlight w:val="none"/>
              </w:rPr>
              <w:t>投标文件中表述为“盖单位章”或“签字”之处，需提供加盖单位鲜章或手写签名的原件扫描件。</w:t>
            </w:r>
          </w:p>
        </w:tc>
      </w:tr>
      <w:tr w14:paraId="4893E13F">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C5EE4B2">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4.2.1</w:t>
            </w:r>
          </w:p>
        </w:tc>
        <w:tc>
          <w:tcPr>
            <w:tcW w:w="2693" w:type="dxa"/>
            <w:vAlign w:val="center"/>
          </w:tcPr>
          <w:p w14:paraId="5F786C42">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递交投标文件截止时间</w:t>
            </w:r>
          </w:p>
        </w:tc>
        <w:tc>
          <w:tcPr>
            <w:tcW w:w="5670" w:type="dxa"/>
            <w:vAlign w:val="center"/>
          </w:tcPr>
          <w:p w14:paraId="29DE19E3">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时间：</w:t>
            </w:r>
            <w:r>
              <w:rPr>
                <w:rFonts w:hint="eastAsia" w:ascii="宋体" w:hAnsi="宋体" w:eastAsia="宋体" w:cs="宋体"/>
                <w:color w:val="auto"/>
                <w:highlight w:val="none"/>
                <w:u w:val="single"/>
                <w:lang w:eastAsia="zh-CN"/>
              </w:rPr>
              <w:t>2025年 09 月 29 日</w:t>
            </w:r>
            <w:r>
              <w:rPr>
                <w:rFonts w:hint="eastAsia" w:ascii="宋体" w:hAnsi="宋体" w:eastAsia="宋体" w:cs="宋体"/>
                <w:color w:val="auto"/>
                <w:highlight w:val="none"/>
                <w:u w:val="single"/>
              </w:rPr>
              <w:t>15</w:t>
            </w:r>
            <w:r>
              <w:rPr>
                <w:rFonts w:ascii="宋体" w:hAnsi="宋体" w:eastAsia="宋体" w:cs="宋体"/>
                <w:color w:val="auto"/>
                <w:highlight w:val="none"/>
                <w:u w:val="single"/>
              </w:rPr>
              <w:t>:</w:t>
            </w:r>
            <w:r>
              <w:rPr>
                <w:rFonts w:hint="eastAsia" w:ascii="宋体" w:hAnsi="宋体" w:eastAsia="宋体" w:cs="宋体"/>
                <w:color w:val="auto"/>
                <w:highlight w:val="none"/>
                <w:u w:val="single"/>
              </w:rPr>
              <w:t>00时</w:t>
            </w:r>
          </w:p>
        </w:tc>
      </w:tr>
      <w:tr w14:paraId="39C07FE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6C35082C">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5.1</w:t>
            </w:r>
          </w:p>
        </w:tc>
        <w:tc>
          <w:tcPr>
            <w:tcW w:w="2693" w:type="dxa"/>
            <w:vAlign w:val="center"/>
          </w:tcPr>
          <w:p w14:paraId="49877B77">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开标时间和地点</w:t>
            </w:r>
          </w:p>
        </w:tc>
        <w:tc>
          <w:tcPr>
            <w:tcW w:w="5670" w:type="dxa"/>
            <w:vAlign w:val="center"/>
          </w:tcPr>
          <w:p w14:paraId="6D986B41">
            <w:pPr>
              <w:wordWrap w:val="0"/>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开标时间：同递交投标文件截止时间</w:t>
            </w:r>
          </w:p>
          <w:p w14:paraId="0B579374">
            <w:pPr>
              <w:wordWrap w:val="0"/>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开标地点：</w:t>
            </w:r>
            <w:r>
              <w:rPr>
                <w:rFonts w:hint="eastAsia" w:ascii="宋体" w:hAnsi="宋体" w:eastAsia="宋体" w:cs="Times New Roman"/>
                <w:color w:val="auto"/>
                <w:highlight w:val="none"/>
              </w:rPr>
              <w:t>政府采购云平台（网址：</w:t>
            </w:r>
            <w:r>
              <w:rPr>
                <w:rFonts w:ascii="宋体" w:hAnsi="宋体" w:eastAsia="宋体" w:cs="Times New Roman"/>
                <w:color w:val="auto"/>
                <w:highlight w:val="none"/>
              </w:rPr>
              <w:t>https://www.zcygov.cn/）</w:t>
            </w:r>
          </w:p>
        </w:tc>
      </w:tr>
      <w:tr w14:paraId="730ADB2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8F80562">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5.2</w:t>
            </w:r>
          </w:p>
        </w:tc>
        <w:tc>
          <w:tcPr>
            <w:tcW w:w="2693" w:type="dxa"/>
            <w:vAlign w:val="center"/>
          </w:tcPr>
          <w:p w14:paraId="4DF33E1E">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开标程序</w:t>
            </w:r>
          </w:p>
        </w:tc>
        <w:tc>
          <w:tcPr>
            <w:tcW w:w="5670" w:type="dxa"/>
            <w:vAlign w:val="center"/>
          </w:tcPr>
          <w:p w14:paraId="07A2E39D">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至投标文件提交截止时间止，采购代理机构的工作人员登录政府采购云平台，按照政府采购云平台的操作流程完成开标程序。</w:t>
            </w:r>
          </w:p>
          <w:p w14:paraId="0F02A1EE">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注：因供应商原因造成投标文件未解密的，视为撤销其投标文件。</w:t>
            </w:r>
          </w:p>
        </w:tc>
      </w:tr>
      <w:tr w14:paraId="4270A3A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02869A7A">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6.1.1</w:t>
            </w:r>
          </w:p>
        </w:tc>
        <w:tc>
          <w:tcPr>
            <w:tcW w:w="2693" w:type="dxa"/>
            <w:vAlign w:val="center"/>
          </w:tcPr>
          <w:p w14:paraId="00E0E110">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评标委员会的组建</w:t>
            </w:r>
          </w:p>
        </w:tc>
        <w:tc>
          <w:tcPr>
            <w:tcW w:w="5670" w:type="dxa"/>
            <w:vAlign w:val="center"/>
          </w:tcPr>
          <w:p w14:paraId="4E26D2C5">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评标委员会构成：</w:t>
            </w:r>
            <w:r>
              <w:rPr>
                <w:rFonts w:ascii="宋体" w:hAnsi="宋体" w:eastAsia="宋体" w:cs="宋体"/>
                <w:color w:val="auto"/>
                <w:highlight w:val="none"/>
                <w:u w:val="single"/>
              </w:rPr>
              <w:t>5</w:t>
            </w:r>
            <w:r>
              <w:rPr>
                <w:rFonts w:hint="eastAsia" w:ascii="宋体" w:hAnsi="宋体" w:eastAsia="宋体" w:cs="宋体"/>
                <w:color w:val="auto"/>
                <w:highlight w:val="none"/>
              </w:rPr>
              <w:t>人，其中采购人代表</w:t>
            </w:r>
            <w:r>
              <w:rPr>
                <w:rFonts w:ascii="宋体" w:hAnsi="宋体" w:eastAsia="宋体" w:cs="宋体"/>
                <w:color w:val="auto"/>
                <w:highlight w:val="none"/>
                <w:u w:val="single"/>
              </w:rPr>
              <w:t>1</w:t>
            </w:r>
            <w:r>
              <w:rPr>
                <w:rFonts w:hint="eastAsia" w:ascii="宋体" w:hAnsi="宋体" w:eastAsia="宋体" w:cs="宋体"/>
                <w:color w:val="auto"/>
                <w:highlight w:val="none"/>
              </w:rPr>
              <w:t>人，评审专家不得少于成员总数的三分之二。</w:t>
            </w:r>
          </w:p>
        </w:tc>
      </w:tr>
      <w:tr w14:paraId="7375418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6423CF0">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6.3.2</w:t>
            </w:r>
          </w:p>
        </w:tc>
        <w:tc>
          <w:tcPr>
            <w:tcW w:w="2693" w:type="dxa"/>
            <w:vAlign w:val="center"/>
          </w:tcPr>
          <w:p w14:paraId="6628C124">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评标委员会推荐中标候选人的人数</w:t>
            </w:r>
          </w:p>
        </w:tc>
        <w:tc>
          <w:tcPr>
            <w:tcW w:w="5670" w:type="dxa"/>
            <w:vAlign w:val="center"/>
          </w:tcPr>
          <w:p w14:paraId="448668F4">
            <w:pPr>
              <w:spacing w:before="120" w:beforeLines="50" w:line="360" w:lineRule="auto"/>
              <w:rPr>
                <w:rFonts w:hint="eastAsia" w:ascii="宋体" w:hAnsi="宋体" w:eastAsia="宋体" w:cs="Times New Roman"/>
                <w:color w:val="auto"/>
                <w:highlight w:val="none"/>
              </w:rPr>
            </w:pPr>
            <w:r>
              <w:rPr>
                <w:rFonts w:ascii="宋体" w:hAnsi="宋体" w:eastAsia="宋体" w:cs="宋体"/>
                <w:color w:val="auto"/>
                <w:highlight w:val="none"/>
                <w:u w:val="single"/>
              </w:rPr>
              <w:t>3</w:t>
            </w:r>
            <w:r>
              <w:rPr>
                <w:rFonts w:hint="eastAsia" w:ascii="宋体" w:hAnsi="宋体" w:eastAsia="宋体" w:cs="宋体"/>
                <w:color w:val="auto"/>
                <w:highlight w:val="none"/>
              </w:rPr>
              <w:t>人</w:t>
            </w:r>
          </w:p>
        </w:tc>
      </w:tr>
      <w:tr w14:paraId="1667ECE1">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7460305C">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7.3</w:t>
            </w:r>
          </w:p>
        </w:tc>
        <w:tc>
          <w:tcPr>
            <w:tcW w:w="2693" w:type="dxa"/>
            <w:vAlign w:val="center"/>
          </w:tcPr>
          <w:p w14:paraId="292C228C">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中标结果公告</w:t>
            </w:r>
          </w:p>
        </w:tc>
        <w:tc>
          <w:tcPr>
            <w:tcW w:w="5670" w:type="dxa"/>
            <w:vAlign w:val="center"/>
          </w:tcPr>
          <w:p w14:paraId="1D3628B5">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公示媒介：</w:t>
            </w:r>
            <w:r>
              <w:rPr>
                <w:rFonts w:hint="eastAsia" w:ascii="宋体" w:hAnsi="宋体" w:eastAsia="宋体" w:cs="宋体"/>
                <w:color w:val="auto"/>
                <w:highlight w:val="none"/>
                <w:u w:val="single"/>
              </w:rPr>
              <w:t>与发布招标公告同一媒介</w:t>
            </w:r>
          </w:p>
          <w:p w14:paraId="41C4650C">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公示期限：</w:t>
            </w:r>
            <w:r>
              <w:rPr>
                <w:rFonts w:ascii="宋体" w:hAnsi="宋体" w:eastAsia="宋体" w:cs="宋体"/>
                <w:color w:val="auto"/>
                <w:highlight w:val="none"/>
                <w:u w:val="single"/>
              </w:rPr>
              <w:t>1</w:t>
            </w:r>
            <w:r>
              <w:rPr>
                <w:rFonts w:hint="eastAsia" w:ascii="宋体" w:hAnsi="宋体" w:eastAsia="宋体" w:cs="宋体"/>
                <w:color w:val="auto"/>
                <w:highlight w:val="none"/>
                <w:u w:val="single"/>
              </w:rPr>
              <w:t>个工作日</w:t>
            </w:r>
          </w:p>
          <w:p w14:paraId="2665472A">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其他应公示的内容：</w:t>
            </w:r>
            <w:r>
              <w:rPr>
                <w:rFonts w:hint="eastAsia" w:ascii="宋体" w:hAnsi="宋体" w:eastAsia="宋体" w:cs="宋体"/>
                <w:color w:val="auto"/>
                <w:highlight w:val="none"/>
                <w:u w:val="single"/>
              </w:rPr>
              <w:t>主要标的信息、评审专家名单等</w:t>
            </w:r>
          </w:p>
        </w:tc>
      </w:tr>
      <w:tr w14:paraId="50B85B2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2BF72651">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7.5</w:t>
            </w:r>
          </w:p>
        </w:tc>
        <w:tc>
          <w:tcPr>
            <w:tcW w:w="2693" w:type="dxa"/>
            <w:vAlign w:val="center"/>
          </w:tcPr>
          <w:p w14:paraId="4385BC34">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履约保证金</w:t>
            </w:r>
          </w:p>
        </w:tc>
        <w:tc>
          <w:tcPr>
            <w:tcW w:w="5670" w:type="dxa"/>
            <w:vAlign w:val="center"/>
          </w:tcPr>
          <w:p w14:paraId="7C91FB5E">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■不要求递交</w:t>
            </w:r>
          </w:p>
          <w:p w14:paraId="0765353F">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□要求递交</w:t>
            </w:r>
          </w:p>
        </w:tc>
      </w:tr>
      <w:tr w14:paraId="5683E76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4B8E840C">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10.1</w:t>
            </w:r>
          </w:p>
        </w:tc>
        <w:tc>
          <w:tcPr>
            <w:tcW w:w="2693" w:type="dxa"/>
            <w:vAlign w:val="center"/>
          </w:tcPr>
          <w:p w14:paraId="356C8AC4">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采购代理服务费</w:t>
            </w:r>
          </w:p>
        </w:tc>
        <w:tc>
          <w:tcPr>
            <w:tcW w:w="5670" w:type="dxa"/>
            <w:vAlign w:val="center"/>
          </w:tcPr>
          <w:p w14:paraId="201442D8">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□不要求承担</w:t>
            </w:r>
          </w:p>
          <w:p w14:paraId="44551071">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■要求承担</w:t>
            </w:r>
          </w:p>
          <w:p w14:paraId="0E648CD4">
            <w:pPr>
              <w:spacing w:before="120" w:beforeLines="5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费用标准或金额：按《云南省建设工程招标代理服务收费参考意见》的通知云建招协〔2024〕58文计取</w:t>
            </w:r>
            <w:r>
              <w:rPr>
                <w:rFonts w:hint="eastAsia" w:ascii="宋体" w:hAnsi="宋体" w:eastAsia="宋体" w:cs="宋体"/>
                <w:color w:val="auto"/>
                <w:highlight w:val="none"/>
                <w:lang w:eastAsia="zh-CN"/>
              </w:rPr>
              <w:t>。</w:t>
            </w:r>
          </w:p>
          <w:p w14:paraId="427B6952">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交费时间：</w:t>
            </w:r>
            <w:r>
              <w:rPr>
                <w:rFonts w:hint="eastAsia" w:ascii="宋体" w:hAnsi="宋体" w:eastAsia="宋体" w:cs="宋体"/>
                <w:color w:val="auto"/>
                <w:highlight w:val="none"/>
                <w:u w:val="single"/>
              </w:rPr>
              <w:t>中标人领取中标通知书前一次性足额支付给采购代理机构</w:t>
            </w:r>
          </w:p>
          <w:p w14:paraId="1384537F">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交费方式：</w:t>
            </w:r>
            <w:r>
              <w:rPr>
                <w:rFonts w:hint="eastAsia" w:ascii="宋体" w:hAnsi="宋体" w:eastAsia="宋体" w:cs="宋体"/>
                <w:color w:val="auto"/>
                <w:highlight w:val="none"/>
                <w:u w:val="single"/>
              </w:rPr>
              <w:t>现金或银行转账</w:t>
            </w:r>
          </w:p>
        </w:tc>
      </w:tr>
      <w:tr w14:paraId="06465DA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1D516A6F">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10.2</w:t>
            </w:r>
          </w:p>
        </w:tc>
        <w:tc>
          <w:tcPr>
            <w:tcW w:w="8363" w:type="dxa"/>
            <w:gridSpan w:val="2"/>
            <w:vAlign w:val="center"/>
          </w:tcPr>
          <w:p w14:paraId="576CDC25">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需要补充的其他内容</w:t>
            </w:r>
          </w:p>
        </w:tc>
      </w:tr>
      <w:tr w14:paraId="6394C37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483537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Times New Roman"/>
                <w:color w:val="auto"/>
                <w:highlight w:val="none"/>
              </w:rPr>
              <w:t>1</w:t>
            </w:r>
            <w:r>
              <w:rPr>
                <w:rFonts w:ascii="宋体" w:hAnsi="宋体" w:eastAsia="宋体" w:cs="Times New Roman"/>
                <w:color w:val="auto"/>
                <w:highlight w:val="none"/>
              </w:rPr>
              <w:t>0.2.</w:t>
            </w:r>
            <w:r>
              <w:rPr>
                <w:rFonts w:hint="eastAsia" w:ascii="宋体" w:hAnsi="宋体" w:eastAsia="宋体" w:cs="Times New Roman"/>
                <w:color w:val="auto"/>
                <w:highlight w:val="none"/>
              </w:rPr>
              <w:t>1</w:t>
            </w:r>
          </w:p>
        </w:tc>
        <w:tc>
          <w:tcPr>
            <w:tcW w:w="8363" w:type="dxa"/>
            <w:gridSpan w:val="2"/>
            <w:vAlign w:val="center"/>
          </w:tcPr>
          <w:p w14:paraId="4D26C65D">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付款方式：</w:t>
            </w:r>
            <w:r>
              <w:rPr>
                <w:rFonts w:hint="eastAsia" w:ascii="宋体" w:hAnsi="宋体" w:eastAsia="宋体" w:cs="Times New Roman"/>
                <w:color w:val="auto"/>
                <w:highlight w:val="none"/>
                <w:lang w:val="en-US" w:eastAsia="zh-CN"/>
              </w:rPr>
              <w:t>由双方签订合同时约定</w:t>
            </w:r>
            <w:r>
              <w:rPr>
                <w:rFonts w:hint="eastAsia" w:ascii="宋体" w:hAnsi="宋体" w:eastAsia="宋体" w:cs="Times New Roman"/>
                <w:color w:val="auto"/>
                <w:highlight w:val="none"/>
              </w:rPr>
              <w:t>。</w:t>
            </w:r>
          </w:p>
        </w:tc>
      </w:tr>
      <w:tr w14:paraId="3CBE671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92" w:type="dxa"/>
            <w:vAlign w:val="center"/>
          </w:tcPr>
          <w:p w14:paraId="5D1B725D">
            <w:pPr>
              <w:spacing w:before="120" w:beforeLines="50" w:line="360" w:lineRule="auto"/>
              <w:jc w:val="center"/>
              <w:rPr>
                <w:rFonts w:hint="eastAsia" w:ascii="宋体" w:hAnsi="宋体" w:eastAsia="宋体" w:cs="宋体"/>
                <w:color w:val="auto"/>
                <w:highlight w:val="none"/>
              </w:rPr>
            </w:pPr>
            <w:r>
              <w:rPr>
                <w:rFonts w:hint="eastAsia" w:ascii="宋体" w:hAnsi="宋体" w:eastAsia="宋体" w:cs="Times New Roman"/>
                <w:color w:val="auto"/>
                <w:highlight w:val="none"/>
              </w:rPr>
              <w:t>1</w:t>
            </w:r>
            <w:r>
              <w:rPr>
                <w:rFonts w:ascii="宋体" w:hAnsi="宋体" w:eastAsia="宋体" w:cs="Times New Roman"/>
                <w:color w:val="auto"/>
                <w:highlight w:val="none"/>
              </w:rPr>
              <w:t>0.2.</w:t>
            </w:r>
            <w:r>
              <w:rPr>
                <w:rFonts w:hint="eastAsia" w:ascii="宋体" w:hAnsi="宋体" w:eastAsia="宋体" w:cs="Times New Roman"/>
                <w:color w:val="auto"/>
                <w:highlight w:val="none"/>
              </w:rPr>
              <w:t>2</w:t>
            </w:r>
          </w:p>
        </w:tc>
        <w:tc>
          <w:tcPr>
            <w:tcW w:w="8363" w:type="dxa"/>
            <w:gridSpan w:val="2"/>
            <w:vAlign w:val="center"/>
          </w:tcPr>
          <w:p w14:paraId="00FF343A">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价格扣除</w:t>
            </w:r>
          </w:p>
          <w:p w14:paraId="598351C3">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1</w:t>
            </w:r>
            <w:r>
              <w:rPr>
                <w:rFonts w:ascii="宋体" w:hAnsi="宋体" w:eastAsia="宋体" w:cs="Times New Roman"/>
                <w:color w:val="auto"/>
                <w:highlight w:val="none"/>
              </w:rPr>
              <w:t>.</w:t>
            </w:r>
            <w:r>
              <w:rPr>
                <w:rFonts w:hint="eastAsia" w:ascii="宋体" w:hAnsi="宋体" w:eastAsia="宋体" w:cs="Times New Roman"/>
                <w:color w:val="auto"/>
                <w:highlight w:val="none"/>
              </w:rPr>
              <w:t>根据《政府采购促进中小企业发展暂行办法》（财库〔</w:t>
            </w:r>
            <w:r>
              <w:rPr>
                <w:rFonts w:ascii="宋体" w:hAnsi="宋体" w:eastAsia="宋体" w:cs="Times New Roman"/>
                <w:color w:val="auto"/>
                <w:highlight w:val="none"/>
              </w:rPr>
              <w:t>2020〕46号）、</w:t>
            </w:r>
            <w:r>
              <w:rPr>
                <w:rFonts w:hint="eastAsia" w:ascii="宋体" w:hAnsi="宋体" w:eastAsia="宋体" w:cs="Times New Roman"/>
                <w:color w:val="auto"/>
                <w:highlight w:val="none"/>
              </w:rPr>
              <w:t>《财政部司法部关于政府采购支持监狱企业发展有关问题的通知》（财库〔</w:t>
            </w:r>
            <w:r>
              <w:rPr>
                <w:rFonts w:ascii="宋体" w:hAnsi="宋体" w:eastAsia="宋体" w:cs="Times New Roman"/>
                <w:color w:val="auto"/>
                <w:highlight w:val="none"/>
              </w:rPr>
              <w:t>2014〕68号）和</w:t>
            </w:r>
            <w:r>
              <w:rPr>
                <w:rFonts w:hint="eastAsia" w:ascii="宋体" w:hAnsi="宋体" w:eastAsia="宋体" w:cs="Times New Roman"/>
                <w:color w:val="auto"/>
                <w:highlight w:val="none"/>
              </w:rPr>
              <w:t>《财政部</w:t>
            </w:r>
            <w:r>
              <w:rPr>
                <w:rFonts w:ascii="宋体" w:hAnsi="宋体" w:eastAsia="宋体" w:cs="Times New Roman"/>
                <w:color w:val="auto"/>
                <w:highlight w:val="none"/>
              </w:rPr>
              <w:t>民政部中国残疾人联合会关于促进残疾人就业政府采购政策的通知》（财库〔2017〕141号）的规定，</w:t>
            </w:r>
            <w:r>
              <w:rPr>
                <w:rFonts w:hint="eastAsia" w:ascii="宋体" w:hAnsi="宋体" w:eastAsia="宋体" w:cs="Times New Roman"/>
                <w:color w:val="auto"/>
                <w:highlight w:val="none"/>
              </w:rPr>
              <w:t>对符合规定的小微企业（监狱企业、残疾人福利性单位）报价给予</w:t>
            </w:r>
            <w:r>
              <w:rPr>
                <w:rFonts w:ascii="宋体" w:hAnsi="宋体" w:eastAsia="宋体" w:cs="Times New Roman"/>
                <w:color w:val="auto"/>
                <w:highlight w:val="none"/>
              </w:rPr>
              <w:t>10%的扣</w:t>
            </w:r>
            <w:r>
              <w:rPr>
                <w:rFonts w:hint="eastAsia" w:ascii="宋体" w:hAnsi="宋体" w:eastAsia="宋体" w:cs="Times New Roman"/>
                <w:color w:val="auto"/>
                <w:highlight w:val="none"/>
              </w:rPr>
              <w:t>除，</w:t>
            </w:r>
            <w:r>
              <w:rPr>
                <w:rFonts w:ascii="宋体" w:hAnsi="宋体" w:eastAsia="宋体" w:cs="Times New Roman"/>
                <w:color w:val="auto"/>
                <w:highlight w:val="none"/>
              </w:rPr>
              <w:t>用扣除后的价格参加评审。</w:t>
            </w:r>
          </w:p>
          <w:p w14:paraId="1DE484A1">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2</w:t>
            </w:r>
            <w:r>
              <w:rPr>
                <w:rFonts w:ascii="宋体" w:hAnsi="宋体" w:eastAsia="宋体" w:cs="Times New Roman"/>
                <w:color w:val="auto"/>
                <w:highlight w:val="none"/>
              </w:rPr>
              <w:t>.</w:t>
            </w:r>
            <w:r>
              <w:rPr>
                <w:rFonts w:hint="eastAsia" w:ascii="宋体" w:hAnsi="宋体" w:eastAsia="宋体" w:cs="Times New Roman"/>
                <w:color w:val="auto"/>
                <w:highlight w:val="none"/>
              </w:rPr>
              <w:t>不享受本条规定的价格扣除情形：</w:t>
            </w:r>
          </w:p>
          <w:p w14:paraId="62C0CACF">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（1）中小企业参加政府采购活动，未</w:t>
            </w:r>
            <w:r>
              <w:rPr>
                <w:rFonts w:ascii="宋体" w:hAnsi="宋体" w:eastAsia="宋体" w:cs="Times New Roman"/>
                <w:color w:val="auto"/>
                <w:highlight w:val="none"/>
              </w:rPr>
              <w:t>出具</w:t>
            </w:r>
            <w:r>
              <w:rPr>
                <w:rFonts w:hint="eastAsia" w:ascii="宋体" w:hAnsi="宋体" w:eastAsia="宋体" w:cs="Times New Roman"/>
                <w:color w:val="auto"/>
                <w:highlight w:val="none"/>
              </w:rPr>
              <w:t>《中小企业声明函》的，或投标人提供的货物既有中小企业制造货物，</w:t>
            </w:r>
            <w:r>
              <w:rPr>
                <w:rFonts w:ascii="宋体" w:hAnsi="宋体" w:eastAsia="宋体" w:cs="Times New Roman"/>
                <w:color w:val="auto"/>
                <w:highlight w:val="none"/>
              </w:rPr>
              <w:t>也有大型企业制造货物的</w:t>
            </w:r>
            <w:r>
              <w:rPr>
                <w:rFonts w:hint="eastAsia" w:ascii="宋体" w:hAnsi="宋体" w:eastAsia="宋体" w:cs="Times New Roman"/>
                <w:color w:val="auto"/>
                <w:highlight w:val="none"/>
              </w:rPr>
              <w:t>；</w:t>
            </w:r>
          </w:p>
          <w:p w14:paraId="19315B7E">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2</w:t>
            </w:r>
            <w:r>
              <w:rPr>
                <w:rFonts w:hint="eastAsia" w:ascii="宋体" w:hAnsi="宋体" w:eastAsia="宋体" w:cs="Times New Roman"/>
                <w:color w:val="auto"/>
                <w:highlight w:val="none"/>
              </w:rPr>
              <w:t>）监狱企业未出具省级以上监狱管理局、戒毒管理局（含新疆生产建设兵团）出具的属于监狱企业的证明文件的；</w:t>
            </w:r>
          </w:p>
          <w:p w14:paraId="158FA0A8">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）残疾人福利性单位未出具《残疾人福利性单位声明函》的。</w:t>
            </w:r>
          </w:p>
          <w:p w14:paraId="42130321">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w:t>
            </w:r>
            <w:r>
              <w:rPr>
                <w:rFonts w:hint="eastAsia" w:ascii="宋体" w:hAnsi="宋体" w:eastAsia="宋体" w:cs="Times New Roman"/>
                <w:color w:val="auto"/>
                <w:highlight w:val="none"/>
              </w:rPr>
              <w:t>对于同时属于小微企业、监狱企业或残疾人福利性单位的，不重复享受价格扣除。</w:t>
            </w:r>
          </w:p>
          <w:p w14:paraId="6E6BE85F">
            <w:pPr>
              <w:spacing w:before="72" w:beforeLines="30" w:line="312"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4</w:t>
            </w:r>
            <w:r>
              <w:rPr>
                <w:rFonts w:ascii="宋体" w:hAnsi="宋体" w:eastAsia="宋体" w:cs="Times New Roman"/>
                <w:color w:val="auto"/>
                <w:highlight w:val="none"/>
              </w:rPr>
              <w:t>.</w:t>
            </w:r>
            <w:r>
              <w:rPr>
                <w:rFonts w:hint="eastAsia" w:ascii="宋体" w:hAnsi="宋体" w:eastAsia="宋体" w:cs="Times New Roman"/>
                <w:color w:val="auto"/>
                <w:highlight w:val="none"/>
              </w:rPr>
              <w:t>投标人提供声明函内容不实的，</w:t>
            </w:r>
            <w:r>
              <w:rPr>
                <w:rFonts w:ascii="宋体" w:hAnsi="宋体" w:eastAsia="宋体" w:cs="Times New Roman"/>
                <w:color w:val="auto"/>
                <w:highlight w:val="none"/>
              </w:rPr>
              <w:t>属于提供虚假材料谋取中标、成交，依照《中华人民</w:t>
            </w:r>
            <w:r>
              <w:rPr>
                <w:rFonts w:hint="eastAsia" w:ascii="宋体" w:hAnsi="宋体" w:eastAsia="宋体" w:cs="Times New Roman"/>
                <w:color w:val="auto"/>
                <w:highlight w:val="none"/>
              </w:rPr>
              <w:t>共和国政府采购法》</w:t>
            </w:r>
            <w:r>
              <w:rPr>
                <w:rFonts w:ascii="宋体" w:hAnsi="宋体" w:eastAsia="宋体" w:cs="Times New Roman"/>
                <w:color w:val="auto"/>
                <w:highlight w:val="none"/>
              </w:rPr>
              <w:t>等国家有关规定追究相应责任。</w:t>
            </w:r>
          </w:p>
        </w:tc>
      </w:tr>
    </w:tbl>
    <w:p w14:paraId="6F86C53C">
      <w:pPr>
        <w:pStyle w:val="3"/>
        <w:spacing w:before="0" w:after="0" w:line="360" w:lineRule="auto"/>
        <w:rPr>
          <w:rFonts w:hint="eastAsia" w:ascii="宋体" w:hAnsi="宋体" w:eastAsia="宋体" w:cs="宋体"/>
          <w:color w:val="auto"/>
          <w:sz w:val="21"/>
          <w:szCs w:val="21"/>
          <w:highlight w:val="none"/>
        </w:rPr>
      </w:pPr>
      <w:bookmarkStart w:id="68" w:name="_Toc77116645"/>
      <w:bookmarkStart w:id="69" w:name="_Toc77658044"/>
      <w:bookmarkStart w:id="70" w:name="_Toc11087"/>
      <w:bookmarkStart w:id="71" w:name="_Toc70424825"/>
      <w:bookmarkStart w:id="72" w:name="_Toc77504034"/>
      <w:r>
        <w:rPr>
          <w:rFonts w:ascii="宋体" w:hAnsi="宋体" w:eastAsia="宋体" w:cs="Times New Roman"/>
          <w:color w:val="auto"/>
          <w:highlight w:val="none"/>
        </w:rPr>
        <w:br w:type="page"/>
      </w:r>
      <w:bookmarkEnd w:id="68"/>
      <w:bookmarkEnd w:id="69"/>
      <w:bookmarkEnd w:id="70"/>
      <w:bookmarkEnd w:id="71"/>
      <w:bookmarkEnd w:id="72"/>
      <w:bookmarkStart w:id="73" w:name="_Toc107396172"/>
      <w:bookmarkStart w:id="74" w:name="_Toc120282400"/>
      <w:bookmarkStart w:id="75" w:name="_Toc164432889"/>
      <w:r>
        <w:rPr>
          <w:rFonts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rPr>
        <w:t>总则</w:t>
      </w:r>
      <w:bookmarkEnd w:id="73"/>
      <w:bookmarkEnd w:id="74"/>
      <w:bookmarkEnd w:id="75"/>
    </w:p>
    <w:p w14:paraId="204978BF">
      <w:pPr>
        <w:pStyle w:val="4"/>
        <w:spacing w:before="0" w:after="0" w:line="360" w:lineRule="auto"/>
        <w:rPr>
          <w:rFonts w:ascii="宋体"/>
          <w:color w:val="auto"/>
          <w:sz w:val="21"/>
          <w:szCs w:val="21"/>
          <w:highlight w:val="none"/>
        </w:rPr>
      </w:pPr>
      <w:bookmarkStart w:id="76" w:name="_Toc120282401"/>
      <w:bookmarkStart w:id="77" w:name="_Toc77658045"/>
      <w:bookmarkStart w:id="78" w:name="_Toc70424826"/>
      <w:bookmarkStart w:id="79" w:name="_Toc77116646"/>
      <w:bookmarkStart w:id="80" w:name="_Toc77504035"/>
      <w:bookmarkStart w:id="81" w:name="_Toc164432890"/>
      <w:bookmarkStart w:id="82" w:name="_Toc16857"/>
      <w:bookmarkStart w:id="83" w:name="_Toc107396173"/>
      <w:r>
        <w:rPr>
          <w:rFonts w:ascii="宋体" w:hAnsi="宋体" w:cs="宋体"/>
          <w:color w:val="auto"/>
          <w:sz w:val="21"/>
          <w:szCs w:val="21"/>
          <w:highlight w:val="none"/>
        </w:rPr>
        <w:t xml:space="preserve">1.1 </w:t>
      </w:r>
      <w:r>
        <w:rPr>
          <w:rFonts w:hint="eastAsia" w:ascii="宋体" w:hAnsi="宋体" w:cs="宋体"/>
          <w:color w:val="auto"/>
          <w:sz w:val="21"/>
          <w:szCs w:val="21"/>
          <w:highlight w:val="none"/>
        </w:rPr>
        <w:t>项目概况</w:t>
      </w:r>
      <w:bookmarkEnd w:id="76"/>
      <w:bookmarkEnd w:id="77"/>
      <w:bookmarkEnd w:id="78"/>
      <w:bookmarkEnd w:id="79"/>
      <w:bookmarkEnd w:id="80"/>
      <w:bookmarkEnd w:id="81"/>
      <w:bookmarkEnd w:id="82"/>
      <w:bookmarkEnd w:id="83"/>
    </w:p>
    <w:p w14:paraId="3DAA0B3B">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1.1.1 </w:t>
      </w:r>
      <w:r>
        <w:rPr>
          <w:rFonts w:hint="eastAsia" w:ascii="宋体" w:hAnsi="宋体" w:eastAsia="宋体" w:cs="宋体"/>
          <w:color w:val="auto"/>
          <w:highlight w:val="none"/>
        </w:rPr>
        <w:t>根据《中华人民共和国政府采购法》、《中华人民共和国政府采购法实施条例》、《政府采购货物和服务招标投标管理办法》（财政部令第</w:t>
      </w:r>
      <w:r>
        <w:rPr>
          <w:rFonts w:ascii="宋体" w:hAnsi="宋体" w:eastAsia="宋体" w:cs="宋体"/>
          <w:color w:val="auto"/>
          <w:highlight w:val="none"/>
        </w:rPr>
        <w:t>87</w:t>
      </w:r>
      <w:r>
        <w:rPr>
          <w:rFonts w:hint="eastAsia" w:ascii="宋体" w:hAnsi="宋体" w:eastAsia="宋体" w:cs="宋体"/>
          <w:color w:val="auto"/>
          <w:highlight w:val="none"/>
        </w:rPr>
        <w:t>号）等有关法律、法规和规章的规定，本招标项目已具备招标条件，现对该项目进行公开招标。</w:t>
      </w:r>
    </w:p>
    <w:p w14:paraId="3F7DBA17">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1.1.2 </w:t>
      </w:r>
      <w:r>
        <w:rPr>
          <w:rFonts w:hint="eastAsia" w:ascii="宋体" w:hAnsi="宋体" w:eastAsia="宋体" w:cs="宋体"/>
          <w:color w:val="auto"/>
          <w:highlight w:val="none"/>
        </w:rPr>
        <w:t>采购人：见投标人须知前附表。</w:t>
      </w:r>
    </w:p>
    <w:p w14:paraId="5558CE29">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1.1.3 </w:t>
      </w:r>
      <w:r>
        <w:rPr>
          <w:rFonts w:hint="eastAsia" w:ascii="宋体" w:hAnsi="宋体" w:eastAsia="宋体" w:cs="宋体"/>
          <w:color w:val="auto"/>
          <w:highlight w:val="none"/>
        </w:rPr>
        <w:t>采购代理机构：见投标人须知前附表。</w:t>
      </w:r>
    </w:p>
    <w:p w14:paraId="4AE9D183">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1.1.4 </w:t>
      </w:r>
      <w:r>
        <w:rPr>
          <w:rFonts w:hint="eastAsia" w:ascii="宋体" w:hAnsi="宋体" w:eastAsia="宋体" w:cs="宋体"/>
          <w:color w:val="auto"/>
          <w:highlight w:val="none"/>
        </w:rPr>
        <w:t>招标项目名称：见投标人须知前附表。</w:t>
      </w:r>
    </w:p>
    <w:p w14:paraId="07176789">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1.1.5 </w:t>
      </w:r>
      <w:r>
        <w:rPr>
          <w:rFonts w:hint="eastAsia" w:ascii="宋体" w:hAnsi="宋体" w:eastAsia="宋体" w:cs="宋体"/>
          <w:color w:val="auto"/>
          <w:highlight w:val="none"/>
        </w:rPr>
        <w:t>服务地点：见投标人须知前附表。</w:t>
      </w:r>
    </w:p>
    <w:p w14:paraId="27EB9730">
      <w:pPr>
        <w:pStyle w:val="4"/>
        <w:spacing w:before="0" w:after="0" w:line="360" w:lineRule="auto"/>
        <w:rPr>
          <w:rFonts w:ascii="宋体"/>
          <w:color w:val="auto"/>
          <w:sz w:val="21"/>
          <w:szCs w:val="21"/>
          <w:highlight w:val="none"/>
        </w:rPr>
      </w:pPr>
      <w:bookmarkStart w:id="84" w:name="_Toc164432891"/>
      <w:bookmarkStart w:id="85" w:name="_Toc77116647"/>
      <w:bookmarkStart w:id="86" w:name="_Toc120282402"/>
      <w:bookmarkStart w:id="87" w:name="_Toc17033"/>
      <w:bookmarkStart w:id="88" w:name="_Toc77658046"/>
      <w:bookmarkStart w:id="89" w:name="_Toc107396174"/>
      <w:bookmarkStart w:id="90" w:name="_Toc70424827"/>
      <w:bookmarkStart w:id="91" w:name="_Toc77504036"/>
      <w:r>
        <w:rPr>
          <w:rFonts w:ascii="宋体" w:hAnsi="宋体" w:cs="宋体"/>
          <w:color w:val="auto"/>
          <w:sz w:val="21"/>
          <w:szCs w:val="21"/>
          <w:highlight w:val="none"/>
        </w:rPr>
        <w:t xml:space="preserve">1.2 </w:t>
      </w:r>
      <w:r>
        <w:rPr>
          <w:rFonts w:hint="eastAsia" w:ascii="宋体" w:hAnsi="宋体" w:cs="宋体"/>
          <w:color w:val="auto"/>
          <w:sz w:val="21"/>
          <w:szCs w:val="21"/>
          <w:highlight w:val="none"/>
        </w:rPr>
        <w:t>招标项目的资金来源及落实情况</w:t>
      </w:r>
      <w:bookmarkEnd w:id="84"/>
      <w:bookmarkEnd w:id="85"/>
      <w:bookmarkEnd w:id="86"/>
      <w:bookmarkEnd w:id="87"/>
      <w:bookmarkEnd w:id="88"/>
      <w:bookmarkEnd w:id="89"/>
      <w:bookmarkEnd w:id="90"/>
      <w:bookmarkEnd w:id="91"/>
    </w:p>
    <w:p w14:paraId="1413CA8E">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1.2.1 </w:t>
      </w:r>
      <w:r>
        <w:rPr>
          <w:rFonts w:hint="eastAsia" w:ascii="宋体" w:hAnsi="宋体" w:eastAsia="宋体" w:cs="宋体"/>
          <w:color w:val="auto"/>
          <w:highlight w:val="none"/>
        </w:rPr>
        <w:t>资金来源：见投标人须知前附表。</w:t>
      </w:r>
    </w:p>
    <w:p w14:paraId="564E735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1.2.2 </w:t>
      </w:r>
      <w:r>
        <w:rPr>
          <w:rFonts w:hint="eastAsia" w:ascii="宋体" w:hAnsi="宋体" w:eastAsia="宋体" w:cs="宋体"/>
          <w:color w:val="auto"/>
          <w:highlight w:val="none"/>
        </w:rPr>
        <w:t>资金落实情况：见投标人须知前附表。</w:t>
      </w:r>
    </w:p>
    <w:p w14:paraId="1AAABA14">
      <w:pPr>
        <w:pStyle w:val="4"/>
        <w:spacing w:before="0" w:after="0" w:line="360" w:lineRule="auto"/>
        <w:rPr>
          <w:rFonts w:ascii="宋体"/>
          <w:color w:val="auto"/>
          <w:sz w:val="21"/>
          <w:szCs w:val="21"/>
          <w:highlight w:val="none"/>
        </w:rPr>
      </w:pPr>
      <w:bookmarkStart w:id="92" w:name="_Toc77116648"/>
      <w:bookmarkStart w:id="93" w:name="_Toc70424828"/>
      <w:bookmarkStart w:id="94" w:name="_Toc107396175"/>
      <w:bookmarkStart w:id="95" w:name="_Toc120282403"/>
      <w:bookmarkStart w:id="96" w:name="_Toc3133"/>
      <w:bookmarkStart w:id="97" w:name="_Toc77658047"/>
      <w:bookmarkStart w:id="98" w:name="_Toc164432892"/>
      <w:bookmarkStart w:id="99" w:name="_Toc77504037"/>
      <w:r>
        <w:rPr>
          <w:rFonts w:ascii="宋体" w:hAnsi="宋体" w:cs="宋体"/>
          <w:color w:val="auto"/>
          <w:sz w:val="21"/>
          <w:szCs w:val="21"/>
          <w:highlight w:val="none"/>
        </w:rPr>
        <w:t xml:space="preserve">1.3 </w:t>
      </w:r>
      <w:r>
        <w:rPr>
          <w:rFonts w:hint="eastAsia" w:ascii="宋体" w:hAnsi="宋体" w:cs="宋体"/>
          <w:color w:val="auto"/>
          <w:sz w:val="21"/>
          <w:szCs w:val="21"/>
          <w:highlight w:val="none"/>
        </w:rPr>
        <w:t>采购范围、合同履行期限及服务标准</w:t>
      </w:r>
      <w:bookmarkEnd w:id="92"/>
      <w:bookmarkEnd w:id="93"/>
      <w:bookmarkEnd w:id="94"/>
      <w:bookmarkEnd w:id="95"/>
      <w:bookmarkEnd w:id="96"/>
      <w:bookmarkEnd w:id="97"/>
      <w:bookmarkEnd w:id="98"/>
      <w:bookmarkEnd w:id="99"/>
    </w:p>
    <w:p w14:paraId="22B147F7">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1.3.1 </w:t>
      </w:r>
      <w:r>
        <w:rPr>
          <w:rFonts w:hint="eastAsia" w:ascii="宋体" w:hAnsi="宋体" w:eastAsia="宋体" w:cs="宋体"/>
          <w:color w:val="auto"/>
          <w:highlight w:val="none"/>
        </w:rPr>
        <w:t>采购范围：见投标人须知前附表。</w:t>
      </w:r>
    </w:p>
    <w:p w14:paraId="06229923">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1.3.2 </w:t>
      </w:r>
      <w:r>
        <w:rPr>
          <w:rFonts w:hint="eastAsia" w:ascii="宋体" w:hAnsi="宋体" w:eastAsia="宋体" w:cs="宋体"/>
          <w:color w:val="auto"/>
          <w:highlight w:val="none"/>
        </w:rPr>
        <w:t>合同履行期限：见投标人须知前附表。</w:t>
      </w:r>
    </w:p>
    <w:p w14:paraId="78599559">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1.3.3 </w:t>
      </w:r>
      <w:r>
        <w:rPr>
          <w:rFonts w:hint="eastAsia" w:ascii="宋体" w:hAnsi="宋体" w:eastAsia="宋体" w:cs="宋体"/>
          <w:color w:val="auto"/>
          <w:highlight w:val="none"/>
        </w:rPr>
        <w:t>服务标准：见投标人须知前附表。</w:t>
      </w:r>
    </w:p>
    <w:p w14:paraId="1FC37C08">
      <w:pPr>
        <w:pStyle w:val="4"/>
        <w:spacing w:before="0" w:after="0" w:line="360" w:lineRule="auto"/>
        <w:rPr>
          <w:rFonts w:ascii="宋体"/>
          <w:color w:val="auto"/>
          <w:sz w:val="21"/>
          <w:szCs w:val="21"/>
          <w:highlight w:val="none"/>
        </w:rPr>
      </w:pPr>
      <w:bookmarkStart w:id="100" w:name="_Toc164432893"/>
      <w:bookmarkStart w:id="101" w:name="_Toc107396176"/>
      <w:bookmarkStart w:id="102" w:name="_Toc77658048"/>
      <w:bookmarkStart w:id="103" w:name="_Toc77116649"/>
      <w:bookmarkStart w:id="104" w:name="_Toc70424829"/>
      <w:bookmarkStart w:id="105" w:name="_Toc77504038"/>
      <w:bookmarkStart w:id="106" w:name="_Toc120282404"/>
      <w:bookmarkStart w:id="107" w:name="_Toc16836"/>
      <w:r>
        <w:rPr>
          <w:rFonts w:ascii="宋体" w:hAnsi="宋体" w:cs="宋体"/>
          <w:color w:val="auto"/>
          <w:sz w:val="21"/>
          <w:szCs w:val="21"/>
          <w:highlight w:val="none"/>
        </w:rPr>
        <w:t xml:space="preserve">1.4 </w:t>
      </w:r>
      <w:r>
        <w:rPr>
          <w:rFonts w:hint="eastAsia" w:ascii="宋体" w:hAnsi="宋体" w:cs="宋体"/>
          <w:color w:val="auto"/>
          <w:sz w:val="21"/>
          <w:szCs w:val="21"/>
          <w:highlight w:val="none"/>
        </w:rPr>
        <w:t>投标人资格要求</w:t>
      </w:r>
      <w:bookmarkEnd w:id="100"/>
      <w:bookmarkEnd w:id="101"/>
      <w:bookmarkEnd w:id="102"/>
      <w:bookmarkEnd w:id="103"/>
      <w:bookmarkEnd w:id="104"/>
      <w:bookmarkEnd w:id="105"/>
      <w:bookmarkEnd w:id="106"/>
      <w:bookmarkEnd w:id="107"/>
    </w:p>
    <w:p w14:paraId="297A0CC2">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1.4.1 </w:t>
      </w:r>
      <w:r>
        <w:rPr>
          <w:rFonts w:hint="eastAsia" w:ascii="宋体" w:hAnsi="宋体" w:eastAsia="宋体" w:cs="宋体"/>
          <w:color w:val="auto"/>
          <w:highlight w:val="none"/>
        </w:rPr>
        <w:t>投标人资格要求：见投标人须知前附表。</w:t>
      </w:r>
    </w:p>
    <w:p w14:paraId="4A483DC0">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需要提交的相关证明材料见本章第</w:t>
      </w:r>
      <w:r>
        <w:rPr>
          <w:rFonts w:ascii="宋体" w:hAnsi="宋体" w:eastAsia="宋体" w:cs="宋体"/>
          <w:color w:val="auto"/>
          <w:highlight w:val="none"/>
        </w:rPr>
        <w:t>3.5</w:t>
      </w:r>
      <w:r>
        <w:rPr>
          <w:rFonts w:hint="eastAsia" w:ascii="宋体" w:hAnsi="宋体" w:eastAsia="宋体" w:cs="宋体"/>
          <w:color w:val="auto"/>
          <w:highlight w:val="none"/>
        </w:rPr>
        <w:t>款的规定。</w:t>
      </w:r>
    </w:p>
    <w:p w14:paraId="5075CF55">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1.4.2 </w:t>
      </w:r>
      <w:r>
        <w:rPr>
          <w:rFonts w:hint="eastAsia" w:ascii="宋体" w:hAnsi="宋体" w:eastAsia="宋体" w:cs="宋体"/>
          <w:color w:val="auto"/>
          <w:highlight w:val="none"/>
        </w:rPr>
        <w:t>投标人须知前附表规定接受联合体投标的，联合体除应符合本章第</w:t>
      </w:r>
      <w:r>
        <w:rPr>
          <w:rFonts w:ascii="宋体" w:hAnsi="宋体" w:eastAsia="宋体" w:cs="宋体"/>
          <w:color w:val="auto"/>
          <w:highlight w:val="none"/>
        </w:rPr>
        <w:t>1.4.1</w:t>
      </w:r>
      <w:r>
        <w:rPr>
          <w:rFonts w:hint="eastAsia" w:ascii="宋体" w:hAnsi="宋体" w:eastAsia="宋体" w:cs="宋体"/>
          <w:color w:val="auto"/>
          <w:highlight w:val="none"/>
        </w:rPr>
        <w:t>项和投标人须知前附表的要求外，还应遵守以下规定：</w:t>
      </w:r>
    </w:p>
    <w:p w14:paraId="529FCEE3">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）联合体各方应按招标文件提供的格式签订联合体协议书，明确联合体牵头人和各方权利义务，并承诺就中标项目向采购人承担连带责任；</w:t>
      </w:r>
    </w:p>
    <w:p w14:paraId="57D0C09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）由同一专业的单位组成的联合体，按照资质等级较低的单位确定资质等级；</w:t>
      </w:r>
    </w:p>
    <w:p w14:paraId="7E7950CB">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）联合体各方不得再以自己名义单独或参加其他联合体在本招标项目中投标，否则各相关投标均无效。</w:t>
      </w:r>
    </w:p>
    <w:p w14:paraId="0F1D8A30">
      <w:pPr>
        <w:pStyle w:val="4"/>
        <w:spacing w:before="0" w:after="0" w:line="360" w:lineRule="auto"/>
        <w:rPr>
          <w:rFonts w:ascii="宋体"/>
          <w:color w:val="auto"/>
          <w:sz w:val="21"/>
          <w:szCs w:val="21"/>
          <w:highlight w:val="none"/>
        </w:rPr>
      </w:pPr>
      <w:bookmarkStart w:id="108" w:name="_Toc77658049"/>
      <w:bookmarkStart w:id="109" w:name="_Toc120282405"/>
      <w:bookmarkStart w:id="110" w:name="_Toc77504039"/>
      <w:bookmarkStart w:id="111" w:name="_Toc18299"/>
      <w:bookmarkStart w:id="112" w:name="_Toc70424830"/>
      <w:bookmarkStart w:id="113" w:name="_Toc77116650"/>
      <w:bookmarkStart w:id="114" w:name="_Toc164432894"/>
      <w:bookmarkStart w:id="115" w:name="_Toc107396177"/>
      <w:r>
        <w:rPr>
          <w:rFonts w:ascii="宋体" w:hAnsi="宋体" w:cs="宋体"/>
          <w:color w:val="auto"/>
          <w:sz w:val="21"/>
          <w:szCs w:val="21"/>
          <w:highlight w:val="none"/>
        </w:rPr>
        <w:t xml:space="preserve">1.5 </w:t>
      </w:r>
      <w:r>
        <w:rPr>
          <w:rFonts w:hint="eastAsia" w:ascii="宋体" w:hAnsi="宋体" w:cs="宋体"/>
          <w:color w:val="auto"/>
          <w:sz w:val="21"/>
          <w:szCs w:val="21"/>
          <w:highlight w:val="none"/>
        </w:rPr>
        <w:t>费用承担</w:t>
      </w:r>
      <w:bookmarkEnd w:id="108"/>
      <w:bookmarkEnd w:id="109"/>
      <w:bookmarkEnd w:id="110"/>
      <w:bookmarkEnd w:id="111"/>
      <w:bookmarkEnd w:id="112"/>
      <w:bookmarkEnd w:id="113"/>
      <w:bookmarkEnd w:id="114"/>
      <w:bookmarkEnd w:id="115"/>
    </w:p>
    <w:p w14:paraId="7B4B1273">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投标人准备和参加投标活动所发生的各种费用由投标人自行承担。</w:t>
      </w:r>
    </w:p>
    <w:p w14:paraId="0A0FBCC4">
      <w:pPr>
        <w:pStyle w:val="4"/>
        <w:spacing w:before="0" w:after="0" w:line="360" w:lineRule="auto"/>
        <w:rPr>
          <w:rFonts w:ascii="宋体"/>
          <w:color w:val="auto"/>
          <w:sz w:val="21"/>
          <w:szCs w:val="21"/>
          <w:highlight w:val="none"/>
        </w:rPr>
      </w:pPr>
      <w:bookmarkStart w:id="116" w:name="_Toc164432895"/>
      <w:bookmarkStart w:id="117" w:name="_Toc70424831"/>
      <w:bookmarkStart w:id="118" w:name="_Toc77504040"/>
      <w:bookmarkStart w:id="119" w:name="_Toc120282406"/>
      <w:bookmarkStart w:id="120" w:name="_Toc77116651"/>
      <w:bookmarkStart w:id="121" w:name="_Toc107396178"/>
      <w:bookmarkStart w:id="122" w:name="_Toc26853"/>
      <w:bookmarkStart w:id="123" w:name="_Toc77658050"/>
      <w:r>
        <w:rPr>
          <w:rFonts w:ascii="宋体" w:hAnsi="宋体" w:cs="宋体"/>
          <w:color w:val="auto"/>
          <w:sz w:val="21"/>
          <w:szCs w:val="21"/>
          <w:highlight w:val="none"/>
        </w:rPr>
        <w:t xml:space="preserve">1.6 </w:t>
      </w:r>
      <w:r>
        <w:rPr>
          <w:rFonts w:hint="eastAsia" w:ascii="宋体" w:hAnsi="宋体" w:cs="宋体"/>
          <w:color w:val="auto"/>
          <w:sz w:val="21"/>
          <w:szCs w:val="21"/>
          <w:highlight w:val="none"/>
        </w:rPr>
        <w:t>保密</w:t>
      </w:r>
      <w:bookmarkEnd w:id="116"/>
      <w:bookmarkEnd w:id="117"/>
      <w:bookmarkEnd w:id="118"/>
      <w:bookmarkEnd w:id="119"/>
      <w:bookmarkEnd w:id="120"/>
      <w:bookmarkEnd w:id="121"/>
      <w:bookmarkEnd w:id="122"/>
      <w:bookmarkEnd w:id="123"/>
    </w:p>
    <w:p w14:paraId="18C96FC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参加招标投标活动的各方应对招标文件和投标文件中的商业和技术等秘密保密，否则应承担相应的法律责任。</w:t>
      </w:r>
    </w:p>
    <w:p w14:paraId="02D16D67">
      <w:pPr>
        <w:pStyle w:val="4"/>
        <w:spacing w:before="0" w:after="0" w:line="360" w:lineRule="auto"/>
        <w:rPr>
          <w:rFonts w:ascii="宋体"/>
          <w:color w:val="auto"/>
          <w:sz w:val="21"/>
          <w:szCs w:val="21"/>
          <w:highlight w:val="none"/>
        </w:rPr>
      </w:pPr>
      <w:bookmarkStart w:id="124" w:name="_Toc77116652"/>
      <w:bookmarkStart w:id="125" w:name="_Toc15525"/>
      <w:bookmarkStart w:id="126" w:name="_Toc70424832"/>
      <w:bookmarkStart w:id="127" w:name="_Toc120282407"/>
      <w:bookmarkStart w:id="128" w:name="_Toc77658051"/>
      <w:bookmarkStart w:id="129" w:name="_Toc107396179"/>
      <w:bookmarkStart w:id="130" w:name="_Toc77504041"/>
      <w:bookmarkStart w:id="131" w:name="_Toc164432896"/>
      <w:r>
        <w:rPr>
          <w:rFonts w:ascii="宋体" w:hAnsi="宋体" w:cs="宋体"/>
          <w:color w:val="auto"/>
          <w:sz w:val="21"/>
          <w:szCs w:val="21"/>
          <w:highlight w:val="none"/>
        </w:rPr>
        <w:t xml:space="preserve">1.7 </w:t>
      </w:r>
      <w:r>
        <w:rPr>
          <w:rFonts w:hint="eastAsia" w:ascii="宋体" w:hAnsi="宋体" w:cs="宋体"/>
          <w:color w:val="auto"/>
          <w:sz w:val="21"/>
          <w:szCs w:val="21"/>
          <w:highlight w:val="none"/>
        </w:rPr>
        <w:t>语言文字</w:t>
      </w:r>
      <w:bookmarkEnd w:id="124"/>
      <w:bookmarkEnd w:id="125"/>
      <w:bookmarkEnd w:id="126"/>
      <w:bookmarkEnd w:id="127"/>
      <w:bookmarkEnd w:id="128"/>
      <w:bookmarkEnd w:id="129"/>
      <w:bookmarkEnd w:id="130"/>
      <w:bookmarkEnd w:id="131"/>
    </w:p>
    <w:p w14:paraId="375EA890">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招标投标文件使用的语言文字为中文。专用术语使用外文的，应附有中文注释。</w:t>
      </w:r>
    </w:p>
    <w:p w14:paraId="4575733B">
      <w:pPr>
        <w:pStyle w:val="4"/>
        <w:spacing w:before="0" w:after="0" w:line="360" w:lineRule="auto"/>
        <w:rPr>
          <w:rFonts w:ascii="宋体"/>
          <w:color w:val="auto"/>
          <w:sz w:val="21"/>
          <w:szCs w:val="21"/>
          <w:highlight w:val="none"/>
        </w:rPr>
      </w:pPr>
      <w:bookmarkStart w:id="132" w:name="_Toc164432897"/>
      <w:bookmarkStart w:id="133" w:name="_Toc120282408"/>
      <w:bookmarkStart w:id="134" w:name="_Toc77658052"/>
      <w:bookmarkStart w:id="135" w:name="_Toc77116653"/>
      <w:bookmarkStart w:id="136" w:name="_Toc70424833"/>
      <w:bookmarkStart w:id="137" w:name="_Toc107396180"/>
      <w:bookmarkStart w:id="138" w:name="_Toc77504042"/>
      <w:bookmarkStart w:id="139" w:name="_Toc27224"/>
      <w:r>
        <w:rPr>
          <w:rFonts w:ascii="宋体" w:hAnsi="宋体" w:cs="宋体"/>
          <w:color w:val="auto"/>
          <w:sz w:val="21"/>
          <w:szCs w:val="21"/>
          <w:highlight w:val="none"/>
        </w:rPr>
        <w:t xml:space="preserve">1.8 </w:t>
      </w:r>
      <w:r>
        <w:rPr>
          <w:rFonts w:hint="eastAsia" w:ascii="宋体" w:hAnsi="宋体" w:cs="宋体"/>
          <w:color w:val="auto"/>
          <w:sz w:val="21"/>
          <w:szCs w:val="21"/>
          <w:highlight w:val="none"/>
        </w:rPr>
        <w:t>计量单位</w:t>
      </w:r>
      <w:bookmarkEnd w:id="132"/>
      <w:bookmarkEnd w:id="133"/>
      <w:bookmarkEnd w:id="134"/>
      <w:bookmarkEnd w:id="135"/>
      <w:bookmarkEnd w:id="136"/>
      <w:bookmarkEnd w:id="137"/>
      <w:bookmarkEnd w:id="138"/>
      <w:bookmarkEnd w:id="139"/>
    </w:p>
    <w:p w14:paraId="45D283E3">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所有计量均采用中华人民共和国法定计量单位。</w:t>
      </w:r>
    </w:p>
    <w:p w14:paraId="381A730F">
      <w:pPr>
        <w:pStyle w:val="4"/>
        <w:spacing w:before="0" w:after="0" w:line="360" w:lineRule="auto"/>
        <w:rPr>
          <w:rFonts w:ascii="宋体"/>
          <w:color w:val="auto"/>
          <w:sz w:val="21"/>
          <w:szCs w:val="21"/>
          <w:highlight w:val="none"/>
        </w:rPr>
      </w:pPr>
      <w:bookmarkStart w:id="140" w:name="_Toc107396181"/>
      <w:bookmarkStart w:id="141" w:name="_Toc164432898"/>
      <w:bookmarkStart w:id="142" w:name="_Toc77658053"/>
      <w:bookmarkStart w:id="143" w:name="_Toc70424834"/>
      <w:bookmarkStart w:id="144" w:name="_Toc77504043"/>
      <w:bookmarkStart w:id="145" w:name="_Toc77116654"/>
      <w:bookmarkStart w:id="146" w:name="_Toc13211"/>
      <w:bookmarkStart w:id="147" w:name="_Toc120282409"/>
      <w:r>
        <w:rPr>
          <w:rFonts w:ascii="宋体" w:hAnsi="宋体" w:cs="宋体"/>
          <w:color w:val="auto"/>
          <w:sz w:val="21"/>
          <w:szCs w:val="21"/>
          <w:highlight w:val="none"/>
        </w:rPr>
        <w:t xml:space="preserve">1.9 </w:t>
      </w:r>
      <w:r>
        <w:rPr>
          <w:rFonts w:hint="eastAsia" w:ascii="宋体" w:hAnsi="宋体" w:cs="宋体"/>
          <w:color w:val="auto"/>
          <w:sz w:val="21"/>
          <w:szCs w:val="21"/>
          <w:highlight w:val="none"/>
        </w:rPr>
        <w:t>踏勘现场</w:t>
      </w:r>
      <w:bookmarkEnd w:id="140"/>
      <w:bookmarkEnd w:id="141"/>
      <w:bookmarkEnd w:id="142"/>
      <w:bookmarkEnd w:id="143"/>
      <w:bookmarkEnd w:id="144"/>
      <w:bookmarkEnd w:id="145"/>
      <w:bookmarkEnd w:id="146"/>
      <w:bookmarkEnd w:id="147"/>
    </w:p>
    <w:p w14:paraId="69BCC6E3">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1.9.1 </w:t>
      </w:r>
      <w:r>
        <w:rPr>
          <w:rFonts w:hint="eastAsia" w:ascii="宋体" w:hAnsi="宋体" w:eastAsia="宋体" w:cs="宋体"/>
          <w:color w:val="auto"/>
          <w:highlight w:val="none"/>
        </w:rPr>
        <w:t>投标人须知前附表规定组织踏勘现场的，采购人按投标人须知前附表规定的时间、地点组织投标人踏勘项目现场。部分投标人未按时参加踏勘现场的，不影响踏勘现场的正常进行。</w:t>
      </w:r>
    </w:p>
    <w:p w14:paraId="0A26D466">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1.9.2 </w:t>
      </w:r>
      <w:r>
        <w:rPr>
          <w:rFonts w:hint="eastAsia" w:ascii="宋体" w:hAnsi="宋体" w:eastAsia="宋体" w:cs="宋体"/>
          <w:color w:val="auto"/>
          <w:highlight w:val="none"/>
        </w:rPr>
        <w:t>投标人可自愿参加踏勘现场活动。除采购人的原因外，采购人对投标人参加踏勘现场中所发生的人员伤亡和财产损失不承担责任。</w:t>
      </w:r>
    </w:p>
    <w:p w14:paraId="0EAF100B">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1.9.3 </w:t>
      </w:r>
      <w:r>
        <w:rPr>
          <w:rFonts w:hint="eastAsia" w:ascii="宋体" w:hAnsi="宋体" w:eastAsia="宋体" w:cs="宋体"/>
          <w:color w:val="auto"/>
          <w:highlight w:val="none"/>
        </w:rPr>
        <w:t>采购人在踏勘现场中介绍的工程场地和相关的周边环境情况，仅作为投标人编制投标文件的参考，采购人不对投标人据此作出的判断和决策负责。</w:t>
      </w:r>
    </w:p>
    <w:p w14:paraId="6D07384E">
      <w:pPr>
        <w:pStyle w:val="4"/>
        <w:spacing w:before="0" w:after="0" w:line="360" w:lineRule="auto"/>
        <w:rPr>
          <w:rFonts w:ascii="宋体"/>
          <w:color w:val="auto"/>
          <w:sz w:val="21"/>
          <w:szCs w:val="21"/>
          <w:highlight w:val="none"/>
        </w:rPr>
      </w:pPr>
      <w:bookmarkStart w:id="148" w:name="_Toc77658054"/>
      <w:bookmarkStart w:id="149" w:name="_Toc120282410"/>
      <w:bookmarkStart w:id="150" w:name="_Toc77116655"/>
      <w:bookmarkStart w:id="151" w:name="_Toc164432899"/>
      <w:bookmarkStart w:id="152" w:name="_Toc70424835"/>
      <w:bookmarkStart w:id="153" w:name="_Toc77504044"/>
      <w:bookmarkStart w:id="154" w:name="_Toc14640"/>
      <w:bookmarkStart w:id="155" w:name="_Toc107396182"/>
      <w:r>
        <w:rPr>
          <w:rFonts w:ascii="宋体" w:hAnsi="宋体" w:cs="宋体"/>
          <w:color w:val="auto"/>
          <w:sz w:val="21"/>
          <w:szCs w:val="21"/>
          <w:highlight w:val="none"/>
        </w:rPr>
        <w:t xml:space="preserve">1.10 </w:t>
      </w:r>
      <w:r>
        <w:rPr>
          <w:rFonts w:hint="eastAsia" w:ascii="宋体" w:hAnsi="宋体" w:cs="宋体"/>
          <w:color w:val="auto"/>
          <w:sz w:val="21"/>
          <w:szCs w:val="21"/>
          <w:highlight w:val="none"/>
        </w:rPr>
        <w:t>投标预备会</w:t>
      </w:r>
      <w:bookmarkEnd w:id="148"/>
      <w:bookmarkEnd w:id="149"/>
      <w:bookmarkEnd w:id="150"/>
      <w:bookmarkEnd w:id="151"/>
      <w:bookmarkEnd w:id="152"/>
      <w:bookmarkEnd w:id="153"/>
      <w:bookmarkEnd w:id="154"/>
      <w:bookmarkEnd w:id="155"/>
    </w:p>
    <w:p w14:paraId="4907FF06">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投标人须知前附表规定召开投标预备会的，采购人按投标人须知前附表规定的时间和地点召开投标预备会。</w:t>
      </w:r>
    </w:p>
    <w:p w14:paraId="52CF583A">
      <w:pPr>
        <w:pStyle w:val="4"/>
        <w:spacing w:before="0" w:after="0" w:line="360" w:lineRule="auto"/>
        <w:rPr>
          <w:rFonts w:ascii="宋体"/>
          <w:color w:val="auto"/>
          <w:sz w:val="21"/>
          <w:szCs w:val="21"/>
          <w:highlight w:val="none"/>
        </w:rPr>
      </w:pPr>
      <w:bookmarkStart w:id="156" w:name="_Toc164432900"/>
      <w:bookmarkStart w:id="157" w:name="_Toc70424836"/>
      <w:bookmarkStart w:id="158" w:name="_Toc77504045"/>
      <w:bookmarkStart w:id="159" w:name="_Toc15111"/>
      <w:bookmarkStart w:id="160" w:name="_Toc77116656"/>
      <w:bookmarkStart w:id="161" w:name="_Toc107396183"/>
      <w:bookmarkStart w:id="162" w:name="_Toc77658055"/>
      <w:bookmarkStart w:id="163" w:name="_Toc120282411"/>
      <w:r>
        <w:rPr>
          <w:rFonts w:ascii="宋体" w:hAnsi="宋体" w:cs="宋体"/>
          <w:color w:val="auto"/>
          <w:sz w:val="21"/>
          <w:szCs w:val="21"/>
          <w:highlight w:val="none"/>
        </w:rPr>
        <w:t xml:space="preserve">1.11 </w:t>
      </w:r>
      <w:r>
        <w:rPr>
          <w:rFonts w:hint="eastAsia" w:ascii="宋体" w:hAnsi="宋体" w:cs="宋体"/>
          <w:color w:val="auto"/>
          <w:sz w:val="21"/>
          <w:szCs w:val="21"/>
          <w:highlight w:val="none"/>
        </w:rPr>
        <w:t>分包</w:t>
      </w:r>
      <w:bookmarkEnd w:id="156"/>
      <w:bookmarkEnd w:id="157"/>
      <w:bookmarkEnd w:id="158"/>
      <w:bookmarkEnd w:id="159"/>
      <w:bookmarkEnd w:id="160"/>
      <w:bookmarkEnd w:id="161"/>
      <w:bookmarkEnd w:id="162"/>
      <w:bookmarkEnd w:id="163"/>
    </w:p>
    <w:p w14:paraId="77789B1C">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本项目严禁分包。</w:t>
      </w:r>
    </w:p>
    <w:p w14:paraId="68E36C8B">
      <w:pPr>
        <w:pStyle w:val="4"/>
        <w:spacing w:before="0" w:after="0" w:line="360" w:lineRule="auto"/>
        <w:rPr>
          <w:rFonts w:ascii="宋体"/>
          <w:color w:val="auto"/>
          <w:sz w:val="21"/>
          <w:szCs w:val="21"/>
          <w:highlight w:val="none"/>
        </w:rPr>
      </w:pPr>
      <w:bookmarkStart w:id="164" w:name="_Toc6574"/>
      <w:bookmarkStart w:id="165" w:name="_Toc77504046"/>
      <w:bookmarkStart w:id="166" w:name="_Toc120282412"/>
      <w:bookmarkStart w:id="167" w:name="_Toc77658056"/>
      <w:bookmarkStart w:id="168" w:name="_Toc70424837"/>
      <w:bookmarkStart w:id="169" w:name="_Toc77116657"/>
      <w:bookmarkStart w:id="170" w:name="_Toc107396184"/>
      <w:bookmarkStart w:id="171" w:name="_Toc164432901"/>
      <w:r>
        <w:rPr>
          <w:rFonts w:ascii="宋体" w:hAnsi="宋体" w:cs="宋体"/>
          <w:color w:val="auto"/>
          <w:sz w:val="21"/>
          <w:szCs w:val="21"/>
          <w:highlight w:val="none"/>
        </w:rPr>
        <w:t xml:space="preserve">1.12 </w:t>
      </w:r>
      <w:r>
        <w:rPr>
          <w:rFonts w:hint="eastAsia" w:ascii="宋体" w:hAnsi="宋体" w:cs="宋体"/>
          <w:color w:val="auto"/>
          <w:sz w:val="21"/>
          <w:szCs w:val="21"/>
          <w:highlight w:val="none"/>
        </w:rPr>
        <w:t>响应和偏差</w:t>
      </w:r>
      <w:bookmarkEnd w:id="164"/>
      <w:bookmarkEnd w:id="165"/>
      <w:bookmarkEnd w:id="166"/>
      <w:bookmarkEnd w:id="167"/>
      <w:bookmarkEnd w:id="168"/>
      <w:bookmarkEnd w:id="169"/>
      <w:bookmarkEnd w:id="170"/>
      <w:bookmarkEnd w:id="171"/>
    </w:p>
    <w:p w14:paraId="77C7F592">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1.12.1</w:t>
      </w:r>
      <w:r>
        <w:rPr>
          <w:rFonts w:ascii="宋体" w:hAnsi="宋体" w:eastAsia="宋体" w:cs="Times New Roman"/>
          <w:color w:val="auto"/>
          <w:highlight w:val="none"/>
        </w:rPr>
        <w:t>投标文件应当对采购需求和合同草案中的关键条款作出满足性或更有利于采购人的响应，否则，投标人的投标文件将被视为无效。</w:t>
      </w:r>
    </w:p>
    <w:p w14:paraId="4D24E384">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1.12.2 </w:t>
      </w:r>
      <w:r>
        <w:rPr>
          <w:rFonts w:hint="eastAsia" w:ascii="宋体" w:hAnsi="宋体" w:eastAsia="宋体" w:cs="宋体"/>
          <w:color w:val="auto"/>
          <w:highlight w:val="none"/>
        </w:rPr>
        <w:t>投标人须知前附表规定了对非关键条款允许偏差的范围和可以偏差的项数的，如投标文件存在的偏差超出上述范围或项数，将被视为无效。</w:t>
      </w:r>
    </w:p>
    <w:p w14:paraId="1B391400">
      <w:pPr>
        <w:pStyle w:val="3"/>
        <w:spacing w:before="0" w:after="0" w:line="360" w:lineRule="auto"/>
        <w:rPr>
          <w:rFonts w:hint="eastAsia" w:ascii="宋体" w:hAnsi="宋体" w:eastAsia="宋体" w:cs="Times New Roman"/>
          <w:color w:val="auto"/>
          <w:sz w:val="21"/>
          <w:szCs w:val="21"/>
          <w:highlight w:val="none"/>
        </w:rPr>
      </w:pPr>
      <w:bookmarkStart w:id="172" w:name="_Toc77658057"/>
      <w:bookmarkStart w:id="173" w:name="_Toc164432902"/>
      <w:bookmarkStart w:id="174" w:name="_Toc77116658"/>
      <w:bookmarkStart w:id="175" w:name="_Toc107396185"/>
      <w:bookmarkStart w:id="176" w:name="_Toc15715"/>
      <w:bookmarkStart w:id="177" w:name="_Toc77504047"/>
      <w:bookmarkStart w:id="178" w:name="_Toc120282413"/>
      <w:bookmarkStart w:id="179" w:name="_Toc70424838"/>
      <w:r>
        <w:rPr>
          <w:rFonts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rPr>
        <w:t>招标文件</w:t>
      </w:r>
      <w:bookmarkEnd w:id="172"/>
      <w:bookmarkEnd w:id="173"/>
      <w:bookmarkEnd w:id="174"/>
      <w:bookmarkEnd w:id="175"/>
      <w:bookmarkEnd w:id="176"/>
      <w:bookmarkEnd w:id="177"/>
      <w:bookmarkEnd w:id="178"/>
      <w:bookmarkEnd w:id="179"/>
    </w:p>
    <w:p w14:paraId="77C0FDB1">
      <w:pPr>
        <w:pStyle w:val="4"/>
        <w:spacing w:before="0" w:after="0" w:line="360" w:lineRule="auto"/>
        <w:rPr>
          <w:rFonts w:ascii="宋体"/>
          <w:color w:val="auto"/>
          <w:sz w:val="21"/>
          <w:szCs w:val="21"/>
          <w:highlight w:val="none"/>
        </w:rPr>
      </w:pPr>
      <w:bookmarkStart w:id="180" w:name="_Toc164432903"/>
      <w:bookmarkStart w:id="181" w:name="_Toc77116659"/>
      <w:bookmarkStart w:id="182" w:name="_Toc77504048"/>
      <w:bookmarkStart w:id="183" w:name="_Toc3770"/>
      <w:bookmarkStart w:id="184" w:name="_Toc120282414"/>
      <w:bookmarkStart w:id="185" w:name="_Toc107396186"/>
      <w:bookmarkStart w:id="186" w:name="_Toc70424839"/>
      <w:bookmarkStart w:id="187" w:name="_Toc77658058"/>
      <w:r>
        <w:rPr>
          <w:rFonts w:ascii="宋体" w:hAnsi="宋体" w:cs="宋体"/>
          <w:color w:val="auto"/>
          <w:sz w:val="21"/>
          <w:szCs w:val="21"/>
          <w:highlight w:val="none"/>
        </w:rPr>
        <w:t xml:space="preserve">2.1 </w:t>
      </w:r>
      <w:r>
        <w:rPr>
          <w:rFonts w:hint="eastAsia" w:ascii="宋体" w:hAnsi="宋体" w:cs="宋体"/>
          <w:color w:val="auto"/>
          <w:sz w:val="21"/>
          <w:szCs w:val="21"/>
          <w:highlight w:val="none"/>
        </w:rPr>
        <w:t>招标文件的组成</w:t>
      </w:r>
      <w:bookmarkEnd w:id="180"/>
      <w:bookmarkEnd w:id="181"/>
      <w:bookmarkEnd w:id="182"/>
      <w:bookmarkEnd w:id="183"/>
      <w:bookmarkEnd w:id="184"/>
      <w:bookmarkEnd w:id="185"/>
      <w:bookmarkEnd w:id="186"/>
      <w:bookmarkEnd w:id="187"/>
    </w:p>
    <w:p w14:paraId="41D16A42">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本招标文件包括：</w:t>
      </w:r>
    </w:p>
    <w:p w14:paraId="19E642AA">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）招标公告；</w:t>
      </w:r>
    </w:p>
    <w:p w14:paraId="319841AF">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）投标人须知；</w:t>
      </w:r>
    </w:p>
    <w:p w14:paraId="391CACD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）评标办法；</w:t>
      </w:r>
    </w:p>
    <w:p w14:paraId="1C1EAA6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4</w:t>
      </w:r>
      <w:r>
        <w:rPr>
          <w:rFonts w:hint="eastAsia" w:ascii="宋体" w:hAnsi="宋体" w:eastAsia="宋体" w:cs="宋体"/>
          <w:color w:val="auto"/>
          <w:highlight w:val="none"/>
        </w:rPr>
        <w:t>）合同草案；</w:t>
      </w:r>
    </w:p>
    <w:p w14:paraId="5F7B7759">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5</w:t>
      </w:r>
      <w:r>
        <w:rPr>
          <w:rFonts w:hint="eastAsia" w:ascii="宋体" w:hAnsi="宋体" w:eastAsia="宋体" w:cs="宋体"/>
          <w:color w:val="auto"/>
          <w:highlight w:val="none"/>
        </w:rPr>
        <w:t>）采购需求；</w:t>
      </w:r>
    </w:p>
    <w:p w14:paraId="1E9E73F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6</w:t>
      </w:r>
      <w:r>
        <w:rPr>
          <w:rFonts w:hint="eastAsia" w:ascii="宋体" w:hAnsi="宋体" w:eastAsia="宋体" w:cs="宋体"/>
          <w:color w:val="auto"/>
          <w:highlight w:val="none"/>
        </w:rPr>
        <w:t>）投标文件格式；</w:t>
      </w:r>
    </w:p>
    <w:p w14:paraId="3FD2998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7</w:t>
      </w:r>
      <w:r>
        <w:rPr>
          <w:rFonts w:hint="eastAsia" w:ascii="宋体" w:hAnsi="宋体" w:eastAsia="宋体" w:cs="宋体"/>
          <w:color w:val="auto"/>
          <w:highlight w:val="none"/>
        </w:rPr>
        <w:t>）投标人须知前附表规定的其他资料。</w:t>
      </w:r>
    </w:p>
    <w:p w14:paraId="0D5893A2">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采购人依照本章规定，对招标文件所作的澄清、修改，构成招标文件的组成部分。</w:t>
      </w:r>
    </w:p>
    <w:p w14:paraId="1A245B30">
      <w:pPr>
        <w:pStyle w:val="4"/>
        <w:spacing w:before="0" w:after="0" w:line="360" w:lineRule="auto"/>
        <w:rPr>
          <w:rFonts w:ascii="宋体"/>
          <w:color w:val="auto"/>
          <w:sz w:val="21"/>
          <w:szCs w:val="21"/>
          <w:highlight w:val="none"/>
        </w:rPr>
      </w:pPr>
      <w:bookmarkStart w:id="188" w:name="_Toc164432904"/>
      <w:bookmarkStart w:id="189" w:name="_Toc120282415"/>
      <w:bookmarkStart w:id="190" w:name="_Toc107396187"/>
      <w:bookmarkStart w:id="191" w:name="_Toc70424840"/>
      <w:bookmarkStart w:id="192" w:name="_Toc21576"/>
      <w:bookmarkStart w:id="193" w:name="_Toc77658059"/>
      <w:bookmarkStart w:id="194" w:name="_Toc77116660"/>
      <w:bookmarkStart w:id="195" w:name="_Toc77504049"/>
      <w:r>
        <w:rPr>
          <w:rFonts w:ascii="宋体" w:hAnsi="宋体" w:cs="宋体"/>
          <w:color w:val="auto"/>
          <w:sz w:val="21"/>
          <w:szCs w:val="21"/>
          <w:highlight w:val="none"/>
        </w:rPr>
        <w:t xml:space="preserve">2.2 </w:t>
      </w:r>
      <w:r>
        <w:rPr>
          <w:rFonts w:hint="eastAsia" w:ascii="宋体" w:hAnsi="宋体" w:cs="宋体"/>
          <w:color w:val="auto"/>
          <w:sz w:val="21"/>
          <w:szCs w:val="21"/>
          <w:highlight w:val="none"/>
        </w:rPr>
        <w:t>招标文件的澄清和修改</w:t>
      </w:r>
      <w:bookmarkEnd w:id="188"/>
      <w:bookmarkEnd w:id="189"/>
      <w:bookmarkEnd w:id="190"/>
      <w:bookmarkEnd w:id="191"/>
      <w:bookmarkEnd w:id="192"/>
      <w:bookmarkEnd w:id="193"/>
      <w:bookmarkEnd w:id="194"/>
      <w:bookmarkEnd w:id="195"/>
    </w:p>
    <w:p w14:paraId="7FCAEFCA">
      <w:pPr>
        <w:spacing w:line="360" w:lineRule="auto"/>
        <w:ind w:firstLine="420" w:firstLineChars="200"/>
        <w:rPr>
          <w:rFonts w:hint="eastAsia" w:cs="宋体" w:asciiTheme="minorEastAsia" w:hAnsiTheme="minorEastAsia" w:eastAsiaTheme="minorEastAsia"/>
          <w:color w:val="auto"/>
          <w:highlight w:val="none"/>
        </w:rPr>
      </w:pPr>
      <w:r>
        <w:rPr>
          <w:rFonts w:ascii="宋体" w:hAnsi="宋体" w:eastAsia="宋体" w:cs="宋体"/>
          <w:color w:val="auto"/>
          <w:highlight w:val="none"/>
        </w:rPr>
        <w:t>2.2.1</w:t>
      </w:r>
      <w:r>
        <w:rPr>
          <w:rFonts w:hint="eastAsia" w:cs="宋体" w:asciiTheme="minorEastAsia" w:hAnsiTheme="minorEastAsia" w:eastAsiaTheme="minorEastAsia"/>
          <w:color w:val="auto"/>
          <w:highlight w:val="none"/>
        </w:rPr>
        <w:t>供应商应仔细阅读和检查采购文件的全部内容。如发现缺页或附件不全，应及时向采购代理机构提出，以便补齐。</w:t>
      </w:r>
    </w:p>
    <w:p w14:paraId="275E10CB">
      <w:pPr>
        <w:spacing w:line="360" w:lineRule="auto"/>
        <w:ind w:firstLine="420" w:firstLineChars="200"/>
        <w:rPr>
          <w:rFonts w:hint="eastAsia" w:cs="宋体" w:asciiTheme="minorEastAsia" w:hAnsiTheme="minorEastAsia" w:eastAsiaTheme="minorEastAsia"/>
          <w:color w:val="auto"/>
          <w:highlight w:val="none"/>
        </w:rPr>
      </w:pPr>
      <w:r>
        <w:rPr>
          <w:rFonts w:ascii="宋体" w:hAnsi="宋体" w:eastAsia="宋体" w:cs="宋体"/>
          <w:color w:val="auto"/>
          <w:highlight w:val="none"/>
        </w:rPr>
        <w:t>2.2.2</w:t>
      </w:r>
      <w:r>
        <w:rPr>
          <w:rFonts w:hint="eastAsia" w:cs="宋体" w:asciiTheme="minorEastAsia" w:hAnsiTheme="minorEastAsia" w:eastAsiaTheme="minorEastAsia"/>
          <w:color w:val="auto"/>
          <w:highlight w:val="none"/>
        </w:rPr>
        <w:t>采购文件的澄清将在供应商须知前附表规定的招标截止时间前，在政府采购云平台通知所有获取采购文件的供应商，但不指明澄清问题的来源。澄清发出的时间距投标文件提交截止时间不足5日的，并且澄清内容影响投标文件编制的，将相应延长投标文件提交截止时间。</w:t>
      </w:r>
    </w:p>
    <w:p w14:paraId="5EB711B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2.2.3</w:t>
      </w:r>
      <w:r>
        <w:rPr>
          <w:rFonts w:hint="eastAsia" w:ascii="宋体" w:hAnsi="宋体" w:eastAsia="宋体" w:cs="宋体"/>
          <w:color w:val="auto"/>
          <w:highlight w:val="none"/>
        </w:rPr>
        <w:t>供应商在收到澄清通知后，应按供应商须知前附表规定的时间和形式通知采购人，确认已收到该澄清。</w:t>
      </w:r>
    </w:p>
    <w:p w14:paraId="302E73E4">
      <w:pPr>
        <w:pStyle w:val="3"/>
        <w:spacing w:before="0" w:after="0" w:line="360" w:lineRule="auto"/>
        <w:rPr>
          <w:rFonts w:hint="eastAsia" w:ascii="宋体" w:hAnsi="宋体" w:eastAsia="宋体" w:cs="Times New Roman"/>
          <w:color w:val="auto"/>
          <w:sz w:val="21"/>
          <w:szCs w:val="21"/>
          <w:highlight w:val="none"/>
        </w:rPr>
      </w:pPr>
      <w:bookmarkStart w:id="196" w:name="_Toc70424841"/>
      <w:bookmarkStart w:id="197" w:name="_Toc77116661"/>
      <w:bookmarkStart w:id="198" w:name="_Toc77504050"/>
      <w:bookmarkStart w:id="199" w:name="_Toc77658060"/>
      <w:bookmarkStart w:id="200" w:name="_Toc120282416"/>
      <w:bookmarkStart w:id="201" w:name="_Toc164432905"/>
      <w:bookmarkStart w:id="202" w:name="_Toc346"/>
      <w:bookmarkStart w:id="203" w:name="_Toc107396188"/>
      <w:r>
        <w:rPr>
          <w:rFonts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rPr>
        <w:t>投标文件</w:t>
      </w:r>
      <w:bookmarkEnd w:id="196"/>
      <w:bookmarkEnd w:id="197"/>
      <w:bookmarkEnd w:id="198"/>
      <w:bookmarkEnd w:id="199"/>
      <w:bookmarkEnd w:id="200"/>
      <w:bookmarkEnd w:id="201"/>
      <w:bookmarkEnd w:id="202"/>
      <w:bookmarkEnd w:id="203"/>
    </w:p>
    <w:p w14:paraId="0120BB56">
      <w:pPr>
        <w:pStyle w:val="4"/>
        <w:spacing w:before="0" w:after="0" w:line="360" w:lineRule="auto"/>
        <w:rPr>
          <w:rFonts w:ascii="宋体"/>
          <w:color w:val="auto"/>
          <w:sz w:val="21"/>
          <w:szCs w:val="21"/>
          <w:highlight w:val="none"/>
        </w:rPr>
      </w:pPr>
      <w:bookmarkStart w:id="204" w:name="_Toc77504051"/>
      <w:bookmarkStart w:id="205" w:name="_Toc120282417"/>
      <w:bookmarkStart w:id="206" w:name="_Toc77116662"/>
      <w:bookmarkStart w:id="207" w:name="_Toc70424842"/>
      <w:bookmarkStart w:id="208" w:name="_Toc77658061"/>
      <w:bookmarkStart w:id="209" w:name="_Toc164432906"/>
      <w:bookmarkStart w:id="210" w:name="_Toc107396189"/>
      <w:bookmarkStart w:id="211" w:name="_Toc21955"/>
      <w:r>
        <w:rPr>
          <w:rFonts w:ascii="宋体" w:hAnsi="宋体" w:cs="宋体"/>
          <w:color w:val="auto"/>
          <w:sz w:val="21"/>
          <w:szCs w:val="21"/>
          <w:highlight w:val="none"/>
        </w:rPr>
        <w:t xml:space="preserve">3.1 </w:t>
      </w:r>
      <w:r>
        <w:rPr>
          <w:rFonts w:hint="eastAsia" w:ascii="宋体" w:hAnsi="宋体" w:cs="宋体"/>
          <w:color w:val="auto"/>
          <w:sz w:val="21"/>
          <w:szCs w:val="21"/>
          <w:highlight w:val="none"/>
        </w:rPr>
        <w:t>投标文件的组成</w:t>
      </w:r>
      <w:bookmarkEnd w:id="204"/>
      <w:bookmarkEnd w:id="205"/>
      <w:bookmarkEnd w:id="206"/>
      <w:bookmarkEnd w:id="207"/>
      <w:bookmarkEnd w:id="208"/>
      <w:bookmarkEnd w:id="209"/>
      <w:bookmarkEnd w:id="210"/>
      <w:bookmarkEnd w:id="211"/>
    </w:p>
    <w:p w14:paraId="5FBF8CFC">
      <w:pPr>
        <w:spacing w:line="360" w:lineRule="auto"/>
        <w:ind w:firstLine="420" w:firstLineChars="200"/>
        <w:rPr>
          <w:rFonts w:hint="eastAsia" w:ascii="宋体" w:hAnsi="宋体" w:eastAsia="宋体"/>
          <w:color w:val="auto"/>
          <w:highlight w:val="none"/>
        </w:rPr>
      </w:pPr>
      <w:bookmarkStart w:id="212" w:name="_Toc77504052"/>
      <w:bookmarkStart w:id="213" w:name="_Toc23136"/>
      <w:bookmarkStart w:id="214" w:name="_Toc120282418"/>
      <w:bookmarkStart w:id="215" w:name="_Toc77116663"/>
      <w:bookmarkStart w:id="216" w:name="_Toc77658062"/>
      <w:bookmarkStart w:id="217" w:name="_Toc107396190"/>
      <w:bookmarkStart w:id="218" w:name="_Toc70424843"/>
      <w:r>
        <w:rPr>
          <w:rFonts w:hint="eastAsia" w:ascii="宋体" w:hAnsi="宋体" w:eastAsia="宋体"/>
          <w:color w:val="auto"/>
          <w:highlight w:val="none"/>
        </w:rPr>
        <w:t>3.1.1 投标文件资格审查部分详见第六章“投标文件格式”资格审查部分中的内容。</w:t>
      </w:r>
    </w:p>
    <w:p w14:paraId="529088F9">
      <w:pPr>
        <w:spacing w:line="360" w:lineRule="auto"/>
        <w:ind w:firstLine="420" w:firstLineChars="200"/>
        <w:rPr>
          <w:rFonts w:hint="eastAsia" w:ascii="宋体" w:hAnsi="宋体" w:eastAsia="宋体"/>
          <w:color w:val="auto"/>
          <w:highlight w:val="none"/>
        </w:rPr>
      </w:pPr>
      <w:r>
        <w:rPr>
          <w:rFonts w:hint="eastAsia" w:ascii="宋体" w:hAnsi="宋体" w:eastAsia="宋体"/>
          <w:color w:val="auto"/>
          <w:highlight w:val="none"/>
        </w:rPr>
        <w:t>3.1.2 投标文件商务技术部分详见第六章“投标文件格式”商务技术部分中的内容。</w:t>
      </w:r>
    </w:p>
    <w:p w14:paraId="0DE38D34">
      <w:pPr>
        <w:spacing w:line="360" w:lineRule="auto"/>
        <w:ind w:firstLine="420" w:firstLineChars="200"/>
        <w:rPr>
          <w:rFonts w:hint="eastAsia" w:ascii="宋体" w:hAnsi="宋体" w:eastAsia="宋体"/>
          <w:color w:val="auto"/>
          <w:highlight w:val="none"/>
        </w:rPr>
      </w:pPr>
      <w:r>
        <w:rPr>
          <w:rFonts w:hint="eastAsia" w:ascii="宋体" w:hAnsi="宋体" w:eastAsia="宋体"/>
          <w:color w:val="auto"/>
          <w:highlight w:val="none"/>
        </w:rPr>
        <w:t>供应商在评审过程中作出的符合法律法规和招标文件规定的澄清确认，构成投标文件的组成部分。</w:t>
      </w:r>
    </w:p>
    <w:p w14:paraId="6DACC813">
      <w:pPr>
        <w:spacing w:line="360" w:lineRule="auto"/>
        <w:ind w:firstLine="420" w:firstLineChars="200"/>
        <w:rPr>
          <w:rFonts w:hint="eastAsia" w:ascii="宋体" w:hAnsi="宋体" w:eastAsia="宋体"/>
          <w:color w:val="auto"/>
          <w:highlight w:val="none"/>
        </w:rPr>
      </w:pPr>
      <w:r>
        <w:rPr>
          <w:rFonts w:hint="eastAsia" w:ascii="宋体" w:hAnsi="宋体" w:eastAsia="宋体"/>
          <w:color w:val="auto"/>
          <w:highlight w:val="none"/>
        </w:rPr>
        <w:t>3.1.3 供应商须知前附表未要求提交投标保证金的，投标文件不包括第六章“投标文件格式”商务技术部分中所指的投标保证金。</w:t>
      </w:r>
    </w:p>
    <w:p w14:paraId="188465FC">
      <w:pPr>
        <w:pStyle w:val="4"/>
        <w:spacing w:before="0" w:after="0" w:line="360" w:lineRule="auto"/>
        <w:rPr>
          <w:rFonts w:ascii="宋体"/>
          <w:color w:val="auto"/>
          <w:sz w:val="21"/>
          <w:szCs w:val="21"/>
          <w:highlight w:val="none"/>
        </w:rPr>
      </w:pPr>
      <w:bookmarkStart w:id="219" w:name="_Toc164432907"/>
      <w:r>
        <w:rPr>
          <w:rFonts w:ascii="宋体" w:hAnsi="宋体" w:cs="宋体"/>
          <w:color w:val="auto"/>
          <w:sz w:val="21"/>
          <w:szCs w:val="21"/>
          <w:highlight w:val="none"/>
        </w:rPr>
        <w:t xml:space="preserve">3.2 </w:t>
      </w:r>
      <w:r>
        <w:rPr>
          <w:rFonts w:hint="eastAsia" w:ascii="宋体" w:hAnsi="宋体" w:cs="宋体"/>
          <w:color w:val="auto"/>
          <w:sz w:val="21"/>
          <w:szCs w:val="21"/>
          <w:highlight w:val="none"/>
        </w:rPr>
        <w:t>投标报价</w:t>
      </w:r>
      <w:bookmarkEnd w:id="212"/>
      <w:bookmarkEnd w:id="213"/>
      <w:bookmarkEnd w:id="214"/>
      <w:bookmarkEnd w:id="215"/>
      <w:bookmarkEnd w:id="216"/>
      <w:bookmarkEnd w:id="217"/>
      <w:bookmarkEnd w:id="218"/>
      <w:bookmarkEnd w:id="219"/>
    </w:p>
    <w:p w14:paraId="2A49295F">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3.2.1 </w:t>
      </w:r>
      <w:r>
        <w:rPr>
          <w:rFonts w:hint="eastAsia" w:ascii="宋体" w:hAnsi="宋体" w:eastAsia="宋体" w:cs="宋体"/>
          <w:color w:val="auto"/>
          <w:highlight w:val="none"/>
        </w:rPr>
        <w:t>投标人应按招标文件提供的格式（见第六章“投标文件格式”）在投标函和报价表中进行报价。投标函中报价应为包含国家规定的增值税在内的含税价格。采购人将根据项目情况，在第三章“评标办法”第</w:t>
      </w:r>
      <w:r>
        <w:rPr>
          <w:rFonts w:ascii="宋体" w:hAnsi="宋体" w:eastAsia="宋体" w:cs="宋体"/>
          <w:color w:val="auto"/>
          <w:highlight w:val="none"/>
        </w:rPr>
        <w:t>3.1.1</w:t>
      </w:r>
      <w:r>
        <w:rPr>
          <w:rFonts w:hint="eastAsia" w:ascii="宋体" w:hAnsi="宋体" w:eastAsia="宋体" w:cs="宋体"/>
          <w:color w:val="auto"/>
          <w:highlight w:val="none"/>
        </w:rPr>
        <w:t>项中选择按含税价格对投标人进行价格评审。</w:t>
      </w:r>
    </w:p>
    <w:p w14:paraId="53C4FD86">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3.2.2 </w:t>
      </w:r>
      <w:r>
        <w:rPr>
          <w:rFonts w:hint="eastAsia" w:ascii="宋体" w:hAnsi="宋体" w:eastAsia="宋体" w:cs="宋体"/>
          <w:color w:val="auto"/>
          <w:highlight w:val="none"/>
        </w:rPr>
        <w:t>投标人应充分了解招标项目的总体情况以及影响报价的其他因素。对于货物和服务招标项目，采购人在签署采购合同时及合同履行过程中，有权在投标人须知前附表规定的幅度内对采购标的的数量进行增加或减少。</w:t>
      </w:r>
    </w:p>
    <w:p w14:paraId="473ED99E">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3.2.3 </w:t>
      </w:r>
      <w:r>
        <w:rPr>
          <w:rFonts w:hint="eastAsia" w:ascii="宋体" w:hAnsi="宋体" w:eastAsia="宋体" w:cs="宋体"/>
          <w:color w:val="auto"/>
          <w:highlight w:val="none"/>
        </w:rPr>
        <w:t>采购人设有最高限价的，投标人的投标报价不得超过最高限价。最高限价或最高限价计算方法在投标人须知前附表中载明。</w:t>
      </w:r>
    </w:p>
    <w:p w14:paraId="512F575E">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3.2.4 </w:t>
      </w:r>
      <w:r>
        <w:rPr>
          <w:rFonts w:hint="eastAsia" w:ascii="宋体" w:hAnsi="宋体" w:eastAsia="宋体" w:cs="宋体"/>
          <w:color w:val="auto"/>
          <w:highlight w:val="none"/>
        </w:rPr>
        <w:t>投标报价的其他要求见投标人须知前附表。</w:t>
      </w:r>
    </w:p>
    <w:p w14:paraId="20378A3E">
      <w:pPr>
        <w:pStyle w:val="4"/>
        <w:spacing w:before="0" w:after="0" w:line="360" w:lineRule="auto"/>
        <w:rPr>
          <w:rFonts w:ascii="宋体"/>
          <w:color w:val="auto"/>
          <w:sz w:val="21"/>
          <w:szCs w:val="21"/>
          <w:highlight w:val="none"/>
        </w:rPr>
      </w:pPr>
      <w:bookmarkStart w:id="220" w:name="_Toc70424844"/>
      <w:bookmarkStart w:id="221" w:name="_Toc120282419"/>
      <w:bookmarkStart w:id="222" w:name="_Toc107396191"/>
      <w:bookmarkStart w:id="223" w:name="_Toc77504053"/>
      <w:bookmarkStart w:id="224" w:name="_Toc164432908"/>
      <w:bookmarkStart w:id="225" w:name="_Toc77116664"/>
      <w:bookmarkStart w:id="226" w:name="_Toc77658063"/>
      <w:bookmarkStart w:id="227" w:name="_Toc18672"/>
      <w:r>
        <w:rPr>
          <w:rFonts w:ascii="宋体" w:hAnsi="宋体" w:cs="宋体"/>
          <w:color w:val="auto"/>
          <w:sz w:val="21"/>
          <w:szCs w:val="21"/>
          <w:highlight w:val="none"/>
        </w:rPr>
        <w:t xml:space="preserve">3.3 </w:t>
      </w:r>
      <w:r>
        <w:rPr>
          <w:rFonts w:hint="eastAsia" w:ascii="宋体" w:hAnsi="宋体" w:cs="宋体"/>
          <w:color w:val="auto"/>
          <w:sz w:val="21"/>
          <w:szCs w:val="21"/>
          <w:highlight w:val="none"/>
        </w:rPr>
        <w:t>投标文件有效期</w:t>
      </w:r>
      <w:bookmarkEnd w:id="220"/>
      <w:bookmarkEnd w:id="221"/>
      <w:bookmarkEnd w:id="222"/>
      <w:bookmarkEnd w:id="223"/>
      <w:bookmarkEnd w:id="224"/>
      <w:bookmarkEnd w:id="225"/>
      <w:bookmarkEnd w:id="226"/>
      <w:bookmarkEnd w:id="227"/>
    </w:p>
    <w:p w14:paraId="0DBF1EE1">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3.3.1 </w:t>
      </w:r>
      <w:r>
        <w:rPr>
          <w:rFonts w:hint="eastAsia" w:ascii="宋体" w:hAnsi="宋体" w:eastAsia="宋体" w:cs="宋体"/>
          <w:color w:val="auto"/>
          <w:highlight w:val="none"/>
        </w:rPr>
        <w:t>除投标人须知前附表另有规定外，投标文件有效期应为</w:t>
      </w:r>
      <w:r>
        <w:rPr>
          <w:rFonts w:ascii="宋体" w:hAnsi="宋体" w:eastAsia="宋体" w:cs="宋体"/>
          <w:color w:val="auto"/>
          <w:highlight w:val="none"/>
        </w:rPr>
        <w:t>90</w:t>
      </w:r>
      <w:r>
        <w:rPr>
          <w:rFonts w:hint="eastAsia" w:ascii="宋体" w:hAnsi="宋体" w:eastAsia="宋体" w:cs="宋体"/>
          <w:color w:val="auto"/>
          <w:highlight w:val="none"/>
        </w:rPr>
        <w:t>日，从招标文件规定的递交投标文件的截止时间开始计算。</w:t>
      </w:r>
    </w:p>
    <w:p w14:paraId="7810539C">
      <w:pPr>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 xml:space="preserve">3.3.2 </w:t>
      </w:r>
      <w:bookmarkStart w:id="228" w:name="_Toc16949"/>
      <w:bookmarkStart w:id="229" w:name="_Toc77116665"/>
      <w:bookmarkStart w:id="230" w:name="_Toc120282420"/>
      <w:bookmarkStart w:id="231" w:name="_Toc107396192"/>
      <w:bookmarkStart w:id="232" w:name="_Toc70424845"/>
      <w:bookmarkStart w:id="233" w:name="_Toc77504054"/>
      <w:bookmarkStart w:id="234" w:name="_Toc77658064"/>
      <w:r>
        <w:rPr>
          <w:rFonts w:hint="eastAsia" w:ascii="宋体" w:hAnsi="宋体" w:eastAsia="宋体" w:cs="宋体"/>
          <w:color w:val="auto"/>
          <w:highlight w:val="none"/>
        </w:rPr>
        <w:t>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5647884">
      <w:pPr>
        <w:pStyle w:val="4"/>
        <w:spacing w:before="0" w:after="0" w:line="360" w:lineRule="auto"/>
        <w:rPr>
          <w:rFonts w:hint="eastAsia" w:ascii="宋体" w:hAnsi="宋体" w:cs="宋体"/>
          <w:color w:val="auto"/>
          <w:sz w:val="21"/>
          <w:szCs w:val="21"/>
          <w:highlight w:val="none"/>
        </w:rPr>
      </w:pPr>
      <w:bookmarkStart w:id="235" w:name="_Toc164432909"/>
      <w:r>
        <w:rPr>
          <w:rFonts w:ascii="宋体" w:hAnsi="宋体" w:cs="宋体"/>
          <w:color w:val="auto"/>
          <w:sz w:val="21"/>
          <w:szCs w:val="21"/>
          <w:highlight w:val="none"/>
        </w:rPr>
        <w:t xml:space="preserve">3.4 </w:t>
      </w:r>
      <w:r>
        <w:rPr>
          <w:rFonts w:hint="eastAsia" w:ascii="宋体" w:hAnsi="宋体" w:cs="宋体"/>
          <w:color w:val="auto"/>
          <w:sz w:val="21"/>
          <w:szCs w:val="21"/>
          <w:highlight w:val="none"/>
        </w:rPr>
        <w:t>投标保证金</w:t>
      </w:r>
      <w:bookmarkEnd w:id="228"/>
      <w:bookmarkEnd w:id="229"/>
      <w:bookmarkEnd w:id="230"/>
      <w:bookmarkEnd w:id="231"/>
      <w:bookmarkEnd w:id="232"/>
      <w:bookmarkEnd w:id="233"/>
      <w:bookmarkEnd w:id="234"/>
      <w:bookmarkEnd w:id="235"/>
    </w:p>
    <w:p w14:paraId="1A7028B6">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3.4.1 </w:t>
      </w:r>
      <w:r>
        <w:rPr>
          <w:rFonts w:hint="eastAsia" w:ascii="宋体" w:hAnsi="宋体" w:eastAsia="宋体" w:cs="宋体"/>
          <w:color w:val="auto"/>
          <w:highlight w:val="none"/>
        </w:rPr>
        <w:t>投标人须知前附表规定要求递交投标保证金的，投标人在递交投标文件的同时，应按投标人须知前附表规定的金额、形式和第六章“投标文件格式”规定的投标保证金格式递交投标保证金，并作为其投标文件的组成部分。投标人不按要求递交投标保证金的，其投标文件将被视为无效。</w:t>
      </w:r>
    </w:p>
    <w:p w14:paraId="5BD68FE7">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3.4.2 </w:t>
      </w:r>
      <w:r>
        <w:rPr>
          <w:rFonts w:hint="eastAsia" w:ascii="宋体" w:hAnsi="宋体" w:eastAsia="宋体" w:cs="宋体"/>
          <w:color w:val="auto"/>
          <w:highlight w:val="none"/>
        </w:rPr>
        <w:t>除投标人须知前附表另有规定外，采购人最迟将在与中标人签订采购合同后</w:t>
      </w:r>
      <w:r>
        <w:rPr>
          <w:rFonts w:ascii="宋体" w:hAnsi="宋体" w:eastAsia="宋体" w:cs="宋体"/>
          <w:color w:val="auto"/>
          <w:highlight w:val="none"/>
        </w:rPr>
        <w:t>5</w:t>
      </w:r>
      <w:r>
        <w:rPr>
          <w:rFonts w:hint="eastAsia" w:ascii="宋体" w:hAnsi="宋体" w:eastAsia="宋体" w:cs="宋体"/>
          <w:color w:val="auto"/>
          <w:highlight w:val="none"/>
        </w:rPr>
        <w:t>日内，向未中标的投标人和中标人原额退还投标保证金。</w:t>
      </w:r>
    </w:p>
    <w:p w14:paraId="515B7D3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3.4.3 </w:t>
      </w:r>
      <w:r>
        <w:rPr>
          <w:rFonts w:hint="eastAsia" w:ascii="宋体" w:hAnsi="宋体" w:eastAsia="宋体" w:cs="宋体"/>
          <w:color w:val="auto"/>
          <w:highlight w:val="none"/>
        </w:rPr>
        <w:t>有下列情形之一的，投标保证金将不予退还：</w:t>
      </w:r>
    </w:p>
    <w:p w14:paraId="3DDE8656">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）投标人在投标文件有效期内撤销投标文件；</w:t>
      </w:r>
    </w:p>
    <w:p w14:paraId="1CD45A4D">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）中标人在收到中标通知书后，无正当理由不与采购人订立合同，在签订合同时向采购人提出附加条件，或者不按照招标文件要求递交履约保证金；</w:t>
      </w:r>
    </w:p>
    <w:p w14:paraId="1998F346">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）发生投标人须知前附表规定的其他不予退还投标保证金的情形。</w:t>
      </w:r>
    </w:p>
    <w:p w14:paraId="1BB979DB">
      <w:pPr>
        <w:pStyle w:val="4"/>
        <w:spacing w:before="0" w:after="0" w:line="360" w:lineRule="auto"/>
        <w:rPr>
          <w:rFonts w:ascii="宋体"/>
          <w:color w:val="auto"/>
          <w:sz w:val="21"/>
          <w:szCs w:val="21"/>
          <w:highlight w:val="none"/>
        </w:rPr>
      </w:pPr>
      <w:bookmarkStart w:id="236" w:name="_Toc70424846"/>
      <w:bookmarkStart w:id="237" w:name="_Toc77658065"/>
      <w:bookmarkStart w:id="238" w:name="_Toc107396193"/>
      <w:bookmarkStart w:id="239" w:name="_Toc77116666"/>
      <w:bookmarkStart w:id="240" w:name="_Toc77504055"/>
      <w:bookmarkStart w:id="241" w:name="_Toc120282421"/>
      <w:bookmarkStart w:id="242" w:name="_Toc164432910"/>
      <w:bookmarkStart w:id="243" w:name="_Toc6389"/>
      <w:r>
        <w:rPr>
          <w:rFonts w:ascii="宋体" w:hAnsi="宋体" w:cs="宋体"/>
          <w:color w:val="auto"/>
          <w:sz w:val="21"/>
          <w:szCs w:val="21"/>
          <w:highlight w:val="none"/>
        </w:rPr>
        <w:t xml:space="preserve">3.5 </w:t>
      </w:r>
      <w:r>
        <w:rPr>
          <w:rFonts w:hint="eastAsia" w:ascii="宋体" w:hAnsi="宋体" w:cs="宋体"/>
          <w:color w:val="auto"/>
          <w:sz w:val="21"/>
          <w:szCs w:val="21"/>
          <w:highlight w:val="none"/>
        </w:rPr>
        <w:t>资格审查资料</w:t>
      </w:r>
      <w:bookmarkEnd w:id="236"/>
      <w:bookmarkEnd w:id="237"/>
      <w:bookmarkEnd w:id="238"/>
      <w:bookmarkEnd w:id="239"/>
      <w:bookmarkEnd w:id="240"/>
      <w:bookmarkEnd w:id="241"/>
      <w:bookmarkEnd w:id="242"/>
      <w:bookmarkEnd w:id="243"/>
    </w:p>
    <w:p w14:paraId="35848D9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除投标人须知前附表另有规定外，投标人应按下列规定提供资格审查资料，以证明其满足本章第</w:t>
      </w:r>
      <w:r>
        <w:rPr>
          <w:rFonts w:ascii="宋体" w:hAnsi="宋体" w:eastAsia="宋体" w:cs="宋体"/>
          <w:color w:val="auto"/>
          <w:highlight w:val="none"/>
        </w:rPr>
        <w:t>1.4</w:t>
      </w:r>
      <w:r>
        <w:rPr>
          <w:rFonts w:hint="eastAsia" w:ascii="宋体" w:hAnsi="宋体" w:eastAsia="宋体" w:cs="宋体"/>
          <w:color w:val="auto"/>
          <w:highlight w:val="none"/>
        </w:rPr>
        <w:t>款规定的各项资格要求。</w:t>
      </w:r>
    </w:p>
    <w:p w14:paraId="3938BB3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3.5.1 </w:t>
      </w:r>
      <w:r>
        <w:rPr>
          <w:rFonts w:hint="eastAsia" w:ascii="宋体" w:hAnsi="宋体" w:eastAsia="宋体" w:cs="宋体"/>
          <w:color w:val="auto"/>
          <w:highlight w:val="none"/>
        </w:rPr>
        <w:t>满足《中华人民共和国政府采购法》第二十二条规定：见投标人须知前附表第</w:t>
      </w:r>
      <w:r>
        <w:rPr>
          <w:rFonts w:ascii="宋体" w:hAnsi="宋体" w:eastAsia="宋体" w:cs="宋体"/>
          <w:color w:val="auto"/>
          <w:highlight w:val="none"/>
        </w:rPr>
        <w:t>1.4.1</w:t>
      </w:r>
      <w:r>
        <w:rPr>
          <w:rFonts w:hint="eastAsia" w:ascii="宋体" w:hAnsi="宋体" w:eastAsia="宋体" w:cs="宋体"/>
          <w:color w:val="auto"/>
          <w:highlight w:val="none"/>
        </w:rPr>
        <w:t>项。</w:t>
      </w:r>
    </w:p>
    <w:p w14:paraId="5071F867">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3.5.2 </w:t>
      </w:r>
      <w:r>
        <w:rPr>
          <w:rFonts w:hint="eastAsia" w:ascii="宋体" w:hAnsi="宋体" w:eastAsia="宋体" w:cs="宋体"/>
          <w:color w:val="auto"/>
          <w:highlight w:val="none"/>
        </w:rPr>
        <w:t>特定资格要求：见投标人须知前附表第</w:t>
      </w:r>
      <w:r>
        <w:rPr>
          <w:rFonts w:ascii="宋体" w:hAnsi="宋体" w:eastAsia="宋体" w:cs="宋体"/>
          <w:color w:val="auto"/>
          <w:highlight w:val="none"/>
        </w:rPr>
        <w:t>1.4.1</w:t>
      </w:r>
      <w:r>
        <w:rPr>
          <w:rFonts w:hint="eastAsia" w:ascii="宋体" w:hAnsi="宋体" w:eastAsia="宋体" w:cs="宋体"/>
          <w:color w:val="auto"/>
          <w:highlight w:val="none"/>
        </w:rPr>
        <w:t>项。</w:t>
      </w:r>
    </w:p>
    <w:p w14:paraId="3F536AB3">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3.5.3 </w:t>
      </w:r>
      <w:r>
        <w:rPr>
          <w:rFonts w:hint="eastAsia" w:ascii="宋体" w:hAnsi="宋体" w:eastAsia="宋体" w:cs="宋体"/>
          <w:color w:val="auto"/>
          <w:highlight w:val="none"/>
        </w:rPr>
        <w:t>投标人须知前附表规定接受联合体投标的，本章第</w:t>
      </w:r>
      <w:r>
        <w:rPr>
          <w:rFonts w:ascii="宋体" w:hAnsi="宋体" w:eastAsia="宋体" w:cs="宋体"/>
          <w:color w:val="auto"/>
          <w:highlight w:val="none"/>
        </w:rPr>
        <w:t>3.5.1</w:t>
      </w:r>
      <w:r>
        <w:rPr>
          <w:rFonts w:hint="eastAsia" w:ascii="宋体" w:hAnsi="宋体" w:eastAsia="宋体" w:cs="宋体"/>
          <w:color w:val="auto"/>
          <w:highlight w:val="none"/>
        </w:rPr>
        <w:t>项至第</w:t>
      </w:r>
      <w:r>
        <w:rPr>
          <w:rFonts w:ascii="宋体" w:hAnsi="宋体" w:eastAsia="宋体" w:cs="宋体"/>
          <w:color w:val="auto"/>
          <w:highlight w:val="none"/>
        </w:rPr>
        <w:t>3.5.2</w:t>
      </w:r>
      <w:r>
        <w:rPr>
          <w:rFonts w:hint="eastAsia" w:ascii="宋体" w:hAnsi="宋体" w:eastAsia="宋体" w:cs="宋体"/>
          <w:color w:val="auto"/>
          <w:highlight w:val="none"/>
        </w:rPr>
        <w:t>项规定的表格和资料应包括联合体各方相关情况。</w:t>
      </w:r>
    </w:p>
    <w:p w14:paraId="7E31225A">
      <w:pPr>
        <w:pStyle w:val="4"/>
        <w:spacing w:before="0" w:after="0" w:line="360" w:lineRule="auto"/>
        <w:rPr>
          <w:rFonts w:ascii="宋体"/>
          <w:color w:val="auto"/>
          <w:sz w:val="21"/>
          <w:szCs w:val="21"/>
          <w:highlight w:val="none"/>
        </w:rPr>
      </w:pPr>
      <w:bookmarkStart w:id="244" w:name="_Toc70424847"/>
      <w:bookmarkStart w:id="245" w:name="_Toc22712"/>
      <w:bookmarkStart w:id="246" w:name="_Toc77658066"/>
      <w:bookmarkStart w:id="247" w:name="_Toc77504056"/>
      <w:bookmarkStart w:id="248" w:name="_Toc164432911"/>
      <w:bookmarkStart w:id="249" w:name="_Toc120282422"/>
      <w:bookmarkStart w:id="250" w:name="_Toc77116667"/>
      <w:bookmarkStart w:id="251" w:name="_Toc107396194"/>
      <w:r>
        <w:rPr>
          <w:rFonts w:ascii="宋体" w:hAnsi="宋体" w:cs="宋体"/>
          <w:color w:val="auto"/>
          <w:sz w:val="21"/>
          <w:szCs w:val="21"/>
          <w:highlight w:val="none"/>
        </w:rPr>
        <w:t xml:space="preserve">3.6 </w:t>
      </w:r>
      <w:r>
        <w:rPr>
          <w:rFonts w:hint="eastAsia" w:ascii="宋体" w:hAnsi="宋体" w:cs="宋体"/>
          <w:color w:val="auto"/>
          <w:sz w:val="21"/>
          <w:szCs w:val="21"/>
          <w:highlight w:val="none"/>
        </w:rPr>
        <w:t>投标方案</w:t>
      </w:r>
      <w:bookmarkEnd w:id="244"/>
      <w:bookmarkEnd w:id="245"/>
      <w:bookmarkEnd w:id="246"/>
      <w:bookmarkEnd w:id="247"/>
      <w:bookmarkEnd w:id="248"/>
      <w:bookmarkEnd w:id="249"/>
      <w:bookmarkEnd w:id="250"/>
      <w:bookmarkEnd w:id="251"/>
    </w:p>
    <w:p w14:paraId="3DFFC1EB">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3.6.1 </w:t>
      </w:r>
      <w:r>
        <w:rPr>
          <w:rFonts w:hint="eastAsia" w:ascii="宋体" w:hAnsi="宋体" w:eastAsia="宋体" w:cs="宋体"/>
          <w:color w:val="auto"/>
          <w:highlight w:val="none"/>
        </w:rPr>
        <w:t>投标文件应当对招标文件中的实质性内容作出响应。</w:t>
      </w:r>
    </w:p>
    <w:p w14:paraId="17BF2B84">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3.6.2 </w:t>
      </w:r>
      <w:r>
        <w:rPr>
          <w:rFonts w:hint="eastAsia" w:ascii="宋体" w:hAnsi="宋体" w:eastAsia="宋体" w:cs="宋体"/>
          <w:color w:val="auto"/>
          <w:highlight w:val="none"/>
        </w:rPr>
        <w:t>除投标人须知前附表规定投标人只能提出唯一投标方案外，投标人可在递交的投标文件中提出多个投标方案。评标委员会认为中标人的备选投标方案优于其按照招标文件要求编制的投标方案的，采购人可以接受该备选投标方案。</w:t>
      </w:r>
    </w:p>
    <w:p w14:paraId="1BF523F3">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3.6.3 </w:t>
      </w:r>
      <w:r>
        <w:rPr>
          <w:rFonts w:hint="eastAsia" w:ascii="宋体" w:hAnsi="宋体" w:eastAsia="宋体" w:cs="宋体"/>
          <w:color w:val="auto"/>
          <w:highlight w:val="none"/>
        </w:rPr>
        <w:t>投标文件对招标文件的全部偏差，均应在投标文件的商务和技术偏差表中列明。投标文件偏差表中未列明的内容，将视为响应招标文件的要求；但如发现投标文件的其他部分与商务和技术偏差表的描述不一致或投标人的响应缺乏支持性文件，则评标委员会有权要求投标人对相关问题进行澄清，并根据澄清结果对投标人的投标文件进行评审。</w:t>
      </w:r>
    </w:p>
    <w:p w14:paraId="2670CF36">
      <w:pPr>
        <w:pStyle w:val="4"/>
        <w:spacing w:before="0" w:after="0" w:line="360" w:lineRule="auto"/>
        <w:rPr>
          <w:rFonts w:ascii="宋体"/>
          <w:color w:val="auto"/>
          <w:sz w:val="21"/>
          <w:szCs w:val="21"/>
          <w:highlight w:val="none"/>
        </w:rPr>
      </w:pPr>
      <w:bookmarkStart w:id="252" w:name="_Toc77116668"/>
      <w:bookmarkStart w:id="253" w:name="_Toc77504057"/>
      <w:bookmarkStart w:id="254" w:name="_Toc77658067"/>
      <w:bookmarkStart w:id="255" w:name="_Toc27223"/>
      <w:bookmarkStart w:id="256" w:name="_Toc120282423"/>
      <w:bookmarkStart w:id="257" w:name="_Toc107396195"/>
      <w:bookmarkStart w:id="258" w:name="_Toc70424848"/>
      <w:bookmarkStart w:id="259" w:name="_Toc164432912"/>
      <w:r>
        <w:rPr>
          <w:rFonts w:ascii="宋体" w:hAnsi="宋体" w:cs="宋体"/>
          <w:color w:val="auto"/>
          <w:sz w:val="21"/>
          <w:szCs w:val="21"/>
          <w:highlight w:val="none"/>
        </w:rPr>
        <w:t xml:space="preserve">3.7 </w:t>
      </w:r>
      <w:r>
        <w:rPr>
          <w:rFonts w:hint="eastAsia" w:ascii="宋体" w:hAnsi="宋体" w:cs="宋体"/>
          <w:color w:val="auto"/>
          <w:sz w:val="21"/>
          <w:szCs w:val="21"/>
          <w:highlight w:val="none"/>
        </w:rPr>
        <w:t>投标文件的编制</w:t>
      </w:r>
      <w:bookmarkEnd w:id="252"/>
      <w:bookmarkEnd w:id="253"/>
      <w:bookmarkEnd w:id="254"/>
      <w:bookmarkEnd w:id="255"/>
      <w:bookmarkEnd w:id="256"/>
      <w:bookmarkEnd w:id="257"/>
      <w:bookmarkEnd w:id="258"/>
      <w:bookmarkEnd w:id="259"/>
    </w:p>
    <w:p w14:paraId="50CA0B5B">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3.7.1 </w:t>
      </w:r>
      <w:r>
        <w:rPr>
          <w:rFonts w:hint="eastAsia" w:ascii="宋体" w:hAnsi="宋体" w:eastAsia="宋体" w:cs="宋体"/>
          <w:color w:val="auto"/>
          <w:highlight w:val="none"/>
        </w:rPr>
        <w:t>投标文件应按第六章“投标文件格式”进行编写，如有必要，可以增加附页，作为投标文件的组成部分。</w:t>
      </w:r>
    </w:p>
    <w:p w14:paraId="7222797F">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3.7.2 </w:t>
      </w:r>
      <w:r>
        <w:rPr>
          <w:rFonts w:hint="eastAsia" w:ascii="宋体" w:hAnsi="宋体" w:eastAsia="宋体" w:cs="宋体"/>
          <w:color w:val="auto"/>
          <w:highlight w:val="none"/>
        </w:rPr>
        <w:t>投标文件电子签章及电子签名要求：见投标人须知前附表。</w:t>
      </w:r>
    </w:p>
    <w:p w14:paraId="2F9BFC5E">
      <w:pPr>
        <w:pStyle w:val="3"/>
        <w:spacing w:before="0" w:after="0" w:line="360" w:lineRule="auto"/>
        <w:rPr>
          <w:rFonts w:hint="eastAsia" w:ascii="宋体" w:hAnsi="宋体" w:eastAsia="宋体" w:cs="Times New Roman"/>
          <w:color w:val="auto"/>
          <w:sz w:val="21"/>
          <w:szCs w:val="21"/>
          <w:highlight w:val="none"/>
        </w:rPr>
      </w:pPr>
      <w:bookmarkStart w:id="260" w:name="_Toc107396196"/>
      <w:bookmarkStart w:id="261" w:name="_Toc77658068"/>
      <w:bookmarkStart w:id="262" w:name="_Toc77504058"/>
      <w:bookmarkStart w:id="263" w:name="_Toc77116669"/>
      <w:bookmarkStart w:id="264" w:name="_Toc70424849"/>
      <w:bookmarkStart w:id="265" w:name="_Toc11249"/>
      <w:bookmarkStart w:id="266" w:name="_Toc120282424"/>
      <w:bookmarkStart w:id="267" w:name="_Toc164432913"/>
      <w:r>
        <w:rPr>
          <w:rFonts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rPr>
        <w:t>投标文件的递交</w:t>
      </w:r>
      <w:bookmarkEnd w:id="260"/>
      <w:bookmarkEnd w:id="261"/>
      <w:bookmarkEnd w:id="262"/>
      <w:bookmarkEnd w:id="263"/>
      <w:bookmarkEnd w:id="264"/>
      <w:bookmarkEnd w:id="265"/>
      <w:bookmarkEnd w:id="266"/>
      <w:bookmarkEnd w:id="267"/>
    </w:p>
    <w:p w14:paraId="0E2D661D">
      <w:pPr>
        <w:pStyle w:val="4"/>
        <w:spacing w:before="0" w:after="0" w:line="360" w:lineRule="auto"/>
        <w:rPr>
          <w:rFonts w:ascii="宋体"/>
          <w:color w:val="auto"/>
          <w:sz w:val="21"/>
          <w:szCs w:val="21"/>
          <w:highlight w:val="none"/>
        </w:rPr>
      </w:pPr>
      <w:bookmarkStart w:id="268" w:name="_Toc70424850"/>
      <w:bookmarkStart w:id="269" w:name="_Toc77504059"/>
      <w:bookmarkStart w:id="270" w:name="_Toc2098"/>
      <w:bookmarkStart w:id="271" w:name="_Toc77116670"/>
      <w:bookmarkStart w:id="272" w:name="_Toc164432914"/>
      <w:bookmarkStart w:id="273" w:name="_Toc77658069"/>
      <w:bookmarkStart w:id="274" w:name="_Toc107396197"/>
      <w:bookmarkStart w:id="275" w:name="_Toc120282425"/>
      <w:r>
        <w:rPr>
          <w:rFonts w:ascii="宋体" w:hAnsi="宋体" w:cs="宋体"/>
          <w:color w:val="auto"/>
          <w:sz w:val="21"/>
          <w:szCs w:val="21"/>
          <w:highlight w:val="none"/>
        </w:rPr>
        <w:t xml:space="preserve">4.1 </w:t>
      </w:r>
      <w:r>
        <w:rPr>
          <w:rFonts w:hint="eastAsia" w:ascii="宋体" w:hAnsi="宋体" w:cs="宋体"/>
          <w:color w:val="auto"/>
          <w:sz w:val="21"/>
          <w:szCs w:val="21"/>
          <w:highlight w:val="none"/>
        </w:rPr>
        <w:t>投标文件的</w:t>
      </w:r>
      <w:bookmarkEnd w:id="268"/>
      <w:r>
        <w:rPr>
          <w:rFonts w:hint="eastAsia" w:ascii="宋体" w:hAnsi="宋体" w:cs="宋体"/>
          <w:color w:val="auto"/>
          <w:sz w:val="21"/>
          <w:szCs w:val="21"/>
          <w:highlight w:val="none"/>
        </w:rPr>
        <w:t>加密</w:t>
      </w:r>
      <w:bookmarkEnd w:id="269"/>
      <w:bookmarkEnd w:id="270"/>
      <w:bookmarkEnd w:id="271"/>
      <w:bookmarkEnd w:id="272"/>
      <w:bookmarkEnd w:id="273"/>
      <w:bookmarkEnd w:id="274"/>
      <w:bookmarkEnd w:id="275"/>
    </w:p>
    <w:p w14:paraId="7EB3105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投标人对网上递交的投标文件应</w:t>
      </w:r>
      <w:r>
        <w:rPr>
          <w:rFonts w:hint="eastAsia" w:ascii="宋体" w:hAnsi="宋体" w:eastAsia="宋体" w:cs="宋体"/>
          <w:color w:val="auto"/>
          <w:highlight w:val="none"/>
          <w:lang w:val="zh-CN"/>
        </w:rPr>
        <w:t>使用数字证书进行</w:t>
      </w:r>
      <w:r>
        <w:rPr>
          <w:rFonts w:hint="eastAsia" w:ascii="宋体" w:hAnsi="宋体" w:eastAsia="宋体" w:cs="宋体"/>
          <w:color w:val="auto"/>
          <w:highlight w:val="none"/>
        </w:rPr>
        <w:t>加密。</w:t>
      </w:r>
    </w:p>
    <w:p w14:paraId="3686E772">
      <w:pPr>
        <w:pStyle w:val="4"/>
        <w:spacing w:before="0" w:after="0" w:line="360" w:lineRule="auto"/>
        <w:rPr>
          <w:rFonts w:ascii="宋体"/>
          <w:color w:val="auto"/>
          <w:sz w:val="21"/>
          <w:szCs w:val="21"/>
          <w:highlight w:val="none"/>
        </w:rPr>
      </w:pPr>
      <w:bookmarkStart w:id="276" w:name="_Toc77658070"/>
      <w:bookmarkStart w:id="277" w:name="_Toc17143"/>
      <w:bookmarkStart w:id="278" w:name="_Toc107396198"/>
      <w:bookmarkStart w:id="279" w:name="_Toc120282426"/>
      <w:bookmarkStart w:id="280" w:name="_Toc77504060"/>
      <w:bookmarkStart w:id="281" w:name="_Toc77116671"/>
      <w:bookmarkStart w:id="282" w:name="_Toc70424851"/>
      <w:bookmarkStart w:id="283" w:name="_Toc164432915"/>
      <w:r>
        <w:rPr>
          <w:rFonts w:ascii="宋体" w:hAnsi="宋体" w:cs="宋体"/>
          <w:color w:val="auto"/>
          <w:sz w:val="21"/>
          <w:szCs w:val="21"/>
          <w:highlight w:val="none"/>
        </w:rPr>
        <w:t xml:space="preserve">4.2 </w:t>
      </w:r>
      <w:r>
        <w:rPr>
          <w:rFonts w:hint="eastAsia" w:ascii="宋体" w:hAnsi="宋体" w:cs="宋体"/>
          <w:color w:val="auto"/>
          <w:sz w:val="21"/>
          <w:szCs w:val="21"/>
          <w:highlight w:val="none"/>
        </w:rPr>
        <w:t>投标文件的递交</w:t>
      </w:r>
      <w:bookmarkEnd w:id="276"/>
      <w:bookmarkEnd w:id="277"/>
      <w:bookmarkEnd w:id="278"/>
      <w:bookmarkEnd w:id="279"/>
      <w:bookmarkEnd w:id="280"/>
      <w:bookmarkEnd w:id="281"/>
      <w:bookmarkEnd w:id="282"/>
      <w:bookmarkStart w:id="284" w:name="_Toc77658071"/>
      <w:bookmarkStart w:id="285" w:name="_Toc107396199"/>
      <w:bookmarkStart w:id="286" w:name="_Toc77504061"/>
      <w:bookmarkStart w:id="287" w:name="_Toc19453"/>
      <w:bookmarkStart w:id="288" w:name="_Toc120282427"/>
      <w:bookmarkStart w:id="289" w:name="_Toc70424852"/>
      <w:bookmarkStart w:id="290" w:name="_Toc77116672"/>
      <w:r>
        <w:rPr>
          <w:rFonts w:hint="eastAsia" w:ascii="宋体"/>
          <w:color w:val="auto"/>
          <w:sz w:val="21"/>
          <w:szCs w:val="21"/>
          <w:highlight w:val="none"/>
        </w:rPr>
        <w:t>：</w:t>
      </w:r>
      <w:r>
        <w:rPr>
          <w:rFonts w:hint="eastAsia" w:ascii="宋体" w:hAnsi="宋体" w:cs="宋体"/>
          <w:b w:val="0"/>
          <w:bCs w:val="0"/>
          <w:color w:val="auto"/>
          <w:kern w:val="2"/>
          <w:sz w:val="21"/>
          <w:szCs w:val="21"/>
          <w:highlight w:val="none"/>
        </w:rPr>
        <w:t>见投标人须知前附表。</w:t>
      </w:r>
      <w:bookmarkEnd w:id="283"/>
    </w:p>
    <w:p w14:paraId="7069D468">
      <w:pPr>
        <w:pStyle w:val="4"/>
        <w:spacing w:before="0" w:after="0" w:line="360" w:lineRule="auto"/>
        <w:rPr>
          <w:rFonts w:ascii="宋体"/>
          <w:color w:val="auto"/>
          <w:sz w:val="21"/>
          <w:szCs w:val="21"/>
          <w:highlight w:val="none"/>
        </w:rPr>
      </w:pPr>
      <w:bookmarkStart w:id="291" w:name="_Toc164432916"/>
      <w:r>
        <w:rPr>
          <w:rFonts w:ascii="宋体" w:hAnsi="宋体" w:cs="宋体"/>
          <w:color w:val="auto"/>
          <w:sz w:val="21"/>
          <w:szCs w:val="21"/>
          <w:highlight w:val="none"/>
        </w:rPr>
        <w:t xml:space="preserve">4.3 </w:t>
      </w:r>
      <w:r>
        <w:rPr>
          <w:rFonts w:hint="eastAsia" w:ascii="宋体" w:hAnsi="宋体" w:cs="宋体"/>
          <w:color w:val="auto"/>
          <w:sz w:val="21"/>
          <w:szCs w:val="21"/>
          <w:highlight w:val="none"/>
        </w:rPr>
        <w:t>投标文件的修改与撤回</w:t>
      </w:r>
      <w:bookmarkEnd w:id="284"/>
      <w:bookmarkEnd w:id="285"/>
      <w:bookmarkEnd w:id="286"/>
      <w:bookmarkEnd w:id="287"/>
      <w:bookmarkEnd w:id="288"/>
      <w:bookmarkEnd w:id="289"/>
      <w:bookmarkEnd w:id="290"/>
      <w:bookmarkEnd w:id="291"/>
    </w:p>
    <w:p w14:paraId="27068B6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4.3.1 </w:t>
      </w:r>
      <w:r>
        <w:rPr>
          <w:rFonts w:hint="eastAsia" w:ascii="宋体" w:hAnsi="宋体" w:eastAsia="宋体" w:cs="宋体"/>
          <w:color w:val="auto"/>
          <w:highlight w:val="none"/>
        </w:rPr>
        <w:t>在本章第</w:t>
      </w:r>
      <w:r>
        <w:rPr>
          <w:rFonts w:ascii="宋体" w:hAnsi="宋体" w:eastAsia="宋体" w:cs="宋体"/>
          <w:color w:val="auto"/>
          <w:highlight w:val="none"/>
        </w:rPr>
        <w:t>4.2.1</w:t>
      </w:r>
      <w:r>
        <w:rPr>
          <w:rFonts w:hint="eastAsia" w:ascii="宋体" w:hAnsi="宋体" w:eastAsia="宋体" w:cs="宋体"/>
          <w:color w:val="auto"/>
          <w:highlight w:val="none"/>
        </w:rPr>
        <w:t>项规定的递交投标文件的截止时间前，投标人可以修改或撤回已递交的投标文件。</w:t>
      </w:r>
    </w:p>
    <w:p w14:paraId="411DA37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4.3.2 </w:t>
      </w:r>
      <w:r>
        <w:rPr>
          <w:rFonts w:hint="eastAsia" w:ascii="宋体" w:hAnsi="宋体" w:eastAsia="宋体" w:cs="宋体"/>
          <w:color w:val="auto"/>
          <w:highlight w:val="none"/>
        </w:rPr>
        <w:t>投标人撤回投标文件的，可在规定时间内申请退还已缴纳的投标保证金。</w:t>
      </w:r>
    </w:p>
    <w:p w14:paraId="2913D70E">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4.3.3</w:t>
      </w:r>
      <w:r>
        <w:rPr>
          <w:rFonts w:hint="eastAsia" w:ascii="宋体" w:hAnsi="宋体" w:eastAsia="宋体" w:cs="宋体"/>
          <w:color w:val="auto"/>
          <w:highlight w:val="none"/>
        </w:rPr>
        <w:t>修改的投标文件应按照本章第</w:t>
      </w:r>
      <w:r>
        <w:rPr>
          <w:rFonts w:ascii="宋体" w:hAnsi="宋体" w:eastAsia="宋体" w:cs="宋体"/>
          <w:color w:val="auto"/>
          <w:highlight w:val="none"/>
        </w:rPr>
        <w:t>3</w:t>
      </w:r>
      <w:r>
        <w:rPr>
          <w:rFonts w:hint="eastAsia" w:ascii="宋体" w:hAnsi="宋体" w:eastAsia="宋体" w:cs="宋体"/>
          <w:color w:val="auto"/>
          <w:highlight w:val="none"/>
        </w:rPr>
        <w:t>条、第</w:t>
      </w:r>
      <w:r>
        <w:rPr>
          <w:rFonts w:ascii="宋体" w:hAnsi="宋体" w:eastAsia="宋体" w:cs="宋体"/>
          <w:color w:val="auto"/>
          <w:highlight w:val="none"/>
        </w:rPr>
        <w:t>4</w:t>
      </w:r>
      <w:r>
        <w:rPr>
          <w:rFonts w:hint="eastAsia" w:ascii="宋体" w:hAnsi="宋体" w:eastAsia="宋体" w:cs="宋体"/>
          <w:color w:val="auto"/>
          <w:highlight w:val="none"/>
        </w:rPr>
        <w:t>条规定进行编制和上传。</w:t>
      </w:r>
    </w:p>
    <w:p w14:paraId="792E05FB">
      <w:pPr>
        <w:pStyle w:val="3"/>
        <w:spacing w:before="0" w:after="0" w:line="360" w:lineRule="auto"/>
        <w:rPr>
          <w:rFonts w:hint="eastAsia" w:ascii="宋体" w:hAnsi="宋体" w:eastAsia="宋体" w:cs="Times New Roman"/>
          <w:color w:val="auto"/>
          <w:sz w:val="21"/>
          <w:szCs w:val="21"/>
          <w:highlight w:val="none"/>
        </w:rPr>
      </w:pPr>
      <w:bookmarkStart w:id="292" w:name="_Toc70424853"/>
      <w:bookmarkStart w:id="293" w:name="_Toc164432917"/>
      <w:bookmarkStart w:id="294" w:name="_Toc77116673"/>
      <w:bookmarkStart w:id="295" w:name="_Toc107396200"/>
      <w:bookmarkStart w:id="296" w:name="_Toc77658072"/>
      <w:bookmarkStart w:id="297" w:name="_Toc77504062"/>
      <w:bookmarkStart w:id="298" w:name="_Toc19742"/>
      <w:bookmarkStart w:id="299" w:name="_Toc120282428"/>
      <w:r>
        <w:rPr>
          <w:rFonts w:ascii="宋体" w:hAnsi="宋体" w:eastAsia="宋体" w:cs="宋体"/>
          <w:color w:val="auto"/>
          <w:sz w:val="21"/>
          <w:szCs w:val="21"/>
          <w:highlight w:val="none"/>
        </w:rPr>
        <w:t xml:space="preserve">5. </w:t>
      </w:r>
      <w:bookmarkEnd w:id="292"/>
      <w:r>
        <w:rPr>
          <w:rFonts w:hint="eastAsia" w:ascii="宋体" w:hAnsi="宋体" w:eastAsia="宋体" w:cs="宋体"/>
          <w:color w:val="auto"/>
          <w:sz w:val="21"/>
          <w:szCs w:val="21"/>
          <w:highlight w:val="none"/>
        </w:rPr>
        <w:t>开标</w:t>
      </w:r>
      <w:bookmarkEnd w:id="293"/>
      <w:bookmarkEnd w:id="294"/>
      <w:bookmarkEnd w:id="295"/>
      <w:bookmarkEnd w:id="296"/>
      <w:bookmarkEnd w:id="297"/>
      <w:bookmarkEnd w:id="298"/>
      <w:bookmarkEnd w:id="299"/>
    </w:p>
    <w:p w14:paraId="75A85C7A">
      <w:pPr>
        <w:pStyle w:val="4"/>
        <w:spacing w:before="0" w:after="0" w:line="360" w:lineRule="auto"/>
        <w:rPr>
          <w:rFonts w:ascii="宋体"/>
          <w:color w:val="auto"/>
          <w:sz w:val="21"/>
          <w:szCs w:val="21"/>
          <w:highlight w:val="none"/>
        </w:rPr>
      </w:pPr>
      <w:bookmarkStart w:id="300" w:name="_Toc77504063"/>
      <w:bookmarkStart w:id="301" w:name="_Toc70424854"/>
      <w:bookmarkStart w:id="302" w:name="_Toc77116674"/>
      <w:bookmarkStart w:id="303" w:name="_Toc77658073"/>
      <w:bookmarkStart w:id="304" w:name="_Toc164432918"/>
      <w:bookmarkStart w:id="305" w:name="_Toc107396201"/>
      <w:bookmarkStart w:id="306" w:name="_Toc120282429"/>
      <w:bookmarkStart w:id="307" w:name="_Toc23696"/>
      <w:r>
        <w:rPr>
          <w:rFonts w:ascii="宋体" w:hAnsi="宋体" w:cs="宋体"/>
          <w:color w:val="auto"/>
          <w:sz w:val="21"/>
          <w:szCs w:val="21"/>
          <w:highlight w:val="none"/>
        </w:rPr>
        <w:t xml:space="preserve">5.1 </w:t>
      </w:r>
      <w:r>
        <w:rPr>
          <w:rFonts w:hint="eastAsia" w:ascii="宋体" w:hAnsi="宋体" w:cs="宋体"/>
          <w:color w:val="auto"/>
          <w:sz w:val="21"/>
          <w:szCs w:val="21"/>
          <w:highlight w:val="none"/>
        </w:rPr>
        <w:t>开标时间和地点</w:t>
      </w:r>
      <w:bookmarkEnd w:id="300"/>
      <w:bookmarkEnd w:id="301"/>
      <w:bookmarkEnd w:id="302"/>
      <w:bookmarkEnd w:id="303"/>
      <w:bookmarkEnd w:id="304"/>
      <w:bookmarkEnd w:id="305"/>
      <w:bookmarkEnd w:id="306"/>
      <w:bookmarkEnd w:id="307"/>
    </w:p>
    <w:p w14:paraId="56F09C8B">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采购人在本章第</w:t>
      </w:r>
      <w:r>
        <w:rPr>
          <w:rFonts w:ascii="宋体" w:hAnsi="宋体" w:eastAsia="宋体" w:cs="宋体"/>
          <w:color w:val="auto"/>
          <w:highlight w:val="none"/>
        </w:rPr>
        <w:t>4.2.1</w:t>
      </w:r>
      <w:r>
        <w:rPr>
          <w:rFonts w:hint="eastAsia" w:ascii="宋体" w:hAnsi="宋体" w:eastAsia="宋体" w:cs="宋体"/>
          <w:color w:val="auto"/>
          <w:highlight w:val="none"/>
        </w:rPr>
        <w:t>项规定的递交投标文件的截止时间和投标人须知前附表规定的地点公开开标，并邀请所有投标人的法定代表人（单位负责人）或其授权的代理人准时参加。投标人无须到现场开标，参加开标的投标人代表应当在网上签到以证明其出席，在投标截止时间前提前进入到“网上开标室”，并在规定时间内完成远程解密。</w:t>
      </w:r>
    </w:p>
    <w:p w14:paraId="67B273CF">
      <w:pPr>
        <w:pStyle w:val="4"/>
        <w:spacing w:before="0" w:after="0" w:line="360" w:lineRule="auto"/>
        <w:rPr>
          <w:rFonts w:hint="eastAsia" w:ascii="宋体" w:hAnsi="宋体" w:cs="宋体"/>
          <w:b w:val="0"/>
          <w:bCs w:val="0"/>
          <w:color w:val="auto"/>
          <w:kern w:val="2"/>
          <w:sz w:val="21"/>
          <w:szCs w:val="21"/>
          <w:highlight w:val="none"/>
        </w:rPr>
      </w:pPr>
      <w:bookmarkStart w:id="308" w:name="_Toc77658074"/>
      <w:bookmarkStart w:id="309" w:name="_Toc107396202"/>
      <w:bookmarkStart w:id="310" w:name="_Toc77504064"/>
      <w:bookmarkStart w:id="311" w:name="_Toc120282430"/>
      <w:bookmarkStart w:id="312" w:name="_Toc77116675"/>
      <w:bookmarkStart w:id="313" w:name="_Toc70424855"/>
      <w:bookmarkStart w:id="314" w:name="_Toc32614"/>
      <w:bookmarkStart w:id="315" w:name="_Toc164432919"/>
      <w:r>
        <w:rPr>
          <w:rFonts w:ascii="宋体" w:hAnsi="宋体" w:cs="宋体"/>
          <w:color w:val="auto"/>
          <w:sz w:val="21"/>
          <w:szCs w:val="21"/>
          <w:highlight w:val="none"/>
        </w:rPr>
        <w:t xml:space="preserve">5.2 </w:t>
      </w:r>
      <w:r>
        <w:rPr>
          <w:rFonts w:hint="eastAsia" w:ascii="宋体" w:hAnsi="宋体" w:cs="宋体"/>
          <w:color w:val="auto"/>
          <w:sz w:val="21"/>
          <w:szCs w:val="21"/>
          <w:highlight w:val="none"/>
        </w:rPr>
        <w:t>开标程序</w:t>
      </w:r>
      <w:bookmarkEnd w:id="308"/>
      <w:bookmarkEnd w:id="309"/>
      <w:bookmarkEnd w:id="310"/>
      <w:bookmarkEnd w:id="311"/>
      <w:bookmarkEnd w:id="312"/>
      <w:bookmarkEnd w:id="313"/>
      <w:bookmarkEnd w:id="314"/>
      <w:bookmarkStart w:id="316" w:name="_Toc77504065"/>
      <w:bookmarkStart w:id="317" w:name="_Toc120282431"/>
      <w:bookmarkStart w:id="318" w:name="_Toc77658075"/>
      <w:bookmarkStart w:id="319" w:name="_Toc77116676"/>
      <w:bookmarkStart w:id="320" w:name="_Toc18000"/>
      <w:bookmarkStart w:id="321" w:name="_Toc107396203"/>
      <w:r>
        <w:rPr>
          <w:rFonts w:hint="eastAsia" w:ascii="宋体" w:hAnsi="宋体" w:cs="宋体"/>
          <w:color w:val="auto"/>
          <w:sz w:val="21"/>
          <w:szCs w:val="21"/>
          <w:highlight w:val="none"/>
        </w:rPr>
        <w:t>：</w:t>
      </w:r>
      <w:r>
        <w:rPr>
          <w:rFonts w:hint="eastAsia" w:ascii="宋体" w:hAnsi="宋体" w:cs="宋体"/>
          <w:b w:val="0"/>
          <w:bCs w:val="0"/>
          <w:color w:val="auto"/>
          <w:kern w:val="2"/>
          <w:sz w:val="21"/>
          <w:szCs w:val="21"/>
          <w:highlight w:val="none"/>
        </w:rPr>
        <w:t>见投标人须知前附表。</w:t>
      </w:r>
      <w:bookmarkEnd w:id="315"/>
    </w:p>
    <w:p w14:paraId="4411BAF1">
      <w:pPr>
        <w:pStyle w:val="4"/>
        <w:spacing w:before="0" w:after="0" w:line="360" w:lineRule="auto"/>
        <w:rPr>
          <w:rFonts w:ascii="宋体"/>
          <w:color w:val="auto"/>
          <w:sz w:val="21"/>
          <w:szCs w:val="21"/>
          <w:highlight w:val="none"/>
        </w:rPr>
      </w:pPr>
      <w:bookmarkStart w:id="322" w:name="_Toc164432920"/>
      <w:r>
        <w:rPr>
          <w:rFonts w:ascii="宋体" w:hAnsi="宋体" w:cs="宋体"/>
          <w:color w:val="auto"/>
          <w:sz w:val="21"/>
          <w:szCs w:val="21"/>
          <w:highlight w:val="none"/>
        </w:rPr>
        <w:t xml:space="preserve">5.3 </w:t>
      </w:r>
      <w:r>
        <w:rPr>
          <w:rFonts w:hint="eastAsia" w:ascii="宋体" w:hAnsi="宋体" w:cs="宋体"/>
          <w:color w:val="auto"/>
          <w:sz w:val="21"/>
          <w:szCs w:val="21"/>
          <w:highlight w:val="none"/>
        </w:rPr>
        <w:t>开标异议</w:t>
      </w:r>
      <w:bookmarkEnd w:id="316"/>
      <w:bookmarkEnd w:id="317"/>
      <w:bookmarkEnd w:id="318"/>
      <w:bookmarkEnd w:id="319"/>
      <w:bookmarkEnd w:id="320"/>
      <w:bookmarkEnd w:id="321"/>
      <w:bookmarkEnd w:id="322"/>
    </w:p>
    <w:p w14:paraId="773D9B3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投标人对开标有异议的，应当在开标现场提出，采购人当场作出答复，并制作记录。</w:t>
      </w:r>
    </w:p>
    <w:p w14:paraId="1178B439">
      <w:pPr>
        <w:pStyle w:val="3"/>
        <w:spacing w:before="0" w:after="0" w:line="360" w:lineRule="auto"/>
        <w:rPr>
          <w:rFonts w:hint="eastAsia" w:ascii="宋体" w:hAnsi="宋体" w:eastAsia="宋体" w:cs="Times New Roman"/>
          <w:color w:val="auto"/>
          <w:sz w:val="21"/>
          <w:szCs w:val="21"/>
          <w:highlight w:val="none"/>
        </w:rPr>
      </w:pPr>
      <w:bookmarkStart w:id="323" w:name="_Toc164432921"/>
      <w:bookmarkStart w:id="324" w:name="_Toc77116677"/>
      <w:bookmarkStart w:id="325" w:name="_Toc107396204"/>
      <w:bookmarkStart w:id="326" w:name="_Toc120282432"/>
      <w:bookmarkStart w:id="327" w:name="_Toc14974"/>
      <w:bookmarkStart w:id="328" w:name="_Toc77658076"/>
      <w:bookmarkStart w:id="329" w:name="_Toc77504066"/>
      <w:bookmarkStart w:id="330" w:name="_Hlk72489868"/>
      <w:r>
        <w:rPr>
          <w:rFonts w:ascii="宋体" w:hAnsi="宋体" w:eastAsia="宋体" w:cs="宋体"/>
          <w:color w:val="auto"/>
          <w:sz w:val="21"/>
          <w:szCs w:val="21"/>
          <w:highlight w:val="none"/>
        </w:rPr>
        <w:t xml:space="preserve">6. </w:t>
      </w:r>
      <w:r>
        <w:rPr>
          <w:rFonts w:hint="eastAsia" w:ascii="宋体" w:hAnsi="宋体" w:eastAsia="宋体" w:cs="宋体"/>
          <w:color w:val="auto"/>
          <w:sz w:val="21"/>
          <w:szCs w:val="21"/>
          <w:highlight w:val="none"/>
        </w:rPr>
        <w:t>评标</w:t>
      </w:r>
      <w:bookmarkEnd w:id="323"/>
      <w:bookmarkEnd w:id="324"/>
      <w:bookmarkEnd w:id="325"/>
      <w:bookmarkEnd w:id="326"/>
      <w:bookmarkEnd w:id="327"/>
      <w:bookmarkEnd w:id="328"/>
      <w:bookmarkEnd w:id="329"/>
    </w:p>
    <w:bookmarkEnd w:id="330"/>
    <w:p w14:paraId="5EA6B25E">
      <w:pPr>
        <w:pStyle w:val="4"/>
        <w:spacing w:before="0" w:after="0" w:line="360" w:lineRule="auto"/>
        <w:rPr>
          <w:rFonts w:ascii="宋体"/>
          <w:color w:val="auto"/>
          <w:sz w:val="21"/>
          <w:szCs w:val="21"/>
          <w:highlight w:val="none"/>
        </w:rPr>
      </w:pPr>
      <w:bookmarkStart w:id="331" w:name="_Toc15778"/>
      <w:bookmarkStart w:id="332" w:name="_Toc70424857"/>
      <w:bookmarkStart w:id="333" w:name="_Toc107396205"/>
      <w:bookmarkStart w:id="334" w:name="_Toc77116678"/>
      <w:bookmarkStart w:id="335" w:name="_Toc77658077"/>
      <w:bookmarkStart w:id="336" w:name="_Toc77504067"/>
      <w:bookmarkStart w:id="337" w:name="_Toc120282433"/>
      <w:bookmarkStart w:id="338" w:name="_Toc164432922"/>
      <w:r>
        <w:rPr>
          <w:rFonts w:ascii="宋体" w:hAnsi="宋体" w:cs="宋体"/>
          <w:color w:val="auto"/>
          <w:sz w:val="21"/>
          <w:szCs w:val="21"/>
          <w:highlight w:val="none"/>
        </w:rPr>
        <w:t xml:space="preserve">6.1 </w:t>
      </w:r>
      <w:r>
        <w:rPr>
          <w:rFonts w:hint="eastAsia" w:ascii="宋体" w:hAnsi="宋体" w:cs="宋体"/>
          <w:color w:val="auto"/>
          <w:sz w:val="21"/>
          <w:szCs w:val="21"/>
          <w:highlight w:val="none"/>
        </w:rPr>
        <w:t>评标委员会</w:t>
      </w:r>
      <w:bookmarkEnd w:id="331"/>
      <w:bookmarkEnd w:id="332"/>
      <w:bookmarkEnd w:id="333"/>
      <w:bookmarkEnd w:id="334"/>
      <w:bookmarkEnd w:id="335"/>
      <w:bookmarkEnd w:id="336"/>
      <w:bookmarkEnd w:id="337"/>
      <w:bookmarkEnd w:id="338"/>
    </w:p>
    <w:p w14:paraId="3C159AD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6.1.1 </w:t>
      </w:r>
      <w:r>
        <w:rPr>
          <w:rFonts w:hint="eastAsia" w:ascii="宋体" w:hAnsi="宋体" w:eastAsia="宋体" w:cs="宋体"/>
          <w:color w:val="auto"/>
          <w:highlight w:val="none"/>
        </w:rPr>
        <w:t>采购人将组建评标委员会，评标委员会成员人数见投标人须知前附表。</w:t>
      </w:r>
    </w:p>
    <w:p w14:paraId="23E0EF29">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6.1.2 </w:t>
      </w:r>
      <w:r>
        <w:rPr>
          <w:rFonts w:hint="eastAsia" w:ascii="宋体" w:hAnsi="宋体" w:eastAsia="宋体" w:cs="宋体"/>
          <w:color w:val="auto"/>
          <w:highlight w:val="none"/>
        </w:rPr>
        <w:t>评标委员会成员有下列情形之一的，应当回避：</w:t>
      </w:r>
    </w:p>
    <w:p w14:paraId="0743CA52">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）投标人主要负责人或投标人主要负责人的近亲属；</w:t>
      </w:r>
    </w:p>
    <w:p w14:paraId="4EB557C5">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）与投标人有经济利益关系或其他利害关系，可能影响公正评审的；</w:t>
      </w:r>
    </w:p>
    <w:p w14:paraId="1DF5124F">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6.1.3 </w:t>
      </w:r>
      <w:r>
        <w:rPr>
          <w:rFonts w:hint="eastAsia" w:ascii="宋体" w:hAnsi="宋体" w:eastAsia="宋体" w:cs="宋体"/>
          <w:color w:val="auto"/>
          <w:highlight w:val="none"/>
        </w:rPr>
        <w:t>评标委员会组建后，评标委员会成员共同推选评标委员会组长，评标委员会组长负责组织评标工作。</w:t>
      </w:r>
    </w:p>
    <w:p w14:paraId="5DCC3032">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6.1.4 </w:t>
      </w:r>
      <w:r>
        <w:rPr>
          <w:rFonts w:hint="eastAsia" w:ascii="宋体" w:hAnsi="宋体" w:eastAsia="宋体" w:cs="宋体"/>
          <w:color w:val="auto"/>
          <w:highlight w:val="none"/>
        </w:rPr>
        <w:t>在评标过程中，评标委员会成员对需要共同认定的事项存在争议的，将按照少数服从多数的原则作出结论。持不同意见的评标委员会成员应当在评审报告上签署不同意见及理由，否则视为同意评审报告。</w:t>
      </w:r>
    </w:p>
    <w:p w14:paraId="7D61E3A6">
      <w:pPr>
        <w:pStyle w:val="4"/>
        <w:spacing w:before="0" w:after="0" w:line="360" w:lineRule="auto"/>
        <w:rPr>
          <w:rFonts w:ascii="宋体"/>
          <w:color w:val="auto"/>
          <w:sz w:val="21"/>
          <w:szCs w:val="21"/>
          <w:highlight w:val="none"/>
        </w:rPr>
      </w:pPr>
      <w:bookmarkStart w:id="339" w:name="_Toc70424858"/>
      <w:bookmarkStart w:id="340" w:name="_Toc120282434"/>
      <w:bookmarkStart w:id="341" w:name="_Toc107396206"/>
      <w:bookmarkStart w:id="342" w:name="_Toc9695"/>
      <w:bookmarkStart w:id="343" w:name="_Toc77658078"/>
      <w:bookmarkStart w:id="344" w:name="_Toc164432923"/>
      <w:bookmarkStart w:id="345" w:name="_Toc77504068"/>
      <w:bookmarkStart w:id="346" w:name="_Toc77116679"/>
      <w:r>
        <w:rPr>
          <w:rFonts w:ascii="宋体" w:hAnsi="宋体" w:cs="宋体"/>
          <w:color w:val="auto"/>
          <w:sz w:val="21"/>
          <w:szCs w:val="21"/>
          <w:highlight w:val="none"/>
        </w:rPr>
        <w:t xml:space="preserve">6.2 </w:t>
      </w:r>
      <w:bookmarkEnd w:id="339"/>
      <w:r>
        <w:rPr>
          <w:rFonts w:hint="eastAsia" w:ascii="宋体" w:hAnsi="宋体" w:cs="宋体"/>
          <w:color w:val="auto"/>
          <w:sz w:val="21"/>
          <w:szCs w:val="21"/>
          <w:highlight w:val="none"/>
        </w:rPr>
        <w:t>评标原则</w:t>
      </w:r>
      <w:bookmarkEnd w:id="340"/>
      <w:bookmarkEnd w:id="341"/>
      <w:bookmarkEnd w:id="342"/>
      <w:bookmarkEnd w:id="343"/>
      <w:bookmarkEnd w:id="344"/>
      <w:bookmarkEnd w:id="345"/>
      <w:bookmarkEnd w:id="346"/>
    </w:p>
    <w:p w14:paraId="2F67505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评标活动遵循公平、公正、科学和择优的原则。</w:t>
      </w:r>
    </w:p>
    <w:p w14:paraId="2980F464">
      <w:pPr>
        <w:pStyle w:val="4"/>
        <w:spacing w:before="0" w:after="0" w:line="360" w:lineRule="auto"/>
        <w:rPr>
          <w:rFonts w:ascii="宋体"/>
          <w:color w:val="auto"/>
          <w:sz w:val="21"/>
          <w:szCs w:val="21"/>
          <w:highlight w:val="none"/>
        </w:rPr>
      </w:pPr>
      <w:bookmarkStart w:id="347" w:name="_Toc70424863"/>
      <w:bookmarkStart w:id="348" w:name="_Toc120282435"/>
      <w:bookmarkStart w:id="349" w:name="_Toc77658079"/>
      <w:bookmarkStart w:id="350" w:name="_Toc77504069"/>
      <w:bookmarkStart w:id="351" w:name="_Toc77116680"/>
      <w:bookmarkStart w:id="352" w:name="_Toc9752"/>
      <w:bookmarkStart w:id="353" w:name="_Toc107396207"/>
      <w:bookmarkStart w:id="354" w:name="_Toc164432924"/>
      <w:r>
        <w:rPr>
          <w:rFonts w:ascii="宋体" w:hAnsi="宋体" w:cs="宋体"/>
          <w:color w:val="auto"/>
          <w:sz w:val="21"/>
          <w:szCs w:val="21"/>
          <w:highlight w:val="none"/>
        </w:rPr>
        <w:t xml:space="preserve">6.3 </w:t>
      </w:r>
      <w:bookmarkEnd w:id="347"/>
      <w:r>
        <w:rPr>
          <w:rFonts w:hint="eastAsia" w:ascii="宋体" w:hAnsi="宋体" w:cs="宋体"/>
          <w:color w:val="auto"/>
          <w:sz w:val="21"/>
          <w:szCs w:val="21"/>
          <w:highlight w:val="none"/>
        </w:rPr>
        <w:t>评标</w:t>
      </w:r>
      <w:bookmarkEnd w:id="348"/>
      <w:bookmarkEnd w:id="349"/>
      <w:bookmarkEnd w:id="350"/>
      <w:bookmarkEnd w:id="351"/>
      <w:bookmarkEnd w:id="352"/>
      <w:bookmarkEnd w:id="353"/>
      <w:bookmarkEnd w:id="354"/>
    </w:p>
    <w:p w14:paraId="532C664F">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6.3.1 </w:t>
      </w:r>
      <w:r>
        <w:rPr>
          <w:rFonts w:hint="eastAsia" w:ascii="宋体" w:hAnsi="宋体" w:eastAsia="宋体" w:cs="宋体"/>
          <w:color w:val="auto"/>
          <w:highlight w:val="none"/>
        </w:rPr>
        <w:t>评标委员会按照第三章“评标办法”规定的方法、评审因素、标准和程序对投标文件进行评审。第三章“评标办法”没有规定的方法、评审因素和标准，不作为评标依据。</w:t>
      </w:r>
    </w:p>
    <w:p w14:paraId="695DD790">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6.3.2 </w:t>
      </w:r>
      <w:r>
        <w:rPr>
          <w:rFonts w:hint="eastAsia" w:ascii="宋体" w:hAnsi="宋体" w:eastAsia="宋体" w:cs="宋体"/>
          <w:color w:val="auto"/>
          <w:highlight w:val="none"/>
        </w:rPr>
        <w:t>评标完成后，评标委员会应当向采购人提交书面评标报告和中标候选人名单。评标委员会推荐中标候选人的人数见投标人须知前附表。</w:t>
      </w:r>
    </w:p>
    <w:p w14:paraId="50239A9C">
      <w:pPr>
        <w:pStyle w:val="3"/>
        <w:spacing w:before="0" w:after="0" w:line="360" w:lineRule="auto"/>
        <w:rPr>
          <w:rFonts w:hint="eastAsia" w:ascii="宋体" w:hAnsi="宋体" w:eastAsia="宋体" w:cs="Times New Roman"/>
          <w:color w:val="auto"/>
          <w:sz w:val="21"/>
          <w:szCs w:val="21"/>
          <w:highlight w:val="none"/>
        </w:rPr>
      </w:pPr>
      <w:bookmarkStart w:id="355" w:name="_Toc4302"/>
      <w:bookmarkStart w:id="356" w:name="_Toc77504070"/>
      <w:bookmarkStart w:id="357" w:name="_Toc77658080"/>
      <w:bookmarkStart w:id="358" w:name="_Toc120282436"/>
      <w:bookmarkStart w:id="359" w:name="_Toc107396208"/>
      <w:bookmarkStart w:id="360" w:name="_Toc70424865"/>
      <w:bookmarkStart w:id="361" w:name="_Toc164432925"/>
      <w:bookmarkStart w:id="362" w:name="_Toc77116681"/>
      <w:r>
        <w:rPr>
          <w:rFonts w:ascii="宋体" w:hAnsi="宋体" w:eastAsia="宋体" w:cs="宋体"/>
          <w:color w:val="auto"/>
          <w:sz w:val="21"/>
          <w:szCs w:val="21"/>
          <w:highlight w:val="none"/>
        </w:rPr>
        <w:t xml:space="preserve">7. </w:t>
      </w:r>
      <w:r>
        <w:rPr>
          <w:rFonts w:hint="eastAsia" w:ascii="宋体" w:hAnsi="宋体" w:eastAsia="宋体" w:cs="宋体"/>
          <w:color w:val="auto"/>
          <w:sz w:val="21"/>
          <w:szCs w:val="21"/>
          <w:highlight w:val="none"/>
        </w:rPr>
        <w:t>合同授予</w:t>
      </w:r>
      <w:bookmarkEnd w:id="355"/>
      <w:bookmarkEnd w:id="356"/>
      <w:bookmarkEnd w:id="357"/>
      <w:bookmarkEnd w:id="358"/>
      <w:bookmarkEnd w:id="359"/>
      <w:bookmarkEnd w:id="360"/>
      <w:bookmarkEnd w:id="361"/>
      <w:bookmarkEnd w:id="362"/>
    </w:p>
    <w:p w14:paraId="00EF30B6">
      <w:pPr>
        <w:pStyle w:val="4"/>
        <w:spacing w:before="0" w:after="0" w:line="360" w:lineRule="auto"/>
        <w:rPr>
          <w:rFonts w:ascii="宋体"/>
          <w:color w:val="auto"/>
          <w:sz w:val="21"/>
          <w:szCs w:val="21"/>
          <w:highlight w:val="none"/>
        </w:rPr>
      </w:pPr>
      <w:bookmarkStart w:id="363" w:name="_Toc77116682"/>
      <w:bookmarkStart w:id="364" w:name="_Toc77658081"/>
      <w:bookmarkStart w:id="365" w:name="_Toc3066"/>
      <w:bookmarkStart w:id="366" w:name="_Toc120282437"/>
      <w:bookmarkStart w:id="367" w:name="_Toc164432926"/>
      <w:bookmarkStart w:id="368" w:name="_Toc70424866"/>
      <w:bookmarkStart w:id="369" w:name="_Toc77504071"/>
      <w:bookmarkStart w:id="370" w:name="_Toc107396209"/>
      <w:r>
        <w:rPr>
          <w:rFonts w:ascii="宋体" w:hAnsi="宋体" w:cs="宋体"/>
          <w:color w:val="auto"/>
          <w:sz w:val="21"/>
          <w:szCs w:val="21"/>
          <w:highlight w:val="none"/>
        </w:rPr>
        <w:t xml:space="preserve">7.1 </w:t>
      </w:r>
      <w:r>
        <w:rPr>
          <w:rFonts w:hint="eastAsia" w:ascii="宋体" w:hAnsi="宋体" w:cs="宋体"/>
          <w:color w:val="auto"/>
          <w:sz w:val="21"/>
          <w:szCs w:val="21"/>
          <w:highlight w:val="none"/>
        </w:rPr>
        <w:t>中标候选人履约能力核查</w:t>
      </w:r>
      <w:bookmarkEnd w:id="363"/>
      <w:bookmarkEnd w:id="364"/>
      <w:bookmarkEnd w:id="365"/>
      <w:bookmarkEnd w:id="366"/>
      <w:bookmarkEnd w:id="367"/>
      <w:bookmarkEnd w:id="368"/>
      <w:bookmarkEnd w:id="369"/>
      <w:bookmarkEnd w:id="370"/>
    </w:p>
    <w:p w14:paraId="732C680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采购人可对中标候选人的相关证明材料原件进行核验或组织现场考察，以确认中标候选人的生产经营、财务等实际状况与投标文件是否一致以及是否存在其他可能影响投标人履约能力的情况。</w:t>
      </w:r>
    </w:p>
    <w:p w14:paraId="099F609C">
      <w:pPr>
        <w:pStyle w:val="4"/>
        <w:spacing w:before="0" w:after="0" w:line="360" w:lineRule="auto"/>
        <w:rPr>
          <w:rFonts w:ascii="宋体"/>
          <w:color w:val="auto"/>
          <w:sz w:val="21"/>
          <w:szCs w:val="21"/>
          <w:highlight w:val="none"/>
        </w:rPr>
      </w:pPr>
      <w:bookmarkStart w:id="371" w:name="_Toc70424867"/>
      <w:bookmarkStart w:id="372" w:name="_Toc164432927"/>
      <w:bookmarkStart w:id="373" w:name="_Toc12349"/>
      <w:bookmarkStart w:id="374" w:name="_Toc77116683"/>
      <w:bookmarkStart w:id="375" w:name="_Toc120282438"/>
      <w:bookmarkStart w:id="376" w:name="_Toc77658082"/>
      <w:bookmarkStart w:id="377" w:name="_Toc77504072"/>
      <w:bookmarkStart w:id="378" w:name="_Toc107396210"/>
      <w:r>
        <w:rPr>
          <w:rFonts w:ascii="宋体" w:hAnsi="宋体" w:cs="宋体"/>
          <w:color w:val="auto"/>
          <w:sz w:val="21"/>
          <w:szCs w:val="21"/>
          <w:highlight w:val="none"/>
        </w:rPr>
        <w:t xml:space="preserve">7.2 </w:t>
      </w:r>
      <w:r>
        <w:rPr>
          <w:rFonts w:hint="eastAsia" w:ascii="宋体" w:hAnsi="宋体" w:cs="宋体"/>
          <w:color w:val="auto"/>
          <w:sz w:val="21"/>
          <w:szCs w:val="21"/>
          <w:highlight w:val="none"/>
        </w:rPr>
        <w:t>确定中标人</w:t>
      </w:r>
      <w:bookmarkEnd w:id="371"/>
      <w:bookmarkEnd w:id="372"/>
      <w:bookmarkEnd w:id="373"/>
      <w:bookmarkEnd w:id="374"/>
      <w:bookmarkEnd w:id="375"/>
      <w:bookmarkEnd w:id="376"/>
      <w:bookmarkEnd w:id="377"/>
      <w:bookmarkEnd w:id="378"/>
    </w:p>
    <w:p w14:paraId="424A092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采购人将依据评审报告，对中标候选人综合评估后确定中标人。</w:t>
      </w:r>
    </w:p>
    <w:p w14:paraId="2D4D0344">
      <w:pPr>
        <w:pStyle w:val="4"/>
        <w:spacing w:before="0" w:after="0" w:line="360" w:lineRule="auto"/>
        <w:rPr>
          <w:rFonts w:ascii="宋体"/>
          <w:color w:val="auto"/>
          <w:sz w:val="21"/>
          <w:szCs w:val="21"/>
          <w:highlight w:val="none"/>
        </w:rPr>
      </w:pPr>
      <w:bookmarkStart w:id="379" w:name="_Toc107396211"/>
      <w:bookmarkStart w:id="380" w:name="_Toc164432928"/>
      <w:bookmarkStart w:id="381" w:name="_Toc27410"/>
      <w:bookmarkStart w:id="382" w:name="_Toc77116684"/>
      <w:bookmarkStart w:id="383" w:name="_Toc120282439"/>
      <w:bookmarkStart w:id="384" w:name="_Toc77658083"/>
      <w:bookmarkStart w:id="385" w:name="_Toc70424868"/>
      <w:bookmarkStart w:id="386" w:name="_Toc77504073"/>
      <w:r>
        <w:rPr>
          <w:rFonts w:ascii="宋体" w:hAnsi="宋体" w:cs="宋体"/>
          <w:color w:val="auto"/>
          <w:sz w:val="21"/>
          <w:szCs w:val="21"/>
          <w:highlight w:val="none"/>
        </w:rPr>
        <w:t xml:space="preserve">7.3 </w:t>
      </w:r>
      <w:r>
        <w:rPr>
          <w:rFonts w:hint="eastAsia" w:ascii="宋体" w:hAnsi="宋体" w:cs="宋体"/>
          <w:color w:val="auto"/>
          <w:sz w:val="21"/>
          <w:szCs w:val="21"/>
          <w:highlight w:val="none"/>
        </w:rPr>
        <w:t>发布中标结果公告</w:t>
      </w:r>
      <w:bookmarkEnd w:id="379"/>
      <w:bookmarkEnd w:id="380"/>
      <w:bookmarkEnd w:id="381"/>
      <w:bookmarkEnd w:id="382"/>
      <w:bookmarkEnd w:id="383"/>
      <w:bookmarkEnd w:id="384"/>
      <w:bookmarkEnd w:id="385"/>
      <w:bookmarkEnd w:id="386"/>
    </w:p>
    <w:p w14:paraId="7E831E1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采购人将在投标人须知前附表规定的公告媒介发布中标结果公告，公告信息包括中标人名称、中标报价及投标人须知前附表规定的其他内容。</w:t>
      </w:r>
    </w:p>
    <w:p w14:paraId="0726691F">
      <w:pPr>
        <w:pStyle w:val="4"/>
        <w:spacing w:before="0" w:after="0" w:line="360" w:lineRule="auto"/>
        <w:rPr>
          <w:rFonts w:ascii="宋体"/>
          <w:color w:val="auto"/>
          <w:sz w:val="21"/>
          <w:szCs w:val="21"/>
          <w:highlight w:val="none"/>
        </w:rPr>
      </w:pPr>
      <w:bookmarkStart w:id="387" w:name="_Toc107396212"/>
      <w:bookmarkStart w:id="388" w:name="_Toc77658084"/>
      <w:bookmarkStart w:id="389" w:name="_Toc164432929"/>
      <w:bookmarkStart w:id="390" w:name="_Toc18660"/>
      <w:bookmarkStart w:id="391" w:name="_Toc120282440"/>
      <w:bookmarkStart w:id="392" w:name="_Toc77504074"/>
      <w:bookmarkStart w:id="393" w:name="_Toc70424869"/>
      <w:bookmarkStart w:id="394" w:name="_Toc77116685"/>
      <w:r>
        <w:rPr>
          <w:rFonts w:ascii="宋体" w:hAnsi="宋体" w:cs="宋体"/>
          <w:color w:val="auto"/>
          <w:sz w:val="21"/>
          <w:szCs w:val="21"/>
          <w:highlight w:val="none"/>
        </w:rPr>
        <w:t xml:space="preserve">7.4 </w:t>
      </w:r>
      <w:r>
        <w:rPr>
          <w:rFonts w:hint="eastAsia" w:ascii="宋体" w:hAnsi="宋体" w:cs="宋体"/>
          <w:color w:val="auto"/>
          <w:sz w:val="21"/>
          <w:szCs w:val="21"/>
          <w:highlight w:val="none"/>
        </w:rPr>
        <w:t>发出中标通知书</w:t>
      </w:r>
      <w:bookmarkEnd w:id="387"/>
      <w:bookmarkEnd w:id="388"/>
      <w:bookmarkEnd w:id="389"/>
      <w:bookmarkEnd w:id="390"/>
      <w:bookmarkEnd w:id="391"/>
      <w:bookmarkEnd w:id="392"/>
      <w:bookmarkEnd w:id="393"/>
      <w:bookmarkEnd w:id="394"/>
    </w:p>
    <w:p w14:paraId="679B7B0A">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发布中标结果公告的同时，采购人或者采购代理机构以书面形式向中标人发出中标通知书。</w:t>
      </w:r>
    </w:p>
    <w:p w14:paraId="52CC11FD">
      <w:pPr>
        <w:pStyle w:val="4"/>
        <w:spacing w:before="0" w:after="0" w:line="360" w:lineRule="auto"/>
        <w:rPr>
          <w:rFonts w:ascii="宋体"/>
          <w:color w:val="auto"/>
          <w:sz w:val="21"/>
          <w:szCs w:val="21"/>
          <w:highlight w:val="none"/>
        </w:rPr>
      </w:pPr>
      <w:bookmarkStart w:id="395" w:name="_Toc164432930"/>
      <w:bookmarkStart w:id="396" w:name="_Toc77116686"/>
      <w:bookmarkStart w:id="397" w:name="_Toc77658085"/>
      <w:bookmarkStart w:id="398" w:name="_Toc107396213"/>
      <w:bookmarkStart w:id="399" w:name="_Toc120282441"/>
      <w:bookmarkStart w:id="400" w:name="_Toc77504075"/>
      <w:bookmarkStart w:id="401" w:name="_Toc70424870"/>
      <w:bookmarkStart w:id="402" w:name="_Toc13547"/>
      <w:r>
        <w:rPr>
          <w:rFonts w:ascii="宋体" w:hAnsi="宋体" w:cs="宋体"/>
          <w:color w:val="auto"/>
          <w:sz w:val="21"/>
          <w:szCs w:val="21"/>
          <w:highlight w:val="none"/>
        </w:rPr>
        <w:t xml:space="preserve">7.5 </w:t>
      </w:r>
      <w:r>
        <w:rPr>
          <w:rFonts w:hint="eastAsia" w:ascii="宋体" w:hAnsi="宋体" w:cs="宋体"/>
          <w:color w:val="auto"/>
          <w:sz w:val="21"/>
          <w:szCs w:val="21"/>
          <w:highlight w:val="none"/>
        </w:rPr>
        <w:t>履约保证金</w:t>
      </w:r>
      <w:bookmarkEnd w:id="395"/>
      <w:bookmarkEnd w:id="396"/>
      <w:bookmarkEnd w:id="397"/>
      <w:bookmarkEnd w:id="398"/>
      <w:bookmarkEnd w:id="399"/>
      <w:bookmarkEnd w:id="400"/>
      <w:bookmarkEnd w:id="401"/>
      <w:bookmarkEnd w:id="402"/>
    </w:p>
    <w:p w14:paraId="79DAEB3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投标人须知前附表规定递交履约保证金的，中标人应按投标人须知前附表规定的形式、有效期限和递交时间向采购人递交履约保证金。</w:t>
      </w:r>
    </w:p>
    <w:p w14:paraId="5E7E10FE">
      <w:pPr>
        <w:pStyle w:val="4"/>
        <w:spacing w:before="0" w:after="0" w:line="360" w:lineRule="auto"/>
        <w:rPr>
          <w:rFonts w:ascii="宋体"/>
          <w:color w:val="auto"/>
          <w:sz w:val="21"/>
          <w:szCs w:val="21"/>
          <w:highlight w:val="none"/>
        </w:rPr>
      </w:pPr>
      <w:bookmarkStart w:id="403" w:name="_Toc77504076"/>
      <w:bookmarkStart w:id="404" w:name="_Toc120282442"/>
      <w:bookmarkStart w:id="405" w:name="_Toc77116687"/>
      <w:bookmarkStart w:id="406" w:name="_Toc70424871"/>
      <w:bookmarkStart w:id="407" w:name="_Toc3857"/>
      <w:bookmarkStart w:id="408" w:name="_Toc107396214"/>
      <w:bookmarkStart w:id="409" w:name="_Toc77658086"/>
      <w:bookmarkStart w:id="410" w:name="_Toc164432931"/>
      <w:r>
        <w:rPr>
          <w:rFonts w:ascii="宋体" w:hAnsi="宋体" w:cs="宋体"/>
          <w:color w:val="auto"/>
          <w:sz w:val="21"/>
          <w:szCs w:val="21"/>
          <w:highlight w:val="none"/>
        </w:rPr>
        <w:t xml:space="preserve">7.6 </w:t>
      </w:r>
      <w:r>
        <w:rPr>
          <w:rFonts w:hint="eastAsia" w:ascii="宋体" w:hAnsi="宋体" w:cs="宋体"/>
          <w:color w:val="auto"/>
          <w:sz w:val="21"/>
          <w:szCs w:val="21"/>
          <w:highlight w:val="none"/>
        </w:rPr>
        <w:t>签订合同</w:t>
      </w:r>
      <w:bookmarkEnd w:id="403"/>
      <w:bookmarkEnd w:id="404"/>
      <w:bookmarkEnd w:id="405"/>
      <w:bookmarkEnd w:id="406"/>
      <w:bookmarkEnd w:id="407"/>
      <w:bookmarkEnd w:id="408"/>
      <w:bookmarkEnd w:id="409"/>
      <w:bookmarkEnd w:id="410"/>
    </w:p>
    <w:p w14:paraId="255EB7B7">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7.6.1 </w:t>
      </w:r>
      <w:r>
        <w:rPr>
          <w:rFonts w:hint="eastAsia" w:ascii="宋体" w:hAnsi="宋体" w:eastAsia="宋体" w:cs="宋体"/>
          <w:color w:val="auto"/>
          <w:highlight w:val="none"/>
        </w:rPr>
        <w:t>采购人和中标人应当在</w:t>
      </w:r>
      <w:r>
        <w:rPr>
          <w:rFonts w:hint="eastAsia" w:ascii="宋体" w:hAnsi="宋体" w:eastAsia="宋体" w:cs="宋体"/>
          <w:color w:val="auto"/>
          <w:highlight w:val="none"/>
          <w:u w:val="single"/>
        </w:rPr>
        <w:t>中标通知书发出之日起三十日内</w:t>
      </w:r>
      <w:r>
        <w:rPr>
          <w:rFonts w:hint="eastAsia" w:ascii="宋体" w:hAnsi="宋体" w:eastAsia="宋体" w:cs="宋体"/>
          <w:color w:val="auto"/>
          <w:highlight w:val="none"/>
        </w:rPr>
        <w:t>，根据招标文件和中标人的投标文件订立书面合同。中标人无正当理由拒绝签订合同，在签订合同时向采购人提出附加条件，或者不按照招标文件要求递交履约保证金的，采购人取消其中标资格，其投标保证金不予退还；给采购人造成的损失超过投标保证金数额的，中标人还应当对超过部分予以赔偿。</w:t>
      </w:r>
    </w:p>
    <w:p w14:paraId="3DBAC059">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7.6.2 </w:t>
      </w:r>
      <w:r>
        <w:rPr>
          <w:rFonts w:hint="eastAsia" w:ascii="宋体" w:hAnsi="宋体" w:eastAsia="宋体" w:cs="宋体"/>
          <w:color w:val="auto"/>
          <w:highlight w:val="none"/>
        </w:rPr>
        <w:t>发出中标通知书后，采购人无正当理由拒绝签订合同，或者在签订合同时向中标人提出附加条件的，采购人向中标人退还投标保证金；给中标人造成损失的，还应当赔偿损失。</w:t>
      </w:r>
    </w:p>
    <w:p w14:paraId="4071DA24">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7.6.3 </w:t>
      </w:r>
      <w:r>
        <w:rPr>
          <w:rFonts w:hint="eastAsia" w:ascii="宋体" w:hAnsi="宋体" w:eastAsia="宋体" w:cs="宋体"/>
          <w:color w:val="auto"/>
          <w:highlight w:val="none"/>
        </w:rPr>
        <w:t>联合体中标的，联合体各方应当共同与采购人签订合同，就中标项目向采购人承担连带责任。</w:t>
      </w:r>
    </w:p>
    <w:p w14:paraId="6ACA7FAD">
      <w:pPr>
        <w:pStyle w:val="4"/>
        <w:spacing w:before="0" w:after="0" w:line="360" w:lineRule="auto"/>
        <w:rPr>
          <w:rFonts w:ascii="宋体"/>
          <w:color w:val="auto"/>
          <w:sz w:val="21"/>
          <w:szCs w:val="21"/>
          <w:highlight w:val="none"/>
        </w:rPr>
      </w:pPr>
      <w:bookmarkStart w:id="411" w:name="_Toc164432932"/>
      <w:bookmarkStart w:id="412" w:name="_Toc23003"/>
      <w:bookmarkStart w:id="413" w:name="_Toc77658087"/>
      <w:bookmarkStart w:id="414" w:name="_Toc77116688"/>
      <w:bookmarkStart w:id="415" w:name="_Toc77504077"/>
      <w:bookmarkStart w:id="416" w:name="_Toc107396215"/>
      <w:bookmarkStart w:id="417" w:name="_Toc70424872"/>
      <w:bookmarkStart w:id="418" w:name="_Toc120282443"/>
      <w:r>
        <w:rPr>
          <w:rFonts w:ascii="宋体" w:hAnsi="宋体" w:cs="宋体"/>
          <w:color w:val="auto"/>
          <w:sz w:val="21"/>
          <w:szCs w:val="21"/>
          <w:highlight w:val="none"/>
        </w:rPr>
        <w:t xml:space="preserve">7.7 </w:t>
      </w:r>
      <w:r>
        <w:rPr>
          <w:rFonts w:hint="eastAsia" w:ascii="宋体" w:hAnsi="宋体" w:cs="宋体"/>
          <w:color w:val="auto"/>
          <w:sz w:val="21"/>
          <w:szCs w:val="21"/>
          <w:highlight w:val="none"/>
        </w:rPr>
        <w:t>特殊情形处理</w:t>
      </w:r>
      <w:bookmarkEnd w:id="411"/>
      <w:bookmarkEnd w:id="412"/>
      <w:bookmarkEnd w:id="413"/>
      <w:bookmarkEnd w:id="414"/>
      <w:bookmarkEnd w:id="415"/>
      <w:bookmarkEnd w:id="416"/>
      <w:bookmarkEnd w:id="417"/>
      <w:bookmarkEnd w:id="418"/>
    </w:p>
    <w:p w14:paraId="7590FF90">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因投标人对中标结果提出异议、中标人无正当理由拒绝签订合同、中标人在签订合同时向采购人提出附加条件或者不按照招标文件要求递交履约保证金等导致采购人变更中标结果的，采购人应按照本条规定的程序重新选择确定中标人并进行公告。</w:t>
      </w:r>
    </w:p>
    <w:p w14:paraId="56A930EC">
      <w:pPr>
        <w:pStyle w:val="3"/>
        <w:spacing w:before="0" w:after="0" w:line="360" w:lineRule="auto"/>
        <w:rPr>
          <w:rFonts w:hint="eastAsia" w:ascii="宋体" w:hAnsi="宋体" w:eastAsia="宋体" w:cs="Times New Roman"/>
          <w:color w:val="auto"/>
          <w:sz w:val="21"/>
          <w:szCs w:val="21"/>
          <w:highlight w:val="none"/>
        </w:rPr>
      </w:pPr>
      <w:bookmarkStart w:id="419" w:name="_Toc70424873"/>
      <w:bookmarkStart w:id="420" w:name="_Toc77116689"/>
      <w:bookmarkStart w:id="421" w:name="_Toc4602"/>
      <w:bookmarkStart w:id="422" w:name="_Toc107396216"/>
      <w:bookmarkStart w:id="423" w:name="_Toc77504078"/>
      <w:bookmarkStart w:id="424" w:name="_Toc77658088"/>
      <w:bookmarkStart w:id="425" w:name="_Toc120282444"/>
      <w:bookmarkStart w:id="426" w:name="_Toc164432933"/>
      <w:r>
        <w:rPr>
          <w:rFonts w:ascii="宋体" w:hAnsi="宋体" w:eastAsia="宋体" w:cs="宋体"/>
          <w:color w:val="auto"/>
          <w:sz w:val="21"/>
          <w:szCs w:val="21"/>
          <w:highlight w:val="none"/>
        </w:rPr>
        <w:t xml:space="preserve">8. </w:t>
      </w:r>
      <w:bookmarkEnd w:id="419"/>
      <w:r>
        <w:rPr>
          <w:rFonts w:hint="eastAsia" w:ascii="宋体" w:hAnsi="宋体" w:eastAsia="宋体" w:cs="宋体"/>
          <w:color w:val="auto"/>
          <w:sz w:val="21"/>
          <w:szCs w:val="21"/>
          <w:highlight w:val="none"/>
        </w:rPr>
        <w:t>质疑</w:t>
      </w:r>
      <w:bookmarkEnd w:id="420"/>
      <w:r>
        <w:rPr>
          <w:rFonts w:hint="eastAsia" w:ascii="宋体" w:hAnsi="宋体" w:eastAsia="宋体" w:cs="宋体"/>
          <w:color w:val="auto"/>
          <w:sz w:val="21"/>
          <w:szCs w:val="21"/>
          <w:highlight w:val="none"/>
        </w:rPr>
        <w:t>和投诉</w:t>
      </w:r>
      <w:bookmarkEnd w:id="421"/>
      <w:bookmarkEnd w:id="422"/>
      <w:bookmarkEnd w:id="423"/>
      <w:bookmarkEnd w:id="424"/>
      <w:bookmarkEnd w:id="425"/>
      <w:bookmarkEnd w:id="426"/>
    </w:p>
    <w:p w14:paraId="33C6A015">
      <w:pPr>
        <w:pStyle w:val="4"/>
        <w:spacing w:before="0" w:after="0" w:line="360" w:lineRule="auto"/>
        <w:rPr>
          <w:rFonts w:ascii="宋体"/>
          <w:color w:val="auto"/>
          <w:sz w:val="21"/>
          <w:szCs w:val="21"/>
          <w:highlight w:val="none"/>
        </w:rPr>
      </w:pPr>
      <w:bookmarkStart w:id="427" w:name="_Toc70424874"/>
      <w:bookmarkStart w:id="428" w:name="_Toc164432934"/>
      <w:bookmarkStart w:id="429" w:name="_Toc77116690"/>
      <w:bookmarkStart w:id="430" w:name="_Toc120282445"/>
      <w:bookmarkStart w:id="431" w:name="_Toc107396217"/>
      <w:bookmarkStart w:id="432" w:name="_Toc29588"/>
      <w:bookmarkStart w:id="433" w:name="_Toc77658089"/>
      <w:bookmarkStart w:id="434" w:name="_Toc77504079"/>
      <w:r>
        <w:rPr>
          <w:rFonts w:ascii="宋体" w:hAnsi="宋体" w:cs="宋体"/>
          <w:color w:val="auto"/>
          <w:sz w:val="21"/>
          <w:szCs w:val="21"/>
          <w:highlight w:val="none"/>
        </w:rPr>
        <w:t xml:space="preserve">8.1 </w:t>
      </w:r>
      <w:r>
        <w:rPr>
          <w:rFonts w:hint="eastAsia" w:ascii="宋体" w:hAnsi="宋体" w:cs="宋体"/>
          <w:color w:val="auto"/>
          <w:sz w:val="21"/>
          <w:szCs w:val="21"/>
          <w:highlight w:val="none"/>
        </w:rPr>
        <w:t>提出</w:t>
      </w:r>
      <w:bookmarkEnd w:id="427"/>
      <w:r>
        <w:rPr>
          <w:rFonts w:hint="eastAsia" w:ascii="宋体" w:hAnsi="宋体" w:cs="宋体"/>
          <w:color w:val="auto"/>
          <w:sz w:val="21"/>
          <w:szCs w:val="21"/>
          <w:highlight w:val="none"/>
        </w:rPr>
        <w:t>质疑</w:t>
      </w:r>
      <w:bookmarkEnd w:id="428"/>
      <w:bookmarkEnd w:id="429"/>
      <w:bookmarkEnd w:id="430"/>
      <w:bookmarkEnd w:id="431"/>
      <w:bookmarkEnd w:id="432"/>
      <w:bookmarkEnd w:id="433"/>
      <w:bookmarkEnd w:id="434"/>
    </w:p>
    <w:p w14:paraId="65F8110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投标人认为招标文件、采购过程、中标结果使自己的权益受到损害的，可以在知道或者应知其权益受到损害之日起</w:t>
      </w:r>
      <w:r>
        <w:rPr>
          <w:rFonts w:ascii="宋体" w:hAnsi="宋体" w:eastAsia="宋体" w:cs="宋体"/>
          <w:color w:val="auto"/>
          <w:highlight w:val="none"/>
        </w:rPr>
        <w:t>7</w:t>
      </w:r>
      <w:r>
        <w:rPr>
          <w:rFonts w:hint="eastAsia" w:ascii="宋体" w:hAnsi="宋体" w:eastAsia="宋体" w:cs="宋体"/>
          <w:color w:val="auto"/>
          <w:highlight w:val="none"/>
        </w:rPr>
        <w:t>个工作日内，以书面形式向采购人、采购代理机构提出质疑。</w:t>
      </w:r>
    </w:p>
    <w:p w14:paraId="78B14939">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投标人应在法定质疑期内一次性提出针对同一招标程序环节的质疑，否则采购人、采购代理机构有权拒绝回复。</w:t>
      </w:r>
    </w:p>
    <w:p w14:paraId="44530532">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提出质疑的投标人应当是参与所质疑项目采购活动的投标人。</w:t>
      </w:r>
    </w:p>
    <w:p w14:paraId="3FFB21CF">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潜在投标人已依法获取其可质疑的采购文件的，可以对该文件提出质疑。对采购文件提出质疑的，应当在获取采购文件或者采购文件公告期限届满之日起</w:t>
      </w:r>
      <w:r>
        <w:rPr>
          <w:rFonts w:ascii="宋体" w:hAnsi="宋体" w:eastAsia="宋体" w:cs="宋体"/>
          <w:color w:val="auto"/>
          <w:highlight w:val="none"/>
        </w:rPr>
        <w:t>7</w:t>
      </w:r>
      <w:r>
        <w:rPr>
          <w:rFonts w:hint="eastAsia" w:ascii="宋体" w:hAnsi="宋体" w:eastAsia="宋体" w:cs="宋体"/>
          <w:color w:val="auto"/>
          <w:highlight w:val="none"/>
        </w:rPr>
        <w:t>个工作日内提出。</w:t>
      </w:r>
    </w:p>
    <w:p w14:paraId="204CE97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投标人提出质疑应当提交质疑函和必要的证明材料。质疑函应当包括下列内容：</w:t>
      </w:r>
    </w:p>
    <w:p w14:paraId="41A4C62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（一）投标人的姓名或者名称、地址、邮编、联系人及联系电话；</w:t>
      </w:r>
    </w:p>
    <w:p w14:paraId="6952BD2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（二）质疑项目的名称、编号；</w:t>
      </w:r>
    </w:p>
    <w:p w14:paraId="262F6C1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（三）具体、明确的质疑事项和与质疑事项相关的请求；</w:t>
      </w:r>
    </w:p>
    <w:p w14:paraId="04528FEB">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（四）事实依据；</w:t>
      </w:r>
    </w:p>
    <w:p w14:paraId="6E67CA83">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（五）必要的法律依据；</w:t>
      </w:r>
    </w:p>
    <w:p w14:paraId="1ED100DF">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（六）提出质疑的日期。</w:t>
      </w:r>
    </w:p>
    <w:p w14:paraId="531B3976">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投标人为自然人的，应当由本人签字；投标人为法人或者其他组织的，应当由法定代表人、主要负责人，或者其授权代表签字或者盖章，并加盖公章。</w:t>
      </w:r>
    </w:p>
    <w:p w14:paraId="56784486">
      <w:pPr>
        <w:pStyle w:val="4"/>
        <w:spacing w:before="0" w:after="0" w:line="360" w:lineRule="auto"/>
        <w:rPr>
          <w:rFonts w:ascii="宋体"/>
          <w:color w:val="auto"/>
          <w:sz w:val="21"/>
          <w:szCs w:val="21"/>
          <w:highlight w:val="none"/>
        </w:rPr>
      </w:pPr>
      <w:bookmarkStart w:id="435" w:name="_Toc107396218"/>
      <w:bookmarkStart w:id="436" w:name="_Toc70424875"/>
      <w:bookmarkStart w:id="437" w:name="_Toc120282446"/>
      <w:bookmarkStart w:id="438" w:name="_Toc77116691"/>
      <w:bookmarkStart w:id="439" w:name="_Toc164432935"/>
      <w:bookmarkStart w:id="440" w:name="_Toc77504080"/>
      <w:bookmarkStart w:id="441" w:name="_Toc30359"/>
      <w:bookmarkStart w:id="442" w:name="_Toc77658090"/>
      <w:r>
        <w:rPr>
          <w:rFonts w:ascii="宋体" w:hAnsi="宋体" w:cs="宋体"/>
          <w:color w:val="auto"/>
          <w:sz w:val="21"/>
          <w:szCs w:val="21"/>
          <w:highlight w:val="none"/>
        </w:rPr>
        <w:t xml:space="preserve">8.2 </w:t>
      </w:r>
      <w:r>
        <w:rPr>
          <w:rFonts w:hint="eastAsia" w:ascii="宋体" w:hAnsi="宋体" w:cs="宋体"/>
          <w:color w:val="auto"/>
          <w:sz w:val="21"/>
          <w:szCs w:val="21"/>
          <w:highlight w:val="none"/>
        </w:rPr>
        <w:t>质疑处理</w:t>
      </w:r>
      <w:bookmarkEnd w:id="435"/>
      <w:bookmarkEnd w:id="436"/>
      <w:bookmarkEnd w:id="437"/>
      <w:bookmarkEnd w:id="438"/>
      <w:bookmarkEnd w:id="439"/>
      <w:bookmarkEnd w:id="440"/>
      <w:bookmarkEnd w:id="441"/>
      <w:bookmarkEnd w:id="442"/>
    </w:p>
    <w:p w14:paraId="5EE9AEA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采购人、采购代理机构不得拒收质疑投标人在法定质疑期内发出的质疑函，应当在收到质疑函后</w:t>
      </w:r>
      <w:r>
        <w:rPr>
          <w:rFonts w:ascii="宋体" w:hAnsi="宋体" w:eastAsia="宋体" w:cs="宋体"/>
          <w:color w:val="auto"/>
          <w:highlight w:val="none"/>
        </w:rPr>
        <w:t>7</w:t>
      </w:r>
      <w:r>
        <w:rPr>
          <w:rFonts w:hint="eastAsia" w:ascii="宋体" w:hAnsi="宋体" w:eastAsia="宋体" w:cs="宋体"/>
          <w:color w:val="auto"/>
          <w:highlight w:val="none"/>
        </w:rPr>
        <w:t>个工作日内作出答复，并以书面形式通知质疑投标人和其他有关投标人。</w:t>
      </w:r>
    </w:p>
    <w:p w14:paraId="45DE450A">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投标人对评审过程、中标结果提出质疑的，采购人、采购代理机构可以组织原评标委员会协助答复质疑。</w:t>
      </w:r>
    </w:p>
    <w:p w14:paraId="7B0B5A95">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采购人、采购代理机构认为投标人质疑不成立，或者成立但未对中标结果构成影响的，继续开展采购活动；认为投标人质疑成立且影响或者可能影响中标结果的，按照下列情况处理：</w:t>
      </w:r>
    </w:p>
    <w:p w14:paraId="7D9F110B">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（一）对招标文件提出的质疑，依法通过澄清或者修改可以继续开展采购活动的，澄清或者修改采购文件后继续开展采购活动；否则应当修改采购文件后重新开展采购活动。</w:t>
      </w:r>
    </w:p>
    <w:p w14:paraId="5A5DCA35">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（二）对采购过程、中标结果提出的质疑，合格投标人符合法定数量时，可以从合格的中标候选人中另行确定中标人的，应当依法另行确定中标人；否则应当重新开展采购活动。</w:t>
      </w:r>
    </w:p>
    <w:p w14:paraId="5B232CCB">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质疑答复导致中标结果改变的，采购人或者采购代理机构应当将有关情况书面报告本级财政部门。</w:t>
      </w:r>
    </w:p>
    <w:p w14:paraId="6F7A43E8">
      <w:pPr>
        <w:pStyle w:val="4"/>
        <w:spacing w:before="0" w:after="0" w:line="360" w:lineRule="auto"/>
        <w:rPr>
          <w:rFonts w:ascii="宋体"/>
          <w:color w:val="auto"/>
          <w:sz w:val="21"/>
          <w:szCs w:val="21"/>
          <w:highlight w:val="none"/>
        </w:rPr>
      </w:pPr>
      <w:bookmarkStart w:id="443" w:name="_Toc164432936"/>
      <w:bookmarkStart w:id="444" w:name="_Toc120282447"/>
      <w:bookmarkStart w:id="445" w:name="_Toc77658091"/>
      <w:bookmarkStart w:id="446" w:name="_Toc25872"/>
      <w:bookmarkStart w:id="447" w:name="_Toc77504081"/>
      <w:bookmarkStart w:id="448" w:name="_Toc107396219"/>
      <w:r>
        <w:rPr>
          <w:rFonts w:ascii="宋体" w:hAnsi="宋体" w:cs="宋体"/>
          <w:color w:val="auto"/>
          <w:sz w:val="21"/>
          <w:szCs w:val="21"/>
          <w:highlight w:val="none"/>
        </w:rPr>
        <w:t xml:space="preserve">8.3 </w:t>
      </w:r>
      <w:r>
        <w:rPr>
          <w:rFonts w:hint="eastAsia" w:ascii="宋体" w:hAnsi="宋体" w:cs="宋体"/>
          <w:color w:val="auto"/>
          <w:sz w:val="21"/>
          <w:szCs w:val="21"/>
          <w:highlight w:val="none"/>
        </w:rPr>
        <w:t>投诉</w:t>
      </w:r>
      <w:bookmarkEnd w:id="443"/>
      <w:bookmarkEnd w:id="444"/>
      <w:bookmarkEnd w:id="445"/>
      <w:bookmarkEnd w:id="446"/>
      <w:bookmarkEnd w:id="447"/>
      <w:bookmarkEnd w:id="448"/>
    </w:p>
    <w:p w14:paraId="408C052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质疑投标人对采购人、采购代理机构的答复不满意，或者采购人、采购代理机构未在规定时间内作出答复的，可以在答复期满后</w:t>
      </w:r>
      <w:r>
        <w:rPr>
          <w:rFonts w:ascii="宋体" w:hAnsi="宋体" w:eastAsia="宋体" w:cs="宋体"/>
          <w:color w:val="auto"/>
          <w:highlight w:val="none"/>
        </w:rPr>
        <w:t>15</w:t>
      </w:r>
      <w:r>
        <w:rPr>
          <w:rFonts w:hint="eastAsia" w:ascii="宋体" w:hAnsi="宋体" w:eastAsia="宋体" w:cs="宋体"/>
          <w:color w:val="auto"/>
          <w:highlight w:val="none"/>
        </w:rPr>
        <w:t>个工作日内向财政部门提起投诉。</w:t>
      </w:r>
    </w:p>
    <w:p w14:paraId="56AE9C55">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投标人投诉的事项不得超出已质疑事项的范围，但基于质疑答复内容提出的投诉事项除外。</w:t>
      </w:r>
    </w:p>
    <w:p w14:paraId="03B049B1">
      <w:pPr>
        <w:pStyle w:val="3"/>
        <w:spacing w:before="0" w:after="0" w:line="360" w:lineRule="auto"/>
        <w:rPr>
          <w:rFonts w:hint="eastAsia" w:ascii="宋体" w:hAnsi="宋体" w:eastAsia="宋体" w:cs="Times New Roman"/>
          <w:color w:val="auto"/>
          <w:sz w:val="21"/>
          <w:szCs w:val="21"/>
          <w:highlight w:val="none"/>
        </w:rPr>
      </w:pPr>
      <w:bookmarkStart w:id="449" w:name="_Toc77658092"/>
      <w:bookmarkStart w:id="450" w:name="_Toc70424876"/>
      <w:bookmarkStart w:id="451" w:name="_Toc77116692"/>
      <w:bookmarkStart w:id="452" w:name="_Toc164432937"/>
      <w:bookmarkStart w:id="453" w:name="_Toc120282448"/>
      <w:bookmarkStart w:id="454" w:name="_Toc9802"/>
      <w:bookmarkStart w:id="455" w:name="_Toc107396220"/>
      <w:bookmarkStart w:id="456" w:name="_Toc77504082"/>
      <w:r>
        <w:rPr>
          <w:rFonts w:ascii="宋体" w:hAnsi="宋体" w:eastAsia="宋体" w:cs="宋体"/>
          <w:color w:val="auto"/>
          <w:sz w:val="21"/>
          <w:szCs w:val="21"/>
          <w:highlight w:val="none"/>
        </w:rPr>
        <w:t xml:space="preserve">9. </w:t>
      </w:r>
      <w:r>
        <w:rPr>
          <w:rFonts w:hint="eastAsia" w:ascii="宋体" w:hAnsi="宋体" w:eastAsia="宋体" w:cs="宋体"/>
          <w:color w:val="auto"/>
          <w:sz w:val="21"/>
          <w:szCs w:val="21"/>
          <w:highlight w:val="none"/>
        </w:rPr>
        <w:t>纪律要求</w:t>
      </w:r>
      <w:bookmarkEnd w:id="449"/>
      <w:bookmarkEnd w:id="450"/>
      <w:bookmarkEnd w:id="451"/>
      <w:bookmarkEnd w:id="452"/>
      <w:bookmarkEnd w:id="453"/>
      <w:bookmarkEnd w:id="454"/>
      <w:bookmarkEnd w:id="455"/>
      <w:bookmarkEnd w:id="456"/>
    </w:p>
    <w:p w14:paraId="1D07B27E">
      <w:pPr>
        <w:pStyle w:val="4"/>
        <w:spacing w:before="0" w:after="0" w:line="360" w:lineRule="auto"/>
        <w:rPr>
          <w:rFonts w:ascii="宋体"/>
          <w:color w:val="auto"/>
          <w:sz w:val="21"/>
          <w:szCs w:val="21"/>
          <w:highlight w:val="none"/>
        </w:rPr>
      </w:pPr>
      <w:bookmarkStart w:id="457" w:name="_Toc164432938"/>
      <w:bookmarkStart w:id="458" w:name="_Toc77116693"/>
      <w:bookmarkStart w:id="459" w:name="_Toc8985"/>
      <w:bookmarkStart w:id="460" w:name="_Toc120282449"/>
      <w:bookmarkStart w:id="461" w:name="_Toc107396221"/>
      <w:bookmarkStart w:id="462" w:name="_Toc77504083"/>
      <w:bookmarkStart w:id="463" w:name="_Toc77658093"/>
      <w:bookmarkStart w:id="464" w:name="_Toc70424877"/>
      <w:r>
        <w:rPr>
          <w:rFonts w:ascii="宋体" w:hAnsi="宋体" w:cs="宋体"/>
          <w:color w:val="auto"/>
          <w:sz w:val="21"/>
          <w:szCs w:val="21"/>
          <w:highlight w:val="none"/>
        </w:rPr>
        <w:t xml:space="preserve">9.1 </w:t>
      </w:r>
      <w:r>
        <w:rPr>
          <w:rFonts w:hint="eastAsia" w:ascii="宋体" w:hAnsi="宋体" w:cs="宋体"/>
          <w:color w:val="auto"/>
          <w:sz w:val="21"/>
          <w:szCs w:val="21"/>
          <w:highlight w:val="none"/>
        </w:rPr>
        <w:t>对采购人的纪律要求</w:t>
      </w:r>
      <w:bookmarkEnd w:id="457"/>
      <w:bookmarkEnd w:id="458"/>
      <w:bookmarkEnd w:id="459"/>
      <w:bookmarkEnd w:id="460"/>
      <w:bookmarkEnd w:id="461"/>
      <w:bookmarkEnd w:id="462"/>
      <w:bookmarkEnd w:id="463"/>
      <w:bookmarkEnd w:id="464"/>
    </w:p>
    <w:p w14:paraId="4B573F2D">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采购人不得泄露招标投标活动中应当保密的情况和资料，不得与投标人串通损害国家利益、社会公共利益或者他人合法利益。</w:t>
      </w:r>
    </w:p>
    <w:p w14:paraId="6D1F6C0C">
      <w:pPr>
        <w:pStyle w:val="4"/>
        <w:spacing w:before="0" w:after="0" w:line="360" w:lineRule="auto"/>
        <w:rPr>
          <w:rFonts w:ascii="宋体"/>
          <w:color w:val="auto"/>
          <w:sz w:val="21"/>
          <w:szCs w:val="21"/>
          <w:highlight w:val="none"/>
        </w:rPr>
      </w:pPr>
      <w:bookmarkStart w:id="465" w:name="_Toc164432939"/>
      <w:bookmarkStart w:id="466" w:name="_Toc107396222"/>
      <w:bookmarkStart w:id="467" w:name="_Toc70424878"/>
      <w:bookmarkStart w:id="468" w:name="_Toc77116694"/>
      <w:bookmarkStart w:id="469" w:name="_Toc77658094"/>
      <w:bookmarkStart w:id="470" w:name="_Toc120282450"/>
      <w:bookmarkStart w:id="471" w:name="_Toc30696"/>
      <w:bookmarkStart w:id="472" w:name="_Toc77504084"/>
      <w:r>
        <w:rPr>
          <w:rFonts w:ascii="宋体" w:hAnsi="宋体" w:cs="宋体"/>
          <w:color w:val="auto"/>
          <w:sz w:val="21"/>
          <w:szCs w:val="21"/>
          <w:highlight w:val="none"/>
        </w:rPr>
        <w:t xml:space="preserve">9.2 </w:t>
      </w:r>
      <w:r>
        <w:rPr>
          <w:rFonts w:hint="eastAsia" w:ascii="宋体" w:hAnsi="宋体" w:cs="宋体"/>
          <w:color w:val="auto"/>
          <w:sz w:val="21"/>
          <w:szCs w:val="21"/>
          <w:highlight w:val="none"/>
        </w:rPr>
        <w:t>对投标人的纪律要求</w:t>
      </w:r>
      <w:bookmarkEnd w:id="465"/>
      <w:bookmarkEnd w:id="466"/>
      <w:bookmarkEnd w:id="467"/>
      <w:bookmarkEnd w:id="468"/>
      <w:bookmarkEnd w:id="469"/>
      <w:bookmarkEnd w:id="470"/>
      <w:bookmarkEnd w:id="471"/>
      <w:bookmarkEnd w:id="472"/>
    </w:p>
    <w:p w14:paraId="69810C3B">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投标人不得相互串通或者与采购人串通，不得向采购人或者评标委员会成员行贿谋取中标，不得以他人名义投标或者以其他方式弄虚作假骗取中标；投标人不得以任何方式干扰、影响评标工作。</w:t>
      </w:r>
    </w:p>
    <w:p w14:paraId="16BF27A6">
      <w:pPr>
        <w:pStyle w:val="4"/>
        <w:spacing w:before="0" w:after="0" w:line="360" w:lineRule="auto"/>
        <w:rPr>
          <w:rFonts w:ascii="宋体"/>
          <w:color w:val="auto"/>
          <w:sz w:val="21"/>
          <w:szCs w:val="21"/>
          <w:highlight w:val="none"/>
        </w:rPr>
      </w:pPr>
      <w:bookmarkStart w:id="473" w:name="_Toc77116695"/>
      <w:bookmarkStart w:id="474" w:name="_Toc77504085"/>
      <w:bookmarkStart w:id="475" w:name="_Toc120282451"/>
      <w:bookmarkStart w:id="476" w:name="_Toc12724"/>
      <w:bookmarkStart w:id="477" w:name="_Toc70424879"/>
      <w:bookmarkStart w:id="478" w:name="_Toc164432940"/>
      <w:bookmarkStart w:id="479" w:name="_Toc77658095"/>
      <w:bookmarkStart w:id="480" w:name="_Toc107396223"/>
      <w:r>
        <w:rPr>
          <w:rFonts w:ascii="宋体" w:hAnsi="宋体" w:cs="宋体"/>
          <w:color w:val="auto"/>
          <w:sz w:val="21"/>
          <w:szCs w:val="21"/>
          <w:highlight w:val="none"/>
        </w:rPr>
        <w:t xml:space="preserve">9.3 </w:t>
      </w:r>
      <w:r>
        <w:rPr>
          <w:rFonts w:hint="eastAsia" w:ascii="宋体" w:hAnsi="宋体" w:cs="宋体"/>
          <w:color w:val="auto"/>
          <w:sz w:val="21"/>
          <w:szCs w:val="21"/>
          <w:highlight w:val="none"/>
        </w:rPr>
        <w:t>对评标委员会成员的纪律要求</w:t>
      </w:r>
      <w:bookmarkEnd w:id="473"/>
      <w:bookmarkEnd w:id="474"/>
      <w:bookmarkEnd w:id="475"/>
      <w:bookmarkEnd w:id="476"/>
      <w:bookmarkEnd w:id="477"/>
      <w:bookmarkEnd w:id="478"/>
      <w:bookmarkEnd w:id="479"/>
      <w:bookmarkEnd w:id="480"/>
    </w:p>
    <w:p w14:paraId="3E60DA9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p>
    <w:p w14:paraId="24AE405A">
      <w:pPr>
        <w:pStyle w:val="4"/>
        <w:spacing w:before="0" w:after="0" w:line="360" w:lineRule="auto"/>
        <w:rPr>
          <w:rFonts w:ascii="宋体"/>
          <w:color w:val="auto"/>
          <w:sz w:val="21"/>
          <w:szCs w:val="21"/>
          <w:highlight w:val="none"/>
        </w:rPr>
      </w:pPr>
      <w:bookmarkStart w:id="481" w:name="_Toc120282452"/>
      <w:bookmarkStart w:id="482" w:name="_Toc77116696"/>
      <w:bookmarkStart w:id="483" w:name="_Toc107396224"/>
      <w:bookmarkStart w:id="484" w:name="_Toc77658096"/>
      <w:bookmarkStart w:id="485" w:name="_Toc70424880"/>
      <w:bookmarkStart w:id="486" w:name="_Toc164432941"/>
      <w:bookmarkStart w:id="487" w:name="_Toc77504086"/>
      <w:bookmarkStart w:id="488" w:name="_Toc19931"/>
      <w:r>
        <w:rPr>
          <w:rFonts w:ascii="宋体" w:hAnsi="宋体" w:cs="宋体"/>
          <w:color w:val="auto"/>
          <w:sz w:val="21"/>
          <w:szCs w:val="21"/>
          <w:highlight w:val="none"/>
        </w:rPr>
        <w:t xml:space="preserve">9.4 </w:t>
      </w:r>
      <w:r>
        <w:rPr>
          <w:rFonts w:hint="eastAsia" w:ascii="宋体" w:hAnsi="宋体" w:cs="宋体"/>
          <w:color w:val="auto"/>
          <w:sz w:val="21"/>
          <w:szCs w:val="21"/>
          <w:highlight w:val="none"/>
        </w:rPr>
        <w:t>对与评标活动有关的工作人员的纪律要求</w:t>
      </w:r>
      <w:bookmarkEnd w:id="481"/>
      <w:bookmarkEnd w:id="482"/>
      <w:bookmarkEnd w:id="483"/>
      <w:bookmarkEnd w:id="484"/>
      <w:bookmarkEnd w:id="485"/>
      <w:bookmarkEnd w:id="486"/>
      <w:bookmarkEnd w:id="487"/>
      <w:bookmarkEnd w:id="488"/>
    </w:p>
    <w:p w14:paraId="4BE7755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098D70BD">
      <w:pPr>
        <w:pStyle w:val="3"/>
        <w:spacing w:before="0" w:after="0" w:line="360" w:lineRule="auto"/>
        <w:rPr>
          <w:rFonts w:hint="eastAsia" w:ascii="宋体" w:hAnsi="宋体" w:eastAsia="宋体" w:cs="Times New Roman"/>
          <w:color w:val="auto"/>
          <w:sz w:val="21"/>
          <w:szCs w:val="21"/>
          <w:highlight w:val="none"/>
        </w:rPr>
      </w:pPr>
      <w:bookmarkStart w:id="489" w:name="_Toc77504087"/>
      <w:bookmarkStart w:id="490" w:name="_Toc120282453"/>
      <w:bookmarkStart w:id="491" w:name="_Toc77116697"/>
      <w:bookmarkStart w:id="492" w:name="_Toc70424881"/>
      <w:bookmarkStart w:id="493" w:name="_Toc77658097"/>
      <w:bookmarkStart w:id="494" w:name="_Toc164432942"/>
      <w:bookmarkStart w:id="495" w:name="_Toc1588"/>
      <w:bookmarkStart w:id="496" w:name="_Toc107396225"/>
      <w:r>
        <w:rPr>
          <w:rFonts w:ascii="宋体" w:hAnsi="宋体" w:eastAsia="宋体" w:cs="宋体"/>
          <w:color w:val="auto"/>
          <w:sz w:val="21"/>
          <w:szCs w:val="21"/>
          <w:highlight w:val="none"/>
        </w:rPr>
        <w:t xml:space="preserve">10. </w:t>
      </w:r>
      <w:r>
        <w:rPr>
          <w:rFonts w:hint="eastAsia" w:ascii="宋体" w:hAnsi="宋体" w:eastAsia="宋体" w:cs="宋体"/>
          <w:color w:val="auto"/>
          <w:sz w:val="21"/>
          <w:szCs w:val="21"/>
          <w:highlight w:val="none"/>
        </w:rPr>
        <w:t>需要补充的其他内容</w:t>
      </w:r>
      <w:bookmarkEnd w:id="489"/>
      <w:bookmarkEnd w:id="490"/>
      <w:bookmarkEnd w:id="491"/>
      <w:bookmarkEnd w:id="492"/>
      <w:bookmarkEnd w:id="493"/>
      <w:bookmarkEnd w:id="494"/>
      <w:bookmarkEnd w:id="495"/>
      <w:bookmarkEnd w:id="496"/>
    </w:p>
    <w:p w14:paraId="122AA5E1">
      <w:pPr>
        <w:pStyle w:val="4"/>
        <w:spacing w:before="0" w:after="0" w:line="360" w:lineRule="auto"/>
        <w:rPr>
          <w:rFonts w:ascii="宋体"/>
          <w:color w:val="auto"/>
          <w:sz w:val="21"/>
          <w:szCs w:val="21"/>
          <w:highlight w:val="none"/>
        </w:rPr>
      </w:pPr>
      <w:bookmarkStart w:id="497" w:name="_Toc77116698"/>
      <w:bookmarkStart w:id="498" w:name="_Toc70424882"/>
      <w:bookmarkStart w:id="499" w:name="_Toc107396226"/>
      <w:bookmarkStart w:id="500" w:name="_Toc77504088"/>
      <w:bookmarkStart w:id="501" w:name="_Toc14960"/>
      <w:bookmarkStart w:id="502" w:name="_Toc164432943"/>
      <w:bookmarkStart w:id="503" w:name="_Toc120282454"/>
      <w:bookmarkStart w:id="504" w:name="_Toc77658098"/>
      <w:r>
        <w:rPr>
          <w:rFonts w:ascii="宋体" w:hAnsi="宋体" w:cs="宋体"/>
          <w:color w:val="auto"/>
          <w:sz w:val="21"/>
          <w:szCs w:val="21"/>
          <w:highlight w:val="none"/>
        </w:rPr>
        <w:t xml:space="preserve">10.1 </w:t>
      </w:r>
      <w:r>
        <w:rPr>
          <w:rFonts w:hint="eastAsia" w:ascii="宋体" w:hAnsi="宋体" w:cs="宋体"/>
          <w:color w:val="auto"/>
          <w:sz w:val="21"/>
          <w:szCs w:val="21"/>
          <w:highlight w:val="none"/>
        </w:rPr>
        <w:t>采购代理服务费</w:t>
      </w:r>
      <w:bookmarkEnd w:id="497"/>
      <w:bookmarkEnd w:id="498"/>
      <w:bookmarkEnd w:id="499"/>
      <w:bookmarkEnd w:id="500"/>
      <w:bookmarkEnd w:id="501"/>
      <w:bookmarkEnd w:id="502"/>
      <w:bookmarkEnd w:id="503"/>
      <w:bookmarkEnd w:id="504"/>
    </w:p>
    <w:p w14:paraId="092A6A7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投标人须知前附表规定由投标人承担采购代理服务费的，投标人应按照投标人须知前附表规定的费用标准或金额、交费时间和方式向采购代理机构支付代理服务费。</w:t>
      </w:r>
    </w:p>
    <w:p w14:paraId="3B42A315">
      <w:pPr>
        <w:pStyle w:val="4"/>
        <w:spacing w:before="0" w:after="0" w:line="360" w:lineRule="auto"/>
        <w:rPr>
          <w:rFonts w:ascii="宋体"/>
          <w:color w:val="auto"/>
          <w:sz w:val="21"/>
          <w:szCs w:val="21"/>
          <w:highlight w:val="none"/>
        </w:rPr>
      </w:pPr>
      <w:bookmarkStart w:id="505" w:name="_Toc77116699"/>
      <w:bookmarkStart w:id="506" w:name="_Toc120282455"/>
      <w:bookmarkStart w:id="507" w:name="_Toc107396227"/>
      <w:bookmarkStart w:id="508" w:name="_Toc77504089"/>
      <w:bookmarkStart w:id="509" w:name="_Toc164432944"/>
      <w:bookmarkStart w:id="510" w:name="_Toc70424883"/>
      <w:bookmarkStart w:id="511" w:name="_Toc77658099"/>
      <w:bookmarkStart w:id="512" w:name="_Toc15058"/>
      <w:r>
        <w:rPr>
          <w:rFonts w:ascii="宋体" w:hAnsi="宋体" w:cs="宋体"/>
          <w:color w:val="auto"/>
          <w:sz w:val="21"/>
          <w:szCs w:val="21"/>
          <w:highlight w:val="none"/>
        </w:rPr>
        <w:t xml:space="preserve">10.2 </w:t>
      </w:r>
      <w:r>
        <w:rPr>
          <w:rFonts w:hint="eastAsia" w:ascii="宋体" w:hAnsi="宋体" w:cs="宋体"/>
          <w:color w:val="auto"/>
          <w:sz w:val="21"/>
          <w:szCs w:val="21"/>
          <w:highlight w:val="none"/>
        </w:rPr>
        <w:t>其他</w:t>
      </w:r>
      <w:bookmarkEnd w:id="505"/>
      <w:bookmarkEnd w:id="506"/>
      <w:bookmarkEnd w:id="507"/>
      <w:bookmarkEnd w:id="508"/>
      <w:bookmarkEnd w:id="509"/>
      <w:bookmarkEnd w:id="510"/>
      <w:bookmarkEnd w:id="511"/>
      <w:bookmarkEnd w:id="512"/>
    </w:p>
    <w:p w14:paraId="0677264A">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需要补充的其他内容：见投标人须知前附表。</w:t>
      </w:r>
    </w:p>
    <w:p w14:paraId="24048734">
      <w:pPr>
        <w:spacing w:line="360" w:lineRule="auto"/>
        <w:rPr>
          <w:rFonts w:hint="eastAsia" w:ascii="宋体" w:hAnsi="宋体" w:eastAsia="宋体" w:cs="Times New Roman"/>
          <w:color w:val="auto"/>
          <w:highlight w:val="none"/>
        </w:rPr>
      </w:pPr>
    </w:p>
    <w:p w14:paraId="5CC390B5">
      <w:pPr>
        <w:pStyle w:val="2"/>
        <w:spacing w:before="0" w:after="0" w:line="360" w:lineRule="auto"/>
        <w:jc w:val="center"/>
        <w:rPr>
          <w:rFonts w:hint="eastAsia" w:ascii="宋体" w:hAnsi="宋体" w:cs="宋体"/>
          <w:color w:val="auto"/>
          <w:sz w:val="36"/>
          <w:szCs w:val="36"/>
          <w:highlight w:val="none"/>
        </w:rPr>
      </w:pPr>
      <w:r>
        <w:rPr>
          <w:rFonts w:ascii="宋体" w:hAnsi="宋体"/>
          <w:color w:val="auto"/>
          <w:highlight w:val="none"/>
        </w:rPr>
        <w:br w:type="page"/>
      </w:r>
      <w:bookmarkStart w:id="513" w:name="_Toc164432945"/>
      <w:r>
        <w:rPr>
          <w:rFonts w:hint="eastAsia" w:ascii="宋体" w:hAnsi="宋体" w:cs="宋体"/>
          <w:color w:val="auto"/>
          <w:sz w:val="36"/>
          <w:szCs w:val="36"/>
          <w:highlight w:val="none"/>
        </w:rPr>
        <w:t>第三章</w:t>
      </w:r>
      <w:r>
        <w:rPr>
          <w:rFonts w:ascii="宋体" w:hAnsi="宋体" w:cs="宋体"/>
          <w:color w:val="auto"/>
          <w:sz w:val="36"/>
          <w:szCs w:val="36"/>
          <w:highlight w:val="none"/>
        </w:rPr>
        <w:t xml:space="preserve"> </w:t>
      </w:r>
      <w:r>
        <w:rPr>
          <w:rFonts w:hint="eastAsia" w:ascii="宋体" w:hAnsi="宋体" w:cs="宋体"/>
          <w:color w:val="auto"/>
          <w:sz w:val="36"/>
          <w:szCs w:val="36"/>
          <w:highlight w:val="none"/>
        </w:rPr>
        <w:t>评标办法</w:t>
      </w:r>
      <w:bookmarkEnd w:id="513"/>
    </w:p>
    <w:p w14:paraId="55936025">
      <w:pPr>
        <w:pStyle w:val="3"/>
        <w:spacing w:before="0" w:after="0" w:line="360" w:lineRule="auto"/>
        <w:jc w:val="center"/>
        <w:rPr>
          <w:rFonts w:hint="eastAsia" w:ascii="宋体" w:hAnsi="宋体" w:eastAsia="宋体" w:cs="Times New Roman"/>
          <w:color w:val="auto"/>
          <w:sz w:val="28"/>
          <w:szCs w:val="28"/>
          <w:highlight w:val="none"/>
        </w:rPr>
      </w:pPr>
      <w:bookmarkStart w:id="514" w:name="_Toc164432946"/>
      <w:r>
        <w:rPr>
          <w:rFonts w:hint="eastAsia" w:ascii="宋体" w:hAnsi="宋体" w:eastAsia="宋体" w:cs="宋体"/>
          <w:color w:val="auto"/>
          <w:sz w:val="28"/>
          <w:szCs w:val="28"/>
          <w:highlight w:val="none"/>
        </w:rPr>
        <w:t>评标办法前附表</w:t>
      </w:r>
      <w:bookmarkEnd w:id="514"/>
    </w:p>
    <w:p w14:paraId="11DC56F7">
      <w:pPr>
        <w:pStyle w:val="3"/>
        <w:spacing w:before="0" w:after="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资格审查部分</w:t>
      </w:r>
    </w:p>
    <w:p w14:paraId="4D010E4F">
      <w:pPr>
        <w:pStyle w:val="17"/>
        <w:widowControl/>
        <w:spacing w:line="560" w:lineRule="exact"/>
        <w:ind w:left="0" w:leftChars="0" w:firstLine="420" w:firstLineChars="200"/>
        <w:jc w:val="left"/>
        <w:rPr>
          <w:rFonts w:hint="eastAsia" w:ascii="宋体" w:hAnsi="宋体"/>
          <w:color w:val="auto"/>
          <w:highlight w:val="none"/>
        </w:rPr>
      </w:pPr>
      <w:r>
        <w:rPr>
          <w:rFonts w:hint="eastAsia" w:ascii="宋体" w:hAnsi="宋体"/>
          <w:color w:val="auto"/>
          <w:highlight w:val="none"/>
        </w:rPr>
        <w:t>投标文件出现不满足下列各项评审内容及标准要求之一的，则资格评审为不合格。合格投标人不足</w:t>
      </w:r>
      <w:r>
        <w:rPr>
          <w:rFonts w:ascii="宋体" w:hAnsi="宋体"/>
          <w:color w:val="auto"/>
          <w:highlight w:val="none"/>
        </w:rPr>
        <w:t>3家的，不得评标。下列各项评审内容及标准均为招标文件的实质性要求，投标文件响应各款所列材料在开标后不得澄清、后补。</w:t>
      </w:r>
    </w:p>
    <w:tbl>
      <w:tblPr>
        <w:tblStyle w:val="39"/>
        <w:tblW w:w="5000" w:type="pct"/>
        <w:jc w:val="center"/>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60"/>
        <w:gridCol w:w="1131"/>
        <w:gridCol w:w="2531"/>
        <w:gridCol w:w="5232"/>
      </w:tblGrid>
      <w:tr w14:paraId="465EA695">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1061" w:type="pct"/>
            <w:gridSpan w:val="2"/>
            <w:vAlign w:val="center"/>
          </w:tcPr>
          <w:p w14:paraId="3C8EB89A">
            <w:pPr>
              <w:pStyle w:val="17"/>
              <w:spacing w:line="400" w:lineRule="exact"/>
              <w:ind w:left="0" w:leftChars="0"/>
              <w:jc w:val="center"/>
              <w:rPr>
                <w:rFonts w:hint="eastAsia" w:ascii="宋体" w:hAnsi="宋体"/>
                <w:b/>
                <w:bCs/>
                <w:color w:val="auto"/>
                <w:highlight w:val="none"/>
              </w:rPr>
            </w:pPr>
            <w:r>
              <w:rPr>
                <w:rFonts w:hint="eastAsia" w:ascii="宋体" w:hAnsi="宋体"/>
                <w:b/>
                <w:bCs/>
                <w:color w:val="auto"/>
                <w:highlight w:val="none"/>
              </w:rPr>
              <w:t>条款号</w:t>
            </w:r>
          </w:p>
        </w:tc>
        <w:tc>
          <w:tcPr>
            <w:tcW w:w="1284" w:type="pct"/>
            <w:vAlign w:val="center"/>
          </w:tcPr>
          <w:p w14:paraId="4A4CC5DC">
            <w:pPr>
              <w:pStyle w:val="17"/>
              <w:spacing w:line="400" w:lineRule="exact"/>
              <w:ind w:left="0" w:leftChars="0"/>
              <w:jc w:val="center"/>
              <w:rPr>
                <w:rFonts w:hint="eastAsia" w:ascii="宋体" w:hAnsi="宋体"/>
                <w:b/>
                <w:bCs/>
                <w:color w:val="auto"/>
                <w:highlight w:val="none"/>
              </w:rPr>
            </w:pPr>
            <w:r>
              <w:rPr>
                <w:rFonts w:hint="eastAsia" w:ascii="宋体" w:hAnsi="宋体"/>
                <w:b/>
                <w:bCs/>
                <w:color w:val="auto"/>
                <w:highlight w:val="none"/>
              </w:rPr>
              <w:t>评审因素</w:t>
            </w:r>
          </w:p>
        </w:tc>
        <w:tc>
          <w:tcPr>
            <w:tcW w:w="2654" w:type="pct"/>
            <w:vAlign w:val="center"/>
          </w:tcPr>
          <w:p w14:paraId="7E4F618F">
            <w:pPr>
              <w:pStyle w:val="17"/>
              <w:spacing w:line="400" w:lineRule="exact"/>
              <w:ind w:left="0" w:leftChars="0"/>
              <w:jc w:val="center"/>
              <w:rPr>
                <w:rFonts w:hint="eastAsia" w:ascii="宋体" w:hAnsi="宋体"/>
                <w:b/>
                <w:bCs/>
                <w:color w:val="auto"/>
                <w:highlight w:val="none"/>
              </w:rPr>
            </w:pPr>
            <w:r>
              <w:rPr>
                <w:rFonts w:hint="eastAsia" w:ascii="宋体" w:hAnsi="宋体"/>
                <w:b/>
                <w:bCs/>
                <w:color w:val="auto"/>
                <w:highlight w:val="none"/>
              </w:rPr>
              <w:t>评审标准</w:t>
            </w:r>
          </w:p>
        </w:tc>
      </w:tr>
      <w:tr w14:paraId="1116C98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7" w:type="pct"/>
            <w:vAlign w:val="center"/>
          </w:tcPr>
          <w:p w14:paraId="382970E1">
            <w:pPr>
              <w:spacing w:before="96" w:beforeLines="40" w:line="360" w:lineRule="auto"/>
              <w:jc w:val="center"/>
              <w:rPr>
                <w:rFonts w:hint="eastAsia" w:ascii="宋体" w:hAnsi="宋体" w:eastAsia="宋体"/>
                <w:b/>
                <w:bCs/>
                <w:color w:val="auto"/>
                <w:highlight w:val="none"/>
              </w:rPr>
            </w:pPr>
            <w:r>
              <w:rPr>
                <w:rFonts w:hint="eastAsia" w:ascii="宋体" w:hAnsi="宋体" w:eastAsia="宋体"/>
                <w:b/>
                <w:bCs/>
                <w:color w:val="auto"/>
                <w:highlight w:val="none"/>
              </w:rPr>
              <w:t>1</w:t>
            </w:r>
          </w:p>
        </w:tc>
        <w:tc>
          <w:tcPr>
            <w:tcW w:w="573" w:type="pct"/>
            <w:vAlign w:val="center"/>
          </w:tcPr>
          <w:p w14:paraId="28DC3DE8">
            <w:pPr>
              <w:wordWrap w:val="0"/>
              <w:spacing w:before="96" w:beforeLines="40" w:line="360" w:lineRule="auto"/>
              <w:jc w:val="center"/>
              <w:rPr>
                <w:rFonts w:hint="eastAsia" w:ascii="宋体" w:hAnsi="宋体" w:eastAsia="宋体"/>
                <w:b/>
                <w:bCs/>
                <w:color w:val="auto"/>
                <w:highlight w:val="none"/>
              </w:rPr>
            </w:pPr>
            <w:r>
              <w:rPr>
                <w:rFonts w:hint="eastAsia" w:ascii="宋体" w:hAnsi="宋体" w:eastAsia="宋体"/>
                <w:b/>
                <w:bCs/>
                <w:color w:val="auto"/>
                <w:highlight w:val="none"/>
              </w:rPr>
              <w:t>评审方法</w:t>
            </w:r>
          </w:p>
        </w:tc>
        <w:tc>
          <w:tcPr>
            <w:tcW w:w="1284" w:type="pct"/>
            <w:vAlign w:val="center"/>
          </w:tcPr>
          <w:p w14:paraId="243FC2C7">
            <w:pPr>
              <w:spacing w:before="96" w:beforeLines="40" w:line="360" w:lineRule="auto"/>
              <w:jc w:val="center"/>
              <w:rPr>
                <w:rFonts w:hint="eastAsia" w:ascii="宋体" w:hAnsi="宋体" w:eastAsia="宋体"/>
                <w:b/>
                <w:bCs/>
                <w:color w:val="auto"/>
                <w:highlight w:val="none"/>
              </w:rPr>
            </w:pPr>
            <w:r>
              <w:rPr>
                <w:rFonts w:hint="eastAsia" w:ascii="宋体" w:hAnsi="宋体" w:eastAsia="宋体"/>
                <w:b/>
                <w:bCs/>
                <w:color w:val="auto"/>
                <w:highlight w:val="none"/>
              </w:rPr>
              <w:t>评审内容</w:t>
            </w:r>
          </w:p>
        </w:tc>
        <w:tc>
          <w:tcPr>
            <w:tcW w:w="2654" w:type="pct"/>
            <w:vAlign w:val="center"/>
          </w:tcPr>
          <w:p w14:paraId="3D20096F">
            <w:pPr>
              <w:spacing w:before="96" w:beforeLines="40" w:line="360" w:lineRule="auto"/>
              <w:jc w:val="center"/>
              <w:rPr>
                <w:rFonts w:hint="eastAsia" w:ascii="宋体" w:hAnsi="宋体" w:eastAsia="宋体" w:cs="宋体"/>
                <w:b/>
                <w:bCs/>
                <w:color w:val="auto"/>
                <w:highlight w:val="none"/>
              </w:rPr>
            </w:pPr>
            <w:r>
              <w:rPr>
                <w:rFonts w:hint="eastAsia" w:ascii="宋体" w:hAnsi="宋体" w:eastAsia="宋体"/>
                <w:b/>
                <w:bCs/>
                <w:color w:val="auto"/>
                <w:highlight w:val="none"/>
              </w:rPr>
              <w:t>综合评分法</w:t>
            </w:r>
          </w:p>
        </w:tc>
      </w:tr>
      <w:tr w14:paraId="55BD339F">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7" w:type="pct"/>
            <w:vMerge w:val="restart"/>
            <w:vAlign w:val="center"/>
          </w:tcPr>
          <w:p w14:paraId="323F2B72">
            <w:pPr>
              <w:spacing w:before="96" w:beforeLines="40" w:line="360" w:lineRule="auto"/>
              <w:jc w:val="left"/>
              <w:rPr>
                <w:rFonts w:hint="eastAsia" w:ascii="宋体" w:hAnsi="宋体" w:eastAsia="宋体"/>
                <w:color w:val="auto"/>
                <w:highlight w:val="none"/>
              </w:rPr>
            </w:pPr>
            <w:bookmarkStart w:id="515" w:name="_Hlk206076831"/>
            <w:r>
              <w:rPr>
                <w:rFonts w:hint="eastAsia" w:ascii="宋体" w:hAnsi="宋体" w:eastAsia="宋体"/>
                <w:color w:val="auto"/>
                <w:highlight w:val="none"/>
              </w:rPr>
              <w:t>2.1.1</w:t>
            </w:r>
          </w:p>
        </w:tc>
        <w:tc>
          <w:tcPr>
            <w:tcW w:w="573" w:type="pct"/>
            <w:vMerge w:val="restart"/>
            <w:vAlign w:val="center"/>
          </w:tcPr>
          <w:p w14:paraId="3C728C9B">
            <w:pPr>
              <w:wordWrap w:val="0"/>
              <w:spacing w:before="96" w:beforeLines="40" w:line="360" w:lineRule="auto"/>
              <w:jc w:val="center"/>
              <w:rPr>
                <w:rFonts w:hint="eastAsia" w:ascii="宋体" w:hAnsi="宋体" w:eastAsia="宋体"/>
                <w:color w:val="auto"/>
                <w:highlight w:val="none"/>
              </w:rPr>
            </w:pPr>
            <w:r>
              <w:rPr>
                <w:rFonts w:hint="eastAsia" w:ascii="宋体" w:hAnsi="宋体" w:eastAsia="宋体"/>
                <w:color w:val="auto"/>
                <w:highlight w:val="none"/>
              </w:rPr>
              <w:t>资格审查标准</w:t>
            </w:r>
          </w:p>
        </w:tc>
        <w:tc>
          <w:tcPr>
            <w:tcW w:w="1284" w:type="pct"/>
            <w:vAlign w:val="center"/>
          </w:tcPr>
          <w:p w14:paraId="1188E822">
            <w:pPr>
              <w:wordWrap w:val="0"/>
              <w:spacing w:before="96" w:beforeLines="40" w:line="360" w:lineRule="auto"/>
              <w:jc w:val="left"/>
              <w:rPr>
                <w:rFonts w:hint="eastAsia" w:ascii="宋体" w:hAnsi="宋体" w:eastAsia="宋体"/>
                <w:color w:val="auto"/>
                <w:highlight w:val="none"/>
              </w:rPr>
            </w:pPr>
            <w:r>
              <w:rPr>
                <w:rFonts w:hint="eastAsia" w:ascii="宋体" w:hAnsi="宋体" w:eastAsia="宋体"/>
                <w:color w:val="auto"/>
                <w:highlight w:val="none"/>
              </w:rPr>
              <w:t>满足《中华人民共和国政府采购法》第二十二条规定</w:t>
            </w:r>
          </w:p>
        </w:tc>
        <w:tc>
          <w:tcPr>
            <w:tcW w:w="2654" w:type="pct"/>
            <w:vAlign w:val="center"/>
          </w:tcPr>
          <w:p w14:paraId="4C3E2150">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1.1具有独立承担民事责任的能力；</w:t>
            </w:r>
          </w:p>
          <w:p w14:paraId="0690E66A">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1.2具有良好的商业信誉和健全的财务会计制度；</w:t>
            </w:r>
          </w:p>
          <w:p w14:paraId="7FE416A5">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1.3具有履行合同所必需的设备和专业技术能力；</w:t>
            </w:r>
          </w:p>
          <w:p w14:paraId="6C45A33D">
            <w:pPr>
              <w:adjustRightInd w:val="0"/>
              <w:spacing w:line="360" w:lineRule="auto"/>
              <w:jc w:val="left"/>
              <w:rPr>
                <w:rFonts w:hint="eastAsia" w:ascii="宋体" w:hAnsi="宋体" w:cs="宋体"/>
                <w:color w:val="auto"/>
                <w:highlight w:val="none"/>
              </w:rPr>
            </w:pPr>
            <w:r>
              <w:rPr>
                <w:rFonts w:hint="eastAsia" w:ascii="宋体" w:hAnsi="宋体" w:eastAsia="宋体" w:cs="宋体"/>
                <w:color w:val="auto"/>
                <w:highlight w:val="none"/>
              </w:rPr>
              <w:t>1.4有依法缴纳税收和社会保障资金的良好记录；</w:t>
            </w:r>
          </w:p>
          <w:p w14:paraId="46943932">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1.5参加政府采购活动前三年内，在经营活动中没有重大违法记录；</w:t>
            </w:r>
          </w:p>
          <w:p w14:paraId="3F630B81">
            <w:pPr>
              <w:adjustRightInd w:val="0"/>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1.6法律、行政法规规定的其他条件。</w:t>
            </w:r>
          </w:p>
        </w:tc>
      </w:tr>
      <w:bookmarkEnd w:id="515"/>
      <w:tr w14:paraId="58A354C9">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7" w:type="pct"/>
            <w:vMerge w:val="continue"/>
            <w:vAlign w:val="center"/>
          </w:tcPr>
          <w:p w14:paraId="567239D8">
            <w:pPr>
              <w:wordWrap w:val="0"/>
              <w:spacing w:before="96" w:beforeLines="40" w:line="360" w:lineRule="auto"/>
              <w:jc w:val="left"/>
              <w:rPr>
                <w:rFonts w:hint="eastAsia" w:ascii="宋体" w:hAnsi="宋体" w:eastAsia="宋体"/>
                <w:color w:val="auto"/>
                <w:highlight w:val="none"/>
              </w:rPr>
            </w:pPr>
          </w:p>
        </w:tc>
        <w:tc>
          <w:tcPr>
            <w:tcW w:w="573" w:type="pct"/>
            <w:vMerge w:val="continue"/>
          </w:tcPr>
          <w:p w14:paraId="77220090">
            <w:pPr>
              <w:wordWrap w:val="0"/>
              <w:spacing w:before="96" w:beforeLines="40" w:line="360" w:lineRule="auto"/>
              <w:jc w:val="left"/>
              <w:rPr>
                <w:rFonts w:hint="eastAsia" w:ascii="宋体" w:hAnsi="宋体" w:eastAsia="宋体"/>
                <w:color w:val="auto"/>
                <w:highlight w:val="none"/>
              </w:rPr>
            </w:pPr>
          </w:p>
        </w:tc>
        <w:tc>
          <w:tcPr>
            <w:tcW w:w="1284" w:type="pct"/>
            <w:vAlign w:val="center"/>
          </w:tcPr>
          <w:p w14:paraId="6E7C8022">
            <w:pPr>
              <w:wordWrap w:val="0"/>
              <w:spacing w:before="96" w:beforeLines="40" w:line="360" w:lineRule="auto"/>
              <w:jc w:val="left"/>
              <w:rPr>
                <w:rFonts w:hint="eastAsia" w:ascii="宋体" w:hAnsi="宋体" w:eastAsia="宋体"/>
                <w:color w:val="auto"/>
                <w:highlight w:val="none"/>
              </w:rPr>
            </w:pPr>
            <w:r>
              <w:rPr>
                <w:rFonts w:hint="eastAsia" w:ascii="宋体" w:hAnsi="宋体" w:eastAsia="宋体"/>
                <w:color w:val="auto"/>
                <w:highlight w:val="none"/>
              </w:rPr>
              <w:t>落实政府采购政策需满足的资格要求</w:t>
            </w:r>
          </w:p>
        </w:tc>
        <w:tc>
          <w:tcPr>
            <w:tcW w:w="2654" w:type="pct"/>
            <w:vAlign w:val="center"/>
          </w:tcPr>
          <w:p w14:paraId="394C80E1">
            <w:pPr>
              <w:wordWrap w:val="0"/>
              <w:spacing w:before="96" w:beforeLines="40" w:line="360" w:lineRule="auto"/>
              <w:jc w:val="left"/>
              <w:rPr>
                <w:rFonts w:hint="eastAsia" w:ascii="宋体" w:hAnsi="宋体" w:eastAsia="宋体"/>
                <w:color w:val="auto"/>
                <w:highlight w:val="none"/>
              </w:rPr>
            </w:pPr>
            <w:r>
              <w:rPr>
                <w:rFonts w:hint="eastAsia" w:ascii="宋体" w:hAnsi="宋体" w:eastAsia="宋体"/>
                <w:color w:val="auto"/>
                <w:highlight w:val="none"/>
              </w:rPr>
              <w:t>无，本项目非专门面向中小企业采购。</w:t>
            </w:r>
          </w:p>
          <w:p w14:paraId="46F8FA33">
            <w:pPr>
              <w:wordWrap w:val="0"/>
              <w:spacing w:before="96" w:beforeLines="40" w:line="360" w:lineRule="auto"/>
              <w:jc w:val="left"/>
              <w:rPr>
                <w:rFonts w:hint="eastAsia" w:ascii="宋体" w:hAnsi="宋体" w:eastAsia="宋体"/>
                <w:color w:val="auto"/>
                <w:highlight w:val="none"/>
              </w:rPr>
            </w:pPr>
            <w:r>
              <w:rPr>
                <w:rFonts w:hint="eastAsia" w:ascii="宋体" w:hAnsi="宋体" w:eastAsia="宋体"/>
                <w:color w:val="auto"/>
                <w:highlight w:val="none"/>
              </w:rPr>
              <w:t>供应商若为中小微企业或监狱企业或残疾人福利性单位的，需按要求提供《中小企业声明函》、残疾人福利性单位声明函、监狱企业证明文件，残疾人福利性单位、监狱企业视同小型或微型企业。</w:t>
            </w:r>
          </w:p>
        </w:tc>
      </w:tr>
      <w:tr w14:paraId="591FE700">
        <w:tblPrEx>
          <w:tblBorders>
            <w:top w:val="thinThickSmallGap" w:color="auto" w:sz="12" w:space="0"/>
            <w:left w:val="thinThickSmallGap" w:color="auto" w:sz="12" w:space="0"/>
            <w:bottom w:val="thickThinSmallGap" w:color="auto" w:sz="12" w:space="0"/>
            <w:right w:val="thickThinSmallGap" w:color="auto" w:sz="12"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487" w:type="pct"/>
            <w:vMerge w:val="continue"/>
            <w:vAlign w:val="center"/>
          </w:tcPr>
          <w:p w14:paraId="0CF89032">
            <w:pPr>
              <w:wordWrap w:val="0"/>
              <w:spacing w:before="96" w:beforeLines="40" w:line="360" w:lineRule="auto"/>
              <w:jc w:val="left"/>
              <w:rPr>
                <w:rFonts w:hint="eastAsia" w:ascii="宋体" w:hAnsi="宋体" w:eastAsia="宋体"/>
                <w:color w:val="auto"/>
                <w:highlight w:val="none"/>
              </w:rPr>
            </w:pPr>
          </w:p>
        </w:tc>
        <w:tc>
          <w:tcPr>
            <w:tcW w:w="573" w:type="pct"/>
            <w:vMerge w:val="continue"/>
          </w:tcPr>
          <w:p w14:paraId="36C0743B">
            <w:pPr>
              <w:wordWrap w:val="0"/>
              <w:spacing w:before="96" w:beforeLines="40" w:line="360" w:lineRule="auto"/>
              <w:jc w:val="left"/>
              <w:rPr>
                <w:rFonts w:hint="eastAsia" w:ascii="宋体" w:hAnsi="宋体" w:eastAsia="宋体"/>
                <w:color w:val="auto"/>
                <w:highlight w:val="none"/>
              </w:rPr>
            </w:pPr>
          </w:p>
        </w:tc>
        <w:tc>
          <w:tcPr>
            <w:tcW w:w="1284" w:type="pct"/>
            <w:vAlign w:val="center"/>
          </w:tcPr>
          <w:p w14:paraId="1037B967">
            <w:pPr>
              <w:wordWrap w:val="0"/>
              <w:spacing w:before="96" w:beforeLines="40" w:line="360" w:lineRule="auto"/>
              <w:jc w:val="left"/>
              <w:rPr>
                <w:rFonts w:hint="eastAsia" w:ascii="宋体" w:hAnsi="宋体" w:eastAsia="宋体"/>
                <w:color w:val="auto"/>
                <w:highlight w:val="none"/>
              </w:rPr>
            </w:pPr>
            <w:r>
              <w:rPr>
                <w:rFonts w:hint="eastAsia" w:ascii="宋体" w:hAnsi="宋体" w:eastAsia="宋体"/>
                <w:color w:val="auto"/>
                <w:highlight w:val="none"/>
              </w:rPr>
              <w:t>本项目的特定资格要求</w:t>
            </w:r>
          </w:p>
        </w:tc>
        <w:tc>
          <w:tcPr>
            <w:tcW w:w="2654" w:type="pct"/>
            <w:vAlign w:val="center"/>
          </w:tcPr>
          <w:p w14:paraId="44D06036">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1.具备煤炭行业工程咨询单位甲级资质。</w:t>
            </w:r>
          </w:p>
          <w:p w14:paraId="0907CF83">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2.投标人在递交投标文件截止时间前未被列入“信用中国”网站(www.creditchina.gov.cn)失信被执行人、重大税收违法案件当事人名单，中国政府采购网(www.ccgp.gov.cn)政府采购严重违法失信行为记录名单。</w:t>
            </w:r>
          </w:p>
          <w:p w14:paraId="0BB08A8B">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3.人员要求：拟派项目负责人为本单位在职人员且持有中级及以上职称证书。</w:t>
            </w:r>
          </w:p>
          <w:p w14:paraId="0EBFA195">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4.单位负责人为同一人或者存在控股、管理关系的不同单位，不得同时参加本采购项目投标。</w:t>
            </w:r>
          </w:p>
          <w:p w14:paraId="68A6959C">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5.投标人不得存在下列情形之一：</w:t>
            </w:r>
          </w:p>
          <w:p w14:paraId="59C6829F">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（1）被暂停、取消投标或禁止参加采购活动且处于有效期内的；</w:t>
            </w:r>
          </w:p>
          <w:p w14:paraId="2F8DFEC1">
            <w:pPr>
              <w:spacing w:before="120" w:before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（2）处于被责令停产停业、暂扣或者吊销执照、暂扣或者吊销许可证、吊销资质证书状态；</w:t>
            </w:r>
          </w:p>
          <w:p w14:paraId="757308A7">
            <w:pPr>
              <w:wordWrap w:val="0"/>
              <w:spacing w:before="96" w:beforeLines="40"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（3）进入清算程序，或被宣告破产，或其他丧失履约能力的情形。</w:t>
            </w:r>
          </w:p>
        </w:tc>
      </w:tr>
    </w:tbl>
    <w:p w14:paraId="37EDE06A">
      <w:pPr>
        <w:pStyle w:val="2"/>
        <w:spacing w:before="0" w:after="0" w:line="360" w:lineRule="auto"/>
        <w:jc w:val="center"/>
        <w:rPr>
          <w:rFonts w:hint="eastAsia" w:ascii="宋体" w:hAnsi="宋体" w:cs="宋体"/>
          <w:color w:val="auto"/>
          <w:sz w:val="36"/>
          <w:szCs w:val="36"/>
          <w:highlight w:val="none"/>
        </w:rPr>
      </w:pPr>
      <w:r>
        <w:rPr>
          <w:rFonts w:ascii="宋体" w:hAnsi="宋体" w:cs="宋体"/>
          <w:color w:val="auto"/>
          <w:sz w:val="36"/>
          <w:szCs w:val="36"/>
          <w:highlight w:val="none"/>
        </w:rPr>
        <w:br w:type="page"/>
      </w:r>
    </w:p>
    <w:p w14:paraId="3BC70E30">
      <w:pPr>
        <w:pStyle w:val="3"/>
        <w:spacing w:before="0" w:after="0"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符合性审查部分</w:t>
      </w:r>
    </w:p>
    <w:tbl>
      <w:tblPr>
        <w:tblStyle w:val="39"/>
        <w:tblW w:w="0" w:type="auto"/>
        <w:tblInd w:w="254" w:type="dxa"/>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7"/>
        <w:gridCol w:w="996"/>
        <w:gridCol w:w="2410"/>
        <w:gridCol w:w="4961"/>
      </w:tblGrid>
      <w:tr w14:paraId="352B419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1843" w:type="dxa"/>
            <w:gridSpan w:val="2"/>
            <w:vAlign w:val="center"/>
          </w:tcPr>
          <w:p w14:paraId="5E780C72">
            <w:pPr>
              <w:wordWrap w:val="0"/>
              <w:spacing w:before="96" w:beforeLines="40" w:line="360" w:lineRule="auto"/>
              <w:jc w:val="center"/>
              <w:rPr>
                <w:rFonts w:hint="eastAsia" w:ascii="宋体" w:hAnsi="宋体" w:eastAsia="宋体"/>
                <w:b/>
                <w:bCs/>
                <w:color w:val="auto"/>
                <w:highlight w:val="none"/>
              </w:rPr>
            </w:pPr>
            <w:r>
              <w:rPr>
                <w:rFonts w:hint="eastAsia" w:ascii="宋体" w:hAnsi="宋体" w:eastAsia="宋体"/>
                <w:b/>
                <w:bCs/>
                <w:color w:val="auto"/>
                <w:highlight w:val="none"/>
              </w:rPr>
              <w:t>条款号</w:t>
            </w:r>
          </w:p>
        </w:tc>
        <w:tc>
          <w:tcPr>
            <w:tcW w:w="2410" w:type="dxa"/>
            <w:vAlign w:val="center"/>
          </w:tcPr>
          <w:p w14:paraId="3E82566B">
            <w:pPr>
              <w:wordWrap w:val="0"/>
              <w:spacing w:before="96" w:beforeLines="40" w:line="360" w:lineRule="auto"/>
              <w:jc w:val="center"/>
              <w:rPr>
                <w:rFonts w:hint="eastAsia" w:ascii="宋体" w:hAnsi="宋体" w:eastAsia="宋体"/>
                <w:b/>
                <w:bCs/>
                <w:color w:val="auto"/>
                <w:highlight w:val="none"/>
              </w:rPr>
            </w:pPr>
            <w:r>
              <w:rPr>
                <w:rFonts w:hint="eastAsia" w:ascii="宋体" w:hAnsi="宋体" w:eastAsia="宋体"/>
                <w:b/>
                <w:bCs/>
                <w:color w:val="auto"/>
                <w:highlight w:val="none"/>
              </w:rPr>
              <w:t>评审因素</w:t>
            </w:r>
          </w:p>
        </w:tc>
        <w:tc>
          <w:tcPr>
            <w:tcW w:w="4961" w:type="dxa"/>
            <w:vAlign w:val="center"/>
          </w:tcPr>
          <w:p w14:paraId="293A1B04">
            <w:pPr>
              <w:wordWrap w:val="0"/>
              <w:spacing w:before="96" w:beforeLines="40" w:line="360" w:lineRule="auto"/>
              <w:jc w:val="center"/>
              <w:rPr>
                <w:rFonts w:hint="eastAsia" w:ascii="宋体" w:hAnsi="宋体" w:eastAsia="宋体"/>
                <w:b/>
                <w:bCs/>
                <w:color w:val="auto"/>
                <w:highlight w:val="none"/>
              </w:rPr>
            </w:pPr>
            <w:r>
              <w:rPr>
                <w:rFonts w:hint="eastAsia" w:ascii="宋体" w:hAnsi="宋体" w:eastAsia="宋体"/>
                <w:b/>
                <w:bCs/>
                <w:color w:val="auto"/>
                <w:highlight w:val="none"/>
              </w:rPr>
              <w:t>评审标准</w:t>
            </w:r>
          </w:p>
        </w:tc>
      </w:tr>
      <w:tr w14:paraId="2B8A089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restart"/>
            <w:vAlign w:val="center"/>
          </w:tcPr>
          <w:p w14:paraId="57812A15">
            <w:pPr>
              <w:wordWrap w:val="0"/>
              <w:spacing w:before="96" w:beforeLines="40" w:line="360" w:lineRule="auto"/>
              <w:jc w:val="center"/>
              <w:rPr>
                <w:rFonts w:hint="eastAsia" w:ascii="宋体" w:hAnsi="宋体" w:eastAsia="宋体"/>
                <w:color w:val="auto"/>
                <w:highlight w:val="none"/>
              </w:rPr>
            </w:pPr>
            <w:r>
              <w:rPr>
                <w:rFonts w:hint="eastAsia" w:ascii="宋体" w:hAnsi="宋体" w:eastAsia="宋体"/>
                <w:color w:val="auto"/>
                <w:highlight w:val="none"/>
              </w:rPr>
              <w:t>2</w:t>
            </w:r>
            <w:r>
              <w:rPr>
                <w:rFonts w:ascii="宋体" w:hAnsi="宋体" w:eastAsia="宋体"/>
                <w:color w:val="auto"/>
                <w:highlight w:val="none"/>
              </w:rPr>
              <w:t>.1</w:t>
            </w:r>
            <w:r>
              <w:rPr>
                <w:rFonts w:hint="eastAsia" w:ascii="宋体" w:hAnsi="宋体" w:eastAsia="宋体"/>
                <w:color w:val="auto"/>
                <w:highlight w:val="none"/>
              </w:rPr>
              <w:t>.2</w:t>
            </w:r>
          </w:p>
        </w:tc>
        <w:tc>
          <w:tcPr>
            <w:tcW w:w="996" w:type="dxa"/>
            <w:vMerge w:val="restart"/>
            <w:vAlign w:val="center"/>
          </w:tcPr>
          <w:p w14:paraId="11383FBF">
            <w:pPr>
              <w:wordWrap w:val="0"/>
              <w:spacing w:before="96" w:beforeLines="40" w:line="360" w:lineRule="auto"/>
              <w:jc w:val="center"/>
              <w:rPr>
                <w:rFonts w:hint="eastAsia" w:ascii="宋体" w:hAnsi="宋体" w:eastAsia="宋体"/>
                <w:color w:val="auto"/>
                <w:highlight w:val="none"/>
              </w:rPr>
            </w:pPr>
            <w:r>
              <w:rPr>
                <w:rFonts w:hint="eastAsia" w:ascii="宋体" w:hAnsi="宋体" w:eastAsia="宋体"/>
                <w:color w:val="auto"/>
                <w:highlight w:val="none"/>
              </w:rPr>
              <w:t>符合性评审标准</w:t>
            </w:r>
          </w:p>
        </w:tc>
        <w:tc>
          <w:tcPr>
            <w:tcW w:w="7371" w:type="dxa"/>
            <w:gridSpan w:val="2"/>
            <w:vAlign w:val="center"/>
          </w:tcPr>
          <w:p w14:paraId="35F24D3E">
            <w:pPr>
              <w:wordWrap w:val="0"/>
              <w:spacing w:before="96" w:beforeLines="40" w:line="360" w:lineRule="auto"/>
              <w:rPr>
                <w:rFonts w:hint="eastAsia" w:ascii="宋体" w:hAnsi="宋体" w:eastAsia="宋体"/>
                <w:color w:val="auto"/>
                <w:highlight w:val="none"/>
              </w:rPr>
            </w:pPr>
            <w:r>
              <w:rPr>
                <w:rFonts w:hint="eastAsia" w:ascii="宋体" w:hAnsi="宋体" w:eastAsia="宋体"/>
                <w:b/>
                <w:color w:val="auto"/>
                <w:highlight w:val="none"/>
              </w:rPr>
              <w:t>供应商不满足下列情况之一的，投标无效：</w:t>
            </w:r>
          </w:p>
        </w:tc>
      </w:tr>
      <w:tr w14:paraId="55590B0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69790E47">
            <w:pPr>
              <w:wordWrap w:val="0"/>
              <w:spacing w:before="96" w:beforeLines="40" w:line="360" w:lineRule="auto"/>
              <w:jc w:val="center"/>
              <w:rPr>
                <w:rFonts w:hint="eastAsia" w:ascii="宋体" w:hAnsi="宋体" w:eastAsia="宋体"/>
                <w:color w:val="auto"/>
                <w:highlight w:val="none"/>
              </w:rPr>
            </w:pPr>
            <w:bookmarkStart w:id="516" w:name="OLE_LINK1" w:colFirst="3" w:colLast="3"/>
          </w:p>
        </w:tc>
        <w:tc>
          <w:tcPr>
            <w:tcW w:w="996" w:type="dxa"/>
            <w:vMerge w:val="continue"/>
            <w:vAlign w:val="center"/>
          </w:tcPr>
          <w:p w14:paraId="6425B02E">
            <w:pPr>
              <w:wordWrap w:val="0"/>
              <w:spacing w:before="96" w:beforeLines="40" w:line="360" w:lineRule="auto"/>
              <w:jc w:val="center"/>
              <w:rPr>
                <w:rFonts w:hint="eastAsia" w:ascii="宋体" w:hAnsi="宋体" w:eastAsia="宋体"/>
                <w:color w:val="auto"/>
                <w:highlight w:val="none"/>
              </w:rPr>
            </w:pPr>
          </w:p>
        </w:tc>
        <w:tc>
          <w:tcPr>
            <w:tcW w:w="2410" w:type="dxa"/>
            <w:vAlign w:val="center"/>
          </w:tcPr>
          <w:p w14:paraId="14E4AE41">
            <w:pPr>
              <w:wordWrap w:val="0"/>
              <w:spacing w:before="96" w:beforeLines="40" w:line="360" w:lineRule="auto"/>
              <w:jc w:val="center"/>
              <w:rPr>
                <w:rFonts w:hint="eastAsia" w:ascii="宋体" w:hAnsi="宋体" w:eastAsia="宋体"/>
                <w:color w:val="auto"/>
                <w:highlight w:val="none"/>
              </w:rPr>
            </w:pPr>
            <w:r>
              <w:rPr>
                <w:rFonts w:ascii="宋体" w:hAnsi="宋体" w:eastAsia="宋体"/>
                <w:color w:val="auto"/>
                <w:highlight w:val="none"/>
              </w:rPr>
              <w:t>投标函签</w:t>
            </w:r>
            <w:r>
              <w:rPr>
                <w:rFonts w:hint="eastAsia" w:ascii="宋体" w:hAnsi="宋体" w:eastAsia="宋体"/>
                <w:color w:val="auto"/>
                <w:highlight w:val="none"/>
              </w:rPr>
              <w:t>名</w:t>
            </w:r>
            <w:r>
              <w:rPr>
                <w:rFonts w:ascii="宋体" w:hAnsi="宋体" w:eastAsia="宋体"/>
                <w:color w:val="auto"/>
                <w:highlight w:val="none"/>
              </w:rPr>
              <w:t>盖章</w:t>
            </w:r>
          </w:p>
        </w:tc>
        <w:tc>
          <w:tcPr>
            <w:tcW w:w="4961" w:type="dxa"/>
            <w:vAlign w:val="center"/>
          </w:tcPr>
          <w:p w14:paraId="23FDA96A">
            <w:pPr>
              <w:wordWrap w:val="0"/>
              <w:spacing w:before="96" w:beforeLines="40" w:line="360" w:lineRule="auto"/>
              <w:rPr>
                <w:rFonts w:hint="eastAsia" w:ascii="宋体" w:hAnsi="宋体" w:eastAsia="宋体"/>
                <w:color w:val="auto"/>
                <w:highlight w:val="none"/>
              </w:rPr>
            </w:pPr>
            <w:r>
              <w:rPr>
                <w:rFonts w:ascii="宋体" w:hAnsi="宋体" w:eastAsia="宋体"/>
                <w:color w:val="auto"/>
                <w:highlight w:val="none"/>
              </w:rPr>
              <w:t>有法定代表人</w:t>
            </w:r>
            <w:r>
              <w:rPr>
                <w:rFonts w:hint="eastAsia" w:ascii="宋体" w:hAnsi="宋体" w:eastAsia="宋体"/>
                <w:color w:val="auto"/>
                <w:highlight w:val="none"/>
              </w:rPr>
              <w:t>电子签名</w:t>
            </w:r>
            <w:r>
              <w:rPr>
                <w:rFonts w:ascii="宋体" w:hAnsi="宋体" w:eastAsia="宋体"/>
                <w:color w:val="auto"/>
                <w:highlight w:val="none"/>
              </w:rPr>
              <w:t>及加盖</w:t>
            </w:r>
            <w:r>
              <w:rPr>
                <w:rFonts w:hint="eastAsia" w:ascii="宋体" w:hAnsi="宋体" w:eastAsia="宋体"/>
                <w:color w:val="auto"/>
                <w:highlight w:val="none"/>
              </w:rPr>
              <w:t>电子公章</w:t>
            </w:r>
          </w:p>
        </w:tc>
      </w:tr>
      <w:tr w14:paraId="51D14E5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54088B8B">
            <w:pPr>
              <w:wordWrap w:val="0"/>
              <w:spacing w:before="96" w:beforeLines="40" w:line="360" w:lineRule="auto"/>
              <w:jc w:val="center"/>
              <w:rPr>
                <w:rFonts w:hint="eastAsia" w:ascii="宋体" w:hAnsi="宋体" w:eastAsia="宋体"/>
                <w:color w:val="auto"/>
                <w:highlight w:val="none"/>
              </w:rPr>
            </w:pPr>
          </w:p>
        </w:tc>
        <w:tc>
          <w:tcPr>
            <w:tcW w:w="996" w:type="dxa"/>
            <w:vMerge w:val="continue"/>
            <w:vAlign w:val="center"/>
          </w:tcPr>
          <w:p w14:paraId="66DE2D55">
            <w:pPr>
              <w:wordWrap w:val="0"/>
              <w:spacing w:before="96" w:beforeLines="40" w:line="360" w:lineRule="auto"/>
              <w:jc w:val="center"/>
              <w:rPr>
                <w:rFonts w:hint="eastAsia" w:ascii="宋体" w:hAnsi="宋体" w:eastAsia="宋体"/>
                <w:color w:val="auto"/>
                <w:highlight w:val="none"/>
              </w:rPr>
            </w:pPr>
          </w:p>
        </w:tc>
        <w:tc>
          <w:tcPr>
            <w:tcW w:w="2410" w:type="dxa"/>
            <w:vAlign w:val="center"/>
          </w:tcPr>
          <w:p w14:paraId="747E0DE9">
            <w:pPr>
              <w:wordWrap w:val="0"/>
              <w:spacing w:before="96" w:beforeLines="40" w:line="360" w:lineRule="auto"/>
              <w:jc w:val="center"/>
              <w:rPr>
                <w:rFonts w:hint="eastAsia" w:ascii="宋体" w:hAnsi="宋体" w:eastAsia="宋体"/>
                <w:color w:val="auto"/>
                <w:highlight w:val="none"/>
              </w:rPr>
            </w:pPr>
            <w:r>
              <w:rPr>
                <w:rFonts w:ascii="宋体" w:hAnsi="宋体" w:eastAsia="宋体"/>
                <w:color w:val="auto"/>
                <w:highlight w:val="none"/>
              </w:rPr>
              <w:t>投标文件格式</w:t>
            </w:r>
          </w:p>
        </w:tc>
        <w:tc>
          <w:tcPr>
            <w:tcW w:w="4961" w:type="dxa"/>
            <w:vAlign w:val="center"/>
          </w:tcPr>
          <w:p w14:paraId="22E8A366">
            <w:pPr>
              <w:wordWrap w:val="0"/>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按“第六章 投标文件格式”填报并按要求进行签章</w:t>
            </w:r>
          </w:p>
        </w:tc>
      </w:tr>
      <w:tr w14:paraId="0B521A6C">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65B7CBC7">
            <w:pPr>
              <w:wordWrap w:val="0"/>
              <w:spacing w:before="96" w:beforeLines="40" w:line="360" w:lineRule="auto"/>
              <w:jc w:val="center"/>
              <w:rPr>
                <w:rFonts w:hint="eastAsia" w:ascii="宋体" w:hAnsi="宋体" w:eastAsia="宋体"/>
                <w:color w:val="auto"/>
                <w:highlight w:val="none"/>
              </w:rPr>
            </w:pPr>
          </w:p>
        </w:tc>
        <w:tc>
          <w:tcPr>
            <w:tcW w:w="996" w:type="dxa"/>
            <w:vMerge w:val="continue"/>
            <w:vAlign w:val="center"/>
          </w:tcPr>
          <w:p w14:paraId="57117F83">
            <w:pPr>
              <w:wordWrap w:val="0"/>
              <w:spacing w:before="96" w:beforeLines="40" w:line="360" w:lineRule="auto"/>
              <w:jc w:val="center"/>
              <w:rPr>
                <w:rFonts w:hint="eastAsia" w:ascii="宋体" w:hAnsi="宋体" w:eastAsia="宋体"/>
                <w:color w:val="auto"/>
                <w:highlight w:val="none"/>
              </w:rPr>
            </w:pPr>
          </w:p>
        </w:tc>
        <w:tc>
          <w:tcPr>
            <w:tcW w:w="2410" w:type="dxa"/>
            <w:vAlign w:val="center"/>
          </w:tcPr>
          <w:p w14:paraId="5555A5D9">
            <w:pPr>
              <w:wordWrap w:val="0"/>
              <w:spacing w:before="96" w:beforeLines="40" w:line="360" w:lineRule="auto"/>
              <w:jc w:val="center"/>
              <w:rPr>
                <w:rFonts w:hint="eastAsia" w:ascii="宋体" w:hAnsi="宋体" w:eastAsia="宋体"/>
                <w:color w:val="auto"/>
                <w:highlight w:val="none"/>
              </w:rPr>
            </w:pPr>
            <w:r>
              <w:rPr>
                <w:rFonts w:ascii="宋体" w:hAnsi="宋体" w:eastAsia="宋体"/>
                <w:color w:val="auto"/>
                <w:highlight w:val="none"/>
              </w:rPr>
              <w:t>投标报价</w:t>
            </w:r>
          </w:p>
        </w:tc>
        <w:tc>
          <w:tcPr>
            <w:tcW w:w="4961" w:type="dxa"/>
            <w:vAlign w:val="center"/>
          </w:tcPr>
          <w:p w14:paraId="51C846D4">
            <w:pPr>
              <w:wordWrap w:val="0"/>
              <w:spacing w:before="96" w:beforeLines="40" w:line="360" w:lineRule="auto"/>
              <w:rPr>
                <w:rFonts w:hint="eastAsia" w:ascii="宋体" w:hAnsi="宋体" w:eastAsia="宋体"/>
                <w:color w:val="auto"/>
                <w:highlight w:val="none"/>
              </w:rPr>
            </w:pPr>
            <w:r>
              <w:rPr>
                <w:rFonts w:ascii="宋体" w:hAnsi="宋体" w:eastAsia="宋体"/>
                <w:color w:val="auto"/>
                <w:highlight w:val="none"/>
              </w:rPr>
              <w:t>完整且只有一个有效报价</w:t>
            </w:r>
            <w:r>
              <w:rPr>
                <w:rFonts w:hint="eastAsia" w:ascii="宋体" w:hAnsi="宋体" w:eastAsia="宋体"/>
                <w:color w:val="auto"/>
                <w:highlight w:val="none"/>
              </w:rPr>
              <w:t>，且报价不超出最高限价</w:t>
            </w:r>
          </w:p>
        </w:tc>
      </w:tr>
      <w:tr w14:paraId="21E9FDD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67CC47D2">
            <w:pPr>
              <w:wordWrap w:val="0"/>
              <w:spacing w:before="96" w:beforeLines="40" w:line="360" w:lineRule="auto"/>
              <w:jc w:val="center"/>
              <w:rPr>
                <w:rFonts w:hint="eastAsia" w:ascii="宋体" w:hAnsi="宋体" w:eastAsia="宋体"/>
                <w:color w:val="auto"/>
                <w:highlight w:val="none"/>
              </w:rPr>
            </w:pPr>
          </w:p>
        </w:tc>
        <w:tc>
          <w:tcPr>
            <w:tcW w:w="996" w:type="dxa"/>
            <w:vMerge w:val="continue"/>
            <w:vAlign w:val="center"/>
          </w:tcPr>
          <w:p w14:paraId="22EC3209">
            <w:pPr>
              <w:wordWrap w:val="0"/>
              <w:spacing w:before="96" w:beforeLines="40" w:line="360" w:lineRule="auto"/>
              <w:jc w:val="center"/>
              <w:rPr>
                <w:rFonts w:hint="eastAsia" w:ascii="宋体" w:hAnsi="宋体" w:eastAsia="宋体"/>
                <w:color w:val="auto"/>
                <w:highlight w:val="none"/>
              </w:rPr>
            </w:pPr>
          </w:p>
        </w:tc>
        <w:tc>
          <w:tcPr>
            <w:tcW w:w="2410" w:type="dxa"/>
            <w:vAlign w:val="center"/>
          </w:tcPr>
          <w:p w14:paraId="5A484894">
            <w:pPr>
              <w:wordWrap w:val="0"/>
              <w:spacing w:before="96" w:beforeLines="40" w:line="360" w:lineRule="auto"/>
              <w:jc w:val="center"/>
              <w:rPr>
                <w:rFonts w:hint="eastAsia" w:ascii="宋体" w:hAnsi="宋体" w:eastAsia="宋体"/>
                <w:color w:val="auto"/>
                <w:highlight w:val="none"/>
              </w:rPr>
            </w:pPr>
            <w:r>
              <w:rPr>
                <w:rFonts w:hint="eastAsia" w:ascii="宋体" w:hAnsi="宋体" w:eastAsia="宋体"/>
                <w:color w:val="auto"/>
                <w:highlight w:val="none"/>
              </w:rPr>
              <w:t>服务标准</w:t>
            </w:r>
          </w:p>
        </w:tc>
        <w:tc>
          <w:tcPr>
            <w:tcW w:w="4961" w:type="dxa"/>
            <w:vAlign w:val="center"/>
          </w:tcPr>
          <w:p w14:paraId="22153048">
            <w:pPr>
              <w:wordWrap w:val="0"/>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符合第二章“供应商须知”第1</w:t>
            </w:r>
            <w:r>
              <w:rPr>
                <w:rFonts w:ascii="宋体" w:hAnsi="宋体" w:eastAsia="宋体"/>
                <w:color w:val="auto"/>
                <w:highlight w:val="none"/>
              </w:rPr>
              <w:t>.3.3</w:t>
            </w:r>
            <w:r>
              <w:rPr>
                <w:rFonts w:hint="eastAsia" w:ascii="宋体" w:hAnsi="宋体" w:eastAsia="宋体"/>
                <w:color w:val="auto"/>
                <w:highlight w:val="none"/>
              </w:rPr>
              <w:t>项规定</w:t>
            </w:r>
          </w:p>
        </w:tc>
      </w:tr>
      <w:tr w14:paraId="49D45FD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28BB1597">
            <w:pPr>
              <w:wordWrap w:val="0"/>
              <w:spacing w:before="96" w:beforeLines="40" w:line="360" w:lineRule="auto"/>
              <w:jc w:val="center"/>
              <w:rPr>
                <w:rFonts w:hint="eastAsia" w:ascii="宋体" w:hAnsi="宋体" w:eastAsia="宋体"/>
                <w:color w:val="auto"/>
                <w:highlight w:val="none"/>
              </w:rPr>
            </w:pPr>
          </w:p>
        </w:tc>
        <w:tc>
          <w:tcPr>
            <w:tcW w:w="996" w:type="dxa"/>
            <w:vMerge w:val="continue"/>
            <w:vAlign w:val="center"/>
          </w:tcPr>
          <w:p w14:paraId="2C381374">
            <w:pPr>
              <w:wordWrap w:val="0"/>
              <w:spacing w:before="96" w:beforeLines="40" w:line="360" w:lineRule="auto"/>
              <w:jc w:val="center"/>
              <w:rPr>
                <w:rFonts w:hint="eastAsia" w:ascii="宋体" w:hAnsi="宋体" w:eastAsia="宋体"/>
                <w:color w:val="auto"/>
                <w:highlight w:val="none"/>
              </w:rPr>
            </w:pPr>
          </w:p>
        </w:tc>
        <w:tc>
          <w:tcPr>
            <w:tcW w:w="2410" w:type="dxa"/>
            <w:vAlign w:val="center"/>
          </w:tcPr>
          <w:p w14:paraId="7E4F1B8F">
            <w:pPr>
              <w:wordWrap w:val="0"/>
              <w:spacing w:before="96" w:beforeLines="40" w:line="360" w:lineRule="auto"/>
              <w:jc w:val="center"/>
              <w:rPr>
                <w:rFonts w:hint="eastAsia" w:ascii="宋体" w:hAnsi="宋体" w:eastAsia="宋体"/>
                <w:color w:val="auto"/>
                <w:highlight w:val="none"/>
              </w:rPr>
            </w:pPr>
            <w:r>
              <w:rPr>
                <w:rFonts w:hint="eastAsia" w:ascii="宋体" w:hAnsi="宋体" w:eastAsia="宋体"/>
                <w:color w:val="auto"/>
                <w:highlight w:val="none"/>
              </w:rPr>
              <w:t>合同履行期限</w:t>
            </w:r>
          </w:p>
        </w:tc>
        <w:tc>
          <w:tcPr>
            <w:tcW w:w="4961" w:type="dxa"/>
            <w:vAlign w:val="center"/>
          </w:tcPr>
          <w:p w14:paraId="3BE135A9">
            <w:pPr>
              <w:wordWrap w:val="0"/>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符合第二章“供应商须知”第1</w:t>
            </w:r>
            <w:r>
              <w:rPr>
                <w:rFonts w:ascii="宋体" w:hAnsi="宋体" w:eastAsia="宋体"/>
                <w:color w:val="auto"/>
                <w:highlight w:val="none"/>
              </w:rPr>
              <w:t>.3.2</w:t>
            </w:r>
            <w:r>
              <w:rPr>
                <w:rFonts w:hint="eastAsia" w:ascii="宋体" w:hAnsi="宋体" w:eastAsia="宋体"/>
                <w:color w:val="auto"/>
                <w:highlight w:val="none"/>
              </w:rPr>
              <w:t>项规定</w:t>
            </w:r>
          </w:p>
        </w:tc>
      </w:tr>
      <w:tr w14:paraId="561E4D9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c>
          <w:tcPr>
            <w:tcW w:w="847" w:type="dxa"/>
            <w:vMerge w:val="continue"/>
            <w:vAlign w:val="center"/>
          </w:tcPr>
          <w:p w14:paraId="7A81C548">
            <w:pPr>
              <w:wordWrap w:val="0"/>
              <w:spacing w:before="96" w:beforeLines="40" w:line="360" w:lineRule="auto"/>
              <w:jc w:val="center"/>
              <w:rPr>
                <w:rFonts w:hint="eastAsia" w:ascii="宋体" w:hAnsi="宋体" w:eastAsia="宋体"/>
                <w:color w:val="auto"/>
                <w:highlight w:val="none"/>
              </w:rPr>
            </w:pPr>
          </w:p>
        </w:tc>
        <w:tc>
          <w:tcPr>
            <w:tcW w:w="996" w:type="dxa"/>
            <w:vMerge w:val="continue"/>
            <w:vAlign w:val="center"/>
          </w:tcPr>
          <w:p w14:paraId="1BD32410">
            <w:pPr>
              <w:wordWrap w:val="0"/>
              <w:spacing w:before="96" w:beforeLines="40" w:line="360" w:lineRule="auto"/>
              <w:jc w:val="center"/>
              <w:rPr>
                <w:rFonts w:hint="eastAsia" w:ascii="宋体" w:hAnsi="宋体" w:eastAsia="宋体"/>
                <w:color w:val="auto"/>
                <w:highlight w:val="none"/>
              </w:rPr>
            </w:pPr>
          </w:p>
        </w:tc>
        <w:tc>
          <w:tcPr>
            <w:tcW w:w="2410" w:type="dxa"/>
            <w:vAlign w:val="center"/>
          </w:tcPr>
          <w:p w14:paraId="7F42A0F5">
            <w:pPr>
              <w:wordWrap w:val="0"/>
              <w:spacing w:before="96" w:beforeLines="40" w:line="360" w:lineRule="auto"/>
              <w:jc w:val="center"/>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其他要求</w:t>
            </w:r>
          </w:p>
        </w:tc>
        <w:tc>
          <w:tcPr>
            <w:tcW w:w="4961" w:type="dxa"/>
            <w:vAlign w:val="center"/>
          </w:tcPr>
          <w:p w14:paraId="490B8D8E">
            <w:pPr>
              <w:wordWrap w:val="0"/>
              <w:spacing w:before="96" w:beforeLines="40" w:line="360" w:lineRule="auto"/>
              <w:rPr>
                <w:rFonts w:hint="default" w:ascii="宋体" w:hAnsi="宋体" w:eastAsia="宋体"/>
                <w:color w:val="auto"/>
                <w:highlight w:val="none"/>
                <w:lang w:val="en-US" w:eastAsia="zh-CN"/>
              </w:rPr>
            </w:pPr>
            <w:r>
              <w:rPr>
                <w:rFonts w:hint="eastAsia" w:ascii="宋体" w:hAnsi="宋体" w:eastAsia="宋体"/>
                <w:color w:val="auto"/>
                <w:highlight w:val="none"/>
                <w:lang w:val="en-US" w:eastAsia="zh-CN"/>
              </w:rPr>
              <w:t>符合招标文件要求</w:t>
            </w:r>
          </w:p>
        </w:tc>
      </w:tr>
      <w:bookmarkEnd w:id="516"/>
    </w:tbl>
    <w:p w14:paraId="736DDE4C">
      <w:pPr>
        <w:spacing w:line="360" w:lineRule="auto"/>
        <w:rPr>
          <w:rFonts w:hint="eastAsia" w:ascii="宋体" w:hAnsi="宋体" w:eastAsia="宋体" w:cs="Times New Roman"/>
          <w:color w:val="auto"/>
          <w:highlight w:val="none"/>
        </w:rPr>
      </w:pPr>
      <w:r>
        <w:rPr>
          <w:rFonts w:ascii="宋体" w:hAnsi="宋体" w:eastAsia="宋体" w:cs="Times New Roman"/>
          <w:color w:val="auto"/>
          <w:highlight w:val="none"/>
        </w:rPr>
        <w:br w:type="page"/>
      </w:r>
    </w:p>
    <w:tbl>
      <w:tblPr>
        <w:tblStyle w:val="39"/>
        <w:tblW w:w="0" w:type="auto"/>
        <w:jc w:val="center"/>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153"/>
        <w:gridCol w:w="2452"/>
        <w:gridCol w:w="5045"/>
      </w:tblGrid>
      <w:tr w14:paraId="02564E6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018" w:type="dxa"/>
            <w:gridSpan w:val="2"/>
            <w:vAlign w:val="center"/>
          </w:tcPr>
          <w:p w14:paraId="58F5FAFA">
            <w:pPr>
              <w:spacing w:before="96" w:beforeLines="40" w:line="360" w:lineRule="auto"/>
              <w:jc w:val="center"/>
              <w:rPr>
                <w:rFonts w:hint="eastAsia" w:ascii="宋体" w:hAnsi="宋体" w:eastAsia="宋体" w:cs="Times New Roman"/>
                <w:b/>
                <w:bCs/>
                <w:color w:val="auto"/>
                <w:highlight w:val="none"/>
              </w:rPr>
            </w:pPr>
            <w:bookmarkStart w:id="517" w:name="_Toc70424886"/>
            <w:bookmarkStart w:id="518" w:name="_Toc77116703"/>
            <w:bookmarkStart w:id="519" w:name="_Toc107396231"/>
            <w:bookmarkStart w:id="520" w:name="_Toc77504093"/>
            <w:bookmarkStart w:id="521" w:name="_Toc77658103"/>
            <w:bookmarkStart w:id="522" w:name="_Toc22627"/>
            <w:bookmarkStart w:id="523" w:name="_Toc120282459"/>
            <w:r>
              <w:rPr>
                <w:rFonts w:hint="eastAsia" w:ascii="宋体" w:hAnsi="宋体" w:eastAsia="宋体" w:cs="Times New Roman"/>
                <w:b/>
                <w:bCs/>
                <w:color w:val="auto"/>
                <w:highlight w:val="none"/>
              </w:rPr>
              <w:t>条款号</w:t>
            </w:r>
          </w:p>
        </w:tc>
        <w:tc>
          <w:tcPr>
            <w:tcW w:w="2452" w:type="dxa"/>
            <w:vAlign w:val="center"/>
          </w:tcPr>
          <w:p w14:paraId="6FAA1BEA">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条款内容</w:t>
            </w:r>
          </w:p>
        </w:tc>
        <w:tc>
          <w:tcPr>
            <w:tcW w:w="5045" w:type="dxa"/>
            <w:vAlign w:val="center"/>
          </w:tcPr>
          <w:p w14:paraId="6BFDCAB4">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编列内容</w:t>
            </w:r>
          </w:p>
        </w:tc>
      </w:tr>
      <w:tr w14:paraId="4AA634F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586" w:hRule="atLeast"/>
          <w:jc w:val="center"/>
        </w:trPr>
        <w:tc>
          <w:tcPr>
            <w:tcW w:w="2018" w:type="dxa"/>
            <w:gridSpan w:val="2"/>
            <w:vAlign w:val="center"/>
          </w:tcPr>
          <w:p w14:paraId="440ABEBA">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.1.1</w:t>
            </w:r>
          </w:p>
        </w:tc>
        <w:tc>
          <w:tcPr>
            <w:tcW w:w="2452" w:type="dxa"/>
            <w:vAlign w:val="center"/>
          </w:tcPr>
          <w:p w14:paraId="6B43C255">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评标价</w:t>
            </w:r>
          </w:p>
        </w:tc>
        <w:tc>
          <w:tcPr>
            <w:tcW w:w="5045" w:type="dxa"/>
            <w:vAlign w:val="center"/>
          </w:tcPr>
          <w:p w14:paraId="218322C7">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投标函中的大写含税价格。</w:t>
            </w:r>
          </w:p>
          <w:p w14:paraId="3ED9F559">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小微企业（监狱企业、残疾人福利性单位）按扣除后的价格进行评审。</w:t>
            </w:r>
          </w:p>
        </w:tc>
      </w:tr>
      <w:tr w14:paraId="58DE3D18">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689" w:hRule="atLeast"/>
          <w:jc w:val="center"/>
        </w:trPr>
        <w:tc>
          <w:tcPr>
            <w:tcW w:w="2018" w:type="dxa"/>
            <w:gridSpan w:val="2"/>
            <w:vAlign w:val="center"/>
          </w:tcPr>
          <w:p w14:paraId="654BD00F">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.2.1</w:t>
            </w:r>
          </w:p>
        </w:tc>
        <w:tc>
          <w:tcPr>
            <w:tcW w:w="2452" w:type="dxa"/>
            <w:vAlign w:val="center"/>
          </w:tcPr>
          <w:p w14:paraId="2879BCD9">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分值构成</w:t>
            </w:r>
          </w:p>
          <w:p w14:paraId="614E8BCD">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（总分1</w:t>
            </w:r>
            <w:r>
              <w:rPr>
                <w:rFonts w:ascii="宋体" w:hAnsi="宋体" w:eastAsia="宋体" w:cs="Times New Roman"/>
                <w:color w:val="auto"/>
                <w:highlight w:val="none"/>
              </w:rPr>
              <w:t>00</w:t>
            </w:r>
            <w:r>
              <w:rPr>
                <w:rFonts w:hint="eastAsia" w:ascii="宋体" w:hAnsi="宋体" w:eastAsia="宋体" w:cs="Times New Roman"/>
                <w:color w:val="auto"/>
                <w:highlight w:val="none"/>
              </w:rPr>
              <w:t>分）</w:t>
            </w:r>
          </w:p>
        </w:tc>
        <w:tc>
          <w:tcPr>
            <w:tcW w:w="5045" w:type="dxa"/>
            <w:vAlign w:val="center"/>
          </w:tcPr>
          <w:p w14:paraId="1D560F71">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（1）技术部分：90分</w:t>
            </w:r>
          </w:p>
          <w:p w14:paraId="099B1EF9">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（2）投标报价：10分</w:t>
            </w:r>
          </w:p>
          <w:p w14:paraId="1EFFDD6C">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（3）其他评分因素：0分</w:t>
            </w:r>
          </w:p>
        </w:tc>
      </w:tr>
      <w:tr w14:paraId="74CF65E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2018" w:type="dxa"/>
            <w:gridSpan w:val="2"/>
            <w:vAlign w:val="center"/>
          </w:tcPr>
          <w:p w14:paraId="60DA98C9">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.2.2</w:t>
            </w:r>
            <w:r>
              <w:rPr>
                <w:rFonts w:hint="eastAsia" w:ascii="宋体" w:hAnsi="宋体" w:eastAsia="宋体" w:cs="Times New Roman"/>
                <w:color w:val="auto"/>
                <w:highlight w:val="none"/>
              </w:rPr>
              <w:t>（2）</w:t>
            </w:r>
          </w:p>
        </w:tc>
        <w:tc>
          <w:tcPr>
            <w:tcW w:w="2452" w:type="dxa"/>
            <w:vAlign w:val="center"/>
          </w:tcPr>
          <w:p w14:paraId="3D243368">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评标基准价计算方法</w:t>
            </w:r>
          </w:p>
        </w:tc>
        <w:tc>
          <w:tcPr>
            <w:tcW w:w="5045" w:type="dxa"/>
            <w:vAlign w:val="center"/>
          </w:tcPr>
          <w:p w14:paraId="30D4F533">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满足招标文件要求且投标价格最低的投标报价为评标基准价</w:t>
            </w:r>
          </w:p>
        </w:tc>
      </w:tr>
      <w:tr w14:paraId="73A8E6C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018" w:type="dxa"/>
            <w:gridSpan w:val="2"/>
            <w:vAlign w:val="center"/>
          </w:tcPr>
          <w:p w14:paraId="5384B6CA">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条款号</w:t>
            </w:r>
          </w:p>
        </w:tc>
        <w:tc>
          <w:tcPr>
            <w:tcW w:w="2452" w:type="dxa"/>
            <w:vAlign w:val="center"/>
          </w:tcPr>
          <w:p w14:paraId="25655101">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评分因素</w:t>
            </w:r>
          </w:p>
        </w:tc>
        <w:tc>
          <w:tcPr>
            <w:tcW w:w="5045" w:type="dxa"/>
            <w:vAlign w:val="center"/>
          </w:tcPr>
          <w:p w14:paraId="3AE1633D">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评分标准</w:t>
            </w:r>
          </w:p>
        </w:tc>
      </w:tr>
      <w:tr w14:paraId="22F4335A">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865" w:type="dxa"/>
            <w:vMerge w:val="restart"/>
            <w:vAlign w:val="center"/>
          </w:tcPr>
          <w:p w14:paraId="31A9AB3F">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.2.3</w:t>
            </w:r>
          </w:p>
          <w:p w14:paraId="551B52A6">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（1）</w:t>
            </w:r>
          </w:p>
        </w:tc>
        <w:tc>
          <w:tcPr>
            <w:tcW w:w="1153" w:type="dxa"/>
            <w:vMerge w:val="restart"/>
            <w:vAlign w:val="center"/>
          </w:tcPr>
          <w:p w14:paraId="143E7E14">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技术评分标准</w:t>
            </w:r>
          </w:p>
        </w:tc>
        <w:tc>
          <w:tcPr>
            <w:tcW w:w="2452" w:type="dxa"/>
            <w:vAlign w:val="center"/>
          </w:tcPr>
          <w:p w14:paraId="3C777B97">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服务方案（满分</w:t>
            </w:r>
            <w:r>
              <w:rPr>
                <w:rFonts w:hint="eastAsia" w:ascii="宋体" w:hAnsi="宋体" w:eastAsia="宋体" w:cs="Times New Roman"/>
                <w:color w:val="auto"/>
                <w:highlight w:val="none"/>
                <w:lang w:val="en-US" w:eastAsia="zh-CN"/>
              </w:rPr>
              <w:t>3</w:t>
            </w:r>
            <w:r>
              <w:rPr>
                <w:rFonts w:hint="eastAsia" w:ascii="宋体" w:hAnsi="宋体" w:eastAsia="宋体" w:cs="Times New Roman"/>
                <w:color w:val="auto"/>
                <w:highlight w:val="none"/>
              </w:rPr>
              <w:t>0分）</w:t>
            </w:r>
          </w:p>
        </w:tc>
        <w:tc>
          <w:tcPr>
            <w:tcW w:w="5045" w:type="dxa"/>
            <w:vAlign w:val="center"/>
          </w:tcPr>
          <w:p w14:paraId="4ECD1DC8">
            <w:pPr>
              <w:spacing w:before="96" w:beforeLines="40" w:line="360" w:lineRule="auto"/>
              <w:rPr>
                <w:rFonts w:hint="eastAsia" w:ascii="宋体" w:hAnsi="宋体" w:eastAsia="宋体" w:cs="Times New Roman"/>
                <w:color w:val="auto"/>
                <w:highlight w:val="none"/>
              </w:rPr>
            </w:pPr>
            <w:bookmarkStart w:id="524" w:name="OLE_LINK2"/>
            <w:r>
              <w:rPr>
                <w:rFonts w:hint="eastAsia" w:ascii="宋体" w:hAnsi="宋体" w:eastAsia="宋体" w:cs="Times New Roman"/>
                <w:color w:val="auto"/>
                <w:highlight w:val="none"/>
              </w:rPr>
              <w:t>第一个档次（</w:t>
            </w:r>
            <w:r>
              <w:rPr>
                <w:rFonts w:hint="eastAsia" w:ascii="宋体" w:hAnsi="宋体" w:eastAsia="宋体" w:cs="Times New Roman"/>
                <w:color w:val="auto"/>
                <w:highlight w:val="none"/>
                <w:lang w:val="en-US" w:eastAsia="zh-CN"/>
              </w:rPr>
              <w:t>3</w:t>
            </w:r>
            <w:r>
              <w:rPr>
                <w:rFonts w:hint="eastAsia" w:ascii="宋体" w:hAnsi="宋体" w:eastAsia="宋体" w:cs="Times New Roman"/>
                <w:color w:val="auto"/>
                <w:highlight w:val="none"/>
              </w:rPr>
              <w:t>0分）：方案内容全面、完整、层次清晰、方案科学合理、可行性强，对实际要求情况清楚，能完全满足采购文件；</w:t>
            </w:r>
          </w:p>
          <w:p w14:paraId="2DFC57E6">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第二个档次（</w:t>
            </w:r>
            <w:r>
              <w:rPr>
                <w:rFonts w:hint="eastAsia" w:ascii="宋体" w:hAnsi="宋体" w:eastAsia="宋体" w:cs="Times New Roman"/>
                <w:color w:val="auto"/>
                <w:highlight w:val="none"/>
                <w:lang w:val="en-US" w:eastAsia="zh-CN"/>
              </w:rPr>
              <w:t>20</w:t>
            </w:r>
            <w:r>
              <w:rPr>
                <w:rFonts w:hint="eastAsia" w:ascii="宋体" w:hAnsi="宋体" w:eastAsia="宋体" w:cs="Times New Roman"/>
                <w:color w:val="auto"/>
                <w:highlight w:val="none"/>
              </w:rPr>
              <w:t>分）：方案内容全面、完整、方案一般，基本能满足采购文件要求；</w:t>
            </w:r>
          </w:p>
          <w:p w14:paraId="44C4EF04">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第三个档次（</w:t>
            </w:r>
            <w:r>
              <w:rPr>
                <w:rFonts w:hint="eastAsia" w:ascii="宋体" w:hAnsi="宋体" w:eastAsia="宋体" w:cs="Times New Roman"/>
                <w:color w:val="auto"/>
                <w:highlight w:val="none"/>
                <w:lang w:val="en-US" w:eastAsia="zh-CN"/>
              </w:rPr>
              <w:t>10</w:t>
            </w:r>
            <w:r>
              <w:rPr>
                <w:rFonts w:hint="eastAsia" w:ascii="宋体" w:hAnsi="宋体" w:eastAsia="宋体" w:cs="Times New Roman"/>
                <w:color w:val="auto"/>
                <w:highlight w:val="none"/>
              </w:rPr>
              <w:t>分）：方案内容不全面，方案一般，不能较好的满足采购文件要求；</w:t>
            </w:r>
          </w:p>
          <w:p w14:paraId="52124BD6">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第四个档次（0分）：未提供方案内容的。</w:t>
            </w:r>
            <w:bookmarkEnd w:id="524"/>
          </w:p>
        </w:tc>
      </w:tr>
      <w:tr w14:paraId="0D3B0B0E">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65" w:type="dxa"/>
            <w:vMerge w:val="continue"/>
            <w:vAlign w:val="center"/>
          </w:tcPr>
          <w:p w14:paraId="0D62B8AC">
            <w:pPr>
              <w:spacing w:before="96" w:beforeLines="40" w:line="360" w:lineRule="auto"/>
              <w:jc w:val="center"/>
              <w:rPr>
                <w:rFonts w:hint="eastAsia" w:ascii="宋体" w:hAnsi="宋体" w:eastAsia="宋体" w:cs="Times New Roman"/>
                <w:color w:val="auto"/>
                <w:highlight w:val="none"/>
              </w:rPr>
            </w:pPr>
            <w:bookmarkStart w:id="525" w:name="_Hlk197426866"/>
          </w:p>
        </w:tc>
        <w:tc>
          <w:tcPr>
            <w:tcW w:w="1153" w:type="dxa"/>
            <w:vMerge w:val="continue"/>
            <w:vAlign w:val="center"/>
          </w:tcPr>
          <w:p w14:paraId="1F536212">
            <w:pPr>
              <w:spacing w:before="96" w:beforeLines="40" w:line="360" w:lineRule="auto"/>
              <w:jc w:val="center"/>
              <w:rPr>
                <w:rFonts w:hint="eastAsia" w:ascii="宋体" w:hAnsi="宋体" w:eastAsia="宋体" w:cs="Times New Roman"/>
                <w:color w:val="auto"/>
                <w:highlight w:val="none"/>
              </w:rPr>
            </w:pPr>
          </w:p>
        </w:tc>
        <w:tc>
          <w:tcPr>
            <w:tcW w:w="2452" w:type="dxa"/>
            <w:vAlign w:val="center"/>
          </w:tcPr>
          <w:p w14:paraId="5CE6203C">
            <w:pPr>
              <w:spacing w:before="96" w:beforeLines="40" w:line="360" w:lineRule="auto"/>
              <w:jc w:val="center"/>
              <w:rPr>
                <w:rFonts w:hint="eastAsia" w:ascii="宋体" w:hAnsi="宋体" w:eastAsia="宋体" w:cs="Times New Roman"/>
                <w:color w:val="auto"/>
                <w:highlight w:val="none"/>
              </w:rPr>
            </w:pPr>
            <w:bookmarkStart w:id="526" w:name="OLE_LINK13"/>
            <w:r>
              <w:rPr>
                <w:rFonts w:hint="eastAsia" w:ascii="宋体" w:hAnsi="宋体" w:eastAsia="宋体" w:cs="Times New Roman"/>
                <w:color w:val="auto"/>
                <w:highlight w:val="none"/>
              </w:rPr>
              <w:t>项目组织机构</w:t>
            </w:r>
          </w:p>
          <w:p w14:paraId="036F7385">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（满分</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0分）</w:t>
            </w:r>
            <w:bookmarkEnd w:id="526"/>
          </w:p>
        </w:tc>
        <w:tc>
          <w:tcPr>
            <w:tcW w:w="5045" w:type="dxa"/>
            <w:vAlign w:val="center"/>
          </w:tcPr>
          <w:p w14:paraId="65AF60FF">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第一个档次（</w:t>
            </w:r>
            <w:r>
              <w:rPr>
                <w:rFonts w:hint="eastAsia" w:ascii="宋体" w:hAnsi="宋体" w:eastAsia="宋体"/>
                <w:color w:val="auto"/>
                <w:highlight w:val="none"/>
                <w:lang w:val="en-US" w:eastAsia="zh-CN"/>
              </w:rPr>
              <w:t>1</w:t>
            </w:r>
            <w:r>
              <w:rPr>
                <w:rFonts w:hint="eastAsia" w:ascii="宋体" w:hAnsi="宋体" w:eastAsia="宋体"/>
                <w:color w:val="auto"/>
                <w:highlight w:val="none"/>
              </w:rPr>
              <w:t>0分）：拟投入本项目的项目组织机构管理体系完善，针对性强；人员安排的专业、配置合理齐全、职责分工明确、且主要专业技术人员管理经验丰富的；</w:t>
            </w:r>
          </w:p>
          <w:p w14:paraId="142912DF">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第二个档次（</w:t>
            </w:r>
            <w:r>
              <w:rPr>
                <w:rFonts w:hint="eastAsia" w:ascii="宋体" w:hAnsi="宋体" w:eastAsia="宋体"/>
                <w:color w:val="auto"/>
                <w:highlight w:val="none"/>
                <w:lang w:val="en-US" w:eastAsia="zh-CN"/>
              </w:rPr>
              <w:t>7</w:t>
            </w:r>
            <w:r>
              <w:rPr>
                <w:rFonts w:hint="eastAsia" w:ascii="宋体" w:hAnsi="宋体" w:eastAsia="宋体"/>
                <w:color w:val="auto"/>
                <w:highlight w:val="none"/>
              </w:rPr>
              <w:t xml:space="preserve">分）：拟投入本项目的组织机构管理体系完善，有针对性，；主要人员安排的专业配置基本合理，主要专业技术人员管理经验一般的； </w:t>
            </w:r>
          </w:p>
          <w:p w14:paraId="06C5AEA3">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第三个档次（</w:t>
            </w:r>
            <w:r>
              <w:rPr>
                <w:rFonts w:hint="eastAsia" w:ascii="宋体" w:hAnsi="宋体" w:eastAsia="宋体"/>
                <w:color w:val="auto"/>
                <w:highlight w:val="none"/>
                <w:lang w:val="en-US" w:eastAsia="zh-CN"/>
              </w:rPr>
              <w:t>4</w:t>
            </w:r>
            <w:r>
              <w:rPr>
                <w:rFonts w:hint="eastAsia" w:ascii="宋体" w:hAnsi="宋体" w:eastAsia="宋体"/>
                <w:color w:val="auto"/>
                <w:highlight w:val="none"/>
              </w:rPr>
              <w:t>分）：拟投入本项目的组织机构体系不完善；主要人员安排的专业配置有疏漏；主要专业技术人员管理经验欠缺的；</w:t>
            </w:r>
          </w:p>
          <w:p w14:paraId="68C94A7A">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未对项目组织机构情况做出说明的该项不得分。</w:t>
            </w:r>
          </w:p>
        </w:tc>
      </w:tr>
      <w:bookmarkEnd w:id="525"/>
      <w:tr w14:paraId="12DB638B">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865" w:type="dxa"/>
            <w:vMerge w:val="continue"/>
            <w:vAlign w:val="center"/>
          </w:tcPr>
          <w:p w14:paraId="2D23DEAB">
            <w:pPr>
              <w:spacing w:before="96" w:beforeLines="40" w:line="360" w:lineRule="auto"/>
              <w:jc w:val="center"/>
              <w:rPr>
                <w:rFonts w:hint="eastAsia" w:ascii="宋体" w:hAnsi="宋体" w:eastAsia="宋体" w:cs="Times New Roman"/>
                <w:color w:val="auto"/>
                <w:highlight w:val="none"/>
              </w:rPr>
            </w:pPr>
          </w:p>
        </w:tc>
        <w:tc>
          <w:tcPr>
            <w:tcW w:w="1153" w:type="dxa"/>
            <w:vMerge w:val="continue"/>
            <w:vAlign w:val="center"/>
          </w:tcPr>
          <w:p w14:paraId="54222401">
            <w:pPr>
              <w:spacing w:before="96" w:beforeLines="40" w:line="360" w:lineRule="auto"/>
              <w:jc w:val="center"/>
              <w:rPr>
                <w:rFonts w:hint="eastAsia" w:ascii="宋体" w:hAnsi="宋体" w:eastAsia="宋体" w:cs="Times New Roman"/>
                <w:color w:val="auto"/>
                <w:highlight w:val="none"/>
              </w:rPr>
            </w:pPr>
          </w:p>
        </w:tc>
        <w:tc>
          <w:tcPr>
            <w:tcW w:w="2452" w:type="dxa"/>
            <w:vAlign w:val="center"/>
          </w:tcPr>
          <w:p w14:paraId="3CCC2B0E">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olor w:val="auto"/>
                <w:highlight w:val="none"/>
              </w:rPr>
              <w:t>服务质量保障措施及承诺（满分15分）</w:t>
            </w:r>
          </w:p>
        </w:tc>
        <w:tc>
          <w:tcPr>
            <w:tcW w:w="5045" w:type="dxa"/>
          </w:tcPr>
          <w:p w14:paraId="7F9C991D">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第一个档次（15分）：供应商针对本项目提出的服务质量保障措施及承诺科学合理、全面完整、标准规范、切实可行，针对性强，完全满足采购人实际需求；</w:t>
            </w:r>
          </w:p>
          <w:p w14:paraId="35AAF65B">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第二个档次（10分）：供应商针对本项目提出的服务质量保障措施及承诺合理，较为完整，有可行性，有针对性，满足采购人实际需求；</w:t>
            </w:r>
          </w:p>
          <w:p w14:paraId="7AB9CE9B">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第三个档次（5分）：供应商针对本项目提出的服务质量保障措施及承诺基本合理，基本完整，可行性一般，针对性一般，基本满足采购人实际需求；</w:t>
            </w:r>
          </w:p>
          <w:p w14:paraId="45381070">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第四个档次（0分）：供应商针对本项目提出的服务质量保障措施及承诺缺乏合理性，内容缺漏，不具有可行性，不具有针对性，难以满足采购人实际需求。</w:t>
            </w:r>
          </w:p>
        </w:tc>
      </w:tr>
      <w:tr w14:paraId="0B9AA984">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865" w:type="dxa"/>
            <w:vMerge w:val="continue"/>
            <w:vAlign w:val="center"/>
          </w:tcPr>
          <w:p w14:paraId="05869095">
            <w:pPr>
              <w:spacing w:before="96" w:beforeLines="40" w:line="360" w:lineRule="auto"/>
              <w:jc w:val="center"/>
              <w:rPr>
                <w:rFonts w:hint="eastAsia" w:ascii="宋体" w:hAnsi="宋体" w:eastAsia="宋体" w:cs="Times New Roman"/>
                <w:color w:val="auto"/>
                <w:highlight w:val="none"/>
              </w:rPr>
            </w:pPr>
          </w:p>
        </w:tc>
        <w:tc>
          <w:tcPr>
            <w:tcW w:w="1153" w:type="dxa"/>
            <w:vMerge w:val="continue"/>
            <w:vAlign w:val="center"/>
          </w:tcPr>
          <w:p w14:paraId="166569BD">
            <w:pPr>
              <w:spacing w:before="96" w:beforeLines="40" w:line="360" w:lineRule="auto"/>
              <w:jc w:val="center"/>
              <w:rPr>
                <w:rFonts w:hint="eastAsia" w:ascii="宋体" w:hAnsi="宋体" w:eastAsia="宋体" w:cs="Times New Roman"/>
                <w:color w:val="auto"/>
                <w:highlight w:val="none"/>
              </w:rPr>
            </w:pPr>
          </w:p>
        </w:tc>
        <w:tc>
          <w:tcPr>
            <w:tcW w:w="2452" w:type="dxa"/>
            <w:vAlign w:val="center"/>
          </w:tcPr>
          <w:p w14:paraId="4B9647AF">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周期进度计划安排</w:t>
            </w:r>
          </w:p>
          <w:p w14:paraId="5F48DE1D">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（满分15分）</w:t>
            </w:r>
          </w:p>
        </w:tc>
        <w:tc>
          <w:tcPr>
            <w:tcW w:w="5045" w:type="dxa"/>
          </w:tcPr>
          <w:p w14:paraId="097DDAB3">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第一个档次（15分）：周期进度计划安排完全满足采购人实际需求，内容完整、安排合理、切实可行、科学规范、针对性强；</w:t>
            </w:r>
          </w:p>
          <w:p w14:paraId="3C3BC88A">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第二个档次（10分）：周期进度计划安排满足采购人实际需求，内容完整、安排较合理、针对性一般；</w:t>
            </w:r>
          </w:p>
          <w:p w14:paraId="5C8922DC">
            <w:pPr>
              <w:spacing w:before="96" w:beforeLines="40" w:line="360" w:lineRule="auto"/>
              <w:rPr>
                <w:rFonts w:hint="eastAsia" w:ascii="宋体" w:hAnsi="宋体" w:eastAsia="宋体"/>
                <w:color w:val="auto"/>
                <w:highlight w:val="none"/>
              </w:rPr>
            </w:pPr>
            <w:r>
              <w:rPr>
                <w:rFonts w:hint="eastAsia" w:ascii="宋体" w:hAnsi="宋体" w:eastAsia="宋体"/>
                <w:color w:val="auto"/>
                <w:highlight w:val="none"/>
              </w:rPr>
              <w:t>第三个档次（5分）：周期进度计划安排基本满足采购人实际需求，内容基本完整、安排较合理、针对性差；</w:t>
            </w:r>
          </w:p>
          <w:p w14:paraId="140B2BC4">
            <w:pPr>
              <w:spacing w:before="96" w:beforeLines="40" w:line="360" w:lineRule="auto"/>
              <w:rPr>
                <w:rFonts w:hint="eastAsia" w:ascii="宋体" w:hAnsi="宋体" w:eastAsia="宋体" w:cs="Times New Roman"/>
                <w:color w:val="auto"/>
                <w:highlight w:val="none"/>
              </w:rPr>
            </w:pPr>
            <w:r>
              <w:rPr>
                <w:rFonts w:hint="eastAsia" w:ascii="宋体" w:hAnsi="宋体" w:eastAsia="宋体"/>
                <w:color w:val="auto"/>
                <w:highlight w:val="none"/>
              </w:rPr>
              <w:t>第四个档次（0分）：周期进度计划安排不符合采购人实际需求，内容缺漏、安排不合理、无可行性、针对性。</w:t>
            </w:r>
          </w:p>
        </w:tc>
      </w:tr>
      <w:tr w14:paraId="108A56D2">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865" w:type="dxa"/>
            <w:vMerge w:val="continue"/>
            <w:vAlign w:val="center"/>
          </w:tcPr>
          <w:p w14:paraId="4765DFFB">
            <w:pPr>
              <w:spacing w:before="96" w:beforeLines="40" w:line="360" w:lineRule="auto"/>
              <w:jc w:val="center"/>
              <w:rPr>
                <w:rFonts w:hint="eastAsia" w:ascii="宋体" w:hAnsi="宋体" w:eastAsia="宋体" w:cs="Times New Roman"/>
                <w:color w:val="auto"/>
                <w:highlight w:val="none"/>
              </w:rPr>
            </w:pPr>
          </w:p>
        </w:tc>
        <w:tc>
          <w:tcPr>
            <w:tcW w:w="1153" w:type="dxa"/>
            <w:vMerge w:val="continue"/>
            <w:vAlign w:val="center"/>
          </w:tcPr>
          <w:p w14:paraId="2A4E6E69">
            <w:pPr>
              <w:spacing w:before="96" w:beforeLines="40" w:line="360" w:lineRule="auto"/>
              <w:jc w:val="center"/>
              <w:rPr>
                <w:rFonts w:hint="eastAsia" w:ascii="宋体" w:hAnsi="宋体" w:eastAsia="宋体" w:cs="Times New Roman"/>
                <w:color w:val="auto"/>
                <w:highlight w:val="none"/>
              </w:rPr>
            </w:pPr>
          </w:p>
        </w:tc>
        <w:tc>
          <w:tcPr>
            <w:tcW w:w="2452" w:type="dxa"/>
            <w:vAlign w:val="center"/>
          </w:tcPr>
          <w:p w14:paraId="1DEE7DE6">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保密措施与承诺</w:t>
            </w:r>
          </w:p>
          <w:p w14:paraId="6160AC88">
            <w:pPr>
              <w:pStyle w:val="16"/>
              <w:ind w:left="63" w:right="63"/>
              <w:rPr>
                <w:color w:val="auto"/>
                <w:highlight w:val="none"/>
              </w:rPr>
            </w:pPr>
            <w:r>
              <w:rPr>
                <w:rFonts w:hint="eastAsia"/>
                <w:color w:val="auto"/>
                <w:highlight w:val="none"/>
              </w:rPr>
              <w:t>（满分10分）</w:t>
            </w:r>
          </w:p>
        </w:tc>
        <w:tc>
          <w:tcPr>
            <w:tcW w:w="5045" w:type="dxa"/>
            <w:vAlign w:val="center"/>
          </w:tcPr>
          <w:p w14:paraId="54C7BE4A">
            <w:pPr>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第一个档次（10分）：保密措施合理，管控制度得当、有力的；</w:t>
            </w:r>
          </w:p>
          <w:p w14:paraId="0DDBF168">
            <w:pPr>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第二个档次（7分））：保密措施基本合理，管控制度得当的；</w:t>
            </w:r>
          </w:p>
          <w:p w14:paraId="49C8D210">
            <w:pPr>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第三个档次（3分）：保密措施基本合理，但没有管控制度或管控制度不得当的；</w:t>
            </w:r>
          </w:p>
          <w:p w14:paraId="382F7AE4">
            <w:pPr>
              <w:spacing w:before="96" w:beforeLines="40" w:line="360" w:lineRule="auto"/>
              <w:rPr>
                <w:rFonts w:hint="eastAsia" w:ascii="宋体" w:hAnsi="宋体" w:eastAsia="宋体" w:cs="宋体"/>
                <w:color w:val="auto"/>
                <w:highlight w:val="none"/>
              </w:rPr>
            </w:pPr>
            <w:r>
              <w:rPr>
                <w:rFonts w:hint="eastAsia" w:ascii="宋体" w:hAnsi="宋体" w:eastAsia="宋体" w:cs="宋体"/>
                <w:color w:val="auto"/>
                <w:highlight w:val="none"/>
              </w:rPr>
              <w:t>第四个档次（0分）：无保密措施或措施不可行的。</w:t>
            </w:r>
          </w:p>
        </w:tc>
      </w:tr>
      <w:tr w14:paraId="70C0EF40">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865" w:type="dxa"/>
            <w:vMerge w:val="continue"/>
            <w:vAlign w:val="center"/>
          </w:tcPr>
          <w:p w14:paraId="26316F89">
            <w:pPr>
              <w:spacing w:before="96" w:beforeLines="40" w:line="360" w:lineRule="auto"/>
              <w:jc w:val="center"/>
              <w:rPr>
                <w:rFonts w:hint="eastAsia" w:ascii="宋体" w:hAnsi="宋体" w:eastAsia="宋体" w:cs="Times New Roman"/>
                <w:color w:val="auto"/>
                <w:highlight w:val="none"/>
              </w:rPr>
            </w:pPr>
          </w:p>
        </w:tc>
        <w:tc>
          <w:tcPr>
            <w:tcW w:w="1153" w:type="dxa"/>
            <w:vMerge w:val="continue"/>
            <w:vAlign w:val="center"/>
          </w:tcPr>
          <w:p w14:paraId="5190ABEB">
            <w:pPr>
              <w:spacing w:before="96" w:beforeLines="40" w:line="360" w:lineRule="auto"/>
              <w:jc w:val="center"/>
              <w:rPr>
                <w:rFonts w:hint="eastAsia" w:ascii="宋体" w:hAnsi="宋体" w:eastAsia="宋体" w:cs="Times New Roman"/>
                <w:color w:val="auto"/>
                <w:highlight w:val="none"/>
              </w:rPr>
            </w:pPr>
          </w:p>
        </w:tc>
        <w:tc>
          <w:tcPr>
            <w:tcW w:w="2452" w:type="dxa"/>
            <w:vAlign w:val="center"/>
          </w:tcPr>
          <w:p w14:paraId="36202559">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类似项目业绩</w:t>
            </w:r>
          </w:p>
          <w:p w14:paraId="0A458C0B">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（满分10分）</w:t>
            </w:r>
          </w:p>
        </w:tc>
        <w:tc>
          <w:tcPr>
            <w:tcW w:w="5045" w:type="dxa"/>
            <w:vAlign w:val="center"/>
          </w:tcPr>
          <w:p w14:paraId="291A4B21">
            <w:pPr>
              <w:spacing w:before="96" w:beforeLines="40" w:line="360" w:lineRule="auto"/>
              <w:rPr>
                <w:rFonts w:hint="eastAsia" w:ascii="宋体" w:hAnsi="宋体" w:eastAsia="宋体" w:cs="宋体"/>
                <w:color w:val="auto"/>
                <w:highlight w:val="none"/>
              </w:rPr>
            </w:pPr>
            <w:bookmarkStart w:id="527" w:name="OLE_LINK5"/>
            <w:r>
              <w:rPr>
                <w:rFonts w:hint="eastAsia" w:ascii="宋体" w:hAnsi="宋体" w:eastAsia="宋体" w:cs="宋体"/>
                <w:color w:val="auto"/>
                <w:highlight w:val="none"/>
              </w:rPr>
              <w:t>提供1个2022年1月至今类似项目业绩得基础分4分，每增加一个得3分，最多得10分（附中标通知书或合同等证明材料）。</w:t>
            </w:r>
            <w:bookmarkEnd w:id="527"/>
          </w:p>
        </w:tc>
      </w:tr>
      <w:tr w14:paraId="22A7D8CD">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139" w:hRule="atLeast"/>
          <w:jc w:val="center"/>
        </w:trPr>
        <w:tc>
          <w:tcPr>
            <w:tcW w:w="865" w:type="dxa"/>
            <w:vAlign w:val="center"/>
          </w:tcPr>
          <w:p w14:paraId="34A76848">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.2.3</w:t>
            </w:r>
          </w:p>
          <w:p w14:paraId="155859B7">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（2）</w:t>
            </w:r>
          </w:p>
        </w:tc>
        <w:tc>
          <w:tcPr>
            <w:tcW w:w="1153" w:type="dxa"/>
            <w:vAlign w:val="center"/>
          </w:tcPr>
          <w:p w14:paraId="797686DC">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报价评分标准</w:t>
            </w:r>
          </w:p>
        </w:tc>
        <w:tc>
          <w:tcPr>
            <w:tcW w:w="2452" w:type="dxa"/>
            <w:vAlign w:val="center"/>
          </w:tcPr>
          <w:p w14:paraId="5320ADC4">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投标报价</w:t>
            </w:r>
          </w:p>
          <w:p w14:paraId="27B71E2F">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（满分10分）</w:t>
            </w:r>
          </w:p>
        </w:tc>
        <w:tc>
          <w:tcPr>
            <w:tcW w:w="5045" w:type="dxa"/>
            <w:vAlign w:val="center"/>
          </w:tcPr>
          <w:p w14:paraId="370DACB8">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报价得分</w:t>
            </w:r>
            <w:r>
              <w:rPr>
                <w:rFonts w:ascii="宋体" w:hAnsi="宋体" w:eastAsia="宋体" w:cs="Times New Roman"/>
                <w:color w:val="auto"/>
                <w:highlight w:val="none"/>
              </w:rPr>
              <w:t>=（</w:t>
            </w:r>
            <w:r>
              <w:rPr>
                <w:rFonts w:hint="eastAsia" w:ascii="宋体" w:hAnsi="宋体" w:eastAsia="宋体" w:cs="Times New Roman"/>
                <w:color w:val="auto"/>
                <w:highlight w:val="none"/>
              </w:rPr>
              <w:t>评标</w:t>
            </w:r>
            <w:r>
              <w:rPr>
                <w:rFonts w:ascii="宋体" w:hAnsi="宋体" w:eastAsia="宋体" w:cs="Times New Roman"/>
                <w:color w:val="auto"/>
                <w:highlight w:val="none"/>
              </w:rPr>
              <w:t>基准价/</w:t>
            </w:r>
            <w:r>
              <w:rPr>
                <w:rFonts w:hint="eastAsia" w:ascii="宋体" w:hAnsi="宋体" w:eastAsia="宋体" w:cs="Times New Roman"/>
                <w:color w:val="auto"/>
                <w:highlight w:val="none"/>
              </w:rPr>
              <w:t>投标</w:t>
            </w:r>
            <w:r>
              <w:rPr>
                <w:rFonts w:ascii="宋体" w:hAnsi="宋体" w:eastAsia="宋体" w:cs="Times New Roman"/>
                <w:color w:val="auto"/>
                <w:highlight w:val="none"/>
              </w:rPr>
              <w:t>报价）×</w:t>
            </w:r>
            <w:r>
              <w:rPr>
                <w:rFonts w:hint="eastAsia" w:ascii="宋体" w:hAnsi="宋体" w:eastAsia="宋体" w:cs="Times New Roman"/>
                <w:color w:val="auto"/>
                <w:highlight w:val="none"/>
              </w:rPr>
              <w:t>10</w:t>
            </w:r>
          </w:p>
        </w:tc>
      </w:tr>
      <w:tr w14:paraId="6505B076">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865" w:type="dxa"/>
            <w:vAlign w:val="center"/>
          </w:tcPr>
          <w:p w14:paraId="1C34EEAA">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.2.3</w:t>
            </w:r>
          </w:p>
          <w:p w14:paraId="35B4C075">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w:t>
            </w:r>
            <w:r>
              <w:rPr>
                <w:rFonts w:ascii="宋体" w:hAnsi="宋体" w:eastAsia="宋体" w:cs="Times New Roman"/>
                <w:color w:val="auto"/>
                <w:highlight w:val="none"/>
              </w:rPr>
              <w:t>3</w:t>
            </w:r>
            <w:r>
              <w:rPr>
                <w:rFonts w:hint="eastAsia" w:ascii="宋体" w:hAnsi="宋体" w:eastAsia="宋体" w:cs="Times New Roman"/>
                <w:color w:val="auto"/>
                <w:highlight w:val="none"/>
              </w:rPr>
              <w:t>）</w:t>
            </w:r>
          </w:p>
        </w:tc>
        <w:tc>
          <w:tcPr>
            <w:tcW w:w="1153" w:type="dxa"/>
            <w:vAlign w:val="center"/>
          </w:tcPr>
          <w:p w14:paraId="72481407">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其他因素评分标准</w:t>
            </w:r>
          </w:p>
        </w:tc>
        <w:tc>
          <w:tcPr>
            <w:tcW w:w="2452" w:type="dxa"/>
            <w:vAlign w:val="center"/>
          </w:tcPr>
          <w:p w14:paraId="52355457">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w:t>
            </w:r>
          </w:p>
        </w:tc>
        <w:tc>
          <w:tcPr>
            <w:tcW w:w="5045" w:type="dxa"/>
            <w:vAlign w:val="center"/>
          </w:tcPr>
          <w:p w14:paraId="62F17AED">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w:t>
            </w:r>
          </w:p>
        </w:tc>
      </w:tr>
      <w:tr w14:paraId="08286539">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018" w:type="dxa"/>
            <w:gridSpan w:val="2"/>
            <w:vAlign w:val="center"/>
          </w:tcPr>
          <w:p w14:paraId="264F7AF5">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条款号</w:t>
            </w:r>
          </w:p>
        </w:tc>
        <w:tc>
          <w:tcPr>
            <w:tcW w:w="2452" w:type="dxa"/>
            <w:vAlign w:val="center"/>
          </w:tcPr>
          <w:p w14:paraId="522CC58C">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条款内容</w:t>
            </w:r>
          </w:p>
        </w:tc>
        <w:tc>
          <w:tcPr>
            <w:tcW w:w="5045" w:type="dxa"/>
            <w:vAlign w:val="center"/>
          </w:tcPr>
          <w:p w14:paraId="1AA35CB6">
            <w:pPr>
              <w:spacing w:before="96" w:beforeLines="40" w:line="360" w:lineRule="auto"/>
              <w:jc w:val="center"/>
              <w:rPr>
                <w:rFonts w:hint="eastAsia" w:ascii="宋体" w:hAnsi="宋体" w:eastAsia="宋体" w:cs="Times New Roman"/>
                <w:b/>
                <w:bCs/>
                <w:color w:val="auto"/>
                <w:highlight w:val="none"/>
              </w:rPr>
            </w:pPr>
            <w:r>
              <w:rPr>
                <w:rFonts w:hint="eastAsia" w:ascii="宋体" w:hAnsi="宋体" w:eastAsia="宋体" w:cs="Times New Roman"/>
                <w:b/>
                <w:bCs/>
                <w:color w:val="auto"/>
                <w:highlight w:val="none"/>
              </w:rPr>
              <w:t>编列内容</w:t>
            </w:r>
          </w:p>
        </w:tc>
      </w:tr>
      <w:tr w14:paraId="280B32F3">
        <w:tblPrEx>
          <w:tblBorders>
            <w:top w:val="thinThickSmallGap" w:color="auto" w:sz="12" w:space="0"/>
            <w:left w:val="thinThickSmallGap" w:color="auto" w:sz="12" w:space="0"/>
            <w:bottom w:val="thickThinSmallGap" w:color="auto" w:sz="12" w:space="0"/>
            <w:right w:val="thickThinSmallGap" w:color="auto" w:sz="12"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2018" w:type="dxa"/>
            <w:gridSpan w:val="2"/>
            <w:vAlign w:val="center"/>
          </w:tcPr>
          <w:p w14:paraId="10BFEA8A">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3</w:t>
            </w:r>
            <w:r>
              <w:rPr>
                <w:rFonts w:ascii="宋体" w:hAnsi="宋体" w:eastAsia="宋体" w:cs="Times New Roman"/>
                <w:color w:val="auto"/>
                <w:highlight w:val="none"/>
              </w:rPr>
              <w:t>.2.6</w:t>
            </w:r>
          </w:p>
        </w:tc>
        <w:tc>
          <w:tcPr>
            <w:tcW w:w="2452" w:type="dxa"/>
            <w:vAlign w:val="center"/>
          </w:tcPr>
          <w:p w14:paraId="2D9577C4">
            <w:pPr>
              <w:spacing w:before="96" w:beforeLines="40" w:line="360" w:lineRule="auto"/>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投标人并列时确定投标人优先顺序的规则</w:t>
            </w:r>
          </w:p>
        </w:tc>
        <w:tc>
          <w:tcPr>
            <w:tcW w:w="5045" w:type="dxa"/>
            <w:vAlign w:val="center"/>
          </w:tcPr>
          <w:p w14:paraId="5A20668E">
            <w:pPr>
              <w:spacing w:before="96" w:beforeLines="40"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综合评分相等时，以投标报价低的优先；投标报价也相等的，以技术部分得分高的优先；技术部分得分也相等的，以递交投标文件时间提前的优先。</w:t>
            </w:r>
          </w:p>
        </w:tc>
      </w:tr>
    </w:tbl>
    <w:p w14:paraId="50AE5431">
      <w:pPr>
        <w:pStyle w:val="3"/>
        <w:spacing w:before="0" w:after="0" w:line="360" w:lineRule="auto"/>
        <w:rPr>
          <w:rFonts w:hint="eastAsia" w:ascii="宋体" w:hAnsi="宋体" w:eastAsia="宋体" w:cs="Times New Roman"/>
          <w:color w:val="auto"/>
          <w:sz w:val="21"/>
          <w:szCs w:val="21"/>
          <w:highlight w:val="none"/>
        </w:rPr>
      </w:pPr>
      <w:r>
        <w:rPr>
          <w:rFonts w:ascii="宋体" w:hAnsi="宋体" w:eastAsia="宋体" w:cs="宋体"/>
          <w:color w:val="auto"/>
          <w:sz w:val="21"/>
          <w:szCs w:val="21"/>
          <w:highlight w:val="none"/>
        </w:rPr>
        <w:br w:type="page"/>
      </w:r>
      <w:bookmarkStart w:id="528" w:name="_Toc164432947"/>
      <w:r>
        <w:rPr>
          <w:rFonts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rPr>
        <w:t>评审方法</w:t>
      </w:r>
      <w:bookmarkEnd w:id="517"/>
      <w:bookmarkEnd w:id="518"/>
      <w:bookmarkEnd w:id="519"/>
      <w:bookmarkEnd w:id="520"/>
      <w:bookmarkEnd w:id="521"/>
      <w:bookmarkEnd w:id="522"/>
      <w:bookmarkEnd w:id="523"/>
      <w:bookmarkEnd w:id="528"/>
    </w:p>
    <w:p w14:paraId="4AE0B35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本次评审采用综合评分法。评标委员会对满足招标文件实质性要求的投标文件，按照本章第</w:t>
      </w:r>
      <w:r>
        <w:rPr>
          <w:rFonts w:ascii="宋体" w:hAnsi="宋体" w:eastAsia="宋体" w:cs="宋体"/>
          <w:color w:val="auto"/>
          <w:highlight w:val="none"/>
        </w:rPr>
        <w:t>3.2</w:t>
      </w:r>
      <w:r>
        <w:rPr>
          <w:rFonts w:hint="eastAsia" w:ascii="宋体" w:hAnsi="宋体" w:eastAsia="宋体" w:cs="宋体"/>
          <w:color w:val="auto"/>
          <w:highlight w:val="none"/>
        </w:rPr>
        <w:t>款规定的评分标准进行打分，并按得分由高到低的顺序推荐中标候选人。</w:t>
      </w:r>
    </w:p>
    <w:p w14:paraId="294C0A43">
      <w:pPr>
        <w:pStyle w:val="3"/>
        <w:spacing w:before="0" w:after="0" w:line="360" w:lineRule="auto"/>
        <w:rPr>
          <w:rFonts w:hint="eastAsia" w:ascii="宋体" w:hAnsi="宋体" w:eastAsia="宋体" w:cs="Times New Roman"/>
          <w:color w:val="auto"/>
          <w:sz w:val="21"/>
          <w:szCs w:val="21"/>
          <w:highlight w:val="none"/>
        </w:rPr>
      </w:pPr>
      <w:bookmarkStart w:id="529" w:name="_Toc28844"/>
      <w:bookmarkStart w:id="530" w:name="_Toc164432948"/>
      <w:bookmarkStart w:id="531" w:name="_Toc107396232"/>
      <w:bookmarkStart w:id="532" w:name="_Toc120282460"/>
      <w:bookmarkStart w:id="533" w:name="_Toc70424887"/>
      <w:bookmarkStart w:id="534" w:name="_Toc77116704"/>
      <w:bookmarkStart w:id="535" w:name="_Toc77504094"/>
      <w:bookmarkStart w:id="536" w:name="_Toc77658104"/>
      <w:r>
        <w:rPr>
          <w:rFonts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rPr>
        <w:t>初步评审标准和程序</w:t>
      </w:r>
      <w:bookmarkEnd w:id="529"/>
      <w:bookmarkEnd w:id="530"/>
      <w:bookmarkEnd w:id="531"/>
      <w:bookmarkEnd w:id="532"/>
      <w:bookmarkEnd w:id="533"/>
      <w:bookmarkEnd w:id="534"/>
      <w:bookmarkEnd w:id="535"/>
      <w:bookmarkEnd w:id="536"/>
    </w:p>
    <w:p w14:paraId="65326C07">
      <w:pPr>
        <w:pStyle w:val="4"/>
        <w:spacing w:before="0" w:after="0" w:line="360" w:lineRule="auto"/>
        <w:rPr>
          <w:rFonts w:ascii="宋体"/>
          <w:color w:val="auto"/>
          <w:sz w:val="21"/>
          <w:szCs w:val="21"/>
          <w:highlight w:val="none"/>
        </w:rPr>
      </w:pPr>
      <w:bookmarkStart w:id="537" w:name="_Toc14757"/>
      <w:bookmarkStart w:id="538" w:name="_Toc120282461"/>
      <w:bookmarkStart w:id="539" w:name="_Toc77658105"/>
      <w:bookmarkStart w:id="540" w:name="_Toc77504095"/>
      <w:bookmarkStart w:id="541" w:name="_Toc70424888"/>
      <w:bookmarkStart w:id="542" w:name="_Toc107396233"/>
      <w:bookmarkStart w:id="543" w:name="_Toc164432949"/>
      <w:bookmarkStart w:id="544" w:name="_Toc77116705"/>
      <w:r>
        <w:rPr>
          <w:rFonts w:ascii="宋体" w:hAnsi="宋体" w:cs="宋体"/>
          <w:color w:val="auto"/>
          <w:sz w:val="21"/>
          <w:szCs w:val="21"/>
          <w:highlight w:val="none"/>
        </w:rPr>
        <w:t xml:space="preserve">2.1 </w:t>
      </w:r>
      <w:r>
        <w:rPr>
          <w:rFonts w:hint="eastAsia" w:ascii="宋体" w:hAnsi="宋体" w:cs="宋体"/>
          <w:color w:val="auto"/>
          <w:sz w:val="21"/>
          <w:szCs w:val="21"/>
          <w:highlight w:val="none"/>
        </w:rPr>
        <w:t>初步评审标准</w:t>
      </w:r>
      <w:bookmarkEnd w:id="537"/>
      <w:bookmarkEnd w:id="538"/>
      <w:bookmarkEnd w:id="539"/>
      <w:bookmarkEnd w:id="540"/>
      <w:bookmarkEnd w:id="541"/>
      <w:bookmarkEnd w:id="542"/>
      <w:bookmarkEnd w:id="543"/>
      <w:bookmarkEnd w:id="544"/>
    </w:p>
    <w:p w14:paraId="5A673184">
      <w:pPr>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2.1.1</w:t>
      </w:r>
      <w:r>
        <w:rPr>
          <w:rFonts w:hint="eastAsia" w:ascii="宋体" w:hAnsi="宋体" w:eastAsia="宋体" w:cs="宋体"/>
          <w:color w:val="auto"/>
          <w:highlight w:val="none"/>
        </w:rPr>
        <w:t>资格评审标准：见评标办法前附表。</w:t>
      </w:r>
    </w:p>
    <w:p w14:paraId="43E38126">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2.1.2</w:t>
      </w:r>
      <w:r>
        <w:rPr>
          <w:rFonts w:hint="eastAsia" w:ascii="宋体" w:hAnsi="宋体" w:eastAsia="宋体" w:cs="宋体"/>
          <w:color w:val="auto"/>
          <w:highlight w:val="none"/>
        </w:rPr>
        <w:t>符合性评审标准：见评标办法前附表。</w:t>
      </w:r>
    </w:p>
    <w:p w14:paraId="09DE73BD">
      <w:pPr>
        <w:pStyle w:val="4"/>
        <w:spacing w:before="0" w:after="0" w:line="360" w:lineRule="auto"/>
        <w:rPr>
          <w:rFonts w:ascii="宋体"/>
          <w:color w:val="auto"/>
          <w:sz w:val="21"/>
          <w:szCs w:val="21"/>
          <w:highlight w:val="none"/>
        </w:rPr>
      </w:pPr>
      <w:bookmarkStart w:id="545" w:name="_Toc164432950"/>
      <w:bookmarkStart w:id="546" w:name="_Toc120282462"/>
      <w:bookmarkStart w:id="547" w:name="_Toc77658106"/>
      <w:bookmarkStart w:id="548" w:name="_Toc70424889"/>
      <w:bookmarkStart w:id="549" w:name="_Toc77116706"/>
      <w:bookmarkStart w:id="550" w:name="_Toc10988"/>
      <w:bookmarkStart w:id="551" w:name="_Toc77504096"/>
      <w:bookmarkStart w:id="552" w:name="_Toc107396234"/>
      <w:r>
        <w:rPr>
          <w:rFonts w:ascii="宋体" w:hAnsi="宋体" w:cs="宋体"/>
          <w:color w:val="auto"/>
          <w:sz w:val="21"/>
          <w:szCs w:val="21"/>
          <w:highlight w:val="none"/>
        </w:rPr>
        <w:t xml:space="preserve">2.2 </w:t>
      </w:r>
      <w:r>
        <w:rPr>
          <w:rFonts w:hint="eastAsia" w:ascii="宋体" w:hAnsi="宋体" w:cs="宋体"/>
          <w:color w:val="auto"/>
          <w:sz w:val="21"/>
          <w:szCs w:val="21"/>
          <w:highlight w:val="none"/>
        </w:rPr>
        <w:t>初步评审程序</w:t>
      </w:r>
      <w:bookmarkEnd w:id="545"/>
      <w:bookmarkEnd w:id="546"/>
      <w:bookmarkEnd w:id="547"/>
      <w:bookmarkEnd w:id="548"/>
      <w:bookmarkEnd w:id="549"/>
      <w:bookmarkEnd w:id="550"/>
      <w:bookmarkEnd w:id="551"/>
      <w:bookmarkEnd w:id="552"/>
    </w:p>
    <w:p w14:paraId="360AC079">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2.2.1 </w:t>
      </w:r>
      <w:r>
        <w:rPr>
          <w:rFonts w:hint="eastAsia" w:ascii="宋体" w:hAnsi="宋体" w:eastAsia="宋体" w:cs="宋体"/>
          <w:color w:val="auto"/>
          <w:highlight w:val="none"/>
        </w:rPr>
        <w:t>评标委员会依据本章第</w:t>
      </w:r>
      <w:r>
        <w:rPr>
          <w:rFonts w:ascii="宋体" w:hAnsi="宋体" w:eastAsia="宋体" w:cs="宋体"/>
          <w:color w:val="auto"/>
          <w:highlight w:val="none"/>
        </w:rPr>
        <w:t>2.1</w:t>
      </w:r>
      <w:r>
        <w:rPr>
          <w:rFonts w:hint="eastAsia" w:ascii="宋体" w:hAnsi="宋体" w:eastAsia="宋体" w:cs="宋体"/>
          <w:color w:val="auto"/>
          <w:highlight w:val="none"/>
        </w:rPr>
        <w:t>款规定的标准对投标人递交的投标文件进行初步评审，判断投标文件的形式是否符合要求、投标人是否符合资格条件、投标文件是否实质性响应招标文件的要求。只有以上评审合格的投标文件才可通过初步评审。</w:t>
      </w:r>
    </w:p>
    <w:p w14:paraId="5586BF3E">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2.2.2 </w:t>
      </w:r>
      <w:r>
        <w:rPr>
          <w:rFonts w:hint="eastAsia" w:ascii="宋体" w:hAnsi="宋体" w:eastAsia="宋体" w:cs="宋体"/>
          <w:color w:val="auto"/>
          <w:highlight w:val="none"/>
        </w:rPr>
        <w:t>投标文件的形式或投标人资格不符合招标文件的要求、投标文件未实质性响应招标文件的要求，或投标文件中有含义不明确、同类问题表述不一致或有明细文字和计算错误的内容，评标委员会应要求投标人在规定时间内进行澄清、说明和补正。投标人澄清、说明和补正的内容应由法定代表人（单位负责人）或其授权的代理人签字或加盖单位章、澄清、说明和补正的内容作为投标文件的组成部分。</w:t>
      </w:r>
    </w:p>
    <w:p w14:paraId="2D638CD5">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2.2.3 </w:t>
      </w:r>
      <w:r>
        <w:rPr>
          <w:rFonts w:hint="eastAsia" w:ascii="宋体" w:hAnsi="宋体" w:eastAsia="宋体" w:cs="宋体"/>
          <w:color w:val="auto"/>
          <w:highlight w:val="none"/>
        </w:rPr>
        <w:t>经投标人澄清、说明和补正后仍不满足初步评审要求的投标文件（即投标文件不满足本章第</w:t>
      </w:r>
      <w:r>
        <w:rPr>
          <w:rFonts w:ascii="宋体" w:hAnsi="宋体" w:eastAsia="宋体" w:cs="宋体"/>
          <w:color w:val="auto"/>
          <w:highlight w:val="none"/>
        </w:rPr>
        <w:t>2.1</w:t>
      </w:r>
      <w:r>
        <w:rPr>
          <w:rFonts w:hint="eastAsia" w:ascii="宋体" w:hAnsi="宋体" w:eastAsia="宋体" w:cs="宋体"/>
          <w:color w:val="auto"/>
          <w:highlight w:val="none"/>
        </w:rPr>
        <w:t>款规定的任一项标准），或投标人有串通、弄虚作假、行贿等违法行为的，其投标文件将被视为无效。</w:t>
      </w:r>
    </w:p>
    <w:p w14:paraId="5F1EA304">
      <w:pPr>
        <w:pStyle w:val="3"/>
        <w:spacing w:before="0" w:after="0" w:line="360" w:lineRule="auto"/>
        <w:rPr>
          <w:rFonts w:hint="eastAsia" w:ascii="宋体" w:hAnsi="宋体" w:eastAsia="宋体" w:cs="Times New Roman"/>
          <w:color w:val="auto"/>
          <w:sz w:val="21"/>
          <w:szCs w:val="21"/>
          <w:highlight w:val="none"/>
        </w:rPr>
      </w:pPr>
      <w:bookmarkStart w:id="553" w:name="_Toc70424890"/>
      <w:bookmarkStart w:id="554" w:name="_Toc11633"/>
      <w:bookmarkStart w:id="555" w:name="_Toc107396235"/>
      <w:bookmarkStart w:id="556" w:name="_Toc77116707"/>
      <w:bookmarkStart w:id="557" w:name="_Toc164432951"/>
      <w:bookmarkStart w:id="558" w:name="_Toc77504097"/>
      <w:bookmarkStart w:id="559" w:name="_Toc77658107"/>
      <w:bookmarkStart w:id="560" w:name="_Toc120282463"/>
      <w:r>
        <w:rPr>
          <w:rFonts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rPr>
        <w:t>详细评审标准和程序</w:t>
      </w:r>
      <w:bookmarkEnd w:id="553"/>
      <w:bookmarkEnd w:id="554"/>
      <w:bookmarkEnd w:id="555"/>
      <w:bookmarkEnd w:id="556"/>
      <w:bookmarkEnd w:id="557"/>
      <w:bookmarkEnd w:id="558"/>
      <w:bookmarkEnd w:id="559"/>
      <w:bookmarkEnd w:id="560"/>
    </w:p>
    <w:p w14:paraId="3560AFEA">
      <w:pPr>
        <w:pStyle w:val="4"/>
        <w:spacing w:before="0" w:after="0" w:line="360" w:lineRule="auto"/>
        <w:rPr>
          <w:rFonts w:ascii="宋体"/>
          <w:color w:val="auto"/>
          <w:sz w:val="21"/>
          <w:szCs w:val="21"/>
          <w:highlight w:val="none"/>
        </w:rPr>
      </w:pPr>
      <w:bookmarkStart w:id="561" w:name="_Toc120282464"/>
      <w:bookmarkStart w:id="562" w:name="_Toc70424891"/>
      <w:bookmarkStart w:id="563" w:name="_Toc77658108"/>
      <w:bookmarkStart w:id="564" w:name="_Toc164432952"/>
      <w:bookmarkStart w:id="565" w:name="_Toc107396236"/>
      <w:bookmarkStart w:id="566" w:name="_Toc12803"/>
      <w:bookmarkStart w:id="567" w:name="_Toc77116708"/>
      <w:bookmarkStart w:id="568" w:name="_Toc77504098"/>
      <w:r>
        <w:rPr>
          <w:rFonts w:ascii="宋体" w:hAnsi="宋体" w:cs="宋体"/>
          <w:color w:val="auto"/>
          <w:sz w:val="21"/>
          <w:szCs w:val="21"/>
          <w:highlight w:val="none"/>
        </w:rPr>
        <w:t xml:space="preserve">3.1 </w:t>
      </w:r>
      <w:r>
        <w:rPr>
          <w:rFonts w:hint="eastAsia" w:ascii="宋体" w:hAnsi="宋体" w:cs="宋体"/>
          <w:color w:val="auto"/>
          <w:sz w:val="21"/>
          <w:szCs w:val="21"/>
          <w:highlight w:val="none"/>
        </w:rPr>
        <w:t>评标价确定</w:t>
      </w:r>
      <w:bookmarkEnd w:id="561"/>
      <w:bookmarkEnd w:id="562"/>
      <w:bookmarkEnd w:id="563"/>
      <w:bookmarkEnd w:id="564"/>
      <w:bookmarkEnd w:id="565"/>
      <w:bookmarkEnd w:id="566"/>
      <w:bookmarkEnd w:id="567"/>
      <w:bookmarkEnd w:id="568"/>
    </w:p>
    <w:p w14:paraId="59496738">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3.1.1 </w:t>
      </w:r>
      <w:r>
        <w:rPr>
          <w:rFonts w:hint="eastAsia" w:ascii="宋体" w:hAnsi="宋体" w:eastAsia="宋体" w:cs="宋体"/>
          <w:color w:val="auto"/>
          <w:highlight w:val="none"/>
        </w:rPr>
        <w:t>除评标办法前附表另有规定外，评标价以投标函中的大写含税价格为准。</w:t>
      </w:r>
    </w:p>
    <w:p w14:paraId="7009A68F">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3.1.2 </w:t>
      </w:r>
      <w:r>
        <w:rPr>
          <w:rFonts w:hint="eastAsia" w:ascii="宋体" w:hAnsi="宋体" w:eastAsia="宋体" w:cs="宋体"/>
          <w:color w:val="auto"/>
          <w:highlight w:val="none"/>
        </w:rPr>
        <w:t>投标报价超过最高限价（如有）的，其投标文件将被视为无效。</w:t>
      </w:r>
    </w:p>
    <w:p w14:paraId="3D47A646">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3.1.3 </w:t>
      </w:r>
      <w:r>
        <w:rPr>
          <w:rFonts w:hint="eastAsia" w:ascii="宋体" w:hAnsi="宋体" w:eastAsia="宋体" w:cs="宋体"/>
          <w:color w:val="auto"/>
          <w:highlight w:val="none"/>
        </w:rPr>
        <w:t>评标委员会经过对投标人的报价进行比较或基于专业经验认为某一投标人的报价过低，可能对其履约造成影响时，应当要求该投标人作出书面说明并提供相应的证明材料。投标人不能合理说明或者不能提供相应证明材料的，其投标文件将被视为无效。</w:t>
      </w:r>
    </w:p>
    <w:p w14:paraId="00C29BAF">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3.1.4 </w:t>
      </w:r>
      <w:r>
        <w:rPr>
          <w:rFonts w:hint="eastAsia" w:ascii="宋体" w:hAnsi="宋体" w:eastAsia="宋体" w:cs="宋体"/>
          <w:color w:val="auto"/>
          <w:highlight w:val="none"/>
        </w:rPr>
        <w:t>投标报价有算术错误或其他错误的，评标委员会按以下原则进行修正，并要求投标人对修正后的价格进行书面澄清确认。投标人拒不澄清确认的，其投标文件将被视为无效：</w:t>
      </w:r>
    </w:p>
    <w:p w14:paraId="44DB2A4B">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）大写金额与小写金额不一致的，以大写金额为准；</w:t>
      </w:r>
    </w:p>
    <w:p w14:paraId="26F24F0C">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）总价金额与单价金额不一致的，以单价金额为准，但单价金额小数点有明显错误的除外；</w:t>
      </w:r>
    </w:p>
    <w:p w14:paraId="38CF4F75">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）报价表中合计报价与分项报价的合价不一致的，以各分项报价的合价累计数为准；</w:t>
      </w:r>
    </w:p>
    <w:p w14:paraId="04281C0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4</w:t>
      </w:r>
      <w:r>
        <w:rPr>
          <w:rFonts w:hint="eastAsia" w:ascii="宋体" w:hAnsi="宋体" w:eastAsia="宋体" w:cs="宋体"/>
          <w:color w:val="auto"/>
          <w:highlight w:val="none"/>
        </w:rPr>
        <w:t>）如果分项报价中存在缺漏项，且缺漏项内容不属于实质性偏差的，则视为缺漏项内容的价格已包含在其他分项报价中。</w:t>
      </w:r>
    </w:p>
    <w:p w14:paraId="11C77722">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当修正后的总报价高于原报价时，视同投标人报价错误产生少漏计费用，签订合同时由投标人承担，如评标委员会认为投标人无法承受少漏记费用，可以将报价作为异常低价处理；当修正后的总报价低于原报价时，签订合同时以修正后的报价为准。</w:t>
      </w:r>
    </w:p>
    <w:p w14:paraId="2C32173D">
      <w:pPr>
        <w:pStyle w:val="4"/>
        <w:spacing w:before="0" w:after="0" w:line="360" w:lineRule="auto"/>
        <w:rPr>
          <w:rFonts w:ascii="宋体"/>
          <w:color w:val="auto"/>
          <w:sz w:val="21"/>
          <w:szCs w:val="21"/>
          <w:highlight w:val="none"/>
        </w:rPr>
      </w:pPr>
      <w:bookmarkStart w:id="569" w:name="_Toc77504099"/>
      <w:bookmarkStart w:id="570" w:name="_Toc77116709"/>
      <w:bookmarkStart w:id="571" w:name="_Toc120282465"/>
      <w:bookmarkStart w:id="572" w:name="_Toc107396237"/>
      <w:bookmarkStart w:id="573" w:name="_Toc70424892"/>
      <w:bookmarkStart w:id="574" w:name="_Toc164432953"/>
      <w:bookmarkStart w:id="575" w:name="_Toc77658109"/>
      <w:bookmarkStart w:id="576" w:name="_Toc4697"/>
      <w:r>
        <w:rPr>
          <w:rFonts w:ascii="宋体" w:hAnsi="宋体" w:cs="宋体"/>
          <w:color w:val="auto"/>
          <w:sz w:val="21"/>
          <w:szCs w:val="21"/>
          <w:highlight w:val="none"/>
        </w:rPr>
        <w:t xml:space="preserve">3.2 </w:t>
      </w:r>
      <w:r>
        <w:rPr>
          <w:rFonts w:hint="eastAsia" w:ascii="宋体" w:hAnsi="宋体" w:cs="宋体"/>
          <w:color w:val="auto"/>
          <w:sz w:val="21"/>
          <w:szCs w:val="21"/>
          <w:highlight w:val="none"/>
        </w:rPr>
        <w:t>综合评分和排序</w:t>
      </w:r>
      <w:bookmarkEnd w:id="569"/>
      <w:bookmarkEnd w:id="570"/>
      <w:bookmarkEnd w:id="571"/>
      <w:bookmarkEnd w:id="572"/>
      <w:bookmarkEnd w:id="573"/>
      <w:bookmarkEnd w:id="574"/>
      <w:bookmarkEnd w:id="575"/>
      <w:bookmarkEnd w:id="576"/>
    </w:p>
    <w:p w14:paraId="18B2485E">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3.2.1 </w:t>
      </w:r>
      <w:r>
        <w:rPr>
          <w:rFonts w:hint="eastAsia" w:ascii="宋体" w:hAnsi="宋体" w:eastAsia="宋体" w:cs="宋体"/>
          <w:color w:val="auto"/>
          <w:highlight w:val="none"/>
        </w:rPr>
        <w:t>分值构成</w:t>
      </w:r>
    </w:p>
    <w:p w14:paraId="0A8F0363">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）技术部分：见评标办法前附表；</w:t>
      </w:r>
    </w:p>
    <w:p w14:paraId="2B819A26">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（2）投标报价：见评标办法前附表；</w:t>
      </w:r>
    </w:p>
    <w:p w14:paraId="26036B9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（3）其他评分因素：见评标办法前附表。</w:t>
      </w:r>
    </w:p>
    <w:p w14:paraId="6C4333C7">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3.2.2 </w:t>
      </w:r>
      <w:r>
        <w:rPr>
          <w:rFonts w:hint="eastAsia" w:ascii="宋体" w:hAnsi="宋体" w:eastAsia="宋体" w:cs="宋体"/>
          <w:color w:val="auto"/>
          <w:highlight w:val="none"/>
        </w:rPr>
        <w:t>评标基准价计算</w:t>
      </w:r>
    </w:p>
    <w:p w14:paraId="692654C6">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）评审价格：评审价格为按照本章第</w:t>
      </w:r>
      <w:r>
        <w:rPr>
          <w:rFonts w:ascii="宋体" w:hAnsi="宋体" w:eastAsia="宋体" w:cs="宋体"/>
          <w:color w:val="auto"/>
          <w:highlight w:val="none"/>
        </w:rPr>
        <w:t>3.1.1</w:t>
      </w:r>
      <w:r>
        <w:rPr>
          <w:rFonts w:hint="eastAsia" w:ascii="宋体" w:hAnsi="宋体" w:eastAsia="宋体" w:cs="宋体"/>
          <w:color w:val="auto"/>
          <w:highlight w:val="none"/>
        </w:rPr>
        <w:t>项规定确定的价格。</w:t>
      </w:r>
    </w:p>
    <w:p w14:paraId="7E8F16F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）评标基准价计算方法：见评标办法前附表。</w:t>
      </w:r>
    </w:p>
    <w:p w14:paraId="5270857A">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3.2.3 </w:t>
      </w:r>
      <w:r>
        <w:rPr>
          <w:rFonts w:hint="eastAsia" w:ascii="宋体" w:hAnsi="宋体" w:eastAsia="宋体" w:cs="宋体"/>
          <w:color w:val="auto"/>
          <w:highlight w:val="none"/>
        </w:rPr>
        <w:t>评分标准</w:t>
      </w:r>
    </w:p>
    <w:p w14:paraId="41BD767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）技术评分标准：见评标办法前附表；</w:t>
      </w:r>
    </w:p>
    <w:p w14:paraId="1C7637E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（2）报价评分标准：见评标办法前附表。</w:t>
      </w:r>
    </w:p>
    <w:p w14:paraId="7E4A7040">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（3）其他因素评分标准：见评标办法前附表。</w:t>
      </w:r>
    </w:p>
    <w:p w14:paraId="08C14C54">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3.2.4 </w:t>
      </w:r>
      <w:r>
        <w:rPr>
          <w:rFonts w:hint="eastAsia" w:ascii="宋体" w:hAnsi="宋体" w:eastAsia="宋体" w:cs="宋体"/>
          <w:color w:val="auto"/>
          <w:highlight w:val="none"/>
        </w:rPr>
        <w:t>评分。评标委员会成员按照评分标准独立对投标人的商务、技术和其他因素进行评分。报价评分由评标委员会统一计算。各项得分汇总后为该成员给投标人的评分总分。评分分值计算保留小数点后两位，小数点后第三位“四舍五入”。</w:t>
      </w:r>
    </w:p>
    <w:p w14:paraId="7A99D667">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3.2.5 </w:t>
      </w:r>
      <w:r>
        <w:rPr>
          <w:rFonts w:hint="eastAsia" w:ascii="宋体" w:hAnsi="宋体" w:eastAsia="宋体" w:cs="宋体"/>
          <w:color w:val="auto"/>
          <w:highlight w:val="none"/>
        </w:rPr>
        <w:t>汇总。评标委员会汇总每个成员对投标人的评分总分，每个投标人的评分总分的算术平均值为投标人综合评分。</w:t>
      </w:r>
    </w:p>
    <w:p w14:paraId="7AC32DD8">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 xml:space="preserve">3.2.6 </w:t>
      </w:r>
      <w:r>
        <w:rPr>
          <w:rFonts w:hint="eastAsia" w:ascii="宋体" w:hAnsi="宋体" w:eastAsia="宋体" w:cs="宋体"/>
          <w:color w:val="auto"/>
          <w:highlight w:val="none"/>
        </w:rPr>
        <w:t>评标委员会对投标人综合评分进行比较后，按照投标人综合评分由高到低的顺序对投标人排序。综合评分相等时，以投标报价低的优先；投标报价也相等的，以技术得分高的优先；如果技术得分也相等，按照评标办法前附表的规定确定投标人优先顺序。</w:t>
      </w:r>
    </w:p>
    <w:p w14:paraId="2CC29E32">
      <w:pPr>
        <w:pStyle w:val="3"/>
        <w:spacing w:before="0" w:after="0" w:line="360" w:lineRule="auto"/>
        <w:rPr>
          <w:rFonts w:hint="eastAsia" w:ascii="宋体" w:hAnsi="宋体" w:eastAsia="宋体" w:cs="Times New Roman"/>
          <w:color w:val="auto"/>
          <w:sz w:val="21"/>
          <w:szCs w:val="21"/>
          <w:highlight w:val="none"/>
        </w:rPr>
      </w:pPr>
      <w:bookmarkStart w:id="577" w:name="_Toc77116710"/>
      <w:bookmarkStart w:id="578" w:name="_Toc70424893"/>
      <w:bookmarkStart w:id="579" w:name="_Toc77658110"/>
      <w:bookmarkStart w:id="580" w:name="_Toc120282466"/>
      <w:bookmarkStart w:id="581" w:name="_Toc12262"/>
      <w:bookmarkStart w:id="582" w:name="_Toc77504100"/>
      <w:bookmarkStart w:id="583" w:name="_Toc107396238"/>
      <w:bookmarkStart w:id="584" w:name="_Toc164432954"/>
      <w:r>
        <w:rPr>
          <w:rFonts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rPr>
        <w:t>评审结果</w:t>
      </w:r>
      <w:bookmarkEnd w:id="577"/>
      <w:bookmarkEnd w:id="578"/>
      <w:bookmarkEnd w:id="579"/>
      <w:bookmarkEnd w:id="580"/>
      <w:bookmarkEnd w:id="581"/>
      <w:bookmarkEnd w:id="582"/>
      <w:bookmarkEnd w:id="583"/>
      <w:bookmarkEnd w:id="584"/>
    </w:p>
    <w:p w14:paraId="413BBF34">
      <w:pPr>
        <w:pStyle w:val="4"/>
        <w:spacing w:before="0" w:after="0" w:line="360" w:lineRule="auto"/>
        <w:rPr>
          <w:rFonts w:ascii="宋体"/>
          <w:color w:val="auto"/>
          <w:sz w:val="21"/>
          <w:szCs w:val="21"/>
          <w:highlight w:val="none"/>
        </w:rPr>
      </w:pPr>
      <w:bookmarkStart w:id="585" w:name="_Toc120282467"/>
      <w:bookmarkStart w:id="586" w:name="_Toc16765"/>
      <w:bookmarkStart w:id="587" w:name="_Toc70424894"/>
      <w:bookmarkStart w:id="588" w:name="_Toc77504101"/>
      <w:bookmarkStart w:id="589" w:name="_Toc164432955"/>
      <w:bookmarkStart w:id="590" w:name="_Toc107396239"/>
      <w:bookmarkStart w:id="591" w:name="_Toc77116711"/>
      <w:bookmarkStart w:id="592" w:name="_Toc77658111"/>
      <w:r>
        <w:rPr>
          <w:rFonts w:ascii="宋体" w:hAnsi="宋体" w:cs="宋体"/>
          <w:color w:val="auto"/>
          <w:sz w:val="21"/>
          <w:szCs w:val="21"/>
          <w:highlight w:val="none"/>
        </w:rPr>
        <w:t xml:space="preserve">4.1 </w:t>
      </w:r>
      <w:r>
        <w:rPr>
          <w:rFonts w:hint="eastAsia" w:ascii="宋体" w:hAnsi="宋体" w:cs="宋体"/>
          <w:color w:val="auto"/>
          <w:sz w:val="21"/>
          <w:szCs w:val="21"/>
          <w:highlight w:val="none"/>
        </w:rPr>
        <w:t>提交书面评标报告</w:t>
      </w:r>
      <w:bookmarkEnd w:id="585"/>
      <w:bookmarkEnd w:id="586"/>
      <w:bookmarkEnd w:id="587"/>
      <w:bookmarkEnd w:id="588"/>
      <w:bookmarkEnd w:id="589"/>
      <w:bookmarkEnd w:id="590"/>
      <w:bookmarkEnd w:id="591"/>
      <w:bookmarkEnd w:id="592"/>
    </w:p>
    <w:p w14:paraId="2C22FBF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评标委员会完成评标后，应当向采购人递交书面评标报告。</w:t>
      </w:r>
    </w:p>
    <w:p w14:paraId="552916E9">
      <w:pPr>
        <w:pStyle w:val="4"/>
        <w:spacing w:before="0" w:after="0" w:line="360" w:lineRule="auto"/>
        <w:rPr>
          <w:rFonts w:ascii="宋体"/>
          <w:color w:val="auto"/>
          <w:sz w:val="21"/>
          <w:szCs w:val="21"/>
          <w:highlight w:val="none"/>
        </w:rPr>
      </w:pPr>
      <w:bookmarkStart w:id="593" w:name="_Toc7215"/>
      <w:bookmarkStart w:id="594" w:name="_Toc107396240"/>
      <w:bookmarkStart w:id="595" w:name="_Toc164432956"/>
      <w:bookmarkStart w:id="596" w:name="_Toc120282468"/>
      <w:bookmarkStart w:id="597" w:name="_Toc77504102"/>
      <w:bookmarkStart w:id="598" w:name="_Toc77658112"/>
      <w:bookmarkStart w:id="599" w:name="_Toc77116712"/>
      <w:bookmarkStart w:id="600" w:name="_Toc70424895"/>
      <w:bookmarkStart w:id="601" w:name="_Toc164432957"/>
      <w:r>
        <w:rPr>
          <w:rFonts w:ascii="宋体" w:hAnsi="宋体" w:cs="宋体"/>
          <w:color w:val="auto"/>
          <w:sz w:val="21"/>
          <w:szCs w:val="21"/>
          <w:highlight w:val="none"/>
        </w:rPr>
        <w:t xml:space="preserve">4.2 </w:t>
      </w:r>
      <w:r>
        <w:rPr>
          <w:rFonts w:hint="eastAsia" w:ascii="宋体" w:hAnsi="宋体" w:cs="宋体"/>
          <w:color w:val="auto"/>
          <w:sz w:val="21"/>
          <w:szCs w:val="21"/>
          <w:highlight w:val="none"/>
        </w:rPr>
        <w:t>推荐中标候选人排序要求及数量</w:t>
      </w:r>
      <w:bookmarkEnd w:id="593"/>
      <w:bookmarkEnd w:id="594"/>
      <w:bookmarkEnd w:id="595"/>
      <w:bookmarkEnd w:id="596"/>
      <w:bookmarkEnd w:id="597"/>
      <w:bookmarkEnd w:id="598"/>
      <w:bookmarkEnd w:id="599"/>
      <w:bookmarkEnd w:id="600"/>
    </w:p>
    <w:p w14:paraId="2460BCDE">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评标委员会应在书面评标报告中按照得分由高到低的顺序向采购人推荐中标候选人，并标明排序。中标候选人的人数见第二章“投标人须知”。</w:t>
      </w:r>
    </w:p>
    <w:p w14:paraId="2E3A4A6B">
      <w:pPr>
        <w:spacing w:line="360" w:lineRule="auto"/>
        <w:rPr>
          <w:rFonts w:hint="eastAsia" w:ascii="宋体" w:hAnsi="宋体" w:eastAsia="宋体" w:cs="Times New Roman"/>
          <w:color w:val="auto"/>
          <w:highlight w:val="none"/>
        </w:rPr>
      </w:pPr>
    </w:p>
    <w:p w14:paraId="0D45C670">
      <w:pPr>
        <w:spacing w:line="360" w:lineRule="auto"/>
        <w:rPr>
          <w:rFonts w:hint="eastAsia" w:ascii="宋体" w:hAnsi="宋体" w:eastAsia="宋体" w:cs="Times New Roman"/>
          <w:color w:val="auto"/>
          <w:highlight w:val="none"/>
        </w:rPr>
      </w:pPr>
    </w:p>
    <w:p w14:paraId="48DA68D0">
      <w:pPr>
        <w:pStyle w:val="2"/>
        <w:spacing w:before="0" w:after="0" w:line="360" w:lineRule="auto"/>
        <w:jc w:val="center"/>
        <w:rPr>
          <w:rFonts w:hint="eastAsia" w:ascii="宋体" w:hAnsi="宋体" w:cs="宋体"/>
          <w:color w:val="auto"/>
          <w:sz w:val="36"/>
          <w:szCs w:val="36"/>
          <w:highlight w:val="none"/>
        </w:rPr>
      </w:pPr>
      <w:r>
        <w:rPr>
          <w:rFonts w:ascii="宋体" w:hAnsi="宋体"/>
          <w:color w:val="auto"/>
          <w:highlight w:val="none"/>
        </w:rPr>
        <w:br w:type="page"/>
      </w:r>
      <w:r>
        <w:rPr>
          <w:rFonts w:hint="eastAsia" w:ascii="宋体" w:hAnsi="宋体" w:cs="宋体"/>
          <w:color w:val="auto"/>
          <w:sz w:val="36"/>
          <w:szCs w:val="36"/>
          <w:highlight w:val="none"/>
        </w:rPr>
        <w:t>第四章</w:t>
      </w:r>
      <w:r>
        <w:rPr>
          <w:rFonts w:ascii="宋体" w:hAnsi="宋体" w:cs="宋体"/>
          <w:color w:val="auto"/>
          <w:sz w:val="36"/>
          <w:szCs w:val="36"/>
          <w:highlight w:val="none"/>
        </w:rPr>
        <w:t xml:space="preserve"> </w:t>
      </w:r>
      <w:r>
        <w:rPr>
          <w:rFonts w:hint="eastAsia" w:ascii="宋体" w:hAnsi="宋体" w:cs="宋体"/>
          <w:color w:val="auto"/>
          <w:sz w:val="36"/>
          <w:szCs w:val="36"/>
          <w:highlight w:val="none"/>
        </w:rPr>
        <w:t>合同草案</w:t>
      </w:r>
      <w:bookmarkEnd w:id="601"/>
      <w:bookmarkStart w:id="602" w:name="_Toc31034"/>
      <w:bookmarkEnd w:id="602"/>
      <w:bookmarkStart w:id="603" w:name="_Toc12847"/>
      <w:bookmarkEnd w:id="603"/>
    </w:p>
    <w:p w14:paraId="7DF3E141">
      <w:pPr>
        <w:autoSpaceDE w:val="0"/>
        <w:autoSpaceDN w:val="0"/>
        <w:adjustRightInd w:val="0"/>
        <w:spacing w:line="360" w:lineRule="auto"/>
        <w:ind w:right="-72"/>
        <w:rPr>
          <w:rFonts w:hint="eastAsia" w:ascii="宋体" w:hAnsi="宋体" w:eastAsia="宋体" w:cs="仿宋"/>
          <w:b/>
          <w:color w:val="auto"/>
          <w:kern w:val="0"/>
          <w:sz w:val="24"/>
          <w:highlight w:val="none"/>
        </w:rPr>
      </w:pPr>
      <w:r>
        <w:rPr>
          <w:rFonts w:hint="eastAsia" w:ascii="宋体" w:hAnsi="宋体" w:eastAsia="宋体" w:cs="仿宋"/>
          <w:color w:val="auto"/>
          <w:sz w:val="24"/>
          <w:highlight w:val="none"/>
        </w:rPr>
        <w:t xml:space="preserve">合同编号：                  合同自编号： </w:t>
      </w:r>
      <w:r>
        <w:rPr>
          <w:rFonts w:hint="eastAsia" w:ascii="宋体" w:hAnsi="宋体" w:eastAsia="宋体" w:cs="仿宋"/>
          <w:color w:val="auto"/>
          <w:sz w:val="24"/>
          <w:highlight w:val="none"/>
        </w:rPr>
        <w:tab/>
      </w:r>
      <w:r>
        <w:rPr>
          <w:rFonts w:hint="eastAsia" w:ascii="宋体" w:hAnsi="宋体" w:eastAsia="宋体" w:cs="仿宋"/>
          <w:color w:val="auto"/>
          <w:sz w:val="24"/>
          <w:highlight w:val="none"/>
        </w:rPr>
        <w:tab/>
      </w:r>
      <w:r>
        <w:rPr>
          <w:rFonts w:hint="eastAsia" w:ascii="宋体" w:hAnsi="宋体" w:eastAsia="宋体" w:cs="仿宋"/>
          <w:color w:val="auto"/>
          <w:sz w:val="24"/>
          <w:highlight w:val="none"/>
        </w:rPr>
        <w:t xml:space="preserve">               项目编号：</w:t>
      </w:r>
    </w:p>
    <w:p w14:paraId="101577D2">
      <w:pPr>
        <w:autoSpaceDE w:val="0"/>
        <w:autoSpaceDN w:val="0"/>
        <w:adjustRightInd w:val="0"/>
        <w:spacing w:line="360" w:lineRule="auto"/>
        <w:ind w:right="568"/>
        <w:rPr>
          <w:rFonts w:hint="eastAsia" w:ascii="宋体" w:hAnsi="宋体" w:eastAsia="宋体" w:cs="仿宋"/>
          <w:color w:val="auto"/>
          <w:kern w:val="0"/>
          <w:sz w:val="24"/>
          <w:highlight w:val="none"/>
        </w:rPr>
      </w:pPr>
      <w:r>
        <w:rPr>
          <w:rFonts w:hint="eastAsia" w:ascii="宋体" w:hAnsi="宋体" w:eastAsia="宋体" w:cs="仿宋"/>
          <w:color w:val="auto"/>
          <w:kern w:val="0"/>
          <w:sz w:val="24"/>
          <w:highlight w:val="none"/>
        </w:rPr>
        <w:t>●本合同须加盖甲乙双方骑缝章有效</w:t>
      </w:r>
    </w:p>
    <w:p w14:paraId="22A27AD9">
      <w:pPr>
        <w:autoSpaceDE w:val="0"/>
        <w:autoSpaceDN w:val="0"/>
        <w:adjustRightInd w:val="0"/>
        <w:spacing w:line="360" w:lineRule="auto"/>
        <w:jc w:val="center"/>
        <w:rPr>
          <w:rFonts w:hint="eastAsia" w:ascii="宋体" w:hAnsi="宋体" w:eastAsia="宋体" w:cs="仿宋"/>
          <w:color w:val="auto"/>
          <w:kern w:val="0"/>
          <w:sz w:val="52"/>
          <w:szCs w:val="52"/>
          <w:highlight w:val="none"/>
        </w:rPr>
      </w:pPr>
      <w:r>
        <w:rPr>
          <w:rFonts w:hint="eastAsia" w:ascii="宋体" w:hAnsi="宋体" w:eastAsia="宋体" w:cs="仿宋"/>
          <w:color w:val="auto"/>
          <w:kern w:val="0"/>
          <w:sz w:val="52"/>
          <w:szCs w:val="52"/>
          <w:highlight w:val="none"/>
        </w:rPr>
        <w:t>云南省政府采购</w:t>
      </w:r>
    </w:p>
    <w:p w14:paraId="4E4F9C37">
      <w:pPr>
        <w:autoSpaceDE w:val="0"/>
        <w:autoSpaceDN w:val="0"/>
        <w:adjustRightInd w:val="0"/>
        <w:spacing w:line="360" w:lineRule="auto"/>
        <w:jc w:val="center"/>
        <w:rPr>
          <w:rFonts w:hint="eastAsia" w:ascii="宋体" w:hAnsi="宋体" w:eastAsia="宋体" w:cs="仿宋"/>
          <w:b/>
          <w:color w:val="auto"/>
          <w:kern w:val="0"/>
          <w:sz w:val="44"/>
          <w:szCs w:val="44"/>
          <w:highlight w:val="none"/>
        </w:rPr>
      </w:pPr>
    </w:p>
    <w:p w14:paraId="5F28CB76">
      <w:pPr>
        <w:autoSpaceDE w:val="0"/>
        <w:autoSpaceDN w:val="0"/>
        <w:adjustRightInd w:val="0"/>
        <w:spacing w:line="360" w:lineRule="auto"/>
        <w:jc w:val="center"/>
        <w:rPr>
          <w:rFonts w:hint="eastAsia" w:ascii="宋体" w:hAnsi="宋体" w:eastAsia="宋体" w:cs="仿宋"/>
          <w:b/>
          <w:color w:val="auto"/>
          <w:kern w:val="0"/>
          <w:sz w:val="44"/>
          <w:szCs w:val="44"/>
          <w:highlight w:val="none"/>
        </w:rPr>
      </w:pPr>
      <w:r>
        <w:rPr>
          <w:rFonts w:hint="eastAsia" w:ascii="宋体" w:hAnsi="宋体" w:eastAsia="宋体" w:cs="仿宋"/>
          <w:color w:val="auto"/>
          <w:sz w:val="33"/>
          <w:szCs w:val="33"/>
          <w:highlight w:val="none"/>
        </w:rPr>
        <w:t>（委托采购）</w:t>
      </w:r>
    </w:p>
    <w:p w14:paraId="3B1253C5">
      <w:pPr>
        <w:autoSpaceDE w:val="0"/>
        <w:autoSpaceDN w:val="0"/>
        <w:adjustRightInd w:val="0"/>
        <w:spacing w:line="360" w:lineRule="auto"/>
        <w:jc w:val="center"/>
        <w:rPr>
          <w:rFonts w:hint="eastAsia" w:ascii="宋体" w:hAnsi="宋体" w:eastAsia="宋体" w:cs="仿宋"/>
          <w:color w:val="auto"/>
          <w:kern w:val="0"/>
          <w:sz w:val="18"/>
          <w:szCs w:val="18"/>
          <w:highlight w:val="none"/>
        </w:rPr>
      </w:pPr>
    </w:p>
    <w:p w14:paraId="4924879B">
      <w:pPr>
        <w:autoSpaceDE w:val="0"/>
        <w:autoSpaceDN w:val="0"/>
        <w:adjustRightInd w:val="0"/>
        <w:spacing w:line="360" w:lineRule="auto"/>
        <w:jc w:val="center"/>
        <w:rPr>
          <w:rFonts w:hint="eastAsia" w:ascii="宋体" w:hAnsi="宋体" w:eastAsia="宋体" w:cs="仿宋"/>
          <w:color w:val="auto"/>
          <w:kern w:val="0"/>
          <w:sz w:val="18"/>
          <w:szCs w:val="18"/>
          <w:highlight w:val="none"/>
        </w:rPr>
      </w:pPr>
    </w:p>
    <w:p w14:paraId="19731363">
      <w:pPr>
        <w:autoSpaceDE w:val="0"/>
        <w:autoSpaceDN w:val="0"/>
        <w:adjustRightInd w:val="0"/>
        <w:spacing w:line="360" w:lineRule="auto"/>
        <w:jc w:val="center"/>
        <w:rPr>
          <w:rFonts w:hint="eastAsia" w:ascii="宋体" w:hAnsi="宋体" w:eastAsia="宋体" w:cs="仿宋"/>
          <w:color w:val="auto"/>
          <w:kern w:val="0"/>
          <w:sz w:val="84"/>
          <w:szCs w:val="84"/>
          <w:highlight w:val="none"/>
        </w:rPr>
      </w:pPr>
      <w:r>
        <w:rPr>
          <w:rFonts w:hint="eastAsia" w:ascii="宋体" w:hAnsi="宋体" w:eastAsia="宋体" w:cs="仿宋"/>
          <w:color w:val="auto"/>
          <w:kern w:val="0"/>
          <w:sz w:val="84"/>
          <w:szCs w:val="84"/>
          <w:highlight w:val="none"/>
        </w:rPr>
        <w:t xml:space="preserve">合 </w:t>
      </w:r>
    </w:p>
    <w:p w14:paraId="6EBB7AC7">
      <w:pPr>
        <w:autoSpaceDE w:val="0"/>
        <w:autoSpaceDN w:val="0"/>
        <w:adjustRightInd w:val="0"/>
        <w:spacing w:line="360" w:lineRule="auto"/>
        <w:jc w:val="center"/>
        <w:rPr>
          <w:rFonts w:hint="eastAsia" w:ascii="宋体" w:hAnsi="宋体" w:eastAsia="宋体" w:cs="仿宋"/>
          <w:color w:val="auto"/>
          <w:kern w:val="0"/>
          <w:sz w:val="72"/>
          <w:szCs w:val="72"/>
          <w:highlight w:val="none"/>
        </w:rPr>
      </w:pPr>
      <w:r>
        <w:rPr>
          <w:rFonts w:hint="eastAsia" w:ascii="宋体" w:hAnsi="宋体" w:eastAsia="宋体" w:cs="仿宋"/>
          <w:color w:val="auto"/>
          <w:kern w:val="0"/>
          <w:sz w:val="84"/>
          <w:szCs w:val="84"/>
          <w:highlight w:val="none"/>
        </w:rPr>
        <w:t xml:space="preserve">同 </w:t>
      </w:r>
    </w:p>
    <w:p w14:paraId="29621EE1">
      <w:pPr>
        <w:autoSpaceDE w:val="0"/>
        <w:autoSpaceDN w:val="0"/>
        <w:adjustRightInd w:val="0"/>
        <w:spacing w:line="360" w:lineRule="auto"/>
        <w:jc w:val="center"/>
        <w:rPr>
          <w:rFonts w:hint="eastAsia" w:ascii="宋体" w:hAnsi="宋体" w:eastAsia="宋体" w:cs="仿宋"/>
          <w:color w:val="auto"/>
          <w:kern w:val="0"/>
          <w:sz w:val="84"/>
          <w:szCs w:val="84"/>
          <w:highlight w:val="none"/>
        </w:rPr>
      </w:pPr>
      <w:r>
        <w:rPr>
          <w:rFonts w:hint="eastAsia" w:ascii="宋体" w:hAnsi="宋体" w:eastAsia="宋体" w:cs="仿宋"/>
          <w:color w:val="auto"/>
          <w:kern w:val="0"/>
          <w:sz w:val="84"/>
          <w:szCs w:val="84"/>
          <w:highlight w:val="none"/>
        </w:rPr>
        <w:t xml:space="preserve">书 </w:t>
      </w:r>
    </w:p>
    <w:p w14:paraId="34475782">
      <w:pPr>
        <w:autoSpaceDE w:val="0"/>
        <w:autoSpaceDN w:val="0"/>
        <w:adjustRightInd w:val="0"/>
        <w:spacing w:line="360" w:lineRule="auto"/>
        <w:rPr>
          <w:rFonts w:hint="eastAsia" w:ascii="宋体" w:hAnsi="宋体" w:eastAsia="宋体" w:cs="仿宋"/>
          <w:b/>
          <w:bCs/>
          <w:color w:val="auto"/>
          <w:sz w:val="27"/>
          <w:szCs w:val="27"/>
          <w:highlight w:val="none"/>
        </w:rPr>
      </w:pPr>
    </w:p>
    <w:p w14:paraId="2FF4F1CA">
      <w:pPr>
        <w:autoSpaceDE w:val="0"/>
        <w:autoSpaceDN w:val="0"/>
        <w:adjustRightInd w:val="0"/>
        <w:spacing w:line="360" w:lineRule="auto"/>
        <w:ind w:firstLine="3253" w:firstLineChars="1200"/>
        <w:rPr>
          <w:rFonts w:hint="eastAsia" w:ascii="宋体" w:hAnsi="宋体" w:eastAsia="宋体" w:cs="仿宋"/>
          <w:b/>
          <w:bCs/>
          <w:color w:val="auto"/>
          <w:sz w:val="27"/>
          <w:szCs w:val="27"/>
          <w:highlight w:val="none"/>
        </w:rPr>
      </w:pPr>
      <w:r>
        <w:rPr>
          <w:rFonts w:hint="eastAsia" w:ascii="宋体" w:hAnsi="宋体" w:eastAsia="宋体" w:cs="仿宋"/>
          <w:b/>
          <w:bCs/>
          <w:color w:val="auto"/>
          <w:sz w:val="27"/>
          <w:szCs w:val="27"/>
          <w:highlight w:val="none"/>
        </w:rPr>
        <w:t>签订地点：</w:t>
      </w:r>
    </w:p>
    <w:p w14:paraId="62ECAADF">
      <w:pPr>
        <w:autoSpaceDE w:val="0"/>
        <w:autoSpaceDN w:val="0"/>
        <w:adjustRightInd w:val="0"/>
        <w:spacing w:line="360" w:lineRule="auto"/>
        <w:jc w:val="center"/>
        <w:rPr>
          <w:rFonts w:hint="eastAsia" w:ascii="宋体" w:hAnsi="宋体" w:eastAsia="宋体" w:cs="仿宋"/>
          <w:b/>
          <w:bCs/>
          <w:color w:val="auto"/>
          <w:sz w:val="27"/>
          <w:szCs w:val="27"/>
          <w:highlight w:val="none"/>
        </w:rPr>
      </w:pPr>
      <w:r>
        <w:rPr>
          <w:rFonts w:hint="eastAsia" w:ascii="宋体" w:hAnsi="宋体" w:eastAsia="宋体" w:cs="仿宋"/>
          <w:b/>
          <w:bCs/>
          <w:color w:val="auto"/>
          <w:sz w:val="27"/>
          <w:szCs w:val="27"/>
          <w:highlight w:val="none"/>
        </w:rPr>
        <w:t>签订日期：   年　月　日</w:t>
      </w:r>
    </w:p>
    <w:p w14:paraId="2C641AB5">
      <w:pPr>
        <w:autoSpaceDE w:val="0"/>
        <w:autoSpaceDN w:val="0"/>
        <w:adjustRightInd w:val="0"/>
        <w:spacing w:line="360" w:lineRule="auto"/>
        <w:jc w:val="center"/>
        <w:rPr>
          <w:rFonts w:hint="eastAsia" w:ascii="宋体" w:hAnsi="宋体" w:eastAsia="宋体" w:cs="仿宋"/>
          <w:b/>
          <w:bCs/>
          <w:color w:val="auto"/>
          <w:sz w:val="27"/>
          <w:szCs w:val="27"/>
          <w:highlight w:val="none"/>
        </w:rPr>
      </w:pPr>
      <w:r>
        <w:rPr>
          <w:rFonts w:hint="eastAsia" w:ascii="宋体" w:hAnsi="宋体" w:eastAsia="宋体" w:cs="仿宋"/>
          <w:b/>
          <w:bCs/>
          <w:color w:val="auto"/>
          <w:sz w:val="27"/>
          <w:szCs w:val="27"/>
          <w:highlight w:val="none"/>
        </w:rPr>
        <w:t>云南省财政厅　制</w:t>
      </w:r>
    </w:p>
    <w:p w14:paraId="17616899">
      <w:pPr>
        <w:widowControl/>
        <w:spacing w:after="200" w:line="276" w:lineRule="auto"/>
        <w:ind w:firstLine="240"/>
        <w:jc w:val="center"/>
        <w:rPr>
          <w:rFonts w:hint="eastAsia" w:ascii="宋体" w:hAnsi="宋体" w:eastAsia="宋体" w:cs="宋体"/>
          <w:color w:val="auto"/>
          <w:kern w:val="0"/>
          <w:sz w:val="24"/>
          <w:szCs w:val="24"/>
          <w:highlight w:val="none"/>
        </w:rPr>
      </w:pPr>
    </w:p>
    <w:p w14:paraId="0EF67D11">
      <w:pPr>
        <w:widowControl/>
        <w:spacing w:after="200" w:line="276" w:lineRule="auto"/>
        <w:ind w:firstLine="240"/>
        <w:jc w:val="center"/>
        <w:rPr>
          <w:rFonts w:hint="eastAsia" w:ascii="宋体" w:hAnsi="宋体" w:eastAsia="宋体" w:cs="宋体"/>
          <w:color w:val="auto"/>
          <w:kern w:val="0"/>
          <w:sz w:val="24"/>
          <w:szCs w:val="24"/>
          <w:highlight w:val="none"/>
        </w:rPr>
      </w:pPr>
    </w:p>
    <w:p w14:paraId="2128B398">
      <w:pPr>
        <w:spacing w:line="360" w:lineRule="auto"/>
        <w:ind w:left="1619" w:leftChars="771"/>
        <w:rPr>
          <w:rFonts w:hint="eastAsia" w:ascii="宋体" w:hAnsi="宋体" w:eastAsia="宋体" w:cs="仿宋"/>
          <w:color w:val="auto"/>
          <w:highlight w:val="none"/>
        </w:rPr>
      </w:pPr>
    </w:p>
    <w:p w14:paraId="317E8D76">
      <w:pPr>
        <w:spacing w:line="360" w:lineRule="auto"/>
        <w:ind w:left="1619" w:leftChars="771"/>
        <w:rPr>
          <w:rFonts w:hint="eastAsia" w:ascii="宋体" w:hAnsi="宋体" w:eastAsia="宋体" w:cs="仿宋"/>
          <w:color w:val="auto"/>
          <w:highlight w:val="none"/>
        </w:rPr>
      </w:pPr>
    </w:p>
    <w:p w14:paraId="5F05A708">
      <w:pPr>
        <w:spacing w:line="360" w:lineRule="auto"/>
        <w:ind w:left="1619" w:leftChars="771"/>
        <w:rPr>
          <w:rFonts w:hint="eastAsia" w:ascii="宋体" w:hAnsi="宋体" w:eastAsia="宋体" w:cs="仿宋"/>
          <w:color w:val="auto"/>
          <w:highlight w:val="none"/>
        </w:rPr>
      </w:pPr>
    </w:p>
    <w:p w14:paraId="76E5BC76">
      <w:pPr>
        <w:spacing w:line="360" w:lineRule="auto"/>
        <w:ind w:left="1619" w:leftChars="771"/>
        <w:rPr>
          <w:rFonts w:hint="eastAsia" w:ascii="宋体" w:hAnsi="宋体" w:eastAsia="宋体" w:cs="仿宋"/>
          <w:color w:val="auto"/>
          <w:highlight w:val="none"/>
        </w:rPr>
      </w:pPr>
    </w:p>
    <w:p w14:paraId="667C03E9">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 xml:space="preserve">甲方（采购人单位章）名称： </w:t>
      </w:r>
    </w:p>
    <w:p w14:paraId="3EAEE407">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 xml:space="preserve">地址： </w:t>
      </w:r>
    </w:p>
    <w:p w14:paraId="566EA6F9">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邮编：</w:t>
      </w:r>
    </w:p>
    <w:p w14:paraId="6E0894C4">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法定代表人或委托代理人：</w:t>
      </w:r>
    </w:p>
    <w:p w14:paraId="5A401C23">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项目（技术）负责人：</w:t>
      </w:r>
    </w:p>
    <w:p w14:paraId="68844B25">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电话：</w:t>
      </w:r>
    </w:p>
    <w:p w14:paraId="3643C1E1">
      <w:pPr>
        <w:spacing w:line="360" w:lineRule="auto"/>
        <w:ind w:left="1619" w:leftChars="771"/>
        <w:rPr>
          <w:rFonts w:hint="eastAsia" w:ascii="宋体" w:hAnsi="宋体" w:eastAsia="宋体" w:cs="仿宋"/>
          <w:color w:val="auto"/>
          <w:highlight w:val="none"/>
        </w:rPr>
      </w:pPr>
    </w:p>
    <w:p w14:paraId="60719CBE">
      <w:pPr>
        <w:spacing w:line="360" w:lineRule="auto"/>
        <w:ind w:left="1619" w:leftChars="771"/>
        <w:rPr>
          <w:rFonts w:hint="eastAsia" w:ascii="宋体" w:hAnsi="宋体" w:eastAsia="宋体" w:cs="仿宋"/>
          <w:color w:val="auto"/>
          <w:highlight w:val="none"/>
        </w:rPr>
      </w:pPr>
    </w:p>
    <w:p w14:paraId="01971439">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 xml:space="preserve">乙方（供应商单位章）名称： </w:t>
      </w:r>
    </w:p>
    <w:p w14:paraId="1BEF711A">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地址：</w:t>
      </w:r>
    </w:p>
    <w:p w14:paraId="4BD2B43C">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邮编：</w:t>
      </w:r>
    </w:p>
    <w:p w14:paraId="6D593334">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法定代表人：</w:t>
      </w:r>
    </w:p>
    <w:p w14:paraId="120E4C7A">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委托代理人：</w:t>
      </w:r>
    </w:p>
    <w:p w14:paraId="49989E17">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电  话：</w:t>
      </w:r>
    </w:p>
    <w:p w14:paraId="7EF5B3EA">
      <w:pPr>
        <w:spacing w:line="360" w:lineRule="auto"/>
        <w:ind w:left="1619" w:leftChars="771"/>
        <w:rPr>
          <w:rFonts w:hint="eastAsia" w:ascii="宋体" w:hAnsi="宋体" w:eastAsia="宋体" w:cs="仿宋"/>
          <w:color w:val="auto"/>
          <w:highlight w:val="none"/>
        </w:rPr>
      </w:pPr>
    </w:p>
    <w:p w14:paraId="330416DD">
      <w:pPr>
        <w:spacing w:line="360" w:lineRule="auto"/>
        <w:ind w:left="1619" w:leftChars="771"/>
        <w:rPr>
          <w:rFonts w:hint="eastAsia" w:ascii="宋体" w:hAnsi="宋体" w:eastAsia="宋体" w:cs="仿宋"/>
          <w:color w:val="auto"/>
          <w:highlight w:val="none"/>
        </w:rPr>
      </w:pPr>
    </w:p>
    <w:p w14:paraId="3EEDE3B1">
      <w:pPr>
        <w:spacing w:line="360" w:lineRule="auto"/>
        <w:ind w:left="1619" w:leftChars="771"/>
        <w:rPr>
          <w:rFonts w:hint="eastAsia" w:ascii="宋体" w:hAnsi="宋体" w:eastAsia="宋体" w:cs="仿宋"/>
          <w:vanish/>
          <w:color w:val="auto"/>
          <w:highlight w:val="none"/>
        </w:rPr>
      </w:pPr>
    </w:p>
    <w:p w14:paraId="4744DB1C">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丙方（鉴证方单位章）名称：</w:t>
      </w:r>
    </w:p>
    <w:p w14:paraId="3796AAE6">
      <w:pPr>
        <w:spacing w:line="360" w:lineRule="auto"/>
        <w:ind w:left="1619" w:leftChars="771"/>
        <w:rPr>
          <w:rFonts w:hint="eastAsia" w:ascii="宋体" w:hAnsi="宋体" w:eastAsia="宋体" w:cs="仿宋"/>
          <w:color w:val="auto"/>
          <w:highlight w:val="none"/>
          <w:lang w:bidi="ar"/>
        </w:rPr>
      </w:pPr>
      <w:r>
        <w:rPr>
          <w:rFonts w:hint="eastAsia" w:ascii="宋体" w:hAnsi="宋体" w:eastAsia="宋体" w:cs="仿宋"/>
          <w:color w:val="auto"/>
          <w:highlight w:val="none"/>
        </w:rPr>
        <w:t>地址：</w:t>
      </w:r>
    </w:p>
    <w:p w14:paraId="2A26F859">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邮编：</w:t>
      </w:r>
    </w:p>
    <w:p w14:paraId="34122A0D">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法定代表人：</w:t>
      </w:r>
    </w:p>
    <w:p w14:paraId="37E405A5">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或委托代理人：</w:t>
      </w:r>
    </w:p>
    <w:p w14:paraId="41B96B60">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经办人：</w:t>
      </w:r>
    </w:p>
    <w:p w14:paraId="015912F4">
      <w:pPr>
        <w:spacing w:line="360" w:lineRule="auto"/>
        <w:ind w:left="1619" w:leftChars="771"/>
        <w:rPr>
          <w:rFonts w:hint="eastAsia" w:ascii="宋体" w:hAnsi="宋体" w:eastAsia="宋体" w:cs="仿宋"/>
          <w:color w:val="auto"/>
          <w:highlight w:val="none"/>
        </w:rPr>
      </w:pPr>
      <w:r>
        <w:rPr>
          <w:rFonts w:hint="eastAsia" w:ascii="宋体" w:hAnsi="宋体" w:eastAsia="宋体" w:cs="仿宋"/>
          <w:color w:val="auto"/>
          <w:highlight w:val="none"/>
        </w:rPr>
        <w:t>电话：</w:t>
      </w:r>
    </w:p>
    <w:p w14:paraId="5138BC48">
      <w:pPr>
        <w:snapToGrid w:val="0"/>
        <w:spacing w:line="360" w:lineRule="auto"/>
        <w:ind w:firstLine="420" w:firstLineChars="200"/>
        <w:rPr>
          <w:rFonts w:hint="eastAsia" w:ascii="宋体" w:hAnsi="宋体" w:eastAsia="宋体" w:cs="Times New Roman"/>
          <w:color w:val="auto"/>
          <w:highlight w:val="none"/>
        </w:rPr>
      </w:pPr>
    </w:p>
    <w:p w14:paraId="089C055B">
      <w:pPr>
        <w:pStyle w:val="16"/>
        <w:ind w:left="63" w:right="63"/>
        <w:rPr>
          <w:color w:val="auto"/>
          <w:highlight w:val="none"/>
        </w:rPr>
      </w:pPr>
    </w:p>
    <w:p w14:paraId="648621EA">
      <w:pPr>
        <w:rPr>
          <w:rFonts w:hint="eastAsia"/>
          <w:color w:val="auto"/>
          <w:highlight w:val="none"/>
        </w:rPr>
      </w:pPr>
    </w:p>
    <w:p w14:paraId="08CFEE25">
      <w:pPr>
        <w:pStyle w:val="16"/>
        <w:ind w:left="63" w:right="63"/>
        <w:rPr>
          <w:color w:val="auto"/>
          <w:highlight w:val="none"/>
        </w:rPr>
      </w:pPr>
    </w:p>
    <w:p w14:paraId="2BEFB6A4">
      <w:pPr>
        <w:rPr>
          <w:rFonts w:hint="eastAsia"/>
          <w:color w:val="auto"/>
          <w:highlight w:val="none"/>
        </w:rPr>
      </w:pPr>
    </w:p>
    <w:p w14:paraId="263E8A12">
      <w:pPr>
        <w:pStyle w:val="16"/>
        <w:ind w:left="63" w:right="63"/>
        <w:rPr>
          <w:color w:val="auto"/>
          <w:highlight w:val="none"/>
        </w:rPr>
      </w:pPr>
    </w:p>
    <w:p w14:paraId="48439BDF">
      <w:pPr>
        <w:rPr>
          <w:rFonts w:hint="eastAsia"/>
          <w:color w:val="auto"/>
          <w:highlight w:val="none"/>
        </w:rPr>
      </w:pPr>
      <w:r>
        <w:rPr>
          <w:rFonts w:hint="eastAsia"/>
          <w:color w:val="auto"/>
          <w:highlight w:val="none"/>
        </w:rPr>
        <w:br w:type="page"/>
      </w:r>
    </w:p>
    <w:p w14:paraId="04F51D8B">
      <w:pPr>
        <w:pStyle w:val="16"/>
        <w:rPr>
          <w:rFonts w:hint="eastAsia"/>
          <w:color w:val="auto"/>
          <w:highlight w:val="none"/>
        </w:rPr>
      </w:pPr>
    </w:p>
    <w:p w14:paraId="64BF90DA">
      <w:pPr>
        <w:pStyle w:val="16"/>
        <w:ind w:left="63" w:right="63"/>
        <w:rPr>
          <w:color w:val="auto"/>
          <w:highlight w:val="none"/>
        </w:rPr>
      </w:pPr>
    </w:p>
    <w:p w14:paraId="2424E90B">
      <w:pPr>
        <w:rPr>
          <w:rFonts w:hint="eastAsia"/>
          <w:color w:val="auto"/>
          <w:highlight w:val="none"/>
        </w:rPr>
      </w:pPr>
    </w:p>
    <w:p w14:paraId="370D096A">
      <w:pPr>
        <w:jc w:val="center"/>
        <w:rPr>
          <w:rFonts w:ascii="宋体" w:hAnsi="Times New Roman" w:eastAsia="宋体" w:cs="Times New Roman"/>
          <w:b/>
          <w:snapToGrid w:val="0"/>
          <w:color w:val="auto"/>
          <w:kern w:val="21"/>
          <w:sz w:val="34"/>
          <w:szCs w:val="32"/>
          <w:highlight w:val="none"/>
        </w:rPr>
      </w:pPr>
      <w:r>
        <w:rPr>
          <w:rFonts w:hint="eastAsia" w:ascii="宋体" w:hAnsi="Times New Roman" w:eastAsia="宋体" w:cs="Times New Roman"/>
          <w:b/>
          <w:snapToGrid w:val="0"/>
          <w:color w:val="auto"/>
          <w:kern w:val="21"/>
          <w:sz w:val="34"/>
          <w:szCs w:val="32"/>
          <w:highlight w:val="none"/>
        </w:rPr>
        <w:t>合同书样式</w:t>
      </w:r>
      <w:r>
        <w:rPr>
          <w:rFonts w:hint="eastAsia" w:ascii="宋体" w:hAnsi="Times New Roman" w:eastAsia="宋体" w:cs="Times New Roman"/>
          <w:b/>
          <w:snapToGrid w:val="0"/>
          <w:color w:val="auto"/>
          <w:kern w:val="21"/>
          <w:sz w:val="22"/>
          <w:highlight w:val="none"/>
        </w:rPr>
        <w:t>（此合同仅供参考）</w:t>
      </w:r>
    </w:p>
    <w:p w14:paraId="0A2EE6C0">
      <w:pPr>
        <w:spacing w:line="360" w:lineRule="auto"/>
        <w:rPr>
          <w:rFonts w:ascii="宋体" w:hAnsi="Times New Roman" w:eastAsia="宋体" w:cs="Times New Roman"/>
          <w:snapToGrid w:val="0"/>
          <w:color w:val="auto"/>
          <w:kern w:val="21"/>
          <w:highlight w:val="none"/>
        </w:rPr>
      </w:pPr>
    </w:p>
    <w:p w14:paraId="445712EA">
      <w:pPr>
        <w:spacing w:line="360" w:lineRule="auto"/>
        <w:rPr>
          <w:rFonts w:ascii="宋体" w:hAnsi="Times New Roman" w:eastAsia="宋体" w:cs="Times New Roman"/>
          <w:snapToGrid w:val="0"/>
          <w:color w:val="auto"/>
          <w:kern w:val="21"/>
          <w:highlight w:val="none"/>
        </w:rPr>
      </w:pPr>
      <w:r>
        <w:rPr>
          <w:rFonts w:hint="eastAsia" w:ascii="宋体" w:hAnsi="Times New Roman" w:eastAsia="宋体" w:cs="Times New Roman"/>
          <w:snapToGrid w:val="0"/>
          <w:color w:val="auto"/>
          <w:kern w:val="21"/>
          <w:highlight w:val="none"/>
        </w:rPr>
        <w:t xml:space="preserve">定作方： （以下简称甲方）                          </w:t>
      </w:r>
    </w:p>
    <w:p w14:paraId="5B7D7991">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 xml:space="preserve">承揽方： （以下简称乙方）   </w:t>
      </w:r>
    </w:p>
    <w:p w14:paraId="77AD925A">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甲乙双方根据项目编号为 （项目编号）            “（项目名称）”招标结果，经双方协定达成一致，签订以下内容：</w:t>
      </w:r>
    </w:p>
    <w:p w14:paraId="58D48F5D">
      <w:pPr>
        <w:spacing w:line="360" w:lineRule="auto"/>
        <w:jc w:val="left"/>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 xml:space="preserve">一、项目名称、服务内容、拟投入人员配置、拟投入软、硬件配置、单价：                   </w:t>
      </w:r>
    </w:p>
    <w:p w14:paraId="6D8CC89C">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二、相关资料和配套要求</w:t>
      </w:r>
    </w:p>
    <w:p w14:paraId="4CF9031B">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三、产品使用要求</w:t>
      </w:r>
    </w:p>
    <w:p w14:paraId="07F8F529">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产品使用符合</w:t>
      </w:r>
      <w:r>
        <w:rPr>
          <w:rFonts w:hint="eastAsia" w:ascii="宋体" w:hAnsi="宋体" w:eastAsia="宋体" w:cs="Times New Roman"/>
          <w:snapToGrid w:val="0"/>
          <w:color w:val="auto"/>
          <w:kern w:val="21"/>
          <w:highlight w:val="none"/>
          <w:u w:val="single"/>
        </w:rPr>
        <w:t xml:space="preserve">               </w:t>
      </w:r>
      <w:r>
        <w:rPr>
          <w:rFonts w:hint="eastAsia" w:ascii="宋体" w:hAnsi="宋体" w:eastAsia="宋体" w:cs="Times New Roman"/>
          <w:snapToGrid w:val="0"/>
          <w:color w:val="auto"/>
          <w:kern w:val="21"/>
          <w:highlight w:val="none"/>
        </w:rPr>
        <w:t>标准，并满足甲方技术要求。</w:t>
      </w:r>
    </w:p>
    <w:p w14:paraId="74E1CAE8">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四、配套服务要求及合作条件</w:t>
      </w:r>
    </w:p>
    <w:p w14:paraId="15321C25">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五、其他服务内容要求及条件</w:t>
      </w:r>
    </w:p>
    <w:p w14:paraId="3E6E86A4">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六、合同总价（大写）：               （人民币元），  小写：         元</w:t>
      </w:r>
    </w:p>
    <w:p w14:paraId="31301B32">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以上价格为甲方指定地点所有服务内容完成后的统一交货价。</w:t>
      </w:r>
    </w:p>
    <w:p w14:paraId="1D9009EF">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七、甲乙双方的权利和义务</w:t>
      </w:r>
    </w:p>
    <w:p w14:paraId="39D9D537">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（一）甲方的权利和义务</w:t>
      </w:r>
    </w:p>
    <w:p w14:paraId="74D56C14">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1、负责合同签订后项目实施的工作（如与乙方的具体联系和衔结，交付服务成果时配备人员进行验收）；</w:t>
      </w:r>
    </w:p>
    <w:p w14:paraId="3AA037F2">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2、负责提供项目服务所必须的场地和环境；</w:t>
      </w:r>
    </w:p>
    <w:p w14:paraId="2F8F2258">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3、负责组织成立验收小组对服务内容和项目进行验收并签署验收报告；</w:t>
      </w:r>
    </w:p>
    <w:p w14:paraId="2125653C">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4、按合同规定享有乙方提供的整套服务。</w:t>
      </w:r>
    </w:p>
    <w:p w14:paraId="32A96B6A">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（二）乙方的权利和义务</w:t>
      </w:r>
    </w:p>
    <w:p w14:paraId="288A9953">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1、乙方保证按本合同一、二、三、四、五条款负责完成甲方项目，并保证提供的服务是满足采购方需求（包括人员、软硬件）、符合招标文件规定、符合国家有关标准、规范和服务标准的产品；服务及主要合同内容有效期为（    ）年，并保证所提供服务在甲方实际使用中正常运行。 具体服务：合同有效期内，乙方对服务提供完整的产品并保证产品质量及相关售后服务；合同期后，根据甲方的需要协商确定（自然灾害及人为故意损坏除外）；</w:t>
      </w:r>
    </w:p>
    <w:p w14:paraId="6828DA7E">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2、保证甲方在合同服务（包含本项目配套软硬件）使用期间不受第三方提出侵犯其所有权、知识产权、商标权、专利权、著作权等相关权利的起诉</w:t>
      </w:r>
      <w:r>
        <w:rPr>
          <w:rFonts w:ascii="宋体" w:hAnsi="宋体" w:eastAsia="宋体" w:cs="Times New Roman"/>
          <w:snapToGrid w:val="0"/>
          <w:color w:val="auto"/>
          <w:kern w:val="21"/>
          <w:highlight w:val="none"/>
        </w:rPr>
        <w:t>。</w:t>
      </w:r>
    </w:p>
    <w:p w14:paraId="02530FB5">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3、严格遵守投标过程中所承诺的一切规定和条款；</w:t>
      </w:r>
    </w:p>
    <w:p w14:paraId="478E56DD">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 xml:space="preserve">4、参与甲方共同进行服务项目的验收。                                       </w:t>
      </w:r>
    </w:p>
    <w:p w14:paraId="3AA73A66">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八、以上内容与甲方采购确认和乙方成交承诺情况一致（或提供服务保证甲方正常使用）。</w:t>
      </w:r>
    </w:p>
    <w:p w14:paraId="3C782AEE">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九、技术培训：</w:t>
      </w:r>
    </w:p>
    <w:p w14:paraId="6913B810">
      <w:pPr>
        <w:spacing w:line="360" w:lineRule="auto"/>
        <w:rPr>
          <w:rFonts w:ascii="宋体" w:hAnsi="Times New Roman" w:eastAsia="宋体" w:cs="Times New Roman"/>
          <w:snapToGrid w:val="0"/>
          <w:color w:val="auto"/>
          <w:kern w:val="21"/>
          <w:highlight w:val="none"/>
        </w:rPr>
      </w:pPr>
      <w:r>
        <w:rPr>
          <w:rFonts w:hint="eastAsia" w:ascii="宋体" w:hAnsi="Times New Roman" w:eastAsia="宋体" w:cs="Times New Roman"/>
          <w:snapToGrid w:val="0"/>
          <w:color w:val="auto"/>
          <w:kern w:val="21"/>
          <w:highlight w:val="none"/>
        </w:rPr>
        <w:t>若甲方要求乙方予以说明、讲解，乙方维护人员应即时提供耐心、详细的解释和指引服务；若甲方对乙方所提供的服务成果需要进行培训时，乙方应无条件配合，</w:t>
      </w:r>
      <w:r>
        <w:rPr>
          <w:rFonts w:hint="eastAsia" w:ascii="宋体" w:hAnsi="宋体" w:eastAsia="宋体" w:cs="Times New Roman"/>
          <w:snapToGrid w:val="0"/>
          <w:color w:val="auto"/>
          <w:kern w:val="21"/>
          <w:highlight w:val="none"/>
        </w:rPr>
        <w:t>费用由乙方负责，具体时间为     天、地点为                   ，其他由甲乙双方协定。</w:t>
      </w:r>
    </w:p>
    <w:p w14:paraId="34892238">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十、售后服务：。</w:t>
      </w:r>
    </w:p>
    <w:p w14:paraId="0BF2811C">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乙方技术支持电话：           ，联系人:            。</w:t>
      </w:r>
    </w:p>
    <w:p w14:paraId="714FBC93">
      <w:pPr>
        <w:rPr>
          <w:rFonts w:hint="eastAsia" w:ascii="宋体" w:hAnsi="宋体" w:eastAsia="宋体" w:cs="Times New Roman"/>
          <w:b/>
          <w:color w:val="auto"/>
          <w:highlight w:val="none"/>
        </w:rPr>
      </w:pPr>
      <w:r>
        <w:rPr>
          <w:rFonts w:hint="eastAsia" w:ascii="宋体" w:hAnsi="宋体" w:eastAsia="宋体" w:cs="Times New Roman"/>
          <w:b/>
          <w:color w:val="auto"/>
          <w:highlight w:val="none"/>
        </w:rPr>
        <w:t>十一、</w:t>
      </w:r>
      <w:r>
        <w:rPr>
          <w:rFonts w:hint="eastAsia" w:ascii="宋体" w:hAnsi="宋体" w:eastAsia="宋体" w:cs="宋体"/>
          <w:b/>
          <w:color w:val="auto"/>
          <w:highlight w:val="none"/>
        </w:rPr>
        <w:t>服务期限、服务地点：</w:t>
      </w:r>
    </w:p>
    <w:p w14:paraId="1B025674">
      <w:pPr>
        <w:rPr>
          <w:rFonts w:hint="eastAsia" w:ascii="宋体" w:hAnsi="宋体" w:eastAsia="宋体" w:cs="Times New Roman"/>
          <w:color w:val="auto"/>
          <w:highlight w:val="none"/>
        </w:rPr>
      </w:pPr>
      <w:r>
        <w:rPr>
          <w:rFonts w:hint="eastAsia" w:ascii="宋体" w:hAnsi="宋体" w:eastAsia="宋体" w:cs="宋体"/>
          <w:color w:val="auto"/>
          <w:highlight w:val="none"/>
        </w:rPr>
        <w:t>1、服务期限：</w:t>
      </w:r>
      <w:r>
        <w:rPr>
          <w:rFonts w:hint="eastAsia" w:ascii="宋体" w:hAnsi="宋体" w:eastAsia="宋体" w:cs="Times New Roman"/>
          <w:color w:val="auto"/>
          <w:highlight w:val="none"/>
        </w:rPr>
        <w:t>。</w:t>
      </w:r>
    </w:p>
    <w:p w14:paraId="43BB6E24">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2、服务地点：</w:t>
      </w:r>
      <w:r>
        <w:rPr>
          <w:rFonts w:hint="eastAsia" w:ascii="宋体" w:hAnsi="宋体" w:eastAsia="宋体" w:cs="宋体"/>
          <w:snapToGrid w:val="0"/>
          <w:color w:val="auto"/>
          <w:kern w:val="21"/>
          <w:highlight w:val="none"/>
        </w:rPr>
        <w:t>。</w:t>
      </w:r>
    </w:p>
    <w:p w14:paraId="087D384B">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十二、验收及验收标准</w:t>
      </w:r>
    </w:p>
    <w:p w14:paraId="46E54739">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1、服务验收：；</w:t>
      </w:r>
    </w:p>
    <w:p w14:paraId="64EA3577">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2、项目验收：；</w:t>
      </w:r>
    </w:p>
    <w:p w14:paraId="0811F551">
      <w:pPr>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十三、合同价款结算：</w:t>
      </w:r>
    </w:p>
    <w:p w14:paraId="33FCEB29">
      <w:pPr>
        <w:tabs>
          <w:tab w:val="left" w:pos="6930"/>
        </w:tabs>
        <w:spacing w:line="360" w:lineRule="auto"/>
        <w:rPr>
          <w:rFonts w:hint="eastAsia" w:ascii="宋体" w:hAnsi="宋体" w:eastAsia="宋体" w:cs="Times New Roman"/>
          <w:snapToGrid w:val="0"/>
          <w:color w:val="auto"/>
          <w:kern w:val="21"/>
          <w:highlight w:val="none"/>
        </w:rPr>
      </w:pPr>
    </w:p>
    <w:p w14:paraId="08D6495B">
      <w:pPr>
        <w:tabs>
          <w:tab w:val="left" w:pos="6930"/>
        </w:tabs>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十四、违约责任：</w:t>
      </w:r>
    </w:p>
    <w:p w14:paraId="1FC8EA26">
      <w:pPr>
        <w:tabs>
          <w:tab w:val="left" w:pos="6930"/>
        </w:tabs>
        <w:spacing w:line="360" w:lineRule="auto"/>
        <w:ind w:firstLine="420" w:firstLineChars="200"/>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除发生不可抗力事实外，乙方服务内容与合同标准不相符合的，甲方有权拒绝乙方的支付申请；逾期实施将向甲方每日偿付合同总额万分之五的违约金，逾期实施超过30日的甲方有权单方面解除合同。因乙方超过30天未按照合同约定实施服务服务内容与合同标准不符致使甲方解除合同的，乙方应承担合同总额10%的违约金，若违约金不足以弥补甲方损失的，甲方有权要求乙方赔偿损失。甲方无正当理由拒绝乙方服务的，甲方向乙方偿付合同款总价百分之五的违约金；逾期支付合同款将向乙方每日偿付欠款总额万分之五的违约金。甲方有权拒付合同价以外的任何费用；乙方有权拒绝合同整体范围以外的条件。</w:t>
      </w:r>
    </w:p>
    <w:p w14:paraId="79CB6F38">
      <w:pPr>
        <w:tabs>
          <w:tab w:val="left" w:pos="6930"/>
        </w:tabs>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十五、合同纠纷、诉讼：</w:t>
      </w:r>
    </w:p>
    <w:p w14:paraId="0C76B91F">
      <w:pPr>
        <w:tabs>
          <w:tab w:val="left" w:pos="6930"/>
        </w:tabs>
        <w:spacing w:line="360" w:lineRule="auto"/>
        <w:ind w:firstLine="420" w:firstLineChars="200"/>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甲乙双方在履行合同过程中发生纠纷，直接向甲方住所地人民法院提起诉讼。</w:t>
      </w:r>
    </w:p>
    <w:p w14:paraId="41A8A4D1">
      <w:pPr>
        <w:tabs>
          <w:tab w:val="left" w:pos="6930"/>
        </w:tabs>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十六、其他未尽事宜：</w:t>
      </w:r>
    </w:p>
    <w:p w14:paraId="7DC7B57F">
      <w:pPr>
        <w:tabs>
          <w:tab w:val="left" w:pos="6930"/>
        </w:tabs>
        <w:spacing w:line="360" w:lineRule="auto"/>
        <w:ind w:firstLine="420" w:firstLineChars="200"/>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本合同其他未尽事宜，按《中华人民共和国民法典》有关规定处理。</w:t>
      </w:r>
    </w:p>
    <w:p w14:paraId="718AC597">
      <w:pPr>
        <w:tabs>
          <w:tab w:val="left" w:pos="6930"/>
        </w:tabs>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十七、合同份数：</w:t>
      </w:r>
    </w:p>
    <w:p w14:paraId="73CB26D1">
      <w:pPr>
        <w:tabs>
          <w:tab w:val="left" w:pos="6930"/>
        </w:tabs>
        <w:spacing w:line="360" w:lineRule="auto"/>
        <w:ind w:firstLine="420" w:firstLineChars="200"/>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本合同一式</w:t>
      </w:r>
      <w:r>
        <w:rPr>
          <w:rFonts w:hint="eastAsia" w:ascii="宋体" w:hAnsi="宋体" w:eastAsia="宋体" w:cs="Times New Roman"/>
          <w:snapToGrid w:val="0"/>
          <w:color w:val="auto"/>
          <w:kern w:val="21"/>
          <w:highlight w:val="none"/>
          <w:u w:val="single"/>
        </w:rPr>
        <w:t xml:space="preserve">  </w:t>
      </w:r>
      <w:r>
        <w:rPr>
          <w:rFonts w:hint="eastAsia" w:ascii="宋体" w:hAnsi="宋体" w:eastAsia="宋体" w:cs="Times New Roman"/>
          <w:snapToGrid w:val="0"/>
          <w:color w:val="auto"/>
          <w:kern w:val="21"/>
          <w:highlight w:val="none"/>
        </w:rPr>
        <w:t>份，甲方</w:t>
      </w:r>
      <w:r>
        <w:rPr>
          <w:rFonts w:hint="eastAsia" w:ascii="宋体" w:hAnsi="宋体" w:eastAsia="宋体" w:cs="Times New Roman"/>
          <w:snapToGrid w:val="0"/>
          <w:color w:val="auto"/>
          <w:kern w:val="21"/>
          <w:highlight w:val="none"/>
          <w:u w:val="single"/>
        </w:rPr>
        <w:t xml:space="preserve">  </w:t>
      </w:r>
      <w:r>
        <w:rPr>
          <w:rFonts w:hint="eastAsia" w:ascii="宋体" w:hAnsi="宋体" w:eastAsia="宋体" w:cs="Times New Roman"/>
          <w:snapToGrid w:val="0"/>
          <w:color w:val="auto"/>
          <w:kern w:val="21"/>
          <w:highlight w:val="none"/>
        </w:rPr>
        <w:t>份，乙方</w:t>
      </w:r>
      <w:r>
        <w:rPr>
          <w:rFonts w:hint="eastAsia" w:ascii="宋体" w:hAnsi="宋体" w:eastAsia="宋体" w:cs="Times New Roman"/>
          <w:snapToGrid w:val="0"/>
          <w:color w:val="auto"/>
          <w:kern w:val="21"/>
          <w:highlight w:val="none"/>
          <w:u w:val="single"/>
        </w:rPr>
        <w:t xml:space="preserve">  </w:t>
      </w:r>
      <w:r>
        <w:rPr>
          <w:rFonts w:hint="eastAsia" w:ascii="宋体" w:hAnsi="宋体" w:eastAsia="宋体" w:cs="Times New Roman"/>
          <w:snapToGrid w:val="0"/>
          <w:color w:val="auto"/>
          <w:kern w:val="21"/>
          <w:highlight w:val="none"/>
        </w:rPr>
        <w:t>份，鉴证方</w:t>
      </w:r>
      <w:r>
        <w:rPr>
          <w:rFonts w:hint="eastAsia" w:ascii="宋体" w:hAnsi="宋体" w:eastAsia="宋体" w:cs="Times New Roman"/>
          <w:snapToGrid w:val="0"/>
          <w:color w:val="auto"/>
          <w:kern w:val="21"/>
          <w:highlight w:val="none"/>
          <w:u w:val="single"/>
        </w:rPr>
        <w:t xml:space="preserve">  </w:t>
      </w:r>
      <w:r>
        <w:rPr>
          <w:rFonts w:hint="eastAsia" w:ascii="宋体" w:hAnsi="宋体" w:eastAsia="宋体" w:cs="Times New Roman"/>
          <w:snapToGrid w:val="0"/>
          <w:color w:val="auto"/>
          <w:kern w:val="21"/>
          <w:highlight w:val="none"/>
        </w:rPr>
        <w:t>份。</w:t>
      </w:r>
    </w:p>
    <w:p w14:paraId="539D0E98">
      <w:pPr>
        <w:tabs>
          <w:tab w:val="left" w:pos="6930"/>
        </w:tabs>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十八、合同生效：</w:t>
      </w:r>
    </w:p>
    <w:p w14:paraId="4B45C1FF">
      <w:pPr>
        <w:tabs>
          <w:tab w:val="left" w:pos="6930"/>
        </w:tabs>
        <w:spacing w:line="360" w:lineRule="auto"/>
        <w:ind w:firstLine="420" w:firstLineChars="200"/>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本合同自甲、乙双方签订之日起生效。</w:t>
      </w:r>
    </w:p>
    <w:p w14:paraId="4E30393D">
      <w:pPr>
        <w:tabs>
          <w:tab w:val="left" w:pos="6930"/>
        </w:tabs>
        <w:spacing w:line="360" w:lineRule="auto"/>
        <w:rPr>
          <w:rFonts w:hint="eastAsia" w:ascii="宋体" w:hAnsi="宋体" w:eastAsia="宋体" w:cs="Times New Roman"/>
          <w:b/>
          <w:snapToGrid w:val="0"/>
          <w:color w:val="auto"/>
          <w:kern w:val="21"/>
          <w:highlight w:val="none"/>
        </w:rPr>
      </w:pPr>
      <w:r>
        <w:rPr>
          <w:rFonts w:hint="eastAsia" w:ascii="宋体" w:hAnsi="宋体" w:eastAsia="宋体" w:cs="Times New Roman"/>
          <w:b/>
          <w:snapToGrid w:val="0"/>
          <w:color w:val="auto"/>
          <w:kern w:val="21"/>
          <w:highlight w:val="none"/>
        </w:rPr>
        <w:t>十九、本合同不可分割之部分包括以下所列文件之内容：</w:t>
      </w:r>
    </w:p>
    <w:p w14:paraId="2B10BEB1">
      <w:pPr>
        <w:ind w:firstLine="420" w:firstLineChars="200"/>
        <w:jc w:val="left"/>
        <w:rPr>
          <w:rFonts w:hint="eastAsia" w:ascii="宋体" w:hAnsi="宋体" w:eastAsia="宋体" w:cs="Times New Roman"/>
          <w:snapToGrid w:val="0"/>
          <w:color w:val="auto"/>
          <w:kern w:val="21"/>
          <w:highlight w:val="none"/>
        </w:rPr>
      </w:pPr>
      <w:r>
        <w:rPr>
          <w:rFonts w:hint="eastAsia" w:ascii="宋体" w:hAnsi="宋体" w:eastAsia="宋体" w:cs="Times New Roman"/>
          <w:snapToGrid w:val="0"/>
          <w:color w:val="auto"/>
          <w:kern w:val="21"/>
          <w:highlight w:val="none"/>
        </w:rPr>
        <w:t>1、合同书附件；2、中标通知书；3、乙方投标文件；4、招标文件；5、甲乙双方签订合同过程中形成的其他文件。</w:t>
      </w:r>
    </w:p>
    <w:p w14:paraId="3C70447F">
      <w:pPr>
        <w:spacing w:line="360" w:lineRule="auto"/>
        <w:rPr>
          <w:rFonts w:hint="eastAsia" w:ascii="宋体" w:hAnsi="宋体" w:eastAsia="宋体" w:cs="Times New Roman"/>
          <w:snapToGrid w:val="0"/>
          <w:color w:val="auto"/>
          <w:kern w:val="21"/>
          <w:highlight w:val="none"/>
        </w:rPr>
      </w:pPr>
      <w:r>
        <w:rPr>
          <w:rFonts w:hint="eastAsia" w:ascii="宋体" w:hAnsi="宋体" w:eastAsia="宋体" w:cs="Times New Roman"/>
          <w:b/>
          <w:snapToGrid w:val="0"/>
          <w:color w:val="auto"/>
          <w:kern w:val="21"/>
          <w:highlight w:val="none"/>
        </w:rPr>
        <w:t>二十、本合同除签订合同之时的签名、手写日期为手写体外，其他手写体内容均不构成本合同及附件之内容。</w:t>
      </w:r>
    </w:p>
    <w:p w14:paraId="3A009ED1">
      <w:pPr>
        <w:tabs>
          <w:tab w:val="left" w:pos="1980"/>
          <w:tab w:val="left" w:pos="5145"/>
        </w:tabs>
        <w:spacing w:line="360" w:lineRule="auto"/>
        <w:rPr>
          <w:rFonts w:ascii="宋体" w:hAnsi="Times New Roman" w:eastAsia="宋体" w:cs="Arial"/>
          <w:snapToGrid w:val="0"/>
          <w:color w:val="auto"/>
          <w:kern w:val="21"/>
          <w:highlight w:val="none"/>
        </w:rPr>
      </w:pPr>
    </w:p>
    <w:p w14:paraId="44D99A3B">
      <w:pPr>
        <w:rPr>
          <w:rFonts w:ascii="Times New Roman" w:hAnsi="Times New Roman" w:eastAsia="宋体" w:cs="Times New Roman"/>
          <w:color w:val="auto"/>
          <w:szCs w:val="20"/>
          <w:highlight w:val="none"/>
        </w:rPr>
      </w:pPr>
      <w:r>
        <w:rPr>
          <w:rFonts w:hint="eastAsia" w:ascii="仿宋" w:hAnsi="仿宋" w:eastAsia="仿宋" w:cs="Times New Roman"/>
          <w:b/>
          <w:snapToGrid w:val="0"/>
          <w:color w:val="auto"/>
          <w:kern w:val="21"/>
          <w:sz w:val="24"/>
          <w:szCs w:val="32"/>
          <w:highlight w:val="none"/>
        </w:rPr>
        <w:t>注：最终以甲乙双方最终签订的合同为准。</w:t>
      </w:r>
    </w:p>
    <w:p w14:paraId="6AFEAF42">
      <w:pPr>
        <w:rPr>
          <w:rFonts w:hint="eastAsia"/>
          <w:color w:val="auto"/>
          <w:highlight w:val="none"/>
        </w:rPr>
      </w:pPr>
    </w:p>
    <w:p w14:paraId="47967169">
      <w:pPr>
        <w:pStyle w:val="16"/>
        <w:ind w:left="63" w:right="63"/>
        <w:rPr>
          <w:color w:val="auto"/>
          <w:highlight w:val="none"/>
        </w:rPr>
        <w:sectPr>
          <w:headerReference r:id="rId11" w:type="first"/>
          <w:footerReference r:id="rId14" w:type="first"/>
          <w:headerReference r:id="rId9" w:type="default"/>
          <w:footerReference r:id="rId12" w:type="default"/>
          <w:headerReference r:id="rId10" w:type="even"/>
          <w:footerReference r:id="rId13" w:type="even"/>
          <w:pgSz w:w="11906" w:h="16838"/>
          <w:pgMar w:top="1418" w:right="1134" w:bottom="1418" w:left="1134" w:header="992" w:footer="964" w:gutter="0"/>
          <w:cols w:space="720" w:num="1"/>
          <w:rtlGutter w:val="1"/>
          <w:docGrid w:linePitch="326" w:charSpace="48333"/>
        </w:sectPr>
      </w:pPr>
    </w:p>
    <w:p w14:paraId="71899B7D">
      <w:pPr>
        <w:pStyle w:val="2"/>
        <w:spacing w:before="0" w:after="0" w:line="360" w:lineRule="auto"/>
        <w:jc w:val="center"/>
        <w:rPr>
          <w:rFonts w:hint="eastAsia" w:ascii="宋体" w:hAnsi="宋体" w:cs="宋体"/>
          <w:color w:val="auto"/>
          <w:sz w:val="36"/>
          <w:szCs w:val="36"/>
          <w:highlight w:val="none"/>
        </w:rPr>
      </w:pPr>
      <w:bookmarkStart w:id="604" w:name="_Toc164432958"/>
      <w:r>
        <w:rPr>
          <w:rFonts w:hint="eastAsia" w:ascii="宋体" w:hAnsi="宋体" w:cs="宋体"/>
          <w:color w:val="auto"/>
          <w:sz w:val="36"/>
          <w:szCs w:val="36"/>
          <w:highlight w:val="none"/>
        </w:rPr>
        <w:t>第五章</w:t>
      </w:r>
      <w:r>
        <w:rPr>
          <w:rFonts w:ascii="宋体" w:hAnsi="宋体" w:cs="宋体"/>
          <w:color w:val="auto"/>
          <w:sz w:val="36"/>
          <w:szCs w:val="36"/>
          <w:highlight w:val="none"/>
        </w:rPr>
        <w:t xml:space="preserve"> </w:t>
      </w:r>
      <w:r>
        <w:rPr>
          <w:rFonts w:hint="eastAsia" w:ascii="宋体" w:hAnsi="宋体" w:cs="宋体"/>
          <w:color w:val="auto"/>
          <w:sz w:val="36"/>
          <w:szCs w:val="36"/>
          <w:highlight w:val="none"/>
        </w:rPr>
        <w:t>采购需求</w:t>
      </w:r>
      <w:bookmarkEnd w:id="604"/>
      <w:bookmarkStart w:id="605" w:name="_Toc23939538"/>
      <w:bookmarkStart w:id="606" w:name="_Toc23939591"/>
    </w:p>
    <w:p w14:paraId="2322A3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(一)项目名称</w:t>
      </w:r>
    </w:p>
    <w:p w14:paraId="3EEEB7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云南省新庄矿区地质勘查成果总结报告、云南省新庄矿区总体规划修编、云南省新庄矿区总体规划环境影响评价编审项目（二次）</w:t>
      </w:r>
    </w:p>
    <w:p w14:paraId="0AAB1A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（二）采购内容</w:t>
      </w:r>
    </w:p>
    <w:p w14:paraId="6630A9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新庄矿区内煤矿集中区域开展地质勘查成果总结、矿区总体规划修编、矿区总体规划环境影响评价工作。通过收集资料、调查（主要以收集以往钻孔资料为主）等工作手段，了解、调查矿区所涉及的矿业权设置等，收集、核实、汇编矿区地质勘查及开发资料与成果，编制云南省新庄矿区地质勘查成果总结报告；从环境保护的角度论证规划方案的合理性和可行性，促进矿区开发与生态环境的协调发展，提出环境可行的矿区开发方案，编制云南省新庄矿区总体规划环境影响评价报告；依据矿区地质勘查成果总结报告，结合矿区的资源条件和外部建设条件，科学规划煤炭资源勘查开发秩序，合理开发利用煤炭资源和划分井田，开展云南省新庄矿区总体规划修编。</w:t>
      </w:r>
    </w:p>
    <w:p w14:paraId="54EFF8F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（三）执行相关标准</w:t>
      </w:r>
    </w:p>
    <w:p w14:paraId="708A7E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成果符合《煤矿安全规程》；《防治煤与瓦斯突出细则》；《煤炭工业矿区总体规划规范》（GB50456-2008）；《煤炭矿区总体规划管理暂行规定》（中华人民共和国国家发展和改革委员会令2012年第14号）；《煤炭矿区地质勘查成果总结报告编写规范》（DZ/T 0345-2020）；《煤炭工业矿区总体规划文件编制标准》（GB/T50651-2011）以及生态环境部、国家发改委、国家能源局联合印发的“环环评﹝2020﹞63号”文《关于进一步加强煤炭资源开发环境影响评价管理的通知》；《云南省能源局关于开展煤炭矿区总体规划编制有关工作的通知》（云能源煤炭[2021 ]69号）等文件要求。</w:t>
      </w:r>
    </w:p>
    <w:p w14:paraId="108215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（四）服务范围</w:t>
      </w:r>
    </w:p>
    <w:p w14:paraId="33E343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服务范围即为</w:t>
      </w:r>
      <w:r>
        <w:rPr>
          <w:rFonts w:hint="eastAsia" w:ascii="宋体" w:hAnsi="宋体" w:eastAsia="宋体" w:cs="宋体"/>
          <w:bCs/>
          <w:color w:val="auto"/>
          <w:sz w:val="24"/>
          <w:szCs w:val="24"/>
          <w:highlight w:val="none"/>
          <w:lang w:eastAsia="zh-CN"/>
        </w:rPr>
        <w:t>新庄矿区</w:t>
      </w:r>
      <w:r>
        <w:rPr>
          <w:rFonts w:hint="eastAsia" w:ascii="宋体" w:hAnsi="宋体" w:eastAsia="宋体" w:cs="宋体"/>
          <w:bCs/>
          <w:color w:val="auto"/>
          <w:sz w:val="24"/>
          <w:szCs w:val="24"/>
          <w:highlight w:val="none"/>
        </w:rPr>
        <w:t>。</w:t>
      </w:r>
    </w:p>
    <w:p w14:paraId="6065EF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w:t>
      </w:r>
      <w:r>
        <w:rPr>
          <w:rFonts w:hint="eastAsia" w:ascii="宋体" w:hAnsi="宋体" w:eastAsia="宋体" w:cs="宋体"/>
          <w:bCs/>
          <w:color w:val="auto"/>
          <w:sz w:val="24"/>
          <w:szCs w:val="24"/>
          <w:highlight w:val="none"/>
          <w:lang w:eastAsia="zh-CN"/>
        </w:rPr>
        <w:t>合同履行期限</w:t>
      </w:r>
      <w:r>
        <w:rPr>
          <w:rFonts w:hint="eastAsia" w:ascii="宋体" w:hAnsi="宋体" w:eastAsia="宋体" w:cs="宋体"/>
          <w:bCs/>
          <w:color w:val="auto"/>
          <w:sz w:val="24"/>
          <w:szCs w:val="24"/>
          <w:highlight w:val="none"/>
        </w:rPr>
        <w:t>：自开工之日起3个月内完成云南省新庄矿区地质勘查成果总结报告编制；收到经评审的矿区总体地质报告、规划区涉及各类保护区及相关规划审查意见表后，3个月内提交云南省新庄矿区总体规划报告送审，规划方案经征求能源局意见后4个月内提交云南省新庄矿区环境影响评价报告书送审。</w:t>
      </w:r>
      <w:bookmarkStart w:id="698" w:name="_GoBack"/>
      <w:bookmarkEnd w:id="698"/>
    </w:p>
    <w:p w14:paraId="3783D8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（六）采购标的验收标准</w:t>
      </w:r>
    </w:p>
    <w:p w14:paraId="2EB335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采购方按照国家相关要求组织对最终提交报告进行评审，最终提交的成果《云南省新庄矿区地质勘查成果总结报告》</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云南省新庄矿区总体规划修编</w:t>
      </w:r>
      <w:r>
        <w:rPr>
          <w:rFonts w:hint="eastAsia" w:ascii="宋体" w:hAnsi="宋体" w:eastAsia="宋体" w:cs="宋体"/>
          <w:bCs/>
          <w:color w:val="auto"/>
          <w:sz w:val="24"/>
          <w:szCs w:val="24"/>
          <w:highlight w:val="none"/>
          <w:lang w:eastAsia="zh-CN"/>
        </w:rPr>
        <w:t>》、《云南省新庄矿区总体规划环境影响评价》</w:t>
      </w:r>
      <w:r>
        <w:rPr>
          <w:rFonts w:hint="eastAsia" w:ascii="宋体" w:hAnsi="宋体" w:eastAsia="宋体" w:cs="宋体"/>
          <w:bCs/>
          <w:color w:val="auto"/>
          <w:sz w:val="24"/>
          <w:szCs w:val="24"/>
          <w:highlight w:val="none"/>
        </w:rPr>
        <w:t>通过采购方组织的评审。</w:t>
      </w:r>
    </w:p>
    <w:p w14:paraId="23EBB3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(七)预算金额：</w:t>
      </w:r>
      <w:r>
        <w:rPr>
          <w:rFonts w:hint="eastAsia" w:hAnsi="宋体" w:cs="宋体"/>
          <w:bCs/>
          <w:color w:val="auto"/>
          <w:sz w:val="24"/>
          <w:szCs w:val="24"/>
          <w:highlight w:val="none"/>
          <w:lang w:val="en-US" w:eastAsia="zh-CN"/>
        </w:rPr>
        <w:t>300</w:t>
      </w:r>
      <w:r>
        <w:rPr>
          <w:rFonts w:hint="eastAsia" w:ascii="宋体" w:hAnsi="宋体" w:eastAsia="宋体" w:cs="宋体"/>
          <w:bCs/>
          <w:color w:val="auto"/>
          <w:sz w:val="24"/>
          <w:szCs w:val="24"/>
          <w:highlight w:val="none"/>
        </w:rPr>
        <w:t>万元。</w:t>
      </w:r>
    </w:p>
    <w:p w14:paraId="6782C2ED">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r>
    </w:p>
    <w:p w14:paraId="659CA588">
      <w:pPr>
        <w:rPr>
          <w:rFonts w:hint="eastAsia"/>
          <w:color w:val="auto"/>
          <w:highlight w:val="none"/>
        </w:rPr>
      </w:pPr>
    </w:p>
    <w:bookmarkEnd w:id="605"/>
    <w:bookmarkEnd w:id="606"/>
    <w:p w14:paraId="096A5212">
      <w:pPr>
        <w:pStyle w:val="2"/>
        <w:spacing w:before="0" w:after="0" w:line="360" w:lineRule="auto"/>
        <w:jc w:val="center"/>
        <w:rPr>
          <w:rFonts w:hint="eastAsia" w:ascii="宋体" w:hAnsi="宋体" w:cs="宋体"/>
          <w:color w:val="auto"/>
          <w:sz w:val="36"/>
          <w:szCs w:val="36"/>
          <w:highlight w:val="none"/>
        </w:rPr>
      </w:pPr>
      <w:bookmarkStart w:id="607" w:name="_Toc164432959"/>
      <w:r>
        <w:rPr>
          <w:rFonts w:hint="eastAsia" w:ascii="宋体" w:hAnsi="宋体" w:cs="宋体"/>
          <w:color w:val="auto"/>
          <w:sz w:val="36"/>
          <w:szCs w:val="36"/>
          <w:highlight w:val="none"/>
        </w:rPr>
        <w:t>第六章</w:t>
      </w:r>
      <w:r>
        <w:rPr>
          <w:rFonts w:ascii="宋体" w:hAnsi="宋体" w:cs="宋体"/>
          <w:color w:val="auto"/>
          <w:sz w:val="36"/>
          <w:szCs w:val="36"/>
          <w:highlight w:val="none"/>
        </w:rPr>
        <w:t xml:space="preserve"> </w:t>
      </w:r>
      <w:r>
        <w:rPr>
          <w:rFonts w:hint="eastAsia" w:ascii="宋体" w:hAnsi="宋体" w:cs="宋体"/>
          <w:color w:val="auto"/>
          <w:sz w:val="36"/>
          <w:szCs w:val="36"/>
          <w:highlight w:val="none"/>
        </w:rPr>
        <w:t>投标文件格式</w:t>
      </w:r>
      <w:bookmarkEnd w:id="607"/>
    </w:p>
    <w:p w14:paraId="4EDB2872">
      <w:pPr>
        <w:spacing w:line="360" w:lineRule="auto"/>
        <w:rPr>
          <w:rFonts w:hint="eastAsia" w:ascii="宋体" w:hAnsi="宋体" w:eastAsia="宋体" w:cs="Times New Roman"/>
          <w:color w:val="auto"/>
          <w:sz w:val="28"/>
          <w:szCs w:val="28"/>
          <w:highlight w:val="none"/>
        </w:rPr>
      </w:pPr>
    </w:p>
    <w:p w14:paraId="48AB8830">
      <w:pPr>
        <w:spacing w:line="360" w:lineRule="auto"/>
        <w:rPr>
          <w:rFonts w:hint="eastAsia" w:ascii="宋体" w:hAnsi="宋体" w:eastAsia="宋体" w:cs="Times New Roman"/>
          <w:color w:val="auto"/>
          <w:sz w:val="28"/>
          <w:szCs w:val="28"/>
          <w:highlight w:val="none"/>
        </w:rPr>
      </w:pPr>
    </w:p>
    <w:p w14:paraId="77946D0E">
      <w:pPr>
        <w:spacing w:line="360" w:lineRule="auto"/>
        <w:jc w:val="center"/>
        <w:rPr>
          <w:rFonts w:hint="eastAsia" w:ascii="宋体" w:hAnsi="宋体" w:eastAsia="宋体" w:cs="Times New Roman"/>
          <w:color w:val="auto"/>
          <w:sz w:val="28"/>
          <w:szCs w:val="28"/>
          <w:highlight w:val="none"/>
        </w:rPr>
      </w:pPr>
      <w:r>
        <w:rPr>
          <w:rFonts w:hint="eastAsia" w:ascii="宋体" w:hAnsi="宋体" w:eastAsia="宋体" w:cs="宋体"/>
          <w:color w:val="auto"/>
          <w:sz w:val="28"/>
          <w:szCs w:val="28"/>
          <w:highlight w:val="none"/>
          <w:u w:val="single"/>
        </w:rPr>
        <w:t>（项目名称）</w:t>
      </w:r>
    </w:p>
    <w:p w14:paraId="1428A734">
      <w:pPr>
        <w:spacing w:line="360" w:lineRule="auto"/>
        <w:rPr>
          <w:rFonts w:hint="eastAsia" w:ascii="宋体" w:hAnsi="宋体" w:eastAsia="宋体" w:cs="Times New Roman"/>
          <w:color w:val="auto"/>
          <w:sz w:val="28"/>
          <w:szCs w:val="28"/>
          <w:highlight w:val="none"/>
        </w:rPr>
      </w:pPr>
    </w:p>
    <w:p w14:paraId="76A325C4">
      <w:pPr>
        <w:spacing w:line="360" w:lineRule="auto"/>
        <w:rPr>
          <w:rFonts w:hint="eastAsia" w:ascii="宋体" w:hAnsi="宋体" w:eastAsia="宋体" w:cs="Times New Roman"/>
          <w:color w:val="auto"/>
          <w:sz w:val="28"/>
          <w:szCs w:val="28"/>
          <w:highlight w:val="none"/>
        </w:rPr>
      </w:pPr>
    </w:p>
    <w:p w14:paraId="6BECD307">
      <w:pPr>
        <w:spacing w:line="360" w:lineRule="auto"/>
        <w:rPr>
          <w:rFonts w:hint="eastAsia" w:ascii="宋体" w:hAnsi="宋体" w:eastAsia="宋体" w:cs="Times New Roman"/>
          <w:color w:val="auto"/>
          <w:sz w:val="28"/>
          <w:szCs w:val="28"/>
          <w:highlight w:val="none"/>
        </w:rPr>
      </w:pPr>
    </w:p>
    <w:p w14:paraId="77689313">
      <w:pPr>
        <w:spacing w:line="360" w:lineRule="auto"/>
        <w:rPr>
          <w:rFonts w:hint="eastAsia" w:ascii="宋体" w:hAnsi="宋体" w:eastAsia="宋体" w:cs="Times New Roman"/>
          <w:color w:val="auto"/>
          <w:sz w:val="28"/>
          <w:szCs w:val="28"/>
          <w:highlight w:val="none"/>
        </w:rPr>
      </w:pPr>
    </w:p>
    <w:p w14:paraId="01DF3086">
      <w:pPr>
        <w:jc w:val="center"/>
        <w:rPr>
          <w:rFonts w:hint="eastAsia" w:ascii="宋体" w:hAnsi="宋体" w:eastAsia="宋体" w:cs="Times New Roman"/>
          <w:b/>
          <w:bCs/>
          <w:color w:val="auto"/>
          <w:sz w:val="96"/>
          <w:szCs w:val="96"/>
          <w:highlight w:val="none"/>
        </w:rPr>
      </w:pPr>
      <w:r>
        <w:rPr>
          <w:rFonts w:hint="eastAsia" w:ascii="宋体" w:hAnsi="宋体" w:eastAsia="宋体" w:cs="宋体"/>
          <w:b/>
          <w:bCs/>
          <w:color w:val="auto"/>
          <w:sz w:val="96"/>
          <w:szCs w:val="96"/>
          <w:highlight w:val="none"/>
        </w:rPr>
        <w:t>投</w:t>
      </w:r>
      <w:r>
        <w:rPr>
          <w:rFonts w:ascii="宋体" w:hAnsi="宋体" w:eastAsia="宋体" w:cs="宋体"/>
          <w:b/>
          <w:bCs/>
          <w:color w:val="auto"/>
          <w:sz w:val="96"/>
          <w:szCs w:val="96"/>
          <w:highlight w:val="none"/>
        </w:rPr>
        <w:t xml:space="preserve"> </w:t>
      </w:r>
      <w:r>
        <w:rPr>
          <w:rFonts w:hint="eastAsia" w:ascii="宋体" w:hAnsi="宋体" w:eastAsia="宋体" w:cs="宋体"/>
          <w:b/>
          <w:bCs/>
          <w:color w:val="auto"/>
          <w:sz w:val="96"/>
          <w:szCs w:val="96"/>
          <w:highlight w:val="none"/>
        </w:rPr>
        <w:t>标</w:t>
      </w:r>
      <w:r>
        <w:rPr>
          <w:rFonts w:ascii="宋体" w:hAnsi="宋体" w:eastAsia="宋体" w:cs="宋体"/>
          <w:b/>
          <w:bCs/>
          <w:color w:val="auto"/>
          <w:sz w:val="96"/>
          <w:szCs w:val="96"/>
          <w:highlight w:val="none"/>
        </w:rPr>
        <w:t xml:space="preserve"> </w:t>
      </w:r>
      <w:r>
        <w:rPr>
          <w:rFonts w:hint="eastAsia" w:ascii="宋体" w:hAnsi="宋体" w:eastAsia="宋体" w:cs="宋体"/>
          <w:b/>
          <w:bCs/>
          <w:color w:val="auto"/>
          <w:sz w:val="96"/>
          <w:szCs w:val="96"/>
          <w:highlight w:val="none"/>
        </w:rPr>
        <w:t>文</w:t>
      </w:r>
      <w:r>
        <w:rPr>
          <w:rFonts w:ascii="宋体" w:hAnsi="宋体" w:eastAsia="宋体" w:cs="宋体"/>
          <w:b/>
          <w:bCs/>
          <w:color w:val="auto"/>
          <w:sz w:val="96"/>
          <w:szCs w:val="96"/>
          <w:highlight w:val="none"/>
        </w:rPr>
        <w:t xml:space="preserve"> </w:t>
      </w:r>
      <w:r>
        <w:rPr>
          <w:rFonts w:hint="eastAsia" w:ascii="宋体" w:hAnsi="宋体" w:eastAsia="宋体" w:cs="宋体"/>
          <w:b/>
          <w:bCs/>
          <w:color w:val="auto"/>
          <w:sz w:val="96"/>
          <w:szCs w:val="96"/>
          <w:highlight w:val="none"/>
        </w:rPr>
        <w:t>件</w:t>
      </w:r>
    </w:p>
    <w:p w14:paraId="6A553874">
      <w:pPr>
        <w:spacing w:line="360" w:lineRule="auto"/>
        <w:rPr>
          <w:rFonts w:hint="eastAsia" w:ascii="宋体" w:hAnsi="宋体" w:eastAsia="宋体" w:cs="Times New Roman"/>
          <w:color w:val="auto"/>
          <w:sz w:val="28"/>
          <w:szCs w:val="28"/>
          <w:highlight w:val="none"/>
        </w:rPr>
      </w:pPr>
    </w:p>
    <w:p w14:paraId="6263A7B0">
      <w:pPr>
        <w:spacing w:line="360" w:lineRule="auto"/>
        <w:jc w:val="center"/>
        <w:rPr>
          <w:rFonts w:hint="eastAsia" w:ascii="黑体" w:hAnsi="黑体" w:eastAsia="黑体" w:cs="Times New Roman"/>
          <w:color w:val="auto"/>
          <w:sz w:val="28"/>
          <w:szCs w:val="28"/>
          <w:highlight w:val="none"/>
        </w:rPr>
      </w:pPr>
      <w:r>
        <w:rPr>
          <w:rFonts w:hint="eastAsia" w:ascii="黑体" w:hAnsi="黑体" w:eastAsia="黑体" w:cs="黑体"/>
          <w:color w:val="auto"/>
          <w:sz w:val="28"/>
          <w:szCs w:val="28"/>
          <w:highlight w:val="none"/>
        </w:rPr>
        <w:t>项目编号：</w:t>
      </w:r>
    </w:p>
    <w:p w14:paraId="2424EAD9">
      <w:pPr>
        <w:spacing w:line="360" w:lineRule="auto"/>
        <w:rPr>
          <w:rFonts w:hint="eastAsia" w:ascii="宋体" w:hAnsi="宋体" w:eastAsia="宋体" w:cs="Times New Roman"/>
          <w:color w:val="auto"/>
          <w:sz w:val="28"/>
          <w:szCs w:val="28"/>
          <w:highlight w:val="none"/>
        </w:rPr>
      </w:pPr>
    </w:p>
    <w:p w14:paraId="37524D7E">
      <w:pPr>
        <w:spacing w:line="360" w:lineRule="auto"/>
        <w:rPr>
          <w:rFonts w:hint="eastAsia" w:ascii="宋体" w:hAnsi="宋体" w:eastAsia="宋体" w:cs="Times New Roman"/>
          <w:color w:val="auto"/>
          <w:sz w:val="28"/>
          <w:szCs w:val="28"/>
          <w:highlight w:val="none"/>
        </w:rPr>
      </w:pPr>
    </w:p>
    <w:p w14:paraId="6B739943">
      <w:pPr>
        <w:spacing w:line="360" w:lineRule="auto"/>
        <w:rPr>
          <w:rFonts w:hint="eastAsia" w:ascii="宋体" w:hAnsi="宋体" w:eastAsia="宋体" w:cs="Times New Roman"/>
          <w:color w:val="auto"/>
          <w:sz w:val="28"/>
          <w:szCs w:val="28"/>
          <w:highlight w:val="none"/>
        </w:rPr>
      </w:pPr>
    </w:p>
    <w:p w14:paraId="4CCB8BE9">
      <w:pPr>
        <w:spacing w:line="360" w:lineRule="auto"/>
        <w:rPr>
          <w:rFonts w:hint="eastAsia" w:ascii="宋体" w:hAnsi="宋体" w:eastAsia="宋体" w:cs="Times New Roman"/>
          <w:color w:val="auto"/>
          <w:sz w:val="28"/>
          <w:szCs w:val="28"/>
          <w:highlight w:val="none"/>
        </w:rPr>
      </w:pPr>
    </w:p>
    <w:p w14:paraId="37C34B21">
      <w:pPr>
        <w:spacing w:line="360" w:lineRule="auto"/>
        <w:rPr>
          <w:rFonts w:hint="eastAsia" w:ascii="宋体" w:hAnsi="宋体" w:eastAsia="宋体"/>
          <w:color w:val="auto"/>
          <w:sz w:val="28"/>
          <w:szCs w:val="32"/>
          <w:highlight w:val="none"/>
        </w:rPr>
      </w:pPr>
    </w:p>
    <w:p w14:paraId="5A25F087">
      <w:pPr>
        <w:spacing w:line="360" w:lineRule="auto"/>
        <w:ind w:firstLine="1680" w:firstLineChars="600"/>
        <w:rPr>
          <w:rFonts w:hint="eastAsia" w:ascii="宋体" w:hAnsi="宋体" w:eastAsia="宋体"/>
          <w:color w:val="auto"/>
          <w:sz w:val="28"/>
          <w:szCs w:val="32"/>
          <w:highlight w:val="none"/>
          <w:u w:val="single"/>
        </w:rPr>
      </w:pPr>
      <w:r>
        <w:rPr>
          <w:rFonts w:hint="eastAsia" w:ascii="宋体" w:hAnsi="宋体" w:eastAsia="宋体"/>
          <w:color w:val="auto"/>
          <w:sz w:val="28"/>
          <w:szCs w:val="32"/>
          <w:highlight w:val="none"/>
        </w:rPr>
        <w:t>投标人：</w:t>
      </w:r>
      <w:r>
        <w:rPr>
          <w:rFonts w:hint="eastAsia" w:ascii="宋体" w:hAnsi="宋体" w:eastAsia="宋体"/>
          <w:color w:val="auto"/>
          <w:sz w:val="28"/>
          <w:szCs w:val="32"/>
          <w:highlight w:val="none"/>
          <w:u w:val="single"/>
        </w:rPr>
        <w:t xml:space="preserve"> </w:t>
      </w:r>
      <w:r>
        <w:rPr>
          <w:rFonts w:ascii="宋体" w:hAnsi="宋体" w:eastAsia="宋体"/>
          <w:color w:val="auto"/>
          <w:sz w:val="28"/>
          <w:szCs w:val="32"/>
          <w:highlight w:val="none"/>
          <w:u w:val="single"/>
        </w:rPr>
        <w:t xml:space="preserve">                       </w:t>
      </w:r>
      <w:r>
        <w:rPr>
          <w:rFonts w:hint="eastAsia" w:ascii="宋体" w:hAnsi="宋体" w:eastAsia="宋体"/>
          <w:color w:val="auto"/>
          <w:sz w:val="28"/>
          <w:szCs w:val="32"/>
          <w:highlight w:val="none"/>
          <w:u w:val="single"/>
        </w:rPr>
        <w:t>（电子签章）</w:t>
      </w:r>
    </w:p>
    <w:p w14:paraId="7C894614">
      <w:pPr>
        <w:spacing w:line="360" w:lineRule="auto"/>
        <w:ind w:firstLine="2976" w:firstLineChars="1063"/>
        <w:rPr>
          <w:rFonts w:hint="eastAsia" w:ascii="宋体" w:hAnsi="宋体" w:eastAsia="宋体"/>
          <w:color w:val="auto"/>
          <w:sz w:val="28"/>
          <w:szCs w:val="32"/>
          <w:highlight w:val="none"/>
        </w:rPr>
      </w:pPr>
      <w:r>
        <w:rPr>
          <w:rFonts w:hint="eastAsia" w:ascii="宋体" w:hAnsi="宋体" w:eastAsia="宋体"/>
          <w:color w:val="auto"/>
          <w:sz w:val="28"/>
          <w:szCs w:val="32"/>
          <w:highlight w:val="none"/>
          <w:u w:val="single"/>
        </w:rPr>
        <w:t xml:space="preserve"> </w:t>
      </w:r>
      <w:r>
        <w:rPr>
          <w:rFonts w:ascii="宋体" w:hAnsi="宋体" w:eastAsia="宋体"/>
          <w:color w:val="auto"/>
          <w:sz w:val="28"/>
          <w:szCs w:val="32"/>
          <w:highlight w:val="none"/>
          <w:u w:val="single"/>
        </w:rPr>
        <w:t xml:space="preserve">     </w:t>
      </w:r>
      <w:r>
        <w:rPr>
          <w:rFonts w:hint="eastAsia" w:ascii="宋体" w:hAnsi="宋体" w:eastAsia="宋体"/>
          <w:color w:val="auto"/>
          <w:sz w:val="28"/>
          <w:szCs w:val="32"/>
          <w:highlight w:val="none"/>
          <w:u w:val="single"/>
        </w:rPr>
        <w:t xml:space="preserve">年 </w:t>
      </w:r>
      <w:r>
        <w:rPr>
          <w:rFonts w:ascii="宋体" w:hAnsi="宋体" w:eastAsia="宋体"/>
          <w:color w:val="auto"/>
          <w:sz w:val="28"/>
          <w:szCs w:val="32"/>
          <w:highlight w:val="none"/>
          <w:u w:val="single"/>
        </w:rPr>
        <w:t xml:space="preserve">   </w:t>
      </w:r>
      <w:r>
        <w:rPr>
          <w:rFonts w:hint="eastAsia" w:ascii="宋体" w:hAnsi="宋体" w:eastAsia="宋体"/>
          <w:color w:val="auto"/>
          <w:sz w:val="28"/>
          <w:szCs w:val="32"/>
          <w:highlight w:val="none"/>
          <w:u w:val="single"/>
        </w:rPr>
        <w:t xml:space="preserve">月 </w:t>
      </w:r>
      <w:r>
        <w:rPr>
          <w:rFonts w:ascii="宋体" w:hAnsi="宋体" w:eastAsia="宋体"/>
          <w:color w:val="auto"/>
          <w:sz w:val="28"/>
          <w:szCs w:val="32"/>
          <w:highlight w:val="none"/>
          <w:u w:val="single"/>
        </w:rPr>
        <w:t xml:space="preserve">   </w:t>
      </w:r>
      <w:r>
        <w:rPr>
          <w:rFonts w:hint="eastAsia" w:ascii="宋体" w:hAnsi="宋体" w:eastAsia="宋体"/>
          <w:color w:val="auto"/>
          <w:sz w:val="28"/>
          <w:szCs w:val="32"/>
          <w:highlight w:val="none"/>
          <w:u w:val="single"/>
        </w:rPr>
        <w:t>日</w:t>
      </w:r>
    </w:p>
    <w:p w14:paraId="395261B4">
      <w:pPr>
        <w:spacing w:line="360" w:lineRule="auto"/>
        <w:rPr>
          <w:rFonts w:hint="eastAsia" w:ascii="宋体" w:hAnsi="宋体" w:eastAsia="宋体"/>
          <w:color w:val="auto"/>
          <w:highlight w:val="none"/>
        </w:rPr>
      </w:pPr>
    </w:p>
    <w:p w14:paraId="287B1AB9">
      <w:pPr>
        <w:spacing w:line="360" w:lineRule="auto"/>
        <w:rPr>
          <w:rFonts w:hint="eastAsia" w:ascii="宋体" w:hAnsi="宋体" w:eastAsia="宋体" w:cs="Times New Roman"/>
          <w:color w:val="auto"/>
          <w:highlight w:val="none"/>
        </w:rPr>
      </w:pPr>
    </w:p>
    <w:p w14:paraId="15BCE701">
      <w:pPr>
        <w:spacing w:line="360" w:lineRule="auto"/>
        <w:rPr>
          <w:rFonts w:hint="eastAsia" w:ascii="宋体" w:hAnsi="宋体" w:eastAsia="宋体" w:cs="Times New Roman"/>
          <w:color w:val="auto"/>
          <w:highlight w:val="none"/>
        </w:rPr>
      </w:pPr>
    </w:p>
    <w:p w14:paraId="0AF6C2E5">
      <w:pPr>
        <w:spacing w:line="360" w:lineRule="auto"/>
        <w:rPr>
          <w:rFonts w:hint="eastAsia" w:ascii="宋体" w:hAnsi="宋体" w:eastAsia="宋体" w:cs="Times New Roman"/>
          <w:color w:val="auto"/>
          <w:highlight w:val="none"/>
        </w:rPr>
      </w:pPr>
    </w:p>
    <w:p w14:paraId="379F8124">
      <w:pPr>
        <w:widowControl/>
        <w:spacing w:line="800" w:lineRule="exact"/>
        <w:jc w:val="center"/>
        <w:outlineLvl w:val="2"/>
        <w:rPr>
          <w:rFonts w:hint="eastAsia" w:ascii="宋体" w:hAnsi="宋体" w:eastAsia="宋体" w:cs="Times New Roman"/>
          <w:color w:val="auto"/>
          <w:highlight w:val="none"/>
        </w:rPr>
      </w:pPr>
      <w:r>
        <w:rPr>
          <w:rFonts w:ascii="宋体" w:hAnsi="宋体" w:eastAsia="宋体" w:cs="Times New Roman"/>
          <w:color w:val="auto"/>
          <w:highlight w:val="none"/>
        </w:rPr>
        <w:br w:type="page"/>
      </w:r>
      <w:bookmarkStart w:id="608" w:name="_Toc77504115"/>
      <w:bookmarkStart w:id="609" w:name="_Toc77116717"/>
      <w:bookmarkStart w:id="610" w:name="_Toc120282472"/>
      <w:bookmarkStart w:id="611" w:name="_Toc6970"/>
      <w:bookmarkStart w:id="612" w:name="_Toc77658125"/>
      <w:bookmarkStart w:id="613" w:name="_Toc107396244"/>
      <w:bookmarkStart w:id="614" w:name="_Toc70424899"/>
    </w:p>
    <w:p w14:paraId="7D2A1386">
      <w:pPr>
        <w:spacing w:line="360" w:lineRule="auto"/>
        <w:jc w:val="center"/>
        <w:rPr>
          <w:rFonts w:hint="eastAsia" w:ascii="宋体" w:hAnsi="宋体" w:eastAsia="宋体" w:cs="Times New Roman"/>
          <w:color w:val="auto"/>
          <w:sz w:val="28"/>
          <w:szCs w:val="28"/>
          <w:highlight w:val="none"/>
        </w:rPr>
      </w:pPr>
    </w:p>
    <w:p w14:paraId="523BE687">
      <w:pPr>
        <w:spacing w:line="360" w:lineRule="auto"/>
        <w:jc w:val="center"/>
        <w:rPr>
          <w:rFonts w:hint="eastAsia" w:ascii="宋体" w:hAnsi="宋体" w:eastAsia="宋体" w:cs="Times New Roman"/>
          <w:color w:val="auto"/>
          <w:sz w:val="28"/>
          <w:szCs w:val="28"/>
          <w:highlight w:val="none"/>
        </w:rPr>
      </w:pPr>
    </w:p>
    <w:p w14:paraId="5F07A3C8">
      <w:pPr>
        <w:spacing w:line="360" w:lineRule="auto"/>
        <w:jc w:val="center"/>
        <w:rPr>
          <w:rFonts w:hint="eastAsia" w:ascii="宋体" w:hAnsi="宋体" w:eastAsia="宋体" w:cs="Times New Roman"/>
          <w:color w:val="auto"/>
          <w:sz w:val="28"/>
          <w:szCs w:val="28"/>
          <w:highlight w:val="none"/>
        </w:rPr>
      </w:pPr>
    </w:p>
    <w:p w14:paraId="43230839">
      <w:pPr>
        <w:spacing w:line="360" w:lineRule="auto"/>
        <w:jc w:val="center"/>
        <w:rPr>
          <w:rFonts w:hint="eastAsia" w:ascii="宋体" w:hAnsi="宋体" w:eastAsia="宋体" w:cs="Times New Roman"/>
          <w:color w:val="auto"/>
          <w:sz w:val="28"/>
          <w:szCs w:val="28"/>
          <w:highlight w:val="none"/>
        </w:rPr>
      </w:pPr>
    </w:p>
    <w:p w14:paraId="31FF4102">
      <w:pPr>
        <w:spacing w:line="360" w:lineRule="auto"/>
        <w:jc w:val="center"/>
        <w:rPr>
          <w:rFonts w:hint="eastAsia" w:ascii="宋体" w:hAnsi="宋体" w:eastAsia="宋体" w:cs="Times New Roman"/>
          <w:color w:val="auto"/>
          <w:sz w:val="28"/>
          <w:szCs w:val="28"/>
          <w:highlight w:val="none"/>
        </w:rPr>
      </w:pPr>
    </w:p>
    <w:p w14:paraId="286DBC73">
      <w:pPr>
        <w:spacing w:line="360" w:lineRule="auto"/>
        <w:jc w:val="center"/>
        <w:rPr>
          <w:rFonts w:hint="eastAsia" w:ascii="宋体" w:hAnsi="宋体" w:eastAsia="宋体" w:cs="Times New Roman"/>
          <w:color w:val="auto"/>
          <w:sz w:val="28"/>
          <w:szCs w:val="28"/>
          <w:highlight w:val="none"/>
        </w:rPr>
      </w:pPr>
    </w:p>
    <w:p w14:paraId="14E34FA3">
      <w:pPr>
        <w:spacing w:line="360" w:lineRule="auto"/>
        <w:jc w:val="center"/>
        <w:rPr>
          <w:rFonts w:hint="eastAsia" w:ascii="宋体" w:hAnsi="宋体" w:eastAsia="宋体" w:cs="Times New Roman"/>
          <w:color w:val="auto"/>
          <w:sz w:val="28"/>
          <w:szCs w:val="28"/>
          <w:highlight w:val="none"/>
        </w:rPr>
      </w:pPr>
    </w:p>
    <w:p w14:paraId="6F72DB1B">
      <w:pPr>
        <w:spacing w:line="360" w:lineRule="auto"/>
        <w:jc w:val="center"/>
        <w:rPr>
          <w:rFonts w:hint="eastAsia" w:ascii="宋体" w:hAnsi="宋体" w:eastAsia="宋体" w:cs="Times New Roman"/>
          <w:color w:val="auto"/>
          <w:sz w:val="28"/>
          <w:szCs w:val="28"/>
          <w:highlight w:val="none"/>
        </w:rPr>
      </w:pPr>
    </w:p>
    <w:p w14:paraId="244C922C">
      <w:pPr>
        <w:spacing w:line="360" w:lineRule="auto"/>
        <w:jc w:val="center"/>
        <w:rPr>
          <w:rFonts w:hint="eastAsia" w:ascii="宋体" w:hAnsi="宋体" w:eastAsia="宋体" w:cs="Times New Roman"/>
          <w:color w:val="auto"/>
          <w:sz w:val="28"/>
          <w:szCs w:val="28"/>
          <w:highlight w:val="none"/>
        </w:rPr>
      </w:pPr>
    </w:p>
    <w:p w14:paraId="28906319">
      <w:pPr>
        <w:spacing w:line="360" w:lineRule="auto"/>
        <w:jc w:val="center"/>
        <w:rPr>
          <w:rFonts w:hint="eastAsia" w:ascii="宋体" w:hAnsi="宋体" w:eastAsia="宋体" w:cs="Times New Roman"/>
          <w:color w:val="auto"/>
          <w:sz w:val="28"/>
          <w:szCs w:val="28"/>
          <w:highlight w:val="none"/>
        </w:rPr>
      </w:pPr>
    </w:p>
    <w:p w14:paraId="46368A00">
      <w:pPr>
        <w:spacing w:line="360" w:lineRule="auto"/>
        <w:jc w:val="center"/>
        <w:rPr>
          <w:rFonts w:hint="eastAsia" w:ascii="宋体" w:hAnsi="宋体" w:eastAsia="宋体" w:cs="Times New Roman"/>
          <w:color w:val="auto"/>
          <w:sz w:val="28"/>
          <w:szCs w:val="28"/>
          <w:highlight w:val="none"/>
        </w:rPr>
      </w:pPr>
    </w:p>
    <w:p w14:paraId="35590CA0">
      <w:pPr>
        <w:pStyle w:val="3"/>
        <w:spacing w:before="0" w:after="0" w:line="360" w:lineRule="auto"/>
        <w:jc w:val="center"/>
        <w:rPr>
          <w:rFonts w:hint="eastAsia" w:ascii="宋体" w:hAnsi="宋体" w:eastAsia="宋体" w:cs="Times New Roman"/>
          <w:b w:val="0"/>
          <w:bCs w:val="0"/>
          <w:color w:val="auto"/>
          <w:sz w:val="36"/>
          <w:szCs w:val="36"/>
          <w:highlight w:val="none"/>
        </w:rPr>
      </w:pPr>
      <w:bookmarkStart w:id="615" w:name="_Toc164432960"/>
      <w:r>
        <w:rPr>
          <w:rFonts w:hint="eastAsia" w:ascii="宋体" w:hAnsi="宋体" w:eastAsia="宋体" w:cs="Times New Roman"/>
          <w:color w:val="auto"/>
          <w:sz w:val="36"/>
          <w:szCs w:val="36"/>
          <w:highlight w:val="none"/>
        </w:rPr>
        <w:t>资格审查部分</w:t>
      </w:r>
      <w:bookmarkEnd w:id="615"/>
      <w:r>
        <w:rPr>
          <w:rFonts w:asciiTheme="minorEastAsia" w:hAnsiTheme="minorEastAsia"/>
          <w:color w:val="auto"/>
          <w:highlight w:val="none"/>
        </w:rPr>
        <w:br w:type="page"/>
      </w:r>
    </w:p>
    <w:p w14:paraId="34461BCF">
      <w:pPr>
        <w:spacing w:line="360" w:lineRule="auto"/>
        <w:jc w:val="center"/>
        <w:rPr>
          <w:rFonts w:hint="eastAsia" w:ascii="宋体" w:hAnsi="宋体" w:eastAsia="宋体" w:cs="Times New Roman"/>
          <w:color w:val="auto"/>
          <w:highlight w:val="none"/>
        </w:rPr>
      </w:pPr>
      <w:bookmarkStart w:id="616" w:name="_Hlk167979256"/>
      <w:r>
        <w:rPr>
          <w:rFonts w:hint="eastAsia" w:ascii="宋体" w:hAnsi="宋体" w:eastAsia="宋体" w:cs="宋体"/>
          <w:color w:val="auto"/>
          <w:highlight w:val="none"/>
        </w:rPr>
        <w:t>（一）投标人基本情况表</w:t>
      </w:r>
    </w:p>
    <w:tbl>
      <w:tblPr>
        <w:tblStyle w:val="39"/>
        <w:tblW w:w="951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992"/>
        <w:gridCol w:w="2693"/>
        <w:gridCol w:w="1151"/>
        <w:gridCol w:w="2698"/>
      </w:tblGrid>
      <w:tr w14:paraId="5669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00A5AB32">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投标人名称</w:t>
            </w:r>
          </w:p>
        </w:tc>
        <w:tc>
          <w:tcPr>
            <w:tcW w:w="7534" w:type="dxa"/>
            <w:gridSpan w:val="4"/>
          </w:tcPr>
          <w:p w14:paraId="6EA54C37">
            <w:pPr>
              <w:spacing w:before="120" w:beforeLines="50" w:line="360" w:lineRule="auto"/>
              <w:jc w:val="center"/>
              <w:rPr>
                <w:rFonts w:hint="eastAsia" w:ascii="宋体" w:hAnsi="宋体" w:eastAsia="宋体" w:cs="Times New Roman"/>
                <w:color w:val="auto"/>
                <w:highlight w:val="none"/>
              </w:rPr>
            </w:pPr>
          </w:p>
        </w:tc>
      </w:tr>
      <w:tr w14:paraId="064B4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364B95B5">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注册地址</w:t>
            </w:r>
          </w:p>
        </w:tc>
        <w:tc>
          <w:tcPr>
            <w:tcW w:w="3685" w:type="dxa"/>
            <w:gridSpan w:val="2"/>
            <w:vAlign w:val="center"/>
          </w:tcPr>
          <w:p w14:paraId="0CBAFECC">
            <w:pPr>
              <w:spacing w:before="120" w:beforeLines="50" w:line="360" w:lineRule="auto"/>
              <w:jc w:val="center"/>
              <w:rPr>
                <w:rFonts w:hint="eastAsia" w:ascii="宋体" w:hAnsi="宋体" w:eastAsia="宋体" w:cs="Times New Roman"/>
                <w:color w:val="auto"/>
                <w:highlight w:val="none"/>
              </w:rPr>
            </w:pPr>
          </w:p>
        </w:tc>
        <w:tc>
          <w:tcPr>
            <w:tcW w:w="1151" w:type="dxa"/>
            <w:vAlign w:val="center"/>
          </w:tcPr>
          <w:p w14:paraId="7CCD9ADE">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邮政编码</w:t>
            </w:r>
          </w:p>
        </w:tc>
        <w:tc>
          <w:tcPr>
            <w:tcW w:w="2698" w:type="dxa"/>
            <w:vAlign w:val="center"/>
          </w:tcPr>
          <w:p w14:paraId="76BB30C7">
            <w:pPr>
              <w:spacing w:before="120" w:beforeLines="50" w:line="360" w:lineRule="auto"/>
              <w:jc w:val="center"/>
              <w:rPr>
                <w:rFonts w:hint="eastAsia" w:ascii="宋体" w:hAnsi="宋体" w:eastAsia="宋体" w:cs="Times New Roman"/>
                <w:color w:val="auto"/>
                <w:highlight w:val="none"/>
              </w:rPr>
            </w:pPr>
          </w:p>
        </w:tc>
      </w:tr>
      <w:tr w14:paraId="32D2F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restart"/>
            <w:vAlign w:val="center"/>
          </w:tcPr>
          <w:p w14:paraId="10B5CEB7">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联系方式</w:t>
            </w:r>
          </w:p>
        </w:tc>
        <w:tc>
          <w:tcPr>
            <w:tcW w:w="992" w:type="dxa"/>
            <w:vAlign w:val="center"/>
          </w:tcPr>
          <w:p w14:paraId="29C7F116">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联系人</w:t>
            </w:r>
          </w:p>
        </w:tc>
        <w:tc>
          <w:tcPr>
            <w:tcW w:w="2693" w:type="dxa"/>
            <w:vAlign w:val="center"/>
          </w:tcPr>
          <w:p w14:paraId="7678B214">
            <w:pPr>
              <w:spacing w:before="120" w:beforeLines="50" w:line="360" w:lineRule="auto"/>
              <w:jc w:val="center"/>
              <w:rPr>
                <w:rFonts w:hint="eastAsia" w:ascii="宋体" w:hAnsi="宋体" w:eastAsia="宋体" w:cs="Times New Roman"/>
                <w:color w:val="auto"/>
                <w:highlight w:val="none"/>
              </w:rPr>
            </w:pPr>
          </w:p>
        </w:tc>
        <w:tc>
          <w:tcPr>
            <w:tcW w:w="1151" w:type="dxa"/>
            <w:vAlign w:val="center"/>
          </w:tcPr>
          <w:p w14:paraId="0F54A859">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电话</w:t>
            </w:r>
          </w:p>
        </w:tc>
        <w:tc>
          <w:tcPr>
            <w:tcW w:w="2698" w:type="dxa"/>
            <w:vAlign w:val="center"/>
          </w:tcPr>
          <w:p w14:paraId="3DCB1435">
            <w:pPr>
              <w:spacing w:before="120" w:beforeLines="50" w:line="360" w:lineRule="auto"/>
              <w:jc w:val="center"/>
              <w:rPr>
                <w:rFonts w:hint="eastAsia" w:ascii="宋体" w:hAnsi="宋体" w:eastAsia="宋体" w:cs="Times New Roman"/>
                <w:color w:val="auto"/>
                <w:highlight w:val="none"/>
              </w:rPr>
            </w:pPr>
          </w:p>
        </w:tc>
      </w:tr>
      <w:tr w14:paraId="74D3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Merge w:val="continue"/>
            <w:vAlign w:val="center"/>
          </w:tcPr>
          <w:p w14:paraId="63A997E7">
            <w:pPr>
              <w:spacing w:before="120" w:beforeLines="50" w:line="360" w:lineRule="auto"/>
              <w:jc w:val="center"/>
              <w:rPr>
                <w:rFonts w:hint="eastAsia" w:ascii="宋体" w:hAnsi="宋体" w:eastAsia="宋体" w:cs="Times New Roman"/>
                <w:color w:val="auto"/>
                <w:highlight w:val="none"/>
              </w:rPr>
            </w:pPr>
          </w:p>
        </w:tc>
        <w:tc>
          <w:tcPr>
            <w:tcW w:w="992" w:type="dxa"/>
            <w:vAlign w:val="center"/>
          </w:tcPr>
          <w:p w14:paraId="7C355321">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传真</w:t>
            </w:r>
          </w:p>
        </w:tc>
        <w:tc>
          <w:tcPr>
            <w:tcW w:w="2693" w:type="dxa"/>
            <w:vAlign w:val="center"/>
          </w:tcPr>
          <w:p w14:paraId="24C30D81">
            <w:pPr>
              <w:spacing w:before="120" w:beforeLines="50" w:line="360" w:lineRule="auto"/>
              <w:jc w:val="center"/>
              <w:rPr>
                <w:rFonts w:hint="eastAsia" w:ascii="宋体" w:hAnsi="宋体" w:eastAsia="宋体" w:cs="Times New Roman"/>
                <w:color w:val="auto"/>
                <w:highlight w:val="none"/>
              </w:rPr>
            </w:pPr>
          </w:p>
        </w:tc>
        <w:tc>
          <w:tcPr>
            <w:tcW w:w="1151" w:type="dxa"/>
            <w:vAlign w:val="center"/>
          </w:tcPr>
          <w:p w14:paraId="69E9D2B8">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网址</w:t>
            </w:r>
          </w:p>
        </w:tc>
        <w:tc>
          <w:tcPr>
            <w:tcW w:w="2698" w:type="dxa"/>
            <w:vAlign w:val="center"/>
          </w:tcPr>
          <w:p w14:paraId="4A45DA46">
            <w:pPr>
              <w:spacing w:before="120" w:beforeLines="50" w:line="360" w:lineRule="auto"/>
              <w:jc w:val="center"/>
              <w:rPr>
                <w:rFonts w:hint="eastAsia" w:ascii="宋体" w:hAnsi="宋体" w:eastAsia="宋体" w:cs="Times New Roman"/>
                <w:color w:val="auto"/>
                <w:highlight w:val="none"/>
              </w:rPr>
            </w:pPr>
          </w:p>
        </w:tc>
      </w:tr>
      <w:tr w14:paraId="1CEA5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72A7A957">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法定代表人</w:t>
            </w:r>
          </w:p>
        </w:tc>
        <w:tc>
          <w:tcPr>
            <w:tcW w:w="992" w:type="dxa"/>
            <w:vAlign w:val="center"/>
          </w:tcPr>
          <w:p w14:paraId="25185556">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姓名</w:t>
            </w:r>
          </w:p>
        </w:tc>
        <w:tc>
          <w:tcPr>
            <w:tcW w:w="2693" w:type="dxa"/>
            <w:vAlign w:val="center"/>
          </w:tcPr>
          <w:p w14:paraId="318E78EB">
            <w:pPr>
              <w:spacing w:before="120" w:beforeLines="50" w:line="360" w:lineRule="auto"/>
              <w:jc w:val="center"/>
              <w:rPr>
                <w:rFonts w:hint="eastAsia" w:ascii="宋体" w:hAnsi="宋体" w:eastAsia="宋体" w:cs="Times New Roman"/>
                <w:color w:val="auto"/>
                <w:highlight w:val="none"/>
              </w:rPr>
            </w:pPr>
          </w:p>
        </w:tc>
        <w:tc>
          <w:tcPr>
            <w:tcW w:w="1151" w:type="dxa"/>
            <w:vAlign w:val="center"/>
          </w:tcPr>
          <w:p w14:paraId="41C19D72">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电话</w:t>
            </w:r>
          </w:p>
        </w:tc>
        <w:tc>
          <w:tcPr>
            <w:tcW w:w="2698" w:type="dxa"/>
            <w:vAlign w:val="center"/>
          </w:tcPr>
          <w:p w14:paraId="3BC20298">
            <w:pPr>
              <w:spacing w:before="120" w:beforeLines="50" w:line="360" w:lineRule="auto"/>
              <w:jc w:val="center"/>
              <w:rPr>
                <w:rFonts w:hint="eastAsia" w:ascii="宋体" w:hAnsi="宋体" w:eastAsia="宋体" w:cs="Times New Roman"/>
                <w:color w:val="auto"/>
                <w:highlight w:val="none"/>
              </w:rPr>
            </w:pPr>
          </w:p>
        </w:tc>
      </w:tr>
      <w:tr w14:paraId="668C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64DC89D2">
            <w:pPr>
              <w:jc w:val="center"/>
              <w:rPr>
                <w:rFonts w:hint="eastAsia" w:ascii="宋体" w:hAnsi="宋体" w:eastAsia="宋体" w:cs="Times New Roman"/>
                <w:color w:val="auto"/>
                <w:highlight w:val="none"/>
              </w:rPr>
            </w:pPr>
            <w:r>
              <w:rPr>
                <w:rFonts w:hint="eastAsia" w:ascii="宋体" w:hAnsi="宋体" w:eastAsia="宋体" w:cs="宋体"/>
                <w:color w:val="auto"/>
                <w:highlight w:val="none"/>
              </w:rPr>
              <w:t>质量管理体系证书</w:t>
            </w:r>
          </w:p>
          <w:p w14:paraId="7BA018D9">
            <w:pPr>
              <w:jc w:val="center"/>
              <w:rPr>
                <w:rFonts w:hint="eastAsia" w:ascii="宋体" w:hAnsi="宋体" w:eastAsia="宋体" w:cs="Times New Roman"/>
                <w:color w:val="auto"/>
                <w:highlight w:val="none"/>
              </w:rPr>
            </w:pPr>
            <w:r>
              <w:rPr>
                <w:rFonts w:hint="eastAsia" w:ascii="宋体" w:hAnsi="宋体" w:eastAsia="宋体" w:cs="宋体"/>
                <w:color w:val="auto"/>
                <w:highlight w:val="none"/>
              </w:rPr>
              <w:t>（如有）</w:t>
            </w:r>
          </w:p>
        </w:tc>
        <w:tc>
          <w:tcPr>
            <w:tcW w:w="7534" w:type="dxa"/>
            <w:gridSpan w:val="4"/>
            <w:vAlign w:val="center"/>
          </w:tcPr>
          <w:p w14:paraId="47E63BAF">
            <w:pPr>
              <w:spacing w:before="120" w:beforeLines="50" w:line="360" w:lineRule="auto"/>
              <w:jc w:val="left"/>
              <w:rPr>
                <w:rFonts w:hint="eastAsia" w:ascii="宋体" w:hAnsi="宋体" w:eastAsia="宋体" w:cs="Times New Roman"/>
                <w:color w:val="auto"/>
                <w:highlight w:val="none"/>
              </w:rPr>
            </w:pPr>
            <w:r>
              <w:rPr>
                <w:rFonts w:hint="eastAsia" w:ascii="宋体" w:hAnsi="宋体" w:eastAsia="宋体" w:cs="宋体"/>
                <w:color w:val="auto"/>
                <w:highlight w:val="none"/>
              </w:rPr>
              <w:t>类型：                    等级：                  证书号：</w:t>
            </w:r>
          </w:p>
        </w:tc>
      </w:tr>
      <w:tr w14:paraId="7F77E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3A708BC8">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统一社会信用代码</w:t>
            </w:r>
          </w:p>
        </w:tc>
        <w:tc>
          <w:tcPr>
            <w:tcW w:w="7534" w:type="dxa"/>
            <w:gridSpan w:val="4"/>
            <w:vAlign w:val="center"/>
          </w:tcPr>
          <w:p w14:paraId="0AAF3B05">
            <w:pPr>
              <w:spacing w:before="120" w:beforeLines="50" w:line="360" w:lineRule="auto"/>
              <w:jc w:val="center"/>
              <w:rPr>
                <w:rFonts w:hint="eastAsia" w:ascii="宋体" w:hAnsi="宋体" w:eastAsia="宋体" w:cs="Times New Roman"/>
                <w:color w:val="auto"/>
                <w:highlight w:val="none"/>
              </w:rPr>
            </w:pPr>
          </w:p>
        </w:tc>
      </w:tr>
      <w:tr w14:paraId="7626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36E33564">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注册资本</w:t>
            </w:r>
          </w:p>
        </w:tc>
        <w:tc>
          <w:tcPr>
            <w:tcW w:w="7534" w:type="dxa"/>
            <w:gridSpan w:val="4"/>
            <w:vAlign w:val="center"/>
          </w:tcPr>
          <w:p w14:paraId="45840E53">
            <w:pPr>
              <w:spacing w:before="120" w:beforeLines="50" w:line="360" w:lineRule="auto"/>
              <w:jc w:val="center"/>
              <w:rPr>
                <w:rFonts w:hint="eastAsia" w:ascii="宋体" w:hAnsi="宋体" w:eastAsia="宋体" w:cs="Times New Roman"/>
                <w:color w:val="auto"/>
                <w:highlight w:val="none"/>
              </w:rPr>
            </w:pPr>
          </w:p>
        </w:tc>
      </w:tr>
      <w:tr w14:paraId="7B3D2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3B45AD8A">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成立日期</w:t>
            </w:r>
          </w:p>
        </w:tc>
        <w:tc>
          <w:tcPr>
            <w:tcW w:w="7534" w:type="dxa"/>
            <w:gridSpan w:val="4"/>
            <w:vAlign w:val="center"/>
          </w:tcPr>
          <w:p w14:paraId="7B1F4F96">
            <w:pPr>
              <w:spacing w:before="120" w:beforeLines="50" w:line="360" w:lineRule="auto"/>
              <w:jc w:val="center"/>
              <w:rPr>
                <w:rFonts w:hint="eastAsia" w:ascii="宋体" w:hAnsi="宋体" w:eastAsia="宋体" w:cs="Times New Roman"/>
                <w:color w:val="auto"/>
                <w:highlight w:val="none"/>
              </w:rPr>
            </w:pPr>
          </w:p>
        </w:tc>
      </w:tr>
      <w:tr w14:paraId="5F12D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73068EE4">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基本存款账户信息</w:t>
            </w:r>
          </w:p>
        </w:tc>
        <w:tc>
          <w:tcPr>
            <w:tcW w:w="7534" w:type="dxa"/>
            <w:gridSpan w:val="4"/>
            <w:vAlign w:val="center"/>
          </w:tcPr>
          <w:p w14:paraId="5DA4B93D">
            <w:pPr>
              <w:spacing w:before="120" w:beforeLines="50" w:line="360" w:lineRule="auto"/>
              <w:jc w:val="left"/>
              <w:rPr>
                <w:rFonts w:hint="eastAsia" w:ascii="宋体" w:hAnsi="宋体" w:eastAsia="宋体" w:cs="Times New Roman"/>
                <w:color w:val="auto"/>
                <w:highlight w:val="none"/>
              </w:rPr>
            </w:pPr>
            <w:r>
              <w:rPr>
                <w:rFonts w:hint="eastAsia" w:ascii="宋体" w:hAnsi="宋体" w:eastAsia="宋体" w:cs="宋体"/>
                <w:color w:val="auto"/>
                <w:highlight w:val="none"/>
              </w:rPr>
              <w:t>开户银行：</w:t>
            </w:r>
          </w:p>
          <w:p w14:paraId="13632F1B">
            <w:pPr>
              <w:spacing w:before="120" w:beforeLines="50" w:line="360" w:lineRule="auto"/>
              <w:jc w:val="left"/>
              <w:rPr>
                <w:rFonts w:hint="eastAsia" w:ascii="宋体" w:hAnsi="宋体" w:eastAsia="宋体" w:cs="Times New Roman"/>
                <w:color w:val="auto"/>
                <w:highlight w:val="none"/>
              </w:rPr>
            </w:pPr>
            <w:r>
              <w:rPr>
                <w:rFonts w:hint="eastAsia" w:ascii="宋体" w:hAnsi="宋体" w:eastAsia="宋体" w:cs="宋体"/>
                <w:color w:val="auto"/>
                <w:highlight w:val="none"/>
              </w:rPr>
              <w:t>开户账号：</w:t>
            </w:r>
          </w:p>
        </w:tc>
      </w:tr>
      <w:tr w14:paraId="652A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1980" w:type="dxa"/>
            <w:vAlign w:val="center"/>
          </w:tcPr>
          <w:p w14:paraId="7211158E">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经营范围</w:t>
            </w:r>
          </w:p>
        </w:tc>
        <w:tc>
          <w:tcPr>
            <w:tcW w:w="7534" w:type="dxa"/>
            <w:gridSpan w:val="4"/>
            <w:vAlign w:val="center"/>
          </w:tcPr>
          <w:p w14:paraId="1474F00F">
            <w:pPr>
              <w:spacing w:before="120" w:beforeLines="50" w:line="360" w:lineRule="auto"/>
              <w:jc w:val="left"/>
              <w:rPr>
                <w:rFonts w:hint="eastAsia" w:ascii="宋体" w:hAnsi="宋体" w:eastAsia="宋体" w:cs="Times New Roman"/>
                <w:color w:val="auto"/>
                <w:highlight w:val="none"/>
              </w:rPr>
            </w:pPr>
          </w:p>
        </w:tc>
      </w:tr>
      <w:tr w14:paraId="4EA13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0" w:type="dxa"/>
            <w:vAlign w:val="center"/>
          </w:tcPr>
          <w:p w14:paraId="1EE094DF">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备注</w:t>
            </w:r>
          </w:p>
        </w:tc>
        <w:tc>
          <w:tcPr>
            <w:tcW w:w="7534" w:type="dxa"/>
            <w:gridSpan w:val="4"/>
            <w:vAlign w:val="center"/>
          </w:tcPr>
          <w:p w14:paraId="28BBFB37">
            <w:pPr>
              <w:spacing w:before="120" w:beforeLines="50" w:line="360" w:lineRule="auto"/>
              <w:jc w:val="left"/>
              <w:rPr>
                <w:rFonts w:hint="eastAsia" w:ascii="宋体" w:hAnsi="宋体" w:eastAsia="宋体" w:cs="Times New Roman"/>
                <w:color w:val="auto"/>
                <w:highlight w:val="none"/>
              </w:rPr>
            </w:pPr>
          </w:p>
        </w:tc>
      </w:tr>
    </w:tbl>
    <w:p w14:paraId="1A9729F1">
      <w:p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注：本表后附相关证明材料。</w:t>
      </w:r>
    </w:p>
    <w:p w14:paraId="3430B2F5">
      <w:pPr>
        <w:spacing w:line="360" w:lineRule="auto"/>
        <w:jc w:val="center"/>
        <w:rPr>
          <w:rFonts w:hint="eastAsia" w:ascii="宋体" w:hAnsi="宋体" w:eastAsia="宋体" w:cs="Times New Roman"/>
          <w:color w:val="auto"/>
          <w:highlight w:val="none"/>
        </w:rPr>
      </w:pPr>
      <w:r>
        <w:rPr>
          <w:rFonts w:ascii="宋体" w:hAnsi="宋体" w:eastAsia="宋体" w:cs="Times New Roman"/>
          <w:color w:val="auto"/>
          <w:highlight w:val="none"/>
        </w:rPr>
        <w:br w:type="page"/>
      </w:r>
      <w:r>
        <w:rPr>
          <w:rFonts w:hint="eastAsia" w:ascii="宋体" w:hAnsi="宋体" w:eastAsia="宋体" w:cs="Times New Roman"/>
          <w:color w:val="auto"/>
          <w:highlight w:val="none"/>
        </w:rPr>
        <w:t>（二）</w:t>
      </w:r>
      <w:bookmarkStart w:id="617" w:name="_Hlk137906848"/>
      <w:r>
        <w:rPr>
          <w:rFonts w:hint="eastAsia" w:ascii="宋体" w:hAnsi="宋体" w:eastAsia="宋体" w:cs="Times New Roman"/>
          <w:color w:val="auto"/>
          <w:highlight w:val="none"/>
        </w:rPr>
        <w:t>投标人资格声明书</w:t>
      </w:r>
      <w:bookmarkEnd w:id="617"/>
    </w:p>
    <w:p w14:paraId="4B4E2184">
      <w:pPr>
        <w:spacing w:line="360" w:lineRule="auto"/>
        <w:jc w:val="center"/>
        <w:rPr>
          <w:rFonts w:hint="eastAsia" w:ascii="宋体" w:hAnsi="宋体" w:eastAsia="宋体" w:cs="Times New Roman"/>
          <w:color w:val="auto"/>
          <w:highlight w:val="none"/>
        </w:rPr>
      </w:pPr>
    </w:p>
    <w:p w14:paraId="0F68ADDB">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3DE2696D">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在参与本次项目投标中，我单位承诺：</w:t>
      </w:r>
    </w:p>
    <w:p w14:paraId="31F33D49">
      <w:pPr>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1.具有良好的商业信誉和健全的财务会计制度；</w:t>
      </w:r>
    </w:p>
    <w:p w14:paraId="5B82E652">
      <w:pPr>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2.具有履行合同所必需的设备和专业技术能力；</w:t>
      </w:r>
    </w:p>
    <w:p w14:paraId="47CAB899">
      <w:pPr>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3.有依法缴纳税收和社会保障资金的良好记录；</w:t>
      </w:r>
    </w:p>
    <w:p w14:paraId="47189322">
      <w:pPr>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4.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4D1591E">
      <w:pPr>
        <w:wordWrap w:val="0"/>
        <w:spacing w:line="360" w:lineRule="auto"/>
        <w:ind w:firstLine="420" w:firstLineChars="200"/>
        <w:rPr>
          <w:rFonts w:hint="eastAsia" w:ascii="宋体" w:hAnsi="宋体" w:eastAsia="宋体" w:cs="宋体"/>
          <w:color w:val="auto"/>
          <w:highlight w:val="none"/>
        </w:rPr>
      </w:pPr>
      <w:r>
        <w:rPr>
          <w:rFonts w:ascii="宋体" w:hAnsi="宋体" w:eastAsia="宋体" w:cs="宋体"/>
          <w:color w:val="auto"/>
          <w:highlight w:val="none"/>
        </w:rPr>
        <w:t>5.</w:t>
      </w:r>
      <w:r>
        <w:rPr>
          <w:rFonts w:hint="eastAsia"/>
          <w:color w:val="auto"/>
          <w:highlight w:val="none"/>
        </w:rPr>
        <w:t xml:space="preserve"> </w:t>
      </w:r>
      <w:r>
        <w:rPr>
          <w:rFonts w:hint="eastAsia" w:ascii="宋体" w:hAnsi="宋体" w:eastAsia="宋体" w:cs="宋体"/>
          <w:color w:val="auto"/>
          <w:highlight w:val="none"/>
        </w:rPr>
        <w:t>我单位在递交投标文件截止时间前未被列入“信用中国”网站</w:t>
      </w:r>
      <w:r>
        <w:rPr>
          <w:rFonts w:ascii="宋体" w:hAnsi="宋体" w:eastAsia="宋体" w:cs="宋体"/>
          <w:color w:val="auto"/>
          <w:highlight w:val="none"/>
        </w:rPr>
        <w:t>(www.creditchina.gov.cn)失信被执行人、重大税收违法案件当事人名单，中国政府采购网(www.ccgp.gov.cn) 政府采购严重违法失信行为记录名单。</w:t>
      </w:r>
    </w:p>
    <w:p w14:paraId="3E549E9A">
      <w:pPr>
        <w:wordWrap w:val="0"/>
        <w:spacing w:line="360" w:lineRule="auto"/>
        <w:ind w:firstLine="420" w:firstLineChars="200"/>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6</w:t>
      </w:r>
      <w:r>
        <w:rPr>
          <w:rFonts w:ascii="宋体" w:hAnsi="宋体" w:eastAsia="宋体" w:cs="Times New Roman"/>
          <w:color w:val="auto"/>
          <w:szCs w:val="22"/>
          <w:highlight w:val="none"/>
        </w:rPr>
        <w:t>.</w:t>
      </w:r>
      <w:r>
        <w:rPr>
          <w:rFonts w:hint="eastAsia" w:ascii="宋体" w:hAnsi="宋体" w:eastAsia="宋体" w:cs="Times New Roman"/>
          <w:color w:val="auto"/>
          <w:szCs w:val="22"/>
          <w:highlight w:val="none"/>
        </w:rPr>
        <w:t>我单位不存在下列情形之一：</w:t>
      </w:r>
    </w:p>
    <w:p w14:paraId="4F555775">
      <w:pPr>
        <w:spacing w:line="360" w:lineRule="auto"/>
        <w:ind w:firstLine="420" w:firstLineChars="200"/>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（1）</w:t>
      </w:r>
      <w:r>
        <w:rPr>
          <w:rFonts w:ascii="宋体" w:hAnsi="宋体" w:eastAsia="宋体" w:cs="Times New Roman"/>
          <w:color w:val="auto"/>
          <w:szCs w:val="22"/>
          <w:highlight w:val="none"/>
        </w:rPr>
        <w:t>被暂停、取消投标或禁止参加采购活动且处于有效期内的；</w:t>
      </w:r>
    </w:p>
    <w:p w14:paraId="1808F15B">
      <w:pPr>
        <w:spacing w:line="360" w:lineRule="auto"/>
        <w:ind w:firstLine="420" w:firstLineChars="200"/>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w:t>
      </w:r>
      <w:r>
        <w:rPr>
          <w:rFonts w:ascii="宋体" w:hAnsi="宋体" w:eastAsia="宋体" w:cs="Times New Roman"/>
          <w:color w:val="auto"/>
          <w:szCs w:val="22"/>
          <w:highlight w:val="none"/>
        </w:rPr>
        <w:t>2）处于被责令停产停业、暂扣或者吊销执照、暂扣或者吊销许可证、吊销资质证书状态；</w:t>
      </w:r>
    </w:p>
    <w:p w14:paraId="2A1FFF56">
      <w:pPr>
        <w:spacing w:line="360" w:lineRule="auto"/>
        <w:ind w:firstLine="420" w:firstLineChars="200"/>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w:t>
      </w:r>
      <w:r>
        <w:rPr>
          <w:rFonts w:ascii="宋体" w:hAnsi="宋体" w:eastAsia="宋体" w:cs="Times New Roman"/>
          <w:color w:val="auto"/>
          <w:szCs w:val="22"/>
          <w:highlight w:val="none"/>
        </w:rPr>
        <w:t>3）进入清算程序，或被宣告破产，或其他丧失履约能力的情形。</w:t>
      </w:r>
    </w:p>
    <w:p w14:paraId="28934077">
      <w:pPr>
        <w:spacing w:line="360" w:lineRule="auto"/>
        <w:ind w:firstLine="420" w:firstLineChars="200"/>
        <w:rPr>
          <w:rFonts w:hint="eastAsia" w:ascii="宋体" w:hAnsi="宋体" w:eastAsia="宋体" w:cs="Times New Roman"/>
          <w:color w:val="auto"/>
          <w:szCs w:val="22"/>
          <w:highlight w:val="none"/>
        </w:rPr>
      </w:pPr>
      <w:r>
        <w:rPr>
          <w:rFonts w:hint="eastAsia" w:ascii="宋体" w:hAnsi="宋体" w:eastAsia="宋体" w:cs="Times New Roman"/>
          <w:color w:val="auto"/>
          <w:szCs w:val="22"/>
          <w:highlight w:val="none"/>
        </w:rPr>
        <w:t>7</w:t>
      </w:r>
      <w:r>
        <w:rPr>
          <w:rFonts w:ascii="宋体" w:hAnsi="宋体" w:eastAsia="宋体" w:cs="Times New Roman"/>
          <w:color w:val="auto"/>
          <w:szCs w:val="22"/>
          <w:highlight w:val="none"/>
        </w:rPr>
        <w:t>.</w:t>
      </w:r>
      <w:r>
        <w:rPr>
          <w:rFonts w:hint="eastAsia" w:ascii="宋体" w:hAnsi="宋体" w:eastAsia="宋体" w:cs="Times New Roman"/>
          <w:color w:val="auto"/>
          <w:szCs w:val="22"/>
          <w:highlight w:val="none"/>
        </w:rPr>
        <w:t>与我单位存在“单位负责人为同一人或者存在直接控股、管理关系”的其他法人单位信息如下（如有，不论其是否参加同一合同项下的政府采购活动均须填写）：</w:t>
      </w:r>
    </w:p>
    <w:tbl>
      <w:tblPr>
        <w:tblStyle w:val="3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244B2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41CCDE1">
            <w:pPr>
              <w:jc w:val="center"/>
              <w:rPr>
                <w:rFonts w:hint="eastAsia" w:eastAsia="宋体" w:cs="Times New Roman"/>
                <w:color w:val="auto"/>
                <w:szCs w:val="20"/>
                <w:highlight w:val="none"/>
              </w:rPr>
            </w:pPr>
            <w:r>
              <w:rPr>
                <w:rFonts w:eastAsia="宋体" w:cs="Times New Roman"/>
                <w:color w:val="auto"/>
                <w:szCs w:val="20"/>
                <w:highlight w:val="none"/>
              </w:rPr>
              <w:t>序号</w:t>
            </w:r>
          </w:p>
        </w:tc>
        <w:tc>
          <w:tcPr>
            <w:tcW w:w="4574" w:type="dxa"/>
            <w:vAlign w:val="center"/>
          </w:tcPr>
          <w:p w14:paraId="5012F080">
            <w:pPr>
              <w:jc w:val="center"/>
              <w:rPr>
                <w:rFonts w:hint="eastAsia" w:eastAsia="宋体" w:cs="Times New Roman"/>
                <w:color w:val="auto"/>
                <w:szCs w:val="20"/>
                <w:highlight w:val="none"/>
              </w:rPr>
            </w:pPr>
            <w:r>
              <w:rPr>
                <w:rFonts w:eastAsia="宋体" w:cs="Times New Roman"/>
                <w:color w:val="auto"/>
                <w:szCs w:val="20"/>
                <w:highlight w:val="none"/>
              </w:rPr>
              <w:t>单位名称</w:t>
            </w:r>
          </w:p>
        </w:tc>
        <w:tc>
          <w:tcPr>
            <w:tcW w:w="2976" w:type="dxa"/>
            <w:vAlign w:val="center"/>
          </w:tcPr>
          <w:p w14:paraId="01A14E72">
            <w:pPr>
              <w:jc w:val="center"/>
              <w:rPr>
                <w:rFonts w:hint="eastAsia" w:eastAsia="宋体" w:cs="Times New Roman"/>
                <w:color w:val="auto"/>
                <w:szCs w:val="20"/>
                <w:highlight w:val="none"/>
              </w:rPr>
            </w:pPr>
            <w:r>
              <w:rPr>
                <w:rFonts w:eastAsia="宋体" w:cs="Times New Roman"/>
                <w:color w:val="auto"/>
                <w:szCs w:val="20"/>
                <w:highlight w:val="none"/>
              </w:rPr>
              <w:t>相互关系</w:t>
            </w:r>
          </w:p>
        </w:tc>
      </w:tr>
      <w:tr w14:paraId="3432E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30F09ED">
            <w:pPr>
              <w:jc w:val="center"/>
              <w:rPr>
                <w:rFonts w:hint="eastAsia" w:eastAsia="宋体" w:cs="Times New Roman"/>
                <w:color w:val="auto"/>
                <w:szCs w:val="20"/>
                <w:highlight w:val="none"/>
              </w:rPr>
            </w:pPr>
            <w:r>
              <w:rPr>
                <w:rFonts w:eastAsia="宋体" w:cs="Times New Roman"/>
                <w:color w:val="auto"/>
                <w:szCs w:val="20"/>
                <w:highlight w:val="none"/>
              </w:rPr>
              <w:t>1</w:t>
            </w:r>
          </w:p>
        </w:tc>
        <w:tc>
          <w:tcPr>
            <w:tcW w:w="4574" w:type="dxa"/>
            <w:vAlign w:val="center"/>
          </w:tcPr>
          <w:p w14:paraId="22FCC49E">
            <w:pPr>
              <w:jc w:val="center"/>
              <w:rPr>
                <w:rFonts w:hint="eastAsia" w:eastAsia="宋体" w:cs="Times New Roman"/>
                <w:color w:val="auto"/>
                <w:szCs w:val="20"/>
                <w:highlight w:val="none"/>
              </w:rPr>
            </w:pPr>
          </w:p>
        </w:tc>
        <w:tc>
          <w:tcPr>
            <w:tcW w:w="2976" w:type="dxa"/>
            <w:vAlign w:val="center"/>
          </w:tcPr>
          <w:p w14:paraId="560FB8D7">
            <w:pPr>
              <w:jc w:val="center"/>
              <w:rPr>
                <w:rFonts w:hint="eastAsia" w:eastAsia="宋体" w:cs="Times New Roman"/>
                <w:color w:val="auto"/>
                <w:szCs w:val="20"/>
                <w:highlight w:val="none"/>
              </w:rPr>
            </w:pPr>
          </w:p>
        </w:tc>
      </w:tr>
      <w:tr w14:paraId="4B1AB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0205C45">
            <w:pPr>
              <w:jc w:val="center"/>
              <w:rPr>
                <w:rFonts w:hint="eastAsia" w:eastAsia="宋体" w:cs="Times New Roman"/>
                <w:color w:val="auto"/>
                <w:szCs w:val="20"/>
                <w:highlight w:val="none"/>
              </w:rPr>
            </w:pPr>
            <w:r>
              <w:rPr>
                <w:rFonts w:eastAsia="宋体" w:cs="Times New Roman"/>
                <w:color w:val="auto"/>
                <w:szCs w:val="20"/>
                <w:highlight w:val="none"/>
              </w:rPr>
              <w:t>2</w:t>
            </w:r>
          </w:p>
        </w:tc>
        <w:tc>
          <w:tcPr>
            <w:tcW w:w="4574" w:type="dxa"/>
            <w:vAlign w:val="center"/>
          </w:tcPr>
          <w:p w14:paraId="1480854E">
            <w:pPr>
              <w:jc w:val="center"/>
              <w:rPr>
                <w:rFonts w:hint="eastAsia" w:eastAsia="宋体" w:cs="Times New Roman"/>
                <w:color w:val="auto"/>
                <w:szCs w:val="20"/>
                <w:highlight w:val="none"/>
              </w:rPr>
            </w:pPr>
          </w:p>
        </w:tc>
        <w:tc>
          <w:tcPr>
            <w:tcW w:w="2976" w:type="dxa"/>
            <w:vAlign w:val="center"/>
          </w:tcPr>
          <w:p w14:paraId="2186CAB1">
            <w:pPr>
              <w:jc w:val="center"/>
              <w:rPr>
                <w:rFonts w:hint="eastAsia" w:eastAsia="宋体" w:cs="Times New Roman"/>
                <w:color w:val="auto"/>
                <w:szCs w:val="20"/>
                <w:highlight w:val="none"/>
              </w:rPr>
            </w:pPr>
          </w:p>
        </w:tc>
      </w:tr>
      <w:tr w14:paraId="1DDE6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B96DC42">
            <w:pPr>
              <w:jc w:val="center"/>
              <w:rPr>
                <w:rFonts w:hint="eastAsia" w:eastAsia="宋体" w:cs="Times New Roman"/>
                <w:color w:val="auto"/>
                <w:szCs w:val="20"/>
                <w:highlight w:val="none"/>
              </w:rPr>
            </w:pPr>
            <w:r>
              <w:rPr>
                <w:rFonts w:eastAsia="宋体" w:cs="Times New Roman"/>
                <w:color w:val="auto"/>
                <w:szCs w:val="20"/>
                <w:highlight w:val="none"/>
              </w:rPr>
              <w:t>…</w:t>
            </w:r>
          </w:p>
        </w:tc>
        <w:tc>
          <w:tcPr>
            <w:tcW w:w="4574" w:type="dxa"/>
            <w:vAlign w:val="center"/>
          </w:tcPr>
          <w:p w14:paraId="458CBEDF">
            <w:pPr>
              <w:jc w:val="center"/>
              <w:rPr>
                <w:rFonts w:hint="eastAsia" w:eastAsia="宋体" w:cs="Times New Roman"/>
                <w:color w:val="auto"/>
                <w:szCs w:val="20"/>
                <w:highlight w:val="none"/>
              </w:rPr>
            </w:pPr>
          </w:p>
        </w:tc>
        <w:tc>
          <w:tcPr>
            <w:tcW w:w="2976" w:type="dxa"/>
            <w:vAlign w:val="center"/>
          </w:tcPr>
          <w:p w14:paraId="43834442">
            <w:pPr>
              <w:jc w:val="center"/>
              <w:rPr>
                <w:rFonts w:hint="eastAsia" w:eastAsia="宋体" w:cs="Times New Roman"/>
                <w:color w:val="auto"/>
                <w:szCs w:val="20"/>
                <w:highlight w:val="none"/>
              </w:rPr>
            </w:pPr>
          </w:p>
        </w:tc>
      </w:tr>
    </w:tbl>
    <w:p w14:paraId="789EDDA8">
      <w:pPr>
        <w:kinsoku w:val="0"/>
        <w:overflowPunct w:val="0"/>
        <w:adjustRightInd w:val="0"/>
        <w:spacing w:before="6" w:after="60" w:line="360" w:lineRule="atLeast"/>
        <w:ind w:left="63" w:leftChars="30" w:right="63" w:rightChars="30"/>
        <w:jc w:val="left"/>
        <w:textAlignment w:val="baseline"/>
        <w:rPr>
          <w:rFonts w:hint="eastAsia" w:ascii="宋体" w:hAnsi="宋体" w:eastAsia="宋体" w:cs="Times New Roman"/>
          <w:b/>
          <w:bCs/>
          <w:color w:val="auto"/>
          <w:highlight w:val="none"/>
        </w:rPr>
      </w:pPr>
    </w:p>
    <w:p w14:paraId="01AA7005">
      <w:pPr>
        <w:kinsoku w:val="0"/>
        <w:overflowPunct w:val="0"/>
        <w:adjustRightInd w:val="0"/>
        <w:spacing w:after="60" w:line="360" w:lineRule="atLeast"/>
        <w:ind w:left="63" w:leftChars="30" w:right="63" w:rightChars="30" w:firstLine="420" w:firstLineChars="200"/>
        <w:jc w:val="left"/>
        <w:textAlignment w:val="baseline"/>
        <w:rPr>
          <w:rFonts w:hint="eastAsia" w:ascii="宋体" w:hAnsi="宋体" w:eastAsia="宋体" w:cs="Times New Roman"/>
          <w:color w:val="auto"/>
          <w:highlight w:val="none"/>
        </w:rPr>
      </w:pPr>
      <w:r>
        <w:rPr>
          <w:rFonts w:hint="eastAsia" w:ascii="宋体" w:hAnsi="宋体" w:eastAsia="宋体" w:cs="Times New Roman"/>
          <w:color w:val="auto"/>
          <w:highlight w:val="none"/>
        </w:rPr>
        <w:t>上述声明真实有效，否则我方负全部责任。</w:t>
      </w:r>
    </w:p>
    <w:p w14:paraId="02981835">
      <w:pPr>
        <w:kinsoku w:val="0"/>
        <w:overflowPunct w:val="0"/>
        <w:adjustRightInd w:val="0"/>
        <w:spacing w:after="60" w:line="360" w:lineRule="atLeast"/>
        <w:ind w:left="63" w:leftChars="30" w:right="63" w:rightChars="30"/>
        <w:jc w:val="left"/>
        <w:textAlignment w:val="baseline"/>
        <w:rPr>
          <w:rFonts w:hint="eastAsia" w:ascii="宋体" w:hAnsi="宋体" w:eastAsia="宋体" w:cs="Times New Roman"/>
          <w:color w:val="auto"/>
          <w:highlight w:val="none"/>
        </w:rPr>
      </w:pPr>
    </w:p>
    <w:p w14:paraId="1FE55910">
      <w:pPr>
        <w:kinsoku w:val="0"/>
        <w:overflowPunct w:val="0"/>
        <w:adjustRightInd w:val="0"/>
        <w:spacing w:before="4" w:after="60" w:line="360" w:lineRule="atLeast"/>
        <w:ind w:left="63" w:leftChars="30" w:right="63" w:rightChars="30"/>
        <w:jc w:val="left"/>
        <w:textAlignment w:val="baseline"/>
        <w:rPr>
          <w:rFonts w:hint="eastAsia" w:ascii="宋体" w:hAnsi="宋体" w:eastAsia="宋体" w:cs="Times New Roman"/>
          <w:color w:val="auto"/>
          <w:highlight w:val="none"/>
        </w:rPr>
      </w:pPr>
    </w:p>
    <w:p w14:paraId="3C9680F1">
      <w:pPr>
        <w:kinsoku w:val="0"/>
        <w:overflowPunct w:val="0"/>
        <w:adjustRightInd w:val="0"/>
        <w:spacing w:after="60" w:line="360" w:lineRule="atLeast"/>
        <w:ind w:left="63" w:leftChars="30" w:right="63" w:rightChars="30"/>
        <w:jc w:val="right"/>
        <w:textAlignment w:val="baseline"/>
        <w:rPr>
          <w:rFonts w:hint="eastAsia" w:ascii="宋体" w:hAnsi="宋体" w:eastAsia="宋体" w:cs="Times New Roman"/>
          <w:color w:val="auto"/>
          <w:highlight w:val="none"/>
        </w:rPr>
      </w:pPr>
      <w:r>
        <w:rPr>
          <w:rFonts w:hint="eastAsia" w:ascii="宋体" w:hAnsi="宋体" w:eastAsia="宋体"/>
          <w:color w:val="auto"/>
          <w:highlight w:val="none"/>
        </w:rPr>
        <w:t>投 标 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（电子签章）</w:t>
      </w:r>
    </w:p>
    <w:p w14:paraId="74DD7058">
      <w:pPr>
        <w:kinsoku w:val="0"/>
        <w:overflowPunct w:val="0"/>
        <w:adjustRightInd w:val="0"/>
        <w:spacing w:before="182" w:after="60" w:line="362" w:lineRule="auto"/>
        <w:ind w:left="63" w:leftChars="30" w:right="63" w:rightChars="30" w:firstLine="7031"/>
        <w:jc w:val="left"/>
        <w:textAlignment w:val="baseline"/>
        <w:rPr>
          <w:rFonts w:hint="eastAsia" w:ascii="宋体" w:hAnsi="宋体" w:eastAsia="宋体" w:cs="Times New Roman"/>
          <w:color w:val="auto"/>
          <w:spacing w:val="-1"/>
          <w:highlight w:val="none"/>
        </w:rPr>
      </w:pPr>
      <w:r>
        <w:rPr>
          <w:rFonts w:hint="eastAsia" w:ascii="宋体" w:hAnsi="宋体" w:eastAsia="宋体" w:cs="Times New Roman"/>
          <w:color w:val="auto"/>
          <w:spacing w:val="-1"/>
          <w:highlight w:val="none"/>
        </w:rPr>
        <w:t xml:space="preserve">日期： </w:t>
      </w:r>
      <w:r>
        <w:rPr>
          <w:rFonts w:ascii="宋体" w:hAnsi="宋体" w:eastAsia="宋体" w:cs="Times New Roman"/>
          <w:color w:val="auto"/>
          <w:spacing w:val="-1"/>
          <w:highlight w:val="none"/>
        </w:rPr>
        <w:t xml:space="preserve">  </w:t>
      </w:r>
      <w:r>
        <w:rPr>
          <w:rFonts w:hint="eastAsia" w:ascii="宋体" w:hAnsi="宋体" w:eastAsia="宋体" w:cs="Times New Roman"/>
          <w:color w:val="auto"/>
          <w:spacing w:val="-1"/>
          <w:highlight w:val="none"/>
        </w:rPr>
        <w:t xml:space="preserve">年 </w:t>
      </w:r>
      <w:r>
        <w:rPr>
          <w:rFonts w:ascii="宋体" w:hAnsi="宋体" w:eastAsia="宋体" w:cs="Times New Roman"/>
          <w:color w:val="auto"/>
          <w:spacing w:val="-1"/>
          <w:highlight w:val="none"/>
        </w:rPr>
        <w:t xml:space="preserve"> </w:t>
      </w:r>
      <w:r>
        <w:rPr>
          <w:rFonts w:hint="eastAsia" w:ascii="宋体" w:hAnsi="宋体" w:eastAsia="宋体" w:cs="Times New Roman"/>
          <w:color w:val="auto"/>
          <w:spacing w:val="-1"/>
          <w:highlight w:val="none"/>
        </w:rPr>
        <w:t xml:space="preserve">月 </w:t>
      </w:r>
      <w:r>
        <w:rPr>
          <w:rFonts w:ascii="宋体" w:hAnsi="宋体" w:eastAsia="宋体" w:cs="Times New Roman"/>
          <w:color w:val="auto"/>
          <w:spacing w:val="-1"/>
          <w:highlight w:val="none"/>
        </w:rPr>
        <w:t xml:space="preserve">  </w:t>
      </w:r>
      <w:r>
        <w:rPr>
          <w:rFonts w:hint="eastAsia" w:ascii="宋体" w:hAnsi="宋体" w:eastAsia="宋体" w:cs="Times New Roman"/>
          <w:color w:val="auto"/>
          <w:spacing w:val="-1"/>
          <w:highlight w:val="none"/>
        </w:rPr>
        <w:t>日</w:t>
      </w:r>
      <w:r>
        <w:rPr>
          <w:rFonts w:ascii="宋体" w:hAnsi="宋体" w:eastAsia="宋体" w:cs="Times New Roman"/>
          <w:color w:val="auto"/>
          <w:spacing w:val="-1"/>
          <w:highlight w:val="none"/>
        </w:rPr>
        <w:t xml:space="preserve"> </w:t>
      </w:r>
    </w:p>
    <w:bookmarkEnd w:id="616"/>
    <w:p w14:paraId="6E2BD527">
      <w:pPr>
        <w:pStyle w:val="179"/>
        <w:ind w:left="63" w:right="63" w:firstLine="640"/>
        <w:jc w:val="center"/>
        <w:rPr>
          <w:color w:val="auto"/>
          <w:sz w:val="32"/>
          <w:szCs w:val="32"/>
          <w:highlight w:val="none"/>
          <w:lang w:val="en-US"/>
        </w:rPr>
      </w:pPr>
      <w:r>
        <w:rPr>
          <w:rFonts w:eastAsiaTheme="minorHAnsi"/>
          <w:color w:val="auto"/>
          <w:sz w:val="32"/>
          <w:szCs w:val="32"/>
          <w:highlight w:val="none"/>
          <w:lang w:val="en-US"/>
        </w:rPr>
        <w:br w:type="page"/>
      </w:r>
    </w:p>
    <w:p w14:paraId="229D3CAB">
      <w:pPr>
        <w:jc w:val="center"/>
        <w:rPr>
          <w:rFonts w:hint="eastAsia" w:cs="宋体" w:asciiTheme="majorEastAsia" w:hAnsiTheme="majorEastAsia" w:eastAsiaTheme="majorEastAsia"/>
          <w:color w:val="auto"/>
          <w:highlight w:val="none"/>
        </w:rPr>
      </w:pPr>
      <w:r>
        <w:rPr>
          <w:rFonts w:hint="eastAsia" w:ascii="宋体" w:hAnsi="宋体" w:eastAsia="宋体" w:cs="Times New Roman"/>
          <w:color w:val="auto"/>
          <w:highlight w:val="none"/>
        </w:rPr>
        <w:t>（三）</w:t>
      </w:r>
      <w:r>
        <w:rPr>
          <w:rFonts w:hint="eastAsia" w:cs="宋体" w:asciiTheme="majorEastAsia" w:hAnsiTheme="majorEastAsia" w:eastAsiaTheme="majorEastAsia"/>
          <w:color w:val="auto"/>
          <w:highlight w:val="none"/>
        </w:rPr>
        <w:t>项目组成员配备表</w:t>
      </w:r>
    </w:p>
    <w:p w14:paraId="052D3D92">
      <w:pPr>
        <w:pStyle w:val="16"/>
        <w:ind w:left="63" w:right="63"/>
        <w:rPr>
          <w:color w:val="auto"/>
          <w:highlight w:val="none"/>
        </w:rPr>
      </w:pPr>
    </w:p>
    <w:tbl>
      <w:tblPr>
        <w:tblStyle w:val="39"/>
        <w:tblW w:w="91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1200"/>
        <w:gridCol w:w="660"/>
        <w:gridCol w:w="645"/>
        <w:gridCol w:w="690"/>
        <w:gridCol w:w="945"/>
        <w:gridCol w:w="1695"/>
        <w:gridCol w:w="2580"/>
      </w:tblGrid>
      <w:tr w14:paraId="2D4A7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339FCE86">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序号</w:t>
            </w:r>
          </w:p>
        </w:tc>
        <w:tc>
          <w:tcPr>
            <w:tcW w:w="1200" w:type="dxa"/>
            <w:vAlign w:val="center"/>
          </w:tcPr>
          <w:p w14:paraId="14C2C545">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姓名</w:t>
            </w:r>
          </w:p>
        </w:tc>
        <w:tc>
          <w:tcPr>
            <w:tcW w:w="660" w:type="dxa"/>
            <w:vAlign w:val="center"/>
          </w:tcPr>
          <w:p w14:paraId="0F16B2B3">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性别</w:t>
            </w:r>
          </w:p>
        </w:tc>
        <w:tc>
          <w:tcPr>
            <w:tcW w:w="645" w:type="dxa"/>
            <w:vAlign w:val="center"/>
          </w:tcPr>
          <w:p w14:paraId="74D22D34">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年龄</w:t>
            </w:r>
          </w:p>
        </w:tc>
        <w:tc>
          <w:tcPr>
            <w:tcW w:w="690" w:type="dxa"/>
            <w:vAlign w:val="center"/>
          </w:tcPr>
          <w:p w14:paraId="3E1D1C3A">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学历</w:t>
            </w:r>
          </w:p>
        </w:tc>
        <w:tc>
          <w:tcPr>
            <w:tcW w:w="945" w:type="dxa"/>
            <w:vAlign w:val="center"/>
          </w:tcPr>
          <w:p w14:paraId="7DD0AC1E">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专业</w:t>
            </w:r>
          </w:p>
        </w:tc>
        <w:tc>
          <w:tcPr>
            <w:tcW w:w="1695" w:type="dxa"/>
            <w:vAlign w:val="center"/>
          </w:tcPr>
          <w:p w14:paraId="4967ECF0">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技术职称</w:t>
            </w:r>
          </w:p>
        </w:tc>
        <w:tc>
          <w:tcPr>
            <w:tcW w:w="2580" w:type="dxa"/>
            <w:vAlign w:val="center"/>
          </w:tcPr>
          <w:p w14:paraId="32F99EB6">
            <w:pPr>
              <w:spacing w:line="36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在本项目拟任职务或岗位</w:t>
            </w:r>
          </w:p>
        </w:tc>
      </w:tr>
      <w:tr w14:paraId="0659D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1D051092">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66596496">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0E74CD80">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31FC5668">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388BA262">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5FE151D5">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620D361D">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2FE1D94B">
            <w:pPr>
              <w:spacing w:line="440" w:lineRule="exact"/>
              <w:jc w:val="center"/>
              <w:rPr>
                <w:rFonts w:hint="eastAsia" w:cs="宋体" w:asciiTheme="majorEastAsia" w:hAnsiTheme="majorEastAsia" w:eastAsiaTheme="majorEastAsia"/>
                <w:color w:val="auto"/>
                <w:highlight w:val="none"/>
              </w:rPr>
            </w:pPr>
          </w:p>
        </w:tc>
      </w:tr>
      <w:tr w14:paraId="7BB7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3F53413D">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77FA959A">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634A29FB">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2F3977E6">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4AB973BE">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479A1AE9">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7E074325">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77A7CEDC">
            <w:pPr>
              <w:spacing w:line="440" w:lineRule="exact"/>
              <w:jc w:val="center"/>
              <w:rPr>
                <w:rFonts w:hint="eastAsia" w:cs="宋体" w:asciiTheme="majorEastAsia" w:hAnsiTheme="majorEastAsia" w:eastAsiaTheme="majorEastAsia"/>
                <w:color w:val="auto"/>
                <w:highlight w:val="none"/>
              </w:rPr>
            </w:pPr>
          </w:p>
        </w:tc>
      </w:tr>
      <w:tr w14:paraId="6BEE7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5479FE3C">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671B2520">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176C3AF5">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2E1E85EC">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64047C0F">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1B1836AD">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0AF63B8E">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23576C9C">
            <w:pPr>
              <w:spacing w:line="440" w:lineRule="exact"/>
              <w:jc w:val="center"/>
              <w:rPr>
                <w:rFonts w:hint="eastAsia" w:cs="宋体" w:asciiTheme="majorEastAsia" w:hAnsiTheme="majorEastAsia" w:eastAsiaTheme="majorEastAsia"/>
                <w:color w:val="auto"/>
                <w:highlight w:val="none"/>
              </w:rPr>
            </w:pPr>
          </w:p>
        </w:tc>
      </w:tr>
      <w:tr w14:paraId="55F1A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360EB3B8">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6D1174E1">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51BDD02D">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79E832AC">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5BECF901">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2D197368">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446D20AB">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298B0954">
            <w:pPr>
              <w:spacing w:line="440" w:lineRule="exact"/>
              <w:jc w:val="center"/>
              <w:rPr>
                <w:rFonts w:hint="eastAsia" w:cs="宋体" w:asciiTheme="majorEastAsia" w:hAnsiTheme="majorEastAsia" w:eastAsiaTheme="majorEastAsia"/>
                <w:color w:val="auto"/>
                <w:highlight w:val="none"/>
              </w:rPr>
            </w:pPr>
          </w:p>
        </w:tc>
      </w:tr>
      <w:tr w14:paraId="35E12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31B0B94C">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63C16064">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0C9BB69F">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4CB9A084">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084FCEFC">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78C443A7">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1C646105">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51EAC053">
            <w:pPr>
              <w:spacing w:line="440" w:lineRule="exact"/>
              <w:jc w:val="center"/>
              <w:rPr>
                <w:rFonts w:hint="eastAsia" w:cs="宋体" w:asciiTheme="majorEastAsia" w:hAnsiTheme="majorEastAsia" w:eastAsiaTheme="majorEastAsia"/>
                <w:color w:val="auto"/>
                <w:highlight w:val="none"/>
              </w:rPr>
            </w:pPr>
          </w:p>
        </w:tc>
      </w:tr>
      <w:tr w14:paraId="4CFD8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1911DB5D">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5D195075">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2F3071E5">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708E2C6A">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194AD0A0">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6632562D">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3420E433">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6CDF48EC">
            <w:pPr>
              <w:spacing w:line="440" w:lineRule="exact"/>
              <w:jc w:val="center"/>
              <w:rPr>
                <w:rFonts w:hint="eastAsia" w:cs="宋体" w:asciiTheme="majorEastAsia" w:hAnsiTheme="majorEastAsia" w:eastAsiaTheme="majorEastAsia"/>
                <w:color w:val="auto"/>
                <w:highlight w:val="none"/>
              </w:rPr>
            </w:pPr>
          </w:p>
        </w:tc>
      </w:tr>
      <w:tr w14:paraId="4DF8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34758075">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1ACDCDE4">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64605EF2">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60274FD1">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5F2DDFF6">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7DF5D4CD">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5AF1C704">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086CB8C0">
            <w:pPr>
              <w:spacing w:line="440" w:lineRule="exact"/>
              <w:jc w:val="center"/>
              <w:rPr>
                <w:rFonts w:hint="eastAsia" w:cs="宋体" w:asciiTheme="majorEastAsia" w:hAnsiTheme="majorEastAsia" w:eastAsiaTheme="majorEastAsia"/>
                <w:color w:val="auto"/>
                <w:highlight w:val="none"/>
              </w:rPr>
            </w:pPr>
          </w:p>
        </w:tc>
      </w:tr>
      <w:tr w14:paraId="51DB1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4C4DB8DA">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5CB95C0F">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4E0D959F">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7A31DD5C">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66060223">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0F8CF254">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2D392C6D">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056A1603">
            <w:pPr>
              <w:spacing w:line="440" w:lineRule="exact"/>
              <w:jc w:val="center"/>
              <w:rPr>
                <w:rFonts w:hint="eastAsia" w:cs="宋体" w:asciiTheme="majorEastAsia" w:hAnsiTheme="majorEastAsia" w:eastAsiaTheme="majorEastAsia"/>
                <w:color w:val="auto"/>
                <w:highlight w:val="none"/>
              </w:rPr>
            </w:pPr>
          </w:p>
        </w:tc>
      </w:tr>
      <w:tr w14:paraId="6011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5E280B15">
            <w:pPr>
              <w:spacing w:line="440" w:lineRule="exact"/>
              <w:jc w:val="center"/>
              <w:rPr>
                <w:rFonts w:hint="eastAsia" w:cs="宋体" w:asciiTheme="majorEastAsia" w:hAnsiTheme="majorEastAsia" w:eastAsiaTheme="majorEastAsia"/>
                <w:color w:val="auto"/>
                <w:highlight w:val="none"/>
              </w:rPr>
            </w:pPr>
          </w:p>
        </w:tc>
        <w:tc>
          <w:tcPr>
            <w:tcW w:w="1200" w:type="dxa"/>
            <w:vAlign w:val="center"/>
          </w:tcPr>
          <w:p w14:paraId="413DFACC">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01CB399B">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6C6DAC73">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467D9A03">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5B8A3496">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601053FA">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6D7296D4">
            <w:pPr>
              <w:spacing w:line="440" w:lineRule="exact"/>
              <w:jc w:val="center"/>
              <w:rPr>
                <w:rFonts w:hint="eastAsia" w:cs="宋体" w:asciiTheme="majorEastAsia" w:hAnsiTheme="majorEastAsia" w:eastAsiaTheme="majorEastAsia"/>
                <w:color w:val="auto"/>
                <w:highlight w:val="none"/>
              </w:rPr>
            </w:pPr>
          </w:p>
        </w:tc>
      </w:tr>
      <w:tr w14:paraId="27AE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92" w:type="dxa"/>
            <w:vAlign w:val="center"/>
          </w:tcPr>
          <w:p w14:paraId="0D8F583C">
            <w:pPr>
              <w:spacing w:line="440" w:lineRule="exact"/>
              <w:jc w:val="center"/>
              <w:rPr>
                <w:rFonts w:hint="eastAsia" w:cs="宋体" w:asciiTheme="majorEastAsia" w:hAnsiTheme="majorEastAsia" w:eastAsiaTheme="majorEastAsia"/>
                <w:color w:val="auto"/>
                <w:highlight w:val="none"/>
              </w:rPr>
            </w:pPr>
            <w:r>
              <w:rPr>
                <w:rFonts w:hint="eastAsia" w:cs="宋体" w:asciiTheme="majorEastAsia" w:hAnsiTheme="majorEastAsia" w:eastAsiaTheme="majorEastAsia"/>
                <w:color w:val="auto"/>
                <w:highlight w:val="none"/>
              </w:rPr>
              <w:t>...</w:t>
            </w:r>
          </w:p>
        </w:tc>
        <w:tc>
          <w:tcPr>
            <w:tcW w:w="1200" w:type="dxa"/>
            <w:vAlign w:val="center"/>
          </w:tcPr>
          <w:p w14:paraId="4F38ADFE">
            <w:pPr>
              <w:spacing w:line="440" w:lineRule="exact"/>
              <w:jc w:val="center"/>
              <w:rPr>
                <w:rFonts w:hint="eastAsia" w:cs="宋体" w:asciiTheme="majorEastAsia" w:hAnsiTheme="majorEastAsia" w:eastAsiaTheme="majorEastAsia"/>
                <w:color w:val="auto"/>
                <w:highlight w:val="none"/>
              </w:rPr>
            </w:pPr>
          </w:p>
        </w:tc>
        <w:tc>
          <w:tcPr>
            <w:tcW w:w="660" w:type="dxa"/>
            <w:vAlign w:val="center"/>
          </w:tcPr>
          <w:p w14:paraId="4C77CBF4">
            <w:pPr>
              <w:spacing w:line="440" w:lineRule="exact"/>
              <w:jc w:val="center"/>
              <w:rPr>
                <w:rFonts w:hint="eastAsia" w:cs="宋体" w:asciiTheme="majorEastAsia" w:hAnsiTheme="majorEastAsia" w:eastAsiaTheme="majorEastAsia"/>
                <w:color w:val="auto"/>
                <w:highlight w:val="none"/>
              </w:rPr>
            </w:pPr>
          </w:p>
        </w:tc>
        <w:tc>
          <w:tcPr>
            <w:tcW w:w="645" w:type="dxa"/>
            <w:vAlign w:val="center"/>
          </w:tcPr>
          <w:p w14:paraId="2AD831F3">
            <w:pPr>
              <w:spacing w:line="440" w:lineRule="exact"/>
              <w:jc w:val="center"/>
              <w:rPr>
                <w:rFonts w:hint="eastAsia" w:cs="宋体" w:asciiTheme="majorEastAsia" w:hAnsiTheme="majorEastAsia" w:eastAsiaTheme="majorEastAsia"/>
                <w:color w:val="auto"/>
                <w:highlight w:val="none"/>
              </w:rPr>
            </w:pPr>
          </w:p>
        </w:tc>
        <w:tc>
          <w:tcPr>
            <w:tcW w:w="690" w:type="dxa"/>
            <w:vAlign w:val="center"/>
          </w:tcPr>
          <w:p w14:paraId="4300F6BE">
            <w:pPr>
              <w:spacing w:line="440" w:lineRule="exact"/>
              <w:jc w:val="center"/>
              <w:rPr>
                <w:rFonts w:hint="eastAsia" w:cs="宋体" w:asciiTheme="majorEastAsia" w:hAnsiTheme="majorEastAsia" w:eastAsiaTheme="majorEastAsia"/>
                <w:color w:val="auto"/>
                <w:highlight w:val="none"/>
              </w:rPr>
            </w:pPr>
          </w:p>
        </w:tc>
        <w:tc>
          <w:tcPr>
            <w:tcW w:w="945" w:type="dxa"/>
            <w:vAlign w:val="center"/>
          </w:tcPr>
          <w:p w14:paraId="1706AB19">
            <w:pPr>
              <w:spacing w:line="440" w:lineRule="exact"/>
              <w:jc w:val="center"/>
              <w:rPr>
                <w:rFonts w:hint="eastAsia" w:cs="宋体" w:asciiTheme="majorEastAsia" w:hAnsiTheme="majorEastAsia" w:eastAsiaTheme="majorEastAsia"/>
                <w:color w:val="auto"/>
                <w:highlight w:val="none"/>
              </w:rPr>
            </w:pPr>
          </w:p>
        </w:tc>
        <w:tc>
          <w:tcPr>
            <w:tcW w:w="1695" w:type="dxa"/>
            <w:vAlign w:val="center"/>
          </w:tcPr>
          <w:p w14:paraId="75DE89EA">
            <w:pPr>
              <w:spacing w:line="440" w:lineRule="exact"/>
              <w:jc w:val="center"/>
              <w:rPr>
                <w:rFonts w:hint="eastAsia" w:cs="宋体" w:asciiTheme="majorEastAsia" w:hAnsiTheme="majorEastAsia" w:eastAsiaTheme="majorEastAsia"/>
                <w:color w:val="auto"/>
                <w:highlight w:val="none"/>
              </w:rPr>
            </w:pPr>
          </w:p>
        </w:tc>
        <w:tc>
          <w:tcPr>
            <w:tcW w:w="2580" w:type="dxa"/>
            <w:vAlign w:val="center"/>
          </w:tcPr>
          <w:p w14:paraId="755DB9CF">
            <w:pPr>
              <w:spacing w:line="440" w:lineRule="exact"/>
              <w:jc w:val="center"/>
              <w:rPr>
                <w:rFonts w:hint="eastAsia" w:cs="宋体" w:asciiTheme="majorEastAsia" w:hAnsiTheme="majorEastAsia" w:eastAsiaTheme="majorEastAsia"/>
                <w:color w:val="auto"/>
                <w:highlight w:val="none"/>
              </w:rPr>
            </w:pPr>
          </w:p>
        </w:tc>
      </w:tr>
    </w:tbl>
    <w:p w14:paraId="61B2D6C9">
      <w:pPr>
        <w:pStyle w:val="21"/>
        <w:spacing w:line="360" w:lineRule="auto"/>
        <w:ind w:firstLine="2" w:firstLineChars="1"/>
        <w:rPr>
          <w:rFonts w:hint="eastAsia" w:asciiTheme="majorEastAsia" w:hAnsiTheme="majorEastAsia" w:eastAsiaTheme="majorEastAsia"/>
          <w:color w:val="auto"/>
          <w:sz w:val="21"/>
          <w:szCs w:val="21"/>
          <w:highlight w:val="none"/>
        </w:rPr>
      </w:pPr>
    </w:p>
    <w:p w14:paraId="24E6BDAE">
      <w:pPr>
        <w:pStyle w:val="21"/>
        <w:spacing w:line="360" w:lineRule="auto"/>
        <w:ind w:firstLine="2" w:firstLineChars="1"/>
        <w:rPr>
          <w:rFonts w:hint="eastAsia" w:asciiTheme="majorEastAsia" w:hAnsiTheme="majorEastAsia" w:eastAsiaTheme="majorEastAsia"/>
          <w:color w:val="auto"/>
          <w:sz w:val="21"/>
          <w:szCs w:val="21"/>
          <w:highlight w:val="none"/>
        </w:rPr>
      </w:pPr>
    </w:p>
    <w:p w14:paraId="43077BD3">
      <w:pPr>
        <w:pStyle w:val="21"/>
        <w:spacing w:line="360" w:lineRule="auto"/>
        <w:ind w:firstLine="2" w:firstLineChars="1"/>
        <w:rPr>
          <w:rFonts w:hint="default" w:asciiTheme="majorEastAsia" w:hAnsiTheme="majorEastAsia" w:eastAsiaTheme="majorEastAsia"/>
          <w:color w:val="auto"/>
          <w:sz w:val="21"/>
          <w:szCs w:val="21"/>
          <w:highlight w:val="none"/>
          <w:lang w:val="en-US" w:eastAsia="zh-CN"/>
        </w:rPr>
      </w:pPr>
      <w:r>
        <w:rPr>
          <w:rFonts w:hint="eastAsia" w:asciiTheme="majorEastAsia" w:hAnsiTheme="majorEastAsia" w:eastAsiaTheme="majorEastAsia"/>
          <w:color w:val="auto"/>
          <w:sz w:val="21"/>
          <w:szCs w:val="21"/>
          <w:highlight w:val="none"/>
        </w:rPr>
        <w:t>注：投标文件中须提供《项目组成员配备表》及相对应的人员证明材料，人员证明材料为身份证、职称证或专业技术职业资格（资质）证书</w:t>
      </w:r>
      <w:r>
        <w:rPr>
          <w:rFonts w:hint="eastAsia" w:asciiTheme="majorEastAsia" w:hAnsiTheme="majorEastAsia" w:eastAsiaTheme="majorEastAsia"/>
          <w:color w:val="auto"/>
          <w:sz w:val="21"/>
          <w:szCs w:val="21"/>
          <w:highlight w:val="none"/>
          <w:lang w:val="en-US" w:eastAsia="zh-CN"/>
        </w:rPr>
        <w:t>(若有）</w:t>
      </w:r>
    </w:p>
    <w:p w14:paraId="11262FA9">
      <w:pPr>
        <w:pStyle w:val="179"/>
        <w:ind w:left="63" w:right="63" w:firstLine="640"/>
        <w:jc w:val="center"/>
        <w:rPr>
          <w:color w:val="auto"/>
          <w:sz w:val="32"/>
          <w:szCs w:val="32"/>
          <w:highlight w:val="none"/>
          <w:lang w:val="en-US"/>
        </w:rPr>
      </w:pPr>
    </w:p>
    <w:p w14:paraId="00FF305A">
      <w:pPr>
        <w:widowControl/>
        <w:jc w:val="left"/>
        <w:rPr>
          <w:rFonts w:asciiTheme="minorHAnsi" w:hAnsiTheme="minorHAnsi" w:eastAsiaTheme="minorEastAsia" w:cstheme="minorBidi"/>
          <w:color w:val="auto"/>
          <w:sz w:val="32"/>
          <w:szCs w:val="32"/>
          <w:highlight w:val="none"/>
        </w:rPr>
      </w:pPr>
      <w:r>
        <w:rPr>
          <w:color w:val="auto"/>
          <w:sz w:val="32"/>
          <w:szCs w:val="32"/>
          <w:highlight w:val="none"/>
        </w:rPr>
        <w:br w:type="page"/>
      </w:r>
    </w:p>
    <w:p w14:paraId="58EEAAE2">
      <w:pPr>
        <w:pStyle w:val="179"/>
        <w:ind w:left="63" w:right="63" w:firstLine="640"/>
        <w:jc w:val="center"/>
        <w:rPr>
          <w:color w:val="auto"/>
          <w:sz w:val="32"/>
          <w:szCs w:val="32"/>
          <w:highlight w:val="none"/>
          <w:lang w:val="en-US"/>
        </w:rPr>
      </w:pPr>
    </w:p>
    <w:p w14:paraId="571E972A">
      <w:pPr>
        <w:pStyle w:val="179"/>
        <w:ind w:left="63" w:right="63" w:firstLine="640"/>
        <w:jc w:val="center"/>
        <w:rPr>
          <w:color w:val="auto"/>
          <w:sz w:val="32"/>
          <w:szCs w:val="32"/>
          <w:highlight w:val="none"/>
          <w:lang w:val="en-US"/>
        </w:rPr>
      </w:pPr>
    </w:p>
    <w:p w14:paraId="4B99FD40">
      <w:pPr>
        <w:pStyle w:val="179"/>
        <w:ind w:left="63" w:right="63" w:firstLine="640"/>
        <w:jc w:val="center"/>
        <w:rPr>
          <w:color w:val="auto"/>
          <w:sz w:val="32"/>
          <w:szCs w:val="32"/>
          <w:highlight w:val="none"/>
          <w:lang w:val="en-US"/>
        </w:rPr>
      </w:pPr>
    </w:p>
    <w:p w14:paraId="6D9555AA">
      <w:pPr>
        <w:pStyle w:val="179"/>
        <w:ind w:left="63" w:right="63" w:firstLine="640"/>
        <w:jc w:val="center"/>
        <w:rPr>
          <w:color w:val="auto"/>
          <w:sz w:val="32"/>
          <w:szCs w:val="32"/>
          <w:highlight w:val="none"/>
          <w:lang w:val="en-US"/>
        </w:rPr>
      </w:pPr>
    </w:p>
    <w:p w14:paraId="15045DA9">
      <w:pPr>
        <w:pStyle w:val="179"/>
        <w:ind w:left="63" w:right="63" w:firstLine="640"/>
        <w:jc w:val="center"/>
        <w:rPr>
          <w:color w:val="auto"/>
          <w:sz w:val="32"/>
          <w:szCs w:val="32"/>
          <w:highlight w:val="none"/>
          <w:lang w:val="en-US"/>
        </w:rPr>
      </w:pPr>
    </w:p>
    <w:p w14:paraId="6389DC75">
      <w:pPr>
        <w:pStyle w:val="179"/>
        <w:ind w:left="63" w:right="63" w:firstLine="640"/>
        <w:jc w:val="center"/>
        <w:rPr>
          <w:color w:val="auto"/>
          <w:sz w:val="32"/>
          <w:szCs w:val="32"/>
          <w:highlight w:val="none"/>
          <w:lang w:val="en-US"/>
        </w:rPr>
      </w:pPr>
    </w:p>
    <w:p w14:paraId="3ADB59F5">
      <w:pPr>
        <w:pStyle w:val="179"/>
        <w:ind w:left="63" w:right="63" w:firstLine="640"/>
        <w:jc w:val="center"/>
        <w:rPr>
          <w:color w:val="auto"/>
          <w:sz w:val="32"/>
          <w:szCs w:val="32"/>
          <w:highlight w:val="none"/>
          <w:lang w:val="en-US"/>
        </w:rPr>
      </w:pPr>
    </w:p>
    <w:p w14:paraId="0C16E399">
      <w:pPr>
        <w:pStyle w:val="179"/>
        <w:ind w:left="63" w:right="63" w:firstLine="640"/>
        <w:jc w:val="center"/>
        <w:rPr>
          <w:color w:val="auto"/>
          <w:sz w:val="32"/>
          <w:szCs w:val="32"/>
          <w:highlight w:val="none"/>
          <w:lang w:val="en-US"/>
        </w:rPr>
      </w:pPr>
    </w:p>
    <w:p w14:paraId="65262505">
      <w:pPr>
        <w:pStyle w:val="179"/>
        <w:ind w:left="63" w:right="63" w:firstLine="640"/>
        <w:jc w:val="center"/>
        <w:rPr>
          <w:color w:val="auto"/>
          <w:sz w:val="32"/>
          <w:szCs w:val="32"/>
          <w:highlight w:val="none"/>
          <w:lang w:val="en-US"/>
        </w:rPr>
      </w:pPr>
    </w:p>
    <w:p w14:paraId="036712C0">
      <w:pPr>
        <w:pStyle w:val="179"/>
        <w:ind w:left="63" w:right="63" w:firstLine="640"/>
        <w:jc w:val="center"/>
        <w:rPr>
          <w:color w:val="auto"/>
          <w:sz w:val="32"/>
          <w:szCs w:val="32"/>
          <w:highlight w:val="none"/>
          <w:lang w:val="en-US"/>
        </w:rPr>
      </w:pPr>
    </w:p>
    <w:p w14:paraId="244712BD">
      <w:pPr>
        <w:pStyle w:val="179"/>
        <w:ind w:left="63" w:right="63" w:firstLine="640"/>
        <w:jc w:val="center"/>
        <w:rPr>
          <w:color w:val="auto"/>
          <w:sz w:val="32"/>
          <w:szCs w:val="32"/>
          <w:highlight w:val="none"/>
          <w:lang w:val="en-US"/>
        </w:rPr>
      </w:pPr>
    </w:p>
    <w:p w14:paraId="55A69EF8">
      <w:pPr>
        <w:pStyle w:val="179"/>
        <w:ind w:left="63" w:right="63" w:firstLine="640"/>
        <w:jc w:val="center"/>
        <w:rPr>
          <w:rFonts w:eastAsiaTheme="minorHAnsi"/>
          <w:color w:val="auto"/>
          <w:sz w:val="32"/>
          <w:szCs w:val="32"/>
          <w:highlight w:val="none"/>
          <w:lang w:val="en-US"/>
        </w:rPr>
      </w:pPr>
    </w:p>
    <w:p w14:paraId="742D86C7">
      <w:pPr>
        <w:pStyle w:val="179"/>
        <w:ind w:left="63" w:right="63" w:firstLine="640"/>
        <w:jc w:val="center"/>
        <w:rPr>
          <w:rFonts w:eastAsiaTheme="minorHAnsi"/>
          <w:color w:val="auto"/>
          <w:sz w:val="32"/>
          <w:szCs w:val="32"/>
          <w:highlight w:val="none"/>
          <w:lang w:val="en-US"/>
        </w:rPr>
      </w:pPr>
    </w:p>
    <w:p w14:paraId="119875B5">
      <w:pPr>
        <w:pStyle w:val="3"/>
        <w:spacing w:before="0" w:after="0" w:line="360" w:lineRule="auto"/>
        <w:jc w:val="center"/>
        <w:rPr>
          <w:rFonts w:hint="eastAsia" w:ascii="宋体" w:hAnsi="宋体" w:eastAsia="宋体" w:cs="宋体"/>
          <w:color w:val="auto"/>
          <w:sz w:val="21"/>
          <w:szCs w:val="21"/>
          <w:highlight w:val="none"/>
        </w:rPr>
      </w:pPr>
      <w:bookmarkStart w:id="618" w:name="_Toc164432967"/>
      <w:r>
        <w:rPr>
          <w:rFonts w:hint="eastAsia" w:ascii="宋体" w:hAnsi="宋体" w:eastAsia="宋体" w:cs="Times New Roman"/>
          <w:color w:val="auto"/>
          <w:sz w:val="36"/>
          <w:szCs w:val="36"/>
          <w:highlight w:val="none"/>
        </w:rPr>
        <w:t>商务技术部分</w:t>
      </w:r>
      <w:bookmarkEnd w:id="618"/>
      <w:r>
        <w:rPr>
          <w:rFonts w:ascii="宋体" w:hAnsi="宋体" w:eastAsia="宋体" w:cs="宋体"/>
          <w:color w:val="auto"/>
          <w:sz w:val="21"/>
          <w:szCs w:val="21"/>
          <w:highlight w:val="none"/>
        </w:rPr>
        <w:br w:type="page"/>
      </w:r>
    </w:p>
    <w:p w14:paraId="20E86C82">
      <w:pPr>
        <w:pStyle w:val="3"/>
        <w:spacing w:before="0" w:after="0" w:line="360" w:lineRule="auto"/>
        <w:jc w:val="center"/>
        <w:rPr>
          <w:rFonts w:hint="eastAsia" w:ascii="宋体" w:hAnsi="宋体" w:eastAsia="宋体" w:cs="宋体"/>
          <w:color w:val="auto"/>
          <w:sz w:val="24"/>
          <w:szCs w:val="24"/>
          <w:highlight w:val="none"/>
        </w:rPr>
      </w:pPr>
      <w:bookmarkStart w:id="619" w:name="_Toc164432968"/>
      <w:r>
        <w:rPr>
          <w:rFonts w:hint="eastAsia" w:ascii="宋体" w:hAnsi="宋体" w:eastAsia="宋体" w:cs="宋体"/>
          <w:color w:val="auto"/>
          <w:sz w:val="24"/>
          <w:szCs w:val="24"/>
          <w:highlight w:val="none"/>
        </w:rPr>
        <w:t>一、报价一览表</w:t>
      </w:r>
      <w:bookmarkEnd w:id="608"/>
      <w:bookmarkEnd w:id="609"/>
      <w:bookmarkEnd w:id="610"/>
      <w:bookmarkEnd w:id="611"/>
      <w:bookmarkEnd w:id="612"/>
      <w:bookmarkEnd w:id="613"/>
      <w:bookmarkEnd w:id="614"/>
      <w:bookmarkEnd w:id="619"/>
    </w:p>
    <w:p w14:paraId="0F978335">
      <w:pPr>
        <w:spacing w:line="360" w:lineRule="auto"/>
        <w:rPr>
          <w:rFonts w:hint="eastAsia" w:ascii="宋体" w:hAnsi="宋体" w:eastAsia="宋体" w:cs="Times New Roman"/>
          <w:color w:val="auto"/>
          <w:highlight w:val="none"/>
        </w:rPr>
      </w:pPr>
    </w:p>
    <w:p w14:paraId="429142C6">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 xml:space="preserve">项目名称：                   </w:t>
      </w:r>
    </w:p>
    <w:p w14:paraId="59BB7A73">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项目编号：</w:t>
      </w:r>
    </w:p>
    <w:tbl>
      <w:tblPr>
        <w:tblStyle w:val="39"/>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7"/>
        <w:gridCol w:w="5529"/>
      </w:tblGrid>
      <w:tr w14:paraId="33DD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0855636D">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项目</w:t>
            </w:r>
          </w:p>
        </w:tc>
        <w:tc>
          <w:tcPr>
            <w:tcW w:w="5529" w:type="dxa"/>
            <w:vAlign w:val="center"/>
          </w:tcPr>
          <w:p w14:paraId="4ED3F150">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内容</w:t>
            </w:r>
          </w:p>
        </w:tc>
      </w:tr>
      <w:tr w14:paraId="30E67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3397" w:type="dxa"/>
            <w:vAlign w:val="center"/>
          </w:tcPr>
          <w:p w14:paraId="4F542655">
            <w:pPr>
              <w:spacing w:before="120" w:beforeLines="50" w:line="360" w:lineRule="auto"/>
              <w:jc w:val="center"/>
              <w:rPr>
                <w:rFonts w:hint="eastAsia" w:ascii="宋体" w:hAnsi="宋体" w:eastAsia="宋体" w:cs="Times New Roman"/>
                <w:color w:val="auto"/>
                <w:highlight w:val="none"/>
                <w:lang w:eastAsia="zh-CN"/>
              </w:rPr>
            </w:pPr>
            <w:r>
              <w:rPr>
                <w:rFonts w:hint="eastAsia" w:ascii="宋体" w:hAnsi="宋体" w:eastAsia="宋体" w:cs="宋体"/>
                <w:color w:val="auto"/>
                <w:highlight w:val="none"/>
              </w:rPr>
              <w:t>投标报价</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含税价</w:t>
            </w:r>
            <w:r>
              <w:rPr>
                <w:rFonts w:hint="eastAsia" w:ascii="宋体" w:hAnsi="宋体" w:eastAsia="宋体" w:cs="宋体"/>
                <w:color w:val="auto"/>
                <w:highlight w:val="none"/>
                <w:lang w:eastAsia="zh-CN"/>
              </w:rPr>
              <w:t>）</w:t>
            </w:r>
          </w:p>
        </w:tc>
        <w:tc>
          <w:tcPr>
            <w:tcW w:w="5529" w:type="dxa"/>
            <w:vAlign w:val="center"/>
          </w:tcPr>
          <w:p w14:paraId="6A4F5C06">
            <w:pPr>
              <w:spacing w:before="120" w:beforeLines="5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元（大写：       ）；</w:t>
            </w:r>
          </w:p>
          <w:p w14:paraId="018A4786">
            <w:pPr>
              <w:spacing w:before="120" w:beforeLines="50" w:line="360" w:lineRule="auto"/>
              <w:rPr>
                <w:rFonts w:ascii="Times New Roman" w:hAnsi="Times New Roman" w:eastAsia="宋体" w:cs="Times New Roman"/>
                <w:color w:val="auto"/>
                <w:kern w:val="0"/>
                <w:sz w:val="20"/>
                <w:szCs w:val="20"/>
                <w:highlight w:val="none"/>
              </w:rPr>
            </w:pPr>
          </w:p>
        </w:tc>
      </w:tr>
      <w:tr w14:paraId="77463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157D9BAD">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服务标准</w:t>
            </w:r>
          </w:p>
        </w:tc>
        <w:tc>
          <w:tcPr>
            <w:tcW w:w="5529" w:type="dxa"/>
            <w:vAlign w:val="center"/>
          </w:tcPr>
          <w:p w14:paraId="0ECA059E">
            <w:pPr>
              <w:spacing w:before="120" w:beforeLines="50" w:line="360" w:lineRule="auto"/>
              <w:rPr>
                <w:rFonts w:hint="eastAsia" w:ascii="宋体" w:hAnsi="宋体" w:eastAsia="宋体" w:cs="Times New Roman"/>
                <w:color w:val="auto"/>
                <w:highlight w:val="none"/>
              </w:rPr>
            </w:pPr>
          </w:p>
        </w:tc>
      </w:tr>
      <w:tr w14:paraId="0249A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CD2CA83">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合同履行期限</w:t>
            </w:r>
          </w:p>
        </w:tc>
        <w:tc>
          <w:tcPr>
            <w:tcW w:w="5529" w:type="dxa"/>
            <w:vAlign w:val="center"/>
          </w:tcPr>
          <w:p w14:paraId="1DAFF4A9">
            <w:pPr>
              <w:spacing w:before="120" w:beforeLines="50" w:line="360" w:lineRule="auto"/>
              <w:rPr>
                <w:rFonts w:hint="eastAsia" w:ascii="宋体" w:hAnsi="宋体" w:eastAsia="宋体" w:cs="Times New Roman"/>
                <w:color w:val="auto"/>
                <w:highlight w:val="none"/>
              </w:rPr>
            </w:pPr>
          </w:p>
        </w:tc>
      </w:tr>
      <w:tr w14:paraId="5A843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97" w:type="dxa"/>
            <w:vAlign w:val="center"/>
          </w:tcPr>
          <w:p w14:paraId="5FB9D858">
            <w:pPr>
              <w:spacing w:before="120" w:beforeLines="50" w:line="360" w:lineRule="auto"/>
              <w:jc w:val="center"/>
              <w:rPr>
                <w:rFonts w:hint="eastAsia" w:ascii="宋体" w:hAnsi="宋体" w:eastAsia="宋体" w:cs="Times New Roman"/>
                <w:color w:val="auto"/>
                <w:highlight w:val="none"/>
              </w:rPr>
            </w:pPr>
            <w:bookmarkStart w:id="620" w:name="OLE_LINK19"/>
            <w:r>
              <w:rPr>
                <w:rFonts w:hint="eastAsia" w:ascii="宋体" w:hAnsi="宋体" w:eastAsia="宋体" w:cs="宋体"/>
                <w:color w:val="auto"/>
                <w:highlight w:val="none"/>
              </w:rPr>
              <w:t>联系人</w:t>
            </w:r>
            <w:bookmarkEnd w:id="620"/>
          </w:p>
        </w:tc>
        <w:tc>
          <w:tcPr>
            <w:tcW w:w="5529" w:type="dxa"/>
            <w:vAlign w:val="center"/>
          </w:tcPr>
          <w:p w14:paraId="77AD9D9B">
            <w:pPr>
              <w:spacing w:before="120" w:beforeLines="50"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 xml:space="preserve">姓名：     </w:t>
            </w:r>
            <w:r>
              <w:rPr>
                <w:rFonts w:ascii="宋体" w:hAnsi="宋体" w:eastAsia="宋体" w:cs="宋体"/>
                <w:color w:val="auto"/>
                <w:highlight w:val="none"/>
              </w:rPr>
              <w:t xml:space="preserve"> </w:t>
            </w:r>
            <w:r>
              <w:rPr>
                <w:rFonts w:hint="eastAsia" w:ascii="宋体" w:hAnsi="宋体" w:eastAsia="宋体" w:cs="宋体"/>
                <w:color w:val="auto"/>
                <w:highlight w:val="none"/>
              </w:rPr>
              <w:t>电话：</w:t>
            </w:r>
          </w:p>
        </w:tc>
      </w:tr>
      <w:tr w14:paraId="3D31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3397" w:type="dxa"/>
            <w:vAlign w:val="center"/>
          </w:tcPr>
          <w:p w14:paraId="1DD43923">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备注</w:t>
            </w:r>
          </w:p>
        </w:tc>
        <w:tc>
          <w:tcPr>
            <w:tcW w:w="5529" w:type="dxa"/>
            <w:vAlign w:val="center"/>
          </w:tcPr>
          <w:p w14:paraId="71A0B44D">
            <w:pPr>
              <w:spacing w:before="120" w:beforeLines="50" w:line="360" w:lineRule="auto"/>
              <w:rPr>
                <w:rFonts w:hint="eastAsia" w:ascii="宋体" w:hAnsi="宋体" w:eastAsia="宋体" w:cs="Times New Roman"/>
                <w:color w:val="auto"/>
                <w:highlight w:val="none"/>
              </w:rPr>
            </w:pPr>
          </w:p>
        </w:tc>
      </w:tr>
    </w:tbl>
    <w:p w14:paraId="3D18624A">
      <w:pPr>
        <w:spacing w:line="360" w:lineRule="auto"/>
        <w:rPr>
          <w:rFonts w:hint="eastAsia" w:ascii="宋体" w:hAnsi="宋体" w:eastAsia="宋体" w:cs="Times New Roman"/>
          <w:color w:val="auto"/>
          <w:highlight w:val="none"/>
        </w:rPr>
      </w:pPr>
    </w:p>
    <w:p w14:paraId="6B7F7AE9">
      <w:pPr>
        <w:spacing w:line="360" w:lineRule="auto"/>
        <w:rPr>
          <w:rFonts w:hint="eastAsia" w:ascii="宋体" w:hAnsi="宋体" w:eastAsia="宋体" w:cs="Times New Roman"/>
          <w:color w:val="auto"/>
          <w:highlight w:val="none"/>
        </w:rPr>
      </w:pPr>
    </w:p>
    <w:p w14:paraId="149B282B">
      <w:pPr>
        <w:spacing w:line="360" w:lineRule="auto"/>
        <w:jc w:val="right"/>
        <w:rPr>
          <w:rFonts w:hint="eastAsia" w:ascii="宋体" w:hAnsi="宋体" w:eastAsia="宋体"/>
          <w:color w:val="auto"/>
          <w:highlight w:val="none"/>
        </w:rPr>
      </w:pPr>
      <w:r>
        <w:rPr>
          <w:rFonts w:hint="eastAsia" w:ascii="宋体" w:hAnsi="宋体" w:eastAsia="宋体"/>
          <w:color w:val="auto"/>
          <w:highlight w:val="none"/>
        </w:rPr>
        <w:t>投 标 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（电子签章）</w:t>
      </w:r>
    </w:p>
    <w:p w14:paraId="1F60C646">
      <w:pPr>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法定代表人（单位负责人） 或其授权的代理人：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（电子签章）</w:t>
      </w:r>
    </w:p>
    <w:p w14:paraId="5EA33E4D">
      <w:pPr>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年</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月</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日</w:t>
      </w:r>
    </w:p>
    <w:p w14:paraId="3799E5C4">
      <w:pPr>
        <w:spacing w:line="360" w:lineRule="auto"/>
        <w:rPr>
          <w:rFonts w:hint="eastAsia" w:ascii="宋体" w:hAnsi="宋体" w:eastAsia="宋体" w:cs="Times New Roman"/>
          <w:color w:val="auto"/>
          <w:highlight w:val="none"/>
        </w:rPr>
      </w:pPr>
    </w:p>
    <w:p w14:paraId="26106938">
      <w:pPr>
        <w:spacing w:line="360" w:lineRule="auto"/>
        <w:rPr>
          <w:rFonts w:hint="eastAsia" w:ascii="宋体" w:hAnsi="宋体" w:eastAsia="宋体" w:cs="Times New Roman"/>
          <w:color w:val="auto"/>
          <w:highlight w:val="none"/>
        </w:rPr>
      </w:pPr>
    </w:p>
    <w:p w14:paraId="5EA15B17">
      <w:pPr>
        <w:pStyle w:val="3"/>
        <w:spacing w:before="0" w:after="0" w:line="360" w:lineRule="auto"/>
        <w:jc w:val="center"/>
        <w:rPr>
          <w:rFonts w:hint="eastAsia" w:ascii="宋体" w:hAnsi="宋体" w:eastAsia="宋体" w:cs="宋体"/>
          <w:color w:val="auto"/>
          <w:sz w:val="21"/>
          <w:szCs w:val="21"/>
          <w:highlight w:val="none"/>
        </w:rPr>
      </w:pPr>
      <w:r>
        <w:rPr>
          <w:rFonts w:ascii="宋体" w:hAnsi="宋体" w:eastAsia="宋体" w:cs="Times New Roman"/>
          <w:color w:val="auto"/>
          <w:highlight w:val="none"/>
        </w:rPr>
        <w:br w:type="page"/>
      </w:r>
      <w:bookmarkStart w:id="621" w:name="_Toc164432969"/>
      <w:bookmarkStart w:id="622" w:name="_Toc77658126"/>
      <w:bookmarkStart w:id="623" w:name="_Toc77504116"/>
      <w:bookmarkStart w:id="624" w:name="_Toc25068"/>
      <w:bookmarkStart w:id="625" w:name="_Toc70424901"/>
      <w:bookmarkStart w:id="626" w:name="_Toc107396245"/>
      <w:bookmarkStart w:id="627" w:name="_Toc120282473"/>
      <w:bookmarkStart w:id="628" w:name="_Toc77116718"/>
      <w:r>
        <w:rPr>
          <w:rFonts w:hint="eastAsia" w:ascii="宋体" w:hAnsi="宋体" w:eastAsia="宋体" w:cs="宋体"/>
          <w:color w:val="auto"/>
          <w:sz w:val="24"/>
          <w:szCs w:val="24"/>
          <w:highlight w:val="none"/>
        </w:rPr>
        <w:t>二、投标函</w:t>
      </w:r>
      <w:bookmarkEnd w:id="621"/>
      <w:bookmarkEnd w:id="622"/>
      <w:bookmarkEnd w:id="623"/>
      <w:bookmarkEnd w:id="624"/>
      <w:bookmarkEnd w:id="625"/>
      <w:bookmarkEnd w:id="626"/>
      <w:bookmarkEnd w:id="627"/>
      <w:bookmarkEnd w:id="628"/>
    </w:p>
    <w:p w14:paraId="6F3061B6">
      <w:pPr>
        <w:spacing w:line="360" w:lineRule="auto"/>
        <w:rPr>
          <w:rFonts w:hint="eastAsia" w:ascii="宋体" w:hAnsi="宋体" w:eastAsia="宋体" w:cs="Times New Roman"/>
          <w:color w:val="auto"/>
          <w:highlight w:val="none"/>
        </w:rPr>
      </w:pPr>
    </w:p>
    <w:p w14:paraId="2E217396">
      <w:pPr>
        <w:spacing w:line="360" w:lineRule="auto"/>
        <w:rPr>
          <w:rFonts w:hint="eastAsia" w:ascii="宋体" w:hAnsi="宋体" w:eastAsia="宋体" w:cs="Times New Roman"/>
          <w:color w:val="auto"/>
          <w:highlight w:val="none"/>
          <w:u w:val="single"/>
        </w:rPr>
      </w:pPr>
      <w:r>
        <w:rPr>
          <w:rFonts w:hint="eastAsia" w:ascii="宋体" w:hAnsi="宋体" w:eastAsia="宋体" w:cs="宋体"/>
          <w:color w:val="auto"/>
          <w:highlight w:val="none"/>
          <w:u w:val="single"/>
        </w:rPr>
        <w:t>（采购人名称）</w:t>
      </w:r>
      <w:r>
        <w:rPr>
          <w:rFonts w:hint="eastAsia" w:ascii="宋体" w:hAnsi="宋体" w:eastAsia="宋体" w:cs="宋体"/>
          <w:color w:val="auto"/>
          <w:highlight w:val="none"/>
        </w:rPr>
        <w:t>：</w:t>
      </w:r>
    </w:p>
    <w:p w14:paraId="545C0DB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olor w:val="auto"/>
          <w:highlight w:val="none"/>
        </w:rPr>
        <w:t>1</w:t>
      </w:r>
      <w:r>
        <w:rPr>
          <w:rFonts w:ascii="宋体" w:hAnsi="宋体" w:eastAsia="宋体"/>
          <w:color w:val="auto"/>
          <w:highlight w:val="none"/>
        </w:rPr>
        <w:t>.</w:t>
      </w:r>
      <w:r>
        <w:rPr>
          <w:rFonts w:hint="eastAsia" w:ascii="宋体" w:hAnsi="宋体" w:eastAsia="宋体"/>
          <w:color w:val="auto"/>
          <w:highlight w:val="none"/>
        </w:rPr>
        <w:t>我方已仔细研究了</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（项目名称）</w:t>
      </w:r>
      <w:r>
        <w:rPr>
          <w:rFonts w:hint="eastAsia" w:ascii="宋体" w:hAnsi="宋体" w:eastAsia="宋体"/>
          <w:color w:val="auto"/>
          <w:highlight w:val="none"/>
        </w:rPr>
        <w:t>招标文件的全部内容，愿意以</w:t>
      </w:r>
      <w:r>
        <w:rPr>
          <w:rFonts w:hint="eastAsia" w:ascii="宋体" w:hAnsi="宋体" w:eastAsia="宋体"/>
          <w:color w:val="auto"/>
          <w:highlight w:val="none"/>
          <w:u w:val="single"/>
        </w:rPr>
        <w:t>总报价</w:t>
      </w:r>
      <w:r>
        <w:rPr>
          <w:rFonts w:hint="eastAsia" w:ascii="宋体" w:hAnsi="宋体" w:eastAsia="宋体"/>
          <w:color w:val="auto"/>
          <w:highlight w:val="none"/>
          <w:u w:val="single"/>
          <w:lang w:eastAsia="zh-CN"/>
        </w:rPr>
        <w:t>（</w:t>
      </w:r>
      <w:r>
        <w:rPr>
          <w:rFonts w:hint="eastAsia" w:ascii="宋体" w:hAnsi="宋体" w:eastAsia="宋体"/>
          <w:color w:val="auto"/>
          <w:highlight w:val="none"/>
          <w:u w:val="single"/>
        </w:rPr>
        <w:t>含税价</w:t>
      </w:r>
      <w:r>
        <w:rPr>
          <w:rFonts w:hint="eastAsia" w:ascii="宋体" w:hAnsi="宋体" w:eastAsia="宋体"/>
          <w:color w:val="auto"/>
          <w:highlight w:val="none"/>
          <w:u w:val="single"/>
          <w:lang w:eastAsia="zh-CN"/>
        </w:rPr>
        <w:t>）</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元（大写：    ）</w:t>
      </w:r>
      <w:r>
        <w:rPr>
          <w:rFonts w:hint="eastAsia" w:ascii="宋体" w:hAnsi="宋体" w:eastAsia="宋体"/>
          <w:color w:val="auto"/>
          <w:highlight w:val="none"/>
        </w:rPr>
        <w:t>的报价提供本项目所需服务，并按合同约定履行义务。</w:t>
      </w:r>
    </w:p>
    <w:p w14:paraId="6A863516">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rPr>
        <w:t>我方承诺除商务和技术偏差表列出的偏差外，我方响应招标文件的全部要求。</w:t>
      </w:r>
    </w:p>
    <w:p w14:paraId="39AF7B83">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3.</w:t>
      </w:r>
      <w:r>
        <w:rPr>
          <w:rFonts w:hint="eastAsia" w:ascii="宋体" w:hAnsi="宋体" w:eastAsia="宋体" w:cs="宋体"/>
          <w:color w:val="auto"/>
          <w:highlight w:val="none"/>
        </w:rPr>
        <w:t>我方承诺在招标文件规定的投标文件有效期内不撤销投标文件。</w:t>
      </w:r>
    </w:p>
    <w:p w14:paraId="1C22275C">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4.</w:t>
      </w:r>
      <w:r>
        <w:rPr>
          <w:rFonts w:hint="eastAsia" w:ascii="宋体" w:hAnsi="宋体" w:eastAsia="宋体" w:cs="宋体"/>
          <w:color w:val="auto"/>
          <w:highlight w:val="none"/>
        </w:rPr>
        <w:t>如我方中标，我方承诺：</w:t>
      </w:r>
    </w:p>
    <w:p w14:paraId="654CB4EF">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1</w:t>
      </w:r>
      <w:r>
        <w:rPr>
          <w:rFonts w:hint="eastAsia" w:ascii="宋体" w:hAnsi="宋体" w:eastAsia="宋体" w:cs="宋体"/>
          <w:color w:val="auto"/>
          <w:highlight w:val="none"/>
        </w:rPr>
        <w:t>）在收到中标通知书后，在中标通知书规定的期限内与你方签订合同；</w:t>
      </w:r>
    </w:p>
    <w:p w14:paraId="4AC61DB9">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2</w:t>
      </w:r>
      <w:r>
        <w:rPr>
          <w:rFonts w:hint="eastAsia" w:ascii="宋体" w:hAnsi="宋体" w:eastAsia="宋体" w:cs="宋体"/>
          <w:color w:val="auto"/>
          <w:highlight w:val="none"/>
        </w:rPr>
        <w:t>）在签订合同时不向你方提出附加条件；</w:t>
      </w:r>
    </w:p>
    <w:p w14:paraId="2D6F2770">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3</w:t>
      </w:r>
      <w:r>
        <w:rPr>
          <w:rFonts w:hint="eastAsia" w:ascii="宋体" w:hAnsi="宋体" w:eastAsia="宋体" w:cs="宋体"/>
          <w:color w:val="auto"/>
          <w:highlight w:val="none"/>
        </w:rPr>
        <w:t>）按照招标文件要求递交履约保证金；</w:t>
      </w:r>
    </w:p>
    <w:p w14:paraId="1C48B660">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w:t>
      </w:r>
      <w:r>
        <w:rPr>
          <w:rFonts w:ascii="宋体" w:hAnsi="宋体" w:eastAsia="宋体" w:cs="宋体"/>
          <w:color w:val="auto"/>
          <w:highlight w:val="none"/>
        </w:rPr>
        <w:t>4</w:t>
      </w:r>
      <w:r>
        <w:rPr>
          <w:rFonts w:hint="eastAsia" w:ascii="宋体" w:hAnsi="宋体" w:eastAsia="宋体" w:cs="宋体"/>
          <w:color w:val="auto"/>
          <w:highlight w:val="none"/>
        </w:rPr>
        <w:t>）在合同约定的期限内完成合同规定的全部义务。</w:t>
      </w:r>
    </w:p>
    <w:p w14:paraId="2C894DAE">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5.</w:t>
      </w:r>
      <w:r>
        <w:rPr>
          <w:rFonts w:hint="eastAsia" w:ascii="宋体" w:hAnsi="宋体" w:eastAsia="宋体" w:cs="宋体"/>
          <w:color w:val="auto"/>
          <w:highlight w:val="none"/>
        </w:rPr>
        <w:t>我方在此声明，所递交的投标文件及有关资料内容完整、真实和准确，且不存在第二章“投标人须知”第</w:t>
      </w:r>
      <w:r>
        <w:rPr>
          <w:rFonts w:ascii="宋体" w:hAnsi="宋体" w:eastAsia="宋体" w:cs="宋体"/>
          <w:color w:val="auto"/>
          <w:highlight w:val="none"/>
        </w:rPr>
        <w:t>1.4.1</w:t>
      </w:r>
      <w:r>
        <w:rPr>
          <w:rFonts w:hint="eastAsia" w:ascii="宋体" w:hAnsi="宋体" w:eastAsia="宋体" w:cs="宋体"/>
          <w:color w:val="auto"/>
          <w:highlight w:val="none"/>
        </w:rPr>
        <w:t>项中规定的投标人不得存在的情形。</w:t>
      </w:r>
    </w:p>
    <w:p w14:paraId="2A75C6A8">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6.</w:t>
      </w:r>
      <w:r>
        <w:rPr>
          <w:rFonts w:hint="eastAsia" w:ascii="宋体" w:hAnsi="宋体" w:eastAsia="宋体" w:cs="宋体"/>
          <w:color w:val="auto"/>
          <w:highlight w:val="none"/>
          <w:u w:val="single"/>
        </w:rPr>
        <w:t>（其他补充说明）</w:t>
      </w:r>
      <w:r>
        <w:rPr>
          <w:rFonts w:hint="eastAsia" w:ascii="宋体" w:hAnsi="宋体" w:eastAsia="宋体" w:cs="宋体"/>
          <w:color w:val="auto"/>
          <w:highlight w:val="none"/>
        </w:rPr>
        <w:t>。</w:t>
      </w:r>
    </w:p>
    <w:p w14:paraId="0352E896">
      <w:pPr>
        <w:spacing w:line="360" w:lineRule="auto"/>
        <w:rPr>
          <w:rFonts w:hint="eastAsia" w:ascii="宋体" w:hAnsi="宋体" w:eastAsia="宋体" w:cs="Times New Roman"/>
          <w:color w:val="auto"/>
          <w:highlight w:val="none"/>
        </w:rPr>
      </w:pPr>
    </w:p>
    <w:p w14:paraId="1EB175E5">
      <w:pPr>
        <w:spacing w:line="360" w:lineRule="auto"/>
        <w:rPr>
          <w:rFonts w:hint="eastAsia" w:ascii="宋体" w:hAnsi="宋体" w:eastAsia="宋体" w:cs="Times New Roman"/>
          <w:color w:val="auto"/>
          <w:highlight w:val="none"/>
        </w:rPr>
      </w:pPr>
    </w:p>
    <w:p w14:paraId="19049CE6">
      <w:pPr>
        <w:spacing w:line="360" w:lineRule="auto"/>
        <w:jc w:val="right"/>
        <w:rPr>
          <w:rFonts w:hint="eastAsia" w:ascii="宋体" w:hAnsi="宋体" w:eastAsia="宋体"/>
          <w:color w:val="auto"/>
          <w:highlight w:val="none"/>
        </w:rPr>
      </w:pPr>
      <w:r>
        <w:rPr>
          <w:rFonts w:hint="eastAsia" w:ascii="宋体" w:hAnsi="宋体" w:eastAsia="宋体"/>
          <w:color w:val="auto"/>
          <w:highlight w:val="none"/>
        </w:rPr>
        <w:t>投 标 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（电子签章）</w:t>
      </w:r>
    </w:p>
    <w:p w14:paraId="6103F1B4">
      <w:pPr>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法定代表人（单位负责人） 或其授权的代理人：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（电子签章）</w:t>
      </w:r>
    </w:p>
    <w:p w14:paraId="6F5C7189">
      <w:pPr>
        <w:wordWrap w:val="0"/>
        <w:spacing w:line="360" w:lineRule="auto"/>
        <w:jc w:val="right"/>
        <w:rPr>
          <w:rFonts w:hint="eastAsia" w:ascii="宋体" w:hAnsi="宋体" w:eastAsia="宋体"/>
          <w:color w:val="auto"/>
          <w:highlight w:val="none"/>
        </w:rPr>
      </w:pPr>
      <w:r>
        <w:rPr>
          <w:rFonts w:hint="eastAsia" w:ascii="宋体" w:hAnsi="宋体" w:eastAsia="宋体"/>
          <w:color w:val="auto"/>
          <w:highlight w:val="none"/>
        </w:rPr>
        <w:t xml:space="preserve">地 </w:t>
      </w:r>
      <w:r>
        <w:rPr>
          <w:rFonts w:ascii="宋体" w:hAnsi="宋体" w:eastAsia="宋体"/>
          <w:color w:val="auto"/>
          <w:highlight w:val="none"/>
        </w:rPr>
        <w:t xml:space="preserve">   </w:t>
      </w:r>
      <w:r>
        <w:rPr>
          <w:rFonts w:hint="eastAsia" w:ascii="宋体" w:hAnsi="宋体" w:eastAsia="宋体"/>
          <w:color w:val="auto"/>
          <w:highlight w:val="none"/>
        </w:rPr>
        <w:t>址：</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487C8B3B">
      <w:pPr>
        <w:wordWrap w:val="0"/>
        <w:spacing w:line="360" w:lineRule="auto"/>
        <w:jc w:val="right"/>
        <w:rPr>
          <w:rFonts w:hint="eastAsia" w:ascii="宋体" w:hAnsi="宋体" w:eastAsia="宋体"/>
          <w:color w:val="auto"/>
          <w:highlight w:val="none"/>
        </w:rPr>
      </w:pPr>
      <w:r>
        <w:rPr>
          <w:rFonts w:hint="eastAsia" w:ascii="宋体" w:hAnsi="宋体" w:eastAsia="宋体"/>
          <w:color w:val="auto"/>
          <w:highlight w:val="none"/>
        </w:rPr>
        <w:t>电子邮箱：</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6CF63704">
      <w:pPr>
        <w:wordWrap w:val="0"/>
        <w:spacing w:line="360" w:lineRule="auto"/>
        <w:jc w:val="right"/>
        <w:rPr>
          <w:rFonts w:hint="eastAsia" w:ascii="宋体" w:hAnsi="宋体" w:eastAsia="宋体"/>
          <w:color w:val="auto"/>
          <w:highlight w:val="none"/>
        </w:rPr>
      </w:pPr>
      <w:r>
        <w:rPr>
          <w:rFonts w:hint="eastAsia" w:ascii="宋体" w:hAnsi="宋体" w:eastAsia="宋体"/>
          <w:color w:val="auto"/>
          <w:highlight w:val="none"/>
        </w:rPr>
        <w:t xml:space="preserve">电 </w:t>
      </w:r>
      <w:r>
        <w:rPr>
          <w:rFonts w:ascii="宋体" w:hAnsi="宋体" w:eastAsia="宋体"/>
          <w:color w:val="auto"/>
          <w:highlight w:val="none"/>
        </w:rPr>
        <w:t xml:space="preserve">   </w:t>
      </w:r>
      <w:r>
        <w:rPr>
          <w:rFonts w:hint="eastAsia" w:ascii="宋体" w:hAnsi="宋体" w:eastAsia="宋体"/>
          <w:color w:val="auto"/>
          <w:highlight w:val="none"/>
        </w:rPr>
        <w:t>话：</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3CA97376">
      <w:pPr>
        <w:wordWrap w:val="0"/>
        <w:spacing w:line="360" w:lineRule="auto"/>
        <w:jc w:val="right"/>
        <w:rPr>
          <w:rFonts w:hint="eastAsia" w:ascii="宋体" w:hAnsi="宋体" w:eastAsia="宋体"/>
          <w:color w:val="auto"/>
          <w:highlight w:val="none"/>
        </w:rPr>
      </w:pPr>
      <w:r>
        <w:rPr>
          <w:rFonts w:hint="eastAsia" w:ascii="宋体" w:hAnsi="宋体" w:eastAsia="宋体"/>
          <w:color w:val="auto"/>
          <w:highlight w:val="none"/>
        </w:rPr>
        <w:t xml:space="preserve">传 </w:t>
      </w:r>
      <w:r>
        <w:rPr>
          <w:rFonts w:ascii="宋体" w:hAnsi="宋体" w:eastAsia="宋体"/>
          <w:color w:val="auto"/>
          <w:highlight w:val="none"/>
        </w:rPr>
        <w:t xml:space="preserve">   </w:t>
      </w:r>
      <w:r>
        <w:rPr>
          <w:rFonts w:hint="eastAsia" w:ascii="宋体" w:hAnsi="宋体" w:eastAsia="宋体"/>
          <w:color w:val="auto"/>
          <w:highlight w:val="none"/>
        </w:rPr>
        <w:t>真：</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4BBF5BFE">
      <w:pPr>
        <w:wordWrap w:val="0"/>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邮政编码：</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07390F38">
      <w:pPr>
        <w:spacing w:line="360" w:lineRule="auto"/>
        <w:jc w:val="right"/>
        <w:rPr>
          <w:rFonts w:hint="eastAsia" w:ascii="宋体" w:hAnsi="宋体" w:eastAsia="宋体"/>
          <w:color w:val="auto"/>
          <w:highlight w:val="none"/>
        </w:rPr>
      </w:pPr>
    </w:p>
    <w:p w14:paraId="3309990F">
      <w:pPr>
        <w:spacing w:line="360" w:lineRule="auto"/>
        <w:jc w:val="right"/>
        <w:rPr>
          <w:rFonts w:hint="eastAsia" w:ascii="宋体" w:hAnsi="宋体" w:eastAsia="宋体" w:cs="Times New Roman"/>
          <w:color w:val="auto"/>
          <w:highlight w:val="none"/>
          <w:u w:val="single"/>
        </w:rPr>
      </w:pP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年</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月</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日</w:t>
      </w:r>
    </w:p>
    <w:p w14:paraId="12419364">
      <w:pPr>
        <w:spacing w:line="360" w:lineRule="auto"/>
        <w:rPr>
          <w:rFonts w:hint="eastAsia" w:ascii="宋体" w:hAnsi="宋体" w:eastAsia="宋体" w:cs="Times New Roman"/>
          <w:color w:val="auto"/>
          <w:highlight w:val="none"/>
        </w:rPr>
      </w:pPr>
    </w:p>
    <w:p w14:paraId="78C02CFB">
      <w:pPr>
        <w:spacing w:line="360" w:lineRule="auto"/>
        <w:rPr>
          <w:rFonts w:hint="eastAsia" w:ascii="宋体" w:hAnsi="宋体" w:eastAsia="宋体" w:cs="Times New Roman"/>
          <w:color w:val="auto"/>
          <w:highlight w:val="none"/>
        </w:rPr>
      </w:pPr>
    </w:p>
    <w:p w14:paraId="7F8A8839">
      <w:pPr>
        <w:pStyle w:val="3"/>
        <w:spacing w:before="0" w:after="0" w:line="360" w:lineRule="auto"/>
        <w:jc w:val="center"/>
        <w:rPr>
          <w:rFonts w:hint="eastAsia" w:ascii="宋体" w:hAnsi="宋体" w:eastAsia="宋体" w:cs="宋体"/>
          <w:color w:val="auto"/>
          <w:sz w:val="21"/>
          <w:szCs w:val="21"/>
          <w:highlight w:val="none"/>
        </w:rPr>
      </w:pPr>
      <w:r>
        <w:rPr>
          <w:rFonts w:ascii="宋体" w:hAnsi="宋体" w:eastAsia="宋体" w:cs="Times New Roman"/>
          <w:color w:val="auto"/>
          <w:highlight w:val="none"/>
        </w:rPr>
        <w:br w:type="page"/>
      </w:r>
      <w:bookmarkStart w:id="629" w:name="_Toc77504117"/>
      <w:bookmarkStart w:id="630" w:name="_Toc77116719"/>
      <w:bookmarkStart w:id="631" w:name="_Toc120282474"/>
      <w:bookmarkStart w:id="632" w:name="_Toc70424902"/>
      <w:bookmarkStart w:id="633" w:name="_Toc107396246"/>
      <w:bookmarkStart w:id="634" w:name="_Toc15913"/>
      <w:bookmarkStart w:id="635" w:name="_Toc164432970"/>
      <w:bookmarkStart w:id="636" w:name="_Toc77658127"/>
      <w:r>
        <w:rPr>
          <w:rFonts w:hint="eastAsia" w:ascii="宋体" w:hAnsi="宋体" w:eastAsia="宋体" w:cs="宋体"/>
          <w:color w:val="auto"/>
          <w:sz w:val="24"/>
          <w:szCs w:val="24"/>
          <w:highlight w:val="none"/>
        </w:rPr>
        <w:t>三、法定代表人（单位负责人）身份证明或授权委托书</w:t>
      </w:r>
      <w:bookmarkEnd w:id="629"/>
      <w:bookmarkEnd w:id="630"/>
      <w:bookmarkEnd w:id="631"/>
      <w:bookmarkEnd w:id="632"/>
      <w:bookmarkEnd w:id="633"/>
      <w:bookmarkEnd w:id="634"/>
      <w:bookmarkEnd w:id="635"/>
      <w:bookmarkEnd w:id="636"/>
    </w:p>
    <w:p w14:paraId="0098FA68">
      <w:pPr>
        <w:spacing w:line="360" w:lineRule="auto"/>
        <w:rPr>
          <w:rFonts w:hint="eastAsia" w:ascii="宋体" w:hAnsi="宋体" w:eastAsia="宋体" w:cs="Times New Roman"/>
          <w:color w:val="auto"/>
          <w:highlight w:val="none"/>
        </w:rPr>
      </w:pPr>
    </w:p>
    <w:p w14:paraId="07CB1976">
      <w:pP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（一）法定代表人（单位负责人）身份证明</w:t>
      </w:r>
    </w:p>
    <w:p w14:paraId="159C87C2">
      <w:pPr>
        <w:spacing w:line="360" w:lineRule="auto"/>
        <w:rPr>
          <w:rFonts w:hint="eastAsia" w:ascii="宋体" w:hAnsi="宋体" w:eastAsia="宋体" w:cs="Times New Roman"/>
          <w:color w:val="auto"/>
          <w:highlight w:val="none"/>
        </w:rPr>
      </w:pPr>
    </w:p>
    <w:p w14:paraId="3110CBD2">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投标人名称：</w:t>
      </w:r>
      <w:r>
        <w:rPr>
          <w:rFonts w:hint="eastAsia" w:ascii="宋体" w:hAnsi="宋体" w:eastAsia="宋体" w:cs="宋体"/>
          <w:color w:val="auto"/>
          <w:highlight w:val="none"/>
          <w:u w:val="single"/>
        </w:rPr>
        <w:t xml:space="preserve">                </w:t>
      </w:r>
    </w:p>
    <w:p w14:paraId="6C680B2B">
      <w:pPr>
        <w:spacing w:line="360" w:lineRule="auto"/>
        <w:rPr>
          <w:rFonts w:hint="eastAsia" w:ascii="宋体" w:hAnsi="宋体" w:eastAsia="宋体" w:cs="Times New Roman"/>
          <w:color w:val="auto"/>
          <w:highlight w:val="none"/>
          <w:u w:val="single"/>
        </w:rPr>
      </w:pPr>
      <w:r>
        <w:rPr>
          <w:rFonts w:hint="eastAsia" w:ascii="宋体" w:hAnsi="宋体" w:eastAsia="宋体" w:cs="宋体"/>
          <w:color w:val="auto"/>
          <w:highlight w:val="none"/>
        </w:rPr>
        <w:t>姓名：</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性别：</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 xml:space="preserve">         </w:t>
      </w:r>
      <w:r>
        <w:rPr>
          <w:rFonts w:ascii="宋体" w:hAnsi="宋体" w:eastAsia="宋体" w:cs="宋体"/>
          <w:color w:val="auto"/>
          <w:highlight w:val="none"/>
          <w:u w:val="single"/>
        </w:rPr>
        <w:t xml:space="preserve"> </w:t>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p>
    <w:p w14:paraId="6E816AF0">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系</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（投标人名称）</w:t>
      </w:r>
      <w:r>
        <w:rPr>
          <w:rFonts w:hint="eastAsia" w:ascii="宋体" w:hAnsi="宋体" w:eastAsia="宋体" w:cs="宋体"/>
          <w:color w:val="auto"/>
          <w:highlight w:val="none"/>
        </w:rPr>
        <w:t>的法定代表人。</w:t>
      </w:r>
    </w:p>
    <w:p w14:paraId="75F07A96">
      <w:pPr>
        <w:spacing w:line="360" w:lineRule="auto"/>
        <w:rPr>
          <w:rFonts w:hint="eastAsia" w:ascii="宋体" w:hAnsi="宋体" w:eastAsia="宋体" w:cs="Times New Roman"/>
          <w:color w:val="auto"/>
          <w:highlight w:val="none"/>
        </w:rPr>
      </w:pPr>
    </w:p>
    <w:p w14:paraId="259BC102">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特此证明。</w:t>
      </w:r>
    </w:p>
    <w:p w14:paraId="63482E95">
      <w:pPr>
        <w:spacing w:line="360" w:lineRule="auto"/>
        <w:rPr>
          <w:rFonts w:hint="eastAsia" w:ascii="宋体" w:hAnsi="宋体" w:eastAsia="宋体" w:cs="Times New Roman"/>
          <w:color w:val="auto"/>
          <w:highlight w:val="none"/>
        </w:rPr>
      </w:pPr>
    </w:p>
    <w:p w14:paraId="6330078F">
      <w:pPr>
        <w:spacing w:line="360" w:lineRule="auto"/>
        <w:rPr>
          <w:rFonts w:hint="eastAsia" w:ascii="宋体" w:hAnsi="宋体" w:eastAsia="宋体" w:cs="Times New Roman"/>
          <w:color w:val="auto"/>
          <w:highlight w:val="none"/>
        </w:rPr>
      </w:pPr>
    </w:p>
    <w:p w14:paraId="449ED556">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附：法定代表人身份证扫描件。</w:t>
      </w:r>
    </w:p>
    <w:p w14:paraId="1C6B1CA9">
      <w:pPr>
        <w:spacing w:line="360" w:lineRule="auto"/>
        <w:rPr>
          <w:rFonts w:hint="eastAsia" w:ascii="宋体" w:hAnsi="宋体" w:eastAsia="宋体" w:cs="Times New Roman"/>
          <w:color w:val="auto"/>
          <w:highlight w:val="none"/>
        </w:rPr>
      </w:pPr>
    </w:p>
    <w:p w14:paraId="54373FC2">
      <w:pPr>
        <w:spacing w:line="360" w:lineRule="auto"/>
        <w:rPr>
          <w:rFonts w:hint="eastAsia" w:ascii="宋体" w:hAnsi="宋体" w:eastAsia="宋体" w:cs="Times New Roman"/>
          <w:color w:val="auto"/>
          <w:highlight w:val="none"/>
        </w:rPr>
      </w:pPr>
    </w:p>
    <w:p w14:paraId="6695D070">
      <w:pPr>
        <w:spacing w:line="360" w:lineRule="auto"/>
        <w:rPr>
          <w:rFonts w:hint="eastAsia" w:ascii="宋体" w:hAnsi="宋体" w:eastAsia="宋体" w:cs="Times New Roman"/>
          <w:color w:val="auto"/>
          <w:highlight w:val="none"/>
        </w:rPr>
      </w:pPr>
    </w:p>
    <w:p w14:paraId="1C6A4629">
      <w:pPr>
        <w:spacing w:line="360" w:lineRule="auto"/>
        <w:rPr>
          <w:rFonts w:hint="eastAsia" w:ascii="宋体" w:hAnsi="宋体" w:eastAsia="宋体" w:cs="Times New Roman"/>
          <w:color w:val="auto"/>
          <w:highlight w:val="none"/>
        </w:rPr>
      </w:pPr>
    </w:p>
    <w:p w14:paraId="341254D5">
      <w:pPr>
        <w:spacing w:line="360" w:lineRule="auto"/>
        <w:rPr>
          <w:rFonts w:hint="eastAsia" w:ascii="宋体" w:hAnsi="宋体" w:eastAsia="宋体" w:cs="Times New Roman"/>
          <w:color w:val="auto"/>
          <w:highlight w:val="none"/>
        </w:rPr>
      </w:pPr>
    </w:p>
    <w:p w14:paraId="3E4D4339">
      <w:pPr>
        <w:spacing w:line="360" w:lineRule="auto"/>
        <w:rPr>
          <w:rFonts w:hint="eastAsia" w:ascii="宋体" w:hAnsi="宋体" w:eastAsia="宋体" w:cs="Times New Roman"/>
          <w:color w:val="auto"/>
          <w:highlight w:val="none"/>
        </w:rPr>
      </w:pPr>
    </w:p>
    <w:p w14:paraId="3518C55D">
      <w:pPr>
        <w:spacing w:line="360" w:lineRule="auto"/>
        <w:rPr>
          <w:rFonts w:hint="eastAsia" w:ascii="宋体" w:hAnsi="宋体" w:eastAsia="宋体" w:cs="Times New Roman"/>
          <w:color w:val="auto"/>
          <w:highlight w:val="none"/>
        </w:rPr>
      </w:pPr>
    </w:p>
    <w:p w14:paraId="12584A98">
      <w:pPr>
        <w:spacing w:line="360" w:lineRule="auto"/>
        <w:rPr>
          <w:rFonts w:hint="eastAsia" w:ascii="宋体" w:hAnsi="宋体" w:eastAsia="宋体" w:cs="Times New Roman"/>
          <w:color w:val="auto"/>
          <w:highlight w:val="none"/>
        </w:rPr>
      </w:pPr>
    </w:p>
    <w:p w14:paraId="60325979">
      <w:pPr>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投标人：</w:t>
      </w:r>
      <w:r>
        <w:rPr>
          <w:rFonts w:ascii="宋体" w:hAnsi="宋体" w:eastAsia="宋体"/>
          <w:color w:val="auto"/>
          <w:highlight w:val="none"/>
          <w:u w:val="single"/>
        </w:rPr>
        <w:t xml:space="preserve">                    </w:t>
      </w:r>
      <w:r>
        <w:rPr>
          <w:rFonts w:hint="eastAsia" w:ascii="宋体" w:hAnsi="宋体" w:eastAsia="宋体"/>
          <w:color w:val="auto"/>
          <w:highlight w:val="none"/>
          <w:u w:val="single"/>
        </w:rPr>
        <w:t>（盖单位章）</w:t>
      </w:r>
    </w:p>
    <w:p w14:paraId="069F4FE7">
      <w:pPr>
        <w:spacing w:line="360" w:lineRule="auto"/>
        <w:jc w:val="right"/>
        <w:rPr>
          <w:rFonts w:hint="eastAsia" w:ascii="宋体" w:hAnsi="宋体" w:eastAsia="宋体"/>
          <w:color w:val="auto"/>
          <w:highlight w:val="none"/>
        </w:rPr>
      </w:pPr>
    </w:p>
    <w:p w14:paraId="28C8F556">
      <w:pPr>
        <w:wordWrap w:val="0"/>
        <w:spacing w:line="360" w:lineRule="auto"/>
        <w:ind w:firstLine="420" w:firstLineChars="200"/>
        <w:jc w:val="right"/>
        <w:rPr>
          <w:rFonts w:hint="eastAsia" w:ascii="宋体" w:hAnsi="宋体" w:eastAsia="宋体" w:cs="Times New Roman"/>
          <w:color w:val="auto"/>
          <w:highlight w:val="none"/>
        </w:rPr>
      </w:pP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年</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月</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日</w:t>
      </w:r>
    </w:p>
    <w:p w14:paraId="4078A25C">
      <w:pPr>
        <w:spacing w:line="360" w:lineRule="auto"/>
        <w:rPr>
          <w:rFonts w:hint="eastAsia" w:ascii="宋体" w:hAnsi="宋体" w:eastAsia="宋体" w:cs="Times New Roman"/>
          <w:color w:val="auto"/>
          <w:highlight w:val="none"/>
        </w:rPr>
      </w:pPr>
    </w:p>
    <w:p w14:paraId="6EF96D26">
      <w:pPr>
        <w:spacing w:line="360" w:lineRule="auto"/>
        <w:rPr>
          <w:rFonts w:hint="eastAsia" w:ascii="宋体" w:hAnsi="宋体" w:eastAsia="宋体" w:cs="Times New Roman"/>
          <w:color w:val="auto"/>
          <w:highlight w:val="none"/>
        </w:rPr>
      </w:pPr>
    </w:p>
    <w:p w14:paraId="71DD40D0">
      <w:pPr>
        <w:spacing w:line="360" w:lineRule="auto"/>
        <w:rPr>
          <w:rFonts w:hint="eastAsia" w:ascii="宋体" w:hAnsi="宋体" w:eastAsia="宋体" w:cs="Times New Roman"/>
          <w:color w:val="auto"/>
          <w:highlight w:val="none"/>
        </w:rPr>
      </w:pPr>
    </w:p>
    <w:p w14:paraId="500C6F10">
      <w:pPr>
        <w:spacing w:line="360" w:lineRule="auto"/>
        <w:jc w:val="center"/>
        <w:rPr>
          <w:rFonts w:hint="eastAsia" w:ascii="宋体" w:hAnsi="宋体" w:eastAsia="宋体" w:cs="Times New Roman"/>
          <w:color w:val="auto"/>
          <w:highlight w:val="none"/>
        </w:rPr>
      </w:pPr>
      <w:r>
        <w:rPr>
          <w:rFonts w:ascii="宋体" w:hAnsi="宋体" w:eastAsia="宋体" w:cs="宋体"/>
          <w:color w:val="auto"/>
          <w:highlight w:val="none"/>
        </w:rPr>
        <w:br w:type="page"/>
      </w:r>
      <w:r>
        <w:rPr>
          <w:rFonts w:hint="eastAsia" w:ascii="宋体" w:hAnsi="宋体" w:eastAsia="宋体" w:cs="宋体"/>
          <w:color w:val="auto"/>
          <w:highlight w:val="none"/>
        </w:rPr>
        <w:t>（二）授权委托书</w:t>
      </w:r>
    </w:p>
    <w:p w14:paraId="080D8A43">
      <w:pPr>
        <w:spacing w:line="360" w:lineRule="auto"/>
        <w:rPr>
          <w:rFonts w:hint="eastAsia" w:ascii="宋体" w:hAnsi="宋体" w:eastAsia="宋体" w:cs="Times New Roman"/>
          <w:color w:val="auto"/>
          <w:highlight w:val="none"/>
        </w:rPr>
      </w:pPr>
    </w:p>
    <w:p w14:paraId="0A7DF0D4">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本人</w:t>
      </w:r>
      <w:r>
        <w:rPr>
          <w:rFonts w:hint="eastAsia" w:ascii="宋体" w:hAnsi="宋体" w:eastAsia="宋体" w:cs="宋体"/>
          <w:color w:val="auto"/>
          <w:highlight w:val="none"/>
          <w:u w:val="single"/>
        </w:rPr>
        <w:t xml:space="preserve">（姓名）    </w:t>
      </w:r>
      <w:r>
        <w:rPr>
          <w:rFonts w:hint="eastAsia" w:ascii="宋体" w:hAnsi="宋体" w:eastAsia="宋体" w:cs="宋体"/>
          <w:color w:val="auto"/>
          <w:highlight w:val="none"/>
        </w:rPr>
        <w:t>系</w:t>
      </w:r>
      <w:r>
        <w:rPr>
          <w:rFonts w:hint="eastAsia" w:ascii="宋体" w:hAnsi="宋体" w:eastAsia="宋体" w:cs="宋体"/>
          <w:color w:val="auto"/>
          <w:highlight w:val="none"/>
          <w:u w:val="single"/>
        </w:rPr>
        <w:t xml:space="preserve">（投标人名称）       </w:t>
      </w:r>
      <w:r>
        <w:rPr>
          <w:rFonts w:hint="eastAsia" w:ascii="宋体" w:hAnsi="宋体" w:eastAsia="宋体" w:cs="宋体"/>
          <w:color w:val="auto"/>
          <w:highlight w:val="none"/>
        </w:rPr>
        <w:t>的法定代表人（单位负责人），现委托</w:t>
      </w:r>
      <w:r>
        <w:rPr>
          <w:rFonts w:hint="eastAsia" w:ascii="宋体" w:hAnsi="宋体" w:eastAsia="宋体" w:cs="宋体"/>
          <w:color w:val="auto"/>
          <w:highlight w:val="none"/>
          <w:u w:val="single"/>
        </w:rPr>
        <w:t xml:space="preserve">（姓名）     </w:t>
      </w:r>
      <w:r>
        <w:rPr>
          <w:rFonts w:hint="eastAsia" w:ascii="宋体" w:hAnsi="宋体" w:eastAsia="宋体" w:cs="宋体"/>
          <w:color w:val="auto"/>
          <w:highlight w:val="none"/>
        </w:rPr>
        <w:t>为我方代理人。代理人根据授权，以我方名义签署、澄清确认、递交、撤回、修改</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投标文件、签订合同和处理有关事宜，其法律后果由我方承担。</w:t>
      </w:r>
    </w:p>
    <w:p w14:paraId="1C8CA93E">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委托期限：自本委托书签署之日起至</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签订采购合同之日止。</w:t>
      </w:r>
    </w:p>
    <w:p w14:paraId="5B457A2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代理人无转委托权。</w:t>
      </w:r>
    </w:p>
    <w:p w14:paraId="136C00B7">
      <w:pPr>
        <w:spacing w:line="360" w:lineRule="auto"/>
        <w:ind w:firstLine="420" w:firstLineChars="200"/>
        <w:rPr>
          <w:rFonts w:hint="eastAsia" w:ascii="宋体" w:hAnsi="宋体" w:eastAsia="宋体" w:cs="Times New Roman"/>
          <w:color w:val="auto"/>
          <w:highlight w:val="none"/>
        </w:rPr>
      </w:pPr>
    </w:p>
    <w:p w14:paraId="31641817">
      <w:pPr>
        <w:spacing w:line="360" w:lineRule="auto"/>
        <w:ind w:firstLine="420" w:firstLineChars="200"/>
        <w:rPr>
          <w:rFonts w:hint="eastAsia" w:ascii="宋体" w:hAnsi="宋体" w:eastAsia="宋体" w:cs="Times New Roman"/>
          <w:color w:val="auto"/>
          <w:highlight w:val="none"/>
        </w:rPr>
      </w:pPr>
    </w:p>
    <w:p w14:paraId="67FCF941">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附：委托代理人身份证扫描件。</w:t>
      </w:r>
    </w:p>
    <w:p w14:paraId="6EF316B7">
      <w:pPr>
        <w:spacing w:line="360" w:lineRule="auto"/>
        <w:rPr>
          <w:rFonts w:hint="eastAsia" w:ascii="宋体" w:hAnsi="宋体" w:eastAsia="宋体" w:cs="Times New Roman"/>
          <w:color w:val="auto"/>
          <w:highlight w:val="none"/>
        </w:rPr>
      </w:pPr>
    </w:p>
    <w:p w14:paraId="7EBB5E17">
      <w:pPr>
        <w:spacing w:line="360" w:lineRule="auto"/>
        <w:rPr>
          <w:rFonts w:hint="eastAsia" w:ascii="宋体" w:hAnsi="宋体" w:eastAsia="宋体" w:cs="Times New Roman"/>
          <w:color w:val="auto"/>
          <w:highlight w:val="none"/>
        </w:rPr>
      </w:pPr>
    </w:p>
    <w:p w14:paraId="7515A30B">
      <w:pPr>
        <w:spacing w:line="360" w:lineRule="auto"/>
        <w:rPr>
          <w:rFonts w:hint="eastAsia" w:ascii="宋体" w:hAnsi="宋体" w:eastAsia="宋体" w:cs="Times New Roman"/>
          <w:color w:val="auto"/>
          <w:highlight w:val="none"/>
        </w:rPr>
      </w:pPr>
    </w:p>
    <w:p w14:paraId="5A1CE597">
      <w:pPr>
        <w:spacing w:line="360" w:lineRule="auto"/>
        <w:rPr>
          <w:rFonts w:hint="eastAsia" w:ascii="宋体" w:hAnsi="宋体" w:eastAsia="宋体" w:cs="Times New Roman"/>
          <w:color w:val="auto"/>
          <w:highlight w:val="none"/>
        </w:rPr>
      </w:pPr>
    </w:p>
    <w:p w14:paraId="21A0B0CB">
      <w:pPr>
        <w:spacing w:line="360" w:lineRule="auto"/>
        <w:rPr>
          <w:rFonts w:hint="eastAsia" w:ascii="宋体" w:hAnsi="宋体" w:eastAsia="宋体" w:cs="Times New Roman"/>
          <w:color w:val="auto"/>
          <w:highlight w:val="none"/>
        </w:rPr>
      </w:pPr>
    </w:p>
    <w:p w14:paraId="2CAB148B">
      <w:pPr>
        <w:spacing w:line="360" w:lineRule="auto"/>
        <w:rPr>
          <w:rFonts w:hint="eastAsia" w:ascii="宋体" w:hAnsi="宋体" w:eastAsia="宋体" w:cs="Times New Roman"/>
          <w:color w:val="auto"/>
          <w:highlight w:val="none"/>
        </w:rPr>
      </w:pPr>
    </w:p>
    <w:p w14:paraId="3A3FE633">
      <w:pPr>
        <w:spacing w:line="360" w:lineRule="auto"/>
        <w:rPr>
          <w:rFonts w:hint="eastAsia" w:ascii="宋体" w:hAnsi="宋体" w:eastAsia="宋体" w:cs="Times New Roman"/>
          <w:color w:val="auto"/>
          <w:highlight w:val="none"/>
        </w:rPr>
      </w:pPr>
    </w:p>
    <w:p w14:paraId="406EF3DD">
      <w:pPr>
        <w:spacing w:line="360" w:lineRule="auto"/>
        <w:rPr>
          <w:rFonts w:hint="eastAsia" w:ascii="宋体" w:hAnsi="宋体" w:eastAsia="宋体" w:cs="Times New Roman"/>
          <w:color w:val="auto"/>
          <w:highlight w:val="none"/>
        </w:rPr>
      </w:pPr>
    </w:p>
    <w:p w14:paraId="7B8E4E1B">
      <w:pPr>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投标人：</w:t>
      </w:r>
      <w:r>
        <w:rPr>
          <w:rFonts w:ascii="宋体" w:hAnsi="宋体" w:eastAsia="宋体"/>
          <w:color w:val="auto"/>
          <w:highlight w:val="none"/>
          <w:u w:val="single"/>
        </w:rPr>
        <w:t xml:space="preserve">                    </w:t>
      </w:r>
      <w:r>
        <w:rPr>
          <w:rFonts w:hint="eastAsia" w:ascii="宋体" w:hAnsi="宋体" w:eastAsia="宋体"/>
          <w:color w:val="auto"/>
          <w:highlight w:val="none"/>
          <w:u w:val="single"/>
        </w:rPr>
        <w:t>（盖单位章）</w:t>
      </w:r>
    </w:p>
    <w:p w14:paraId="1D57666F">
      <w:pPr>
        <w:wordWrap w:val="0"/>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法定代表人（单位负责人）：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（签字）</w:t>
      </w:r>
    </w:p>
    <w:p w14:paraId="3D017748">
      <w:pPr>
        <w:wordWrap w:val="0"/>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身份证号码：</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7C49DF84">
      <w:pPr>
        <w:wordWrap w:val="0"/>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委托代理人：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（签字）</w:t>
      </w:r>
    </w:p>
    <w:p w14:paraId="3910CD67">
      <w:pPr>
        <w:wordWrap w:val="0"/>
        <w:spacing w:line="360" w:lineRule="auto"/>
        <w:jc w:val="right"/>
        <w:rPr>
          <w:rFonts w:hint="eastAsia" w:ascii="宋体" w:hAnsi="宋体" w:eastAsia="宋体"/>
          <w:color w:val="auto"/>
          <w:highlight w:val="none"/>
          <w:u w:val="single"/>
        </w:rPr>
      </w:pPr>
      <w:r>
        <w:rPr>
          <w:rFonts w:hint="eastAsia" w:ascii="宋体" w:hAnsi="宋体" w:eastAsia="宋体"/>
          <w:color w:val="auto"/>
          <w:highlight w:val="none"/>
        </w:rPr>
        <w:t>身份证号码：</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p>
    <w:p w14:paraId="54A4CB66">
      <w:pPr>
        <w:spacing w:line="360" w:lineRule="auto"/>
        <w:jc w:val="right"/>
        <w:rPr>
          <w:rFonts w:hint="eastAsia" w:ascii="宋体" w:hAnsi="宋体" w:eastAsia="宋体"/>
          <w:color w:val="auto"/>
          <w:highlight w:val="none"/>
        </w:rPr>
      </w:pPr>
    </w:p>
    <w:p w14:paraId="511BDFDF">
      <w:pPr>
        <w:wordWrap w:val="0"/>
        <w:spacing w:line="360" w:lineRule="auto"/>
        <w:ind w:firstLine="420" w:firstLineChars="200"/>
        <w:jc w:val="right"/>
        <w:rPr>
          <w:rFonts w:hint="eastAsia" w:ascii="宋体" w:hAnsi="宋体" w:eastAsia="宋体" w:cs="Times New Roman"/>
          <w:color w:val="auto"/>
          <w:highlight w:val="none"/>
        </w:rPr>
      </w:pP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年</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月</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日</w:t>
      </w:r>
    </w:p>
    <w:p w14:paraId="3568435B">
      <w:pPr>
        <w:spacing w:line="360" w:lineRule="auto"/>
        <w:rPr>
          <w:rFonts w:hint="eastAsia" w:ascii="宋体" w:hAnsi="宋体" w:eastAsia="宋体" w:cs="Times New Roman"/>
          <w:color w:val="auto"/>
          <w:highlight w:val="none"/>
        </w:rPr>
      </w:pPr>
    </w:p>
    <w:p w14:paraId="7BECCFA0">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注：无授权委托的无需提供。</w:t>
      </w:r>
    </w:p>
    <w:p w14:paraId="46E61799">
      <w:pPr>
        <w:pStyle w:val="3"/>
        <w:spacing w:before="0" w:after="0" w:line="360" w:lineRule="auto"/>
        <w:jc w:val="center"/>
        <w:rPr>
          <w:rFonts w:hint="eastAsia" w:ascii="宋体" w:hAnsi="宋体" w:eastAsia="宋体" w:cs="宋体"/>
          <w:color w:val="auto"/>
          <w:sz w:val="21"/>
          <w:szCs w:val="21"/>
          <w:highlight w:val="none"/>
        </w:rPr>
      </w:pPr>
      <w:r>
        <w:rPr>
          <w:rFonts w:ascii="宋体" w:hAnsi="宋体" w:eastAsia="宋体" w:cs="Times New Roman"/>
          <w:color w:val="auto"/>
          <w:highlight w:val="none"/>
        </w:rPr>
        <w:br w:type="page"/>
      </w:r>
      <w:bookmarkStart w:id="637" w:name="_Toc70424903"/>
      <w:bookmarkStart w:id="638" w:name="_Toc77116720"/>
      <w:bookmarkStart w:id="639" w:name="_Toc77504118"/>
      <w:bookmarkStart w:id="640" w:name="_Toc164432971"/>
      <w:bookmarkStart w:id="641" w:name="_Toc77658128"/>
      <w:bookmarkStart w:id="642" w:name="_Toc17382"/>
      <w:bookmarkStart w:id="643" w:name="_Toc107396247"/>
      <w:bookmarkStart w:id="644" w:name="_Toc120282475"/>
      <w:r>
        <w:rPr>
          <w:rFonts w:hint="eastAsia" w:ascii="宋体" w:hAnsi="宋体" w:eastAsia="宋体" w:cs="宋体"/>
          <w:color w:val="auto"/>
          <w:sz w:val="24"/>
          <w:szCs w:val="24"/>
          <w:highlight w:val="none"/>
        </w:rPr>
        <w:t>四、联合体协议书</w:t>
      </w:r>
      <w:bookmarkEnd w:id="637"/>
      <w:r>
        <w:rPr>
          <w:rFonts w:hint="eastAsia" w:ascii="宋体" w:hAnsi="宋体" w:eastAsia="宋体" w:cs="宋体"/>
          <w:color w:val="auto"/>
          <w:sz w:val="24"/>
          <w:szCs w:val="24"/>
          <w:highlight w:val="none"/>
        </w:rPr>
        <w:t>（本项目不适用）</w:t>
      </w:r>
      <w:bookmarkEnd w:id="638"/>
      <w:bookmarkEnd w:id="639"/>
      <w:bookmarkEnd w:id="640"/>
      <w:bookmarkEnd w:id="641"/>
      <w:bookmarkEnd w:id="642"/>
      <w:bookmarkEnd w:id="643"/>
      <w:bookmarkEnd w:id="644"/>
    </w:p>
    <w:p w14:paraId="042426C5">
      <w:pPr>
        <w:spacing w:line="360" w:lineRule="auto"/>
        <w:rPr>
          <w:rFonts w:hint="eastAsia" w:ascii="宋体" w:hAnsi="宋体" w:eastAsia="宋体" w:cs="Times New Roman"/>
          <w:color w:val="auto"/>
          <w:highlight w:val="none"/>
        </w:rPr>
      </w:pPr>
    </w:p>
    <w:p w14:paraId="79F0136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u w:val="single"/>
        </w:rPr>
        <w:t>（所有成员单位名称）</w:t>
      </w:r>
      <w:r>
        <w:rPr>
          <w:rFonts w:hint="eastAsia" w:ascii="宋体" w:hAnsi="宋体" w:eastAsia="宋体" w:cs="宋体"/>
          <w:color w:val="auto"/>
          <w:highlight w:val="none"/>
        </w:rPr>
        <w:t>自愿组成</w:t>
      </w:r>
      <w:r>
        <w:rPr>
          <w:rFonts w:hint="eastAsia" w:ascii="宋体" w:hAnsi="宋体" w:eastAsia="宋体" w:cs="宋体"/>
          <w:color w:val="auto"/>
          <w:highlight w:val="none"/>
          <w:u w:val="single"/>
        </w:rPr>
        <w:t>（联合体名称）</w:t>
      </w:r>
      <w:r>
        <w:rPr>
          <w:rFonts w:hint="eastAsia" w:ascii="宋体" w:hAnsi="宋体" w:eastAsia="宋体" w:cs="宋体"/>
          <w:color w:val="auto"/>
          <w:highlight w:val="none"/>
        </w:rPr>
        <w:t>联合体，共同参加</w:t>
      </w:r>
      <w:r>
        <w:rPr>
          <w:rFonts w:hint="eastAsia" w:ascii="宋体" w:hAnsi="宋体" w:eastAsia="宋体" w:cs="宋体"/>
          <w:color w:val="auto"/>
          <w:highlight w:val="none"/>
          <w:u w:val="single"/>
        </w:rPr>
        <w:t>（项目名称）  标段</w:t>
      </w:r>
      <w:r>
        <w:rPr>
          <w:rFonts w:hint="eastAsia" w:ascii="宋体" w:hAnsi="宋体" w:eastAsia="宋体" w:cs="宋体"/>
          <w:color w:val="auto"/>
          <w:highlight w:val="none"/>
        </w:rPr>
        <w:t>招标项目投标。现就组成联合体事宜订立如下协议。</w:t>
      </w:r>
    </w:p>
    <w:p w14:paraId="0A254D55">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1.</w:t>
      </w:r>
      <w:r>
        <w:rPr>
          <w:rFonts w:hint="eastAsia" w:ascii="宋体" w:hAnsi="宋体" w:eastAsia="宋体" w:cs="宋体"/>
          <w:color w:val="auto"/>
          <w:highlight w:val="none"/>
          <w:u w:val="single"/>
        </w:rPr>
        <w:t>（某成员单位名称）</w:t>
      </w:r>
      <w:r>
        <w:rPr>
          <w:rFonts w:hint="eastAsia" w:ascii="宋体" w:hAnsi="宋体" w:eastAsia="宋体" w:cs="宋体"/>
          <w:color w:val="auto"/>
          <w:highlight w:val="none"/>
        </w:rPr>
        <w:t>为</w:t>
      </w:r>
      <w:r>
        <w:rPr>
          <w:rFonts w:hint="eastAsia" w:ascii="宋体" w:hAnsi="宋体" w:eastAsia="宋体" w:cs="宋体"/>
          <w:color w:val="auto"/>
          <w:highlight w:val="none"/>
          <w:u w:val="single"/>
        </w:rPr>
        <w:t>（联合体名称）</w:t>
      </w:r>
      <w:r>
        <w:rPr>
          <w:rFonts w:hint="eastAsia" w:ascii="宋体" w:hAnsi="宋体" w:eastAsia="宋体" w:cs="宋体"/>
          <w:color w:val="auto"/>
          <w:highlight w:val="none"/>
        </w:rPr>
        <w:t>牵头人。</w:t>
      </w:r>
    </w:p>
    <w:p w14:paraId="5414738B">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rPr>
        <w:t>联合体各成员授权牵头人代表联合体参加投标活动，签署文件，递交和接收相关的资料、信息及指示，进行合同谈判活动，负责合同实施阶段的组织和协调工作，以及处理与本招标项目有关的一切事宜。</w:t>
      </w:r>
    </w:p>
    <w:p w14:paraId="2FA18825">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3.</w:t>
      </w:r>
      <w:r>
        <w:rPr>
          <w:rFonts w:hint="eastAsia" w:ascii="宋体" w:hAnsi="宋体" w:eastAsia="宋体" w:cs="宋体"/>
          <w:color w:val="auto"/>
          <w:highlight w:val="none"/>
        </w:rPr>
        <w:t>联合体牵头人在本项目中签署的一切文件和处理的一切事宜，联合体各成员均予以承认。联合体各成员将严格按照招标文件、投标文件和合同的要求全面履行义务，并向采购人承担连带责任。</w:t>
      </w:r>
    </w:p>
    <w:p w14:paraId="62F0B574">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4.</w:t>
      </w:r>
      <w:r>
        <w:rPr>
          <w:rFonts w:hint="eastAsia" w:ascii="宋体" w:hAnsi="宋体" w:eastAsia="宋体" w:cs="宋体"/>
          <w:color w:val="auto"/>
          <w:highlight w:val="none"/>
        </w:rPr>
        <w:t>联合体各方承诺不以自己名义单独或参加其他联合体在本招标项目中投标。</w:t>
      </w:r>
    </w:p>
    <w:p w14:paraId="476DFDF4">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5.</w:t>
      </w:r>
      <w:r>
        <w:rPr>
          <w:rFonts w:hint="eastAsia" w:ascii="宋体" w:hAnsi="宋体" w:eastAsia="宋体" w:cs="宋体"/>
          <w:color w:val="auto"/>
          <w:highlight w:val="none"/>
        </w:rPr>
        <w:t xml:space="preserve">联合体各成员单位内部的职责分工如下： </w:t>
      </w:r>
      <w:r>
        <w:rPr>
          <w:rFonts w:ascii="宋体" w:hAnsi="宋体" w:eastAsia="宋体" w:cs="宋体"/>
          <w:color w:val="auto"/>
          <w:highlight w:val="none"/>
        </w:rPr>
        <w:t xml:space="preserve">  </w:t>
      </w:r>
      <w:r>
        <w:rPr>
          <w:rFonts w:hint="eastAsia" w:ascii="宋体" w:hAnsi="宋体" w:eastAsia="宋体" w:cs="宋体"/>
          <w:color w:val="auto"/>
          <w:highlight w:val="none"/>
        </w:rPr>
        <w:t>。</w:t>
      </w:r>
    </w:p>
    <w:p w14:paraId="61B4592C">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6.</w:t>
      </w:r>
      <w:r>
        <w:rPr>
          <w:rFonts w:hint="eastAsia" w:ascii="宋体" w:hAnsi="宋体" w:eastAsia="宋体" w:cs="宋体"/>
          <w:color w:val="auto"/>
          <w:highlight w:val="none"/>
        </w:rPr>
        <w:t>本协议书自所有成员单位法定代表人（单位负责人）或其授权的代理人签字并加电子签章之日起生效，合同履行完毕后自动失效。</w:t>
      </w:r>
    </w:p>
    <w:p w14:paraId="5ECDDD86">
      <w:pPr>
        <w:spacing w:line="360" w:lineRule="auto"/>
        <w:ind w:firstLine="420" w:firstLineChars="200"/>
        <w:rPr>
          <w:rFonts w:hint="eastAsia" w:ascii="宋体" w:hAnsi="宋体" w:eastAsia="宋体" w:cs="Times New Roman"/>
          <w:color w:val="auto"/>
          <w:highlight w:val="none"/>
        </w:rPr>
      </w:pPr>
      <w:r>
        <w:rPr>
          <w:rFonts w:ascii="宋体" w:hAnsi="宋体" w:eastAsia="宋体" w:cs="宋体"/>
          <w:color w:val="auto"/>
          <w:highlight w:val="none"/>
        </w:rPr>
        <w:t>7.</w:t>
      </w:r>
      <w:r>
        <w:rPr>
          <w:rFonts w:hint="eastAsia" w:ascii="宋体" w:hAnsi="宋体" w:eastAsia="宋体" w:cs="宋体"/>
          <w:color w:val="auto"/>
          <w:highlight w:val="none"/>
        </w:rPr>
        <w:t>本协议书一式份，联合体成员和采购人各执一份。</w:t>
      </w:r>
    </w:p>
    <w:p w14:paraId="1AB85724">
      <w:pPr>
        <w:spacing w:line="360" w:lineRule="auto"/>
        <w:ind w:firstLine="400" w:firstLineChars="200"/>
        <w:rPr>
          <w:rFonts w:hint="eastAsia" w:ascii="宋体" w:hAnsi="宋体" w:eastAsia="宋体" w:cs="Times New Roman"/>
          <w:color w:val="auto"/>
          <w:sz w:val="20"/>
          <w:szCs w:val="20"/>
          <w:highlight w:val="none"/>
        </w:rPr>
      </w:pPr>
      <w:r>
        <w:rPr>
          <w:rFonts w:hint="eastAsia" w:ascii="宋体" w:hAnsi="宋体" w:eastAsia="宋体" w:cs="宋体"/>
          <w:color w:val="auto"/>
          <w:sz w:val="20"/>
          <w:szCs w:val="20"/>
          <w:highlight w:val="none"/>
        </w:rPr>
        <w:t>（注：本协议书由委托代理人签字的，应附授权委托书。）</w:t>
      </w:r>
    </w:p>
    <w:p w14:paraId="2CF3C46A">
      <w:pPr>
        <w:spacing w:line="360" w:lineRule="auto"/>
        <w:rPr>
          <w:rFonts w:hint="eastAsia" w:ascii="宋体" w:hAnsi="宋体" w:eastAsia="宋体" w:cs="Times New Roman"/>
          <w:color w:val="auto"/>
          <w:highlight w:val="none"/>
        </w:rPr>
      </w:pPr>
    </w:p>
    <w:p w14:paraId="1EC2E329">
      <w:pPr>
        <w:spacing w:line="360" w:lineRule="auto"/>
        <w:rPr>
          <w:rFonts w:hint="eastAsia" w:ascii="宋体" w:hAnsi="宋体" w:eastAsia="宋体" w:cs="Times New Roman"/>
          <w:color w:val="auto"/>
          <w:highlight w:val="none"/>
        </w:rPr>
      </w:pPr>
    </w:p>
    <w:p w14:paraId="35916EC4">
      <w:pPr>
        <w:spacing w:line="360" w:lineRule="auto"/>
        <w:rPr>
          <w:rFonts w:hint="eastAsia" w:ascii="宋体" w:hAnsi="宋体" w:eastAsia="宋体"/>
          <w:color w:val="auto"/>
          <w:highlight w:val="none"/>
        </w:rPr>
      </w:pPr>
      <w:r>
        <w:rPr>
          <w:rFonts w:hint="eastAsia" w:ascii="宋体" w:hAnsi="宋体" w:eastAsia="宋体"/>
          <w:color w:val="auto"/>
          <w:highlight w:val="none"/>
        </w:rPr>
        <w:t>牵头人名称：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（盖单位章）</w:t>
      </w:r>
    </w:p>
    <w:p w14:paraId="27532AFF">
      <w:pPr>
        <w:spacing w:line="360" w:lineRule="auto"/>
        <w:rPr>
          <w:rFonts w:hint="eastAsia" w:ascii="宋体" w:hAnsi="宋体" w:eastAsia="宋体"/>
          <w:color w:val="auto"/>
          <w:highlight w:val="none"/>
        </w:rPr>
      </w:pPr>
      <w:r>
        <w:rPr>
          <w:rFonts w:hint="eastAsia" w:ascii="宋体" w:hAnsi="宋体" w:eastAsia="宋体"/>
          <w:color w:val="auto"/>
          <w:highlight w:val="none"/>
        </w:rPr>
        <w:t>法定代表人（单位负责人）或其授权的代理人：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（签字）</w:t>
      </w:r>
    </w:p>
    <w:p w14:paraId="3CA551A7">
      <w:pPr>
        <w:spacing w:line="360" w:lineRule="auto"/>
        <w:rPr>
          <w:rFonts w:hint="eastAsia" w:ascii="宋体" w:hAnsi="宋体" w:eastAsia="宋体"/>
          <w:color w:val="auto"/>
          <w:highlight w:val="none"/>
        </w:rPr>
      </w:pPr>
    </w:p>
    <w:p w14:paraId="2D3A456B">
      <w:pPr>
        <w:spacing w:line="360" w:lineRule="auto"/>
        <w:rPr>
          <w:rFonts w:hint="eastAsia" w:ascii="宋体" w:hAnsi="宋体" w:eastAsia="宋体"/>
          <w:color w:val="auto"/>
          <w:highlight w:val="none"/>
        </w:rPr>
      </w:pPr>
      <w:r>
        <w:rPr>
          <w:rFonts w:hint="eastAsia" w:ascii="宋体" w:hAnsi="宋体" w:eastAsia="宋体"/>
          <w:color w:val="auto"/>
          <w:highlight w:val="none"/>
        </w:rPr>
        <w:t>成员一名称：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（盖单位章）</w:t>
      </w:r>
    </w:p>
    <w:p w14:paraId="2F85D3DE">
      <w:pPr>
        <w:spacing w:line="360" w:lineRule="auto"/>
        <w:rPr>
          <w:rFonts w:hint="eastAsia" w:ascii="宋体" w:hAnsi="宋体" w:eastAsia="宋体"/>
          <w:color w:val="auto"/>
          <w:highlight w:val="none"/>
        </w:rPr>
      </w:pPr>
      <w:r>
        <w:rPr>
          <w:rFonts w:hint="eastAsia" w:ascii="宋体" w:hAnsi="宋体" w:eastAsia="宋体"/>
          <w:color w:val="auto"/>
          <w:highlight w:val="none"/>
        </w:rPr>
        <w:t>法定代表人（单位负责人）或其授权的代理人：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（签字）</w:t>
      </w:r>
    </w:p>
    <w:p w14:paraId="3C1DB5C1">
      <w:pPr>
        <w:spacing w:line="360" w:lineRule="auto"/>
        <w:rPr>
          <w:rFonts w:hint="eastAsia" w:ascii="宋体" w:hAnsi="宋体" w:eastAsia="宋体"/>
          <w:color w:val="auto"/>
          <w:highlight w:val="none"/>
        </w:rPr>
      </w:pPr>
    </w:p>
    <w:p w14:paraId="5AD2793D">
      <w:pPr>
        <w:spacing w:line="360" w:lineRule="auto"/>
        <w:rPr>
          <w:rFonts w:hint="eastAsia" w:ascii="宋体" w:hAnsi="宋体" w:eastAsia="宋体"/>
          <w:color w:val="auto"/>
          <w:highlight w:val="none"/>
        </w:rPr>
      </w:pPr>
      <w:r>
        <w:rPr>
          <w:rFonts w:hint="eastAsia" w:ascii="宋体" w:hAnsi="宋体" w:eastAsia="宋体"/>
          <w:color w:val="auto"/>
          <w:highlight w:val="none"/>
        </w:rPr>
        <w:t>成员二名称：</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（盖单位章）</w:t>
      </w:r>
    </w:p>
    <w:p w14:paraId="578207FA">
      <w:pPr>
        <w:spacing w:line="360" w:lineRule="auto"/>
        <w:rPr>
          <w:rFonts w:hint="eastAsia" w:ascii="宋体" w:hAnsi="宋体" w:eastAsia="宋体"/>
          <w:color w:val="auto"/>
          <w:highlight w:val="none"/>
        </w:rPr>
      </w:pPr>
      <w:r>
        <w:rPr>
          <w:rFonts w:hint="eastAsia" w:ascii="宋体" w:hAnsi="宋体" w:eastAsia="宋体"/>
          <w:color w:val="auto"/>
          <w:highlight w:val="none"/>
        </w:rPr>
        <w:t>法定代表人（单位负责人）或其授权的代理人：</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u w:val="single"/>
        </w:rPr>
        <w:t>（签字）</w:t>
      </w:r>
    </w:p>
    <w:p w14:paraId="3278F476">
      <w:pPr>
        <w:spacing w:line="360" w:lineRule="auto"/>
        <w:rPr>
          <w:rFonts w:hint="eastAsia" w:ascii="宋体" w:hAnsi="宋体" w:eastAsia="宋体"/>
          <w:color w:val="auto"/>
          <w:highlight w:val="none"/>
        </w:rPr>
      </w:pPr>
    </w:p>
    <w:p w14:paraId="65472942">
      <w:pPr>
        <w:spacing w:line="360" w:lineRule="auto"/>
        <w:rPr>
          <w:rFonts w:hint="eastAsia" w:ascii="宋体" w:hAnsi="宋体" w:eastAsia="宋体"/>
          <w:color w:val="auto"/>
          <w:highlight w:val="none"/>
        </w:rPr>
      </w:pPr>
      <w:r>
        <w:rPr>
          <w:rFonts w:ascii="宋体" w:hAnsi="宋体" w:eastAsia="宋体"/>
          <w:color w:val="auto"/>
          <w:highlight w:val="none"/>
        </w:rPr>
        <w:t>……</w:t>
      </w:r>
    </w:p>
    <w:p w14:paraId="7606B35F">
      <w:pPr>
        <w:spacing w:line="360" w:lineRule="auto"/>
        <w:rPr>
          <w:rFonts w:hint="eastAsia" w:ascii="宋体" w:hAnsi="宋体" w:eastAsia="宋体"/>
          <w:color w:val="auto"/>
          <w:highlight w:val="none"/>
          <w:u w:val="single"/>
        </w:rPr>
      </w:pPr>
    </w:p>
    <w:p w14:paraId="7A1C4103">
      <w:pPr>
        <w:spacing w:line="360" w:lineRule="auto"/>
        <w:rPr>
          <w:rFonts w:hint="eastAsia" w:ascii="宋体" w:hAnsi="宋体" w:eastAsia="宋体" w:cs="Times New Roman"/>
          <w:color w:val="auto"/>
          <w:highlight w:val="none"/>
        </w:rPr>
      </w:pP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年</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月</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   </w:t>
      </w:r>
      <w:r>
        <w:rPr>
          <w:rFonts w:hint="eastAsia" w:ascii="宋体" w:hAnsi="宋体" w:eastAsia="宋体"/>
          <w:color w:val="auto"/>
          <w:highlight w:val="none"/>
        </w:rPr>
        <w:t>日</w:t>
      </w:r>
    </w:p>
    <w:p w14:paraId="28F719E2">
      <w:pPr>
        <w:spacing w:line="360" w:lineRule="auto"/>
        <w:rPr>
          <w:rFonts w:hint="eastAsia" w:ascii="宋体" w:hAnsi="宋体" w:eastAsia="宋体" w:cs="Times New Roman"/>
          <w:color w:val="auto"/>
          <w:highlight w:val="none"/>
        </w:rPr>
      </w:pPr>
    </w:p>
    <w:p w14:paraId="2AA8CE71">
      <w:pPr>
        <w:spacing w:line="360" w:lineRule="auto"/>
        <w:rPr>
          <w:rFonts w:hint="eastAsia" w:ascii="宋体" w:hAnsi="宋体" w:eastAsia="宋体" w:cs="Times New Roman"/>
          <w:color w:val="auto"/>
          <w:highlight w:val="none"/>
        </w:rPr>
      </w:pPr>
    </w:p>
    <w:p w14:paraId="290488A3">
      <w:pPr>
        <w:pStyle w:val="3"/>
        <w:spacing w:before="0" w:after="0" w:line="360" w:lineRule="auto"/>
        <w:jc w:val="center"/>
        <w:rPr>
          <w:rFonts w:hint="eastAsia" w:ascii="宋体" w:hAnsi="宋体" w:eastAsia="宋体" w:cs="宋体"/>
          <w:color w:val="auto"/>
          <w:sz w:val="21"/>
          <w:szCs w:val="21"/>
          <w:highlight w:val="none"/>
        </w:rPr>
      </w:pPr>
      <w:r>
        <w:rPr>
          <w:rFonts w:ascii="宋体" w:hAnsi="宋体" w:eastAsia="宋体" w:cs="Times New Roman"/>
          <w:color w:val="auto"/>
          <w:highlight w:val="none"/>
        </w:rPr>
        <w:br w:type="page"/>
      </w:r>
      <w:bookmarkStart w:id="645" w:name="_Toc77116721"/>
      <w:bookmarkStart w:id="646" w:name="_Toc164432972"/>
      <w:bookmarkStart w:id="647" w:name="_Toc77658129"/>
      <w:bookmarkStart w:id="648" w:name="_Toc70424904"/>
      <w:bookmarkStart w:id="649" w:name="_Toc107396248"/>
      <w:bookmarkStart w:id="650" w:name="_Toc120282476"/>
      <w:bookmarkStart w:id="651" w:name="_Toc8451"/>
      <w:bookmarkStart w:id="652" w:name="_Toc77504119"/>
      <w:r>
        <w:rPr>
          <w:rFonts w:hint="eastAsia" w:ascii="宋体" w:hAnsi="宋体" w:eastAsia="宋体" w:cs="宋体"/>
          <w:color w:val="auto"/>
          <w:sz w:val="24"/>
          <w:szCs w:val="24"/>
          <w:highlight w:val="none"/>
        </w:rPr>
        <w:t>五、投标保证金</w:t>
      </w:r>
      <w:bookmarkEnd w:id="645"/>
      <w:bookmarkEnd w:id="646"/>
      <w:bookmarkEnd w:id="647"/>
      <w:bookmarkEnd w:id="648"/>
      <w:bookmarkEnd w:id="649"/>
      <w:bookmarkEnd w:id="650"/>
      <w:bookmarkEnd w:id="651"/>
      <w:bookmarkEnd w:id="652"/>
    </w:p>
    <w:p w14:paraId="2DFAA8E9">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本次采购不要求递交。</w:t>
      </w:r>
    </w:p>
    <w:p w14:paraId="042EC85E">
      <w:pPr>
        <w:spacing w:line="360" w:lineRule="auto"/>
        <w:rPr>
          <w:rFonts w:hint="eastAsia" w:ascii="宋体" w:hAnsi="宋体" w:eastAsia="宋体" w:cs="Times New Roman"/>
          <w:color w:val="auto"/>
          <w:highlight w:val="none"/>
        </w:rPr>
      </w:pPr>
    </w:p>
    <w:p w14:paraId="11C969D6">
      <w:pPr>
        <w:spacing w:line="360" w:lineRule="auto"/>
        <w:rPr>
          <w:rFonts w:hint="eastAsia" w:ascii="宋体" w:hAnsi="宋体" w:eastAsia="宋体" w:cs="Times New Roman"/>
          <w:color w:val="auto"/>
          <w:highlight w:val="none"/>
        </w:rPr>
      </w:pPr>
    </w:p>
    <w:p w14:paraId="76EDE63E">
      <w:pPr>
        <w:spacing w:line="360" w:lineRule="auto"/>
        <w:rPr>
          <w:rFonts w:hint="eastAsia" w:ascii="宋体" w:hAnsi="宋体" w:eastAsia="宋体" w:cs="Times New Roman"/>
          <w:color w:val="auto"/>
          <w:highlight w:val="none"/>
        </w:rPr>
      </w:pPr>
    </w:p>
    <w:p w14:paraId="1FA6DEDF">
      <w:pPr>
        <w:pStyle w:val="3"/>
        <w:spacing w:before="0" w:after="0" w:line="360" w:lineRule="auto"/>
        <w:jc w:val="center"/>
        <w:rPr>
          <w:rFonts w:hint="eastAsia" w:ascii="宋体" w:hAnsi="宋体" w:eastAsia="宋体" w:cs="宋体"/>
          <w:color w:val="auto"/>
          <w:sz w:val="24"/>
          <w:szCs w:val="24"/>
          <w:highlight w:val="none"/>
        </w:rPr>
      </w:pPr>
      <w:r>
        <w:rPr>
          <w:rFonts w:ascii="宋体" w:hAnsi="宋体" w:eastAsia="宋体" w:cs="Times New Roman"/>
          <w:color w:val="auto"/>
          <w:highlight w:val="none"/>
        </w:rPr>
        <w:br w:type="page"/>
      </w:r>
      <w:bookmarkStart w:id="653" w:name="_Toc77504120"/>
      <w:bookmarkStart w:id="654" w:name="_Toc164432973"/>
      <w:bookmarkStart w:id="655" w:name="_Toc107396249"/>
      <w:bookmarkStart w:id="656" w:name="_Toc17820"/>
      <w:bookmarkStart w:id="657" w:name="_Toc70424905"/>
      <w:bookmarkStart w:id="658" w:name="_Toc77116722"/>
      <w:bookmarkStart w:id="659" w:name="_Toc77658130"/>
      <w:bookmarkStart w:id="660" w:name="_Toc120282477"/>
      <w:r>
        <w:rPr>
          <w:rFonts w:hint="eastAsia" w:ascii="宋体" w:hAnsi="宋体" w:eastAsia="宋体" w:cs="宋体"/>
          <w:color w:val="auto"/>
          <w:sz w:val="24"/>
          <w:szCs w:val="24"/>
          <w:highlight w:val="none"/>
        </w:rPr>
        <w:t>六、商务偏差表</w:t>
      </w:r>
      <w:bookmarkEnd w:id="653"/>
      <w:bookmarkEnd w:id="654"/>
      <w:bookmarkEnd w:id="655"/>
      <w:bookmarkEnd w:id="656"/>
      <w:bookmarkEnd w:id="657"/>
      <w:bookmarkEnd w:id="658"/>
      <w:bookmarkEnd w:id="659"/>
      <w:bookmarkEnd w:id="660"/>
    </w:p>
    <w:p w14:paraId="5FC0DEB6">
      <w:pPr>
        <w:rPr>
          <w:rFonts w:hint="eastAsia"/>
          <w:color w:val="auto"/>
          <w:highlight w:val="none"/>
        </w:rPr>
      </w:pPr>
    </w:p>
    <w:p w14:paraId="052CD3D2">
      <w:pP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商务条款偏差表</w:t>
      </w:r>
    </w:p>
    <w:tbl>
      <w:tblPr>
        <w:tblStyle w:val="39"/>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551"/>
        <w:gridCol w:w="2552"/>
        <w:gridCol w:w="3565"/>
      </w:tblGrid>
      <w:tr w14:paraId="1C9B7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3C6E1C1">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序号</w:t>
            </w:r>
          </w:p>
        </w:tc>
        <w:tc>
          <w:tcPr>
            <w:tcW w:w="2551" w:type="dxa"/>
            <w:vAlign w:val="center"/>
          </w:tcPr>
          <w:p w14:paraId="1FCF6103">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招标文件章节及条款号</w:t>
            </w:r>
          </w:p>
        </w:tc>
        <w:tc>
          <w:tcPr>
            <w:tcW w:w="2552" w:type="dxa"/>
            <w:vAlign w:val="center"/>
          </w:tcPr>
          <w:p w14:paraId="71C976E5">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投标文件章节及条款号</w:t>
            </w:r>
          </w:p>
        </w:tc>
        <w:tc>
          <w:tcPr>
            <w:tcW w:w="3565" w:type="dxa"/>
            <w:vAlign w:val="center"/>
          </w:tcPr>
          <w:p w14:paraId="58E321FB">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偏差说明</w:t>
            </w:r>
          </w:p>
        </w:tc>
      </w:tr>
      <w:tr w14:paraId="7C7B5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145149C0">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1</w:t>
            </w:r>
          </w:p>
        </w:tc>
        <w:tc>
          <w:tcPr>
            <w:tcW w:w="2551" w:type="dxa"/>
            <w:vAlign w:val="center"/>
          </w:tcPr>
          <w:p w14:paraId="0D86FC48">
            <w:pPr>
              <w:spacing w:before="120" w:beforeLines="50" w:line="360" w:lineRule="auto"/>
              <w:jc w:val="center"/>
              <w:rPr>
                <w:rFonts w:hint="eastAsia" w:ascii="宋体" w:hAnsi="宋体" w:eastAsia="宋体" w:cs="宋体"/>
                <w:color w:val="auto"/>
                <w:highlight w:val="none"/>
              </w:rPr>
            </w:pPr>
          </w:p>
        </w:tc>
        <w:tc>
          <w:tcPr>
            <w:tcW w:w="2552" w:type="dxa"/>
            <w:vAlign w:val="center"/>
          </w:tcPr>
          <w:p w14:paraId="0E890C1C">
            <w:pPr>
              <w:spacing w:before="120" w:beforeLines="50" w:line="360" w:lineRule="auto"/>
              <w:jc w:val="center"/>
              <w:rPr>
                <w:rFonts w:hint="eastAsia" w:ascii="宋体" w:hAnsi="宋体" w:eastAsia="宋体" w:cs="宋体"/>
                <w:color w:val="auto"/>
                <w:highlight w:val="none"/>
              </w:rPr>
            </w:pPr>
          </w:p>
        </w:tc>
        <w:tc>
          <w:tcPr>
            <w:tcW w:w="3565" w:type="dxa"/>
            <w:vAlign w:val="center"/>
          </w:tcPr>
          <w:p w14:paraId="3AA23942">
            <w:pPr>
              <w:spacing w:before="120" w:beforeLines="50" w:line="360" w:lineRule="auto"/>
              <w:jc w:val="center"/>
              <w:rPr>
                <w:rFonts w:hint="eastAsia" w:ascii="宋体" w:hAnsi="宋体" w:eastAsia="宋体" w:cs="宋体"/>
                <w:color w:val="auto"/>
                <w:highlight w:val="none"/>
              </w:rPr>
            </w:pPr>
          </w:p>
        </w:tc>
      </w:tr>
      <w:tr w14:paraId="48789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23BD5275">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2</w:t>
            </w:r>
          </w:p>
        </w:tc>
        <w:tc>
          <w:tcPr>
            <w:tcW w:w="2551" w:type="dxa"/>
            <w:vAlign w:val="center"/>
          </w:tcPr>
          <w:p w14:paraId="31111D35">
            <w:pPr>
              <w:spacing w:before="120" w:beforeLines="50" w:line="360" w:lineRule="auto"/>
              <w:jc w:val="center"/>
              <w:rPr>
                <w:rFonts w:hint="eastAsia" w:ascii="宋体" w:hAnsi="宋体" w:eastAsia="宋体" w:cs="宋体"/>
                <w:color w:val="auto"/>
                <w:highlight w:val="none"/>
              </w:rPr>
            </w:pPr>
          </w:p>
        </w:tc>
        <w:tc>
          <w:tcPr>
            <w:tcW w:w="2552" w:type="dxa"/>
            <w:vAlign w:val="center"/>
          </w:tcPr>
          <w:p w14:paraId="789A57C3">
            <w:pPr>
              <w:spacing w:before="120" w:beforeLines="50" w:line="360" w:lineRule="auto"/>
              <w:jc w:val="center"/>
              <w:rPr>
                <w:rFonts w:hint="eastAsia" w:ascii="宋体" w:hAnsi="宋体" w:eastAsia="宋体" w:cs="宋体"/>
                <w:color w:val="auto"/>
                <w:highlight w:val="none"/>
              </w:rPr>
            </w:pPr>
          </w:p>
        </w:tc>
        <w:tc>
          <w:tcPr>
            <w:tcW w:w="3565" w:type="dxa"/>
            <w:vAlign w:val="center"/>
          </w:tcPr>
          <w:p w14:paraId="5425C80D">
            <w:pPr>
              <w:spacing w:before="120" w:beforeLines="50" w:line="360" w:lineRule="auto"/>
              <w:jc w:val="center"/>
              <w:rPr>
                <w:rFonts w:hint="eastAsia" w:ascii="宋体" w:hAnsi="宋体" w:eastAsia="宋体" w:cs="宋体"/>
                <w:color w:val="auto"/>
                <w:highlight w:val="none"/>
              </w:rPr>
            </w:pPr>
          </w:p>
        </w:tc>
      </w:tr>
      <w:tr w14:paraId="68F2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449D9E0">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3</w:t>
            </w:r>
          </w:p>
        </w:tc>
        <w:tc>
          <w:tcPr>
            <w:tcW w:w="2551" w:type="dxa"/>
            <w:vAlign w:val="center"/>
          </w:tcPr>
          <w:p w14:paraId="30384144">
            <w:pPr>
              <w:spacing w:before="120" w:beforeLines="50" w:line="360" w:lineRule="auto"/>
              <w:jc w:val="center"/>
              <w:rPr>
                <w:rFonts w:hint="eastAsia" w:ascii="宋体" w:hAnsi="宋体" w:eastAsia="宋体" w:cs="宋体"/>
                <w:color w:val="auto"/>
                <w:highlight w:val="none"/>
              </w:rPr>
            </w:pPr>
          </w:p>
        </w:tc>
        <w:tc>
          <w:tcPr>
            <w:tcW w:w="2552" w:type="dxa"/>
            <w:vAlign w:val="center"/>
          </w:tcPr>
          <w:p w14:paraId="792C8DD7">
            <w:pPr>
              <w:spacing w:before="120" w:beforeLines="50" w:line="360" w:lineRule="auto"/>
              <w:jc w:val="center"/>
              <w:rPr>
                <w:rFonts w:hint="eastAsia" w:ascii="宋体" w:hAnsi="宋体" w:eastAsia="宋体" w:cs="宋体"/>
                <w:color w:val="auto"/>
                <w:highlight w:val="none"/>
              </w:rPr>
            </w:pPr>
          </w:p>
        </w:tc>
        <w:tc>
          <w:tcPr>
            <w:tcW w:w="3565" w:type="dxa"/>
            <w:vAlign w:val="center"/>
          </w:tcPr>
          <w:p w14:paraId="3D4A5D87">
            <w:pPr>
              <w:spacing w:before="120" w:beforeLines="50" w:line="360" w:lineRule="auto"/>
              <w:jc w:val="center"/>
              <w:rPr>
                <w:rFonts w:hint="eastAsia" w:ascii="宋体" w:hAnsi="宋体" w:eastAsia="宋体" w:cs="宋体"/>
                <w:color w:val="auto"/>
                <w:highlight w:val="none"/>
              </w:rPr>
            </w:pPr>
          </w:p>
        </w:tc>
      </w:tr>
      <w:tr w14:paraId="51336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474583A3">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4</w:t>
            </w:r>
          </w:p>
        </w:tc>
        <w:tc>
          <w:tcPr>
            <w:tcW w:w="2551" w:type="dxa"/>
            <w:vAlign w:val="center"/>
          </w:tcPr>
          <w:p w14:paraId="50D7DE81">
            <w:pPr>
              <w:spacing w:before="120" w:beforeLines="50" w:line="360" w:lineRule="auto"/>
              <w:jc w:val="center"/>
              <w:rPr>
                <w:rFonts w:hint="eastAsia" w:ascii="宋体" w:hAnsi="宋体" w:eastAsia="宋体" w:cs="宋体"/>
                <w:color w:val="auto"/>
                <w:highlight w:val="none"/>
              </w:rPr>
            </w:pPr>
          </w:p>
        </w:tc>
        <w:tc>
          <w:tcPr>
            <w:tcW w:w="2552" w:type="dxa"/>
            <w:vAlign w:val="center"/>
          </w:tcPr>
          <w:p w14:paraId="047FCFFC">
            <w:pPr>
              <w:spacing w:before="120" w:beforeLines="50" w:line="360" w:lineRule="auto"/>
              <w:jc w:val="center"/>
              <w:rPr>
                <w:rFonts w:hint="eastAsia" w:ascii="宋体" w:hAnsi="宋体" w:eastAsia="宋体" w:cs="宋体"/>
                <w:color w:val="auto"/>
                <w:highlight w:val="none"/>
              </w:rPr>
            </w:pPr>
          </w:p>
        </w:tc>
        <w:tc>
          <w:tcPr>
            <w:tcW w:w="3565" w:type="dxa"/>
            <w:vAlign w:val="center"/>
          </w:tcPr>
          <w:p w14:paraId="365AB736">
            <w:pPr>
              <w:spacing w:before="120" w:beforeLines="50" w:line="360" w:lineRule="auto"/>
              <w:jc w:val="center"/>
              <w:rPr>
                <w:rFonts w:hint="eastAsia" w:ascii="宋体" w:hAnsi="宋体" w:eastAsia="宋体" w:cs="宋体"/>
                <w:color w:val="auto"/>
                <w:highlight w:val="none"/>
              </w:rPr>
            </w:pPr>
          </w:p>
        </w:tc>
      </w:tr>
      <w:tr w14:paraId="6034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3B6D4658">
            <w:pPr>
              <w:spacing w:before="120" w:beforeLines="50" w:line="360" w:lineRule="auto"/>
              <w:jc w:val="center"/>
              <w:rPr>
                <w:rFonts w:hint="eastAsia" w:ascii="宋体" w:hAnsi="宋体" w:eastAsia="宋体" w:cs="宋体"/>
                <w:color w:val="auto"/>
                <w:highlight w:val="none"/>
              </w:rPr>
            </w:pPr>
            <w:r>
              <w:rPr>
                <w:rFonts w:ascii="宋体" w:hAnsi="宋体" w:eastAsia="宋体" w:cs="宋体"/>
                <w:color w:val="auto"/>
                <w:highlight w:val="none"/>
              </w:rPr>
              <w:t>5</w:t>
            </w:r>
          </w:p>
        </w:tc>
        <w:tc>
          <w:tcPr>
            <w:tcW w:w="2551" w:type="dxa"/>
            <w:vAlign w:val="center"/>
          </w:tcPr>
          <w:p w14:paraId="6A306167">
            <w:pPr>
              <w:spacing w:before="120" w:beforeLines="50" w:line="360" w:lineRule="auto"/>
              <w:jc w:val="center"/>
              <w:rPr>
                <w:rFonts w:hint="eastAsia" w:ascii="宋体" w:hAnsi="宋体" w:eastAsia="宋体" w:cs="宋体"/>
                <w:color w:val="auto"/>
                <w:highlight w:val="none"/>
              </w:rPr>
            </w:pPr>
          </w:p>
        </w:tc>
        <w:tc>
          <w:tcPr>
            <w:tcW w:w="2552" w:type="dxa"/>
            <w:vAlign w:val="center"/>
          </w:tcPr>
          <w:p w14:paraId="5D15988A">
            <w:pPr>
              <w:spacing w:before="120" w:beforeLines="50" w:line="360" w:lineRule="auto"/>
              <w:jc w:val="center"/>
              <w:rPr>
                <w:rFonts w:hint="eastAsia" w:ascii="宋体" w:hAnsi="宋体" w:eastAsia="宋体" w:cs="宋体"/>
                <w:color w:val="auto"/>
                <w:highlight w:val="none"/>
              </w:rPr>
            </w:pPr>
          </w:p>
        </w:tc>
        <w:tc>
          <w:tcPr>
            <w:tcW w:w="3565" w:type="dxa"/>
            <w:vAlign w:val="center"/>
          </w:tcPr>
          <w:p w14:paraId="2089C418">
            <w:pPr>
              <w:spacing w:before="120" w:beforeLines="50" w:line="360" w:lineRule="auto"/>
              <w:jc w:val="center"/>
              <w:rPr>
                <w:rFonts w:hint="eastAsia" w:ascii="宋体" w:hAnsi="宋体" w:eastAsia="宋体" w:cs="宋体"/>
                <w:color w:val="auto"/>
                <w:highlight w:val="none"/>
              </w:rPr>
            </w:pPr>
          </w:p>
        </w:tc>
      </w:tr>
      <w:tr w14:paraId="5F136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6" w:type="dxa"/>
            <w:vAlign w:val="center"/>
          </w:tcPr>
          <w:p w14:paraId="5D9EDC5D">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w:t>
            </w:r>
          </w:p>
        </w:tc>
        <w:tc>
          <w:tcPr>
            <w:tcW w:w="2551" w:type="dxa"/>
            <w:vAlign w:val="center"/>
          </w:tcPr>
          <w:p w14:paraId="3278BE9E">
            <w:pPr>
              <w:spacing w:before="120" w:beforeLines="50" w:line="360" w:lineRule="auto"/>
              <w:jc w:val="center"/>
              <w:rPr>
                <w:rFonts w:hint="eastAsia" w:ascii="宋体" w:hAnsi="宋体" w:eastAsia="宋体" w:cs="Times New Roman"/>
                <w:color w:val="auto"/>
                <w:highlight w:val="none"/>
              </w:rPr>
            </w:pPr>
          </w:p>
        </w:tc>
        <w:tc>
          <w:tcPr>
            <w:tcW w:w="2552" w:type="dxa"/>
            <w:vAlign w:val="center"/>
          </w:tcPr>
          <w:p w14:paraId="5D357D47">
            <w:pPr>
              <w:spacing w:before="120" w:beforeLines="50" w:line="360" w:lineRule="auto"/>
              <w:jc w:val="center"/>
              <w:rPr>
                <w:rFonts w:hint="eastAsia" w:ascii="宋体" w:hAnsi="宋体" w:eastAsia="宋体" w:cs="Times New Roman"/>
                <w:color w:val="auto"/>
                <w:highlight w:val="none"/>
              </w:rPr>
            </w:pPr>
          </w:p>
        </w:tc>
        <w:tc>
          <w:tcPr>
            <w:tcW w:w="3565" w:type="dxa"/>
            <w:vAlign w:val="center"/>
          </w:tcPr>
          <w:p w14:paraId="6813EA60">
            <w:pPr>
              <w:spacing w:before="120" w:beforeLines="50" w:line="360" w:lineRule="auto"/>
              <w:jc w:val="center"/>
              <w:rPr>
                <w:rFonts w:hint="eastAsia" w:ascii="宋体" w:hAnsi="宋体" w:eastAsia="宋体" w:cs="Times New Roman"/>
                <w:color w:val="auto"/>
                <w:highlight w:val="none"/>
              </w:rPr>
            </w:pPr>
          </w:p>
        </w:tc>
      </w:tr>
    </w:tbl>
    <w:p w14:paraId="0558EA9B">
      <w:pPr>
        <w:spacing w:line="360" w:lineRule="auto"/>
        <w:rPr>
          <w:rFonts w:hint="eastAsia" w:ascii="宋体" w:hAnsi="宋体" w:eastAsia="宋体" w:cs="Times New Roman"/>
          <w:color w:val="auto"/>
          <w:highlight w:val="none"/>
        </w:rPr>
      </w:pPr>
    </w:p>
    <w:p w14:paraId="3F2CF6E7">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投标人保证：除商务条款偏差表列出的偏差外，投标人响应招标文件的全部要求。</w:t>
      </w:r>
    </w:p>
    <w:p w14:paraId="3B08D768">
      <w:pPr>
        <w:spacing w:line="360" w:lineRule="auto"/>
        <w:rPr>
          <w:rFonts w:hint="eastAsia" w:ascii="宋体" w:hAnsi="宋体" w:eastAsia="宋体" w:cs="Times New Roman"/>
          <w:color w:val="auto"/>
          <w:highlight w:val="none"/>
        </w:rPr>
      </w:pPr>
    </w:p>
    <w:p w14:paraId="5D3C824D">
      <w:pPr>
        <w:spacing w:line="360" w:lineRule="auto"/>
        <w:rPr>
          <w:rFonts w:hint="eastAsia" w:ascii="宋体" w:hAnsi="宋体" w:eastAsia="宋体" w:cs="Times New Roman"/>
          <w:color w:val="auto"/>
          <w:highlight w:val="none"/>
        </w:rPr>
      </w:pPr>
    </w:p>
    <w:p w14:paraId="755FB5C9">
      <w:pPr>
        <w:spacing w:line="360" w:lineRule="auto"/>
        <w:jc w:val="left"/>
        <w:rPr>
          <w:rFonts w:hint="eastAsia" w:ascii="宋体" w:hAnsi="宋体" w:eastAsia="宋体" w:cs="Times New Roman"/>
          <w:color w:val="auto"/>
          <w:highlight w:val="none"/>
        </w:rPr>
      </w:pPr>
    </w:p>
    <w:p w14:paraId="73CDDCD9">
      <w:pPr>
        <w:spacing w:line="360" w:lineRule="auto"/>
        <w:jc w:val="center"/>
        <w:rPr>
          <w:rFonts w:hint="eastAsia" w:ascii="宋体" w:hAnsi="宋体" w:eastAsia="宋体" w:cs="Times New Roman"/>
          <w:color w:val="auto"/>
          <w:highlight w:val="none"/>
        </w:rPr>
      </w:pPr>
      <w:r>
        <w:rPr>
          <w:rFonts w:ascii="宋体" w:hAnsi="宋体" w:eastAsia="宋体" w:cs="宋体"/>
          <w:color w:val="auto"/>
          <w:highlight w:val="none"/>
        </w:rPr>
        <w:br w:type="page"/>
      </w:r>
    </w:p>
    <w:p w14:paraId="3B9E6259">
      <w:pPr>
        <w:pStyle w:val="3"/>
        <w:spacing w:before="0" w:after="0" w:line="360" w:lineRule="auto"/>
        <w:jc w:val="center"/>
        <w:rPr>
          <w:rFonts w:hint="eastAsia" w:ascii="宋体" w:hAnsi="宋体" w:eastAsia="宋体" w:cs="宋体"/>
          <w:color w:val="auto"/>
          <w:sz w:val="21"/>
          <w:szCs w:val="21"/>
          <w:highlight w:val="none"/>
        </w:rPr>
      </w:pPr>
      <w:bookmarkStart w:id="661" w:name="_Toc77116723"/>
      <w:bookmarkStart w:id="662" w:name="_Toc107396250"/>
      <w:bookmarkStart w:id="663" w:name="_Toc164432974"/>
      <w:bookmarkStart w:id="664" w:name="_Toc77504121"/>
      <w:bookmarkStart w:id="665" w:name="_Toc20270"/>
      <w:bookmarkStart w:id="666" w:name="_Toc120282478"/>
      <w:bookmarkStart w:id="667" w:name="_Toc70424906"/>
      <w:bookmarkStart w:id="668" w:name="_Toc77658131"/>
      <w:r>
        <w:rPr>
          <w:rFonts w:hint="eastAsia" w:ascii="宋体" w:hAnsi="宋体" w:eastAsia="宋体" w:cs="宋体"/>
          <w:color w:val="auto"/>
          <w:sz w:val="24"/>
          <w:szCs w:val="24"/>
          <w:highlight w:val="none"/>
        </w:rPr>
        <w:t>七、报价</w:t>
      </w:r>
      <w:bookmarkEnd w:id="661"/>
      <w:bookmarkEnd w:id="662"/>
      <w:bookmarkEnd w:id="663"/>
      <w:bookmarkEnd w:id="664"/>
      <w:bookmarkEnd w:id="665"/>
      <w:bookmarkEnd w:id="666"/>
      <w:bookmarkEnd w:id="667"/>
      <w:bookmarkEnd w:id="668"/>
      <w:r>
        <w:rPr>
          <w:rFonts w:hint="eastAsia" w:ascii="宋体" w:hAnsi="宋体" w:eastAsia="宋体" w:cs="宋体"/>
          <w:color w:val="auto"/>
          <w:sz w:val="24"/>
          <w:szCs w:val="24"/>
          <w:highlight w:val="none"/>
        </w:rPr>
        <w:t>说明</w:t>
      </w:r>
    </w:p>
    <w:p w14:paraId="462FD15D">
      <w:pPr>
        <w:spacing w:line="360" w:lineRule="auto"/>
        <w:rPr>
          <w:rFonts w:hint="eastAsia" w:ascii="宋体" w:hAnsi="宋体" w:eastAsia="宋体" w:cs="Times New Roman"/>
          <w:color w:val="auto"/>
          <w:highlight w:val="none"/>
        </w:rPr>
      </w:pPr>
    </w:p>
    <w:p w14:paraId="337FBF3E">
      <w:pPr>
        <w:spacing w:line="360" w:lineRule="auto"/>
        <w:rPr>
          <w:rFonts w:hint="eastAsia" w:ascii="宋体" w:hAnsi="宋体" w:eastAsia="宋体" w:cs="Times New Roman"/>
          <w:color w:val="auto"/>
          <w:highlight w:val="none"/>
        </w:rPr>
      </w:pPr>
      <w:r>
        <w:rPr>
          <w:rFonts w:hint="eastAsia" w:ascii="宋体" w:hAnsi="宋体" w:eastAsia="宋体" w:cs="宋体"/>
          <w:color w:val="auto"/>
          <w:highlight w:val="none"/>
        </w:rPr>
        <w:t>报价说明</w:t>
      </w:r>
      <w:r>
        <w:rPr>
          <w:rFonts w:hint="eastAsia" w:ascii="宋体" w:hAnsi="宋体" w:eastAsia="宋体" w:cs="Times New Roman"/>
          <w:color w:val="auto"/>
          <w:highlight w:val="none"/>
        </w:rPr>
        <w:t>（</w:t>
      </w:r>
      <w:r>
        <w:rPr>
          <w:rFonts w:hint="eastAsia" w:ascii="宋体" w:hAnsi="宋体" w:eastAsia="宋体" w:cs="宋体"/>
          <w:color w:val="auto"/>
          <w:highlight w:val="none"/>
        </w:rPr>
        <w:t>格式自拟）</w:t>
      </w:r>
    </w:p>
    <w:p w14:paraId="46D87AED">
      <w:pPr>
        <w:spacing w:line="360" w:lineRule="auto"/>
        <w:rPr>
          <w:rFonts w:hint="eastAsia" w:ascii="宋体" w:hAnsi="宋体" w:eastAsia="宋体" w:cs="Times New Roman"/>
          <w:color w:val="auto"/>
          <w:highlight w:val="none"/>
        </w:rPr>
      </w:pPr>
      <w:bookmarkStart w:id="669" w:name="_Hlk137906829"/>
    </w:p>
    <w:bookmarkEnd w:id="669"/>
    <w:p w14:paraId="79F0A1EC">
      <w:pPr>
        <w:pStyle w:val="3"/>
        <w:spacing w:before="0" w:after="0" w:line="360" w:lineRule="auto"/>
        <w:jc w:val="center"/>
        <w:rPr>
          <w:rFonts w:hint="eastAsia" w:ascii="宋体" w:hAnsi="宋体" w:eastAsia="宋体" w:cs="宋体"/>
          <w:color w:val="auto"/>
          <w:sz w:val="21"/>
          <w:szCs w:val="21"/>
          <w:highlight w:val="none"/>
        </w:rPr>
      </w:pPr>
      <w:r>
        <w:rPr>
          <w:rFonts w:ascii="宋体" w:hAnsi="宋体" w:eastAsia="宋体" w:cs="Times New Roman"/>
          <w:color w:val="auto"/>
          <w:highlight w:val="none"/>
        </w:rPr>
        <w:br w:type="page"/>
      </w:r>
      <w:bookmarkStart w:id="670" w:name="_Toc21384"/>
      <w:bookmarkStart w:id="671" w:name="_Toc77658133"/>
      <w:bookmarkStart w:id="672" w:name="_Toc70424908"/>
      <w:bookmarkStart w:id="673" w:name="_Toc77504123"/>
      <w:bookmarkStart w:id="674" w:name="_Toc77116725"/>
      <w:bookmarkStart w:id="675" w:name="_Toc164432975"/>
      <w:bookmarkStart w:id="676" w:name="_Toc120282480"/>
      <w:bookmarkStart w:id="677" w:name="_Toc107396252"/>
      <w:r>
        <w:rPr>
          <w:rFonts w:hint="eastAsia" w:ascii="宋体" w:hAnsi="宋体" w:eastAsia="宋体" w:cs="宋体"/>
          <w:color w:val="auto"/>
          <w:sz w:val="24"/>
          <w:szCs w:val="24"/>
          <w:highlight w:val="none"/>
        </w:rPr>
        <w:t>八、</w:t>
      </w:r>
      <w:bookmarkEnd w:id="670"/>
      <w:bookmarkEnd w:id="671"/>
      <w:bookmarkEnd w:id="672"/>
      <w:bookmarkEnd w:id="673"/>
      <w:bookmarkEnd w:id="674"/>
      <w:r>
        <w:rPr>
          <w:rFonts w:hint="eastAsia" w:ascii="宋体" w:hAnsi="宋体" w:eastAsia="宋体" w:cs="宋体"/>
          <w:color w:val="auto"/>
          <w:sz w:val="24"/>
          <w:szCs w:val="24"/>
          <w:highlight w:val="none"/>
        </w:rPr>
        <w:t>服务响应方案</w:t>
      </w:r>
      <w:bookmarkEnd w:id="675"/>
      <w:bookmarkEnd w:id="676"/>
      <w:bookmarkEnd w:id="677"/>
    </w:p>
    <w:p w14:paraId="1F80D40C">
      <w:pPr>
        <w:spacing w:line="360" w:lineRule="auto"/>
        <w:ind w:firstLine="420" w:firstLineChars="200"/>
        <w:rPr>
          <w:rFonts w:hint="eastAsia" w:ascii="宋体" w:hAnsi="宋体" w:eastAsia="宋体" w:cs="宋体"/>
          <w:color w:val="auto"/>
          <w:highlight w:val="none"/>
        </w:rPr>
      </w:pPr>
      <w:bookmarkStart w:id="678" w:name="_Hlk196735733"/>
      <w:r>
        <w:rPr>
          <w:rFonts w:hint="eastAsia" w:ascii="宋体" w:hAnsi="宋体" w:eastAsia="宋体" w:cs="宋体"/>
          <w:color w:val="auto"/>
          <w:highlight w:val="none"/>
        </w:rPr>
        <w:t>包含但不限于以下内容：</w:t>
      </w:r>
    </w:p>
    <w:p w14:paraId="2C5386D5">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1、服务方案</w:t>
      </w:r>
    </w:p>
    <w:p w14:paraId="1B68753E">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2、项目组织机构</w:t>
      </w:r>
    </w:p>
    <w:p w14:paraId="11669987">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3、服务质量保障措施及承诺</w:t>
      </w:r>
    </w:p>
    <w:p w14:paraId="281C86E4">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4、周期进度计划安排</w:t>
      </w:r>
    </w:p>
    <w:p w14:paraId="696FB12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5、保密措施与承诺</w:t>
      </w:r>
    </w:p>
    <w:p w14:paraId="7CEC9E6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供应商认为须提供的其他材料，格式自拟</w:t>
      </w:r>
    </w:p>
    <w:bookmarkEnd w:id="678"/>
    <w:p w14:paraId="1C84CE53">
      <w:pPr>
        <w:spacing w:line="360" w:lineRule="auto"/>
        <w:ind w:firstLine="420" w:firstLineChars="200"/>
        <w:rPr>
          <w:rFonts w:hint="eastAsia" w:ascii="宋体" w:hAnsi="宋体" w:eastAsia="宋体" w:cs="Times New Roman"/>
          <w:color w:val="auto"/>
          <w:highlight w:val="none"/>
        </w:rPr>
      </w:pPr>
      <w:r>
        <w:rPr>
          <w:rFonts w:ascii="宋体" w:hAnsi="宋体" w:eastAsia="宋体" w:cs="Times New Roman"/>
          <w:color w:val="auto"/>
          <w:highlight w:val="none"/>
        </w:rPr>
        <w:br w:type="page"/>
      </w:r>
    </w:p>
    <w:p w14:paraId="2DEC0CF6">
      <w:pPr>
        <w:pStyle w:val="3"/>
        <w:spacing w:before="0"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九、其他资料</w:t>
      </w:r>
    </w:p>
    <w:p w14:paraId="53BA05CB">
      <w:pP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投标人认为需要提交的其他资料，有格式的按照要求填写，无格式的自拟。</w:t>
      </w:r>
    </w:p>
    <w:p w14:paraId="227D2114">
      <w:pPr>
        <w:spacing w:line="360" w:lineRule="auto"/>
        <w:rPr>
          <w:rFonts w:hint="eastAsia" w:ascii="宋体" w:hAnsi="宋体" w:eastAsia="宋体" w:cs="Times New Roman"/>
          <w:color w:val="auto"/>
          <w:highlight w:val="none"/>
        </w:rPr>
      </w:pPr>
    </w:p>
    <w:p w14:paraId="356AB80F">
      <w:pPr>
        <w:spacing w:line="360" w:lineRule="auto"/>
        <w:rPr>
          <w:rFonts w:hint="eastAsia" w:ascii="宋体" w:hAnsi="宋体" w:eastAsia="宋体" w:cs="Times New Roman"/>
          <w:color w:val="auto"/>
          <w:highlight w:val="none"/>
        </w:rPr>
      </w:pPr>
    </w:p>
    <w:p w14:paraId="5A23EF57">
      <w:pPr>
        <w:pStyle w:val="4"/>
        <w:spacing w:before="0" w:after="0" w:line="360" w:lineRule="auto"/>
        <w:rPr>
          <w:rFonts w:hint="eastAsia" w:ascii="宋体" w:hAnsi="宋体" w:cs="宋体"/>
          <w:color w:val="auto"/>
          <w:sz w:val="21"/>
          <w:szCs w:val="21"/>
          <w:highlight w:val="none"/>
        </w:rPr>
      </w:pPr>
      <w:r>
        <w:rPr>
          <w:rFonts w:ascii="宋体" w:hAnsi="宋体"/>
          <w:color w:val="auto"/>
          <w:highlight w:val="none"/>
        </w:rPr>
        <w:br w:type="page"/>
      </w:r>
      <w:bookmarkStart w:id="679" w:name="_Toc164432977"/>
      <w:bookmarkStart w:id="680" w:name="_Toc120282482"/>
      <w:bookmarkStart w:id="681" w:name="_Toc30433"/>
      <w:bookmarkStart w:id="682" w:name="_Toc107396254"/>
      <w:bookmarkStart w:id="683" w:name="_Toc77658135"/>
      <w:bookmarkStart w:id="684" w:name="_Toc77504125"/>
      <w:r>
        <w:rPr>
          <w:rFonts w:hint="eastAsia" w:ascii="宋体" w:hAnsi="宋体" w:cs="宋体"/>
          <w:color w:val="auto"/>
          <w:sz w:val="21"/>
          <w:szCs w:val="21"/>
          <w:highlight w:val="none"/>
        </w:rPr>
        <w:t>附件一：</w:t>
      </w:r>
      <w:bookmarkEnd w:id="679"/>
      <w:bookmarkEnd w:id="680"/>
      <w:bookmarkEnd w:id="681"/>
      <w:bookmarkEnd w:id="682"/>
      <w:bookmarkEnd w:id="683"/>
      <w:bookmarkEnd w:id="684"/>
    </w:p>
    <w:p w14:paraId="2FA1B8EB">
      <w:pPr>
        <w:spacing w:line="360" w:lineRule="auto"/>
        <w:rPr>
          <w:rFonts w:hint="eastAsia" w:ascii="宋体" w:hAnsi="宋体" w:eastAsia="宋体" w:cs="Times New Roman"/>
          <w:color w:val="auto"/>
          <w:highlight w:val="none"/>
        </w:rPr>
      </w:pPr>
    </w:p>
    <w:p w14:paraId="6A3FE0D1">
      <w:pP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近年类似项目情况表</w:t>
      </w:r>
      <w:r>
        <w:rPr>
          <w:rFonts w:hint="eastAsia" w:ascii="宋体" w:hAnsi="宋体" w:eastAsia="宋体"/>
          <w:color w:val="auto"/>
          <w:highlight w:val="none"/>
        </w:rPr>
        <w:t>（资格条件要求之外，如有）</w:t>
      </w:r>
    </w:p>
    <w:p w14:paraId="2FA09CC6">
      <w:pP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（序号）</w:t>
      </w:r>
    </w:p>
    <w:tbl>
      <w:tblPr>
        <w:tblStyle w:val="39"/>
        <w:tblW w:w="9514"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7251"/>
      </w:tblGrid>
      <w:tr w14:paraId="00B83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3FAB3285">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项目名称</w:t>
            </w:r>
          </w:p>
        </w:tc>
        <w:tc>
          <w:tcPr>
            <w:tcW w:w="7251" w:type="dxa"/>
            <w:vAlign w:val="center"/>
          </w:tcPr>
          <w:p w14:paraId="25BDE2F2">
            <w:pPr>
              <w:spacing w:before="120" w:beforeLines="50" w:line="360" w:lineRule="auto"/>
              <w:jc w:val="center"/>
              <w:rPr>
                <w:rFonts w:hint="eastAsia" w:ascii="宋体" w:hAnsi="宋体" w:eastAsia="宋体" w:cs="Times New Roman"/>
                <w:color w:val="auto"/>
                <w:highlight w:val="none"/>
              </w:rPr>
            </w:pPr>
          </w:p>
        </w:tc>
      </w:tr>
      <w:tr w14:paraId="344A5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35C13E7A">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买方名称</w:t>
            </w:r>
          </w:p>
        </w:tc>
        <w:tc>
          <w:tcPr>
            <w:tcW w:w="7251" w:type="dxa"/>
            <w:vAlign w:val="center"/>
          </w:tcPr>
          <w:p w14:paraId="51869D38">
            <w:pPr>
              <w:spacing w:before="120" w:beforeLines="50" w:line="360" w:lineRule="auto"/>
              <w:jc w:val="center"/>
              <w:rPr>
                <w:rFonts w:hint="eastAsia" w:ascii="宋体" w:hAnsi="宋体" w:eastAsia="宋体" w:cs="Times New Roman"/>
                <w:color w:val="auto"/>
                <w:highlight w:val="none"/>
              </w:rPr>
            </w:pPr>
          </w:p>
        </w:tc>
      </w:tr>
      <w:tr w14:paraId="7F6D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23DB423E">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买方联系人及电话</w:t>
            </w:r>
          </w:p>
        </w:tc>
        <w:tc>
          <w:tcPr>
            <w:tcW w:w="7251" w:type="dxa"/>
            <w:vAlign w:val="center"/>
          </w:tcPr>
          <w:p w14:paraId="2D891812">
            <w:pPr>
              <w:spacing w:before="120" w:beforeLines="50" w:line="360" w:lineRule="auto"/>
              <w:jc w:val="center"/>
              <w:rPr>
                <w:rFonts w:hint="eastAsia" w:ascii="宋体" w:hAnsi="宋体" w:eastAsia="宋体" w:cs="Times New Roman"/>
                <w:color w:val="auto"/>
                <w:highlight w:val="none"/>
              </w:rPr>
            </w:pPr>
          </w:p>
        </w:tc>
      </w:tr>
      <w:tr w14:paraId="7DD9B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1B304E15">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合同价格</w:t>
            </w:r>
          </w:p>
        </w:tc>
        <w:tc>
          <w:tcPr>
            <w:tcW w:w="7251" w:type="dxa"/>
            <w:vAlign w:val="center"/>
          </w:tcPr>
          <w:p w14:paraId="27302A76">
            <w:pPr>
              <w:spacing w:before="120" w:beforeLines="50" w:line="360" w:lineRule="auto"/>
              <w:jc w:val="center"/>
              <w:rPr>
                <w:rFonts w:hint="eastAsia" w:ascii="宋体" w:hAnsi="宋体" w:eastAsia="宋体" w:cs="Times New Roman"/>
                <w:color w:val="auto"/>
                <w:highlight w:val="none"/>
              </w:rPr>
            </w:pPr>
          </w:p>
        </w:tc>
      </w:tr>
      <w:tr w14:paraId="5F8D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2487D2DB">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货物名称</w:t>
            </w:r>
          </w:p>
        </w:tc>
        <w:tc>
          <w:tcPr>
            <w:tcW w:w="7251" w:type="dxa"/>
            <w:vAlign w:val="center"/>
          </w:tcPr>
          <w:p w14:paraId="09B0D2A2">
            <w:pPr>
              <w:spacing w:before="120" w:beforeLines="50" w:line="360" w:lineRule="auto"/>
              <w:jc w:val="center"/>
              <w:rPr>
                <w:rFonts w:hint="eastAsia" w:ascii="宋体" w:hAnsi="宋体" w:eastAsia="宋体" w:cs="Times New Roman"/>
                <w:color w:val="auto"/>
                <w:highlight w:val="none"/>
              </w:rPr>
            </w:pPr>
          </w:p>
        </w:tc>
      </w:tr>
      <w:tr w14:paraId="4260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4C6B9AB1">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规格型号</w:t>
            </w:r>
          </w:p>
        </w:tc>
        <w:tc>
          <w:tcPr>
            <w:tcW w:w="7251" w:type="dxa"/>
            <w:vAlign w:val="center"/>
          </w:tcPr>
          <w:p w14:paraId="571A5882">
            <w:pPr>
              <w:spacing w:before="120" w:beforeLines="50" w:line="360" w:lineRule="auto"/>
              <w:jc w:val="center"/>
              <w:rPr>
                <w:rFonts w:hint="eastAsia" w:ascii="宋体" w:hAnsi="宋体" w:eastAsia="宋体" w:cs="Times New Roman"/>
                <w:color w:val="auto"/>
                <w:highlight w:val="none"/>
              </w:rPr>
            </w:pPr>
          </w:p>
          <w:p w14:paraId="28C255C2">
            <w:pPr>
              <w:pStyle w:val="16"/>
              <w:ind w:left="63" w:right="63"/>
              <w:rPr>
                <w:color w:val="auto"/>
                <w:highlight w:val="none"/>
              </w:rPr>
            </w:pPr>
          </w:p>
        </w:tc>
      </w:tr>
      <w:tr w14:paraId="4ABA1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6" w:hRule="atLeast"/>
        </w:trPr>
        <w:tc>
          <w:tcPr>
            <w:tcW w:w="2263" w:type="dxa"/>
            <w:vAlign w:val="center"/>
          </w:tcPr>
          <w:p w14:paraId="15DF978B">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项目概况及投标人</w:t>
            </w:r>
          </w:p>
          <w:p w14:paraId="3DC55C74">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履约情况</w:t>
            </w:r>
          </w:p>
        </w:tc>
        <w:tc>
          <w:tcPr>
            <w:tcW w:w="7251" w:type="dxa"/>
            <w:vAlign w:val="center"/>
          </w:tcPr>
          <w:p w14:paraId="5778A761">
            <w:pPr>
              <w:spacing w:before="120" w:beforeLines="50" w:line="360" w:lineRule="auto"/>
              <w:jc w:val="center"/>
              <w:rPr>
                <w:rFonts w:hint="eastAsia" w:ascii="宋体" w:hAnsi="宋体" w:eastAsia="宋体" w:cs="Times New Roman"/>
                <w:color w:val="auto"/>
                <w:highlight w:val="none"/>
              </w:rPr>
            </w:pPr>
          </w:p>
        </w:tc>
      </w:tr>
      <w:tr w14:paraId="6544B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3" w:type="dxa"/>
            <w:vAlign w:val="center"/>
          </w:tcPr>
          <w:p w14:paraId="60A670D2">
            <w:pPr>
              <w:spacing w:before="120" w:beforeLines="50"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备注</w:t>
            </w:r>
          </w:p>
        </w:tc>
        <w:tc>
          <w:tcPr>
            <w:tcW w:w="7251" w:type="dxa"/>
            <w:vAlign w:val="center"/>
          </w:tcPr>
          <w:p w14:paraId="6C4319E1">
            <w:pPr>
              <w:spacing w:before="120" w:beforeLines="50" w:line="360" w:lineRule="auto"/>
              <w:jc w:val="center"/>
              <w:rPr>
                <w:rFonts w:hint="eastAsia" w:ascii="宋体" w:hAnsi="宋体" w:eastAsia="宋体" w:cs="Times New Roman"/>
                <w:color w:val="auto"/>
                <w:highlight w:val="none"/>
              </w:rPr>
            </w:pPr>
          </w:p>
        </w:tc>
      </w:tr>
    </w:tbl>
    <w:p w14:paraId="17D3B534">
      <w:pPr>
        <w:spacing w:line="360" w:lineRule="auto"/>
        <w:rPr>
          <w:rFonts w:hint="eastAsia" w:ascii="宋体" w:hAnsi="宋体" w:eastAsia="宋体"/>
          <w:color w:val="auto"/>
          <w:highlight w:val="none"/>
        </w:rPr>
      </w:pPr>
      <w:r>
        <w:rPr>
          <w:rFonts w:ascii="宋体" w:hAnsi="宋体" w:eastAsia="宋体"/>
          <w:color w:val="auto"/>
          <w:highlight w:val="none"/>
        </w:rPr>
        <w:t>本表后</w:t>
      </w:r>
      <w:r>
        <w:rPr>
          <w:rFonts w:hint="eastAsia" w:ascii="宋体" w:hAnsi="宋体" w:eastAsia="宋体"/>
          <w:color w:val="auto"/>
          <w:highlight w:val="none"/>
        </w:rPr>
        <w:t>附合同书或中标通知书扫描件，每张表格只填写一个项目，并标明序号</w:t>
      </w:r>
      <w:r>
        <w:rPr>
          <w:rFonts w:ascii="宋体" w:hAnsi="宋体" w:eastAsia="宋体"/>
          <w:color w:val="auto"/>
          <w:highlight w:val="none"/>
        </w:rPr>
        <w:t>。</w:t>
      </w:r>
    </w:p>
    <w:p w14:paraId="2FDB3E65">
      <w:pPr>
        <w:widowControl/>
        <w:jc w:val="left"/>
        <w:rPr>
          <w:rFonts w:ascii="Times New Roman" w:hAnsi="Times New Roman" w:eastAsia="宋体" w:cs="Times New Roman"/>
          <w:color w:val="auto"/>
          <w:kern w:val="0"/>
          <w:sz w:val="20"/>
          <w:szCs w:val="20"/>
          <w:highlight w:val="none"/>
        </w:rPr>
      </w:pPr>
      <w:r>
        <w:rPr>
          <w:color w:val="auto"/>
          <w:highlight w:val="none"/>
        </w:rPr>
        <w:br w:type="page"/>
      </w:r>
    </w:p>
    <w:p w14:paraId="08F56C81">
      <w:pPr>
        <w:pStyle w:val="4"/>
        <w:spacing w:before="0" w:after="0" w:line="360" w:lineRule="auto"/>
        <w:rPr>
          <w:rFonts w:hint="eastAsia" w:ascii="宋体" w:hAnsi="宋体" w:cs="宋体"/>
          <w:color w:val="auto"/>
          <w:sz w:val="21"/>
          <w:szCs w:val="21"/>
          <w:highlight w:val="none"/>
        </w:rPr>
      </w:pPr>
      <w:bookmarkStart w:id="685" w:name="_Toc18697"/>
      <w:r>
        <w:rPr>
          <w:rFonts w:hint="eastAsia" w:ascii="宋体" w:hAnsi="宋体" w:cs="宋体"/>
          <w:color w:val="auto"/>
          <w:sz w:val="21"/>
          <w:szCs w:val="21"/>
          <w:highlight w:val="none"/>
        </w:rPr>
        <w:t>附件二：</w:t>
      </w:r>
    </w:p>
    <w:bookmarkEnd w:id="685"/>
    <w:p w14:paraId="4A505319">
      <w:pPr>
        <w:spacing w:line="360" w:lineRule="auto"/>
        <w:jc w:val="center"/>
        <w:rPr>
          <w:rFonts w:hint="eastAsia" w:ascii="宋体" w:hAnsi="宋体" w:eastAsia="宋体"/>
          <w:color w:val="auto"/>
          <w:highlight w:val="none"/>
        </w:rPr>
      </w:pPr>
      <w:r>
        <w:rPr>
          <w:rFonts w:hint="eastAsia" w:ascii="宋体" w:hAnsi="宋体" w:eastAsia="宋体"/>
          <w:color w:val="auto"/>
          <w:highlight w:val="none"/>
        </w:rPr>
        <w:t>中小企业声明函</w:t>
      </w:r>
    </w:p>
    <w:p w14:paraId="0690D5CE">
      <w:pPr>
        <w:spacing w:line="480" w:lineRule="auto"/>
        <w:ind w:firstLine="420" w:firstLineChars="200"/>
        <w:rPr>
          <w:rFonts w:hint="eastAsia" w:ascii="宋体" w:hAnsi="宋体" w:eastAsia="宋体"/>
          <w:color w:val="auto"/>
          <w:highlight w:val="none"/>
        </w:rPr>
      </w:pPr>
      <w:r>
        <w:rPr>
          <w:rFonts w:hint="eastAsia" w:ascii="宋体" w:hAnsi="宋体" w:eastAsia="宋体"/>
          <w:color w:val="auto"/>
          <w:highlight w:val="none"/>
        </w:rPr>
        <w:t>本公司（联合体）郑重声明，根据《政府采购促进中小企业发展暂行办法》（财库〔</w:t>
      </w:r>
      <w:r>
        <w:rPr>
          <w:rFonts w:ascii="宋体" w:hAnsi="宋体" w:eastAsia="宋体"/>
          <w:color w:val="auto"/>
          <w:highlight w:val="none"/>
        </w:rPr>
        <w:t>2020〕46号）的规定，本公司</w:t>
      </w:r>
      <w:r>
        <w:rPr>
          <w:rFonts w:hint="eastAsia" w:ascii="宋体" w:hAnsi="宋体" w:eastAsia="宋体"/>
          <w:color w:val="auto"/>
          <w:highlight w:val="none"/>
        </w:rPr>
        <w:t>（联合体）</w:t>
      </w:r>
      <w:r>
        <w:rPr>
          <w:rFonts w:ascii="宋体" w:hAnsi="宋体" w:eastAsia="宋体"/>
          <w:color w:val="auto"/>
          <w:highlight w:val="none"/>
        </w:rPr>
        <w:t>参加</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（单位名称） </w:t>
      </w:r>
      <w:r>
        <w:rPr>
          <w:rFonts w:ascii="宋体" w:hAnsi="宋体" w:eastAsia="宋体"/>
          <w:color w:val="auto"/>
          <w:highlight w:val="none"/>
        </w:rPr>
        <w:t>的</w:t>
      </w:r>
      <w:r>
        <w:rPr>
          <w:rFonts w:hint="eastAsia" w:ascii="宋体" w:hAnsi="宋体" w:eastAsia="宋体"/>
          <w:color w:val="auto"/>
          <w:highlight w:val="none"/>
          <w:u w:val="single"/>
        </w:rPr>
        <w:t xml:space="preserve"> </w:t>
      </w:r>
      <w:r>
        <w:rPr>
          <w:rFonts w:ascii="宋体" w:hAnsi="宋体" w:eastAsia="宋体"/>
          <w:color w:val="auto"/>
          <w:highlight w:val="none"/>
          <w:u w:val="single"/>
        </w:rPr>
        <w:t xml:space="preserve">（项目名称） </w:t>
      </w:r>
      <w:r>
        <w:rPr>
          <w:rFonts w:ascii="宋体" w:hAnsi="宋体" w:eastAsia="宋体"/>
          <w:color w:val="auto"/>
          <w:highlight w:val="none"/>
        </w:rPr>
        <w:t>采购活动，</w:t>
      </w:r>
      <w:r>
        <w:rPr>
          <w:rFonts w:hint="eastAsia" w:ascii="宋体" w:hAnsi="宋体" w:eastAsia="宋体"/>
          <w:color w:val="auto"/>
          <w:highlight w:val="none"/>
        </w:rPr>
        <w:t>服务全部由符合政策要求的中小企业承接</w:t>
      </w:r>
      <w:r>
        <w:rPr>
          <w:rFonts w:ascii="宋体" w:hAnsi="宋体" w:eastAsia="宋体"/>
          <w:color w:val="auto"/>
          <w:highlight w:val="none"/>
        </w:rPr>
        <w:t>。</w:t>
      </w:r>
      <w:r>
        <w:rPr>
          <w:rFonts w:hint="eastAsia" w:ascii="宋体" w:hAnsi="宋体" w:eastAsia="宋体"/>
          <w:color w:val="auto"/>
          <w:highlight w:val="none"/>
        </w:rPr>
        <w:t>相关企业（含联合体中的中小企业，签订分包意向协议的中小企业）的</w:t>
      </w:r>
      <w:r>
        <w:rPr>
          <w:rFonts w:ascii="宋体" w:hAnsi="宋体" w:eastAsia="宋体"/>
          <w:color w:val="auto"/>
          <w:highlight w:val="none"/>
        </w:rPr>
        <w:t>具体情况如下：</w:t>
      </w:r>
    </w:p>
    <w:p w14:paraId="7D66ECA4">
      <w:pPr>
        <w:spacing w:line="480" w:lineRule="auto"/>
        <w:ind w:firstLine="420" w:firstLineChars="200"/>
        <w:rPr>
          <w:rFonts w:hint="eastAsia" w:ascii="宋体" w:hAnsi="宋体" w:eastAsia="宋体"/>
          <w:color w:val="auto"/>
          <w:highlight w:val="none"/>
        </w:rPr>
      </w:pPr>
      <w:r>
        <w:rPr>
          <w:rFonts w:ascii="宋体" w:hAnsi="宋体" w:eastAsia="宋体"/>
          <w:color w:val="auto"/>
          <w:highlight w:val="none"/>
        </w:rPr>
        <w:t>1.</w:t>
      </w:r>
      <w:r>
        <w:rPr>
          <w:rFonts w:ascii="宋体" w:hAnsi="宋体" w:eastAsia="宋体"/>
          <w:color w:val="auto"/>
          <w:highlight w:val="none"/>
          <w:u w:val="single"/>
        </w:rPr>
        <w:t xml:space="preserve"> （标的名称） </w:t>
      </w:r>
      <w:r>
        <w:rPr>
          <w:rFonts w:ascii="宋体" w:hAnsi="宋体" w:eastAsia="宋体"/>
          <w:color w:val="auto"/>
          <w:highlight w:val="none"/>
        </w:rPr>
        <w:t>，属于</w:t>
      </w:r>
      <w:r>
        <w:rPr>
          <w:rFonts w:hint="eastAsia" w:ascii="宋体" w:hAnsi="宋体" w:eastAsia="宋体"/>
          <w:color w:val="auto"/>
          <w:highlight w:val="none"/>
          <w:u w:val="single"/>
          <w:lang w:val="en-US" w:eastAsia="zh-CN"/>
        </w:rPr>
        <w:t>其他未列明</w:t>
      </w:r>
      <w:r>
        <w:rPr>
          <w:rFonts w:ascii="宋体" w:hAnsi="宋体" w:eastAsia="宋体"/>
          <w:color w:val="auto"/>
          <w:highlight w:val="none"/>
          <w:u w:val="single"/>
        </w:rPr>
        <w:t>行业</w:t>
      </w:r>
      <w:r>
        <w:rPr>
          <w:rFonts w:ascii="宋体" w:hAnsi="宋体" w:eastAsia="宋体"/>
          <w:color w:val="auto"/>
          <w:highlight w:val="none"/>
        </w:rPr>
        <w:t>；</w:t>
      </w:r>
      <w:r>
        <w:rPr>
          <w:rFonts w:hint="eastAsia" w:ascii="宋体" w:hAnsi="宋体" w:eastAsia="宋体"/>
          <w:color w:val="auto"/>
          <w:highlight w:val="none"/>
        </w:rPr>
        <w:t>承接企业</w:t>
      </w:r>
      <w:r>
        <w:rPr>
          <w:rFonts w:ascii="宋体" w:hAnsi="宋体" w:eastAsia="宋体"/>
          <w:color w:val="auto"/>
          <w:highlight w:val="none"/>
        </w:rPr>
        <w:t>为</w:t>
      </w:r>
      <w:r>
        <w:rPr>
          <w:rFonts w:hint="eastAsia" w:ascii="宋体" w:hAnsi="宋体" w:eastAsia="宋体"/>
          <w:color w:val="auto"/>
          <w:highlight w:val="none"/>
          <w:u w:val="single"/>
        </w:rPr>
        <w:t xml:space="preserve"> </w:t>
      </w:r>
      <w:r>
        <w:rPr>
          <w:rFonts w:ascii="宋体" w:hAnsi="宋体" w:eastAsia="宋体"/>
          <w:color w:val="auto"/>
          <w:highlight w:val="none"/>
          <w:u w:val="single"/>
        </w:rPr>
        <w:t>（企业名称）</w:t>
      </w:r>
      <w:r>
        <w:rPr>
          <w:rFonts w:hint="eastAsia" w:ascii="宋体" w:hAnsi="宋体" w:eastAsia="宋体"/>
          <w:color w:val="auto"/>
          <w:highlight w:val="none"/>
          <w:u w:val="single"/>
        </w:rPr>
        <w:t xml:space="preserve"> </w:t>
      </w:r>
      <w:r>
        <w:rPr>
          <w:rFonts w:ascii="宋体" w:hAnsi="宋体" w:eastAsia="宋体"/>
          <w:color w:val="auto"/>
          <w:highlight w:val="none"/>
        </w:rPr>
        <w:t>，从业人员</w:t>
      </w:r>
      <w:r>
        <w:rPr>
          <w:rFonts w:ascii="宋体" w:hAnsi="宋体" w:eastAsia="宋体"/>
          <w:color w:val="auto"/>
          <w:highlight w:val="none"/>
          <w:u w:val="single"/>
        </w:rPr>
        <w:t xml:space="preserve">    </w:t>
      </w:r>
      <w:r>
        <w:rPr>
          <w:rFonts w:ascii="宋体" w:hAnsi="宋体" w:eastAsia="宋体"/>
          <w:color w:val="auto"/>
          <w:highlight w:val="none"/>
        </w:rPr>
        <w:t>人，营业收入为</w:t>
      </w:r>
      <w:r>
        <w:rPr>
          <w:rFonts w:ascii="宋体" w:hAnsi="宋体" w:eastAsia="宋体"/>
          <w:color w:val="auto"/>
          <w:highlight w:val="none"/>
          <w:u w:val="single"/>
        </w:rPr>
        <w:t xml:space="preserve">    </w:t>
      </w:r>
      <w:r>
        <w:rPr>
          <w:rFonts w:ascii="宋体" w:hAnsi="宋体" w:eastAsia="宋体"/>
          <w:color w:val="auto"/>
          <w:highlight w:val="none"/>
        </w:rPr>
        <w:t>万元，资产总额为</w:t>
      </w:r>
      <w:r>
        <w:rPr>
          <w:rFonts w:ascii="宋体" w:hAnsi="宋体" w:eastAsia="宋体"/>
          <w:color w:val="auto"/>
          <w:highlight w:val="none"/>
          <w:u w:val="single"/>
        </w:rPr>
        <w:t xml:space="preserve">    </w:t>
      </w:r>
      <w:r>
        <w:rPr>
          <w:rFonts w:ascii="宋体" w:hAnsi="宋体" w:eastAsia="宋体"/>
          <w:color w:val="auto"/>
          <w:highlight w:val="none"/>
        </w:rPr>
        <w:t>万元</w:t>
      </w:r>
      <w:r>
        <w:rPr>
          <w:rStyle w:val="48"/>
          <w:rFonts w:ascii="宋体" w:hAnsi="宋体"/>
          <w:color w:val="auto"/>
          <w:highlight w:val="none"/>
        </w:rPr>
        <w:footnoteReference w:id="0"/>
      </w:r>
      <w:r>
        <w:rPr>
          <w:rFonts w:ascii="宋体" w:hAnsi="宋体" w:eastAsia="宋体"/>
          <w:color w:val="auto"/>
          <w:highlight w:val="none"/>
        </w:rPr>
        <w:t>，属于</w:t>
      </w:r>
      <w:r>
        <w:rPr>
          <w:rFonts w:ascii="宋体" w:hAnsi="宋体" w:eastAsia="宋体"/>
          <w:color w:val="auto"/>
          <w:highlight w:val="none"/>
          <w:u w:val="single"/>
        </w:rPr>
        <w:t>（中型企业、小型企业、 微型企业）</w:t>
      </w:r>
      <w:r>
        <w:rPr>
          <w:rFonts w:ascii="宋体" w:hAnsi="宋体" w:eastAsia="宋体"/>
          <w:color w:val="auto"/>
          <w:highlight w:val="none"/>
        </w:rPr>
        <w:t>；</w:t>
      </w:r>
    </w:p>
    <w:p w14:paraId="7091413E">
      <w:pPr>
        <w:spacing w:line="480" w:lineRule="auto"/>
        <w:ind w:firstLine="420" w:firstLineChars="200"/>
        <w:rPr>
          <w:rFonts w:hint="eastAsia" w:ascii="宋体" w:hAnsi="宋体" w:eastAsia="宋体"/>
          <w:color w:val="auto"/>
          <w:highlight w:val="none"/>
        </w:rPr>
      </w:pPr>
      <w:r>
        <w:rPr>
          <w:rFonts w:ascii="宋体" w:hAnsi="宋体" w:eastAsia="宋体"/>
          <w:color w:val="auto"/>
          <w:highlight w:val="none"/>
        </w:rPr>
        <w:t>2.</w:t>
      </w:r>
      <w:r>
        <w:rPr>
          <w:rFonts w:ascii="宋体" w:hAnsi="宋体" w:eastAsia="宋体"/>
          <w:color w:val="auto"/>
          <w:highlight w:val="none"/>
          <w:u w:val="single"/>
        </w:rPr>
        <w:t xml:space="preserve"> （标的名称） </w:t>
      </w:r>
      <w:r>
        <w:rPr>
          <w:rFonts w:ascii="宋体" w:hAnsi="宋体" w:eastAsia="宋体"/>
          <w:color w:val="auto"/>
          <w:highlight w:val="none"/>
        </w:rPr>
        <w:t>，属于</w:t>
      </w:r>
      <w:r>
        <w:rPr>
          <w:rFonts w:ascii="宋体" w:hAnsi="宋体" w:eastAsia="宋体"/>
          <w:color w:val="auto"/>
          <w:highlight w:val="none"/>
          <w:u w:val="single"/>
        </w:rPr>
        <w:t xml:space="preserve"> </w:t>
      </w:r>
      <w:r>
        <w:rPr>
          <w:rFonts w:hint="eastAsia" w:ascii="宋体" w:hAnsi="宋体" w:eastAsia="宋体"/>
          <w:color w:val="auto"/>
          <w:highlight w:val="none"/>
          <w:u w:val="single"/>
          <w:lang w:val="en-US" w:eastAsia="zh-CN"/>
        </w:rPr>
        <w:t>其他未列明</w:t>
      </w:r>
      <w:r>
        <w:rPr>
          <w:rFonts w:ascii="宋体" w:hAnsi="宋体" w:eastAsia="宋体"/>
          <w:color w:val="auto"/>
          <w:highlight w:val="none"/>
          <w:u w:val="single"/>
        </w:rPr>
        <w:t>行业</w:t>
      </w:r>
      <w:r>
        <w:rPr>
          <w:rFonts w:ascii="宋体" w:hAnsi="宋体" w:eastAsia="宋体"/>
          <w:color w:val="auto"/>
          <w:highlight w:val="none"/>
        </w:rPr>
        <w:t>；</w:t>
      </w:r>
      <w:r>
        <w:rPr>
          <w:rFonts w:hint="eastAsia" w:ascii="宋体" w:hAnsi="宋体" w:eastAsia="宋体"/>
          <w:color w:val="auto"/>
          <w:highlight w:val="none"/>
        </w:rPr>
        <w:t>承接企业</w:t>
      </w:r>
      <w:r>
        <w:rPr>
          <w:rFonts w:ascii="宋体" w:hAnsi="宋体" w:eastAsia="宋体"/>
          <w:color w:val="auto"/>
          <w:highlight w:val="none"/>
        </w:rPr>
        <w:t>为</w:t>
      </w:r>
      <w:r>
        <w:rPr>
          <w:rFonts w:hint="eastAsia" w:ascii="宋体" w:hAnsi="宋体" w:eastAsia="宋体"/>
          <w:color w:val="auto"/>
          <w:highlight w:val="none"/>
          <w:u w:val="single"/>
        </w:rPr>
        <w:t xml:space="preserve"> </w:t>
      </w:r>
      <w:r>
        <w:rPr>
          <w:rFonts w:ascii="宋体" w:hAnsi="宋体" w:eastAsia="宋体"/>
          <w:color w:val="auto"/>
          <w:highlight w:val="none"/>
          <w:u w:val="single"/>
        </w:rPr>
        <w:t>（企业名称）</w:t>
      </w:r>
      <w:r>
        <w:rPr>
          <w:rFonts w:hint="eastAsia" w:ascii="宋体" w:hAnsi="宋体" w:eastAsia="宋体"/>
          <w:color w:val="auto"/>
          <w:highlight w:val="none"/>
          <w:u w:val="single"/>
        </w:rPr>
        <w:t xml:space="preserve"> </w:t>
      </w:r>
      <w:r>
        <w:rPr>
          <w:rFonts w:ascii="宋体" w:hAnsi="宋体" w:eastAsia="宋体"/>
          <w:color w:val="auto"/>
          <w:highlight w:val="none"/>
        </w:rPr>
        <w:t>，从业人员</w:t>
      </w:r>
      <w:r>
        <w:rPr>
          <w:rFonts w:ascii="宋体" w:hAnsi="宋体" w:eastAsia="宋体"/>
          <w:color w:val="auto"/>
          <w:highlight w:val="none"/>
          <w:u w:val="single"/>
        </w:rPr>
        <w:t xml:space="preserve">    </w:t>
      </w:r>
      <w:r>
        <w:rPr>
          <w:rFonts w:ascii="宋体" w:hAnsi="宋体" w:eastAsia="宋体"/>
          <w:color w:val="auto"/>
          <w:highlight w:val="none"/>
        </w:rPr>
        <w:t>人，营业收入为</w:t>
      </w:r>
      <w:r>
        <w:rPr>
          <w:rFonts w:ascii="宋体" w:hAnsi="宋体" w:eastAsia="宋体"/>
          <w:color w:val="auto"/>
          <w:highlight w:val="none"/>
          <w:u w:val="single"/>
        </w:rPr>
        <w:t xml:space="preserve">    </w:t>
      </w:r>
      <w:r>
        <w:rPr>
          <w:rFonts w:ascii="宋体" w:hAnsi="宋体" w:eastAsia="宋体"/>
          <w:color w:val="auto"/>
          <w:highlight w:val="none"/>
        </w:rPr>
        <w:t>万元，资产总额为</w:t>
      </w:r>
      <w:r>
        <w:rPr>
          <w:rFonts w:ascii="宋体" w:hAnsi="宋体" w:eastAsia="宋体"/>
          <w:color w:val="auto"/>
          <w:highlight w:val="none"/>
          <w:u w:val="single"/>
        </w:rPr>
        <w:t xml:space="preserve">    </w:t>
      </w:r>
      <w:r>
        <w:rPr>
          <w:rFonts w:ascii="宋体" w:hAnsi="宋体" w:eastAsia="宋体"/>
          <w:color w:val="auto"/>
          <w:highlight w:val="none"/>
        </w:rPr>
        <w:t>万元，属于</w:t>
      </w:r>
      <w:r>
        <w:rPr>
          <w:rFonts w:ascii="宋体" w:hAnsi="宋体" w:eastAsia="宋体"/>
          <w:color w:val="auto"/>
          <w:highlight w:val="none"/>
          <w:u w:val="single"/>
        </w:rPr>
        <w:t>（中型企业、小型企业、 微型企业）</w:t>
      </w:r>
      <w:r>
        <w:rPr>
          <w:rFonts w:ascii="宋体" w:hAnsi="宋体" w:eastAsia="宋体"/>
          <w:color w:val="auto"/>
          <w:highlight w:val="none"/>
        </w:rPr>
        <w:t>；</w:t>
      </w:r>
    </w:p>
    <w:p w14:paraId="0F80D67F">
      <w:pPr>
        <w:spacing w:line="480" w:lineRule="auto"/>
        <w:ind w:firstLine="420" w:firstLineChars="200"/>
        <w:rPr>
          <w:rFonts w:hint="eastAsia" w:ascii="宋体" w:hAnsi="宋体" w:eastAsia="宋体"/>
          <w:color w:val="auto"/>
          <w:highlight w:val="none"/>
        </w:rPr>
      </w:pPr>
      <w:r>
        <w:rPr>
          <w:rFonts w:hint="eastAsia" w:ascii="宋体" w:hAnsi="宋体" w:eastAsia="宋体"/>
          <w:color w:val="auto"/>
          <w:highlight w:val="none"/>
        </w:rPr>
        <w:t>……</w:t>
      </w:r>
    </w:p>
    <w:p w14:paraId="5CB17A10">
      <w:pPr>
        <w:spacing w:line="480" w:lineRule="auto"/>
        <w:ind w:firstLine="420" w:firstLineChars="200"/>
        <w:rPr>
          <w:rFonts w:hint="eastAsia" w:ascii="宋体" w:hAnsi="宋体" w:eastAsia="宋体"/>
          <w:color w:val="auto"/>
          <w:highlight w:val="none"/>
        </w:rPr>
      </w:pPr>
      <w:r>
        <w:rPr>
          <w:rFonts w:hint="eastAsia" w:ascii="宋体" w:hAnsi="宋体" w:eastAsia="宋体"/>
          <w:color w:val="auto"/>
          <w:highlight w:val="none"/>
        </w:rPr>
        <w:t>以上企业，不属于大企业的分支机构，不存在控股股东为大企业的情形，也不存在与大企业的负责人为同一人的情形。</w:t>
      </w:r>
    </w:p>
    <w:p w14:paraId="1FA48CEF">
      <w:pPr>
        <w:spacing w:line="480" w:lineRule="auto"/>
        <w:ind w:firstLine="420" w:firstLineChars="200"/>
        <w:rPr>
          <w:rFonts w:hint="eastAsia" w:ascii="宋体" w:hAnsi="宋体" w:eastAsia="宋体"/>
          <w:color w:val="auto"/>
          <w:highlight w:val="none"/>
        </w:rPr>
      </w:pPr>
      <w:r>
        <w:rPr>
          <w:rFonts w:hint="eastAsia" w:ascii="宋体" w:hAnsi="宋体" w:eastAsia="宋体"/>
          <w:color w:val="auto"/>
          <w:highlight w:val="none"/>
        </w:rPr>
        <w:t>本企业对上述声明内容的真实性负责。如有虚假，将依法承担相应责任。</w:t>
      </w:r>
    </w:p>
    <w:p w14:paraId="06BF6D7E">
      <w:pPr>
        <w:spacing w:line="480" w:lineRule="auto"/>
        <w:ind w:right="840"/>
        <w:rPr>
          <w:rFonts w:hint="eastAsia" w:ascii="宋体" w:hAnsi="宋体" w:eastAsia="宋体"/>
          <w:color w:val="auto"/>
          <w:highlight w:val="none"/>
        </w:rPr>
      </w:pPr>
    </w:p>
    <w:p w14:paraId="78D824E1">
      <w:pPr>
        <w:spacing w:line="480" w:lineRule="auto"/>
        <w:ind w:right="840"/>
        <w:rPr>
          <w:rFonts w:hint="eastAsia" w:ascii="宋体" w:hAnsi="宋体" w:eastAsia="宋体"/>
          <w:color w:val="auto"/>
          <w:highlight w:val="none"/>
        </w:rPr>
      </w:pPr>
    </w:p>
    <w:p w14:paraId="170BCF17">
      <w:pPr>
        <w:spacing w:line="480" w:lineRule="auto"/>
        <w:ind w:right="840"/>
        <w:rPr>
          <w:rFonts w:hint="eastAsia" w:ascii="宋体" w:hAnsi="宋体" w:eastAsia="宋体"/>
          <w:color w:val="auto"/>
          <w:highlight w:val="none"/>
        </w:rPr>
      </w:pPr>
    </w:p>
    <w:p w14:paraId="3B1468DE">
      <w:pPr>
        <w:spacing w:line="480" w:lineRule="auto"/>
        <w:ind w:right="1680"/>
        <w:jc w:val="right"/>
        <w:rPr>
          <w:rFonts w:hint="eastAsia" w:ascii="宋体" w:hAnsi="宋体" w:eastAsia="宋体"/>
          <w:color w:val="auto"/>
          <w:highlight w:val="none"/>
        </w:rPr>
      </w:pPr>
      <w:r>
        <w:rPr>
          <w:rFonts w:hint="eastAsia" w:ascii="宋体" w:hAnsi="宋体" w:eastAsia="宋体"/>
          <w:color w:val="auto"/>
          <w:highlight w:val="none"/>
        </w:rPr>
        <w:t>企业名称（盖章）：</w:t>
      </w:r>
      <w:r>
        <w:rPr>
          <w:rFonts w:ascii="宋体" w:hAnsi="宋体" w:eastAsia="宋体"/>
          <w:color w:val="auto"/>
          <w:highlight w:val="none"/>
        </w:rPr>
        <w:t xml:space="preserve">                </w:t>
      </w:r>
    </w:p>
    <w:p w14:paraId="1907D961">
      <w:pPr>
        <w:wordWrap w:val="0"/>
        <w:spacing w:line="480" w:lineRule="auto"/>
        <w:jc w:val="right"/>
        <w:rPr>
          <w:rFonts w:hint="eastAsia" w:ascii="宋体" w:hAnsi="宋体" w:eastAsia="宋体"/>
          <w:color w:val="auto"/>
          <w:highlight w:val="none"/>
        </w:rPr>
      </w:pPr>
      <w:r>
        <w:rPr>
          <w:rFonts w:hint="eastAsia" w:ascii="宋体" w:hAnsi="宋体" w:eastAsia="宋体"/>
          <w:color w:val="auto"/>
          <w:highlight w:val="none"/>
        </w:rPr>
        <w:t>日</w:t>
      </w:r>
      <w:r>
        <w:rPr>
          <w:rFonts w:ascii="宋体" w:hAnsi="宋体" w:eastAsia="宋体"/>
          <w:color w:val="auto"/>
          <w:highlight w:val="none"/>
        </w:rPr>
        <w:t xml:space="preserve"> 期：</w:t>
      </w:r>
      <w:r>
        <w:rPr>
          <w:rFonts w:hint="eastAsia" w:ascii="宋体" w:hAnsi="宋体" w:eastAsia="宋体"/>
          <w:color w:val="auto"/>
          <w:highlight w:val="none"/>
        </w:rPr>
        <w:t xml:space="preserve"> </w:t>
      </w:r>
      <w:r>
        <w:rPr>
          <w:rFonts w:ascii="宋体" w:hAnsi="宋体" w:eastAsia="宋体"/>
          <w:color w:val="auto"/>
          <w:highlight w:val="none"/>
        </w:rPr>
        <w:t xml:space="preserve">                         </w:t>
      </w:r>
    </w:p>
    <w:p w14:paraId="5D2B11B6">
      <w:pPr>
        <w:pStyle w:val="4"/>
        <w:spacing w:before="0" w:after="0" w:line="360" w:lineRule="auto"/>
        <w:rPr>
          <w:rFonts w:hint="eastAsia" w:ascii="宋体" w:hAnsi="宋体" w:cs="宋体"/>
          <w:color w:val="auto"/>
          <w:sz w:val="21"/>
          <w:szCs w:val="21"/>
          <w:highlight w:val="none"/>
        </w:rPr>
      </w:pPr>
      <w:r>
        <w:rPr>
          <w:rFonts w:ascii="宋体" w:hAnsi="宋体"/>
          <w:color w:val="auto"/>
          <w:highlight w:val="none"/>
        </w:rPr>
        <w:br w:type="page"/>
      </w:r>
      <w:bookmarkStart w:id="686" w:name="_Toc1814"/>
      <w:bookmarkStart w:id="687" w:name="_Toc120282484"/>
      <w:bookmarkStart w:id="688" w:name="_Toc164432979"/>
      <w:bookmarkStart w:id="689" w:name="_Toc77658137"/>
      <w:bookmarkStart w:id="690" w:name="_Toc107396256"/>
      <w:bookmarkStart w:id="691" w:name="_Toc77504127"/>
      <w:r>
        <w:rPr>
          <w:rFonts w:hint="eastAsia" w:ascii="宋体" w:hAnsi="宋体" w:cs="宋体"/>
          <w:color w:val="auto"/>
          <w:sz w:val="21"/>
          <w:szCs w:val="21"/>
          <w:highlight w:val="none"/>
        </w:rPr>
        <w:t>附件三：</w:t>
      </w:r>
      <w:bookmarkEnd w:id="686"/>
      <w:bookmarkEnd w:id="687"/>
      <w:bookmarkEnd w:id="688"/>
      <w:bookmarkEnd w:id="689"/>
      <w:bookmarkEnd w:id="690"/>
      <w:bookmarkEnd w:id="691"/>
    </w:p>
    <w:p w14:paraId="58536B27">
      <w:pPr>
        <w:spacing w:line="360" w:lineRule="auto"/>
        <w:jc w:val="left"/>
        <w:rPr>
          <w:rFonts w:hint="eastAsia" w:ascii="宋体" w:hAnsi="宋体" w:eastAsia="宋体" w:cs="Times New Roman"/>
          <w:color w:val="auto"/>
          <w:highlight w:val="none"/>
        </w:rPr>
      </w:pPr>
    </w:p>
    <w:p w14:paraId="1342908F">
      <w:pP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残疾人福利性单位声明函</w:t>
      </w:r>
    </w:p>
    <w:p w14:paraId="7BB08C2C">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本单位郑重声明，根据《财政部</w:t>
      </w:r>
      <w:r>
        <w:rPr>
          <w:rFonts w:ascii="宋体" w:hAnsi="宋体" w:eastAsia="宋体" w:cs="宋体"/>
          <w:color w:val="auto"/>
          <w:highlight w:val="none"/>
        </w:rPr>
        <w:t xml:space="preserve"> </w:t>
      </w:r>
      <w:r>
        <w:rPr>
          <w:rFonts w:hint="eastAsia" w:ascii="宋体" w:hAnsi="宋体" w:eastAsia="宋体" w:cs="宋体"/>
          <w:color w:val="auto"/>
          <w:highlight w:val="none"/>
        </w:rPr>
        <w:t>民政部</w:t>
      </w:r>
      <w:r>
        <w:rPr>
          <w:rFonts w:ascii="宋体" w:hAnsi="宋体" w:eastAsia="宋体" w:cs="宋体"/>
          <w:color w:val="auto"/>
          <w:highlight w:val="none"/>
        </w:rPr>
        <w:t xml:space="preserve"> </w:t>
      </w:r>
      <w:r>
        <w:rPr>
          <w:rFonts w:hint="eastAsia" w:ascii="宋体" w:hAnsi="宋体" w:eastAsia="宋体" w:cs="宋体"/>
          <w:color w:val="auto"/>
          <w:highlight w:val="none"/>
        </w:rPr>
        <w:t>中国残疾人联合会关于促进残疾人就业政府采购政策的通知》（财库〔</w:t>
      </w:r>
      <w:r>
        <w:rPr>
          <w:rFonts w:ascii="宋体" w:hAnsi="宋体" w:eastAsia="宋体" w:cs="宋体"/>
          <w:color w:val="auto"/>
          <w:highlight w:val="none"/>
        </w:rPr>
        <w:t>2017</w:t>
      </w:r>
      <w:r>
        <w:rPr>
          <w:rFonts w:hint="eastAsia" w:ascii="宋体" w:hAnsi="宋体" w:eastAsia="宋体" w:cs="宋体"/>
          <w:color w:val="auto"/>
          <w:highlight w:val="none"/>
        </w:rPr>
        <w:t>〕</w:t>
      </w:r>
      <w:r>
        <w:rPr>
          <w:rFonts w:ascii="宋体" w:hAnsi="宋体" w:eastAsia="宋体" w:cs="宋体"/>
          <w:color w:val="auto"/>
          <w:highlight w:val="none"/>
        </w:rPr>
        <w:t>141</w:t>
      </w:r>
      <w:r>
        <w:rPr>
          <w:rFonts w:hint="eastAsia" w:ascii="宋体" w:hAnsi="宋体" w:eastAsia="宋体" w:cs="宋体"/>
          <w:color w:val="auto"/>
          <w:highlight w:val="none"/>
        </w:rPr>
        <w:t>号）的规定，本单位为符合条件的残疾人福利性单位，且本单位参加单位的项目采购活动提供本单位制造的货物（由本单位承担工程</w:t>
      </w:r>
      <w:r>
        <w:rPr>
          <w:rFonts w:ascii="宋体" w:hAnsi="宋体" w:eastAsia="宋体" w:cs="宋体"/>
          <w:color w:val="auto"/>
          <w:highlight w:val="none"/>
        </w:rPr>
        <w:t>/</w:t>
      </w:r>
      <w:r>
        <w:rPr>
          <w:rFonts w:hint="eastAsia" w:ascii="宋体" w:hAnsi="宋体" w:eastAsia="宋体" w:cs="宋体"/>
          <w:color w:val="auto"/>
          <w:highlight w:val="none"/>
        </w:rPr>
        <w:t>提供服务），或者提供其他残疾人福利性单位制造的货物（不包括使用非残疾人福利性单位注册商标的货物）。</w:t>
      </w:r>
    </w:p>
    <w:p w14:paraId="3EFE661A">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本单位对上述声明的真实性负责。如有虚假，将依法承担相应责任。</w:t>
      </w:r>
    </w:p>
    <w:p w14:paraId="409FBF7F">
      <w:pPr>
        <w:spacing w:line="360" w:lineRule="auto"/>
        <w:rPr>
          <w:rFonts w:hint="eastAsia" w:ascii="宋体" w:hAnsi="宋体" w:eastAsia="宋体" w:cs="Times New Roman"/>
          <w:color w:val="auto"/>
          <w:highlight w:val="none"/>
        </w:rPr>
      </w:pPr>
    </w:p>
    <w:p w14:paraId="4B8252FD">
      <w:pPr>
        <w:spacing w:line="360" w:lineRule="auto"/>
        <w:rPr>
          <w:rFonts w:hint="eastAsia" w:ascii="宋体" w:hAnsi="宋体" w:eastAsia="宋体" w:cs="Times New Roman"/>
          <w:color w:val="auto"/>
          <w:highlight w:val="none"/>
        </w:rPr>
      </w:pPr>
    </w:p>
    <w:p w14:paraId="61B6844E">
      <w:pPr>
        <w:wordWrap w:val="0"/>
        <w:spacing w:line="360" w:lineRule="auto"/>
        <w:jc w:val="right"/>
        <w:rPr>
          <w:rFonts w:hint="eastAsia" w:ascii="宋体" w:hAnsi="宋体" w:eastAsia="宋体"/>
          <w:color w:val="auto"/>
          <w:highlight w:val="none"/>
        </w:rPr>
      </w:pPr>
      <w:r>
        <w:rPr>
          <w:rFonts w:ascii="宋体" w:hAnsi="宋体" w:eastAsia="宋体"/>
          <w:color w:val="auto"/>
          <w:highlight w:val="none"/>
        </w:rPr>
        <w:t>单位名称（盖章）：</w:t>
      </w:r>
      <w:r>
        <w:rPr>
          <w:rFonts w:hint="eastAsia" w:ascii="宋体" w:hAnsi="宋体" w:eastAsia="宋体"/>
          <w:color w:val="auto"/>
          <w:highlight w:val="none"/>
        </w:rPr>
        <w:t xml:space="preserve"> </w:t>
      </w:r>
      <w:r>
        <w:rPr>
          <w:rFonts w:ascii="宋体" w:hAnsi="宋体" w:eastAsia="宋体"/>
          <w:color w:val="auto"/>
          <w:highlight w:val="none"/>
        </w:rPr>
        <w:t xml:space="preserve">               </w:t>
      </w:r>
    </w:p>
    <w:p w14:paraId="31FEA0B8">
      <w:pPr>
        <w:wordWrap w:val="0"/>
        <w:spacing w:line="360" w:lineRule="auto"/>
        <w:jc w:val="right"/>
        <w:rPr>
          <w:rFonts w:hint="eastAsia" w:ascii="宋体" w:hAnsi="宋体" w:eastAsia="宋体" w:cs="Times New Roman"/>
          <w:color w:val="auto"/>
          <w:highlight w:val="none"/>
        </w:rPr>
      </w:pPr>
      <w:r>
        <w:rPr>
          <w:rFonts w:ascii="宋体" w:hAnsi="宋体" w:eastAsia="宋体"/>
          <w:color w:val="auto"/>
          <w:highlight w:val="none"/>
        </w:rPr>
        <w:t>日  期：</w:t>
      </w:r>
      <w:r>
        <w:rPr>
          <w:rFonts w:hint="eastAsia" w:ascii="宋体" w:hAnsi="宋体" w:eastAsia="宋体"/>
          <w:color w:val="auto"/>
          <w:highlight w:val="none"/>
        </w:rPr>
        <w:t xml:space="preserve"> </w:t>
      </w:r>
      <w:r>
        <w:rPr>
          <w:rFonts w:ascii="宋体" w:hAnsi="宋体" w:eastAsia="宋体"/>
          <w:color w:val="auto"/>
          <w:highlight w:val="none"/>
        </w:rPr>
        <w:t xml:space="preserve">                        </w:t>
      </w:r>
    </w:p>
    <w:p w14:paraId="10687A67">
      <w:pPr>
        <w:spacing w:line="360" w:lineRule="auto"/>
        <w:rPr>
          <w:rFonts w:hint="eastAsia" w:ascii="宋体" w:hAnsi="宋体" w:eastAsia="宋体" w:cs="Times New Roman"/>
          <w:color w:val="auto"/>
          <w:highlight w:val="none"/>
        </w:rPr>
      </w:pPr>
    </w:p>
    <w:p w14:paraId="132C86CE">
      <w:pPr>
        <w:spacing w:line="360" w:lineRule="auto"/>
        <w:rPr>
          <w:rFonts w:hint="eastAsia" w:ascii="宋体" w:hAnsi="宋体" w:eastAsia="宋体" w:cs="Times New Roman"/>
          <w:color w:val="auto"/>
          <w:highlight w:val="none"/>
        </w:rPr>
      </w:pPr>
    </w:p>
    <w:p w14:paraId="2E3C47F5">
      <w:pPr>
        <w:pStyle w:val="4"/>
        <w:spacing w:before="0" w:after="0" w:line="360" w:lineRule="auto"/>
        <w:rPr>
          <w:rFonts w:hint="eastAsia" w:ascii="宋体" w:hAnsi="宋体" w:cs="宋体"/>
          <w:color w:val="auto"/>
          <w:sz w:val="21"/>
          <w:szCs w:val="21"/>
          <w:highlight w:val="none"/>
        </w:rPr>
      </w:pPr>
      <w:r>
        <w:rPr>
          <w:rFonts w:ascii="宋体" w:hAnsi="宋体"/>
          <w:color w:val="auto"/>
          <w:highlight w:val="none"/>
        </w:rPr>
        <w:br w:type="page"/>
      </w:r>
      <w:bookmarkStart w:id="692" w:name="_Toc120282485"/>
      <w:bookmarkStart w:id="693" w:name="_Toc107396257"/>
      <w:bookmarkStart w:id="694" w:name="_Toc164432980"/>
      <w:bookmarkStart w:id="695" w:name="_Toc77658138"/>
      <w:bookmarkStart w:id="696" w:name="_Toc77504128"/>
      <w:bookmarkStart w:id="697" w:name="_Toc14018"/>
      <w:r>
        <w:rPr>
          <w:rFonts w:hint="eastAsia" w:ascii="宋体" w:hAnsi="宋体" w:cs="宋体"/>
          <w:color w:val="auto"/>
          <w:sz w:val="21"/>
          <w:szCs w:val="21"/>
          <w:highlight w:val="none"/>
        </w:rPr>
        <w:t>附件四：</w:t>
      </w:r>
      <w:bookmarkEnd w:id="692"/>
      <w:bookmarkEnd w:id="693"/>
      <w:bookmarkEnd w:id="694"/>
      <w:bookmarkEnd w:id="695"/>
      <w:bookmarkEnd w:id="696"/>
      <w:bookmarkEnd w:id="697"/>
    </w:p>
    <w:p w14:paraId="59A1418B">
      <w:pPr>
        <w:spacing w:line="360" w:lineRule="auto"/>
        <w:rPr>
          <w:rFonts w:hint="eastAsia" w:ascii="宋体" w:hAnsi="宋体" w:eastAsia="宋体" w:cs="Times New Roman"/>
          <w:color w:val="auto"/>
          <w:highlight w:val="none"/>
        </w:rPr>
      </w:pPr>
    </w:p>
    <w:p w14:paraId="1A5C4C89">
      <w:pPr>
        <w:spacing w:line="360" w:lineRule="auto"/>
        <w:jc w:val="center"/>
        <w:rPr>
          <w:rFonts w:hint="eastAsia" w:ascii="宋体" w:hAnsi="宋体" w:eastAsia="宋体" w:cs="Times New Roman"/>
          <w:color w:val="auto"/>
          <w:highlight w:val="none"/>
        </w:rPr>
      </w:pPr>
      <w:r>
        <w:rPr>
          <w:rFonts w:hint="eastAsia" w:ascii="宋体" w:hAnsi="宋体" w:eastAsia="宋体" w:cs="宋体"/>
          <w:color w:val="auto"/>
          <w:highlight w:val="none"/>
        </w:rPr>
        <w:t>监狱企业证明文件</w:t>
      </w:r>
    </w:p>
    <w:p w14:paraId="61F0F1D8">
      <w:pPr>
        <w:spacing w:line="360" w:lineRule="auto"/>
        <w:ind w:firstLine="420" w:firstLineChars="200"/>
        <w:rPr>
          <w:rFonts w:hint="eastAsia" w:ascii="宋体" w:hAnsi="宋体" w:eastAsia="宋体" w:cs="Times New Roman"/>
          <w:color w:val="auto"/>
          <w:highlight w:val="none"/>
        </w:rPr>
      </w:pPr>
      <w:r>
        <w:rPr>
          <w:rFonts w:hint="eastAsia" w:ascii="宋体" w:hAnsi="宋体" w:eastAsia="宋体" w:cs="宋体"/>
          <w:color w:val="auto"/>
          <w:highlight w:val="none"/>
        </w:rPr>
        <w:t>根据《财政部</w:t>
      </w:r>
      <w:r>
        <w:rPr>
          <w:rFonts w:ascii="宋体" w:hAnsi="宋体" w:eastAsia="宋体" w:cs="宋体"/>
          <w:color w:val="auto"/>
          <w:highlight w:val="none"/>
        </w:rPr>
        <w:t xml:space="preserve"> </w:t>
      </w:r>
      <w:r>
        <w:rPr>
          <w:rFonts w:hint="eastAsia" w:ascii="宋体" w:hAnsi="宋体" w:eastAsia="宋体" w:cs="宋体"/>
          <w:color w:val="auto"/>
          <w:highlight w:val="none"/>
        </w:rPr>
        <w:t>司法部关于政府采购支持监狱企业发展有关问题的通知》（财库〔</w:t>
      </w:r>
      <w:r>
        <w:rPr>
          <w:rFonts w:ascii="宋体" w:hAnsi="宋体" w:eastAsia="宋体" w:cs="宋体"/>
          <w:color w:val="auto"/>
          <w:highlight w:val="none"/>
        </w:rPr>
        <w:t>2014</w:t>
      </w:r>
      <w:r>
        <w:rPr>
          <w:rFonts w:hint="eastAsia" w:ascii="宋体" w:hAnsi="宋体" w:eastAsia="宋体" w:cs="宋体"/>
          <w:color w:val="auto"/>
          <w:highlight w:val="none"/>
        </w:rPr>
        <w:t>〕</w:t>
      </w:r>
      <w:r>
        <w:rPr>
          <w:rFonts w:ascii="宋体" w:hAnsi="宋体" w:eastAsia="宋体" w:cs="宋体"/>
          <w:color w:val="auto"/>
          <w:highlight w:val="none"/>
        </w:rPr>
        <w:t>68</w:t>
      </w:r>
      <w:r>
        <w:rPr>
          <w:rFonts w:hint="eastAsia" w:ascii="宋体" w:hAnsi="宋体" w:eastAsia="宋体" w:cs="宋体"/>
          <w:color w:val="auto"/>
          <w:highlight w:val="none"/>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sectPr>
      <w:pgSz w:w="11906" w:h="16838"/>
      <w:pgMar w:top="1418" w:right="1134" w:bottom="1418" w:left="1134" w:header="851" w:footer="992" w:gutter="0"/>
      <w:cols w:space="720" w:num="1"/>
      <w:rtlGutter w:val="1"/>
      <w:docGrid w:linePitch="326" w:charSpace="4833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mp;#23435;&amp;#20307;">
    <w:altName w:val="Times New Roman"/>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华文行楷">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0D346">
    <w:pPr>
      <w:pBdr>
        <w:top w:val="thinThickSmallGap" w:color="622423" w:sz="24" w:space="0"/>
      </w:pBdr>
      <w:jc w:val="right"/>
      <w:rPr>
        <w:rFonts w:ascii="Times New Roman" w:hAnsi="Times New Roman" w:eastAsia="黑体" w:cs="Times New Roman"/>
      </w:rPr>
    </w:pP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lang w:val="zh-CN"/>
      </w:rPr>
      <w:t>41</w:t>
    </w:r>
    <w:r>
      <w:rPr>
        <w:rFonts w:ascii="Times New Roman" w:hAnsi="Times New Roman" w:eastAsia="黑体" w:cs="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9E8E9">
    <w:pPr>
      <w:pBdr>
        <w:top w:val="thinThickSmallGap" w:color="622423" w:sz="24" w:space="0"/>
      </w:pBdr>
      <w:rPr>
        <w:rFonts w:ascii="Times New Roman" w:hAnsi="Times New Roman" w:eastAsia="黑体" w:cs="Times New Roman"/>
      </w:rPr>
    </w:pPr>
    <w:r>
      <w:rPr>
        <w:rFonts w:ascii="Times New Roman" w:hAnsi="Times New Roman" w:eastAsia="黑体" w:cs="Times New Roman"/>
      </w:rPr>
      <w:drawing>
        <wp:anchor distT="0" distB="0" distL="114300" distR="114300" simplePos="0" relativeHeight="251659264" behindDoc="1" locked="0" layoutInCell="1" allowOverlap="1">
          <wp:simplePos x="0" y="0"/>
          <wp:positionH relativeFrom="column">
            <wp:posOffset>4290060</wp:posOffset>
          </wp:positionH>
          <wp:positionV relativeFrom="paragraph">
            <wp:posOffset>121285</wp:posOffset>
          </wp:positionV>
          <wp:extent cx="1759585" cy="359410"/>
          <wp:effectExtent l="0" t="0" r="0" b="2540"/>
          <wp:wrapNone/>
          <wp:docPr id="1285682617" name="图片 128568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82617" name="图片 128568261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59585" cy="359410"/>
                  </a:xfrm>
                  <a:prstGeom prst="rect">
                    <a:avLst/>
                  </a:prstGeom>
                </pic:spPr>
              </pic:pic>
            </a:graphicData>
          </a:graphic>
        </wp:anchor>
      </w:drawing>
    </w:r>
    <w:r>
      <w:rPr>
        <w:rFonts w:ascii="Times New Roman" w:hAnsi="Times New Roman" w:eastAsia="黑体" w:cs="Times New Roman"/>
      </w:rPr>
      <w:fldChar w:fldCharType="begin"/>
    </w:r>
    <w:r>
      <w:rPr>
        <w:rFonts w:ascii="Times New Roman" w:hAnsi="Times New Roman" w:eastAsia="黑体" w:cs="Times New Roman"/>
      </w:rPr>
      <w:instrText xml:space="preserve">PAGE   \* MERGEFORMAT</w:instrText>
    </w:r>
    <w:r>
      <w:rPr>
        <w:rFonts w:ascii="Times New Roman" w:hAnsi="Times New Roman" w:eastAsia="黑体" w:cs="Times New Roman"/>
      </w:rPr>
      <w:fldChar w:fldCharType="separate"/>
    </w:r>
    <w:r>
      <w:rPr>
        <w:rFonts w:ascii="Times New Roman" w:hAnsi="Times New Roman" w:eastAsia="黑体" w:cs="Times New Roman"/>
        <w:lang w:val="zh-CN"/>
      </w:rPr>
      <w:t>40</w:t>
    </w:r>
    <w:r>
      <w:rPr>
        <w:rFonts w:ascii="Times New Roman" w:hAnsi="Times New Roman" w:eastAsia="黑体" w:cs="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02A37">
    <w:pPr>
      <w:pStyle w:val="25"/>
      <w:pBdr>
        <w:top w:val="thinThickSmallGap" w:color="622423" w:sz="24" w:space="1"/>
      </w:pBdr>
      <w:tabs>
        <w:tab w:val="right" w:pos="9638"/>
        <w:tab w:val="clear" w:pos="4153"/>
        <w:tab w:val="clear" w:pos="8306"/>
      </w:tabs>
      <w:jc w:val="right"/>
      <w:rPr>
        <w:rFonts w:hint="eastAsia" w:ascii="华文新魏" w:hAnsi="黑体" w:eastAsia="华文新魏"/>
        <w:position w:val="-6"/>
        <w:sz w:val="21"/>
        <w:szCs w:val="21"/>
      </w:rPr>
    </w:pPr>
    <w:r>
      <w:rPr>
        <w:rFonts w:ascii="华文新魏" w:hAnsi="黑体" w:eastAsia="华文新魏"/>
        <w:position w:val="-6"/>
        <w:sz w:val="21"/>
        <w:szCs w:val="21"/>
      </w:rPr>
      <w:fldChar w:fldCharType="begin"/>
    </w:r>
    <w:r>
      <w:rPr>
        <w:rFonts w:ascii="华文新魏" w:hAnsi="黑体" w:eastAsia="华文新魏"/>
        <w:position w:val="-6"/>
        <w:sz w:val="21"/>
        <w:szCs w:val="21"/>
      </w:rPr>
      <w:instrText xml:space="preserve">PAGE   \* MERGEFORMAT</w:instrText>
    </w:r>
    <w:r>
      <w:rPr>
        <w:rFonts w:ascii="华文新魏" w:hAnsi="黑体" w:eastAsia="华文新魏"/>
        <w:position w:val="-6"/>
        <w:sz w:val="21"/>
        <w:szCs w:val="21"/>
      </w:rPr>
      <w:fldChar w:fldCharType="separate"/>
    </w:r>
    <w:r>
      <w:rPr>
        <w:rFonts w:ascii="华文新魏" w:hAnsi="黑体" w:eastAsia="华文新魏"/>
        <w:position w:val="-6"/>
        <w:sz w:val="21"/>
        <w:szCs w:val="21"/>
        <w:lang w:val="zh-CN"/>
      </w:rPr>
      <w:t>1</w:t>
    </w:r>
    <w:r>
      <w:rPr>
        <w:rFonts w:ascii="华文新魏" w:hAnsi="黑体" w:eastAsia="华文新魏"/>
        <w:position w:val="-6"/>
        <w:sz w:val="21"/>
        <w:szCs w:val="21"/>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E873C">
    <w:pPr>
      <w:pStyle w:val="25"/>
      <w:pBdr>
        <w:top w:val="thinThickSmallGap" w:color="622423" w:sz="24" w:space="1"/>
      </w:pBdr>
      <w:tabs>
        <w:tab w:val="right" w:pos="9638"/>
        <w:tab w:val="clear" w:pos="4153"/>
        <w:tab w:val="clear" w:pos="8306"/>
      </w:tabs>
      <w:rPr>
        <w:rFonts w:hint="eastAsia" w:ascii="华文新魏" w:hAnsi="黑体" w:eastAsia="华文新魏"/>
        <w:sz w:val="21"/>
        <w:szCs w:val="21"/>
      </w:rPr>
    </w:pPr>
    <w:r>
      <w:rPr>
        <w:rFonts w:hint="eastAsia" w:ascii="华文新魏" w:hAnsi="黑体" w:eastAsia="华文新魏"/>
        <w:sz w:val="21"/>
        <w:szCs w:val="21"/>
      </w:rPr>
      <w:fldChar w:fldCharType="begin"/>
    </w:r>
    <w:r>
      <w:rPr>
        <w:rFonts w:hint="eastAsia" w:ascii="华文新魏" w:hAnsi="黑体" w:eastAsia="华文新魏"/>
        <w:sz w:val="21"/>
        <w:szCs w:val="21"/>
      </w:rPr>
      <w:instrText xml:space="preserve">PAGE   \* MERGEFORMAT</w:instrText>
    </w:r>
    <w:r>
      <w:rPr>
        <w:rFonts w:hint="eastAsia" w:ascii="华文新魏" w:hAnsi="黑体" w:eastAsia="华文新魏"/>
        <w:sz w:val="21"/>
        <w:szCs w:val="21"/>
      </w:rPr>
      <w:fldChar w:fldCharType="separate"/>
    </w:r>
    <w:r>
      <w:rPr>
        <w:rFonts w:hint="eastAsia" w:ascii="华文新魏" w:hAnsi="黑体" w:eastAsia="华文新魏"/>
        <w:sz w:val="21"/>
        <w:szCs w:val="21"/>
        <w:lang w:val="zh-CN"/>
      </w:rPr>
      <w:t>44</w:t>
    </w:r>
    <w:r>
      <w:rPr>
        <w:rFonts w:hint="eastAsia" w:ascii="华文新魏" w:hAnsi="黑体" w:eastAsia="华文新魏"/>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9E7485">
    <w:pPr>
      <w:pStyle w:val="2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4A0BB48F">
      <w:pPr>
        <w:pStyle w:val="30"/>
        <w:rPr>
          <w:rFonts w:hint="eastAsia" w:ascii="宋体" w:hAnsi="宋体"/>
        </w:rPr>
      </w:pPr>
      <w:r>
        <w:rPr>
          <w:rFonts w:hint="eastAsia" w:ascii="宋体" w:hAnsi="宋体"/>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ADCC8">
    <w:pPr>
      <w:pStyle w:val="2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7AE36">
    <w:pPr>
      <w:pBdr>
        <w:bottom w:val="thickThinSmallGap" w:color="622423" w:sz="24" w:space="0"/>
      </w:pBdr>
      <w:jc w:val="left"/>
      <w:rPr>
        <w:rFonts w:hint="eastAsia" w:ascii="华文新魏" w:eastAsia="华文新魏" w:cs="Times New Roman"/>
        <w:sz w:val="18"/>
        <w:szCs w:val="18"/>
      </w:rPr>
    </w:pPr>
    <w:r>
      <w:rPr>
        <w:rFonts w:hint="eastAsia" w:ascii="华文新魏" w:hAnsi="宋体" w:eastAsia="华文新魏" w:cs="华文新魏"/>
        <w:sz w:val="15"/>
        <w:szCs w:val="15"/>
        <w:lang w:eastAsia="zh-CN"/>
      </w:rPr>
      <w:t>云南省新庄矿区地质勘查成果总结报告、云南省新庄矿区总体规划修编、云南省新庄矿区总体规划环境影响评价编审项目（二次）</w:t>
    </w:r>
    <w:r>
      <w:rPr>
        <w:rFonts w:hint="eastAsia" w:ascii="华文新魏" w:hAnsi="宋体" w:eastAsia="华文新魏" w:cs="华文新魏"/>
        <w:sz w:val="15"/>
        <w:szCs w:val="15"/>
      </w:rPr>
      <w:t xml:space="preserve">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A060D">
    <w:pPr>
      <w:pBdr>
        <w:bottom w:val="thickThinSmallGap" w:color="622423" w:sz="24" w:space="0"/>
      </w:pBdr>
      <w:jc w:val="left"/>
      <w:rPr>
        <w:rFonts w:hint="eastAsia" w:ascii="华文新魏" w:eastAsia="华文新魏" w:cs="Times New Roman"/>
      </w:rPr>
    </w:pPr>
    <w:r>
      <w:rPr>
        <w:rFonts w:hint="eastAsia" w:ascii="华文新魏" w:hAnsi="宋体" w:eastAsia="华文新魏" w:cs="华文新魏"/>
        <w:sz w:val="18"/>
        <w:szCs w:val="18"/>
        <w:lang w:eastAsia="zh-CN"/>
      </w:rPr>
      <w:t>云南省新庄矿区地质勘查成果总结报告、云南省新庄矿区总体规划修编、云南省新庄矿区总体规划环境影响评价编审项目（二次）</w:t>
    </w:r>
    <w:r>
      <w:rPr>
        <w:rFonts w:hint="eastAsia" w:ascii="华文新魏" w:hAnsi="宋体" w:eastAsia="华文新魏" w:cs="华文新魏"/>
        <w:sz w:val="18"/>
        <w:szCs w:val="18"/>
      </w:rPr>
      <w:t xml:space="preserve">                               </w:t>
    </w:r>
    <w:r>
      <w:rPr>
        <w:rFonts w:ascii="华文新魏" w:hAnsi="宋体" w:eastAsia="华文新魏" w:cs="华文新魏"/>
        <w:sz w:val="18"/>
        <w:szCs w:val="18"/>
      </w:rPr>
      <w:t xml:space="preserve">                       </w:t>
    </w:r>
    <w:r>
      <w:rPr>
        <w:rFonts w:hint="eastAsia" w:ascii="华文新魏" w:hAnsi="宋体" w:eastAsia="华文新魏" w:cs="华文新魏"/>
        <w:sz w:val="18"/>
        <w:szCs w:val="18"/>
      </w:rPr>
      <w:t xml:space="preserve">   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6C02E">
    <w:pPr>
      <w:pBdr>
        <w:bottom w:val="thickThinSmallGap" w:color="622423" w:sz="24" w:space="0"/>
      </w:pBdr>
      <w:jc w:val="left"/>
      <w:rPr>
        <w:rFonts w:hint="eastAsia" w:ascii="华文新魏" w:eastAsia="华文新魏" w:cs="Times New Roman"/>
        <w:sz w:val="18"/>
        <w:szCs w:val="18"/>
      </w:rPr>
    </w:pPr>
    <w:r>
      <w:rPr>
        <w:rFonts w:hint="eastAsia" w:ascii="华文新魏" w:hAnsi="宋体" w:eastAsia="华文新魏" w:cs="华文新魏"/>
        <w:sz w:val="15"/>
        <w:szCs w:val="15"/>
        <w:lang w:eastAsia="zh-CN"/>
      </w:rPr>
      <w:t>云南省新庄矿区地质勘查成果总结报告、云南省新庄矿区总体规划修编、云南省新庄矿区总体规划环境影响评价编审项目（二次）</w:t>
    </w:r>
    <w:r>
      <w:rPr>
        <w:rFonts w:hint="eastAsia" w:ascii="华文新魏" w:hAnsi="宋体" w:eastAsia="华文新魏" w:cs="华文新魏"/>
        <w:sz w:val="15"/>
        <w:szCs w:val="15"/>
        <w:lang w:val="en-US" w:eastAsia="zh-CN"/>
      </w:rPr>
      <w:t xml:space="preserve">  </w:t>
    </w:r>
    <w:r>
      <w:rPr>
        <w:rFonts w:hint="eastAsia" w:ascii="华文新魏" w:hAnsi="宋体" w:eastAsia="华文新魏" w:cs="华文新魏"/>
        <w:sz w:val="15"/>
        <w:szCs w:val="15"/>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CFFD0">
    <w:pPr>
      <w:pBdr>
        <w:bottom w:val="thickThinSmallGap" w:color="622423" w:sz="24" w:space="0"/>
      </w:pBdr>
      <w:jc w:val="left"/>
      <w:rPr>
        <w:rFonts w:hint="eastAsia" w:ascii="华文新魏" w:hAnsi="宋体" w:eastAsia="华文新魏" w:cs="华文新魏"/>
        <w:sz w:val="15"/>
        <w:szCs w:val="15"/>
        <w:lang w:eastAsia="zh-CN"/>
      </w:rPr>
    </w:pPr>
    <w:r>
      <w:rPr>
        <w:rFonts w:hint="eastAsia" w:ascii="华文新魏" w:hAnsi="宋体" w:eastAsia="华文新魏" w:cs="华文新魏"/>
        <w:sz w:val="15"/>
        <w:szCs w:val="15"/>
        <w:lang w:eastAsia="zh-CN"/>
      </w:rPr>
      <w:t>云南省新庄矿区地质勘查成果总结报告、云南省新庄矿区总体规划修编、云南省新庄矿区总体规划环境影响评价编审项目（二次）</w:t>
    </w:r>
    <w:r>
      <w:rPr>
        <w:rFonts w:hint="eastAsia" w:ascii="华文新魏" w:hAnsi="宋体" w:eastAsia="华文新魏" w:cs="华文新魏"/>
        <w:sz w:val="15"/>
        <w:szCs w:val="15"/>
        <w:lang w:val="en-US" w:eastAsia="zh-CN"/>
      </w:rPr>
      <w:t xml:space="preserve">  </w:t>
    </w:r>
    <w:r>
      <w:rPr>
        <w:rFonts w:hint="eastAsia" w:ascii="华文新魏" w:hAnsi="宋体" w:eastAsia="华文新魏" w:cs="华文新魏"/>
        <w:sz w:val="15"/>
        <w:szCs w:val="15"/>
        <w:lang w:eastAsia="zh-CN"/>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6059C">
    <w:pPr>
      <w:pStyle w:val="2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oNotHyphenateCaps/>
  <w:evenAndOddHeaders w:val="1"/>
  <w:drawingGridHorizontalSpacing w:val="238"/>
  <w:drawingGridVerticalSpacing w:val="163"/>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UyNjQwZjZiOWVlYTBjOWQ4NjU3N2Y3ZjdhZjZjYzYifQ=="/>
  </w:docVars>
  <w:rsids>
    <w:rsidRoot w:val="00172A27"/>
    <w:rsid w:val="00000779"/>
    <w:rsid w:val="00000963"/>
    <w:rsid w:val="00000A5D"/>
    <w:rsid w:val="000015F7"/>
    <w:rsid w:val="00001DA6"/>
    <w:rsid w:val="000023B1"/>
    <w:rsid w:val="0000245A"/>
    <w:rsid w:val="000040FB"/>
    <w:rsid w:val="00004FE8"/>
    <w:rsid w:val="000056F9"/>
    <w:rsid w:val="000068D2"/>
    <w:rsid w:val="000077C1"/>
    <w:rsid w:val="00007BA7"/>
    <w:rsid w:val="000107A5"/>
    <w:rsid w:val="00010D89"/>
    <w:rsid w:val="00010E8C"/>
    <w:rsid w:val="00012424"/>
    <w:rsid w:val="000140DF"/>
    <w:rsid w:val="000140FC"/>
    <w:rsid w:val="00014BA5"/>
    <w:rsid w:val="000166E3"/>
    <w:rsid w:val="0002084E"/>
    <w:rsid w:val="00020BC2"/>
    <w:rsid w:val="00020D6D"/>
    <w:rsid w:val="00023038"/>
    <w:rsid w:val="000230D0"/>
    <w:rsid w:val="00023ADA"/>
    <w:rsid w:val="00023CE4"/>
    <w:rsid w:val="00024923"/>
    <w:rsid w:val="00024B4A"/>
    <w:rsid w:val="00025081"/>
    <w:rsid w:val="000252A2"/>
    <w:rsid w:val="0002554B"/>
    <w:rsid w:val="00032E49"/>
    <w:rsid w:val="00033BE9"/>
    <w:rsid w:val="00033C30"/>
    <w:rsid w:val="00033CFD"/>
    <w:rsid w:val="00034E94"/>
    <w:rsid w:val="00034EB6"/>
    <w:rsid w:val="000364AA"/>
    <w:rsid w:val="00037331"/>
    <w:rsid w:val="00041800"/>
    <w:rsid w:val="000418AC"/>
    <w:rsid w:val="000420D5"/>
    <w:rsid w:val="000424EC"/>
    <w:rsid w:val="000433C5"/>
    <w:rsid w:val="00043CFD"/>
    <w:rsid w:val="000446B9"/>
    <w:rsid w:val="00045939"/>
    <w:rsid w:val="00045C01"/>
    <w:rsid w:val="0004672F"/>
    <w:rsid w:val="000469EE"/>
    <w:rsid w:val="000472E0"/>
    <w:rsid w:val="00050CAA"/>
    <w:rsid w:val="00050D03"/>
    <w:rsid w:val="00051193"/>
    <w:rsid w:val="00051B60"/>
    <w:rsid w:val="000536D0"/>
    <w:rsid w:val="0005755E"/>
    <w:rsid w:val="000608F5"/>
    <w:rsid w:val="00060909"/>
    <w:rsid w:val="000611EA"/>
    <w:rsid w:val="00061AC9"/>
    <w:rsid w:val="00062CE3"/>
    <w:rsid w:val="000638B6"/>
    <w:rsid w:val="00064956"/>
    <w:rsid w:val="00064E2F"/>
    <w:rsid w:val="00065876"/>
    <w:rsid w:val="00065E50"/>
    <w:rsid w:val="000668DF"/>
    <w:rsid w:val="000673FD"/>
    <w:rsid w:val="000700F9"/>
    <w:rsid w:val="00071BE6"/>
    <w:rsid w:val="00071C69"/>
    <w:rsid w:val="000730B1"/>
    <w:rsid w:val="0007345E"/>
    <w:rsid w:val="00073DD4"/>
    <w:rsid w:val="00073FD2"/>
    <w:rsid w:val="0007453F"/>
    <w:rsid w:val="00074F73"/>
    <w:rsid w:val="00074FCA"/>
    <w:rsid w:val="00077C1E"/>
    <w:rsid w:val="000809FB"/>
    <w:rsid w:val="00081A73"/>
    <w:rsid w:val="00082000"/>
    <w:rsid w:val="00082456"/>
    <w:rsid w:val="000831B3"/>
    <w:rsid w:val="00084987"/>
    <w:rsid w:val="00085B6E"/>
    <w:rsid w:val="00085FB5"/>
    <w:rsid w:val="00085FB9"/>
    <w:rsid w:val="00087473"/>
    <w:rsid w:val="00090052"/>
    <w:rsid w:val="000918F7"/>
    <w:rsid w:val="000927A4"/>
    <w:rsid w:val="00092C1F"/>
    <w:rsid w:val="00092D7A"/>
    <w:rsid w:val="00093168"/>
    <w:rsid w:val="00093B4B"/>
    <w:rsid w:val="00094582"/>
    <w:rsid w:val="0009601A"/>
    <w:rsid w:val="0009756E"/>
    <w:rsid w:val="00097A1D"/>
    <w:rsid w:val="000A37D8"/>
    <w:rsid w:val="000A382F"/>
    <w:rsid w:val="000A465E"/>
    <w:rsid w:val="000A4BD8"/>
    <w:rsid w:val="000A60D1"/>
    <w:rsid w:val="000A6955"/>
    <w:rsid w:val="000A6B47"/>
    <w:rsid w:val="000A6EAA"/>
    <w:rsid w:val="000B08B4"/>
    <w:rsid w:val="000B0EA3"/>
    <w:rsid w:val="000B151B"/>
    <w:rsid w:val="000B22AD"/>
    <w:rsid w:val="000B2411"/>
    <w:rsid w:val="000B41FA"/>
    <w:rsid w:val="000B4B77"/>
    <w:rsid w:val="000B6011"/>
    <w:rsid w:val="000B7450"/>
    <w:rsid w:val="000C0BA8"/>
    <w:rsid w:val="000C1204"/>
    <w:rsid w:val="000C151F"/>
    <w:rsid w:val="000C4111"/>
    <w:rsid w:val="000C5664"/>
    <w:rsid w:val="000C6384"/>
    <w:rsid w:val="000C6866"/>
    <w:rsid w:val="000C6C05"/>
    <w:rsid w:val="000C7692"/>
    <w:rsid w:val="000D007F"/>
    <w:rsid w:val="000D0F64"/>
    <w:rsid w:val="000D137F"/>
    <w:rsid w:val="000D251D"/>
    <w:rsid w:val="000D474F"/>
    <w:rsid w:val="000D4985"/>
    <w:rsid w:val="000D4F3B"/>
    <w:rsid w:val="000D61A9"/>
    <w:rsid w:val="000D7288"/>
    <w:rsid w:val="000D7FA2"/>
    <w:rsid w:val="000E0117"/>
    <w:rsid w:val="000E11E8"/>
    <w:rsid w:val="000E4008"/>
    <w:rsid w:val="000E44AD"/>
    <w:rsid w:val="000E453D"/>
    <w:rsid w:val="000E4B72"/>
    <w:rsid w:val="000E5039"/>
    <w:rsid w:val="000E5C1A"/>
    <w:rsid w:val="000E6947"/>
    <w:rsid w:val="000E69CB"/>
    <w:rsid w:val="000E6AD6"/>
    <w:rsid w:val="000F0401"/>
    <w:rsid w:val="000F10C3"/>
    <w:rsid w:val="000F1EB8"/>
    <w:rsid w:val="000F2119"/>
    <w:rsid w:val="000F281E"/>
    <w:rsid w:val="000F3A4B"/>
    <w:rsid w:val="000F4832"/>
    <w:rsid w:val="000F499E"/>
    <w:rsid w:val="000F4F0D"/>
    <w:rsid w:val="000F5643"/>
    <w:rsid w:val="000F5DA9"/>
    <w:rsid w:val="000F602D"/>
    <w:rsid w:val="000F6B34"/>
    <w:rsid w:val="000F6D5D"/>
    <w:rsid w:val="000F734C"/>
    <w:rsid w:val="00100A42"/>
    <w:rsid w:val="00102871"/>
    <w:rsid w:val="00102A97"/>
    <w:rsid w:val="00102FF2"/>
    <w:rsid w:val="001049FA"/>
    <w:rsid w:val="00104E4A"/>
    <w:rsid w:val="0010544A"/>
    <w:rsid w:val="00107DBE"/>
    <w:rsid w:val="00107F27"/>
    <w:rsid w:val="001114B7"/>
    <w:rsid w:val="001130E7"/>
    <w:rsid w:val="00115F1A"/>
    <w:rsid w:val="00116422"/>
    <w:rsid w:val="00116B2A"/>
    <w:rsid w:val="00116C3A"/>
    <w:rsid w:val="00116E5D"/>
    <w:rsid w:val="00117331"/>
    <w:rsid w:val="001178D4"/>
    <w:rsid w:val="001178E8"/>
    <w:rsid w:val="00117CC8"/>
    <w:rsid w:val="00120001"/>
    <w:rsid w:val="001201B3"/>
    <w:rsid w:val="00120670"/>
    <w:rsid w:val="00121102"/>
    <w:rsid w:val="00121266"/>
    <w:rsid w:val="00124C0D"/>
    <w:rsid w:val="00125564"/>
    <w:rsid w:val="00125709"/>
    <w:rsid w:val="0012578D"/>
    <w:rsid w:val="00126545"/>
    <w:rsid w:val="0013046C"/>
    <w:rsid w:val="001309C3"/>
    <w:rsid w:val="00130ED4"/>
    <w:rsid w:val="001312DD"/>
    <w:rsid w:val="001324F3"/>
    <w:rsid w:val="0013463E"/>
    <w:rsid w:val="00134ED5"/>
    <w:rsid w:val="00136C27"/>
    <w:rsid w:val="00137042"/>
    <w:rsid w:val="0014036E"/>
    <w:rsid w:val="00140EAE"/>
    <w:rsid w:val="00141CCD"/>
    <w:rsid w:val="00142A41"/>
    <w:rsid w:val="00145465"/>
    <w:rsid w:val="00145576"/>
    <w:rsid w:val="001504DA"/>
    <w:rsid w:val="0015079B"/>
    <w:rsid w:val="0015238B"/>
    <w:rsid w:val="0015309E"/>
    <w:rsid w:val="00153754"/>
    <w:rsid w:val="00153E5F"/>
    <w:rsid w:val="001555E4"/>
    <w:rsid w:val="00155A14"/>
    <w:rsid w:val="0015761F"/>
    <w:rsid w:val="00157CDC"/>
    <w:rsid w:val="0016061D"/>
    <w:rsid w:val="00160B2E"/>
    <w:rsid w:val="00160BF1"/>
    <w:rsid w:val="00162799"/>
    <w:rsid w:val="00163891"/>
    <w:rsid w:val="00164711"/>
    <w:rsid w:val="00165778"/>
    <w:rsid w:val="0016588F"/>
    <w:rsid w:val="001667B5"/>
    <w:rsid w:val="00166FEA"/>
    <w:rsid w:val="00167F99"/>
    <w:rsid w:val="00170E38"/>
    <w:rsid w:val="00171210"/>
    <w:rsid w:val="00172A27"/>
    <w:rsid w:val="00176930"/>
    <w:rsid w:val="00176BF1"/>
    <w:rsid w:val="0018012B"/>
    <w:rsid w:val="00181526"/>
    <w:rsid w:val="001830C6"/>
    <w:rsid w:val="00183779"/>
    <w:rsid w:val="0018462A"/>
    <w:rsid w:val="0018588B"/>
    <w:rsid w:val="00185B33"/>
    <w:rsid w:val="0018630F"/>
    <w:rsid w:val="00186C2F"/>
    <w:rsid w:val="00186D79"/>
    <w:rsid w:val="0018767C"/>
    <w:rsid w:val="00190C03"/>
    <w:rsid w:val="0019270D"/>
    <w:rsid w:val="00192ECD"/>
    <w:rsid w:val="0019345A"/>
    <w:rsid w:val="00194468"/>
    <w:rsid w:val="0019492A"/>
    <w:rsid w:val="00195627"/>
    <w:rsid w:val="001956C5"/>
    <w:rsid w:val="001966F4"/>
    <w:rsid w:val="001A0AAB"/>
    <w:rsid w:val="001A0B0F"/>
    <w:rsid w:val="001A115C"/>
    <w:rsid w:val="001A2B06"/>
    <w:rsid w:val="001A31FF"/>
    <w:rsid w:val="001A3AD6"/>
    <w:rsid w:val="001A5E8E"/>
    <w:rsid w:val="001A6D28"/>
    <w:rsid w:val="001A70CB"/>
    <w:rsid w:val="001A730E"/>
    <w:rsid w:val="001A79C3"/>
    <w:rsid w:val="001B0C11"/>
    <w:rsid w:val="001B13CE"/>
    <w:rsid w:val="001B1BCF"/>
    <w:rsid w:val="001B1E9D"/>
    <w:rsid w:val="001B2935"/>
    <w:rsid w:val="001B3243"/>
    <w:rsid w:val="001B3534"/>
    <w:rsid w:val="001B3694"/>
    <w:rsid w:val="001B53D6"/>
    <w:rsid w:val="001B694B"/>
    <w:rsid w:val="001B7FF4"/>
    <w:rsid w:val="001C0492"/>
    <w:rsid w:val="001C3F59"/>
    <w:rsid w:val="001C4E30"/>
    <w:rsid w:val="001C563C"/>
    <w:rsid w:val="001C61B7"/>
    <w:rsid w:val="001C694E"/>
    <w:rsid w:val="001C6A4E"/>
    <w:rsid w:val="001C76AC"/>
    <w:rsid w:val="001D0DE3"/>
    <w:rsid w:val="001D10F6"/>
    <w:rsid w:val="001D16D2"/>
    <w:rsid w:val="001D175A"/>
    <w:rsid w:val="001D1F33"/>
    <w:rsid w:val="001D3E71"/>
    <w:rsid w:val="001D4ACD"/>
    <w:rsid w:val="001D4F4E"/>
    <w:rsid w:val="001D5674"/>
    <w:rsid w:val="001D5D54"/>
    <w:rsid w:val="001D76EE"/>
    <w:rsid w:val="001D7919"/>
    <w:rsid w:val="001E0E69"/>
    <w:rsid w:val="001E1ED9"/>
    <w:rsid w:val="001E2E18"/>
    <w:rsid w:val="001E448E"/>
    <w:rsid w:val="001E449A"/>
    <w:rsid w:val="001E56A7"/>
    <w:rsid w:val="001E5BC3"/>
    <w:rsid w:val="001E6952"/>
    <w:rsid w:val="001E6BE5"/>
    <w:rsid w:val="001E7399"/>
    <w:rsid w:val="001E7544"/>
    <w:rsid w:val="001F1C0D"/>
    <w:rsid w:val="001F1E8C"/>
    <w:rsid w:val="001F204E"/>
    <w:rsid w:val="001F5EB8"/>
    <w:rsid w:val="001F6741"/>
    <w:rsid w:val="001F7ADB"/>
    <w:rsid w:val="00200A3B"/>
    <w:rsid w:val="002013E1"/>
    <w:rsid w:val="002014F4"/>
    <w:rsid w:val="0020445B"/>
    <w:rsid w:val="00204E26"/>
    <w:rsid w:val="002073D5"/>
    <w:rsid w:val="002117BB"/>
    <w:rsid w:val="00212465"/>
    <w:rsid w:val="00213254"/>
    <w:rsid w:val="002143B7"/>
    <w:rsid w:val="002145E5"/>
    <w:rsid w:val="0021619A"/>
    <w:rsid w:val="002161DF"/>
    <w:rsid w:val="002208D6"/>
    <w:rsid w:val="002215F8"/>
    <w:rsid w:val="00221A36"/>
    <w:rsid w:val="002223E0"/>
    <w:rsid w:val="002227BC"/>
    <w:rsid w:val="002237FF"/>
    <w:rsid w:val="00223C81"/>
    <w:rsid w:val="00223D75"/>
    <w:rsid w:val="00226D69"/>
    <w:rsid w:val="00227F77"/>
    <w:rsid w:val="00230471"/>
    <w:rsid w:val="00230BD3"/>
    <w:rsid w:val="00230F30"/>
    <w:rsid w:val="00232C08"/>
    <w:rsid w:val="002331B7"/>
    <w:rsid w:val="00233D91"/>
    <w:rsid w:val="00233FC6"/>
    <w:rsid w:val="00235B73"/>
    <w:rsid w:val="00235C69"/>
    <w:rsid w:val="00235EB9"/>
    <w:rsid w:val="0023630E"/>
    <w:rsid w:val="00236A2F"/>
    <w:rsid w:val="002372E3"/>
    <w:rsid w:val="002375A3"/>
    <w:rsid w:val="00237A44"/>
    <w:rsid w:val="00237A76"/>
    <w:rsid w:val="00237E0E"/>
    <w:rsid w:val="00237FBC"/>
    <w:rsid w:val="002402E1"/>
    <w:rsid w:val="00240876"/>
    <w:rsid w:val="002408D7"/>
    <w:rsid w:val="00240D5A"/>
    <w:rsid w:val="00241021"/>
    <w:rsid w:val="00242040"/>
    <w:rsid w:val="00242468"/>
    <w:rsid w:val="00244371"/>
    <w:rsid w:val="0024698A"/>
    <w:rsid w:val="00247A85"/>
    <w:rsid w:val="00247E85"/>
    <w:rsid w:val="00250056"/>
    <w:rsid w:val="002511B8"/>
    <w:rsid w:val="00253278"/>
    <w:rsid w:val="002552B7"/>
    <w:rsid w:val="00255341"/>
    <w:rsid w:val="0025796F"/>
    <w:rsid w:val="00261A5B"/>
    <w:rsid w:val="00262154"/>
    <w:rsid w:val="0026222C"/>
    <w:rsid w:val="00262C0E"/>
    <w:rsid w:val="00263132"/>
    <w:rsid w:val="00263B1A"/>
    <w:rsid w:val="00263F05"/>
    <w:rsid w:val="002641D0"/>
    <w:rsid w:val="00264E7E"/>
    <w:rsid w:val="00266531"/>
    <w:rsid w:val="002665A7"/>
    <w:rsid w:val="00266BD0"/>
    <w:rsid w:val="00266C7D"/>
    <w:rsid w:val="002678FC"/>
    <w:rsid w:val="00267C70"/>
    <w:rsid w:val="002708D6"/>
    <w:rsid w:val="00270DDF"/>
    <w:rsid w:val="0027268C"/>
    <w:rsid w:val="00272923"/>
    <w:rsid w:val="0027343C"/>
    <w:rsid w:val="0027496B"/>
    <w:rsid w:val="002753DC"/>
    <w:rsid w:val="00275498"/>
    <w:rsid w:val="00275FA6"/>
    <w:rsid w:val="00281819"/>
    <w:rsid w:val="00281CBB"/>
    <w:rsid w:val="00282273"/>
    <w:rsid w:val="002829CB"/>
    <w:rsid w:val="00282E65"/>
    <w:rsid w:val="00283DF5"/>
    <w:rsid w:val="002842CB"/>
    <w:rsid w:val="00284461"/>
    <w:rsid w:val="00285C05"/>
    <w:rsid w:val="00286FA5"/>
    <w:rsid w:val="002874BD"/>
    <w:rsid w:val="00290A49"/>
    <w:rsid w:val="00295696"/>
    <w:rsid w:val="00295BCB"/>
    <w:rsid w:val="002976D1"/>
    <w:rsid w:val="00297DF5"/>
    <w:rsid w:val="002A1B89"/>
    <w:rsid w:val="002A1BBC"/>
    <w:rsid w:val="002A25DA"/>
    <w:rsid w:val="002A3996"/>
    <w:rsid w:val="002A47DE"/>
    <w:rsid w:val="002A5653"/>
    <w:rsid w:val="002A642D"/>
    <w:rsid w:val="002A671B"/>
    <w:rsid w:val="002A7327"/>
    <w:rsid w:val="002B0A3C"/>
    <w:rsid w:val="002B0B14"/>
    <w:rsid w:val="002B0BF5"/>
    <w:rsid w:val="002B1F70"/>
    <w:rsid w:val="002B220F"/>
    <w:rsid w:val="002B3392"/>
    <w:rsid w:val="002B55C8"/>
    <w:rsid w:val="002B5913"/>
    <w:rsid w:val="002B61FA"/>
    <w:rsid w:val="002B653F"/>
    <w:rsid w:val="002B73E6"/>
    <w:rsid w:val="002C02BB"/>
    <w:rsid w:val="002C033D"/>
    <w:rsid w:val="002C0544"/>
    <w:rsid w:val="002C206E"/>
    <w:rsid w:val="002C29AA"/>
    <w:rsid w:val="002C3934"/>
    <w:rsid w:val="002C3938"/>
    <w:rsid w:val="002C5798"/>
    <w:rsid w:val="002C61E6"/>
    <w:rsid w:val="002C72C6"/>
    <w:rsid w:val="002D20F9"/>
    <w:rsid w:val="002D2681"/>
    <w:rsid w:val="002D3BC9"/>
    <w:rsid w:val="002D43B9"/>
    <w:rsid w:val="002D4FDE"/>
    <w:rsid w:val="002D5493"/>
    <w:rsid w:val="002D5B0D"/>
    <w:rsid w:val="002E0717"/>
    <w:rsid w:val="002E0C26"/>
    <w:rsid w:val="002E0DF2"/>
    <w:rsid w:val="002E12A7"/>
    <w:rsid w:val="002E163E"/>
    <w:rsid w:val="002E2444"/>
    <w:rsid w:val="002E3AD1"/>
    <w:rsid w:val="002E5573"/>
    <w:rsid w:val="002E57DD"/>
    <w:rsid w:val="002F07E3"/>
    <w:rsid w:val="002F12DB"/>
    <w:rsid w:val="002F1F65"/>
    <w:rsid w:val="002F20F6"/>
    <w:rsid w:val="002F2790"/>
    <w:rsid w:val="002F2EEB"/>
    <w:rsid w:val="002F2F18"/>
    <w:rsid w:val="002F3FF5"/>
    <w:rsid w:val="002F69D5"/>
    <w:rsid w:val="002F7901"/>
    <w:rsid w:val="0030010A"/>
    <w:rsid w:val="00301507"/>
    <w:rsid w:val="00301BC2"/>
    <w:rsid w:val="0030357E"/>
    <w:rsid w:val="00303A37"/>
    <w:rsid w:val="0030432B"/>
    <w:rsid w:val="0031001E"/>
    <w:rsid w:val="0031026D"/>
    <w:rsid w:val="00310B7B"/>
    <w:rsid w:val="00311834"/>
    <w:rsid w:val="00312BAB"/>
    <w:rsid w:val="00315908"/>
    <w:rsid w:val="00315F17"/>
    <w:rsid w:val="00317926"/>
    <w:rsid w:val="003210A0"/>
    <w:rsid w:val="003214DF"/>
    <w:rsid w:val="00322580"/>
    <w:rsid w:val="00323ADF"/>
    <w:rsid w:val="00324409"/>
    <w:rsid w:val="00324DBF"/>
    <w:rsid w:val="00324E00"/>
    <w:rsid w:val="00325141"/>
    <w:rsid w:val="00326462"/>
    <w:rsid w:val="00326FA3"/>
    <w:rsid w:val="00330024"/>
    <w:rsid w:val="0033012F"/>
    <w:rsid w:val="00331672"/>
    <w:rsid w:val="00332123"/>
    <w:rsid w:val="00332A18"/>
    <w:rsid w:val="00332B8B"/>
    <w:rsid w:val="00333116"/>
    <w:rsid w:val="003368D8"/>
    <w:rsid w:val="003404FF"/>
    <w:rsid w:val="003418DA"/>
    <w:rsid w:val="00341C18"/>
    <w:rsid w:val="00342070"/>
    <w:rsid w:val="00342C49"/>
    <w:rsid w:val="00343E66"/>
    <w:rsid w:val="003446DF"/>
    <w:rsid w:val="00344EC9"/>
    <w:rsid w:val="00345A0A"/>
    <w:rsid w:val="003462B2"/>
    <w:rsid w:val="00346512"/>
    <w:rsid w:val="00346A0F"/>
    <w:rsid w:val="00346A32"/>
    <w:rsid w:val="0034733A"/>
    <w:rsid w:val="0034751A"/>
    <w:rsid w:val="003476A0"/>
    <w:rsid w:val="00347CAB"/>
    <w:rsid w:val="003504E7"/>
    <w:rsid w:val="00351DC3"/>
    <w:rsid w:val="00352176"/>
    <w:rsid w:val="00352D70"/>
    <w:rsid w:val="003537E2"/>
    <w:rsid w:val="00354812"/>
    <w:rsid w:val="00354B06"/>
    <w:rsid w:val="00354D34"/>
    <w:rsid w:val="00354EBF"/>
    <w:rsid w:val="0035669F"/>
    <w:rsid w:val="003575B4"/>
    <w:rsid w:val="00361565"/>
    <w:rsid w:val="00364AAC"/>
    <w:rsid w:val="003652EA"/>
    <w:rsid w:val="003654AB"/>
    <w:rsid w:val="00367415"/>
    <w:rsid w:val="00370067"/>
    <w:rsid w:val="00371187"/>
    <w:rsid w:val="00374B0A"/>
    <w:rsid w:val="00375025"/>
    <w:rsid w:val="00375806"/>
    <w:rsid w:val="00376CBA"/>
    <w:rsid w:val="00377059"/>
    <w:rsid w:val="003779D5"/>
    <w:rsid w:val="003800DC"/>
    <w:rsid w:val="0038090B"/>
    <w:rsid w:val="003810C0"/>
    <w:rsid w:val="00381264"/>
    <w:rsid w:val="003822FA"/>
    <w:rsid w:val="0038361F"/>
    <w:rsid w:val="00383779"/>
    <w:rsid w:val="00384152"/>
    <w:rsid w:val="003848E1"/>
    <w:rsid w:val="00384C30"/>
    <w:rsid w:val="00384C90"/>
    <w:rsid w:val="00385406"/>
    <w:rsid w:val="003861E5"/>
    <w:rsid w:val="00386ABC"/>
    <w:rsid w:val="00386B74"/>
    <w:rsid w:val="00390240"/>
    <w:rsid w:val="00390AA4"/>
    <w:rsid w:val="00390FEF"/>
    <w:rsid w:val="00391508"/>
    <w:rsid w:val="00392B0C"/>
    <w:rsid w:val="00394D87"/>
    <w:rsid w:val="00394EFB"/>
    <w:rsid w:val="003951F4"/>
    <w:rsid w:val="0039523D"/>
    <w:rsid w:val="0039591A"/>
    <w:rsid w:val="003979B3"/>
    <w:rsid w:val="00397E6F"/>
    <w:rsid w:val="00397F97"/>
    <w:rsid w:val="003A1113"/>
    <w:rsid w:val="003A3B96"/>
    <w:rsid w:val="003A3E57"/>
    <w:rsid w:val="003A5BBB"/>
    <w:rsid w:val="003A7618"/>
    <w:rsid w:val="003A7C6C"/>
    <w:rsid w:val="003B0676"/>
    <w:rsid w:val="003B0FE2"/>
    <w:rsid w:val="003B18CB"/>
    <w:rsid w:val="003B196A"/>
    <w:rsid w:val="003B1A56"/>
    <w:rsid w:val="003B2701"/>
    <w:rsid w:val="003B3BA9"/>
    <w:rsid w:val="003B4490"/>
    <w:rsid w:val="003B4949"/>
    <w:rsid w:val="003B4BBA"/>
    <w:rsid w:val="003B5B14"/>
    <w:rsid w:val="003C059B"/>
    <w:rsid w:val="003C1836"/>
    <w:rsid w:val="003C1CD3"/>
    <w:rsid w:val="003C20F3"/>
    <w:rsid w:val="003C2D63"/>
    <w:rsid w:val="003C2DCC"/>
    <w:rsid w:val="003C323F"/>
    <w:rsid w:val="003C3C5A"/>
    <w:rsid w:val="003C3EC2"/>
    <w:rsid w:val="003C3F3C"/>
    <w:rsid w:val="003C4894"/>
    <w:rsid w:val="003C617E"/>
    <w:rsid w:val="003C724B"/>
    <w:rsid w:val="003C7306"/>
    <w:rsid w:val="003C79B6"/>
    <w:rsid w:val="003C7B9A"/>
    <w:rsid w:val="003C7C9E"/>
    <w:rsid w:val="003D063F"/>
    <w:rsid w:val="003D0AD0"/>
    <w:rsid w:val="003D0FFF"/>
    <w:rsid w:val="003D11A8"/>
    <w:rsid w:val="003D163A"/>
    <w:rsid w:val="003D1949"/>
    <w:rsid w:val="003D246C"/>
    <w:rsid w:val="003D31CA"/>
    <w:rsid w:val="003D347C"/>
    <w:rsid w:val="003D6796"/>
    <w:rsid w:val="003D6E97"/>
    <w:rsid w:val="003D6FA2"/>
    <w:rsid w:val="003E0735"/>
    <w:rsid w:val="003E15BD"/>
    <w:rsid w:val="003E1D96"/>
    <w:rsid w:val="003E29F5"/>
    <w:rsid w:val="003E38FA"/>
    <w:rsid w:val="003E4428"/>
    <w:rsid w:val="003E471C"/>
    <w:rsid w:val="003E54D6"/>
    <w:rsid w:val="003E6D17"/>
    <w:rsid w:val="003E7371"/>
    <w:rsid w:val="003E77F9"/>
    <w:rsid w:val="003F2A42"/>
    <w:rsid w:val="003F3D12"/>
    <w:rsid w:val="003F4311"/>
    <w:rsid w:val="003F57E8"/>
    <w:rsid w:val="003F7877"/>
    <w:rsid w:val="003F7D66"/>
    <w:rsid w:val="003F7DD9"/>
    <w:rsid w:val="00400250"/>
    <w:rsid w:val="00400389"/>
    <w:rsid w:val="00401F55"/>
    <w:rsid w:val="00402907"/>
    <w:rsid w:val="00404B8F"/>
    <w:rsid w:val="00404C54"/>
    <w:rsid w:val="0040566B"/>
    <w:rsid w:val="004063B6"/>
    <w:rsid w:val="00406E68"/>
    <w:rsid w:val="004072B0"/>
    <w:rsid w:val="00413F0E"/>
    <w:rsid w:val="004146B8"/>
    <w:rsid w:val="004150CD"/>
    <w:rsid w:val="004165D4"/>
    <w:rsid w:val="00416C13"/>
    <w:rsid w:val="00417D35"/>
    <w:rsid w:val="00420860"/>
    <w:rsid w:val="00420895"/>
    <w:rsid w:val="004213B6"/>
    <w:rsid w:val="004240B8"/>
    <w:rsid w:val="0042428E"/>
    <w:rsid w:val="00424F0F"/>
    <w:rsid w:val="00426131"/>
    <w:rsid w:val="00426608"/>
    <w:rsid w:val="00426A2C"/>
    <w:rsid w:val="00431093"/>
    <w:rsid w:val="00431F62"/>
    <w:rsid w:val="00433F71"/>
    <w:rsid w:val="004350FA"/>
    <w:rsid w:val="004353E2"/>
    <w:rsid w:val="004358C0"/>
    <w:rsid w:val="00435EDA"/>
    <w:rsid w:val="00437279"/>
    <w:rsid w:val="00442FC1"/>
    <w:rsid w:val="00443363"/>
    <w:rsid w:val="00443704"/>
    <w:rsid w:val="00443A03"/>
    <w:rsid w:val="00443B11"/>
    <w:rsid w:val="00443BDA"/>
    <w:rsid w:val="00444596"/>
    <w:rsid w:val="00444E6D"/>
    <w:rsid w:val="004450AB"/>
    <w:rsid w:val="00447E19"/>
    <w:rsid w:val="00447EA2"/>
    <w:rsid w:val="00452CA4"/>
    <w:rsid w:val="00453D86"/>
    <w:rsid w:val="00455AE5"/>
    <w:rsid w:val="00455EAD"/>
    <w:rsid w:val="004564F5"/>
    <w:rsid w:val="00457689"/>
    <w:rsid w:val="00457780"/>
    <w:rsid w:val="00460EDD"/>
    <w:rsid w:val="004610EB"/>
    <w:rsid w:val="004616D9"/>
    <w:rsid w:val="004633FD"/>
    <w:rsid w:val="0046341D"/>
    <w:rsid w:val="004642B4"/>
    <w:rsid w:val="00465ED2"/>
    <w:rsid w:val="00467813"/>
    <w:rsid w:val="00467FC4"/>
    <w:rsid w:val="004711F4"/>
    <w:rsid w:val="00471F3C"/>
    <w:rsid w:val="00472A90"/>
    <w:rsid w:val="00473329"/>
    <w:rsid w:val="0047683F"/>
    <w:rsid w:val="00476D1B"/>
    <w:rsid w:val="00476F2C"/>
    <w:rsid w:val="00476FC7"/>
    <w:rsid w:val="00477096"/>
    <w:rsid w:val="0047748A"/>
    <w:rsid w:val="0048036F"/>
    <w:rsid w:val="00480492"/>
    <w:rsid w:val="00481B69"/>
    <w:rsid w:val="00481D38"/>
    <w:rsid w:val="00482AD8"/>
    <w:rsid w:val="00482FFA"/>
    <w:rsid w:val="00484A9B"/>
    <w:rsid w:val="0048651F"/>
    <w:rsid w:val="0049131A"/>
    <w:rsid w:val="00491A85"/>
    <w:rsid w:val="00492FC5"/>
    <w:rsid w:val="004934A9"/>
    <w:rsid w:val="00494467"/>
    <w:rsid w:val="00494ECD"/>
    <w:rsid w:val="004964AA"/>
    <w:rsid w:val="004966E7"/>
    <w:rsid w:val="00497E96"/>
    <w:rsid w:val="004A0790"/>
    <w:rsid w:val="004A15BE"/>
    <w:rsid w:val="004A288D"/>
    <w:rsid w:val="004A3A1B"/>
    <w:rsid w:val="004A3A8E"/>
    <w:rsid w:val="004A47E3"/>
    <w:rsid w:val="004A5082"/>
    <w:rsid w:val="004A6810"/>
    <w:rsid w:val="004A7250"/>
    <w:rsid w:val="004A74A3"/>
    <w:rsid w:val="004B0691"/>
    <w:rsid w:val="004B06B4"/>
    <w:rsid w:val="004B1114"/>
    <w:rsid w:val="004B13AD"/>
    <w:rsid w:val="004B2B1E"/>
    <w:rsid w:val="004B2CE2"/>
    <w:rsid w:val="004B4C51"/>
    <w:rsid w:val="004B5716"/>
    <w:rsid w:val="004B69BB"/>
    <w:rsid w:val="004B77C5"/>
    <w:rsid w:val="004C00D6"/>
    <w:rsid w:val="004C0270"/>
    <w:rsid w:val="004C10D6"/>
    <w:rsid w:val="004C287C"/>
    <w:rsid w:val="004C2EEA"/>
    <w:rsid w:val="004C39B6"/>
    <w:rsid w:val="004C46EF"/>
    <w:rsid w:val="004C51E4"/>
    <w:rsid w:val="004C51E8"/>
    <w:rsid w:val="004D04FC"/>
    <w:rsid w:val="004D0906"/>
    <w:rsid w:val="004D0AE7"/>
    <w:rsid w:val="004D0E95"/>
    <w:rsid w:val="004D4570"/>
    <w:rsid w:val="004D4BB1"/>
    <w:rsid w:val="004D4E3F"/>
    <w:rsid w:val="004D618D"/>
    <w:rsid w:val="004D6200"/>
    <w:rsid w:val="004D6660"/>
    <w:rsid w:val="004E0A2E"/>
    <w:rsid w:val="004E0D96"/>
    <w:rsid w:val="004E1B48"/>
    <w:rsid w:val="004E2A83"/>
    <w:rsid w:val="004E2EA9"/>
    <w:rsid w:val="004E3267"/>
    <w:rsid w:val="004E33DF"/>
    <w:rsid w:val="004E33FF"/>
    <w:rsid w:val="004E3B70"/>
    <w:rsid w:val="004E663D"/>
    <w:rsid w:val="004E67B6"/>
    <w:rsid w:val="004E6A1B"/>
    <w:rsid w:val="004E777C"/>
    <w:rsid w:val="004E7A6F"/>
    <w:rsid w:val="004E7EF9"/>
    <w:rsid w:val="004F0178"/>
    <w:rsid w:val="004F028F"/>
    <w:rsid w:val="004F0A41"/>
    <w:rsid w:val="004F1A6B"/>
    <w:rsid w:val="004F1C0C"/>
    <w:rsid w:val="004F3142"/>
    <w:rsid w:val="004F3302"/>
    <w:rsid w:val="004F399E"/>
    <w:rsid w:val="004F3C8E"/>
    <w:rsid w:val="004F3F70"/>
    <w:rsid w:val="004F421F"/>
    <w:rsid w:val="004F4741"/>
    <w:rsid w:val="004F5015"/>
    <w:rsid w:val="004F57C4"/>
    <w:rsid w:val="004F57DD"/>
    <w:rsid w:val="00500203"/>
    <w:rsid w:val="005033A1"/>
    <w:rsid w:val="005048A1"/>
    <w:rsid w:val="0050519E"/>
    <w:rsid w:val="00506BE5"/>
    <w:rsid w:val="0051089A"/>
    <w:rsid w:val="005109F0"/>
    <w:rsid w:val="00510D73"/>
    <w:rsid w:val="005133E8"/>
    <w:rsid w:val="00513AEB"/>
    <w:rsid w:val="00514725"/>
    <w:rsid w:val="00515660"/>
    <w:rsid w:val="00517E8A"/>
    <w:rsid w:val="00520C06"/>
    <w:rsid w:val="005231BD"/>
    <w:rsid w:val="005235A1"/>
    <w:rsid w:val="005235BF"/>
    <w:rsid w:val="005236CA"/>
    <w:rsid w:val="005236F2"/>
    <w:rsid w:val="00523850"/>
    <w:rsid w:val="005246D6"/>
    <w:rsid w:val="00524B2E"/>
    <w:rsid w:val="00525835"/>
    <w:rsid w:val="00525F16"/>
    <w:rsid w:val="00526D93"/>
    <w:rsid w:val="00527277"/>
    <w:rsid w:val="00531292"/>
    <w:rsid w:val="00531D2E"/>
    <w:rsid w:val="00532280"/>
    <w:rsid w:val="005325A4"/>
    <w:rsid w:val="00532AFF"/>
    <w:rsid w:val="005332BC"/>
    <w:rsid w:val="00533E81"/>
    <w:rsid w:val="00534123"/>
    <w:rsid w:val="00534595"/>
    <w:rsid w:val="005350CB"/>
    <w:rsid w:val="00535292"/>
    <w:rsid w:val="00536D9D"/>
    <w:rsid w:val="00537A8C"/>
    <w:rsid w:val="0054179C"/>
    <w:rsid w:val="00542151"/>
    <w:rsid w:val="00542A71"/>
    <w:rsid w:val="00542BBE"/>
    <w:rsid w:val="00543671"/>
    <w:rsid w:val="005458BE"/>
    <w:rsid w:val="005459D5"/>
    <w:rsid w:val="005471B7"/>
    <w:rsid w:val="00547267"/>
    <w:rsid w:val="00547F5B"/>
    <w:rsid w:val="00550291"/>
    <w:rsid w:val="00550A28"/>
    <w:rsid w:val="005519E2"/>
    <w:rsid w:val="00551A9D"/>
    <w:rsid w:val="005525C0"/>
    <w:rsid w:val="0055260B"/>
    <w:rsid w:val="00552A73"/>
    <w:rsid w:val="00552C34"/>
    <w:rsid w:val="005533B1"/>
    <w:rsid w:val="00553AC8"/>
    <w:rsid w:val="00553BA6"/>
    <w:rsid w:val="00553E35"/>
    <w:rsid w:val="00553EB2"/>
    <w:rsid w:val="005551B7"/>
    <w:rsid w:val="00557EE9"/>
    <w:rsid w:val="0056142E"/>
    <w:rsid w:val="00561BD8"/>
    <w:rsid w:val="00563631"/>
    <w:rsid w:val="00565797"/>
    <w:rsid w:val="00565A28"/>
    <w:rsid w:val="00565D57"/>
    <w:rsid w:val="00566762"/>
    <w:rsid w:val="0056778C"/>
    <w:rsid w:val="00570A95"/>
    <w:rsid w:val="00570E8D"/>
    <w:rsid w:val="00571FC5"/>
    <w:rsid w:val="005720C2"/>
    <w:rsid w:val="00575349"/>
    <w:rsid w:val="00575B14"/>
    <w:rsid w:val="005771ED"/>
    <w:rsid w:val="00577701"/>
    <w:rsid w:val="00577EB4"/>
    <w:rsid w:val="00577FB7"/>
    <w:rsid w:val="00580C33"/>
    <w:rsid w:val="00580E74"/>
    <w:rsid w:val="00582279"/>
    <w:rsid w:val="00582C96"/>
    <w:rsid w:val="00583131"/>
    <w:rsid w:val="00584504"/>
    <w:rsid w:val="00584581"/>
    <w:rsid w:val="00585930"/>
    <w:rsid w:val="00586086"/>
    <w:rsid w:val="00586892"/>
    <w:rsid w:val="0058696D"/>
    <w:rsid w:val="005904CC"/>
    <w:rsid w:val="00590FDA"/>
    <w:rsid w:val="005916DF"/>
    <w:rsid w:val="00591F69"/>
    <w:rsid w:val="005930AD"/>
    <w:rsid w:val="00594397"/>
    <w:rsid w:val="00594693"/>
    <w:rsid w:val="005949F0"/>
    <w:rsid w:val="00597922"/>
    <w:rsid w:val="005A08B7"/>
    <w:rsid w:val="005A1A3A"/>
    <w:rsid w:val="005A4D46"/>
    <w:rsid w:val="005A57C7"/>
    <w:rsid w:val="005A5BB9"/>
    <w:rsid w:val="005A6E74"/>
    <w:rsid w:val="005A7247"/>
    <w:rsid w:val="005A7761"/>
    <w:rsid w:val="005A7F30"/>
    <w:rsid w:val="005B0D3C"/>
    <w:rsid w:val="005B2F3B"/>
    <w:rsid w:val="005B331D"/>
    <w:rsid w:val="005B3570"/>
    <w:rsid w:val="005B36EF"/>
    <w:rsid w:val="005B4764"/>
    <w:rsid w:val="005B4B67"/>
    <w:rsid w:val="005B70F4"/>
    <w:rsid w:val="005B7ABD"/>
    <w:rsid w:val="005C1A65"/>
    <w:rsid w:val="005C2C9D"/>
    <w:rsid w:val="005C514B"/>
    <w:rsid w:val="005C65AD"/>
    <w:rsid w:val="005C6A17"/>
    <w:rsid w:val="005C6CF6"/>
    <w:rsid w:val="005C7BA2"/>
    <w:rsid w:val="005D000D"/>
    <w:rsid w:val="005D0A7C"/>
    <w:rsid w:val="005D1401"/>
    <w:rsid w:val="005D16BF"/>
    <w:rsid w:val="005D1CE0"/>
    <w:rsid w:val="005D21D4"/>
    <w:rsid w:val="005D28ED"/>
    <w:rsid w:val="005D2BE5"/>
    <w:rsid w:val="005D2E48"/>
    <w:rsid w:val="005D3867"/>
    <w:rsid w:val="005D47E4"/>
    <w:rsid w:val="005D60CA"/>
    <w:rsid w:val="005D6F35"/>
    <w:rsid w:val="005D73EF"/>
    <w:rsid w:val="005D7585"/>
    <w:rsid w:val="005D7E16"/>
    <w:rsid w:val="005E0829"/>
    <w:rsid w:val="005E096E"/>
    <w:rsid w:val="005E0B84"/>
    <w:rsid w:val="005E12C7"/>
    <w:rsid w:val="005E198C"/>
    <w:rsid w:val="005E31BF"/>
    <w:rsid w:val="005E31C3"/>
    <w:rsid w:val="005E3501"/>
    <w:rsid w:val="005E39C0"/>
    <w:rsid w:val="005E52CA"/>
    <w:rsid w:val="005E551E"/>
    <w:rsid w:val="005E5D54"/>
    <w:rsid w:val="005E611C"/>
    <w:rsid w:val="005E6688"/>
    <w:rsid w:val="005E6DB8"/>
    <w:rsid w:val="005E78E5"/>
    <w:rsid w:val="005E79D6"/>
    <w:rsid w:val="005F00D6"/>
    <w:rsid w:val="005F0F41"/>
    <w:rsid w:val="005F151D"/>
    <w:rsid w:val="005F1D9E"/>
    <w:rsid w:val="005F325D"/>
    <w:rsid w:val="005F37F5"/>
    <w:rsid w:val="005F3806"/>
    <w:rsid w:val="005F4B5E"/>
    <w:rsid w:val="005F4FE2"/>
    <w:rsid w:val="005F6DA9"/>
    <w:rsid w:val="00600209"/>
    <w:rsid w:val="006015AC"/>
    <w:rsid w:val="00601AB7"/>
    <w:rsid w:val="00602FDD"/>
    <w:rsid w:val="0060431B"/>
    <w:rsid w:val="00605A8F"/>
    <w:rsid w:val="00606B81"/>
    <w:rsid w:val="00607DE8"/>
    <w:rsid w:val="00610ED4"/>
    <w:rsid w:val="00612849"/>
    <w:rsid w:val="006131E4"/>
    <w:rsid w:val="00613480"/>
    <w:rsid w:val="00613D25"/>
    <w:rsid w:val="00614140"/>
    <w:rsid w:val="00614B4F"/>
    <w:rsid w:val="00614CC8"/>
    <w:rsid w:val="00614F2B"/>
    <w:rsid w:val="00615610"/>
    <w:rsid w:val="00615A8F"/>
    <w:rsid w:val="00616C5F"/>
    <w:rsid w:val="00616C8A"/>
    <w:rsid w:val="006174E5"/>
    <w:rsid w:val="00617D16"/>
    <w:rsid w:val="0062059D"/>
    <w:rsid w:val="006211FB"/>
    <w:rsid w:val="006214DE"/>
    <w:rsid w:val="006237B8"/>
    <w:rsid w:val="0062407F"/>
    <w:rsid w:val="0062548F"/>
    <w:rsid w:val="00625A2A"/>
    <w:rsid w:val="006263EF"/>
    <w:rsid w:val="00626E40"/>
    <w:rsid w:val="0063056E"/>
    <w:rsid w:val="0063099A"/>
    <w:rsid w:val="00630B7E"/>
    <w:rsid w:val="00630C9F"/>
    <w:rsid w:val="0063164E"/>
    <w:rsid w:val="006317D2"/>
    <w:rsid w:val="00631EF9"/>
    <w:rsid w:val="00632183"/>
    <w:rsid w:val="006327FE"/>
    <w:rsid w:val="00632A5C"/>
    <w:rsid w:val="00632FB7"/>
    <w:rsid w:val="00633AE0"/>
    <w:rsid w:val="0063439C"/>
    <w:rsid w:val="00634AEB"/>
    <w:rsid w:val="00634B96"/>
    <w:rsid w:val="0063620F"/>
    <w:rsid w:val="0063629E"/>
    <w:rsid w:val="0063664B"/>
    <w:rsid w:val="00637082"/>
    <w:rsid w:val="006427AA"/>
    <w:rsid w:val="00643E3A"/>
    <w:rsid w:val="00644AD0"/>
    <w:rsid w:val="00646184"/>
    <w:rsid w:val="00646EA9"/>
    <w:rsid w:val="00647703"/>
    <w:rsid w:val="006477CE"/>
    <w:rsid w:val="00651276"/>
    <w:rsid w:val="00651DFA"/>
    <w:rsid w:val="00653ACA"/>
    <w:rsid w:val="00655080"/>
    <w:rsid w:val="006557C6"/>
    <w:rsid w:val="0065634B"/>
    <w:rsid w:val="00657383"/>
    <w:rsid w:val="00660891"/>
    <w:rsid w:val="00660C31"/>
    <w:rsid w:val="00660E62"/>
    <w:rsid w:val="006639D6"/>
    <w:rsid w:val="00664DFF"/>
    <w:rsid w:val="00666071"/>
    <w:rsid w:val="00666542"/>
    <w:rsid w:val="0066660F"/>
    <w:rsid w:val="00671ABD"/>
    <w:rsid w:val="00672B80"/>
    <w:rsid w:val="006742B1"/>
    <w:rsid w:val="00675563"/>
    <w:rsid w:val="00675FB6"/>
    <w:rsid w:val="00676DBF"/>
    <w:rsid w:val="006773A0"/>
    <w:rsid w:val="0068433E"/>
    <w:rsid w:val="00684875"/>
    <w:rsid w:val="00685669"/>
    <w:rsid w:val="0068642E"/>
    <w:rsid w:val="006913BF"/>
    <w:rsid w:val="006937E4"/>
    <w:rsid w:val="006941D2"/>
    <w:rsid w:val="006947A2"/>
    <w:rsid w:val="006951D0"/>
    <w:rsid w:val="0069542D"/>
    <w:rsid w:val="00695F5D"/>
    <w:rsid w:val="00696B9E"/>
    <w:rsid w:val="006A07FE"/>
    <w:rsid w:val="006A143F"/>
    <w:rsid w:val="006A19C1"/>
    <w:rsid w:val="006A2962"/>
    <w:rsid w:val="006A2A09"/>
    <w:rsid w:val="006A2C0D"/>
    <w:rsid w:val="006A2DB3"/>
    <w:rsid w:val="006A32C6"/>
    <w:rsid w:val="006A407F"/>
    <w:rsid w:val="006A6111"/>
    <w:rsid w:val="006A61D3"/>
    <w:rsid w:val="006A62D0"/>
    <w:rsid w:val="006B0B5E"/>
    <w:rsid w:val="006B198A"/>
    <w:rsid w:val="006B1CD8"/>
    <w:rsid w:val="006B35F2"/>
    <w:rsid w:val="006B427C"/>
    <w:rsid w:val="006B69E2"/>
    <w:rsid w:val="006B6D67"/>
    <w:rsid w:val="006B7372"/>
    <w:rsid w:val="006C0231"/>
    <w:rsid w:val="006C2C59"/>
    <w:rsid w:val="006C3B66"/>
    <w:rsid w:val="006C3F86"/>
    <w:rsid w:val="006C456B"/>
    <w:rsid w:val="006C50BC"/>
    <w:rsid w:val="006C54D0"/>
    <w:rsid w:val="006C5CB4"/>
    <w:rsid w:val="006C5CC5"/>
    <w:rsid w:val="006C65D6"/>
    <w:rsid w:val="006C6F95"/>
    <w:rsid w:val="006C77C7"/>
    <w:rsid w:val="006D0055"/>
    <w:rsid w:val="006D1AC4"/>
    <w:rsid w:val="006D2526"/>
    <w:rsid w:val="006D2BC3"/>
    <w:rsid w:val="006D33B4"/>
    <w:rsid w:val="006D373E"/>
    <w:rsid w:val="006D501E"/>
    <w:rsid w:val="006D5A64"/>
    <w:rsid w:val="006D5BB2"/>
    <w:rsid w:val="006D631A"/>
    <w:rsid w:val="006D6FAC"/>
    <w:rsid w:val="006D79B0"/>
    <w:rsid w:val="006D7A5F"/>
    <w:rsid w:val="006E05BA"/>
    <w:rsid w:val="006E0749"/>
    <w:rsid w:val="006E074D"/>
    <w:rsid w:val="006E1899"/>
    <w:rsid w:val="006E18AC"/>
    <w:rsid w:val="006E1B9F"/>
    <w:rsid w:val="006E2122"/>
    <w:rsid w:val="006E29AD"/>
    <w:rsid w:val="006E3068"/>
    <w:rsid w:val="006E36AB"/>
    <w:rsid w:val="006E3DFC"/>
    <w:rsid w:val="006E6246"/>
    <w:rsid w:val="006E699E"/>
    <w:rsid w:val="006E7476"/>
    <w:rsid w:val="006F0082"/>
    <w:rsid w:val="006F0E0C"/>
    <w:rsid w:val="006F2582"/>
    <w:rsid w:val="006F3ACC"/>
    <w:rsid w:val="006F4D21"/>
    <w:rsid w:val="006F5838"/>
    <w:rsid w:val="006F5FBE"/>
    <w:rsid w:val="006F6DF5"/>
    <w:rsid w:val="006F7183"/>
    <w:rsid w:val="006F726B"/>
    <w:rsid w:val="006F780E"/>
    <w:rsid w:val="006F79D1"/>
    <w:rsid w:val="00701205"/>
    <w:rsid w:val="00703547"/>
    <w:rsid w:val="00704577"/>
    <w:rsid w:val="007048C9"/>
    <w:rsid w:val="00705932"/>
    <w:rsid w:val="00706AA6"/>
    <w:rsid w:val="0070709D"/>
    <w:rsid w:val="00707DF5"/>
    <w:rsid w:val="007100C4"/>
    <w:rsid w:val="00711231"/>
    <w:rsid w:val="00711995"/>
    <w:rsid w:val="00712783"/>
    <w:rsid w:val="00713F6C"/>
    <w:rsid w:val="0071486E"/>
    <w:rsid w:val="0071646C"/>
    <w:rsid w:val="007172D3"/>
    <w:rsid w:val="0072056A"/>
    <w:rsid w:val="007219FB"/>
    <w:rsid w:val="00722A40"/>
    <w:rsid w:val="00722E7E"/>
    <w:rsid w:val="00723259"/>
    <w:rsid w:val="00724873"/>
    <w:rsid w:val="00724DF1"/>
    <w:rsid w:val="0072568B"/>
    <w:rsid w:val="0072568D"/>
    <w:rsid w:val="00727BDE"/>
    <w:rsid w:val="007303DC"/>
    <w:rsid w:val="00730DC8"/>
    <w:rsid w:val="00733492"/>
    <w:rsid w:val="00733F9E"/>
    <w:rsid w:val="007346CE"/>
    <w:rsid w:val="00734EE6"/>
    <w:rsid w:val="007352DB"/>
    <w:rsid w:val="00736776"/>
    <w:rsid w:val="00737CC0"/>
    <w:rsid w:val="00740D03"/>
    <w:rsid w:val="00741342"/>
    <w:rsid w:val="007414C9"/>
    <w:rsid w:val="0074281D"/>
    <w:rsid w:val="00744C35"/>
    <w:rsid w:val="00746874"/>
    <w:rsid w:val="00746D7B"/>
    <w:rsid w:val="007477A2"/>
    <w:rsid w:val="00747D83"/>
    <w:rsid w:val="007501C4"/>
    <w:rsid w:val="0075041A"/>
    <w:rsid w:val="00750E51"/>
    <w:rsid w:val="007514B8"/>
    <w:rsid w:val="00752358"/>
    <w:rsid w:val="00752395"/>
    <w:rsid w:val="007528F9"/>
    <w:rsid w:val="00753154"/>
    <w:rsid w:val="0075349B"/>
    <w:rsid w:val="00754341"/>
    <w:rsid w:val="00755877"/>
    <w:rsid w:val="007566F7"/>
    <w:rsid w:val="00756BC8"/>
    <w:rsid w:val="0076082A"/>
    <w:rsid w:val="00761199"/>
    <w:rsid w:val="00761674"/>
    <w:rsid w:val="007637F3"/>
    <w:rsid w:val="00763D9C"/>
    <w:rsid w:val="0076450B"/>
    <w:rsid w:val="00764A49"/>
    <w:rsid w:val="007658FC"/>
    <w:rsid w:val="00766524"/>
    <w:rsid w:val="00767446"/>
    <w:rsid w:val="00767C0E"/>
    <w:rsid w:val="00770B56"/>
    <w:rsid w:val="00770C7F"/>
    <w:rsid w:val="0077388E"/>
    <w:rsid w:val="00774ED4"/>
    <w:rsid w:val="00775ED0"/>
    <w:rsid w:val="00776181"/>
    <w:rsid w:val="0077798A"/>
    <w:rsid w:val="00780025"/>
    <w:rsid w:val="0078027A"/>
    <w:rsid w:val="0078046E"/>
    <w:rsid w:val="00783024"/>
    <w:rsid w:val="00783571"/>
    <w:rsid w:val="00783976"/>
    <w:rsid w:val="00784974"/>
    <w:rsid w:val="007850EC"/>
    <w:rsid w:val="00785759"/>
    <w:rsid w:val="0078750C"/>
    <w:rsid w:val="00787CF1"/>
    <w:rsid w:val="00790548"/>
    <w:rsid w:val="00791AF6"/>
    <w:rsid w:val="00791EB1"/>
    <w:rsid w:val="00792E85"/>
    <w:rsid w:val="00793546"/>
    <w:rsid w:val="00794DCF"/>
    <w:rsid w:val="007951A8"/>
    <w:rsid w:val="00795753"/>
    <w:rsid w:val="00797469"/>
    <w:rsid w:val="007975B8"/>
    <w:rsid w:val="007979BF"/>
    <w:rsid w:val="00797A6F"/>
    <w:rsid w:val="007A1D44"/>
    <w:rsid w:val="007A21BA"/>
    <w:rsid w:val="007A21F2"/>
    <w:rsid w:val="007A349E"/>
    <w:rsid w:val="007A4B44"/>
    <w:rsid w:val="007A50F6"/>
    <w:rsid w:val="007A61D8"/>
    <w:rsid w:val="007A714E"/>
    <w:rsid w:val="007A7311"/>
    <w:rsid w:val="007A786E"/>
    <w:rsid w:val="007B1492"/>
    <w:rsid w:val="007B328C"/>
    <w:rsid w:val="007B3D83"/>
    <w:rsid w:val="007B41D1"/>
    <w:rsid w:val="007B42BD"/>
    <w:rsid w:val="007B570B"/>
    <w:rsid w:val="007B71E8"/>
    <w:rsid w:val="007B7504"/>
    <w:rsid w:val="007B7D7A"/>
    <w:rsid w:val="007C24C0"/>
    <w:rsid w:val="007C352D"/>
    <w:rsid w:val="007C3E2B"/>
    <w:rsid w:val="007C521E"/>
    <w:rsid w:val="007C582F"/>
    <w:rsid w:val="007C5B14"/>
    <w:rsid w:val="007C5F7B"/>
    <w:rsid w:val="007C696F"/>
    <w:rsid w:val="007C6DE1"/>
    <w:rsid w:val="007C771C"/>
    <w:rsid w:val="007C7D1F"/>
    <w:rsid w:val="007D0004"/>
    <w:rsid w:val="007D0250"/>
    <w:rsid w:val="007D08FF"/>
    <w:rsid w:val="007D14AA"/>
    <w:rsid w:val="007D20B6"/>
    <w:rsid w:val="007D2958"/>
    <w:rsid w:val="007D2BDF"/>
    <w:rsid w:val="007D3075"/>
    <w:rsid w:val="007D3624"/>
    <w:rsid w:val="007D5502"/>
    <w:rsid w:val="007D60EF"/>
    <w:rsid w:val="007D7DAB"/>
    <w:rsid w:val="007E161F"/>
    <w:rsid w:val="007E2EC8"/>
    <w:rsid w:val="007E3ACF"/>
    <w:rsid w:val="007E41CB"/>
    <w:rsid w:val="007E4812"/>
    <w:rsid w:val="007E4BE2"/>
    <w:rsid w:val="007E5F2A"/>
    <w:rsid w:val="007E5FB3"/>
    <w:rsid w:val="007E666B"/>
    <w:rsid w:val="007E72CA"/>
    <w:rsid w:val="007E7425"/>
    <w:rsid w:val="007F2ABA"/>
    <w:rsid w:val="007F324E"/>
    <w:rsid w:val="007F35EA"/>
    <w:rsid w:val="007F39CF"/>
    <w:rsid w:val="007F54B0"/>
    <w:rsid w:val="007F68DA"/>
    <w:rsid w:val="007F7A36"/>
    <w:rsid w:val="0080109D"/>
    <w:rsid w:val="00801661"/>
    <w:rsid w:val="00801DBA"/>
    <w:rsid w:val="00803317"/>
    <w:rsid w:val="008033C3"/>
    <w:rsid w:val="0080344E"/>
    <w:rsid w:val="00803710"/>
    <w:rsid w:val="00804609"/>
    <w:rsid w:val="00804917"/>
    <w:rsid w:val="00804DEA"/>
    <w:rsid w:val="00805FCC"/>
    <w:rsid w:val="00806CF6"/>
    <w:rsid w:val="00810544"/>
    <w:rsid w:val="00812194"/>
    <w:rsid w:val="00812353"/>
    <w:rsid w:val="0081371B"/>
    <w:rsid w:val="00813800"/>
    <w:rsid w:val="00814175"/>
    <w:rsid w:val="0081450A"/>
    <w:rsid w:val="00816B2E"/>
    <w:rsid w:val="00820221"/>
    <w:rsid w:val="00820740"/>
    <w:rsid w:val="00820B84"/>
    <w:rsid w:val="00821288"/>
    <w:rsid w:val="00821312"/>
    <w:rsid w:val="008227AD"/>
    <w:rsid w:val="00823A37"/>
    <w:rsid w:val="008244FB"/>
    <w:rsid w:val="00824BC7"/>
    <w:rsid w:val="00825231"/>
    <w:rsid w:val="00825DB6"/>
    <w:rsid w:val="00826CB2"/>
    <w:rsid w:val="00826EB4"/>
    <w:rsid w:val="00827723"/>
    <w:rsid w:val="00830CAC"/>
    <w:rsid w:val="00831627"/>
    <w:rsid w:val="00831F4D"/>
    <w:rsid w:val="0083278C"/>
    <w:rsid w:val="00832DC6"/>
    <w:rsid w:val="00832E82"/>
    <w:rsid w:val="00834050"/>
    <w:rsid w:val="008355B7"/>
    <w:rsid w:val="0083589D"/>
    <w:rsid w:val="008361B7"/>
    <w:rsid w:val="00836621"/>
    <w:rsid w:val="00836DAD"/>
    <w:rsid w:val="0083708B"/>
    <w:rsid w:val="0084070D"/>
    <w:rsid w:val="00840B9C"/>
    <w:rsid w:val="00841404"/>
    <w:rsid w:val="008422FB"/>
    <w:rsid w:val="00843256"/>
    <w:rsid w:val="0084386C"/>
    <w:rsid w:val="008445E3"/>
    <w:rsid w:val="00844991"/>
    <w:rsid w:val="0084516A"/>
    <w:rsid w:val="008459D6"/>
    <w:rsid w:val="00846A05"/>
    <w:rsid w:val="0084706D"/>
    <w:rsid w:val="00847528"/>
    <w:rsid w:val="00850A8F"/>
    <w:rsid w:val="00851539"/>
    <w:rsid w:val="00851DA1"/>
    <w:rsid w:val="0085264D"/>
    <w:rsid w:val="00852F1B"/>
    <w:rsid w:val="00853E4D"/>
    <w:rsid w:val="00853FF3"/>
    <w:rsid w:val="008545E7"/>
    <w:rsid w:val="0085466B"/>
    <w:rsid w:val="00854684"/>
    <w:rsid w:val="00854BBB"/>
    <w:rsid w:val="00854FCB"/>
    <w:rsid w:val="00856C98"/>
    <w:rsid w:val="00860BF6"/>
    <w:rsid w:val="0086232A"/>
    <w:rsid w:val="008628A3"/>
    <w:rsid w:val="008629C2"/>
    <w:rsid w:val="00862DCD"/>
    <w:rsid w:val="008649E2"/>
    <w:rsid w:val="00865718"/>
    <w:rsid w:val="008722F9"/>
    <w:rsid w:val="008724FA"/>
    <w:rsid w:val="00872DEB"/>
    <w:rsid w:val="00873054"/>
    <w:rsid w:val="008737F7"/>
    <w:rsid w:val="00873E15"/>
    <w:rsid w:val="0087482D"/>
    <w:rsid w:val="008759A2"/>
    <w:rsid w:val="008770EE"/>
    <w:rsid w:val="0088013F"/>
    <w:rsid w:val="008817E0"/>
    <w:rsid w:val="00883587"/>
    <w:rsid w:val="008842FD"/>
    <w:rsid w:val="00884467"/>
    <w:rsid w:val="00885515"/>
    <w:rsid w:val="00885A3C"/>
    <w:rsid w:val="00885AC9"/>
    <w:rsid w:val="00886CB4"/>
    <w:rsid w:val="00890163"/>
    <w:rsid w:val="00890686"/>
    <w:rsid w:val="0089090B"/>
    <w:rsid w:val="00890F62"/>
    <w:rsid w:val="00891229"/>
    <w:rsid w:val="00891927"/>
    <w:rsid w:val="00892252"/>
    <w:rsid w:val="00894482"/>
    <w:rsid w:val="0089448D"/>
    <w:rsid w:val="00894960"/>
    <w:rsid w:val="00894C3B"/>
    <w:rsid w:val="0089544F"/>
    <w:rsid w:val="00895487"/>
    <w:rsid w:val="00895747"/>
    <w:rsid w:val="00896A10"/>
    <w:rsid w:val="008A2B7E"/>
    <w:rsid w:val="008A463A"/>
    <w:rsid w:val="008A4DCC"/>
    <w:rsid w:val="008A5041"/>
    <w:rsid w:val="008A64DD"/>
    <w:rsid w:val="008A738B"/>
    <w:rsid w:val="008A7B0F"/>
    <w:rsid w:val="008A7F47"/>
    <w:rsid w:val="008B0060"/>
    <w:rsid w:val="008B1670"/>
    <w:rsid w:val="008B16BC"/>
    <w:rsid w:val="008B1777"/>
    <w:rsid w:val="008B1F46"/>
    <w:rsid w:val="008B3190"/>
    <w:rsid w:val="008B49B1"/>
    <w:rsid w:val="008B50F2"/>
    <w:rsid w:val="008B60D4"/>
    <w:rsid w:val="008B65FA"/>
    <w:rsid w:val="008B6A4C"/>
    <w:rsid w:val="008C0830"/>
    <w:rsid w:val="008C135C"/>
    <w:rsid w:val="008C1A58"/>
    <w:rsid w:val="008C1EBF"/>
    <w:rsid w:val="008C5B7A"/>
    <w:rsid w:val="008C5E7A"/>
    <w:rsid w:val="008C6C59"/>
    <w:rsid w:val="008D00D1"/>
    <w:rsid w:val="008D0337"/>
    <w:rsid w:val="008D0E81"/>
    <w:rsid w:val="008D1144"/>
    <w:rsid w:val="008D1360"/>
    <w:rsid w:val="008D13C7"/>
    <w:rsid w:val="008D1835"/>
    <w:rsid w:val="008D3915"/>
    <w:rsid w:val="008D4F01"/>
    <w:rsid w:val="008D5386"/>
    <w:rsid w:val="008D67FF"/>
    <w:rsid w:val="008D7763"/>
    <w:rsid w:val="008D7DA9"/>
    <w:rsid w:val="008E08D1"/>
    <w:rsid w:val="008E09C4"/>
    <w:rsid w:val="008E0B1D"/>
    <w:rsid w:val="008E1EA1"/>
    <w:rsid w:val="008E2F3B"/>
    <w:rsid w:val="008E2FF6"/>
    <w:rsid w:val="008E3893"/>
    <w:rsid w:val="008E3EA3"/>
    <w:rsid w:val="008E56D2"/>
    <w:rsid w:val="008E6F84"/>
    <w:rsid w:val="008E6FD9"/>
    <w:rsid w:val="008E7815"/>
    <w:rsid w:val="008F03FE"/>
    <w:rsid w:val="008F0A62"/>
    <w:rsid w:val="008F0D7F"/>
    <w:rsid w:val="008F17A2"/>
    <w:rsid w:val="008F19C5"/>
    <w:rsid w:val="008F1D60"/>
    <w:rsid w:val="008F212C"/>
    <w:rsid w:val="008F259B"/>
    <w:rsid w:val="008F2914"/>
    <w:rsid w:val="008F4A03"/>
    <w:rsid w:val="008F5493"/>
    <w:rsid w:val="008F584E"/>
    <w:rsid w:val="008F5C52"/>
    <w:rsid w:val="008F6514"/>
    <w:rsid w:val="008F65B2"/>
    <w:rsid w:val="008F73FB"/>
    <w:rsid w:val="008F7ABF"/>
    <w:rsid w:val="008F7ECB"/>
    <w:rsid w:val="009007B2"/>
    <w:rsid w:val="00901210"/>
    <w:rsid w:val="0090130B"/>
    <w:rsid w:val="0090212B"/>
    <w:rsid w:val="00903193"/>
    <w:rsid w:val="00904781"/>
    <w:rsid w:val="009063C9"/>
    <w:rsid w:val="0090675F"/>
    <w:rsid w:val="009079F6"/>
    <w:rsid w:val="009105A7"/>
    <w:rsid w:val="009114EE"/>
    <w:rsid w:val="00911C06"/>
    <w:rsid w:val="00912509"/>
    <w:rsid w:val="0091251F"/>
    <w:rsid w:val="009134F3"/>
    <w:rsid w:val="00913A59"/>
    <w:rsid w:val="00913B22"/>
    <w:rsid w:val="00913F14"/>
    <w:rsid w:val="00915DF4"/>
    <w:rsid w:val="009170C9"/>
    <w:rsid w:val="00920BF8"/>
    <w:rsid w:val="00922C5A"/>
    <w:rsid w:val="00924353"/>
    <w:rsid w:val="00924733"/>
    <w:rsid w:val="00925125"/>
    <w:rsid w:val="00925D8A"/>
    <w:rsid w:val="00927CEE"/>
    <w:rsid w:val="009304B5"/>
    <w:rsid w:val="009311BF"/>
    <w:rsid w:val="0093144D"/>
    <w:rsid w:val="00932178"/>
    <w:rsid w:val="00933EAF"/>
    <w:rsid w:val="00933FC5"/>
    <w:rsid w:val="00935672"/>
    <w:rsid w:val="00935BBF"/>
    <w:rsid w:val="0093649E"/>
    <w:rsid w:val="00936EE6"/>
    <w:rsid w:val="009370F3"/>
    <w:rsid w:val="0093739B"/>
    <w:rsid w:val="00937E33"/>
    <w:rsid w:val="00941426"/>
    <w:rsid w:val="00941AE3"/>
    <w:rsid w:val="00941B74"/>
    <w:rsid w:val="00942942"/>
    <w:rsid w:val="00943547"/>
    <w:rsid w:val="00943A9F"/>
    <w:rsid w:val="00944876"/>
    <w:rsid w:val="00944CF9"/>
    <w:rsid w:val="00945D4D"/>
    <w:rsid w:val="009460DD"/>
    <w:rsid w:val="00946D3A"/>
    <w:rsid w:val="0094795D"/>
    <w:rsid w:val="009511B7"/>
    <w:rsid w:val="009511F6"/>
    <w:rsid w:val="00952538"/>
    <w:rsid w:val="00952A33"/>
    <w:rsid w:val="009542B6"/>
    <w:rsid w:val="00954398"/>
    <w:rsid w:val="00955BC3"/>
    <w:rsid w:val="00957369"/>
    <w:rsid w:val="00957466"/>
    <w:rsid w:val="00960B70"/>
    <w:rsid w:val="009627F7"/>
    <w:rsid w:val="0096324F"/>
    <w:rsid w:val="0096336E"/>
    <w:rsid w:val="00963DE3"/>
    <w:rsid w:val="009655E4"/>
    <w:rsid w:val="00965DBC"/>
    <w:rsid w:val="0096732F"/>
    <w:rsid w:val="00967631"/>
    <w:rsid w:val="00970470"/>
    <w:rsid w:val="00970643"/>
    <w:rsid w:val="00970912"/>
    <w:rsid w:val="00970BBC"/>
    <w:rsid w:val="0097190E"/>
    <w:rsid w:val="00972E54"/>
    <w:rsid w:val="00972E81"/>
    <w:rsid w:val="009749A6"/>
    <w:rsid w:val="00976E04"/>
    <w:rsid w:val="009778C4"/>
    <w:rsid w:val="00980967"/>
    <w:rsid w:val="00984648"/>
    <w:rsid w:val="009856AA"/>
    <w:rsid w:val="00985773"/>
    <w:rsid w:val="0098639E"/>
    <w:rsid w:val="00986776"/>
    <w:rsid w:val="0098766B"/>
    <w:rsid w:val="00987CA9"/>
    <w:rsid w:val="00987DE6"/>
    <w:rsid w:val="00987FFD"/>
    <w:rsid w:val="00990024"/>
    <w:rsid w:val="00990141"/>
    <w:rsid w:val="00990615"/>
    <w:rsid w:val="009909FC"/>
    <w:rsid w:val="00991BA1"/>
    <w:rsid w:val="00992C0C"/>
    <w:rsid w:val="0099336C"/>
    <w:rsid w:val="00994283"/>
    <w:rsid w:val="009942F4"/>
    <w:rsid w:val="00995BE5"/>
    <w:rsid w:val="00995FE9"/>
    <w:rsid w:val="009966CB"/>
    <w:rsid w:val="00996A4E"/>
    <w:rsid w:val="009A0F6D"/>
    <w:rsid w:val="009A20AB"/>
    <w:rsid w:val="009A29AF"/>
    <w:rsid w:val="009A2C7A"/>
    <w:rsid w:val="009A3BAA"/>
    <w:rsid w:val="009A72CA"/>
    <w:rsid w:val="009A75E2"/>
    <w:rsid w:val="009B0481"/>
    <w:rsid w:val="009B063A"/>
    <w:rsid w:val="009B0852"/>
    <w:rsid w:val="009B0D69"/>
    <w:rsid w:val="009B12A8"/>
    <w:rsid w:val="009B154D"/>
    <w:rsid w:val="009B1CFA"/>
    <w:rsid w:val="009B23BA"/>
    <w:rsid w:val="009B2D9C"/>
    <w:rsid w:val="009B3671"/>
    <w:rsid w:val="009B3EAA"/>
    <w:rsid w:val="009B4007"/>
    <w:rsid w:val="009B552E"/>
    <w:rsid w:val="009B5699"/>
    <w:rsid w:val="009B646A"/>
    <w:rsid w:val="009B6766"/>
    <w:rsid w:val="009B70B0"/>
    <w:rsid w:val="009B713E"/>
    <w:rsid w:val="009C03A2"/>
    <w:rsid w:val="009C214F"/>
    <w:rsid w:val="009C238A"/>
    <w:rsid w:val="009C3175"/>
    <w:rsid w:val="009C3B10"/>
    <w:rsid w:val="009C3CBB"/>
    <w:rsid w:val="009C46BD"/>
    <w:rsid w:val="009C47CF"/>
    <w:rsid w:val="009C49D2"/>
    <w:rsid w:val="009C5787"/>
    <w:rsid w:val="009C66FB"/>
    <w:rsid w:val="009C6E70"/>
    <w:rsid w:val="009C6E81"/>
    <w:rsid w:val="009C7350"/>
    <w:rsid w:val="009D035B"/>
    <w:rsid w:val="009D05BF"/>
    <w:rsid w:val="009D0766"/>
    <w:rsid w:val="009D5762"/>
    <w:rsid w:val="009D57CA"/>
    <w:rsid w:val="009D5A90"/>
    <w:rsid w:val="009D60EB"/>
    <w:rsid w:val="009D7143"/>
    <w:rsid w:val="009D74AE"/>
    <w:rsid w:val="009E0600"/>
    <w:rsid w:val="009E0861"/>
    <w:rsid w:val="009E1821"/>
    <w:rsid w:val="009E1DAF"/>
    <w:rsid w:val="009E5E7B"/>
    <w:rsid w:val="009E69D8"/>
    <w:rsid w:val="009E6D1B"/>
    <w:rsid w:val="009F0760"/>
    <w:rsid w:val="009F0F2A"/>
    <w:rsid w:val="009F171A"/>
    <w:rsid w:val="009F430F"/>
    <w:rsid w:val="009F4F0C"/>
    <w:rsid w:val="009F5F9A"/>
    <w:rsid w:val="009F72C8"/>
    <w:rsid w:val="00A0022C"/>
    <w:rsid w:val="00A011B9"/>
    <w:rsid w:val="00A02FA5"/>
    <w:rsid w:val="00A037D4"/>
    <w:rsid w:val="00A0623E"/>
    <w:rsid w:val="00A107A5"/>
    <w:rsid w:val="00A11338"/>
    <w:rsid w:val="00A11F81"/>
    <w:rsid w:val="00A1321C"/>
    <w:rsid w:val="00A136EC"/>
    <w:rsid w:val="00A138A8"/>
    <w:rsid w:val="00A156AF"/>
    <w:rsid w:val="00A1758B"/>
    <w:rsid w:val="00A176C3"/>
    <w:rsid w:val="00A215E1"/>
    <w:rsid w:val="00A21E28"/>
    <w:rsid w:val="00A25ABA"/>
    <w:rsid w:val="00A30D85"/>
    <w:rsid w:val="00A320A5"/>
    <w:rsid w:val="00A32459"/>
    <w:rsid w:val="00A32A20"/>
    <w:rsid w:val="00A32B5C"/>
    <w:rsid w:val="00A33BE4"/>
    <w:rsid w:val="00A341D4"/>
    <w:rsid w:val="00A3579A"/>
    <w:rsid w:val="00A36591"/>
    <w:rsid w:val="00A36A7E"/>
    <w:rsid w:val="00A37D86"/>
    <w:rsid w:val="00A40336"/>
    <w:rsid w:val="00A4087D"/>
    <w:rsid w:val="00A408E3"/>
    <w:rsid w:val="00A43135"/>
    <w:rsid w:val="00A43592"/>
    <w:rsid w:val="00A4382E"/>
    <w:rsid w:val="00A43890"/>
    <w:rsid w:val="00A442C1"/>
    <w:rsid w:val="00A46148"/>
    <w:rsid w:val="00A465E7"/>
    <w:rsid w:val="00A46602"/>
    <w:rsid w:val="00A4744A"/>
    <w:rsid w:val="00A5083F"/>
    <w:rsid w:val="00A509B8"/>
    <w:rsid w:val="00A50AF4"/>
    <w:rsid w:val="00A51D46"/>
    <w:rsid w:val="00A5225B"/>
    <w:rsid w:val="00A52A99"/>
    <w:rsid w:val="00A52F6A"/>
    <w:rsid w:val="00A53844"/>
    <w:rsid w:val="00A53E2D"/>
    <w:rsid w:val="00A544D1"/>
    <w:rsid w:val="00A54804"/>
    <w:rsid w:val="00A54BF3"/>
    <w:rsid w:val="00A54E10"/>
    <w:rsid w:val="00A5540E"/>
    <w:rsid w:val="00A563C9"/>
    <w:rsid w:val="00A56959"/>
    <w:rsid w:val="00A609EE"/>
    <w:rsid w:val="00A60EE3"/>
    <w:rsid w:val="00A611E6"/>
    <w:rsid w:val="00A61D06"/>
    <w:rsid w:val="00A632CB"/>
    <w:rsid w:val="00A640EB"/>
    <w:rsid w:val="00A644A9"/>
    <w:rsid w:val="00A66E15"/>
    <w:rsid w:val="00A67C3D"/>
    <w:rsid w:val="00A70D67"/>
    <w:rsid w:val="00A72387"/>
    <w:rsid w:val="00A7346C"/>
    <w:rsid w:val="00A74DAB"/>
    <w:rsid w:val="00A75D7A"/>
    <w:rsid w:val="00A75EE2"/>
    <w:rsid w:val="00A76992"/>
    <w:rsid w:val="00A76AED"/>
    <w:rsid w:val="00A7701F"/>
    <w:rsid w:val="00A778A8"/>
    <w:rsid w:val="00A80278"/>
    <w:rsid w:val="00A80EBA"/>
    <w:rsid w:val="00A80F15"/>
    <w:rsid w:val="00A8108E"/>
    <w:rsid w:val="00A811E1"/>
    <w:rsid w:val="00A82D4C"/>
    <w:rsid w:val="00A839DF"/>
    <w:rsid w:val="00A83B30"/>
    <w:rsid w:val="00A843D3"/>
    <w:rsid w:val="00A84A67"/>
    <w:rsid w:val="00A859E9"/>
    <w:rsid w:val="00A85DD5"/>
    <w:rsid w:val="00A865D4"/>
    <w:rsid w:val="00A90FB4"/>
    <w:rsid w:val="00A9162A"/>
    <w:rsid w:val="00A91F5E"/>
    <w:rsid w:val="00A9219F"/>
    <w:rsid w:val="00A92407"/>
    <w:rsid w:val="00A92456"/>
    <w:rsid w:val="00A92545"/>
    <w:rsid w:val="00A92A1F"/>
    <w:rsid w:val="00A9441D"/>
    <w:rsid w:val="00A9678E"/>
    <w:rsid w:val="00A9742D"/>
    <w:rsid w:val="00A97581"/>
    <w:rsid w:val="00AA0AAE"/>
    <w:rsid w:val="00AA0F04"/>
    <w:rsid w:val="00AA1DF8"/>
    <w:rsid w:val="00AA2353"/>
    <w:rsid w:val="00AA4BB5"/>
    <w:rsid w:val="00AA4C31"/>
    <w:rsid w:val="00AA700D"/>
    <w:rsid w:val="00AA71AA"/>
    <w:rsid w:val="00AA758A"/>
    <w:rsid w:val="00AB0961"/>
    <w:rsid w:val="00AB0B44"/>
    <w:rsid w:val="00AB0BBB"/>
    <w:rsid w:val="00AB1CF3"/>
    <w:rsid w:val="00AB1D3C"/>
    <w:rsid w:val="00AB2BC7"/>
    <w:rsid w:val="00AB3C41"/>
    <w:rsid w:val="00AB5623"/>
    <w:rsid w:val="00AB5D0F"/>
    <w:rsid w:val="00AB5EE5"/>
    <w:rsid w:val="00AB662A"/>
    <w:rsid w:val="00AC185F"/>
    <w:rsid w:val="00AC28FC"/>
    <w:rsid w:val="00AC4730"/>
    <w:rsid w:val="00AC4891"/>
    <w:rsid w:val="00AC4DFD"/>
    <w:rsid w:val="00AC65AA"/>
    <w:rsid w:val="00AC6BC4"/>
    <w:rsid w:val="00AC6EDC"/>
    <w:rsid w:val="00AC7526"/>
    <w:rsid w:val="00AD0962"/>
    <w:rsid w:val="00AD0A26"/>
    <w:rsid w:val="00AD0CE8"/>
    <w:rsid w:val="00AD11B7"/>
    <w:rsid w:val="00AD2300"/>
    <w:rsid w:val="00AD259E"/>
    <w:rsid w:val="00AD4096"/>
    <w:rsid w:val="00AD4120"/>
    <w:rsid w:val="00AD4B0B"/>
    <w:rsid w:val="00AD51E6"/>
    <w:rsid w:val="00AD5AF0"/>
    <w:rsid w:val="00AD6189"/>
    <w:rsid w:val="00AD6F70"/>
    <w:rsid w:val="00AE00F6"/>
    <w:rsid w:val="00AE060F"/>
    <w:rsid w:val="00AE08A4"/>
    <w:rsid w:val="00AE0BEE"/>
    <w:rsid w:val="00AE312A"/>
    <w:rsid w:val="00AE3B62"/>
    <w:rsid w:val="00AE4573"/>
    <w:rsid w:val="00AE4D1B"/>
    <w:rsid w:val="00AE57DF"/>
    <w:rsid w:val="00AE62D5"/>
    <w:rsid w:val="00AE69C1"/>
    <w:rsid w:val="00AE710F"/>
    <w:rsid w:val="00AE7DF3"/>
    <w:rsid w:val="00AF15D5"/>
    <w:rsid w:val="00AF283C"/>
    <w:rsid w:val="00AF3C65"/>
    <w:rsid w:val="00AF4E08"/>
    <w:rsid w:val="00AF62EC"/>
    <w:rsid w:val="00AF637E"/>
    <w:rsid w:val="00AF6CAF"/>
    <w:rsid w:val="00AF72B4"/>
    <w:rsid w:val="00B00AD9"/>
    <w:rsid w:val="00B00F74"/>
    <w:rsid w:val="00B020EB"/>
    <w:rsid w:val="00B02491"/>
    <w:rsid w:val="00B02848"/>
    <w:rsid w:val="00B02FC5"/>
    <w:rsid w:val="00B031CA"/>
    <w:rsid w:val="00B03361"/>
    <w:rsid w:val="00B061F1"/>
    <w:rsid w:val="00B07EFE"/>
    <w:rsid w:val="00B07F84"/>
    <w:rsid w:val="00B11409"/>
    <w:rsid w:val="00B114F4"/>
    <w:rsid w:val="00B114FA"/>
    <w:rsid w:val="00B11A21"/>
    <w:rsid w:val="00B11C92"/>
    <w:rsid w:val="00B12451"/>
    <w:rsid w:val="00B12B88"/>
    <w:rsid w:val="00B12CAB"/>
    <w:rsid w:val="00B1325F"/>
    <w:rsid w:val="00B14604"/>
    <w:rsid w:val="00B1564B"/>
    <w:rsid w:val="00B16937"/>
    <w:rsid w:val="00B16B96"/>
    <w:rsid w:val="00B17327"/>
    <w:rsid w:val="00B218CF"/>
    <w:rsid w:val="00B22562"/>
    <w:rsid w:val="00B226F1"/>
    <w:rsid w:val="00B259C0"/>
    <w:rsid w:val="00B25B41"/>
    <w:rsid w:val="00B26242"/>
    <w:rsid w:val="00B30385"/>
    <w:rsid w:val="00B317CB"/>
    <w:rsid w:val="00B31CFF"/>
    <w:rsid w:val="00B31EEF"/>
    <w:rsid w:val="00B327F1"/>
    <w:rsid w:val="00B3298D"/>
    <w:rsid w:val="00B34B03"/>
    <w:rsid w:val="00B34B33"/>
    <w:rsid w:val="00B36C49"/>
    <w:rsid w:val="00B36F78"/>
    <w:rsid w:val="00B376F0"/>
    <w:rsid w:val="00B37BCC"/>
    <w:rsid w:val="00B40A48"/>
    <w:rsid w:val="00B411CD"/>
    <w:rsid w:val="00B413DD"/>
    <w:rsid w:val="00B415B2"/>
    <w:rsid w:val="00B42152"/>
    <w:rsid w:val="00B423EF"/>
    <w:rsid w:val="00B43239"/>
    <w:rsid w:val="00B43B00"/>
    <w:rsid w:val="00B454B7"/>
    <w:rsid w:val="00B45D07"/>
    <w:rsid w:val="00B463D4"/>
    <w:rsid w:val="00B5058E"/>
    <w:rsid w:val="00B50C5A"/>
    <w:rsid w:val="00B51768"/>
    <w:rsid w:val="00B5236A"/>
    <w:rsid w:val="00B52758"/>
    <w:rsid w:val="00B53B99"/>
    <w:rsid w:val="00B551BE"/>
    <w:rsid w:val="00B55A5C"/>
    <w:rsid w:val="00B57425"/>
    <w:rsid w:val="00B607B4"/>
    <w:rsid w:val="00B627D5"/>
    <w:rsid w:val="00B63FD4"/>
    <w:rsid w:val="00B63FEC"/>
    <w:rsid w:val="00B6461A"/>
    <w:rsid w:val="00B64E6B"/>
    <w:rsid w:val="00B65B96"/>
    <w:rsid w:val="00B669FB"/>
    <w:rsid w:val="00B66B5C"/>
    <w:rsid w:val="00B67CC7"/>
    <w:rsid w:val="00B67F2A"/>
    <w:rsid w:val="00B702AD"/>
    <w:rsid w:val="00B70751"/>
    <w:rsid w:val="00B71299"/>
    <w:rsid w:val="00B72EB5"/>
    <w:rsid w:val="00B72F6A"/>
    <w:rsid w:val="00B744DB"/>
    <w:rsid w:val="00B7475C"/>
    <w:rsid w:val="00B7490B"/>
    <w:rsid w:val="00B74E0F"/>
    <w:rsid w:val="00B75150"/>
    <w:rsid w:val="00B7598B"/>
    <w:rsid w:val="00B75B4C"/>
    <w:rsid w:val="00B771A0"/>
    <w:rsid w:val="00B806BA"/>
    <w:rsid w:val="00B81A6E"/>
    <w:rsid w:val="00B81BE1"/>
    <w:rsid w:val="00B83208"/>
    <w:rsid w:val="00B836A0"/>
    <w:rsid w:val="00B83919"/>
    <w:rsid w:val="00B8484B"/>
    <w:rsid w:val="00B853A0"/>
    <w:rsid w:val="00B85CE1"/>
    <w:rsid w:val="00B8686B"/>
    <w:rsid w:val="00B87141"/>
    <w:rsid w:val="00B87F1C"/>
    <w:rsid w:val="00B9069F"/>
    <w:rsid w:val="00B90AFF"/>
    <w:rsid w:val="00B92ADC"/>
    <w:rsid w:val="00B93BB0"/>
    <w:rsid w:val="00B947C2"/>
    <w:rsid w:val="00B966DE"/>
    <w:rsid w:val="00B96BE4"/>
    <w:rsid w:val="00B972BA"/>
    <w:rsid w:val="00B97A93"/>
    <w:rsid w:val="00BA055B"/>
    <w:rsid w:val="00BA151E"/>
    <w:rsid w:val="00BA1FA2"/>
    <w:rsid w:val="00BA20EB"/>
    <w:rsid w:val="00BA38F3"/>
    <w:rsid w:val="00BA64F4"/>
    <w:rsid w:val="00BA6836"/>
    <w:rsid w:val="00BA76D4"/>
    <w:rsid w:val="00BB03F6"/>
    <w:rsid w:val="00BB0671"/>
    <w:rsid w:val="00BB3A28"/>
    <w:rsid w:val="00BB470B"/>
    <w:rsid w:val="00BB5905"/>
    <w:rsid w:val="00BB597F"/>
    <w:rsid w:val="00BB5D10"/>
    <w:rsid w:val="00BB78DF"/>
    <w:rsid w:val="00BB7ADA"/>
    <w:rsid w:val="00BC07AE"/>
    <w:rsid w:val="00BC09D4"/>
    <w:rsid w:val="00BC1BB3"/>
    <w:rsid w:val="00BC1D7D"/>
    <w:rsid w:val="00BC387C"/>
    <w:rsid w:val="00BC56AE"/>
    <w:rsid w:val="00BC6653"/>
    <w:rsid w:val="00BC6B51"/>
    <w:rsid w:val="00BC6F2E"/>
    <w:rsid w:val="00BC73B9"/>
    <w:rsid w:val="00BC7C4B"/>
    <w:rsid w:val="00BC7D54"/>
    <w:rsid w:val="00BD0DD5"/>
    <w:rsid w:val="00BD1197"/>
    <w:rsid w:val="00BD1243"/>
    <w:rsid w:val="00BD1902"/>
    <w:rsid w:val="00BD24EE"/>
    <w:rsid w:val="00BD28E3"/>
    <w:rsid w:val="00BD4EF5"/>
    <w:rsid w:val="00BD547B"/>
    <w:rsid w:val="00BD5549"/>
    <w:rsid w:val="00BD7DF9"/>
    <w:rsid w:val="00BE00DB"/>
    <w:rsid w:val="00BE0E8C"/>
    <w:rsid w:val="00BE377C"/>
    <w:rsid w:val="00BE591E"/>
    <w:rsid w:val="00BE62FB"/>
    <w:rsid w:val="00BE7150"/>
    <w:rsid w:val="00BF2714"/>
    <w:rsid w:val="00BF3A16"/>
    <w:rsid w:val="00BF4278"/>
    <w:rsid w:val="00BF4A80"/>
    <w:rsid w:val="00BF62A5"/>
    <w:rsid w:val="00BF675D"/>
    <w:rsid w:val="00BF6ABE"/>
    <w:rsid w:val="00BF6CCF"/>
    <w:rsid w:val="00C00783"/>
    <w:rsid w:val="00C00AA9"/>
    <w:rsid w:val="00C01B89"/>
    <w:rsid w:val="00C02307"/>
    <w:rsid w:val="00C028FC"/>
    <w:rsid w:val="00C02D14"/>
    <w:rsid w:val="00C035D2"/>
    <w:rsid w:val="00C03ADC"/>
    <w:rsid w:val="00C03C3C"/>
    <w:rsid w:val="00C0623D"/>
    <w:rsid w:val="00C068C1"/>
    <w:rsid w:val="00C07473"/>
    <w:rsid w:val="00C0759C"/>
    <w:rsid w:val="00C07D0B"/>
    <w:rsid w:val="00C111A3"/>
    <w:rsid w:val="00C11506"/>
    <w:rsid w:val="00C1189F"/>
    <w:rsid w:val="00C11ADC"/>
    <w:rsid w:val="00C11F64"/>
    <w:rsid w:val="00C122E2"/>
    <w:rsid w:val="00C13247"/>
    <w:rsid w:val="00C1375F"/>
    <w:rsid w:val="00C140A0"/>
    <w:rsid w:val="00C14126"/>
    <w:rsid w:val="00C20BE1"/>
    <w:rsid w:val="00C215FD"/>
    <w:rsid w:val="00C21B26"/>
    <w:rsid w:val="00C22EAE"/>
    <w:rsid w:val="00C244AC"/>
    <w:rsid w:val="00C25682"/>
    <w:rsid w:val="00C3185B"/>
    <w:rsid w:val="00C32B39"/>
    <w:rsid w:val="00C34A0C"/>
    <w:rsid w:val="00C35A80"/>
    <w:rsid w:val="00C35C11"/>
    <w:rsid w:val="00C35C1F"/>
    <w:rsid w:val="00C3610D"/>
    <w:rsid w:val="00C3611F"/>
    <w:rsid w:val="00C37381"/>
    <w:rsid w:val="00C4059B"/>
    <w:rsid w:val="00C408C3"/>
    <w:rsid w:val="00C408DA"/>
    <w:rsid w:val="00C40F32"/>
    <w:rsid w:val="00C41DD8"/>
    <w:rsid w:val="00C42BC0"/>
    <w:rsid w:val="00C4333F"/>
    <w:rsid w:val="00C44F50"/>
    <w:rsid w:val="00C45401"/>
    <w:rsid w:val="00C45A29"/>
    <w:rsid w:val="00C4725C"/>
    <w:rsid w:val="00C475F4"/>
    <w:rsid w:val="00C51121"/>
    <w:rsid w:val="00C51564"/>
    <w:rsid w:val="00C5230A"/>
    <w:rsid w:val="00C535BE"/>
    <w:rsid w:val="00C53735"/>
    <w:rsid w:val="00C53F3B"/>
    <w:rsid w:val="00C5646E"/>
    <w:rsid w:val="00C56B19"/>
    <w:rsid w:val="00C61EF8"/>
    <w:rsid w:val="00C62D18"/>
    <w:rsid w:val="00C63BCC"/>
    <w:rsid w:val="00C63DE5"/>
    <w:rsid w:val="00C64901"/>
    <w:rsid w:val="00C65451"/>
    <w:rsid w:val="00C676DF"/>
    <w:rsid w:val="00C706C0"/>
    <w:rsid w:val="00C707A7"/>
    <w:rsid w:val="00C70AE5"/>
    <w:rsid w:val="00C71199"/>
    <w:rsid w:val="00C71521"/>
    <w:rsid w:val="00C71FE3"/>
    <w:rsid w:val="00C721FC"/>
    <w:rsid w:val="00C72A07"/>
    <w:rsid w:val="00C72B76"/>
    <w:rsid w:val="00C736AC"/>
    <w:rsid w:val="00C742FF"/>
    <w:rsid w:val="00C745A3"/>
    <w:rsid w:val="00C74F3E"/>
    <w:rsid w:val="00C75144"/>
    <w:rsid w:val="00C75C29"/>
    <w:rsid w:val="00C763BA"/>
    <w:rsid w:val="00C7742B"/>
    <w:rsid w:val="00C80658"/>
    <w:rsid w:val="00C82413"/>
    <w:rsid w:val="00C83E68"/>
    <w:rsid w:val="00C847C0"/>
    <w:rsid w:val="00C84C82"/>
    <w:rsid w:val="00C8557A"/>
    <w:rsid w:val="00C855EE"/>
    <w:rsid w:val="00C86535"/>
    <w:rsid w:val="00C86C57"/>
    <w:rsid w:val="00C90557"/>
    <w:rsid w:val="00C90C33"/>
    <w:rsid w:val="00C90C79"/>
    <w:rsid w:val="00C90C7C"/>
    <w:rsid w:val="00C91153"/>
    <w:rsid w:val="00C91A4B"/>
    <w:rsid w:val="00C91FAD"/>
    <w:rsid w:val="00C92957"/>
    <w:rsid w:val="00C929EE"/>
    <w:rsid w:val="00C93A89"/>
    <w:rsid w:val="00C94AC3"/>
    <w:rsid w:val="00C97A24"/>
    <w:rsid w:val="00CA093B"/>
    <w:rsid w:val="00CA2585"/>
    <w:rsid w:val="00CA4DF3"/>
    <w:rsid w:val="00CA5CFA"/>
    <w:rsid w:val="00CA63BC"/>
    <w:rsid w:val="00CA6C8E"/>
    <w:rsid w:val="00CB11C1"/>
    <w:rsid w:val="00CB1B68"/>
    <w:rsid w:val="00CB1DBF"/>
    <w:rsid w:val="00CB1DED"/>
    <w:rsid w:val="00CB2CDF"/>
    <w:rsid w:val="00CB3983"/>
    <w:rsid w:val="00CB3BA4"/>
    <w:rsid w:val="00CB498B"/>
    <w:rsid w:val="00CB4AE0"/>
    <w:rsid w:val="00CB5A43"/>
    <w:rsid w:val="00CB6872"/>
    <w:rsid w:val="00CB6A9B"/>
    <w:rsid w:val="00CC15F9"/>
    <w:rsid w:val="00CC1F6B"/>
    <w:rsid w:val="00CC26C3"/>
    <w:rsid w:val="00CC396A"/>
    <w:rsid w:val="00CC3AA8"/>
    <w:rsid w:val="00CC4988"/>
    <w:rsid w:val="00CC5E58"/>
    <w:rsid w:val="00CC6D25"/>
    <w:rsid w:val="00CD0738"/>
    <w:rsid w:val="00CD0A4D"/>
    <w:rsid w:val="00CD1BA4"/>
    <w:rsid w:val="00CD251D"/>
    <w:rsid w:val="00CD2585"/>
    <w:rsid w:val="00CD4D22"/>
    <w:rsid w:val="00CD63C8"/>
    <w:rsid w:val="00CD6C59"/>
    <w:rsid w:val="00CD7862"/>
    <w:rsid w:val="00CE166D"/>
    <w:rsid w:val="00CE18B4"/>
    <w:rsid w:val="00CE1F4A"/>
    <w:rsid w:val="00CE3A0D"/>
    <w:rsid w:val="00CE462D"/>
    <w:rsid w:val="00CE6284"/>
    <w:rsid w:val="00CE7467"/>
    <w:rsid w:val="00CF04B5"/>
    <w:rsid w:val="00CF1304"/>
    <w:rsid w:val="00CF1480"/>
    <w:rsid w:val="00CF14E1"/>
    <w:rsid w:val="00CF1AE7"/>
    <w:rsid w:val="00CF3D04"/>
    <w:rsid w:val="00CF4BF6"/>
    <w:rsid w:val="00CF5A4F"/>
    <w:rsid w:val="00CF6480"/>
    <w:rsid w:val="00CF66C1"/>
    <w:rsid w:val="00CF76C1"/>
    <w:rsid w:val="00CF7CFC"/>
    <w:rsid w:val="00CF7FA0"/>
    <w:rsid w:val="00D027CE"/>
    <w:rsid w:val="00D0308E"/>
    <w:rsid w:val="00D06196"/>
    <w:rsid w:val="00D0640A"/>
    <w:rsid w:val="00D0795A"/>
    <w:rsid w:val="00D1174F"/>
    <w:rsid w:val="00D12A59"/>
    <w:rsid w:val="00D13318"/>
    <w:rsid w:val="00D1360F"/>
    <w:rsid w:val="00D13F4D"/>
    <w:rsid w:val="00D15EF8"/>
    <w:rsid w:val="00D16189"/>
    <w:rsid w:val="00D17209"/>
    <w:rsid w:val="00D1738E"/>
    <w:rsid w:val="00D20C87"/>
    <w:rsid w:val="00D2149F"/>
    <w:rsid w:val="00D21976"/>
    <w:rsid w:val="00D22B00"/>
    <w:rsid w:val="00D234D7"/>
    <w:rsid w:val="00D24E91"/>
    <w:rsid w:val="00D25120"/>
    <w:rsid w:val="00D25D3C"/>
    <w:rsid w:val="00D2618A"/>
    <w:rsid w:val="00D262E2"/>
    <w:rsid w:val="00D26403"/>
    <w:rsid w:val="00D26743"/>
    <w:rsid w:val="00D30760"/>
    <w:rsid w:val="00D31347"/>
    <w:rsid w:val="00D317F8"/>
    <w:rsid w:val="00D31903"/>
    <w:rsid w:val="00D32847"/>
    <w:rsid w:val="00D333DF"/>
    <w:rsid w:val="00D33CD5"/>
    <w:rsid w:val="00D3433E"/>
    <w:rsid w:val="00D348F7"/>
    <w:rsid w:val="00D34AD4"/>
    <w:rsid w:val="00D34DD3"/>
    <w:rsid w:val="00D35E16"/>
    <w:rsid w:val="00D370AE"/>
    <w:rsid w:val="00D41684"/>
    <w:rsid w:val="00D41EBF"/>
    <w:rsid w:val="00D4273D"/>
    <w:rsid w:val="00D42BFB"/>
    <w:rsid w:val="00D43306"/>
    <w:rsid w:val="00D43350"/>
    <w:rsid w:val="00D433F6"/>
    <w:rsid w:val="00D46862"/>
    <w:rsid w:val="00D46AAF"/>
    <w:rsid w:val="00D47794"/>
    <w:rsid w:val="00D47845"/>
    <w:rsid w:val="00D52200"/>
    <w:rsid w:val="00D52375"/>
    <w:rsid w:val="00D5280F"/>
    <w:rsid w:val="00D52EC9"/>
    <w:rsid w:val="00D5304F"/>
    <w:rsid w:val="00D533EE"/>
    <w:rsid w:val="00D53E93"/>
    <w:rsid w:val="00D54B78"/>
    <w:rsid w:val="00D55394"/>
    <w:rsid w:val="00D57B09"/>
    <w:rsid w:val="00D6018C"/>
    <w:rsid w:val="00D604E8"/>
    <w:rsid w:val="00D609F3"/>
    <w:rsid w:val="00D621D2"/>
    <w:rsid w:val="00D62858"/>
    <w:rsid w:val="00D629B0"/>
    <w:rsid w:val="00D62B7F"/>
    <w:rsid w:val="00D6313B"/>
    <w:rsid w:val="00D632BC"/>
    <w:rsid w:val="00D63F81"/>
    <w:rsid w:val="00D645C9"/>
    <w:rsid w:val="00D6550C"/>
    <w:rsid w:val="00D65A03"/>
    <w:rsid w:val="00D66B7E"/>
    <w:rsid w:val="00D670FA"/>
    <w:rsid w:val="00D70924"/>
    <w:rsid w:val="00D70BE4"/>
    <w:rsid w:val="00D71399"/>
    <w:rsid w:val="00D71797"/>
    <w:rsid w:val="00D72BA3"/>
    <w:rsid w:val="00D72E24"/>
    <w:rsid w:val="00D72FA4"/>
    <w:rsid w:val="00D7367D"/>
    <w:rsid w:val="00D753F9"/>
    <w:rsid w:val="00D76052"/>
    <w:rsid w:val="00D76C3F"/>
    <w:rsid w:val="00D76C66"/>
    <w:rsid w:val="00D80D31"/>
    <w:rsid w:val="00D81683"/>
    <w:rsid w:val="00D82129"/>
    <w:rsid w:val="00D8352B"/>
    <w:rsid w:val="00D83C16"/>
    <w:rsid w:val="00D846B4"/>
    <w:rsid w:val="00D84911"/>
    <w:rsid w:val="00D853A8"/>
    <w:rsid w:val="00D8599D"/>
    <w:rsid w:val="00D87FEA"/>
    <w:rsid w:val="00D90C02"/>
    <w:rsid w:val="00D916C1"/>
    <w:rsid w:val="00D924BD"/>
    <w:rsid w:val="00D93B90"/>
    <w:rsid w:val="00D9427C"/>
    <w:rsid w:val="00D94677"/>
    <w:rsid w:val="00D964C1"/>
    <w:rsid w:val="00D970F8"/>
    <w:rsid w:val="00DA03E5"/>
    <w:rsid w:val="00DA05BB"/>
    <w:rsid w:val="00DA2DD6"/>
    <w:rsid w:val="00DA3E28"/>
    <w:rsid w:val="00DA4407"/>
    <w:rsid w:val="00DA44DE"/>
    <w:rsid w:val="00DA4C02"/>
    <w:rsid w:val="00DA50DF"/>
    <w:rsid w:val="00DA6115"/>
    <w:rsid w:val="00DA66F9"/>
    <w:rsid w:val="00DA778D"/>
    <w:rsid w:val="00DA78BF"/>
    <w:rsid w:val="00DB194E"/>
    <w:rsid w:val="00DB2330"/>
    <w:rsid w:val="00DB2535"/>
    <w:rsid w:val="00DB274F"/>
    <w:rsid w:val="00DB394E"/>
    <w:rsid w:val="00DB4C4D"/>
    <w:rsid w:val="00DB5E76"/>
    <w:rsid w:val="00DB6BC1"/>
    <w:rsid w:val="00DB6F4B"/>
    <w:rsid w:val="00DB6FB9"/>
    <w:rsid w:val="00DB70E7"/>
    <w:rsid w:val="00DC0269"/>
    <w:rsid w:val="00DC1BB4"/>
    <w:rsid w:val="00DC3461"/>
    <w:rsid w:val="00DC5C9E"/>
    <w:rsid w:val="00DC7136"/>
    <w:rsid w:val="00DC7329"/>
    <w:rsid w:val="00DC73B0"/>
    <w:rsid w:val="00DC7C92"/>
    <w:rsid w:val="00DD074E"/>
    <w:rsid w:val="00DD07D9"/>
    <w:rsid w:val="00DD08B8"/>
    <w:rsid w:val="00DD0D8C"/>
    <w:rsid w:val="00DD1700"/>
    <w:rsid w:val="00DD2165"/>
    <w:rsid w:val="00DD2A97"/>
    <w:rsid w:val="00DD3084"/>
    <w:rsid w:val="00DD3796"/>
    <w:rsid w:val="00DD4789"/>
    <w:rsid w:val="00DD4F2B"/>
    <w:rsid w:val="00DD6DCA"/>
    <w:rsid w:val="00DD740B"/>
    <w:rsid w:val="00DD74D3"/>
    <w:rsid w:val="00DD7785"/>
    <w:rsid w:val="00DD7842"/>
    <w:rsid w:val="00DE18CB"/>
    <w:rsid w:val="00DE1903"/>
    <w:rsid w:val="00DE4A43"/>
    <w:rsid w:val="00DE4F85"/>
    <w:rsid w:val="00DE61FD"/>
    <w:rsid w:val="00DE63BA"/>
    <w:rsid w:val="00DE7F02"/>
    <w:rsid w:val="00DF0647"/>
    <w:rsid w:val="00DF1244"/>
    <w:rsid w:val="00DF184F"/>
    <w:rsid w:val="00DF1BBF"/>
    <w:rsid w:val="00DF38A4"/>
    <w:rsid w:val="00DF40FE"/>
    <w:rsid w:val="00DF48CD"/>
    <w:rsid w:val="00DF5386"/>
    <w:rsid w:val="00DF70FC"/>
    <w:rsid w:val="00E001E0"/>
    <w:rsid w:val="00E0218D"/>
    <w:rsid w:val="00E025C1"/>
    <w:rsid w:val="00E02BD0"/>
    <w:rsid w:val="00E03C9E"/>
    <w:rsid w:val="00E03CBA"/>
    <w:rsid w:val="00E047F7"/>
    <w:rsid w:val="00E050E0"/>
    <w:rsid w:val="00E05235"/>
    <w:rsid w:val="00E05700"/>
    <w:rsid w:val="00E10B9C"/>
    <w:rsid w:val="00E11C45"/>
    <w:rsid w:val="00E12671"/>
    <w:rsid w:val="00E13312"/>
    <w:rsid w:val="00E13CCA"/>
    <w:rsid w:val="00E13CFA"/>
    <w:rsid w:val="00E142BA"/>
    <w:rsid w:val="00E14E94"/>
    <w:rsid w:val="00E16750"/>
    <w:rsid w:val="00E20C0F"/>
    <w:rsid w:val="00E20E35"/>
    <w:rsid w:val="00E21256"/>
    <w:rsid w:val="00E215E1"/>
    <w:rsid w:val="00E227F5"/>
    <w:rsid w:val="00E22A2C"/>
    <w:rsid w:val="00E23D87"/>
    <w:rsid w:val="00E2404F"/>
    <w:rsid w:val="00E24743"/>
    <w:rsid w:val="00E24E71"/>
    <w:rsid w:val="00E25353"/>
    <w:rsid w:val="00E253A4"/>
    <w:rsid w:val="00E2700D"/>
    <w:rsid w:val="00E303BA"/>
    <w:rsid w:val="00E3046A"/>
    <w:rsid w:val="00E3106D"/>
    <w:rsid w:val="00E31221"/>
    <w:rsid w:val="00E31271"/>
    <w:rsid w:val="00E321F2"/>
    <w:rsid w:val="00E32252"/>
    <w:rsid w:val="00E32EFA"/>
    <w:rsid w:val="00E3397D"/>
    <w:rsid w:val="00E3449A"/>
    <w:rsid w:val="00E357BB"/>
    <w:rsid w:val="00E37FCC"/>
    <w:rsid w:val="00E40531"/>
    <w:rsid w:val="00E405CE"/>
    <w:rsid w:val="00E40AA0"/>
    <w:rsid w:val="00E40E31"/>
    <w:rsid w:val="00E42662"/>
    <w:rsid w:val="00E42DC3"/>
    <w:rsid w:val="00E430CF"/>
    <w:rsid w:val="00E4468A"/>
    <w:rsid w:val="00E459A8"/>
    <w:rsid w:val="00E46001"/>
    <w:rsid w:val="00E460B8"/>
    <w:rsid w:val="00E47152"/>
    <w:rsid w:val="00E472E7"/>
    <w:rsid w:val="00E51FF5"/>
    <w:rsid w:val="00E5337F"/>
    <w:rsid w:val="00E53B36"/>
    <w:rsid w:val="00E54332"/>
    <w:rsid w:val="00E5531D"/>
    <w:rsid w:val="00E56F81"/>
    <w:rsid w:val="00E60D2F"/>
    <w:rsid w:val="00E62A50"/>
    <w:rsid w:val="00E62F99"/>
    <w:rsid w:val="00E63657"/>
    <w:rsid w:val="00E63682"/>
    <w:rsid w:val="00E646BB"/>
    <w:rsid w:val="00E6698D"/>
    <w:rsid w:val="00E66C8E"/>
    <w:rsid w:val="00E6705C"/>
    <w:rsid w:val="00E73339"/>
    <w:rsid w:val="00E7358F"/>
    <w:rsid w:val="00E73A7F"/>
    <w:rsid w:val="00E73BC4"/>
    <w:rsid w:val="00E762D6"/>
    <w:rsid w:val="00E76AA6"/>
    <w:rsid w:val="00E77AE3"/>
    <w:rsid w:val="00E8041A"/>
    <w:rsid w:val="00E81455"/>
    <w:rsid w:val="00E81C9E"/>
    <w:rsid w:val="00E85649"/>
    <w:rsid w:val="00E85AD9"/>
    <w:rsid w:val="00E87B67"/>
    <w:rsid w:val="00E87C70"/>
    <w:rsid w:val="00E87F2E"/>
    <w:rsid w:val="00E90831"/>
    <w:rsid w:val="00E90FE3"/>
    <w:rsid w:val="00E910BB"/>
    <w:rsid w:val="00E9173D"/>
    <w:rsid w:val="00E91863"/>
    <w:rsid w:val="00E91892"/>
    <w:rsid w:val="00E92A58"/>
    <w:rsid w:val="00E92B81"/>
    <w:rsid w:val="00E937B1"/>
    <w:rsid w:val="00E94924"/>
    <w:rsid w:val="00E94EED"/>
    <w:rsid w:val="00E954AD"/>
    <w:rsid w:val="00E967AE"/>
    <w:rsid w:val="00E97100"/>
    <w:rsid w:val="00E9785E"/>
    <w:rsid w:val="00EA0195"/>
    <w:rsid w:val="00EA0908"/>
    <w:rsid w:val="00EA12D5"/>
    <w:rsid w:val="00EA38EF"/>
    <w:rsid w:val="00EA5C96"/>
    <w:rsid w:val="00EA6660"/>
    <w:rsid w:val="00EA7673"/>
    <w:rsid w:val="00EA78BA"/>
    <w:rsid w:val="00EB292E"/>
    <w:rsid w:val="00EB427C"/>
    <w:rsid w:val="00EB4507"/>
    <w:rsid w:val="00EB548A"/>
    <w:rsid w:val="00EB5D0E"/>
    <w:rsid w:val="00EB5EAA"/>
    <w:rsid w:val="00EB6960"/>
    <w:rsid w:val="00EB6B2B"/>
    <w:rsid w:val="00EB6BC8"/>
    <w:rsid w:val="00EB7DB6"/>
    <w:rsid w:val="00EC09FF"/>
    <w:rsid w:val="00EC1176"/>
    <w:rsid w:val="00EC2F5F"/>
    <w:rsid w:val="00EC4817"/>
    <w:rsid w:val="00EC54C9"/>
    <w:rsid w:val="00EC6ADE"/>
    <w:rsid w:val="00EC6D59"/>
    <w:rsid w:val="00EC7BBE"/>
    <w:rsid w:val="00ED06F8"/>
    <w:rsid w:val="00ED074C"/>
    <w:rsid w:val="00ED104B"/>
    <w:rsid w:val="00ED1C80"/>
    <w:rsid w:val="00ED2433"/>
    <w:rsid w:val="00ED37A4"/>
    <w:rsid w:val="00ED3ED9"/>
    <w:rsid w:val="00ED45E6"/>
    <w:rsid w:val="00ED4D89"/>
    <w:rsid w:val="00ED6957"/>
    <w:rsid w:val="00EE00FB"/>
    <w:rsid w:val="00EE2769"/>
    <w:rsid w:val="00EE29D6"/>
    <w:rsid w:val="00EE3439"/>
    <w:rsid w:val="00EE4DF9"/>
    <w:rsid w:val="00EE5082"/>
    <w:rsid w:val="00EE52F6"/>
    <w:rsid w:val="00EE54D7"/>
    <w:rsid w:val="00EE5603"/>
    <w:rsid w:val="00EE616E"/>
    <w:rsid w:val="00EE7A4D"/>
    <w:rsid w:val="00EF0704"/>
    <w:rsid w:val="00EF15A2"/>
    <w:rsid w:val="00EF32E6"/>
    <w:rsid w:val="00EF382A"/>
    <w:rsid w:val="00EF3E05"/>
    <w:rsid w:val="00EF4F9A"/>
    <w:rsid w:val="00EF524E"/>
    <w:rsid w:val="00EF52E9"/>
    <w:rsid w:val="00EF79AC"/>
    <w:rsid w:val="00F00D9C"/>
    <w:rsid w:val="00F0107D"/>
    <w:rsid w:val="00F011CF"/>
    <w:rsid w:val="00F01F0C"/>
    <w:rsid w:val="00F01FC0"/>
    <w:rsid w:val="00F0262B"/>
    <w:rsid w:val="00F0337A"/>
    <w:rsid w:val="00F03886"/>
    <w:rsid w:val="00F044D9"/>
    <w:rsid w:val="00F04A90"/>
    <w:rsid w:val="00F04DB2"/>
    <w:rsid w:val="00F052C4"/>
    <w:rsid w:val="00F05548"/>
    <w:rsid w:val="00F06D11"/>
    <w:rsid w:val="00F07440"/>
    <w:rsid w:val="00F11868"/>
    <w:rsid w:val="00F125A0"/>
    <w:rsid w:val="00F129B6"/>
    <w:rsid w:val="00F12A2C"/>
    <w:rsid w:val="00F12B5D"/>
    <w:rsid w:val="00F13D62"/>
    <w:rsid w:val="00F13F6D"/>
    <w:rsid w:val="00F15439"/>
    <w:rsid w:val="00F15681"/>
    <w:rsid w:val="00F15CBD"/>
    <w:rsid w:val="00F163FE"/>
    <w:rsid w:val="00F17F86"/>
    <w:rsid w:val="00F21A44"/>
    <w:rsid w:val="00F21D06"/>
    <w:rsid w:val="00F245C9"/>
    <w:rsid w:val="00F25141"/>
    <w:rsid w:val="00F256A5"/>
    <w:rsid w:val="00F25FEE"/>
    <w:rsid w:val="00F261D5"/>
    <w:rsid w:val="00F263B0"/>
    <w:rsid w:val="00F26EA1"/>
    <w:rsid w:val="00F27CF5"/>
    <w:rsid w:val="00F27EE6"/>
    <w:rsid w:val="00F3177B"/>
    <w:rsid w:val="00F31B5B"/>
    <w:rsid w:val="00F320DF"/>
    <w:rsid w:val="00F32FEA"/>
    <w:rsid w:val="00F32FFF"/>
    <w:rsid w:val="00F34846"/>
    <w:rsid w:val="00F3597E"/>
    <w:rsid w:val="00F35EE7"/>
    <w:rsid w:val="00F37BD4"/>
    <w:rsid w:val="00F4243C"/>
    <w:rsid w:val="00F42F30"/>
    <w:rsid w:val="00F43FE5"/>
    <w:rsid w:val="00F443B4"/>
    <w:rsid w:val="00F44987"/>
    <w:rsid w:val="00F44F96"/>
    <w:rsid w:val="00F455F8"/>
    <w:rsid w:val="00F4579B"/>
    <w:rsid w:val="00F47A31"/>
    <w:rsid w:val="00F50D34"/>
    <w:rsid w:val="00F52E83"/>
    <w:rsid w:val="00F534A9"/>
    <w:rsid w:val="00F53755"/>
    <w:rsid w:val="00F539D1"/>
    <w:rsid w:val="00F54178"/>
    <w:rsid w:val="00F542E2"/>
    <w:rsid w:val="00F54565"/>
    <w:rsid w:val="00F55FD2"/>
    <w:rsid w:val="00F57337"/>
    <w:rsid w:val="00F57B16"/>
    <w:rsid w:val="00F60C3E"/>
    <w:rsid w:val="00F61858"/>
    <w:rsid w:val="00F62722"/>
    <w:rsid w:val="00F62D8C"/>
    <w:rsid w:val="00F62F8C"/>
    <w:rsid w:val="00F630B4"/>
    <w:rsid w:val="00F650A5"/>
    <w:rsid w:val="00F7006F"/>
    <w:rsid w:val="00F70BE4"/>
    <w:rsid w:val="00F71A9B"/>
    <w:rsid w:val="00F72913"/>
    <w:rsid w:val="00F73E12"/>
    <w:rsid w:val="00F75D3E"/>
    <w:rsid w:val="00F76F66"/>
    <w:rsid w:val="00F84417"/>
    <w:rsid w:val="00F84435"/>
    <w:rsid w:val="00F844A2"/>
    <w:rsid w:val="00F8458E"/>
    <w:rsid w:val="00F84A2C"/>
    <w:rsid w:val="00F85C00"/>
    <w:rsid w:val="00F86ABC"/>
    <w:rsid w:val="00F87C4C"/>
    <w:rsid w:val="00F90AC4"/>
    <w:rsid w:val="00F91976"/>
    <w:rsid w:val="00F920E8"/>
    <w:rsid w:val="00F93C75"/>
    <w:rsid w:val="00F9464B"/>
    <w:rsid w:val="00F94A21"/>
    <w:rsid w:val="00F94E99"/>
    <w:rsid w:val="00F95BF9"/>
    <w:rsid w:val="00F95E5C"/>
    <w:rsid w:val="00F97958"/>
    <w:rsid w:val="00FA0740"/>
    <w:rsid w:val="00FA0859"/>
    <w:rsid w:val="00FA0F70"/>
    <w:rsid w:val="00FA154E"/>
    <w:rsid w:val="00FA16D7"/>
    <w:rsid w:val="00FA1DFE"/>
    <w:rsid w:val="00FA2906"/>
    <w:rsid w:val="00FA322F"/>
    <w:rsid w:val="00FA451D"/>
    <w:rsid w:val="00FA4F4D"/>
    <w:rsid w:val="00FA595A"/>
    <w:rsid w:val="00FA603F"/>
    <w:rsid w:val="00FA64C0"/>
    <w:rsid w:val="00FA6BAD"/>
    <w:rsid w:val="00FA7130"/>
    <w:rsid w:val="00FB0328"/>
    <w:rsid w:val="00FB4558"/>
    <w:rsid w:val="00FB4895"/>
    <w:rsid w:val="00FB49FE"/>
    <w:rsid w:val="00FB4A4E"/>
    <w:rsid w:val="00FB4CEB"/>
    <w:rsid w:val="00FB4D21"/>
    <w:rsid w:val="00FB63B8"/>
    <w:rsid w:val="00FC08BA"/>
    <w:rsid w:val="00FC14A6"/>
    <w:rsid w:val="00FC23A1"/>
    <w:rsid w:val="00FC2C83"/>
    <w:rsid w:val="00FC51EE"/>
    <w:rsid w:val="00FC599F"/>
    <w:rsid w:val="00FC6F22"/>
    <w:rsid w:val="00FC7985"/>
    <w:rsid w:val="00FC7C2B"/>
    <w:rsid w:val="00FD0F28"/>
    <w:rsid w:val="00FD1C8F"/>
    <w:rsid w:val="00FD1E8F"/>
    <w:rsid w:val="00FD251B"/>
    <w:rsid w:val="00FD34B5"/>
    <w:rsid w:val="00FD3ACD"/>
    <w:rsid w:val="00FD3BAC"/>
    <w:rsid w:val="00FD4104"/>
    <w:rsid w:val="00FD4A44"/>
    <w:rsid w:val="00FD5599"/>
    <w:rsid w:val="00FD57FF"/>
    <w:rsid w:val="00FD6447"/>
    <w:rsid w:val="00FD66E2"/>
    <w:rsid w:val="00FE0B5A"/>
    <w:rsid w:val="00FE1093"/>
    <w:rsid w:val="00FE1B2C"/>
    <w:rsid w:val="00FE4706"/>
    <w:rsid w:val="00FE4A83"/>
    <w:rsid w:val="00FE5039"/>
    <w:rsid w:val="00FE5B0E"/>
    <w:rsid w:val="00FF159D"/>
    <w:rsid w:val="00FF1AAB"/>
    <w:rsid w:val="00FF38F1"/>
    <w:rsid w:val="00FF4275"/>
    <w:rsid w:val="00FF43B2"/>
    <w:rsid w:val="00FF4E21"/>
    <w:rsid w:val="00FF54B9"/>
    <w:rsid w:val="00FF71D9"/>
    <w:rsid w:val="00FF7B2C"/>
    <w:rsid w:val="00FF7EE1"/>
    <w:rsid w:val="011C4CE0"/>
    <w:rsid w:val="01815D11"/>
    <w:rsid w:val="018501D7"/>
    <w:rsid w:val="019976DF"/>
    <w:rsid w:val="01B97B51"/>
    <w:rsid w:val="0211605B"/>
    <w:rsid w:val="023F3C09"/>
    <w:rsid w:val="02494EAB"/>
    <w:rsid w:val="0289105B"/>
    <w:rsid w:val="03254534"/>
    <w:rsid w:val="03552817"/>
    <w:rsid w:val="037E06C9"/>
    <w:rsid w:val="03BF0E42"/>
    <w:rsid w:val="03D36888"/>
    <w:rsid w:val="03FD316C"/>
    <w:rsid w:val="0431192B"/>
    <w:rsid w:val="04805232"/>
    <w:rsid w:val="04813502"/>
    <w:rsid w:val="04BA432B"/>
    <w:rsid w:val="04DB0651"/>
    <w:rsid w:val="04E12A7C"/>
    <w:rsid w:val="055301AF"/>
    <w:rsid w:val="05966896"/>
    <w:rsid w:val="05A260BD"/>
    <w:rsid w:val="063F6C05"/>
    <w:rsid w:val="064076F6"/>
    <w:rsid w:val="06535E86"/>
    <w:rsid w:val="066F5387"/>
    <w:rsid w:val="06940870"/>
    <w:rsid w:val="0695777D"/>
    <w:rsid w:val="06E77E7D"/>
    <w:rsid w:val="073118DD"/>
    <w:rsid w:val="07467C81"/>
    <w:rsid w:val="076245A4"/>
    <w:rsid w:val="076430D9"/>
    <w:rsid w:val="080C46B4"/>
    <w:rsid w:val="081569BF"/>
    <w:rsid w:val="08171526"/>
    <w:rsid w:val="084B6CA0"/>
    <w:rsid w:val="08873BD2"/>
    <w:rsid w:val="089F1DC3"/>
    <w:rsid w:val="08AF007A"/>
    <w:rsid w:val="08DC2F7B"/>
    <w:rsid w:val="08EA64E9"/>
    <w:rsid w:val="091664EF"/>
    <w:rsid w:val="09352A8E"/>
    <w:rsid w:val="093D63DB"/>
    <w:rsid w:val="09465332"/>
    <w:rsid w:val="095247CE"/>
    <w:rsid w:val="0965010C"/>
    <w:rsid w:val="097B191A"/>
    <w:rsid w:val="097B1985"/>
    <w:rsid w:val="09E802D7"/>
    <w:rsid w:val="0A286AFD"/>
    <w:rsid w:val="0A970851"/>
    <w:rsid w:val="0A9B00BB"/>
    <w:rsid w:val="0AA819A1"/>
    <w:rsid w:val="0ACF0D68"/>
    <w:rsid w:val="0AD30B97"/>
    <w:rsid w:val="0B85103A"/>
    <w:rsid w:val="0BFE38B9"/>
    <w:rsid w:val="0C5E3BDC"/>
    <w:rsid w:val="0C96182C"/>
    <w:rsid w:val="0CDE4C19"/>
    <w:rsid w:val="0D110E48"/>
    <w:rsid w:val="0D1351A0"/>
    <w:rsid w:val="0D293496"/>
    <w:rsid w:val="0D2E1D3E"/>
    <w:rsid w:val="0D625C40"/>
    <w:rsid w:val="0D7B1395"/>
    <w:rsid w:val="0DB1640A"/>
    <w:rsid w:val="0DBC5E31"/>
    <w:rsid w:val="0E0115AB"/>
    <w:rsid w:val="0E18129F"/>
    <w:rsid w:val="0E3249F6"/>
    <w:rsid w:val="0E564DD8"/>
    <w:rsid w:val="0EAD1857"/>
    <w:rsid w:val="0EDF0664"/>
    <w:rsid w:val="0EF71239"/>
    <w:rsid w:val="0EF77148"/>
    <w:rsid w:val="0F135B12"/>
    <w:rsid w:val="0F4F33AD"/>
    <w:rsid w:val="0F762EF7"/>
    <w:rsid w:val="0FEE29F6"/>
    <w:rsid w:val="10175612"/>
    <w:rsid w:val="10205CF2"/>
    <w:rsid w:val="1040753E"/>
    <w:rsid w:val="1044379E"/>
    <w:rsid w:val="105355D0"/>
    <w:rsid w:val="10636E9B"/>
    <w:rsid w:val="106377E6"/>
    <w:rsid w:val="10985E83"/>
    <w:rsid w:val="10A12F4F"/>
    <w:rsid w:val="10AE3848"/>
    <w:rsid w:val="10C64997"/>
    <w:rsid w:val="10E92BE2"/>
    <w:rsid w:val="11494AEB"/>
    <w:rsid w:val="11BA2787"/>
    <w:rsid w:val="121976A7"/>
    <w:rsid w:val="122C3DE0"/>
    <w:rsid w:val="123B1276"/>
    <w:rsid w:val="1293633C"/>
    <w:rsid w:val="129B1E88"/>
    <w:rsid w:val="12D44875"/>
    <w:rsid w:val="12EA4D6C"/>
    <w:rsid w:val="13053966"/>
    <w:rsid w:val="132B2D0A"/>
    <w:rsid w:val="1330400B"/>
    <w:rsid w:val="136B4CAC"/>
    <w:rsid w:val="137C6268"/>
    <w:rsid w:val="137E3EE3"/>
    <w:rsid w:val="13D16840"/>
    <w:rsid w:val="14166FC1"/>
    <w:rsid w:val="14443037"/>
    <w:rsid w:val="14866E6B"/>
    <w:rsid w:val="14941452"/>
    <w:rsid w:val="14BB161A"/>
    <w:rsid w:val="15757A4B"/>
    <w:rsid w:val="15D00EEA"/>
    <w:rsid w:val="15FA0A51"/>
    <w:rsid w:val="1630715A"/>
    <w:rsid w:val="1640187C"/>
    <w:rsid w:val="16584589"/>
    <w:rsid w:val="1678174D"/>
    <w:rsid w:val="168A2ED6"/>
    <w:rsid w:val="16DB1293"/>
    <w:rsid w:val="16E25FA5"/>
    <w:rsid w:val="1718244E"/>
    <w:rsid w:val="17303631"/>
    <w:rsid w:val="1734478B"/>
    <w:rsid w:val="17472494"/>
    <w:rsid w:val="17561A66"/>
    <w:rsid w:val="17811ABB"/>
    <w:rsid w:val="17922547"/>
    <w:rsid w:val="17AC2E19"/>
    <w:rsid w:val="18231030"/>
    <w:rsid w:val="183E68A8"/>
    <w:rsid w:val="18627441"/>
    <w:rsid w:val="18891143"/>
    <w:rsid w:val="188F4B2B"/>
    <w:rsid w:val="189579A7"/>
    <w:rsid w:val="18A52931"/>
    <w:rsid w:val="18C03BCE"/>
    <w:rsid w:val="18D02C5A"/>
    <w:rsid w:val="1919451A"/>
    <w:rsid w:val="196106D6"/>
    <w:rsid w:val="197C7149"/>
    <w:rsid w:val="19981931"/>
    <w:rsid w:val="199B71C2"/>
    <w:rsid w:val="19AB3C78"/>
    <w:rsid w:val="19FD0337"/>
    <w:rsid w:val="1A0D384B"/>
    <w:rsid w:val="1A162679"/>
    <w:rsid w:val="1A25218F"/>
    <w:rsid w:val="1A2C78E7"/>
    <w:rsid w:val="1A3F0DBB"/>
    <w:rsid w:val="1A7A0AB9"/>
    <w:rsid w:val="1A8A7DAD"/>
    <w:rsid w:val="1AE946D3"/>
    <w:rsid w:val="1AFB1F43"/>
    <w:rsid w:val="1B14457A"/>
    <w:rsid w:val="1B280373"/>
    <w:rsid w:val="1BA0427D"/>
    <w:rsid w:val="1BC53862"/>
    <w:rsid w:val="1BE9654D"/>
    <w:rsid w:val="1C113C5F"/>
    <w:rsid w:val="1C232C24"/>
    <w:rsid w:val="1C492C98"/>
    <w:rsid w:val="1C4B1025"/>
    <w:rsid w:val="1C66500F"/>
    <w:rsid w:val="1C9A7EBC"/>
    <w:rsid w:val="1CA37593"/>
    <w:rsid w:val="1CB85F11"/>
    <w:rsid w:val="1CEF07CD"/>
    <w:rsid w:val="1CF10ED7"/>
    <w:rsid w:val="1D092FBF"/>
    <w:rsid w:val="1D155BB5"/>
    <w:rsid w:val="1D533FFB"/>
    <w:rsid w:val="1D6230C1"/>
    <w:rsid w:val="1DDD0716"/>
    <w:rsid w:val="1E111AF3"/>
    <w:rsid w:val="1E1F1FE0"/>
    <w:rsid w:val="1E3E49F9"/>
    <w:rsid w:val="1E6B1DA2"/>
    <w:rsid w:val="1EB02FA7"/>
    <w:rsid w:val="1EF22256"/>
    <w:rsid w:val="1F0253BA"/>
    <w:rsid w:val="1F046E55"/>
    <w:rsid w:val="1F206B53"/>
    <w:rsid w:val="1F914451"/>
    <w:rsid w:val="1F93729F"/>
    <w:rsid w:val="1FC93E8D"/>
    <w:rsid w:val="1FE81EA3"/>
    <w:rsid w:val="200C2834"/>
    <w:rsid w:val="202E69F9"/>
    <w:rsid w:val="202E7115"/>
    <w:rsid w:val="207A4F82"/>
    <w:rsid w:val="20932D84"/>
    <w:rsid w:val="20C30D1C"/>
    <w:rsid w:val="20C93B3D"/>
    <w:rsid w:val="20D919BC"/>
    <w:rsid w:val="20F609F7"/>
    <w:rsid w:val="219A56BA"/>
    <w:rsid w:val="21F74B95"/>
    <w:rsid w:val="220019DA"/>
    <w:rsid w:val="223A22C0"/>
    <w:rsid w:val="2243467D"/>
    <w:rsid w:val="227D3527"/>
    <w:rsid w:val="22AF202D"/>
    <w:rsid w:val="22EE6CE9"/>
    <w:rsid w:val="23220FA6"/>
    <w:rsid w:val="232C255C"/>
    <w:rsid w:val="238C4EC0"/>
    <w:rsid w:val="23925395"/>
    <w:rsid w:val="2392582D"/>
    <w:rsid w:val="23AF5CC1"/>
    <w:rsid w:val="23C967AF"/>
    <w:rsid w:val="23F27FE1"/>
    <w:rsid w:val="242B5315"/>
    <w:rsid w:val="2431700F"/>
    <w:rsid w:val="24971029"/>
    <w:rsid w:val="24A2595B"/>
    <w:rsid w:val="24AF068C"/>
    <w:rsid w:val="24C677EB"/>
    <w:rsid w:val="24F26C50"/>
    <w:rsid w:val="25242551"/>
    <w:rsid w:val="25347374"/>
    <w:rsid w:val="255A1483"/>
    <w:rsid w:val="255F059D"/>
    <w:rsid w:val="25792174"/>
    <w:rsid w:val="257C22AF"/>
    <w:rsid w:val="257F173A"/>
    <w:rsid w:val="25832276"/>
    <w:rsid w:val="25B55DE8"/>
    <w:rsid w:val="25D67ADA"/>
    <w:rsid w:val="25EA65B3"/>
    <w:rsid w:val="2610692C"/>
    <w:rsid w:val="261B174E"/>
    <w:rsid w:val="262D27D3"/>
    <w:rsid w:val="262E7C72"/>
    <w:rsid w:val="267A4013"/>
    <w:rsid w:val="26915BBB"/>
    <w:rsid w:val="26D2767C"/>
    <w:rsid w:val="26D56CAD"/>
    <w:rsid w:val="26E727A3"/>
    <w:rsid w:val="27220587"/>
    <w:rsid w:val="27481706"/>
    <w:rsid w:val="27722906"/>
    <w:rsid w:val="27A61F5A"/>
    <w:rsid w:val="27AC50A7"/>
    <w:rsid w:val="27D922A7"/>
    <w:rsid w:val="27F945AE"/>
    <w:rsid w:val="28222D87"/>
    <w:rsid w:val="28304560"/>
    <w:rsid w:val="285C7B2A"/>
    <w:rsid w:val="28701479"/>
    <w:rsid w:val="289B20E1"/>
    <w:rsid w:val="28F273BC"/>
    <w:rsid w:val="2A432A25"/>
    <w:rsid w:val="2A5805D0"/>
    <w:rsid w:val="2A5C5823"/>
    <w:rsid w:val="2A70086B"/>
    <w:rsid w:val="2A973BBB"/>
    <w:rsid w:val="2A975FAC"/>
    <w:rsid w:val="2ACF6EB9"/>
    <w:rsid w:val="2B0258B4"/>
    <w:rsid w:val="2B042634"/>
    <w:rsid w:val="2B382A1D"/>
    <w:rsid w:val="2B396AD4"/>
    <w:rsid w:val="2B497030"/>
    <w:rsid w:val="2B9357BD"/>
    <w:rsid w:val="2C1E3945"/>
    <w:rsid w:val="2C3B542F"/>
    <w:rsid w:val="2C581EBD"/>
    <w:rsid w:val="2C7F509F"/>
    <w:rsid w:val="2CBF362E"/>
    <w:rsid w:val="2CD1227C"/>
    <w:rsid w:val="2CE72EDA"/>
    <w:rsid w:val="2CEB7CC9"/>
    <w:rsid w:val="2CFC6FBE"/>
    <w:rsid w:val="2D1D6B90"/>
    <w:rsid w:val="2D3D3E01"/>
    <w:rsid w:val="2D50045D"/>
    <w:rsid w:val="2DB11BEF"/>
    <w:rsid w:val="2DB2388D"/>
    <w:rsid w:val="2DCB2313"/>
    <w:rsid w:val="2DE469B4"/>
    <w:rsid w:val="2E1F5A81"/>
    <w:rsid w:val="2E7B08FC"/>
    <w:rsid w:val="2E8E3679"/>
    <w:rsid w:val="2E9059D0"/>
    <w:rsid w:val="2E9544A9"/>
    <w:rsid w:val="2EE5408B"/>
    <w:rsid w:val="2EF9635C"/>
    <w:rsid w:val="2F010B99"/>
    <w:rsid w:val="2F576692"/>
    <w:rsid w:val="2F7D31DD"/>
    <w:rsid w:val="2F841A36"/>
    <w:rsid w:val="2FBB2639"/>
    <w:rsid w:val="2FC62DA8"/>
    <w:rsid w:val="2FD20C7E"/>
    <w:rsid w:val="2FDC4032"/>
    <w:rsid w:val="301A50D0"/>
    <w:rsid w:val="301D7B02"/>
    <w:rsid w:val="302B7D44"/>
    <w:rsid w:val="304A65C1"/>
    <w:rsid w:val="304B29A0"/>
    <w:rsid w:val="30503A16"/>
    <w:rsid w:val="308E3922"/>
    <w:rsid w:val="309A6261"/>
    <w:rsid w:val="30CA46DB"/>
    <w:rsid w:val="30CC72F2"/>
    <w:rsid w:val="312E25D8"/>
    <w:rsid w:val="3150022B"/>
    <w:rsid w:val="315D4FD3"/>
    <w:rsid w:val="318F3C7B"/>
    <w:rsid w:val="31A10B0D"/>
    <w:rsid w:val="31A51CA3"/>
    <w:rsid w:val="31B0692E"/>
    <w:rsid w:val="31CB2FC8"/>
    <w:rsid w:val="31DC44BA"/>
    <w:rsid w:val="31EC2F41"/>
    <w:rsid w:val="32043729"/>
    <w:rsid w:val="322E70C9"/>
    <w:rsid w:val="3253482F"/>
    <w:rsid w:val="32706E09"/>
    <w:rsid w:val="32B50B05"/>
    <w:rsid w:val="32B653B6"/>
    <w:rsid w:val="3300748F"/>
    <w:rsid w:val="3319479D"/>
    <w:rsid w:val="3339402F"/>
    <w:rsid w:val="334E339F"/>
    <w:rsid w:val="33686885"/>
    <w:rsid w:val="337B30B5"/>
    <w:rsid w:val="338107BF"/>
    <w:rsid w:val="33B34B5D"/>
    <w:rsid w:val="33D804B0"/>
    <w:rsid w:val="342D7516"/>
    <w:rsid w:val="343E2C24"/>
    <w:rsid w:val="34667B13"/>
    <w:rsid w:val="348E71A3"/>
    <w:rsid w:val="349464F6"/>
    <w:rsid w:val="34C61EB9"/>
    <w:rsid w:val="34EF721B"/>
    <w:rsid w:val="34FE4132"/>
    <w:rsid w:val="35313F9C"/>
    <w:rsid w:val="35354863"/>
    <w:rsid w:val="35370332"/>
    <w:rsid w:val="358647D1"/>
    <w:rsid w:val="358A38F4"/>
    <w:rsid w:val="35B84885"/>
    <w:rsid w:val="36044203"/>
    <w:rsid w:val="361B12C6"/>
    <w:rsid w:val="3672604E"/>
    <w:rsid w:val="36755480"/>
    <w:rsid w:val="36861A81"/>
    <w:rsid w:val="36AB18EF"/>
    <w:rsid w:val="36E02BB1"/>
    <w:rsid w:val="36F46CB4"/>
    <w:rsid w:val="36FA207E"/>
    <w:rsid w:val="3751733A"/>
    <w:rsid w:val="37E41CE7"/>
    <w:rsid w:val="380A1A69"/>
    <w:rsid w:val="380C7580"/>
    <w:rsid w:val="38114C66"/>
    <w:rsid w:val="38201DF1"/>
    <w:rsid w:val="389922EE"/>
    <w:rsid w:val="38A75503"/>
    <w:rsid w:val="38D3005C"/>
    <w:rsid w:val="38E4732A"/>
    <w:rsid w:val="38FB761B"/>
    <w:rsid w:val="39042F32"/>
    <w:rsid w:val="39C15473"/>
    <w:rsid w:val="39F10A33"/>
    <w:rsid w:val="3A1C104D"/>
    <w:rsid w:val="3A6A4418"/>
    <w:rsid w:val="3A8252B8"/>
    <w:rsid w:val="3A8F451A"/>
    <w:rsid w:val="3AA95E95"/>
    <w:rsid w:val="3ABD3C15"/>
    <w:rsid w:val="3AEA5509"/>
    <w:rsid w:val="3B105229"/>
    <w:rsid w:val="3B317355"/>
    <w:rsid w:val="3B521AD8"/>
    <w:rsid w:val="3B7E0429"/>
    <w:rsid w:val="3BB3089B"/>
    <w:rsid w:val="3BCF48EB"/>
    <w:rsid w:val="3BE276A0"/>
    <w:rsid w:val="3C7D6F4F"/>
    <w:rsid w:val="3CA80765"/>
    <w:rsid w:val="3CFE5F5D"/>
    <w:rsid w:val="3D15068B"/>
    <w:rsid w:val="3DC36807"/>
    <w:rsid w:val="3DCA3D00"/>
    <w:rsid w:val="3DDA6A92"/>
    <w:rsid w:val="3E3A79FE"/>
    <w:rsid w:val="3E4E2B2A"/>
    <w:rsid w:val="3E503C9C"/>
    <w:rsid w:val="3E681673"/>
    <w:rsid w:val="3EB167F8"/>
    <w:rsid w:val="3F2563AD"/>
    <w:rsid w:val="3F307C8A"/>
    <w:rsid w:val="3F944B70"/>
    <w:rsid w:val="3F9A134C"/>
    <w:rsid w:val="3FFA1080"/>
    <w:rsid w:val="40122870"/>
    <w:rsid w:val="40190C81"/>
    <w:rsid w:val="40563910"/>
    <w:rsid w:val="40563F28"/>
    <w:rsid w:val="409067C7"/>
    <w:rsid w:val="409B60FD"/>
    <w:rsid w:val="409C654A"/>
    <w:rsid w:val="41427788"/>
    <w:rsid w:val="41580950"/>
    <w:rsid w:val="41824001"/>
    <w:rsid w:val="41D54DB1"/>
    <w:rsid w:val="41FB5B1A"/>
    <w:rsid w:val="42193DD3"/>
    <w:rsid w:val="422B7AF9"/>
    <w:rsid w:val="4385024B"/>
    <w:rsid w:val="43C87AB4"/>
    <w:rsid w:val="442A2AAB"/>
    <w:rsid w:val="44867AD4"/>
    <w:rsid w:val="44C10726"/>
    <w:rsid w:val="44C30BAE"/>
    <w:rsid w:val="44EE1426"/>
    <w:rsid w:val="452E5D88"/>
    <w:rsid w:val="45333A05"/>
    <w:rsid w:val="45551E9B"/>
    <w:rsid w:val="4581216E"/>
    <w:rsid w:val="461F4D66"/>
    <w:rsid w:val="46BA09DE"/>
    <w:rsid w:val="47132DCC"/>
    <w:rsid w:val="472612A1"/>
    <w:rsid w:val="47422F5B"/>
    <w:rsid w:val="475B1027"/>
    <w:rsid w:val="47783DE6"/>
    <w:rsid w:val="47973DF8"/>
    <w:rsid w:val="47C71D2E"/>
    <w:rsid w:val="480D03EB"/>
    <w:rsid w:val="48D83B2D"/>
    <w:rsid w:val="48F41599"/>
    <w:rsid w:val="49402646"/>
    <w:rsid w:val="49584D91"/>
    <w:rsid w:val="499B48DE"/>
    <w:rsid w:val="4A0623E8"/>
    <w:rsid w:val="4A107D83"/>
    <w:rsid w:val="4A4B636D"/>
    <w:rsid w:val="4A586703"/>
    <w:rsid w:val="4A9B4293"/>
    <w:rsid w:val="4AC5320F"/>
    <w:rsid w:val="4ADC0A64"/>
    <w:rsid w:val="4AF42035"/>
    <w:rsid w:val="4B2A483E"/>
    <w:rsid w:val="4B5D6832"/>
    <w:rsid w:val="4BA55F9D"/>
    <w:rsid w:val="4BC62575"/>
    <w:rsid w:val="4C89775B"/>
    <w:rsid w:val="4CE53991"/>
    <w:rsid w:val="4CE66A36"/>
    <w:rsid w:val="4DA55DD0"/>
    <w:rsid w:val="4DA91DD3"/>
    <w:rsid w:val="4DD76B06"/>
    <w:rsid w:val="4E0B7FB7"/>
    <w:rsid w:val="4E1277B0"/>
    <w:rsid w:val="4E346130"/>
    <w:rsid w:val="4E4C5979"/>
    <w:rsid w:val="4E7C2084"/>
    <w:rsid w:val="4EA423EB"/>
    <w:rsid w:val="4EAA39B4"/>
    <w:rsid w:val="4EAC658E"/>
    <w:rsid w:val="4EEE3732"/>
    <w:rsid w:val="4EF857D6"/>
    <w:rsid w:val="4EF90C97"/>
    <w:rsid w:val="4F006D97"/>
    <w:rsid w:val="4F480F7A"/>
    <w:rsid w:val="4FB918E2"/>
    <w:rsid w:val="4FC7008D"/>
    <w:rsid w:val="4FE55FC4"/>
    <w:rsid w:val="5022482D"/>
    <w:rsid w:val="50352445"/>
    <w:rsid w:val="503F7ACE"/>
    <w:rsid w:val="50422D17"/>
    <w:rsid w:val="50731C3A"/>
    <w:rsid w:val="5082091A"/>
    <w:rsid w:val="50845EB0"/>
    <w:rsid w:val="50B84CEF"/>
    <w:rsid w:val="50BE4C2D"/>
    <w:rsid w:val="50D13482"/>
    <w:rsid w:val="50DA7B7A"/>
    <w:rsid w:val="50F659F1"/>
    <w:rsid w:val="511E11A7"/>
    <w:rsid w:val="51680B2D"/>
    <w:rsid w:val="518D3C2F"/>
    <w:rsid w:val="51A8385F"/>
    <w:rsid w:val="51CB3C1B"/>
    <w:rsid w:val="51E47051"/>
    <w:rsid w:val="521722E0"/>
    <w:rsid w:val="52385975"/>
    <w:rsid w:val="526458A5"/>
    <w:rsid w:val="528F2955"/>
    <w:rsid w:val="531113D4"/>
    <w:rsid w:val="531311BD"/>
    <w:rsid w:val="532D0747"/>
    <w:rsid w:val="537327A6"/>
    <w:rsid w:val="53801E4F"/>
    <w:rsid w:val="539F63E5"/>
    <w:rsid w:val="53A81F6C"/>
    <w:rsid w:val="53B7187A"/>
    <w:rsid w:val="54171639"/>
    <w:rsid w:val="54743C06"/>
    <w:rsid w:val="54F7546D"/>
    <w:rsid w:val="5570404A"/>
    <w:rsid w:val="558B17B1"/>
    <w:rsid w:val="55C27C38"/>
    <w:rsid w:val="55CF3F93"/>
    <w:rsid w:val="55D30095"/>
    <w:rsid w:val="55E06F25"/>
    <w:rsid w:val="560627D8"/>
    <w:rsid w:val="56377721"/>
    <w:rsid w:val="563E61A5"/>
    <w:rsid w:val="56615890"/>
    <w:rsid w:val="56C11AF3"/>
    <w:rsid w:val="5711240F"/>
    <w:rsid w:val="572C0070"/>
    <w:rsid w:val="573751BE"/>
    <w:rsid w:val="576676C4"/>
    <w:rsid w:val="57741183"/>
    <w:rsid w:val="57987837"/>
    <w:rsid w:val="57A402EF"/>
    <w:rsid w:val="57BF3107"/>
    <w:rsid w:val="57DB271C"/>
    <w:rsid w:val="5820648D"/>
    <w:rsid w:val="583579A6"/>
    <w:rsid w:val="58637D8E"/>
    <w:rsid w:val="586E483B"/>
    <w:rsid w:val="58C82AB4"/>
    <w:rsid w:val="59132A78"/>
    <w:rsid w:val="59483892"/>
    <w:rsid w:val="59786D98"/>
    <w:rsid w:val="59AC2DD5"/>
    <w:rsid w:val="59B3287C"/>
    <w:rsid w:val="59C717FE"/>
    <w:rsid w:val="59DC3E18"/>
    <w:rsid w:val="59E268D4"/>
    <w:rsid w:val="59E65452"/>
    <w:rsid w:val="5A663081"/>
    <w:rsid w:val="5A857729"/>
    <w:rsid w:val="5AA62387"/>
    <w:rsid w:val="5AB839DF"/>
    <w:rsid w:val="5B0214E4"/>
    <w:rsid w:val="5B2315B3"/>
    <w:rsid w:val="5BC921D4"/>
    <w:rsid w:val="5C0D09E5"/>
    <w:rsid w:val="5C1D49CE"/>
    <w:rsid w:val="5C3F5881"/>
    <w:rsid w:val="5C4127FF"/>
    <w:rsid w:val="5C51666F"/>
    <w:rsid w:val="5C6824DE"/>
    <w:rsid w:val="5C8F3CBF"/>
    <w:rsid w:val="5CA70749"/>
    <w:rsid w:val="5CB670CD"/>
    <w:rsid w:val="5D005646"/>
    <w:rsid w:val="5D355346"/>
    <w:rsid w:val="5D455DD6"/>
    <w:rsid w:val="5D5C3B7F"/>
    <w:rsid w:val="5D5D1D9C"/>
    <w:rsid w:val="5D86327D"/>
    <w:rsid w:val="5D8F5CF3"/>
    <w:rsid w:val="5DA41116"/>
    <w:rsid w:val="5DA41811"/>
    <w:rsid w:val="5DAD705C"/>
    <w:rsid w:val="5DFC52C0"/>
    <w:rsid w:val="5E1D79D5"/>
    <w:rsid w:val="5E263845"/>
    <w:rsid w:val="5E303F03"/>
    <w:rsid w:val="5E3B6B77"/>
    <w:rsid w:val="5EDC09D0"/>
    <w:rsid w:val="5F11293C"/>
    <w:rsid w:val="5F352513"/>
    <w:rsid w:val="5F667B53"/>
    <w:rsid w:val="5FC768FF"/>
    <w:rsid w:val="5FED1035"/>
    <w:rsid w:val="604B3B4F"/>
    <w:rsid w:val="604C4C33"/>
    <w:rsid w:val="604C7CBE"/>
    <w:rsid w:val="605B1A8E"/>
    <w:rsid w:val="60924BA4"/>
    <w:rsid w:val="61386184"/>
    <w:rsid w:val="61513185"/>
    <w:rsid w:val="617A4B5C"/>
    <w:rsid w:val="61DC1174"/>
    <w:rsid w:val="62033C52"/>
    <w:rsid w:val="620E367A"/>
    <w:rsid w:val="62450503"/>
    <w:rsid w:val="62580B9F"/>
    <w:rsid w:val="627F1628"/>
    <w:rsid w:val="62861BE8"/>
    <w:rsid w:val="62BD667F"/>
    <w:rsid w:val="62DF3EC6"/>
    <w:rsid w:val="62F7046B"/>
    <w:rsid w:val="62FE3160"/>
    <w:rsid w:val="62FF09BD"/>
    <w:rsid w:val="63240741"/>
    <w:rsid w:val="633A5414"/>
    <w:rsid w:val="63EE5729"/>
    <w:rsid w:val="640229B7"/>
    <w:rsid w:val="64076D91"/>
    <w:rsid w:val="64325FAA"/>
    <w:rsid w:val="643805DD"/>
    <w:rsid w:val="64793419"/>
    <w:rsid w:val="64A07383"/>
    <w:rsid w:val="64ED3277"/>
    <w:rsid w:val="6509742B"/>
    <w:rsid w:val="65255D2C"/>
    <w:rsid w:val="653E72CE"/>
    <w:rsid w:val="657274B0"/>
    <w:rsid w:val="65E222EB"/>
    <w:rsid w:val="660507CF"/>
    <w:rsid w:val="660B2763"/>
    <w:rsid w:val="663463E2"/>
    <w:rsid w:val="66670E41"/>
    <w:rsid w:val="66AC114F"/>
    <w:rsid w:val="67042F1C"/>
    <w:rsid w:val="67137813"/>
    <w:rsid w:val="671C6F7E"/>
    <w:rsid w:val="673A1AB6"/>
    <w:rsid w:val="67736F69"/>
    <w:rsid w:val="67E07A3D"/>
    <w:rsid w:val="67ED3405"/>
    <w:rsid w:val="683D4176"/>
    <w:rsid w:val="684B4803"/>
    <w:rsid w:val="688007EE"/>
    <w:rsid w:val="6880789D"/>
    <w:rsid w:val="689D2BCD"/>
    <w:rsid w:val="68A80D82"/>
    <w:rsid w:val="68B14215"/>
    <w:rsid w:val="68B66794"/>
    <w:rsid w:val="691130C1"/>
    <w:rsid w:val="69200D44"/>
    <w:rsid w:val="69504E29"/>
    <w:rsid w:val="69660969"/>
    <w:rsid w:val="69925135"/>
    <w:rsid w:val="699500AE"/>
    <w:rsid w:val="699B6865"/>
    <w:rsid w:val="69D958BF"/>
    <w:rsid w:val="69F60A7E"/>
    <w:rsid w:val="6A0A63F4"/>
    <w:rsid w:val="6A29568D"/>
    <w:rsid w:val="6A444F44"/>
    <w:rsid w:val="6A807B52"/>
    <w:rsid w:val="6AAF6B3C"/>
    <w:rsid w:val="6AC104C9"/>
    <w:rsid w:val="6AE0714C"/>
    <w:rsid w:val="6AF659B8"/>
    <w:rsid w:val="6B12145E"/>
    <w:rsid w:val="6B277F81"/>
    <w:rsid w:val="6B4553EE"/>
    <w:rsid w:val="6B6041A6"/>
    <w:rsid w:val="6BE02E5F"/>
    <w:rsid w:val="6C621A3B"/>
    <w:rsid w:val="6C6E7375"/>
    <w:rsid w:val="6C881035"/>
    <w:rsid w:val="6C8E0523"/>
    <w:rsid w:val="6CA66381"/>
    <w:rsid w:val="6CAA1191"/>
    <w:rsid w:val="6CAC1953"/>
    <w:rsid w:val="6CB07A5E"/>
    <w:rsid w:val="6CB82968"/>
    <w:rsid w:val="6D2938FC"/>
    <w:rsid w:val="6D560F49"/>
    <w:rsid w:val="6D9F6C9E"/>
    <w:rsid w:val="6E027DAF"/>
    <w:rsid w:val="6E4A14CE"/>
    <w:rsid w:val="6E535D18"/>
    <w:rsid w:val="6E784F9E"/>
    <w:rsid w:val="6E87224F"/>
    <w:rsid w:val="6EAE25EB"/>
    <w:rsid w:val="6ED25F21"/>
    <w:rsid w:val="6ED854A5"/>
    <w:rsid w:val="6EE164ED"/>
    <w:rsid w:val="6EFF6107"/>
    <w:rsid w:val="6F281788"/>
    <w:rsid w:val="6F2A7484"/>
    <w:rsid w:val="6F401571"/>
    <w:rsid w:val="6F8B0D26"/>
    <w:rsid w:val="6FA209AA"/>
    <w:rsid w:val="6FE024EA"/>
    <w:rsid w:val="70557428"/>
    <w:rsid w:val="70D07AB4"/>
    <w:rsid w:val="71481E25"/>
    <w:rsid w:val="714F0A43"/>
    <w:rsid w:val="716437C9"/>
    <w:rsid w:val="716925ED"/>
    <w:rsid w:val="71D972F7"/>
    <w:rsid w:val="72134882"/>
    <w:rsid w:val="721440E8"/>
    <w:rsid w:val="72D514F7"/>
    <w:rsid w:val="730F7A62"/>
    <w:rsid w:val="732E1F2B"/>
    <w:rsid w:val="735B3497"/>
    <w:rsid w:val="73C43C3D"/>
    <w:rsid w:val="73D32CDD"/>
    <w:rsid w:val="73E60902"/>
    <w:rsid w:val="74531068"/>
    <w:rsid w:val="748C1266"/>
    <w:rsid w:val="74917E3D"/>
    <w:rsid w:val="74D65307"/>
    <w:rsid w:val="74D6608D"/>
    <w:rsid w:val="74F75691"/>
    <w:rsid w:val="752B17C0"/>
    <w:rsid w:val="75437485"/>
    <w:rsid w:val="759B2239"/>
    <w:rsid w:val="75B52D28"/>
    <w:rsid w:val="761A65A0"/>
    <w:rsid w:val="7621477C"/>
    <w:rsid w:val="76307CE4"/>
    <w:rsid w:val="76426500"/>
    <w:rsid w:val="76685121"/>
    <w:rsid w:val="767A0272"/>
    <w:rsid w:val="76AB6032"/>
    <w:rsid w:val="77225253"/>
    <w:rsid w:val="7744200E"/>
    <w:rsid w:val="77480C2D"/>
    <w:rsid w:val="778E2879"/>
    <w:rsid w:val="779E04D0"/>
    <w:rsid w:val="77DA2F50"/>
    <w:rsid w:val="77F7148B"/>
    <w:rsid w:val="7811755F"/>
    <w:rsid w:val="783D7F8D"/>
    <w:rsid w:val="78576C29"/>
    <w:rsid w:val="786431E9"/>
    <w:rsid w:val="78BD3097"/>
    <w:rsid w:val="78E514BF"/>
    <w:rsid w:val="7925792C"/>
    <w:rsid w:val="79262D3D"/>
    <w:rsid w:val="792857C4"/>
    <w:rsid w:val="792F35E5"/>
    <w:rsid w:val="79D21F00"/>
    <w:rsid w:val="79D3665E"/>
    <w:rsid w:val="7A155A95"/>
    <w:rsid w:val="7A296B84"/>
    <w:rsid w:val="7A3012C6"/>
    <w:rsid w:val="7A4F4045"/>
    <w:rsid w:val="7A6452EE"/>
    <w:rsid w:val="7A9C1191"/>
    <w:rsid w:val="7AA66F71"/>
    <w:rsid w:val="7ACB4A94"/>
    <w:rsid w:val="7AE65A86"/>
    <w:rsid w:val="7AFE2C3C"/>
    <w:rsid w:val="7B006599"/>
    <w:rsid w:val="7B301E3F"/>
    <w:rsid w:val="7B4F46E2"/>
    <w:rsid w:val="7B733713"/>
    <w:rsid w:val="7B9F3CEC"/>
    <w:rsid w:val="7BAA5A1F"/>
    <w:rsid w:val="7BD13B29"/>
    <w:rsid w:val="7BEC2350"/>
    <w:rsid w:val="7C0E7C51"/>
    <w:rsid w:val="7C4D1C08"/>
    <w:rsid w:val="7C8619E3"/>
    <w:rsid w:val="7C895230"/>
    <w:rsid w:val="7D0459C6"/>
    <w:rsid w:val="7D1B3D2D"/>
    <w:rsid w:val="7D2155E0"/>
    <w:rsid w:val="7D383A33"/>
    <w:rsid w:val="7D50592E"/>
    <w:rsid w:val="7D8E2B19"/>
    <w:rsid w:val="7DB62F24"/>
    <w:rsid w:val="7E182FC5"/>
    <w:rsid w:val="7E234C22"/>
    <w:rsid w:val="7E3B666D"/>
    <w:rsid w:val="7E7B587C"/>
    <w:rsid w:val="7EE42C8C"/>
    <w:rsid w:val="7EF7588D"/>
    <w:rsid w:val="7F47793B"/>
    <w:rsid w:val="7F543252"/>
    <w:rsid w:val="7F5B707B"/>
    <w:rsid w:val="7FA728CA"/>
    <w:rsid w:val="7FE77D36"/>
    <w:rsid w:val="7FF6606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qFormat="1" w:unhideWhenUsed="0" w:uiPriority="99" w:semiHidden="0"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qFormat="1" w:unhideWhenUsed="0" w:uiPriority="99" w:semiHidden="0" w:name="footnote reference"/>
    <w:lsdException w:qFormat="1" w:unhideWhenUsed="0" w:uiPriority="99" w:semiHidden="0" w:name="annotation reference"/>
    <w:lsdException w:uiPriority="99" w:name="line number" w:locked="1"/>
    <w:lsdException w:qFormat="1" w:unhideWhenUsed="0" w:uiPriority="0"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sdException w:uiPriority="99" w:name="Closing" w:locked="1"/>
    <w:lsdException w:uiPriority="99" w:name="Signature" w:locked="1"/>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0" w:semiHidden="0" w:name="Date"/>
    <w:lsdException w:uiPriority="99" w:name="Body Text First Indent" w:locked="1"/>
    <w:lsdException w:qFormat="1" w:unhideWhenUsed="0" w:uiPriority="99" w:semiHidden="0" w:name="Body Text First Indent 2"/>
    <w:lsdException w:uiPriority="99" w:name="Note Heading" w:locked="1"/>
    <w:lsdException w:qFormat="1"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name="FollowedHyperlink" w:locked="1"/>
    <w:lsdException w:qFormat="1" w:unhideWhenUsed="0" w:uiPriority="0" w:semiHidden="0" w:name="Strong"/>
    <w:lsdException w:qFormat="1" w:unhideWhenUsed="0" w:uiPriority="99" w:semiHidden="0" w:name="Emphasis"/>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39" w:semiHidden="0" w:name="Table Grid"/>
    <w:lsdException w:uiPriority="99" w:name="Table Theme" w:locked="1"/>
    <w:lsdException w:qFormat="1" w:unhideWhenUsed="0" w:uiPriority="99" w:name="Placeholder Text"/>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等线"/>
      <w:kern w:val="2"/>
      <w:sz w:val="21"/>
      <w:szCs w:val="21"/>
      <w:lang w:val="en-US" w:eastAsia="zh-CN" w:bidi="ar-SA"/>
    </w:rPr>
  </w:style>
  <w:style w:type="paragraph" w:styleId="2">
    <w:name w:val="heading 1"/>
    <w:basedOn w:val="1"/>
    <w:next w:val="1"/>
    <w:link w:val="49"/>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50"/>
    <w:qFormat/>
    <w:uiPriority w:val="99"/>
    <w:pPr>
      <w:keepNext/>
      <w:keepLines/>
      <w:spacing w:before="260" w:after="260" w:line="416" w:lineRule="auto"/>
      <w:outlineLvl w:val="1"/>
    </w:pPr>
    <w:rPr>
      <w:rFonts w:ascii="等线 Light" w:hAnsi="等线 Light" w:eastAsia="等线 Light" w:cs="等线 Light"/>
      <w:b/>
      <w:bCs/>
      <w:kern w:val="0"/>
      <w:sz w:val="32"/>
      <w:szCs w:val="32"/>
    </w:rPr>
  </w:style>
  <w:style w:type="paragraph" w:styleId="4">
    <w:name w:val="heading 3"/>
    <w:basedOn w:val="1"/>
    <w:next w:val="1"/>
    <w:link w:val="51"/>
    <w:qFormat/>
    <w:uiPriority w:val="99"/>
    <w:pPr>
      <w:keepNext/>
      <w:keepLines/>
      <w:spacing w:before="260" w:after="260" w:line="416" w:lineRule="auto"/>
      <w:outlineLvl w:val="2"/>
    </w:pPr>
    <w:rPr>
      <w:rFonts w:ascii="Times New Roman" w:hAnsi="Times New Roman" w:eastAsia="宋体" w:cs="Times New Roman"/>
      <w:b/>
      <w:bCs/>
      <w:kern w:val="0"/>
      <w:sz w:val="32"/>
      <w:szCs w:val="32"/>
    </w:rPr>
  </w:style>
  <w:style w:type="paragraph" w:styleId="5">
    <w:name w:val="heading 4"/>
    <w:basedOn w:val="1"/>
    <w:next w:val="1"/>
    <w:link w:val="52"/>
    <w:qFormat/>
    <w:uiPriority w:val="99"/>
    <w:pPr>
      <w:keepNext/>
      <w:keepLines/>
      <w:spacing w:before="280" w:after="290" w:line="376" w:lineRule="auto"/>
      <w:outlineLvl w:val="3"/>
    </w:pPr>
    <w:rPr>
      <w:rFonts w:ascii="等线 Light" w:hAnsi="等线 Light" w:eastAsia="等线 Light" w:cs="等线 Light"/>
      <w:b/>
      <w:bCs/>
      <w:kern w:val="0"/>
      <w:sz w:val="28"/>
      <w:szCs w:val="28"/>
    </w:rPr>
  </w:style>
  <w:style w:type="paragraph" w:styleId="6">
    <w:name w:val="heading 5"/>
    <w:basedOn w:val="1"/>
    <w:next w:val="1"/>
    <w:link w:val="53"/>
    <w:autoRedefine/>
    <w:qFormat/>
    <w:uiPriority w:val="99"/>
    <w:pPr>
      <w:keepNext/>
      <w:keepLines/>
      <w:spacing w:before="280" w:after="290" w:line="372" w:lineRule="auto"/>
      <w:outlineLvl w:val="4"/>
    </w:pPr>
    <w:rPr>
      <w:rFonts w:ascii="Calibri" w:hAnsi="Calibri" w:eastAsia="宋体" w:cs="Calibri"/>
      <w:b/>
      <w:bCs/>
      <w:kern w:val="0"/>
      <w:sz w:val="28"/>
      <w:szCs w:val="28"/>
    </w:rPr>
  </w:style>
  <w:style w:type="paragraph" w:styleId="7">
    <w:name w:val="heading 6"/>
    <w:basedOn w:val="1"/>
    <w:next w:val="1"/>
    <w:link w:val="54"/>
    <w:qFormat/>
    <w:uiPriority w:val="99"/>
    <w:pPr>
      <w:keepNext/>
      <w:keepLines/>
      <w:spacing w:before="240" w:after="64" w:line="317" w:lineRule="auto"/>
      <w:outlineLvl w:val="5"/>
    </w:pPr>
    <w:rPr>
      <w:rFonts w:ascii="Cambria" w:hAnsi="Cambria" w:eastAsia="宋体" w:cs="Cambria"/>
      <w:b/>
      <w:bCs/>
      <w:kern w:val="0"/>
      <w:sz w:val="24"/>
      <w:szCs w:val="24"/>
    </w:rPr>
  </w:style>
  <w:style w:type="paragraph" w:styleId="8">
    <w:name w:val="heading 7"/>
    <w:basedOn w:val="1"/>
    <w:next w:val="1"/>
    <w:link w:val="55"/>
    <w:autoRedefine/>
    <w:qFormat/>
    <w:uiPriority w:val="99"/>
    <w:pPr>
      <w:keepNext/>
      <w:keepLines/>
      <w:spacing w:before="240" w:after="64" w:line="317" w:lineRule="auto"/>
      <w:outlineLvl w:val="6"/>
    </w:pPr>
    <w:rPr>
      <w:rFonts w:ascii="Calibri" w:hAnsi="Calibri" w:eastAsia="宋体" w:cs="Calibri"/>
      <w:b/>
      <w:bCs/>
      <w:kern w:val="0"/>
      <w:sz w:val="24"/>
      <w:szCs w:val="24"/>
    </w:rPr>
  </w:style>
  <w:style w:type="paragraph" w:styleId="9">
    <w:name w:val="heading 8"/>
    <w:basedOn w:val="1"/>
    <w:next w:val="1"/>
    <w:link w:val="56"/>
    <w:autoRedefine/>
    <w:qFormat/>
    <w:uiPriority w:val="99"/>
    <w:pPr>
      <w:keepNext/>
      <w:keepLines/>
      <w:spacing w:before="240" w:after="64" w:line="317" w:lineRule="auto"/>
      <w:outlineLvl w:val="7"/>
    </w:pPr>
    <w:rPr>
      <w:rFonts w:ascii="Cambria" w:hAnsi="Cambria" w:eastAsia="宋体" w:cs="Cambria"/>
      <w:kern w:val="0"/>
      <w:sz w:val="24"/>
      <w:szCs w:val="24"/>
    </w:rPr>
  </w:style>
  <w:style w:type="paragraph" w:styleId="10">
    <w:name w:val="heading 9"/>
    <w:basedOn w:val="1"/>
    <w:next w:val="1"/>
    <w:link w:val="57"/>
    <w:qFormat/>
    <w:uiPriority w:val="99"/>
    <w:pPr>
      <w:keepNext/>
      <w:keepLines/>
      <w:spacing w:before="240" w:after="64" w:line="317" w:lineRule="auto"/>
      <w:outlineLvl w:val="8"/>
    </w:pPr>
    <w:rPr>
      <w:rFonts w:ascii="Cambria" w:hAnsi="Cambria" w:eastAsia="宋体" w:cs="Cambria"/>
      <w:kern w:val="0"/>
      <w:sz w:val="20"/>
      <w:szCs w:val="20"/>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Normal Indent"/>
    <w:basedOn w:val="1"/>
    <w:qFormat/>
    <w:uiPriority w:val="0"/>
    <w:pPr>
      <w:adjustRightInd w:val="0"/>
      <w:spacing w:line="360" w:lineRule="atLeast"/>
      <w:ind w:firstLine="482"/>
      <w:textAlignment w:val="baseline"/>
    </w:pPr>
    <w:rPr>
      <w:rFonts w:ascii="Times New Roman" w:hAnsi="Times New Roman" w:eastAsia="宋体" w:cs="Times New Roman"/>
      <w:kern w:val="0"/>
      <w:sz w:val="24"/>
      <w:szCs w:val="24"/>
    </w:rPr>
  </w:style>
  <w:style w:type="paragraph" w:styleId="13">
    <w:name w:val="caption"/>
    <w:basedOn w:val="1"/>
    <w:next w:val="1"/>
    <w:autoRedefine/>
    <w:qFormat/>
    <w:uiPriority w:val="99"/>
    <w:rPr>
      <w:rFonts w:ascii="Cambria" w:hAnsi="Cambria" w:eastAsia="黑体" w:cs="Cambria"/>
      <w:sz w:val="20"/>
      <w:szCs w:val="20"/>
    </w:rPr>
  </w:style>
  <w:style w:type="paragraph" w:styleId="14">
    <w:name w:val="Document Map"/>
    <w:basedOn w:val="1"/>
    <w:link w:val="58"/>
    <w:autoRedefine/>
    <w:qFormat/>
    <w:uiPriority w:val="99"/>
    <w:pPr>
      <w:shd w:val="clear" w:color="auto" w:fill="000080"/>
    </w:pPr>
    <w:rPr>
      <w:rFonts w:ascii="Times New Roman" w:hAnsi="Times New Roman" w:eastAsia="宋体" w:cs="Times New Roman"/>
      <w:kern w:val="0"/>
      <w:sz w:val="20"/>
      <w:szCs w:val="20"/>
      <w:shd w:val="clear" w:color="auto" w:fill="000080"/>
    </w:rPr>
  </w:style>
  <w:style w:type="paragraph" w:styleId="15">
    <w:name w:val="annotation text"/>
    <w:basedOn w:val="1"/>
    <w:link w:val="59"/>
    <w:qFormat/>
    <w:uiPriority w:val="99"/>
    <w:pPr>
      <w:jc w:val="left"/>
    </w:pPr>
  </w:style>
  <w:style w:type="paragraph" w:styleId="16">
    <w:name w:val="Body Text"/>
    <w:basedOn w:val="1"/>
    <w:next w:val="1"/>
    <w:link w:val="60"/>
    <w:qFormat/>
    <w:uiPriority w:val="0"/>
    <w:pPr>
      <w:adjustRightInd w:val="0"/>
      <w:spacing w:after="60" w:line="360" w:lineRule="atLeast"/>
      <w:ind w:left="72" w:leftChars="30" w:right="30" w:rightChars="30"/>
      <w:jc w:val="center"/>
      <w:textAlignment w:val="baseline"/>
    </w:pPr>
    <w:rPr>
      <w:rFonts w:ascii="Times New Roman" w:hAnsi="Times New Roman" w:eastAsia="宋体" w:cs="Times New Roman"/>
      <w:kern w:val="0"/>
      <w:sz w:val="20"/>
      <w:szCs w:val="20"/>
    </w:rPr>
  </w:style>
  <w:style w:type="paragraph" w:styleId="17">
    <w:name w:val="Body Text Indent"/>
    <w:basedOn w:val="1"/>
    <w:link w:val="61"/>
    <w:autoRedefine/>
    <w:qFormat/>
    <w:uiPriority w:val="99"/>
    <w:pPr>
      <w:spacing w:after="120"/>
      <w:ind w:left="420" w:leftChars="200"/>
    </w:pPr>
    <w:rPr>
      <w:rFonts w:ascii="Times New Roman" w:hAnsi="Times New Roman" w:eastAsia="宋体" w:cs="Times New Roman"/>
    </w:rPr>
  </w:style>
  <w:style w:type="paragraph" w:styleId="18">
    <w:name w:val="index 4"/>
    <w:basedOn w:val="1"/>
    <w:next w:val="1"/>
    <w:autoRedefine/>
    <w:qFormat/>
    <w:uiPriority w:val="99"/>
    <w:pPr>
      <w:ind w:left="600" w:leftChars="600"/>
    </w:pPr>
    <w:rPr>
      <w:rFonts w:ascii="Times New Roman" w:hAnsi="Times New Roman" w:eastAsia="宋体" w:cs="Times New Roman"/>
    </w:rPr>
  </w:style>
  <w:style w:type="paragraph" w:styleId="19">
    <w:name w:val="toc 5"/>
    <w:basedOn w:val="1"/>
    <w:next w:val="1"/>
    <w:qFormat/>
    <w:uiPriority w:val="39"/>
    <w:pPr>
      <w:ind w:left="1680" w:leftChars="800"/>
    </w:pPr>
  </w:style>
  <w:style w:type="paragraph" w:styleId="20">
    <w:name w:val="toc 3"/>
    <w:basedOn w:val="1"/>
    <w:next w:val="1"/>
    <w:autoRedefine/>
    <w:qFormat/>
    <w:uiPriority w:val="39"/>
    <w:pPr>
      <w:ind w:left="840" w:leftChars="400"/>
    </w:pPr>
  </w:style>
  <w:style w:type="paragraph" w:styleId="21">
    <w:name w:val="Plain Text"/>
    <w:basedOn w:val="1"/>
    <w:link w:val="62"/>
    <w:autoRedefine/>
    <w:qFormat/>
    <w:uiPriority w:val="0"/>
    <w:rPr>
      <w:rFonts w:ascii="宋体" w:hAnsi="Courier New" w:cs="宋体"/>
      <w:kern w:val="0"/>
      <w:sz w:val="20"/>
      <w:szCs w:val="20"/>
    </w:rPr>
  </w:style>
  <w:style w:type="paragraph" w:styleId="22">
    <w:name w:val="toc 8"/>
    <w:basedOn w:val="1"/>
    <w:next w:val="1"/>
    <w:autoRedefine/>
    <w:qFormat/>
    <w:uiPriority w:val="39"/>
    <w:pPr>
      <w:ind w:left="2940" w:leftChars="1400"/>
    </w:pPr>
  </w:style>
  <w:style w:type="paragraph" w:styleId="23">
    <w:name w:val="Date"/>
    <w:basedOn w:val="1"/>
    <w:next w:val="1"/>
    <w:link w:val="63"/>
    <w:autoRedefine/>
    <w:qFormat/>
    <w:uiPriority w:val="0"/>
    <w:pPr>
      <w:ind w:left="100" w:leftChars="2500"/>
    </w:pPr>
    <w:rPr>
      <w:rFonts w:ascii="宋体" w:hAnsi="Times New Roman" w:eastAsia="宋体" w:cs="宋体"/>
      <w:kern w:val="0"/>
      <w:sz w:val="28"/>
      <w:szCs w:val="28"/>
    </w:rPr>
  </w:style>
  <w:style w:type="paragraph" w:styleId="24">
    <w:name w:val="Balloon Text"/>
    <w:basedOn w:val="1"/>
    <w:link w:val="64"/>
    <w:qFormat/>
    <w:uiPriority w:val="99"/>
    <w:rPr>
      <w:rFonts w:ascii="宋体" w:hAnsi="Times New Roman" w:eastAsia="宋体" w:cs="宋体"/>
      <w:kern w:val="0"/>
      <w:sz w:val="18"/>
      <w:szCs w:val="18"/>
    </w:rPr>
  </w:style>
  <w:style w:type="paragraph" w:styleId="25">
    <w:name w:val="footer"/>
    <w:basedOn w:val="1"/>
    <w:link w:val="65"/>
    <w:qFormat/>
    <w:uiPriority w:val="0"/>
    <w:pPr>
      <w:tabs>
        <w:tab w:val="center" w:pos="4153"/>
        <w:tab w:val="right" w:pos="8306"/>
      </w:tabs>
      <w:snapToGrid w:val="0"/>
      <w:jc w:val="left"/>
    </w:pPr>
    <w:rPr>
      <w:rFonts w:ascii="Times New Roman" w:hAnsi="Times New Roman" w:eastAsia="宋体" w:cs="Times New Roman"/>
      <w:kern w:val="0"/>
      <w:sz w:val="18"/>
      <w:szCs w:val="18"/>
    </w:rPr>
  </w:style>
  <w:style w:type="paragraph" w:styleId="26">
    <w:name w:val="header"/>
    <w:basedOn w:val="1"/>
    <w:link w:val="66"/>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styleId="27">
    <w:name w:val="toc 1"/>
    <w:basedOn w:val="1"/>
    <w:next w:val="1"/>
    <w:qFormat/>
    <w:uiPriority w:val="39"/>
    <w:pPr>
      <w:tabs>
        <w:tab w:val="right" w:leader="dot" w:pos="9514"/>
      </w:tabs>
      <w:spacing w:line="480" w:lineRule="auto"/>
    </w:pPr>
  </w:style>
  <w:style w:type="paragraph" w:styleId="28">
    <w:name w:val="toc 4"/>
    <w:basedOn w:val="1"/>
    <w:next w:val="1"/>
    <w:qFormat/>
    <w:uiPriority w:val="39"/>
    <w:pPr>
      <w:ind w:left="1260" w:leftChars="600"/>
    </w:pPr>
  </w:style>
  <w:style w:type="paragraph" w:styleId="29">
    <w:name w:val="Subtitle"/>
    <w:basedOn w:val="1"/>
    <w:next w:val="1"/>
    <w:link w:val="67"/>
    <w:qFormat/>
    <w:uiPriority w:val="99"/>
    <w:pPr>
      <w:spacing w:before="240" w:after="60" w:line="312" w:lineRule="auto"/>
      <w:jc w:val="center"/>
      <w:outlineLvl w:val="1"/>
    </w:pPr>
    <w:rPr>
      <w:rFonts w:ascii="Cambria" w:hAnsi="Cambria" w:eastAsia="宋体" w:cs="Cambria"/>
      <w:b/>
      <w:bCs/>
      <w:kern w:val="28"/>
      <w:sz w:val="32"/>
      <w:szCs w:val="32"/>
    </w:rPr>
  </w:style>
  <w:style w:type="paragraph" w:styleId="30">
    <w:name w:val="footnote text"/>
    <w:basedOn w:val="1"/>
    <w:link w:val="68"/>
    <w:qFormat/>
    <w:uiPriority w:val="99"/>
    <w:pPr>
      <w:snapToGrid w:val="0"/>
      <w:jc w:val="left"/>
    </w:pPr>
    <w:rPr>
      <w:rFonts w:ascii="Times New Roman" w:hAnsi="Times New Roman" w:eastAsia="宋体" w:cs="Times New Roman"/>
      <w:sz w:val="18"/>
      <w:szCs w:val="18"/>
    </w:rPr>
  </w:style>
  <w:style w:type="paragraph" w:styleId="31">
    <w:name w:val="toc 6"/>
    <w:basedOn w:val="1"/>
    <w:next w:val="1"/>
    <w:qFormat/>
    <w:uiPriority w:val="39"/>
    <w:pPr>
      <w:ind w:left="2100" w:leftChars="1000"/>
    </w:pPr>
  </w:style>
  <w:style w:type="paragraph" w:styleId="32">
    <w:name w:val="toc 2"/>
    <w:basedOn w:val="1"/>
    <w:next w:val="1"/>
    <w:qFormat/>
    <w:uiPriority w:val="39"/>
    <w:pPr>
      <w:ind w:left="420" w:leftChars="200"/>
    </w:pPr>
  </w:style>
  <w:style w:type="paragraph" w:styleId="33">
    <w:name w:val="toc 9"/>
    <w:basedOn w:val="1"/>
    <w:next w:val="1"/>
    <w:qFormat/>
    <w:uiPriority w:val="39"/>
    <w:pPr>
      <w:ind w:left="3360" w:leftChars="1600"/>
    </w:pPr>
  </w:style>
  <w:style w:type="paragraph" w:styleId="34">
    <w:name w:val="Body Text 2"/>
    <w:basedOn w:val="1"/>
    <w:link w:val="174"/>
    <w:semiHidden/>
    <w:unhideWhenUsed/>
    <w:qFormat/>
    <w:locked/>
    <w:uiPriority w:val="99"/>
    <w:pPr>
      <w:spacing w:after="120" w:line="480" w:lineRule="auto"/>
    </w:pPr>
  </w:style>
  <w:style w:type="paragraph" w:styleId="35">
    <w:name w:val="Normal (Web)"/>
    <w:basedOn w:val="1"/>
    <w:qFormat/>
    <w:uiPriority w:val="0"/>
    <w:pPr>
      <w:widowControl/>
      <w:spacing w:before="100" w:beforeAutospacing="1" w:after="100" w:afterAutospacing="1" w:line="320" w:lineRule="atLeast"/>
      <w:jc w:val="left"/>
    </w:pPr>
    <w:rPr>
      <w:rFonts w:ascii="宋体" w:hAnsi="宋体" w:eastAsia="宋体" w:cs="宋体"/>
      <w:kern w:val="0"/>
      <w:sz w:val="18"/>
      <w:szCs w:val="18"/>
    </w:rPr>
  </w:style>
  <w:style w:type="paragraph" w:styleId="36">
    <w:name w:val="Title"/>
    <w:basedOn w:val="1"/>
    <w:next w:val="1"/>
    <w:link w:val="69"/>
    <w:qFormat/>
    <w:uiPriority w:val="10"/>
    <w:pPr>
      <w:spacing w:before="240" w:after="60"/>
      <w:jc w:val="center"/>
      <w:outlineLvl w:val="0"/>
    </w:pPr>
    <w:rPr>
      <w:rFonts w:ascii="Cambria" w:hAnsi="Cambria" w:eastAsia="宋体" w:cs="Cambria"/>
      <w:b/>
      <w:bCs/>
      <w:kern w:val="0"/>
      <w:sz w:val="32"/>
      <w:szCs w:val="32"/>
    </w:rPr>
  </w:style>
  <w:style w:type="paragraph" w:styleId="37">
    <w:name w:val="annotation subject"/>
    <w:basedOn w:val="15"/>
    <w:next w:val="15"/>
    <w:link w:val="70"/>
    <w:qFormat/>
    <w:uiPriority w:val="99"/>
    <w:rPr>
      <w:rFonts w:ascii="宋体" w:hAnsi="Times New Roman" w:eastAsia="宋体" w:cs="宋体"/>
      <w:b/>
      <w:bCs/>
      <w:kern w:val="0"/>
      <w:sz w:val="28"/>
      <w:szCs w:val="28"/>
    </w:rPr>
  </w:style>
  <w:style w:type="paragraph" w:styleId="38">
    <w:name w:val="Body Text First Indent 2"/>
    <w:basedOn w:val="17"/>
    <w:link w:val="71"/>
    <w:qFormat/>
    <w:uiPriority w:val="99"/>
    <w:pPr>
      <w:ind w:firstLine="420" w:firstLineChars="200"/>
    </w:pPr>
  </w:style>
  <w:style w:type="table" w:styleId="40">
    <w:name w:val="Table Grid"/>
    <w:basedOn w:val="3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semiHidden/>
    <w:unhideWhenUsed/>
    <w:qFormat/>
    <w:locked/>
    <w:uiPriority w:val="99"/>
    <w:rPr>
      <w:color w:val="FF00FF"/>
      <w:u w:val="single"/>
    </w:rPr>
  </w:style>
  <w:style w:type="character" w:styleId="45">
    <w:name w:val="Emphasis"/>
    <w:qFormat/>
    <w:uiPriority w:val="99"/>
    <w:rPr>
      <w:i/>
      <w:iCs/>
    </w:rPr>
  </w:style>
  <w:style w:type="character" w:styleId="46">
    <w:name w:val="Hyperlink"/>
    <w:qFormat/>
    <w:uiPriority w:val="99"/>
    <w:rPr>
      <w:color w:val="auto"/>
      <w:u w:val="single"/>
    </w:rPr>
  </w:style>
  <w:style w:type="character" w:styleId="47">
    <w:name w:val="annotation reference"/>
    <w:qFormat/>
    <w:uiPriority w:val="99"/>
    <w:rPr>
      <w:sz w:val="21"/>
      <w:szCs w:val="21"/>
    </w:rPr>
  </w:style>
  <w:style w:type="character" w:styleId="48">
    <w:name w:val="footnote reference"/>
    <w:qFormat/>
    <w:uiPriority w:val="99"/>
    <w:rPr>
      <w:vertAlign w:val="superscript"/>
    </w:rPr>
  </w:style>
  <w:style w:type="character" w:customStyle="1" w:styleId="49">
    <w:name w:val="标题 1 字符"/>
    <w:link w:val="2"/>
    <w:qFormat/>
    <w:locked/>
    <w:uiPriority w:val="0"/>
    <w:rPr>
      <w:b/>
      <w:bCs/>
      <w:kern w:val="44"/>
      <w:sz w:val="44"/>
      <w:szCs w:val="44"/>
    </w:rPr>
  </w:style>
  <w:style w:type="character" w:customStyle="1" w:styleId="50">
    <w:name w:val="标题 2 字符"/>
    <w:link w:val="3"/>
    <w:qFormat/>
    <w:locked/>
    <w:uiPriority w:val="99"/>
    <w:rPr>
      <w:rFonts w:ascii="等线 Light" w:hAnsi="等线 Light" w:eastAsia="等线 Light" w:cs="等线 Light"/>
      <w:b/>
      <w:bCs/>
      <w:sz w:val="32"/>
      <w:szCs w:val="32"/>
    </w:rPr>
  </w:style>
  <w:style w:type="character" w:customStyle="1" w:styleId="51">
    <w:name w:val="标题 3 字符"/>
    <w:link w:val="4"/>
    <w:qFormat/>
    <w:locked/>
    <w:uiPriority w:val="99"/>
    <w:rPr>
      <w:b/>
      <w:bCs/>
      <w:sz w:val="32"/>
      <w:szCs w:val="32"/>
    </w:rPr>
  </w:style>
  <w:style w:type="character" w:customStyle="1" w:styleId="52">
    <w:name w:val="标题 4 字符"/>
    <w:link w:val="5"/>
    <w:qFormat/>
    <w:locked/>
    <w:uiPriority w:val="99"/>
    <w:rPr>
      <w:rFonts w:ascii="等线 Light" w:hAnsi="等线 Light" w:eastAsia="等线 Light" w:cs="等线 Light"/>
      <w:b/>
      <w:bCs/>
      <w:sz w:val="28"/>
      <w:szCs w:val="28"/>
    </w:rPr>
  </w:style>
  <w:style w:type="character" w:customStyle="1" w:styleId="53">
    <w:name w:val="标题 5 字符"/>
    <w:link w:val="6"/>
    <w:qFormat/>
    <w:locked/>
    <w:uiPriority w:val="99"/>
    <w:rPr>
      <w:rFonts w:ascii="Calibri" w:hAnsi="Calibri" w:eastAsia="宋体" w:cs="Calibri"/>
      <w:b/>
      <w:bCs/>
      <w:sz w:val="28"/>
      <w:szCs w:val="28"/>
    </w:rPr>
  </w:style>
  <w:style w:type="character" w:customStyle="1" w:styleId="54">
    <w:name w:val="标题 6 字符"/>
    <w:link w:val="7"/>
    <w:qFormat/>
    <w:locked/>
    <w:uiPriority w:val="99"/>
    <w:rPr>
      <w:rFonts w:ascii="Cambria" w:hAnsi="Cambria" w:eastAsia="宋体" w:cs="Cambria"/>
      <w:b/>
      <w:bCs/>
      <w:sz w:val="24"/>
      <w:szCs w:val="24"/>
    </w:rPr>
  </w:style>
  <w:style w:type="character" w:customStyle="1" w:styleId="55">
    <w:name w:val="标题 7 字符"/>
    <w:link w:val="8"/>
    <w:qFormat/>
    <w:locked/>
    <w:uiPriority w:val="99"/>
    <w:rPr>
      <w:rFonts w:ascii="Calibri" w:hAnsi="Calibri" w:eastAsia="宋体" w:cs="Calibri"/>
      <w:b/>
      <w:bCs/>
      <w:sz w:val="24"/>
      <w:szCs w:val="24"/>
    </w:rPr>
  </w:style>
  <w:style w:type="character" w:customStyle="1" w:styleId="56">
    <w:name w:val="标题 8 字符"/>
    <w:link w:val="9"/>
    <w:qFormat/>
    <w:locked/>
    <w:uiPriority w:val="99"/>
    <w:rPr>
      <w:rFonts w:ascii="Cambria" w:hAnsi="Cambria" w:eastAsia="宋体" w:cs="Cambria"/>
      <w:sz w:val="24"/>
      <w:szCs w:val="24"/>
    </w:rPr>
  </w:style>
  <w:style w:type="character" w:customStyle="1" w:styleId="57">
    <w:name w:val="标题 9 字符"/>
    <w:link w:val="10"/>
    <w:qFormat/>
    <w:locked/>
    <w:uiPriority w:val="99"/>
    <w:rPr>
      <w:rFonts w:ascii="Cambria" w:hAnsi="Cambria" w:eastAsia="宋体" w:cs="Cambria"/>
      <w:sz w:val="21"/>
      <w:szCs w:val="21"/>
    </w:rPr>
  </w:style>
  <w:style w:type="character" w:customStyle="1" w:styleId="58">
    <w:name w:val="文档结构图 字符"/>
    <w:link w:val="14"/>
    <w:qFormat/>
    <w:locked/>
    <w:uiPriority w:val="99"/>
    <w:rPr>
      <w:rFonts w:ascii="Times New Roman" w:hAnsi="Times New Roman" w:cs="Times New Roman"/>
      <w:sz w:val="24"/>
      <w:szCs w:val="24"/>
      <w:shd w:val="clear" w:color="auto" w:fill="000080"/>
    </w:rPr>
  </w:style>
  <w:style w:type="character" w:customStyle="1" w:styleId="59">
    <w:name w:val="批注文字 字符1"/>
    <w:basedOn w:val="41"/>
    <w:link w:val="15"/>
    <w:semiHidden/>
    <w:qFormat/>
    <w:locked/>
    <w:uiPriority w:val="99"/>
  </w:style>
  <w:style w:type="character" w:customStyle="1" w:styleId="60">
    <w:name w:val="正文文本 字符"/>
    <w:link w:val="16"/>
    <w:qFormat/>
    <w:locked/>
    <w:uiPriority w:val="0"/>
    <w:rPr>
      <w:rFonts w:ascii="Times New Roman" w:hAnsi="Times New Roman" w:cs="Times New Roman"/>
    </w:rPr>
  </w:style>
  <w:style w:type="character" w:customStyle="1" w:styleId="61">
    <w:name w:val="正文文本缩进 字符"/>
    <w:link w:val="17"/>
    <w:qFormat/>
    <w:locked/>
    <w:uiPriority w:val="99"/>
    <w:rPr>
      <w:kern w:val="2"/>
      <w:sz w:val="22"/>
      <w:szCs w:val="22"/>
    </w:rPr>
  </w:style>
  <w:style w:type="character" w:customStyle="1" w:styleId="62">
    <w:name w:val="纯文本 字符"/>
    <w:link w:val="21"/>
    <w:qFormat/>
    <w:uiPriority w:val="0"/>
    <w:rPr>
      <w:rFonts w:ascii="宋体" w:hAnsi="Courier New" w:cs="Courier New"/>
      <w:szCs w:val="21"/>
    </w:rPr>
  </w:style>
  <w:style w:type="character" w:customStyle="1" w:styleId="63">
    <w:name w:val="日期 字符"/>
    <w:link w:val="23"/>
    <w:qFormat/>
    <w:locked/>
    <w:uiPriority w:val="0"/>
    <w:rPr>
      <w:rFonts w:ascii="宋体" w:hAnsi="Times New Roman" w:cs="宋体"/>
      <w:sz w:val="28"/>
      <w:szCs w:val="28"/>
    </w:rPr>
  </w:style>
  <w:style w:type="character" w:customStyle="1" w:styleId="64">
    <w:name w:val="批注框文本 字符"/>
    <w:link w:val="24"/>
    <w:qFormat/>
    <w:locked/>
    <w:uiPriority w:val="99"/>
    <w:rPr>
      <w:rFonts w:ascii="宋体" w:hAnsi="Times New Roman" w:cs="宋体"/>
      <w:sz w:val="18"/>
      <w:szCs w:val="18"/>
    </w:rPr>
  </w:style>
  <w:style w:type="character" w:customStyle="1" w:styleId="65">
    <w:name w:val="页脚 字符"/>
    <w:link w:val="25"/>
    <w:qFormat/>
    <w:locked/>
    <w:uiPriority w:val="99"/>
    <w:rPr>
      <w:sz w:val="18"/>
      <w:szCs w:val="18"/>
    </w:rPr>
  </w:style>
  <w:style w:type="character" w:customStyle="1" w:styleId="66">
    <w:name w:val="页眉 字符"/>
    <w:link w:val="26"/>
    <w:qFormat/>
    <w:locked/>
    <w:uiPriority w:val="0"/>
    <w:rPr>
      <w:sz w:val="18"/>
      <w:szCs w:val="18"/>
    </w:rPr>
  </w:style>
  <w:style w:type="character" w:customStyle="1" w:styleId="67">
    <w:name w:val="副标题 字符"/>
    <w:link w:val="29"/>
    <w:qFormat/>
    <w:locked/>
    <w:uiPriority w:val="99"/>
    <w:rPr>
      <w:rFonts w:ascii="Cambria" w:hAnsi="Cambria" w:cs="Cambria"/>
      <w:b/>
      <w:bCs/>
      <w:kern w:val="28"/>
      <w:sz w:val="32"/>
      <w:szCs w:val="32"/>
    </w:rPr>
  </w:style>
  <w:style w:type="character" w:customStyle="1" w:styleId="68">
    <w:name w:val="脚注文本 字符"/>
    <w:link w:val="30"/>
    <w:qFormat/>
    <w:locked/>
    <w:uiPriority w:val="99"/>
    <w:rPr>
      <w:kern w:val="2"/>
      <w:sz w:val="18"/>
      <w:szCs w:val="18"/>
    </w:rPr>
  </w:style>
  <w:style w:type="character" w:customStyle="1" w:styleId="69">
    <w:name w:val="标题 字符"/>
    <w:link w:val="36"/>
    <w:qFormat/>
    <w:locked/>
    <w:uiPriority w:val="10"/>
    <w:rPr>
      <w:rFonts w:ascii="Cambria" w:hAnsi="Cambria" w:cs="Cambria"/>
      <w:b/>
      <w:bCs/>
      <w:sz w:val="32"/>
      <w:szCs w:val="32"/>
    </w:rPr>
  </w:style>
  <w:style w:type="character" w:customStyle="1" w:styleId="70">
    <w:name w:val="批注主题 字符"/>
    <w:link w:val="37"/>
    <w:qFormat/>
    <w:locked/>
    <w:uiPriority w:val="99"/>
    <w:rPr>
      <w:rFonts w:ascii="宋体" w:hAnsi="Times New Roman" w:cs="宋体"/>
      <w:b/>
      <w:bCs/>
      <w:sz w:val="28"/>
      <w:szCs w:val="28"/>
    </w:rPr>
  </w:style>
  <w:style w:type="character" w:customStyle="1" w:styleId="71">
    <w:name w:val="正文文本首行缩进 2 字符"/>
    <w:link w:val="38"/>
    <w:qFormat/>
    <w:locked/>
    <w:uiPriority w:val="99"/>
    <w:rPr>
      <w:kern w:val="2"/>
      <w:sz w:val="22"/>
      <w:szCs w:val="22"/>
    </w:rPr>
  </w:style>
  <w:style w:type="paragraph" w:customStyle="1" w:styleId="72">
    <w:name w:val="TOC 标题1"/>
    <w:basedOn w:val="2"/>
    <w:next w:val="1"/>
    <w:qFormat/>
    <w:uiPriority w:val="99"/>
    <w:pPr>
      <w:widowControl/>
      <w:spacing w:before="240" w:after="0" w:line="259" w:lineRule="auto"/>
      <w:jc w:val="left"/>
      <w:outlineLvl w:val="9"/>
    </w:pPr>
    <w:rPr>
      <w:rFonts w:ascii="等线 Light" w:hAnsi="等线 Light" w:eastAsia="等线 Light" w:cs="等线 Light"/>
      <w:b w:val="0"/>
      <w:bCs w:val="0"/>
      <w:color w:val="2F5496"/>
      <w:kern w:val="0"/>
      <w:sz w:val="32"/>
      <w:szCs w:val="32"/>
    </w:rPr>
  </w:style>
  <w:style w:type="character" w:customStyle="1" w:styleId="73">
    <w:name w:val="未处理的提及1"/>
    <w:qFormat/>
    <w:uiPriority w:val="99"/>
    <w:rPr>
      <w:color w:val="auto"/>
      <w:shd w:val="clear" w:color="auto" w:fill="auto"/>
    </w:rPr>
  </w:style>
  <w:style w:type="character" w:customStyle="1" w:styleId="74">
    <w:name w:val="正文文本 Char1"/>
    <w:qFormat/>
    <w:uiPriority w:val="99"/>
    <w:rPr>
      <w:kern w:val="2"/>
      <w:sz w:val="22"/>
      <w:szCs w:val="22"/>
    </w:rPr>
  </w:style>
  <w:style w:type="character" w:customStyle="1" w:styleId="75">
    <w:name w:val="Intense Quote Char"/>
    <w:qFormat/>
    <w:locked/>
    <w:uiPriority w:val="99"/>
    <w:rPr>
      <w:b/>
      <w:bCs/>
      <w:i/>
      <w:iCs/>
      <w:color w:val="4F81BD"/>
    </w:rPr>
  </w:style>
  <w:style w:type="paragraph" w:styleId="76">
    <w:name w:val="Intense Quote"/>
    <w:basedOn w:val="1"/>
    <w:next w:val="1"/>
    <w:link w:val="77"/>
    <w:qFormat/>
    <w:uiPriority w:val="99"/>
    <w:pPr>
      <w:pBdr>
        <w:bottom w:val="single" w:color="4F81BD" w:sz="4" w:space="4"/>
      </w:pBdr>
      <w:spacing w:before="200" w:after="280"/>
      <w:ind w:left="936" w:right="936"/>
    </w:pPr>
    <w:rPr>
      <w:rFonts w:ascii="Times New Roman" w:hAnsi="Times New Roman" w:eastAsia="宋体" w:cs="Times New Roman"/>
      <w:b/>
      <w:bCs/>
      <w:i/>
      <w:iCs/>
      <w:color w:val="4F81BD"/>
      <w:kern w:val="0"/>
      <w:sz w:val="20"/>
      <w:szCs w:val="20"/>
    </w:rPr>
  </w:style>
  <w:style w:type="character" w:customStyle="1" w:styleId="77">
    <w:name w:val="明显引用 字符"/>
    <w:link w:val="76"/>
    <w:qFormat/>
    <w:uiPriority w:val="99"/>
    <w:rPr>
      <w:rFonts w:ascii="等线" w:hAnsi="等线" w:eastAsia="等线" w:cs="等线"/>
      <w:b/>
      <w:bCs/>
      <w:i/>
      <w:iCs/>
      <w:color w:val="4F81BD"/>
      <w:szCs w:val="21"/>
    </w:rPr>
  </w:style>
  <w:style w:type="character" w:customStyle="1" w:styleId="78">
    <w:name w:val="不明显强调1"/>
    <w:qFormat/>
    <w:uiPriority w:val="99"/>
    <w:rPr>
      <w:i/>
      <w:iCs/>
      <w:color w:val="808080"/>
    </w:rPr>
  </w:style>
  <w:style w:type="character" w:customStyle="1" w:styleId="79">
    <w:name w:val="标题4 Char Char"/>
    <w:link w:val="80"/>
    <w:qFormat/>
    <w:locked/>
    <w:uiPriority w:val="99"/>
    <w:rPr>
      <w:rFonts w:ascii="Arial" w:hAnsi="Arial" w:cs="Arial"/>
      <w:b/>
      <w:bCs/>
      <w:sz w:val="32"/>
      <w:szCs w:val="32"/>
    </w:rPr>
  </w:style>
  <w:style w:type="paragraph" w:customStyle="1" w:styleId="80">
    <w:name w:val="标题4"/>
    <w:basedOn w:val="3"/>
    <w:next w:val="18"/>
    <w:link w:val="79"/>
    <w:qFormat/>
    <w:uiPriority w:val="99"/>
    <w:pPr>
      <w:spacing w:line="413" w:lineRule="auto"/>
    </w:pPr>
    <w:rPr>
      <w:rFonts w:ascii="Arial" w:hAnsi="Arial" w:eastAsia="宋体" w:cs="Arial"/>
      <w:sz w:val="24"/>
      <w:szCs w:val="24"/>
    </w:rPr>
  </w:style>
  <w:style w:type="character" w:customStyle="1" w:styleId="81">
    <w:name w:val="标题5 Char Char"/>
    <w:link w:val="82"/>
    <w:qFormat/>
    <w:locked/>
    <w:uiPriority w:val="99"/>
    <w:rPr>
      <w:rFonts w:ascii="Arial" w:hAnsi="Arial" w:cs="Arial"/>
      <w:b/>
      <w:bCs/>
      <w:sz w:val="32"/>
      <w:szCs w:val="32"/>
    </w:rPr>
  </w:style>
  <w:style w:type="paragraph" w:customStyle="1" w:styleId="82">
    <w:name w:val="标题5"/>
    <w:basedOn w:val="4"/>
    <w:link w:val="81"/>
    <w:qFormat/>
    <w:uiPriority w:val="99"/>
    <w:pPr>
      <w:spacing w:line="413" w:lineRule="auto"/>
    </w:pPr>
    <w:rPr>
      <w:rFonts w:ascii="Arial" w:hAnsi="Arial" w:cs="Arial"/>
      <w:sz w:val="24"/>
      <w:szCs w:val="24"/>
    </w:rPr>
  </w:style>
  <w:style w:type="character" w:customStyle="1" w:styleId="83">
    <w:name w:val="明显参考1"/>
    <w:qFormat/>
    <w:uiPriority w:val="99"/>
    <w:rPr>
      <w:b/>
      <w:bCs/>
      <w:smallCaps/>
      <w:color w:val="auto"/>
      <w:spacing w:val="5"/>
      <w:u w:val="single"/>
    </w:rPr>
  </w:style>
  <w:style w:type="character" w:customStyle="1" w:styleId="84">
    <w:name w:val="书籍标题1"/>
    <w:qFormat/>
    <w:uiPriority w:val="99"/>
    <w:rPr>
      <w:b/>
      <w:bCs/>
      <w:smallCaps/>
      <w:spacing w:val="5"/>
    </w:rPr>
  </w:style>
  <w:style w:type="character" w:customStyle="1" w:styleId="85">
    <w:name w:val="批注框文本 Char1"/>
    <w:qFormat/>
    <w:uiPriority w:val="99"/>
    <w:rPr>
      <w:kern w:val="2"/>
      <w:sz w:val="18"/>
      <w:szCs w:val="18"/>
    </w:rPr>
  </w:style>
  <w:style w:type="character" w:customStyle="1" w:styleId="86">
    <w:name w:val="Quote Char"/>
    <w:qFormat/>
    <w:locked/>
    <w:uiPriority w:val="99"/>
    <w:rPr>
      <w:i/>
      <w:iCs/>
      <w:color w:val="000000"/>
    </w:rPr>
  </w:style>
  <w:style w:type="paragraph" w:styleId="87">
    <w:name w:val="Quote"/>
    <w:basedOn w:val="1"/>
    <w:next w:val="1"/>
    <w:link w:val="88"/>
    <w:qFormat/>
    <w:uiPriority w:val="99"/>
    <w:rPr>
      <w:rFonts w:ascii="Times New Roman" w:hAnsi="Times New Roman" w:eastAsia="宋体" w:cs="Times New Roman"/>
      <w:i/>
      <w:iCs/>
      <w:color w:val="000000"/>
      <w:kern w:val="0"/>
      <w:sz w:val="20"/>
      <w:szCs w:val="20"/>
    </w:rPr>
  </w:style>
  <w:style w:type="character" w:customStyle="1" w:styleId="88">
    <w:name w:val="引用 字符"/>
    <w:link w:val="87"/>
    <w:qFormat/>
    <w:uiPriority w:val="99"/>
    <w:rPr>
      <w:rFonts w:ascii="等线" w:hAnsi="等线" w:eastAsia="等线" w:cs="等线"/>
      <w:i/>
      <w:iCs/>
      <w:color w:val="000000"/>
      <w:szCs w:val="21"/>
    </w:rPr>
  </w:style>
  <w:style w:type="character" w:customStyle="1" w:styleId="89">
    <w:name w:val="批注主题 Char1"/>
    <w:qFormat/>
    <w:uiPriority w:val="99"/>
    <w:rPr>
      <w:b/>
      <w:bCs/>
      <w:kern w:val="2"/>
      <w:sz w:val="22"/>
      <w:szCs w:val="22"/>
    </w:rPr>
  </w:style>
  <w:style w:type="character" w:customStyle="1" w:styleId="90">
    <w:name w:val="日期 Char1"/>
    <w:qFormat/>
    <w:uiPriority w:val="99"/>
    <w:rPr>
      <w:kern w:val="2"/>
      <w:sz w:val="22"/>
      <w:szCs w:val="22"/>
    </w:rPr>
  </w:style>
  <w:style w:type="character" w:customStyle="1" w:styleId="91">
    <w:name w:val="明显强调1"/>
    <w:autoRedefine/>
    <w:qFormat/>
    <w:uiPriority w:val="99"/>
    <w:rPr>
      <w:b/>
      <w:bCs/>
      <w:i/>
      <w:iCs/>
      <w:color w:val="4F81BD"/>
    </w:rPr>
  </w:style>
  <w:style w:type="character" w:customStyle="1" w:styleId="92">
    <w:name w:val="textcontents"/>
    <w:qFormat/>
    <w:uiPriority w:val="99"/>
  </w:style>
  <w:style w:type="character" w:customStyle="1" w:styleId="93">
    <w:name w:val="不明显参考1"/>
    <w:qFormat/>
    <w:uiPriority w:val="99"/>
    <w:rPr>
      <w:smallCaps/>
      <w:color w:val="auto"/>
      <w:u w:val="single"/>
    </w:rPr>
  </w:style>
  <w:style w:type="character" w:customStyle="1" w:styleId="94">
    <w:name w:val="批注文字 Char Char"/>
    <w:qFormat/>
    <w:uiPriority w:val="99"/>
    <w:rPr>
      <w:rFonts w:ascii="宋体" w:hAnsi="Times New Roman" w:eastAsia="宋体" w:cs="宋体"/>
      <w:sz w:val="20"/>
      <w:szCs w:val="20"/>
    </w:rPr>
  </w:style>
  <w:style w:type="character" w:customStyle="1" w:styleId="95">
    <w:name w:val="批注文字 字符"/>
    <w:qFormat/>
    <w:uiPriority w:val="99"/>
    <w:rPr>
      <w:kern w:val="2"/>
      <w:sz w:val="22"/>
      <w:szCs w:val="22"/>
    </w:rPr>
  </w:style>
  <w:style w:type="character" w:customStyle="1" w:styleId="96">
    <w:name w:val="文档结构图 Char1"/>
    <w:qFormat/>
    <w:uiPriority w:val="99"/>
    <w:rPr>
      <w:rFonts w:ascii="宋体" w:cs="宋体"/>
      <w:kern w:val="2"/>
      <w:sz w:val="18"/>
      <w:szCs w:val="18"/>
    </w:rPr>
  </w:style>
  <w:style w:type="paragraph" w:customStyle="1" w:styleId="97">
    <w:name w:val="修订1"/>
    <w:qFormat/>
    <w:uiPriority w:val="99"/>
    <w:rPr>
      <w:rFonts w:ascii="Times New Roman" w:hAnsi="Times New Roman" w:eastAsia="宋体" w:cs="Times New Roman"/>
      <w:kern w:val="2"/>
      <w:sz w:val="21"/>
      <w:szCs w:val="21"/>
      <w:lang w:val="en-US" w:eastAsia="zh-CN" w:bidi="ar-SA"/>
    </w:rPr>
  </w:style>
  <w:style w:type="paragraph" w:customStyle="1" w:styleId="98">
    <w:name w:val="样式 标题 2 + Times New Roman 四号 非加粗 段前: 5 磅 段后: 0 磅 行距: 固定值 20..."/>
    <w:basedOn w:val="3"/>
    <w:qFormat/>
    <w:uiPriority w:val="99"/>
    <w:pPr>
      <w:spacing w:before="100" w:after="0" w:line="400" w:lineRule="exact"/>
    </w:pPr>
    <w:rPr>
      <w:rFonts w:ascii="Times New Roman" w:hAnsi="Times New Roman" w:eastAsia="黑体" w:cs="Times New Roman"/>
      <w:b w:val="0"/>
      <w:bCs w:val="0"/>
      <w:sz w:val="28"/>
      <w:szCs w:val="28"/>
    </w:rPr>
  </w:style>
  <w:style w:type="character" w:customStyle="1" w:styleId="99">
    <w:name w:val="批注框文本 字符1"/>
    <w:semiHidden/>
    <w:qFormat/>
    <w:uiPriority w:val="99"/>
    <w:rPr>
      <w:sz w:val="18"/>
      <w:szCs w:val="18"/>
    </w:rPr>
  </w:style>
  <w:style w:type="character" w:customStyle="1" w:styleId="100">
    <w:name w:val="批注主题 字符1"/>
    <w:semiHidden/>
    <w:qFormat/>
    <w:uiPriority w:val="99"/>
    <w:rPr>
      <w:b/>
      <w:bCs/>
    </w:rPr>
  </w:style>
  <w:style w:type="character" w:customStyle="1" w:styleId="101">
    <w:name w:val="文档结构图 字符1"/>
    <w:semiHidden/>
    <w:qFormat/>
    <w:uiPriority w:val="99"/>
    <w:rPr>
      <w:rFonts w:ascii="Microsoft YaHei UI" w:eastAsia="Microsoft YaHei UI" w:cs="Microsoft YaHei UI"/>
      <w:sz w:val="18"/>
      <w:szCs w:val="18"/>
    </w:rPr>
  </w:style>
  <w:style w:type="character" w:customStyle="1" w:styleId="102">
    <w:name w:val="日期 字符1"/>
    <w:semiHidden/>
    <w:qFormat/>
    <w:uiPriority w:val="99"/>
  </w:style>
  <w:style w:type="character" w:customStyle="1" w:styleId="103">
    <w:name w:val="正文文本 字符1"/>
    <w:semiHidden/>
    <w:qFormat/>
    <w:uiPriority w:val="99"/>
  </w:style>
  <w:style w:type="character" w:customStyle="1" w:styleId="104">
    <w:name w:val="标题 字符1"/>
    <w:qFormat/>
    <w:uiPriority w:val="99"/>
    <w:rPr>
      <w:rFonts w:ascii="等线 Light" w:hAnsi="等线 Light" w:eastAsia="等线 Light" w:cs="等线 Light"/>
      <w:b/>
      <w:bCs/>
      <w:sz w:val="32"/>
      <w:szCs w:val="32"/>
    </w:rPr>
  </w:style>
  <w:style w:type="character" w:customStyle="1" w:styleId="105">
    <w:name w:val="副标题 字符1"/>
    <w:qFormat/>
    <w:uiPriority w:val="99"/>
    <w:rPr>
      <w:b/>
      <w:bCs/>
      <w:kern w:val="28"/>
      <w:sz w:val="32"/>
      <w:szCs w:val="32"/>
    </w:rPr>
  </w:style>
  <w:style w:type="character" w:customStyle="1" w:styleId="106">
    <w:name w:val="明显引用 字符1"/>
    <w:qFormat/>
    <w:uiPriority w:val="99"/>
    <w:rPr>
      <w:i/>
      <w:iCs/>
      <w:color w:val="auto"/>
    </w:rPr>
  </w:style>
  <w:style w:type="paragraph" w:customStyle="1" w:styleId="107">
    <w:name w:val="样式 标题 3 + (中文) 黑体 小四 非加粗 段前: 7.8 磅 段后: 0 磅 行距: 固定值 20 磅"/>
    <w:basedOn w:val="4"/>
    <w:qFormat/>
    <w:uiPriority w:val="99"/>
    <w:pPr>
      <w:spacing w:before="0" w:after="0" w:line="400" w:lineRule="exact"/>
    </w:pPr>
    <w:rPr>
      <w:rFonts w:eastAsia="黑体"/>
      <w:b w:val="0"/>
      <w:bCs w:val="0"/>
      <w:sz w:val="24"/>
      <w:szCs w:val="24"/>
    </w:rPr>
  </w:style>
  <w:style w:type="paragraph" w:customStyle="1" w:styleId="108">
    <w:name w:val="空半行"/>
    <w:basedOn w:val="1"/>
    <w:qFormat/>
    <w:uiPriority w:val="99"/>
    <w:pPr>
      <w:adjustRightInd w:val="0"/>
      <w:spacing w:line="120" w:lineRule="exact"/>
      <w:textAlignment w:val="baseline"/>
    </w:pPr>
    <w:rPr>
      <w:rFonts w:ascii="Times New Roman" w:hAnsi="Times New Roman" w:eastAsia="仿宋_GB2312" w:cs="Times New Roman"/>
      <w:color w:val="FFFFFF"/>
      <w:kern w:val="0"/>
      <w:sz w:val="30"/>
      <w:szCs w:val="30"/>
    </w:rPr>
  </w:style>
  <w:style w:type="paragraph" w:styleId="109">
    <w:name w:val="No Spacing"/>
    <w:qFormat/>
    <w:uiPriority w:val="99"/>
    <w:pPr>
      <w:widowControl w:val="0"/>
      <w:jc w:val="both"/>
    </w:pPr>
    <w:rPr>
      <w:rFonts w:ascii="Calibri" w:hAnsi="Calibri" w:eastAsia="宋体" w:cs="Calibri"/>
      <w:kern w:val="2"/>
      <w:sz w:val="21"/>
      <w:szCs w:val="21"/>
      <w:lang w:val="en-US" w:eastAsia="zh-CN" w:bidi="ar-SA"/>
    </w:rPr>
  </w:style>
  <w:style w:type="character" w:customStyle="1" w:styleId="110">
    <w:name w:val="引用 字符1"/>
    <w:qFormat/>
    <w:uiPriority w:val="99"/>
    <w:rPr>
      <w:i/>
      <w:iCs/>
      <w:color w:val="auto"/>
    </w:rPr>
  </w:style>
  <w:style w:type="paragraph" w:styleId="111">
    <w:name w:val="List Paragraph"/>
    <w:basedOn w:val="1"/>
    <w:qFormat/>
    <w:uiPriority w:val="99"/>
    <w:pPr>
      <w:ind w:firstLine="420" w:firstLineChars="200"/>
    </w:pPr>
    <w:rPr>
      <w:rFonts w:ascii="Calibri" w:hAnsi="Calibri" w:eastAsia="宋体" w:cs="Calibri"/>
    </w:rPr>
  </w:style>
  <w:style w:type="paragraph" w:customStyle="1" w:styleId="112">
    <w:name w:val="flNote"/>
    <w:basedOn w:val="1"/>
    <w:qFormat/>
    <w:uiPriority w:val="99"/>
    <w:pPr>
      <w:adjustRightInd w:val="0"/>
      <w:spacing w:before="320" w:after="160" w:line="360" w:lineRule="atLeast"/>
      <w:jc w:val="center"/>
      <w:textAlignment w:val="baseline"/>
    </w:pPr>
    <w:rPr>
      <w:rFonts w:ascii="Arial" w:hAnsi="Times New Roman" w:eastAsia="黑体" w:cs="Arial"/>
      <w:kern w:val="0"/>
      <w:sz w:val="30"/>
      <w:szCs w:val="30"/>
    </w:rPr>
  </w:style>
  <w:style w:type="table" w:customStyle="1" w:styleId="113">
    <w:name w:val="网格型1"/>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4">
    <w:name w:val="未处理的提及2"/>
    <w:qFormat/>
    <w:uiPriority w:val="99"/>
    <w:rPr>
      <w:color w:val="auto"/>
      <w:shd w:val="clear" w:color="auto" w:fill="auto"/>
    </w:rPr>
  </w:style>
  <w:style w:type="character" w:customStyle="1" w:styleId="115">
    <w:name w:val="font101"/>
    <w:qFormat/>
    <w:uiPriority w:val="99"/>
    <w:rPr>
      <w:rFonts w:ascii="宋体" w:hAnsi="宋体" w:eastAsia="宋体" w:cs="宋体"/>
      <w:color w:val="000000"/>
      <w:sz w:val="20"/>
      <w:szCs w:val="20"/>
      <w:u w:val="none"/>
    </w:rPr>
  </w:style>
  <w:style w:type="character" w:customStyle="1" w:styleId="116">
    <w:name w:val="font61"/>
    <w:qFormat/>
    <w:uiPriority w:val="99"/>
    <w:rPr>
      <w:rFonts w:ascii="宋体" w:hAnsi="宋体" w:eastAsia="宋体" w:cs="宋体"/>
      <w:color w:val="000000"/>
      <w:sz w:val="18"/>
      <w:szCs w:val="18"/>
      <w:u w:val="none"/>
    </w:rPr>
  </w:style>
  <w:style w:type="character" w:customStyle="1" w:styleId="117">
    <w:name w:val="font81"/>
    <w:qFormat/>
    <w:uiPriority w:val="99"/>
    <w:rPr>
      <w:rFonts w:ascii="宋体" w:hAnsi="宋体" w:eastAsia="宋体" w:cs="宋体"/>
      <w:color w:val="000000"/>
      <w:sz w:val="21"/>
      <w:szCs w:val="21"/>
      <w:u w:val="none"/>
    </w:rPr>
  </w:style>
  <w:style w:type="character" w:customStyle="1" w:styleId="118">
    <w:name w:val="font11"/>
    <w:qFormat/>
    <w:uiPriority w:val="99"/>
    <w:rPr>
      <w:rFonts w:ascii="宋体" w:hAnsi="宋体" w:eastAsia="宋体" w:cs="宋体"/>
      <w:color w:val="000000"/>
      <w:sz w:val="21"/>
      <w:szCs w:val="21"/>
      <w:u w:val="none"/>
    </w:rPr>
  </w:style>
  <w:style w:type="character" w:customStyle="1" w:styleId="119">
    <w:name w:val="未处理的提及3"/>
    <w:semiHidden/>
    <w:qFormat/>
    <w:uiPriority w:val="99"/>
    <w:rPr>
      <w:color w:val="auto"/>
      <w:shd w:val="clear" w:color="auto" w:fill="auto"/>
    </w:rPr>
  </w:style>
  <w:style w:type="character" w:styleId="120">
    <w:name w:val="Placeholder Text"/>
    <w:semiHidden/>
    <w:qFormat/>
    <w:uiPriority w:val="99"/>
    <w:rPr>
      <w:color w:val="808080"/>
    </w:rPr>
  </w:style>
  <w:style w:type="character" w:customStyle="1" w:styleId="121">
    <w:name w:val="未处理的提及4"/>
    <w:qFormat/>
    <w:uiPriority w:val="99"/>
    <w:rPr>
      <w:color w:val="auto"/>
      <w:shd w:val="clear" w:color="auto" w:fill="auto"/>
    </w:rPr>
  </w:style>
  <w:style w:type="character" w:customStyle="1" w:styleId="122">
    <w:name w:val="NormalCharacter"/>
    <w:qFormat/>
    <w:uiPriority w:val="0"/>
  </w:style>
  <w:style w:type="paragraph" w:customStyle="1" w:styleId="123">
    <w:name w:val="p12"/>
    <w:basedOn w:val="1"/>
    <w:qFormat/>
    <w:uiPriority w:val="0"/>
    <w:pPr>
      <w:widowControl/>
      <w:spacing w:before="100" w:beforeAutospacing="1" w:after="100" w:afterAutospacing="1"/>
      <w:jc w:val="left"/>
    </w:pPr>
    <w:rPr>
      <w:rFonts w:ascii="&amp;#23435;&amp;#20307;" w:hAnsi="&amp;#23435;&amp;#20307;" w:eastAsia="宋体" w:cs="Times New Roman"/>
      <w:kern w:val="0"/>
      <w:sz w:val="18"/>
      <w:szCs w:val="18"/>
    </w:rPr>
  </w:style>
  <w:style w:type="character" w:customStyle="1" w:styleId="124">
    <w:name w:val="未处理的提及5"/>
    <w:unhideWhenUsed/>
    <w:qFormat/>
    <w:uiPriority w:val="99"/>
    <w:rPr>
      <w:color w:val="605E5C"/>
      <w:shd w:val="clear" w:color="auto" w:fill="E1DFDD"/>
    </w:rPr>
  </w:style>
  <w:style w:type="paragraph" w:customStyle="1" w:styleId="125">
    <w:name w:val="Normal_1"/>
    <w:qFormat/>
    <w:uiPriority w:val="0"/>
    <w:rPr>
      <w:rFonts w:ascii="Times New Roman" w:hAnsi="Times New Roman" w:eastAsia="Times New Roman" w:cs="Times New Roman"/>
      <w:sz w:val="24"/>
      <w:szCs w:val="24"/>
      <w:lang w:val="en-US" w:eastAsia="zh-CN" w:bidi="ar-SA"/>
    </w:rPr>
  </w:style>
  <w:style w:type="character" w:customStyle="1" w:styleId="126">
    <w:name w:val="明显参考2"/>
    <w:qFormat/>
    <w:uiPriority w:val="32"/>
    <w:rPr>
      <w:b/>
      <w:bCs/>
      <w:smallCaps/>
      <w:color w:val="4F81BD"/>
      <w:spacing w:val="5"/>
    </w:rPr>
  </w:style>
  <w:style w:type="character" w:customStyle="1" w:styleId="127">
    <w:name w:val="未处理的提及6"/>
    <w:qFormat/>
    <w:uiPriority w:val="99"/>
    <w:rPr>
      <w:color w:val="605E5C"/>
      <w:shd w:val="clear" w:color="auto" w:fill="E1DFDD"/>
    </w:rPr>
  </w:style>
  <w:style w:type="character" w:customStyle="1" w:styleId="128">
    <w:name w:val="未处理的提及7"/>
    <w:qFormat/>
    <w:uiPriority w:val="99"/>
    <w:rPr>
      <w:color w:val="605E5C"/>
      <w:shd w:val="clear" w:color="auto" w:fill="E1DFDD"/>
    </w:rPr>
  </w:style>
  <w:style w:type="paragraph" w:customStyle="1" w:styleId="129">
    <w:name w:val="中等深浅网格 21"/>
    <w:qFormat/>
    <w:uiPriority w:val="1"/>
    <w:rPr>
      <w:rFonts w:ascii="Calibri" w:hAnsi="Calibri" w:eastAsia="宋体" w:cs="Times New Roman"/>
      <w:sz w:val="22"/>
      <w:szCs w:val="22"/>
      <w:lang w:val="en-US" w:eastAsia="zh-CN" w:bidi="ar-SA"/>
    </w:rPr>
  </w:style>
  <w:style w:type="paragraph" w:customStyle="1" w:styleId="130">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31">
    <w:name w:val="font5"/>
    <w:basedOn w:val="1"/>
    <w:qFormat/>
    <w:uiPriority w:val="0"/>
    <w:pPr>
      <w:widowControl/>
      <w:spacing w:before="100" w:beforeAutospacing="1" w:after="100" w:afterAutospacing="1"/>
      <w:jc w:val="left"/>
    </w:pPr>
    <w:rPr>
      <w:rFonts w:ascii="宋体" w:hAnsi="宋体" w:eastAsia="宋体" w:cs="宋体"/>
      <w:kern w:val="0"/>
      <w:sz w:val="22"/>
      <w:szCs w:val="22"/>
    </w:rPr>
  </w:style>
  <w:style w:type="paragraph" w:customStyle="1" w:styleId="132">
    <w:name w:val="font6"/>
    <w:basedOn w:val="1"/>
    <w:qFormat/>
    <w:uiPriority w:val="0"/>
    <w:pPr>
      <w:widowControl/>
      <w:spacing w:before="100" w:beforeAutospacing="1" w:after="100" w:afterAutospacing="1"/>
      <w:jc w:val="left"/>
    </w:pPr>
    <w:rPr>
      <w:rFonts w:ascii="宋体" w:hAnsi="宋体" w:eastAsia="宋体" w:cs="宋体"/>
      <w:color w:val="000000"/>
      <w:kern w:val="0"/>
      <w:sz w:val="22"/>
      <w:szCs w:val="22"/>
    </w:rPr>
  </w:style>
  <w:style w:type="paragraph" w:customStyle="1" w:styleId="133">
    <w:name w:val="font7"/>
    <w:basedOn w:val="1"/>
    <w:qFormat/>
    <w:uiPriority w:val="0"/>
    <w:pPr>
      <w:widowControl/>
      <w:spacing w:before="100" w:beforeAutospacing="1" w:after="100" w:afterAutospacing="1"/>
      <w:jc w:val="left"/>
    </w:pPr>
    <w:rPr>
      <w:rFonts w:ascii="Calibri" w:hAnsi="Calibri" w:eastAsia="宋体" w:cs="Calibri"/>
      <w:kern w:val="0"/>
    </w:rPr>
  </w:style>
  <w:style w:type="paragraph" w:customStyle="1" w:styleId="134">
    <w:name w:val="font8"/>
    <w:basedOn w:val="1"/>
    <w:qFormat/>
    <w:uiPriority w:val="0"/>
    <w:pPr>
      <w:widowControl/>
      <w:spacing w:before="100" w:beforeAutospacing="1" w:after="100" w:afterAutospacing="1"/>
      <w:jc w:val="left"/>
    </w:pPr>
    <w:rPr>
      <w:rFonts w:ascii="Arial" w:hAnsi="Arial" w:eastAsia="宋体" w:cs="Arial"/>
      <w:color w:val="000000"/>
      <w:kern w:val="0"/>
      <w:sz w:val="22"/>
      <w:szCs w:val="22"/>
    </w:rPr>
  </w:style>
  <w:style w:type="paragraph" w:customStyle="1" w:styleId="135">
    <w:name w:val="font9"/>
    <w:basedOn w:val="1"/>
    <w:qFormat/>
    <w:uiPriority w:val="0"/>
    <w:pPr>
      <w:widowControl/>
      <w:spacing w:before="100" w:beforeAutospacing="1" w:after="100" w:afterAutospacing="1"/>
      <w:jc w:val="left"/>
    </w:pPr>
    <w:rPr>
      <w:rFonts w:ascii="Verdana" w:hAnsi="Verdana" w:eastAsia="宋体" w:cs="宋体"/>
      <w:kern w:val="0"/>
      <w:sz w:val="18"/>
      <w:szCs w:val="18"/>
    </w:rPr>
  </w:style>
  <w:style w:type="paragraph" w:customStyle="1" w:styleId="136">
    <w:name w:val="xl63"/>
    <w:basedOn w:val="1"/>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37">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8">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39">
    <w:name w:val="xl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40">
    <w:name w:val="xl67"/>
    <w:basedOn w:val="1"/>
    <w:qFormat/>
    <w:uiPriority w:val="0"/>
    <w:pPr>
      <w:widowControl/>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41">
    <w:name w:val="xl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2">
    <w:name w:val="xl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4">
    <w:name w:val="xl71"/>
    <w:basedOn w:val="1"/>
    <w:qFormat/>
    <w:uiPriority w:val="0"/>
    <w:pPr>
      <w:widowControl/>
      <w:shd w:val="clear" w:color="000000" w:fill="FFFFFF"/>
      <w:spacing w:before="100" w:beforeAutospacing="1" w:after="100" w:afterAutospacing="1"/>
      <w:jc w:val="left"/>
    </w:pPr>
    <w:rPr>
      <w:rFonts w:ascii="宋体" w:hAnsi="宋体" w:eastAsia="宋体" w:cs="宋体"/>
      <w:color w:val="FF0000"/>
      <w:kern w:val="0"/>
      <w:sz w:val="24"/>
      <w:szCs w:val="24"/>
    </w:rPr>
  </w:style>
  <w:style w:type="paragraph" w:customStyle="1" w:styleId="145">
    <w:name w:val="xl72"/>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6">
    <w:name w:val="xl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47">
    <w:name w:val="xl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48">
    <w:name w:val="xl75"/>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color w:val="000000"/>
      <w:kern w:val="0"/>
      <w:sz w:val="22"/>
      <w:szCs w:val="22"/>
    </w:rPr>
  </w:style>
  <w:style w:type="paragraph" w:customStyle="1" w:styleId="149">
    <w:name w:val="xl76"/>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0">
    <w:name w:val="xl7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paragraph" w:customStyle="1" w:styleId="151">
    <w:name w:val="xl7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2">
    <w:name w:val="xl79"/>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3">
    <w:name w:val="xl80"/>
    <w:basedOn w:val="1"/>
    <w:qFormat/>
    <w:uiPriority w:val="0"/>
    <w:pPr>
      <w:widowControl/>
      <w:pBdr>
        <w:top w:val="single" w:color="000000" w:sz="4" w:space="0"/>
        <w:lef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2"/>
      <w:szCs w:val="22"/>
    </w:rPr>
  </w:style>
  <w:style w:type="paragraph" w:customStyle="1" w:styleId="154">
    <w:name w:val="xl81"/>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5">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6">
    <w:name w:val="xl83"/>
    <w:basedOn w:val="1"/>
    <w:qFormat/>
    <w:uiPriority w:val="0"/>
    <w:pPr>
      <w:widowControl/>
      <w:pBdr>
        <w:top w:val="single" w:color="000000" w:sz="4" w:space="0"/>
        <w:right w:val="single" w:color="000000" w:sz="4" w:space="0"/>
      </w:pBdr>
      <w:shd w:val="clear" w:color="000000" w:fill="FFFFFF"/>
      <w:spacing w:before="100" w:beforeAutospacing="1" w:after="100" w:afterAutospacing="1"/>
      <w:jc w:val="left"/>
      <w:textAlignment w:val="center"/>
    </w:pPr>
    <w:rPr>
      <w:rFonts w:ascii="宋体" w:hAnsi="宋体" w:eastAsia="宋体" w:cs="宋体"/>
      <w:kern w:val="0"/>
      <w:sz w:val="22"/>
      <w:szCs w:val="22"/>
    </w:rPr>
  </w:style>
  <w:style w:type="paragraph" w:customStyle="1" w:styleId="15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5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color w:val="000000"/>
      <w:kern w:val="0"/>
      <w:sz w:val="22"/>
      <w:szCs w:val="22"/>
    </w:rPr>
  </w:style>
  <w:style w:type="paragraph" w:customStyle="1" w:styleId="15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color w:val="000000"/>
      <w:kern w:val="0"/>
      <w:sz w:val="22"/>
      <w:szCs w:val="22"/>
    </w:rPr>
  </w:style>
  <w:style w:type="paragraph" w:customStyle="1" w:styleId="16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2"/>
      <w:szCs w:val="22"/>
    </w:rPr>
  </w:style>
  <w:style w:type="paragraph" w:customStyle="1" w:styleId="16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kern w:val="0"/>
      <w:sz w:val="22"/>
      <w:szCs w:val="22"/>
    </w:rPr>
  </w:style>
  <w:style w:type="paragraph" w:customStyle="1" w:styleId="16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2"/>
      <w:szCs w:val="22"/>
    </w:rPr>
  </w:style>
  <w:style w:type="paragraph" w:customStyle="1" w:styleId="16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b/>
      <w:bCs/>
      <w:kern w:val="0"/>
      <w:sz w:val="22"/>
      <w:szCs w:val="22"/>
    </w:rPr>
  </w:style>
  <w:style w:type="paragraph" w:customStyle="1" w:styleId="16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eastAsia="宋体" w:cs="宋体"/>
      <w:b/>
      <w:bCs/>
      <w:kern w:val="0"/>
      <w:sz w:val="22"/>
      <w:szCs w:val="22"/>
    </w:rPr>
  </w:style>
  <w:style w:type="paragraph" w:customStyle="1" w:styleId="166">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Helvetica" w:hAnsi="Helvetica" w:eastAsia="宋体" w:cs="Helvetica"/>
      <w:color w:val="000000"/>
      <w:kern w:val="0"/>
      <w:sz w:val="22"/>
      <w:szCs w:val="22"/>
    </w:rPr>
  </w:style>
  <w:style w:type="paragraph" w:customStyle="1" w:styleId="168">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4"/>
      <w:szCs w:val="24"/>
    </w:rPr>
  </w:style>
  <w:style w:type="paragraph" w:customStyle="1" w:styleId="16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color w:val="000000"/>
      <w:kern w:val="0"/>
      <w:sz w:val="22"/>
      <w:szCs w:val="22"/>
    </w:rPr>
  </w:style>
  <w:style w:type="paragraph" w:customStyle="1" w:styleId="171">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eastAsia="宋体" w:cs="宋体"/>
      <w:color w:val="000000"/>
      <w:kern w:val="0"/>
      <w:sz w:val="22"/>
      <w:szCs w:val="22"/>
    </w:rPr>
  </w:style>
  <w:style w:type="character" w:customStyle="1" w:styleId="172">
    <w:name w:val="fontstyle01"/>
    <w:qFormat/>
    <w:uiPriority w:val="0"/>
    <w:rPr>
      <w:rFonts w:hint="eastAsia" w:ascii="宋体" w:hAnsi="宋体" w:eastAsia="宋体"/>
      <w:color w:val="000000"/>
      <w:sz w:val="28"/>
      <w:szCs w:val="28"/>
    </w:rPr>
  </w:style>
  <w:style w:type="character" w:customStyle="1" w:styleId="173">
    <w:name w:val="未处理的提及8"/>
    <w:semiHidden/>
    <w:unhideWhenUsed/>
    <w:qFormat/>
    <w:uiPriority w:val="99"/>
    <w:rPr>
      <w:color w:val="605E5C"/>
      <w:shd w:val="clear" w:color="auto" w:fill="E1DFDD"/>
    </w:rPr>
  </w:style>
  <w:style w:type="character" w:customStyle="1" w:styleId="174">
    <w:name w:val="正文文本 2 字符"/>
    <w:link w:val="34"/>
    <w:semiHidden/>
    <w:qFormat/>
    <w:uiPriority w:val="99"/>
    <w:rPr>
      <w:rFonts w:ascii="等线" w:hAnsi="等线" w:eastAsia="等线" w:cs="等线"/>
      <w:kern w:val="2"/>
      <w:sz w:val="21"/>
      <w:szCs w:val="21"/>
    </w:rPr>
  </w:style>
  <w:style w:type="character" w:customStyle="1" w:styleId="175">
    <w:name w:val="font21"/>
    <w:qFormat/>
    <w:uiPriority w:val="0"/>
    <w:rPr>
      <w:rFonts w:hint="eastAsia" w:ascii="宋体" w:hAnsi="宋体" w:eastAsia="宋体" w:cs="宋体"/>
      <w:b/>
      <w:bCs/>
      <w:color w:val="000000"/>
      <w:sz w:val="20"/>
      <w:szCs w:val="20"/>
      <w:u w:val="none"/>
    </w:rPr>
  </w:style>
  <w:style w:type="character" w:customStyle="1" w:styleId="176">
    <w:name w:val="font31"/>
    <w:qFormat/>
    <w:uiPriority w:val="0"/>
    <w:rPr>
      <w:rFonts w:hint="eastAsia" w:ascii="宋体" w:hAnsi="宋体" w:eastAsia="宋体" w:cs="宋体"/>
      <w:color w:val="000000"/>
      <w:sz w:val="18"/>
      <w:szCs w:val="18"/>
      <w:u w:val="none"/>
    </w:rPr>
  </w:style>
  <w:style w:type="paragraph" w:customStyle="1" w:styleId="177">
    <w:name w:val="列出段落1"/>
    <w:basedOn w:val="1"/>
    <w:qFormat/>
    <w:uiPriority w:val="34"/>
    <w:pPr>
      <w:ind w:firstLine="420" w:firstLineChars="200"/>
    </w:pPr>
    <w:rPr>
      <w:rFonts w:asciiTheme="minorHAnsi" w:hAnsiTheme="minorHAnsi" w:eastAsiaTheme="minorEastAsia" w:cstheme="minorBidi"/>
      <w:szCs w:val="22"/>
    </w:rPr>
  </w:style>
  <w:style w:type="paragraph" w:customStyle="1" w:styleId="178">
    <w:name w:val="段落"/>
    <w:qFormat/>
    <w:uiPriority w:val="0"/>
    <w:pPr>
      <w:adjustRightInd w:val="0"/>
      <w:snapToGrid w:val="0"/>
      <w:spacing w:before="120" w:after="120" w:line="360" w:lineRule="auto"/>
      <w:ind w:firstLine="560" w:firstLineChars="200"/>
      <w:jc w:val="both"/>
    </w:pPr>
    <w:rPr>
      <w:rFonts w:ascii="Times New Roman" w:hAnsi="Times New Roman" w:eastAsia="仿宋_GB2312" w:cs="Times New Roman"/>
      <w:kern w:val="2"/>
      <w:sz w:val="28"/>
      <w:szCs w:val="24"/>
      <w:lang w:val="en-US" w:eastAsia="zh-CN" w:bidi="ar-SA"/>
    </w:rPr>
  </w:style>
  <w:style w:type="paragraph" w:customStyle="1" w:styleId="179">
    <w:name w:val="首行缩进"/>
    <w:basedOn w:val="1"/>
    <w:qFormat/>
    <w:uiPriority w:val="0"/>
    <w:pPr>
      <w:ind w:firstLine="480" w:firstLineChars="200"/>
    </w:pPr>
    <w:rPr>
      <w:rFonts w:asciiTheme="minorHAnsi" w:hAnsiTheme="minorHAnsi" w:eastAsiaTheme="minorEastAsia" w:cstheme="minorBidi"/>
      <w:szCs w:val="22"/>
      <w:lang w:val="zh-CN"/>
    </w:rPr>
  </w:style>
  <w:style w:type="character" w:customStyle="1" w:styleId="180">
    <w:name w:val="未处理的提及9"/>
    <w:basedOn w:val="41"/>
    <w:semiHidden/>
    <w:unhideWhenUsed/>
    <w:qFormat/>
    <w:uiPriority w:val="99"/>
    <w:rPr>
      <w:color w:val="605E5C"/>
      <w:shd w:val="clear" w:color="auto" w:fill="E1DFDD"/>
    </w:rPr>
  </w:style>
  <w:style w:type="paragraph" w:customStyle="1" w:styleId="181">
    <w:name w:val="列表段落1"/>
    <w:basedOn w:val="1"/>
    <w:qFormat/>
    <w:uiPriority w:val="99"/>
    <w:pPr>
      <w:ind w:firstLine="420" w:firstLineChars="200"/>
    </w:pPr>
    <w:rPr>
      <w:rFonts w:ascii="Calibri" w:hAnsi="Calibri" w:eastAsia="宋体" w:cs="Calibri"/>
    </w:rPr>
  </w:style>
  <w:style w:type="character" w:customStyle="1" w:styleId="182">
    <w:name w:val="纯文本 字符1"/>
    <w:basedOn w:val="41"/>
    <w:qFormat/>
    <w:uiPriority w:val="0"/>
    <w:rPr>
      <w:rFonts w:ascii="宋体" w:hAnsi="Courier New" w:eastAsia="宋体" w:cs="Times New Roman"/>
      <w:szCs w:val="24"/>
      <w:lang w:val="zh-CN"/>
    </w:rPr>
  </w:style>
  <w:style w:type="table" w:customStyle="1" w:styleId="183">
    <w:name w:val="Table Normal"/>
    <w:semiHidden/>
    <w:unhideWhenUsed/>
    <w:qFormat/>
    <w:uiPriority w:val="0"/>
    <w:rPr>
      <w:rFonts w:ascii="Arial" w:hAnsi="Arial" w:cs="Arial"/>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28884-2311-4820-AFD9-9513B9F6DE16}">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11178</Words>
  <Characters>12217</Characters>
  <Lines>199</Lines>
  <Paragraphs>56</Paragraphs>
  <TotalTime>0</TotalTime>
  <ScaleCrop>false</ScaleCrop>
  <LinksUpToDate>false</LinksUpToDate>
  <CharactersWithSpaces>12375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2024-09-02T06:41:00Z</dcterms:created>
  <dc:creator>Zuzu</dc:creator>
  <cp:lastModifiedBy>。。。</cp:lastModifiedBy>
  <cp:lastPrinted>2025-07-15T01:38:00Z</cp:lastPrinted>
  <dcterms:modified xsi:type="dcterms:W3CDTF">2025-09-08T11:49:37Z</dcterms:modified>
  <cp:revision>197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B4DF3DBC4C864BB4AE3D8EFFF454FD8F_13</vt:lpwstr>
  </property>
  <property fmtid="{D5CDD505-2E9C-101B-9397-08002B2CF9AE}" pid="3" name="KSOProductBuildVer">
    <vt:lpwstr>2052-12.1.0.22529</vt:lpwstr>
  </property>
  <property fmtid="{D5CDD505-2E9C-101B-9397-08002B2CF9AE}" pid="4" name="KSOTemplateDocerSaveRecord">
    <vt:lpwstr>eyJoZGlkIjoiNzY3YzJhN2U2MTIyZmY2YTNiODNiNDI3NzFhZDhkYzciLCJ1c2VySWQiOiI1NTQ2NTQzMDUifQ==</vt:lpwstr>
  </property>
</Properties>
</file>