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BCD8A">
      <w:pPr>
        <w:pStyle w:val="2"/>
        <w:jc w:val="right"/>
        <w:rPr>
          <w:rFonts w:hint="eastAsia" w:ascii="等线" w:hAnsi="等线" w:eastAsia="宋体" w:cs="等线"/>
          <w:color w:val="auto"/>
          <w:sz w:val="20"/>
          <w:highlight w:val="none"/>
          <w:lang w:eastAsia="zh-CN"/>
        </w:rPr>
      </w:pPr>
      <w:r>
        <w:rPr>
          <w:rFonts w:hint="eastAsia"/>
          <w:b/>
          <w:color w:val="auto"/>
          <w:highlight w:val="none"/>
        </w:rPr>
        <w:t>代理机构自编号：</w:t>
      </w:r>
      <w:r>
        <w:rPr>
          <w:rFonts w:hint="eastAsia"/>
          <w:color w:val="auto"/>
          <w:sz w:val="44"/>
          <w:szCs w:val="44"/>
          <w:highlight w:val="none"/>
        </w:rPr>
        <w:drawing>
          <wp:anchor distT="0" distB="0" distL="114300" distR="114300" simplePos="0" relativeHeight="251659264" behindDoc="1" locked="0" layoutInCell="1" allowOverlap="1">
            <wp:simplePos x="0" y="0"/>
            <wp:positionH relativeFrom="column">
              <wp:posOffset>-135255</wp:posOffset>
            </wp:positionH>
            <wp:positionV relativeFrom="paragraph">
              <wp:posOffset>-137795</wp:posOffset>
            </wp:positionV>
            <wp:extent cx="860425" cy="920750"/>
            <wp:effectExtent l="0" t="0" r="15875" b="12700"/>
            <wp:wrapTight wrapText="bothSides">
              <wp:wrapPolygon>
                <wp:start x="21592" y="-2"/>
                <wp:lineTo x="0" y="0"/>
                <wp:lineTo x="0" y="21600"/>
                <wp:lineTo x="21592" y="21602"/>
                <wp:lineTo x="8" y="21602"/>
                <wp:lineTo x="21600" y="21600"/>
                <wp:lineTo x="21600" y="0"/>
                <wp:lineTo x="8" y="-2"/>
                <wp:lineTo x="21592" y="-2"/>
              </wp:wrapPolygon>
            </wp:wrapTight>
            <wp:docPr id="1" name="图片 3"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透明logo"/>
                    <pic:cNvPicPr>
                      <a:picLocks noChangeAspect="1"/>
                    </pic:cNvPicPr>
                  </pic:nvPicPr>
                  <pic:blipFill>
                    <a:blip r:embed="rId19"/>
                    <a:stretch>
                      <a:fillRect/>
                    </a:stretch>
                  </pic:blipFill>
                  <pic:spPr>
                    <a:xfrm>
                      <a:off x="0" y="0"/>
                      <a:ext cx="860425" cy="920750"/>
                    </a:xfrm>
                    <a:prstGeom prst="rect">
                      <a:avLst/>
                    </a:prstGeom>
                    <a:noFill/>
                    <a:ln>
                      <a:noFill/>
                    </a:ln>
                  </pic:spPr>
                </pic:pic>
              </a:graphicData>
            </a:graphic>
          </wp:anchor>
        </w:drawing>
      </w:r>
      <w:r>
        <w:rPr>
          <w:rFonts w:hint="eastAsia"/>
          <w:b/>
          <w:color w:val="auto"/>
          <w:highlight w:val="none"/>
          <w:lang w:eastAsia="zh-CN"/>
        </w:rPr>
        <w:t>YDCTF20261225</w:t>
      </w:r>
    </w:p>
    <w:p w14:paraId="62EC6BDB">
      <w:pPr>
        <w:pStyle w:val="2"/>
        <w:rPr>
          <w:rFonts w:ascii="等线" w:hAnsi="等线" w:eastAsia="等线" w:cs="等线"/>
          <w:color w:val="auto"/>
          <w:sz w:val="20"/>
          <w:highlight w:val="none"/>
        </w:rPr>
      </w:pPr>
    </w:p>
    <w:p w14:paraId="5A92E883">
      <w:pPr>
        <w:pStyle w:val="2"/>
        <w:rPr>
          <w:rFonts w:ascii="等线" w:hAnsi="等线" w:eastAsia="等线" w:cs="等线"/>
          <w:color w:val="auto"/>
          <w:sz w:val="20"/>
          <w:highlight w:val="none"/>
        </w:rPr>
      </w:pPr>
    </w:p>
    <w:p w14:paraId="14783CF5">
      <w:pPr>
        <w:pStyle w:val="2"/>
        <w:rPr>
          <w:rFonts w:cs="等线"/>
          <w:color w:val="auto"/>
          <w:sz w:val="20"/>
          <w:highlight w:val="none"/>
        </w:rPr>
      </w:pPr>
    </w:p>
    <w:p w14:paraId="4BE729C3">
      <w:pPr>
        <w:tabs>
          <w:tab w:val="left" w:pos="3558"/>
        </w:tabs>
        <w:spacing w:before="174"/>
        <w:jc w:val="center"/>
        <w:rPr>
          <w:rFonts w:hint="eastAsia" w:hAnsi="宋体" w:eastAsia="宋体" w:cs="等线"/>
          <w:b/>
          <w:color w:val="auto"/>
          <w:sz w:val="52"/>
          <w:szCs w:val="52"/>
          <w:highlight w:val="none"/>
          <w:lang w:eastAsia="zh-CN"/>
        </w:rPr>
      </w:pPr>
      <w:r>
        <w:rPr>
          <w:rFonts w:hint="eastAsia" w:hAnsi="宋体" w:cs="等线"/>
          <w:b/>
          <w:color w:val="auto"/>
          <w:sz w:val="44"/>
          <w:szCs w:val="44"/>
          <w:highlight w:val="none"/>
          <w:lang w:eastAsia="zh-CN"/>
        </w:rPr>
        <w:t>数字云南展示中心数字能源展区综合硬件运行维护</w:t>
      </w:r>
    </w:p>
    <w:p w14:paraId="0893104C">
      <w:pPr>
        <w:pStyle w:val="2"/>
        <w:spacing w:before="2"/>
        <w:rPr>
          <w:rFonts w:cs="等线"/>
          <w:color w:val="auto"/>
          <w:sz w:val="23"/>
          <w:highlight w:val="none"/>
        </w:rPr>
      </w:pPr>
    </w:p>
    <w:p w14:paraId="44570D56">
      <w:pPr>
        <w:keepNext/>
        <w:keepLines/>
        <w:pageBreakBefore w:val="0"/>
        <w:widowControl w:val="0"/>
        <w:kinsoku/>
        <w:wordWrap/>
        <w:overflowPunct/>
        <w:topLinePunct w:val="0"/>
        <w:autoSpaceDE/>
        <w:autoSpaceDN/>
        <w:bidi w:val="0"/>
        <w:adjustRightInd/>
        <w:snapToGrid/>
        <w:jc w:val="both"/>
        <w:textAlignment w:val="auto"/>
        <w:outlineLvl w:val="9"/>
        <w:rPr>
          <w:rFonts w:hAnsi="宋体" w:cs="等线"/>
          <w:color w:val="auto"/>
          <w:sz w:val="28"/>
          <w:highlight w:val="none"/>
        </w:rPr>
      </w:pPr>
    </w:p>
    <w:p w14:paraId="2F0050F5">
      <w:pPr>
        <w:pStyle w:val="9"/>
        <w:ind w:left="0" w:leftChars="0" w:firstLine="0" w:firstLineChars="0"/>
        <w:rPr>
          <w:color w:val="auto"/>
          <w:highlight w:val="none"/>
        </w:rPr>
      </w:pPr>
    </w:p>
    <w:p w14:paraId="19C6C8D8">
      <w:pPr>
        <w:pStyle w:val="2"/>
        <w:rPr>
          <w:rFonts w:cs="等线"/>
          <w:color w:val="auto"/>
          <w:sz w:val="20"/>
          <w:highlight w:val="none"/>
        </w:rPr>
      </w:pPr>
    </w:p>
    <w:p w14:paraId="0435C84D">
      <w:pPr>
        <w:rPr>
          <w:rFonts w:cs="等线"/>
          <w:color w:val="auto"/>
          <w:sz w:val="20"/>
          <w:highlight w:val="none"/>
        </w:rPr>
      </w:pPr>
    </w:p>
    <w:p w14:paraId="00BC26D8">
      <w:pPr>
        <w:pStyle w:val="2"/>
        <w:rPr>
          <w:rFonts w:cs="等线"/>
          <w:color w:val="auto"/>
          <w:sz w:val="20"/>
          <w:highlight w:val="none"/>
        </w:rPr>
      </w:pPr>
    </w:p>
    <w:p w14:paraId="07A764C9">
      <w:pPr>
        <w:pStyle w:val="2"/>
        <w:rPr>
          <w:rFonts w:cs="等线"/>
          <w:color w:val="auto"/>
          <w:sz w:val="20"/>
          <w:highlight w:val="none"/>
        </w:rPr>
      </w:pPr>
    </w:p>
    <w:p w14:paraId="0C10FDC8">
      <w:pPr>
        <w:spacing w:before="106"/>
        <w:ind w:left="3" w:right="4"/>
        <w:jc w:val="center"/>
        <w:rPr>
          <w:rFonts w:hAnsi="宋体" w:cs="等线"/>
          <w:b/>
          <w:color w:val="auto"/>
          <w:sz w:val="96"/>
          <w:szCs w:val="96"/>
          <w:highlight w:val="none"/>
        </w:rPr>
      </w:pPr>
      <w:r>
        <w:rPr>
          <w:rFonts w:hint="eastAsia" w:hAnsi="宋体" w:cs="等线"/>
          <w:b/>
          <w:color w:val="auto"/>
          <w:sz w:val="96"/>
          <w:szCs w:val="96"/>
          <w:highlight w:val="none"/>
        </w:rPr>
        <w:t>单一来源采购文件</w:t>
      </w:r>
    </w:p>
    <w:p w14:paraId="4220AC6C">
      <w:pPr>
        <w:pStyle w:val="2"/>
        <w:spacing w:before="317" w:beforeLines="100"/>
        <w:jc w:val="center"/>
        <w:rPr>
          <w:rFonts w:cs="等线"/>
          <w:color w:val="auto"/>
          <w:sz w:val="44"/>
          <w:highlight w:val="none"/>
        </w:rPr>
      </w:pPr>
      <w:r>
        <w:rPr>
          <w:rFonts w:hint="eastAsia" w:cs="等线"/>
          <w:b/>
          <w:bCs w:val="0"/>
          <w:color w:val="auto"/>
          <w:sz w:val="44"/>
          <w:highlight w:val="none"/>
        </w:rPr>
        <w:t>（项目编号：YNZC2026-D3-05339-YYZX-0520）</w:t>
      </w:r>
    </w:p>
    <w:p w14:paraId="3C4CD4FD">
      <w:pPr>
        <w:pStyle w:val="2"/>
        <w:rPr>
          <w:rFonts w:cs="等线"/>
          <w:color w:val="auto"/>
          <w:sz w:val="44"/>
          <w:highlight w:val="none"/>
        </w:rPr>
      </w:pPr>
    </w:p>
    <w:p w14:paraId="7074141F">
      <w:pPr>
        <w:pStyle w:val="2"/>
        <w:rPr>
          <w:rFonts w:cs="等线"/>
          <w:color w:val="auto"/>
          <w:sz w:val="44"/>
          <w:highlight w:val="none"/>
        </w:rPr>
      </w:pPr>
    </w:p>
    <w:p w14:paraId="061C618C">
      <w:pPr>
        <w:pStyle w:val="2"/>
        <w:rPr>
          <w:rFonts w:cs="等线"/>
          <w:color w:val="auto"/>
          <w:sz w:val="44"/>
          <w:highlight w:val="none"/>
        </w:rPr>
      </w:pPr>
    </w:p>
    <w:p w14:paraId="3799DC57">
      <w:pPr>
        <w:rPr>
          <w:color w:val="auto"/>
          <w:highlight w:val="none"/>
        </w:rPr>
      </w:pPr>
    </w:p>
    <w:p w14:paraId="138B6DBC">
      <w:pPr>
        <w:pStyle w:val="2"/>
        <w:rPr>
          <w:color w:val="auto"/>
          <w:highlight w:val="none"/>
        </w:rPr>
      </w:pPr>
    </w:p>
    <w:p w14:paraId="381439FE">
      <w:pPr>
        <w:rPr>
          <w:color w:val="auto"/>
          <w:highlight w:val="none"/>
        </w:rPr>
      </w:pPr>
    </w:p>
    <w:p w14:paraId="662758E0">
      <w:pPr>
        <w:rPr>
          <w:color w:val="auto"/>
          <w:highlight w:val="none"/>
        </w:rPr>
      </w:pPr>
    </w:p>
    <w:p w14:paraId="4EBECAB0">
      <w:pPr>
        <w:pStyle w:val="2"/>
        <w:spacing w:before="7"/>
        <w:rPr>
          <w:rFonts w:cs="等线"/>
          <w:color w:val="auto"/>
          <w:sz w:val="33"/>
          <w:highlight w:val="none"/>
        </w:rPr>
      </w:pPr>
    </w:p>
    <w:p w14:paraId="00F5ECED">
      <w:pPr>
        <w:rPr>
          <w:color w:val="auto"/>
          <w:highlight w:val="none"/>
        </w:rPr>
      </w:pPr>
    </w:p>
    <w:p w14:paraId="0DA084D6">
      <w:pPr>
        <w:tabs>
          <w:tab w:val="left" w:pos="2593"/>
        </w:tabs>
        <w:spacing w:before="1" w:line="360" w:lineRule="auto"/>
        <w:ind w:left="2" w:leftChars="1" w:firstLine="1285" w:firstLineChars="400"/>
        <w:rPr>
          <w:rFonts w:hAnsi="宋体" w:cs="等线"/>
          <w:b/>
          <w:color w:val="auto"/>
          <w:sz w:val="32"/>
          <w:szCs w:val="32"/>
          <w:highlight w:val="none"/>
        </w:rPr>
      </w:pPr>
      <w:r>
        <w:rPr>
          <w:rFonts w:hint="eastAsia" w:hAnsi="宋体" w:cs="等线"/>
          <w:b/>
          <w:color w:val="auto"/>
          <w:sz w:val="32"/>
          <w:szCs w:val="32"/>
          <w:highlight w:val="none"/>
        </w:rPr>
        <w:t>采购人：</w:t>
      </w:r>
      <w:r>
        <w:rPr>
          <w:rFonts w:hint="eastAsia" w:hAnsi="宋体" w:cs="等线"/>
          <w:b/>
          <w:color w:val="auto"/>
          <w:sz w:val="32"/>
          <w:szCs w:val="32"/>
          <w:highlight w:val="none"/>
          <w:lang w:eastAsia="zh-CN"/>
        </w:rPr>
        <w:t>云南省能源局</w:t>
      </w:r>
    </w:p>
    <w:p w14:paraId="72BF7AA1">
      <w:pPr>
        <w:tabs>
          <w:tab w:val="left" w:pos="2593"/>
        </w:tabs>
        <w:spacing w:before="1" w:line="360" w:lineRule="auto"/>
        <w:ind w:left="2" w:leftChars="1" w:firstLine="1285" w:firstLineChars="400"/>
        <w:rPr>
          <w:rFonts w:hAnsi="宋体" w:cs="等线"/>
          <w:b/>
          <w:color w:val="auto"/>
          <w:sz w:val="32"/>
          <w:szCs w:val="32"/>
          <w:highlight w:val="none"/>
        </w:rPr>
      </w:pPr>
      <w:r>
        <w:rPr>
          <w:rFonts w:hint="eastAsia" w:hAnsi="宋体" w:cs="等线"/>
          <w:b/>
          <w:color w:val="auto"/>
          <w:sz w:val="32"/>
          <w:szCs w:val="32"/>
          <w:highlight w:val="none"/>
        </w:rPr>
        <w:t>采购代理机构：云南元大工程咨询有限责任公司</w:t>
      </w:r>
    </w:p>
    <w:p w14:paraId="7CA76013">
      <w:pPr>
        <w:tabs>
          <w:tab w:val="left" w:pos="3611"/>
          <w:tab w:val="left" w:pos="4054"/>
          <w:tab w:val="left" w:pos="4789"/>
        </w:tabs>
        <w:spacing w:before="15" w:line="360" w:lineRule="auto"/>
        <w:ind w:firstLine="1285" w:firstLineChars="400"/>
        <w:rPr>
          <w:rFonts w:hAnsi="宋体"/>
          <w:b/>
          <w:color w:val="auto"/>
          <w:sz w:val="40"/>
          <w:szCs w:val="40"/>
          <w:highlight w:val="none"/>
        </w:rPr>
        <w:sectPr>
          <w:headerReference r:id="rId4" w:type="first"/>
          <w:headerReference r:id="rId3" w:type="default"/>
          <w:footerReference r:id="rId5" w:type="default"/>
          <w:footerReference r:id="rId6" w:type="even"/>
          <w:pgSz w:w="11905" w:h="16838"/>
          <w:pgMar w:top="1440" w:right="1083" w:bottom="1440" w:left="1083" w:header="850" w:footer="992" w:gutter="0"/>
          <w:pgNumType w:start="0"/>
          <w:cols w:space="720" w:num="1"/>
          <w:docGrid w:type="lines" w:linePitch="317" w:charSpace="0"/>
        </w:sectPr>
      </w:pPr>
      <w:r>
        <w:rPr>
          <w:rFonts w:hint="eastAsia" w:hAnsi="宋体" w:cs="等线"/>
          <w:b/>
          <w:color w:val="auto"/>
          <w:sz w:val="32"/>
          <w:szCs w:val="32"/>
          <w:highlight w:val="none"/>
        </w:rPr>
        <w:t>日  期：2026年</w:t>
      </w:r>
      <w:r>
        <w:rPr>
          <w:rFonts w:hint="eastAsia" w:hAnsi="宋体" w:cs="等线"/>
          <w:b/>
          <w:color w:val="auto"/>
          <w:sz w:val="32"/>
          <w:szCs w:val="32"/>
          <w:highlight w:val="none"/>
          <w:lang w:val="en-US" w:eastAsia="zh-CN"/>
        </w:rPr>
        <w:t>9</w:t>
      </w:r>
      <w:r>
        <w:rPr>
          <w:rFonts w:hint="eastAsia" w:hAnsi="宋体" w:cs="等线"/>
          <w:b/>
          <w:color w:val="auto"/>
          <w:sz w:val="32"/>
          <w:szCs w:val="32"/>
          <w:highlight w:val="none"/>
        </w:rPr>
        <w:t>月</w:t>
      </w:r>
    </w:p>
    <w:p w14:paraId="3681FD92">
      <w:pPr>
        <w:jc w:val="center"/>
        <w:rPr>
          <w:rFonts w:hAnsi="宋体"/>
          <w:b/>
          <w:bCs/>
          <w:color w:val="auto"/>
          <w:sz w:val="44"/>
          <w:szCs w:val="44"/>
          <w:highlight w:val="none"/>
        </w:rPr>
      </w:pPr>
      <w:bookmarkStart w:id="0" w:name="_Toc122530369"/>
      <w:bookmarkStart w:id="1" w:name="_Toc4685083"/>
      <w:r>
        <w:rPr>
          <w:rFonts w:hint="eastAsia" w:hAnsi="宋体"/>
          <w:b/>
          <w:bCs/>
          <w:color w:val="auto"/>
          <w:sz w:val="44"/>
          <w:szCs w:val="44"/>
          <w:highlight w:val="none"/>
        </w:rPr>
        <w:t>目  录</w:t>
      </w:r>
    </w:p>
    <w:p w14:paraId="25256513">
      <w:pPr>
        <w:pStyle w:val="24"/>
        <w:tabs>
          <w:tab w:val="right" w:leader="dot" w:pos="9739"/>
          <w:tab w:val="clear" w:pos="9356"/>
        </w:tabs>
        <w:spacing w:line="420" w:lineRule="exact"/>
        <w:rPr>
          <w:rFonts w:cs="宋体"/>
          <w:b/>
          <w:bCs/>
          <w:color w:val="auto"/>
          <w:highlight w:val="none"/>
        </w:rPr>
      </w:pPr>
      <w:bookmarkStart w:id="2" w:name="_Toc25108"/>
      <w:bookmarkEnd w:id="2"/>
      <w:bookmarkStart w:id="3" w:name="_Toc29067"/>
      <w:bookmarkEnd w:id="3"/>
      <w:r>
        <w:rPr>
          <w:rFonts w:cs="宋体"/>
          <w:color w:val="auto"/>
          <w:highlight w:val="none"/>
        </w:rPr>
        <w:fldChar w:fldCharType="begin"/>
      </w:r>
      <w:r>
        <w:rPr>
          <w:rFonts w:cs="宋体"/>
          <w:color w:val="auto"/>
          <w:highlight w:val="none"/>
        </w:rPr>
        <w:instrText xml:space="preserve"> TOC \o "1-3" \h \z \u </w:instrText>
      </w:r>
      <w:r>
        <w:rPr>
          <w:rFonts w:cs="宋体"/>
          <w:color w:val="auto"/>
          <w:highlight w:val="none"/>
        </w:rPr>
        <w:fldChar w:fldCharType="separate"/>
      </w:r>
      <w:r>
        <w:rPr>
          <w:color w:val="auto"/>
          <w:highlight w:val="none"/>
        </w:rPr>
        <w:fldChar w:fldCharType="begin"/>
      </w:r>
      <w:r>
        <w:rPr>
          <w:color w:val="auto"/>
          <w:highlight w:val="none"/>
        </w:rPr>
        <w:instrText xml:space="preserve"> HYPERLINK \l "_Toc14498" </w:instrText>
      </w:r>
      <w:r>
        <w:rPr>
          <w:color w:val="auto"/>
          <w:highlight w:val="none"/>
        </w:rPr>
        <w:fldChar w:fldCharType="separate"/>
      </w:r>
      <w:r>
        <w:rPr>
          <w:rFonts w:hint="eastAsia" w:cs="宋体"/>
          <w:b/>
          <w:bCs/>
          <w:color w:val="auto"/>
          <w:highlight w:val="none"/>
        </w:rPr>
        <w:t>第一章  单一来源采购邀请书</w:t>
      </w:r>
      <w:r>
        <w:rPr>
          <w:rFonts w:hint="eastAsia" w:cs="宋体"/>
          <w:b/>
          <w:bCs/>
          <w:color w:val="auto"/>
          <w:highlight w:val="none"/>
        </w:rPr>
        <w:tab/>
      </w:r>
      <w:r>
        <w:rPr>
          <w:rFonts w:hint="eastAsia" w:cs="宋体"/>
          <w:b/>
          <w:bCs/>
          <w:color w:val="auto"/>
          <w:highlight w:val="none"/>
        </w:rPr>
        <w:fldChar w:fldCharType="begin"/>
      </w:r>
      <w:r>
        <w:rPr>
          <w:rFonts w:hint="eastAsia" w:cs="宋体"/>
          <w:b/>
          <w:bCs/>
          <w:color w:val="auto"/>
          <w:highlight w:val="none"/>
        </w:rPr>
        <w:instrText xml:space="preserve"> PAGEREF _Toc14498 \h </w:instrText>
      </w:r>
      <w:r>
        <w:rPr>
          <w:rFonts w:hint="eastAsia" w:cs="宋体"/>
          <w:b/>
          <w:bCs/>
          <w:color w:val="auto"/>
          <w:highlight w:val="none"/>
        </w:rPr>
        <w:fldChar w:fldCharType="separate"/>
      </w:r>
      <w:r>
        <w:rPr>
          <w:rFonts w:hint="eastAsia" w:cs="宋体"/>
          <w:b/>
          <w:bCs/>
          <w:color w:val="auto"/>
          <w:highlight w:val="none"/>
        </w:rPr>
        <w:t>1</w:t>
      </w:r>
      <w:r>
        <w:rPr>
          <w:rFonts w:hint="eastAsia" w:cs="宋体"/>
          <w:b/>
          <w:bCs/>
          <w:color w:val="auto"/>
          <w:highlight w:val="none"/>
        </w:rPr>
        <w:fldChar w:fldCharType="end"/>
      </w:r>
      <w:r>
        <w:rPr>
          <w:rFonts w:hint="eastAsia" w:cs="宋体"/>
          <w:b/>
          <w:bCs/>
          <w:color w:val="auto"/>
          <w:highlight w:val="none"/>
        </w:rPr>
        <w:fldChar w:fldCharType="end"/>
      </w:r>
    </w:p>
    <w:p w14:paraId="717BD4E6">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"_Toc3825" </w:instrText>
      </w:r>
      <w:r>
        <w:rPr>
          <w:color w:val="auto"/>
          <w:highlight w:val="none"/>
        </w:rPr>
        <w:fldChar w:fldCharType="separate"/>
      </w:r>
      <w:r>
        <w:rPr>
          <w:rFonts w:hint="eastAsia" w:ascii="宋体" w:hAnsi="宋体" w:cs="宋体"/>
          <w:bCs/>
          <w:color w:val="auto"/>
          <w:sz w:val="24"/>
          <w:szCs w:val="24"/>
          <w:highlight w:val="none"/>
        </w:rPr>
        <w:t>一、采购条件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_Toc3825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A9230E3">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"_Toc4018" </w:instrText>
      </w:r>
      <w:r>
        <w:rPr>
          <w:color w:val="auto"/>
          <w:highlight w:val="none"/>
        </w:rPr>
        <w:fldChar w:fldCharType="separate"/>
      </w:r>
      <w:r>
        <w:rPr>
          <w:rFonts w:hint="eastAsia" w:ascii="宋体" w:hAnsi="宋体" w:cs="宋体"/>
          <w:bCs/>
          <w:color w:val="auto"/>
          <w:sz w:val="24"/>
          <w:szCs w:val="24"/>
          <w:highlight w:val="none"/>
        </w:rPr>
        <w:t>二、项目基本情况</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_Toc4018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8C325E7">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"_Toc19608" </w:instrText>
      </w:r>
      <w:r>
        <w:rPr>
          <w:color w:val="auto"/>
          <w:highlight w:val="none"/>
        </w:rPr>
        <w:fldChar w:fldCharType="separate"/>
      </w:r>
      <w:r>
        <w:rPr>
          <w:rFonts w:hint="eastAsia" w:ascii="宋体" w:hAnsi="宋体" w:cs="宋体"/>
          <w:bCs/>
          <w:color w:val="auto"/>
          <w:sz w:val="24"/>
          <w:szCs w:val="24"/>
          <w:highlight w:val="none"/>
        </w:rPr>
        <w:t>三、供应商资格要求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_Toc19608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DA6C21E">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"_Toc14809" </w:instrText>
      </w:r>
      <w:r>
        <w:rPr>
          <w:color w:val="auto"/>
          <w:highlight w:val="none"/>
        </w:rPr>
        <w:fldChar w:fldCharType="separate"/>
      </w:r>
      <w:r>
        <w:rPr>
          <w:rFonts w:hint="eastAsia" w:ascii="宋体" w:hAnsi="宋体" w:cs="宋体"/>
          <w:bCs/>
          <w:color w:val="auto"/>
          <w:sz w:val="24"/>
          <w:szCs w:val="24"/>
          <w:highlight w:val="none"/>
        </w:rPr>
        <w:t>四、获取采购文件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_Toc14809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60E3A58">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"_Toc8685" </w:instrText>
      </w:r>
      <w:r>
        <w:rPr>
          <w:color w:val="auto"/>
          <w:highlight w:val="none"/>
        </w:rPr>
        <w:fldChar w:fldCharType="separate"/>
      </w:r>
      <w:r>
        <w:rPr>
          <w:rFonts w:hint="eastAsia" w:ascii="宋体" w:hAnsi="宋体" w:cs="宋体"/>
          <w:bCs/>
          <w:color w:val="auto"/>
          <w:sz w:val="24"/>
          <w:szCs w:val="24"/>
          <w:highlight w:val="none"/>
        </w:rPr>
        <w:t>五、响应文件提交</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_Toc8685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8B01197">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"_Toc18204" </w:instrText>
      </w:r>
      <w:r>
        <w:rPr>
          <w:color w:val="auto"/>
          <w:highlight w:val="none"/>
        </w:rPr>
        <w:fldChar w:fldCharType="separate"/>
      </w:r>
      <w:r>
        <w:rPr>
          <w:rFonts w:hint="eastAsia" w:ascii="宋体" w:hAnsi="宋体" w:cs="宋体"/>
          <w:bCs/>
          <w:color w:val="auto"/>
          <w:sz w:val="24"/>
          <w:szCs w:val="24"/>
          <w:highlight w:val="none"/>
        </w:rPr>
        <w:t>六、协商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_Toc18204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99CA845">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"_Toc14457" </w:instrText>
      </w:r>
      <w:r>
        <w:rPr>
          <w:color w:val="auto"/>
          <w:highlight w:val="none"/>
        </w:rPr>
        <w:fldChar w:fldCharType="separate"/>
      </w:r>
      <w:r>
        <w:rPr>
          <w:rFonts w:hint="eastAsia" w:ascii="宋体" w:hAnsi="宋体" w:cs="宋体"/>
          <w:bCs/>
          <w:color w:val="auto"/>
          <w:sz w:val="24"/>
          <w:szCs w:val="24"/>
          <w:highlight w:val="none"/>
        </w:rPr>
        <w:t>七、其他补充事宜</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_Toc14457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B53A13C">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"_Toc5651" </w:instrText>
      </w:r>
      <w:r>
        <w:rPr>
          <w:color w:val="auto"/>
          <w:highlight w:val="none"/>
        </w:rPr>
        <w:fldChar w:fldCharType="separate"/>
      </w:r>
      <w:r>
        <w:rPr>
          <w:rFonts w:hint="eastAsia" w:ascii="宋体" w:hAnsi="宋体" w:cs="宋体"/>
          <w:bCs/>
          <w:color w:val="auto"/>
          <w:sz w:val="24"/>
          <w:szCs w:val="24"/>
          <w:highlight w:val="none"/>
        </w:rPr>
        <w:t>八、凡对本次采购提出询问，请按以下方式联系</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_Toc5651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0BFBDF4">
      <w:pPr>
        <w:pStyle w:val="24"/>
        <w:tabs>
          <w:tab w:val="right" w:leader="dot" w:pos="9739"/>
          <w:tab w:val="clear" w:pos="9356"/>
        </w:tabs>
        <w:spacing w:line="420" w:lineRule="exact"/>
        <w:rPr>
          <w:rFonts w:cs="宋体"/>
          <w:b/>
          <w:bCs/>
          <w:color w:val="auto"/>
          <w:highlight w:val="none"/>
        </w:rPr>
      </w:pPr>
      <w:r>
        <w:rPr>
          <w:color w:val="auto"/>
          <w:highlight w:val="none"/>
        </w:rPr>
        <w:fldChar w:fldCharType="begin"/>
      </w:r>
      <w:r>
        <w:rPr>
          <w:color w:val="auto"/>
          <w:highlight w:val="none"/>
        </w:rPr>
        <w:instrText xml:space="preserve"> HYPERLINK \l "_Toc10979" </w:instrText>
      </w:r>
      <w:r>
        <w:rPr>
          <w:color w:val="auto"/>
          <w:highlight w:val="none"/>
        </w:rPr>
        <w:fldChar w:fldCharType="separate"/>
      </w:r>
      <w:r>
        <w:rPr>
          <w:rFonts w:hint="eastAsia" w:cs="宋体"/>
          <w:b/>
          <w:bCs/>
          <w:color w:val="auto"/>
          <w:highlight w:val="none"/>
        </w:rPr>
        <w:t>第二章  供应商须知</w:t>
      </w:r>
      <w:r>
        <w:rPr>
          <w:rFonts w:hint="eastAsia" w:cs="宋体"/>
          <w:b/>
          <w:bCs/>
          <w:color w:val="auto"/>
          <w:highlight w:val="none"/>
        </w:rPr>
        <w:tab/>
      </w:r>
      <w:r>
        <w:rPr>
          <w:rFonts w:hint="eastAsia" w:cs="宋体"/>
          <w:b/>
          <w:bCs/>
          <w:color w:val="auto"/>
          <w:highlight w:val="none"/>
        </w:rPr>
        <w:fldChar w:fldCharType="begin"/>
      </w:r>
      <w:r>
        <w:rPr>
          <w:rFonts w:hint="eastAsia" w:cs="宋体"/>
          <w:b/>
          <w:bCs/>
          <w:color w:val="auto"/>
          <w:highlight w:val="none"/>
        </w:rPr>
        <w:instrText xml:space="preserve"> PAGEREF _Toc10979 \h </w:instrText>
      </w:r>
      <w:r>
        <w:rPr>
          <w:rFonts w:hint="eastAsia" w:cs="宋体"/>
          <w:b/>
          <w:bCs/>
          <w:color w:val="auto"/>
          <w:highlight w:val="none"/>
        </w:rPr>
        <w:fldChar w:fldCharType="separate"/>
      </w:r>
      <w:r>
        <w:rPr>
          <w:rFonts w:hint="eastAsia" w:cs="宋体"/>
          <w:b/>
          <w:bCs/>
          <w:color w:val="auto"/>
          <w:highlight w:val="none"/>
        </w:rPr>
        <w:t>5</w:t>
      </w:r>
      <w:r>
        <w:rPr>
          <w:rFonts w:hint="eastAsia" w:cs="宋体"/>
          <w:b/>
          <w:bCs/>
          <w:color w:val="auto"/>
          <w:highlight w:val="none"/>
        </w:rPr>
        <w:fldChar w:fldCharType="end"/>
      </w:r>
      <w:r>
        <w:rPr>
          <w:rFonts w:hint="eastAsia" w:cs="宋体"/>
          <w:b/>
          <w:bCs/>
          <w:color w:val="auto"/>
          <w:highlight w:val="none"/>
        </w:rPr>
        <w:fldChar w:fldCharType="end"/>
      </w:r>
    </w:p>
    <w:p w14:paraId="45067A9D">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"_Toc23436" </w:instrText>
      </w:r>
      <w:r>
        <w:rPr>
          <w:color w:val="auto"/>
          <w:highlight w:val="none"/>
        </w:rPr>
        <w:fldChar w:fldCharType="separate"/>
      </w:r>
      <w:r>
        <w:rPr>
          <w:rFonts w:hint="eastAsia" w:ascii="宋体" w:hAnsi="宋体" w:cs="宋体"/>
          <w:bCs/>
          <w:color w:val="auto"/>
          <w:sz w:val="24"/>
          <w:szCs w:val="24"/>
          <w:highlight w:val="none"/>
        </w:rPr>
        <w:t>供应商须知前附表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_Toc23436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48A677F">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"_Toc21622" </w:instrText>
      </w:r>
      <w:r>
        <w:rPr>
          <w:color w:val="auto"/>
          <w:highlight w:val="none"/>
        </w:rPr>
        <w:fldChar w:fldCharType="separate"/>
      </w:r>
      <w:r>
        <w:rPr>
          <w:rFonts w:hint="eastAsia" w:ascii="宋体" w:hAnsi="宋体" w:cs="宋体"/>
          <w:color w:val="auto"/>
          <w:sz w:val="24"/>
          <w:szCs w:val="24"/>
          <w:highlight w:val="none"/>
        </w:rPr>
        <w:t>1. 总则</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_Toc21622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3AB7A7A">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"_Toc117" </w:instrText>
      </w:r>
      <w:r>
        <w:rPr>
          <w:color w:val="auto"/>
          <w:highlight w:val="none"/>
        </w:rPr>
        <w:fldChar w:fldCharType="separate"/>
      </w:r>
      <w:r>
        <w:rPr>
          <w:rFonts w:hint="eastAsia" w:ascii="宋体" w:hAnsi="宋体" w:cs="宋体"/>
          <w:color w:val="auto"/>
          <w:sz w:val="24"/>
          <w:szCs w:val="24"/>
          <w:highlight w:val="none"/>
        </w:rPr>
        <w:t>2. 单一来源采购文件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5CBA4B5">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"_Toc20984" </w:instrText>
      </w:r>
      <w:r>
        <w:rPr>
          <w:color w:val="auto"/>
          <w:highlight w:val="none"/>
        </w:rPr>
        <w:fldChar w:fldCharType="separate"/>
      </w:r>
      <w:r>
        <w:rPr>
          <w:rFonts w:hint="eastAsia" w:ascii="宋体" w:hAnsi="宋体" w:cs="宋体"/>
          <w:color w:val="auto"/>
          <w:sz w:val="24"/>
          <w:szCs w:val="24"/>
          <w:highlight w:val="none"/>
        </w:rPr>
        <w:t>3. 响应文件的编制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_Toc20984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5DF9B0C">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"_Toc20447" </w:instrText>
      </w:r>
      <w:r>
        <w:rPr>
          <w:color w:val="auto"/>
          <w:highlight w:val="none"/>
        </w:rPr>
        <w:fldChar w:fldCharType="separate"/>
      </w:r>
      <w:r>
        <w:rPr>
          <w:rFonts w:hint="eastAsia" w:ascii="宋体" w:hAnsi="宋体" w:cs="宋体"/>
          <w:color w:val="auto"/>
          <w:sz w:val="24"/>
          <w:szCs w:val="24"/>
          <w:highlight w:val="none"/>
        </w:rPr>
        <w:t>4. 响应文件的提交</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_Toc20447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3BA9DE5">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"_Toc26121" </w:instrText>
      </w:r>
      <w:r>
        <w:rPr>
          <w:color w:val="auto"/>
          <w:highlight w:val="none"/>
        </w:rPr>
        <w:fldChar w:fldCharType="separate"/>
      </w:r>
      <w:r>
        <w:rPr>
          <w:rFonts w:hint="eastAsia" w:ascii="宋体" w:hAnsi="宋体" w:cs="宋体"/>
          <w:color w:val="auto"/>
          <w:sz w:val="24"/>
          <w:szCs w:val="24"/>
          <w:highlight w:val="none"/>
        </w:rPr>
        <w:t>5. 协商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_Toc26121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807B378">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"_Toc32348" </w:instrText>
      </w:r>
      <w:r>
        <w:rPr>
          <w:color w:val="auto"/>
          <w:highlight w:val="none"/>
        </w:rPr>
        <w:fldChar w:fldCharType="separate"/>
      </w:r>
      <w:r>
        <w:rPr>
          <w:rFonts w:hint="eastAsia" w:ascii="宋体" w:hAnsi="宋体" w:cs="宋体"/>
          <w:color w:val="auto"/>
          <w:sz w:val="24"/>
          <w:szCs w:val="24"/>
          <w:highlight w:val="none"/>
        </w:rPr>
        <w:t>6. 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_Toc32348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231EB97">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"_Toc17825" </w:instrText>
      </w:r>
      <w:r>
        <w:rPr>
          <w:color w:val="auto"/>
          <w:highlight w:val="none"/>
        </w:rPr>
        <w:fldChar w:fldCharType="separate"/>
      </w:r>
      <w:r>
        <w:rPr>
          <w:rFonts w:hint="eastAsia" w:ascii="宋体" w:hAnsi="宋体" w:cs="宋体"/>
          <w:color w:val="auto"/>
          <w:sz w:val="24"/>
          <w:szCs w:val="24"/>
          <w:highlight w:val="none"/>
        </w:rPr>
        <w:t>7. 纪律和监督</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_Toc17825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5AE9522">
      <w:pPr>
        <w:pStyle w:val="28"/>
        <w:tabs>
          <w:tab w:val="right" w:leader="dot" w:pos="9739"/>
          <w:tab w:val="clear" w:pos="9356"/>
        </w:tabs>
        <w:spacing w:line="420" w:lineRule="exact"/>
        <w:ind w:firstLine="40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"_Toc7429" </w:instrText>
      </w:r>
      <w:r>
        <w:rPr>
          <w:color w:val="auto"/>
          <w:highlight w:val="none"/>
        </w:rPr>
        <w:fldChar w:fldCharType="separate"/>
      </w:r>
      <w:r>
        <w:rPr>
          <w:rFonts w:hint="eastAsia" w:ascii="宋体" w:hAnsi="宋体" w:cs="宋体"/>
          <w:color w:val="auto"/>
          <w:sz w:val="24"/>
          <w:szCs w:val="24"/>
          <w:highlight w:val="none"/>
        </w:rPr>
        <w:t>8. 需要补充的其他内容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_Toc7429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53AC86C">
      <w:pPr>
        <w:pStyle w:val="24"/>
        <w:tabs>
          <w:tab w:val="right" w:leader="dot" w:pos="9739"/>
          <w:tab w:val="clear" w:pos="9356"/>
        </w:tabs>
        <w:spacing w:line="420" w:lineRule="exact"/>
        <w:rPr>
          <w:rFonts w:cs="宋体"/>
          <w:b/>
          <w:bCs/>
          <w:color w:val="auto"/>
          <w:highlight w:val="none"/>
        </w:rPr>
      </w:pPr>
      <w:r>
        <w:rPr>
          <w:color w:val="auto"/>
          <w:highlight w:val="none"/>
        </w:rPr>
        <w:fldChar w:fldCharType="begin"/>
      </w:r>
      <w:r>
        <w:rPr>
          <w:color w:val="auto"/>
          <w:highlight w:val="none"/>
        </w:rPr>
        <w:instrText xml:space="preserve"> HYPERLINK \l "_Toc13678" </w:instrText>
      </w:r>
      <w:r>
        <w:rPr>
          <w:color w:val="auto"/>
          <w:highlight w:val="none"/>
        </w:rPr>
        <w:fldChar w:fldCharType="separate"/>
      </w:r>
      <w:r>
        <w:rPr>
          <w:rFonts w:hint="eastAsia" w:cs="宋体"/>
          <w:b/>
          <w:bCs/>
          <w:color w:val="auto"/>
          <w:highlight w:val="none"/>
        </w:rPr>
        <w:t>第三章  协商程序和方法</w:t>
      </w:r>
      <w:r>
        <w:rPr>
          <w:rFonts w:hint="eastAsia" w:cs="宋体"/>
          <w:b/>
          <w:bCs/>
          <w:color w:val="auto"/>
          <w:highlight w:val="none"/>
        </w:rPr>
        <w:tab/>
      </w:r>
      <w:r>
        <w:rPr>
          <w:rFonts w:hint="eastAsia" w:cs="宋体"/>
          <w:b/>
          <w:bCs/>
          <w:color w:val="auto"/>
          <w:highlight w:val="none"/>
        </w:rPr>
        <w:fldChar w:fldCharType="begin"/>
      </w:r>
      <w:r>
        <w:rPr>
          <w:rFonts w:hint="eastAsia" w:cs="宋体"/>
          <w:b/>
          <w:bCs/>
          <w:color w:val="auto"/>
          <w:highlight w:val="none"/>
        </w:rPr>
        <w:instrText xml:space="preserve"> PAGEREF _Toc13678 \h </w:instrText>
      </w:r>
      <w:r>
        <w:rPr>
          <w:rFonts w:hint="eastAsia" w:cs="宋体"/>
          <w:b/>
          <w:bCs/>
          <w:color w:val="auto"/>
          <w:highlight w:val="none"/>
        </w:rPr>
        <w:fldChar w:fldCharType="separate"/>
      </w:r>
      <w:r>
        <w:rPr>
          <w:rFonts w:hint="eastAsia" w:cs="宋体"/>
          <w:b/>
          <w:bCs/>
          <w:color w:val="auto"/>
          <w:highlight w:val="none"/>
        </w:rPr>
        <w:t>16</w:t>
      </w:r>
      <w:r>
        <w:rPr>
          <w:rFonts w:hint="eastAsia" w:cs="宋体"/>
          <w:b/>
          <w:bCs/>
          <w:color w:val="auto"/>
          <w:highlight w:val="none"/>
        </w:rPr>
        <w:fldChar w:fldCharType="end"/>
      </w:r>
      <w:r>
        <w:rPr>
          <w:rFonts w:hint="eastAsia" w:cs="宋体"/>
          <w:b/>
          <w:bCs/>
          <w:color w:val="auto"/>
          <w:highlight w:val="none"/>
        </w:rPr>
        <w:fldChar w:fldCharType="end"/>
      </w:r>
    </w:p>
    <w:p w14:paraId="71FFCB0F">
      <w:pPr>
        <w:pStyle w:val="24"/>
        <w:tabs>
          <w:tab w:val="right" w:leader="dot" w:pos="9739"/>
          <w:tab w:val="clear" w:pos="9356"/>
        </w:tabs>
        <w:spacing w:line="420" w:lineRule="exact"/>
        <w:rPr>
          <w:rFonts w:cs="宋体"/>
          <w:b/>
          <w:bCs/>
          <w:color w:val="auto"/>
          <w:highlight w:val="none"/>
        </w:rPr>
      </w:pPr>
      <w:r>
        <w:rPr>
          <w:color w:val="auto"/>
          <w:highlight w:val="none"/>
        </w:rPr>
        <w:fldChar w:fldCharType="begin"/>
      </w:r>
      <w:r>
        <w:rPr>
          <w:color w:val="auto"/>
          <w:highlight w:val="none"/>
        </w:rPr>
        <w:instrText xml:space="preserve"> HYPERLINK \l "_Toc15796" </w:instrText>
      </w:r>
      <w:r>
        <w:rPr>
          <w:color w:val="auto"/>
          <w:highlight w:val="none"/>
        </w:rPr>
        <w:fldChar w:fldCharType="separate"/>
      </w:r>
      <w:r>
        <w:rPr>
          <w:rFonts w:hint="eastAsia" w:cs="宋体"/>
          <w:b/>
          <w:bCs/>
          <w:color w:val="auto"/>
          <w:highlight w:val="none"/>
        </w:rPr>
        <w:t>第四章  服务内容及要求</w:t>
      </w:r>
      <w:r>
        <w:rPr>
          <w:rFonts w:hint="eastAsia" w:cs="宋体"/>
          <w:b/>
          <w:bCs/>
          <w:color w:val="auto"/>
          <w:highlight w:val="none"/>
        </w:rPr>
        <w:tab/>
      </w:r>
      <w:r>
        <w:rPr>
          <w:rFonts w:hint="eastAsia" w:cs="宋体"/>
          <w:b/>
          <w:bCs/>
          <w:color w:val="auto"/>
          <w:highlight w:val="none"/>
        </w:rPr>
        <w:fldChar w:fldCharType="begin"/>
      </w:r>
      <w:r>
        <w:rPr>
          <w:rFonts w:hint="eastAsia" w:cs="宋体"/>
          <w:b/>
          <w:bCs/>
          <w:color w:val="auto"/>
          <w:highlight w:val="none"/>
        </w:rPr>
        <w:instrText xml:space="preserve"> PAGEREF _Toc15796 \h </w:instrText>
      </w:r>
      <w:r>
        <w:rPr>
          <w:rFonts w:hint="eastAsia" w:cs="宋体"/>
          <w:b/>
          <w:bCs/>
          <w:color w:val="auto"/>
          <w:highlight w:val="none"/>
        </w:rPr>
        <w:fldChar w:fldCharType="separate"/>
      </w:r>
      <w:r>
        <w:rPr>
          <w:rFonts w:hint="eastAsia" w:cs="宋体"/>
          <w:b/>
          <w:bCs/>
          <w:color w:val="auto"/>
          <w:highlight w:val="none"/>
        </w:rPr>
        <w:t>21</w:t>
      </w:r>
      <w:r>
        <w:rPr>
          <w:rFonts w:hint="eastAsia" w:cs="宋体"/>
          <w:b/>
          <w:bCs/>
          <w:color w:val="auto"/>
          <w:highlight w:val="none"/>
        </w:rPr>
        <w:fldChar w:fldCharType="end"/>
      </w:r>
      <w:r>
        <w:rPr>
          <w:rFonts w:hint="eastAsia" w:cs="宋体"/>
          <w:b/>
          <w:bCs/>
          <w:color w:val="auto"/>
          <w:highlight w:val="none"/>
        </w:rPr>
        <w:fldChar w:fldCharType="end"/>
      </w:r>
    </w:p>
    <w:p w14:paraId="46CEE51E">
      <w:pPr>
        <w:pStyle w:val="24"/>
        <w:tabs>
          <w:tab w:val="right" w:leader="dot" w:pos="9739"/>
          <w:tab w:val="clear" w:pos="9356"/>
        </w:tabs>
        <w:spacing w:line="420" w:lineRule="exact"/>
        <w:rPr>
          <w:rFonts w:cs="宋体"/>
          <w:b/>
          <w:bCs/>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cs="宋体"/>
          <w:b/>
          <w:bCs/>
          <w:color w:val="auto"/>
          <w:highlight w:val="none"/>
        </w:rPr>
        <w:t>第五章  合同草案条款</w:t>
      </w:r>
      <w:r>
        <w:rPr>
          <w:rFonts w:hint="eastAsia" w:cs="宋体"/>
          <w:b/>
          <w:bCs/>
          <w:color w:val="auto"/>
          <w:highlight w:val="none"/>
        </w:rPr>
        <w:tab/>
      </w:r>
      <w:r>
        <w:rPr>
          <w:rFonts w:hint="eastAsia" w:cs="宋体"/>
          <w:b/>
          <w:bCs/>
          <w:color w:val="auto"/>
          <w:highlight w:val="none"/>
        </w:rPr>
        <w:fldChar w:fldCharType="begin"/>
      </w:r>
      <w:r>
        <w:rPr>
          <w:rFonts w:hint="eastAsia" w:cs="宋体"/>
          <w:b/>
          <w:bCs/>
          <w:color w:val="auto"/>
          <w:highlight w:val="none"/>
        </w:rPr>
        <w:instrText xml:space="preserve"> PAGEREF _Toc12937 \h </w:instrText>
      </w:r>
      <w:r>
        <w:rPr>
          <w:rFonts w:hint="eastAsia" w:cs="宋体"/>
          <w:b/>
          <w:bCs/>
          <w:color w:val="auto"/>
          <w:highlight w:val="none"/>
        </w:rPr>
        <w:fldChar w:fldCharType="separate"/>
      </w:r>
      <w:r>
        <w:rPr>
          <w:rFonts w:hint="eastAsia" w:cs="宋体"/>
          <w:b/>
          <w:bCs/>
          <w:color w:val="auto"/>
          <w:highlight w:val="none"/>
        </w:rPr>
        <w:t>24</w:t>
      </w:r>
      <w:r>
        <w:rPr>
          <w:rFonts w:hint="eastAsia" w:cs="宋体"/>
          <w:b/>
          <w:bCs/>
          <w:color w:val="auto"/>
          <w:highlight w:val="none"/>
        </w:rPr>
        <w:fldChar w:fldCharType="end"/>
      </w:r>
      <w:r>
        <w:rPr>
          <w:rFonts w:hint="eastAsia" w:cs="宋体"/>
          <w:b/>
          <w:bCs/>
          <w:color w:val="auto"/>
          <w:highlight w:val="none"/>
        </w:rPr>
        <w:fldChar w:fldCharType="end"/>
      </w:r>
    </w:p>
    <w:p w14:paraId="48DBD6FC">
      <w:pPr>
        <w:pStyle w:val="24"/>
        <w:tabs>
          <w:tab w:val="right" w:leader="dot" w:pos="9739"/>
          <w:tab w:val="clear" w:pos="9356"/>
        </w:tabs>
        <w:spacing w:line="420" w:lineRule="exact"/>
        <w:rPr>
          <w:rFonts w:cs="宋体"/>
          <w:b/>
          <w:bCs/>
          <w:color w:val="auto"/>
          <w:highlight w:val="none"/>
        </w:rPr>
      </w:pPr>
      <w:r>
        <w:rPr>
          <w:color w:val="auto"/>
          <w:highlight w:val="none"/>
        </w:rPr>
        <w:fldChar w:fldCharType="begin"/>
      </w:r>
      <w:r>
        <w:rPr>
          <w:color w:val="auto"/>
          <w:highlight w:val="none"/>
        </w:rPr>
        <w:instrText xml:space="preserve"> HYPERLINK \l "_Toc8263" </w:instrText>
      </w:r>
      <w:r>
        <w:rPr>
          <w:color w:val="auto"/>
          <w:highlight w:val="none"/>
        </w:rPr>
        <w:fldChar w:fldCharType="separate"/>
      </w:r>
      <w:r>
        <w:rPr>
          <w:rFonts w:hint="eastAsia" w:cs="宋体"/>
          <w:b/>
          <w:bCs/>
          <w:color w:val="auto"/>
          <w:highlight w:val="none"/>
        </w:rPr>
        <w:t>第六章  响应文件格式</w:t>
      </w:r>
      <w:r>
        <w:rPr>
          <w:rFonts w:hint="eastAsia" w:cs="宋体"/>
          <w:b/>
          <w:bCs/>
          <w:color w:val="auto"/>
          <w:highlight w:val="none"/>
        </w:rPr>
        <w:tab/>
      </w:r>
      <w:r>
        <w:rPr>
          <w:rFonts w:hint="eastAsia" w:cs="宋体"/>
          <w:b/>
          <w:bCs/>
          <w:color w:val="auto"/>
          <w:highlight w:val="none"/>
        </w:rPr>
        <w:fldChar w:fldCharType="begin"/>
      </w:r>
      <w:r>
        <w:rPr>
          <w:rFonts w:hint="eastAsia" w:cs="宋体"/>
          <w:b/>
          <w:bCs/>
          <w:color w:val="auto"/>
          <w:highlight w:val="none"/>
        </w:rPr>
        <w:instrText xml:space="preserve"> PAGEREF _Toc8263 \h </w:instrText>
      </w:r>
      <w:r>
        <w:rPr>
          <w:rFonts w:hint="eastAsia" w:cs="宋体"/>
          <w:b/>
          <w:bCs/>
          <w:color w:val="auto"/>
          <w:highlight w:val="none"/>
        </w:rPr>
        <w:fldChar w:fldCharType="separate"/>
      </w:r>
      <w:r>
        <w:rPr>
          <w:rFonts w:hint="eastAsia" w:cs="宋体"/>
          <w:b/>
          <w:bCs/>
          <w:color w:val="auto"/>
          <w:highlight w:val="none"/>
        </w:rPr>
        <w:t>29</w:t>
      </w:r>
      <w:r>
        <w:rPr>
          <w:rFonts w:hint="eastAsia" w:cs="宋体"/>
          <w:b/>
          <w:bCs/>
          <w:color w:val="auto"/>
          <w:highlight w:val="none"/>
        </w:rPr>
        <w:fldChar w:fldCharType="end"/>
      </w:r>
      <w:r>
        <w:rPr>
          <w:rFonts w:hint="eastAsia" w:cs="宋体"/>
          <w:b/>
          <w:bCs/>
          <w:color w:val="auto"/>
          <w:highlight w:val="none"/>
        </w:rPr>
        <w:fldChar w:fldCharType="end"/>
      </w:r>
    </w:p>
    <w:p w14:paraId="7F52B56A">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"_Toc12425" </w:instrText>
      </w:r>
      <w:r>
        <w:rPr>
          <w:color w:val="auto"/>
          <w:highlight w:val="none"/>
        </w:rPr>
        <w:fldChar w:fldCharType="separate"/>
      </w:r>
      <w:r>
        <w:rPr>
          <w:rFonts w:hint="eastAsia" w:ascii="宋体" w:hAnsi="宋体" w:cs="宋体"/>
          <w:color w:val="auto"/>
          <w:sz w:val="24"/>
          <w:szCs w:val="24"/>
          <w:highlight w:val="none"/>
        </w:rPr>
        <w:t>一、初次报价一览表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_Toc12425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3D2BF4D">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"_Toc30083" </w:instrText>
      </w:r>
      <w:r>
        <w:rPr>
          <w:color w:val="auto"/>
          <w:highlight w:val="none"/>
        </w:rPr>
        <w:fldChar w:fldCharType="separate"/>
      </w:r>
      <w:r>
        <w:rPr>
          <w:rFonts w:hint="eastAsia" w:ascii="宋体" w:hAnsi="宋体" w:cs="宋体"/>
          <w:color w:val="auto"/>
          <w:sz w:val="24"/>
          <w:szCs w:val="24"/>
          <w:highlight w:val="none"/>
        </w:rPr>
        <w:t>二、法定代表人(单位负责人)身份证明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_Toc30083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AC80841">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"_Toc32454" </w:instrText>
      </w:r>
      <w:r>
        <w:rPr>
          <w:color w:val="auto"/>
          <w:highlight w:val="none"/>
        </w:rPr>
        <w:fldChar w:fldCharType="separate"/>
      </w:r>
      <w:r>
        <w:rPr>
          <w:rFonts w:hint="eastAsia" w:ascii="宋体" w:hAnsi="宋体" w:cs="宋体"/>
          <w:color w:val="auto"/>
          <w:sz w:val="24"/>
          <w:szCs w:val="24"/>
          <w:highlight w:val="none"/>
        </w:rPr>
        <w:t>三、授权委托书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_Toc32454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A7906CF">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"_Toc28186" </w:instrText>
      </w:r>
      <w:r>
        <w:rPr>
          <w:color w:val="auto"/>
          <w:highlight w:val="none"/>
        </w:rPr>
        <w:fldChar w:fldCharType="separate"/>
      </w:r>
      <w:r>
        <w:rPr>
          <w:rFonts w:hint="eastAsia" w:ascii="宋体" w:hAnsi="宋体" w:cs="宋体"/>
          <w:color w:val="auto"/>
          <w:sz w:val="24"/>
          <w:szCs w:val="24"/>
          <w:highlight w:val="none"/>
        </w:rPr>
        <w:t>四、基本情况表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_Toc28186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32E75F0">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"_Toc952" </w:instrText>
      </w:r>
      <w:r>
        <w:rPr>
          <w:color w:val="auto"/>
          <w:highlight w:val="none"/>
        </w:rPr>
        <w:fldChar w:fldCharType="separate"/>
      </w:r>
      <w:r>
        <w:rPr>
          <w:rFonts w:hint="eastAsia" w:ascii="宋体" w:hAnsi="宋体" w:cs="宋体"/>
          <w:color w:val="auto"/>
          <w:sz w:val="24"/>
          <w:szCs w:val="24"/>
          <w:highlight w:val="none"/>
        </w:rPr>
        <w:t>五、商务偏差表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_Toc952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5F0535B">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"_Toc18750" </w:instrText>
      </w:r>
      <w:r>
        <w:rPr>
          <w:color w:val="auto"/>
          <w:highlight w:val="none"/>
        </w:rPr>
        <w:fldChar w:fldCharType="separate"/>
      </w:r>
      <w:r>
        <w:rPr>
          <w:rFonts w:hint="eastAsia" w:ascii="宋体" w:hAnsi="宋体" w:cs="宋体"/>
          <w:color w:val="auto"/>
          <w:sz w:val="24"/>
          <w:szCs w:val="24"/>
          <w:highlight w:val="none"/>
        </w:rPr>
        <w:t>六、类似项目业绩表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_Toc18750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984F094">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"_Toc4602" </w:instrText>
      </w:r>
      <w:r>
        <w:rPr>
          <w:color w:val="auto"/>
          <w:highlight w:val="none"/>
        </w:rPr>
        <w:fldChar w:fldCharType="separate"/>
      </w:r>
      <w:r>
        <w:rPr>
          <w:rFonts w:hint="eastAsia" w:ascii="宋体" w:hAnsi="宋体" w:cs="宋体"/>
          <w:color w:val="auto"/>
          <w:sz w:val="24"/>
          <w:szCs w:val="24"/>
          <w:highlight w:val="none"/>
        </w:rPr>
        <w:t>七、资格审查资料</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_Toc4602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B4C9D4D">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"_Toc9865" </w:instrText>
      </w:r>
      <w:r>
        <w:rPr>
          <w:color w:val="auto"/>
          <w:highlight w:val="none"/>
        </w:rPr>
        <w:fldChar w:fldCharType="separate"/>
      </w:r>
      <w:r>
        <w:rPr>
          <w:rFonts w:hint="eastAsia" w:ascii="宋体" w:hAnsi="宋体" w:cs="宋体"/>
          <w:bCs/>
          <w:i w:val="0"/>
          <w:color w:val="auto"/>
          <w:sz w:val="24"/>
          <w:szCs w:val="24"/>
          <w:highlight w:val="none"/>
        </w:rPr>
        <w:t>（一）具有独立承担民事责任的能力</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_Toc9865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36</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1F88A34E">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"_Toc11394" </w:instrText>
      </w:r>
      <w:r>
        <w:rPr>
          <w:color w:val="auto"/>
          <w:highlight w:val="none"/>
        </w:rPr>
        <w:fldChar w:fldCharType="separate"/>
      </w:r>
      <w:r>
        <w:rPr>
          <w:rFonts w:hint="eastAsia" w:ascii="宋体" w:hAnsi="宋体" w:cs="宋体"/>
          <w:bCs/>
          <w:i w:val="0"/>
          <w:color w:val="auto"/>
          <w:sz w:val="24"/>
          <w:szCs w:val="24"/>
          <w:highlight w:val="none"/>
        </w:rPr>
        <w:t>（二）具有良好的商业信誉和健全的财务会计制度</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_Toc11394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36</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401D5F88">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"_Toc24533" </w:instrText>
      </w:r>
      <w:r>
        <w:rPr>
          <w:color w:val="auto"/>
          <w:highlight w:val="none"/>
        </w:rPr>
        <w:fldChar w:fldCharType="separate"/>
      </w:r>
      <w:r>
        <w:rPr>
          <w:rFonts w:hint="eastAsia" w:ascii="宋体" w:hAnsi="宋体" w:cs="宋体"/>
          <w:bCs/>
          <w:i w:val="0"/>
          <w:color w:val="auto"/>
          <w:sz w:val="24"/>
          <w:szCs w:val="24"/>
          <w:highlight w:val="none"/>
        </w:rPr>
        <w:t>（三）</w:t>
      </w:r>
      <w:r>
        <w:rPr>
          <w:rFonts w:hint="eastAsia" w:ascii="宋体" w:hAnsi="宋体" w:cs="宋体"/>
          <w:i w:val="0"/>
          <w:color w:val="auto"/>
          <w:sz w:val="24"/>
          <w:szCs w:val="24"/>
          <w:highlight w:val="none"/>
        </w:rPr>
        <w:t>具有履行合同所必需的设备和专业技术能力</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_Toc24533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36</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0D83D4C3">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"_Toc1428" </w:instrText>
      </w:r>
      <w:r>
        <w:rPr>
          <w:color w:val="auto"/>
          <w:highlight w:val="none"/>
        </w:rPr>
        <w:fldChar w:fldCharType="separate"/>
      </w:r>
      <w:r>
        <w:rPr>
          <w:rFonts w:hint="eastAsia" w:ascii="宋体" w:hAnsi="宋体" w:cs="宋体"/>
          <w:bCs/>
          <w:i w:val="0"/>
          <w:color w:val="auto"/>
          <w:sz w:val="24"/>
          <w:szCs w:val="24"/>
          <w:highlight w:val="none"/>
        </w:rPr>
        <w:t>（四）</w:t>
      </w:r>
      <w:r>
        <w:rPr>
          <w:rFonts w:hint="eastAsia" w:ascii="宋体" w:hAnsi="宋体" w:cs="宋体"/>
          <w:i w:val="0"/>
          <w:color w:val="auto"/>
          <w:sz w:val="24"/>
          <w:szCs w:val="24"/>
          <w:highlight w:val="none"/>
        </w:rPr>
        <w:t>有依法缴纳税收和社会保障资金的良好记录</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_Toc1428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36</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537FBA6B">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"_Toc26334" </w:instrText>
      </w:r>
      <w:r>
        <w:rPr>
          <w:color w:val="auto"/>
          <w:highlight w:val="none"/>
        </w:rPr>
        <w:fldChar w:fldCharType="separate"/>
      </w:r>
      <w:r>
        <w:rPr>
          <w:rFonts w:hint="eastAsia" w:ascii="宋体" w:hAnsi="宋体" w:cs="宋体"/>
          <w:bCs/>
          <w:i w:val="0"/>
          <w:color w:val="auto"/>
          <w:sz w:val="24"/>
          <w:szCs w:val="24"/>
          <w:highlight w:val="none"/>
        </w:rPr>
        <w:t>（五）参加政府采购活动前三年内，在经营活动中没有重大违法记录</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_Toc26334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37</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63063293">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"_Toc22109" </w:instrText>
      </w:r>
      <w:r>
        <w:rPr>
          <w:color w:val="auto"/>
          <w:highlight w:val="none"/>
        </w:rPr>
        <w:fldChar w:fldCharType="separate"/>
      </w:r>
      <w:r>
        <w:rPr>
          <w:rFonts w:hint="eastAsia" w:ascii="宋体" w:hAnsi="宋体" w:cs="宋体"/>
          <w:bCs/>
          <w:i w:val="0"/>
          <w:color w:val="auto"/>
          <w:sz w:val="24"/>
          <w:szCs w:val="24"/>
          <w:highlight w:val="none"/>
        </w:rPr>
        <w:t>（六）法律、行政法规规定的其他条件</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_Toc22109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38</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69F313F2">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"_Toc27894" </w:instrText>
      </w:r>
      <w:r>
        <w:rPr>
          <w:color w:val="auto"/>
          <w:highlight w:val="none"/>
        </w:rPr>
        <w:fldChar w:fldCharType="separate"/>
      </w:r>
      <w:r>
        <w:rPr>
          <w:rFonts w:hint="eastAsia" w:ascii="宋体" w:hAnsi="宋体" w:cs="宋体"/>
          <w:bCs/>
          <w:i w:val="0"/>
          <w:color w:val="auto"/>
          <w:sz w:val="24"/>
          <w:szCs w:val="24"/>
          <w:highlight w:val="none"/>
        </w:rPr>
        <w:t>（七）信用要求</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_Toc27894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38</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7E5843F5">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"_Toc23643" </w:instrText>
      </w:r>
      <w:r>
        <w:rPr>
          <w:color w:val="auto"/>
          <w:highlight w:val="none"/>
        </w:rPr>
        <w:fldChar w:fldCharType="separate"/>
      </w:r>
      <w:r>
        <w:rPr>
          <w:rFonts w:hint="eastAsia" w:ascii="宋体" w:hAnsi="宋体" w:cs="宋体"/>
          <w:bCs/>
          <w:i w:val="0"/>
          <w:color w:val="auto"/>
          <w:sz w:val="24"/>
          <w:szCs w:val="24"/>
          <w:highlight w:val="none"/>
        </w:rPr>
        <w:t>（八）</w:t>
      </w:r>
      <w:r>
        <w:rPr>
          <w:rFonts w:hint="eastAsia" w:ascii="宋体" w:hAnsi="宋体" w:cs="宋体"/>
          <w:i w:val="0"/>
          <w:color w:val="auto"/>
          <w:sz w:val="24"/>
          <w:szCs w:val="24"/>
          <w:highlight w:val="none"/>
        </w:rPr>
        <w:t>其他</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_Toc23643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38</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0C6FEED3">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"_Toc3407" </w:instrText>
      </w:r>
      <w:r>
        <w:rPr>
          <w:color w:val="auto"/>
          <w:highlight w:val="none"/>
        </w:rPr>
        <w:fldChar w:fldCharType="separate"/>
      </w:r>
      <w:r>
        <w:rPr>
          <w:rFonts w:hint="eastAsia" w:ascii="宋体" w:hAnsi="宋体" w:cs="宋体"/>
          <w:color w:val="auto"/>
          <w:sz w:val="24"/>
          <w:szCs w:val="24"/>
          <w:highlight w:val="none"/>
        </w:rPr>
        <w:t>八、本项目拟投入人员表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_Toc3407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89F2BA1">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"_Toc29430" </w:instrText>
      </w:r>
      <w:r>
        <w:rPr>
          <w:color w:val="auto"/>
          <w:highlight w:val="none"/>
        </w:rPr>
        <w:fldChar w:fldCharType="separate"/>
      </w:r>
      <w:r>
        <w:rPr>
          <w:rFonts w:hint="eastAsia" w:ascii="宋体" w:hAnsi="宋体" w:cs="宋体"/>
          <w:color w:val="auto"/>
          <w:sz w:val="24"/>
          <w:szCs w:val="24"/>
          <w:highlight w:val="none"/>
        </w:rPr>
        <w:t>九、服务方案的详细描述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_Toc29430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3574E06">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"_Toc13997" </w:instrText>
      </w:r>
      <w:r>
        <w:rPr>
          <w:color w:val="auto"/>
          <w:highlight w:val="none"/>
        </w:rPr>
        <w:fldChar w:fldCharType="separate"/>
      </w:r>
      <w:r>
        <w:rPr>
          <w:rFonts w:hint="eastAsia" w:ascii="宋体" w:hAnsi="宋体" w:cs="宋体"/>
          <w:color w:val="auto"/>
          <w:sz w:val="24"/>
          <w:szCs w:val="24"/>
          <w:highlight w:val="none"/>
        </w:rPr>
        <w:t>十、服务质量和保障措施</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_Toc13997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37A2B38">
      <w:pPr>
        <w:pStyle w:val="28"/>
        <w:tabs>
          <w:tab w:val="right" w:leader="dot" w:pos="9739"/>
          <w:tab w:val="clear" w:pos="9356"/>
        </w:tabs>
        <w:spacing w:line="420" w:lineRule="exact"/>
        <w:ind w:firstLine="200" w:firstLineChars="1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"_Toc13048" </w:instrText>
      </w:r>
      <w:r>
        <w:rPr>
          <w:color w:val="auto"/>
          <w:highlight w:val="none"/>
        </w:rPr>
        <w:fldChar w:fldCharType="separate"/>
      </w:r>
      <w:r>
        <w:rPr>
          <w:rFonts w:hint="eastAsia" w:ascii="宋体" w:hAnsi="宋体" w:cs="宋体"/>
          <w:color w:val="auto"/>
          <w:sz w:val="24"/>
          <w:szCs w:val="24"/>
          <w:highlight w:val="none"/>
        </w:rPr>
        <w:t>十一、其他资料</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_Toc13048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698BB55">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"_Toc14197" </w:instrText>
      </w:r>
      <w:r>
        <w:rPr>
          <w:color w:val="auto"/>
          <w:highlight w:val="none"/>
        </w:rPr>
        <w:fldChar w:fldCharType="separate"/>
      </w:r>
      <w:r>
        <w:rPr>
          <w:rFonts w:hint="eastAsia" w:ascii="宋体" w:hAnsi="宋体" w:cs="宋体"/>
          <w:bCs/>
          <w:i w:val="0"/>
          <w:color w:val="auto"/>
          <w:sz w:val="24"/>
          <w:szCs w:val="24"/>
          <w:highlight w:val="none"/>
        </w:rPr>
        <w:t>格式1：中小企业声明函(服务)</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_Toc14197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40</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7E4ECB5A">
      <w:pPr>
        <w:pStyle w:val="16"/>
        <w:tabs>
          <w:tab w:val="right" w:leader="dot" w:pos="9739"/>
          <w:tab w:val="clear" w:pos="9356"/>
        </w:tabs>
        <w:spacing w:line="420" w:lineRule="exact"/>
        <w:ind w:firstLine="400" w:firstLineChars="200"/>
        <w:rPr>
          <w:rFonts w:ascii="宋体" w:hAnsi="宋体" w:cs="宋体"/>
          <w:i w:val="0"/>
          <w:color w:val="auto"/>
          <w:sz w:val="24"/>
          <w:szCs w:val="24"/>
          <w:highlight w:val="none"/>
        </w:rPr>
      </w:pPr>
      <w:r>
        <w:rPr>
          <w:color w:val="auto"/>
          <w:highlight w:val="none"/>
        </w:rPr>
        <w:fldChar w:fldCharType="begin"/>
      </w:r>
      <w:r>
        <w:rPr>
          <w:color w:val="auto"/>
          <w:highlight w:val="none"/>
        </w:rPr>
        <w:instrText xml:space="preserve"> HYPERLINK \l "_Toc3792" </w:instrText>
      </w:r>
      <w:r>
        <w:rPr>
          <w:color w:val="auto"/>
          <w:highlight w:val="none"/>
        </w:rPr>
        <w:fldChar w:fldCharType="separate"/>
      </w:r>
      <w:r>
        <w:rPr>
          <w:rFonts w:hint="eastAsia" w:ascii="宋体" w:hAnsi="宋体" w:cs="宋体"/>
          <w:bCs/>
          <w:i w:val="0"/>
          <w:color w:val="auto"/>
          <w:sz w:val="24"/>
          <w:szCs w:val="24"/>
          <w:highlight w:val="none"/>
        </w:rPr>
        <w:t>格式2：疾人福利性单位声明函格式</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_Toc3792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42</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4F1D472B">
      <w:pPr>
        <w:pStyle w:val="16"/>
        <w:tabs>
          <w:tab w:val="right" w:leader="dot" w:pos="9739"/>
          <w:tab w:val="clear" w:pos="9356"/>
        </w:tabs>
        <w:spacing w:line="420" w:lineRule="exact"/>
        <w:ind w:firstLine="400" w:firstLineChars="200"/>
        <w:rPr>
          <w:color w:val="auto"/>
          <w:highlight w:val="none"/>
        </w:rPr>
      </w:pPr>
      <w:r>
        <w:rPr>
          <w:color w:val="auto"/>
          <w:highlight w:val="none"/>
        </w:rPr>
        <w:fldChar w:fldCharType="begin"/>
      </w:r>
      <w:r>
        <w:rPr>
          <w:color w:val="auto"/>
          <w:highlight w:val="none"/>
        </w:rPr>
        <w:instrText xml:space="preserve"> HYPERLINK \l "_Toc10108" </w:instrText>
      </w:r>
      <w:r>
        <w:rPr>
          <w:color w:val="auto"/>
          <w:highlight w:val="none"/>
        </w:rPr>
        <w:fldChar w:fldCharType="separate"/>
      </w:r>
      <w:r>
        <w:rPr>
          <w:rFonts w:hint="eastAsia" w:ascii="宋体" w:hAnsi="宋体" w:cs="宋体"/>
          <w:bCs/>
          <w:i w:val="0"/>
          <w:color w:val="auto"/>
          <w:sz w:val="24"/>
          <w:szCs w:val="24"/>
          <w:highlight w:val="none"/>
        </w:rPr>
        <w:t>格式3：监狱企业证明文件格式</w:t>
      </w:r>
      <w:r>
        <w:rPr>
          <w:rFonts w:hint="eastAsia" w:ascii="宋体" w:hAnsi="宋体" w:cs="宋体"/>
          <w:i w:val="0"/>
          <w:color w:val="auto"/>
          <w:sz w:val="24"/>
          <w:szCs w:val="24"/>
          <w:highlight w:val="none"/>
        </w:rPr>
        <w:tab/>
      </w:r>
      <w:r>
        <w:rPr>
          <w:rFonts w:hint="eastAsia" w:ascii="宋体" w:hAnsi="宋体" w:cs="宋体"/>
          <w:i w:val="0"/>
          <w:color w:val="auto"/>
          <w:sz w:val="24"/>
          <w:szCs w:val="24"/>
          <w:highlight w:val="none"/>
        </w:rPr>
        <w:fldChar w:fldCharType="begin"/>
      </w:r>
      <w:r>
        <w:rPr>
          <w:rFonts w:hint="eastAsia" w:ascii="宋体" w:hAnsi="宋体" w:cs="宋体"/>
          <w:i w:val="0"/>
          <w:color w:val="auto"/>
          <w:sz w:val="24"/>
          <w:szCs w:val="24"/>
          <w:highlight w:val="none"/>
        </w:rPr>
        <w:instrText xml:space="preserve"> PAGEREF _Toc10108 \h </w:instrText>
      </w:r>
      <w:r>
        <w:rPr>
          <w:rFonts w:hint="eastAsia" w:ascii="宋体" w:hAnsi="宋体" w:cs="宋体"/>
          <w:i w:val="0"/>
          <w:color w:val="auto"/>
          <w:sz w:val="24"/>
          <w:szCs w:val="24"/>
          <w:highlight w:val="none"/>
        </w:rPr>
        <w:fldChar w:fldCharType="separate"/>
      </w:r>
      <w:r>
        <w:rPr>
          <w:rFonts w:hint="eastAsia" w:ascii="宋体" w:hAnsi="宋体" w:cs="宋体"/>
          <w:i w:val="0"/>
          <w:color w:val="auto"/>
          <w:sz w:val="24"/>
          <w:szCs w:val="24"/>
          <w:highlight w:val="none"/>
        </w:rPr>
        <w:t>43</w:t>
      </w:r>
      <w:r>
        <w:rPr>
          <w:rFonts w:hint="eastAsia" w:ascii="宋体" w:hAnsi="宋体" w:cs="宋体"/>
          <w:i w:val="0"/>
          <w:color w:val="auto"/>
          <w:sz w:val="24"/>
          <w:szCs w:val="24"/>
          <w:highlight w:val="none"/>
        </w:rPr>
        <w:fldChar w:fldCharType="end"/>
      </w:r>
      <w:r>
        <w:rPr>
          <w:rFonts w:hint="eastAsia" w:ascii="宋体" w:hAnsi="宋体" w:cs="宋体"/>
          <w:i w:val="0"/>
          <w:color w:val="auto"/>
          <w:sz w:val="24"/>
          <w:szCs w:val="24"/>
          <w:highlight w:val="none"/>
        </w:rPr>
        <w:fldChar w:fldCharType="end"/>
      </w:r>
    </w:p>
    <w:p w14:paraId="329EA923">
      <w:pPr>
        <w:pStyle w:val="3"/>
        <w:spacing w:before="317" w:beforeLines="100" w:after="0" w:line="500" w:lineRule="exact"/>
        <w:rPr>
          <w:color w:val="auto"/>
          <w:spacing w:val="0"/>
          <w:sz w:val="44"/>
          <w:szCs w:val="44"/>
          <w:highlight w:val="none"/>
        </w:rPr>
        <w:sectPr>
          <w:headerReference r:id="rId7" w:type="default"/>
          <w:footerReference r:id="rId8" w:type="default"/>
          <w:pgSz w:w="11905" w:h="16838"/>
          <w:pgMar w:top="1440" w:right="1083" w:bottom="1440" w:left="1083" w:header="850" w:footer="992" w:gutter="0"/>
          <w:pgNumType w:fmt="numberInDash" w:start="1"/>
          <w:cols w:space="720" w:num="1"/>
          <w:docGrid w:type="lines" w:linePitch="317" w:charSpace="0"/>
        </w:sectPr>
      </w:pPr>
      <w:r>
        <w:rPr>
          <w:rFonts w:ascii="宋体" w:hAnsi="宋体" w:cs="宋体"/>
          <w:color w:val="auto"/>
          <w:szCs w:val="24"/>
          <w:highlight w:val="none"/>
        </w:rPr>
        <w:fldChar w:fldCharType="end"/>
      </w:r>
    </w:p>
    <w:p w14:paraId="14C4C4F4">
      <w:pPr>
        <w:pStyle w:val="3"/>
        <w:spacing w:before="317" w:beforeLines="100" w:after="0" w:line="500" w:lineRule="exact"/>
        <w:rPr>
          <w:color w:val="auto"/>
          <w:spacing w:val="0"/>
          <w:sz w:val="44"/>
          <w:szCs w:val="44"/>
          <w:highlight w:val="none"/>
        </w:rPr>
      </w:pPr>
      <w:bookmarkStart w:id="4" w:name="_Toc14498"/>
      <w:r>
        <w:rPr>
          <w:rFonts w:hint="eastAsia"/>
          <w:color w:val="auto"/>
          <w:spacing w:val="0"/>
          <w:sz w:val="44"/>
          <w:szCs w:val="44"/>
          <w:highlight w:val="none"/>
        </w:rPr>
        <w:t>第一章  单一来源采购邀请书</w:t>
      </w:r>
      <w:bookmarkEnd w:id="0"/>
      <w:bookmarkEnd w:id="1"/>
      <w:bookmarkEnd w:id="4"/>
    </w:p>
    <w:p w14:paraId="3F69DCF8">
      <w:pPr>
        <w:tabs>
          <w:tab w:val="left" w:pos="1118"/>
        </w:tabs>
        <w:spacing w:before="158" w:beforeLines="50"/>
        <w:ind w:right="58"/>
        <w:jc w:val="center"/>
        <w:rPr>
          <w:rFonts w:hint="eastAsia" w:hAnsi="宋体" w:eastAsia="宋体" w:cs="等线"/>
          <w:b/>
          <w:color w:val="auto"/>
          <w:sz w:val="36"/>
          <w:szCs w:val="32"/>
          <w:highlight w:val="none"/>
          <w:lang w:eastAsia="zh-CN"/>
        </w:rPr>
      </w:pPr>
      <w:r>
        <w:rPr>
          <w:rFonts w:hint="eastAsia" w:hAnsi="宋体" w:cs="等线"/>
          <w:b/>
          <w:color w:val="auto"/>
          <w:sz w:val="36"/>
          <w:szCs w:val="32"/>
          <w:highlight w:val="none"/>
          <w:lang w:eastAsia="zh-CN"/>
        </w:rPr>
        <w:t>数字云南展示中心数字能源展区综合硬件运行维护</w:t>
      </w:r>
    </w:p>
    <w:p w14:paraId="26B99895">
      <w:pPr>
        <w:tabs>
          <w:tab w:val="left" w:pos="1118"/>
        </w:tabs>
        <w:spacing w:before="20" w:after="158" w:afterLines="50"/>
        <w:ind w:right="58"/>
        <w:jc w:val="center"/>
        <w:rPr>
          <w:rFonts w:hAnsi="宋体"/>
          <w:b/>
          <w:color w:val="auto"/>
          <w:sz w:val="24"/>
          <w:highlight w:val="none"/>
        </w:rPr>
      </w:pPr>
      <w:r>
        <w:rPr>
          <w:rFonts w:hint="eastAsia" w:hAnsi="宋体" w:cs="等线"/>
          <w:b/>
          <w:color w:val="auto"/>
          <w:sz w:val="36"/>
          <w:szCs w:val="32"/>
          <w:highlight w:val="none"/>
        </w:rPr>
        <w:t>单一来源采购邀请书</w:t>
      </w:r>
    </w:p>
    <w:p w14:paraId="7FCBB12F">
      <w:pPr>
        <w:spacing w:before="158" w:beforeLines="50" w:after="158" w:afterLines="50" w:line="400" w:lineRule="exact"/>
        <w:rPr>
          <w:rFonts w:hAnsi="宋体"/>
          <w:b/>
          <w:color w:val="auto"/>
          <w:sz w:val="28"/>
          <w:szCs w:val="28"/>
          <w:highlight w:val="none"/>
        </w:rPr>
      </w:pPr>
      <w:r>
        <w:rPr>
          <w:rFonts w:hint="eastAsia" w:hAnsi="宋体"/>
          <w:b/>
          <w:color w:val="auto"/>
          <w:sz w:val="28"/>
          <w:szCs w:val="28"/>
          <w:highlight w:val="none"/>
          <w:u w:val="single"/>
          <w:lang w:eastAsia="zh-CN"/>
        </w:rPr>
        <w:t>云南能投信息产业开发有限公司</w:t>
      </w:r>
      <w:r>
        <w:rPr>
          <w:rFonts w:hint="eastAsia" w:hAnsi="宋体"/>
          <w:b/>
          <w:color w:val="auto"/>
          <w:sz w:val="28"/>
          <w:szCs w:val="28"/>
          <w:highlight w:val="none"/>
        </w:rPr>
        <w:t>：</w:t>
      </w:r>
    </w:p>
    <w:p w14:paraId="72FFA316">
      <w:pPr>
        <w:pStyle w:val="4"/>
        <w:spacing w:line="360" w:lineRule="auto"/>
        <w:jc w:val="left"/>
        <w:rPr>
          <w:rFonts w:ascii="宋体" w:hAnsi="宋体"/>
          <w:bCs/>
          <w:color w:val="auto"/>
          <w:sz w:val="28"/>
          <w:szCs w:val="28"/>
          <w:highlight w:val="none"/>
        </w:rPr>
      </w:pPr>
      <w:bookmarkStart w:id="5" w:name="_Toc3825"/>
      <w:bookmarkStart w:id="6" w:name="_Toc14132"/>
      <w:bookmarkStart w:id="7" w:name="_Toc4685084"/>
      <w:r>
        <w:rPr>
          <w:rFonts w:hint="eastAsia" w:ascii="宋体" w:hAnsi="宋体"/>
          <w:bCs/>
          <w:color w:val="auto"/>
          <w:sz w:val="28"/>
          <w:szCs w:val="28"/>
          <w:highlight w:val="none"/>
        </w:rPr>
        <w:t>一、采购条件</w:t>
      </w:r>
      <w:bookmarkEnd w:id="5"/>
      <w:bookmarkEnd w:id="6"/>
      <w:bookmarkEnd w:id="7"/>
    </w:p>
    <w:p w14:paraId="58D4A316">
      <w:pPr>
        <w:adjustRightInd w:val="0"/>
        <w:snapToGrid w:val="0"/>
        <w:spacing w:line="360" w:lineRule="auto"/>
        <w:ind w:firstLine="482"/>
        <w:rPr>
          <w:rFonts w:hAnsi="宋体"/>
          <w:color w:val="auto"/>
          <w:sz w:val="24"/>
          <w:highlight w:val="none"/>
        </w:rPr>
      </w:pPr>
      <w:bookmarkStart w:id="8" w:name="_Hlk2600508"/>
      <w:r>
        <w:rPr>
          <w:rFonts w:hint="eastAsia" w:hAnsi="宋体"/>
          <w:color w:val="auto"/>
          <w:sz w:val="24"/>
          <w:highlight w:val="none"/>
        </w:rPr>
        <w:t>根据《中华人民共和国政府采购法》《中华人民共和国政府采购法实施条例》《政府采购非招标采购方式管理办法》等相关规定，</w:t>
      </w:r>
      <w:r>
        <w:rPr>
          <w:rFonts w:hint="eastAsia" w:hAnsi="宋体"/>
          <w:color w:val="auto"/>
          <w:sz w:val="24"/>
          <w:highlight w:val="none"/>
          <w:lang w:eastAsia="zh-CN"/>
        </w:rPr>
        <w:t>数字云南展示中心数字能源展区综合硬件运行维护</w:t>
      </w:r>
      <w:r>
        <w:rPr>
          <w:rFonts w:hAnsi="宋体"/>
          <w:color w:val="auto"/>
          <w:sz w:val="24"/>
          <w:highlight w:val="none"/>
        </w:rPr>
        <w:t>已具备采购条件。</w:t>
      </w:r>
      <w:bookmarkEnd w:id="8"/>
      <w:r>
        <w:rPr>
          <w:rFonts w:hint="eastAsia" w:hAnsi="宋体"/>
          <w:color w:val="auto"/>
          <w:sz w:val="24"/>
          <w:highlight w:val="none"/>
        </w:rPr>
        <w:t>云南元大工程咨询有限责任公司</w:t>
      </w:r>
      <w:r>
        <w:rPr>
          <w:rFonts w:hAnsi="宋体"/>
          <w:color w:val="auto"/>
          <w:sz w:val="24"/>
          <w:highlight w:val="none"/>
        </w:rPr>
        <w:t>受</w:t>
      </w:r>
      <w:r>
        <w:rPr>
          <w:rFonts w:hint="eastAsia" w:hAnsi="宋体"/>
          <w:color w:val="auto"/>
          <w:sz w:val="24"/>
          <w:highlight w:val="none"/>
          <w:lang w:eastAsia="zh-CN"/>
        </w:rPr>
        <w:t>云南省能源局</w:t>
      </w:r>
      <w:r>
        <w:rPr>
          <w:rFonts w:hAnsi="宋体"/>
          <w:color w:val="auto"/>
          <w:sz w:val="24"/>
          <w:highlight w:val="none"/>
        </w:rPr>
        <w:t>的委托，对本项目进行</w:t>
      </w:r>
      <w:r>
        <w:rPr>
          <w:rFonts w:hint="eastAsia" w:hAnsi="宋体"/>
          <w:color w:val="auto"/>
          <w:sz w:val="24"/>
          <w:highlight w:val="none"/>
        </w:rPr>
        <w:t>单一来源</w:t>
      </w:r>
      <w:r>
        <w:rPr>
          <w:rFonts w:hAnsi="宋体"/>
          <w:color w:val="auto"/>
          <w:sz w:val="24"/>
          <w:highlight w:val="none"/>
        </w:rPr>
        <w:t>采购，</w:t>
      </w:r>
      <w:r>
        <w:rPr>
          <w:rFonts w:hint="eastAsia" w:hAnsi="宋体"/>
          <w:color w:val="auto"/>
          <w:sz w:val="24"/>
          <w:highlight w:val="none"/>
        </w:rPr>
        <w:t>现邀请你方按单一来源采购文件的要求参加本项目的协商。</w:t>
      </w:r>
    </w:p>
    <w:p w14:paraId="58E873F6">
      <w:pPr>
        <w:pStyle w:val="4"/>
        <w:spacing w:line="360" w:lineRule="auto"/>
        <w:jc w:val="left"/>
        <w:rPr>
          <w:rFonts w:ascii="宋体" w:hAnsi="宋体"/>
          <w:bCs/>
          <w:color w:val="auto"/>
          <w:sz w:val="28"/>
          <w:szCs w:val="28"/>
          <w:highlight w:val="none"/>
        </w:rPr>
      </w:pPr>
      <w:bookmarkStart w:id="9" w:name="_Toc18339"/>
      <w:bookmarkStart w:id="10" w:name="_Toc28359012"/>
      <w:bookmarkStart w:id="11" w:name="_Toc35393798"/>
      <w:bookmarkStart w:id="12" w:name="_Toc28359089"/>
      <w:bookmarkStart w:id="13" w:name="_Toc4018"/>
      <w:bookmarkStart w:id="14" w:name="_Toc35393629"/>
      <w:bookmarkStart w:id="15" w:name="_Toc24032"/>
      <w:bookmarkStart w:id="16" w:name="_Toc7528798"/>
      <w:bookmarkStart w:id="17" w:name="_Toc4685089"/>
      <w:bookmarkStart w:id="18" w:name="_Toc15427"/>
      <w:r>
        <w:rPr>
          <w:rFonts w:hint="eastAsia" w:ascii="宋体" w:hAnsi="宋体"/>
          <w:bCs/>
          <w:color w:val="auto"/>
          <w:sz w:val="28"/>
          <w:szCs w:val="28"/>
          <w:highlight w:val="none"/>
        </w:rPr>
        <w:t>二、项目基本情况</w:t>
      </w:r>
      <w:bookmarkEnd w:id="9"/>
      <w:bookmarkEnd w:id="10"/>
      <w:bookmarkEnd w:id="11"/>
      <w:bookmarkEnd w:id="12"/>
      <w:bookmarkEnd w:id="13"/>
      <w:bookmarkEnd w:id="14"/>
    </w:p>
    <w:p w14:paraId="05926A9E">
      <w:pPr>
        <w:keepNext/>
        <w:keepLines/>
        <w:spacing w:line="360" w:lineRule="auto"/>
        <w:ind w:firstLine="480" w:firstLineChars="200"/>
        <w:jc w:val="left"/>
        <w:rPr>
          <w:rFonts w:hAnsi="宋体"/>
          <w:color w:val="auto"/>
          <w:sz w:val="24"/>
          <w:highlight w:val="none"/>
        </w:rPr>
      </w:pPr>
      <w:r>
        <w:rPr>
          <w:rFonts w:hint="eastAsia" w:hAnsi="宋体"/>
          <w:color w:val="auto"/>
          <w:sz w:val="24"/>
          <w:highlight w:val="none"/>
        </w:rPr>
        <w:t>项目编号：YNZC2026-D3-05339-YYZX-0520</w:t>
      </w:r>
    </w:p>
    <w:p w14:paraId="134B74D6">
      <w:pPr>
        <w:adjustRightInd w:val="0"/>
        <w:snapToGrid w:val="0"/>
        <w:spacing w:line="360" w:lineRule="auto"/>
        <w:ind w:firstLine="482"/>
        <w:rPr>
          <w:rFonts w:hint="eastAsia" w:hAnsi="宋体" w:eastAsia="宋体"/>
          <w:color w:val="auto"/>
          <w:sz w:val="24"/>
          <w:highlight w:val="none"/>
          <w:lang w:eastAsia="zh-CN"/>
        </w:rPr>
      </w:pPr>
      <w:r>
        <w:rPr>
          <w:rFonts w:hint="eastAsia" w:hAnsi="宋体"/>
          <w:color w:val="auto"/>
          <w:sz w:val="24"/>
          <w:highlight w:val="none"/>
        </w:rPr>
        <w:t>项目名称：</w:t>
      </w:r>
      <w:r>
        <w:rPr>
          <w:rFonts w:hint="eastAsia" w:hAnsi="宋体"/>
          <w:color w:val="auto"/>
          <w:sz w:val="24"/>
          <w:highlight w:val="none"/>
          <w:lang w:eastAsia="zh-CN"/>
        </w:rPr>
        <w:t>数字云南展示中心数字能源展区综合硬件运行维护</w:t>
      </w:r>
    </w:p>
    <w:p w14:paraId="2B537A42">
      <w:pPr>
        <w:adjustRightInd w:val="0"/>
        <w:snapToGrid w:val="0"/>
        <w:spacing w:line="360" w:lineRule="auto"/>
        <w:ind w:firstLine="482"/>
        <w:rPr>
          <w:rFonts w:hAnsi="宋体"/>
          <w:color w:val="auto"/>
          <w:sz w:val="24"/>
          <w:highlight w:val="none"/>
        </w:rPr>
      </w:pPr>
      <w:r>
        <w:rPr>
          <w:rFonts w:hint="eastAsia" w:hAnsi="宋体"/>
          <w:color w:val="auto"/>
          <w:sz w:val="24"/>
          <w:highlight w:val="none"/>
        </w:rPr>
        <w:t>采购方式：单一来源采购</w:t>
      </w:r>
    </w:p>
    <w:p w14:paraId="6D11F0E1">
      <w:pPr>
        <w:adjustRightInd w:val="0"/>
        <w:snapToGrid w:val="0"/>
        <w:spacing w:line="360" w:lineRule="auto"/>
        <w:ind w:firstLine="482"/>
        <w:rPr>
          <w:rFonts w:hAnsi="宋体"/>
          <w:color w:val="auto"/>
          <w:sz w:val="24"/>
          <w:highlight w:val="none"/>
        </w:rPr>
      </w:pPr>
      <w:r>
        <w:rPr>
          <w:rFonts w:hint="eastAsia" w:hAnsi="宋体"/>
          <w:color w:val="auto"/>
          <w:sz w:val="24"/>
          <w:highlight w:val="none"/>
        </w:rPr>
        <w:t>预算金额：</w:t>
      </w:r>
      <w:r>
        <w:rPr>
          <w:rFonts w:hint="eastAsia" w:hAnsi="宋体"/>
          <w:color w:val="auto"/>
          <w:sz w:val="24"/>
          <w:highlight w:val="none"/>
          <w:lang w:val="en-US" w:eastAsia="zh-CN"/>
        </w:rPr>
        <w:t>25.00</w:t>
      </w:r>
      <w:r>
        <w:rPr>
          <w:rFonts w:hint="eastAsia" w:hAnsi="宋体"/>
          <w:color w:val="auto"/>
          <w:sz w:val="24"/>
          <w:highlight w:val="none"/>
        </w:rPr>
        <w:t>万元</w:t>
      </w:r>
    </w:p>
    <w:p w14:paraId="5F0130E2">
      <w:pPr>
        <w:adjustRightInd w:val="0"/>
        <w:snapToGrid w:val="0"/>
        <w:spacing w:line="360" w:lineRule="auto"/>
        <w:ind w:firstLine="482"/>
        <w:rPr>
          <w:rFonts w:hint="eastAsia" w:hAnsi="宋体"/>
          <w:color w:val="auto"/>
          <w:sz w:val="24"/>
          <w:highlight w:val="none"/>
        </w:rPr>
      </w:pPr>
      <w:r>
        <w:rPr>
          <w:rFonts w:hint="eastAsia" w:hAnsi="宋体"/>
          <w:color w:val="auto"/>
          <w:sz w:val="24"/>
          <w:highlight w:val="none"/>
        </w:rPr>
        <w:t>最高限价：</w:t>
      </w:r>
      <w:r>
        <w:rPr>
          <w:rFonts w:hint="eastAsia" w:hAnsi="宋体"/>
          <w:color w:val="auto"/>
          <w:sz w:val="24"/>
          <w:highlight w:val="none"/>
          <w:lang w:val="en-US" w:eastAsia="zh-CN"/>
        </w:rPr>
        <w:t>25.00</w:t>
      </w:r>
      <w:r>
        <w:rPr>
          <w:rFonts w:hint="eastAsia" w:hAnsi="宋体"/>
          <w:color w:val="auto"/>
          <w:sz w:val="24"/>
          <w:highlight w:val="none"/>
        </w:rPr>
        <w:t>万元</w:t>
      </w:r>
    </w:p>
    <w:p w14:paraId="0AD83A98">
      <w:pPr>
        <w:adjustRightInd w:val="0"/>
        <w:snapToGrid w:val="0"/>
        <w:spacing w:line="360" w:lineRule="auto"/>
        <w:ind w:firstLine="482"/>
        <w:rPr>
          <w:rFonts w:hint="eastAsia" w:hAnsi="宋体"/>
          <w:color w:val="auto"/>
          <w:sz w:val="24"/>
          <w:highlight w:val="none"/>
        </w:rPr>
      </w:pPr>
      <w:r>
        <w:rPr>
          <w:rFonts w:hint="eastAsia" w:hAnsi="宋体"/>
          <w:color w:val="auto"/>
          <w:sz w:val="24"/>
          <w:highlight w:val="none"/>
        </w:rPr>
        <w:t>采购需求：本项目拟采购数字云南展厅数字能源展区综合硬件运行维护服务，服务主要内容包括数字能源展区内数据可视化大屏的数据维护与更新、硬件隐患排查、展区讲解等。</w:t>
      </w:r>
    </w:p>
    <w:p w14:paraId="7582AAED">
      <w:pPr>
        <w:adjustRightInd w:val="0"/>
        <w:snapToGrid w:val="0"/>
        <w:spacing w:line="360" w:lineRule="auto"/>
        <w:ind w:firstLine="482"/>
        <w:rPr>
          <w:rFonts w:hint="eastAsia" w:hAnsi="宋体"/>
          <w:color w:val="auto"/>
          <w:sz w:val="24"/>
          <w:highlight w:val="none"/>
          <w:lang w:eastAsia="zh-CN"/>
        </w:rPr>
      </w:pPr>
      <w:r>
        <w:rPr>
          <w:rFonts w:hint="eastAsia" w:hAnsi="宋体"/>
          <w:color w:val="auto"/>
          <w:sz w:val="24"/>
          <w:highlight w:val="none"/>
        </w:rPr>
        <w:t>合同履行期限：一年</w:t>
      </w:r>
      <w:r>
        <w:rPr>
          <w:rFonts w:hint="eastAsia" w:hAnsi="宋体"/>
          <w:color w:val="auto"/>
          <w:sz w:val="24"/>
          <w:highlight w:val="none"/>
          <w:lang w:eastAsia="zh-CN"/>
        </w:rPr>
        <w:t>。</w:t>
      </w:r>
    </w:p>
    <w:p w14:paraId="5B4F56CD">
      <w:pPr>
        <w:adjustRightInd w:val="0"/>
        <w:snapToGrid w:val="0"/>
        <w:spacing w:line="360" w:lineRule="auto"/>
        <w:ind w:firstLine="482"/>
        <w:rPr>
          <w:rFonts w:hint="eastAsia" w:hAnsi="宋体"/>
          <w:color w:val="auto"/>
          <w:sz w:val="24"/>
          <w:highlight w:val="none"/>
        </w:rPr>
      </w:pPr>
      <w:r>
        <w:rPr>
          <w:rFonts w:hint="eastAsia" w:hAnsi="宋体"/>
          <w:color w:val="auto"/>
          <w:sz w:val="24"/>
          <w:highlight w:val="none"/>
        </w:rPr>
        <w:t>本项目（否）接受联合体。</w:t>
      </w:r>
    </w:p>
    <w:p w14:paraId="7A0D7C23">
      <w:pPr>
        <w:pStyle w:val="4"/>
        <w:spacing w:line="360" w:lineRule="auto"/>
        <w:jc w:val="left"/>
        <w:rPr>
          <w:rFonts w:ascii="宋体" w:hAnsi="宋体"/>
          <w:bCs/>
          <w:color w:val="auto"/>
          <w:sz w:val="28"/>
          <w:szCs w:val="28"/>
          <w:highlight w:val="none"/>
        </w:rPr>
      </w:pPr>
      <w:bookmarkStart w:id="19" w:name="_Toc18678"/>
      <w:bookmarkStart w:id="20" w:name="_Toc19608"/>
      <w:r>
        <w:rPr>
          <w:rFonts w:hint="eastAsia" w:ascii="宋体" w:hAnsi="宋体"/>
          <w:bCs/>
          <w:color w:val="auto"/>
          <w:sz w:val="28"/>
          <w:szCs w:val="28"/>
          <w:highlight w:val="none"/>
        </w:rPr>
        <w:t>三、供应商资格要求</w:t>
      </w:r>
      <w:bookmarkEnd w:id="15"/>
      <w:bookmarkEnd w:id="16"/>
      <w:bookmarkEnd w:id="19"/>
      <w:bookmarkEnd w:id="20"/>
    </w:p>
    <w:p w14:paraId="1489DD37">
      <w:pPr>
        <w:spacing w:line="360" w:lineRule="auto"/>
        <w:ind w:firstLine="480" w:firstLineChars="200"/>
        <w:rPr>
          <w:rFonts w:hAnsi="宋体" w:cs="宋体"/>
          <w:color w:val="auto"/>
          <w:sz w:val="24"/>
          <w:highlight w:val="none"/>
        </w:rPr>
      </w:pPr>
      <w:r>
        <w:rPr>
          <w:rFonts w:hint="eastAsia" w:hAnsi="宋体" w:cs="宋体"/>
          <w:color w:val="auto"/>
          <w:kern w:val="2"/>
          <w:sz w:val="24"/>
          <w:highlight w:val="none"/>
          <w:lang w:bidi="ar"/>
        </w:rPr>
        <w:t>1.满足《中华人民共和国政府采购法》第二十二条规定；</w:t>
      </w:r>
    </w:p>
    <w:p w14:paraId="428CD5D2">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1.1具有独立承担民事责任的能力。提供法人或者其他组织的营业执照等证明文件。</w:t>
      </w:r>
    </w:p>
    <w:p w14:paraId="6543B2E3">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1.2具有良好的商业信誉和健全的财务会计制度。提供具备良好的商业信誉和健全的财务会计制度的承诺或证明材料。</w:t>
      </w:r>
    </w:p>
    <w:p w14:paraId="3F218E52">
      <w:pPr>
        <w:spacing w:line="360" w:lineRule="auto"/>
        <w:ind w:firstLine="480" w:firstLineChars="200"/>
        <w:rPr>
          <w:rFonts w:hAnsi="宋体" w:cs="宋体"/>
          <w:color w:val="auto"/>
          <w:sz w:val="24"/>
          <w:highlight w:val="none"/>
        </w:rPr>
      </w:pPr>
      <w:r>
        <w:rPr>
          <w:rFonts w:hint="eastAsia" w:hAnsi="宋体" w:cs="宋体"/>
          <w:color w:val="auto"/>
          <w:kern w:val="2"/>
          <w:sz w:val="24"/>
          <w:highlight w:val="none"/>
          <w:lang w:bidi="ar"/>
        </w:rPr>
        <w:t>1.3具有履行合同所必需的设备和专业技术能力。</w:t>
      </w:r>
      <w:r>
        <w:rPr>
          <w:rFonts w:hint="eastAsia" w:hAnsi="宋体" w:cs="宋体"/>
          <w:color w:val="auto"/>
          <w:sz w:val="24"/>
          <w:highlight w:val="none"/>
        </w:rPr>
        <w:t>提供具备履行合同所必需的设备和专业技术能力的承诺或证明材料。</w:t>
      </w:r>
    </w:p>
    <w:p w14:paraId="1586C60E">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1.4有依法缴纳税收和社会保障资金的良好记录。提供具备依法缴纳税收和社会保障资金的良好记录的承诺或证明材料。</w:t>
      </w:r>
    </w:p>
    <w:p w14:paraId="283B74E5">
      <w:pPr>
        <w:spacing w:line="360" w:lineRule="auto"/>
        <w:ind w:firstLine="480" w:firstLineChars="200"/>
        <w:rPr>
          <w:rFonts w:hAnsi="宋体" w:cs="宋体"/>
          <w:color w:val="auto"/>
          <w:sz w:val="24"/>
          <w:highlight w:val="none"/>
        </w:rPr>
      </w:pPr>
      <w:r>
        <w:rPr>
          <w:rFonts w:hint="eastAsia" w:hAnsi="宋体" w:cs="宋体"/>
          <w:color w:val="auto"/>
          <w:sz w:val="24"/>
          <w:highlight w:val="none"/>
        </w:rPr>
        <w:t>1.5参加政府采购活动前三年内，在经营活动中没有重大违法记录。提供参加政府采购活动前三年内在经营活动中没有重大违法记录的书面声明。</w:t>
      </w:r>
    </w:p>
    <w:p w14:paraId="3C1B5595">
      <w:pPr>
        <w:spacing w:line="360" w:lineRule="auto"/>
        <w:ind w:firstLine="465"/>
        <w:rPr>
          <w:rFonts w:hAnsi="宋体" w:cs="宋体"/>
          <w:color w:val="auto"/>
          <w:sz w:val="24"/>
          <w:highlight w:val="none"/>
        </w:rPr>
      </w:pPr>
      <w:r>
        <w:rPr>
          <w:rFonts w:hint="eastAsia" w:hAnsi="宋体" w:cs="宋体"/>
          <w:color w:val="auto"/>
          <w:sz w:val="24"/>
          <w:highlight w:val="none"/>
        </w:rPr>
        <w:t>1.6法律、行政法规规定的其他条件。</w:t>
      </w:r>
    </w:p>
    <w:p w14:paraId="4EFA7111">
      <w:pPr>
        <w:pStyle w:val="2"/>
        <w:ind w:firstLine="465"/>
        <w:rPr>
          <w:rFonts w:cs="宋体"/>
          <w:bCs w:val="0"/>
          <w:color w:val="auto"/>
          <w:kern w:val="0"/>
          <w:szCs w:val="24"/>
          <w:highlight w:val="none"/>
        </w:rPr>
      </w:pPr>
      <w:r>
        <w:rPr>
          <w:rFonts w:hint="eastAsia" w:cs="宋体"/>
          <w:bCs w:val="0"/>
          <w:color w:val="auto"/>
          <w:kern w:val="0"/>
          <w:szCs w:val="24"/>
          <w:highlight w:val="none"/>
        </w:rPr>
        <w:t>1.6.1 单位负责人为同一人或者存在直接控股、管理关系的不同供应商，不得参加同一合同项下的政府采购活动。</w:t>
      </w:r>
    </w:p>
    <w:p w14:paraId="7B632F8F">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1.6.2供应商应在“信用中国”网站(www.creditchina.gov.cn)未被列入失信被执行人记录、重大税收违法失信主体且在中国政府采购网(www.ccgp.gov.cn)没有政府采购严重违法失信行为记录。</w:t>
      </w:r>
    </w:p>
    <w:p w14:paraId="6A23CEE4">
      <w:pPr>
        <w:spacing w:line="360" w:lineRule="auto"/>
        <w:ind w:firstLine="480" w:firstLineChars="200"/>
        <w:rPr>
          <w:rFonts w:hAnsi="宋体" w:cs="宋体"/>
          <w:color w:val="auto"/>
          <w:kern w:val="2"/>
          <w:sz w:val="24"/>
          <w:highlight w:val="none"/>
          <w:lang w:bidi="ar"/>
        </w:rPr>
      </w:pPr>
      <w:bookmarkStart w:id="21" w:name="_Toc7528799"/>
      <w:bookmarkStart w:id="22" w:name="_Toc5084"/>
      <w:bookmarkStart w:id="23" w:name="_Toc13577"/>
      <w:r>
        <w:rPr>
          <w:rFonts w:hint="eastAsia" w:hAnsi="宋体" w:cs="宋体"/>
          <w:color w:val="auto"/>
          <w:kern w:val="2"/>
          <w:sz w:val="24"/>
          <w:highlight w:val="none"/>
          <w:lang w:bidi="ar"/>
        </w:rPr>
        <w:t>2.落实政府采购政策需</w:t>
      </w:r>
      <w:r>
        <w:rPr>
          <w:rFonts w:hint="eastAsia" w:ascii="宋体" w:hAnsi="宋体" w:eastAsia="宋体" w:cs="宋体"/>
          <w:bCs w:val="0"/>
          <w:snapToGrid/>
          <w:color w:val="auto"/>
          <w:kern w:val="0"/>
          <w:sz w:val="24"/>
          <w:szCs w:val="24"/>
          <w:highlight w:val="none"/>
          <w:lang w:val="en-US" w:eastAsia="zh-CN" w:bidi="ar-SA"/>
        </w:rPr>
        <w:t>满足的资格要求：本项目非专门面向中小企业采购。</w:t>
      </w:r>
    </w:p>
    <w:p w14:paraId="020A7D52">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3.本项目的特定资格要求：本项目不接受联合体协商。</w:t>
      </w:r>
    </w:p>
    <w:p w14:paraId="09C34F78">
      <w:pPr>
        <w:pStyle w:val="4"/>
        <w:spacing w:line="360" w:lineRule="auto"/>
        <w:jc w:val="left"/>
        <w:rPr>
          <w:rFonts w:ascii="宋体" w:hAnsi="宋体"/>
          <w:bCs/>
          <w:color w:val="auto"/>
          <w:sz w:val="28"/>
          <w:szCs w:val="28"/>
          <w:highlight w:val="none"/>
        </w:rPr>
      </w:pPr>
      <w:bookmarkStart w:id="24" w:name="_Toc14809"/>
      <w:r>
        <w:rPr>
          <w:rFonts w:hint="eastAsia" w:ascii="宋体" w:hAnsi="宋体"/>
          <w:bCs/>
          <w:color w:val="auto"/>
          <w:sz w:val="28"/>
          <w:szCs w:val="28"/>
          <w:highlight w:val="none"/>
        </w:rPr>
        <w:t>四、获取采购文件</w:t>
      </w:r>
      <w:bookmarkEnd w:id="21"/>
      <w:bookmarkEnd w:id="22"/>
      <w:bookmarkEnd w:id="23"/>
      <w:bookmarkEnd w:id="24"/>
    </w:p>
    <w:p w14:paraId="2A247C1C">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时间：</w:t>
      </w:r>
      <w:r>
        <w:rPr>
          <w:rFonts w:hint="eastAsia" w:hAnsi="宋体" w:cs="宋体"/>
          <w:color w:val="auto"/>
          <w:sz w:val="24"/>
          <w:highlight w:val="none"/>
          <w:u w:val="single"/>
        </w:rPr>
        <w:t>2026年</w:t>
      </w:r>
      <w:r>
        <w:rPr>
          <w:rFonts w:hint="eastAsia" w:hAnsi="宋体" w:cs="宋体"/>
          <w:color w:val="auto"/>
          <w:sz w:val="24"/>
          <w:highlight w:val="none"/>
          <w:u w:val="single"/>
          <w:lang w:val="en-US" w:eastAsia="zh-CN"/>
        </w:rPr>
        <w:t>9</w:t>
      </w:r>
      <w:r>
        <w:rPr>
          <w:rFonts w:hint="eastAsia" w:hAnsi="宋体" w:cs="宋体"/>
          <w:color w:val="auto"/>
          <w:sz w:val="24"/>
          <w:highlight w:val="none"/>
          <w:u w:val="single"/>
        </w:rPr>
        <w:t>月</w:t>
      </w:r>
      <w:r>
        <w:rPr>
          <w:rFonts w:hint="eastAsia" w:hAnsi="宋体" w:cs="宋体"/>
          <w:color w:val="auto"/>
          <w:sz w:val="24"/>
          <w:highlight w:val="none"/>
          <w:u w:val="single"/>
          <w:lang w:val="en-US" w:eastAsia="zh-CN"/>
        </w:rPr>
        <w:t>4</w:t>
      </w:r>
      <w:r>
        <w:rPr>
          <w:rFonts w:hint="eastAsia" w:hAnsi="宋体" w:cs="宋体"/>
          <w:color w:val="auto"/>
          <w:sz w:val="24"/>
          <w:highlight w:val="none"/>
          <w:u w:val="single"/>
        </w:rPr>
        <w:t>日至2026年</w:t>
      </w:r>
      <w:r>
        <w:rPr>
          <w:rFonts w:hint="eastAsia" w:hAnsi="宋体" w:cs="宋体"/>
          <w:color w:val="auto"/>
          <w:sz w:val="24"/>
          <w:highlight w:val="none"/>
          <w:u w:val="single"/>
          <w:lang w:val="en-US" w:eastAsia="zh-CN"/>
        </w:rPr>
        <w:t>9</w:t>
      </w:r>
      <w:r>
        <w:rPr>
          <w:rFonts w:hint="eastAsia" w:hAnsi="宋体" w:cs="宋体"/>
          <w:color w:val="auto"/>
          <w:sz w:val="24"/>
          <w:highlight w:val="none"/>
          <w:u w:val="single"/>
        </w:rPr>
        <w:t>月</w:t>
      </w:r>
      <w:r>
        <w:rPr>
          <w:rFonts w:hint="eastAsia" w:hAnsi="宋体" w:cs="宋体"/>
          <w:color w:val="auto"/>
          <w:sz w:val="24"/>
          <w:highlight w:val="none"/>
          <w:u w:val="single"/>
          <w:lang w:val="en-US" w:eastAsia="zh-CN"/>
        </w:rPr>
        <w:t>9</w:t>
      </w:r>
      <w:r>
        <w:rPr>
          <w:rFonts w:hint="eastAsia" w:hAnsi="宋体" w:cs="宋体"/>
          <w:color w:val="auto"/>
          <w:sz w:val="24"/>
          <w:highlight w:val="none"/>
          <w:u w:val="single"/>
        </w:rPr>
        <w:t>日</w:t>
      </w:r>
      <w:r>
        <w:rPr>
          <w:rFonts w:hint="eastAsia" w:hAnsi="宋体" w:cs="华文细黑"/>
          <w:color w:val="auto"/>
          <w:sz w:val="24"/>
          <w:highlight w:val="none"/>
          <w:lang w:bidi="ar"/>
        </w:rPr>
        <w:t>，每天上午</w:t>
      </w:r>
      <w:r>
        <w:rPr>
          <w:rFonts w:hAnsi="宋体" w:cs="华文细黑"/>
          <w:color w:val="auto"/>
          <w:sz w:val="24"/>
          <w:highlight w:val="none"/>
          <w:lang w:bidi="ar"/>
        </w:rPr>
        <w:t>0</w:t>
      </w:r>
      <w:r>
        <w:rPr>
          <w:rFonts w:hint="eastAsia" w:hAnsi="宋体" w:cs="华文细黑"/>
          <w:color w:val="auto"/>
          <w:sz w:val="24"/>
          <w:highlight w:val="none"/>
          <w:lang w:bidi="ar"/>
        </w:rPr>
        <w:t>6：</w:t>
      </w:r>
      <w:r>
        <w:rPr>
          <w:rFonts w:hAnsi="宋体" w:cs="华文细黑"/>
          <w:color w:val="auto"/>
          <w:sz w:val="24"/>
          <w:highlight w:val="none"/>
          <w:lang w:bidi="ar"/>
        </w:rPr>
        <w:t>0</w:t>
      </w:r>
      <w:r>
        <w:rPr>
          <w:rFonts w:hint="eastAsia" w:hAnsi="宋体" w:cs="华文细黑"/>
          <w:color w:val="auto"/>
          <w:sz w:val="24"/>
          <w:highlight w:val="none"/>
          <w:lang w:bidi="ar"/>
        </w:rPr>
        <w:t>0至1</w:t>
      </w:r>
      <w:r>
        <w:rPr>
          <w:rFonts w:hAnsi="宋体" w:cs="华文细黑"/>
          <w:color w:val="auto"/>
          <w:sz w:val="24"/>
          <w:highlight w:val="none"/>
          <w:lang w:bidi="ar"/>
        </w:rPr>
        <w:t>2</w:t>
      </w:r>
      <w:r>
        <w:rPr>
          <w:rFonts w:hint="eastAsia" w:hAnsi="宋体" w:cs="华文细黑"/>
          <w:color w:val="auto"/>
          <w:sz w:val="24"/>
          <w:highlight w:val="none"/>
          <w:lang w:bidi="ar"/>
        </w:rPr>
        <w:t>：</w:t>
      </w:r>
      <w:r>
        <w:rPr>
          <w:rFonts w:hAnsi="宋体" w:cs="华文细黑"/>
          <w:color w:val="auto"/>
          <w:sz w:val="24"/>
          <w:highlight w:val="none"/>
          <w:lang w:bidi="ar"/>
        </w:rPr>
        <w:t>0</w:t>
      </w:r>
      <w:r>
        <w:rPr>
          <w:rFonts w:hint="eastAsia" w:hAnsi="宋体" w:cs="华文细黑"/>
          <w:color w:val="auto"/>
          <w:sz w:val="24"/>
          <w:highlight w:val="none"/>
          <w:lang w:bidi="ar"/>
        </w:rPr>
        <w:t>0，下午1</w:t>
      </w:r>
      <w:r>
        <w:rPr>
          <w:rFonts w:hAnsi="宋体" w:cs="华文细黑"/>
          <w:color w:val="auto"/>
          <w:sz w:val="24"/>
          <w:highlight w:val="none"/>
          <w:lang w:bidi="ar"/>
        </w:rPr>
        <w:t>2</w:t>
      </w:r>
      <w:r>
        <w:rPr>
          <w:rFonts w:hint="eastAsia" w:hAnsi="宋体" w:cs="华文细黑"/>
          <w:color w:val="auto"/>
          <w:sz w:val="24"/>
          <w:highlight w:val="none"/>
          <w:lang w:bidi="ar"/>
        </w:rPr>
        <w:t>：</w:t>
      </w:r>
      <w:r>
        <w:rPr>
          <w:rFonts w:hAnsi="宋体" w:cs="华文细黑"/>
          <w:color w:val="auto"/>
          <w:sz w:val="24"/>
          <w:highlight w:val="none"/>
          <w:lang w:bidi="ar"/>
        </w:rPr>
        <w:t>00</w:t>
      </w:r>
      <w:r>
        <w:rPr>
          <w:rFonts w:hint="eastAsia" w:hAnsi="宋体" w:cs="华文细黑"/>
          <w:color w:val="auto"/>
          <w:sz w:val="24"/>
          <w:highlight w:val="none"/>
          <w:lang w:bidi="ar"/>
        </w:rPr>
        <w:t>至</w:t>
      </w:r>
      <w:r>
        <w:rPr>
          <w:rFonts w:hAnsi="宋体" w:cs="华文细黑"/>
          <w:color w:val="auto"/>
          <w:sz w:val="24"/>
          <w:highlight w:val="none"/>
          <w:lang w:bidi="ar"/>
        </w:rPr>
        <w:t>23</w:t>
      </w:r>
      <w:r>
        <w:rPr>
          <w:rFonts w:hint="eastAsia" w:hAnsi="宋体" w:cs="华文细黑"/>
          <w:color w:val="auto"/>
          <w:sz w:val="24"/>
          <w:highlight w:val="none"/>
          <w:lang w:bidi="ar"/>
        </w:rPr>
        <w:t>：</w:t>
      </w:r>
      <w:r>
        <w:rPr>
          <w:rFonts w:hAnsi="宋体" w:cs="华文细黑"/>
          <w:color w:val="auto"/>
          <w:sz w:val="24"/>
          <w:highlight w:val="none"/>
          <w:lang w:bidi="ar"/>
        </w:rPr>
        <w:t>59</w:t>
      </w:r>
      <w:r>
        <w:rPr>
          <w:rFonts w:hint="eastAsia" w:hAnsi="宋体" w:cs="华文细黑"/>
          <w:color w:val="auto"/>
          <w:sz w:val="24"/>
          <w:highlight w:val="none"/>
          <w:lang w:bidi="ar"/>
        </w:rPr>
        <w:t>（北京时间，法定节假日除外）。</w:t>
      </w:r>
    </w:p>
    <w:p w14:paraId="07395DB2">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地点：</w:t>
      </w:r>
      <w:r>
        <w:rPr>
          <w:rFonts w:hint="eastAsia" w:hAnsi="宋体" w:cs="宋体"/>
          <w:color w:val="auto"/>
          <w:sz w:val="24"/>
          <w:highlight w:val="none"/>
        </w:rPr>
        <w:t>供应商可自行在“政采云”平台（http：//www.zcygov.cn）下载采购文件（操作路径：登录“政采云”平台-项目采购-获取采购文件-找到本项目-点击“申请获取采购文件”），电子响应文件制作需要基于“政采云”平台（http：//www.zcygov.cn）获取的采购文件编制。</w:t>
      </w:r>
    </w:p>
    <w:p w14:paraId="3C38AAD0">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方式：</w:t>
      </w:r>
    </w:p>
    <w:p w14:paraId="0941A77E">
      <w:pPr>
        <w:spacing w:line="360" w:lineRule="auto"/>
        <w:ind w:firstLine="480" w:firstLineChars="200"/>
        <w:rPr>
          <w:rFonts w:hAnsi="宋体" w:cs="宋体"/>
          <w:color w:val="auto"/>
          <w:sz w:val="24"/>
          <w:highlight w:val="none"/>
        </w:rPr>
      </w:pPr>
      <w:r>
        <w:rPr>
          <w:rFonts w:hint="eastAsia" w:hAnsi="宋体" w:cs="宋体"/>
          <w:color w:val="auto"/>
          <w:sz w:val="24"/>
          <w:highlight w:val="none"/>
        </w:rPr>
        <w:t>（一）凡有意参加协商者，须注册政采云平台账号并登录办理数字证书（CA），若供应商未办理数字证书（CA）的，可选择办理云南壹证通CA。CA申领链接：</w:t>
      </w:r>
      <w:r>
        <w:rPr>
          <w:rFonts w:hint="eastAsia"/>
          <w:color w:val="auto"/>
          <w:highlight w:val="none"/>
        </w:rPr>
        <w:fldChar w:fldCharType="begin"/>
      </w:r>
      <w:r>
        <w:rPr>
          <w:rFonts w:hint="eastAsia" w:hAnsi="宋体" w:cs="宋体"/>
          <w:color w:val="auto"/>
          <w:sz w:val="24"/>
          <w:highlight w:val="none"/>
        </w:rPr>
        <w:instrText xml:space="preserve"> HYPERLINK "http://yzt.ynsmartcert.cn/cms/yztmdkj.html" </w:instrText>
      </w:r>
      <w:r>
        <w:rPr>
          <w:rFonts w:hint="eastAsia"/>
          <w:color w:val="auto"/>
          <w:highlight w:val="none"/>
        </w:rPr>
        <w:fldChar w:fldCharType="separate"/>
      </w:r>
      <w:r>
        <w:rPr>
          <w:rStyle w:val="41"/>
          <w:rFonts w:hint="eastAsia" w:hAnsi="宋体" w:cs="宋体"/>
          <w:color w:val="auto"/>
          <w:sz w:val="24"/>
          <w:highlight w:val="none"/>
        </w:rPr>
        <w:t>http://yzt.ynsmartcert.cn/cms/yztmdkj.html</w:t>
      </w:r>
      <w:r>
        <w:rPr>
          <w:rStyle w:val="41"/>
          <w:rFonts w:hint="eastAsia" w:hAnsi="宋体" w:cs="宋体"/>
          <w:color w:val="auto"/>
          <w:sz w:val="24"/>
          <w:highlight w:val="none"/>
        </w:rPr>
        <w:fldChar w:fldCharType="end"/>
      </w:r>
      <w:r>
        <w:rPr>
          <w:color w:val="auto"/>
          <w:highlight w:val="none"/>
        </w:rPr>
        <w:fldChar w:fldCharType="begin"/>
      </w:r>
      <w:r>
        <w:rPr>
          <w:color w:val="auto"/>
          <w:highlight w:val="none"/>
        </w:rPr>
        <w:instrText xml:space="preserve"> HYPERLINK "http://yzt.ynsmartcert.cn/cms/yztbnxj16.html" </w:instrText>
      </w:r>
      <w:r>
        <w:rPr>
          <w:color w:val="auto"/>
          <w:highlight w:val="none"/>
        </w:rPr>
        <w:fldChar w:fldCharType="separate"/>
      </w:r>
      <w:r>
        <w:rPr>
          <w:color w:val="auto"/>
          <w:highlight w:val="none"/>
        </w:rPr>
        <w:fldChar w:fldCharType="end"/>
      </w:r>
      <w:r>
        <w:rPr>
          <w:rFonts w:hint="eastAsia" w:hAnsi="宋体" w:cs="宋体"/>
          <w:color w:val="auto"/>
          <w:sz w:val="24"/>
          <w:highlight w:val="none"/>
        </w:rPr>
        <w:t>云南壹证通CA 可支持线上、线下两种办理方式，并提供7*24小时全天候客户服务支持，客服热线400-004-0628。（紧急CA办理电话：19988166369）政府采购云平台支持多家CA服务商，供应商可自行选择办理。</w:t>
      </w:r>
    </w:p>
    <w:p w14:paraId="16CCB196">
      <w:pPr>
        <w:spacing w:line="360" w:lineRule="auto"/>
        <w:ind w:firstLine="480" w:firstLineChars="200"/>
        <w:rPr>
          <w:rFonts w:hAnsi="宋体" w:cs="宋体"/>
          <w:color w:val="auto"/>
          <w:sz w:val="24"/>
          <w:highlight w:val="none"/>
        </w:rPr>
      </w:pPr>
      <w:r>
        <w:rPr>
          <w:rFonts w:hint="eastAsia" w:hAnsi="宋体" w:cs="宋体"/>
          <w:color w:val="auto"/>
          <w:sz w:val="24"/>
          <w:highlight w:val="none"/>
        </w:rPr>
        <w:t>（二）数字证书（CA）申领完成之后进入政府采购云平台，企业账号与数字证书（CA）进行绑定，凭企业数字证书（CA）进行项目报名及免费下载单一来源采购文件。</w:t>
      </w:r>
    </w:p>
    <w:p w14:paraId="1CFE5260">
      <w:pPr>
        <w:spacing w:line="360" w:lineRule="auto"/>
        <w:ind w:firstLine="480" w:firstLineChars="200"/>
        <w:rPr>
          <w:rFonts w:hAnsi="宋体" w:cs="宋体"/>
          <w:color w:val="auto"/>
          <w:sz w:val="24"/>
          <w:highlight w:val="none"/>
        </w:rPr>
      </w:pPr>
      <w:r>
        <w:rPr>
          <w:rFonts w:hint="eastAsia" w:hAnsi="宋体" w:cs="宋体"/>
          <w:color w:val="auto"/>
          <w:sz w:val="24"/>
          <w:highlight w:val="none"/>
        </w:rPr>
        <w:t>（三）按上述要求获取文件的供应商视为已合法获取本项目采购文件，具备本项目的协商资格。</w:t>
      </w:r>
    </w:p>
    <w:p w14:paraId="44EE7CFF">
      <w:pPr>
        <w:spacing w:line="360" w:lineRule="auto"/>
        <w:ind w:firstLine="480" w:firstLineChars="200"/>
        <w:rPr>
          <w:rFonts w:hAnsi="宋体" w:cs="宋体"/>
          <w:color w:val="auto"/>
          <w:sz w:val="24"/>
          <w:highlight w:val="none"/>
        </w:rPr>
      </w:pPr>
      <w:r>
        <w:rPr>
          <w:rFonts w:hint="eastAsia" w:hAnsi="宋体" w:cs="宋体"/>
          <w:color w:val="auto"/>
          <w:sz w:val="24"/>
          <w:highlight w:val="none"/>
        </w:rPr>
        <w:t>（四）如有问题可拨打政采云客户服务热线95763进行咨询，数字证书（CA）问题可咨询24小时技术支持热线400-004-0628（紧急办理可拨：19988166369）</w:t>
      </w:r>
    </w:p>
    <w:p w14:paraId="0B95C37E">
      <w:pPr>
        <w:spacing w:line="360" w:lineRule="auto"/>
        <w:ind w:firstLine="480" w:firstLineChars="200"/>
        <w:rPr>
          <w:rFonts w:hAnsi="宋体"/>
          <w:color w:val="auto"/>
          <w:sz w:val="24"/>
          <w:highlight w:val="none"/>
        </w:rPr>
      </w:pPr>
      <w:r>
        <w:rPr>
          <w:rFonts w:hint="eastAsia" w:hAnsi="宋体" w:cs="华文细黑"/>
          <w:color w:val="auto"/>
          <w:sz w:val="24"/>
          <w:highlight w:val="none"/>
          <w:lang w:bidi="ar"/>
        </w:rPr>
        <w:t>售价：0元。</w:t>
      </w:r>
    </w:p>
    <w:p w14:paraId="03D9D20D">
      <w:pPr>
        <w:pStyle w:val="4"/>
        <w:spacing w:line="360" w:lineRule="auto"/>
        <w:jc w:val="left"/>
        <w:rPr>
          <w:rFonts w:ascii="宋体" w:hAnsi="宋体"/>
          <w:bCs/>
          <w:color w:val="auto"/>
          <w:sz w:val="28"/>
          <w:szCs w:val="28"/>
          <w:highlight w:val="none"/>
        </w:rPr>
      </w:pPr>
      <w:bookmarkStart w:id="25" w:name="_Toc18651"/>
      <w:bookmarkStart w:id="26" w:name="_Toc8685"/>
      <w:r>
        <w:rPr>
          <w:rFonts w:hint="eastAsia" w:ascii="宋体" w:hAnsi="宋体"/>
          <w:bCs/>
          <w:color w:val="auto"/>
          <w:sz w:val="28"/>
          <w:szCs w:val="28"/>
          <w:highlight w:val="none"/>
        </w:rPr>
        <w:t>五、响应文件提交</w:t>
      </w:r>
      <w:bookmarkEnd w:id="17"/>
      <w:bookmarkEnd w:id="18"/>
      <w:bookmarkEnd w:id="25"/>
      <w:bookmarkEnd w:id="26"/>
    </w:p>
    <w:p w14:paraId="37B7F58C">
      <w:pPr>
        <w:spacing w:line="360" w:lineRule="auto"/>
        <w:ind w:firstLine="480" w:firstLineChars="200"/>
        <w:rPr>
          <w:rFonts w:hAnsi="宋体" w:cs="宋体"/>
          <w:bCs/>
          <w:color w:val="auto"/>
          <w:sz w:val="24"/>
          <w:highlight w:val="none"/>
          <w:u w:val="single"/>
        </w:rPr>
      </w:pPr>
      <w:bookmarkStart w:id="27" w:name="_Toc4685090"/>
      <w:bookmarkStart w:id="28" w:name="_Toc19635"/>
      <w:bookmarkStart w:id="29" w:name="_Toc21020"/>
      <w:r>
        <w:rPr>
          <w:rFonts w:hint="eastAsia" w:hAnsi="宋体" w:cs="宋体"/>
          <w:color w:val="auto"/>
          <w:sz w:val="24"/>
          <w:highlight w:val="none"/>
        </w:rPr>
        <w:t>截止时间：</w:t>
      </w:r>
      <w:r>
        <w:rPr>
          <w:rFonts w:hint="eastAsia" w:hAnsi="宋体" w:cs="华文细黑"/>
          <w:color w:val="auto"/>
          <w:sz w:val="24"/>
          <w:highlight w:val="none"/>
          <w:u w:val="single"/>
        </w:rPr>
        <w:t>2026年</w:t>
      </w:r>
      <w:r>
        <w:rPr>
          <w:rFonts w:hint="eastAsia" w:hAnsi="宋体" w:cs="宋体"/>
          <w:color w:val="auto"/>
          <w:sz w:val="24"/>
          <w:highlight w:val="none"/>
          <w:u w:val="single"/>
          <w:lang w:val="en-US" w:eastAsia="zh-CN"/>
        </w:rPr>
        <w:t>9</w:t>
      </w:r>
      <w:r>
        <w:rPr>
          <w:rFonts w:hint="eastAsia" w:hAnsi="宋体" w:cs="宋体"/>
          <w:color w:val="auto"/>
          <w:sz w:val="24"/>
          <w:highlight w:val="none"/>
          <w:u w:val="single"/>
        </w:rPr>
        <w:t>月</w:t>
      </w:r>
      <w:r>
        <w:rPr>
          <w:rFonts w:hint="eastAsia" w:hAnsi="宋体" w:cs="宋体"/>
          <w:color w:val="auto"/>
          <w:sz w:val="24"/>
          <w:highlight w:val="none"/>
          <w:u w:val="single"/>
          <w:lang w:val="en-US" w:eastAsia="zh-CN"/>
        </w:rPr>
        <w:t>11</w:t>
      </w:r>
      <w:r>
        <w:rPr>
          <w:rFonts w:hint="eastAsia" w:hAnsi="宋体" w:cs="宋体"/>
          <w:color w:val="auto"/>
          <w:sz w:val="24"/>
          <w:highlight w:val="none"/>
          <w:u w:val="single"/>
        </w:rPr>
        <w:t>日</w:t>
      </w:r>
      <w:r>
        <w:rPr>
          <w:rFonts w:hint="eastAsia" w:hAnsi="宋体" w:cs="宋体"/>
          <w:color w:val="auto"/>
          <w:sz w:val="24"/>
          <w:highlight w:val="none"/>
          <w:u w:val="single"/>
          <w:lang w:val="en-US" w:eastAsia="zh-CN"/>
        </w:rPr>
        <w:t>9</w:t>
      </w:r>
      <w:r>
        <w:rPr>
          <w:rFonts w:hint="eastAsia" w:hAnsi="宋体" w:cs="华文细黑"/>
          <w:color w:val="auto"/>
          <w:sz w:val="24"/>
          <w:highlight w:val="none"/>
          <w:u w:val="single"/>
          <w:lang w:val="en-US" w:eastAsia="zh-CN"/>
        </w:rPr>
        <w:t>时</w:t>
      </w:r>
      <w:r>
        <w:rPr>
          <w:rFonts w:hint="eastAsia" w:hAnsi="宋体" w:cs="宋体"/>
          <w:color w:val="auto"/>
          <w:sz w:val="24"/>
          <w:highlight w:val="none"/>
          <w:u w:val="single"/>
          <w:lang w:val="en-US" w:eastAsia="zh-CN"/>
        </w:rPr>
        <w:t>00</w:t>
      </w:r>
      <w:r>
        <w:rPr>
          <w:rFonts w:hint="eastAsia" w:hAnsi="宋体" w:cs="华文细黑"/>
          <w:color w:val="auto"/>
          <w:sz w:val="24"/>
          <w:highlight w:val="none"/>
          <w:u w:val="single"/>
        </w:rPr>
        <w:t>分</w:t>
      </w:r>
      <w:r>
        <w:rPr>
          <w:rFonts w:hint="eastAsia" w:hAnsi="宋体" w:cs="华文细黑"/>
          <w:color w:val="auto"/>
          <w:sz w:val="24"/>
          <w:highlight w:val="none"/>
        </w:rPr>
        <w:t>（北京时间）。</w:t>
      </w:r>
    </w:p>
    <w:p w14:paraId="225B4713">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地点：“政采云”平台开标大厅。</w:t>
      </w:r>
    </w:p>
    <w:p w14:paraId="47D96A65">
      <w:pPr>
        <w:spacing w:line="360" w:lineRule="auto"/>
        <w:ind w:firstLine="480" w:firstLineChars="200"/>
        <w:rPr>
          <w:rFonts w:hAnsi="宋体" w:cs="宋体"/>
          <w:color w:val="auto"/>
          <w:sz w:val="24"/>
          <w:highlight w:val="none"/>
        </w:rPr>
      </w:pPr>
      <w:r>
        <w:rPr>
          <w:rFonts w:hint="eastAsia" w:hAnsi="宋体" w:cs="华文细黑"/>
          <w:color w:val="auto"/>
          <w:sz w:val="24"/>
          <w:highlight w:val="none"/>
          <w:lang w:bidi="ar"/>
        </w:rPr>
        <w:t>注：供应商应按照本项目单一来源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4795DC99">
      <w:pPr>
        <w:pStyle w:val="4"/>
        <w:spacing w:line="360" w:lineRule="auto"/>
        <w:jc w:val="left"/>
        <w:rPr>
          <w:rFonts w:ascii="宋体" w:hAnsi="宋体"/>
          <w:bCs/>
          <w:color w:val="auto"/>
          <w:sz w:val="28"/>
          <w:szCs w:val="28"/>
          <w:highlight w:val="none"/>
        </w:rPr>
      </w:pPr>
      <w:bookmarkStart w:id="30" w:name="_Toc10540"/>
      <w:bookmarkStart w:id="31" w:name="_Toc35393633"/>
      <w:bookmarkStart w:id="32" w:name="_Toc24133"/>
      <w:bookmarkStart w:id="33" w:name="_Toc35393802"/>
      <w:bookmarkStart w:id="34" w:name="_Toc28359016"/>
      <w:bookmarkStart w:id="35" w:name="_Toc12446"/>
      <w:bookmarkStart w:id="36" w:name="_Toc28359093"/>
      <w:bookmarkStart w:id="37" w:name="_Toc18204"/>
      <w:r>
        <w:rPr>
          <w:rFonts w:hint="eastAsia" w:ascii="宋体" w:hAnsi="宋体"/>
          <w:bCs/>
          <w:color w:val="auto"/>
          <w:sz w:val="28"/>
          <w:szCs w:val="28"/>
          <w:highlight w:val="none"/>
        </w:rPr>
        <w:t>六、</w:t>
      </w:r>
      <w:bookmarkEnd w:id="30"/>
      <w:bookmarkEnd w:id="31"/>
      <w:bookmarkEnd w:id="32"/>
      <w:bookmarkEnd w:id="33"/>
      <w:bookmarkEnd w:id="34"/>
      <w:bookmarkEnd w:id="35"/>
      <w:bookmarkEnd w:id="36"/>
      <w:r>
        <w:rPr>
          <w:rFonts w:hint="eastAsia" w:ascii="宋体" w:hAnsi="宋体"/>
          <w:bCs/>
          <w:color w:val="auto"/>
          <w:sz w:val="28"/>
          <w:szCs w:val="28"/>
          <w:highlight w:val="none"/>
        </w:rPr>
        <w:t>协商</w:t>
      </w:r>
      <w:bookmarkEnd w:id="37"/>
    </w:p>
    <w:p w14:paraId="72F701C4">
      <w:pPr>
        <w:spacing w:line="360" w:lineRule="auto"/>
        <w:ind w:firstLine="480" w:firstLineChars="200"/>
        <w:rPr>
          <w:rFonts w:hAnsi="宋体" w:cs="宋体"/>
          <w:bCs/>
          <w:color w:val="auto"/>
          <w:sz w:val="24"/>
          <w:highlight w:val="none"/>
          <w:u w:val="single"/>
        </w:rPr>
      </w:pPr>
      <w:r>
        <w:rPr>
          <w:rFonts w:hint="eastAsia" w:hAnsi="宋体" w:cs="宋体"/>
          <w:color w:val="auto"/>
          <w:sz w:val="24"/>
          <w:highlight w:val="none"/>
        </w:rPr>
        <w:t>时间：</w:t>
      </w:r>
      <w:r>
        <w:rPr>
          <w:rFonts w:hint="eastAsia" w:hAnsi="宋体" w:cs="华文细黑"/>
          <w:color w:val="auto"/>
          <w:sz w:val="24"/>
          <w:highlight w:val="none"/>
          <w:u w:val="single"/>
        </w:rPr>
        <w:t>2026年</w:t>
      </w:r>
      <w:r>
        <w:rPr>
          <w:rFonts w:hint="eastAsia" w:hAnsi="宋体" w:cs="宋体"/>
          <w:color w:val="auto"/>
          <w:sz w:val="24"/>
          <w:highlight w:val="none"/>
          <w:u w:val="single"/>
          <w:lang w:val="en-US" w:eastAsia="zh-CN"/>
        </w:rPr>
        <w:t>9</w:t>
      </w:r>
      <w:r>
        <w:rPr>
          <w:rFonts w:hint="eastAsia" w:hAnsi="宋体" w:cs="宋体"/>
          <w:color w:val="auto"/>
          <w:sz w:val="24"/>
          <w:highlight w:val="none"/>
          <w:u w:val="single"/>
        </w:rPr>
        <w:t>月</w:t>
      </w:r>
      <w:r>
        <w:rPr>
          <w:rFonts w:hint="eastAsia" w:hAnsi="宋体" w:cs="宋体"/>
          <w:color w:val="auto"/>
          <w:sz w:val="24"/>
          <w:highlight w:val="none"/>
          <w:u w:val="single"/>
          <w:lang w:val="en-US" w:eastAsia="zh-CN"/>
        </w:rPr>
        <w:t>11</w:t>
      </w:r>
      <w:r>
        <w:rPr>
          <w:rFonts w:hint="eastAsia" w:hAnsi="宋体" w:cs="宋体"/>
          <w:color w:val="auto"/>
          <w:sz w:val="24"/>
          <w:highlight w:val="none"/>
          <w:u w:val="single"/>
        </w:rPr>
        <w:t>日</w:t>
      </w:r>
      <w:r>
        <w:rPr>
          <w:rFonts w:hint="eastAsia" w:hAnsi="宋体" w:cs="宋体"/>
          <w:color w:val="auto"/>
          <w:sz w:val="24"/>
          <w:highlight w:val="none"/>
          <w:u w:val="single"/>
          <w:lang w:val="en-US" w:eastAsia="zh-CN"/>
        </w:rPr>
        <w:t>9</w:t>
      </w:r>
      <w:r>
        <w:rPr>
          <w:rFonts w:hint="eastAsia" w:hAnsi="宋体" w:cs="华文细黑"/>
          <w:color w:val="auto"/>
          <w:sz w:val="24"/>
          <w:highlight w:val="none"/>
          <w:u w:val="single"/>
          <w:lang w:val="en-US" w:eastAsia="zh-CN"/>
        </w:rPr>
        <w:t>时</w:t>
      </w:r>
      <w:r>
        <w:rPr>
          <w:rFonts w:hint="eastAsia" w:hAnsi="宋体" w:cs="宋体"/>
          <w:color w:val="auto"/>
          <w:sz w:val="24"/>
          <w:highlight w:val="none"/>
          <w:u w:val="single"/>
          <w:lang w:val="en-US" w:eastAsia="zh-CN"/>
        </w:rPr>
        <w:t>00</w:t>
      </w:r>
      <w:r>
        <w:rPr>
          <w:rFonts w:hint="eastAsia" w:hAnsi="宋体" w:cs="华文细黑"/>
          <w:color w:val="auto"/>
          <w:sz w:val="24"/>
          <w:highlight w:val="none"/>
          <w:u w:val="single"/>
        </w:rPr>
        <w:t>分</w:t>
      </w:r>
      <w:r>
        <w:rPr>
          <w:rFonts w:hint="eastAsia" w:hAnsi="宋体" w:cs="华文细黑"/>
          <w:color w:val="auto"/>
          <w:sz w:val="24"/>
          <w:highlight w:val="none"/>
        </w:rPr>
        <w:t>（北京时间）。</w:t>
      </w:r>
    </w:p>
    <w:p w14:paraId="5720E40A">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地点：“政采云”平台开标大厅。</w:t>
      </w:r>
    </w:p>
    <w:p w14:paraId="0435865F">
      <w:pPr>
        <w:spacing w:line="360" w:lineRule="auto"/>
        <w:ind w:firstLine="480" w:firstLineChars="200"/>
        <w:rPr>
          <w:rFonts w:hAnsi="宋体"/>
          <w:bCs/>
          <w:color w:val="auto"/>
          <w:sz w:val="28"/>
          <w:szCs w:val="28"/>
          <w:highlight w:val="none"/>
        </w:rPr>
      </w:pPr>
      <w:r>
        <w:rPr>
          <w:rFonts w:hint="eastAsia" w:hAnsi="宋体" w:cs="华文细黑"/>
          <w:color w:val="auto"/>
          <w:sz w:val="24"/>
          <w:highlight w:val="none"/>
          <w:lang w:bidi="ar"/>
        </w:rPr>
        <w:t>注：供应商应按照本项目单一来源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1B47671F">
      <w:pPr>
        <w:pStyle w:val="4"/>
        <w:spacing w:line="360" w:lineRule="auto"/>
        <w:jc w:val="left"/>
        <w:rPr>
          <w:rFonts w:ascii="宋体" w:hAnsi="宋体" w:cs="宋体"/>
          <w:color w:val="auto"/>
          <w:sz w:val="24"/>
          <w:szCs w:val="24"/>
          <w:highlight w:val="none"/>
        </w:rPr>
      </w:pPr>
      <w:bookmarkStart w:id="38" w:name="_Toc7561"/>
      <w:bookmarkStart w:id="39" w:name="_Toc29435"/>
      <w:bookmarkStart w:id="40" w:name="_Toc14457"/>
      <w:bookmarkStart w:id="41" w:name="_Toc26868"/>
      <w:r>
        <w:rPr>
          <w:rFonts w:hint="eastAsia" w:ascii="宋体" w:hAnsi="宋体"/>
          <w:bCs/>
          <w:color w:val="auto"/>
          <w:sz w:val="28"/>
          <w:szCs w:val="28"/>
          <w:highlight w:val="none"/>
        </w:rPr>
        <w:t>七、其他补充事宜</w:t>
      </w:r>
      <w:bookmarkEnd w:id="27"/>
      <w:bookmarkEnd w:id="28"/>
      <w:bookmarkEnd w:id="29"/>
      <w:bookmarkEnd w:id="38"/>
      <w:bookmarkEnd w:id="39"/>
      <w:bookmarkEnd w:id="40"/>
      <w:bookmarkEnd w:id="41"/>
      <w:bookmarkStart w:id="42" w:name="_Toc2833"/>
      <w:bookmarkStart w:id="43" w:name="_Toc3038"/>
      <w:r>
        <w:rPr>
          <w:rFonts w:hint="eastAsia" w:ascii="宋体" w:hAnsi="宋体" w:cs="宋体"/>
          <w:color w:val="auto"/>
          <w:sz w:val="24"/>
          <w:szCs w:val="24"/>
          <w:highlight w:val="none"/>
        </w:rPr>
        <w:t xml:space="preserve"> </w:t>
      </w:r>
    </w:p>
    <w:p w14:paraId="33B0A432">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1.协商方式：网上开标</w:t>
      </w:r>
    </w:p>
    <w:p w14:paraId="598A5DB8">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2.是否需要缴纳协商保证金：否</w:t>
      </w:r>
    </w:p>
    <w:p w14:paraId="4C3670F1">
      <w:pPr>
        <w:spacing w:line="360" w:lineRule="auto"/>
        <w:ind w:firstLine="480" w:firstLineChars="200"/>
        <w:rPr>
          <w:rFonts w:hAnsi="宋体" w:cs="华文细黑"/>
          <w:color w:val="auto"/>
          <w:sz w:val="24"/>
          <w:highlight w:val="none"/>
          <w:lang w:bidi="ar"/>
        </w:rPr>
      </w:pPr>
      <w:r>
        <w:rPr>
          <w:rFonts w:hint="eastAsia" w:hAnsi="宋体" w:cs="华文细黑"/>
          <w:color w:val="auto"/>
          <w:sz w:val="24"/>
          <w:highlight w:val="none"/>
          <w:lang w:bidi="ar"/>
        </w:rPr>
        <w:t>3.本项目执行政府采购促进中小企业发展、支持监狱企业、促进残疾人就业、强制采购和优先采购节能、环保产品等政府采购政策。</w:t>
      </w:r>
    </w:p>
    <w:bookmarkEnd w:id="42"/>
    <w:bookmarkEnd w:id="43"/>
    <w:p w14:paraId="0B776E9D">
      <w:pPr>
        <w:pStyle w:val="4"/>
        <w:spacing w:line="360" w:lineRule="auto"/>
        <w:jc w:val="left"/>
        <w:rPr>
          <w:rFonts w:ascii="宋体" w:hAnsi="宋体"/>
          <w:bCs/>
          <w:color w:val="auto"/>
          <w:sz w:val="28"/>
          <w:szCs w:val="28"/>
          <w:highlight w:val="none"/>
        </w:rPr>
      </w:pPr>
      <w:bookmarkStart w:id="44" w:name="_Toc21391"/>
      <w:bookmarkStart w:id="45" w:name="_Toc24703"/>
      <w:bookmarkStart w:id="46" w:name="_Toc35393805"/>
      <w:bookmarkStart w:id="47" w:name="_Toc28359095"/>
      <w:bookmarkStart w:id="48" w:name="_Toc35393636"/>
      <w:bookmarkStart w:id="49" w:name="_Toc5651"/>
      <w:bookmarkStart w:id="50" w:name="_Toc28359018"/>
      <w:bookmarkStart w:id="51" w:name="_Toc13804"/>
      <w:r>
        <w:rPr>
          <w:rFonts w:hint="eastAsia" w:ascii="宋体" w:hAnsi="宋体"/>
          <w:bCs/>
          <w:color w:val="auto"/>
          <w:sz w:val="28"/>
          <w:szCs w:val="28"/>
          <w:highlight w:val="none"/>
        </w:rPr>
        <w:t>八、凡对本次采购提出询问，请按以下方式联系</w:t>
      </w:r>
      <w:bookmarkEnd w:id="44"/>
      <w:bookmarkEnd w:id="45"/>
      <w:bookmarkEnd w:id="46"/>
      <w:bookmarkEnd w:id="47"/>
      <w:bookmarkEnd w:id="48"/>
      <w:bookmarkEnd w:id="49"/>
      <w:bookmarkEnd w:id="50"/>
      <w:bookmarkEnd w:id="51"/>
    </w:p>
    <w:p w14:paraId="03F269A5">
      <w:pPr>
        <w:spacing w:line="360" w:lineRule="auto"/>
        <w:ind w:firstLine="480" w:firstLineChars="200"/>
        <w:rPr>
          <w:rFonts w:hAnsi="宋体" w:cs="宋体"/>
          <w:color w:val="auto"/>
          <w:sz w:val="24"/>
          <w:highlight w:val="none"/>
        </w:rPr>
      </w:pPr>
      <w:bookmarkStart w:id="52" w:name="_Toc28359019"/>
      <w:bookmarkStart w:id="53" w:name="_Toc28359096"/>
      <w:bookmarkStart w:id="54" w:name="_Toc35393637"/>
      <w:bookmarkStart w:id="55" w:name="_Toc35393806"/>
      <w:r>
        <w:rPr>
          <w:rFonts w:hint="eastAsia" w:hAnsi="宋体" w:cs="宋体"/>
          <w:color w:val="auto"/>
          <w:sz w:val="24"/>
          <w:highlight w:val="none"/>
        </w:rPr>
        <w:t>1.采购人信息</w:t>
      </w:r>
      <w:bookmarkEnd w:id="52"/>
      <w:bookmarkEnd w:id="53"/>
      <w:bookmarkEnd w:id="54"/>
      <w:bookmarkEnd w:id="55"/>
    </w:p>
    <w:p w14:paraId="514C80CA">
      <w:pPr>
        <w:spacing w:line="360" w:lineRule="auto"/>
        <w:ind w:firstLine="480" w:firstLineChars="200"/>
        <w:rPr>
          <w:rFonts w:hint="eastAsia" w:hAnsi="宋体" w:eastAsia="宋体" w:cs="宋体"/>
          <w:color w:val="auto"/>
          <w:sz w:val="24"/>
          <w:highlight w:val="none"/>
          <w:lang w:eastAsia="zh-CN"/>
        </w:rPr>
      </w:pPr>
      <w:r>
        <w:rPr>
          <w:rFonts w:hint="eastAsia" w:hAnsi="宋体" w:cs="宋体"/>
          <w:color w:val="auto"/>
          <w:sz w:val="24"/>
          <w:highlight w:val="none"/>
        </w:rPr>
        <w:t>名 称：</w:t>
      </w:r>
      <w:r>
        <w:rPr>
          <w:rFonts w:hint="eastAsia" w:hAnsi="宋体" w:cs="宋体"/>
          <w:color w:val="auto"/>
          <w:sz w:val="24"/>
          <w:highlight w:val="none"/>
          <w:lang w:eastAsia="zh-CN"/>
        </w:rPr>
        <w:t>云南省能源局</w:t>
      </w:r>
    </w:p>
    <w:p w14:paraId="6016CD3C">
      <w:pPr>
        <w:spacing w:line="360" w:lineRule="auto"/>
        <w:ind w:firstLine="480" w:firstLineChars="200"/>
        <w:rPr>
          <w:rFonts w:hint="eastAsia" w:hAnsi="宋体" w:eastAsia="宋体" w:cs="宋体"/>
          <w:color w:val="auto"/>
          <w:sz w:val="24"/>
          <w:highlight w:val="none"/>
          <w:lang w:eastAsia="zh-CN"/>
        </w:rPr>
      </w:pPr>
      <w:r>
        <w:rPr>
          <w:rFonts w:hint="eastAsia" w:hAnsi="宋体" w:cs="宋体"/>
          <w:color w:val="auto"/>
          <w:sz w:val="24"/>
          <w:highlight w:val="none"/>
        </w:rPr>
        <w:t>地 址：</w:t>
      </w:r>
      <w:r>
        <w:rPr>
          <w:rFonts w:hint="eastAsia" w:hAnsi="宋体" w:cs="宋体"/>
          <w:color w:val="auto"/>
          <w:sz w:val="24"/>
          <w:highlight w:val="none"/>
          <w:lang w:eastAsia="zh-CN"/>
        </w:rPr>
        <w:t>昆明市东风东路76号</w:t>
      </w:r>
    </w:p>
    <w:p w14:paraId="0D4ACD9E">
      <w:pPr>
        <w:spacing w:line="360" w:lineRule="auto"/>
        <w:ind w:firstLine="480" w:firstLineChars="200"/>
        <w:rPr>
          <w:rFonts w:hint="eastAsia" w:hAnsi="宋体" w:eastAsia="宋体" w:cs="宋体"/>
          <w:color w:val="auto"/>
          <w:sz w:val="24"/>
          <w:highlight w:val="none"/>
          <w:lang w:eastAsia="zh-CN"/>
        </w:rPr>
      </w:pPr>
      <w:r>
        <w:rPr>
          <w:rFonts w:hint="eastAsia" w:hAnsi="宋体" w:cs="宋体"/>
          <w:color w:val="auto"/>
          <w:sz w:val="24"/>
          <w:highlight w:val="none"/>
        </w:rPr>
        <w:t>联系方式：</w:t>
      </w:r>
      <w:r>
        <w:rPr>
          <w:rFonts w:hint="eastAsia" w:hAnsi="宋体" w:cs="宋体"/>
          <w:color w:val="auto"/>
          <w:sz w:val="24"/>
          <w:highlight w:val="none"/>
          <w:lang w:eastAsia="zh-CN"/>
        </w:rPr>
        <w:t>(0871)64885638</w:t>
      </w:r>
    </w:p>
    <w:p w14:paraId="6869C6A8">
      <w:pPr>
        <w:spacing w:line="360" w:lineRule="auto"/>
        <w:ind w:firstLine="480" w:firstLineChars="200"/>
        <w:rPr>
          <w:rFonts w:hAnsi="宋体" w:cs="宋体"/>
          <w:color w:val="auto"/>
          <w:sz w:val="24"/>
          <w:highlight w:val="none"/>
        </w:rPr>
      </w:pPr>
      <w:bookmarkStart w:id="56" w:name="_Toc28359097"/>
      <w:bookmarkStart w:id="57" w:name="_Toc35393638"/>
      <w:bookmarkStart w:id="58" w:name="_Toc35393807"/>
      <w:bookmarkStart w:id="59" w:name="_Toc28359020"/>
      <w:r>
        <w:rPr>
          <w:rFonts w:hint="eastAsia" w:hAnsi="宋体" w:cs="宋体"/>
          <w:color w:val="auto"/>
          <w:sz w:val="24"/>
          <w:highlight w:val="none"/>
        </w:rPr>
        <w:t>2.采购代理机构信息</w:t>
      </w:r>
      <w:bookmarkEnd w:id="56"/>
      <w:bookmarkEnd w:id="57"/>
      <w:bookmarkEnd w:id="58"/>
      <w:bookmarkEnd w:id="59"/>
    </w:p>
    <w:p w14:paraId="657D4DDF">
      <w:pPr>
        <w:spacing w:line="360" w:lineRule="auto"/>
        <w:ind w:firstLine="480" w:firstLineChars="200"/>
        <w:rPr>
          <w:rFonts w:hAnsi="宋体" w:cs="宋体"/>
          <w:color w:val="auto"/>
          <w:sz w:val="24"/>
          <w:highlight w:val="none"/>
        </w:rPr>
      </w:pPr>
      <w:r>
        <w:rPr>
          <w:rFonts w:hint="eastAsia" w:hAnsi="宋体" w:cs="宋体"/>
          <w:color w:val="auto"/>
          <w:sz w:val="24"/>
          <w:highlight w:val="none"/>
        </w:rPr>
        <w:t>名 称：云南元大工程咨询有限责任公司</w:t>
      </w:r>
    </w:p>
    <w:p w14:paraId="244521E8">
      <w:pPr>
        <w:spacing w:line="360" w:lineRule="auto"/>
        <w:ind w:left="1679" w:leftChars="228" w:hanging="1200" w:hangingChars="500"/>
        <w:rPr>
          <w:rFonts w:hAnsi="宋体" w:cs="宋体"/>
          <w:color w:val="auto"/>
          <w:sz w:val="24"/>
          <w:highlight w:val="none"/>
        </w:rPr>
      </w:pPr>
      <w:r>
        <w:rPr>
          <w:rFonts w:hint="eastAsia" w:hAnsi="宋体" w:cs="宋体"/>
          <w:color w:val="auto"/>
          <w:sz w:val="24"/>
          <w:highlight w:val="none"/>
        </w:rPr>
        <w:t>地 址：昆明市盘龙区联盟路与万宏路交汇处万宏嘉园沣苑(地块三)B座15层(奥斯迪商务中心B座15楼)</w:t>
      </w:r>
    </w:p>
    <w:p w14:paraId="4D914436">
      <w:pPr>
        <w:spacing w:line="360" w:lineRule="auto"/>
        <w:ind w:firstLine="480" w:firstLineChars="200"/>
        <w:rPr>
          <w:rFonts w:hAnsi="宋体" w:cs="宋体"/>
          <w:color w:val="auto"/>
          <w:sz w:val="24"/>
          <w:highlight w:val="none"/>
        </w:rPr>
      </w:pPr>
      <w:r>
        <w:rPr>
          <w:rFonts w:hint="eastAsia" w:hAnsi="宋体" w:cs="宋体"/>
          <w:color w:val="auto"/>
          <w:sz w:val="24"/>
          <w:highlight w:val="none"/>
        </w:rPr>
        <w:t>联系方式：</w:t>
      </w:r>
      <w:bookmarkStart w:id="60" w:name="_Toc35393808"/>
      <w:bookmarkStart w:id="61" w:name="_Toc28359021"/>
      <w:bookmarkStart w:id="62" w:name="_Toc28359098"/>
      <w:bookmarkStart w:id="63" w:name="_Toc35393639"/>
      <w:r>
        <w:rPr>
          <w:rFonts w:hint="eastAsia" w:hAnsi="宋体" w:cs="宋体"/>
          <w:color w:val="auto"/>
          <w:sz w:val="24"/>
          <w:highlight w:val="none"/>
        </w:rPr>
        <w:t>0871-63335856</w:t>
      </w:r>
    </w:p>
    <w:p w14:paraId="43457EA9">
      <w:pPr>
        <w:spacing w:line="360" w:lineRule="auto"/>
        <w:ind w:firstLine="480" w:firstLineChars="200"/>
        <w:rPr>
          <w:rFonts w:hAnsi="宋体" w:cs="宋体"/>
          <w:color w:val="auto"/>
          <w:sz w:val="24"/>
          <w:highlight w:val="none"/>
        </w:rPr>
      </w:pPr>
      <w:r>
        <w:rPr>
          <w:rFonts w:hint="eastAsia" w:hAnsi="宋体" w:cs="宋体"/>
          <w:color w:val="auto"/>
          <w:sz w:val="24"/>
          <w:highlight w:val="none"/>
        </w:rPr>
        <w:t>3.项目联系方式</w:t>
      </w:r>
      <w:bookmarkEnd w:id="60"/>
      <w:bookmarkEnd w:id="61"/>
      <w:bookmarkEnd w:id="62"/>
      <w:bookmarkEnd w:id="63"/>
    </w:p>
    <w:p w14:paraId="0A4DCD38">
      <w:pPr>
        <w:spacing w:line="360" w:lineRule="auto"/>
        <w:ind w:firstLine="480" w:firstLineChars="200"/>
        <w:rPr>
          <w:rFonts w:hint="default" w:hAnsi="宋体" w:eastAsia="宋体" w:cs="宋体"/>
          <w:color w:val="auto"/>
          <w:sz w:val="24"/>
          <w:highlight w:val="none"/>
          <w:lang w:val="en-US" w:eastAsia="zh-CN"/>
        </w:rPr>
      </w:pPr>
      <w:r>
        <w:rPr>
          <w:rFonts w:hint="eastAsia" w:hAnsi="宋体" w:cs="宋体"/>
          <w:color w:val="auto"/>
          <w:sz w:val="24"/>
          <w:highlight w:val="none"/>
        </w:rPr>
        <w:t>项目联系人：</w:t>
      </w:r>
      <w:r>
        <w:rPr>
          <w:rFonts w:hint="eastAsia" w:hAnsi="宋体" w:cs="宋体"/>
          <w:color w:val="auto"/>
          <w:sz w:val="24"/>
          <w:highlight w:val="none"/>
          <w:lang w:val="en-US" w:eastAsia="zh-CN"/>
        </w:rPr>
        <w:t>李春丽、沈灿、宁威、邱海旭、蔡慈进、赵德武</w:t>
      </w:r>
    </w:p>
    <w:p w14:paraId="2B42B677">
      <w:pPr>
        <w:spacing w:line="360" w:lineRule="auto"/>
        <w:ind w:firstLine="480" w:firstLineChars="200"/>
        <w:rPr>
          <w:rFonts w:hAnsi="宋体" w:cs="宋体"/>
          <w:color w:val="auto"/>
          <w:sz w:val="24"/>
          <w:highlight w:val="none"/>
        </w:rPr>
      </w:pPr>
      <w:r>
        <w:rPr>
          <w:rFonts w:hint="eastAsia" w:hAnsi="宋体" w:cs="宋体"/>
          <w:color w:val="auto"/>
          <w:sz w:val="24"/>
          <w:highlight w:val="none"/>
        </w:rPr>
        <w:t>电话：0871-63335856</w:t>
      </w:r>
    </w:p>
    <w:p w14:paraId="00E46BC3">
      <w:pPr>
        <w:spacing w:line="360" w:lineRule="auto"/>
        <w:ind w:firstLine="480" w:firstLineChars="200"/>
        <w:rPr>
          <w:rFonts w:hAnsi="宋体" w:cs="宋体"/>
          <w:color w:val="auto"/>
          <w:sz w:val="24"/>
          <w:highlight w:val="none"/>
          <w:u w:val="single"/>
        </w:rPr>
      </w:pPr>
    </w:p>
    <w:p w14:paraId="21D8B50B">
      <w:pPr>
        <w:spacing w:before="158" w:beforeLines="50" w:line="400" w:lineRule="exact"/>
        <w:rPr>
          <w:rFonts w:hAnsi="宋体"/>
          <w:b/>
          <w:color w:val="auto"/>
          <w:sz w:val="24"/>
          <w:highlight w:val="none"/>
        </w:rPr>
        <w:sectPr>
          <w:headerReference r:id="rId9" w:type="default"/>
          <w:footerReference r:id="rId10" w:type="default"/>
          <w:pgSz w:w="11905" w:h="16838"/>
          <w:pgMar w:top="1440" w:right="1083" w:bottom="1440" w:left="1083" w:header="850" w:footer="992" w:gutter="0"/>
          <w:pgNumType w:start="1"/>
          <w:cols w:space="720" w:num="1"/>
          <w:docGrid w:type="lines" w:linePitch="317" w:charSpace="0"/>
        </w:sectPr>
      </w:pPr>
      <w:bookmarkStart w:id="354" w:name="_GoBack"/>
      <w:bookmarkEnd w:id="354"/>
    </w:p>
    <w:p w14:paraId="019763DB">
      <w:pPr>
        <w:pStyle w:val="3"/>
        <w:spacing w:before="158" w:beforeLines="50" w:after="158" w:afterLines="50" w:line="420" w:lineRule="exact"/>
        <w:rPr>
          <w:color w:val="auto"/>
          <w:spacing w:val="0"/>
          <w:sz w:val="44"/>
          <w:szCs w:val="44"/>
          <w:highlight w:val="none"/>
        </w:rPr>
      </w:pPr>
      <w:bookmarkStart w:id="64" w:name="_Toc122530370"/>
      <w:bookmarkStart w:id="65" w:name="_Toc10979"/>
      <w:bookmarkStart w:id="66" w:name="_Toc4685092"/>
      <w:r>
        <w:rPr>
          <w:rFonts w:hint="eastAsia"/>
          <w:color w:val="auto"/>
          <w:spacing w:val="0"/>
          <w:sz w:val="44"/>
          <w:szCs w:val="44"/>
          <w:highlight w:val="none"/>
        </w:rPr>
        <w:t>第二章</w:t>
      </w:r>
      <w:r>
        <w:rPr>
          <w:color w:val="auto"/>
          <w:spacing w:val="0"/>
          <w:sz w:val="44"/>
          <w:szCs w:val="44"/>
          <w:highlight w:val="none"/>
        </w:rPr>
        <w:t xml:space="preserve"> </w:t>
      </w:r>
      <w:r>
        <w:rPr>
          <w:rFonts w:hint="eastAsia"/>
          <w:color w:val="auto"/>
          <w:spacing w:val="0"/>
          <w:sz w:val="44"/>
          <w:szCs w:val="44"/>
          <w:highlight w:val="none"/>
        </w:rPr>
        <w:t xml:space="preserve"> 供应商须知</w:t>
      </w:r>
      <w:bookmarkEnd w:id="64"/>
      <w:bookmarkEnd w:id="65"/>
      <w:bookmarkEnd w:id="66"/>
      <w:bookmarkStart w:id="67" w:name="_Toc122530371"/>
    </w:p>
    <w:p w14:paraId="3E2EF73C">
      <w:pPr>
        <w:pStyle w:val="4"/>
        <w:spacing w:line="360" w:lineRule="auto"/>
        <w:ind w:firstLine="420"/>
        <w:rPr>
          <w:rFonts w:ascii="宋体" w:hAnsi="宋体"/>
          <w:bCs/>
          <w:color w:val="auto"/>
          <w:sz w:val="28"/>
          <w:szCs w:val="28"/>
          <w:highlight w:val="none"/>
        </w:rPr>
      </w:pPr>
      <w:bookmarkStart w:id="68" w:name="_Toc23436"/>
      <w:bookmarkStart w:id="69" w:name="_Toc4685093"/>
      <w:r>
        <w:rPr>
          <w:rFonts w:hint="eastAsia" w:ascii="宋体" w:hAnsi="宋体"/>
          <w:bCs/>
          <w:color w:val="auto"/>
          <w:sz w:val="28"/>
          <w:szCs w:val="28"/>
          <w:highlight w:val="none"/>
        </w:rPr>
        <w:t>供应商须知前附表</w:t>
      </w:r>
      <w:bookmarkEnd w:id="68"/>
      <w:bookmarkEnd w:id="69"/>
    </w:p>
    <w:tbl>
      <w:tblPr>
        <w:tblStyle w:val="35"/>
        <w:tblW w:w="9882" w:type="dxa"/>
        <w:jc w:val="center"/>
        <w:tblLayout w:type="fixed"/>
        <w:tblCellMar>
          <w:top w:w="0" w:type="dxa"/>
          <w:left w:w="0" w:type="dxa"/>
          <w:bottom w:w="0" w:type="dxa"/>
          <w:right w:w="0" w:type="dxa"/>
        </w:tblCellMar>
      </w:tblPr>
      <w:tblGrid>
        <w:gridCol w:w="1047"/>
        <w:gridCol w:w="2009"/>
        <w:gridCol w:w="6826"/>
      </w:tblGrid>
      <w:tr w14:paraId="3EA5D99B">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14:paraId="663FB370">
            <w:pPr>
              <w:spacing w:line="360" w:lineRule="auto"/>
              <w:jc w:val="center"/>
              <w:rPr>
                <w:rFonts w:hAnsi="宋体"/>
                <w:b/>
                <w:bCs/>
                <w:color w:val="auto"/>
                <w:kern w:val="2"/>
                <w:sz w:val="24"/>
                <w:highlight w:val="none"/>
              </w:rPr>
            </w:pPr>
            <w:r>
              <w:rPr>
                <w:rFonts w:hint="eastAsia" w:hAnsi="宋体"/>
                <w:b/>
                <w:bCs/>
                <w:color w:val="auto"/>
                <w:kern w:val="2"/>
                <w:sz w:val="24"/>
                <w:highlight w:val="none"/>
              </w:rPr>
              <w:t>条款号</w:t>
            </w:r>
          </w:p>
        </w:tc>
        <w:tc>
          <w:tcPr>
            <w:tcW w:w="2009" w:type="dxa"/>
            <w:tcBorders>
              <w:top w:val="single" w:color="auto" w:sz="8" w:space="0"/>
              <w:left w:val="nil"/>
              <w:bottom w:val="single" w:color="auto" w:sz="8" w:space="0"/>
              <w:right w:val="single" w:color="auto" w:sz="8" w:space="0"/>
            </w:tcBorders>
            <w:vAlign w:val="bottom"/>
          </w:tcPr>
          <w:p w14:paraId="70025B38">
            <w:pPr>
              <w:spacing w:line="360" w:lineRule="auto"/>
              <w:jc w:val="center"/>
              <w:rPr>
                <w:rFonts w:hAnsi="宋体"/>
                <w:b/>
                <w:bCs/>
                <w:color w:val="auto"/>
                <w:kern w:val="2"/>
                <w:sz w:val="24"/>
                <w:highlight w:val="none"/>
              </w:rPr>
            </w:pPr>
            <w:r>
              <w:rPr>
                <w:rFonts w:hint="eastAsia" w:hAnsi="宋体"/>
                <w:b/>
                <w:bCs/>
                <w:color w:val="auto"/>
                <w:kern w:val="2"/>
                <w:sz w:val="24"/>
                <w:highlight w:val="none"/>
              </w:rPr>
              <w:t>条 款 名 称</w:t>
            </w:r>
          </w:p>
        </w:tc>
        <w:tc>
          <w:tcPr>
            <w:tcW w:w="6826" w:type="dxa"/>
            <w:tcBorders>
              <w:top w:val="single" w:color="auto" w:sz="8" w:space="0"/>
              <w:left w:val="nil"/>
              <w:bottom w:val="single" w:color="auto" w:sz="8" w:space="0"/>
              <w:right w:val="single" w:color="auto" w:sz="8" w:space="0"/>
            </w:tcBorders>
            <w:vAlign w:val="bottom"/>
          </w:tcPr>
          <w:p w14:paraId="58EEC93B">
            <w:pPr>
              <w:spacing w:line="360" w:lineRule="auto"/>
              <w:ind w:left="1680"/>
              <w:rPr>
                <w:rFonts w:hAnsi="宋体"/>
                <w:b/>
                <w:bCs/>
                <w:color w:val="auto"/>
                <w:kern w:val="2"/>
                <w:sz w:val="24"/>
                <w:highlight w:val="none"/>
              </w:rPr>
            </w:pPr>
            <w:r>
              <w:rPr>
                <w:rFonts w:hint="eastAsia" w:hAnsi="宋体"/>
                <w:b/>
                <w:bCs/>
                <w:color w:val="auto"/>
                <w:kern w:val="2"/>
                <w:sz w:val="24"/>
                <w:highlight w:val="none"/>
              </w:rPr>
              <w:t>编 列 内 容</w:t>
            </w:r>
          </w:p>
        </w:tc>
      </w:tr>
      <w:tr w14:paraId="3C29DCBF">
        <w:tblPrEx>
          <w:tblCellMar>
            <w:top w:w="0" w:type="dxa"/>
            <w:left w:w="0" w:type="dxa"/>
            <w:bottom w:w="0" w:type="dxa"/>
            <w:right w:w="0" w:type="dxa"/>
          </w:tblCellMar>
        </w:tblPrEx>
        <w:trPr>
          <w:trHeight w:val="61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799D284">
            <w:pPr>
              <w:spacing w:line="360" w:lineRule="auto"/>
              <w:jc w:val="center"/>
              <w:rPr>
                <w:rFonts w:hAnsi="宋体"/>
                <w:color w:val="auto"/>
                <w:kern w:val="2"/>
                <w:sz w:val="24"/>
                <w:highlight w:val="none"/>
              </w:rPr>
            </w:pPr>
            <w:r>
              <w:rPr>
                <w:rFonts w:hint="eastAsia" w:hAnsi="宋体"/>
                <w:color w:val="auto"/>
                <w:kern w:val="2"/>
                <w:sz w:val="24"/>
                <w:highlight w:val="none"/>
              </w:rPr>
              <w:t>1.1.2</w:t>
            </w:r>
          </w:p>
        </w:tc>
        <w:tc>
          <w:tcPr>
            <w:tcW w:w="2009" w:type="dxa"/>
            <w:tcBorders>
              <w:top w:val="single" w:color="auto" w:sz="8" w:space="0"/>
              <w:left w:val="nil"/>
              <w:bottom w:val="single" w:color="auto" w:sz="8" w:space="0"/>
              <w:right w:val="single" w:color="auto" w:sz="8" w:space="0"/>
            </w:tcBorders>
            <w:vAlign w:val="center"/>
          </w:tcPr>
          <w:p w14:paraId="1F3190F0">
            <w:pPr>
              <w:spacing w:line="360" w:lineRule="auto"/>
              <w:jc w:val="left"/>
              <w:rPr>
                <w:rFonts w:hAnsi="宋体"/>
                <w:color w:val="auto"/>
                <w:kern w:val="2"/>
                <w:sz w:val="24"/>
                <w:highlight w:val="none"/>
              </w:rPr>
            </w:pPr>
            <w:r>
              <w:rPr>
                <w:rFonts w:hint="eastAsia" w:hAnsi="宋体"/>
                <w:color w:val="auto"/>
                <w:kern w:val="2"/>
                <w:sz w:val="24"/>
                <w:highlight w:val="none"/>
              </w:rPr>
              <w:t>采购人</w:t>
            </w:r>
          </w:p>
        </w:tc>
        <w:tc>
          <w:tcPr>
            <w:tcW w:w="6826" w:type="dxa"/>
            <w:tcBorders>
              <w:top w:val="single" w:color="auto" w:sz="8" w:space="0"/>
              <w:left w:val="nil"/>
              <w:bottom w:val="single" w:color="auto" w:sz="8" w:space="0"/>
              <w:right w:val="single" w:color="auto" w:sz="8" w:space="0"/>
            </w:tcBorders>
            <w:vAlign w:val="center"/>
          </w:tcPr>
          <w:p w14:paraId="21EE5B30">
            <w:pPr>
              <w:spacing w:line="360" w:lineRule="auto"/>
              <w:rPr>
                <w:rFonts w:hAnsi="宋体"/>
                <w:color w:val="auto"/>
                <w:kern w:val="2"/>
                <w:sz w:val="24"/>
                <w:highlight w:val="none"/>
              </w:rPr>
            </w:pPr>
            <w:r>
              <w:rPr>
                <w:rFonts w:hint="eastAsia" w:hAnsi="宋体" w:cs="宋体"/>
                <w:color w:val="auto"/>
                <w:kern w:val="2"/>
                <w:sz w:val="24"/>
                <w:highlight w:val="none"/>
              </w:rPr>
              <w:t>详见第一章“单一来源采购邀请书”</w:t>
            </w:r>
          </w:p>
        </w:tc>
      </w:tr>
      <w:tr w14:paraId="57C23921">
        <w:tblPrEx>
          <w:tblCellMar>
            <w:top w:w="0" w:type="dxa"/>
            <w:left w:w="0" w:type="dxa"/>
            <w:bottom w:w="0" w:type="dxa"/>
            <w:right w:w="0" w:type="dxa"/>
          </w:tblCellMar>
        </w:tblPrEx>
        <w:trPr>
          <w:trHeight w:val="68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69B7C18">
            <w:pPr>
              <w:spacing w:line="360" w:lineRule="auto"/>
              <w:jc w:val="center"/>
              <w:rPr>
                <w:rFonts w:hAnsi="宋体"/>
                <w:color w:val="auto"/>
                <w:kern w:val="2"/>
                <w:sz w:val="24"/>
                <w:highlight w:val="none"/>
              </w:rPr>
            </w:pPr>
            <w:r>
              <w:rPr>
                <w:rFonts w:hint="eastAsia" w:hAnsi="宋体"/>
                <w:color w:val="auto"/>
                <w:kern w:val="2"/>
                <w:sz w:val="24"/>
                <w:highlight w:val="none"/>
              </w:rPr>
              <w:t>1.1.3</w:t>
            </w:r>
          </w:p>
        </w:tc>
        <w:tc>
          <w:tcPr>
            <w:tcW w:w="2009" w:type="dxa"/>
            <w:tcBorders>
              <w:top w:val="single" w:color="auto" w:sz="8" w:space="0"/>
              <w:left w:val="nil"/>
              <w:bottom w:val="single" w:color="auto" w:sz="8" w:space="0"/>
              <w:right w:val="single" w:color="auto" w:sz="8" w:space="0"/>
            </w:tcBorders>
            <w:vAlign w:val="center"/>
          </w:tcPr>
          <w:p w14:paraId="2BFC1C05">
            <w:pPr>
              <w:spacing w:line="360" w:lineRule="auto"/>
              <w:jc w:val="left"/>
              <w:rPr>
                <w:rFonts w:hAnsi="宋体"/>
                <w:color w:val="auto"/>
                <w:kern w:val="2"/>
                <w:sz w:val="24"/>
                <w:highlight w:val="none"/>
              </w:rPr>
            </w:pPr>
            <w:r>
              <w:rPr>
                <w:rFonts w:hint="eastAsia" w:hAnsi="宋体"/>
                <w:color w:val="auto"/>
                <w:kern w:val="2"/>
                <w:sz w:val="24"/>
                <w:highlight w:val="none"/>
              </w:rPr>
              <w:t>采购代理机构</w:t>
            </w:r>
          </w:p>
        </w:tc>
        <w:tc>
          <w:tcPr>
            <w:tcW w:w="6826" w:type="dxa"/>
            <w:tcBorders>
              <w:top w:val="single" w:color="auto" w:sz="8" w:space="0"/>
              <w:left w:val="nil"/>
              <w:bottom w:val="single" w:color="auto" w:sz="8" w:space="0"/>
              <w:right w:val="single" w:color="auto" w:sz="8" w:space="0"/>
            </w:tcBorders>
            <w:vAlign w:val="center"/>
          </w:tcPr>
          <w:p w14:paraId="34955136">
            <w:pPr>
              <w:spacing w:line="360" w:lineRule="auto"/>
              <w:rPr>
                <w:rFonts w:hAnsi="宋体"/>
                <w:color w:val="auto"/>
                <w:kern w:val="2"/>
                <w:sz w:val="24"/>
                <w:highlight w:val="none"/>
              </w:rPr>
            </w:pPr>
            <w:r>
              <w:rPr>
                <w:rFonts w:hint="eastAsia" w:hAnsi="宋体" w:cs="宋体"/>
                <w:color w:val="auto"/>
                <w:kern w:val="2"/>
                <w:sz w:val="24"/>
                <w:highlight w:val="none"/>
              </w:rPr>
              <w:t>详见第一章“单一来源采购邀请书”</w:t>
            </w:r>
          </w:p>
        </w:tc>
      </w:tr>
      <w:tr w14:paraId="6E96C264">
        <w:tblPrEx>
          <w:tblCellMar>
            <w:top w:w="0" w:type="dxa"/>
            <w:left w:w="0" w:type="dxa"/>
            <w:bottom w:w="0" w:type="dxa"/>
            <w:right w:w="0" w:type="dxa"/>
          </w:tblCellMar>
        </w:tblPrEx>
        <w:trPr>
          <w:trHeight w:val="62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B9A9316">
            <w:pPr>
              <w:spacing w:line="360" w:lineRule="auto"/>
              <w:jc w:val="center"/>
              <w:rPr>
                <w:rFonts w:hAnsi="宋体"/>
                <w:color w:val="auto"/>
                <w:kern w:val="2"/>
                <w:sz w:val="24"/>
                <w:highlight w:val="none"/>
              </w:rPr>
            </w:pPr>
            <w:r>
              <w:rPr>
                <w:rFonts w:hint="eastAsia" w:hAnsi="宋体"/>
                <w:color w:val="auto"/>
                <w:kern w:val="2"/>
                <w:sz w:val="24"/>
                <w:highlight w:val="none"/>
              </w:rPr>
              <w:t>1.1.4</w:t>
            </w:r>
          </w:p>
        </w:tc>
        <w:tc>
          <w:tcPr>
            <w:tcW w:w="2009" w:type="dxa"/>
            <w:tcBorders>
              <w:top w:val="single" w:color="auto" w:sz="8" w:space="0"/>
              <w:left w:val="nil"/>
              <w:bottom w:val="single" w:color="auto" w:sz="8" w:space="0"/>
              <w:right w:val="single" w:color="auto" w:sz="8" w:space="0"/>
            </w:tcBorders>
            <w:vAlign w:val="center"/>
          </w:tcPr>
          <w:p w14:paraId="6119A36A">
            <w:pPr>
              <w:spacing w:line="360" w:lineRule="auto"/>
              <w:jc w:val="left"/>
              <w:rPr>
                <w:rFonts w:hAnsi="宋体"/>
                <w:color w:val="auto"/>
                <w:kern w:val="2"/>
                <w:sz w:val="24"/>
                <w:highlight w:val="none"/>
              </w:rPr>
            </w:pPr>
            <w:r>
              <w:rPr>
                <w:rFonts w:hint="eastAsia" w:hAnsi="宋体"/>
                <w:color w:val="auto"/>
                <w:kern w:val="2"/>
                <w:sz w:val="24"/>
                <w:highlight w:val="none"/>
              </w:rPr>
              <w:t>项目名称</w:t>
            </w:r>
          </w:p>
        </w:tc>
        <w:tc>
          <w:tcPr>
            <w:tcW w:w="6826" w:type="dxa"/>
            <w:tcBorders>
              <w:top w:val="single" w:color="auto" w:sz="8" w:space="0"/>
              <w:left w:val="nil"/>
              <w:bottom w:val="single" w:color="auto" w:sz="8" w:space="0"/>
              <w:right w:val="single" w:color="auto" w:sz="8" w:space="0"/>
            </w:tcBorders>
            <w:vAlign w:val="bottom"/>
          </w:tcPr>
          <w:p w14:paraId="63619E4D">
            <w:pPr>
              <w:spacing w:line="360" w:lineRule="auto"/>
              <w:rPr>
                <w:rFonts w:hAnsi="宋体"/>
                <w:color w:val="auto"/>
                <w:kern w:val="2"/>
                <w:sz w:val="24"/>
                <w:highlight w:val="none"/>
              </w:rPr>
            </w:pPr>
            <w:r>
              <w:rPr>
                <w:rFonts w:hint="eastAsia" w:hAnsi="宋体" w:cs="宋体"/>
                <w:color w:val="auto"/>
                <w:kern w:val="2"/>
                <w:sz w:val="24"/>
                <w:highlight w:val="none"/>
              </w:rPr>
              <w:t>详见第一章“单一来源采购邀请书”</w:t>
            </w:r>
          </w:p>
        </w:tc>
      </w:tr>
      <w:tr w14:paraId="74842815">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A185087">
            <w:pPr>
              <w:spacing w:line="360" w:lineRule="auto"/>
              <w:jc w:val="center"/>
              <w:rPr>
                <w:rFonts w:hAnsi="宋体" w:cs="宋体"/>
                <w:color w:val="auto"/>
                <w:kern w:val="2"/>
                <w:sz w:val="24"/>
                <w:highlight w:val="none"/>
              </w:rPr>
            </w:pPr>
            <w:r>
              <w:rPr>
                <w:rFonts w:hint="eastAsia" w:hAnsi="宋体" w:cs="宋体"/>
                <w:color w:val="auto"/>
                <w:kern w:val="2"/>
                <w:sz w:val="24"/>
                <w:highlight w:val="none"/>
              </w:rPr>
              <w:t>1.2.1</w:t>
            </w:r>
          </w:p>
        </w:tc>
        <w:tc>
          <w:tcPr>
            <w:tcW w:w="2009" w:type="dxa"/>
            <w:tcBorders>
              <w:top w:val="single" w:color="auto" w:sz="8" w:space="0"/>
              <w:left w:val="nil"/>
              <w:bottom w:val="single" w:color="auto" w:sz="8" w:space="0"/>
              <w:right w:val="single" w:color="auto" w:sz="8" w:space="0"/>
            </w:tcBorders>
            <w:vAlign w:val="center"/>
          </w:tcPr>
          <w:p w14:paraId="1A1F09BA">
            <w:pPr>
              <w:spacing w:line="360" w:lineRule="auto"/>
              <w:jc w:val="left"/>
              <w:rPr>
                <w:rFonts w:hAnsi="宋体" w:cs="宋体"/>
                <w:color w:val="auto"/>
                <w:kern w:val="2"/>
                <w:sz w:val="24"/>
                <w:highlight w:val="none"/>
              </w:rPr>
            </w:pPr>
            <w:r>
              <w:rPr>
                <w:rFonts w:hint="eastAsia" w:hAnsi="宋体" w:cs="宋体"/>
                <w:color w:val="auto"/>
                <w:kern w:val="2"/>
                <w:sz w:val="24"/>
                <w:highlight w:val="none"/>
              </w:rPr>
              <w:t>资金落实情况</w:t>
            </w:r>
          </w:p>
        </w:tc>
        <w:tc>
          <w:tcPr>
            <w:tcW w:w="6826" w:type="dxa"/>
            <w:tcBorders>
              <w:top w:val="single" w:color="auto" w:sz="8" w:space="0"/>
              <w:left w:val="nil"/>
              <w:bottom w:val="single" w:color="auto" w:sz="8" w:space="0"/>
              <w:right w:val="single" w:color="auto" w:sz="8" w:space="0"/>
            </w:tcBorders>
            <w:vAlign w:val="bottom"/>
          </w:tcPr>
          <w:p w14:paraId="7448202D">
            <w:pPr>
              <w:spacing w:line="360" w:lineRule="auto"/>
              <w:rPr>
                <w:rFonts w:hAnsi="宋体"/>
                <w:color w:val="auto"/>
                <w:kern w:val="2"/>
                <w:sz w:val="24"/>
                <w:highlight w:val="none"/>
              </w:rPr>
            </w:pPr>
            <w:r>
              <w:rPr>
                <w:rFonts w:hint="eastAsia" w:hAnsi="宋体" w:cs="宋体"/>
                <w:bCs/>
                <w:color w:val="auto"/>
                <w:sz w:val="24"/>
                <w:highlight w:val="none"/>
              </w:rPr>
              <w:t>已落实</w:t>
            </w:r>
          </w:p>
        </w:tc>
      </w:tr>
      <w:tr w14:paraId="039033DC">
        <w:tblPrEx>
          <w:tblCellMar>
            <w:top w:w="0" w:type="dxa"/>
            <w:left w:w="0" w:type="dxa"/>
            <w:bottom w:w="0" w:type="dxa"/>
            <w:right w:w="0" w:type="dxa"/>
          </w:tblCellMar>
        </w:tblPrEx>
        <w:trPr>
          <w:trHeight w:val="61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B8C74F9">
            <w:pPr>
              <w:spacing w:line="360" w:lineRule="auto"/>
              <w:jc w:val="center"/>
              <w:rPr>
                <w:rFonts w:hAnsi="宋体" w:cs="宋体"/>
                <w:color w:val="auto"/>
                <w:kern w:val="2"/>
                <w:sz w:val="24"/>
                <w:highlight w:val="none"/>
              </w:rPr>
            </w:pPr>
            <w:r>
              <w:rPr>
                <w:rFonts w:hint="eastAsia" w:hAnsi="宋体" w:cs="宋体"/>
                <w:color w:val="auto"/>
                <w:kern w:val="2"/>
                <w:sz w:val="24"/>
                <w:highlight w:val="none"/>
              </w:rPr>
              <w:t>1.2.2</w:t>
            </w:r>
          </w:p>
        </w:tc>
        <w:tc>
          <w:tcPr>
            <w:tcW w:w="2009" w:type="dxa"/>
            <w:tcBorders>
              <w:top w:val="single" w:color="auto" w:sz="8" w:space="0"/>
              <w:left w:val="nil"/>
              <w:bottom w:val="single" w:color="auto" w:sz="8" w:space="0"/>
              <w:right w:val="single" w:color="auto" w:sz="8" w:space="0"/>
            </w:tcBorders>
            <w:vAlign w:val="center"/>
          </w:tcPr>
          <w:p w14:paraId="3FB2E413">
            <w:pPr>
              <w:spacing w:line="360" w:lineRule="auto"/>
              <w:jc w:val="left"/>
              <w:rPr>
                <w:rFonts w:hAnsi="宋体" w:cs="宋体"/>
                <w:color w:val="auto"/>
                <w:kern w:val="2"/>
                <w:sz w:val="24"/>
                <w:highlight w:val="none"/>
              </w:rPr>
            </w:pPr>
            <w:r>
              <w:rPr>
                <w:rFonts w:hint="eastAsia" w:hAnsi="宋体" w:cs="宋体"/>
                <w:color w:val="auto"/>
                <w:kern w:val="2"/>
                <w:sz w:val="24"/>
                <w:highlight w:val="none"/>
              </w:rPr>
              <w:t>预算金额</w:t>
            </w:r>
          </w:p>
        </w:tc>
        <w:tc>
          <w:tcPr>
            <w:tcW w:w="6826" w:type="dxa"/>
            <w:tcBorders>
              <w:top w:val="single" w:color="auto" w:sz="8" w:space="0"/>
              <w:left w:val="nil"/>
              <w:bottom w:val="single" w:color="auto" w:sz="8" w:space="0"/>
              <w:right w:val="single" w:color="auto" w:sz="8" w:space="0"/>
            </w:tcBorders>
            <w:vAlign w:val="center"/>
          </w:tcPr>
          <w:p w14:paraId="68C1C1B5">
            <w:pPr>
              <w:spacing w:line="360" w:lineRule="auto"/>
              <w:jc w:val="left"/>
              <w:rPr>
                <w:rFonts w:hAnsi="宋体"/>
                <w:color w:val="auto"/>
                <w:kern w:val="2"/>
                <w:sz w:val="24"/>
                <w:highlight w:val="none"/>
              </w:rPr>
            </w:pPr>
            <w:r>
              <w:rPr>
                <w:rFonts w:hint="eastAsia" w:hAnsi="宋体" w:cs="宋体"/>
                <w:color w:val="auto"/>
                <w:kern w:val="2"/>
                <w:sz w:val="24"/>
                <w:highlight w:val="none"/>
              </w:rPr>
              <w:t>详见第一章“单一来源采购邀请书”</w:t>
            </w:r>
          </w:p>
        </w:tc>
      </w:tr>
      <w:tr w14:paraId="594CE99C">
        <w:tblPrEx>
          <w:tblCellMar>
            <w:top w:w="0" w:type="dxa"/>
            <w:left w:w="0" w:type="dxa"/>
            <w:bottom w:w="0" w:type="dxa"/>
            <w:right w:w="0" w:type="dxa"/>
          </w:tblCellMar>
        </w:tblPrEx>
        <w:trPr>
          <w:trHeight w:val="82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C93A57C">
            <w:pPr>
              <w:spacing w:line="360" w:lineRule="auto"/>
              <w:jc w:val="center"/>
              <w:rPr>
                <w:rFonts w:hAnsi="宋体" w:cs="宋体"/>
                <w:color w:val="auto"/>
                <w:kern w:val="2"/>
                <w:sz w:val="24"/>
                <w:highlight w:val="none"/>
              </w:rPr>
            </w:pPr>
            <w:r>
              <w:rPr>
                <w:rFonts w:hint="eastAsia" w:hAnsi="宋体" w:cs="宋体"/>
                <w:color w:val="auto"/>
                <w:kern w:val="2"/>
                <w:sz w:val="24"/>
                <w:highlight w:val="none"/>
              </w:rPr>
              <w:t>1.3.2</w:t>
            </w:r>
          </w:p>
        </w:tc>
        <w:tc>
          <w:tcPr>
            <w:tcW w:w="2009" w:type="dxa"/>
            <w:tcBorders>
              <w:top w:val="single" w:color="auto" w:sz="8" w:space="0"/>
              <w:left w:val="nil"/>
              <w:bottom w:val="single" w:color="auto" w:sz="8" w:space="0"/>
              <w:right w:val="single" w:color="auto" w:sz="8" w:space="0"/>
            </w:tcBorders>
            <w:vAlign w:val="center"/>
          </w:tcPr>
          <w:p w14:paraId="13EDF218">
            <w:pPr>
              <w:spacing w:line="360" w:lineRule="auto"/>
              <w:jc w:val="left"/>
              <w:rPr>
                <w:rFonts w:hAnsi="宋体" w:cs="宋体"/>
                <w:color w:val="auto"/>
                <w:kern w:val="2"/>
                <w:sz w:val="24"/>
                <w:highlight w:val="none"/>
              </w:rPr>
            </w:pPr>
            <w:r>
              <w:rPr>
                <w:rFonts w:hint="eastAsia" w:hAnsi="宋体" w:cs="宋体"/>
                <w:color w:val="auto"/>
                <w:kern w:val="2"/>
                <w:sz w:val="24"/>
                <w:highlight w:val="none"/>
              </w:rPr>
              <w:t>服务期限</w:t>
            </w:r>
          </w:p>
        </w:tc>
        <w:tc>
          <w:tcPr>
            <w:tcW w:w="6826" w:type="dxa"/>
            <w:tcBorders>
              <w:top w:val="single" w:color="auto" w:sz="8" w:space="0"/>
              <w:left w:val="nil"/>
              <w:bottom w:val="single" w:color="auto" w:sz="8" w:space="0"/>
              <w:right w:val="single" w:color="auto" w:sz="8" w:space="0"/>
            </w:tcBorders>
            <w:vAlign w:val="center"/>
          </w:tcPr>
          <w:p w14:paraId="6AF6FB9B">
            <w:pPr>
              <w:spacing w:line="360" w:lineRule="auto"/>
              <w:jc w:val="left"/>
              <w:rPr>
                <w:rFonts w:hint="eastAsia" w:hAnsi="宋体" w:eastAsia="宋体" w:cs="宋体"/>
                <w:color w:val="auto"/>
                <w:kern w:val="2"/>
                <w:sz w:val="24"/>
                <w:highlight w:val="none"/>
                <w:lang w:eastAsia="zh-CN"/>
              </w:rPr>
            </w:pPr>
            <w:r>
              <w:rPr>
                <w:rFonts w:hint="eastAsia" w:hAnsi="宋体"/>
                <w:color w:val="auto"/>
                <w:kern w:val="2"/>
                <w:sz w:val="24"/>
                <w:highlight w:val="none"/>
                <w:lang w:eastAsia="zh-CN"/>
              </w:rPr>
              <w:t>一年</w:t>
            </w:r>
            <w:r>
              <w:rPr>
                <w:rFonts w:hint="eastAsia" w:hAnsi="宋体" w:cs="宋体"/>
                <w:color w:val="auto"/>
                <w:kern w:val="2"/>
                <w:sz w:val="24"/>
                <w:highlight w:val="none"/>
                <w:lang w:eastAsia="zh-CN"/>
              </w:rPr>
              <w:t>。</w:t>
            </w:r>
          </w:p>
        </w:tc>
      </w:tr>
      <w:tr w14:paraId="18753FB2">
        <w:tblPrEx>
          <w:tblCellMar>
            <w:top w:w="0" w:type="dxa"/>
            <w:left w:w="0" w:type="dxa"/>
            <w:bottom w:w="0" w:type="dxa"/>
            <w:right w:w="0" w:type="dxa"/>
          </w:tblCellMar>
        </w:tblPrEx>
        <w:trPr>
          <w:trHeight w:val="48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1BB6476">
            <w:pPr>
              <w:spacing w:line="360" w:lineRule="auto"/>
              <w:jc w:val="center"/>
              <w:rPr>
                <w:rFonts w:hAnsi="宋体"/>
                <w:color w:val="auto"/>
                <w:kern w:val="2"/>
                <w:sz w:val="24"/>
                <w:highlight w:val="none"/>
              </w:rPr>
            </w:pPr>
            <w:r>
              <w:rPr>
                <w:rFonts w:hint="eastAsia" w:hAnsi="宋体"/>
                <w:color w:val="auto"/>
                <w:kern w:val="2"/>
                <w:sz w:val="24"/>
                <w:highlight w:val="none"/>
              </w:rPr>
              <w:t>1.3.3</w:t>
            </w:r>
          </w:p>
        </w:tc>
        <w:tc>
          <w:tcPr>
            <w:tcW w:w="2009" w:type="dxa"/>
            <w:tcBorders>
              <w:top w:val="single" w:color="auto" w:sz="8" w:space="0"/>
              <w:left w:val="nil"/>
              <w:bottom w:val="single" w:color="auto" w:sz="8" w:space="0"/>
              <w:right w:val="single" w:color="auto" w:sz="8" w:space="0"/>
            </w:tcBorders>
            <w:vAlign w:val="center"/>
          </w:tcPr>
          <w:p w14:paraId="774ACD9F">
            <w:pPr>
              <w:spacing w:line="360" w:lineRule="auto"/>
              <w:jc w:val="left"/>
              <w:rPr>
                <w:rFonts w:hAnsi="宋体"/>
                <w:color w:val="auto"/>
                <w:kern w:val="2"/>
                <w:sz w:val="24"/>
                <w:highlight w:val="none"/>
              </w:rPr>
            </w:pPr>
            <w:r>
              <w:rPr>
                <w:rFonts w:hint="eastAsia" w:hAnsi="宋体"/>
                <w:color w:val="auto"/>
                <w:kern w:val="2"/>
                <w:sz w:val="24"/>
                <w:highlight w:val="none"/>
              </w:rPr>
              <w:t>服务地点</w:t>
            </w:r>
          </w:p>
        </w:tc>
        <w:tc>
          <w:tcPr>
            <w:tcW w:w="6826" w:type="dxa"/>
            <w:tcBorders>
              <w:top w:val="single" w:color="auto" w:sz="8" w:space="0"/>
              <w:left w:val="nil"/>
              <w:bottom w:val="single" w:color="auto" w:sz="8" w:space="0"/>
              <w:right w:val="single" w:color="auto" w:sz="8" w:space="0"/>
            </w:tcBorders>
            <w:vAlign w:val="bottom"/>
          </w:tcPr>
          <w:p w14:paraId="56DC7E53">
            <w:pPr>
              <w:spacing w:line="360" w:lineRule="auto"/>
              <w:jc w:val="left"/>
              <w:rPr>
                <w:rFonts w:hAnsi="宋体"/>
                <w:color w:val="auto"/>
                <w:kern w:val="2"/>
                <w:sz w:val="24"/>
                <w:highlight w:val="none"/>
              </w:rPr>
            </w:pPr>
            <w:r>
              <w:rPr>
                <w:rFonts w:hint="eastAsia" w:hAnsi="宋体" w:cs="宋体"/>
                <w:color w:val="auto"/>
                <w:kern w:val="2"/>
                <w:sz w:val="24"/>
                <w:highlight w:val="none"/>
                <w:lang w:eastAsia="zh-CN"/>
              </w:rPr>
              <w:t>云南省能源局</w:t>
            </w:r>
            <w:r>
              <w:rPr>
                <w:rFonts w:hint="eastAsia" w:hAnsi="宋体" w:cs="宋体"/>
                <w:color w:val="auto"/>
                <w:kern w:val="2"/>
                <w:sz w:val="24"/>
                <w:highlight w:val="none"/>
              </w:rPr>
              <w:t>指定地点。</w:t>
            </w:r>
          </w:p>
        </w:tc>
      </w:tr>
      <w:tr w14:paraId="7F67D8AA">
        <w:tblPrEx>
          <w:tblCellMar>
            <w:top w:w="0" w:type="dxa"/>
            <w:left w:w="0" w:type="dxa"/>
            <w:bottom w:w="0" w:type="dxa"/>
            <w:right w:w="0" w:type="dxa"/>
          </w:tblCellMar>
        </w:tblPrEx>
        <w:trPr>
          <w:trHeight w:val="82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C0E9939">
            <w:pPr>
              <w:spacing w:line="360" w:lineRule="auto"/>
              <w:jc w:val="center"/>
              <w:rPr>
                <w:rFonts w:hAnsi="宋体"/>
                <w:color w:val="auto"/>
                <w:kern w:val="2"/>
                <w:sz w:val="24"/>
                <w:highlight w:val="none"/>
              </w:rPr>
            </w:pPr>
            <w:r>
              <w:rPr>
                <w:rFonts w:hint="eastAsia" w:hAnsi="宋体"/>
                <w:color w:val="auto"/>
                <w:kern w:val="2"/>
                <w:sz w:val="24"/>
                <w:highlight w:val="none"/>
              </w:rPr>
              <w:t>1.4</w:t>
            </w:r>
          </w:p>
        </w:tc>
        <w:tc>
          <w:tcPr>
            <w:tcW w:w="2009" w:type="dxa"/>
            <w:tcBorders>
              <w:top w:val="single" w:color="auto" w:sz="8" w:space="0"/>
              <w:left w:val="nil"/>
              <w:bottom w:val="single" w:color="auto" w:sz="8" w:space="0"/>
              <w:right w:val="single" w:color="auto" w:sz="8" w:space="0"/>
            </w:tcBorders>
            <w:vAlign w:val="center"/>
          </w:tcPr>
          <w:p w14:paraId="206CEDA3">
            <w:pPr>
              <w:spacing w:line="360" w:lineRule="auto"/>
              <w:jc w:val="left"/>
              <w:rPr>
                <w:rFonts w:hAnsi="宋体"/>
                <w:color w:val="auto"/>
                <w:kern w:val="2"/>
                <w:sz w:val="24"/>
                <w:highlight w:val="none"/>
              </w:rPr>
            </w:pPr>
            <w:r>
              <w:rPr>
                <w:rFonts w:hint="eastAsia" w:hAnsi="宋体"/>
                <w:color w:val="auto"/>
                <w:kern w:val="2"/>
                <w:sz w:val="24"/>
                <w:highlight w:val="none"/>
              </w:rPr>
              <w:t>供应商资格要求</w:t>
            </w:r>
          </w:p>
        </w:tc>
        <w:tc>
          <w:tcPr>
            <w:tcW w:w="6826" w:type="dxa"/>
            <w:tcBorders>
              <w:top w:val="single" w:color="auto" w:sz="8" w:space="0"/>
              <w:left w:val="nil"/>
              <w:bottom w:val="single" w:color="auto" w:sz="8" w:space="0"/>
              <w:right w:val="single" w:color="auto" w:sz="8" w:space="0"/>
            </w:tcBorders>
            <w:vAlign w:val="center"/>
          </w:tcPr>
          <w:p w14:paraId="4FF38CC0">
            <w:pPr>
              <w:spacing w:line="360" w:lineRule="auto"/>
              <w:jc w:val="left"/>
              <w:rPr>
                <w:rFonts w:hAnsi="宋体"/>
                <w:color w:val="auto"/>
                <w:kern w:val="2"/>
                <w:sz w:val="24"/>
                <w:highlight w:val="none"/>
              </w:rPr>
            </w:pPr>
            <w:r>
              <w:rPr>
                <w:rFonts w:hint="eastAsia" w:hAnsi="宋体" w:cs="宋体"/>
                <w:color w:val="auto"/>
                <w:kern w:val="2"/>
                <w:sz w:val="24"/>
                <w:highlight w:val="none"/>
              </w:rPr>
              <w:t>详</w:t>
            </w:r>
            <w:r>
              <w:rPr>
                <w:rFonts w:hint="eastAsia" w:hAnsi="宋体"/>
                <w:color w:val="auto"/>
                <w:kern w:val="2"/>
                <w:sz w:val="24"/>
                <w:highlight w:val="none"/>
              </w:rPr>
              <w:t>见“第一章 单一来源采购邀请书 三、供应商资格要求”</w:t>
            </w:r>
          </w:p>
        </w:tc>
      </w:tr>
      <w:tr w14:paraId="23D8DA9A">
        <w:tblPrEx>
          <w:tblCellMar>
            <w:top w:w="0" w:type="dxa"/>
            <w:left w:w="0" w:type="dxa"/>
            <w:bottom w:w="0" w:type="dxa"/>
            <w:right w:w="0" w:type="dxa"/>
          </w:tblCellMar>
        </w:tblPrEx>
        <w:trPr>
          <w:trHeight w:val="54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8B7CD25">
            <w:pPr>
              <w:spacing w:line="360" w:lineRule="auto"/>
              <w:jc w:val="center"/>
              <w:rPr>
                <w:rFonts w:hAnsi="宋体" w:cs="宋体"/>
                <w:snapToGrid/>
                <w:color w:val="auto"/>
                <w:kern w:val="2"/>
                <w:sz w:val="24"/>
                <w:highlight w:val="none"/>
              </w:rPr>
            </w:pPr>
            <w:r>
              <w:rPr>
                <w:rFonts w:hint="eastAsia" w:hAnsi="宋体" w:cs="宋体"/>
                <w:snapToGrid/>
                <w:color w:val="auto"/>
                <w:kern w:val="2"/>
                <w:sz w:val="24"/>
                <w:highlight w:val="none"/>
              </w:rPr>
              <w:t>2.2.3</w:t>
            </w:r>
          </w:p>
        </w:tc>
        <w:tc>
          <w:tcPr>
            <w:tcW w:w="2009" w:type="dxa"/>
            <w:tcBorders>
              <w:top w:val="single" w:color="auto" w:sz="8" w:space="0"/>
              <w:left w:val="nil"/>
              <w:bottom w:val="single" w:color="auto" w:sz="8" w:space="0"/>
              <w:right w:val="single" w:color="auto" w:sz="8" w:space="0"/>
            </w:tcBorders>
            <w:vAlign w:val="center"/>
          </w:tcPr>
          <w:p w14:paraId="496C897E">
            <w:pPr>
              <w:pStyle w:val="94"/>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单一来源采购文件澄清或者修改发出的形式</w:t>
            </w:r>
          </w:p>
        </w:tc>
        <w:tc>
          <w:tcPr>
            <w:tcW w:w="6826" w:type="dxa"/>
            <w:tcBorders>
              <w:top w:val="single" w:color="auto" w:sz="8" w:space="0"/>
              <w:left w:val="nil"/>
              <w:bottom w:val="single" w:color="auto" w:sz="8" w:space="0"/>
              <w:right w:val="single" w:color="auto" w:sz="8" w:space="0"/>
            </w:tcBorders>
            <w:vAlign w:val="center"/>
          </w:tcPr>
          <w:p w14:paraId="474372D3">
            <w:pPr>
              <w:pStyle w:val="94"/>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以书面形式通知获取单一来源采购文件的潜在供应商</w:t>
            </w:r>
          </w:p>
        </w:tc>
      </w:tr>
      <w:tr w14:paraId="779AEC6E">
        <w:tblPrEx>
          <w:tblCellMar>
            <w:top w:w="0" w:type="dxa"/>
            <w:left w:w="0" w:type="dxa"/>
            <w:bottom w:w="0" w:type="dxa"/>
            <w:right w:w="0" w:type="dxa"/>
          </w:tblCellMar>
        </w:tblPrEx>
        <w:trPr>
          <w:trHeight w:val="11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1C03009">
            <w:pPr>
              <w:spacing w:line="360" w:lineRule="auto"/>
              <w:jc w:val="center"/>
              <w:rPr>
                <w:rFonts w:hAnsi="宋体" w:cs="宋体"/>
                <w:snapToGrid/>
                <w:color w:val="auto"/>
                <w:kern w:val="2"/>
                <w:sz w:val="24"/>
                <w:highlight w:val="none"/>
              </w:rPr>
            </w:pPr>
            <w:r>
              <w:rPr>
                <w:rFonts w:hint="eastAsia" w:hAnsi="宋体" w:cs="宋体"/>
                <w:snapToGrid/>
                <w:color w:val="auto"/>
                <w:kern w:val="2"/>
                <w:sz w:val="24"/>
                <w:highlight w:val="none"/>
              </w:rPr>
              <w:t>2.2.4</w:t>
            </w:r>
          </w:p>
        </w:tc>
        <w:tc>
          <w:tcPr>
            <w:tcW w:w="2009" w:type="dxa"/>
            <w:tcBorders>
              <w:top w:val="single" w:color="auto" w:sz="8" w:space="0"/>
              <w:left w:val="nil"/>
              <w:bottom w:val="single" w:color="auto" w:sz="8" w:space="0"/>
              <w:right w:val="single" w:color="auto" w:sz="8" w:space="0"/>
            </w:tcBorders>
            <w:vAlign w:val="center"/>
          </w:tcPr>
          <w:p w14:paraId="16FB6518">
            <w:pPr>
              <w:pStyle w:val="94"/>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供应商确认收到单一来源采购文件澄清或者修改</w:t>
            </w:r>
          </w:p>
        </w:tc>
        <w:tc>
          <w:tcPr>
            <w:tcW w:w="6826" w:type="dxa"/>
            <w:tcBorders>
              <w:top w:val="single" w:color="auto" w:sz="8" w:space="0"/>
              <w:left w:val="nil"/>
              <w:bottom w:val="single" w:color="auto" w:sz="8" w:space="0"/>
              <w:right w:val="single" w:color="auto" w:sz="8" w:space="0"/>
            </w:tcBorders>
            <w:vAlign w:val="center"/>
          </w:tcPr>
          <w:p w14:paraId="50EA4951">
            <w:pPr>
              <w:pStyle w:val="94"/>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时间：24小时内</w:t>
            </w:r>
          </w:p>
          <w:p w14:paraId="34DFB633">
            <w:pPr>
              <w:pStyle w:val="94"/>
              <w:spacing w:line="360" w:lineRule="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形式：盖章确认后，以电子邮件形式向采购代理机构发送扫描件</w:t>
            </w:r>
          </w:p>
          <w:p w14:paraId="3D1EF201">
            <w:pPr>
              <w:pStyle w:val="94"/>
              <w:spacing w:line="360" w:lineRule="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电子邮箱：</w:t>
            </w:r>
            <w:r>
              <w:rPr>
                <w:rFonts w:hint="eastAsia" w:ascii="宋体" w:hAnsi="宋体" w:cs="宋体"/>
                <w:color w:val="auto"/>
                <w:kern w:val="2"/>
                <w:sz w:val="24"/>
                <w:szCs w:val="24"/>
                <w:highlight w:val="none"/>
                <w:lang w:eastAsia="zh-CN"/>
              </w:rPr>
              <w:t>1509801438@qq.com</w:t>
            </w:r>
          </w:p>
        </w:tc>
      </w:tr>
      <w:tr w14:paraId="22B261BB">
        <w:tblPrEx>
          <w:tblCellMar>
            <w:top w:w="0" w:type="dxa"/>
            <w:left w:w="0" w:type="dxa"/>
            <w:bottom w:w="0" w:type="dxa"/>
            <w:right w:w="0" w:type="dxa"/>
          </w:tblCellMar>
        </w:tblPrEx>
        <w:trPr>
          <w:trHeight w:val="73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ABBE9A8">
            <w:pPr>
              <w:spacing w:line="360" w:lineRule="auto"/>
              <w:jc w:val="center"/>
              <w:rPr>
                <w:rFonts w:hAnsi="宋体" w:cs="宋体"/>
                <w:snapToGrid/>
                <w:color w:val="auto"/>
                <w:kern w:val="2"/>
                <w:sz w:val="24"/>
                <w:highlight w:val="none"/>
              </w:rPr>
            </w:pPr>
            <w:r>
              <w:rPr>
                <w:rFonts w:hint="eastAsia" w:hAnsi="宋体" w:cs="宋体"/>
                <w:snapToGrid/>
                <w:color w:val="auto"/>
                <w:kern w:val="2"/>
                <w:sz w:val="24"/>
                <w:highlight w:val="none"/>
              </w:rPr>
              <w:t>3.2.3</w:t>
            </w:r>
          </w:p>
        </w:tc>
        <w:tc>
          <w:tcPr>
            <w:tcW w:w="2009" w:type="dxa"/>
            <w:tcBorders>
              <w:top w:val="single" w:color="auto" w:sz="8" w:space="0"/>
              <w:left w:val="nil"/>
              <w:bottom w:val="single" w:color="auto" w:sz="8" w:space="0"/>
              <w:right w:val="single" w:color="auto" w:sz="8" w:space="0"/>
            </w:tcBorders>
            <w:vAlign w:val="center"/>
          </w:tcPr>
          <w:p w14:paraId="4F0F669E">
            <w:pPr>
              <w:spacing w:line="360" w:lineRule="auto"/>
              <w:jc w:val="left"/>
              <w:rPr>
                <w:rFonts w:hint="eastAsia" w:hAnsi="宋体" w:eastAsia="宋体" w:cs="宋体"/>
                <w:snapToGrid/>
                <w:color w:val="auto"/>
                <w:kern w:val="2"/>
                <w:sz w:val="24"/>
                <w:highlight w:val="none"/>
                <w:lang w:eastAsia="zh-CN"/>
              </w:rPr>
            </w:pPr>
            <w:r>
              <w:rPr>
                <w:rFonts w:hint="eastAsia" w:hAnsi="宋体"/>
                <w:color w:val="auto"/>
                <w:kern w:val="2"/>
                <w:sz w:val="24"/>
                <w:highlight w:val="none"/>
              </w:rPr>
              <w:t>最高限价</w:t>
            </w:r>
          </w:p>
        </w:tc>
        <w:tc>
          <w:tcPr>
            <w:tcW w:w="6826" w:type="dxa"/>
            <w:tcBorders>
              <w:top w:val="single" w:color="auto" w:sz="8" w:space="0"/>
              <w:left w:val="nil"/>
              <w:bottom w:val="single" w:color="auto" w:sz="8" w:space="0"/>
              <w:right w:val="single" w:color="auto" w:sz="8" w:space="0"/>
            </w:tcBorders>
            <w:vAlign w:val="center"/>
          </w:tcPr>
          <w:p w14:paraId="5DB32FA0">
            <w:pPr>
              <w:spacing w:line="360" w:lineRule="auto"/>
              <w:rPr>
                <w:rFonts w:hAnsi="宋体" w:cs="宋体"/>
                <w:snapToGrid/>
                <w:color w:val="auto"/>
                <w:kern w:val="2"/>
                <w:sz w:val="24"/>
                <w:highlight w:val="none"/>
              </w:rPr>
            </w:pPr>
            <w:r>
              <w:rPr>
                <w:rFonts w:hint="eastAsia" w:hAnsi="宋体" w:cs="宋体"/>
                <w:snapToGrid/>
                <w:color w:val="auto"/>
                <w:kern w:val="2"/>
                <w:sz w:val="24"/>
                <w:highlight w:val="none"/>
              </w:rPr>
              <w:t>详见第一章“单一来源采购邀请书”</w:t>
            </w:r>
          </w:p>
        </w:tc>
      </w:tr>
      <w:tr w14:paraId="32BFC02C">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CFFA899">
            <w:pPr>
              <w:spacing w:line="360" w:lineRule="auto"/>
              <w:jc w:val="center"/>
              <w:rPr>
                <w:rFonts w:hAnsi="宋体"/>
                <w:color w:val="auto"/>
                <w:kern w:val="2"/>
                <w:sz w:val="24"/>
                <w:highlight w:val="none"/>
              </w:rPr>
            </w:pPr>
            <w:bookmarkStart w:id="70" w:name="page17"/>
            <w:bookmarkEnd w:id="70"/>
            <w:r>
              <w:rPr>
                <w:rFonts w:hint="eastAsia" w:hAnsi="宋体"/>
                <w:color w:val="auto"/>
                <w:kern w:val="2"/>
                <w:sz w:val="24"/>
                <w:highlight w:val="none"/>
              </w:rPr>
              <w:t>3.2.4</w:t>
            </w:r>
          </w:p>
        </w:tc>
        <w:tc>
          <w:tcPr>
            <w:tcW w:w="2009" w:type="dxa"/>
            <w:tcBorders>
              <w:top w:val="single" w:color="auto" w:sz="8" w:space="0"/>
              <w:left w:val="nil"/>
              <w:bottom w:val="single" w:color="auto" w:sz="8" w:space="0"/>
              <w:right w:val="single" w:color="auto" w:sz="8" w:space="0"/>
            </w:tcBorders>
            <w:vAlign w:val="center"/>
          </w:tcPr>
          <w:p w14:paraId="1D16AD4B">
            <w:pPr>
              <w:spacing w:line="360" w:lineRule="auto"/>
              <w:jc w:val="left"/>
              <w:rPr>
                <w:rFonts w:hint="eastAsia" w:hAnsi="宋体"/>
                <w:color w:val="auto"/>
                <w:kern w:val="2"/>
                <w:sz w:val="24"/>
                <w:highlight w:val="none"/>
              </w:rPr>
            </w:pPr>
            <w:r>
              <w:rPr>
                <w:rFonts w:hint="eastAsia" w:hAnsi="宋体"/>
                <w:color w:val="auto"/>
                <w:kern w:val="2"/>
                <w:sz w:val="24"/>
                <w:highlight w:val="none"/>
              </w:rPr>
              <w:t>协商报价的其他要求</w:t>
            </w:r>
          </w:p>
        </w:tc>
        <w:tc>
          <w:tcPr>
            <w:tcW w:w="6826" w:type="dxa"/>
            <w:tcBorders>
              <w:top w:val="single" w:color="auto" w:sz="8" w:space="0"/>
              <w:left w:val="nil"/>
              <w:bottom w:val="single" w:color="auto" w:sz="8" w:space="0"/>
              <w:right w:val="single" w:color="auto" w:sz="8" w:space="0"/>
            </w:tcBorders>
            <w:vAlign w:val="center"/>
          </w:tcPr>
          <w:p w14:paraId="419575BD">
            <w:pPr>
              <w:spacing w:line="360" w:lineRule="auto"/>
              <w:jc w:val="left"/>
              <w:rPr>
                <w:rFonts w:hint="eastAsia" w:hAnsi="宋体"/>
                <w:color w:val="auto"/>
                <w:kern w:val="2"/>
                <w:sz w:val="24"/>
                <w:highlight w:val="none"/>
              </w:rPr>
            </w:pPr>
            <w:r>
              <w:rPr>
                <w:rFonts w:hint="eastAsia" w:hAnsi="宋体"/>
                <w:color w:val="auto"/>
                <w:kern w:val="2"/>
                <w:sz w:val="24"/>
                <w:highlight w:val="none"/>
              </w:rPr>
              <w:t>本次协商报价为综合报价，报价应为人民币含税价（元），包括服务成本、利润、保险、税费、</w:t>
            </w:r>
            <w:r>
              <w:rPr>
                <w:rFonts w:hint="eastAsia" w:hAnsi="宋体"/>
                <w:color w:val="auto"/>
                <w:kern w:val="2"/>
                <w:sz w:val="24"/>
                <w:highlight w:val="none"/>
                <w:lang w:val="en-US" w:eastAsia="zh-CN"/>
              </w:rPr>
              <w:t>人工</w:t>
            </w:r>
            <w:r>
              <w:rPr>
                <w:rFonts w:hint="eastAsia" w:hAnsi="宋体"/>
                <w:color w:val="auto"/>
                <w:kern w:val="2"/>
                <w:sz w:val="24"/>
                <w:highlight w:val="none"/>
              </w:rPr>
              <w:t>、运维、成交服务费等响应单一来源采购文件所有技术、商务要求的价格总和，该报价应考虑市场风险、政策性风险、汇率风险等因素，并能保证供应商完成履行合同所需的全部工作。</w:t>
            </w:r>
          </w:p>
          <w:p w14:paraId="79F38EBA">
            <w:pPr>
              <w:spacing w:line="360" w:lineRule="auto"/>
              <w:jc w:val="left"/>
              <w:rPr>
                <w:rFonts w:hint="eastAsia" w:hAnsi="宋体"/>
                <w:color w:val="auto"/>
                <w:kern w:val="2"/>
                <w:sz w:val="24"/>
                <w:highlight w:val="none"/>
              </w:rPr>
            </w:pPr>
            <w:r>
              <w:rPr>
                <w:rFonts w:hint="eastAsia" w:hAnsi="宋体"/>
                <w:color w:val="auto"/>
                <w:kern w:val="2"/>
                <w:sz w:val="24"/>
                <w:highlight w:val="none"/>
              </w:rPr>
              <w:t>(2)供应商应承担所有与参加协商有关的自身的所有费用，不论采购的结果如何，采购代理机构和采购人在任何情况下均无义务和责任承担这些费用。</w:t>
            </w:r>
          </w:p>
          <w:p w14:paraId="3B0117B9">
            <w:pPr>
              <w:spacing w:line="360" w:lineRule="auto"/>
              <w:jc w:val="left"/>
              <w:rPr>
                <w:rFonts w:hint="eastAsia" w:hAnsi="宋体"/>
                <w:color w:val="auto"/>
                <w:kern w:val="2"/>
                <w:sz w:val="24"/>
                <w:highlight w:val="none"/>
              </w:rPr>
            </w:pPr>
            <w:r>
              <w:rPr>
                <w:rFonts w:hint="eastAsia" w:hAnsi="宋体"/>
                <w:color w:val="auto"/>
                <w:kern w:val="2"/>
                <w:sz w:val="24"/>
                <w:highlight w:val="none"/>
              </w:rPr>
              <w:t>(3)成交服务费：</w:t>
            </w:r>
            <w:r>
              <w:rPr>
                <w:rFonts w:hint="eastAsia" w:hAnsi="宋体"/>
                <w:color w:val="auto"/>
                <w:kern w:val="2"/>
                <w:sz w:val="24"/>
                <w:highlight w:val="none"/>
                <w:lang w:val="en-US" w:eastAsia="zh-CN"/>
              </w:rPr>
              <w:t>以本项目成交价为计费基数，按照以下服务类收费标准计算后，由成交人向云南元大工程咨询有限责任公司交纳。</w:t>
            </w:r>
          </w:p>
          <w:p w14:paraId="5F86E12E">
            <w:pPr>
              <w:spacing w:line="360" w:lineRule="auto"/>
              <w:jc w:val="left"/>
              <w:rPr>
                <w:rFonts w:hint="eastAsia" w:hAnsi="宋体"/>
                <w:color w:val="auto"/>
                <w:kern w:val="2"/>
                <w:sz w:val="24"/>
                <w:highlight w:val="none"/>
              </w:rPr>
            </w:pPr>
            <w:r>
              <w:rPr>
                <w:rFonts w:hint="eastAsia" w:hAnsi="宋体"/>
                <w:color w:val="auto"/>
                <w:kern w:val="2"/>
                <w:sz w:val="24"/>
                <w:highlight w:val="none"/>
              </w:rPr>
              <w:drawing>
                <wp:inline distT="0" distB="0" distL="114300" distR="114300">
                  <wp:extent cx="4276090" cy="2267585"/>
                  <wp:effectExtent l="0" t="0" r="10160" b="18415"/>
                  <wp:docPr id="15" name="图片 1" descr="xinsrc_0a6538811622437f98ef988296690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xinsrc_0a6538811622437f98ef988296690e39"/>
                          <pic:cNvPicPr>
                            <a:picLocks noChangeAspect="1"/>
                          </pic:cNvPicPr>
                        </pic:nvPicPr>
                        <pic:blipFill>
                          <a:blip r:embed="rId20"/>
                          <a:srcRect t="8224"/>
                          <a:stretch>
                            <a:fillRect/>
                          </a:stretch>
                        </pic:blipFill>
                        <pic:spPr>
                          <a:xfrm>
                            <a:off x="0" y="0"/>
                            <a:ext cx="4276090" cy="2267585"/>
                          </a:xfrm>
                          <a:prstGeom prst="rect">
                            <a:avLst/>
                          </a:prstGeom>
                          <a:noFill/>
                          <a:ln>
                            <a:noFill/>
                          </a:ln>
                        </pic:spPr>
                      </pic:pic>
                    </a:graphicData>
                  </a:graphic>
                </wp:inline>
              </w:drawing>
            </w:r>
          </w:p>
          <w:p w14:paraId="6923C759">
            <w:pPr>
              <w:spacing w:line="360" w:lineRule="auto"/>
              <w:jc w:val="left"/>
              <w:rPr>
                <w:rFonts w:hint="eastAsia" w:hAnsi="宋体"/>
                <w:color w:val="auto"/>
                <w:kern w:val="2"/>
                <w:sz w:val="24"/>
                <w:highlight w:val="none"/>
              </w:rPr>
            </w:pPr>
            <w:r>
              <w:rPr>
                <w:rFonts w:hint="eastAsia" w:hAnsi="宋体"/>
                <w:color w:val="auto"/>
                <w:kern w:val="2"/>
                <w:sz w:val="24"/>
                <w:highlight w:val="none"/>
              </w:rPr>
              <w:t>账户名称：云南元大工程咨询有限责任公司</w:t>
            </w:r>
          </w:p>
          <w:p w14:paraId="6A635E55">
            <w:pPr>
              <w:spacing w:line="360" w:lineRule="auto"/>
              <w:jc w:val="left"/>
              <w:rPr>
                <w:rFonts w:hint="eastAsia" w:hAnsi="宋体"/>
                <w:color w:val="auto"/>
                <w:kern w:val="2"/>
                <w:sz w:val="24"/>
                <w:highlight w:val="none"/>
              </w:rPr>
            </w:pPr>
            <w:r>
              <w:rPr>
                <w:rFonts w:hint="eastAsia" w:hAnsi="宋体"/>
                <w:color w:val="auto"/>
                <w:kern w:val="2"/>
                <w:sz w:val="24"/>
                <w:highlight w:val="none"/>
              </w:rPr>
              <w:t>开户银行：中国工商银行股份有限公司昆明汇通支行</w:t>
            </w:r>
          </w:p>
          <w:p w14:paraId="6AED7ABC">
            <w:pPr>
              <w:spacing w:line="360" w:lineRule="auto"/>
              <w:jc w:val="left"/>
              <w:rPr>
                <w:rFonts w:hint="eastAsia" w:hAnsi="宋体"/>
                <w:color w:val="auto"/>
                <w:kern w:val="2"/>
                <w:sz w:val="24"/>
                <w:highlight w:val="none"/>
              </w:rPr>
            </w:pPr>
            <w:r>
              <w:rPr>
                <w:rFonts w:hint="eastAsia" w:hAnsi="宋体"/>
                <w:color w:val="auto"/>
                <w:kern w:val="2"/>
                <w:sz w:val="24"/>
                <w:highlight w:val="none"/>
              </w:rPr>
              <w:t>账 号：2502038009024579141</w:t>
            </w:r>
          </w:p>
          <w:p w14:paraId="6D9D7046">
            <w:pPr>
              <w:spacing w:line="360" w:lineRule="auto"/>
              <w:jc w:val="left"/>
              <w:rPr>
                <w:rFonts w:hint="eastAsia" w:hAnsi="宋体"/>
                <w:color w:val="auto"/>
                <w:kern w:val="2"/>
                <w:sz w:val="24"/>
                <w:highlight w:val="none"/>
              </w:rPr>
            </w:pPr>
            <w:r>
              <w:rPr>
                <w:rFonts w:hint="eastAsia" w:hAnsi="宋体"/>
                <w:color w:val="auto"/>
                <w:kern w:val="2"/>
                <w:sz w:val="24"/>
                <w:highlight w:val="none"/>
              </w:rPr>
              <w:t>财务电话：(0871)63338592</w:t>
            </w:r>
          </w:p>
        </w:tc>
      </w:tr>
      <w:tr w14:paraId="11F710A0">
        <w:tblPrEx>
          <w:tblCellMar>
            <w:top w:w="0" w:type="dxa"/>
            <w:left w:w="0" w:type="dxa"/>
            <w:bottom w:w="0" w:type="dxa"/>
            <w:right w:w="0" w:type="dxa"/>
          </w:tblCellMar>
        </w:tblPrEx>
        <w:trPr>
          <w:trHeight w:val="60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6196BF">
            <w:pPr>
              <w:spacing w:line="360" w:lineRule="auto"/>
              <w:jc w:val="center"/>
              <w:rPr>
                <w:rFonts w:hAnsi="宋体"/>
                <w:color w:val="auto"/>
                <w:kern w:val="2"/>
                <w:sz w:val="24"/>
                <w:highlight w:val="none"/>
              </w:rPr>
            </w:pPr>
            <w:r>
              <w:rPr>
                <w:rFonts w:hint="eastAsia" w:hAnsi="宋体"/>
                <w:color w:val="auto"/>
                <w:kern w:val="2"/>
                <w:sz w:val="24"/>
                <w:highlight w:val="none"/>
              </w:rPr>
              <w:t>3.3.1</w:t>
            </w:r>
          </w:p>
        </w:tc>
        <w:tc>
          <w:tcPr>
            <w:tcW w:w="2009" w:type="dxa"/>
            <w:tcBorders>
              <w:top w:val="single" w:color="auto" w:sz="8" w:space="0"/>
              <w:left w:val="nil"/>
              <w:bottom w:val="single" w:color="auto" w:sz="8" w:space="0"/>
              <w:right w:val="single" w:color="auto" w:sz="8" w:space="0"/>
            </w:tcBorders>
            <w:vAlign w:val="center"/>
          </w:tcPr>
          <w:p w14:paraId="7AC8C608">
            <w:pPr>
              <w:spacing w:line="360" w:lineRule="auto"/>
              <w:rPr>
                <w:rFonts w:hAnsi="宋体" w:cs="宋体"/>
                <w:color w:val="auto"/>
                <w:sz w:val="24"/>
                <w:highlight w:val="none"/>
              </w:rPr>
            </w:pPr>
            <w:r>
              <w:rPr>
                <w:rFonts w:hint="eastAsia" w:hAnsi="宋体" w:cs="宋体"/>
                <w:color w:val="auto"/>
                <w:sz w:val="24"/>
                <w:highlight w:val="none"/>
              </w:rPr>
              <w:t>响应有效期</w:t>
            </w:r>
          </w:p>
        </w:tc>
        <w:tc>
          <w:tcPr>
            <w:tcW w:w="6826" w:type="dxa"/>
            <w:tcBorders>
              <w:top w:val="single" w:color="auto" w:sz="8" w:space="0"/>
              <w:left w:val="nil"/>
              <w:bottom w:val="single" w:color="auto" w:sz="8" w:space="0"/>
              <w:right w:val="single" w:color="auto" w:sz="8" w:space="0"/>
            </w:tcBorders>
            <w:vAlign w:val="center"/>
          </w:tcPr>
          <w:p w14:paraId="62FE39B3">
            <w:pPr>
              <w:spacing w:line="360" w:lineRule="auto"/>
              <w:rPr>
                <w:rFonts w:hAnsi="宋体" w:cs="宋体"/>
                <w:color w:val="auto"/>
                <w:sz w:val="24"/>
                <w:highlight w:val="none"/>
              </w:rPr>
            </w:pPr>
            <w:r>
              <w:rPr>
                <w:rFonts w:hint="eastAsia" w:hAnsi="宋体" w:cs="宋体"/>
                <w:color w:val="auto"/>
                <w:sz w:val="24"/>
                <w:highlight w:val="none"/>
              </w:rPr>
              <w:t>响应有效期为90日历天（从响应文件递交截止之日起算）</w:t>
            </w:r>
          </w:p>
        </w:tc>
      </w:tr>
      <w:tr w14:paraId="05031AEC">
        <w:tblPrEx>
          <w:tblCellMar>
            <w:top w:w="0" w:type="dxa"/>
            <w:left w:w="0" w:type="dxa"/>
            <w:bottom w:w="0" w:type="dxa"/>
            <w:right w:w="0" w:type="dxa"/>
          </w:tblCellMar>
        </w:tblPrEx>
        <w:trPr>
          <w:trHeight w:val="54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2BBC93E">
            <w:pPr>
              <w:spacing w:line="360" w:lineRule="auto"/>
              <w:jc w:val="center"/>
              <w:rPr>
                <w:rFonts w:hAnsi="宋体"/>
                <w:color w:val="auto"/>
                <w:kern w:val="2"/>
                <w:sz w:val="24"/>
                <w:highlight w:val="none"/>
              </w:rPr>
            </w:pPr>
            <w:r>
              <w:rPr>
                <w:rFonts w:hint="eastAsia" w:hAnsi="宋体"/>
                <w:color w:val="auto"/>
                <w:kern w:val="2"/>
                <w:sz w:val="24"/>
                <w:highlight w:val="none"/>
              </w:rPr>
              <w:t>3.4.1</w:t>
            </w:r>
          </w:p>
        </w:tc>
        <w:tc>
          <w:tcPr>
            <w:tcW w:w="2009" w:type="dxa"/>
            <w:tcBorders>
              <w:top w:val="single" w:color="auto" w:sz="8" w:space="0"/>
              <w:left w:val="nil"/>
              <w:bottom w:val="single" w:color="auto" w:sz="8" w:space="0"/>
              <w:right w:val="single" w:color="auto" w:sz="8" w:space="0"/>
            </w:tcBorders>
            <w:vAlign w:val="center"/>
          </w:tcPr>
          <w:p w14:paraId="10679BDE">
            <w:pPr>
              <w:spacing w:line="360" w:lineRule="auto"/>
              <w:jc w:val="left"/>
              <w:rPr>
                <w:rFonts w:hAnsi="宋体"/>
                <w:color w:val="auto"/>
                <w:kern w:val="2"/>
                <w:sz w:val="24"/>
                <w:highlight w:val="none"/>
              </w:rPr>
            </w:pPr>
            <w:r>
              <w:rPr>
                <w:rFonts w:hint="eastAsia" w:hAnsi="宋体"/>
                <w:color w:val="auto"/>
                <w:kern w:val="2"/>
                <w:sz w:val="24"/>
                <w:highlight w:val="none"/>
              </w:rPr>
              <w:t>协商保证金</w:t>
            </w:r>
          </w:p>
        </w:tc>
        <w:tc>
          <w:tcPr>
            <w:tcW w:w="6826" w:type="dxa"/>
            <w:tcBorders>
              <w:top w:val="single" w:color="auto" w:sz="8" w:space="0"/>
              <w:left w:val="nil"/>
              <w:bottom w:val="single" w:color="auto" w:sz="8" w:space="0"/>
              <w:right w:val="single" w:color="auto" w:sz="8" w:space="0"/>
            </w:tcBorders>
            <w:vAlign w:val="center"/>
          </w:tcPr>
          <w:p w14:paraId="3972EDB0">
            <w:pPr>
              <w:autoSpaceDE w:val="0"/>
              <w:autoSpaceDN w:val="0"/>
              <w:spacing w:line="360" w:lineRule="auto"/>
              <w:rPr>
                <w:rFonts w:hAnsi="宋体"/>
                <w:color w:val="auto"/>
                <w:kern w:val="2"/>
                <w:sz w:val="24"/>
                <w:highlight w:val="none"/>
              </w:rPr>
            </w:pPr>
            <w:r>
              <w:rPr>
                <w:rFonts w:hint="eastAsia" w:hAnsi="宋体"/>
                <w:color w:val="auto"/>
                <w:kern w:val="2"/>
                <w:sz w:val="24"/>
                <w:highlight w:val="none"/>
              </w:rPr>
              <w:t>不要求</w:t>
            </w:r>
          </w:p>
        </w:tc>
      </w:tr>
      <w:tr w14:paraId="2E8BC058">
        <w:tblPrEx>
          <w:tblCellMar>
            <w:top w:w="0" w:type="dxa"/>
            <w:left w:w="0" w:type="dxa"/>
            <w:bottom w:w="0" w:type="dxa"/>
            <w:right w:w="0" w:type="dxa"/>
          </w:tblCellMar>
        </w:tblPrEx>
        <w:trPr>
          <w:trHeight w:val="173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F1FFE9A">
            <w:pPr>
              <w:spacing w:line="400" w:lineRule="exact"/>
              <w:jc w:val="center"/>
              <w:rPr>
                <w:rFonts w:hAnsi="宋体"/>
                <w:color w:val="auto"/>
                <w:kern w:val="2"/>
                <w:sz w:val="24"/>
                <w:highlight w:val="none"/>
              </w:rPr>
            </w:pPr>
            <w:r>
              <w:rPr>
                <w:rFonts w:hint="eastAsia" w:hAnsi="宋体"/>
                <w:color w:val="auto"/>
                <w:kern w:val="2"/>
                <w:sz w:val="24"/>
                <w:highlight w:val="none"/>
              </w:rPr>
              <w:t>3.5.</w:t>
            </w:r>
            <w:r>
              <w:rPr>
                <w:rFonts w:hAnsi="宋体"/>
                <w:color w:val="auto"/>
                <w:kern w:val="2"/>
                <w:sz w:val="24"/>
                <w:highlight w:val="none"/>
              </w:rPr>
              <w:t>3</w:t>
            </w:r>
          </w:p>
        </w:tc>
        <w:tc>
          <w:tcPr>
            <w:tcW w:w="2009" w:type="dxa"/>
            <w:tcBorders>
              <w:top w:val="single" w:color="auto" w:sz="8" w:space="0"/>
              <w:left w:val="nil"/>
              <w:bottom w:val="single" w:color="auto" w:sz="8" w:space="0"/>
              <w:right w:val="single" w:color="auto" w:sz="8" w:space="0"/>
            </w:tcBorders>
            <w:vAlign w:val="center"/>
          </w:tcPr>
          <w:p w14:paraId="78FC0B7E">
            <w:pPr>
              <w:spacing w:line="400" w:lineRule="exact"/>
              <w:rPr>
                <w:rFonts w:hAnsi="宋体" w:cs="宋体"/>
                <w:color w:val="auto"/>
                <w:kern w:val="2"/>
                <w:sz w:val="24"/>
                <w:highlight w:val="none"/>
              </w:rPr>
            </w:pPr>
            <w:r>
              <w:rPr>
                <w:rFonts w:hint="eastAsia" w:hAnsi="宋体" w:cs="宋体"/>
                <w:color w:val="auto"/>
                <w:kern w:val="2"/>
                <w:sz w:val="24"/>
                <w:highlight w:val="none"/>
              </w:rPr>
              <w:t>响应</w:t>
            </w:r>
            <w:r>
              <w:rPr>
                <w:rFonts w:hint="eastAsia" w:hAnsi="宋体" w:cs="宋体"/>
                <w:color w:val="auto"/>
                <w:sz w:val="24"/>
                <w:highlight w:val="none"/>
              </w:rPr>
              <w:t>文件编制的其他要求</w:t>
            </w:r>
          </w:p>
        </w:tc>
        <w:tc>
          <w:tcPr>
            <w:tcW w:w="6826" w:type="dxa"/>
            <w:tcBorders>
              <w:top w:val="single" w:color="auto" w:sz="8" w:space="0"/>
              <w:left w:val="nil"/>
              <w:bottom w:val="single" w:color="auto" w:sz="8" w:space="0"/>
              <w:right w:val="single" w:color="auto" w:sz="8" w:space="0"/>
            </w:tcBorders>
            <w:vAlign w:val="center"/>
          </w:tcPr>
          <w:p w14:paraId="3E98C3F4">
            <w:pPr>
              <w:spacing w:line="360" w:lineRule="auto"/>
              <w:rPr>
                <w:rFonts w:hAnsi="宋体"/>
                <w:color w:val="auto"/>
                <w:kern w:val="2"/>
                <w:sz w:val="24"/>
                <w:highlight w:val="none"/>
              </w:rPr>
            </w:pPr>
            <w:r>
              <w:rPr>
                <w:rFonts w:hint="eastAsia" w:hAnsi="宋体"/>
                <w:color w:val="auto"/>
                <w:kern w:val="2"/>
                <w:sz w:val="24"/>
                <w:highlight w:val="none"/>
              </w:rPr>
              <w:t>（1）响应文件全部采用电子文档，供应商应安装客户端软件—“政采云电子交易客户端”，并按照单一来源采购文件和政采云电子交易平台的要求编制，编制后应进行电子签章、签名及加密；</w:t>
            </w:r>
          </w:p>
          <w:p w14:paraId="3C0EEBC9">
            <w:pPr>
              <w:spacing w:line="360" w:lineRule="auto"/>
              <w:rPr>
                <w:rFonts w:hAnsi="宋体"/>
                <w:color w:val="auto"/>
                <w:kern w:val="2"/>
                <w:sz w:val="24"/>
                <w:highlight w:val="none"/>
              </w:rPr>
            </w:pPr>
            <w:r>
              <w:rPr>
                <w:rFonts w:hint="eastAsia" w:hAnsi="宋体"/>
                <w:color w:val="auto"/>
                <w:kern w:val="2"/>
                <w:sz w:val="24"/>
                <w:highlight w:val="none"/>
              </w:rPr>
              <w:t xml:space="preserve">（2）如响应文件提交的电子标书不满足单一来源采购文件要求或开标时无法读取导入或解密，其响应文件将不予受理； </w:t>
            </w:r>
          </w:p>
          <w:p w14:paraId="7A7FF55A">
            <w:pPr>
              <w:spacing w:line="360" w:lineRule="auto"/>
              <w:rPr>
                <w:rFonts w:hAnsi="宋体" w:cs="宋体"/>
                <w:color w:val="auto"/>
                <w:kern w:val="2"/>
                <w:sz w:val="24"/>
                <w:highlight w:val="none"/>
              </w:rPr>
            </w:pPr>
            <w:r>
              <w:rPr>
                <w:rFonts w:hint="eastAsia" w:hAnsi="宋体"/>
                <w:color w:val="auto"/>
                <w:kern w:val="2"/>
                <w:sz w:val="24"/>
                <w:highlight w:val="none"/>
              </w:rPr>
              <w:t>（3）响应文件中提供的资料（扫描件），内容必须清晰可辨，若内容模糊，无法辨识，均视为未提供。</w:t>
            </w:r>
          </w:p>
        </w:tc>
      </w:tr>
      <w:tr w14:paraId="024B50FE">
        <w:tblPrEx>
          <w:tblCellMar>
            <w:top w:w="0" w:type="dxa"/>
            <w:left w:w="0" w:type="dxa"/>
            <w:bottom w:w="0" w:type="dxa"/>
            <w:right w:w="0" w:type="dxa"/>
          </w:tblCellMar>
        </w:tblPrEx>
        <w:trPr>
          <w:trHeight w:val="13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846F041">
            <w:pPr>
              <w:spacing w:line="360" w:lineRule="auto"/>
              <w:jc w:val="center"/>
              <w:rPr>
                <w:rFonts w:hAnsi="宋体"/>
                <w:color w:val="auto"/>
                <w:kern w:val="2"/>
                <w:sz w:val="24"/>
                <w:highlight w:val="none"/>
              </w:rPr>
            </w:pPr>
            <w:r>
              <w:rPr>
                <w:rFonts w:hint="eastAsia" w:hAnsi="宋体" w:cs="宋体"/>
                <w:color w:val="auto"/>
                <w:kern w:val="2"/>
                <w:sz w:val="24"/>
                <w:highlight w:val="none"/>
              </w:rPr>
              <w:t>4.1.1</w:t>
            </w:r>
          </w:p>
        </w:tc>
        <w:tc>
          <w:tcPr>
            <w:tcW w:w="2009" w:type="dxa"/>
            <w:tcBorders>
              <w:top w:val="single" w:color="auto" w:sz="8" w:space="0"/>
              <w:left w:val="nil"/>
              <w:bottom w:val="single" w:color="auto" w:sz="8" w:space="0"/>
              <w:right w:val="single" w:color="auto" w:sz="8" w:space="0"/>
            </w:tcBorders>
            <w:vAlign w:val="center"/>
          </w:tcPr>
          <w:p w14:paraId="41AA24EB">
            <w:pPr>
              <w:spacing w:line="360" w:lineRule="auto"/>
              <w:rPr>
                <w:rFonts w:hAnsi="宋体"/>
                <w:color w:val="auto"/>
                <w:kern w:val="2"/>
                <w:sz w:val="24"/>
                <w:highlight w:val="none"/>
              </w:rPr>
            </w:pPr>
            <w:r>
              <w:rPr>
                <w:rFonts w:hint="eastAsia" w:hAnsi="宋体" w:cs="宋体"/>
                <w:color w:val="auto"/>
                <w:kern w:val="2"/>
                <w:sz w:val="24"/>
                <w:highlight w:val="none"/>
              </w:rPr>
              <w:t>响应文件的加密</w:t>
            </w:r>
          </w:p>
        </w:tc>
        <w:tc>
          <w:tcPr>
            <w:tcW w:w="6826" w:type="dxa"/>
            <w:tcBorders>
              <w:top w:val="single" w:color="auto" w:sz="8" w:space="0"/>
              <w:left w:val="nil"/>
              <w:bottom w:val="single" w:color="auto" w:sz="8" w:space="0"/>
              <w:right w:val="single" w:color="auto" w:sz="8" w:space="0"/>
            </w:tcBorders>
            <w:vAlign w:val="center"/>
          </w:tcPr>
          <w:p w14:paraId="7EA7C198">
            <w:pPr>
              <w:spacing w:line="360" w:lineRule="auto"/>
              <w:rPr>
                <w:rFonts w:hAnsi="宋体" w:cs="宋体"/>
                <w:color w:val="auto"/>
                <w:kern w:val="2"/>
                <w:sz w:val="24"/>
                <w:highlight w:val="none"/>
              </w:rPr>
            </w:pPr>
            <w:r>
              <w:rPr>
                <w:rFonts w:hint="eastAsia" w:hAnsi="宋体" w:cs="宋体"/>
                <w:color w:val="auto"/>
                <w:kern w:val="2"/>
                <w:sz w:val="24"/>
                <w:highlight w:val="none"/>
              </w:rPr>
              <w:t>（1）供应商进行电子交易应安装客户端软件—“政采云电子交易客户端”，并按照单一来源采购文件和电子交易平台的要求编制并加密响应文件。供应商未按规定加密的响应文件，电子交易平台将拒收并提示；</w:t>
            </w:r>
          </w:p>
          <w:p w14:paraId="46EDA3AD">
            <w:pPr>
              <w:spacing w:line="360" w:lineRule="auto"/>
              <w:rPr>
                <w:rFonts w:hAnsi="宋体" w:cs="宋体"/>
                <w:color w:val="auto"/>
                <w:kern w:val="2"/>
                <w:sz w:val="24"/>
                <w:highlight w:val="none"/>
              </w:rPr>
            </w:pPr>
            <w:r>
              <w:rPr>
                <w:rFonts w:hint="eastAsia" w:hAnsi="宋体" w:cs="宋体"/>
                <w:color w:val="auto"/>
                <w:kern w:val="2"/>
                <w:sz w:val="24"/>
                <w:highlight w:val="none"/>
              </w:rPr>
              <w:t>（2）使用“政采云电子交易客户端”需要提前申领 CA 数字证书，申领流程见该项目采购公告附件；</w:t>
            </w:r>
          </w:p>
          <w:p w14:paraId="24E5230E">
            <w:pPr>
              <w:spacing w:line="360" w:lineRule="auto"/>
              <w:rPr>
                <w:rFonts w:hAnsi="宋体"/>
                <w:color w:val="auto"/>
                <w:kern w:val="2"/>
                <w:sz w:val="24"/>
                <w:highlight w:val="none"/>
              </w:rPr>
            </w:pPr>
            <w:r>
              <w:rPr>
                <w:rFonts w:hint="eastAsia" w:hAnsi="宋体" w:cs="宋体"/>
                <w:color w:val="auto"/>
                <w:kern w:val="2"/>
                <w:sz w:val="24"/>
                <w:highlight w:val="none"/>
              </w:rPr>
              <w:t xml:space="preserve">（3）为确保网上操作合法、有效和安全，供应商应当在响应文件提交截止时间前完成在“政府采购云 平台”的身份认证，确保在电子交易过程中能够对相关数据电文进行加密和使用电子签名。 </w:t>
            </w:r>
          </w:p>
        </w:tc>
      </w:tr>
      <w:tr w14:paraId="258844BA">
        <w:tblPrEx>
          <w:tblCellMar>
            <w:top w:w="0" w:type="dxa"/>
            <w:left w:w="0" w:type="dxa"/>
            <w:bottom w:w="0" w:type="dxa"/>
            <w:right w:w="0" w:type="dxa"/>
          </w:tblCellMar>
        </w:tblPrEx>
        <w:trPr>
          <w:trHeight w:val="58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ECBCE27">
            <w:pPr>
              <w:spacing w:line="360" w:lineRule="auto"/>
              <w:jc w:val="center"/>
              <w:rPr>
                <w:rFonts w:hAnsi="宋体"/>
                <w:color w:val="auto"/>
                <w:kern w:val="2"/>
                <w:sz w:val="24"/>
                <w:highlight w:val="none"/>
              </w:rPr>
            </w:pPr>
            <w:r>
              <w:rPr>
                <w:rFonts w:hint="eastAsia" w:hAnsi="宋体" w:cs="宋体"/>
                <w:color w:val="auto"/>
                <w:sz w:val="24"/>
                <w:highlight w:val="none"/>
              </w:rPr>
              <w:t>4.2.1</w:t>
            </w:r>
          </w:p>
        </w:tc>
        <w:tc>
          <w:tcPr>
            <w:tcW w:w="2009" w:type="dxa"/>
            <w:tcBorders>
              <w:top w:val="single" w:color="auto" w:sz="8" w:space="0"/>
              <w:left w:val="nil"/>
              <w:bottom w:val="single" w:color="auto" w:sz="8" w:space="0"/>
              <w:right w:val="single" w:color="auto" w:sz="8" w:space="0"/>
            </w:tcBorders>
            <w:vAlign w:val="center"/>
          </w:tcPr>
          <w:p w14:paraId="03180DA5">
            <w:pPr>
              <w:spacing w:line="360" w:lineRule="auto"/>
              <w:jc w:val="left"/>
              <w:rPr>
                <w:rFonts w:hAnsi="宋体"/>
                <w:color w:val="auto"/>
                <w:kern w:val="2"/>
                <w:sz w:val="24"/>
                <w:highlight w:val="none"/>
              </w:rPr>
            </w:pPr>
            <w:r>
              <w:rPr>
                <w:rFonts w:hint="eastAsia" w:hAnsi="宋体"/>
                <w:color w:val="auto"/>
                <w:sz w:val="24"/>
                <w:highlight w:val="none"/>
              </w:rPr>
              <w:t>响应文件提交截止时间</w:t>
            </w:r>
          </w:p>
        </w:tc>
        <w:tc>
          <w:tcPr>
            <w:tcW w:w="6826" w:type="dxa"/>
            <w:tcBorders>
              <w:top w:val="single" w:color="auto" w:sz="8" w:space="0"/>
              <w:left w:val="nil"/>
              <w:bottom w:val="single" w:color="auto" w:sz="8" w:space="0"/>
              <w:right w:val="single" w:color="auto" w:sz="8" w:space="0"/>
            </w:tcBorders>
            <w:vAlign w:val="center"/>
          </w:tcPr>
          <w:p w14:paraId="12055C4B">
            <w:pPr>
              <w:spacing w:line="360" w:lineRule="auto"/>
              <w:rPr>
                <w:rFonts w:hAnsi="宋体"/>
                <w:color w:val="auto"/>
                <w:kern w:val="2"/>
                <w:sz w:val="24"/>
                <w:highlight w:val="none"/>
              </w:rPr>
            </w:pPr>
            <w:r>
              <w:rPr>
                <w:rFonts w:hint="eastAsia" w:hAnsi="宋体" w:cs="宋体"/>
                <w:color w:val="auto"/>
                <w:kern w:val="2"/>
                <w:sz w:val="24"/>
                <w:highlight w:val="none"/>
              </w:rPr>
              <w:t>详见第一章“单一来源采购邀请书”</w:t>
            </w:r>
          </w:p>
        </w:tc>
      </w:tr>
      <w:tr w14:paraId="5FF8EF69">
        <w:tblPrEx>
          <w:tblCellMar>
            <w:top w:w="0" w:type="dxa"/>
            <w:left w:w="0" w:type="dxa"/>
            <w:bottom w:w="0" w:type="dxa"/>
            <w:right w:w="0" w:type="dxa"/>
          </w:tblCellMar>
        </w:tblPrEx>
        <w:trPr>
          <w:trHeight w:val="40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F7A2F2F">
            <w:pPr>
              <w:spacing w:line="360" w:lineRule="auto"/>
              <w:jc w:val="center"/>
              <w:rPr>
                <w:rFonts w:hAnsi="宋体"/>
                <w:color w:val="auto"/>
                <w:kern w:val="2"/>
                <w:sz w:val="24"/>
                <w:highlight w:val="none"/>
              </w:rPr>
            </w:pPr>
            <w:r>
              <w:rPr>
                <w:rFonts w:hint="eastAsia" w:hAnsi="宋体"/>
                <w:color w:val="auto"/>
                <w:kern w:val="2"/>
                <w:sz w:val="24"/>
                <w:highlight w:val="none"/>
              </w:rPr>
              <w:t>4.2.2</w:t>
            </w:r>
          </w:p>
        </w:tc>
        <w:tc>
          <w:tcPr>
            <w:tcW w:w="2009" w:type="dxa"/>
            <w:tcBorders>
              <w:top w:val="single" w:color="auto" w:sz="8" w:space="0"/>
              <w:left w:val="nil"/>
              <w:bottom w:val="single" w:color="auto" w:sz="8" w:space="0"/>
              <w:right w:val="single" w:color="auto" w:sz="8" w:space="0"/>
            </w:tcBorders>
            <w:vAlign w:val="center"/>
          </w:tcPr>
          <w:p w14:paraId="3D129FB0">
            <w:pPr>
              <w:spacing w:line="360" w:lineRule="auto"/>
              <w:jc w:val="left"/>
              <w:rPr>
                <w:rFonts w:hAnsi="宋体"/>
                <w:color w:val="auto"/>
                <w:kern w:val="2"/>
                <w:sz w:val="24"/>
                <w:highlight w:val="none"/>
              </w:rPr>
            </w:pPr>
            <w:r>
              <w:rPr>
                <w:rFonts w:hint="eastAsia" w:hAnsi="宋体"/>
                <w:color w:val="auto"/>
                <w:kern w:val="2"/>
                <w:sz w:val="24"/>
                <w:highlight w:val="none"/>
              </w:rPr>
              <w:t>响应文件</w:t>
            </w:r>
            <w:r>
              <w:rPr>
                <w:rFonts w:hint="eastAsia" w:hAnsi="宋体"/>
                <w:color w:val="auto"/>
                <w:sz w:val="24"/>
                <w:highlight w:val="none"/>
              </w:rPr>
              <w:t>提</w:t>
            </w:r>
            <w:r>
              <w:rPr>
                <w:rFonts w:hint="eastAsia" w:hAnsi="宋体"/>
                <w:color w:val="auto"/>
                <w:kern w:val="2"/>
                <w:sz w:val="24"/>
                <w:highlight w:val="none"/>
              </w:rPr>
              <w:t>交时间和地点</w:t>
            </w:r>
          </w:p>
        </w:tc>
        <w:tc>
          <w:tcPr>
            <w:tcW w:w="6826" w:type="dxa"/>
            <w:tcBorders>
              <w:top w:val="single" w:color="auto" w:sz="8" w:space="0"/>
              <w:left w:val="nil"/>
              <w:bottom w:val="single" w:color="auto" w:sz="8" w:space="0"/>
              <w:right w:val="single" w:color="auto" w:sz="8" w:space="0"/>
            </w:tcBorders>
            <w:vAlign w:val="center"/>
          </w:tcPr>
          <w:p w14:paraId="79553F7D">
            <w:pPr>
              <w:spacing w:line="360" w:lineRule="auto"/>
              <w:rPr>
                <w:rFonts w:hAnsi="宋体"/>
                <w:color w:val="auto"/>
                <w:kern w:val="2"/>
                <w:sz w:val="24"/>
                <w:highlight w:val="none"/>
                <w:u w:val="single"/>
              </w:rPr>
            </w:pPr>
            <w:r>
              <w:rPr>
                <w:rFonts w:hint="eastAsia" w:hAnsi="宋体"/>
                <w:color w:val="auto"/>
                <w:kern w:val="2"/>
                <w:sz w:val="24"/>
                <w:highlight w:val="none"/>
              </w:rPr>
              <w:t>响应文件</w:t>
            </w:r>
            <w:r>
              <w:rPr>
                <w:rFonts w:hint="eastAsia" w:hAnsi="宋体"/>
                <w:color w:val="auto"/>
                <w:sz w:val="24"/>
                <w:highlight w:val="none"/>
              </w:rPr>
              <w:t>提</w:t>
            </w:r>
            <w:r>
              <w:rPr>
                <w:rFonts w:hint="eastAsia" w:hAnsi="宋体"/>
                <w:color w:val="auto"/>
                <w:kern w:val="2"/>
                <w:sz w:val="24"/>
                <w:highlight w:val="none"/>
              </w:rPr>
              <w:t>交时间：</w:t>
            </w:r>
            <w:r>
              <w:rPr>
                <w:rFonts w:hint="eastAsia" w:hAnsi="宋体" w:cs="宋体"/>
                <w:color w:val="auto"/>
                <w:kern w:val="2"/>
                <w:sz w:val="24"/>
                <w:highlight w:val="none"/>
              </w:rPr>
              <w:t>详见第一章“单一来源采购邀请书”</w:t>
            </w:r>
          </w:p>
          <w:p w14:paraId="74F79BC5">
            <w:pPr>
              <w:spacing w:line="360" w:lineRule="auto"/>
              <w:rPr>
                <w:rFonts w:hAnsi="宋体"/>
                <w:color w:val="auto"/>
                <w:kern w:val="2"/>
                <w:sz w:val="24"/>
                <w:highlight w:val="none"/>
              </w:rPr>
            </w:pPr>
            <w:r>
              <w:rPr>
                <w:rFonts w:hint="eastAsia" w:hAnsi="宋体"/>
                <w:color w:val="auto"/>
                <w:kern w:val="2"/>
                <w:sz w:val="24"/>
                <w:highlight w:val="none"/>
              </w:rPr>
              <w:t>响应文件</w:t>
            </w:r>
            <w:r>
              <w:rPr>
                <w:rFonts w:hint="eastAsia" w:hAnsi="宋体"/>
                <w:color w:val="auto"/>
                <w:sz w:val="24"/>
                <w:highlight w:val="none"/>
              </w:rPr>
              <w:t>提</w:t>
            </w:r>
            <w:r>
              <w:rPr>
                <w:rFonts w:hint="eastAsia" w:hAnsi="宋体"/>
                <w:color w:val="auto"/>
                <w:kern w:val="2"/>
                <w:sz w:val="24"/>
                <w:highlight w:val="none"/>
              </w:rPr>
              <w:t>交地点：</w:t>
            </w:r>
            <w:r>
              <w:rPr>
                <w:rFonts w:hint="eastAsia" w:hAnsi="宋体" w:cs="宋体"/>
                <w:color w:val="auto"/>
                <w:kern w:val="2"/>
                <w:sz w:val="24"/>
                <w:highlight w:val="none"/>
              </w:rPr>
              <w:t>详见第一章“单一来源采购邀请书”</w:t>
            </w:r>
          </w:p>
        </w:tc>
      </w:tr>
      <w:tr w14:paraId="4A19E3B5">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9CE9598">
            <w:pPr>
              <w:spacing w:line="360" w:lineRule="auto"/>
              <w:jc w:val="center"/>
              <w:rPr>
                <w:rFonts w:hAnsi="宋体"/>
                <w:color w:val="auto"/>
                <w:kern w:val="2"/>
                <w:sz w:val="24"/>
                <w:highlight w:val="none"/>
              </w:rPr>
            </w:pPr>
            <w:r>
              <w:rPr>
                <w:rFonts w:hAnsi="宋体"/>
                <w:color w:val="auto"/>
                <w:kern w:val="2"/>
                <w:sz w:val="24"/>
                <w:highlight w:val="none"/>
              </w:rPr>
              <w:t>6</w:t>
            </w:r>
            <w:r>
              <w:rPr>
                <w:rFonts w:hint="eastAsia" w:hAnsi="宋体"/>
                <w:color w:val="auto"/>
                <w:kern w:val="2"/>
                <w:sz w:val="24"/>
                <w:highlight w:val="none"/>
              </w:rPr>
              <w:t>.2</w:t>
            </w:r>
          </w:p>
        </w:tc>
        <w:tc>
          <w:tcPr>
            <w:tcW w:w="2009" w:type="dxa"/>
            <w:tcBorders>
              <w:top w:val="single" w:color="auto" w:sz="8" w:space="0"/>
              <w:left w:val="nil"/>
              <w:bottom w:val="single" w:color="auto" w:sz="8" w:space="0"/>
              <w:right w:val="single" w:color="auto" w:sz="8" w:space="0"/>
            </w:tcBorders>
            <w:vAlign w:val="center"/>
          </w:tcPr>
          <w:p w14:paraId="616C7AEC">
            <w:pPr>
              <w:spacing w:line="360" w:lineRule="auto"/>
              <w:jc w:val="left"/>
              <w:rPr>
                <w:rFonts w:hAnsi="宋体"/>
                <w:color w:val="auto"/>
                <w:kern w:val="2"/>
                <w:sz w:val="24"/>
                <w:highlight w:val="none"/>
              </w:rPr>
            </w:pPr>
            <w:r>
              <w:rPr>
                <w:rFonts w:hint="eastAsia" w:hAnsi="宋体"/>
                <w:color w:val="auto"/>
                <w:kern w:val="2"/>
                <w:sz w:val="24"/>
                <w:highlight w:val="none"/>
              </w:rPr>
              <w:t>成交公告媒介及期限</w:t>
            </w:r>
          </w:p>
        </w:tc>
        <w:tc>
          <w:tcPr>
            <w:tcW w:w="6826" w:type="dxa"/>
            <w:tcBorders>
              <w:top w:val="single" w:color="auto" w:sz="8" w:space="0"/>
              <w:left w:val="nil"/>
              <w:bottom w:val="single" w:color="auto" w:sz="8" w:space="0"/>
              <w:right w:val="single" w:color="auto" w:sz="8" w:space="0"/>
            </w:tcBorders>
            <w:vAlign w:val="center"/>
          </w:tcPr>
          <w:p w14:paraId="40040CC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Ansi="宋体"/>
                <w:color w:val="auto"/>
                <w:kern w:val="2"/>
                <w:sz w:val="24"/>
                <w:highlight w:val="none"/>
              </w:rPr>
            </w:pPr>
            <w:r>
              <w:rPr>
                <w:rFonts w:hint="eastAsia" w:hAnsi="宋体"/>
                <w:color w:val="auto"/>
                <w:kern w:val="2"/>
                <w:sz w:val="24"/>
                <w:highlight w:val="none"/>
              </w:rPr>
              <w:t>公告媒介：云南省政府采购网（http://www.yngp.com/）</w:t>
            </w:r>
          </w:p>
          <w:p w14:paraId="49CAE53E">
            <w:pPr>
              <w:keepNext w:val="0"/>
              <w:keepLines w:val="0"/>
              <w:pageBreakBefore w:val="0"/>
              <w:widowControl w:val="0"/>
              <w:kinsoku/>
              <w:wordWrap w:val="0"/>
              <w:overflowPunct/>
              <w:topLinePunct w:val="0"/>
              <w:autoSpaceDE/>
              <w:autoSpaceDN/>
              <w:bidi w:val="0"/>
              <w:adjustRightInd/>
              <w:snapToGrid/>
              <w:spacing w:line="360" w:lineRule="auto"/>
              <w:textAlignment w:val="auto"/>
              <w:rPr>
                <w:rFonts w:hAnsi="宋体"/>
                <w:color w:val="auto"/>
                <w:kern w:val="2"/>
                <w:sz w:val="24"/>
                <w:highlight w:val="none"/>
                <w:u w:val="single"/>
              </w:rPr>
            </w:pPr>
            <w:r>
              <w:rPr>
                <w:rFonts w:hint="eastAsia" w:hAnsi="宋体"/>
                <w:color w:val="auto"/>
                <w:kern w:val="2"/>
                <w:sz w:val="24"/>
                <w:highlight w:val="none"/>
              </w:rPr>
              <w:t>公告期限：1个工作日</w:t>
            </w:r>
          </w:p>
        </w:tc>
      </w:tr>
      <w:tr w14:paraId="77DA5F6B">
        <w:tblPrEx>
          <w:tblCellMar>
            <w:top w:w="0" w:type="dxa"/>
            <w:left w:w="0" w:type="dxa"/>
            <w:bottom w:w="0" w:type="dxa"/>
            <w:right w:w="0" w:type="dxa"/>
          </w:tblCellMar>
        </w:tblPrEx>
        <w:trPr>
          <w:trHeight w:val="37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7531B0B">
            <w:pPr>
              <w:spacing w:line="360" w:lineRule="auto"/>
              <w:jc w:val="center"/>
              <w:rPr>
                <w:rFonts w:hAnsi="宋体"/>
                <w:color w:val="auto"/>
                <w:kern w:val="2"/>
                <w:sz w:val="24"/>
                <w:highlight w:val="none"/>
              </w:rPr>
            </w:pPr>
            <w:r>
              <w:rPr>
                <w:rFonts w:hint="eastAsia" w:hAnsi="宋体"/>
                <w:color w:val="auto"/>
                <w:kern w:val="2"/>
                <w:sz w:val="24"/>
                <w:highlight w:val="none"/>
              </w:rPr>
              <w:t>6.4.1</w:t>
            </w:r>
          </w:p>
        </w:tc>
        <w:tc>
          <w:tcPr>
            <w:tcW w:w="2009" w:type="dxa"/>
            <w:tcBorders>
              <w:top w:val="single" w:color="auto" w:sz="8" w:space="0"/>
              <w:left w:val="nil"/>
              <w:bottom w:val="single" w:color="auto" w:sz="8" w:space="0"/>
              <w:right w:val="single" w:color="auto" w:sz="8" w:space="0"/>
            </w:tcBorders>
            <w:vAlign w:val="center"/>
          </w:tcPr>
          <w:p w14:paraId="2D0A8CE5">
            <w:pPr>
              <w:spacing w:line="360" w:lineRule="auto"/>
              <w:jc w:val="left"/>
              <w:rPr>
                <w:rFonts w:hint="eastAsia" w:hAnsi="宋体"/>
                <w:color w:val="auto"/>
                <w:kern w:val="2"/>
                <w:sz w:val="24"/>
                <w:highlight w:val="none"/>
              </w:rPr>
            </w:pPr>
            <w:r>
              <w:rPr>
                <w:rFonts w:hint="eastAsia" w:hAnsi="宋体"/>
                <w:color w:val="auto"/>
                <w:kern w:val="2"/>
                <w:sz w:val="24"/>
                <w:highlight w:val="none"/>
              </w:rPr>
              <w:t>履约保证金</w:t>
            </w:r>
          </w:p>
        </w:tc>
        <w:tc>
          <w:tcPr>
            <w:tcW w:w="6826" w:type="dxa"/>
            <w:tcBorders>
              <w:top w:val="single" w:color="auto" w:sz="8" w:space="0"/>
              <w:left w:val="nil"/>
              <w:bottom w:val="single" w:color="auto" w:sz="8" w:space="0"/>
              <w:right w:val="single" w:color="auto" w:sz="8" w:space="0"/>
            </w:tcBorders>
            <w:vAlign w:val="center"/>
          </w:tcPr>
          <w:p w14:paraId="30B8228A">
            <w:pPr>
              <w:spacing w:line="360" w:lineRule="auto"/>
              <w:jc w:val="left"/>
              <w:rPr>
                <w:rFonts w:hint="eastAsia" w:hAnsi="宋体"/>
                <w:color w:val="auto"/>
                <w:kern w:val="2"/>
                <w:sz w:val="24"/>
                <w:highlight w:val="none"/>
              </w:rPr>
            </w:pPr>
            <w:r>
              <w:rPr>
                <w:rFonts w:hint="eastAsia" w:hAnsi="宋体"/>
                <w:color w:val="auto"/>
                <w:kern w:val="2"/>
                <w:sz w:val="24"/>
                <w:highlight w:val="none"/>
              </w:rPr>
              <w:t>不要求</w:t>
            </w:r>
          </w:p>
        </w:tc>
      </w:tr>
      <w:tr w14:paraId="015BCF15">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EE4B3CA">
            <w:pPr>
              <w:spacing w:line="360" w:lineRule="auto"/>
              <w:jc w:val="center"/>
              <w:rPr>
                <w:rFonts w:hAnsi="宋体"/>
                <w:color w:val="auto"/>
                <w:kern w:val="2"/>
                <w:sz w:val="24"/>
                <w:highlight w:val="none"/>
              </w:rPr>
            </w:pPr>
            <w:r>
              <w:rPr>
                <w:rFonts w:hAnsi="宋体"/>
                <w:color w:val="auto"/>
                <w:kern w:val="2"/>
                <w:sz w:val="24"/>
                <w:highlight w:val="none"/>
              </w:rPr>
              <w:t>8</w:t>
            </w:r>
          </w:p>
        </w:tc>
        <w:tc>
          <w:tcPr>
            <w:tcW w:w="8835" w:type="dxa"/>
            <w:gridSpan w:val="2"/>
            <w:tcBorders>
              <w:top w:val="single" w:color="auto" w:sz="8" w:space="0"/>
              <w:left w:val="nil"/>
              <w:bottom w:val="single" w:color="auto" w:sz="8" w:space="0"/>
              <w:right w:val="single" w:color="auto" w:sz="8" w:space="0"/>
            </w:tcBorders>
            <w:vAlign w:val="center"/>
          </w:tcPr>
          <w:p w14:paraId="672C3E3C">
            <w:pPr>
              <w:spacing w:line="360" w:lineRule="auto"/>
              <w:jc w:val="left"/>
              <w:rPr>
                <w:rFonts w:hAnsi="宋体"/>
                <w:color w:val="auto"/>
                <w:kern w:val="2"/>
                <w:sz w:val="24"/>
                <w:highlight w:val="none"/>
              </w:rPr>
            </w:pPr>
            <w:r>
              <w:rPr>
                <w:rFonts w:hint="eastAsia" w:hAnsi="宋体"/>
                <w:b/>
                <w:bCs/>
                <w:color w:val="auto"/>
                <w:kern w:val="2"/>
                <w:sz w:val="24"/>
                <w:highlight w:val="none"/>
              </w:rPr>
              <w:t>需要补充的其他内容</w:t>
            </w:r>
          </w:p>
        </w:tc>
      </w:tr>
      <w:tr w14:paraId="1C039C2E">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23F4A9">
            <w:pPr>
              <w:spacing w:line="360" w:lineRule="auto"/>
              <w:jc w:val="center"/>
              <w:rPr>
                <w:rFonts w:hAnsi="宋体"/>
                <w:color w:val="auto"/>
                <w:kern w:val="2"/>
                <w:sz w:val="24"/>
                <w:highlight w:val="none"/>
              </w:rPr>
            </w:pPr>
            <w:r>
              <w:rPr>
                <w:rFonts w:hAnsi="宋体"/>
                <w:color w:val="auto"/>
                <w:kern w:val="2"/>
                <w:sz w:val="24"/>
                <w:highlight w:val="none"/>
              </w:rPr>
              <w:t>8</w:t>
            </w:r>
            <w:r>
              <w:rPr>
                <w:rFonts w:hint="eastAsia" w:hAnsi="宋体"/>
                <w:color w:val="auto"/>
                <w:kern w:val="2"/>
                <w:sz w:val="24"/>
                <w:highlight w:val="none"/>
              </w:rPr>
              <w:t>.</w:t>
            </w:r>
            <w:r>
              <w:rPr>
                <w:rFonts w:hAnsi="宋体"/>
                <w:color w:val="auto"/>
                <w:kern w:val="2"/>
                <w:sz w:val="24"/>
                <w:highlight w:val="none"/>
              </w:rPr>
              <w:t>1</w:t>
            </w:r>
            <w:r>
              <w:rPr>
                <w:rFonts w:hint="eastAsia" w:hAnsi="宋体"/>
                <w:color w:val="auto"/>
                <w:kern w:val="2"/>
                <w:sz w:val="24"/>
                <w:highlight w:val="none"/>
              </w:rPr>
              <w:t>.1</w:t>
            </w:r>
          </w:p>
        </w:tc>
        <w:tc>
          <w:tcPr>
            <w:tcW w:w="2009" w:type="dxa"/>
            <w:tcBorders>
              <w:top w:val="single" w:color="auto" w:sz="8" w:space="0"/>
              <w:left w:val="nil"/>
              <w:bottom w:val="single" w:color="auto" w:sz="8" w:space="0"/>
              <w:right w:val="single" w:color="auto" w:sz="8" w:space="0"/>
            </w:tcBorders>
            <w:vAlign w:val="center"/>
          </w:tcPr>
          <w:p w14:paraId="2BC35164">
            <w:pPr>
              <w:spacing w:line="360" w:lineRule="auto"/>
              <w:jc w:val="left"/>
              <w:rPr>
                <w:rFonts w:hAnsi="宋体"/>
                <w:color w:val="auto"/>
                <w:kern w:val="2"/>
                <w:sz w:val="24"/>
                <w:highlight w:val="none"/>
              </w:rPr>
            </w:pPr>
            <w:r>
              <w:rPr>
                <w:rFonts w:hint="eastAsia" w:hAnsi="宋体"/>
                <w:color w:val="auto"/>
                <w:kern w:val="2"/>
                <w:sz w:val="24"/>
                <w:highlight w:val="none"/>
              </w:rPr>
              <w:t>追加合同金额</w:t>
            </w:r>
          </w:p>
        </w:tc>
        <w:tc>
          <w:tcPr>
            <w:tcW w:w="6826" w:type="dxa"/>
            <w:tcBorders>
              <w:top w:val="single" w:color="auto" w:sz="8" w:space="0"/>
              <w:left w:val="nil"/>
              <w:bottom w:val="single" w:color="auto" w:sz="8" w:space="0"/>
              <w:right w:val="single" w:color="auto" w:sz="8" w:space="0"/>
            </w:tcBorders>
            <w:vAlign w:val="center"/>
          </w:tcPr>
          <w:p w14:paraId="1EC32C8C">
            <w:pPr>
              <w:spacing w:line="360" w:lineRule="auto"/>
              <w:rPr>
                <w:rFonts w:hAnsi="宋体"/>
                <w:color w:val="auto"/>
                <w:kern w:val="2"/>
                <w:sz w:val="24"/>
                <w:highlight w:val="none"/>
              </w:rPr>
            </w:pPr>
            <w:r>
              <w:rPr>
                <w:rFonts w:hint="eastAsia" w:hAnsi="宋体"/>
                <w:color w:val="auto"/>
                <w:sz w:val="24"/>
                <w:highlight w:val="none"/>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r w14:paraId="345D6E25">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E20C867">
            <w:pPr>
              <w:spacing w:line="360" w:lineRule="auto"/>
              <w:jc w:val="center"/>
              <w:rPr>
                <w:rFonts w:hAnsi="宋体"/>
                <w:color w:val="auto"/>
                <w:kern w:val="2"/>
                <w:sz w:val="24"/>
                <w:highlight w:val="none"/>
              </w:rPr>
            </w:pPr>
            <w:r>
              <w:rPr>
                <w:rFonts w:hint="eastAsia" w:hAnsi="宋体"/>
                <w:color w:val="auto"/>
                <w:kern w:val="2"/>
                <w:sz w:val="24"/>
                <w:highlight w:val="none"/>
              </w:rPr>
              <w:t>8.1.2</w:t>
            </w:r>
          </w:p>
        </w:tc>
        <w:tc>
          <w:tcPr>
            <w:tcW w:w="2009" w:type="dxa"/>
            <w:tcBorders>
              <w:top w:val="single" w:color="auto" w:sz="8" w:space="0"/>
              <w:left w:val="nil"/>
              <w:bottom w:val="single" w:color="auto" w:sz="8" w:space="0"/>
              <w:right w:val="single" w:color="auto" w:sz="8" w:space="0"/>
            </w:tcBorders>
            <w:vAlign w:val="center"/>
          </w:tcPr>
          <w:p w14:paraId="54F6C11D">
            <w:pPr>
              <w:spacing w:line="360" w:lineRule="auto"/>
              <w:jc w:val="left"/>
              <w:rPr>
                <w:rFonts w:hAnsi="宋体"/>
                <w:color w:val="auto"/>
                <w:kern w:val="2"/>
                <w:sz w:val="24"/>
                <w:highlight w:val="none"/>
              </w:rPr>
            </w:pPr>
            <w:r>
              <w:rPr>
                <w:rFonts w:hint="eastAsia" w:hAnsi="宋体" w:cs="宋体"/>
                <w:color w:val="auto"/>
                <w:kern w:val="2"/>
                <w:sz w:val="24"/>
                <w:highlight w:val="none"/>
              </w:rPr>
              <w:t>信用查询具体要求</w:t>
            </w:r>
          </w:p>
        </w:tc>
        <w:tc>
          <w:tcPr>
            <w:tcW w:w="6826" w:type="dxa"/>
            <w:tcBorders>
              <w:top w:val="single" w:color="auto" w:sz="8" w:space="0"/>
              <w:left w:val="nil"/>
              <w:bottom w:val="single" w:color="auto" w:sz="8" w:space="0"/>
              <w:right w:val="single" w:color="auto" w:sz="8" w:space="0"/>
            </w:tcBorders>
            <w:vAlign w:val="center"/>
          </w:tcPr>
          <w:p w14:paraId="1D795679">
            <w:pPr>
              <w:spacing w:line="360" w:lineRule="auto"/>
              <w:rPr>
                <w:rFonts w:hAnsi="宋体" w:cs="宋体"/>
                <w:color w:val="auto"/>
                <w:sz w:val="24"/>
                <w:highlight w:val="none"/>
              </w:rPr>
            </w:pPr>
            <w:r>
              <w:rPr>
                <w:rFonts w:hint="eastAsia" w:hAnsi="宋体" w:cs="宋体"/>
                <w:color w:val="auto"/>
                <w:sz w:val="24"/>
                <w:highlight w:val="none"/>
              </w:rPr>
              <w:t>本项目将执行在政府采购活动中查询及使用信用记录的规定，具体要求为：</w:t>
            </w:r>
          </w:p>
          <w:p w14:paraId="1D003D6B">
            <w:pPr>
              <w:spacing w:line="360" w:lineRule="auto"/>
              <w:rPr>
                <w:rFonts w:hAnsi="宋体" w:cs="宋体"/>
                <w:color w:val="auto"/>
                <w:sz w:val="24"/>
                <w:highlight w:val="none"/>
              </w:rPr>
            </w:pPr>
            <w:r>
              <w:rPr>
                <w:rFonts w:hint="eastAsia" w:hAnsi="宋体" w:cs="宋体"/>
                <w:color w:val="auto"/>
                <w:sz w:val="24"/>
                <w:highlight w:val="none"/>
              </w:rPr>
              <w:t>（1）供应商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7B835E0A">
            <w:pPr>
              <w:spacing w:line="360" w:lineRule="auto"/>
              <w:rPr>
                <w:rFonts w:hAnsi="宋体" w:cs="宋体"/>
                <w:color w:val="auto"/>
                <w:sz w:val="24"/>
                <w:highlight w:val="none"/>
              </w:rPr>
            </w:pPr>
            <w:r>
              <w:rPr>
                <w:rFonts w:hint="eastAsia" w:hAnsi="宋体" w:cs="宋体"/>
                <w:color w:val="auto"/>
                <w:sz w:val="24"/>
                <w:highlight w:val="none"/>
              </w:rPr>
              <w:t>（2）信用信息查询的截止时点：响应文件递交截止时间当天评审前；</w:t>
            </w:r>
          </w:p>
          <w:p w14:paraId="64A3A288">
            <w:pPr>
              <w:spacing w:line="360" w:lineRule="auto"/>
              <w:rPr>
                <w:rFonts w:hAnsi="宋体" w:cs="宋体"/>
                <w:color w:val="auto"/>
                <w:sz w:val="24"/>
                <w:highlight w:val="none"/>
              </w:rPr>
            </w:pPr>
            <w:r>
              <w:rPr>
                <w:rFonts w:hint="eastAsia" w:hAnsi="宋体" w:cs="宋体"/>
                <w:color w:val="auto"/>
                <w:sz w:val="24"/>
                <w:highlight w:val="none"/>
              </w:rPr>
              <w:t>（3）信用信息查询渠道：“信用中国”网站、中国政府采购网；</w:t>
            </w:r>
          </w:p>
          <w:p w14:paraId="79DE0FE8">
            <w:pPr>
              <w:spacing w:line="360" w:lineRule="auto"/>
              <w:rPr>
                <w:rFonts w:hAnsi="宋体" w:cs="宋体"/>
                <w:color w:val="auto"/>
                <w:sz w:val="24"/>
                <w:highlight w:val="none"/>
              </w:rPr>
            </w:pPr>
            <w:r>
              <w:rPr>
                <w:rFonts w:hint="eastAsia" w:hAnsi="宋体" w:cs="宋体"/>
                <w:color w:val="auto"/>
                <w:sz w:val="24"/>
                <w:highlight w:val="none"/>
              </w:rPr>
              <w:t>（4）信用信息查询记录和证据留存具体方式：采购代理机构将经查询存在不良信用记录的潜在供应商查询结果证明材料作为查询记录和证据，与其他采购文件一并保存；</w:t>
            </w:r>
          </w:p>
          <w:p w14:paraId="3792FA26">
            <w:pPr>
              <w:spacing w:line="360" w:lineRule="auto"/>
              <w:rPr>
                <w:rFonts w:hAnsi="宋体" w:cs="宋体"/>
                <w:color w:val="auto"/>
                <w:sz w:val="24"/>
                <w:highlight w:val="none"/>
              </w:rPr>
            </w:pPr>
            <w:r>
              <w:rPr>
                <w:rFonts w:hint="eastAsia" w:hAnsi="宋体" w:cs="宋体"/>
                <w:color w:val="auto"/>
                <w:sz w:val="24"/>
                <w:highlight w:val="none"/>
              </w:rPr>
              <w:t>（5）信用信息的使用规则：本政府采购项目的供应商在信用信息查询截止时点（含）之前被列入失信被执行人、重大税收违法失信主体、政府采购严重违法失信行为记录名单及其他不符合《中华人民共和国政府采购法》第二十二条规定条件的供应商，其协商无效；</w:t>
            </w:r>
          </w:p>
          <w:p w14:paraId="775D528B">
            <w:pPr>
              <w:pStyle w:val="2"/>
              <w:spacing w:line="360" w:lineRule="auto"/>
              <w:rPr>
                <w:color w:val="auto"/>
                <w:highlight w:val="none"/>
              </w:rPr>
            </w:pPr>
            <w:r>
              <w:rPr>
                <w:rFonts w:hint="eastAsia" w:cs="宋体"/>
                <w:color w:val="auto"/>
                <w:highlight w:val="none"/>
              </w:rPr>
              <w:t>(6)采购代理机构通过信用中国网、中国政府采购网等渠道查询相关主体信用记录，若供应商存在被列入失信被执行人、重大税收违法失信主体、政府采购严重违法失信行为记录名单，则协商无效。</w:t>
            </w:r>
          </w:p>
        </w:tc>
      </w:tr>
      <w:tr w14:paraId="52DEC83F">
        <w:tblPrEx>
          <w:tblCellMar>
            <w:top w:w="0" w:type="dxa"/>
            <w:left w:w="0" w:type="dxa"/>
            <w:bottom w:w="0" w:type="dxa"/>
            <w:right w:w="0" w:type="dxa"/>
          </w:tblCellMar>
        </w:tblPrEx>
        <w:trPr>
          <w:trHeight w:val="5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BA1269">
            <w:pPr>
              <w:spacing w:line="360" w:lineRule="auto"/>
              <w:jc w:val="center"/>
              <w:rPr>
                <w:rFonts w:hAnsi="宋体"/>
                <w:color w:val="auto"/>
                <w:kern w:val="2"/>
                <w:sz w:val="24"/>
                <w:highlight w:val="none"/>
              </w:rPr>
            </w:pPr>
            <w:r>
              <w:rPr>
                <w:rFonts w:hint="eastAsia" w:hAnsi="宋体"/>
                <w:color w:val="auto"/>
                <w:kern w:val="2"/>
                <w:sz w:val="24"/>
                <w:highlight w:val="none"/>
              </w:rPr>
              <w:t>8.1.3</w:t>
            </w:r>
          </w:p>
        </w:tc>
        <w:tc>
          <w:tcPr>
            <w:tcW w:w="2009" w:type="dxa"/>
            <w:tcBorders>
              <w:top w:val="single" w:color="auto" w:sz="8" w:space="0"/>
              <w:left w:val="nil"/>
              <w:bottom w:val="single" w:color="auto" w:sz="8" w:space="0"/>
              <w:right w:val="single" w:color="auto" w:sz="8" w:space="0"/>
            </w:tcBorders>
            <w:vAlign w:val="center"/>
          </w:tcPr>
          <w:p w14:paraId="182F5014">
            <w:pPr>
              <w:spacing w:line="360" w:lineRule="auto"/>
              <w:jc w:val="left"/>
              <w:rPr>
                <w:rFonts w:hAnsi="宋体"/>
                <w:color w:val="auto"/>
                <w:kern w:val="2"/>
                <w:sz w:val="24"/>
                <w:highlight w:val="none"/>
              </w:rPr>
            </w:pPr>
            <w:r>
              <w:rPr>
                <w:rFonts w:hint="eastAsia" w:hAnsi="宋体"/>
                <w:color w:val="auto"/>
                <w:kern w:val="2"/>
                <w:sz w:val="24"/>
                <w:highlight w:val="none"/>
              </w:rPr>
              <w:t>补充1</w:t>
            </w:r>
          </w:p>
        </w:tc>
        <w:tc>
          <w:tcPr>
            <w:tcW w:w="6826" w:type="dxa"/>
            <w:tcBorders>
              <w:top w:val="single" w:color="auto" w:sz="8" w:space="0"/>
              <w:left w:val="nil"/>
              <w:bottom w:val="single" w:color="auto" w:sz="8" w:space="0"/>
              <w:right w:val="single" w:color="auto" w:sz="8" w:space="0"/>
            </w:tcBorders>
            <w:vAlign w:val="center"/>
          </w:tcPr>
          <w:p w14:paraId="067877A9">
            <w:pPr>
              <w:spacing w:line="360" w:lineRule="auto"/>
              <w:rPr>
                <w:rFonts w:hAnsi="宋体"/>
                <w:color w:val="auto"/>
                <w:kern w:val="2"/>
                <w:sz w:val="24"/>
                <w:highlight w:val="none"/>
              </w:rPr>
            </w:pPr>
            <w:r>
              <w:rPr>
                <w:rFonts w:hint="eastAsia" w:hAnsi="宋体" w:cs="宋体"/>
                <w:color w:val="auto"/>
                <w:sz w:val="24"/>
                <w:highlight w:val="none"/>
              </w:rPr>
              <w:t>依据《政府采购促进中小企业发展管理办法》（财库〔2020〕46号）规定享受扶持政策获得政府采购合同的，小微企业不得将合同分包给大中型企业，中型企业不得将合同分包给大型企业。</w:t>
            </w:r>
          </w:p>
        </w:tc>
      </w:tr>
      <w:tr w14:paraId="2F6AB58A">
        <w:tblPrEx>
          <w:tblCellMar>
            <w:top w:w="0" w:type="dxa"/>
            <w:left w:w="0" w:type="dxa"/>
            <w:bottom w:w="0" w:type="dxa"/>
            <w:right w:w="0" w:type="dxa"/>
          </w:tblCellMar>
        </w:tblPrEx>
        <w:trPr>
          <w:trHeight w:val="5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D568701">
            <w:pPr>
              <w:spacing w:line="360" w:lineRule="auto"/>
              <w:jc w:val="center"/>
              <w:rPr>
                <w:rFonts w:hAnsi="宋体"/>
                <w:color w:val="auto"/>
                <w:kern w:val="2"/>
                <w:sz w:val="24"/>
                <w:highlight w:val="none"/>
              </w:rPr>
            </w:pPr>
            <w:r>
              <w:rPr>
                <w:rFonts w:hAnsi="宋体"/>
                <w:color w:val="auto"/>
                <w:kern w:val="2"/>
                <w:sz w:val="24"/>
                <w:highlight w:val="none"/>
              </w:rPr>
              <w:t>8.</w:t>
            </w:r>
            <w:r>
              <w:rPr>
                <w:rFonts w:hint="eastAsia" w:hAnsi="宋体"/>
                <w:color w:val="auto"/>
                <w:kern w:val="2"/>
                <w:sz w:val="24"/>
                <w:highlight w:val="none"/>
              </w:rPr>
              <w:t>1.4</w:t>
            </w:r>
          </w:p>
        </w:tc>
        <w:tc>
          <w:tcPr>
            <w:tcW w:w="2009" w:type="dxa"/>
            <w:tcBorders>
              <w:top w:val="single" w:color="auto" w:sz="8" w:space="0"/>
              <w:left w:val="nil"/>
              <w:bottom w:val="single" w:color="auto" w:sz="8" w:space="0"/>
              <w:right w:val="single" w:color="auto" w:sz="8" w:space="0"/>
            </w:tcBorders>
            <w:vAlign w:val="center"/>
          </w:tcPr>
          <w:p w14:paraId="07E921DD">
            <w:pPr>
              <w:spacing w:line="360" w:lineRule="auto"/>
              <w:jc w:val="left"/>
              <w:rPr>
                <w:rFonts w:hAnsi="宋体"/>
                <w:color w:val="auto"/>
                <w:kern w:val="2"/>
                <w:sz w:val="24"/>
                <w:highlight w:val="none"/>
              </w:rPr>
            </w:pPr>
            <w:r>
              <w:rPr>
                <w:rFonts w:hint="eastAsia" w:hAnsi="宋体"/>
                <w:color w:val="auto"/>
                <w:kern w:val="2"/>
                <w:sz w:val="24"/>
                <w:highlight w:val="none"/>
              </w:rPr>
              <w:t>补充2</w:t>
            </w:r>
          </w:p>
        </w:tc>
        <w:tc>
          <w:tcPr>
            <w:tcW w:w="6826" w:type="dxa"/>
            <w:tcBorders>
              <w:top w:val="single" w:color="auto" w:sz="8" w:space="0"/>
              <w:left w:val="nil"/>
              <w:bottom w:val="single" w:color="auto" w:sz="8" w:space="0"/>
              <w:right w:val="single" w:color="auto" w:sz="8" w:space="0"/>
            </w:tcBorders>
            <w:vAlign w:val="center"/>
          </w:tcPr>
          <w:p w14:paraId="3688738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Ansi="宋体"/>
                <w:color w:val="auto"/>
                <w:kern w:val="2"/>
                <w:sz w:val="24"/>
                <w:highlight w:val="none"/>
              </w:rPr>
            </w:pPr>
            <w:r>
              <w:rPr>
                <w:rFonts w:hint="eastAsia" w:hAnsi="宋体" w:cs="华文细黑"/>
                <w:color w:val="auto"/>
                <w:sz w:val="24"/>
                <w:highlight w:val="none"/>
              </w:rPr>
              <w:t>为支持和促进中小企业发展，进一步发挥政府采购政策功能，鼓励供应商使用电子保险/保函替代投标、履约保证金，支持中标人基于成交项目进行合同融资。申请人可登录【云南省政府采购金融支撑服务平台】进行了解办理，或致电95763，如您有紧急需求的可联系13732226998(谢工)。直达链接:https://jinrong.zcygov.cn/luban/finance/yunnan。</w:t>
            </w:r>
          </w:p>
        </w:tc>
      </w:tr>
      <w:bookmarkEnd w:id="67"/>
    </w:tbl>
    <w:p w14:paraId="0C8A7B80">
      <w:pPr>
        <w:pStyle w:val="4"/>
        <w:spacing w:line="360" w:lineRule="auto"/>
        <w:rPr>
          <w:rFonts w:ascii="宋体" w:hAnsi="宋体"/>
          <w:color w:val="auto"/>
          <w:sz w:val="28"/>
          <w:szCs w:val="28"/>
          <w:highlight w:val="none"/>
        </w:rPr>
      </w:pPr>
      <w:bookmarkStart w:id="71" w:name="_Toc19039"/>
      <w:bookmarkStart w:id="72" w:name="_Toc16309"/>
      <w:bookmarkStart w:id="73" w:name="_Toc153621837"/>
      <w:r>
        <w:rPr>
          <w:rFonts w:ascii="宋体" w:hAnsi="宋体"/>
          <w:color w:val="auto"/>
          <w:sz w:val="28"/>
          <w:szCs w:val="28"/>
          <w:highlight w:val="none"/>
        </w:rPr>
        <w:br w:type="page"/>
      </w:r>
      <w:bookmarkStart w:id="74" w:name="_Toc4685094"/>
      <w:bookmarkStart w:id="75" w:name="_Toc21622"/>
      <w:r>
        <w:rPr>
          <w:rFonts w:hint="eastAsia" w:ascii="宋体" w:hAnsi="宋体"/>
          <w:color w:val="auto"/>
          <w:sz w:val="28"/>
          <w:szCs w:val="28"/>
          <w:highlight w:val="none"/>
        </w:rPr>
        <w:t>1. 总则</w:t>
      </w:r>
      <w:bookmarkEnd w:id="71"/>
      <w:bookmarkEnd w:id="72"/>
      <w:bookmarkEnd w:id="74"/>
      <w:bookmarkEnd w:id="75"/>
    </w:p>
    <w:p w14:paraId="7D16AB50">
      <w:pPr>
        <w:spacing w:line="360" w:lineRule="auto"/>
        <w:rPr>
          <w:rFonts w:hAnsi="宋体"/>
          <w:b/>
          <w:color w:val="auto"/>
          <w:sz w:val="24"/>
          <w:highlight w:val="none"/>
        </w:rPr>
      </w:pPr>
      <w:bookmarkStart w:id="76" w:name="_Toc31335"/>
      <w:bookmarkEnd w:id="76"/>
      <w:bookmarkStart w:id="77" w:name="_Toc700"/>
      <w:r>
        <w:rPr>
          <w:rFonts w:hint="eastAsia" w:hAnsi="宋体"/>
          <w:b/>
          <w:color w:val="auto"/>
          <w:sz w:val="24"/>
          <w:highlight w:val="none"/>
        </w:rPr>
        <w:t>1.1 项目概况</w:t>
      </w:r>
      <w:bookmarkEnd w:id="77"/>
    </w:p>
    <w:p w14:paraId="17F8E460">
      <w:pPr>
        <w:spacing w:line="360" w:lineRule="auto"/>
        <w:ind w:firstLine="480" w:firstLineChars="200"/>
        <w:rPr>
          <w:rFonts w:hAnsi="宋体"/>
          <w:color w:val="auto"/>
          <w:sz w:val="24"/>
          <w:highlight w:val="none"/>
        </w:rPr>
      </w:pPr>
      <w:r>
        <w:rPr>
          <w:rFonts w:hint="eastAsia" w:hAnsi="宋体"/>
          <w:color w:val="auto"/>
          <w:sz w:val="24"/>
          <w:highlight w:val="none"/>
        </w:rPr>
        <w:t>1.1.1根据《中华人民共和国政府采购法》《中华人民共和国政府采购法实施条例》《政府采购非招标采购方式管理办法》等相关法律法规的规定，本项目已具备采购条件，现对本项目进行单一来源采购。</w:t>
      </w:r>
    </w:p>
    <w:p w14:paraId="73BA42CA">
      <w:pPr>
        <w:spacing w:line="360" w:lineRule="auto"/>
        <w:ind w:firstLine="480" w:firstLineChars="200"/>
        <w:rPr>
          <w:rFonts w:hAnsi="宋体"/>
          <w:color w:val="auto"/>
          <w:sz w:val="24"/>
          <w:highlight w:val="none"/>
        </w:rPr>
      </w:pPr>
      <w:r>
        <w:rPr>
          <w:rFonts w:hint="eastAsia" w:hAnsi="宋体"/>
          <w:color w:val="auto"/>
          <w:sz w:val="24"/>
          <w:highlight w:val="none"/>
        </w:rPr>
        <w:t>1.1.2 采购人：见供应商须知前附表</w:t>
      </w:r>
    </w:p>
    <w:p w14:paraId="63BD57A2">
      <w:pPr>
        <w:spacing w:line="360" w:lineRule="auto"/>
        <w:ind w:firstLine="480" w:firstLineChars="200"/>
        <w:rPr>
          <w:rFonts w:hAnsi="宋体"/>
          <w:color w:val="auto"/>
          <w:sz w:val="24"/>
          <w:highlight w:val="none"/>
        </w:rPr>
      </w:pPr>
      <w:r>
        <w:rPr>
          <w:rFonts w:hint="eastAsia" w:hAnsi="宋体"/>
          <w:color w:val="auto"/>
          <w:sz w:val="24"/>
          <w:highlight w:val="none"/>
        </w:rPr>
        <w:t>1.1.3 采购代理机构：见供应商须知前附表</w:t>
      </w:r>
    </w:p>
    <w:p w14:paraId="544BB43E">
      <w:pPr>
        <w:spacing w:line="360" w:lineRule="auto"/>
        <w:ind w:firstLine="480" w:firstLineChars="200"/>
        <w:rPr>
          <w:rFonts w:hAnsi="宋体"/>
          <w:color w:val="auto"/>
          <w:sz w:val="24"/>
          <w:highlight w:val="none"/>
        </w:rPr>
      </w:pPr>
      <w:r>
        <w:rPr>
          <w:rFonts w:hint="eastAsia" w:hAnsi="宋体"/>
          <w:color w:val="auto"/>
          <w:sz w:val="24"/>
          <w:highlight w:val="none"/>
        </w:rPr>
        <w:t>1.1.4</w:t>
      </w:r>
      <w:r>
        <w:rPr>
          <w:rFonts w:hAnsi="宋体"/>
          <w:color w:val="auto"/>
          <w:sz w:val="24"/>
          <w:highlight w:val="none"/>
        </w:rPr>
        <w:t xml:space="preserve"> </w:t>
      </w:r>
      <w:r>
        <w:rPr>
          <w:rFonts w:hint="eastAsia" w:hAnsi="宋体"/>
          <w:color w:val="auto"/>
          <w:sz w:val="24"/>
          <w:highlight w:val="none"/>
        </w:rPr>
        <w:t>项目名称：见供应商须知前附表</w:t>
      </w:r>
    </w:p>
    <w:p w14:paraId="4F15FB8A">
      <w:pPr>
        <w:spacing w:line="360" w:lineRule="auto"/>
        <w:rPr>
          <w:rFonts w:hAnsi="宋体"/>
          <w:b/>
          <w:color w:val="auto"/>
          <w:sz w:val="24"/>
          <w:highlight w:val="none"/>
        </w:rPr>
      </w:pPr>
      <w:bookmarkStart w:id="78" w:name="_Toc27395"/>
      <w:bookmarkEnd w:id="78"/>
      <w:bookmarkStart w:id="79" w:name="_Toc28747"/>
      <w:r>
        <w:rPr>
          <w:rFonts w:hint="eastAsia" w:hAnsi="宋体"/>
          <w:b/>
          <w:color w:val="auto"/>
          <w:sz w:val="24"/>
          <w:highlight w:val="none"/>
        </w:rPr>
        <w:t>1.2项目的资金情况</w:t>
      </w:r>
      <w:bookmarkEnd w:id="79"/>
    </w:p>
    <w:p w14:paraId="71801825">
      <w:pPr>
        <w:spacing w:line="360" w:lineRule="auto"/>
        <w:ind w:firstLine="480" w:firstLineChars="200"/>
        <w:rPr>
          <w:rFonts w:hAnsi="宋体"/>
          <w:color w:val="auto"/>
          <w:sz w:val="24"/>
          <w:highlight w:val="none"/>
        </w:rPr>
      </w:pPr>
      <w:r>
        <w:rPr>
          <w:rFonts w:hint="eastAsia" w:hAnsi="宋体"/>
          <w:color w:val="auto"/>
          <w:sz w:val="24"/>
          <w:highlight w:val="none"/>
        </w:rPr>
        <w:t>1.2.1 资金落实情况：见供应商须知前附表</w:t>
      </w:r>
    </w:p>
    <w:p w14:paraId="0A5DF655">
      <w:pPr>
        <w:spacing w:line="360" w:lineRule="auto"/>
        <w:ind w:firstLine="480" w:firstLineChars="200"/>
        <w:rPr>
          <w:rFonts w:hAnsi="宋体"/>
          <w:color w:val="auto"/>
          <w:sz w:val="24"/>
          <w:highlight w:val="none"/>
        </w:rPr>
      </w:pPr>
      <w:r>
        <w:rPr>
          <w:rFonts w:hint="eastAsia" w:hAnsi="宋体"/>
          <w:color w:val="auto"/>
          <w:sz w:val="24"/>
          <w:highlight w:val="none"/>
        </w:rPr>
        <w:t>1.2.2 预算金额：见供应商须知前附表</w:t>
      </w:r>
    </w:p>
    <w:p w14:paraId="42CDAFCF">
      <w:pPr>
        <w:spacing w:line="360" w:lineRule="auto"/>
        <w:rPr>
          <w:rFonts w:hAnsi="宋体"/>
          <w:b/>
          <w:color w:val="auto"/>
          <w:sz w:val="24"/>
          <w:highlight w:val="none"/>
        </w:rPr>
      </w:pPr>
      <w:bookmarkStart w:id="80" w:name="_Toc16064"/>
      <w:bookmarkEnd w:id="80"/>
      <w:bookmarkStart w:id="81" w:name="_Toc20957"/>
      <w:bookmarkStart w:id="82" w:name="_Toc10611"/>
      <w:r>
        <w:rPr>
          <w:rFonts w:hint="eastAsia" w:hAnsi="宋体"/>
          <w:b/>
          <w:color w:val="auto"/>
          <w:sz w:val="24"/>
          <w:highlight w:val="none"/>
        </w:rPr>
        <w:t>1.3服务内容、服务期限、服务地点</w:t>
      </w:r>
      <w:bookmarkEnd w:id="81"/>
    </w:p>
    <w:p w14:paraId="65EEC14E">
      <w:pPr>
        <w:spacing w:line="360" w:lineRule="auto"/>
        <w:ind w:firstLine="480" w:firstLineChars="200"/>
        <w:rPr>
          <w:rFonts w:hAnsi="宋体"/>
          <w:color w:val="auto"/>
          <w:sz w:val="24"/>
          <w:highlight w:val="none"/>
        </w:rPr>
      </w:pPr>
      <w:bookmarkStart w:id="83" w:name="_Toc16202"/>
      <w:bookmarkEnd w:id="83"/>
      <w:r>
        <w:rPr>
          <w:rFonts w:hint="eastAsia" w:hAnsi="宋体"/>
          <w:color w:val="auto"/>
          <w:sz w:val="24"/>
          <w:highlight w:val="none"/>
        </w:rPr>
        <w:t>1.3.1 服务内容：</w:t>
      </w:r>
      <w:r>
        <w:rPr>
          <w:rFonts w:hint="eastAsia" w:hAnsi="宋体"/>
          <w:color w:val="auto"/>
          <w:kern w:val="2"/>
          <w:sz w:val="24"/>
          <w:highlight w:val="none"/>
        </w:rPr>
        <w:t>详见第四章《服务内容及要求》</w:t>
      </w:r>
    </w:p>
    <w:p w14:paraId="4A851F1B">
      <w:pPr>
        <w:spacing w:line="360" w:lineRule="auto"/>
        <w:ind w:firstLine="480" w:firstLineChars="200"/>
        <w:rPr>
          <w:rFonts w:hAnsi="宋体"/>
          <w:color w:val="auto"/>
          <w:sz w:val="24"/>
          <w:highlight w:val="none"/>
        </w:rPr>
      </w:pPr>
      <w:r>
        <w:rPr>
          <w:rFonts w:hint="eastAsia" w:hAnsi="宋体"/>
          <w:color w:val="auto"/>
          <w:sz w:val="24"/>
          <w:highlight w:val="none"/>
        </w:rPr>
        <w:t>1.3.2 服务期限：见供应商须知前附表</w:t>
      </w:r>
    </w:p>
    <w:p w14:paraId="33CA42EE">
      <w:pPr>
        <w:spacing w:line="360" w:lineRule="auto"/>
        <w:ind w:firstLine="480" w:firstLineChars="200"/>
        <w:rPr>
          <w:rFonts w:hAnsi="宋体"/>
          <w:color w:val="auto"/>
          <w:sz w:val="24"/>
          <w:highlight w:val="none"/>
        </w:rPr>
      </w:pPr>
      <w:r>
        <w:rPr>
          <w:rFonts w:hint="eastAsia" w:hAnsi="宋体"/>
          <w:color w:val="auto"/>
          <w:sz w:val="24"/>
          <w:highlight w:val="none"/>
        </w:rPr>
        <w:t>1.3.3 服务地点：见供应商须知前附表</w:t>
      </w:r>
    </w:p>
    <w:p w14:paraId="72BB4AF5">
      <w:pPr>
        <w:spacing w:line="360" w:lineRule="auto"/>
        <w:rPr>
          <w:rFonts w:hAnsi="宋体"/>
          <w:b/>
          <w:color w:val="auto"/>
          <w:sz w:val="24"/>
          <w:highlight w:val="none"/>
        </w:rPr>
      </w:pPr>
      <w:r>
        <w:rPr>
          <w:rFonts w:hint="eastAsia" w:hAnsi="宋体"/>
          <w:b/>
          <w:color w:val="auto"/>
          <w:sz w:val="24"/>
          <w:highlight w:val="none"/>
        </w:rPr>
        <w:t>1.4 供应商资格要求</w:t>
      </w:r>
      <w:bookmarkEnd w:id="82"/>
    </w:p>
    <w:p w14:paraId="6C4D0F7A">
      <w:pPr>
        <w:spacing w:line="360" w:lineRule="auto"/>
        <w:ind w:firstLine="480" w:firstLineChars="200"/>
        <w:rPr>
          <w:rFonts w:hAnsi="宋体"/>
          <w:color w:val="auto"/>
          <w:sz w:val="24"/>
          <w:highlight w:val="none"/>
        </w:rPr>
      </w:pPr>
      <w:r>
        <w:rPr>
          <w:rFonts w:hint="eastAsia" w:hAnsi="宋体"/>
          <w:color w:val="auto"/>
          <w:sz w:val="24"/>
          <w:highlight w:val="none"/>
        </w:rPr>
        <w:t>供应商应具备承担本项目的资格条件。</w:t>
      </w:r>
    </w:p>
    <w:p w14:paraId="43E5FF42">
      <w:pPr>
        <w:spacing w:line="360" w:lineRule="auto"/>
        <w:rPr>
          <w:rFonts w:hAnsi="宋体"/>
          <w:b/>
          <w:color w:val="auto"/>
          <w:sz w:val="24"/>
          <w:highlight w:val="none"/>
        </w:rPr>
      </w:pPr>
      <w:bookmarkStart w:id="84" w:name="_Toc27960"/>
      <w:bookmarkEnd w:id="84"/>
      <w:bookmarkStart w:id="85" w:name="_Toc18144"/>
      <w:r>
        <w:rPr>
          <w:rFonts w:hint="eastAsia" w:hAnsi="宋体"/>
          <w:b/>
          <w:color w:val="auto"/>
          <w:sz w:val="24"/>
          <w:highlight w:val="none"/>
        </w:rPr>
        <w:t>1.5 费用承担</w:t>
      </w:r>
      <w:bookmarkEnd w:id="85"/>
    </w:p>
    <w:p w14:paraId="2CF2D405">
      <w:pPr>
        <w:spacing w:line="360" w:lineRule="auto"/>
        <w:ind w:firstLine="480" w:firstLineChars="200"/>
        <w:rPr>
          <w:rFonts w:hAnsi="宋体"/>
          <w:color w:val="auto"/>
          <w:sz w:val="24"/>
          <w:highlight w:val="none"/>
        </w:rPr>
      </w:pPr>
      <w:r>
        <w:rPr>
          <w:rFonts w:hint="eastAsia" w:hAnsi="宋体"/>
          <w:color w:val="auto"/>
          <w:sz w:val="24"/>
          <w:highlight w:val="none"/>
        </w:rPr>
        <w:t>供应商准备和参加单一来源采购活动发生的费用自理。</w:t>
      </w:r>
    </w:p>
    <w:p w14:paraId="4DADBA47">
      <w:pPr>
        <w:spacing w:line="360" w:lineRule="auto"/>
        <w:rPr>
          <w:rFonts w:hAnsi="宋体"/>
          <w:b/>
          <w:color w:val="auto"/>
          <w:sz w:val="24"/>
          <w:highlight w:val="none"/>
        </w:rPr>
      </w:pPr>
      <w:bookmarkStart w:id="86" w:name="_Toc6230"/>
      <w:bookmarkEnd w:id="86"/>
      <w:bookmarkStart w:id="87" w:name="_Toc16680"/>
      <w:r>
        <w:rPr>
          <w:rFonts w:hint="eastAsia" w:hAnsi="宋体"/>
          <w:b/>
          <w:color w:val="auto"/>
          <w:sz w:val="24"/>
          <w:highlight w:val="none"/>
        </w:rPr>
        <w:t>1.6 保密</w:t>
      </w:r>
      <w:bookmarkEnd w:id="87"/>
    </w:p>
    <w:p w14:paraId="6C793CA3">
      <w:pPr>
        <w:spacing w:line="360" w:lineRule="auto"/>
        <w:ind w:firstLine="480" w:firstLineChars="200"/>
        <w:rPr>
          <w:rFonts w:hAnsi="宋体"/>
          <w:color w:val="auto"/>
          <w:sz w:val="24"/>
          <w:highlight w:val="none"/>
        </w:rPr>
      </w:pPr>
      <w:r>
        <w:rPr>
          <w:rFonts w:hint="eastAsia" w:hAnsi="宋体"/>
          <w:color w:val="auto"/>
          <w:sz w:val="24"/>
          <w:highlight w:val="none"/>
        </w:rPr>
        <w:t>参与单一来源采购活动的各方应对单一来源采购文件和响应文件中的商业和技术等秘密保密，则应承担相应的法律责任。</w:t>
      </w:r>
    </w:p>
    <w:p w14:paraId="1C255021">
      <w:pPr>
        <w:spacing w:line="360" w:lineRule="auto"/>
        <w:rPr>
          <w:rFonts w:hAnsi="宋体"/>
          <w:b/>
          <w:color w:val="auto"/>
          <w:sz w:val="24"/>
          <w:highlight w:val="none"/>
        </w:rPr>
      </w:pPr>
      <w:bookmarkStart w:id="88" w:name="_Toc31781"/>
      <w:bookmarkEnd w:id="88"/>
      <w:bookmarkStart w:id="89" w:name="_Toc787"/>
      <w:r>
        <w:rPr>
          <w:rFonts w:hint="eastAsia" w:hAnsi="宋体"/>
          <w:b/>
          <w:color w:val="auto"/>
          <w:sz w:val="24"/>
          <w:highlight w:val="none"/>
        </w:rPr>
        <w:t>1.7 语言文字</w:t>
      </w:r>
      <w:bookmarkEnd w:id="89"/>
    </w:p>
    <w:p w14:paraId="71AEE451">
      <w:pPr>
        <w:spacing w:line="360" w:lineRule="auto"/>
        <w:ind w:firstLine="480" w:firstLineChars="200"/>
        <w:rPr>
          <w:rFonts w:hAnsi="宋体"/>
          <w:color w:val="auto"/>
          <w:sz w:val="24"/>
          <w:highlight w:val="none"/>
        </w:rPr>
      </w:pPr>
      <w:r>
        <w:rPr>
          <w:rFonts w:hint="eastAsia" w:hAnsi="宋体"/>
          <w:color w:val="auto"/>
          <w:sz w:val="24"/>
          <w:highlight w:val="none"/>
        </w:rPr>
        <w:t>响应文件使用的语言文字为中文。专用术语使用外文的，应附有中文注释。</w:t>
      </w:r>
    </w:p>
    <w:p w14:paraId="40A62BB9">
      <w:pPr>
        <w:spacing w:line="360" w:lineRule="auto"/>
        <w:rPr>
          <w:rFonts w:hAnsi="宋体"/>
          <w:b/>
          <w:color w:val="auto"/>
          <w:sz w:val="24"/>
          <w:highlight w:val="none"/>
        </w:rPr>
      </w:pPr>
      <w:bookmarkStart w:id="90" w:name="_Toc29423"/>
      <w:bookmarkEnd w:id="90"/>
      <w:bookmarkStart w:id="91" w:name="_Toc29116"/>
      <w:r>
        <w:rPr>
          <w:rFonts w:hint="eastAsia" w:hAnsi="宋体"/>
          <w:b/>
          <w:color w:val="auto"/>
          <w:sz w:val="24"/>
          <w:highlight w:val="none"/>
        </w:rPr>
        <w:t>1.8 计量单位</w:t>
      </w:r>
      <w:bookmarkEnd w:id="91"/>
    </w:p>
    <w:p w14:paraId="2C3380A2">
      <w:pPr>
        <w:spacing w:line="360" w:lineRule="auto"/>
        <w:ind w:firstLine="480" w:firstLineChars="200"/>
        <w:rPr>
          <w:rFonts w:hAnsi="宋体"/>
          <w:color w:val="auto"/>
          <w:sz w:val="24"/>
          <w:highlight w:val="none"/>
        </w:rPr>
      </w:pPr>
      <w:r>
        <w:rPr>
          <w:rFonts w:hint="eastAsia" w:hAnsi="宋体"/>
          <w:color w:val="auto"/>
          <w:sz w:val="24"/>
          <w:highlight w:val="none"/>
        </w:rPr>
        <w:t>所有计量均采用中华人民共和国法定计量单位。</w:t>
      </w:r>
    </w:p>
    <w:p w14:paraId="4CD1CCF9">
      <w:pPr>
        <w:pStyle w:val="4"/>
        <w:spacing w:line="360" w:lineRule="auto"/>
        <w:rPr>
          <w:rFonts w:ascii="宋体" w:hAnsi="宋体"/>
          <w:color w:val="auto"/>
          <w:sz w:val="28"/>
          <w:szCs w:val="28"/>
          <w:highlight w:val="none"/>
        </w:rPr>
      </w:pPr>
      <w:bookmarkStart w:id="92" w:name="_Toc152045539"/>
      <w:bookmarkEnd w:id="92"/>
      <w:bookmarkStart w:id="93" w:name="_Toc247513962"/>
      <w:bookmarkEnd w:id="93"/>
      <w:bookmarkStart w:id="94" w:name="_Toc31795"/>
      <w:bookmarkEnd w:id="94"/>
      <w:bookmarkStart w:id="95" w:name="_Toc247527563"/>
      <w:bookmarkEnd w:id="95"/>
      <w:bookmarkStart w:id="96" w:name="_Toc144974507"/>
      <w:bookmarkEnd w:id="96"/>
      <w:bookmarkStart w:id="97" w:name="_Toc31848"/>
      <w:bookmarkEnd w:id="97"/>
      <w:bookmarkStart w:id="98" w:name="_Toc247592876"/>
      <w:bookmarkEnd w:id="98"/>
      <w:bookmarkStart w:id="99" w:name="_Toc587"/>
      <w:bookmarkEnd w:id="99"/>
      <w:bookmarkStart w:id="100" w:name="_Toc32012"/>
      <w:bookmarkEnd w:id="100"/>
      <w:bookmarkStart w:id="101" w:name="_Toc152042315"/>
      <w:bookmarkEnd w:id="101"/>
      <w:bookmarkStart w:id="102" w:name="_Toc296602429"/>
      <w:bookmarkEnd w:id="102"/>
      <w:bookmarkStart w:id="103" w:name="_Toc29812"/>
      <w:bookmarkEnd w:id="103"/>
      <w:bookmarkStart w:id="104" w:name="_Toc31733"/>
      <w:bookmarkStart w:id="105" w:name="_Toc4685095"/>
      <w:bookmarkStart w:id="106" w:name="_Toc6776"/>
      <w:bookmarkStart w:id="107" w:name="_Toc117"/>
      <w:r>
        <w:rPr>
          <w:rFonts w:hint="eastAsia" w:ascii="宋体" w:hAnsi="宋体"/>
          <w:color w:val="auto"/>
          <w:sz w:val="28"/>
          <w:szCs w:val="28"/>
          <w:highlight w:val="none"/>
        </w:rPr>
        <w:t>2. 单一来源采购文件</w:t>
      </w:r>
      <w:bookmarkEnd w:id="104"/>
      <w:bookmarkEnd w:id="105"/>
      <w:bookmarkEnd w:id="106"/>
      <w:bookmarkEnd w:id="107"/>
    </w:p>
    <w:p w14:paraId="4FAAF15F">
      <w:pPr>
        <w:spacing w:line="360" w:lineRule="auto"/>
        <w:rPr>
          <w:rFonts w:hAnsi="宋体"/>
          <w:b/>
          <w:color w:val="auto"/>
          <w:sz w:val="24"/>
          <w:highlight w:val="none"/>
        </w:rPr>
      </w:pPr>
      <w:bookmarkStart w:id="108" w:name="_Toc21536"/>
      <w:bookmarkEnd w:id="108"/>
      <w:bookmarkStart w:id="109" w:name="_Toc16596"/>
      <w:r>
        <w:rPr>
          <w:rFonts w:hint="eastAsia" w:hAnsi="宋体"/>
          <w:b/>
          <w:color w:val="auto"/>
          <w:sz w:val="24"/>
          <w:highlight w:val="none"/>
        </w:rPr>
        <w:t>2.1 单一来源采购文件的组成</w:t>
      </w:r>
      <w:bookmarkEnd w:id="109"/>
    </w:p>
    <w:p w14:paraId="643F38B9">
      <w:pPr>
        <w:spacing w:line="360" w:lineRule="auto"/>
        <w:ind w:firstLine="480" w:firstLineChars="200"/>
        <w:rPr>
          <w:rFonts w:hAnsi="宋体"/>
          <w:color w:val="auto"/>
          <w:sz w:val="24"/>
          <w:highlight w:val="none"/>
        </w:rPr>
      </w:pPr>
      <w:r>
        <w:rPr>
          <w:rFonts w:hint="eastAsia" w:hAnsi="宋体"/>
          <w:color w:val="auto"/>
          <w:sz w:val="24"/>
          <w:highlight w:val="none"/>
        </w:rPr>
        <w:t>本单一来源采购文件包括：</w:t>
      </w:r>
    </w:p>
    <w:p w14:paraId="389766B0">
      <w:pPr>
        <w:spacing w:line="360" w:lineRule="auto"/>
        <w:ind w:firstLine="540" w:firstLineChars="225"/>
        <w:rPr>
          <w:rFonts w:hAnsi="宋体"/>
          <w:color w:val="auto"/>
          <w:sz w:val="24"/>
          <w:highlight w:val="none"/>
        </w:rPr>
      </w:pPr>
      <w:r>
        <w:rPr>
          <w:rFonts w:hint="eastAsia" w:hAnsi="宋体"/>
          <w:color w:val="auto"/>
          <w:sz w:val="24"/>
          <w:highlight w:val="none"/>
        </w:rPr>
        <w:t>(1)单一来源采购邀请书；</w:t>
      </w:r>
    </w:p>
    <w:p w14:paraId="3F1DCE9F">
      <w:pPr>
        <w:spacing w:line="360" w:lineRule="auto"/>
        <w:ind w:firstLine="540" w:firstLineChars="225"/>
        <w:rPr>
          <w:rFonts w:hAnsi="宋体"/>
          <w:color w:val="auto"/>
          <w:sz w:val="24"/>
          <w:highlight w:val="none"/>
        </w:rPr>
      </w:pPr>
      <w:r>
        <w:rPr>
          <w:rFonts w:hint="eastAsia" w:hAnsi="宋体"/>
          <w:color w:val="auto"/>
          <w:sz w:val="24"/>
          <w:highlight w:val="none"/>
        </w:rPr>
        <w:t>(2)供应商须知；</w:t>
      </w:r>
    </w:p>
    <w:p w14:paraId="0DDFD6A1">
      <w:pPr>
        <w:spacing w:line="360" w:lineRule="auto"/>
        <w:ind w:firstLine="540" w:firstLineChars="225"/>
        <w:rPr>
          <w:rFonts w:hAnsi="宋体"/>
          <w:color w:val="auto"/>
          <w:sz w:val="24"/>
          <w:highlight w:val="none"/>
        </w:rPr>
      </w:pPr>
      <w:r>
        <w:rPr>
          <w:rFonts w:hint="eastAsia" w:hAnsi="宋体"/>
          <w:color w:val="auto"/>
          <w:sz w:val="24"/>
          <w:highlight w:val="none"/>
        </w:rPr>
        <w:t>(</w:t>
      </w:r>
      <w:r>
        <w:rPr>
          <w:rFonts w:hAnsi="宋体"/>
          <w:color w:val="auto"/>
          <w:sz w:val="24"/>
          <w:highlight w:val="none"/>
        </w:rPr>
        <w:t>3</w:t>
      </w:r>
      <w:r>
        <w:rPr>
          <w:rFonts w:hint="eastAsia" w:hAnsi="宋体"/>
          <w:color w:val="auto"/>
          <w:sz w:val="24"/>
          <w:highlight w:val="none"/>
        </w:rPr>
        <w:t>)协商程序和方法；</w:t>
      </w:r>
    </w:p>
    <w:p w14:paraId="79934811">
      <w:pPr>
        <w:spacing w:line="360" w:lineRule="auto"/>
        <w:ind w:firstLine="540" w:firstLineChars="225"/>
        <w:rPr>
          <w:rFonts w:hAnsi="宋体"/>
          <w:color w:val="auto"/>
          <w:sz w:val="24"/>
          <w:highlight w:val="none"/>
        </w:rPr>
      </w:pPr>
      <w:r>
        <w:rPr>
          <w:rFonts w:hint="eastAsia" w:hAnsi="宋体"/>
          <w:color w:val="auto"/>
          <w:sz w:val="24"/>
          <w:highlight w:val="none"/>
        </w:rPr>
        <w:t>(</w:t>
      </w:r>
      <w:r>
        <w:rPr>
          <w:rFonts w:hAnsi="宋体"/>
          <w:color w:val="auto"/>
          <w:sz w:val="24"/>
          <w:highlight w:val="none"/>
        </w:rPr>
        <w:t>4</w:t>
      </w:r>
      <w:r>
        <w:rPr>
          <w:rFonts w:hint="eastAsia" w:hAnsi="宋体"/>
          <w:color w:val="auto"/>
          <w:sz w:val="24"/>
          <w:highlight w:val="none"/>
        </w:rPr>
        <w:t>)服务内容及要求；</w:t>
      </w:r>
    </w:p>
    <w:p w14:paraId="48268709">
      <w:pPr>
        <w:spacing w:line="360" w:lineRule="auto"/>
        <w:ind w:firstLine="540" w:firstLineChars="225"/>
        <w:rPr>
          <w:rFonts w:hAnsi="宋体"/>
          <w:color w:val="auto"/>
          <w:sz w:val="24"/>
          <w:highlight w:val="none"/>
        </w:rPr>
      </w:pPr>
      <w:r>
        <w:rPr>
          <w:rFonts w:hint="eastAsia" w:hAnsi="宋体"/>
          <w:color w:val="auto"/>
          <w:sz w:val="24"/>
          <w:highlight w:val="none"/>
        </w:rPr>
        <w:t>(</w:t>
      </w:r>
      <w:r>
        <w:rPr>
          <w:rFonts w:hAnsi="宋体"/>
          <w:color w:val="auto"/>
          <w:sz w:val="24"/>
          <w:highlight w:val="none"/>
        </w:rPr>
        <w:t>5</w:t>
      </w:r>
      <w:r>
        <w:rPr>
          <w:rFonts w:hint="eastAsia" w:hAnsi="宋体"/>
          <w:color w:val="auto"/>
          <w:sz w:val="24"/>
          <w:highlight w:val="none"/>
        </w:rPr>
        <w:t>)合同草案条款；</w:t>
      </w:r>
    </w:p>
    <w:p w14:paraId="0BCF0C66">
      <w:pPr>
        <w:spacing w:line="360" w:lineRule="auto"/>
        <w:ind w:firstLine="540" w:firstLineChars="225"/>
        <w:rPr>
          <w:color w:val="auto"/>
          <w:highlight w:val="none"/>
        </w:rPr>
      </w:pPr>
      <w:r>
        <w:rPr>
          <w:rFonts w:hint="eastAsia" w:hAnsi="宋体"/>
          <w:color w:val="auto"/>
          <w:sz w:val="24"/>
          <w:highlight w:val="none"/>
        </w:rPr>
        <w:t>(6)响应文件格式；</w:t>
      </w:r>
    </w:p>
    <w:p w14:paraId="382F08EF">
      <w:pPr>
        <w:spacing w:line="360" w:lineRule="auto"/>
        <w:ind w:firstLine="540" w:firstLineChars="225"/>
        <w:rPr>
          <w:rFonts w:hAnsi="宋体"/>
          <w:color w:val="auto"/>
          <w:sz w:val="24"/>
          <w:highlight w:val="none"/>
        </w:rPr>
      </w:pPr>
      <w:r>
        <w:rPr>
          <w:rFonts w:hint="eastAsia" w:hAnsi="宋体"/>
          <w:color w:val="auto"/>
          <w:sz w:val="24"/>
          <w:highlight w:val="none"/>
        </w:rPr>
        <w:t>(7)供应商须知前附表规定的其他材料。</w:t>
      </w:r>
    </w:p>
    <w:p w14:paraId="33F35BBE">
      <w:pPr>
        <w:spacing w:line="360" w:lineRule="auto"/>
        <w:ind w:firstLine="480" w:firstLineChars="200"/>
        <w:rPr>
          <w:rFonts w:hAnsi="宋体"/>
          <w:color w:val="auto"/>
          <w:sz w:val="24"/>
          <w:highlight w:val="none"/>
        </w:rPr>
      </w:pPr>
      <w:r>
        <w:rPr>
          <w:rFonts w:hint="eastAsia" w:hAnsi="宋体"/>
          <w:color w:val="auto"/>
          <w:sz w:val="24"/>
          <w:highlight w:val="none"/>
        </w:rPr>
        <w:t>根据本章第2.2 款对单一来源采购文件所作的澄清、修改，构成单一来源采购文件的组成部分。</w:t>
      </w:r>
    </w:p>
    <w:p w14:paraId="665F8D74">
      <w:pPr>
        <w:spacing w:line="360" w:lineRule="auto"/>
        <w:rPr>
          <w:rFonts w:hAnsi="宋体"/>
          <w:b/>
          <w:color w:val="auto"/>
          <w:sz w:val="24"/>
          <w:highlight w:val="none"/>
        </w:rPr>
      </w:pPr>
      <w:bookmarkStart w:id="110" w:name="_Toc23003"/>
      <w:bookmarkEnd w:id="110"/>
      <w:r>
        <w:rPr>
          <w:rFonts w:hint="eastAsia" w:hAnsi="宋体"/>
          <w:b/>
          <w:color w:val="auto"/>
          <w:sz w:val="24"/>
          <w:highlight w:val="none"/>
        </w:rPr>
        <w:t>2.2 单一来源采购文件的澄清与修改</w:t>
      </w:r>
    </w:p>
    <w:p w14:paraId="4A488B87">
      <w:pPr>
        <w:spacing w:line="360" w:lineRule="auto"/>
        <w:ind w:firstLine="480" w:firstLineChars="200"/>
        <w:rPr>
          <w:rFonts w:hAnsi="宋体"/>
          <w:color w:val="auto"/>
          <w:sz w:val="24"/>
          <w:highlight w:val="none"/>
        </w:rPr>
      </w:pPr>
      <w:r>
        <w:rPr>
          <w:rFonts w:hint="eastAsia" w:hAnsi="宋体"/>
          <w:color w:val="auto"/>
          <w:sz w:val="24"/>
          <w:highlight w:val="none"/>
        </w:rPr>
        <w:t>2.2.1供应商应仔细阅读和检查单一来源采购文件的全部内容。如发现缺页或附件不全，应及时向采购代理机构提出，以便补齐。</w:t>
      </w:r>
    </w:p>
    <w:p w14:paraId="6C2D51F4">
      <w:pPr>
        <w:spacing w:line="360" w:lineRule="auto"/>
        <w:ind w:firstLine="480" w:firstLineChars="200"/>
        <w:rPr>
          <w:rFonts w:hAnsi="宋体"/>
          <w:color w:val="auto"/>
          <w:sz w:val="24"/>
          <w:highlight w:val="none"/>
        </w:rPr>
      </w:pPr>
      <w:r>
        <w:rPr>
          <w:rFonts w:hint="eastAsia" w:hAnsi="宋体"/>
          <w:color w:val="auto"/>
          <w:sz w:val="24"/>
          <w:highlight w:val="none"/>
        </w:rPr>
        <w:t>2.2.2 采购人、采购代理机构可以对已发出的单一来源采购文件等进行必要的澄清或者修改。澄清或者修改的内容为单一来源采购文件的组成部分。澄清或者修改应当在原公告发布媒体上发布更正公告并以书面形式通知所有获取单一来源采购文件的潜在供应商。</w:t>
      </w:r>
    </w:p>
    <w:p w14:paraId="7CCBE5D8">
      <w:pPr>
        <w:spacing w:line="360" w:lineRule="auto"/>
        <w:ind w:firstLine="480" w:firstLineChars="200"/>
        <w:rPr>
          <w:rFonts w:hAnsi="宋体"/>
          <w:color w:val="auto"/>
          <w:sz w:val="24"/>
          <w:highlight w:val="none"/>
        </w:rPr>
      </w:pPr>
      <w:r>
        <w:rPr>
          <w:rFonts w:hint="eastAsia" w:hAnsi="宋体"/>
          <w:color w:val="auto"/>
          <w:sz w:val="24"/>
          <w:highlight w:val="none"/>
        </w:rPr>
        <w:t>2.2.3单一来源采购文件的澄清或者修改以供应商须知前附表规定的形式发给所有获取单一来源采购文件的供应商，但不指明澄清问题的来源。澄清或者修改发出的时间距本章第4.2.1项规定的首次响应文件递交截止之日不足3个工作日的，应当顺延提交首次响应文件截止之日。</w:t>
      </w:r>
    </w:p>
    <w:p w14:paraId="49A7ABC6">
      <w:pPr>
        <w:spacing w:line="360" w:lineRule="auto"/>
        <w:ind w:firstLine="480" w:firstLineChars="200"/>
        <w:rPr>
          <w:rFonts w:hAnsi="宋体"/>
          <w:color w:val="auto"/>
          <w:sz w:val="24"/>
          <w:highlight w:val="none"/>
        </w:rPr>
      </w:pPr>
      <w:r>
        <w:rPr>
          <w:rFonts w:hint="eastAsia" w:hAnsi="宋体"/>
          <w:color w:val="auto"/>
          <w:sz w:val="24"/>
          <w:highlight w:val="none"/>
        </w:rPr>
        <w:t>2.2.4供应商在收到澄清通知或者修改通知后，应按供应商须知前附表规定的时间和形式通知采购代理机构，确认已收到该澄清或者修改。</w:t>
      </w:r>
    </w:p>
    <w:p w14:paraId="52BDEB14">
      <w:pPr>
        <w:spacing w:line="360" w:lineRule="auto"/>
        <w:ind w:firstLine="480" w:firstLineChars="200"/>
        <w:rPr>
          <w:rFonts w:hAnsi="宋体"/>
          <w:color w:val="auto"/>
          <w:sz w:val="24"/>
          <w:highlight w:val="none"/>
        </w:rPr>
      </w:pPr>
      <w:r>
        <w:rPr>
          <w:rFonts w:hint="eastAsia" w:hAnsi="宋体"/>
          <w:color w:val="auto"/>
          <w:sz w:val="24"/>
          <w:highlight w:val="none"/>
        </w:rPr>
        <w:t>2.2.5单一来源采购文件中有不一致的，有澄清的部分以最终的澄清更正内容为准；未澄清的，以供应商须知前附表为准；供应商须知前附表不涉及的内容，以编排在后的最后描述为准。</w:t>
      </w:r>
    </w:p>
    <w:p w14:paraId="66E7FEDD">
      <w:pPr>
        <w:pStyle w:val="4"/>
        <w:spacing w:line="360" w:lineRule="auto"/>
        <w:rPr>
          <w:rFonts w:ascii="宋体" w:hAnsi="宋体"/>
          <w:color w:val="auto"/>
          <w:sz w:val="28"/>
          <w:szCs w:val="28"/>
          <w:highlight w:val="none"/>
        </w:rPr>
      </w:pPr>
      <w:bookmarkStart w:id="111" w:name="_Toc29741"/>
      <w:bookmarkEnd w:id="111"/>
      <w:bookmarkStart w:id="112" w:name="_Toc24916"/>
      <w:bookmarkEnd w:id="112"/>
      <w:bookmarkStart w:id="113" w:name="_Toc16663"/>
      <w:bookmarkEnd w:id="113"/>
      <w:bookmarkStart w:id="114" w:name="_Toc4685096"/>
      <w:bookmarkStart w:id="115" w:name="_Toc24768"/>
      <w:bookmarkStart w:id="116" w:name="_Toc26174"/>
      <w:bookmarkStart w:id="117" w:name="_Toc20984"/>
      <w:r>
        <w:rPr>
          <w:rFonts w:hint="eastAsia" w:ascii="宋体" w:hAnsi="宋体"/>
          <w:color w:val="auto"/>
          <w:sz w:val="28"/>
          <w:szCs w:val="28"/>
          <w:highlight w:val="none"/>
        </w:rPr>
        <w:t>3. 响应文件</w:t>
      </w:r>
      <w:bookmarkEnd w:id="114"/>
      <w:bookmarkEnd w:id="115"/>
      <w:bookmarkEnd w:id="116"/>
      <w:r>
        <w:rPr>
          <w:rFonts w:hint="eastAsia" w:ascii="宋体" w:hAnsi="宋体"/>
          <w:color w:val="auto"/>
          <w:sz w:val="28"/>
          <w:szCs w:val="28"/>
          <w:highlight w:val="none"/>
        </w:rPr>
        <w:t>的编制</w:t>
      </w:r>
      <w:bookmarkEnd w:id="117"/>
    </w:p>
    <w:p w14:paraId="4F410342">
      <w:pPr>
        <w:spacing w:line="360" w:lineRule="auto"/>
        <w:rPr>
          <w:rFonts w:hAnsi="宋体"/>
          <w:b/>
          <w:color w:val="auto"/>
          <w:sz w:val="24"/>
          <w:highlight w:val="none"/>
        </w:rPr>
      </w:pPr>
      <w:bookmarkStart w:id="118" w:name="_Toc2432"/>
      <w:bookmarkEnd w:id="118"/>
      <w:bookmarkStart w:id="119" w:name="_Toc4962"/>
      <w:r>
        <w:rPr>
          <w:rFonts w:hint="eastAsia" w:hAnsi="宋体"/>
          <w:b/>
          <w:color w:val="auto"/>
          <w:sz w:val="24"/>
          <w:highlight w:val="none"/>
        </w:rPr>
        <w:t>3.1 响应文件的组成</w:t>
      </w:r>
      <w:bookmarkEnd w:id="119"/>
    </w:p>
    <w:p w14:paraId="12343E47">
      <w:pPr>
        <w:spacing w:line="360" w:lineRule="auto"/>
        <w:ind w:firstLine="480" w:firstLineChars="200"/>
        <w:rPr>
          <w:rFonts w:hAnsi="宋体"/>
          <w:color w:val="auto"/>
          <w:sz w:val="24"/>
          <w:highlight w:val="none"/>
        </w:rPr>
      </w:pPr>
      <w:r>
        <w:rPr>
          <w:rFonts w:hint="eastAsia" w:hAnsi="宋体"/>
          <w:color w:val="auto"/>
          <w:sz w:val="24"/>
          <w:highlight w:val="none"/>
        </w:rPr>
        <w:t>响应文件的组成详见第六章“响应文件格式”中的内容。</w:t>
      </w:r>
    </w:p>
    <w:p w14:paraId="27BF589C">
      <w:pPr>
        <w:spacing w:line="360" w:lineRule="auto"/>
        <w:ind w:firstLine="480" w:firstLineChars="200"/>
        <w:rPr>
          <w:rFonts w:hAnsi="宋体"/>
          <w:color w:val="auto"/>
          <w:sz w:val="24"/>
          <w:highlight w:val="none"/>
        </w:rPr>
      </w:pPr>
      <w:r>
        <w:rPr>
          <w:rFonts w:hint="eastAsia" w:hAnsi="宋体"/>
          <w:color w:val="auto"/>
          <w:sz w:val="24"/>
          <w:highlight w:val="none"/>
        </w:rPr>
        <w:t>供应商在协商过程中作出的符合法律法规和单一来源采购文件规定的澄清确认，构成响应文件的组成部分。</w:t>
      </w:r>
    </w:p>
    <w:p w14:paraId="26FED3A5">
      <w:pPr>
        <w:spacing w:line="360" w:lineRule="auto"/>
        <w:rPr>
          <w:rFonts w:hAnsi="宋体"/>
          <w:b/>
          <w:color w:val="auto"/>
          <w:sz w:val="24"/>
          <w:highlight w:val="none"/>
        </w:rPr>
      </w:pPr>
      <w:bookmarkStart w:id="120" w:name="_Toc3252"/>
      <w:bookmarkEnd w:id="120"/>
      <w:bookmarkStart w:id="121" w:name="_Toc21369"/>
      <w:r>
        <w:rPr>
          <w:rFonts w:hint="eastAsia" w:hAnsi="宋体"/>
          <w:b/>
          <w:color w:val="auto"/>
          <w:sz w:val="24"/>
          <w:highlight w:val="none"/>
        </w:rPr>
        <w:t>3.2 协商报价</w:t>
      </w:r>
      <w:bookmarkEnd w:id="121"/>
    </w:p>
    <w:p w14:paraId="0E8061E1">
      <w:pPr>
        <w:spacing w:line="360" w:lineRule="auto"/>
        <w:ind w:firstLine="540" w:firstLineChars="225"/>
        <w:rPr>
          <w:rFonts w:hAnsi="宋体"/>
          <w:color w:val="auto"/>
          <w:sz w:val="24"/>
          <w:highlight w:val="none"/>
        </w:rPr>
      </w:pPr>
      <w:r>
        <w:rPr>
          <w:rFonts w:hint="eastAsia" w:hAnsi="宋体"/>
          <w:color w:val="auto"/>
          <w:sz w:val="24"/>
          <w:highlight w:val="none"/>
        </w:rPr>
        <w:t>3.2.1 供应商应按第六章“响应文件格式”的要求在</w:t>
      </w:r>
      <w:bookmarkStart w:id="122" w:name="_Toc12984135"/>
      <w:bookmarkStart w:id="123" w:name="_Hlk36716632"/>
      <w:bookmarkStart w:id="124" w:name="_Toc82784443"/>
      <w:r>
        <w:rPr>
          <w:rFonts w:hint="eastAsia" w:hAnsi="宋体"/>
          <w:color w:val="auto"/>
          <w:sz w:val="24"/>
          <w:highlight w:val="none"/>
        </w:rPr>
        <w:t>初次报价一览表</w:t>
      </w:r>
      <w:bookmarkEnd w:id="122"/>
      <w:bookmarkEnd w:id="123"/>
      <w:bookmarkEnd w:id="124"/>
      <w:r>
        <w:rPr>
          <w:rFonts w:hint="eastAsia" w:hAnsi="宋体"/>
          <w:color w:val="auto"/>
          <w:sz w:val="24"/>
          <w:highlight w:val="none"/>
        </w:rPr>
        <w:t>中进行报价并填写分项报价表。</w:t>
      </w:r>
    </w:p>
    <w:p w14:paraId="3BF38163">
      <w:pPr>
        <w:spacing w:line="360" w:lineRule="auto"/>
        <w:ind w:firstLine="540" w:firstLineChars="225"/>
        <w:rPr>
          <w:rFonts w:hAnsi="宋体"/>
          <w:color w:val="auto"/>
          <w:sz w:val="24"/>
          <w:highlight w:val="none"/>
        </w:rPr>
      </w:pPr>
      <w:r>
        <w:rPr>
          <w:rFonts w:hint="eastAsia" w:hAnsi="宋体"/>
          <w:color w:val="auto"/>
          <w:sz w:val="24"/>
          <w:highlight w:val="none"/>
        </w:rPr>
        <w:t>3.2.2 供应商应充分了解该项目的总体情况以及影响协商报价的其他要素。</w:t>
      </w:r>
    </w:p>
    <w:p w14:paraId="5F1085E2">
      <w:pPr>
        <w:spacing w:line="360" w:lineRule="auto"/>
        <w:ind w:firstLine="540" w:firstLineChars="225"/>
        <w:rPr>
          <w:rFonts w:hAnsi="宋体"/>
          <w:color w:val="auto"/>
          <w:sz w:val="24"/>
          <w:highlight w:val="none"/>
        </w:rPr>
      </w:pPr>
      <w:r>
        <w:rPr>
          <w:rFonts w:hint="eastAsia" w:hAnsi="宋体"/>
          <w:color w:val="auto"/>
          <w:sz w:val="24"/>
          <w:highlight w:val="none"/>
        </w:rPr>
        <w:t>3.2.3 供应商的协商报价不得超过预算金额，若采购人还设有最高限价的，供应商的协商报价还应当不得超过最高限价。</w:t>
      </w:r>
    </w:p>
    <w:p w14:paraId="1B051C38">
      <w:pPr>
        <w:spacing w:line="360" w:lineRule="auto"/>
        <w:ind w:firstLine="540" w:firstLineChars="225"/>
        <w:rPr>
          <w:rFonts w:hAnsi="宋体"/>
          <w:color w:val="auto"/>
          <w:sz w:val="24"/>
          <w:highlight w:val="none"/>
        </w:rPr>
      </w:pPr>
      <w:r>
        <w:rPr>
          <w:rFonts w:hint="eastAsia" w:hAnsi="宋体"/>
          <w:color w:val="auto"/>
          <w:sz w:val="24"/>
          <w:highlight w:val="none"/>
        </w:rPr>
        <w:t>3.2.4 协商报价的其他要求见供应商须知前附表。</w:t>
      </w:r>
    </w:p>
    <w:p w14:paraId="24A12E8E">
      <w:pPr>
        <w:spacing w:line="360" w:lineRule="auto"/>
        <w:rPr>
          <w:rFonts w:hAnsi="宋体"/>
          <w:b/>
          <w:color w:val="auto"/>
          <w:sz w:val="24"/>
          <w:highlight w:val="none"/>
        </w:rPr>
      </w:pPr>
      <w:bookmarkStart w:id="125" w:name="_Toc12995"/>
      <w:bookmarkEnd w:id="125"/>
      <w:bookmarkStart w:id="126" w:name="_Toc14190"/>
      <w:r>
        <w:rPr>
          <w:rFonts w:hint="eastAsia" w:hAnsi="宋体"/>
          <w:b/>
          <w:color w:val="auto"/>
          <w:sz w:val="24"/>
          <w:highlight w:val="none"/>
        </w:rPr>
        <w:t>3.3 响应有效期</w:t>
      </w:r>
      <w:bookmarkEnd w:id="126"/>
    </w:p>
    <w:p w14:paraId="2E2F6BAF">
      <w:pPr>
        <w:spacing w:line="360" w:lineRule="auto"/>
        <w:ind w:firstLine="480" w:firstLineChars="200"/>
        <w:rPr>
          <w:rFonts w:hAnsi="宋体"/>
          <w:color w:val="auto"/>
          <w:sz w:val="24"/>
          <w:highlight w:val="none"/>
        </w:rPr>
      </w:pPr>
      <w:r>
        <w:rPr>
          <w:rFonts w:hint="eastAsia" w:hAnsi="宋体"/>
          <w:color w:val="auto"/>
          <w:sz w:val="24"/>
          <w:highlight w:val="none"/>
        </w:rPr>
        <w:t>3.3.1</w:t>
      </w:r>
      <w:bookmarkStart w:id="127" w:name="_Hlk4156504"/>
      <w:r>
        <w:rPr>
          <w:rFonts w:hint="eastAsia" w:hAnsi="宋体"/>
          <w:color w:val="auto"/>
          <w:sz w:val="24"/>
          <w:highlight w:val="none"/>
        </w:rPr>
        <w:t>响应有效期见供应商须知前附表。</w:t>
      </w:r>
      <w:bookmarkEnd w:id="127"/>
    </w:p>
    <w:p w14:paraId="3435D197">
      <w:pPr>
        <w:spacing w:line="360" w:lineRule="auto"/>
        <w:ind w:firstLine="480" w:firstLineChars="200"/>
        <w:rPr>
          <w:rFonts w:hAnsi="宋体"/>
          <w:color w:val="auto"/>
          <w:sz w:val="24"/>
          <w:highlight w:val="none"/>
        </w:rPr>
      </w:pPr>
      <w:r>
        <w:rPr>
          <w:rFonts w:hint="eastAsia" w:hAnsi="宋体"/>
          <w:color w:val="auto"/>
          <w:sz w:val="24"/>
          <w:highlight w:val="none"/>
        </w:rPr>
        <w:t>3.3.2响应文件应在本单一来源采购文件《供应商须知前附表》中规定的响应有效期内保持有效，响应有效期少于单一来源采购文件规定期限的，其响应无效。在有效期内，供应商撤销或修改其响应文件的，应承担单一来源采购文件和法律规定的责任。</w:t>
      </w:r>
    </w:p>
    <w:p w14:paraId="05511C63">
      <w:pPr>
        <w:spacing w:line="360" w:lineRule="auto"/>
        <w:ind w:firstLine="480" w:firstLineChars="200"/>
        <w:rPr>
          <w:rFonts w:hAnsi="宋体"/>
          <w:color w:val="auto"/>
          <w:sz w:val="24"/>
          <w:highlight w:val="none"/>
        </w:rPr>
      </w:pPr>
      <w:r>
        <w:rPr>
          <w:rFonts w:hint="eastAsia" w:hAnsi="宋体"/>
          <w:color w:val="auto"/>
          <w:sz w:val="24"/>
          <w:highlight w:val="none"/>
        </w:rPr>
        <w:t>3.3.3 出现特殊情况需要延长有效期的，采购人以书面形式通知供应商延长有效期。供应商应予以书面答复，同意延长的，应相应延长其协商保证金的有效期，但不得要求或被允许修改其响应文件；供应商拒绝延长的，其协商失效，但供应商有权收回其协商保证金。</w:t>
      </w:r>
    </w:p>
    <w:p w14:paraId="597346D4">
      <w:pPr>
        <w:spacing w:line="360" w:lineRule="auto"/>
        <w:rPr>
          <w:rFonts w:hAnsi="宋体"/>
          <w:b/>
          <w:color w:val="auto"/>
          <w:sz w:val="24"/>
          <w:highlight w:val="none"/>
        </w:rPr>
      </w:pPr>
      <w:bookmarkStart w:id="128" w:name="_Toc1543"/>
      <w:bookmarkEnd w:id="128"/>
      <w:bookmarkStart w:id="129" w:name="_Toc23125"/>
      <w:r>
        <w:rPr>
          <w:rFonts w:hint="eastAsia" w:hAnsi="宋体"/>
          <w:b/>
          <w:color w:val="auto"/>
          <w:sz w:val="24"/>
          <w:highlight w:val="none"/>
        </w:rPr>
        <w:t xml:space="preserve">3.4 </w:t>
      </w:r>
      <w:bookmarkEnd w:id="129"/>
      <w:r>
        <w:rPr>
          <w:rFonts w:hint="eastAsia" w:hAnsi="宋体"/>
          <w:b/>
          <w:color w:val="auto"/>
          <w:sz w:val="24"/>
          <w:highlight w:val="none"/>
        </w:rPr>
        <w:t>协商保证金</w:t>
      </w:r>
    </w:p>
    <w:p w14:paraId="20E0B125">
      <w:pPr>
        <w:spacing w:line="360" w:lineRule="auto"/>
        <w:ind w:firstLine="480" w:firstLineChars="200"/>
        <w:rPr>
          <w:rFonts w:hAnsi="宋体"/>
          <w:color w:val="auto"/>
          <w:sz w:val="24"/>
          <w:highlight w:val="none"/>
        </w:rPr>
      </w:pPr>
      <w:r>
        <w:rPr>
          <w:rFonts w:hint="eastAsia" w:hAnsi="宋体"/>
          <w:color w:val="auto"/>
          <w:sz w:val="24"/>
          <w:highlight w:val="none"/>
        </w:rPr>
        <w:t>不要求。</w:t>
      </w:r>
    </w:p>
    <w:p w14:paraId="4E4EB32B">
      <w:pPr>
        <w:spacing w:line="360" w:lineRule="auto"/>
        <w:rPr>
          <w:rFonts w:hAnsi="宋体"/>
          <w:b/>
          <w:color w:val="auto"/>
          <w:sz w:val="24"/>
          <w:highlight w:val="none"/>
        </w:rPr>
      </w:pPr>
      <w:bookmarkStart w:id="130" w:name="_Toc32408"/>
      <w:bookmarkEnd w:id="130"/>
      <w:bookmarkStart w:id="131" w:name="_Toc4859"/>
      <w:r>
        <w:rPr>
          <w:rFonts w:hint="eastAsia" w:hAnsi="宋体"/>
          <w:b/>
          <w:color w:val="auto"/>
          <w:sz w:val="24"/>
          <w:highlight w:val="none"/>
        </w:rPr>
        <w:t>3.5响应文件的编制</w:t>
      </w:r>
      <w:bookmarkEnd w:id="131"/>
    </w:p>
    <w:p w14:paraId="4579B0B7">
      <w:pPr>
        <w:widowControl/>
        <w:spacing w:line="360" w:lineRule="auto"/>
        <w:ind w:firstLine="480" w:firstLineChars="200"/>
        <w:rPr>
          <w:rFonts w:hAnsi="宋体"/>
          <w:color w:val="auto"/>
          <w:sz w:val="24"/>
          <w:highlight w:val="none"/>
        </w:rPr>
      </w:pPr>
      <w:r>
        <w:rPr>
          <w:rFonts w:hint="eastAsia" w:hAnsi="宋体"/>
          <w:color w:val="auto"/>
          <w:sz w:val="24"/>
          <w:highlight w:val="none"/>
        </w:rPr>
        <w:t>3.5.1 响应文件应按第六章“响应文件格式”进行编写。</w:t>
      </w:r>
    </w:p>
    <w:p w14:paraId="196EE20E">
      <w:pPr>
        <w:spacing w:line="360" w:lineRule="auto"/>
        <w:ind w:firstLine="480" w:firstLineChars="200"/>
        <w:rPr>
          <w:rFonts w:hAnsi="宋体"/>
          <w:color w:val="auto"/>
          <w:sz w:val="24"/>
          <w:highlight w:val="none"/>
        </w:rPr>
      </w:pPr>
      <w:r>
        <w:rPr>
          <w:rFonts w:hint="eastAsia" w:hAnsi="宋体"/>
          <w:color w:val="auto"/>
          <w:sz w:val="24"/>
          <w:highlight w:val="none"/>
        </w:rPr>
        <w:t>3.5</w:t>
      </w:r>
      <w:r>
        <w:rPr>
          <w:rFonts w:hAnsi="宋体"/>
          <w:color w:val="auto"/>
          <w:sz w:val="24"/>
          <w:highlight w:val="none"/>
        </w:rPr>
        <w:t>.2</w:t>
      </w:r>
      <w:r>
        <w:rPr>
          <w:rFonts w:hint="eastAsia" w:hAnsi="宋体"/>
          <w:color w:val="auto"/>
          <w:sz w:val="24"/>
          <w:highlight w:val="none"/>
        </w:rPr>
        <w:t>按单一来源采购文件要求在相应位置加盖电子签章。</w:t>
      </w:r>
    </w:p>
    <w:p w14:paraId="62F7AA97">
      <w:pPr>
        <w:spacing w:line="360" w:lineRule="auto"/>
        <w:ind w:firstLine="480" w:firstLineChars="200"/>
        <w:rPr>
          <w:rFonts w:hAnsi="宋体"/>
          <w:color w:val="auto"/>
          <w:sz w:val="24"/>
          <w:highlight w:val="none"/>
        </w:rPr>
      </w:pPr>
      <w:r>
        <w:rPr>
          <w:rFonts w:hint="eastAsia" w:hAnsi="宋体"/>
          <w:color w:val="auto"/>
          <w:sz w:val="24"/>
          <w:highlight w:val="none"/>
        </w:rPr>
        <w:t>3.5.</w:t>
      </w:r>
      <w:r>
        <w:rPr>
          <w:rFonts w:hAnsi="宋体"/>
          <w:color w:val="auto"/>
          <w:sz w:val="24"/>
          <w:highlight w:val="none"/>
        </w:rPr>
        <w:t>3</w:t>
      </w:r>
      <w:r>
        <w:rPr>
          <w:rFonts w:hint="eastAsia" w:hAnsi="宋体"/>
          <w:color w:val="auto"/>
          <w:sz w:val="24"/>
          <w:highlight w:val="none"/>
        </w:rPr>
        <w:t>响应文件编制的其他要求见供应商须知前附表。</w:t>
      </w:r>
    </w:p>
    <w:p w14:paraId="246FB83B">
      <w:pPr>
        <w:pStyle w:val="4"/>
        <w:spacing w:line="360" w:lineRule="auto"/>
        <w:rPr>
          <w:rFonts w:ascii="宋体" w:hAnsi="宋体"/>
          <w:color w:val="auto"/>
          <w:sz w:val="28"/>
          <w:szCs w:val="28"/>
          <w:highlight w:val="none"/>
        </w:rPr>
      </w:pPr>
      <w:bookmarkStart w:id="132" w:name="_Toc13757"/>
      <w:bookmarkEnd w:id="132"/>
      <w:bookmarkStart w:id="133" w:name="_Toc1490"/>
      <w:bookmarkEnd w:id="133"/>
      <w:bookmarkStart w:id="134" w:name="_Toc7149"/>
      <w:bookmarkStart w:id="135" w:name="_Toc19309"/>
      <w:bookmarkStart w:id="136" w:name="_Toc4685097"/>
      <w:bookmarkStart w:id="137" w:name="_Toc20447"/>
      <w:r>
        <w:rPr>
          <w:rFonts w:hint="eastAsia" w:ascii="宋体" w:hAnsi="宋体"/>
          <w:color w:val="auto"/>
          <w:sz w:val="28"/>
          <w:szCs w:val="28"/>
          <w:highlight w:val="none"/>
        </w:rPr>
        <w:t xml:space="preserve">4. </w:t>
      </w:r>
      <w:bookmarkEnd w:id="134"/>
      <w:bookmarkEnd w:id="135"/>
      <w:r>
        <w:rPr>
          <w:rFonts w:hint="eastAsia" w:ascii="宋体" w:hAnsi="宋体"/>
          <w:color w:val="auto"/>
          <w:sz w:val="28"/>
          <w:szCs w:val="28"/>
          <w:highlight w:val="none"/>
        </w:rPr>
        <w:t>响应文件的提交</w:t>
      </w:r>
      <w:bookmarkEnd w:id="136"/>
      <w:bookmarkEnd w:id="137"/>
    </w:p>
    <w:p w14:paraId="1AE51D96">
      <w:pPr>
        <w:spacing w:line="360" w:lineRule="auto"/>
        <w:rPr>
          <w:rFonts w:hAnsi="宋体"/>
          <w:b/>
          <w:color w:val="auto"/>
          <w:sz w:val="24"/>
          <w:highlight w:val="none"/>
        </w:rPr>
      </w:pPr>
      <w:bookmarkStart w:id="138" w:name="_Toc1523"/>
      <w:bookmarkEnd w:id="138"/>
      <w:bookmarkStart w:id="139" w:name="_Toc8975"/>
      <w:bookmarkEnd w:id="139"/>
      <w:bookmarkStart w:id="140" w:name="_Toc27596"/>
      <w:bookmarkEnd w:id="140"/>
      <w:bookmarkStart w:id="141" w:name="_Toc13186"/>
      <w:bookmarkStart w:id="142" w:name="_Toc5071"/>
      <w:r>
        <w:rPr>
          <w:rFonts w:hint="eastAsia" w:hAnsi="宋体"/>
          <w:b/>
          <w:color w:val="auto"/>
          <w:sz w:val="24"/>
          <w:highlight w:val="none"/>
        </w:rPr>
        <w:t>4.1 响应文件的密封和标记</w:t>
      </w:r>
      <w:bookmarkEnd w:id="141"/>
    </w:p>
    <w:p w14:paraId="635C4E3D">
      <w:pPr>
        <w:spacing w:line="360" w:lineRule="auto"/>
        <w:ind w:firstLine="480" w:firstLineChars="200"/>
        <w:rPr>
          <w:rFonts w:hAnsi="宋体"/>
          <w:color w:val="auto"/>
          <w:sz w:val="24"/>
          <w:highlight w:val="none"/>
        </w:rPr>
      </w:pPr>
      <w:bookmarkStart w:id="143" w:name="_Toc20611"/>
      <w:bookmarkEnd w:id="143"/>
      <w:bookmarkStart w:id="144" w:name="_Toc9134"/>
      <w:r>
        <w:rPr>
          <w:rFonts w:hint="eastAsia" w:hAnsi="宋体"/>
          <w:color w:val="auto"/>
          <w:sz w:val="24"/>
          <w:highlight w:val="none"/>
        </w:rPr>
        <w:t>4.1.1 供应商应当按照单一来源采购文件和电子招标投标交易平台的要求加密响应文件，具体要求见供应商须知前附表。</w:t>
      </w:r>
    </w:p>
    <w:p w14:paraId="49FAA40E">
      <w:pPr>
        <w:spacing w:line="360" w:lineRule="auto"/>
        <w:ind w:firstLine="480" w:firstLineChars="200"/>
        <w:rPr>
          <w:rFonts w:hAnsi="宋体"/>
          <w:color w:val="auto"/>
          <w:sz w:val="24"/>
          <w:highlight w:val="none"/>
        </w:rPr>
      </w:pPr>
      <w:r>
        <w:rPr>
          <w:rFonts w:hint="eastAsia" w:hAnsi="宋体"/>
          <w:color w:val="auto"/>
          <w:sz w:val="24"/>
          <w:highlight w:val="none"/>
        </w:rPr>
        <w:t>4.1.2 未按本章第4.1.1 要求加密的响应文件，采购人将予以拒收。</w:t>
      </w:r>
    </w:p>
    <w:p w14:paraId="6316ED99">
      <w:pPr>
        <w:spacing w:line="360" w:lineRule="auto"/>
        <w:rPr>
          <w:rFonts w:hAnsi="宋体"/>
          <w:b/>
          <w:color w:val="auto"/>
          <w:sz w:val="24"/>
          <w:highlight w:val="none"/>
        </w:rPr>
      </w:pPr>
      <w:r>
        <w:rPr>
          <w:rFonts w:hint="eastAsia" w:hAnsi="宋体"/>
          <w:b/>
          <w:color w:val="auto"/>
          <w:sz w:val="24"/>
          <w:highlight w:val="none"/>
        </w:rPr>
        <w:t>4.2 响应文件提交</w:t>
      </w:r>
      <w:bookmarkEnd w:id="144"/>
    </w:p>
    <w:p w14:paraId="7A3044C5">
      <w:pPr>
        <w:spacing w:line="360" w:lineRule="auto"/>
        <w:ind w:firstLine="540" w:firstLineChars="225"/>
        <w:rPr>
          <w:rFonts w:hAnsi="宋体"/>
          <w:color w:val="auto"/>
          <w:sz w:val="24"/>
          <w:highlight w:val="none"/>
        </w:rPr>
      </w:pPr>
      <w:r>
        <w:rPr>
          <w:rFonts w:hint="eastAsia" w:hAnsi="宋体"/>
          <w:color w:val="auto"/>
          <w:sz w:val="24"/>
          <w:highlight w:val="none"/>
        </w:rPr>
        <w:t>4.2.1供应商应在供应商须知前附表规定的协商截止时间前递交响应文件。</w:t>
      </w:r>
    </w:p>
    <w:p w14:paraId="2DC63F67">
      <w:pPr>
        <w:spacing w:line="360" w:lineRule="auto"/>
        <w:ind w:firstLine="540" w:firstLineChars="225"/>
        <w:rPr>
          <w:rFonts w:hAnsi="宋体" w:cs="宋体"/>
          <w:color w:val="auto"/>
          <w:sz w:val="24"/>
          <w:highlight w:val="none"/>
        </w:rPr>
      </w:pPr>
      <w:r>
        <w:rPr>
          <w:rFonts w:hint="eastAsia" w:hAnsi="宋体" w:cs="宋体"/>
          <w:color w:val="auto"/>
          <w:sz w:val="24"/>
          <w:highlight w:val="none"/>
        </w:rPr>
        <w:t>4.2.2 供应商递交响应文件的时间和地点：见供应商须知前附表。</w:t>
      </w:r>
    </w:p>
    <w:p w14:paraId="09993DA6">
      <w:pPr>
        <w:pStyle w:val="2"/>
        <w:widowControl/>
        <w:adjustRightInd/>
        <w:spacing w:line="360" w:lineRule="auto"/>
        <w:ind w:firstLine="480" w:firstLineChars="200"/>
        <w:rPr>
          <w:color w:val="auto"/>
          <w:kern w:val="0"/>
          <w:szCs w:val="24"/>
          <w:highlight w:val="none"/>
        </w:rPr>
      </w:pPr>
      <w:r>
        <w:rPr>
          <w:rFonts w:hint="eastAsia"/>
          <w:color w:val="auto"/>
          <w:highlight w:val="none"/>
        </w:rPr>
        <w:t>4.2.</w:t>
      </w:r>
      <w:r>
        <w:rPr>
          <w:color w:val="auto"/>
          <w:highlight w:val="none"/>
        </w:rPr>
        <w:t>3</w:t>
      </w:r>
      <w:r>
        <w:rPr>
          <w:rFonts w:hint="eastAsia"/>
          <w:color w:val="auto"/>
          <w:highlight w:val="none"/>
        </w:rPr>
        <w:t>供应商所递交的响应文件不予退还。</w:t>
      </w:r>
    </w:p>
    <w:p w14:paraId="5B2BC04E">
      <w:pPr>
        <w:spacing w:line="360" w:lineRule="auto"/>
        <w:rPr>
          <w:rFonts w:hAnsi="宋体"/>
          <w:b/>
          <w:color w:val="auto"/>
          <w:sz w:val="24"/>
          <w:highlight w:val="none"/>
        </w:rPr>
      </w:pPr>
      <w:r>
        <w:rPr>
          <w:rFonts w:hint="eastAsia" w:hAnsi="宋体"/>
          <w:b/>
          <w:color w:val="auto"/>
          <w:sz w:val="24"/>
          <w:highlight w:val="none"/>
        </w:rPr>
        <w:t>4.3 响应文件的修改与撤回</w:t>
      </w:r>
      <w:bookmarkEnd w:id="142"/>
    </w:p>
    <w:p w14:paraId="6052E124">
      <w:pPr>
        <w:spacing w:line="360" w:lineRule="auto"/>
        <w:ind w:firstLine="480" w:firstLineChars="200"/>
        <w:rPr>
          <w:rFonts w:hAnsi="宋体"/>
          <w:color w:val="auto"/>
          <w:sz w:val="24"/>
          <w:highlight w:val="none"/>
        </w:rPr>
      </w:pPr>
      <w:r>
        <w:rPr>
          <w:rFonts w:hint="eastAsia" w:hAnsi="宋体"/>
          <w:color w:val="auto"/>
          <w:sz w:val="24"/>
          <w:highlight w:val="none"/>
        </w:rPr>
        <w:t>4.3.1在协商截止时间前，供应商可以撤回在网上已递交的响应文件，修改后重新递交，无须书面形式通知采购人。</w:t>
      </w:r>
    </w:p>
    <w:p w14:paraId="1F6B12B1">
      <w:pPr>
        <w:spacing w:line="360" w:lineRule="auto"/>
        <w:ind w:firstLine="480" w:firstLineChars="200"/>
        <w:rPr>
          <w:rFonts w:hAnsi="宋体"/>
          <w:color w:val="auto"/>
          <w:sz w:val="24"/>
          <w:highlight w:val="none"/>
        </w:rPr>
      </w:pPr>
      <w:r>
        <w:rPr>
          <w:rFonts w:hint="eastAsia" w:hAnsi="宋体"/>
          <w:color w:val="auto"/>
          <w:sz w:val="24"/>
          <w:highlight w:val="none"/>
        </w:rPr>
        <w:t>4.3.2修改的响应文件应按照单一来源采购文件规定进行编制、加密和递交。</w:t>
      </w:r>
    </w:p>
    <w:p w14:paraId="04E1A56E">
      <w:pPr>
        <w:pStyle w:val="4"/>
        <w:spacing w:line="360" w:lineRule="auto"/>
        <w:rPr>
          <w:rFonts w:ascii="宋体" w:hAnsi="宋体"/>
          <w:color w:val="auto"/>
          <w:sz w:val="28"/>
          <w:szCs w:val="28"/>
          <w:highlight w:val="none"/>
        </w:rPr>
      </w:pPr>
      <w:bookmarkStart w:id="145" w:name="_Toc9271"/>
      <w:bookmarkEnd w:id="145"/>
      <w:bookmarkStart w:id="146" w:name="_Toc14362"/>
      <w:bookmarkEnd w:id="146"/>
      <w:bookmarkStart w:id="147" w:name="_Toc27724"/>
      <w:bookmarkStart w:id="148" w:name="_Toc4685098"/>
      <w:bookmarkStart w:id="149" w:name="_Toc20324"/>
      <w:bookmarkStart w:id="150" w:name="_Toc26121"/>
      <w:r>
        <w:rPr>
          <w:rFonts w:hint="eastAsia" w:ascii="宋体" w:hAnsi="宋体"/>
          <w:color w:val="auto"/>
          <w:sz w:val="28"/>
          <w:szCs w:val="28"/>
          <w:highlight w:val="none"/>
        </w:rPr>
        <w:t xml:space="preserve">5. </w:t>
      </w:r>
      <w:bookmarkEnd w:id="147"/>
      <w:bookmarkEnd w:id="148"/>
      <w:bookmarkEnd w:id="149"/>
      <w:r>
        <w:rPr>
          <w:rFonts w:hint="eastAsia" w:ascii="宋体" w:hAnsi="宋体"/>
          <w:color w:val="auto"/>
          <w:sz w:val="28"/>
          <w:szCs w:val="28"/>
          <w:highlight w:val="none"/>
        </w:rPr>
        <w:t>协商</w:t>
      </w:r>
      <w:bookmarkEnd w:id="150"/>
    </w:p>
    <w:p w14:paraId="2A693CF3">
      <w:pPr>
        <w:spacing w:line="360" w:lineRule="auto"/>
        <w:ind w:firstLine="482" w:firstLineChars="200"/>
        <w:rPr>
          <w:rFonts w:hAnsi="宋体"/>
          <w:b/>
          <w:color w:val="auto"/>
          <w:sz w:val="24"/>
          <w:highlight w:val="none"/>
        </w:rPr>
      </w:pPr>
      <w:bookmarkStart w:id="151" w:name="_Toc1527"/>
      <w:bookmarkEnd w:id="151"/>
      <w:bookmarkStart w:id="152" w:name="_Toc82784425"/>
      <w:bookmarkStart w:id="153" w:name="_Toc8987"/>
      <w:bookmarkStart w:id="154" w:name="_Toc22840"/>
      <w:r>
        <w:rPr>
          <w:rFonts w:hint="eastAsia" w:hAnsi="宋体"/>
          <w:b/>
          <w:color w:val="auto"/>
          <w:sz w:val="24"/>
          <w:highlight w:val="none"/>
        </w:rPr>
        <w:t>5.1协商</w:t>
      </w:r>
      <w:bookmarkEnd w:id="152"/>
    </w:p>
    <w:p w14:paraId="0086AA09">
      <w:pPr>
        <w:spacing w:line="360" w:lineRule="auto"/>
        <w:ind w:firstLine="480" w:firstLineChars="200"/>
        <w:jc w:val="left"/>
        <w:rPr>
          <w:rFonts w:hAnsi="宋体" w:cs="宋体"/>
          <w:snapToGrid/>
          <w:color w:val="auto"/>
          <w:kern w:val="2"/>
          <w:sz w:val="24"/>
          <w:highlight w:val="none"/>
        </w:rPr>
      </w:pPr>
      <w:r>
        <w:rPr>
          <w:rFonts w:hint="eastAsia" w:hAnsi="宋体" w:cs="宋体"/>
          <w:snapToGrid/>
          <w:color w:val="auto"/>
          <w:kern w:val="2"/>
          <w:sz w:val="24"/>
          <w:highlight w:val="none"/>
        </w:rPr>
        <w:t>5.1采购代理机构将在“供应商须知前附表”规定的时间和地点组织协商，供应商的法定代表人或其委托代理人应按时参加。</w:t>
      </w:r>
    </w:p>
    <w:p w14:paraId="2125F0D6">
      <w:pPr>
        <w:spacing w:line="360" w:lineRule="auto"/>
        <w:ind w:firstLine="480" w:firstLineChars="200"/>
        <w:jc w:val="left"/>
        <w:rPr>
          <w:rFonts w:hAnsi="宋体" w:cs="宋体"/>
          <w:snapToGrid/>
          <w:color w:val="auto"/>
          <w:kern w:val="2"/>
          <w:sz w:val="24"/>
          <w:highlight w:val="none"/>
        </w:rPr>
      </w:pPr>
      <w:r>
        <w:rPr>
          <w:rFonts w:hint="eastAsia" w:hAnsi="宋体" w:cs="宋体"/>
          <w:snapToGrid/>
          <w:color w:val="auto"/>
          <w:kern w:val="2"/>
          <w:sz w:val="24"/>
          <w:highlight w:val="none"/>
        </w:rPr>
        <w:t>5.2协商由协商小组负责。协商小组由</w:t>
      </w:r>
      <w:bookmarkStart w:id="155" w:name="_Toc520356166"/>
      <w:r>
        <w:rPr>
          <w:rFonts w:hint="eastAsia" w:hAnsi="宋体" w:cs="宋体"/>
          <w:snapToGrid/>
          <w:color w:val="auto"/>
          <w:kern w:val="2"/>
          <w:sz w:val="24"/>
          <w:highlight w:val="none"/>
        </w:rPr>
        <w:t>采购人、采购代理机构组织具有相关经验的专业人员组成。</w:t>
      </w:r>
      <w:bookmarkEnd w:id="155"/>
    </w:p>
    <w:p w14:paraId="5DC5E3C6">
      <w:pPr>
        <w:spacing w:line="360" w:lineRule="auto"/>
        <w:ind w:firstLine="480" w:firstLineChars="200"/>
        <w:rPr>
          <w:rFonts w:hAnsi="宋体"/>
          <w:color w:val="auto"/>
          <w:sz w:val="24"/>
          <w:highlight w:val="none"/>
        </w:rPr>
      </w:pPr>
      <w:r>
        <w:rPr>
          <w:rFonts w:hint="eastAsia" w:hAnsi="宋体"/>
          <w:color w:val="auto"/>
          <w:sz w:val="24"/>
          <w:highlight w:val="none"/>
        </w:rPr>
        <w:t>5.3 协商原则</w:t>
      </w:r>
    </w:p>
    <w:p w14:paraId="28B58908">
      <w:pPr>
        <w:spacing w:line="360" w:lineRule="auto"/>
        <w:ind w:firstLine="480" w:firstLineChars="200"/>
        <w:rPr>
          <w:rFonts w:hAnsi="宋体"/>
          <w:color w:val="auto"/>
          <w:sz w:val="24"/>
          <w:highlight w:val="none"/>
        </w:rPr>
      </w:pPr>
      <w:r>
        <w:rPr>
          <w:rFonts w:hint="eastAsia" w:hAnsi="宋体"/>
          <w:color w:val="auto"/>
          <w:sz w:val="24"/>
          <w:highlight w:val="none"/>
        </w:rPr>
        <w:t>采购人与供应商均应当遵循《中华人民共和国政府采购法》《中华人民共和国政府采购法实施条例》《政府采购非招标采购方式管理办法（财政部74号令）》等有关法律法规规定的原则，在保证采购项目技术、质量、服务和双方商定合理价格的基础上进行采购。</w:t>
      </w:r>
    </w:p>
    <w:p w14:paraId="5DC9DEC5">
      <w:pPr>
        <w:spacing w:line="360" w:lineRule="auto"/>
        <w:ind w:firstLine="480" w:firstLineChars="200"/>
        <w:rPr>
          <w:rFonts w:hAnsi="宋体"/>
          <w:color w:val="auto"/>
          <w:sz w:val="24"/>
          <w:highlight w:val="none"/>
        </w:rPr>
      </w:pPr>
      <w:r>
        <w:rPr>
          <w:rFonts w:hint="eastAsia" w:hAnsi="宋体"/>
          <w:color w:val="auto"/>
          <w:sz w:val="24"/>
          <w:highlight w:val="none"/>
        </w:rPr>
        <w:t>5.4 协商程序和方法</w:t>
      </w:r>
    </w:p>
    <w:p w14:paraId="433A1B77">
      <w:pPr>
        <w:spacing w:line="360" w:lineRule="auto"/>
        <w:ind w:firstLine="480" w:firstLineChars="200"/>
        <w:rPr>
          <w:rFonts w:hAnsi="宋体"/>
          <w:color w:val="auto"/>
          <w:sz w:val="24"/>
          <w:highlight w:val="none"/>
        </w:rPr>
      </w:pPr>
      <w:r>
        <w:rPr>
          <w:rFonts w:hint="eastAsia" w:hAnsi="宋体"/>
          <w:color w:val="auto"/>
          <w:sz w:val="24"/>
          <w:highlight w:val="none"/>
        </w:rPr>
        <w:t>协商小组按照第三章“协商程序和方法</w:t>
      </w:r>
      <w:r>
        <w:rPr>
          <w:rFonts w:hAnsi="宋体"/>
          <w:color w:val="auto"/>
          <w:sz w:val="24"/>
          <w:highlight w:val="none"/>
        </w:rPr>
        <w:t>”</w:t>
      </w:r>
      <w:r>
        <w:rPr>
          <w:rFonts w:hint="eastAsia" w:hAnsi="宋体"/>
          <w:color w:val="auto"/>
          <w:sz w:val="24"/>
          <w:highlight w:val="none"/>
        </w:rPr>
        <w:t>规定的方法、因素、标准和程序进行协商。</w:t>
      </w:r>
    </w:p>
    <w:p w14:paraId="23830B31">
      <w:pPr>
        <w:spacing w:line="360" w:lineRule="auto"/>
        <w:ind w:firstLine="480" w:firstLineChars="200"/>
        <w:rPr>
          <w:rFonts w:hAnsi="宋体"/>
          <w:bCs/>
          <w:color w:val="auto"/>
          <w:sz w:val="24"/>
          <w:highlight w:val="none"/>
        </w:rPr>
      </w:pPr>
      <w:bookmarkStart w:id="156" w:name="_Toc536611339"/>
      <w:bookmarkStart w:id="157" w:name="_Toc327533982"/>
      <w:bookmarkStart w:id="158" w:name="_Toc536611515"/>
      <w:bookmarkStart w:id="159" w:name="_Toc82784426"/>
      <w:bookmarkStart w:id="160" w:name="_Toc523149564"/>
      <w:bookmarkStart w:id="161" w:name="_Toc86124067"/>
      <w:r>
        <w:rPr>
          <w:rFonts w:hint="eastAsia" w:hAnsi="宋体"/>
          <w:bCs/>
          <w:color w:val="auto"/>
          <w:sz w:val="24"/>
          <w:highlight w:val="none"/>
        </w:rPr>
        <w:t>5.5协商过程的保密</w:t>
      </w:r>
      <w:bookmarkEnd w:id="156"/>
      <w:bookmarkEnd w:id="157"/>
      <w:bookmarkEnd w:id="158"/>
      <w:bookmarkEnd w:id="159"/>
      <w:bookmarkEnd w:id="160"/>
      <w:bookmarkEnd w:id="161"/>
    </w:p>
    <w:p w14:paraId="1583C273">
      <w:pPr>
        <w:spacing w:line="360" w:lineRule="auto"/>
        <w:ind w:firstLine="480" w:firstLineChars="200"/>
        <w:rPr>
          <w:rFonts w:hAnsi="宋体"/>
          <w:color w:val="auto"/>
          <w:sz w:val="24"/>
          <w:highlight w:val="none"/>
        </w:rPr>
      </w:pPr>
      <w:r>
        <w:rPr>
          <w:rFonts w:hint="eastAsia" w:hAnsi="宋体"/>
          <w:color w:val="auto"/>
          <w:sz w:val="24"/>
          <w:highlight w:val="none"/>
        </w:rPr>
        <w:t>协商开始后，直到授予供应商合同止，凡是属于审查、澄清、协商和比较的有关资料以及成交建议等均不向供应商或其他人员透露。</w:t>
      </w:r>
    </w:p>
    <w:p w14:paraId="052A7153">
      <w:pPr>
        <w:spacing w:line="360" w:lineRule="auto"/>
        <w:ind w:firstLine="480" w:firstLineChars="200"/>
        <w:rPr>
          <w:rFonts w:hAnsi="宋体"/>
          <w:bCs/>
          <w:color w:val="auto"/>
          <w:sz w:val="24"/>
          <w:highlight w:val="none"/>
        </w:rPr>
      </w:pPr>
      <w:bookmarkStart w:id="162" w:name="_Toc536611516"/>
      <w:bookmarkStart w:id="163" w:name="_Toc327533983"/>
      <w:bookmarkStart w:id="164" w:name="_Toc523149565"/>
      <w:bookmarkStart w:id="165" w:name="_Toc536611340"/>
      <w:bookmarkStart w:id="166" w:name="_Toc86124068"/>
      <w:bookmarkStart w:id="167" w:name="_Toc82784427"/>
      <w:r>
        <w:rPr>
          <w:rFonts w:hint="eastAsia" w:hAnsi="宋体"/>
          <w:bCs/>
          <w:color w:val="auto"/>
          <w:sz w:val="24"/>
          <w:highlight w:val="none"/>
        </w:rPr>
        <w:t>5.6出现下列情形之一的，项目协商失败：</w:t>
      </w:r>
      <w:bookmarkEnd w:id="162"/>
      <w:bookmarkEnd w:id="163"/>
      <w:bookmarkEnd w:id="164"/>
      <w:bookmarkEnd w:id="165"/>
      <w:bookmarkEnd w:id="166"/>
      <w:bookmarkEnd w:id="167"/>
    </w:p>
    <w:p w14:paraId="666F61DE">
      <w:pPr>
        <w:spacing w:line="360" w:lineRule="auto"/>
        <w:ind w:firstLine="480" w:firstLineChars="200"/>
        <w:rPr>
          <w:rFonts w:hAnsi="宋体"/>
          <w:color w:val="auto"/>
          <w:sz w:val="24"/>
          <w:highlight w:val="none"/>
        </w:rPr>
      </w:pPr>
      <w:r>
        <w:rPr>
          <w:rFonts w:hint="eastAsia" w:hAnsi="宋体"/>
          <w:color w:val="auto"/>
          <w:sz w:val="24"/>
          <w:highlight w:val="none"/>
        </w:rPr>
        <w:t>（1）供应商不符合专业条件或者供应商未对单一来源采购文件作实质响应的；</w:t>
      </w:r>
    </w:p>
    <w:p w14:paraId="33F0A8E9">
      <w:pPr>
        <w:spacing w:line="360" w:lineRule="auto"/>
        <w:ind w:firstLine="480" w:firstLineChars="200"/>
        <w:rPr>
          <w:rFonts w:hAnsi="宋体"/>
          <w:color w:val="auto"/>
          <w:sz w:val="24"/>
          <w:highlight w:val="none"/>
        </w:rPr>
      </w:pPr>
      <w:r>
        <w:rPr>
          <w:rFonts w:hint="eastAsia" w:hAnsi="宋体"/>
          <w:color w:val="auto"/>
          <w:sz w:val="24"/>
          <w:highlight w:val="none"/>
        </w:rPr>
        <w:t>（2）出现影响采购公正的违法、违规行为的；</w:t>
      </w:r>
    </w:p>
    <w:p w14:paraId="225DF4D3">
      <w:pPr>
        <w:spacing w:line="360" w:lineRule="auto"/>
        <w:ind w:firstLine="480" w:firstLineChars="200"/>
        <w:rPr>
          <w:rFonts w:hAnsi="宋体"/>
          <w:color w:val="auto"/>
          <w:sz w:val="24"/>
          <w:highlight w:val="none"/>
        </w:rPr>
      </w:pPr>
      <w:r>
        <w:rPr>
          <w:rFonts w:hint="eastAsia" w:hAnsi="宋体"/>
          <w:color w:val="auto"/>
          <w:sz w:val="24"/>
          <w:highlight w:val="none"/>
        </w:rPr>
        <w:t>（3）供应商的最终报价超过了采购预算，采购人不能支付的；</w:t>
      </w:r>
    </w:p>
    <w:p w14:paraId="315BA972">
      <w:pPr>
        <w:spacing w:line="360" w:lineRule="auto"/>
        <w:ind w:firstLine="480" w:firstLineChars="200"/>
        <w:rPr>
          <w:rFonts w:hAnsi="宋体"/>
          <w:color w:val="auto"/>
          <w:sz w:val="24"/>
          <w:highlight w:val="none"/>
        </w:rPr>
      </w:pPr>
      <w:r>
        <w:rPr>
          <w:rFonts w:hint="eastAsia" w:hAnsi="宋体"/>
          <w:color w:val="auto"/>
          <w:sz w:val="24"/>
          <w:highlight w:val="none"/>
        </w:rPr>
        <w:t>（4）因重大变故，采购任务取消的。</w:t>
      </w:r>
    </w:p>
    <w:p w14:paraId="00AEE698">
      <w:pPr>
        <w:spacing w:line="360" w:lineRule="auto"/>
        <w:ind w:firstLine="480" w:firstLineChars="200"/>
        <w:rPr>
          <w:rFonts w:hAnsi="宋体"/>
          <w:color w:val="auto"/>
          <w:sz w:val="24"/>
          <w:highlight w:val="none"/>
        </w:rPr>
      </w:pPr>
      <w:r>
        <w:rPr>
          <w:rFonts w:hint="eastAsia" w:hAnsi="宋体"/>
          <w:color w:val="auto"/>
          <w:sz w:val="24"/>
          <w:highlight w:val="none"/>
        </w:rPr>
        <w:t>项目协商失败后，采购人应当将失败理由告知供应商。</w:t>
      </w:r>
    </w:p>
    <w:p w14:paraId="034A7889">
      <w:pPr>
        <w:pStyle w:val="4"/>
        <w:spacing w:line="360" w:lineRule="auto"/>
        <w:rPr>
          <w:rFonts w:ascii="宋体" w:hAnsi="宋体"/>
          <w:color w:val="auto"/>
          <w:sz w:val="28"/>
          <w:szCs w:val="28"/>
          <w:highlight w:val="none"/>
        </w:rPr>
      </w:pPr>
      <w:bookmarkStart w:id="168" w:name="_Toc32348"/>
      <w:bookmarkStart w:id="169" w:name="_Toc4685099"/>
      <w:r>
        <w:rPr>
          <w:rFonts w:ascii="宋体" w:hAnsi="宋体"/>
          <w:color w:val="auto"/>
          <w:sz w:val="28"/>
          <w:szCs w:val="28"/>
          <w:highlight w:val="none"/>
        </w:rPr>
        <w:t>6</w:t>
      </w:r>
      <w:r>
        <w:rPr>
          <w:rFonts w:hint="eastAsia" w:ascii="宋体" w:hAnsi="宋体"/>
          <w:color w:val="auto"/>
          <w:sz w:val="28"/>
          <w:szCs w:val="28"/>
          <w:highlight w:val="none"/>
        </w:rPr>
        <w:t>. 确定成交供应商</w:t>
      </w:r>
      <w:bookmarkEnd w:id="153"/>
      <w:bookmarkEnd w:id="154"/>
      <w:bookmarkEnd w:id="168"/>
      <w:bookmarkEnd w:id="169"/>
    </w:p>
    <w:p w14:paraId="104FE92F">
      <w:pPr>
        <w:spacing w:line="360" w:lineRule="auto"/>
        <w:rPr>
          <w:rFonts w:hAnsi="宋体"/>
          <w:b/>
          <w:color w:val="auto"/>
          <w:sz w:val="24"/>
          <w:highlight w:val="none"/>
        </w:rPr>
      </w:pPr>
      <w:bookmarkStart w:id="170" w:name="_Toc18219"/>
      <w:bookmarkEnd w:id="170"/>
      <w:bookmarkStart w:id="171" w:name="_Toc31217"/>
      <w:r>
        <w:rPr>
          <w:rFonts w:hAnsi="宋体"/>
          <w:b/>
          <w:color w:val="auto"/>
          <w:sz w:val="24"/>
          <w:highlight w:val="none"/>
        </w:rPr>
        <w:t>6</w:t>
      </w:r>
      <w:r>
        <w:rPr>
          <w:rFonts w:hint="eastAsia" w:hAnsi="宋体"/>
          <w:b/>
          <w:color w:val="auto"/>
          <w:sz w:val="24"/>
          <w:highlight w:val="none"/>
        </w:rPr>
        <w:t>.1</w:t>
      </w:r>
      <w:bookmarkEnd w:id="171"/>
      <w:r>
        <w:rPr>
          <w:rFonts w:hint="eastAsia" w:hAnsi="宋体"/>
          <w:b/>
          <w:color w:val="auto"/>
          <w:sz w:val="24"/>
          <w:highlight w:val="none"/>
        </w:rPr>
        <w:t>确定成交供应商</w:t>
      </w:r>
    </w:p>
    <w:p w14:paraId="1326B1CC">
      <w:pPr>
        <w:spacing w:line="360" w:lineRule="auto"/>
        <w:ind w:firstLine="480" w:firstLineChars="200"/>
        <w:rPr>
          <w:rFonts w:hAnsi="宋体"/>
          <w:color w:val="auto"/>
          <w:sz w:val="24"/>
          <w:highlight w:val="none"/>
        </w:rPr>
      </w:pPr>
      <w:r>
        <w:rPr>
          <w:rFonts w:hint="eastAsia" w:hAnsi="宋体"/>
          <w:color w:val="auto"/>
          <w:sz w:val="24"/>
          <w:highlight w:val="none"/>
        </w:rPr>
        <w:t>采购人在收到协商情况记录后，确定成交供应商。</w:t>
      </w:r>
    </w:p>
    <w:p w14:paraId="3D8B1897">
      <w:pPr>
        <w:spacing w:line="360" w:lineRule="auto"/>
        <w:rPr>
          <w:rFonts w:hAnsi="宋体"/>
          <w:b/>
          <w:color w:val="auto"/>
          <w:sz w:val="24"/>
          <w:highlight w:val="none"/>
        </w:rPr>
      </w:pPr>
      <w:bookmarkStart w:id="172" w:name="_Toc18811"/>
      <w:bookmarkEnd w:id="172"/>
      <w:bookmarkStart w:id="173" w:name="_Toc18115"/>
      <w:r>
        <w:rPr>
          <w:rFonts w:hAnsi="宋体"/>
          <w:b/>
          <w:color w:val="auto"/>
          <w:sz w:val="24"/>
          <w:highlight w:val="none"/>
        </w:rPr>
        <w:t>6</w:t>
      </w:r>
      <w:r>
        <w:rPr>
          <w:rFonts w:hint="eastAsia" w:hAnsi="宋体"/>
          <w:b/>
          <w:color w:val="auto"/>
          <w:sz w:val="24"/>
          <w:highlight w:val="none"/>
        </w:rPr>
        <w:t>.2成交公告</w:t>
      </w:r>
      <w:bookmarkEnd w:id="173"/>
    </w:p>
    <w:p w14:paraId="74D40723">
      <w:pPr>
        <w:spacing w:line="360" w:lineRule="auto"/>
        <w:ind w:firstLine="480" w:firstLineChars="200"/>
        <w:rPr>
          <w:rFonts w:hAnsi="宋体"/>
          <w:color w:val="auto"/>
          <w:sz w:val="24"/>
          <w:highlight w:val="none"/>
        </w:rPr>
      </w:pPr>
      <w:r>
        <w:rPr>
          <w:rFonts w:hint="eastAsia" w:hAnsi="宋体"/>
          <w:color w:val="auto"/>
          <w:sz w:val="24"/>
          <w:highlight w:val="none"/>
        </w:rPr>
        <w:t>采购人或者采购代理机构应当自成交人确定之日起2个工作日内，按照供应商须知</w:t>
      </w:r>
      <w:bookmarkStart w:id="174" w:name="_Hlk7513903"/>
      <w:r>
        <w:rPr>
          <w:rFonts w:hint="eastAsia" w:hAnsi="宋体"/>
          <w:color w:val="auto"/>
          <w:sz w:val="24"/>
          <w:highlight w:val="none"/>
        </w:rPr>
        <w:t>前附表规定的媒介和期限公告成交结果</w:t>
      </w:r>
      <w:bookmarkEnd w:id="174"/>
      <w:r>
        <w:rPr>
          <w:rFonts w:hint="eastAsia" w:hAnsi="宋体"/>
          <w:color w:val="auto"/>
          <w:sz w:val="24"/>
          <w:highlight w:val="none"/>
        </w:rPr>
        <w:t>，单一来源采购文件应当随成交结果同时公告。</w:t>
      </w:r>
    </w:p>
    <w:p w14:paraId="468D81E5">
      <w:pPr>
        <w:spacing w:line="360" w:lineRule="auto"/>
        <w:ind w:firstLine="480" w:firstLineChars="200"/>
        <w:rPr>
          <w:rFonts w:hAnsi="宋体"/>
          <w:color w:val="auto"/>
          <w:sz w:val="24"/>
          <w:highlight w:val="none"/>
        </w:rPr>
      </w:pPr>
      <w:r>
        <w:rPr>
          <w:rFonts w:hint="eastAsia" w:hAnsi="宋体"/>
          <w:color w:val="auto"/>
          <w:sz w:val="24"/>
          <w:highlight w:val="none"/>
        </w:rPr>
        <w:t>成交公告期限详见供应商须知前附表。</w:t>
      </w:r>
    </w:p>
    <w:p w14:paraId="21188DBC">
      <w:pPr>
        <w:spacing w:line="360" w:lineRule="auto"/>
        <w:rPr>
          <w:rFonts w:hAnsi="宋体"/>
          <w:b/>
          <w:color w:val="auto"/>
          <w:sz w:val="24"/>
          <w:highlight w:val="none"/>
        </w:rPr>
      </w:pPr>
      <w:bookmarkStart w:id="175" w:name="_Toc16495"/>
      <w:bookmarkEnd w:id="175"/>
      <w:bookmarkStart w:id="176" w:name="_Toc8411"/>
      <w:bookmarkEnd w:id="176"/>
      <w:bookmarkStart w:id="177" w:name="_Toc3833"/>
      <w:r>
        <w:rPr>
          <w:rFonts w:hAnsi="宋体"/>
          <w:b/>
          <w:color w:val="auto"/>
          <w:sz w:val="24"/>
          <w:highlight w:val="none"/>
        </w:rPr>
        <w:t>6</w:t>
      </w:r>
      <w:r>
        <w:rPr>
          <w:rFonts w:hint="eastAsia" w:hAnsi="宋体"/>
          <w:b/>
          <w:color w:val="auto"/>
          <w:sz w:val="24"/>
          <w:highlight w:val="none"/>
        </w:rPr>
        <w:t>.3成交通知</w:t>
      </w:r>
      <w:bookmarkEnd w:id="177"/>
      <w:r>
        <w:rPr>
          <w:rFonts w:hint="eastAsia" w:hAnsi="宋体"/>
          <w:b/>
          <w:color w:val="auto"/>
          <w:sz w:val="24"/>
          <w:highlight w:val="none"/>
        </w:rPr>
        <w:t>书</w:t>
      </w:r>
    </w:p>
    <w:p w14:paraId="6AA29985">
      <w:pPr>
        <w:spacing w:line="360" w:lineRule="auto"/>
        <w:ind w:firstLine="480" w:firstLineChars="200"/>
        <w:rPr>
          <w:rFonts w:hAnsi="宋体"/>
          <w:color w:val="auto"/>
          <w:sz w:val="24"/>
          <w:highlight w:val="none"/>
        </w:rPr>
      </w:pPr>
      <w:r>
        <w:rPr>
          <w:rFonts w:hint="eastAsia" w:hAnsi="宋体"/>
          <w:color w:val="auto"/>
          <w:sz w:val="24"/>
          <w:highlight w:val="none"/>
        </w:rPr>
        <w:t>在本章第3.3 款规定的有效期内，在公告成交结果的同时，采购人或者采购代理机构应当向成交人发出成交通知书。</w:t>
      </w:r>
    </w:p>
    <w:p w14:paraId="116EFC4A">
      <w:pPr>
        <w:spacing w:line="360" w:lineRule="auto"/>
        <w:rPr>
          <w:rFonts w:hAnsi="宋体"/>
          <w:b/>
          <w:color w:val="auto"/>
          <w:sz w:val="24"/>
          <w:highlight w:val="none"/>
        </w:rPr>
      </w:pPr>
      <w:bookmarkStart w:id="178" w:name="_Toc13042"/>
      <w:bookmarkEnd w:id="178"/>
      <w:bookmarkStart w:id="179" w:name="_Toc7193"/>
      <w:r>
        <w:rPr>
          <w:rFonts w:hAnsi="宋体"/>
          <w:b/>
          <w:color w:val="auto"/>
          <w:sz w:val="24"/>
          <w:highlight w:val="none"/>
        </w:rPr>
        <w:t>6</w:t>
      </w:r>
      <w:r>
        <w:rPr>
          <w:rFonts w:hint="eastAsia" w:hAnsi="宋体"/>
          <w:b/>
          <w:color w:val="auto"/>
          <w:sz w:val="24"/>
          <w:highlight w:val="none"/>
        </w:rPr>
        <w:t>.4 履约保证金</w:t>
      </w:r>
      <w:bookmarkEnd w:id="179"/>
    </w:p>
    <w:p w14:paraId="2DCFD9AC">
      <w:pPr>
        <w:spacing w:line="360" w:lineRule="auto"/>
        <w:ind w:firstLine="480" w:firstLineChars="200"/>
        <w:rPr>
          <w:rFonts w:hint="eastAsia" w:hAnsi="宋体"/>
          <w:color w:val="auto"/>
          <w:sz w:val="24"/>
          <w:highlight w:val="none"/>
        </w:rPr>
      </w:pPr>
      <w:r>
        <w:rPr>
          <w:rFonts w:hint="eastAsia" w:hAnsi="宋体"/>
          <w:color w:val="auto"/>
          <w:sz w:val="24"/>
          <w:highlight w:val="none"/>
        </w:rPr>
        <w:t>不要求。</w:t>
      </w:r>
      <w:bookmarkStart w:id="180" w:name="_Toc18519"/>
    </w:p>
    <w:p w14:paraId="42BE950C">
      <w:pPr>
        <w:spacing w:line="360" w:lineRule="auto"/>
        <w:rPr>
          <w:rFonts w:hAnsi="宋体"/>
          <w:b/>
          <w:color w:val="auto"/>
          <w:sz w:val="24"/>
          <w:highlight w:val="none"/>
        </w:rPr>
      </w:pPr>
      <w:r>
        <w:rPr>
          <w:rFonts w:hAnsi="宋体"/>
          <w:b/>
          <w:color w:val="auto"/>
          <w:sz w:val="24"/>
          <w:highlight w:val="none"/>
        </w:rPr>
        <w:t>6</w:t>
      </w:r>
      <w:r>
        <w:rPr>
          <w:rFonts w:hint="eastAsia" w:hAnsi="宋体"/>
          <w:b/>
          <w:color w:val="auto"/>
          <w:sz w:val="24"/>
          <w:highlight w:val="none"/>
        </w:rPr>
        <w:t>.5 签订合同</w:t>
      </w:r>
      <w:bookmarkEnd w:id="180"/>
    </w:p>
    <w:p w14:paraId="20F9B0E3">
      <w:pPr>
        <w:spacing w:line="360" w:lineRule="auto"/>
        <w:ind w:firstLine="480" w:firstLineChars="200"/>
        <w:rPr>
          <w:rFonts w:hAnsi="宋体"/>
          <w:color w:val="auto"/>
          <w:sz w:val="24"/>
          <w:highlight w:val="none"/>
        </w:rPr>
      </w:pPr>
      <w:r>
        <w:rPr>
          <w:rFonts w:hAnsi="宋体"/>
          <w:color w:val="auto"/>
          <w:sz w:val="24"/>
          <w:highlight w:val="none"/>
        </w:rPr>
        <w:t>6</w:t>
      </w:r>
      <w:r>
        <w:rPr>
          <w:rFonts w:hint="eastAsia" w:hAnsi="宋体"/>
          <w:color w:val="auto"/>
          <w:sz w:val="24"/>
          <w:highlight w:val="none"/>
        </w:rPr>
        <w:t>.5.1 采购人应当自成交通知书发出之日起30日内，按照单一来源采购文件和成交人响应文件的规定，与成交人签订书面合同。所签订的合同不得对单一来源采购文件确定的事项和成交人响应文件作实质性修改。采购人不得向成交人提出任何不合理的要求作为签订合同的条件。</w:t>
      </w:r>
    </w:p>
    <w:p w14:paraId="273FA86F">
      <w:pPr>
        <w:spacing w:line="360" w:lineRule="auto"/>
        <w:ind w:firstLine="480" w:firstLineChars="200"/>
        <w:rPr>
          <w:rFonts w:hAnsi="宋体"/>
          <w:color w:val="auto"/>
          <w:sz w:val="24"/>
          <w:highlight w:val="none"/>
        </w:rPr>
      </w:pPr>
      <w:r>
        <w:rPr>
          <w:rFonts w:hAnsi="宋体"/>
          <w:color w:val="auto"/>
          <w:sz w:val="24"/>
          <w:highlight w:val="none"/>
        </w:rPr>
        <w:t>6</w:t>
      </w:r>
      <w:r>
        <w:rPr>
          <w:rFonts w:hint="eastAsia" w:hAnsi="宋体"/>
          <w:color w:val="auto"/>
          <w:sz w:val="24"/>
          <w:highlight w:val="none"/>
        </w:rPr>
        <w:t>.5.2 成交通知书发出后，采购人不得违法改变成交结果，成交人无正当理由不得放弃成交。</w:t>
      </w:r>
    </w:p>
    <w:p w14:paraId="676D7BE8">
      <w:pPr>
        <w:pStyle w:val="4"/>
        <w:spacing w:line="360" w:lineRule="auto"/>
        <w:rPr>
          <w:rFonts w:ascii="宋体" w:hAnsi="宋体"/>
          <w:color w:val="auto"/>
          <w:sz w:val="28"/>
          <w:szCs w:val="28"/>
          <w:highlight w:val="none"/>
        </w:rPr>
      </w:pPr>
      <w:bookmarkStart w:id="181" w:name="_Toc11854"/>
      <w:bookmarkEnd w:id="181"/>
      <w:bookmarkStart w:id="182" w:name="_Toc20692"/>
      <w:bookmarkEnd w:id="182"/>
      <w:bookmarkStart w:id="183" w:name="_Toc4685100"/>
      <w:bookmarkStart w:id="184" w:name="_Toc17805"/>
      <w:bookmarkStart w:id="185" w:name="_Toc20594"/>
      <w:bookmarkStart w:id="186" w:name="_Toc17825"/>
      <w:r>
        <w:rPr>
          <w:rFonts w:ascii="宋体" w:hAnsi="宋体"/>
          <w:color w:val="auto"/>
          <w:sz w:val="28"/>
          <w:szCs w:val="28"/>
          <w:highlight w:val="none"/>
        </w:rPr>
        <w:t>7</w:t>
      </w:r>
      <w:r>
        <w:rPr>
          <w:rFonts w:hint="eastAsia" w:ascii="宋体" w:hAnsi="宋体"/>
          <w:color w:val="auto"/>
          <w:sz w:val="28"/>
          <w:szCs w:val="28"/>
          <w:highlight w:val="none"/>
        </w:rPr>
        <w:t>. 纪律和监督</w:t>
      </w:r>
      <w:bookmarkEnd w:id="183"/>
      <w:bookmarkEnd w:id="184"/>
      <w:bookmarkEnd w:id="185"/>
      <w:bookmarkEnd w:id="186"/>
    </w:p>
    <w:p w14:paraId="2B60EDE1">
      <w:pPr>
        <w:spacing w:line="360" w:lineRule="auto"/>
        <w:rPr>
          <w:rFonts w:hAnsi="宋体"/>
          <w:b/>
          <w:color w:val="auto"/>
          <w:sz w:val="24"/>
          <w:highlight w:val="none"/>
        </w:rPr>
      </w:pPr>
      <w:bookmarkStart w:id="187" w:name="_Toc453"/>
      <w:bookmarkEnd w:id="187"/>
      <w:bookmarkStart w:id="188" w:name="_Toc14990"/>
      <w:r>
        <w:rPr>
          <w:rFonts w:hAnsi="宋体"/>
          <w:b/>
          <w:color w:val="auto"/>
          <w:sz w:val="24"/>
          <w:highlight w:val="none"/>
        </w:rPr>
        <w:t>7</w:t>
      </w:r>
      <w:r>
        <w:rPr>
          <w:rFonts w:hint="eastAsia" w:hAnsi="宋体"/>
          <w:b/>
          <w:color w:val="auto"/>
          <w:sz w:val="24"/>
          <w:highlight w:val="none"/>
        </w:rPr>
        <w:t>.1 对采购人的纪律要求</w:t>
      </w:r>
      <w:bookmarkEnd w:id="188"/>
    </w:p>
    <w:p w14:paraId="3BA0D3D3">
      <w:pPr>
        <w:spacing w:line="360" w:lineRule="auto"/>
        <w:ind w:firstLine="480" w:firstLineChars="200"/>
        <w:rPr>
          <w:rFonts w:hAnsi="宋体"/>
          <w:color w:val="auto"/>
          <w:sz w:val="24"/>
          <w:highlight w:val="none"/>
        </w:rPr>
      </w:pPr>
      <w:r>
        <w:rPr>
          <w:rFonts w:hint="eastAsia" w:hAnsi="宋体"/>
          <w:color w:val="auto"/>
          <w:sz w:val="24"/>
          <w:highlight w:val="none"/>
        </w:rPr>
        <w:t>(1)采购人不得泄露采购协商活动中应当保密的情况和资料，不得与供应商串通损害国家利益、社会公共利益或者他人合法权益；</w:t>
      </w:r>
    </w:p>
    <w:p w14:paraId="46127EE3">
      <w:pPr>
        <w:spacing w:line="360" w:lineRule="auto"/>
        <w:ind w:firstLine="480" w:firstLineChars="200"/>
        <w:rPr>
          <w:rFonts w:hAnsi="宋体"/>
          <w:color w:val="auto"/>
          <w:sz w:val="24"/>
          <w:highlight w:val="none"/>
        </w:rPr>
      </w:pPr>
      <w:r>
        <w:rPr>
          <w:rFonts w:hint="eastAsia" w:hAnsi="宋体"/>
          <w:color w:val="auto"/>
          <w:sz w:val="24"/>
          <w:highlight w:val="none"/>
        </w:rPr>
        <w:t>(2)采购人不得向供应商索要或者接受其给予的赠品、回扣或者与采购无关的其他商品、服务；</w:t>
      </w:r>
    </w:p>
    <w:p w14:paraId="3F80A0B6">
      <w:pPr>
        <w:spacing w:line="360" w:lineRule="auto"/>
        <w:ind w:firstLine="480" w:firstLineChars="200"/>
        <w:rPr>
          <w:rFonts w:hAnsi="宋体"/>
          <w:color w:val="auto"/>
          <w:sz w:val="24"/>
          <w:highlight w:val="none"/>
        </w:rPr>
      </w:pPr>
      <w:r>
        <w:rPr>
          <w:rFonts w:hint="eastAsia" w:hAnsi="宋体"/>
          <w:color w:val="auto"/>
          <w:sz w:val="24"/>
          <w:highlight w:val="none"/>
        </w:rPr>
        <w:t>(3)在规定时间内确定成交人；</w:t>
      </w:r>
    </w:p>
    <w:p w14:paraId="7DFD250C">
      <w:pPr>
        <w:spacing w:line="360" w:lineRule="auto"/>
        <w:ind w:firstLine="480" w:firstLineChars="200"/>
        <w:rPr>
          <w:rFonts w:hAnsi="宋体"/>
          <w:color w:val="auto"/>
          <w:sz w:val="24"/>
          <w:highlight w:val="none"/>
        </w:rPr>
      </w:pPr>
      <w:r>
        <w:rPr>
          <w:rFonts w:hint="eastAsia" w:hAnsi="宋体"/>
          <w:color w:val="auto"/>
          <w:sz w:val="24"/>
          <w:highlight w:val="none"/>
        </w:rPr>
        <w:t>(4)不得向成交人提出不合理要求作为签订合同条件的。</w:t>
      </w:r>
    </w:p>
    <w:p w14:paraId="3F0A2867">
      <w:pPr>
        <w:spacing w:line="360" w:lineRule="auto"/>
        <w:rPr>
          <w:rFonts w:hAnsi="宋体"/>
          <w:b/>
          <w:color w:val="auto"/>
          <w:sz w:val="24"/>
          <w:highlight w:val="none"/>
        </w:rPr>
      </w:pPr>
      <w:bookmarkStart w:id="189" w:name="_Toc20446"/>
      <w:bookmarkEnd w:id="189"/>
      <w:bookmarkStart w:id="190" w:name="_Toc14876"/>
      <w:r>
        <w:rPr>
          <w:rFonts w:hAnsi="宋体"/>
          <w:b/>
          <w:color w:val="auto"/>
          <w:sz w:val="24"/>
          <w:highlight w:val="none"/>
        </w:rPr>
        <w:t>7</w:t>
      </w:r>
      <w:r>
        <w:rPr>
          <w:rFonts w:hint="eastAsia" w:hAnsi="宋体"/>
          <w:b/>
          <w:color w:val="auto"/>
          <w:sz w:val="24"/>
          <w:highlight w:val="none"/>
        </w:rPr>
        <w:t>.2 对供应商的纪律要求</w:t>
      </w:r>
      <w:bookmarkEnd w:id="190"/>
    </w:p>
    <w:p w14:paraId="2F5F6B69">
      <w:pPr>
        <w:spacing w:line="360" w:lineRule="auto"/>
        <w:ind w:firstLine="480" w:firstLineChars="200"/>
        <w:rPr>
          <w:rFonts w:hAnsi="宋体"/>
          <w:color w:val="auto"/>
          <w:sz w:val="24"/>
          <w:highlight w:val="none"/>
        </w:rPr>
      </w:pPr>
      <w:r>
        <w:rPr>
          <w:rFonts w:hint="eastAsia" w:hAnsi="宋体"/>
          <w:color w:val="auto"/>
          <w:sz w:val="24"/>
          <w:highlight w:val="none"/>
        </w:rPr>
        <w:t>供应商不得与采购人串通协商，不得向采购人或者协商小组成员行贿谋取成交，不得以他人名义协商或者以其它方式弄虚作假骗取成交；供应商不得以任何方式干扰、影响采购活动。</w:t>
      </w:r>
    </w:p>
    <w:p w14:paraId="7EA9A3E8">
      <w:pPr>
        <w:spacing w:line="360" w:lineRule="auto"/>
        <w:rPr>
          <w:rFonts w:hAnsi="宋体"/>
          <w:b/>
          <w:color w:val="auto"/>
          <w:sz w:val="24"/>
          <w:highlight w:val="none"/>
        </w:rPr>
      </w:pPr>
      <w:bookmarkStart w:id="191" w:name="_Toc17796"/>
      <w:bookmarkEnd w:id="191"/>
      <w:bookmarkStart w:id="192" w:name="_Toc29247"/>
      <w:r>
        <w:rPr>
          <w:rFonts w:hAnsi="宋体"/>
          <w:b/>
          <w:color w:val="auto"/>
          <w:sz w:val="24"/>
          <w:highlight w:val="none"/>
        </w:rPr>
        <w:t>7</w:t>
      </w:r>
      <w:r>
        <w:rPr>
          <w:rFonts w:hint="eastAsia" w:hAnsi="宋体"/>
          <w:b/>
          <w:color w:val="auto"/>
          <w:sz w:val="24"/>
          <w:highlight w:val="none"/>
        </w:rPr>
        <w:t>.3 对协商小组成员的纪律要求</w:t>
      </w:r>
      <w:bookmarkEnd w:id="192"/>
    </w:p>
    <w:p w14:paraId="36FE401A">
      <w:pPr>
        <w:spacing w:line="360" w:lineRule="auto"/>
        <w:ind w:firstLine="480" w:firstLineChars="200"/>
        <w:rPr>
          <w:rFonts w:hAnsi="宋体"/>
          <w:color w:val="auto"/>
          <w:sz w:val="24"/>
          <w:highlight w:val="none"/>
        </w:rPr>
      </w:pPr>
      <w:r>
        <w:rPr>
          <w:rFonts w:hint="eastAsia" w:hAnsi="宋体"/>
          <w:color w:val="auto"/>
          <w:sz w:val="24"/>
          <w:highlight w:val="none"/>
        </w:rPr>
        <w:t>协商小组及其成员不得有下列行为：</w:t>
      </w:r>
    </w:p>
    <w:p w14:paraId="620AAEF4">
      <w:pPr>
        <w:spacing w:line="360" w:lineRule="auto"/>
        <w:ind w:firstLine="480" w:firstLineChars="200"/>
        <w:rPr>
          <w:rFonts w:hAnsi="宋体"/>
          <w:color w:val="auto"/>
          <w:sz w:val="24"/>
          <w:highlight w:val="none"/>
        </w:rPr>
      </w:pPr>
      <w:r>
        <w:rPr>
          <w:rFonts w:hint="eastAsia" w:hAnsi="宋体"/>
          <w:color w:val="auto"/>
          <w:sz w:val="24"/>
          <w:highlight w:val="none"/>
        </w:rPr>
        <w:t>(1)确定参与评审至评审结束前私自接触供应商；</w:t>
      </w:r>
    </w:p>
    <w:p w14:paraId="4BDB88BA">
      <w:pPr>
        <w:spacing w:line="360" w:lineRule="auto"/>
        <w:ind w:firstLine="480" w:firstLineChars="200"/>
        <w:rPr>
          <w:rFonts w:hAnsi="宋体"/>
          <w:color w:val="auto"/>
          <w:sz w:val="24"/>
          <w:highlight w:val="none"/>
        </w:rPr>
      </w:pPr>
      <w:r>
        <w:rPr>
          <w:rFonts w:hint="eastAsia" w:hAnsi="宋体"/>
          <w:color w:val="auto"/>
          <w:sz w:val="24"/>
          <w:highlight w:val="none"/>
        </w:rPr>
        <w:t>(2)接受供应商提出的与响应文件不一致的澄清或者说明；</w:t>
      </w:r>
    </w:p>
    <w:p w14:paraId="0034DC71">
      <w:pPr>
        <w:spacing w:line="360" w:lineRule="auto"/>
        <w:ind w:firstLine="480" w:firstLineChars="200"/>
        <w:rPr>
          <w:rFonts w:hAnsi="宋体"/>
          <w:color w:val="auto"/>
          <w:sz w:val="24"/>
          <w:highlight w:val="none"/>
        </w:rPr>
      </w:pPr>
      <w:r>
        <w:rPr>
          <w:rFonts w:hint="eastAsia" w:hAnsi="宋体"/>
          <w:color w:val="auto"/>
          <w:sz w:val="24"/>
          <w:highlight w:val="none"/>
        </w:rPr>
        <w:t>(3)违反协商纪律发表倾向性意见或者征询采购人的倾向性意见；</w:t>
      </w:r>
    </w:p>
    <w:p w14:paraId="068EACF7">
      <w:pPr>
        <w:spacing w:line="360" w:lineRule="auto"/>
        <w:ind w:firstLine="480" w:firstLineChars="200"/>
        <w:rPr>
          <w:rFonts w:hAnsi="宋体"/>
          <w:color w:val="auto"/>
          <w:sz w:val="24"/>
          <w:highlight w:val="none"/>
        </w:rPr>
      </w:pPr>
      <w:r>
        <w:rPr>
          <w:rFonts w:hint="eastAsia" w:hAnsi="宋体"/>
          <w:color w:val="auto"/>
          <w:sz w:val="24"/>
          <w:highlight w:val="none"/>
        </w:rPr>
        <w:t>(4)在评审过程中擅离职守，影响评审程序正常进行的；</w:t>
      </w:r>
    </w:p>
    <w:p w14:paraId="7097C7CB">
      <w:pPr>
        <w:spacing w:line="360" w:lineRule="auto"/>
        <w:ind w:firstLine="480" w:firstLineChars="200"/>
        <w:rPr>
          <w:rFonts w:hAnsi="宋体"/>
          <w:color w:val="auto"/>
          <w:sz w:val="24"/>
          <w:highlight w:val="none"/>
        </w:rPr>
      </w:pPr>
      <w:r>
        <w:rPr>
          <w:rFonts w:hint="eastAsia" w:hAnsi="宋体"/>
          <w:color w:val="auto"/>
          <w:sz w:val="24"/>
          <w:highlight w:val="none"/>
        </w:rPr>
        <w:t>(5)记录、复制或者带走任何评审资料；</w:t>
      </w:r>
    </w:p>
    <w:p w14:paraId="60C45421">
      <w:pPr>
        <w:spacing w:line="360" w:lineRule="auto"/>
        <w:ind w:firstLine="480" w:firstLineChars="200"/>
        <w:rPr>
          <w:rFonts w:hAnsi="宋体"/>
          <w:color w:val="auto"/>
          <w:sz w:val="24"/>
          <w:highlight w:val="none"/>
        </w:rPr>
      </w:pPr>
      <w:r>
        <w:rPr>
          <w:rFonts w:hint="eastAsia" w:hAnsi="宋体"/>
          <w:color w:val="auto"/>
          <w:sz w:val="24"/>
          <w:highlight w:val="none"/>
        </w:rPr>
        <w:t>(6)其他不遵守评审纪律的行为。</w:t>
      </w:r>
    </w:p>
    <w:p w14:paraId="45233A07">
      <w:pPr>
        <w:spacing w:line="360" w:lineRule="auto"/>
        <w:ind w:firstLine="480" w:firstLineChars="200"/>
        <w:rPr>
          <w:rFonts w:hAnsi="宋体"/>
          <w:color w:val="auto"/>
          <w:sz w:val="24"/>
          <w:highlight w:val="none"/>
        </w:rPr>
      </w:pPr>
      <w:r>
        <w:rPr>
          <w:rFonts w:hint="eastAsia" w:hAnsi="宋体"/>
          <w:color w:val="auto"/>
          <w:sz w:val="24"/>
          <w:highlight w:val="none"/>
        </w:rPr>
        <w:t>协商小组成员有前款第(1)至(6)项行为之一的，其评审意见无效，并不得获取评审劳务报酬和报销异地评审差旅费。</w:t>
      </w:r>
    </w:p>
    <w:p w14:paraId="4B04382D">
      <w:pPr>
        <w:spacing w:line="360" w:lineRule="auto"/>
        <w:rPr>
          <w:rFonts w:hAnsi="宋体"/>
          <w:b/>
          <w:color w:val="auto"/>
          <w:sz w:val="24"/>
          <w:highlight w:val="none"/>
        </w:rPr>
      </w:pPr>
      <w:bookmarkStart w:id="193" w:name="_Toc22639"/>
      <w:bookmarkEnd w:id="193"/>
      <w:bookmarkStart w:id="194" w:name="_Toc5153"/>
      <w:r>
        <w:rPr>
          <w:rFonts w:hAnsi="宋体"/>
          <w:b/>
          <w:color w:val="auto"/>
          <w:sz w:val="24"/>
          <w:highlight w:val="none"/>
        </w:rPr>
        <w:t>7</w:t>
      </w:r>
      <w:r>
        <w:rPr>
          <w:rFonts w:hint="eastAsia" w:hAnsi="宋体"/>
          <w:b/>
          <w:color w:val="auto"/>
          <w:sz w:val="24"/>
          <w:highlight w:val="none"/>
        </w:rPr>
        <w:t>.4 对与协商活动有关的工作人员的纪律要求</w:t>
      </w:r>
      <w:bookmarkEnd w:id="194"/>
    </w:p>
    <w:p w14:paraId="74C146B0">
      <w:pPr>
        <w:spacing w:line="360" w:lineRule="auto"/>
        <w:ind w:firstLine="480" w:firstLineChars="200"/>
        <w:rPr>
          <w:rFonts w:hAnsi="宋体"/>
          <w:color w:val="auto"/>
          <w:sz w:val="24"/>
          <w:highlight w:val="none"/>
        </w:rPr>
      </w:pPr>
      <w:r>
        <w:rPr>
          <w:rFonts w:hint="eastAsia" w:hAnsi="宋体"/>
          <w:color w:val="auto"/>
          <w:sz w:val="24"/>
          <w:highlight w:val="none"/>
        </w:rPr>
        <w:t>与协商活动有关的工作人员不得收受他人的财物或者其他好处，不得向他人透漏对响应文件的评审和推荐情况以及协商有关的其他情况。在协商活动中，与协商活动有关的工作人员不得擅离职守，影响协商程序正常进行。</w:t>
      </w:r>
    </w:p>
    <w:p w14:paraId="0A25C9C3">
      <w:pPr>
        <w:spacing w:line="360" w:lineRule="auto"/>
        <w:rPr>
          <w:rFonts w:hAnsi="宋体"/>
          <w:b/>
          <w:color w:val="auto"/>
          <w:sz w:val="24"/>
          <w:highlight w:val="none"/>
        </w:rPr>
      </w:pPr>
      <w:r>
        <w:rPr>
          <w:rFonts w:hint="eastAsia" w:hAnsi="宋体"/>
          <w:b/>
          <w:color w:val="auto"/>
          <w:sz w:val="24"/>
          <w:highlight w:val="none"/>
        </w:rPr>
        <w:t>7.5 采购代理机构廉洁自律规定</w:t>
      </w:r>
    </w:p>
    <w:p w14:paraId="1F485EC3">
      <w:pPr>
        <w:spacing w:line="360" w:lineRule="auto"/>
        <w:ind w:firstLine="480" w:firstLineChars="200"/>
        <w:rPr>
          <w:rFonts w:hAnsi="宋体"/>
          <w:color w:val="auto"/>
          <w:sz w:val="24"/>
          <w:highlight w:val="none"/>
        </w:rPr>
      </w:pPr>
      <w:r>
        <w:rPr>
          <w:rFonts w:hint="eastAsia" w:hAnsi="宋体"/>
          <w:color w:val="auto"/>
          <w:sz w:val="24"/>
          <w:highlight w:val="none"/>
        </w:rPr>
        <w:t>（1）采购代理机构工作人员不得以不正当手段获取政府采购代理业务，不得与采购人、供应商恶意串通操纵政府采购活动。</w:t>
      </w:r>
    </w:p>
    <w:p w14:paraId="510627D0">
      <w:pPr>
        <w:spacing w:line="360" w:lineRule="auto"/>
        <w:ind w:firstLine="480" w:firstLineChars="200"/>
        <w:rPr>
          <w:color w:val="auto"/>
          <w:highlight w:val="none"/>
        </w:rPr>
      </w:pPr>
      <w:r>
        <w:rPr>
          <w:rFonts w:hint="eastAsia" w:hAnsi="宋体"/>
          <w:color w:val="auto"/>
          <w:sz w:val="24"/>
          <w:highlight w:val="none"/>
        </w:rPr>
        <w:t>（2）采购代理机构工作人员不得接受采购人或者供应商组织的宴请、旅游、娱乐，不得收受礼品、现金、有价证券等，不得向采购人或者供应商报销应当由个人承担的费用。</w:t>
      </w:r>
    </w:p>
    <w:p w14:paraId="1F1B7C13">
      <w:pPr>
        <w:spacing w:line="360" w:lineRule="auto"/>
        <w:ind w:firstLine="480" w:firstLineChars="200"/>
        <w:rPr>
          <w:rFonts w:hAnsi="宋体"/>
          <w:color w:val="auto"/>
          <w:sz w:val="24"/>
          <w:highlight w:val="none"/>
        </w:rPr>
      </w:pPr>
    </w:p>
    <w:p w14:paraId="294789D8">
      <w:pPr>
        <w:pStyle w:val="4"/>
        <w:spacing w:line="360" w:lineRule="auto"/>
        <w:rPr>
          <w:rFonts w:ascii="宋体" w:hAnsi="宋体"/>
          <w:color w:val="auto"/>
          <w:sz w:val="28"/>
          <w:szCs w:val="28"/>
          <w:highlight w:val="none"/>
        </w:rPr>
      </w:pPr>
      <w:bookmarkStart w:id="195" w:name="_Toc11354"/>
      <w:bookmarkEnd w:id="195"/>
      <w:bookmarkStart w:id="196" w:name="_Toc19873"/>
      <w:bookmarkEnd w:id="196"/>
      <w:bookmarkStart w:id="197" w:name="_Toc11291"/>
      <w:bookmarkEnd w:id="197"/>
      <w:bookmarkStart w:id="198" w:name="_Toc18697"/>
      <w:bookmarkEnd w:id="198"/>
      <w:bookmarkStart w:id="199" w:name="_Toc3960"/>
      <w:bookmarkEnd w:id="199"/>
      <w:bookmarkStart w:id="200" w:name="_Toc7429"/>
      <w:bookmarkStart w:id="201" w:name="_Toc17953"/>
      <w:bookmarkStart w:id="202" w:name="_Toc14857"/>
      <w:bookmarkStart w:id="203" w:name="_Toc4685101"/>
      <w:r>
        <w:rPr>
          <w:rFonts w:ascii="宋体" w:hAnsi="宋体"/>
          <w:color w:val="auto"/>
          <w:sz w:val="28"/>
          <w:szCs w:val="28"/>
          <w:highlight w:val="none"/>
        </w:rPr>
        <w:t>8</w:t>
      </w:r>
      <w:r>
        <w:rPr>
          <w:rFonts w:hint="eastAsia" w:ascii="宋体" w:hAnsi="宋体"/>
          <w:color w:val="auto"/>
          <w:sz w:val="28"/>
          <w:szCs w:val="28"/>
          <w:highlight w:val="none"/>
        </w:rPr>
        <w:t>. 需要补充的其他内容</w:t>
      </w:r>
      <w:bookmarkEnd w:id="200"/>
      <w:bookmarkEnd w:id="201"/>
      <w:bookmarkEnd w:id="202"/>
      <w:bookmarkEnd w:id="203"/>
    </w:p>
    <w:p w14:paraId="285E8058">
      <w:pPr>
        <w:spacing w:line="360" w:lineRule="auto"/>
        <w:ind w:firstLine="480" w:firstLineChars="200"/>
        <w:rPr>
          <w:rFonts w:hAnsi="宋体"/>
          <w:color w:val="auto"/>
          <w:sz w:val="24"/>
          <w:highlight w:val="none"/>
        </w:rPr>
      </w:pPr>
      <w:r>
        <w:rPr>
          <w:rFonts w:hint="eastAsia" w:hAnsi="宋体"/>
          <w:color w:val="auto"/>
          <w:sz w:val="24"/>
          <w:highlight w:val="none"/>
        </w:rPr>
        <w:t>8.1需要补充的其他内容：见供应商须知前附表。</w:t>
      </w:r>
      <w:bookmarkStart w:id="204" w:name="_Toc31137"/>
      <w:bookmarkEnd w:id="204"/>
      <w:bookmarkStart w:id="205" w:name="_Toc22933"/>
      <w:bookmarkEnd w:id="205"/>
      <w:bookmarkStart w:id="206" w:name="_Toc30796"/>
    </w:p>
    <w:p w14:paraId="4124661C">
      <w:pPr>
        <w:spacing w:line="360" w:lineRule="auto"/>
        <w:ind w:firstLine="482" w:firstLineChars="200"/>
        <w:rPr>
          <w:rFonts w:hAnsi="宋体"/>
          <w:b/>
          <w:bCs/>
          <w:color w:val="auto"/>
          <w:sz w:val="24"/>
          <w:highlight w:val="none"/>
        </w:rPr>
      </w:pPr>
      <w:r>
        <w:rPr>
          <w:rFonts w:hint="eastAsia" w:hAnsi="宋体"/>
          <w:b/>
          <w:bCs/>
          <w:color w:val="auto"/>
          <w:sz w:val="24"/>
          <w:highlight w:val="none"/>
        </w:rPr>
        <w:t>8.2质疑接收、回复</w:t>
      </w:r>
    </w:p>
    <w:p w14:paraId="1E32204D">
      <w:pPr>
        <w:spacing w:line="360" w:lineRule="auto"/>
        <w:ind w:firstLine="482" w:firstLineChars="200"/>
        <w:rPr>
          <w:rFonts w:hAnsi="宋体"/>
          <w:b/>
          <w:color w:val="auto"/>
          <w:sz w:val="24"/>
          <w:highlight w:val="none"/>
        </w:rPr>
      </w:pPr>
      <w:r>
        <w:rPr>
          <w:rFonts w:hint="eastAsia" w:hAnsi="宋体"/>
          <w:b/>
          <w:color w:val="auto"/>
          <w:sz w:val="24"/>
          <w:highlight w:val="none"/>
        </w:rPr>
        <w:t>8.2.1质疑接收</w:t>
      </w:r>
    </w:p>
    <w:p w14:paraId="01B072FD">
      <w:pPr>
        <w:spacing w:line="360" w:lineRule="auto"/>
        <w:ind w:firstLine="480" w:firstLineChars="200"/>
        <w:rPr>
          <w:rFonts w:hAnsi="宋体"/>
          <w:color w:val="auto"/>
          <w:sz w:val="24"/>
          <w:highlight w:val="none"/>
        </w:rPr>
      </w:pPr>
      <w:r>
        <w:rPr>
          <w:rFonts w:hint="eastAsia" w:hAnsi="宋体"/>
          <w:color w:val="auto"/>
          <w:sz w:val="24"/>
          <w:highlight w:val="none"/>
        </w:rPr>
        <w:t>8.2.1.1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CFE4844">
      <w:pPr>
        <w:spacing w:line="360" w:lineRule="auto"/>
        <w:ind w:firstLine="480" w:firstLineChars="200"/>
        <w:rPr>
          <w:rFonts w:hAnsi="宋体"/>
          <w:color w:val="auto"/>
          <w:sz w:val="24"/>
          <w:highlight w:val="none"/>
        </w:rPr>
      </w:pPr>
      <w:r>
        <w:rPr>
          <w:rFonts w:hint="eastAsia" w:hAnsi="宋体"/>
          <w:color w:val="auto"/>
          <w:sz w:val="24"/>
          <w:highlight w:val="none"/>
        </w:rPr>
        <w:t>8.2.1.2质疑供应商应按照财政部制定的《政府采购质疑函范本》格式和《政府采购质疑和投诉办法》的要求，在法定质疑期内书面形式提出质疑，针对同一采购程序环节的质疑应一次性提出。</w:t>
      </w:r>
    </w:p>
    <w:p w14:paraId="5CF1FE3B">
      <w:pPr>
        <w:spacing w:line="360" w:lineRule="auto"/>
        <w:ind w:firstLine="480" w:firstLineChars="200"/>
        <w:rPr>
          <w:rFonts w:hAnsi="宋体"/>
          <w:color w:val="auto"/>
          <w:sz w:val="24"/>
          <w:highlight w:val="none"/>
        </w:rPr>
      </w:pPr>
      <w:r>
        <w:rPr>
          <w:rFonts w:hint="eastAsia" w:hAnsi="宋体"/>
          <w:color w:val="auto"/>
          <w:sz w:val="24"/>
          <w:highlight w:val="none"/>
        </w:rPr>
        <w:t>超出法定质疑期的、重复提出的、分次提出的或内容、形式不符合《政府采购质疑和投诉办法》的，质疑供应商将依法承担不利后果。</w:t>
      </w:r>
    </w:p>
    <w:p w14:paraId="6296FF73">
      <w:pPr>
        <w:spacing w:line="360" w:lineRule="auto"/>
        <w:ind w:firstLine="480" w:firstLineChars="200"/>
        <w:rPr>
          <w:rFonts w:hAnsi="宋体"/>
          <w:color w:val="auto"/>
          <w:sz w:val="24"/>
          <w:highlight w:val="none"/>
        </w:rPr>
      </w:pPr>
      <w:r>
        <w:rPr>
          <w:rFonts w:hint="eastAsia" w:hAnsi="宋体"/>
          <w:color w:val="auto"/>
          <w:sz w:val="24"/>
          <w:highlight w:val="none"/>
        </w:rPr>
        <w:t>8.2.1.3采购代理机构接收质疑函的方式、联系部门、联系电话和通讯地址。</w:t>
      </w:r>
    </w:p>
    <w:p w14:paraId="1501FC04">
      <w:pPr>
        <w:spacing w:line="360" w:lineRule="auto"/>
        <w:ind w:firstLine="480" w:firstLineChars="200"/>
        <w:rPr>
          <w:rFonts w:hAnsi="宋体"/>
          <w:color w:val="auto"/>
          <w:sz w:val="24"/>
          <w:highlight w:val="none"/>
        </w:rPr>
      </w:pPr>
      <w:r>
        <w:rPr>
          <w:rFonts w:hint="eastAsia" w:hAnsi="宋体"/>
          <w:color w:val="auto"/>
          <w:sz w:val="24"/>
          <w:highlight w:val="none"/>
        </w:rPr>
        <w:t>接收质疑函的方式：质疑函采取书面递交形式。</w:t>
      </w:r>
    </w:p>
    <w:p w14:paraId="675C9E9A">
      <w:pPr>
        <w:spacing w:line="360" w:lineRule="auto"/>
        <w:ind w:firstLine="480" w:firstLineChars="200"/>
        <w:rPr>
          <w:rFonts w:hAnsi="宋体"/>
          <w:color w:val="auto"/>
          <w:sz w:val="24"/>
          <w:highlight w:val="none"/>
        </w:rPr>
      </w:pPr>
      <w:r>
        <w:rPr>
          <w:rFonts w:hint="eastAsia" w:hAnsi="宋体"/>
          <w:color w:val="auto"/>
          <w:sz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121766D">
      <w:pPr>
        <w:spacing w:line="360" w:lineRule="auto"/>
        <w:ind w:firstLine="480" w:firstLineChars="200"/>
        <w:rPr>
          <w:rFonts w:hAnsi="宋体"/>
          <w:color w:val="auto"/>
          <w:sz w:val="24"/>
          <w:highlight w:val="none"/>
        </w:rPr>
      </w:pPr>
      <w:r>
        <w:rPr>
          <w:rFonts w:hint="eastAsia" w:hAnsi="宋体"/>
          <w:color w:val="auto"/>
          <w:sz w:val="24"/>
          <w:highlight w:val="none"/>
        </w:rPr>
        <w:t>代理人提出质疑，应当提交供应商签署的授权委托书。</w:t>
      </w:r>
    </w:p>
    <w:p w14:paraId="1A580B58">
      <w:pPr>
        <w:spacing w:line="360" w:lineRule="auto"/>
        <w:ind w:firstLine="480" w:firstLineChars="200"/>
        <w:rPr>
          <w:rFonts w:hAnsi="宋体" w:cs="宋体"/>
          <w:color w:val="auto"/>
          <w:sz w:val="24"/>
          <w:highlight w:val="none"/>
        </w:rPr>
      </w:pPr>
      <w:r>
        <w:rPr>
          <w:rFonts w:hint="eastAsia" w:hAnsi="宋体"/>
          <w:color w:val="auto"/>
          <w:sz w:val="24"/>
          <w:highlight w:val="none"/>
        </w:rPr>
        <w:t>联系部门：</w:t>
      </w:r>
      <w:r>
        <w:rPr>
          <w:rFonts w:hint="eastAsia" w:hAnsi="宋体" w:cs="宋体"/>
          <w:color w:val="auto"/>
          <w:sz w:val="24"/>
          <w:highlight w:val="none"/>
        </w:rPr>
        <w:t>云南元大工程咨询有限责任公司业务二部项目</w:t>
      </w:r>
      <w:r>
        <w:rPr>
          <w:rFonts w:hint="eastAsia" w:hAnsi="宋体" w:cs="宋体"/>
          <w:color w:val="auto"/>
          <w:sz w:val="24"/>
          <w:highlight w:val="none"/>
          <w:lang w:val="en-US" w:eastAsia="zh-CN"/>
        </w:rPr>
        <w:t>十</w:t>
      </w:r>
      <w:r>
        <w:rPr>
          <w:rFonts w:hint="eastAsia" w:hAnsi="宋体" w:cs="宋体"/>
          <w:color w:val="auto"/>
          <w:sz w:val="24"/>
          <w:highlight w:val="none"/>
        </w:rPr>
        <w:t>组。</w:t>
      </w:r>
    </w:p>
    <w:p w14:paraId="121A8BE9">
      <w:pPr>
        <w:spacing w:line="360" w:lineRule="auto"/>
        <w:ind w:firstLine="480" w:firstLineChars="200"/>
        <w:rPr>
          <w:rFonts w:hAnsi="宋体" w:cs="宋体"/>
          <w:color w:val="auto"/>
          <w:sz w:val="24"/>
          <w:highlight w:val="none"/>
        </w:rPr>
      </w:pPr>
      <w:r>
        <w:rPr>
          <w:rFonts w:hint="eastAsia" w:hAnsi="宋体" w:cs="宋体"/>
          <w:color w:val="auto"/>
          <w:sz w:val="24"/>
          <w:highlight w:val="none"/>
        </w:rPr>
        <w:t>联系电话：（0871）63335856</w:t>
      </w:r>
    </w:p>
    <w:p w14:paraId="5A5EEF0C">
      <w:pPr>
        <w:pStyle w:val="2"/>
        <w:ind w:firstLine="480" w:firstLineChars="200"/>
        <w:rPr>
          <w:rFonts w:cs="宋体"/>
          <w:color w:val="auto"/>
          <w:highlight w:val="none"/>
        </w:rPr>
      </w:pPr>
      <w:r>
        <w:rPr>
          <w:rFonts w:hint="eastAsia" w:cs="宋体"/>
          <w:color w:val="auto"/>
          <w:highlight w:val="none"/>
        </w:rPr>
        <w:t>通讯地址：云南省昆明市盘龙区联盟路与万宏路交汇处万宏嘉园沣苑(地块三)B座15层（奥斯迪商务中心B座15楼）</w:t>
      </w:r>
    </w:p>
    <w:p w14:paraId="17E748CF">
      <w:pPr>
        <w:pStyle w:val="2"/>
        <w:ind w:firstLine="482" w:firstLineChars="200"/>
        <w:rPr>
          <w:b/>
          <w:color w:val="auto"/>
          <w:kern w:val="0"/>
          <w:highlight w:val="none"/>
        </w:rPr>
      </w:pPr>
      <w:r>
        <w:rPr>
          <w:rFonts w:hint="eastAsia"/>
          <w:b/>
          <w:color w:val="auto"/>
          <w:kern w:val="0"/>
          <w:highlight w:val="none"/>
        </w:rPr>
        <w:t>8.2.1.4不按上述要求提出的，采购人和采购代理机构将不予受理。</w:t>
      </w:r>
    </w:p>
    <w:p w14:paraId="3C92451B">
      <w:pPr>
        <w:spacing w:line="360" w:lineRule="auto"/>
        <w:ind w:firstLine="482" w:firstLineChars="200"/>
        <w:rPr>
          <w:rFonts w:hAnsi="宋体"/>
          <w:b/>
          <w:color w:val="auto"/>
          <w:sz w:val="24"/>
          <w:highlight w:val="none"/>
        </w:rPr>
      </w:pPr>
      <w:r>
        <w:rPr>
          <w:rFonts w:hint="eastAsia" w:hAnsi="宋体"/>
          <w:b/>
          <w:color w:val="auto"/>
          <w:sz w:val="24"/>
          <w:highlight w:val="none"/>
        </w:rPr>
        <w:t>8.2.2质疑回复</w:t>
      </w:r>
    </w:p>
    <w:p w14:paraId="555CD635">
      <w:pPr>
        <w:pStyle w:val="2"/>
        <w:rPr>
          <w:color w:val="auto"/>
          <w:highlight w:val="none"/>
        </w:rPr>
      </w:pPr>
      <w:r>
        <w:rPr>
          <w:rFonts w:hint="eastAsia"/>
          <w:color w:val="auto"/>
          <w:szCs w:val="24"/>
          <w:highlight w:val="none"/>
        </w:rPr>
        <w:t>采购人或者招标代理机构应在</w:t>
      </w:r>
      <w:r>
        <w:rPr>
          <w:color w:val="auto"/>
          <w:szCs w:val="24"/>
          <w:highlight w:val="none"/>
        </w:rPr>
        <w:t>收到质疑函后7个工作日内作出答复，并以书面形式通知质疑</w:t>
      </w:r>
      <w:r>
        <w:rPr>
          <w:rFonts w:hint="eastAsia"/>
          <w:color w:val="auto"/>
          <w:szCs w:val="24"/>
          <w:highlight w:val="none"/>
        </w:rPr>
        <w:t>投标人</w:t>
      </w:r>
      <w:r>
        <w:rPr>
          <w:color w:val="auto"/>
          <w:szCs w:val="24"/>
          <w:highlight w:val="none"/>
        </w:rPr>
        <w:t>和其他有关</w:t>
      </w:r>
      <w:r>
        <w:rPr>
          <w:rFonts w:hint="eastAsia"/>
          <w:color w:val="auto"/>
          <w:szCs w:val="24"/>
          <w:highlight w:val="none"/>
        </w:rPr>
        <w:t>投标人，质疑答复的内容不得涉及商业秘密。</w:t>
      </w:r>
    </w:p>
    <w:bookmarkEnd w:id="206"/>
    <w:p w14:paraId="35A7DF00">
      <w:pPr>
        <w:spacing w:line="360" w:lineRule="auto"/>
        <w:ind w:firstLine="480" w:firstLineChars="200"/>
        <w:rPr>
          <w:rFonts w:hAnsi="宋体"/>
          <w:color w:val="auto"/>
          <w:sz w:val="24"/>
          <w:highlight w:val="none"/>
        </w:rPr>
      </w:pPr>
    </w:p>
    <w:p w14:paraId="0AE04AA0">
      <w:pPr>
        <w:pStyle w:val="4"/>
        <w:rPr>
          <w:color w:val="auto"/>
          <w:highlight w:val="none"/>
        </w:rPr>
        <w:sectPr>
          <w:footerReference r:id="rId11" w:type="default"/>
          <w:pgSz w:w="11905" w:h="16838"/>
          <w:pgMar w:top="1440" w:right="1083" w:bottom="1440" w:left="1083" w:header="850" w:footer="992" w:gutter="0"/>
          <w:cols w:space="720" w:num="1"/>
          <w:docGrid w:type="lines" w:linePitch="317" w:charSpace="0"/>
        </w:sectPr>
      </w:pPr>
    </w:p>
    <w:bookmarkEnd w:id="73"/>
    <w:p w14:paraId="2E5F5A79">
      <w:pPr>
        <w:pStyle w:val="3"/>
        <w:spacing w:line="360" w:lineRule="auto"/>
        <w:rPr>
          <w:color w:val="auto"/>
          <w:sz w:val="24"/>
          <w:highlight w:val="none"/>
        </w:rPr>
      </w:pPr>
      <w:bookmarkStart w:id="207" w:name="_Toc86124092"/>
      <w:bookmarkStart w:id="208" w:name="_Toc523149590"/>
      <w:bookmarkStart w:id="209" w:name="_Toc82784453"/>
      <w:bookmarkStart w:id="210" w:name="_Toc13678"/>
      <w:bookmarkStart w:id="211" w:name="_Toc4685102"/>
      <w:bookmarkStart w:id="212" w:name="_Toc460224508"/>
      <w:bookmarkStart w:id="213" w:name="_Toc408923068"/>
      <w:bookmarkStart w:id="214" w:name="_Toc122530396"/>
      <w:bookmarkStart w:id="215" w:name="_Toc153621839"/>
      <w:bookmarkStart w:id="216" w:name="_Toc68441617"/>
      <w:r>
        <w:rPr>
          <w:rFonts w:hint="eastAsia" w:ascii="宋体" w:hAnsi="宋体"/>
          <w:color w:val="auto"/>
          <w:sz w:val="36"/>
          <w:highlight w:val="none"/>
        </w:rPr>
        <w:t>第三</w:t>
      </w:r>
      <w:r>
        <w:rPr>
          <w:rFonts w:ascii="宋体" w:hAnsi="宋体"/>
          <w:color w:val="auto"/>
          <w:sz w:val="36"/>
          <w:highlight w:val="none"/>
        </w:rPr>
        <w:t xml:space="preserve">章 </w:t>
      </w:r>
      <w:bookmarkEnd w:id="207"/>
      <w:r>
        <w:rPr>
          <w:rFonts w:hint="eastAsia" w:ascii="宋体" w:hAnsi="宋体"/>
          <w:color w:val="auto"/>
          <w:sz w:val="36"/>
          <w:highlight w:val="none"/>
        </w:rPr>
        <w:t xml:space="preserve"> 协商程序和方法</w:t>
      </w:r>
      <w:bookmarkEnd w:id="208"/>
      <w:bookmarkEnd w:id="209"/>
      <w:bookmarkEnd w:id="210"/>
      <w:bookmarkStart w:id="217" w:name="_Toc523149591"/>
      <w:bookmarkStart w:id="218" w:name="_Toc86124093"/>
      <w:bookmarkStart w:id="219" w:name="_Toc82784454"/>
      <w:bookmarkStart w:id="220" w:name="_Toc191374457"/>
    </w:p>
    <w:p w14:paraId="38917BCB">
      <w:pPr>
        <w:pStyle w:val="4"/>
        <w:spacing w:line="360" w:lineRule="auto"/>
        <w:ind w:firstLine="482" w:firstLineChars="200"/>
        <w:jc w:val="both"/>
        <w:rPr>
          <w:rFonts w:ascii="宋体" w:hAnsi="宋体" w:cs="宋体"/>
          <w:bCs/>
          <w:snapToGrid w:val="0"/>
          <w:color w:val="auto"/>
          <w:kern w:val="21"/>
          <w:sz w:val="24"/>
          <w:szCs w:val="24"/>
          <w:highlight w:val="none"/>
        </w:rPr>
      </w:pPr>
      <w:bookmarkStart w:id="221" w:name="_Toc17305917"/>
      <w:bookmarkStart w:id="222" w:name="_Toc82784455"/>
      <w:bookmarkStart w:id="223" w:name="_Toc23191"/>
      <w:bookmarkStart w:id="224" w:name="_Toc24038"/>
      <w:r>
        <w:rPr>
          <w:rFonts w:hint="eastAsia" w:ascii="宋体" w:hAnsi="宋体" w:cs="宋体"/>
          <w:bCs/>
          <w:snapToGrid w:val="0"/>
          <w:color w:val="auto"/>
          <w:kern w:val="21"/>
          <w:sz w:val="24"/>
          <w:szCs w:val="24"/>
          <w:highlight w:val="none"/>
        </w:rPr>
        <w:t>一、协商原则</w:t>
      </w:r>
      <w:bookmarkEnd w:id="221"/>
      <w:bookmarkEnd w:id="222"/>
      <w:bookmarkEnd w:id="223"/>
      <w:bookmarkEnd w:id="224"/>
    </w:p>
    <w:p w14:paraId="79F833E1">
      <w:pPr>
        <w:spacing w:line="360" w:lineRule="auto"/>
        <w:ind w:firstLine="480" w:firstLineChars="200"/>
        <w:jc w:val="left"/>
        <w:rPr>
          <w:rFonts w:hAnsi="宋体" w:cs="宋体"/>
          <w:color w:val="auto"/>
          <w:sz w:val="24"/>
          <w:highlight w:val="none"/>
        </w:rPr>
      </w:pPr>
      <w:r>
        <w:rPr>
          <w:rFonts w:hint="eastAsia" w:hAnsi="宋体" w:cs="宋体"/>
          <w:color w:val="auto"/>
          <w:sz w:val="24"/>
          <w:highlight w:val="none"/>
        </w:rPr>
        <w:t>采购人与供应商均应当遵循《中华人民共和国政府采购法》《中华人民共和国政府采购法实施条例》《政府采购非招标采购方式管理办法（财政部74号令）》等有关法律法规规定的原则，在保证采购项目技术、质量、服务和双方商定合理价格的基础上进行采购。</w:t>
      </w:r>
    </w:p>
    <w:p w14:paraId="5271C1A2">
      <w:pPr>
        <w:pStyle w:val="4"/>
        <w:spacing w:line="360" w:lineRule="auto"/>
        <w:ind w:firstLine="482" w:firstLineChars="200"/>
        <w:jc w:val="both"/>
        <w:rPr>
          <w:rFonts w:ascii="宋体" w:hAnsi="宋体" w:cs="宋体"/>
          <w:color w:val="auto"/>
          <w:sz w:val="24"/>
          <w:szCs w:val="24"/>
          <w:highlight w:val="none"/>
        </w:rPr>
      </w:pPr>
      <w:bookmarkStart w:id="225" w:name="_Toc86124098"/>
      <w:bookmarkStart w:id="226" w:name="_Toc191374451"/>
      <w:bookmarkStart w:id="227" w:name="_Toc82784456"/>
      <w:bookmarkStart w:id="228" w:name="_Toc17305918"/>
      <w:bookmarkStart w:id="229" w:name="_Toc26390"/>
      <w:bookmarkStart w:id="230" w:name="_Toc2232"/>
      <w:r>
        <w:rPr>
          <w:rFonts w:hint="eastAsia" w:ascii="宋体" w:hAnsi="宋体" w:cs="宋体"/>
          <w:bCs/>
          <w:snapToGrid w:val="0"/>
          <w:color w:val="auto"/>
          <w:kern w:val="21"/>
          <w:sz w:val="24"/>
          <w:szCs w:val="24"/>
          <w:highlight w:val="none"/>
        </w:rPr>
        <w:t>二、协商程序</w:t>
      </w:r>
      <w:bookmarkEnd w:id="225"/>
      <w:bookmarkEnd w:id="226"/>
      <w:r>
        <w:rPr>
          <w:rFonts w:hint="eastAsia" w:ascii="宋体" w:hAnsi="宋体" w:cs="宋体"/>
          <w:bCs/>
          <w:snapToGrid w:val="0"/>
          <w:color w:val="auto"/>
          <w:kern w:val="21"/>
          <w:sz w:val="24"/>
          <w:szCs w:val="24"/>
          <w:highlight w:val="none"/>
        </w:rPr>
        <w:t>和标准</w:t>
      </w:r>
      <w:bookmarkEnd w:id="227"/>
      <w:bookmarkEnd w:id="228"/>
      <w:bookmarkEnd w:id="229"/>
      <w:bookmarkEnd w:id="230"/>
    </w:p>
    <w:p w14:paraId="66418F65">
      <w:pPr>
        <w:tabs>
          <w:tab w:val="left" w:pos="1080"/>
          <w:tab w:val="left" w:pos="1589"/>
        </w:tabs>
        <w:snapToGrid w:val="0"/>
        <w:spacing w:line="360" w:lineRule="auto"/>
        <w:ind w:firstLine="480" w:firstLineChars="200"/>
        <w:rPr>
          <w:color w:val="auto"/>
          <w:sz w:val="24"/>
          <w:highlight w:val="none"/>
        </w:rPr>
      </w:pPr>
      <w:r>
        <w:rPr>
          <w:rFonts w:hint="eastAsia" w:hAnsi="宋体" w:cs="宋体"/>
          <w:color w:val="auto"/>
          <w:sz w:val="24"/>
          <w:highlight w:val="none"/>
        </w:rPr>
        <w:t>协商小组</w:t>
      </w:r>
      <w:r>
        <w:rPr>
          <w:color w:val="auto"/>
          <w:sz w:val="24"/>
          <w:highlight w:val="none"/>
        </w:rPr>
        <w:t>将根据资格审查要求和符合性审查要求中规定的审查因素和审查内容，对供应商进行审查，并形成审查记录。</w:t>
      </w:r>
    </w:p>
    <w:p w14:paraId="4A887567">
      <w:pPr>
        <w:pStyle w:val="14"/>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(一)资格审查</w:t>
      </w:r>
    </w:p>
    <w:p w14:paraId="0CB7A707">
      <w:pPr>
        <w:pStyle w:val="14"/>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协商小组对供应商的响应文件进行资格审查，以确定其是否满足单一来源采购文件的实质性要求。</w:t>
      </w:r>
    </w:p>
    <w:p w14:paraId="062477FF">
      <w:pPr>
        <w:pStyle w:val="14"/>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满足下列情形的响应文件才能通过资格审查，未通过资格审查的供应商将不进入符合性审查：</w:t>
      </w:r>
    </w:p>
    <w:p w14:paraId="6AFFFCEC">
      <w:pPr>
        <w:spacing w:line="360" w:lineRule="auto"/>
        <w:ind w:firstLine="480" w:firstLineChars="200"/>
        <w:rPr>
          <w:rFonts w:hAnsi="宋体" w:cs="宋体"/>
          <w:color w:val="auto"/>
          <w:sz w:val="24"/>
          <w:highlight w:val="none"/>
        </w:rPr>
      </w:pPr>
      <w:r>
        <w:rPr>
          <w:rFonts w:hint="eastAsia" w:hAnsi="宋体" w:cs="宋体"/>
          <w:color w:val="auto"/>
          <w:kern w:val="2"/>
          <w:sz w:val="24"/>
          <w:highlight w:val="none"/>
          <w:lang w:bidi="ar"/>
        </w:rPr>
        <w:t>1.满足《中华人民共和国政府采购法》第二十二条规定；</w:t>
      </w:r>
    </w:p>
    <w:p w14:paraId="08B49D5C">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1.1具有独立承担民事责任的能力。提供法人或者其他组织的营业执照等证明文件。</w:t>
      </w:r>
    </w:p>
    <w:p w14:paraId="113E00C4">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1.2具有良好的商业信誉和健全的财务会计制度。提供具备良好的商业信誉和健全的财务会计制度的承诺或证明材料。</w:t>
      </w:r>
    </w:p>
    <w:p w14:paraId="782127B7">
      <w:pPr>
        <w:spacing w:line="360" w:lineRule="auto"/>
        <w:ind w:firstLine="480" w:firstLineChars="200"/>
        <w:rPr>
          <w:rFonts w:hAnsi="宋体" w:cs="宋体"/>
          <w:color w:val="auto"/>
          <w:sz w:val="24"/>
          <w:highlight w:val="none"/>
        </w:rPr>
      </w:pPr>
      <w:r>
        <w:rPr>
          <w:rFonts w:hint="eastAsia" w:hAnsi="宋体" w:cs="宋体"/>
          <w:color w:val="auto"/>
          <w:kern w:val="2"/>
          <w:sz w:val="24"/>
          <w:highlight w:val="none"/>
          <w:lang w:bidi="ar"/>
        </w:rPr>
        <w:t>1.3具有履行合同所必需的设备和专业技术能力。</w:t>
      </w:r>
      <w:r>
        <w:rPr>
          <w:rFonts w:hint="eastAsia" w:hAnsi="宋体" w:cs="宋体"/>
          <w:color w:val="auto"/>
          <w:sz w:val="24"/>
          <w:highlight w:val="none"/>
        </w:rPr>
        <w:t>提供具备履行合同所必需的设备和专业技术能力的承诺或证明材料。</w:t>
      </w:r>
    </w:p>
    <w:p w14:paraId="5A8CAD42">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1.4有依法缴纳税收和社会保障资金的良好记录。提供具备依法缴纳税收和社会保障资金的良好记录的承诺或证明材料。</w:t>
      </w:r>
    </w:p>
    <w:p w14:paraId="67093E59">
      <w:pPr>
        <w:spacing w:line="360" w:lineRule="auto"/>
        <w:ind w:firstLine="480" w:firstLineChars="200"/>
        <w:rPr>
          <w:rFonts w:hAnsi="宋体" w:cs="宋体"/>
          <w:color w:val="auto"/>
          <w:sz w:val="24"/>
          <w:highlight w:val="none"/>
        </w:rPr>
      </w:pPr>
      <w:r>
        <w:rPr>
          <w:rFonts w:hint="eastAsia" w:hAnsi="宋体" w:cs="宋体"/>
          <w:color w:val="auto"/>
          <w:sz w:val="24"/>
          <w:highlight w:val="none"/>
        </w:rPr>
        <w:t>1.5参加政府采购活动前三年内，在经营活动中没有重大违法记录。提供参加政府采购活动前三年内在经营活动中没有重大违法记录的书面声明。</w:t>
      </w:r>
    </w:p>
    <w:p w14:paraId="1A0B5FA8">
      <w:pPr>
        <w:spacing w:line="360" w:lineRule="auto"/>
        <w:ind w:firstLine="465"/>
        <w:rPr>
          <w:rFonts w:hAnsi="宋体" w:cs="宋体"/>
          <w:color w:val="auto"/>
          <w:sz w:val="24"/>
          <w:highlight w:val="none"/>
        </w:rPr>
      </w:pPr>
      <w:r>
        <w:rPr>
          <w:rFonts w:hint="eastAsia" w:hAnsi="宋体" w:cs="宋体"/>
          <w:color w:val="auto"/>
          <w:sz w:val="24"/>
          <w:highlight w:val="none"/>
        </w:rPr>
        <w:t>1.6法律、行政法规规定的其他条件。</w:t>
      </w:r>
    </w:p>
    <w:p w14:paraId="1DD54AD5">
      <w:pPr>
        <w:pStyle w:val="2"/>
        <w:ind w:firstLine="465"/>
        <w:rPr>
          <w:rFonts w:cs="宋体"/>
          <w:bCs w:val="0"/>
          <w:color w:val="auto"/>
          <w:kern w:val="0"/>
          <w:szCs w:val="24"/>
          <w:highlight w:val="none"/>
        </w:rPr>
      </w:pPr>
      <w:r>
        <w:rPr>
          <w:rFonts w:hint="eastAsia" w:cs="宋体"/>
          <w:bCs w:val="0"/>
          <w:color w:val="auto"/>
          <w:kern w:val="0"/>
          <w:szCs w:val="24"/>
          <w:highlight w:val="none"/>
        </w:rPr>
        <w:t>1.6.1 单位负责人为同一人或者存在直接控股、管理关系的不同供应商，不得参加同一合同项下的政府采购活动。</w:t>
      </w:r>
    </w:p>
    <w:p w14:paraId="31FFBA6E">
      <w:pPr>
        <w:spacing w:line="360" w:lineRule="auto"/>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1.6.2供应商应在“信用中国”网站(www.creditchina.gov.cn)未被列入失信被执行人记录、重大税收违法失信主体且在中国政府采购网(www.ccgp.gov.cn)没有政府采购严重违法失信行为记录。</w:t>
      </w:r>
    </w:p>
    <w:p w14:paraId="598A5FF2">
      <w:pPr>
        <w:spacing w:line="360" w:lineRule="auto"/>
        <w:ind w:firstLine="480" w:firstLineChars="200"/>
        <w:rPr>
          <w:rFonts w:hint="eastAsia" w:hAnsi="宋体"/>
          <w:color w:val="auto"/>
          <w:sz w:val="24"/>
          <w:highlight w:val="none"/>
        </w:rPr>
      </w:pPr>
      <w:r>
        <w:rPr>
          <w:rFonts w:hint="eastAsia" w:hAnsi="宋体" w:cs="宋体"/>
          <w:color w:val="auto"/>
          <w:kern w:val="2"/>
          <w:sz w:val="24"/>
          <w:highlight w:val="none"/>
          <w:lang w:bidi="ar"/>
        </w:rPr>
        <w:t>2.落实政府采购政策需满足的资格要求</w:t>
      </w:r>
      <w:r>
        <w:rPr>
          <w:rFonts w:hint="eastAsia" w:hAnsi="宋体"/>
          <w:color w:val="auto"/>
          <w:sz w:val="24"/>
          <w:highlight w:val="none"/>
        </w:rPr>
        <w:t>：本项目非专门面向中小企业采购。</w:t>
      </w:r>
    </w:p>
    <w:p w14:paraId="7C0A8F1A">
      <w:pPr>
        <w:pStyle w:val="14"/>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lang w:bidi="ar"/>
        </w:rPr>
        <w:t>3.本项目的特定资格要求：本项目不接受联合体协商。</w:t>
      </w:r>
    </w:p>
    <w:p w14:paraId="025F9494">
      <w:pPr>
        <w:pStyle w:val="14"/>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(二)符合性审查</w:t>
      </w:r>
    </w:p>
    <w:p w14:paraId="44ADA81D">
      <w:pPr>
        <w:pStyle w:val="14"/>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协商小组依据符合性审查标准对符合资格的供应商的响应文件进行符合性审查，有一项不符合审查标准的，则供应商响应文件按无效处理。</w:t>
      </w:r>
    </w:p>
    <w:p w14:paraId="7AA7C9C9">
      <w:pPr>
        <w:pStyle w:val="14"/>
        <w:ind w:firstLine="0"/>
        <w:jc w:val="center"/>
        <w:rPr>
          <w:rFonts w:ascii="宋体" w:hAnsi="宋体" w:cs="宋体"/>
          <w:color w:val="auto"/>
          <w:sz w:val="24"/>
          <w:szCs w:val="24"/>
          <w:highlight w:val="none"/>
        </w:rPr>
      </w:pPr>
      <w:r>
        <w:rPr>
          <w:rFonts w:hint="eastAsia" w:ascii="宋体" w:hAnsi="宋体" w:cs="宋体"/>
          <w:b/>
          <w:color w:val="auto"/>
          <w:sz w:val="24"/>
          <w:szCs w:val="24"/>
          <w:highlight w:val="none"/>
        </w:rPr>
        <w:t>符合性审查表</w:t>
      </w:r>
    </w:p>
    <w:tbl>
      <w:tblPr>
        <w:tblStyle w:val="35"/>
        <w:tblW w:w="94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2009"/>
        <w:gridCol w:w="6020"/>
      </w:tblGrid>
      <w:tr w14:paraId="6F16F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407" w:type="dxa"/>
            <w:vAlign w:val="center"/>
          </w:tcPr>
          <w:p w14:paraId="0112FFC2">
            <w:pPr>
              <w:pStyle w:val="14"/>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2009" w:type="dxa"/>
            <w:vAlign w:val="center"/>
          </w:tcPr>
          <w:p w14:paraId="267E4DCA">
            <w:pPr>
              <w:pStyle w:val="14"/>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审查因素</w:t>
            </w:r>
          </w:p>
        </w:tc>
        <w:tc>
          <w:tcPr>
            <w:tcW w:w="6020" w:type="dxa"/>
            <w:vAlign w:val="center"/>
          </w:tcPr>
          <w:p w14:paraId="495283B4">
            <w:pPr>
              <w:pStyle w:val="14"/>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审查标准</w:t>
            </w:r>
          </w:p>
        </w:tc>
      </w:tr>
      <w:tr w14:paraId="7CCF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7A8EEB93">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符合性评审标准</w:t>
            </w:r>
          </w:p>
        </w:tc>
        <w:tc>
          <w:tcPr>
            <w:tcW w:w="2009" w:type="dxa"/>
            <w:vAlign w:val="center"/>
          </w:tcPr>
          <w:p w14:paraId="23E74DA8">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响应文件格式</w:t>
            </w:r>
          </w:p>
        </w:tc>
        <w:tc>
          <w:tcPr>
            <w:tcW w:w="6020" w:type="dxa"/>
            <w:vAlign w:val="center"/>
          </w:tcPr>
          <w:p w14:paraId="5AB7C64F">
            <w:pPr>
              <w:pStyle w:val="14"/>
              <w:ind w:firstLine="0"/>
              <w:jc w:val="left"/>
              <w:rPr>
                <w:rFonts w:ascii="宋体" w:hAnsi="宋体" w:cs="宋体"/>
                <w:color w:val="auto"/>
                <w:sz w:val="24"/>
                <w:szCs w:val="24"/>
                <w:highlight w:val="none"/>
              </w:rPr>
            </w:pPr>
            <w:r>
              <w:rPr>
                <w:rFonts w:hint="eastAsia" w:ascii="宋体" w:hAnsi="宋体" w:cs="宋体"/>
                <w:color w:val="auto"/>
                <w:sz w:val="24"/>
                <w:highlight w:val="none"/>
              </w:rPr>
              <w:t>响应文件按</w:t>
            </w:r>
            <w:r>
              <w:rPr>
                <w:rFonts w:hint="eastAsia" w:ascii="宋体" w:hAnsi="宋体" w:cs="宋体"/>
                <w:color w:val="auto"/>
                <w:sz w:val="24"/>
                <w:szCs w:val="24"/>
                <w:highlight w:val="none"/>
              </w:rPr>
              <w:t>第六章“响应文件格式”</w:t>
            </w:r>
            <w:r>
              <w:rPr>
                <w:rFonts w:hint="eastAsia" w:ascii="宋体" w:hAnsi="宋体" w:cs="宋体"/>
                <w:color w:val="auto"/>
                <w:sz w:val="24"/>
                <w:highlight w:val="none"/>
              </w:rPr>
              <w:t>要求填写，内容完整且关键字迹清晰</w:t>
            </w:r>
          </w:p>
        </w:tc>
      </w:tr>
      <w:tr w14:paraId="4DBF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584455A7">
            <w:pPr>
              <w:pStyle w:val="14"/>
              <w:ind w:firstLine="0"/>
              <w:jc w:val="center"/>
              <w:rPr>
                <w:rFonts w:ascii="宋体" w:hAnsi="宋体" w:cs="宋体"/>
                <w:color w:val="auto"/>
                <w:sz w:val="24"/>
                <w:szCs w:val="24"/>
                <w:highlight w:val="none"/>
              </w:rPr>
            </w:pPr>
          </w:p>
        </w:tc>
        <w:tc>
          <w:tcPr>
            <w:tcW w:w="2009" w:type="dxa"/>
            <w:vAlign w:val="center"/>
          </w:tcPr>
          <w:p w14:paraId="4248B507">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响应文件签署、盖章</w:t>
            </w:r>
          </w:p>
        </w:tc>
        <w:tc>
          <w:tcPr>
            <w:tcW w:w="6020" w:type="dxa"/>
            <w:vAlign w:val="center"/>
          </w:tcPr>
          <w:p w14:paraId="7FE67128">
            <w:pPr>
              <w:pStyle w:val="14"/>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按第六章“响应文件格式”</w:t>
            </w:r>
            <w:r>
              <w:rPr>
                <w:rFonts w:hint="eastAsia" w:ascii="宋体" w:hAnsi="宋体" w:cs="宋体"/>
                <w:color w:val="auto"/>
                <w:sz w:val="24"/>
                <w:highlight w:val="none"/>
              </w:rPr>
              <w:t>要求在规定位置加盖单位公章</w:t>
            </w:r>
            <w:r>
              <w:rPr>
                <w:rFonts w:hint="eastAsia" w:ascii="宋体" w:hAnsi="宋体" w:cs="宋体"/>
                <w:color w:val="auto"/>
                <w:sz w:val="24"/>
                <w:szCs w:val="24"/>
                <w:highlight w:val="none"/>
              </w:rPr>
              <w:t>、签字</w:t>
            </w:r>
          </w:p>
        </w:tc>
      </w:tr>
      <w:tr w14:paraId="7A2B8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56ED433E">
            <w:pPr>
              <w:pStyle w:val="14"/>
              <w:jc w:val="center"/>
              <w:rPr>
                <w:rFonts w:ascii="宋体" w:hAnsi="宋体" w:cs="宋体"/>
                <w:color w:val="auto"/>
                <w:sz w:val="24"/>
                <w:szCs w:val="24"/>
                <w:highlight w:val="none"/>
              </w:rPr>
            </w:pPr>
          </w:p>
        </w:tc>
        <w:tc>
          <w:tcPr>
            <w:tcW w:w="2009" w:type="dxa"/>
            <w:vAlign w:val="center"/>
          </w:tcPr>
          <w:p w14:paraId="6A4B6BCD">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协商报价</w:t>
            </w:r>
          </w:p>
        </w:tc>
        <w:tc>
          <w:tcPr>
            <w:tcW w:w="6020" w:type="dxa"/>
            <w:vAlign w:val="center"/>
          </w:tcPr>
          <w:p w14:paraId="722E62C1">
            <w:pPr>
              <w:pStyle w:val="14"/>
              <w:ind w:firstLine="0"/>
              <w:jc w:val="left"/>
              <w:rPr>
                <w:rFonts w:ascii="宋体" w:hAnsi="宋体" w:cs="宋体"/>
                <w:color w:val="auto"/>
                <w:sz w:val="24"/>
                <w:szCs w:val="24"/>
                <w:highlight w:val="none"/>
              </w:rPr>
            </w:pPr>
            <w:r>
              <w:rPr>
                <w:rFonts w:hint="eastAsia" w:ascii="宋体" w:hAnsi="宋体" w:eastAsia="Times New Roman"/>
                <w:color w:val="auto"/>
                <w:sz w:val="24"/>
                <w:szCs w:val="24"/>
                <w:highlight w:val="none"/>
              </w:rPr>
              <w:t>符合第二章“供应商须知”第3.2项规定和第二章“供应商须知前附表”第3.2.</w:t>
            </w:r>
            <w:r>
              <w:rPr>
                <w:rFonts w:hint="eastAsia" w:ascii="宋体" w:hAnsi="宋体"/>
                <w:color w:val="auto"/>
                <w:sz w:val="24"/>
                <w:szCs w:val="24"/>
                <w:highlight w:val="none"/>
              </w:rPr>
              <w:t>4</w:t>
            </w:r>
            <w:r>
              <w:rPr>
                <w:rFonts w:hint="eastAsia" w:ascii="宋体" w:hAnsi="宋体" w:eastAsia="Times New Roman"/>
                <w:color w:val="auto"/>
                <w:sz w:val="24"/>
                <w:szCs w:val="24"/>
                <w:highlight w:val="none"/>
              </w:rPr>
              <w:t>款规定</w:t>
            </w:r>
          </w:p>
        </w:tc>
      </w:tr>
      <w:tr w14:paraId="60CD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407" w:type="dxa"/>
            <w:vMerge w:val="continue"/>
            <w:vAlign w:val="center"/>
          </w:tcPr>
          <w:p w14:paraId="25A99C6B">
            <w:pPr>
              <w:pStyle w:val="14"/>
              <w:jc w:val="center"/>
              <w:rPr>
                <w:rFonts w:ascii="宋体" w:hAnsi="宋体" w:cs="宋体"/>
                <w:color w:val="auto"/>
                <w:sz w:val="24"/>
                <w:szCs w:val="24"/>
                <w:highlight w:val="none"/>
              </w:rPr>
            </w:pPr>
          </w:p>
        </w:tc>
        <w:tc>
          <w:tcPr>
            <w:tcW w:w="2009" w:type="dxa"/>
            <w:vAlign w:val="center"/>
          </w:tcPr>
          <w:p w14:paraId="1C98B3DC">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响应有效期</w:t>
            </w:r>
          </w:p>
        </w:tc>
        <w:tc>
          <w:tcPr>
            <w:tcW w:w="6020" w:type="dxa"/>
            <w:vAlign w:val="center"/>
          </w:tcPr>
          <w:p w14:paraId="0D788FC1">
            <w:pPr>
              <w:pStyle w:val="14"/>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符合第二章“供应商须知前附表”第3.3.1款规定</w:t>
            </w:r>
          </w:p>
        </w:tc>
      </w:tr>
      <w:tr w14:paraId="13756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07" w:type="dxa"/>
            <w:vMerge w:val="continue"/>
            <w:vAlign w:val="center"/>
          </w:tcPr>
          <w:p w14:paraId="7084F096">
            <w:pPr>
              <w:pStyle w:val="14"/>
              <w:jc w:val="center"/>
              <w:rPr>
                <w:rFonts w:ascii="宋体" w:hAnsi="宋体" w:cs="宋体"/>
                <w:color w:val="auto"/>
                <w:sz w:val="24"/>
                <w:szCs w:val="24"/>
                <w:highlight w:val="none"/>
              </w:rPr>
            </w:pPr>
          </w:p>
        </w:tc>
        <w:tc>
          <w:tcPr>
            <w:tcW w:w="2009" w:type="dxa"/>
            <w:vAlign w:val="center"/>
          </w:tcPr>
          <w:p w14:paraId="08F5974A">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服务期限</w:t>
            </w:r>
          </w:p>
        </w:tc>
        <w:tc>
          <w:tcPr>
            <w:tcW w:w="6020" w:type="dxa"/>
            <w:vAlign w:val="center"/>
          </w:tcPr>
          <w:p w14:paraId="42FE53ED">
            <w:pPr>
              <w:pStyle w:val="14"/>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符合第二章“供应商须知前附表”第1.3.2款规定</w:t>
            </w:r>
          </w:p>
        </w:tc>
      </w:tr>
      <w:tr w14:paraId="07C9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7" w:type="dxa"/>
            <w:vMerge w:val="continue"/>
            <w:vAlign w:val="center"/>
          </w:tcPr>
          <w:p w14:paraId="367472C4">
            <w:pPr>
              <w:pStyle w:val="14"/>
              <w:jc w:val="center"/>
              <w:rPr>
                <w:rFonts w:ascii="宋体" w:hAnsi="宋体" w:cs="宋体"/>
                <w:color w:val="auto"/>
                <w:sz w:val="24"/>
                <w:szCs w:val="24"/>
                <w:highlight w:val="none"/>
              </w:rPr>
            </w:pPr>
          </w:p>
        </w:tc>
        <w:tc>
          <w:tcPr>
            <w:tcW w:w="2009" w:type="dxa"/>
            <w:vAlign w:val="center"/>
          </w:tcPr>
          <w:p w14:paraId="02441079">
            <w:pPr>
              <w:pStyle w:val="14"/>
              <w:ind w:firstLine="0"/>
              <w:jc w:val="center"/>
              <w:rPr>
                <w:rFonts w:ascii="宋体" w:hAnsi="宋体" w:cs="宋体"/>
                <w:color w:val="auto"/>
                <w:sz w:val="24"/>
                <w:szCs w:val="24"/>
                <w:highlight w:val="none"/>
              </w:rPr>
            </w:pPr>
            <w:r>
              <w:rPr>
                <w:rFonts w:hint="eastAsia" w:hAnsi="宋体"/>
                <w:color w:val="auto"/>
                <w:sz w:val="24"/>
                <w:highlight w:val="none"/>
              </w:rPr>
              <w:t>服务地点</w:t>
            </w:r>
          </w:p>
        </w:tc>
        <w:tc>
          <w:tcPr>
            <w:tcW w:w="6020" w:type="dxa"/>
            <w:vAlign w:val="center"/>
          </w:tcPr>
          <w:p w14:paraId="70D4B4CF">
            <w:pPr>
              <w:pStyle w:val="14"/>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符合第二章“供应商须知前附表”第1.3.3款规定</w:t>
            </w:r>
          </w:p>
        </w:tc>
      </w:tr>
      <w:tr w14:paraId="1FE06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407" w:type="dxa"/>
            <w:vMerge w:val="continue"/>
            <w:vAlign w:val="center"/>
          </w:tcPr>
          <w:p w14:paraId="74FC8BFA">
            <w:pPr>
              <w:pStyle w:val="14"/>
              <w:jc w:val="center"/>
              <w:rPr>
                <w:rFonts w:ascii="宋体" w:hAnsi="宋体" w:cs="宋体"/>
                <w:color w:val="auto"/>
                <w:sz w:val="24"/>
                <w:szCs w:val="24"/>
                <w:highlight w:val="none"/>
              </w:rPr>
            </w:pPr>
          </w:p>
        </w:tc>
        <w:tc>
          <w:tcPr>
            <w:tcW w:w="2009" w:type="dxa"/>
            <w:vAlign w:val="center"/>
          </w:tcPr>
          <w:p w14:paraId="6C94FEDD">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协商</w:t>
            </w:r>
            <w:r>
              <w:rPr>
                <w:rFonts w:hint="eastAsia" w:ascii="宋体" w:hAnsi="宋体" w:cs="宋体"/>
                <w:color w:val="auto"/>
                <w:sz w:val="24"/>
                <w:highlight w:val="none"/>
              </w:rPr>
              <w:t>内容</w:t>
            </w:r>
          </w:p>
        </w:tc>
        <w:tc>
          <w:tcPr>
            <w:tcW w:w="6020" w:type="dxa"/>
            <w:vAlign w:val="center"/>
          </w:tcPr>
          <w:p w14:paraId="65955249">
            <w:pPr>
              <w:pStyle w:val="14"/>
              <w:ind w:firstLine="0"/>
              <w:jc w:val="left"/>
              <w:rPr>
                <w:rFonts w:ascii="宋体" w:hAnsi="宋体" w:cs="宋体"/>
                <w:color w:val="auto"/>
                <w:sz w:val="24"/>
                <w:szCs w:val="24"/>
                <w:highlight w:val="none"/>
              </w:rPr>
            </w:pPr>
            <w:r>
              <w:rPr>
                <w:rFonts w:hint="eastAsia" w:ascii="宋体" w:hAnsi="宋体" w:cs="宋体"/>
                <w:color w:val="auto"/>
                <w:sz w:val="24"/>
                <w:highlight w:val="none"/>
              </w:rPr>
              <w:t>供应商提供的服务内容无实质性遗漏</w:t>
            </w:r>
          </w:p>
        </w:tc>
      </w:tr>
      <w:tr w14:paraId="325E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3C602182">
            <w:pPr>
              <w:pStyle w:val="14"/>
              <w:jc w:val="center"/>
              <w:rPr>
                <w:rFonts w:ascii="宋体" w:hAnsi="宋体" w:cs="宋体"/>
                <w:color w:val="auto"/>
                <w:sz w:val="24"/>
                <w:szCs w:val="24"/>
                <w:highlight w:val="none"/>
              </w:rPr>
            </w:pPr>
          </w:p>
        </w:tc>
        <w:tc>
          <w:tcPr>
            <w:tcW w:w="2009" w:type="dxa"/>
            <w:vAlign w:val="center"/>
          </w:tcPr>
          <w:p w14:paraId="64CA5C0C">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法定代表人授权委托书</w:t>
            </w:r>
          </w:p>
        </w:tc>
        <w:tc>
          <w:tcPr>
            <w:tcW w:w="6020" w:type="dxa"/>
            <w:vAlign w:val="center"/>
          </w:tcPr>
          <w:p w14:paraId="2AE757B6">
            <w:pPr>
              <w:pStyle w:val="14"/>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法定代表人委托代理人协商的，应附法定代表人授权委托书原件</w:t>
            </w:r>
          </w:p>
        </w:tc>
      </w:tr>
      <w:tr w14:paraId="25BA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1407" w:type="dxa"/>
            <w:vMerge w:val="continue"/>
            <w:vAlign w:val="center"/>
          </w:tcPr>
          <w:p w14:paraId="12721737">
            <w:pPr>
              <w:pStyle w:val="14"/>
              <w:jc w:val="center"/>
              <w:rPr>
                <w:rFonts w:ascii="宋体" w:hAnsi="宋体" w:cs="宋体"/>
                <w:color w:val="auto"/>
                <w:sz w:val="24"/>
                <w:szCs w:val="24"/>
                <w:highlight w:val="none"/>
              </w:rPr>
            </w:pPr>
          </w:p>
        </w:tc>
        <w:tc>
          <w:tcPr>
            <w:tcW w:w="2009" w:type="dxa"/>
            <w:vAlign w:val="center"/>
          </w:tcPr>
          <w:p w14:paraId="1E3FB04F">
            <w:pPr>
              <w:tabs>
                <w:tab w:val="left" w:pos="1260"/>
                <w:tab w:val="left" w:pos="1620"/>
              </w:tabs>
              <w:adjustRightInd w:val="0"/>
              <w:snapToGrid w:val="0"/>
              <w:jc w:val="center"/>
              <w:textAlignment w:val="baseline"/>
              <w:rPr>
                <w:rFonts w:hAnsi="宋体" w:cs="宋体"/>
                <w:color w:val="auto"/>
                <w:sz w:val="24"/>
                <w:highlight w:val="none"/>
              </w:rPr>
            </w:pPr>
            <w:r>
              <w:rPr>
                <w:rFonts w:hint="eastAsia" w:hAnsi="宋体" w:cs="宋体"/>
                <w:color w:val="auto"/>
                <w:sz w:val="24"/>
                <w:highlight w:val="none"/>
              </w:rPr>
              <w:t>其他无效情形</w:t>
            </w:r>
          </w:p>
        </w:tc>
        <w:tc>
          <w:tcPr>
            <w:tcW w:w="6020" w:type="dxa"/>
            <w:vAlign w:val="center"/>
          </w:tcPr>
          <w:p w14:paraId="2AD1D879">
            <w:pPr>
              <w:pStyle w:val="14"/>
              <w:autoSpaceDE w:val="0"/>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法律、法规和单一来源采购文件规定的其他无效情形。</w:t>
            </w:r>
          </w:p>
        </w:tc>
      </w:tr>
      <w:tr w14:paraId="1C97D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407" w:type="dxa"/>
            <w:vMerge w:val="continue"/>
            <w:vAlign w:val="center"/>
          </w:tcPr>
          <w:p w14:paraId="5E0F7CEF">
            <w:pPr>
              <w:pStyle w:val="14"/>
              <w:jc w:val="center"/>
              <w:rPr>
                <w:rFonts w:ascii="宋体" w:hAnsi="宋体" w:cs="宋体"/>
                <w:color w:val="auto"/>
                <w:sz w:val="24"/>
                <w:szCs w:val="24"/>
                <w:highlight w:val="none"/>
              </w:rPr>
            </w:pPr>
          </w:p>
        </w:tc>
        <w:tc>
          <w:tcPr>
            <w:tcW w:w="2009" w:type="dxa"/>
            <w:vAlign w:val="center"/>
          </w:tcPr>
          <w:p w14:paraId="41800939">
            <w:pPr>
              <w:pStyle w:val="1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附加条件</w:t>
            </w:r>
          </w:p>
        </w:tc>
        <w:tc>
          <w:tcPr>
            <w:tcW w:w="6020" w:type="dxa"/>
            <w:vAlign w:val="center"/>
          </w:tcPr>
          <w:p w14:paraId="413DA592">
            <w:pPr>
              <w:pStyle w:val="14"/>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响应文件未含有采购人不能接受的附加条件</w:t>
            </w:r>
          </w:p>
        </w:tc>
      </w:tr>
    </w:tbl>
    <w:p w14:paraId="22BF46E9">
      <w:pPr>
        <w:spacing w:line="360" w:lineRule="auto"/>
        <w:ind w:firstLine="482" w:firstLineChars="200"/>
        <w:rPr>
          <w:rFonts w:hAnsi="宋体"/>
          <w:b/>
          <w:bCs/>
          <w:color w:val="auto"/>
          <w:sz w:val="24"/>
          <w:highlight w:val="none"/>
        </w:rPr>
      </w:pPr>
      <w:r>
        <w:rPr>
          <w:rFonts w:hint="eastAsia" w:hAnsi="宋体"/>
          <w:b/>
          <w:bCs/>
          <w:color w:val="auto"/>
          <w:sz w:val="24"/>
          <w:highlight w:val="none"/>
        </w:rPr>
        <w:t>（三）</w:t>
      </w:r>
      <w:r>
        <w:rPr>
          <w:rFonts w:hint="eastAsia" w:hAnsi="宋体" w:cs="宋体"/>
          <w:b/>
          <w:bCs/>
          <w:color w:val="auto"/>
          <w:sz w:val="24"/>
          <w:highlight w:val="none"/>
        </w:rPr>
        <w:t>协商</w:t>
      </w:r>
      <w:r>
        <w:rPr>
          <w:rFonts w:hint="eastAsia" w:hAnsi="宋体"/>
          <w:b/>
          <w:bCs/>
          <w:color w:val="auto"/>
          <w:sz w:val="24"/>
          <w:highlight w:val="none"/>
        </w:rPr>
        <w:t>程序</w:t>
      </w:r>
    </w:p>
    <w:p w14:paraId="3B87E23F">
      <w:pPr>
        <w:spacing w:line="360" w:lineRule="auto"/>
        <w:ind w:firstLine="480" w:firstLineChars="200"/>
        <w:rPr>
          <w:rFonts w:hAnsi="宋体"/>
          <w:b/>
          <w:color w:val="auto"/>
          <w:sz w:val="24"/>
          <w:highlight w:val="none"/>
        </w:rPr>
      </w:pPr>
      <w:r>
        <w:rPr>
          <w:rFonts w:hint="eastAsia" w:hAnsi="宋体"/>
          <w:bCs/>
          <w:color w:val="auto"/>
          <w:sz w:val="24"/>
          <w:highlight w:val="none"/>
        </w:rPr>
        <w:t>协商小组对响应文件进行资格审查→符合性审查→协商小组所有成员集中与供应商进行协商→供应商在规定时间内以书面形式递交最后报价→协商小组对供应商递交的最后报价进行综合评判→协商小组按本项目规定评定成交的标准向采购人提交“</w:t>
      </w:r>
      <w:bookmarkStart w:id="231" w:name="_Hlk4156039"/>
      <w:r>
        <w:rPr>
          <w:rFonts w:hint="eastAsia" w:hAnsi="宋体"/>
          <w:bCs/>
          <w:color w:val="auto"/>
          <w:sz w:val="24"/>
          <w:highlight w:val="none"/>
        </w:rPr>
        <w:t>协商情况记录</w:t>
      </w:r>
      <w:bookmarkEnd w:id="231"/>
      <w:r>
        <w:rPr>
          <w:rFonts w:hint="eastAsia" w:hAnsi="宋体"/>
          <w:bCs/>
          <w:color w:val="auto"/>
          <w:sz w:val="24"/>
          <w:highlight w:val="none"/>
        </w:rPr>
        <w:t>”。</w:t>
      </w:r>
    </w:p>
    <w:p w14:paraId="4F138D9A">
      <w:pPr>
        <w:spacing w:line="360" w:lineRule="auto"/>
        <w:ind w:firstLine="482" w:firstLineChars="200"/>
        <w:rPr>
          <w:rFonts w:hAnsi="宋体"/>
          <w:b/>
          <w:color w:val="auto"/>
          <w:sz w:val="24"/>
          <w:highlight w:val="none"/>
        </w:rPr>
      </w:pPr>
      <w:r>
        <w:rPr>
          <w:rFonts w:hint="eastAsia" w:hAnsi="宋体"/>
          <w:b/>
          <w:color w:val="auto"/>
          <w:sz w:val="24"/>
          <w:highlight w:val="none"/>
        </w:rPr>
        <w:t>（四）澄清有关问题、报价修正及异常低价审查</w:t>
      </w:r>
    </w:p>
    <w:p w14:paraId="043FBB5C">
      <w:pPr>
        <w:pStyle w:val="14"/>
        <w:ind w:firstLine="482" w:firstLineChars="200"/>
        <w:rPr>
          <w:rFonts w:hAnsi="宋体"/>
          <w:color w:val="auto"/>
          <w:sz w:val="24"/>
          <w:highlight w:val="none"/>
        </w:rPr>
      </w:pPr>
      <w:r>
        <w:rPr>
          <w:rFonts w:hint="eastAsia" w:ascii="宋体" w:hAnsi="宋体"/>
          <w:b/>
          <w:bCs/>
          <w:color w:val="auto"/>
          <w:sz w:val="24"/>
          <w:szCs w:val="24"/>
          <w:highlight w:val="none"/>
        </w:rPr>
        <w:t>1.报价不一致修正原则</w:t>
      </w:r>
    </w:p>
    <w:p w14:paraId="130368FE">
      <w:pPr>
        <w:spacing w:line="360" w:lineRule="auto"/>
        <w:ind w:firstLine="480" w:firstLineChars="200"/>
        <w:rPr>
          <w:rFonts w:hAnsi="宋体"/>
          <w:color w:val="auto"/>
          <w:sz w:val="24"/>
          <w:highlight w:val="none"/>
        </w:rPr>
      </w:pPr>
      <w:r>
        <w:rPr>
          <w:rFonts w:hint="eastAsia" w:hAnsi="宋体"/>
          <w:color w:val="auto"/>
          <w:sz w:val="24"/>
          <w:highlight w:val="none"/>
        </w:rPr>
        <w:t>1.1协商报价有算术错误及其他错误的，协商小组按以下原则对协商报价进行修正，并要求供应商书面澄清确认。供应商拒不澄清确认的，协商小组应当否决其协商：</w:t>
      </w:r>
    </w:p>
    <w:p w14:paraId="3FA35E25">
      <w:pPr>
        <w:spacing w:line="360" w:lineRule="auto"/>
        <w:ind w:firstLine="480" w:firstLineChars="200"/>
        <w:rPr>
          <w:rFonts w:hAnsi="宋体"/>
          <w:color w:val="auto"/>
          <w:sz w:val="24"/>
          <w:highlight w:val="none"/>
        </w:rPr>
      </w:pPr>
      <w:r>
        <w:rPr>
          <w:rFonts w:hint="eastAsia" w:hAnsi="宋体"/>
          <w:color w:val="auto"/>
          <w:sz w:val="24"/>
          <w:highlight w:val="none"/>
        </w:rPr>
        <w:t>（1）响应文件中的大写金额与小写金额不一致的，以大写金额为准；</w:t>
      </w:r>
    </w:p>
    <w:p w14:paraId="26C49A7D">
      <w:pPr>
        <w:spacing w:line="360" w:lineRule="auto"/>
        <w:ind w:firstLine="480" w:firstLineChars="200"/>
        <w:rPr>
          <w:rFonts w:hAnsi="宋体"/>
          <w:color w:val="auto"/>
          <w:sz w:val="24"/>
          <w:highlight w:val="none"/>
        </w:rPr>
      </w:pPr>
      <w:r>
        <w:rPr>
          <w:rFonts w:hint="eastAsia" w:hAnsi="宋体"/>
          <w:color w:val="auto"/>
          <w:sz w:val="24"/>
          <w:highlight w:val="none"/>
        </w:rPr>
        <w:t>（2）总价金额与单价金额不一致的，以单价金额为准，但单价金额小数点有明显错误的除外；</w:t>
      </w:r>
    </w:p>
    <w:p w14:paraId="4158086C">
      <w:pPr>
        <w:spacing w:line="360" w:lineRule="auto"/>
        <w:ind w:firstLine="480" w:firstLineChars="200"/>
        <w:rPr>
          <w:rFonts w:hAnsi="宋体"/>
          <w:color w:val="auto"/>
          <w:sz w:val="24"/>
          <w:highlight w:val="none"/>
        </w:rPr>
      </w:pPr>
      <w:r>
        <w:rPr>
          <w:rFonts w:hint="eastAsia" w:hAnsi="宋体"/>
          <w:color w:val="auto"/>
          <w:sz w:val="24"/>
          <w:highlight w:val="none"/>
        </w:rPr>
        <w:t>（3）协商报价为各分项报价金额之和，协商报价与分项报价的合价不一致的，应以各分项合价累计数为准，修正协商报价；</w:t>
      </w:r>
    </w:p>
    <w:p w14:paraId="3E214605">
      <w:pPr>
        <w:spacing w:line="360" w:lineRule="auto"/>
        <w:ind w:firstLine="480" w:firstLineChars="200"/>
        <w:rPr>
          <w:rFonts w:hAnsi="宋体"/>
          <w:color w:val="auto"/>
          <w:sz w:val="24"/>
          <w:highlight w:val="none"/>
        </w:rPr>
      </w:pPr>
      <w:r>
        <w:rPr>
          <w:rFonts w:hint="eastAsia" w:hAnsi="宋体"/>
          <w:color w:val="auto"/>
          <w:sz w:val="24"/>
          <w:highlight w:val="none"/>
        </w:rPr>
        <w:t>（4）如果分项报价中存在缺漏项，则视为缺漏项价格已包含在其他分项报价之中。</w:t>
      </w:r>
    </w:p>
    <w:p w14:paraId="03826904">
      <w:pPr>
        <w:spacing w:line="360" w:lineRule="auto"/>
        <w:ind w:firstLine="480" w:firstLineChars="200"/>
        <w:rPr>
          <w:rFonts w:hAnsi="宋体"/>
          <w:color w:val="auto"/>
          <w:sz w:val="24"/>
          <w:highlight w:val="none"/>
        </w:rPr>
      </w:pPr>
      <w:r>
        <w:rPr>
          <w:rFonts w:hint="eastAsia" w:hAnsi="宋体"/>
          <w:color w:val="auto"/>
          <w:sz w:val="24"/>
          <w:highlight w:val="none"/>
        </w:rPr>
        <w:t>1.2协商小组发现供应商的报价可能低于其个别成本的，应当要求该供应商作出书面说明并提供相应的证明材料。供应商不能合理说明或者不能提供相应证明材料的，协商小组应当认定该供应商以低于成本报价竞标，并否决其协商。</w:t>
      </w:r>
    </w:p>
    <w:p w14:paraId="20F3D58A">
      <w:pPr>
        <w:tabs>
          <w:tab w:val="left" w:pos="1080"/>
          <w:tab w:val="left" w:pos="1589"/>
        </w:tabs>
        <w:snapToGrid w:val="0"/>
        <w:spacing w:line="360" w:lineRule="auto"/>
        <w:ind w:firstLine="482" w:firstLineChars="200"/>
        <w:rPr>
          <w:rFonts w:hAnsi="宋体" w:cs="宋体"/>
          <w:b/>
          <w:bCs/>
          <w:color w:val="auto"/>
          <w:sz w:val="24"/>
          <w:highlight w:val="none"/>
        </w:rPr>
      </w:pPr>
      <w:r>
        <w:rPr>
          <w:rFonts w:hint="eastAsia" w:hAnsi="宋体"/>
          <w:b/>
          <w:bCs/>
          <w:color w:val="auto"/>
          <w:sz w:val="24"/>
          <w:highlight w:val="none"/>
        </w:rPr>
        <w:t>2.响应文件内容</w:t>
      </w:r>
      <w:r>
        <w:rPr>
          <w:rFonts w:hint="eastAsia" w:hAnsi="宋体" w:cs="宋体"/>
          <w:b/>
          <w:bCs/>
          <w:color w:val="auto"/>
          <w:sz w:val="24"/>
          <w:highlight w:val="none"/>
        </w:rPr>
        <w:t>的澄清、说明或更正</w:t>
      </w:r>
    </w:p>
    <w:p w14:paraId="14FE255C">
      <w:pPr>
        <w:spacing w:line="360" w:lineRule="auto"/>
        <w:ind w:firstLine="480" w:firstLineChars="200"/>
        <w:rPr>
          <w:rFonts w:hAnsi="宋体"/>
          <w:color w:val="auto"/>
          <w:sz w:val="24"/>
          <w:highlight w:val="none"/>
        </w:rPr>
      </w:pPr>
      <w:r>
        <w:rPr>
          <w:rFonts w:hint="eastAsia" w:hAnsi="宋体"/>
          <w:color w:val="auto"/>
          <w:sz w:val="24"/>
          <w:highlight w:val="none"/>
        </w:rPr>
        <w:t>2.1在评审过程中，协商小组可以书面形式要求供应商对响应文件中含义不明确、对同类问题表述不一致或者有明显文字和计算错误的内容作必要的澄清、说明或补正。澄清、说明或补正应以书面方式进行。协商小组不接受供应商主动提出的澄清、说明或补正。</w:t>
      </w:r>
    </w:p>
    <w:p w14:paraId="1F9C5F36">
      <w:pPr>
        <w:spacing w:line="360" w:lineRule="auto"/>
        <w:ind w:firstLine="480" w:firstLineChars="200"/>
        <w:rPr>
          <w:rFonts w:hAnsi="宋体"/>
          <w:color w:val="auto"/>
          <w:sz w:val="24"/>
          <w:highlight w:val="none"/>
        </w:rPr>
      </w:pPr>
      <w:r>
        <w:rPr>
          <w:rFonts w:hint="eastAsia" w:hAnsi="宋体"/>
          <w:color w:val="auto"/>
          <w:sz w:val="24"/>
          <w:highlight w:val="none"/>
        </w:rPr>
        <w:t>2.2澄清、说明或补正不得超出响应文件的范围且不得改变响应文件的实质性内容，并构成响应文件的组成部分。</w:t>
      </w:r>
    </w:p>
    <w:p w14:paraId="0D925F49">
      <w:pPr>
        <w:pStyle w:val="14"/>
        <w:ind w:firstLine="480" w:firstLineChars="200"/>
        <w:rPr>
          <w:rFonts w:ascii="宋体" w:hAnsi="宋体"/>
          <w:color w:val="auto"/>
          <w:sz w:val="24"/>
          <w:highlight w:val="none"/>
        </w:rPr>
      </w:pPr>
      <w:r>
        <w:rPr>
          <w:rFonts w:hint="eastAsia" w:ascii="宋体" w:hAnsi="宋体"/>
          <w:color w:val="auto"/>
          <w:sz w:val="24"/>
          <w:highlight w:val="none"/>
        </w:rPr>
        <w:t>2.3协商小组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p>
    <w:p w14:paraId="1B9FC478">
      <w:pPr>
        <w:pStyle w:val="14"/>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3.异常低价审查</w:t>
      </w:r>
    </w:p>
    <w:p w14:paraId="0EB93739">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依据《关于推动解决政府采购异常低价问题的通知》财库〔2026〕2号的规定：</w:t>
      </w:r>
    </w:p>
    <w:p w14:paraId="2119A3B9">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3.1政府采购评审中出现下列情形之一的，评审委员会应当启动异常低价投标（响应）审查程序：</w:t>
      </w:r>
    </w:p>
    <w:p w14:paraId="69FCD2F3">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（1）投标（响应）报价低于全部通过符合性审查供应商投标（响应）报价平均值50%的，即投标（响应）报价&lt;全部通过符合性审查供应商投标（响应）报价平均值×50%；</w:t>
      </w:r>
    </w:p>
    <w:p w14:paraId="547B6882">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7E63CC0F">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（3）投标（响应）报价低于采购项目最高限价45%的，即投标（响应）报价&lt;采购项目最高限价×45%；</w:t>
      </w:r>
    </w:p>
    <w:p w14:paraId="2E01F9A1">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（4）评审委员会基于专业判断，认为供应商报价过低，有可能影响产品质量或者不能诚信履约的其他情形。</w:t>
      </w:r>
    </w:p>
    <w:p w14:paraId="12578E84">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相关法律法规对供应商报价有规定的，从其规定。</w:t>
      </w:r>
    </w:p>
    <w:p w14:paraId="7CAB3A81">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FCD5E20">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288A5E">
      <w:pPr>
        <w:pStyle w:val="14"/>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12FB564">
      <w:pPr>
        <w:spacing w:line="360" w:lineRule="auto"/>
        <w:ind w:firstLine="480" w:firstLineChars="200"/>
        <w:rPr>
          <w:rFonts w:hAnsi="宋体"/>
          <w:color w:val="auto"/>
          <w:sz w:val="24"/>
          <w:highlight w:val="none"/>
        </w:rPr>
      </w:pPr>
      <w:r>
        <w:rPr>
          <w:rFonts w:hint="eastAsia" w:hAnsi="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CA6C2F2">
      <w:pPr>
        <w:spacing w:line="360" w:lineRule="auto"/>
        <w:ind w:firstLine="482" w:firstLineChars="200"/>
        <w:rPr>
          <w:rFonts w:hAnsi="宋体"/>
          <w:b/>
          <w:color w:val="auto"/>
          <w:sz w:val="24"/>
          <w:highlight w:val="none"/>
        </w:rPr>
      </w:pPr>
      <w:r>
        <w:rPr>
          <w:rFonts w:hint="eastAsia" w:hAnsi="宋体"/>
          <w:b/>
          <w:color w:val="auto"/>
          <w:sz w:val="24"/>
          <w:highlight w:val="none"/>
        </w:rPr>
        <w:t>（五）协商会议纪律</w:t>
      </w:r>
    </w:p>
    <w:p w14:paraId="45623FC3">
      <w:pPr>
        <w:spacing w:line="360" w:lineRule="auto"/>
        <w:ind w:firstLine="480" w:firstLineChars="200"/>
        <w:rPr>
          <w:rFonts w:hAnsi="宋体"/>
          <w:color w:val="auto"/>
          <w:sz w:val="24"/>
          <w:highlight w:val="none"/>
        </w:rPr>
      </w:pPr>
      <w:r>
        <w:rPr>
          <w:rFonts w:hint="eastAsia" w:hAnsi="宋体"/>
          <w:color w:val="auto"/>
          <w:sz w:val="24"/>
          <w:highlight w:val="none"/>
        </w:rPr>
        <w:t>1.</w:t>
      </w:r>
      <w:r>
        <w:rPr>
          <w:rFonts w:hint="eastAsia" w:hAnsi="宋体" w:cs="等线"/>
          <w:bCs/>
          <w:snapToGrid/>
          <w:color w:val="auto"/>
          <w:kern w:val="2"/>
          <w:sz w:val="24"/>
          <w:szCs w:val="20"/>
          <w:highlight w:val="none"/>
        </w:rPr>
        <w:t>协商</w:t>
      </w:r>
      <w:r>
        <w:rPr>
          <w:rFonts w:hint="eastAsia" w:hAnsi="宋体"/>
          <w:color w:val="auto"/>
          <w:sz w:val="24"/>
          <w:highlight w:val="none"/>
        </w:rPr>
        <w:t>期间的一切资料，包括</w:t>
      </w:r>
      <w:r>
        <w:rPr>
          <w:rFonts w:hint="eastAsia" w:hAnsi="宋体" w:cs="等线"/>
          <w:bCs/>
          <w:snapToGrid/>
          <w:color w:val="auto"/>
          <w:kern w:val="2"/>
          <w:sz w:val="24"/>
          <w:szCs w:val="20"/>
          <w:highlight w:val="none"/>
        </w:rPr>
        <w:t>协商</w:t>
      </w:r>
      <w:r>
        <w:rPr>
          <w:rFonts w:hint="eastAsia" w:hAnsi="宋体"/>
          <w:color w:val="auto"/>
          <w:sz w:val="24"/>
          <w:highlight w:val="none"/>
        </w:rPr>
        <w:t>意见、</w:t>
      </w:r>
      <w:r>
        <w:rPr>
          <w:rFonts w:hint="eastAsia" w:hAnsi="宋体" w:cs="等线"/>
          <w:bCs/>
          <w:snapToGrid/>
          <w:color w:val="auto"/>
          <w:kern w:val="2"/>
          <w:sz w:val="24"/>
          <w:szCs w:val="20"/>
          <w:highlight w:val="none"/>
        </w:rPr>
        <w:t>协商</w:t>
      </w:r>
      <w:r>
        <w:rPr>
          <w:rFonts w:hint="eastAsia" w:hAnsi="宋体"/>
          <w:color w:val="auto"/>
          <w:sz w:val="24"/>
          <w:highlight w:val="none"/>
        </w:rPr>
        <w:t>记录、响应文件审查、澄清、评价的资料，均不得外传和泄露；</w:t>
      </w:r>
    </w:p>
    <w:p w14:paraId="43020B26">
      <w:pPr>
        <w:spacing w:line="360" w:lineRule="auto"/>
        <w:ind w:firstLine="480" w:firstLineChars="200"/>
        <w:rPr>
          <w:rFonts w:hAnsi="宋体"/>
          <w:color w:val="auto"/>
          <w:sz w:val="24"/>
          <w:highlight w:val="none"/>
        </w:rPr>
      </w:pPr>
      <w:r>
        <w:rPr>
          <w:rFonts w:hint="eastAsia" w:hAnsi="宋体"/>
          <w:color w:val="auto"/>
          <w:sz w:val="24"/>
          <w:highlight w:val="none"/>
        </w:rPr>
        <w:t>2.所有资料（包括单一来源采购文件、响应文件及各种文字记录）在</w:t>
      </w:r>
      <w:r>
        <w:rPr>
          <w:rFonts w:hint="eastAsia" w:hAnsi="宋体" w:cs="等线"/>
          <w:bCs/>
          <w:snapToGrid/>
          <w:color w:val="auto"/>
          <w:kern w:val="2"/>
          <w:sz w:val="24"/>
          <w:szCs w:val="20"/>
          <w:highlight w:val="none"/>
        </w:rPr>
        <w:t>协商</w:t>
      </w:r>
      <w:r>
        <w:rPr>
          <w:rFonts w:hint="eastAsia" w:hAnsi="宋体"/>
          <w:color w:val="auto"/>
          <w:sz w:val="24"/>
          <w:highlight w:val="none"/>
        </w:rPr>
        <w:t>结束后均应分别整理、存档备查，任何人不得复制和保留；</w:t>
      </w:r>
    </w:p>
    <w:p w14:paraId="43837CD3">
      <w:pPr>
        <w:spacing w:line="360" w:lineRule="auto"/>
        <w:ind w:firstLine="480" w:firstLineChars="200"/>
        <w:rPr>
          <w:rFonts w:hAnsi="宋体"/>
          <w:color w:val="auto"/>
          <w:sz w:val="24"/>
          <w:highlight w:val="none"/>
        </w:rPr>
      </w:pPr>
      <w:r>
        <w:rPr>
          <w:rFonts w:hint="eastAsia" w:hAnsi="宋体"/>
          <w:color w:val="auto"/>
          <w:sz w:val="24"/>
          <w:highlight w:val="none"/>
        </w:rPr>
        <w:t>3.</w:t>
      </w:r>
      <w:r>
        <w:rPr>
          <w:rFonts w:hint="eastAsia" w:hAnsi="宋体" w:cs="等线"/>
          <w:bCs/>
          <w:snapToGrid/>
          <w:color w:val="auto"/>
          <w:kern w:val="2"/>
          <w:sz w:val="24"/>
          <w:szCs w:val="20"/>
          <w:highlight w:val="none"/>
        </w:rPr>
        <w:t>协商</w:t>
      </w:r>
      <w:r>
        <w:rPr>
          <w:rFonts w:hint="eastAsia" w:hAnsi="宋体"/>
          <w:color w:val="auto"/>
          <w:sz w:val="24"/>
          <w:highlight w:val="none"/>
        </w:rPr>
        <w:t>期间，所有与会人员均不得私自以任何方式和供应商进行联系，需询问、澄清的问题由</w:t>
      </w:r>
      <w:r>
        <w:rPr>
          <w:rFonts w:hint="eastAsia" w:hAnsi="宋体" w:cs="等线"/>
          <w:bCs/>
          <w:snapToGrid/>
          <w:color w:val="auto"/>
          <w:kern w:val="2"/>
          <w:sz w:val="24"/>
          <w:szCs w:val="20"/>
          <w:highlight w:val="none"/>
        </w:rPr>
        <w:t>协商</w:t>
      </w:r>
      <w:r>
        <w:rPr>
          <w:rFonts w:hint="eastAsia" w:hAnsi="宋体"/>
          <w:color w:val="auto"/>
          <w:sz w:val="24"/>
          <w:highlight w:val="none"/>
        </w:rPr>
        <w:t>小组统一组织办理；</w:t>
      </w:r>
    </w:p>
    <w:p w14:paraId="110E4952">
      <w:pPr>
        <w:spacing w:line="360" w:lineRule="auto"/>
        <w:ind w:firstLine="480" w:firstLineChars="200"/>
        <w:rPr>
          <w:rFonts w:hAnsi="宋体"/>
          <w:color w:val="auto"/>
          <w:sz w:val="24"/>
          <w:highlight w:val="none"/>
        </w:rPr>
      </w:pPr>
      <w:r>
        <w:rPr>
          <w:rFonts w:hint="eastAsia" w:hAnsi="宋体"/>
          <w:color w:val="auto"/>
          <w:sz w:val="24"/>
          <w:highlight w:val="none"/>
        </w:rPr>
        <w:t>4.</w:t>
      </w:r>
      <w:r>
        <w:rPr>
          <w:rFonts w:hint="eastAsia" w:hAnsi="宋体" w:cs="等线"/>
          <w:bCs/>
          <w:snapToGrid/>
          <w:color w:val="auto"/>
          <w:kern w:val="2"/>
          <w:sz w:val="24"/>
          <w:szCs w:val="20"/>
          <w:highlight w:val="none"/>
        </w:rPr>
        <w:t>协商</w:t>
      </w:r>
      <w:r>
        <w:rPr>
          <w:rFonts w:hint="eastAsia" w:hAnsi="宋体"/>
          <w:color w:val="auto"/>
          <w:sz w:val="24"/>
          <w:highlight w:val="none"/>
        </w:rPr>
        <w:t>结束后，与会人员不得向外界透露</w:t>
      </w:r>
      <w:r>
        <w:rPr>
          <w:rFonts w:hint="eastAsia" w:hAnsi="宋体" w:cs="等线"/>
          <w:bCs/>
          <w:snapToGrid/>
          <w:color w:val="auto"/>
          <w:kern w:val="2"/>
          <w:sz w:val="24"/>
          <w:szCs w:val="20"/>
          <w:highlight w:val="none"/>
        </w:rPr>
        <w:t>协商</w:t>
      </w:r>
      <w:r>
        <w:rPr>
          <w:rFonts w:hint="eastAsia" w:hAnsi="宋体"/>
          <w:color w:val="auto"/>
          <w:sz w:val="24"/>
          <w:highlight w:val="none"/>
        </w:rPr>
        <w:t>小组的评审意见，如因此造成的后果由责任者承担。</w:t>
      </w:r>
    </w:p>
    <w:p w14:paraId="2335159E">
      <w:pPr>
        <w:spacing w:line="460" w:lineRule="exact"/>
        <w:ind w:firstLine="472" w:firstLineChars="196"/>
        <w:rPr>
          <w:rFonts w:hAnsi="宋体" w:cs="宋体"/>
          <w:b/>
          <w:bCs/>
          <w:color w:val="auto"/>
          <w:sz w:val="24"/>
          <w:highlight w:val="none"/>
        </w:rPr>
      </w:pPr>
      <w:r>
        <w:rPr>
          <w:rFonts w:hint="eastAsia" w:hAnsi="宋体" w:cs="宋体"/>
          <w:b/>
          <w:bCs/>
          <w:color w:val="auto"/>
          <w:sz w:val="24"/>
          <w:highlight w:val="none"/>
        </w:rPr>
        <w:t>（六）小微企业优惠政策</w:t>
      </w:r>
    </w:p>
    <w:p w14:paraId="6B0DC339">
      <w:pPr>
        <w:pStyle w:val="2"/>
        <w:ind w:firstLine="480" w:firstLineChars="200"/>
        <w:rPr>
          <w:rFonts w:cs="宋体"/>
          <w:color w:val="auto"/>
          <w:highlight w:val="none"/>
        </w:rPr>
      </w:pPr>
      <w:r>
        <w:rPr>
          <w:rFonts w:hint="eastAsia" w:cs="宋体"/>
          <w:color w:val="auto"/>
          <w:highlight w:val="none"/>
        </w:rPr>
        <w:t>根据《政府采购促进中小企业发展管理办法》(财库〔2020〕46号)、关于进一步加大政府采购支持中小企业力度的通知(财库〔2022〕19号)的规定，对符合国家统计局《统计上大中小微型企业划分办法(2017)》规定条件</w:t>
      </w:r>
      <w:r>
        <w:rPr>
          <w:rFonts w:hint="eastAsia" w:cs="宋体"/>
          <w:b/>
          <w:bCs w:val="0"/>
          <w:color w:val="auto"/>
          <w:highlight w:val="none"/>
          <w:u w:val="single"/>
          <w:lang w:val="en-US" w:eastAsia="zh-CN"/>
        </w:rPr>
        <w:t>信息传输业或</w:t>
      </w:r>
      <w:r>
        <w:rPr>
          <w:rFonts w:hint="eastAsia" w:cs="宋体"/>
          <w:b/>
          <w:bCs w:val="0"/>
          <w:color w:val="auto"/>
          <w:highlight w:val="none"/>
          <w:u w:val="single"/>
        </w:rPr>
        <w:t>软件和信息技术服务业</w:t>
      </w:r>
      <w:r>
        <w:rPr>
          <w:rFonts w:hint="eastAsia" w:cs="宋体"/>
          <w:color w:val="auto"/>
          <w:highlight w:val="none"/>
        </w:rPr>
        <w:t>行业的小微企业报价给予10%的扣除，用扣除后的价格参加评审。</w:t>
      </w:r>
    </w:p>
    <w:p w14:paraId="7FAF0CE4">
      <w:pPr>
        <w:pStyle w:val="2"/>
        <w:ind w:firstLine="480" w:firstLineChars="200"/>
        <w:rPr>
          <w:rFonts w:cs="宋体"/>
          <w:color w:val="auto"/>
          <w:kern w:val="0"/>
          <w:highlight w:val="none"/>
        </w:rPr>
      </w:pPr>
      <w:r>
        <w:rPr>
          <w:rFonts w:hint="eastAsia" w:cs="宋体"/>
          <w:color w:val="auto"/>
          <w:kern w:val="0"/>
          <w:highlight w:val="none"/>
        </w:rPr>
        <w:t>请供应商根据《政府采购促进中小企业发展管理办法》(财库〔2020〕46号)的规定，提供《中小企业声明函》，未提供的小微企业不享受价格评审优惠政策。供应商对《中小企业声明函》的真实性负责，如有虚假，采购人将向监管部门反映，供应商依法承担相应责任。</w:t>
      </w:r>
    </w:p>
    <w:p w14:paraId="69A7E7F9">
      <w:pPr>
        <w:spacing w:line="460" w:lineRule="exact"/>
        <w:ind w:firstLine="480" w:firstLineChars="200"/>
        <w:rPr>
          <w:rFonts w:hAnsi="宋体" w:cs="宋体"/>
          <w:b/>
          <w:bCs/>
          <w:color w:val="auto"/>
          <w:sz w:val="24"/>
          <w:highlight w:val="none"/>
        </w:rPr>
      </w:pPr>
      <w:r>
        <w:rPr>
          <w:rFonts w:hint="eastAsia" w:hAnsi="宋体" w:cs="宋体"/>
          <w:color w:val="auto"/>
          <w:sz w:val="24"/>
          <w:highlight w:val="none"/>
        </w:rPr>
        <w:t>其他未尽事宜，按照《政府采购促进中小企业发展管理办法》(财库〔2020〕46号)规定执行。</w:t>
      </w:r>
    </w:p>
    <w:p w14:paraId="70F3D0CA">
      <w:pPr>
        <w:autoSpaceDE w:val="0"/>
        <w:autoSpaceDN w:val="0"/>
        <w:spacing w:line="480" w:lineRule="exact"/>
        <w:ind w:firstLine="472" w:firstLineChars="196"/>
        <w:rPr>
          <w:rFonts w:hAnsi="宋体" w:cs="宋体"/>
          <w:b/>
          <w:bCs/>
          <w:color w:val="auto"/>
          <w:sz w:val="24"/>
          <w:highlight w:val="none"/>
        </w:rPr>
      </w:pPr>
      <w:r>
        <w:rPr>
          <w:rFonts w:hint="eastAsia" w:hAnsi="宋体" w:cs="宋体"/>
          <w:b/>
          <w:bCs/>
          <w:color w:val="auto"/>
          <w:sz w:val="24"/>
          <w:highlight w:val="none"/>
        </w:rPr>
        <w:t>（七）监狱企业优惠政策</w:t>
      </w:r>
    </w:p>
    <w:p w14:paraId="1AF75B6C">
      <w:pPr>
        <w:autoSpaceDE w:val="0"/>
        <w:autoSpaceDN w:val="0"/>
        <w:spacing w:line="480" w:lineRule="exact"/>
        <w:ind w:left="-15" w:leftChars="-7" w:firstLine="480" w:firstLineChars="200"/>
        <w:rPr>
          <w:rFonts w:hAnsi="宋体" w:cs="宋体"/>
          <w:color w:val="auto"/>
          <w:sz w:val="24"/>
          <w:highlight w:val="none"/>
        </w:rPr>
      </w:pPr>
      <w:r>
        <w:rPr>
          <w:rFonts w:hint="eastAsia" w:hAnsi="宋体" w:cs="宋体"/>
          <w:color w:val="auto"/>
          <w:sz w:val="24"/>
          <w:highlight w:val="none"/>
        </w:rPr>
        <w:t>根据《关于政府采购支持监狱企业发展有关问题的通知》(财库[2014]68号)的规定，符合条件的监狱企业参与本项目投标时，提供由省级以上监狱管理局、戒毒管理局(含新疆生产建设兵团)出具的属于监狱企业的证明文件的，视同小型、微型企业享受价格扣除等优惠政策。</w:t>
      </w:r>
    </w:p>
    <w:p w14:paraId="5387A9AB">
      <w:pPr>
        <w:autoSpaceDE w:val="0"/>
        <w:autoSpaceDN w:val="0"/>
        <w:spacing w:line="480" w:lineRule="exact"/>
        <w:ind w:firstLine="472" w:firstLineChars="196"/>
        <w:rPr>
          <w:rFonts w:hAnsi="宋体" w:cs="宋体"/>
          <w:b/>
          <w:bCs/>
          <w:color w:val="auto"/>
          <w:sz w:val="24"/>
          <w:highlight w:val="none"/>
        </w:rPr>
      </w:pPr>
      <w:r>
        <w:rPr>
          <w:rFonts w:hint="eastAsia" w:hAnsi="宋体" w:cs="宋体"/>
          <w:b/>
          <w:bCs/>
          <w:color w:val="auto"/>
          <w:sz w:val="24"/>
          <w:highlight w:val="none"/>
        </w:rPr>
        <w:t>（八）残疾人福利性单位优惠政策</w:t>
      </w:r>
    </w:p>
    <w:p w14:paraId="14F3122B">
      <w:pPr>
        <w:spacing w:line="360" w:lineRule="auto"/>
        <w:ind w:firstLine="480" w:firstLineChars="200"/>
        <w:rPr>
          <w:rFonts w:hAnsi="宋体"/>
          <w:color w:val="auto"/>
          <w:sz w:val="24"/>
          <w:highlight w:val="none"/>
        </w:rPr>
      </w:pPr>
      <w:r>
        <w:rPr>
          <w:rFonts w:hint="eastAsia" w:hAnsi="宋体" w:cs="宋体"/>
          <w:color w:val="auto"/>
          <w:sz w:val="24"/>
          <w:highlight w:val="none"/>
        </w:rPr>
        <w:t>根据《关于促进残疾人就业政府采购政策的通知》(财库[2017]141号)的规定，符合条件的残疾人福利性单位参与本项目投标时，提供《残疾人福利性单位声明函》并对声明的真实性负责，视同小型、微型企业享受价格扣除等优惠政策。</w:t>
      </w:r>
      <w:r>
        <w:rPr>
          <w:rFonts w:hint="eastAsia" w:hAnsi="宋体" w:cs="宋体"/>
          <w:b/>
          <w:color w:val="auto"/>
          <w:sz w:val="24"/>
          <w:highlight w:val="none"/>
        </w:rPr>
        <w:t>供应商对《残疾人福利性单位声明函》的真实性负责，如有虚假，自行承担相应责任。</w:t>
      </w:r>
    </w:p>
    <w:p w14:paraId="702BF98E">
      <w:pPr>
        <w:pStyle w:val="4"/>
        <w:spacing w:line="360" w:lineRule="auto"/>
        <w:ind w:firstLine="482" w:firstLineChars="200"/>
        <w:jc w:val="both"/>
        <w:rPr>
          <w:rFonts w:ascii="宋体" w:hAnsi="宋体" w:cs="宋体"/>
          <w:bCs/>
          <w:snapToGrid w:val="0"/>
          <w:color w:val="auto"/>
          <w:kern w:val="21"/>
          <w:sz w:val="24"/>
          <w:szCs w:val="24"/>
          <w:highlight w:val="none"/>
        </w:rPr>
      </w:pPr>
      <w:bookmarkStart w:id="232" w:name="_Toc31914"/>
      <w:bookmarkStart w:id="233" w:name="_Toc13035"/>
      <w:r>
        <w:rPr>
          <w:rFonts w:hint="eastAsia" w:ascii="宋体" w:hAnsi="宋体" w:cs="宋体"/>
          <w:bCs/>
          <w:snapToGrid w:val="0"/>
          <w:color w:val="auto"/>
          <w:kern w:val="21"/>
          <w:sz w:val="24"/>
          <w:szCs w:val="24"/>
          <w:highlight w:val="none"/>
        </w:rPr>
        <w:t>三、协商结果</w:t>
      </w:r>
      <w:bookmarkEnd w:id="232"/>
      <w:bookmarkEnd w:id="233"/>
    </w:p>
    <w:p w14:paraId="5BE853E8">
      <w:pPr>
        <w:spacing w:line="360" w:lineRule="auto"/>
        <w:ind w:firstLine="482" w:firstLineChars="200"/>
        <w:rPr>
          <w:rFonts w:hint="eastAsia" w:hAnsi="宋体"/>
          <w:b/>
          <w:color w:val="auto"/>
          <w:sz w:val="24"/>
          <w:highlight w:val="none"/>
        </w:rPr>
      </w:pPr>
      <w:r>
        <w:rPr>
          <w:rFonts w:hint="eastAsia" w:hAnsi="宋体"/>
          <w:b/>
          <w:color w:val="auto"/>
          <w:sz w:val="24"/>
          <w:highlight w:val="none"/>
        </w:rPr>
        <w:t>评定成交的标准：根据符合采购需求、质量和服务达到要求且最后报价在采购预算及最高限价范围内的原则确定成交供应商。</w:t>
      </w:r>
    </w:p>
    <w:p w14:paraId="56BF055F">
      <w:pPr>
        <w:tabs>
          <w:tab w:val="left" w:pos="360"/>
        </w:tabs>
        <w:snapToGrid w:val="0"/>
        <w:spacing w:line="360" w:lineRule="auto"/>
        <w:ind w:firstLine="480" w:firstLineChars="200"/>
        <w:rPr>
          <w:color w:val="auto"/>
          <w:sz w:val="24"/>
          <w:highlight w:val="none"/>
        </w:rPr>
      </w:pPr>
    </w:p>
    <w:bookmarkEnd w:id="217"/>
    <w:bookmarkEnd w:id="218"/>
    <w:bookmarkEnd w:id="219"/>
    <w:bookmarkEnd w:id="220"/>
    <w:p w14:paraId="0F4D2F15">
      <w:pPr>
        <w:pStyle w:val="3"/>
        <w:spacing w:before="317" w:beforeLines="100" w:after="317" w:afterLines="100" w:line="500" w:lineRule="exact"/>
        <w:rPr>
          <w:color w:val="auto"/>
          <w:spacing w:val="0"/>
          <w:sz w:val="44"/>
          <w:szCs w:val="44"/>
          <w:highlight w:val="none"/>
        </w:rPr>
      </w:pPr>
      <w:r>
        <w:rPr>
          <w:rFonts w:hint="eastAsia"/>
          <w:color w:val="auto"/>
          <w:spacing w:val="0"/>
          <w:sz w:val="44"/>
          <w:szCs w:val="44"/>
          <w:highlight w:val="none"/>
        </w:rPr>
        <w:br w:type="page"/>
      </w:r>
      <w:bookmarkStart w:id="234" w:name="_Toc15796"/>
      <w:r>
        <w:rPr>
          <w:rFonts w:hint="eastAsia"/>
          <w:color w:val="auto"/>
          <w:spacing w:val="0"/>
          <w:sz w:val="44"/>
          <w:szCs w:val="44"/>
          <w:highlight w:val="none"/>
        </w:rPr>
        <w:t xml:space="preserve">第四章 </w:t>
      </w:r>
      <w:bookmarkEnd w:id="211"/>
      <w:r>
        <w:rPr>
          <w:rFonts w:hint="eastAsia"/>
          <w:color w:val="auto"/>
          <w:spacing w:val="0"/>
          <w:sz w:val="44"/>
          <w:szCs w:val="44"/>
          <w:highlight w:val="none"/>
        </w:rPr>
        <w:t xml:space="preserve"> 服务内容及要求</w:t>
      </w:r>
      <w:bookmarkEnd w:id="234"/>
    </w:p>
    <w:p w14:paraId="0C6FB750">
      <w:pPr>
        <w:pStyle w:val="2"/>
        <w:ind w:firstLine="482" w:firstLineChars="200"/>
        <w:rPr>
          <w:rFonts w:hint="eastAsia" w:ascii="宋体" w:hAnsi="宋体" w:eastAsia="宋体" w:cs="宋体"/>
          <w:color w:val="auto"/>
          <w:highlight w:val="none"/>
          <w:lang w:val="en-US" w:eastAsia="zh-CN"/>
        </w:rPr>
      </w:pPr>
      <w:r>
        <w:rPr>
          <w:rFonts w:hint="eastAsia" w:ascii="宋体" w:hAnsi="宋体" w:eastAsia="宋体" w:cs="宋体"/>
          <w:b/>
          <w:bCs w:val="0"/>
          <w:color w:val="auto"/>
          <w:highlight w:val="none"/>
          <w:lang w:val="en-US" w:eastAsia="zh-CN"/>
        </w:rPr>
        <w:t>一、项目概况及总体要求</w:t>
      </w:r>
    </w:p>
    <w:p w14:paraId="3E25EF6B">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（一）项目名称：</w:t>
      </w:r>
      <w:r>
        <w:rPr>
          <w:rFonts w:hint="default" w:ascii="宋体" w:hAnsi="宋体" w:eastAsia="宋体" w:cs="宋体"/>
          <w:color w:val="auto"/>
          <w:highlight w:val="none"/>
          <w:lang w:val="en" w:eastAsia="zh-CN"/>
        </w:rPr>
        <w:t>数字云南展示中心</w:t>
      </w:r>
      <w:r>
        <w:rPr>
          <w:rFonts w:hint="eastAsia" w:ascii="宋体" w:hAnsi="宋体" w:eastAsia="宋体" w:cs="宋体"/>
          <w:color w:val="auto"/>
          <w:highlight w:val="none"/>
          <w:lang w:val="en-US" w:eastAsia="zh-CN"/>
        </w:rPr>
        <w:t>数字能源展区综合硬件运行维护</w:t>
      </w:r>
    </w:p>
    <w:p w14:paraId="159F2F97">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（二）项目概况：数字云南展示中心（</w:t>
      </w:r>
      <w:r>
        <w:rPr>
          <w:rFonts w:hint="eastAsia" w:ascii="宋体" w:hAnsi="宋体" w:eastAsia="宋体" w:cs="宋体"/>
          <w:color w:val="auto"/>
          <w:highlight w:val="none"/>
        </w:rPr>
        <w:t>以下简称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数展中心</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）旨在充分运用现代信息技术，通过实时数据集中展示数字化生产系统，直观生动地呈现数字云南建设成果和亮点，为保障日常宣贯与接待展示工作高效推进，确保展区各系统及设备安全稳定、持续运行，需</w:t>
      </w:r>
      <w:r>
        <w:rPr>
          <w:rFonts w:hint="eastAsia" w:ascii="宋体" w:hAnsi="宋体" w:eastAsia="宋体" w:cs="宋体"/>
          <w:color w:val="auto"/>
          <w:highlight w:val="none"/>
        </w:rPr>
        <w:t>采购</w:t>
      </w:r>
      <w:r>
        <w:rPr>
          <w:rFonts w:hint="eastAsia" w:ascii="宋体" w:hAnsi="宋体" w:eastAsia="宋体" w:cs="宋体"/>
          <w:color w:val="auto"/>
          <w:highlight w:val="none"/>
          <w:lang w:val="en-US" w:eastAsia="zh-CN"/>
        </w:rPr>
        <w:t>数展中心内的</w:t>
      </w:r>
      <w:r>
        <w:rPr>
          <w:rFonts w:hint="eastAsia" w:ascii="宋体" w:hAnsi="宋体" w:eastAsia="宋体" w:cs="宋体"/>
          <w:color w:val="auto"/>
          <w:highlight w:val="none"/>
        </w:rPr>
        <w:t>数字能源展区综合</w:t>
      </w:r>
      <w:r>
        <w:rPr>
          <w:rFonts w:hint="eastAsia" w:ascii="宋体" w:hAnsi="宋体" w:eastAsia="宋体" w:cs="宋体"/>
          <w:color w:val="auto"/>
          <w:highlight w:val="none"/>
          <w:lang w:val="en-US" w:eastAsia="zh-CN"/>
        </w:rPr>
        <w:t>硬件运行维护</w:t>
      </w:r>
      <w:r>
        <w:rPr>
          <w:rFonts w:hint="eastAsia" w:ascii="宋体" w:hAnsi="宋体" w:eastAsia="宋体" w:cs="宋体"/>
          <w:color w:val="auto"/>
          <w:highlight w:val="none"/>
        </w:rPr>
        <w:t>服务。</w:t>
      </w:r>
    </w:p>
    <w:p w14:paraId="13FB540E">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（三）项目采购范围：本项目拟采购以下四项运行维护服务，包括展区硬件隐患排查服务、硬件设备故障维保服务、展区讲解服务、数据维护服务。</w:t>
      </w:r>
    </w:p>
    <w:p w14:paraId="58C34F57">
      <w:pPr>
        <w:pStyle w:val="2"/>
        <w:ind w:firstLine="482" w:firstLineChars="200"/>
        <w:rPr>
          <w:rFonts w:hint="default" w:ascii="宋体" w:hAnsi="宋体" w:eastAsia="宋体" w:cs="宋体"/>
          <w:color w:val="auto"/>
          <w:highlight w:val="none"/>
          <w:lang w:val="en-US" w:eastAsia="zh-CN"/>
        </w:rPr>
      </w:pPr>
      <w:r>
        <w:rPr>
          <w:rFonts w:hint="eastAsia" w:ascii="宋体" w:hAnsi="宋体" w:eastAsia="宋体" w:cs="宋体"/>
          <w:b/>
          <w:bCs w:val="0"/>
          <w:color w:val="auto"/>
          <w:highlight w:val="none"/>
          <w:lang w:val="en-US" w:eastAsia="zh-CN"/>
        </w:rPr>
        <w:t>二、服务内容</w:t>
      </w:r>
    </w:p>
    <w:p w14:paraId="65A54FFF">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（一）硬件隐患排查</w:t>
      </w:r>
    </w:p>
    <w:p w14:paraId="6403D3F2">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1.服务范围</w:t>
      </w:r>
    </w:p>
    <w:p w14:paraId="1161B46F">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硬件隐患排查的服务范围为数字能源展区内的以下硬件设备：</w:t>
      </w:r>
    </w:p>
    <w:p w14:paraId="7589CFAB">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大屏及附属设备：包括屏体（品牌包括上海三思、洲明）、接收卡、发送卡、安装结构、显示屏配套线缆、集中式拼接器、控制电脑、投屏器、智能讲解（发射机、接收机、话筒、通道自动适配器、拾音器）、音响、功率放大器、扬声器、机柜等。</w:t>
      </w:r>
    </w:p>
    <w:p w14:paraId="4A1BC2FD">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（2）展示系统及通信设备：包括展示系统服务器、无线路由器、无线控制器、无线 AP、网络交换机等。</w:t>
      </w:r>
    </w:p>
    <w:p w14:paraId="6D8585F8">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2.服务内容</w:t>
      </w:r>
    </w:p>
    <w:p w14:paraId="0B277289">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搭建标准化运维排查管理体系。严格遵照采购人管理要求及运维规范，搭建系统化、标准化的硬件隐患排查运维管理体系。规范岗位管理机制，明确专项服务人员岗位职责、岗位分工及履职标准，建立统一、规范的常态化隐患排查作业流程。结合展区设备运行特性及展区接待、展示工作需求，制定常态化巡检工作机制与常态化运维服务方案，固化标准化作业流程，构建权责清晰、流程规范、管理有序的硬件隐患排查长效工作机制，全面适配采购人常态化运维及专项管理工作要求。</w:t>
      </w:r>
    </w:p>
    <w:p w14:paraId="30AB43DC">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落实常态化隐患排查与运维管控要求。全面负责展区各类硬件设备的日常运行监测与常态化管理工作，全程跟踪设备运行状态，细致核查设备运行过程中的各类安全隐患、运行故障及异常问题。常态化开展用电安全、线路运行、显示输出、音频传输、网络通信等全维度隐患排查工作，识别各类潜在风险与运行隐患。建立规范化的隐患、故障台账管理机制，定期梳理汇总设备运行问题，分析问题产生根源、运行规律及风险诱因，针对性制定前置防控、提前预警、优化整改的防范处置方案，从源头降低设备故障发生率。严格落实标准化运维管控要求，规范日常运维、隐患排查、问题整改全流程工作标准，持续推动展区硬件设备运维工作规范化、标准化、精细化开展，保障设备长期稳定运行。</w:t>
      </w:r>
    </w:p>
    <w:p w14:paraId="3D336089">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提供全程技术支撑与故障处置服务。为展区硬件设备运行、隐患整改及系统优化提供全方位、专业化的技术支撑保障，主动配合采购人开展各类设备技术研讨、问题研判、优化升级等相关工作，协助高效解决设备运行、日常使用过程中的各类技术难题。建立设备故障快速响应处置机制，针对各类硬件突发故障、运行异常问题，依托远程研判、现场处置等多种方式，快速完成故障排查、问题修复、设备调试工作，最大限度缩短故障处置时长，保障展区设备正常运转、展示工作有序开展。全程做好故障处置全过程记录，规范梳理处置流程、问题成因、整改结果及优化建议，形成完整的处置工作资料并及时上报采购人，确保各类问题闭环管理、有据可查。</w:t>
      </w:r>
    </w:p>
    <w:p w14:paraId="2E3A1523">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（二）硬件设备故障维保服务</w:t>
      </w:r>
    </w:p>
    <w:p w14:paraId="6169493D">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1.服务范围：同（一）硬件隐患排查 1.服务范围。</w:t>
      </w:r>
    </w:p>
    <w:p w14:paraId="5F41DEE3">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2.服务内容：</w:t>
      </w:r>
    </w:p>
    <w:p w14:paraId="31ED53E0">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设备故障维保服务。负责服务期内、服务范围内硬件设备的维修服务，建立设备故障保障机制，覆盖设备各类自然故障、运行损耗故障、常规运行异常等各类问题，无需采购人另行对接、另行委托第三方处理，由服务方承担硬件故障的保障处置工作，保障展区硬件设备运行安全稳定。</w:t>
      </w:r>
    </w:p>
    <w:p w14:paraId="0C46D454">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原厂对接维修保障服务。针对服务期内出现的各类硬件设备故障，执行原厂级维修保障标准，负责故障设备的原厂对接、检测研判、维修修复、配件更换等全流程服务工作。接到设备故障反馈后，第一时间开展故障核查研判，根据设备品牌、型号及故障情况，精准对接设备原厂技术渠道，全程跟进原厂检测、维修、调试、返厂处理等全部工作环节，严格把控维修质量与技术标准，确保故障设备恢复原厂运行性能。</w:t>
      </w:r>
    </w:p>
    <w:p w14:paraId="4243222C">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（三）数字能源展区中英文讲解服务</w:t>
      </w:r>
    </w:p>
    <w:p w14:paraId="5F5B5920">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1.服务范围</w:t>
      </w:r>
    </w:p>
    <w:p w14:paraId="3B50052E">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提供数字能源展区全程中文、英文双语解说接待服务。</w:t>
      </w:r>
    </w:p>
    <w:p w14:paraId="57964B0E">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2.服务内容及标准</w:t>
      </w:r>
    </w:p>
    <w:p w14:paraId="153576CF">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（1）分级制定标准化解说规范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按照不同观展需求和观展对象，制定</w:t>
      </w:r>
      <w:r>
        <w:rPr>
          <w:rFonts w:hint="eastAsia" w:ascii="宋体" w:hAnsi="宋体" w:eastAsia="宋体" w:cs="宋体"/>
          <w:color w:val="auto"/>
          <w:highlight w:val="none"/>
        </w:rPr>
        <w:t>三大版本讲解词：精简版、标准版、专业版，提供定制化专属接待方案，适配不同类型参观群体。</w:t>
      </w:r>
    </w:p>
    <w:p w14:paraId="5B566683">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精简版：内容凝练、核心亮点突出，适用于短时快速参观；</w:t>
      </w:r>
    </w:p>
    <w:p w14:paraId="2E4A8D93">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标准版：内容完整全面、流程流畅，适用于常规团体参观；</w:t>
      </w:r>
    </w:p>
    <w:p w14:paraId="7FA37ED7">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专业版：侧重能源行业专业内容，可配套系统实操演示、深度专业解读，适用于行业专家、政企专业考察团。</w:t>
      </w:r>
    </w:p>
    <w:p w14:paraId="1F94A457">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解说服务。按解说标准规范配备相应的解说员，确保解说效果达到规范要求。精简版解说服务做到亮点突出、语言凝炼，标准版解说服务做到内容全面、操作流畅，专业版解说服务做到有侧重点、能进行专业系统演示和讲解。</w:t>
      </w:r>
    </w:p>
    <w:p w14:paraId="5A4DE05F">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解说培训与考核。</w:t>
      </w:r>
      <w:r>
        <w:rPr>
          <w:rFonts w:hint="eastAsia" w:ascii="宋体" w:hAnsi="宋体" w:eastAsia="宋体" w:cs="宋体"/>
          <w:color w:val="auto"/>
          <w:highlight w:val="none"/>
        </w:rPr>
        <w:t>定期组织普通话、英语口语、政务礼仪、数字能源行业信息化专题培训，持续优化讲解队伍专业能力。</w:t>
      </w:r>
    </w:p>
    <w:p w14:paraId="6EB88879">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（4）人员形象与接待规范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解说员统一配置正装，常规政务接待着装庄重大气</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特色专项接待可配备民族特色服饰。解说人员需形象气质良好，语言表达、临场沟通、应急应变能力优秀；熟练掌握展区背景资料、全部展示内容，吃透中英文全套讲解词，熟悉展区业务系统操作，讲解生动易懂、逻辑清晰。</w:t>
      </w:r>
    </w:p>
    <w:p w14:paraId="287DFD1E">
      <w:pPr>
        <w:pStyle w:val="2"/>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（四）展区大屏数据维护服务</w:t>
      </w:r>
    </w:p>
    <w:p w14:paraId="6CF231AE">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1.服务范围</w:t>
      </w:r>
    </w:p>
    <w:p w14:paraId="4177F54D">
      <w:pPr>
        <w:pStyle w:val="2"/>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数展中心数字能源展区内四块大屏，包括“绿色能源省”展示屏、“电力市场化交易全国第一”展示屏、“水电智能生产”展示屏、“绿色能源服务‘一带一路’”展示屏。</w:t>
      </w:r>
    </w:p>
    <w:p w14:paraId="2E1B1AC7">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2.服务内容 </w:t>
      </w:r>
    </w:p>
    <w:p w14:paraId="16379B40">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（1）常态化数据更新运维服务要求</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严格遵循采购人各项工作部署、宣传展示调整需求开展常态化运维工作，主动配合采购人各类展示调整、内容迭代需求，对大屏展示板块、图文素材、动态指标、统计数据等全部展示要素开展标准化更新、校对、留存与长效维护工作，保障大屏展示内容贴合当期宣传口径、数据真实准确、信息完整规范，形成持续性、标准化的内容运维保障能力。</w:t>
      </w:r>
    </w:p>
    <w:p w14:paraId="62559A15">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（2）全时段故障应急处置服务要求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落实 7×24 小时响应处置服务机制，建立大屏展示异常快速响应流程。针对数据加载卡顿、页面排版错乱、指标停止更新、画面显示异常等各类突发故障，做到问题第一时间接收、快速现场核查、高效闭环处置。</w:t>
      </w:r>
      <w:r>
        <w:rPr>
          <w:rFonts w:hint="eastAsia" w:ascii="宋体" w:hAnsi="宋体" w:eastAsia="宋体" w:cs="宋体"/>
          <w:color w:val="auto"/>
          <w:highlight w:val="none"/>
          <w:lang w:val="en-US" w:eastAsia="zh-CN"/>
        </w:rPr>
        <w:t>关注重要时期</w:t>
      </w:r>
      <w:r>
        <w:rPr>
          <w:rFonts w:hint="eastAsia" w:ascii="宋体" w:hAnsi="宋体" w:eastAsia="宋体" w:cs="宋体"/>
          <w:color w:val="auto"/>
          <w:highlight w:val="none"/>
        </w:rPr>
        <w:t>大屏展示运行状态，优先保障展区参观、接待、讲解等关键时段大屏稳定输出，最大限度缩短故障持续时长，杜绝因数据、页面故障影响展区正常展示效果，持续维持大屏稳定、流畅、规范的可视化展示状态。</w:t>
      </w:r>
    </w:p>
    <w:p w14:paraId="72B548DE">
      <w:pPr>
        <w:pStyle w:val="2"/>
        <w:ind w:firstLine="482" w:firstLineChars="200"/>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三、服务实施要求 </w:t>
      </w:r>
    </w:p>
    <w:p w14:paraId="5DED66CF">
      <w:pPr>
        <w:pStyle w:val="2"/>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1.提供不少于3人项目服务团队，人员固定在岗，不得随意更换。</w:t>
      </w:r>
    </w:p>
    <w:p w14:paraId="3C1E84CE">
      <w:pPr>
        <w:pStyle w:val="2"/>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color w:val="auto"/>
          <w:highlight w:val="none"/>
        </w:rPr>
        <w:t>2.团队人员分工清晰，配置硬件运维技术</w:t>
      </w:r>
      <w:r>
        <w:rPr>
          <w:rFonts w:hint="eastAsia" w:ascii="宋体" w:hAnsi="宋体" w:eastAsia="宋体" w:cs="宋体"/>
          <w:color w:val="auto"/>
          <w:highlight w:val="none"/>
          <w:lang w:val="en-US" w:eastAsia="zh-CN"/>
        </w:rPr>
        <w:t>专员</w:t>
      </w:r>
      <w:r>
        <w:rPr>
          <w:rFonts w:hint="eastAsia" w:ascii="宋体" w:hAnsi="宋体" w:eastAsia="宋体" w:cs="宋体"/>
          <w:color w:val="auto"/>
          <w:highlight w:val="none"/>
        </w:rPr>
        <w:t>、数据运维专员、专职讲解员，各岗位人员具备对应专业从业能力、相关项目服务经验。</w:t>
      </w:r>
    </w:p>
    <w:p w14:paraId="4A9A9333">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sectPr>
          <w:footerReference r:id="rId12" w:type="default"/>
          <w:pgSz w:w="11905" w:h="16838"/>
          <w:pgMar w:top="1440" w:right="1083" w:bottom="1440" w:left="1083" w:header="850" w:footer="992" w:gutter="0"/>
          <w:cols w:space="720" w:num="1"/>
          <w:docGrid w:type="lines" w:linePitch="317" w:charSpace="0"/>
        </w:sectPr>
      </w:pPr>
    </w:p>
    <w:p w14:paraId="5A43CE0F">
      <w:pPr>
        <w:pStyle w:val="3"/>
        <w:rPr>
          <w:rFonts w:ascii="宋体" w:hAnsi="宋体" w:cs="宋体"/>
          <w:color w:val="auto"/>
          <w:sz w:val="52"/>
          <w:highlight w:val="none"/>
        </w:rPr>
      </w:pPr>
      <w:bookmarkStart w:id="235" w:name="_Toc12937"/>
      <w:bookmarkStart w:id="236" w:name="_Toc4685103"/>
      <w:r>
        <w:rPr>
          <w:rFonts w:hint="eastAsia" w:ascii="宋体" w:hAnsi="宋体" w:cs="宋体"/>
          <w:color w:val="auto"/>
          <w:sz w:val="52"/>
          <w:highlight w:val="none"/>
        </w:rPr>
        <w:t xml:space="preserve">第五章  </w:t>
      </w:r>
      <w:bookmarkStart w:id="237" w:name="_Hlk4156091"/>
      <w:r>
        <w:rPr>
          <w:rFonts w:hint="eastAsia" w:ascii="宋体" w:hAnsi="宋体" w:cs="宋体"/>
          <w:color w:val="auto"/>
          <w:sz w:val="52"/>
          <w:highlight w:val="none"/>
        </w:rPr>
        <w:t>合同草案条款</w:t>
      </w:r>
      <w:bookmarkEnd w:id="212"/>
      <w:bookmarkEnd w:id="213"/>
      <w:bookmarkEnd w:id="235"/>
      <w:bookmarkEnd w:id="236"/>
      <w:bookmarkEnd w:id="237"/>
    </w:p>
    <w:p w14:paraId="4C804BD2">
      <w:pPr>
        <w:spacing w:line="400" w:lineRule="exact"/>
        <w:ind w:left="357" w:right="-109" w:rightChars="-52"/>
        <w:jc w:val="center"/>
        <w:rPr>
          <w:rFonts w:ascii="宋体" w:hAnsi="宋体" w:eastAsia="宋体"/>
          <w:b/>
          <w:color w:val="auto"/>
          <w:sz w:val="42"/>
          <w:szCs w:val="44"/>
          <w:highlight w:val="none"/>
        </w:rPr>
      </w:pPr>
      <w:bookmarkStart w:id="238" w:name="_Toc31034"/>
      <w:bookmarkEnd w:id="238"/>
      <w:bookmarkStart w:id="239" w:name="_Toc12847"/>
      <w:bookmarkEnd w:id="239"/>
      <w:bookmarkStart w:id="240" w:name="_Toc331685784"/>
      <w:bookmarkStart w:id="241" w:name="_Toc4685104"/>
      <w:r>
        <w:rPr>
          <w:rFonts w:hint="eastAsia" w:hAnsi="宋体"/>
          <w:b/>
          <w:color w:val="auto"/>
          <w:sz w:val="26"/>
          <w:highlight w:val="none"/>
          <w:lang w:eastAsia="zh-CN"/>
        </w:rPr>
        <w:t>（</w:t>
      </w:r>
      <w:r>
        <w:rPr>
          <w:rFonts w:hint="eastAsia" w:ascii="宋体" w:hAnsi="宋体" w:eastAsia="宋体"/>
          <w:b/>
          <w:color w:val="auto"/>
          <w:sz w:val="26"/>
          <w:highlight w:val="none"/>
        </w:rPr>
        <w:t>以</w:t>
      </w:r>
      <w:r>
        <w:rPr>
          <w:rFonts w:hint="eastAsia" w:hAnsi="宋体"/>
          <w:b/>
          <w:color w:val="auto"/>
          <w:sz w:val="26"/>
          <w:highlight w:val="none"/>
          <w:lang w:val="en-US" w:eastAsia="zh-CN"/>
        </w:rPr>
        <w:t>供应商</w:t>
      </w:r>
      <w:r>
        <w:rPr>
          <w:rFonts w:hint="eastAsia" w:ascii="宋体" w:hAnsi="宋体" w:eastAsia="宋体"/>
          <w:b/>
          <w:color w:val="auto"/>
          <w:sz w:val="26"/>
          <w:highlight w:val="none"/>
        </w:rPr>
        <w:t>与</w:t>
      </w:r>
      <w:r>
        <w:rPr>
          <w:rFonts w:hint="eastAsia" w:hAnsi="宋体"/>
          <w:b/>
          <w:color w:val="auto"/>
          <w:sz w:val="26"/>
          <w:highlight w:val="none"/>
          <w:lang w:val="en-US" w:eastAsia="zh-CN"/>
        </w:rPr>
        <w:t>采购</w:t>
      </w:r>
      <w:r>
        <w:rPr>
          <w:rFonts w:hint="eastAsia" w:ascii="宋体" w:hAnsi="宋体" w:eastAsia="宋体"/>
          <w:b/>
          <w:color w:val="auto"/>
          <w:sz w:val="26"/>
          <w:highlight w:val="none"/>
        </w:rPr>
        <w:t>人最终协商确定的合同格式为准</w:t>
      </w:r>
      <w:r>
        <w:rPr>
          <w:rFonts w:hint="eastAsia" w:hAnsi="宋体"/>
          <w:b/>
          <w:color w:val="auto"/>
          <w:sz w:val="26"/>
          <w:highlight w:val="none"/>
          <w:lang w:eastAsia="zh-CN"/>
        </w:rPr>
        <w:t>）</w:t>
      </w:r>
    </w:p>
    <w:p w14:paraId="2850BFF4">
      <w:pPr>
        <w:autoSpaceDE w:val="0"/>
        <w:autoSpaceDN w:val="0"/>
        <w:rPr>
          <w:rFonts w:ascii="宋体" w:hAnsi="宋体" w:eastAsia="宋体"/>
          <w:b/>
          <w:bCs/>
          <w:color w:val="auto"/>
          <w:sz w:val="24"/>
          <w:highlight w:val="none"/>
        </w:rPr>
      </w:pPr>
      <w:r>
        <w:rPr>
          <w:rFonts w:hint="eastAsia" w:ascii="宋体" w:hAnsi="宋体" w:eastAsia="宋体"/>
          <w:b/>
          <w:color w:val="auto"/>
          <w:sz w:val="24"/>
          <w:highlight w:val="none"/>
        </w:rPr>
        <w:t xml:space="preserve"> </w:t>
      </w:r>
    </w:p>
    <w:p w14:paraId="4812EFFA">
      <w:pPr>
        <w:autoSpaceDE w:val="0"/>
        <w:autoSpaceDN w:val="0"/>
        <w:rPr>
          <w:rFonts w:ascii="宋体" w:hAnsi="宋体" w:eastAsia="宋体"/>
          <w:b/>
          <w:bCs/>
          <w:color w:val="auto"/>
          <w:sz w:val="24"/>
          <w:highlight w:val="none"/>
        </w:rPr>
      </w:pPr>
      <w:r>
        <w:rPr>
          <w:rFonts w:hint="eastAsia" w:ascii="宋体" w:hAnsi="宋体" w:eastAsia="宋体"/>
          <w:b/>
          <w:bCs/>
          <w:color w:val="auto"/>
          <w:sz w:val="24"/>
          <w:highlight w:val="none"/>
        </w:rPr>
        <w:t xml:space="preserve">  </w:t>
      </w:r>
    </w:p>
    <w:p w14:paraId="1495F1B7">
      <w:pPr>
        <w:autoSpaceDE w:val="0"/>
        <w:autoSpaceDN w:val="0"/>
        <w:rPr>
          <w:rFonts w:hint="eastAsia" w:ascii="宋体" w:hAnsi="宋体" w:eastAsia="宋体"/>
          <w:b/>
          <w:color w:val="auto"/>
          <w:sz w:val="24"/>
          <w:highlight w:val="none"/>
        </w:rPr>
      </w:pPr>
    </w:p>
    <w:p w14:paraId="27EFB34A">
      <w:pPr>
        <w:autoSpaceDE w:val="0"/>
        <w:autoSpaceDN w:val="0"/>
        <w:rPr>
          <w:rFonts w:ascii="宋体" w:hAnsi="宋体" w:eastAsia="宋体"/>
          <w:b/>
          <w:bCs/>
          <w:color w:val="auto"/>
          <w:highlight w:val="none"/>
        </w:rPr>
      </w:pPr>
      <w:r>
        <w:rPr>
          <w:rFonts w:ascii="宋体" w:hAnsi="宋体" w:eastAsia="宋体"/>
          <w:b/>
          <w:bCs/>
          <w:color w:val="auto"/>
          <w:sz w:val="24"/>
          <w:highlight w:val="none"/>
        </w:rPr>
        <w:t xml:space="preserve">  </w:t>
      </w:r>
    </w:p>
    <w:p w14:paraId="3D5E0C17">
      <w:pPr>
        <w:spacing w:line="360" w:lineRule="auto"/>
        <w:jc w:val="center"/>
        <w:rPr>
          <w:rFonts w:hint="eastAsia" w:ascii="宋体" w:hAnsi="宋体" w:eastAsia="宋体"/>
          <w:b/>
          <w:bCs/>
          <w:color w:val="auto"/>
          <w:spacing w:val="10"/>
          <w:sz w:val="42"/>
          <w:szCs w:val="48"/>
          <w:highlight w:val="none"/>
        </w:rPr>
      </w:pPr>
    </w:p>
    <w:p w14:paraId="41401A5B">
      <w:pPr>
        <w:spacing w:line="360" w:lineRule="auto"/>
        <w:jc w:val="center"/>
        <w:rPr>
          <w:rFonts w:hint="eastAsia" w:ascii="宋体" w:hAnsi="宋体" w:eastAsia="宋体"/>
          <w:b/>
          <w:bCs/>
          <w:color w:val="auto"/>
          <w:spacing w:val="10"/>
          <w:sz w:val="42"/>
          <w:szCs w:val="48"/>
          <w:highlight w:val="none"/>
        </w:rPr>
      </w:pPr>
    </w:p>
    <w:p w14:paraId="6B414D30">
      <w:pPr>
        <w:spacing w:line="360" w:lineRule="auto"/>
        <w:jc w:val="center"/>
        <w:rPr>
          <w:rFonts w:hint="eastAsia" w:ascii="宋体" w:hAnsi="宋体"/>
          <w:b/>
          <w:bCs/>
          <w:color w:val="auto"/>
          <w:spacing w:val="10"/>
          <w:sz w:val="42"/>
          <w:szCs w:val="48"/>
          <w:highlight w:val="none"/>
          <w:lang w:val="en-US" w:eastAsia="zh-CN"/>
        </w:rPr>
      </w:pPr>
      <w:r>
        <w:rPr>
          <w:rFonts w:hint="eastAsia" w:ascii="宋体" w:hAnsi="宋体"/>
          <w:b/>
          <w:bCs/>
          <w:color w:val="auto"/>
          <w:spacing w:val="10"/>
          <w:sz w:val="42"/>
          <w:szCs w:val="48"/>
          <w:highlight w:val="none"/>
          <w:lang w:val="en-US" w:eastAsia="zh-CN"/>
        </w:rPr>
        <w:t>政府采购合同</w:t>
      </w:r>
    </w:p>
    <w:p w14:paraId="6A8629AA">
      <w:pPr>
        <w:pStyle w:val="2"/>
        <w:rPr>
          <w:rFonts w:hint="default"/>
          <w:color w:val="auto"/>
          <w:highlight w:val="none"/>
          <w:lang w:val="en-US" w:eastAsia="zh-CN"/>
        </w:rPr>
      </w:pPr>
    </w:p>
    <w:p w14:paraId="421814CC">
      <w:pPr>
        <w:spacing w:line="360" w:lineRule="auto"/>
        <w:jc w:val="center"/>
        <w:rPr>
          <w:rFonts w:ascii="宋体" w:hAnsi="宋体" w:eastAsia="宋体"/>
          <w:b/>
          <w:bCs/>
          <w:color w:val="auto"/>
          <w:spacing w:val="10"/>
          <w:sz w:val="36"/>
          <w:szCs w:val="48"/>
          <w:highlight w:val="none"/>
        </w:rPr>
      </w:pPr>
    </w:p>
    <w:p w14:paraId="47CDE7F9">
      <w:pPr>
        <w:spacing w:line="360" w:lineRule="auto"/>
        <w:jc w:val="center"/>
        <w:rPr>
          <w:rFonts w:ascii="宋体" w:hAnsi="宋体" w:eastAsia="宋体"/>
          <w:b/>
          <w:bCs/>
          <w:color w:val="auto"/>
          <w:spacing w:val="10"/>
          <w:sz w:val="36"/>
          <w:szCs w:val="48"/>
          <w:highlight w:val="none"/>
        </w:rPr>
      </w:pPr>
    </w:p>
    <w:p w14:paraId="53A1542C">
      <w:pPr>
        <w:keepNext w:val="0"/>
        <w:keepLines w:val="0"/>
        <w:pageBreakBefore w:val="0"/>
        <w:widowControl/>
        <w:kinsoku/>
        <w:wordWrap/>
        <w:overflowPunct/>
        <w:topLinePunct w:val="0"/>
        <w:bidi w:val="0"/>
        <w:adjustRightInd/>
        <w:snapToGrid/>
        <w:spacing w:before="0" w:after="0" w:line="360" w:lineRule="auto"/>
        <w:ind w:right="-512" w:rightChars="-244" w:firstLine="602" w:firstLineChars="200"/>
        <w:textAlignment w:val="auto"/>
        <w:outlineLvl w:val="9"/>
        <w:rPr>
          <w:rFonts w:hint="default" w:ascii="宋体" w:hAnsi="宋体" w:eastAsia="宋体"/>
          <w:b/>
          <w:bCs/>
          <w:color w:val="auto"/>
          <w:kern w:val="2"/>
          <w:sz w:val="30"/>
          <w:szCs w:val="30"/>
          <w:highlight w:val="none"/>
          <w:lang w:val="en-US" w:eastAsia="zh-CN"/>
        </w:rPr>
      </w:pPr>
      <w:r>
        <w:rPr>
          <w:rFonts w:hint="eastAsia" w:ascii="宋体" w:hAnsi="宋体"/>
          <w:b/>
          <w:bCs/>
          <w:color w:val="auto"/>
          <w:kern w:val="2"/>
          <w:sz w:val="30"/>
          <w:szCs w:val="30"/>
          <w:highlight w:val="none"/>
          <w:lang w:val="en-US" w:eastAsia="zh-CN"/>
        </w:rPr>
        <w:t>项目名称</w:t>
      </w:r>
      <w:r>
        <w:rPr>
          <w:rFonts w:hint="eastAsia" w:ascii="宋体" w:hAnsi="宋体" w:eastAsia="宋体"/>
          <w:b/>
          <w:bCs/>
          <w:color w:val="auto"/>
          <w:kern w:val="2"/>
          <w:sz w:val="30"/>
          <w:szCs w:val="30"/>
          <w:highlight w:val="none"/>
          <w:lang w:val="zh-CN"/>
        </w:rPr>
        <w:t>：</w:t>
      </w:r>
      <w:r>
        <w:rPr>
          <w:rFonts w:hint="eastAsia" w:hAnsi="宋体"/>
          <w:b/>
          <w:bCs/>
          <w:color w:val="auto"/>
          <w:kern w:val="2"/>
          <w:sz w:val="30"/>
          <w:szCs w:val="30"/>
          <w:highlight w:val="none"/>
          <w:u w:val="single"/>
          <w:lang w:val="zh-CN"/>
        </w:rPr>
        <w:t>数字云南展示中心数字能源展区综合硬件运行维护</w:t>
      </w:r>
    </w:p>
    <w:p w14:paraId="7C49B271">
      <w:pPr>
        <w:keepNext w:val="0"/>
        <w:keepLines w:val="0"/>
        <w:pageBreakBefore w:val="0"/>
        <w:widowControl/>
        <w:kinsoku/>
        <w:wordWrap/>
        <w:overflowPunct/>
        <w:topLinePunct w:val="0"/>
        <w:bidi w:val="0"/>
        <w:adjustRightInd/>
        <w:snapToGrid/>
        <w:spacing w:before="0" w:after="0" w:line="360" w:lineRule="auto"/>
        <w:ind w:right="-512" w:rightChars="-244" w:firstLine="602" w:firstLineChars="200"/>
        <w:textAlignment w:val="auto"/>
        <w:outlineLvl w:val="9"/>
        <w:rPr>
          <w:rFonts w:hint="eastAsia" w:ascii="宋体" w:hAnsi="宋体"/>
          <w:b/>
          <w:bCs/>
          <w:color w:val="auto"/>
          <w:kern w:val="2"/>
          <w:sz w:val="30"/>
          <w:szCs w:val="30"/>
          <w:highlight w:val="none"/>
          <w:u w:val="none"/>
          <w:lang w:val="en-US" w:eastAsia="zh-CN"/>
        </w:rPr>
      </w:pPr>
      <w:r>
        <w:rPr>
          <w:rFonts w:hint="eastAsia" w:ascii="宋体" w:hAnsi="宋体"/>
          <w:b/>
          <w:bCs/>
          <w:color w:val="auto"/>
          <w:kern w:val="2"/>
          <w:sz w:val="30"/>
          <w:szCs w:val="30"/>
          <w:highlight w:val="none"/>
          <w:lang w:val="en-US" w:eastAsia="zh-CN"/>
        </w:rPr>
        <w:t>合同编号</w:t>
      </w:r>
      <w:r>
        <w:rPr>
          <w:rFonts w:hint="eastAsia" w:ascii="宋体" w:hAnsi="宋体" w:eastAsia="宋体"/>
          <w:b/>
          <w:bCs/>
          <w:color w:val="auto"/>
          <w:kern w:val="2"/>
          <w:sz w:val="30"/>
          <w:szCs w:val="30"/>
          <w:highlight w:val="none"/>
          <w:lang w:val="zh-CN"/>
        </w:rPr>
        <w:t>：</w:t>
      </w:r>
      <w:r>
        <w:rPr>
          <w:rFonts w:hint="eastAsia" w:ascii="宋体" w:hAnsi="宋体"/>
          <w:b/>
          <w:bCs/>
          <w:color w:val="auto"/>
          <w:kern w:val="2"/>
          <w:sz w:val="30"/>
          <w:szCs w:val="30"/>
          <w:highlight w:val="none"/>
          <w:u w:val="single"/>
          <w:lang w:val="en-US" w:eastAsia="zh-CN"/>
        </w:rPr>
        <w:t xml:space="preserve">                  </w:t>
      </w:r>
      <w:r>
        <w:rPr>
          <w:rFonts w:hint="eastAsia" w:ascii="宋体" w:hAnsi="宋体"/>
          <w:b/>
          <w:bCs/>
          <w:color w:val="auto"/>
          <w:kern w:val="2"/>
          <w:sz w:val="30"/>
          <w:szCs w:val="30"/>
          <w:highlight w:val="none"/>
          <w:u w:val="none"/>
          <w:lang w:val="en-US" w:eastAsia="zh-CN"/>
        </w:rPr>
        <w:t>（系统编号）</w:t>
      </w:r>
    </w:p>
    <w:p w14:paraId="62150AEA">
      <w:pPr>
        <w:pStyle w:val="2"/>
        <w:keepNext w:val="0"/>
        <w:keepLines w:val="0"/>
        <w:pageBreakBefore w:val="0"/>
        <w:widowControl/>
        <w:kinsoku/>
        <w:wordWrap/>
        <w:overflowPunct/>
        <w:topLinePunct w:val="0"/>
        <w:bidi w:val="0"/>
        <w:adjustRightInd/>
        <w:snapToGrid/>
        <w:spacing w:before="318" w:beforeLines="100"/>
        <w:ind w:firstLine="602" w:firstLineChars="200"/>
        <w:textAlignment w:val="auto"/>
        <w:rPr>
          <w:rFonts w:hint="default"/>
          <w:b/>
          <w:bCs/>
          <w:color w:val="auto"/>
          <w:highlight w:val="none"/>
          <w:u w:val="single"/>
          <w:lang w:val="en-US" w:eastAsia="zh-CN"/>
        </w:rPr>
      </w:pPr>
      <w:r>
        <w:rPr>
          <w:rFonts w:hint="eastAsia" w:ascii="宋体" w:hAnsi="宋体"/>
          <w:b/>
          <w:bCs/>
          <w:color w:val="auto"/>
          <w:kern w:val="2"/>
          <w:sz w:val="30"/>
          <w:szCs w:val="30"/>
          <w:highlight w:val="none"/>
          <w:u w:val="none"/>
          <w:lang w:val="en-US" w:eastAsia="zh-CN"/>
        </w:rPr>
        <w:t xml:space="preserve">           </w:t>
      </w:r>
      <w:r>
        <w:rPr>
          <w:rFonts w:hint="eastAsia"/>
          <w:b/>
          <w:bCs/>
          <w:color w:val="auto"/>
          <w:kern w:val="2"/>
          <w:sz w:val="30"/>
          <w:szCs w:val="30"/>
          <w:highlight w:val="none"/>
          <w:u w:val="single"/>
          <w:lang w:val="en-US" w:eastAsia="zh-CN"/>
        </w:rPr>
        <w:t>YDCTF20261225</w:t>
      </w:r>
      <w:r>
        <w:rPr>
          <w:rFonts w:hint="eastAsia" w:ascii="宋体" w:hAnsi="宋体"/>
          <w:b/>
          <w:bCs/>
          <w:color w:val="auto"/>
          <w:kern w:val="2"/>
          <w:sz w:val="30"/>
          <w:szCs w:val="30"/>
          <w:highlight w:val="none"/>
          <w:u w:val="none"/>
          <w:lang w:val="en-US" w:eastAsia="zh-CN"/>
        </w:rPr>
        <w:t>（自编号，如有）</w:t>
      </w:r>
    </w:p>
    <w:p w14:paraId="0807A7AA">
      <w:pPr>
        <w:keepNext w:val="0"/>
        <w:keepLines w:val="0"/>
        <w:pageBreakBefore w:val="0"/>
        <w:widowControl/>
        <w:kinsoku/>
        <w:wordWrap/>
        <w:overflowPunct/>
        <w:topLinePunct w:val="0"/>
        <w:autoSpaceDE w:val="0"/>
        <w:autoSpaceDN w:val="0"/>
        <w:bidi w:val="0"/>
        <w:adjustRightInd/>
        <w:snapToGrid/>
        <w:spacing w:before="318" w:beforeLines="100" w:line="500" w:lineRule="exact"/>
        <w:ind w:firstLine="602" w:firstLineChars="200"/>
        <w:textAlignment w:val="auto"/>
        <w:rPr>
          <w:rFonts w:ascii="宋体" w:hAnsi="宋体" w:eastAsia="宋体"/>
          <w:b/>
          <w:bCs/>
          <w:color w:val="auto"/>
          <w:sz w:val="30"/>
          <w:szCs w:val="30"/>
          <w:highlight w:val="none"/>
          <w:lang w:val="zh-CN"/>
        </w:rPr>
      </w:pPr>
    </w:p>
    <w:p w14:paraId="37D744E7">
      <w:pPr>
        <w:keepNext w:val="0"/>
        <w:keepLines w:val="0"/>
        <w:pageBreakBefore w:val="0"/>
        <w:widowControl/>
        <w:kinsoku/>
        <w:wordWrap/>
        <w:overflowPunct/>
        <w:topLinePunct w:val="0"/>
        <w:autoSpaceDE w:val="0"/>
        <w:autoSpaceDN w:val="0"/>
        <w:bidi w:val="0"/>
        <w:adjustRightInd/>
        <w:snapToGrid/>
        <w:spacing w:line="500" w:lineRule="exact"/>
        <w:ind w:firstLine="602" w:firstLineChars="200"/>
        <w:textAlignment w:val="auto"/>
        <w:rPr>
          <w:rFonts w:hint="default" w:ascii="宋体" w:hAnsi="宋体" w:eastAsia="宋体"/>
          <w:b/>
          <w:color w:val="auto"/>
          <w:sz w:val="30"/>
          <w:szCs w:val="30"/>
          <w:highlight w:val="none"/>
          <w:lang w:val="en-US" w:eastAsia="zh-CN"/>
        </w:rPr>
      </w:pPr>
      <w:r>
        <w:rPr>
          <w:rFonts w:hint="eastAsia" w:ascii="宋体" w:hAnsi="宋体"/>
          <w:b/>
          <w:color w:val="auto"/>
          <w:sz w:val="30"/>
          <w:szCs w:val="30"/>
          <w:highlight w:val="none"/>
          <w:lang w:val="en-US" w:eastAsia="zh-CN"/>
        </w:rPr>
        <w:t>甲     方</w:t>
      </w:r>
      <w:r>
        <w:rPr>
          <w:rFonts w:hint="eastAsia" w:ascii="宋体" w:hAnsi="宋体" w:eastAsia="宋体"/>
          <w:b/>
          <w:color w:val="auto"/>
          <w:sz w:val="30"/>
          <w:szCs w:val="30"/>
          <w:highlight w:val="none"/>
          <w:lang w:val="zh-CN"/>
        </w:rPr>
        <w:t>：</w:t>
      </w:r>
      <w:r>
        <w:rPr>
          <w:rFonts w:hint="eastAsia" w:hAnsi="宋体"/>
          <w:b/>
          <w:color w:val="auto"/>
          <w:sz w:val="30"/>
          <w:szCs w:val="30"/>
          <w:highlight w:val="none"/>
          <w:u w:val="single"/>
          <w:lang w:val="en-US" w:eastAsia="zh-CN"/>
        </w:rPr>
        <w:t>云南省能源局</w:t>
      </w:r>
    </w:p>
    <w:p w14:paraId="62E32471">
      <w:pPr>
        <w:keepNext w:val="0"/>
        <w:keepLines w:val="0"/>
        <w:pageBreakBefore w:val="0"/>
        <w:widowControl/>
        <w:kinsoku/>
        <w:wordWrap/>
        <w:overflowPunct/>
        <w:topLinePunct w:val="0"/>
        <w:autoSpaceDE w:val="0"/>
        <w:autoSpaceDN w:val="0"/>
        <w:bidi w:val="0"/>
        <w:adjustRightInd/>
        <w:snapToGrid/>
        <w:spacing w:line="500" w:lineRule="exact"/>
        <w:ind w:firstLine="602" w:firstLineChars="200"/>
        <w:textAlignment w:val="auto"/>
        <w:rPr>
          <w:rFonts w:ascii="宋体" w:hAnsi="宋体" w:eastAsia="宋体"/>
          <w:b/>
          <w:color w:val="auto"/>
          <w:sz w:val="30"/>
          <w:szCs w:val="30"/>
          <w:highlight w:val="none"/>
          <w:lang w:val="zh-CN"/>
        </w:rPr>
      </w:pPr>
    </w:p>
    <w:p w14:paraId="07A7398A">
      <w:pPr>
        <w:ind w:firstLine="602" w:firstLineChars="200"/>
        <w:rPr>
          <w:rFonts w:hAnsi="宋体" w:cs="宋体"/>
          <w:color w:val="auto"/>
          <w:sz w:val="24"/>
          <w:highlight w:val="none"/>
        </w:rPr>
      </w:pPr>
      <w:r>
        <w:rPr>
          <w:rFonts w:hint="eastAsia" w:ascii="宋体" w:hAnsi="宋体"/>
          <w:b/>
          <w:color w:val="auto"/>
          <w:sz w:val="30"/>
          <w:szCs w:val="30"/>
          <w:highlight w:val="none"/>
          <w:lang w:val="en-US" w:eastAsia="zh-CN"/>
        </w:rPr>
        <w:t>乙     方</w:t>
      </w:r>
      <w:r>
        <w:rPr>
          <w:rFonts w:hint="eastAsia" w:ascii="宋体" w:hAnsi="宋体" w:eastAsia="宋体"/>
          <w:b/>
          <w:color w:val="auto"/>
          <w:sz w:val="30"/>
          <w:szCs w:val="30"/>
          <w:highlight w:val="none"/>
          <w:lang w:val="zh-CN"/>
        </w:rPr>
        <w:t>：</w:t>
      </w:r>
      <w:r>
        <w:rPr>
          <w:rFonts w:hint="eastAsia" w:ascii="宋体" w:hAnsi="宋体"/>
          <w:b/>
          <w:color w:val="auto"/>
          <w:sz w:val="30"/>
          <w:szCs w:val="30"/>
          <w:highlight w:val="none"/>
          <w:u w:val="single"/>
          <w:lang w:val="en-US" w:eastAsia="zh-CN"/>
        </w:rPr>
        <w:t xml:space="preserve">               </w:t>
      </w:r>
    </w:p>
    <w:bookmarkEnd w:id="240"/>
    <w:p w14:paraId="52FC8E2B">
      <w:pPr>
        <w:widowControl/>
        <w:snapToGrid w:val="0"/>
        <w:spacing w:after="240"/>
        <w:jc w:val="both"/>
        <w:rPr>
          <w:rFonts w:hAnsi="宋体" w:cs="宋体"/>
          <w:b/>
          <w:bCs/>
          <w:i/>
          <w:color w:val="auto"/>
          <w:kern w:val="0"/>
          <w:sz w:val="28"/>
          <w:szCs w:val="28"/>
          <w:highlight w:val="none"/>
        </w:rPr>
      </w:pPr>
    </w:p>
    <w:p w14:paraId="31E5E8AD">
      <w:pPr>
        <w:rPr>
          <w:rFonts w:hint="eastAsia" w:ascii="宋体" w:hAnsi="宋体" w:cs="宋体"/>
          <w:b/>
          <w:color w:val="auto"/>
          <w:kern w:val="0"/>
          <w:sz w:val="27"/>
          <w:szCs w:val="27"/>
          <w:highlight w:val="none"/>
        </w:rPr>
      </w:pPr>
    </w:p>
    <w:p w14:paraId="3BC6F2F3">
      <w:pPr>
        <w:rPr>
          <w:rFonts w:hint="eastAsia" w:ascii="宋体" w:hAnsi="宋体" w:cs="宋体"/>
          <w:b/>
          <w:color w:val="auto"/>
          <w:kern w:val="0"/>
          <w:sz w:val="27"/>
          <w:szCs w:val="27"/>
          <w:highlight w:val="none"/>
        </w:rPr>
      </w:pPr>
      <w:r>
        <w:rPr>
          <w:rFonts w:hint="eastAsia" w:ascii="宋体" w:hAnsi="宋体" w:cs="宋体"/>
          <w:b/>
          <w:color w:val="auto"/>
          <w:kern w:val="0"/>
          <w:sz w:val="27"/>
          <w:szCs w:val="27"/>
          <w:highlight w:val="none"/>
        </w:rPr>
        <w:br w:type="page"/>
      </w:r>
    </w:p>
    <w:p w14:paraId="34361D8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甲方：</w:t>
      </w:r>
      <w:r>
        <w:rPr>
          <w:rFonts w:hint="eastAsia" w:ascii="宋体" w:hAnsi="宋体" w:eastAsia="宋体" w:cs="宋体"/>
          <w:bCs/>
          <w:color w:val="auto"/>
          <w:sz w:val="24"/>
          <w:highlight w:val="none"/>
          <w:lang w:eastAsia="zh-CN"/>
        </w:rPr>
        <w:t>云南省能源局</w:t>
      </w:r>
      <w:r>
        <w:rPr>
          <w:rFonts w:hint="eastAsia" w:ascii="宋体" w:hAnsi="宋体" w:eastAsia="宋体" w:cs="宋体"/>
          <w:bCs/>
          <w:color w:val="auto"/>
          <w:sz w:val="24"/>
          <w:highlight w:val="none"/>
        </w:rPr>
        <w:t>（以下简称“甲方”）</w:t>
      </w:r>
    </w:p>
    <w:p w14:paraId="0887D65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（以下简称“乙方”）</w:t>
      </w:r>
    </w:p>
    <w:p w14:paraId="6865DD6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根据</w:t>
      </w:r>
      <w:r>
        <w:rPr>
          <w:rFonts w:hint="eastAsia" w:ascii="宋体" w:hAnsi="宋体" w:eastAsia="宋体" w:cs="宋体"/>
          <w:bCs/>
          <w:color w:val="auto"/>
          <w:sz w:val="24"/>
          <w:highlight w:val="none"/>
        </w:rPr>
        <w:t>《中华人民共和国政府采购法》、《中华人民共和国政府采购法实施条例》、《合同法》等有关法律、法规和规章的规定，甲乙双方根据</w:t>
      </w:r>
      <w:r>
        <w:rPr>
          <w:rFonts w:hint="eastAsia" w:ascii="宋体" w:hAnsi="宋体" w:eastAsia="宋体" w:cs="宋体"/>
          <w:bCs/>
          <w:color w:val="auto"/>
          <w:sz w:val="24"/>
          <w:highlight w:val="none"/>
          <w:u w:val="single"/>
        </w:rPr>
        <w:t xml:space="preserve"> </w:t>
      </w:r>
      <w:r>
        <w:rPr>
          <w:rFonts w:hint="eastAsia" w:hAnsi="宋体" w:cs="宋体"/>
          <w:bCs/>
          <w:color w:val="auto"/>
          <w:sz w:val="24"/>
          <w:highlight w:val="none"/>
          <w:u w:val="single"/>
          <w:lang w:eastAsia="zh-CN"/>
        </w:rPr>
        <w:t>数字云南展示中心数字能源展区综合硬件运行维护</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采购结果，双方经过平等协商，在真实、充分表达各自意愿的基础上，根据《中华人民共和国合同法》的规定，达成以下</w:t>
      </w:r>
      <w:r>
        <w:rPr>
          <w:rFonts w:hint="eastAsia" w:ascii="宋体" w:hAnsi="宋体" w:eastAsia="宋体" w:cs="宋体"/>
          <w:bCs/>
          <w:color w:val="auto"/>
          <w:sz w:val="24"/>
          <w:highlight w:val="none"/>
          <w:u w:val="single"/>
        </w:rPr>
        <w:t xml:space="preserve"> </w:t>
      </w:r>
      <w:r>
        <w:rPr>
          <w:rFonts w:hint="eastAsia" w:hAnsi="宋体" w:cs="宋体"/>
          <w:bCs/>
          <w:color w:val="auto"/>
          <w:sz w:val="24"/>
          <w:highlight w:val="none"/>
          <w:u w:val="single"/>
          <w:lang w:eastAsia="zh-CN"/>
        </w:rPr>
        <w:t>数字云南展示中心数字能源展区综合硬件运行维护</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合同条款，并由双方共同恪守。</w:t>
      </w:r>
    </w:p>
    <w:p w14:paraId="4F762C2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第一条 甲方委托乙方进行技术服务的内容如下：</w:t>
      </w:r>
    </w:p>
    <w:p w14:paraId="6555E93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 技术服务的目标：</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D48BA5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 技术服务的内容：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2E3BD6E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 技术服务的方式：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1673192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第二条 乙方应按下列要求完成技术服务工作：</w:t>
      </w:r>
    </w:p>
    <w:p w14:paraId="01A47AA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 技术服务地点：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3BAD82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 技术服务期限：</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23E20AF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 技术服务进度：</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4A105A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 技术服务质量要求：</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44C8C5E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2.5其他服务要求：</w:t>
      </w:r>
    </w:p>
    <w:p w14:paraId="1EDCCD6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第三条 为保证乙方有效进行技术服务工作，甲方应当向乙方提供下列工作条件和协作事项：</w:t>
      </w:r>
    </w:p>
    <w:p w14:paraId="115C5B5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p>
    <w:p w14:paraId="64E536D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p>
    <w:p w14:paraId="57495AA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p>
    <w:p w14:paraId="690D0FA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第四条 甲方向乙方支付技术服务报酬及支付方式为：</w:t>
      </w:r>
    </w:p>
    <w:p w14:paraId="5D12AF3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 技术服务费总额：人民币大写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w:t>
      </w:r>
    </w:p>
    <w:p w14:paraId="58DA711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该笔费用已包括乙方履行本合同的全部报酬和所需的全部费用。除另有约定外，甲方无需就本合同项下委托事项向乙方支付上述费用之外的任何其他费用。由甲方一次性支付。</w:t>
      </w:r>
    </w:p>
    <w:p w14:paraId="5F741F7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 甲方分期向乙方支付技术服务费，双方同意用人民币支付。</w:t>
      </w:r>
    </w:p>
    <w:p w14:paraId="3BB495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支付方式：</w:t>
      </w:r>
    </w:p>
    <w:p w14:paraId="728444EB">
      <w:pPr>
        <w:pStyle w:val="2"/>
        <w:rPr>
          <w:rFonts w:hint="eastAsia" w:ascii="宋体" w:hAnsi="宋体" w:eastAsia="宋体" w:cs="宋体"/>
          <w:bCs/>
          <w:color w:val="auto"/>
          <w:sz w:val="24"/>
          <w:highlight w:val="none"/>
        </w:rPr>
      </w:pPr>
    </w:p>
    <w:p w14:paraId="3F7727D3">
      <w:pPr>
        <w:rPr>
          <w:rFonts w:hint="eastAsia"/>
          <w:color w:val="auto"/>
          <w:highlight w:val="none"/>
        </w:rPr>
      </w:pPr>
    </w:p>
    <w:p w14:paraId="47A1CBD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 乙方向甲方申请支付技术服务费时需提供正规税务发票和相应证明材料。</w:t>
      </w:r>
    </w:p>
    <w:p w14:paraId="0E7950A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4.4 乙方银行账户信息如下：</w:t>
      </w:r>
    </w:p>
    <w:p w14:paraId="4F4848F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开户行：</w:t>
      </w:r>
    </w:p>
    <w:p w14:paraId="3C31750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户  名： </w:t>
      </w:r>
    </w:p>
    <w:p w14:paraId="6D5A45E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账  号： </w:t>
      </w:r>
    </w:p>
    <w:p w14:paraId="16C1F50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4.6 若根据本合同约定乙方应当支付违约金和/或承担赔偿责任，则甲方有权从上述任何一笔付款中直接扣除相应金额。</w:t>
      </w:r>
    </w:p>
    <w:p w14:paraId="2810691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第五条 保密</w:t>
      </w:r>
    </w:p>
    <w:p w14:paraId="1809389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 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1CD87CC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5.2 乙方仅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5F00F05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 当出现下述情况时本条对保密资料的限制不适用。当保密资料：</w:t>
      </w:r>
    </w:p>
    <w:p w14:paraId="4B84458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（1）并非乙方的过错而已经进入公有领域的。</w:t>
      </w:r>
    </w:p>
    <w:p w14:paraId="06F7CDA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（2）已通过乙方的有关记录证明是由乙方独立开发的。</w:t>
      </w:r>
    </w:p>
    <w:p w14:paraId="4EF7531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（3）由乙方从没有违反对甲方的保密义务的人合法取得的。</w:t>
      </w:r>
    </w:p>
    <w:p w14:paraId="29B4BBB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（4）法律要求乙方披露的，但乙方应在合理的时间提前通知甲方，使其得以采取其认为必要的保护措施。</w:t>
      </w:r>
    </w:p>
    <w:p w14:paraId="682811F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 如乙方违反本合同关于保密的约定，乙方应赔偿因此而给甲方造成的一切损失。</w:t>
      </w:r>
    </w:p>
    <w:p w14:paraId="0D04969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5.5 本保密条款自保密资料提供或披露之日起至本合同终止或解除后2年内持续有效。</w:t>
      </w:r>
    </w:p>
    <w:p w14:paraId="0A40E8B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第六条 本合同的变更必须由双方协商一致，并以书面形式确定。一方向另一方提出变更合同权利与义务的书面请求后，另一方应当在收到书面请求后5个工作日内予以答复，逾期未予答复的，视为同意。</w:t>
      </w:r>
    </w:p>
    <w:p w14:paraId="7186D17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第七条 未经甲方事先书面同意，乙方不得将本合同部分或全部服务工作转由第三人承担。</w:t>
      </w:r>
    </w:p>
    <w:p w14:paraId="39589F5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第八条 双方确定以下列标准和方式对乙方的技术服务工作成果进行验收。</w:t>
      </w:r>
    </w:p>
    <w:p w14:paraId="75366B6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8.1 乙方完成技术服务工作的形式：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A31633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第九条 双方确定：</w:t>
      </w:r>
    </w:p>
    <w:p w14:paraId="576BC21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1、在本合同有效期内，甲方利用乙方提交的技术服务工作成果所完成的新的技术成果，归甲方所有。</w:t>
      </w:r>
    </w:p>
    <w:p w14:paraId="020991E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2、在本合同有效期内，乙方可以利用本服务项目的成果进行业绩宣传、投标和资质申请、升级用途，不得用于其它用途。</w:t>
      </w:r>
    </w:p>
    <w:p w14:paraId="5A59D3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第十条 违约责任</w:t>
      </w:r>
    </w:p>
    <w:p w14:paraId="4A98A5B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一方因违反本合同内己方义务导致另一方遭受损失的，由违反义务的一方赔偿另一方的损失，赔偿金额最高不超过本项目合同总金额的5%。</w:t>
      </w:r>
    </w:p>
    <w:p w14:paraId="3F9776C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p>
    <w:p w14:paraId="24D7652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第十一条 双方确定，在本合同有效期内，甲方指定</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（联系电话：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）为甲方项目联系人，乙方指定</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（联系电话：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）为乙方项目联系人，项目联系人为双方的联系接口，不承担项目进度、质量等方面的责任。</w:t>
      </w:r>
    </w:p>
    <w:p w14:paraId="62C4A60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第十二条 双方确定，出现下列情形致使本合同的履行成为不必要或不能的，可以解除本合同：</w:t>
      </w:r>
    </w:p>
    <w:p w14:paraId="71721C6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1、不可抗力；</w:t>
      </w:r>
    </w:p>
    <w:p w14:paraId="60A1ED6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2、无。</w:t>
      </w:r>
    </w:p>
    <w:p w14:paraId="376799F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第十三条 双方因履行本合同而发生争议，应协商、调解解决。协商、调解不成的，确定按以下顺序处理：</w:t>
      </w:r>
    </w:p>
    <w:p w14:paraId="1E294B8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1、提交昆明市仲裁委员会仲裁。</w:t>
      </w:r>
    </w:p>
    <w:p w14:paraId="6B4A5B3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2、依法向当地人民法院起诉。</w:t>
      </w:r>
    </w:p>
    <w:p w14:paraId="1ADD99C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第十四条 双方确定，本合同及相关附件所涉及的有关名词和技术术语，其定义和解释如下：</w:t>
      </w:r>
    </w:p>
    <w:p w14:paraId="4B5F3F3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1、有争议时，以国家现行相关标准为准，国家标准无相关解释时，以行业约定俗成的理解为准。</w:t>
      </w:r>
    </w:p>
    <w:p w14:paraId="44AE3D8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第十五条 本合同一式五份，甲方执贰份，乙方执贰份，代理机构一份，具有同等法律效力。</w:t>
      </w:r>
    </w:p>
    <w:p w14:paraId="5EB5E4D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第十六条 本合同不可分割之部分及解释顺序</w:t>
      </w:r>
    </w:p>
    <w:p w14:paraId="4BB8079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1、合同书及附件；</w:t>
      </w:r>
    </w:p>
    <w:p w14:paraId="44B432B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2、成交通知书；</w:t>
      </w:r>
    </w:p>
    <w:p w14:paraId="54359C2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hAnsi="宋体" w:cs="宋体"/>
          <w:bCs/>
          <w:color w:val="auto"/>
          <w:sz w:val="24"/>
          <w:highlight w:val="none"/>
          <w:lang w:val="en-US" w:eastAsia="zh-CN"/>
        </w:rPr>
        <w:t>单一来源采购</w:t>
      </w:r>
      <w:r>
        <w:rPr>
          <w:rFonts w:hint="eastAsia" w:ascii="宋体" w:hAnsi="宋体" w:eastAsia="宋体" w:cs="宋体"/>
          <w:bCs/>
          <w:color w:val="auto"/>
          <w:sz w:val="24"/>
          <w:highlight w:val="none"/>
        </w:rPr>
        <w:t>文件、</w:t>
      </w:r>
      <w:r>
        <w:rPr>
          <w:rFonts w:hint="eastAsia" w:hAnsi="宋体" w:cs="宋体"/>
          <w:bCs/>
          <w:color w:val="auto"/>
          <w:sz w:val="24"/>
          <w:highlight w:val="none"/>
          <w:lang w:val="en-US" w:eastAsia="zh-CN"/>
        </w:rPr>
        <w:t>响应</w:t>
      </w:r>
      <w:r>
        <w:rPr>
          <w:rFonts w:hint="eastAsia" w:ascii="宋体" w:hAnsi="宋体" w:eastAsia="宋体" w:cs="宋体"/>
          <w:bCs/>
          <w:color w:val="auto"/>
          <w:sz w:val="24"/>
          <w:highlight w:val="none"/>
        </w:rPr>
        <w:t>文件及澄清或修改文件。</w:t>
      </w:r>
    </w:p>
    <w:p w14:paraId="7FB8D81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第十七条 本合同经双方签字盖章后生效</w:t>
      </w:r>
      <w:r>
        <w:rPr>
          <w:rFonts w:hint="eastAsia" w:ascii="宋体" w:hAnsi="宋体" w:eastAsia="宋体" w:cs="宋体"/>
          <w:color w:val="auto"/>
          <w:sz w:val="24"/>
          <w:highlight w:val="none"/>
        </w:rPr>
        <w:t>。</w:t>
      </w:r>
    </w:p>
    <w:p w14:paraId="5940EB1D">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auto"/>
          <w:sz w:val="24"/>
          <w:highlight w:val="none"/>
        </w:rPr>
      </w:pPr>
    </w:p>
    <w:p w14:paraId="40143E61">
      <w:pPr>
        <w:pStyle w:val="3"/>
        <w:spacing w:before="317" w:beforeLines="100" w:after="317" w:afterLines="100" w:line="500" w:lineRule="exact"/>
        <w:rPr>
          <w:color w:val="auto"/>
          <w:spacing w:val="0"/>
          <w:sz w:val="44"/>
          <w:szCs w:val="44"/>
          <w:highlight w:val="none"/>
        </w:rPr>
      </w:pPr>
      <w:r>
        <w:rPr>
          <w:rFonts w:hint="eastAsia" w:ascii="宋体" w:hAnsi="宋体" w:cs="宋体"/>
          <w:color w:val="auto"/>
          <w:szCs w:val="32"/>
          <w:highlight w:val="none"/>
        </w:rPr>
        <w:br w:type="page"/>
      </w:r>
      <w:bookmarkStart w:id="242" w:name="_Toc8263"/>
      <w:r>
        <w:rPr>
          <w:rFonts w:hint="eastAsia"/>
          <w:color w:val="auto"/>
          <w:spacing w:val="0"/>
          <w:sz w:val="44"/>
          <w:szCs w:val="44"/>
          <w:highlight w:val="none"/>
        </w:rPr>
        <w:t xml:space="preserve">第六章  </w:t>
      </w:r>
      <w:bookmarkEnd w:id="214"/>
      <w:bookmarkEnd w:id="215"/>
      <w:bookmarkStart w:id="243" w:name="_Toc152066637"/>
      <w:bookmarkStart w:id="244" w:name="_Toc122530397"/>
      <w:r>
        <w:rPr>
          <w:rFonts w:hint="eastAsia"/>
          <w:color w:val="auto"/>
          <w:spacing w:val="0"/>
          <w:sz w:val="44"/>
          <w:szCs w:val="44"/>
          <w:highlight w:val="none"/>
        </w:rPr>
        <w:t>响应文件格式</w:t>
      </w:r>
      <w:bookmarkEnd w:id="241"/>
      <w:bookmarkEnd w:id="242"/>
    </w:p>
    <w:bookmarkEnd w:id="243"/>
    <w:p w14:paraId="1F83E92D">
      <w:pPr>
        <w:pStyle w:val="10"/>
        <w:rPr>
          <w:color w:val="auto"/>
          <w:highlight w:val="none"/>
        </w:rPr>
      </w:pPr>
    </w:p>
    <w:p w14:paraId="2E99865A">
      <w:pPr>
        <w:tabs>
          <w:tab w:val="left" w:pos="4384"/>
        </w:tabs>
        <w:spacing w:before="15" w:after="158" w:afterLines="50"/>
        <w:jc w:val="right"/>
        <w:rPr>
          <w:rFonts w:hint="eastAsia" w:hAnsi="宋体" w:eastAsia="宋体" w:cs="等线"/>
          <w:b/>
          <w:color w:val="auto"/>
          <w:sz w:val="48"/>
          <w:szCs w:val="48"/>
          <w:highlight w:val="none"/>
          <w:lang w:eastAsia="zh-CN"/>
        </w:rPr>
      </w:pPr>
      <w:r>
        <w:rPr>
          <w:rFonts w:hint="eastAsia" w:hAnsi="宋体"/>
          <w:b/>
          <w:bCs/>
          <w:color w:val="auto"/>
          <w:sz w:val="24"/>
          <w:highlight w:val="none"/>
        </w:rPr>
        <w:t>代理机构自编号：</w:t>
      </w:r>
      <w:r>
        <w:rPr>
          <w:rFonts w:hint="eastAsia" w:hAnsi="宋体"/>
          <w:b/>
          <w:bCs/>
          <w:color w:val="auto"/>
          <w:sz w:val="24"/>
          <w:highlight w:val="none"/>
          <w:lang w:eastAsia="zh-CN"/>
        </w:rPr>
        <w:t>YDCTF20261225</w:t>
      </w:r>
    </w:p>
    <w:p w14:paraId="527EDBD7">
      <w:pPr>
        <w:tabs>
          <w:tab w:val="left" w:pos="4384"/>
        </w:tabs>
        <w:spacing w:before="15"/>
        <w:jc w:val="center"/>
        <w:rPr>
          <w:rFonts w:hint="eastAsia" w:hAnsi="宋体" w:eastAsia="宋体" w:cs="等线"/>
          <w:b/>
          <w:color w:val="auto"/>
          <w:sz w:val="32"/>
          <w:szCs w:val="32"/>
          <w:highlight w:val="none"/>
          <w:lang w:eastAsia="zh-CN"/>
        </w:rPr>
      </w:pPr>
      <w:r>
        <w:rPr>
          <w:rFonts w:hint="eastAsia" w:hAnsi="宋体" w:cs="等线"/>
          <w:b/>
          <w:color w:val="auto"/>
          <w:sz w:val="44"/>
          <w:szCs w:val="44"/>
          <w:highlight w:val="none"/>
          <w:lang w:eastAsia="zh-CN"/>
        </w:rPr>
        <w:t>数字云南展示中心数字能源展区综合硬件运行维护</w:t>
      </w:r>
    </w:p>
    <w:p w14:paraId="29E245B6">
      <w:pPr>
        <w:spacing w:before="317" w:beforeLines="100"/>
        <w:jc w:val="center"/>
        <w:rPr>
          <w:rFonts w:hAnsi="宋体"/>
          <w:b/>
          <w:color w:val="auto"/>
          <w:sz w:val="22"/>
          <w:szCs w:val="22"/>
          <w:highlight w:val="none"/>
        </w:rPr>
      </w:pPr>
      <w:r>
        <w:rPr>
          <w:rFonts w:hint="eastAsia" w:cs="等线"/>
          <w:b/>
          <w:color w:val="auto"/>
          <w:sz w:val="32"/>
          <w:szCs w:val="20"/>
          <w:highlight w:val="none"/>
        </w:rPr>
        <w:t>（项目编号：YNZC2026-D3-05339-YYZX-0520）</w:t>
      </w:r>
    </w:p>
    <w:p w14:paraId="25A1E487">
      <w:pPr>
        <w:jc w:val="center"/>
        <w:rPr>
          <w:rFonts w:hAnsi="宋体"/>
          <w:b/>
          <w:color w:val="auto"/>
          <w:sz w:val="28"/>
          <w:szCs w:val="28"/>
          <w:highlight w:val="none"/>
        </w:rPr>
      </w:pPr>
    </w:p>
    <w:p w14:paraId="6AB8B7C0">
      <w:pPr>
        <w:spacing w:before="475" w:beforeLines="150" w:after="475" w:afterLines="150" w:line="740" w:lineRule="exact"/>
        <w:jc w:val="center"/>
        <w:rPr>
          <w:rFonts w:hAnsi="宋体"/>
          <w:b/>
          <w:bCs/>
          <w:color w:val="auto"/>
          <w:sz w:val="84"/>
          <w:szCs w:val="84"/>
          <w:highlight w:val="none"/>
        </w:rPr>
      </w:pPr>
      <w:r>
        <w:rPr>
          <w:rFonts w:hint="eastAsia" w:hAnsi="宋体"/>
          <w:b/>
          <w:bCs/>
          <w:color w:val="auto"/>
          <w:sz w:val="84"/>
          <w:szCs w:val="84"/>
          <w:highlight w:val="none"/>
        </w:rPr>
        <w:t>响</w:t>
      </w:r>
    </w:p>
    <w:p w14:paraId="4573C8F0">
      <w:pPr>
        <w:spacing w:before="475" w:beforeLines="150" w:after="475" w:afterLines="150" w:line="740" w:lineRule="exact"/>
        <w:jc w:val="center"/>
        <w:rPr>
          <w:rFonts w:hAnsi="宋体"/>
          <w:b/>
          <w:bCs/>
          <w:color w:val="auto"/>
          <w:sz w:val="84"/>
          <w:szCs w:val="84"/>
          <w:highlight w:val="none"/>
        </w:rPr>
      </w:pPr>
      <w:r>
        <w:rPr>
          <w:rFonts w:hint="eastAsia" w:hAnsi="宋体"/>
          <w:b/>
          <w:bCs/>
          <w:color w:val="auto"/>
          <w:sz w:val="84"/>
          <w:szCs w:val="84"/>
          <w:highlight w:val="none"/>
        </w:rPr>
        <w:t>应</w:t>
      </w:r>
    </w:p>
    <w:p w14:paraId="30B39BEE">
      <w:pPr>
        <w:spacing w:before="475" w:beforeLines="150" w:after="475" w:afterLines="150" w:line="740" w:lineRule="exact"/>
        <w:jc w:val="center"/>
        <w:rPr>
          <w:rFonts w:hAnsi="宋体"/>
          <w:b/>
          <w:bCs/>
          <w:color w:val="auto"/>
          <w:sz w:val="84"/>
          <w:szCs w:val="84"/>
          <w:highlight w:val="none"/>
        </w:rPr>
      </w:pPr>
      <w:r>
        <w:rPr>
          <w:rFonts w:hint="eastAsia" w:hAnsi="宋体"/>
          <w:b/>
          <w:bCs/>
          <w:color w:val="auto"/>
          <w:sz w:val="84"/>
          <w:szCs w:val="84"/>
          <w:highlight w:val="none"/>
        </w:rPr>
        <w:t>文</w:t>
      </w:r>
    </w:p>
    <w:p w14:paraId="74D50C69">
      <w:pPr>
        <w:spacing w:before="475" w:beforeLines="150" w:after="475" w:afterLines="150" w:line="740" w:lineRule="exact"/>
        <w:jc w:val="center"/>
        <w:rPr>
          <w:rFonts w:hAnsi="宋体"/>
          <w:b/>
          <w:bCs/>
          <w:color w:val="auto"/>
          <w:sz w:val="84"/>
          <w:szCs w:val="84"/>
          <w:highlight w:val="none"/>
        </w:rPr>
      </w:pPr>
      <w:r>
        <w:rPr>
          <w:rFonts w:hint="eastAsia" w:hAnsi="宋体"/>
          <w:b/>
          <w:bCs/>
          <w:color w:val="auto"/>
          <w:sz w:val="84"/>
          <w:szCs w:val="84"/>
          <w:highlight w:val="none"/>
        </w:rPr>
        <w:t>件</w:t>
      </w:r>
    </w:p>
    <w:p w14:paraId="42871D87">
      <w:pPr>
        <w:spacing w:before="475" w:beforeLines="150" w:after="475" w:afterLines="150" w:line="740" w:lineRule="exact"/>
        <w:jc w:val="center"/>
        <w:rPr>
          <w:rFonts w:hAnsi="宋体"/>
          <w:b/>
          <w:bCs/>
          <w:color w:val="auto"/>
          <w:sz w:val="72"/>
          <w:highlight w:val="none"/>
        </w:rPr>
      </w:pPr>
    </w:p>
    <w:p w14:paraId="0E1213AA">
      <w:pPr>
        <w:spacing w:line="720" w:lineRule="atLeast"/>
        <w:ind w:firstLine="562" w:firstLineChars="200"/>
        <w:rPr>
          <w:rFonts w:hAnsi="宋体"/>
          <w:b/>
          <w:bCs/>
          <w:color w:val="auto"/>
          <w:sz w:val="28"/>
          <w:highlight w:val="none"/>
          <w:u w:val="single"/>
        </w:rPr>
      </w:pPr>
      <w:r>
        <w:rPr>
          <w:rFonts w:hint="eastAsia" w:hAnsi="宋体"/>
          <w:b/>
          <w:bCs/>
          <w:color w:val="auto"/>
          <w:sz w:val="28"/>
          <w:highlight w:val="none"/>
        </w:rPr>
        <w:t>供应商（电子签章）：</w:t>
      </w:r>
      <w:r>
        <w:rPr>
          <w:rFonts w:hint="eastAsia" w:hAnsi="宋体"/>
          <w:b/>
          <w:bCs/>
          <w:color w:val="auto"/>
          <w:sz w:val="28"/>
          <w:highlight w:val="none"/>
          <w:u w:val="single"/>
        </w:rPr>
        <w:t xml:space="preserve">                         </w:t>
      </w:r>
    </w:p>
    <w:p w14:paraId="14C1D9A5">
      <w:pPr>
        <w:spacing w:line="720" w:lineRule="atLeast"/>
        <w:ind w:firstLine="562" w:firstLineChars="200"/>
        <w:rPr>
          <w:rFonts w:hAnsi="宋体"/>
          <w:b/>
          <w:bCs/>
          <w:color w:val="auto"/>
          <w:sz w:val="28"/>
          <w:highlight w:val="none"/>
          <w:u w:val="single"/>
        </w:rPr>
      </w:pPr>
      <w:r>
        <w:rPr>
          <w:rFonts w:hint="eastAsia" w:hAnsi="宋体"/>
          <w:b/>
          <w:bCs/>
          <w:color w:val="auto"/>
          <w:sz w:val="28"/>
          <w:highlight w:val="none"/>
        </w:rPr>
        <w:t>法定代表人（单位负责人）或其委托代理人（电子签章或签名）：</w:t>
      </w:r>
      <w:r>
        <w:rPr>
          <w:rFonts w:hint="eastAsia" w:hAnsi="宋体"/>
          <w:b/>
          <w:bCs/>
          <w:color w:val="auto"/>
          <w:sz w:val="28"/>
          <w:highlight w:val="none"/>
          <w:u w:val="single"/>
        </w:rPr>
        <w:t xml:space="preserve">       </w:t>
      </w:r>
    </w:p>
    <w:p w14:paraId="51EA6D32">
      <w:pPr>
        <w:spacing w:line="720" w:lineRule="atLeast"/>
        <w:ind w:firstLine="562" w:firstLineChars="200"/>
        <w:rPr>
          <w:rFonts w:hAnsi="宋体"/>
          <w:b/>
          <w:bCs/>
          <w:color w:val="auto"/>
          <w:sz w:val="28"/>
          <w:highlight w:val="none"/>
        </w:rPr>
      </w:pPr>
      <w:r>
        <w:rPr>
          <w:rFonts w:hint="eastAsia" w:hAnsi="宋体"/>
          <w:b/>
          <w:bCs/>
          <w:color w:val="auto"/>
          <w:sz w:val="28"/>
          <w:highlight w:val="none"/>
        </w:rPr>
        <w:t>日     期：</w:t>
      </w:r>
      <w:r>
        <w:rPr>
          <w:rFonts w:hint="eastAsia" w:hAnsi="宋体"/>
          <w:b/>
          <w:bCs/>
          <w:color w:val="auto"/>
          <w:sz w:val="28"/>
          <w:highlight w:val="none"/>
          <w:u w:val="single"/>
        </w:rPr>
        <w:t xml:space="preserve">        </w:t>
      </w:r>
      <w:r>
        <w:rPr>
          <w:rFonts w:hint="eastAsia" w:hAnsi="宋体"/>
          <w:b/>
          <w:bCs/>
          <w:color w:val="auto"/>
          <w:sz w:val="28"/>
          <w:highlight w:val="none"/>
        </w:rPr>
        <w:t>年</w:t>
      </w:r>
      <w:r>
        <w:rPr>
          <w:rFonts w:hint="eastAsia" w:hAnsi="宋体"/>
          <w:b/>
          <w:bCs/>
          <w:color w:val="auto"/>
          <w:sz w:val="28"/>
          <w:highlight w:val="none"/>
          <w:u w:val="single"/>
        </w:rPr>
        <w:t xml:space="preserve">       </w:t>
      </w:r>
      <w:r>
        <w:rPr>
          <w:rFonts w:hint="eastAsia" w:hAnsi="宋体"/>
          <w:b/>
          <w:bCs/>
          <w:color w:val="auto"/>
          <w:sz w:val="28"/>
          <w:highlight w:val="none"/>
        </w:rPr>
        <w:t>月</w:t>
      </w:r>
      <w:r>
        <w:rPr>
          <w:rFonts w:hint="eastAsia" w:hAnsi="宋体"/>
          <w:b/>
          <w:bCs/>
          <w:color w:val="auto"/>
          <w:sz w:val="28"/>
          <w:highlight w:val="none"/>
          <w:u w:val="single"/>
        </w:rPr>
        <w:t xml:space="preserve">      </w:t>
      </w:r>
      <w:r>
        <w:rPr>
          <w:rFonts w:hint="eastAsia" w:hAnsi="宋体"/>
          <w:b/>
          <w:bCs/>
          <w:color w:val="auto"/>
          <w:sz w:val="28"/>
          <w:highlight w:val="none"/>
        </w:rPr>
        <w:t>日</w:t>
      </w:r>
    </w:p>
    <w:p w14:paraId="7E15A6C6">
      <w:pPr>
        <w:pStyle w:val="4"/>
        <w:spacing w:before="158" w:beforeLines="50" w:after="158" w:afterLines="50"/>
        <w:rPr>
          <w:color w:val="auto"/>
          <w:szCs w:val="30"/>
          <w:highlight w:val="none"/>
        </w:rPr>
      </w:pPr>
      <w:bookmarkStart w:id="245" w:name="_Toc4685105"/>
      <w:bookmarkStart w:id="246" w:name="_Toc518576845"/>
      <w:bookmarkStart w:id="247" w:name="_Toc279141047"/>
      <w:bookmarkStart w:id="248" w:name="_Toc122530400"/>
      <w:bookmarkStart w:id="249" w:name="_Hlk3291130"/>
      <w:bookmarkStart w:id="250" w:name="_Toc279141043"/>
      <w:r>
        <w:rPr>
          <w:rFonts w:hint="eastAsia" w:ascii="宋体" w:hAnsi="宋体"/>
          <w:color w:val="auto"/>
          <w:szCs w:val="30"/>
          <w:highlight w:val="none"/>
        </w:rPr>
        <w:br w:type="page"/>
      </w:r>
      <w:bookmarkStart w:id="251" w:name="_Toc12425"/>
      <w:r>
        <w:rPr>
          <w:rFonts w:hint="eastAsia" w:ascii="宋体" w:hAnsi="宋体"/>
          <w:color w:val="auto"/>
          <w:szCs w:val="30"/>
          <w:highlight w:val="none"/>
        </w:rPr>
        <w:t>一</w:t>
      </w:r>
      <w:r>
        <w:rPr>
          <w:rFonts w:hint="eastAsia"/>
          <w:color w:val="auto"/>
          <w:szCs w:val="30"/>
          <w:highlight w:val="none"/>
        </w:rPr>
        <w:t>、</w:t>
      </w:r>
      <w:bookmarkEnd w:id="245"/>
      <w:bookmarkEnd w:id="246"/>
      <w:bookmarkEnd w:id="247"/>
      <w:r>
        <w:rPr>
          <w:rFonts w:hint="eastAsia"/>
          <w:color w:val="auto"/>
          <w:szCs w:val="30"/>
          <w:highlight w:val="none"/>
        </w:rPr>
        <w:t>初次报价一览表</w:t>
      </w:r>
      <w:bookmarkEnd w:id="251"/>
    </w:p>
    <w:p w14:paraId="2C61F008">
      <w:pPr>
        <w:rPr>
          <w:color w:val="auto"/>
          <w:highlight w:val="none"/>
        </w:rPr>
      </w:pPr>
    </w:p>
    <w:bookmarkEnd w:id="248"/>
    <w:tbl>
      <w:tblPr>
        <w:tblStyle w:val="35"/>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5"/>
        <w:gridCol w:w="3476"/>
        <w:gridCol w:w="3904"/>
      </w:tblGrid>
      <w:tr w14:paraId="5437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exact"/>
          <w:jc w:val="center"/>
        </w:trPr>
        <w:tc>
          <w:tcPr>
            <w:tcW w:w="1289" w:type="pct"/>
            <w:vMerge w:val="restart"/>
            <w:vAlign w:val="center"/>
          </w:tcPr>
          <w:p w14:paraId="29B55642">
            <w:pPr>
              <w:adjustRightInd w:val="0"/>
              <w:snapToGrid w:val="0"/>
              <w:spacing w:line="380" w:lineRule="exact"/>
              <w:jc w:val="center"/>
              <w:rPr>
                <w:rFonts w:hAnsi="宋体"/>
                <w:b/>
                <w:bCs/>
                <w:color w:val="auto"/>
                <w:sz w:val="24"/>
                <w:highlight w:val="none"/>
              </w:rPr>
            </w:pPr>
            <w:r>
              <w:rPr>
                <w:rFonts w:hint="eastAsia" w:hAnsi="宋体"/>
                <w:b/>
                <w:bCs/>
                <w:color w:val="auto"/>
                <w:sz w:val="24"/>
                <w:highlight w:val="none"/>
              </w:rPr>
              <w:t>供应商名称</w:t>
            </w:r>
          </w:p>
        </w:tc>
        <w:tc>
          <w:tcPr>
            <w:tcW w:w="1747" w:type="pct"/>
            <w:vMerge w:val="restart"/>
            <w:vAlign w:val="center"/>
          </w:tcPr>
          <w:p w14:paraId="419A6FE2">
            <w:pPr>
              <w:adjustRightInd w:val="0"/>
              <w:snapToGrid w:val="0"/>
              <w:spacing w:line="380" w:lineRule="exact"/>
              <w:jc w:val="center"/>
              <w:rPr>
                <w:rFonts w:hAnsi="宋体"/>
                <w:b/>
                <w:bCs/>
                <w:color w:val="auto"/>
                <w:sz w:val="24"/>
                <w:highlight w:val="none"/>
              </w:rPr>
            </w:pPr>
            <w:r>
              <w:rPr>
                <w:rFonts w:hint="eastAsia" w:hAnsi="宋体"/>
                <w:b/>
                <w:bCs/>
                <w:color w:val="auto"/>
                <w:sz w:val="24"/>
                <w:highlight w:val="none"/>
              </w:rPr>
              <w:t>谈判总报价（元）</w:t>
            </w:r>
          </w:p>
        </w:tc>
        <w:tc>
          <w:tcPr>
            <w:tcW w:w="1962" w:type="pct"/>
            <w:vMerge w:val="restart"/>
            <w:vAlign w:val="center"/>
          </w:tcPr>
          <w:p w14:paraId="64738FAB">
            <w:pPr>
              <w:adjustRightInd w:val="0"/>
              <w:snapToGrid w:val="0"/>
              <w:spacing w:line="320" w:lineRule="exact"/>
              <w:jc w:val="center"/>
              <w:rPr>
                <w:rFonts w:hAnsi="宋体"/>
                <w:b/>
                <w:bCs/>
                <w:color w:val="auto"/>
                <w:sz w:val="24"/>
                <w:highlight w:val="none"/>
              </w:rPr>
            </w:pPr>
            <w:r>
              <w:rPr>
                <w:rFonts w:hint="eastAsia" w:hAnsi="宋体"/>
                <w:b/>
                <w:bCs/>
                <w:color w:val="auto"/>
                <w:kern w:val="2"/>
                <w:sz w:val="24"/>
                <w:highlight w:val="none"/>
              </w:rPr>
              <w:t>服务期限</w:t>
            </w:r>
          </w:p>
        </w:tc>
      </w:tr>
      <w:tr w14:paraId="0BFA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exact"/>
          <w:jc w:val="center"/>
        </w:trPr>
        <w:tc>
          <w:tcPr>
            <w:tcW w:w="1289" w:type="pct"/>
            <w:vMerge w:val="continue"/>
            <w:vAlign w:val="center"/>
          </w:tcPr>
          <w:p w14:paraId="60A4359C">
            <w:pPr>
              <w:adjustRightInd w:val="0"/>
              <w:snapToGrid w:val="0"/>
              <w:spacing w:line="320" w:lineRule="exact"/>
              <w:jc w:val="center"/>
              <w:rPr>
                <w:rFonts w:hAnsi="宋体"/>
                <w:b/>
                <w:bCs/>
                <w:color w:val="auto"/>
                <w:sz w:val="24"/>
                <w:highlight w:val="none"/>
              </w:rPr>
            </w:pPr>
          </w:p>
        </w:tc>
        <w:tc>
          <w:tcPr>
            <w:tcW w:w="1747" w:type="pct"/>
            <w:vMerge w:val="continue"/>
            <w:vAlign w:val="center"/>
          </w:tcPr>
          <w:p w14:paraId="2D222281">
            <w:pPr>
              <w:adjustRightInd w:val="0"/>
              <w:snapToGrid w:val="0"/>
              <w:spacing w:line="320" w:lineRule="exact"/>
              <w:jc w:val="center"/>
              <w:rPr>
                <w:rFonts w:hAnsi="宋体"/>
                <w:b/>
                <w:bCs/>
                <w:color w:val="auto"/>
                <w:sz w:val="24"/>
                <w:highlight w:val="none"/>
              </w:rPr>
            </w:pPr>
          </w:p>
        </w:tc>
        <w:tc>
          <w:tcPr>
            <w:tcW w:w="1962" w:type="pct"/>
            <w:vMerge w:val="continue"/>
            <w:vAlign w:val="center"/>
          </w:tcPr>
          <w:p w14:paraId="351C041E">
            <w:pPr>
              <w:adjustRightInd w:val="0"/>
              <w:snapToGrid w:val="0"/>
              <w:spacing w:line="320" w:lineRule="exact"/>
              <w:jc w:val="center"/>
              <w:rPr>
                <w:rFonts w:hAnsi="宋体"/>
                <w:b/>
                <w:bCs/>
                <w:color w:val="auto"/>
                <w:sz w:val="24"/>
                <w:highlight w:val="none"/>
              </w:rPr>
            </w:pPr>
          </w:p>
        </w:tc>
      </w:tr>
      <w:tr w14:paraId="57395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9" w:hRule="exact"/>
          <w:jc w:val="center"/>
        </w:trPr>
        <w:tc>
          <w:tcPr>
            <w:tcW w:w="1289" w:type="pct"/>
            <w:vAlign w:val="center"/>
          </w:tcPr>
          <w:p w14:paraId="099B1D68">
            <w:pPr>
              <w:adjustRightInd w:val="0"/>
              <w:snapToGrid w:val="0"/>
              <w:jc w:val="center"/>
              <w:rPr>
                <w:rFonts w:hAnsi="宋体"/>
                <w:b/>
                <w:bCs/>
                <w:color w:val="auto"/>
                <w:sz w:val="24"/>
                <w:highlight w:val="none"/>
              </w:rPr>
            </w:pPr>
          </w:p>
        </w:tc>
        <w:tc>
          <w:tcPr>
            <w:tcW w:w="1747" w:type="pct"/>
            <w:vAlign w:val="center"/>
          </w:tcPr>
          <w:p w14:paraId="4B744065">
            <w:pPr>
              <w:adjustRightInd w:val="0"/>
              <w:snapToGrid w:val="0"/>
              <w:jc w:val="left"/>
              <w:rPr>
                <w:rFonts w:hint="eastAsia" w:hAnsi="宋体"/>
                <w:b/>
                <w:bCs/>
                <w:color w:val="auto"/>
                <w:sz w:val="24"/>
                <w:highlight w:val="none"/>
              </w:rPr>
            </w:pPr>
            <w:r>
              <w:rPr>
                <w:rFonts w:hint="eastAsia" w:hAnsi="宋体"/>
                <w:b/>
                <w:bCs/>
                <w:color w:val="auto"/>
                <w:sz w:val="24"/>
                <w:highlight w:val="none"/>
              </w:rPr>
              <w:t>小写：</w:t>
            </w:r>
          </w:p>
          <w:p w14:paraId="3C70B436">
            <w:pPr>
              <w:adjustRightInd w:val="0"/>
              <w:snapToGrid w:val="0"/>
              <w:jc w:val="left"/>
              <w:rPr>
                <w:rFonts w:hint="eastAsia" w:hAnsi="宋体"/>
                <w:b/>
                <w:bCs/>
                <w:color w:val="auto"/>
                <w:sz w:val="24"/>
                <w:highlight w:val="none"/>
              </w:rPr>
            </w:pPr>
          </w:p>
          <w:p w14:paraId="7BC2945D">
            <w:pPr>
              <w:adjustRightInd w:val="0"/>
              <w:snapToGrid w:val="0"/>
              <w:spacing w:line="460" w:lineRule="exact"/>
              <w:jc w:val="left"/>
              <w:rPr>
                <w:rFonts w:hAnsi="宋体"/>
                <w:b/>
                <w:bCs/>
                <w:color w:val="auto"/>
                <w:sz w:val="24"/>
                <w:highlight w:val="none"/>
              </w:rPr>
            </w:pPr>
            <w:r>
              <w:rPr>
                <w:rFonts w:hint="eastAsia" w:hAnsi="宋体"/>
                <w:b/>
                <w:bCs/>
                <w:color w:val="auto"/>
                <w:sz w:val="24"/>
                <w:highlight w:val="none"/>
              </w:rPr>
              <w:t>大写：</w:t>
            </w:r>
          </w:p>
        </w:tc>
        <w:tc>
          <w:tcPr>
            <w:tcW w:w="1962" w:type="pct"/>
            <w:vAlign w:val="center"/>
          </w:tcPr>
          <w:p w14:paraId="1CAF621C">
            <w:pPr>
              <w:adjustRightInd w:val="0"/>
              <w:snapToGrid w:val="0"/>
              <w:spacing w:line="460" w:lineRule="exact"/>
              <w:jc w:val="center"/>
              <w:rPr>
                <w:rFonts w:hint="eastAsia" w:hAnsi="宋体" w:eastAsia="宋体"/>
                <w:b/>
                <w:bCs/>
                <w:color w:val="auto"/>
                <w:sz w:val="24"/>
                <w:highlight w:val="none"/>
                <w:lang w:val="en-US" w:eastAsia="zh-CN"/>
              </w:rPr>
            </w:pPr>
            <w:r>
              <w:rPr>
                <w:rFonts w:hint="eastAsia" w:hAnsi="宋体"/>
                <w:color w:val="auto"/>
                <w:sz w:val="24"/>
                <w:highlight w:val="none"/>
                <w:lang w:eastAsia="zh-CN"/>
              </w:rPr>
              <w:t>一年。</w:t>
            </w:r>
          </w:p>
        </w:tc>
      </w:tr>
    </w:tbl>
    <w:p w14:paraId="28F8326A">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Ansi="宋体"/>
          <w:b w:val="0"/>
          <w:bCs/>
          <w:color w:val="auto"/>
          <w:sz w:val="24"/>
          <w:highlight w:val="none"/>
        </w:rPr>
      </w:pPr>
      <w:r>
        <w:rPr>
          <w:rFonts w:hint="eastAsia" w:hAnsi="宋体"/>
          <w:b w:val="0"/>
          <w:bCs/>
          <w:color w:val="auto"/>
          <w:sz w:val="24"/>
          <w:szCs w:val="24"/>
          <w:highlight w:val="none"/>
        </w:rPr>
        <w:t>注：响应文件初次报价一览表是报价的唯一载体，如供应商在政府采购云平台填写的</w:t>
      </w:r>
      <w:r>
        <w:rPr>
          <w:rFonts w:hint="eastAsia" w:hAnsi="宋体" w:cs="宋体"/>
          <w:b w:val="0"/>
          <w:bCs/>
          <w:color w:val="auto"/>
          <w:sz w:val="24"/>
          <w:szCs w:val="24"/>
          <w:highlight w:val="none"/>
        </w:rPr>
        <w:t>初次总价</w:t>
      </w:r>
      <w:r>
        <w:rPr>
          <w:rFonts w:hint="eastAsia" w:hAnsi="宋体"/>
          <w:b w:val="0"/>
          <w:bCs/>
          <w:color w:val="auto"/>
          <w:sz w:val="24"/>
          <w:szCs w:val="24"/>
          <w:highlight w:val="none"/>
        </w:rPr>
        <w:t>报价与响应文件中初次报价一览表不一致的，以响应文件中初次报价一览表为准。</w:t>
      </w:r>
    </w:p>
    <w:p w14:paraId="70F841F4">
      <w:pPr>
        <w:pStyle w:val="10"/>
        <w:rPr>
          <w:rFonts w:hAnsi="宋体"/>
          <w:color w:val="auto"/>
          <w:sz w:val="24"/>
          <w:highlight w:val="none"/>
        </w:rPr>
      </w:pPr>
    </w:p>
    <w:p w14:paraId="04450179">
      <w:pPr>
        <w:widowControl/>
        <w:spacing w:line="400" w:lineRule="exact"/>
        <w:rPr>
          <w:rFonts w:hAnsi="宋体"/>
          <w:b/>
          <w:color w:val="auto"/>
          <w:sz w:val="24"/>
          <w:highlight w:val="none"/>
        </w:rPr>
      </w:pPr>
    </w:p>
    <w:p w14:paraId="0DF738E0">
      <w:pPr>
        <w:pStyle w:val="10"/>
        <w:rPr>
          <w:color w:val="auto"/>
          <w:highlight w:val="none"/>
        </w:rPr>
      </w:pPr>
    </w:p>
    <w:p w14:paraId="7DC1CD71">
      <w:pPr>
        <w:pStyle w:val="10"/>
        <w:rPr>
          <w:color w:val="auto"/>
          <w:highlight w:val="none"/>
        </w:rPr>
      </w:pPr>
    </w:p>
    <w:p w14:paraId="736E16B0">
      <w:pPr>
        <w:pStyle w:val="10"/>
        <w:rPr>
          <w:color w:val="auto"/>
          <w:highlight w:val="none"/>
        </w:rPr>
      </w:pPr>
    </w:p>
    <w:p w14:paraId="21F01387">
      <w:pPr>
        <w:pStyle w:val="10"/>
        <w:rPr>
          <w:color w:val="auto"/>
          <w:highlight w:val="none"/>
        </w:rPr>
      </w:pPr>
    </w:p>
    <w:p w14:paraId="1B1BAF9B">
      <w:pPr>
        <w:pStyle w:val="10"/>
        <w:rPr>
          <w:color w:val="auto"/>
          <w:highlight w:val="none"/>
        </w:rPr>
      </w:pPr>
    </w:p>
    <w:bookmarkEnd w:id="249"/>
    <w:p w14:paraId="4A43CA48">
      <w:pPr>
        <w:tabs>
          <w:tab w:val="left" w:pos="6942"/>
          <w:tab w:val="left" w:pos="7535"/>
        </w:tabs>
        <w:spacing w:line="358" w:lineRule="auto"/>
        <w:jc w:val="left"/>
        <w:rPr>
          <w:rFonts w:hAnsi="宋体" w:cs="宋体"/>
          <w:bCs/>
          <w:color w:val="auto"/>
          <w:sz w:val="28"/>
          <w:highlight w:val="none"/>
        </w:rPr>
      </w:pPr>
      <w:r>
        <w:rPr>
          <w:rFonts w:hint="eastAsia" w:hAnsi="宋体" w:cs="宋体"/>
          <w:bCs/>
          <w:color w:val="auto"/>
          <w:sz w:val="28"/>
          <w:highlight w:val="none"/>
        </w:rPr>
        <w:t>供应商：</w:t>
      </w:r>
      <w:r>
        <w:rPr>
          <w:rFonts w:hint="eastAsia" w:hAnsi="宋体" w:cs="宋体"/>
          <w:bCs/>
          <w:color w:val="auto"/>
          <w:sz w:val="28"/>
          <w:highlight w:val="none"/>
          <w:u w:val="single"/>
        </w:rPr>
        <w:t xml:space="preserve">                     </w:t>
      </w:r>
      <w:r>
        <w:rPr>
          <w:rFonts w:hint="eastAsia" w:hAnsi="宋体" w:cs="宋体"/>
          <w:bCs/>
          <w:color w:val="auto"/>
          <w:sz w:val="28"/>
          <w:highlight w:val="none"/>
        </w:rPr>
        <w:t>（电子签章）</w:t>
      </w:r>
    </w:p>
    <w:p w14:paraId="2112B4F6">
      <w:pPr>
        <w:tabs>
          <w:tab w:val="left" w:pos="6942"/>
          <w:tab w:val="left" w:pos="7535"/>
        </w:tabs>
        <w:spacing w:line="358" w:lineRule="auto"/>
        <w:jc w:val="left"/>
        <w:rPr>
          <w:rFonts w:hAnsi="宋体" w:cs="宋体"/>
          <w:bCs/>
          <w:color w:val="auto"/>
          <w:sz w:val="28"/>
          <w:highlight w:val="none"/>
        </w:rPr>
      </w:pPr>
      <w:r>
        <w:rPr>
          <w:rFonts w:hint="eastAsia" w:hAnsi="宋体" w:cs="宋体"/>
          <w:bCs/>
          <w:color w:val="auto"/>
          <w:sz w:val="28"/>
          <w:highlight w:val="none"/>
        </w:rPr>
        <w:t>法定代表人（单位负责人）或其委托代理人：</w:t>
      </w:r>
      <w:r>
        <w:rPr>
          <w:rFonts w:hint="eastAsia" w:hAnsi="宋体" w:cs="宋体"/>
          <w:bCs/>
          <w:color w:val="auto"/>
          <w:sz w:val="28"/>
          <w:highlight w:val="none"/>
          <w:u w:val="single"/>
        </w:rPr>
        <w:t xml:space="preserve">        </w:t>
      </w:r>
      <w:r>
        <w:rPr>
          <w:rFonts w:hint="eastAsia" w:hAnsi="宋体" w:cs="宋体"/>
          <w:bCs/>
          <w:color w:val="auto"/>
          <w:spacing w:val="-1"/>
          <w:sz w:val="28"/>
          <w:highlight w:val="none"/>
        </w:rPr>
        <w:t>（电子签章或签名）</w:t>
      </w:r>
    </w:p>
    <w:p w14:paraId="2A3C422D">
      <w:pPr>
        <w:tabs>
          <w:tab w:val="left" w:pos="3611"/>
          <w:tab w:val="left" w:pos="4626"/>
          <w:tab w:val="left" w:pos="5642"/>
        </w:tabs>
        <w:spacing w:before="15"/>
        <w:jc w:val="left"/>
        <w:rPr>
          <w:rFonts w:hAnsi="宋体" w:cs="宋体"/>
          <w:bCs/>
          <w:color w:val="auto"/>
          <w:sz w:val="28"/>
          <w:highlight w:val="none"/>
        </w:rPr>
      </w:pPr>
      <w:r>
        <w:rPr>
          <w:rFonts w:hint="eastAsia" w:hAnsi="宋体" w:cs="宋体"/>
          <w:bCs/>
          <w:color w:val="auto"/>
          <w:sz w:val="28"/>
          <w:highlight w:val="none"/>
        </w:rPr>
        <w:t>日期：</w:t>
      </w:r>
      <w:r>
        <w:rPr>
          <w:rFonts w:hint="eastAsia" w:hAnsi="宋体" w:cs="宋体"/>
          <w:bCs/>
          <w:color w:val="auto"/>
          <w:sz w:val="28"/>
          <w:highlight w:val="none"/>
          <w:u w:val="single"/>
        </w:rPr>
        <w:t xml:space="preserve">       </w:t>
      </w:r>
      <w:r>
        <w:rPr>
          <w:rFonts w:hint="eastAsia" w:hAnsi="宋体" w:cs="宋体"/>
          <w:bCs/>
          <w:color w:val="auto"/>
          <w:sz w:val="28"/>
          <w:highlight w:val="none"/>
        </w:rPr>
        <w:t>年</w:t>
      </w:r>
      <w:r>
        <w:rPr>
          <w:rFonts w:hint="eastAsia" w:hAnsi="宋体" w:cs="宋体"/>
          <w:bCs/>
          <w:color w:val="auto"/>
          <w:sz w:val="28"/>
          <w:highlight w:val="none"/>
          <w:u w:val="single"/>
        </w:rPr>
        <w:t xml:space="preserve">   </w:t>
      </w:r>
      <w:r>
        <w:rPr>
          <w:rFonts w:hint="eastAsia" w:hAnsi="宋体" w:cs="宋体"/>
          <w:bCs/>
          <w:color w:val="auto"/>
          <w:sz w:val="28"/>
          <w:highlight w:val="none"/>
        </w:rPr>
        <w:t>月</w:t>
      </w:r>
      <w:r>
        <w:rPr>
          <w:rFonts w:hint="eastAsia" w:hAnsi="宋体" w:cs="宋体"/>
          <w:bCs/>
          <w:color w:val="auto"/>
          <w:sz w:val="28"/>
          <w:highlight w:val="none"/>
          <w:u w:val="single"/>
        </w:rPr>
        <w:t xml:space="preserve">    </w:t>
      </w:r>
      <w:r>
        <w:rPr>
          <w:rFonts w:hint="eastAsia" w:hAnsi="宋体" w:cs="宋体"/>
          <w:bCs/>
          <w:color w:val="auto"/>
          <w:sz w:val="28"/>
          <w:highlight w:val="none"/>
        </w:rPr>
        <w:t>日</w:t>
      </w:r>
    </w:p>
    <w:p w14:paraId="4AE941B4">
      <w:pPr>
        <w:pStyle w:val="10"/>
        <w:rPr>
          <w:color w:val="auto"/>
          <w:highlight w:val="none"/>
        </w:rPr>
        <w:sectPr>
          <w:headerReference r:id="rId13" w:type="default"/>
          <w:footerReference r:id="rId14" w:type="default"/>
          <w:pgSz w:w="11905" w:h="16838"/>
          <w:pgMar w:top="1440" w:right="1080" w:bottom="1440" w:left="1080" w:header="850" w:footer="992" w:gutter="0"/>
          <w:cols w:space="720" w:num="1"/>
          <w:docGrid w:type="lines" w:linePitch="317" w:charSpace="0"/>
        </w:sectPr>
      </w:pPr>
    </w:p>
    <w:bookmarkEnd w:id="216"/>
    <w:bookmarkEnd w:id="244"/>
    <w:bookmarkEnd w:id="250"/>
    <w:p w14:paraId="35B107A0">
      <w:pPr>
        <w:pStyle w:val="4"/>
        <w:spacing w:before="158" w:beforeLines="50" w:after="158" w:afterLines="50"/>
        <w:rPr>
          <w:rFonts w:ascii="宋体" w:hAnsi="宋体"/>
          <w:color w:val="auto"/>
          <w:szCs w:val="30"/>
          <w:highlight w:val="none"/>
        </w:rPr>
      </w:pPr>
      <w:bookmarkStart w:id="252" w:name="_Toc31792"/>
      <w:bookmarkStart w:id="253" w:name="_Toc4685107"/>
      <w:bookmarkStart w:id="254" w:name="_Toc30083"/>
      <w:r>
        <w:rPr>
          <w:rFonts w:hint="eastAsia" w:ascii="宋体" w:hAnsi="宋体"/>
          <w:color w:val="auto"/>
          <w:szCs w:val="30"/>
          <w:highlight w:val="none"/>
        </w:rPr>
        <w:t>二、法定代表人(单位负责人)身份证明</w:t>
      </w:r>
      <w:bookmarkEnd w:id="252"/>
      <w:bookmarkEnd w:id="253"/>
      <w:bookmarkEnd w:id="254"/>
    </w:p>
    <w:p w14:paraId="1E2A8E5F">
      <w:pPr>
        <w:spacing w:line="200" w:lineRule="exact"/>
        <w:rPr>
          <w:rFonts w:hAnsi="宋体"/>
          <w:color w:val="auto"/>
          <w:highlight w:val="none"/>
        </w:rPr>
      </w:pPr>
    </w:p>
    <w:p w14:paraId="0251F05B">
      <w:pPr>
        <w:tabs>
          <w:tab w:val="left" w:pos="5519"/>
        </w:tabs>
        <w:spacing w:line="200" w:lineRule="exact"/>
        <w:rPr>
          <w:rFonts w:hAnsi="宋体"/>
          <w:color w:val="auto"/>
          <w:highlight w:val="none"/>
        </w:rPr>
      </w:pPr>
      <w:r>
        <w:rPr>
          <w:rFonts w:hint="eastAsia" w:hAnsi="宋体"/>
          <w:color w:val="auto"/>
          <w:highlight w:val="none"/>
        </w:rPr>
        <w:tab/>
      </w:r>
    </w:p>
    <w:p w14:paraId="21379FE9">
      <w:pPr>
        <w:autoSpaceDE w:val="0"/>
        <w:autoSpaceDN w:val="0"/>
        <w:adjustRightInd w:val="0"/>
        <w:spacing w:line="360" w:lineRule="auto"/>
        <w:ind w:firstLine="480" w:firstLineChars="200"/>
        <w:rPr>
          <w:rFonts w:hAnsi="宋体" w:cs="仿宋_GB2312"/>
          <w:color w:val="auto"/>
          <w:sz w:val="24"/>
          <w:highlight w:val="none"/>
        </w:rPr>
      </w:pPr>
      <w:r>
        <w:rPr>
          <w:rFonts w:hint="eastAsia" w:hAnsi="宋体" w:cs="仿宋_GB2312"/>
          <w:color w:val="auto"/>
          <w:sz w:val="24"/>
          <w:highlight w:val="none"/>
        </w:rPr>
        <w:t>供应商名称：</w:t>
      </w:r>
      <w:r>
        <w:rPr>
          <w:rFonts w:hint="eastAsia" w:hAnsi="宋体" w:cs="仿宋_GB2312"/>
          <w:color w:val="auto"/>
          <w:sz w:val="24"/>
          <w:highlight w:val="none"/>
          <w:u w:val="single"/>
        </w:rPr>
        <w:t xml:space="preserve">                      </w:t>
      </w:r>
    </w:p>
    <w:p w14:paraId="59CDD1AE">
      <w:pPr>
        <w:autoSpaceDE w:val="0"/>
        <w:autoSpaceDN w:val="0"/>
        <w:adjustRightInd w:val="0"/>
        <w:spacing w:line="360" w:lineRule="auto"/>
        <w:ind w:firstLine="480" w:firstLineChars="200"/>
        <w:rPr>
          <w:rFonts w:hAnsi="宋体" w:cs="仿宋_GB2312"/>
          <w:color w:val="auto"/>
          <w:sz w:val="24"/>
          <w:highlight w:val="none"/>
        </w:rPr>
      </w:pPr>
      <w:r>
        <w:rPr>
          <w:rFonts w:hint="eastAsia" w:hAnsi="宋体" w:cs="仿宋_GB2312"/>
          <w:color w:val="auto"/>
          <w:sz w:val="24"/>
          <w:highlight w:val="none"/>
        </w:rPr>
        <w:t>单位性质：</w:t>
      </w:r>
      <w:r>
        <w:rPr>
          <w:rFonts w:hint="eastAsia" w:hAnsi="宋体" w:cs="仿宋_GB2312"/>
          <w:color w:val="auto"/>
          <w:sz w:val="24"/>
          <w:highlight w:val="none"/>
          <w:u w:val="single"/>
        </w:rPr>
        <w:t xml:space="preserve">                        </w:t>
      </w:r>
    </w:p>
    <w:p w14:paraId="58E09B39">
      <w:pPr>
        <w:autoSpaceDE w:val="0"/>
        <w:autoSpaceDN w:val="0"/>
        <w:adjustRightInd w:val="0"/>
        <w:spacing w:line="360" w:lineRule="auto"/>
        <w:ind w:firstLine="480" w:firstLineChars="200"/>
        <w:rPr>
          <w:rFonts w:hAnsi="宋体" w:cs="仿宋_GB2312"/>
          <w:color w:val="auto"/>
          <w:sz w:val="24"/>
          <w:highlight w:val="none"/>
        </w:rPr>
      </w:pPr>
      <w:r>
        <w:rPr>
          <w:rFonts w:hint="eastAsia" w:hAnsi="宋体" w:cs="仿宋_GB2312"/>
          <w:color w:val="auto"/>
          <w:sz w:val="24"/>
          <w:highlight w:val="none"/>
        </w:rPr>
        <w:t>地    址：</w:t>
      </w:r>
      <w:r>
        <w:rPr>
          <w:rFonts w:hint="eastAsia" w:hAnsi="宋体" w:cs="仿宋_GB2312"/>
          <w:color w:val="auto"/>
          <w:sz w:val="24"/>
          <w:highlight w:val="none"/>
          <w:u w:val="single"/>
        </w:rPr>
        <w:t xml:space="preserve">                        </w:t>
      </w:r>
    </w:p>
    <w:p w14:paraId="16172611">
      <w:pPr>
        <w:autoSpaceDE w:val="0"/>
        <w:autoSpaceDN w:val="0"/>
        <w:adjustRightInd w:val="0"/>
        <w:spacing w:line="360" w:lineRule="auto"/>
        <w:ind w:firstLine="480" w:firstLineChars="200"/>
        <w:rPr>
          <w:rFonts w:hAnsi="宋体" w:cs="仿宋_GB2312"/>
          <w:color w:val="auto"/>
          <w:sz w:val="24"/>
          <w:highlight w:val="none"/>
        </w:rPr>
      </w:pPr>
      <w:r>
        <w:rPr>
          <w:rFonts w:hint="eastAsia" w:hAnsi="宋体" w:cs="仿宋_GB2312"/>
          <w:color w:val="auto"/>
          <w:sz w:val="24"/>
          <w:highlight w:val="none"/>
        </w:rPr>
        <w:t>成立时间：</w:t>
      </w:r>
      <w:r>
        <w:rPr>
          <w:rFonts w:hint="eastAsia" w:hAnsi="宋体" w:cs="仿宋_GB2312"/>
          <w:color w:val="auto"/>
          <w:sz w:val="24"/>
          <w:highlight w:val="none"/>
          <w:u w:val="single"/>
        </w:rPr>
        <w:t xml:space="preserve">     </w:t>
      </w:r>
      <w:r>
        <w:rPr>
          <w:rFonts w:hAnsi="宋体" w:cs="仿宋_GB2312"/>
          <w:color w:val="auto"/>
          <w:sz w:val="24"/>
          <w:highlight w:val="none"/>
          <w:u w:val="single"/>
        </w:rPr>
        <w:t xml:space="preserve"> </w:t>
      </w:r>
      <w:r>
        <w:rPr>
          <w:rFonts w:hint="eastAsia" w:hAnsi="宋体" w:cs="仿宋_GB2312"/>
          <w:color w:val="auto"/>
          <w:sz w:val="24"/>
          <w:highlight w:val="none"/>
          <w:u w:val="single"/>
        </w:rPr>
        <w:t xml:space="preserve"> </w:t>
      </w:r>
      <w:r>
        <w:rPr>
          <w:rFonts w:hint="eastAsia" w:hAnsi="宋体" w:cs="仿宋_GB2312"/>
          <w:color w:val="auto"/>
          <w:sz w:val="24"/>
          <w:highlight w:val="none"/>
        </w:rPr>
        <w:t>年</w:t>
      </w:r>
      <w:r>
        <w:rPr>
          <w:rFonts w:hint="eastAsia" w:hAnsi="宋体" w:cs="仿宋_GB2312"/>
          <w:color w:val="auto"/>
          <w:sz w:val="24"/>
          <w:highlight w:val="none"/>
          <w:u w:val="single"/>
        </w:rPr>
        <w:t xml:space="preserve">     </w:t>
      </w:r>
      <w:r>
        <w:rPr>
          <w:rFonts w:hint="eastAsia" w:hAnsi="宋体" w:cs="仿宋_GB2312"/>
          <w:color w:val="auto"/>
          <w:sz w:val="24"/>
          <w:highlight w:val="none"/>
        </w:rPr>
        <w:t>月</w:t>
      </w:r>
      <w:r>
        <w:rPr>
          <w:rFonts w:hint="eastAsia" w:hAnsi="宋体" w:cs="仿宋_GB2312"/>
          <w:color w:val="auto"/>
          <w:sz w:val="24"/>
          <w:highlight w:val="none"/>
          <w:u w:val="single"/>
        </w:rPr>
        <w:t xml:space="preserve">  </w:t>
      </w:r>
      <w:r>
        <w:rPr>
          <w:rFonts w:hAnsi="宋体" w:cs="仿宋_GB2312"/>
          <w:color w:val="auto"/>
          <w:sz w:val="24"/>
          <w:highlight w:val="none"/>
          <w:u w:val="single"/>
        </w:rPr>
        <w:t xml:space="preserve"> </w:t>
      </w:r>
      <w:r>
        <w:rPr>
          <w:rFonts w:hint="eastAsia" w:hAnsi="宋体" w:cs="仿宋_GB2312"/>
          <w:color w:val="auto"/>
          <w:sz w:val="24"/>
          <w:highlight w:val="none"/>
          <w:u w:val="single"/>
        </w:rPr>
        <w:t xml:space="preserve">    </w:t>
      </w:r>
      <w:r>
        <w:rPr>
          <w:rFonts w:hint="eastAsia" w:hAnsi="宋体" w:cs="仿宋_GB2312"/>
          <w:color w:val="auto"/>
          <w:sz w:val="24"/>
          <w:highlight w:val="none"/>
        </w:rPr>
        <w:t>日</w:t>
      </w:r>
    </w:p>
    <w:p w14:paraId="042B290E">
      <w:pPr>
        <w:autoSpaceDE w:val="0"/>
        <w:autoSpaceDN w:val="0"/>
        <w:adjustRightInd w:val="0"/>
        <w:spacing w:line="360" w:lineRule="auto"/>
        <w:ind w:firstLine="480" w:firstLineChars="200"/>
        <w:rPr>
          <w:rFonts w:hAnsi="宋体" w:cs="仿宋_GB2312"/>
          <w:color w:val="auto"/>
          <w:sz w:val="24"/>
          <w:highlight w:val="none"/>
        </w:rPr>
      </w:pPr>
      <w:r>
        <w:rPr>
          <w:rFonts w:hint="eastAsia" w:hAnsi="宋体" w:cs="仿宋_GB2312"/>
          <w:color w:val="auto"/>
          <w:sz w:val="24"/>
          <w:highlight w:val="none"/>
        </w:rPr>
        <w:t>经营期限：</w:t>
      </w:r>
      <w:r>
        <w:rPr>
          <w:rFonts w:hint="eastAsia" w:hAnsi="宋体" w:cs="仿宋_GB2312"/>
          <w:color w:val="auto"/>
          <w:sz w:val="24"/>
          <w:highlight w:val="none"/>
          <w:u w:val="single"/>
        </w:rPr>
        <w:t xml:space="preserve">                         </w:t>
      </w:r>
    </w:p>
    <w:p w14:paraId="63C4BEA2">
      <w:pPr>
        <w:spacing w:line="360" w:lineRule="auto"/>
        <w:ind w:firstLine="480" w:firstLineChars="200"/>
        <w:rPr>
          <w:rFonts w:hAnsi="宋体"/>
          <w:color w:val="auto"/>
          <w:sz w:val="24"/>
          <w:highlight w:val="none"/>
        </w:rPr>
      </w:pPr>
    </w:p>
    <w:p w14:paraId="73F62CF5">
      <w:pPr>
        <w:spacing w:line="360" w:lineRule="auto"/>
        <w:ind w:firstLine="480" w:firstLineChars="200"/>
        <w:rPr>
          <w:rFonts w:hAnsi="宋体"/>
          <w:color w:val="auto"/>
          <w:sz w:val="24"/>
          <w:highlight w:val="none"/>
        </w:rPr>
      </w:pPr>
      <w:r>
        <w:rPr>
          <w:rFonts w:hint="eastAsia" w:hAnsi="宋体"/>
          <w:color w:val="auto"/>
          <w:sz w:val="24"/>
          <w:highlight w:val="none"/>
        </w:rPr>
        <w:t>姓名：</w:t>
      </w:r>
      <w:r>
        <w:rPr>
          <w:rFonts w:hint="eastAsia" w:hAnsi="宋体"/>
          <w:color w:val="auto"/>
          <w:sz w:val="24"/>
          <w:highlight w:val="none"/>
          <w:u w:val="single"/>
        </w:rPr>
        <w:t xml:space="preserve">           </w:t>
      </w:r>
      <w:r>
        <w:rPr>
          <w:rFonts w:hint="eastAsia" w:hAnsi="宋体"/>
          <w:color w:val="auto"/>
          <w:sz w:val="24"/>
          <w:highlight w:val="none"/>
        </w:rPr>
        <w:t>性别：</w:t>
      </w:r>
      <w:r>
        <w:rPr>
          <w:rFonts w:hint="eastAsia" w:hAnsi="宋体"/>
          <w:color w:val="auto"/>
          <w:sz w:val="24"/>
          <w:highlight w:val="none"/>
          <w:u w:val="single"/>
        </w:rPr>
        <w:t xml:space="preserve">          </w:t>
      </w:r>
      <w:r>
        <w:rPr>
          <w:rFonts w:hint="eastAsia" w:hAnsi="宋体"/>
          <w:color w:val="auto"/>
          <w:sz w:val="24"/>
          <w:highlight w:val="none"/>
        </w:rPr>
        <w:t>年龄：</w:t>
      </w:r>
      <w:r>
        <w:rPr>
          <w:rFonts w:hint="eastAsia" w:hAnsi="宋体"/>
          <w:color w:val="auto"/>
          <w:sz w:val="24"/>
          <w:highlight w:val="none"/>
          <w:u w:val="single"/>
        </w:rPr>
        <w:t xml:space="preserve">          </w:t>
      </w:r>
      <w:r>
        <w:rPr>
          <w:rFonts w:hint="eastAsia" w:hAnsi="宋体"/>
          <w:color w:val="auto"/>
          <w:sz w:val="24"/>
          <w:highlight w:val="none"/>
        </w:rPr>
        <w:t>职务：</w:t>
      </w:r>
      <w:r>
        <w:rPr>
          <w:rFonts w:hint="eastAsia" w:hAnsi="宋体"/>
          <w:color w:val="auto"/>
          <w:sz w:val="24"/>
          <w:highlight w:val="none"/>
          <w:u w:val="single"/>
        </w:rPr>
        <w:t xml:space="preserve">          </w:t>
      </w:r>
    </w:p>
    <w:p w14:paraId="0ADC9C62">
      <w:pPr>
        <w:spacing w:line="360" w:lineRule="auto"/>
        <w:ind w:firstLine="480" w:firstLineChars="200"/>
        <w:rPr>
          <w:rFonts w:hAnsi="宋体"/>
          <w:color w:val="auto"/>
          <w:sz w:val="24"/>
          <w:highlight w:val="none"/>
        </w:rPr>
      </w:pPr>
      <w:r>
        <w:rPr>
          <w:rFonts w:hint="eastAsia" w:hAnsi="宋体"/>
          <w:color w:val="auto"/>
          <w:sz w:val="24"/>
          <w:highlight w:val="none"/>
        </w:rPr>
        <w:t>系</w:t>
      </w:r>
      <w:r>
        <w:rPr>
          <w:rFonts w:hint="eastAsia" w:hAnsi="宋体"/>
          <w:color w:val="auto"/>
          <w:sz w:val="24"/>
          <w:highlight w:val="none"/>
          <w:u w:val="single"/>
        </w:rPr>
        <w:tab/>
      </w:r>
      <w:r>
        <w:rPr>
          <w:rFonts w:hint="eastAsia" w:hAnsi="宋体"/>
          <w:color w:val="auto"/>
          <w:sz w:val="24"/>
          <w:highlight w:val="none"/>
          <w:u w:val="single"/>
        </w:rPr>
        <w:t xml:space="preserve">                   </w:t>
      </w:r>
      <w:r>
        <w:rPr>
          <w:rFonts w:hint="eastAsia" w:hAnsi="宋体"/>
          <w:color w:val="auto"/>
          <w:sz w:val="24"/>
          <w:highlight w:val="none"/>
        </w:rPr>
        <w:t>(供应商名称)的法定代表人(单位负责人)。</w:t>
      </w:r>
    </w:p>
    <w:p w14:paraId="5298A189">
      <w:pPr>
        <w:spacing w:line="360" w:lineRule="auto"/>
        <w:ind w:firstLine="480" w:firstLineChars="200"/>
        <w:rPr>
          <w:rFonts w:hAnsi="宋体"/>
          <w:color w:val="auto"/>
          <w:sz w:val="24"/>
          <w:highlight w:val="none"/>
        </w:rPr>
      </w:pPr>
      <w:r>
        <w:rPr>
          <w:rFonts w:hint="eastAsia" w:hAnsi="宋体"/>
          <w:color w:val="auto"/>
          <w:sz w:val="24"/>
          <w:highlight w:val="none"/>
        </w:rPr>
        <w:t>特此证明。</w:t>
      </w:r>
    </w:p>
    <w:p w14:paraId="49540CAD">
      <w:pPr>
        <w:spacing w:line="480" w:lineRule="auto"/>
        <w:rPr>
          <w:rFonts w:hAnsi="宋体"/>
          <w:color w:val="auto"/>
          <w:sz w:val="24"/>
          <w:highlight w:val="none"/>
        </w:rPr>
      </w:pPr>
    </w:p>
    <w:p w14:paraId="4CBD7E68">
      <w:pPr>
        <w:spacing w:line="480" w:lineRule="auto"/>
        <w:ind w:left="360"/>
        <w:rPr>
          <w:rFonts w:hAnsi="宋体"/>
          <w:color w:val="auto"/>
          <w:sz w:val="24"/>
          <w:highlight w:val="none"/>
        </w:rPr>
      </w:pPr>
      <w:r>
        <w:rPr>
          <w:rFonts w:hint="eastAsia" w:hAnsi="宋体"/>
          <w:color w:val="auto"/>
          <w:sz w:val="24"/>
          <w:highlight w:val="none"/>
        </w:rPr>
        <w:t>附：法定代表人(单位负责人)身份证。</w:t>
      </w:r>
    </w:p>
    <w:p w14:paraId="2F6C2610">
      <w:pPr>
        <w:spacing w:line="360" w:lineRule="auto"/>
        <w:rPr>
          <w:rFonts w:hAnsi="宋体"/>
          <w:b/>
          <w:color w:val="auto"/>
          <w:sz w:val="24"/>
          <w:highlight w:val="none"/>
        </w:rPr>
      </w:pPr>
    </w:p>
    <w:p w14:paraId="03A25FBC">
      <w:pPr>
        <w:spacing w:line="360" w:lineRule="auto"/>
        <w:ind w:left="4480"/>
        <w:rPr>
          <w:rFonts w:hAnsi="宋体"/>
          <w:b/>
          <w:color w:val="auto"/>
          <w:sz w:val="24"/>
          <w:highlight w:val="none"/>
        </w:rPr>
      </w:pPr>
    </w:p>
    <w:p w14:paraId="7764D69A">
      <w:pPr>
        <w:spacing w:line="360" w:lineRule="auto"/>
        <w:ind w:left="4480"/>
        <w:rPr>
          <w:rFonts w:hAnsi="宋体"/>
          <w:b/>
          <w:color w:val="auto"/>
          <w:sz w:val="24"/>
          <w:highlight w:val="none"/>
        </w:rPr>
      </w:pPr>
      <w:r>
        <w:rPr>
          <w:rFonts w:hint="eastAsia" w:hAnsi="宋体"/>
          <w:b/>
          <w:color w:val="auto"/>
          <w:sz w:val="24"/>
          <w:highlight w:val="none"/>
        </w:rPr>
        <w:t>供应商：</w:t>
      </w:r>
      <w:r>
        <w:rPr>
          <w:rFonts w:hint="eastAsia" w:hAnsi="宋体"/>
          <w:b/>
          <w:color w:val="auto"/>
          <w:sz w:val="24"/>
          <w:highlight w:val="none"/>
          <w:u w:val="single"/>
        </w:rPr>
        <w:tab/>
      </w:r>
      <w:r>
        <w:rPr>
          <w:rFonts w:hint="eastAsia" w:hAnsi="宋体"/>
          <w:b/>
          <w:color w:val="auto"/>
          <w:sz w:val="24"/>
          <w:highlight w:val="none"/>
          <w:u w:val="single"/>
        </w:rPr>
        <w:t xml:space="preserve">           </w:t>
      </w:r>
      <w:r>
        <w:rPr>
          <w:rFonts w:hint="eastAsia" w:hAnsi="宋体"/>
          <w:b/>
          <w:color w:val="auto"/>
          <w:sz w:val="24"/>
          <w:highlight w:val="none"/>
        </w:rPr>
        <w:t>（电子签章）</w:t>
      </w:r>
    </w:p>
    <w:p w14:paraId="23AFE3F3">
      <w:pPr>
        <w:spacing w:line="20" w:lineRule="exact"/>
        <w:rPr>
          <w:rFonts w:hAnsi="宋体"/>
          <w:b/>
          <w:color w:val="auto"/>
          <w:sz w:val="24"/>
          <w:highlight w:val="none"/>
        </w:rPr>
      </w:pPr>
      <w:r>
        <w:rPr>
          <w:rFonts w:hAnsi="宋体"/>
          <w:b/>
          <w:color w:val="auto"/>
          <w:sz w:val="24"/>
          <w:highlight w:val="none"/>
        </w:rPr>
        <w:t xml:space="preserve"> </w:t>
      </w:r>
    </w:p>
    <w:p w14:paraId="054DAA65">
      <w:pPr>
        <w:spacing w:line="200" w:lineRule="exact"/>
        <w:rPr>
          <w:rFonts w:hAnsi="宋体"/>
          <w:b/>
          <w:color w:val="auto"/>
          <w:sz w:val="24"/>
          <w:highlight w:val="none"/>
        </w:rPr>
      </w:pPr>
    </w:p>
    <w:p w14:paraId="77C47124">
      <w:pPr>
        <w:wordWrap w:val="0"/>
        <w:ind w:right="475" w:firstLine="2650" w:firstLineChars="1100"/>
        <w:jc w:val="center"/>
        <w:rPr>
          <w:rFonts w:hAnsi="宋体"/>
          <w:b/>
          <w:color w:val="auto"/>
          <w:sz w:val="24"/>
          <w:highlight w:val="none"/>
        </w:rPr>
      </w:pPr>
      <w:r>
        <w:rPr>
          <w:rFonts w:hint="eastAsia" w:hAnsi="宋体"/>
          <w:b/>
          <w:color w:val="auto"/>
          <w:sz w:val="24"/>
          <w:highlight w:val="none"/>
        </w:rPr>
        <w:t>日  期：</w:t>
      </w:r>
      <w:r>
        <w:rPr>
          <w:rFonts w:hint="eastAsia" w:hAnsi="宋体"/>
          <w:b/>
          <w:color w:val="auto"/>
          <w:sz w:val="24"/>
          <w:highlight w:val="none"/>
          <w:u w:val="single"/>
        </w:rPr>
        <w:t xml:space="preserve">     </w:t>
      </w:r>
      <w:r>
        <w:rPr>
          <w:rFonts w:hint="eastAsia" w:hAnsi="宋体"/>
          <w:b/>
          <w:color w:val="auto"/>
          <w:sz w:val="24"/>
          <w:highlight w:val="none"/>
        </w:rPr>
        <w:t>年</w:t>
      </w:r>
      <w:r>
        <w:rPr>
          <w:rFonts w:hint="eastAsia" w:hAnsi="宋体"/>
          <w:b/>
          <w:color w:val="auto"/>
          <w:sz w:val="24"/>
          <w:highlight w:val="none"/>
          <w:u w:val="single"/>
        </w:rPr>
        <w:t xml:space="preserve">   </w:t>
      </w:r>
      <w:r>
        <w:rPr>
          <w:rFonts w:hint="eastAsia" w:hAnsi="宋体"/>
          <w:b/>
          <w:color w:val="auto"/>
          <w:sz w:val="24"/>
          <w:highlight w:val="none"/>
        </w:rPr>
        <w:t>月</w:t>
      </w:r>
      <w:r>
        <w:rPr>
          <w:rFonts w:hint="eastAsia" w:hAnsi="宋体"/>
          <w:b/>
          <w:color w:val="auto"/>
          <w:sz w:val="24"/>
          <w:highlight w:val="none"/>
          <w:u w:val="single"/>
        </w:rPr>
        <w:t xml:space="preserve">   </w:t>
      </w:r>
      <w:r>
        <w:rPr>
          <w:rFonts w:hint="eastAsia" w:hAnsi="宋体"/>
          <w:b/>
          <w:color w:val="auto"/>
          <w:sz w:val="24"/>
          <w:highlight w:val="none"/>
        </w:rPr>
        <w:t>日</w:t>
      </w:r>
    </w:p>
    <w:p w14:paraId="08D26094">
      <w:pPr>
        <w:spacing w:line="360" w:lineRule="auto"/>
        <w:ind w:firstLine="5760" w:firstLineChars="2400"/>
        <w:rPr>
          <w:rFonts w:hAnsi="宋体"/>
          <w:color w:val="auto"/>
          <w:sz w:val="24"/>
          <w:highlight w:val="none"/>
        </w:rPr>
      </w:pPr>
    </w:p>
    <w:p w14:paraId="40B3043F">
      <w:pPr>
        <w:spacing w:line="20" w:lineRule="exact"/>
        <w:rPr>
          <w:rFonts w:hAnsi="宋体"/>
          <w:color w:val="auto"/>
          <w:highlight w:val="none"/>
        </w:rPr>
      </w:pPr>
      <w:r>
        <w:rPr>
          <w:rFonts w:hAnsi="宋体"/>
          <w:color w:val="auto"/>
          <w:highlight w:val="none"/>
        </w:rPr>
        <w:t xml:space="preserve"> </w:t>
      </w:r>
    </w:p>
    <w:p w14:paraId="66AC4F05">
      <w:pPr>
        <w:spacing w:line="200" w:lineRule="exact"/>
        <w:rPr>
          <w:rFonts w:hAnsi="宋体"/>
          <w:color w:val="auto"/>
          <w:highlight w:val="none"/>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4E9D9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2" w:hRule="atLeast"/>
        </w:trPr>
        <w:tc>
          <w:tcPr>
            <w:tcW w:w="9627" w:type="dxa"/>
            <w:vAlign w:val="center"/>
          </w:tcPr>
          <w:p w14:paraId="50AB4B21">
            <w:pPr>
              <w:spacing w:before="317" w:beforeLines="100" w:after="317" w:afterLines="100" w:line="600" w:lineRule="exact"/>
              <w:jc w:val="center"/>
              <w:rPr>
                <w:rFonts w:hAnsi="宋体" w:eastAsia="Times New Roman"/>
                <w:color w:val="auto"/>
                <w:highlight w:val="none"/>
              </w:rPr>
            </w:pPr>
            <w:bookmarkStart w:id="255" w:name="_Hlk4674198"/>
            <w:bookmarkStart w:id="256" w:name="_Hlk4674204"/>
            <w:r>
              <w:rPr>
                <w:rFonts w:hint="eastAsia" w:hAnsi="宋体" w:eastAsia="Times New Roman"/>
                <w:color w:val="auto"/>
                <w:sz w:val="24"/>
                <w:highlight w:val="none"/>
              </w:rPr>
              <w:t>法定代表人(单位负责人)身份证</w:t>
            </w:r>
            <w:r>
              <w:rPr>
                <w:rFonts w:hint="eastAsia" w:hAnsi="宋体"/>
                <w:color w:val="auto"/>
                <w:sz w:val="24"/>
                <w:highlight w:val="none"/>
              </w:rPr>
              <w:t>正反面</w:t>
            </w:r>
            <w:bookmarkEnd w:id="255"/>
          </w:p>
        </w:tc>
      </w:tr>
      <w:bookmarkEnd w:id="256"/>
    </w:tbl>
    <w:p w14:paraId="1F47020D">
      <w:pPr>
        <w:spacing w:line="200" w:lineRule="exact"/>
        <w:rPr>
          <w:rFonts w:hAnsi="宋体"/>
          <w:color w:val="auto"/>
          <w:highlight w:val="none"/>
        </w:rPr>
      </w:pPr>
    </w:p>
    <w:p w14:paraId="14F286A3">
      <w:pPr>
        <w:spacing w:line="240" w:lineRule="exact"/>
        <w:rPr>
          <w:rFonts w:hAnsi="宋体"/>
          <w:b/>
          <w:bCs/>
          <w:color w:val="auto"/>
          <w:sz w:val="44"/>
          <w:szCs w:val="44"/>
          <w:highlight w:val="none"/>
        </w:rPr>
      </w:pPr>
      <w:r>
        <w:rPr>
          <w:rFonts w:hint="eastAsia" w:hAnsi="宋体"/>
          <w:b/>
          <w:bCs/>
          <w:color w:val="auto"/>
          <w:sz w:val="44"/>
          <w:szCs w:val="44"/>
          <w:highlight w:val="none"/>
        </w:rPr>
        <w:br w:type="page"/>
      </w:r>
    </w:p>
    <w:p w14:paraId="43EE5E84">
      <w:pPr>
        <w:pStyle w:val="4"/>
        <w:spacing w:before="158" w:beforeLines="50" w:after="158" w:afterLines="50"/>
        <w:rPr>
          <w:rFonts w:ascii="宋体" w:hAnsi="宋体"/>
          <w:color w:val="auto"/>
          <w:szCs w:val="30"/>
          <w:highlight w:val="none"/>
        </w:rPr>
      </w:pPr>
      <w:bookmarkStart w:id="257" w:name="_Toc15398"/>
      <w:bookmarkEnd w:id="257"/>
      <w:bookmarkStart w:id="258" w:name="_Toc31847"/>
      <w:bookmarkEnd w:id="258"/>
      <w:bookmarkStart w:id="259" w:name="_Toc23744"/>
      <w:bookmarkStart w:id="260" w:name="_Toc13667"/>
      <w:bookmarkStart w:id="261" w:name="_Toc4685108"/>
      <w:bookmarkStart w:id="262" w:name="_Toc32454"/>
      <w:r>
        <w:rPr>
          <w:rFonts w:hint="eastAsia" w:ascii="宋体" w:hAnsi="宋体"/>
          <w:color w:val="auto"/>
          <w:szCs w:val="30"/>
          <w:highlight w:val="none"/>
        </w:rPr>
        <w:t>三、授权委托书</w:t>
      </w:r>
      <w:bookmarkEnd w:id="259"/>
      <w:bookmarkEnd w:id="260"/>
      <w:bookmarkEnd w:id="261"/>
      <w:bookmarkEnd w:id="262"/>
    </w:p>
    <w:p w14:paraId="5AD8F932">
      <w:pPr>
        <w:spacing w:line="200" w:lineRule="exact"/>
        <w:rPr>
          <w:rFonts w:hAnsi="宋体"/>
          <w:color w:val="auto"/>
          <w:highlight w:val="none"/>
        </w:rPr>
      </w:pPr>
    </w:p>
    <w:p w14:paraId="14CE99EE">
      <w:pPr>
        <w:spacing w:line="200" w:lineRule="exact"/>
        <w:rPr>
          <w:rFonts w:hAnsi="宋体"/>
          <w:color w:val="auto"/>
          <w:highlight w:val="none"/>
        </w:rPr>
      </w:pPr>
    </w:p>
    <w:p w14:paraId="1D048B92">
      <w:pPr>
        <w:spacing w:line="360" w:lineRule="auto"/>
        <w:ind w:firstLine="480" w:firstLineChars="200"/>
        <w:rPr>
          <w:rFonts w:hAnsi="宋体"/>
          <w:color w:val="auto"/>
          <w:sz w:val="24"/>
          <w:highlight w:val="none"/>
        </w:rPr>
      </w:pPr>
      <w:r>
        <w:rPr>
          <w:rFonts w:hint="eastAsia" w:hAnsi="宋体"/>
          <w:color w:val="auto"/>
          <w:sz w:val="24"/>
          <w:highlight w:val="none"/>
        </w:rPr>
        <w:t>本人</w:t>
      </w:r>
      <w:r>
        <w:rPr>
          <w:rFonts w:hint="eastAsia" w:hAnsi="宋体"/>
          <w:color w:val="auto"/>
          <w:sz w:val="24"/>
          <w:highlight w:val="none"/>
          <w:u w:val="single"/>
        </w:rPr>
        <w:t xml:space="preserve">             </w:t>
      </w:r>
      <w:r>
        <w:rPr>
          <w:rFonts w:hint="eastAsia" w:hAnsi="宋体"/>
          <w:color w:val="auto"/>
          <w:sz w:val="24"/>
          <w:highlight w:val="none"/>
        </w:rPr>
        <w:t>(姓名)系</w:t>
      </w:r>
      <w:r>
        <w:rPr>
          <w:rFonts w:hint="eastAsia" w:hAnsi="宋体"/>
          <w:color w:val="auto"/>
          <w:sz w:val="24"/>
          <w:highlight w:val="none"/>
          <w:u w:val="single"/>
        </w:rPr>
        <w:t xml:space="preserve">                      </w:t>
      </w:r>
      <w:r>
        <w:rPr>
          <w:rFonts w:hint="eastAsia" w:hAnsi="宋体"/>
          <w:color w:val="auto"/>
          <w:sz w:val="24"/>
          <w:highlight w:val="none"/>
        </w:rPr>
        <w:t>(供应商名称)的法定代表人(单位负责人)，现委托</w:t>
      </w:r>
      <w:r>
        <w:rPr>
          <w:rFonts w:hint="eastAsia" w:hAnsi="宋体"/>
          <w:color w:val="auto"/>
          <w:sz w:val="24"/>
          <w:highlight w:val="none"/>
          <w:u w:val="single"/>
        </w:rPr>
        <w:t xml:space="preserve">             </w:t>
      </w:r>
      <w:r>
        <w:rPr>
          <w:rFonts w:hint="eastAsia" w:hAnsi="宋体"/>
          <w:color w:val="auto"/>
          <w:sz w:val="24"/>
          <w:highlight w:val="none"/>
        </w:rPr>
        <w:t>(姓名)为我方代理人。代理人根据授权，以我方名义签署、澄清、说明、补正、撤回、修改</w:t>
      </w:r>
      <w:r>
        <w:rPr>
          <w:rFonts w:hint="eastAsia" w:hAnsi="宋体"/>
          <w:color w:val="auto"/>
          <w:sz w:val="24"/>
          <w:highlight w:val="none"/>
          <w:u w:val="single"/>
        </w:rPr>
        <w:t xml:space="preserve">             </w:t>
      </w:r>
      <w:r>
        <w:rPr>
          <w:rFonts w:hint="eastAsia" w:hAnsi="宋体"/>
          <w:color w:val="auto"/>
          <w:sz w:val="24"/>
          <w:highlight w:val="none"/>
        </w:rPr>
        <w:t>（项目名称）响应文件、签订合同和处理有关事宜，其法律后果由我方承担。</w:t>
      </w:r>
    </w:p>
    <w:p w14:paraId="2B80B834">
      <w:pPr>
        <w:spacing w:line="360" w:lineRule="auto"/>
        <w:ind w:firstLine="480" w:firstLineChars="200"/>
        <w:rPr>
          <w:rFonts w:hAnsi="宋体"/>
          <w:color w:val="auto"/>
          <w:sz w:val="24"/>
          <w:highlight w:val="none"/>
        </w:rPr>
      </w:pPr>
      <w:r>
        <w:rPr>
          <w:rFonts w:hint="eastAsia" w:hAnsi="宋体"/>
          <w:color w:val="auto"/>
          <w:sz w:val="24"/>
          <w:highlight w:val="none"/>
        </w:rPr>
        <w:t>代理人无转委托权。</w:t>
      </w:r>
    </w:p>
    <w:p w14:paraId="6F210655">
      <w:pPr>
        <w:spacing w:before="468" w:line="360" w:lineRule="auto"/>
        <w:ind w:firstLine="3373" w:firstLineChars="1400"/>
        <w:rPr>
          <w:rFonts w:hAnsi="宋体"/>
          <w:b/>
          <w:color w:val="auto"/>
          <w:sz w:val="24"/>
          <w:highlight w:val="none"/>
        </w:rPr>
      </w:pPr>
      <w:r>
        <w:rPr>
          <w:rFonts w:hint="eastAsia" w:hAnsi="宋体"/>
          <w:b/>
          <w:color w:val="auto"/>
          <w:sz w:val="24"/>
          <w:highlight w:val="none"/>
        </w:rPr>
        <w:t>供应商：</w:t>
      </w:r>
      <w:r>
        <w:rPr>
          <w:rFonts w:hint="eastAsia" w:hAnsi="宋体"/>
          <w:b/>
          <w:color w:val="auto"/>
          <w:sz w:val="24"/>
          <w:highlight w:val="none"/>
          <w:u w:val="single"/>
        </w:rPr>
        <w:t xml:space="preserve">                        </w:t>
      </w:r>
      <w:r>
        <w:rPr>
          <w:rFonts w:hint="eastAsia" w:hAnsi="宋体"/>
          <w:b/>
          <w:color w:val="auto"/>
          <w:sz w:val="24"/>
          <w:highlight w:val="none"/>
        </w:rPr>
        <w:t>(电子签章）</w:t>
      </w:r>
    </w:p>
    <w:p w14:paraId="36BA07E6">
      <w:pPr>
        <w:spacing w:before="468" w:line="360" w:lineRule="auto"/>
        <w:ind w:firstLine="3373" w:firstLineChars="1400"/>
        <w:rPr>
          <w:rFonts w:hAnsi="宋体"/>
          <w:b/>
          <w:color w:val="auto"/>
          <w:sz w:val="24"/>
          <w:highlight w:val="none"/>
        </w:rPr>
      </w:pPr>
      <w:r>
        <w:rPr>
          <w:rFonts w:hint="eastAsia" w:hAnsi="宋体"/>
          <w:b/>
          <w:color w:val="auto"/>
          <w:sz w:val="24"/>
          <w:highlight w:val="none"/>
        </w:rPr>
        <w:t>法定代表人(单位负责人)：</w:t>
      </w:r>
      <w:r>
        <w:rPr>
          <w:rFonts w:hint="eastAsia" w:hAnsi="宋体"/>
          <w:b/>
          <w:color w:val="auto"/>
          <w:sz w:val="24"/>
          <w:highlight w:val="none"/>
          <w:u w:val="single"/>
        </w:rPr>
        <w:t xml:space="preserve">           </w:t>
      </w:r>
      <w:r>
        <w:rPr>
          <w:rFonts w:hint="eastAsia" w:hAnsi="宋体"/>
          <w:b/>
          <w:color w:val="auto"/>
          <w:sz w:val="24"/>
          <w:highlight w:val="none"/>
        </w:rPr>
        <w:t>（电子签章或签名）</w:t>
      </w:r>
    </w:p>
    <w:p w14:paraId="2EE121B1">
      <w:pPr>
        <w:spacing w:line="360" w:lineRule="auto"/>
        <w:ind w:firstLine="3373" w:firstLineChars="1400"/>
        <w:rPr>
          <w:b/>
          <w:bCs/>
          <w:color w:val="auto"/>
          <w:sz w:val="24"/>
          <w:highlight w:val="none"/>
          <w:u w:val="single"/>
        </w:rPr>
      </w:pPr>
      <w:r>
        <w:rPr>
          <w:rFonts w:hint="eastAsia" w:hAnsi="宋体"/>
          <w:b/>
          <w:color w:val="auto"/>
          <w:sz w:val="24"/>
          <w:highlight w:val="none"/>
        </w:rPr>
        <w:t>身份证</w:t>
      </w:r>
      <w:r>
        <w:rPr>
          <w:rFonts w:hint="eastAsia" w:hAnsi="宋体" w:cs="仿宋_GB2312"/>
          <w:b/>
          <w:bCs/>
          <w:color w:val="auto"/>
          <w:sz w:val="24"/>
          <w:highlight w:val="none"/>
        </w:rPr>
        <w:t>号码：</w:t>
      </w:r>
      <w:r>
        <w:rPr>
          <w:rFonts w:hint="eastAsia" w:hAnsi="宋体" w:cs="仿宋_GB2312"/>
          <w:b/>
          <w:bCs/>
          <w:color w:val="auto"/>
          <w:sz w:val="24"/>
          <w:highlight w:val="none"/>
          <w:u w:val="single"/>
        </w:rPr>
        <w:t xml:space="preserve">                            </w:t>
      </w:r>
    </w:p>
    <w:p w14:paraId="5A63C703">
      <w:pPr>
        <w:spacing w:before="468" w:line="360" w:lineRule="auto"/>
        <w:ind w:firstLine="3373" w:firstLineChars="1400"/>
        <w:rPr>
          <w:rFonts w:hAnsi="宋体"/>
          <w:b/>
          <w:color w:val="auto"/>
          <w:sz w:val="24"/>
          <w:highlight w:val="none"/>
        </w:rPr>
      </w:pPr>
      <w:r>
        <w:rPr>
          <w:rFonts w:hint="eastAsia" w:hAnsi="宋体"/>
          <w:b/>
          <w:color w:val="auto"/>
          <w:sz w:val="24"/>
          <w:highlight w:val="none"/>
        </w:rPr>
        <w:t>委托代理人：</w:t>
      </w:r>
      <w:r>
        <w:rPr>
          <w:rFonts w:hint="eastAsia" w:hAnsi="宋体"/>
          <w:b/>
          <w:color w:val="auto"/>
          <w:sz w:val="24"/>
          <w:highlight w:val="none"/>
          <w:u w:val="single"/>
        </w:rPr>
        <w:t xml:space="preserve">                       </w:t>
      </w:r>
    </w:p>
    <w:p w14:paraId="3B3C37C1">
      <w:pPr>
        <w:autoSpaceDE w:val="0"/>
        <w:autoSpaceDN w:val="0"/>
        <w:adjustRightInd w:val="0"/>
        <w:spacing w:line="360" w:lineRule="auto"/>
        <w:ind w:firstLine="3373" w:firstLineChars="1400"/>
        <w:rPr>
          <w:color w:val="auto"/>
          <w:highlight w:val="none"/>
        </w:rPr>
      </w:pPr>
      <w:r>
        <w:rPr>
          <w:rFonts w:hint="eastAsia" w:hAnsi="宋体" w:cs="仿宋_GB2312"/>
          <w:b/>
          <w:bCs/>
          <w:color w:val="auto"/>
          <w:sz w:val="24"/>
          <w:highlight w:val="none"/>
        </w:rPr>
        <w:t>身份证号码：</w:t>
      </w:r>
      <w:r>
        <w:rPr>
          <w:rFonts w:hint="eastAsia" w:hAnsi="宋体" w:cs="仿宋_GB2312"/>
          <w:b/>
          <w:bCs/>
          <w:color w:val="auto"/>
          <w:sz w:val="24"/>
          <w:highlight w:val="none"/>
          <w:u w:val="single"/>
        </w:rPr>
        <w:t xml:space="preserve">                            </w:t>
      </w:r>
    </w:p>
    <w:p w14:paraId="00BFDE7D">
      <w:pPr>
        <w:spacing w:before="468" w:line="360" w:lineRule="auto"/>
        <w:ind w:firstLine="3373" w:firstLineChars="1400"/>
        <w:rPr>
          <w:rFonts w:hAnsi="宋体"/>
          <w:b/>
          <w:color w:val="auto"/>
          <w:sz w:val="24"/>
          <w:highlight w:val="none"/>
        </w:rPr>
      </w:pPr>
      <w:r>
        <w:rPr>
          <w:rFonts w:hint="eastAsia" w:hAnsi="宋体"/>
          <w:b/>
          <w:color w:val="auto"/>
          <w:sz w:val="24"/>
          <w:highlight w:val="none"/>
        </w:rPr>
        <w:t>日 期：</w:t>
      </w:r>
      <w:r>
        <w:rPr>
          <w:rFonts w:hint="eastAsia" w:hAnsi="宋体"/>
          <w:b/>
          <w:color w:val="auto"/>
          <w:sz w:val="24"/>
          <w:highlight w:val="none"/>
          <w:u w:val="single"/>
        </w:rPr>
        <w:t xml:space="preserve">       </w:t>
      </w:r>
      <w:r>
        <w:rPr>
          <w:rFonts w:hint="eastAsia" w:hAnsi="宋体"/>
          <w:b/>
          <w:color w:val="auto"/>
          <w:sz w:val="24"/>
          <w:highlight w:val="none"/>
        </w:rPr>
        <w:t>年</w:t>
      </w:r>
      <w:r>
        <w:rPr>
          <w:rFonts w:hint="eastAsia" w:hAnsi="宋体"/>
          <w:b/>
          <w:color w:val="auto"/>
          <w:sz w:val="24"/>
          <w:highlight w:val="none"/>
          <w:u w:val="single"/>
        </w:rPr>
        <w:t xml:space="preserve">    </w:t>
      </w:r>
      <w:r>
        <w:rPr>
          <w:rFonts w:hint="eastAsia" w:hAnsi="宋体"/>
          <w:b/>
          <w:color w:val="auto"/>
          <w:sz w:val="24"/>
          <w:highlight w:val="none"/>
        </w:rPr>
        <w:t>月</w:t>
      </w:r>
      <w:r>
        <w:rPr>
          <w:rFonts w:hint="eastAsia" w:hAnsi="宋体"/>
          <w:b/>
          <w:color w:val="auto"/>
          <w:sz w:val="24"/>
          <w:highlight w:val="none"/>
          <w:u w:val="single"/>
        </w:rPr>
        <w:t xml:space="preserve">    </w:t>
      </w:r>
      <w:r>
        <w:rPr>
          <w:rFonts w:hint="eastAsia" w:hAnsi="宋体"/>
          <w:b/>
          <w:color w:val="auto"/>
          <w:sz w:val="24"/>
          <w:highlight w:val="none"/>
        </w:rPr>
        <w:t>日</w:t>
      </w:r>
    </w:p>
    <w:p w14:paraId="59932F04">
      <w:pPr>
        <w:spacing w:line="560" w:lineRule="exact"/>
        <w:rPr>
          <w:rFonts w:hAnsi="宋体"/>
          <w:b/>
          <w:color w:val="auto"/>
          <w:sz w:val="24"/>
          <w:highlight w:val="none"/>
        </w:rPr>
      </w:pPr>
      <w:r>
        <w:rPr>
          <w:rFonts w:hint="eastAsia" w:hAnsi="宋体"/>
          <w:b/>
          <w:color w:val="auto"/>
          <w:sz w:val="24"/>
          <w:highlight w:val="none"/>
        </w:rPr>
        <w:t>注：</w:t>
      </w:r>
      <w:r>
        <w:rPr>
          <w:rFonts w:hAnsi="宋体"/>
          <w:b/>
          <w:color w:val="auto"/>
          <w:sz w:val="24"/>
          <w:highlight w:val="none"/>
        </w:rPr>
        <w:t>附授权委托代理人身份证，如由法定代表人亲自签署</w:t>
      </w:r>
      <w:r>
        <w:rPr>
          <w:rFonts w:hint="eastAsia" w:hAnsi="宋体"/>
          <w:b/>
          <w:bCs/>
          <w:color w:val="auto"/>
          <w:sz w:val="24"/>
          <w:highlight w:val="none"/>
        </w:rPr>
        <w:t>响应</w:t>
      </w:r>
      <w:r>
        <w:rPr>
          <w:rFonts w:hAnsi="宋体"/>
          <w:b/>
          <w:bCs/>
          <w:color w:val="auto"/>
          <w:sz w:val="24"/>
          <w:highlight w:val="none"/>
        </w:rPr>
        <w:t>文件</w:t>
      </w:r>
      <w:r>
        <w:rPr>
          <w:rFonts w:hAnsi="宋体"/>
          <w:b/>
          <w:color w:val="auto"/>
          <w:sz w:val="24"/>
          <w:highlight w:val="none"/>
        </w:rPr>
        <w:t>并参与相关活动，则不需要办理授权。如由被授权的代理人签署上述文件，则必须按本格式规定填报并提交授权书，否则被授权的代理人将不被认可</w:t>
      </w:r>
      <w:r>
        <w:rPr>
          <w:rFonts w:hint="eastAsia" w:hAnsi="宋体"/>
          <w:b/>
          <w:color w:val="auto"/>
          <w:sz w:val="24"/>
          <w:highlight w:val="none"/>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43E89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6" w:hRule="atLeast"/>
        </w:trPr>
        <w:tc>
          <w:tcPr>
            <w:tcW w:w="9627" w:type="dxa"/>
            <w:vAlign w:val="center"/>
          </w:tcPr>
          <w:p w14:paraId="5E65EAAF">
            <w:pPr>
              <w:spacing w:before="317" w:beforeLines="100" w:after="317" w:afterLines="100" w:line="600" w:lineRule="exact"/>
              <w:jc w:val="center"/>
              <w:rPr>
                <w:rFonts w:hAnsi="宋体" w:eastAsia="Times New Roman"/>
                <w:color w:val="auto"/>
                <w:highlight w:val="none"/>
              </w:rPr>
            </w:pPr>
            <w:r>
              <w:rPr>
                <w:rFonts w:hint="eastAsia" w:hAnsi="宋体"/>
                <w:color w:val="auto"/>
                <w:sz w:val="24"/>
                <w:highlight w:val="none"/>
              </w:rPr>
              <w:t>代理</w:t>
            </w:r>
            <w:r>
              <w:rPr>
                <w:rFonts w:hint="eastAsia" w:hAnsi="宋体" w:eastAsia="Times New Roman"/>
                <w:color w:val="auto"/>
                <w:sz w:val="24"/>
                <w:highlight w:val="none"/>
              </w:rPr>
              <w:t>人身份证</w:t>
            </w:r>
            <w:r>
              <w:rPr>
                <w:rFonts w:hint="eastAsia" w:hAnsi="宋体"/>
                <w:color w:val="auto"/>
                <w:sz w:val="24"/>
                <w:highlight w:val="none"/>
              </w:rPr>
              <w:t>正反面</w:t>
            </w:r>
          </w:p>
        </w:tc>
      </w:tr>
    </w:tbl>
    <w:p w14:paraId="65936985">
      <w:pPr>
        <w:spacing w:line="240" w:lineRule="exact"/>
        <w:rPr>
          <w:rFonts w:hAnsi="宋体"/>
          <w:b/>
          <w:bCs/>
          <w:color w:val="auto"/>
          <w:sz w:val="44"/>
          <w:szCs w:val="44"/>
          <w:highlight w:val="none"/>
        </w:rPr>
      </w:pPr>
      <w:r>
        <w:rPr>
          <w:rFonts w:hint="eastAsia" w:hAnsi="宋体"/>
          <w:b/>
          <w:bCs/>
          <w:color w:val="auto"/>
          <w:sz w:val="44"/>
          <w:szCs w:val="44"/>
          <w:highlight w:val="none"/>
        </w:rPr>
        <w:br w:type="page"/>
      </w:r>
    </w:p>
    <w:p w14:paraId="5D57586A">
      <w:pPr>
        <w:pStyle w:val="4"/>
        <w:spacing w:before="158" w:beforeLines="50" w:after="158" w:afterLines="50"/>
        <w:rPr>
          <w:rFonts w:ascii="宋体" w:hAnsi="宋体"/>
          <w:color w:val="auto"/>
          <w:szCs w:val="30"/>
          <w:highlight w:val="none"/>
        </w:rPr>
      </w:pPr>
      <w:bookmarkStart w:id="263" w:name="_Toc26620"/>
      <w:bookmarkEnd w:id="263"/>
      <w:bookmarkStart w:id="264" w:name="_Toc23327"/>
      <w:bookmarkStart w:id="265" w:name="_Toc4685109"/>
      <w:bookmarkStart w:id="266" w:name="_Toc19510"/>
      <w:bookmarkStart w:id="267" w:name="_Toc28186"/>
      <w:r>
        <w:rPr>
          <w:rFonts w:hint="eastAsia" w:ascii="宋体" w:hAnsi="宋体"/>
          <w:color w:val="auto"/>
          <w:szCs w:val="30"/>
          <w:highlight w:val="none"/>
        </w:rPr>
        <w:t>四、基本情况表</w:t>
      </w:r>
      <w:bookmarkEnd w:id="264"/>
      <w:bookmarkEnd w:id="265"/>
      <w:bookmarkEnd w:id="266"/>
      <w:bookmarkEnd w:id="267"/>
    </w:p>
    <w:tbl>
      <w:tblPr>
        <w:tblStyle w:val="3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14"/>
        <w:gridCol w:w="1004"/>
        <w:gridCol w:w="2568"/>
        <w:gridCol w:w="1533"/>
        <w:gridCol w:w="2093"/>
      </w:tblGrid>
      <w:tr w14:paraId="76C79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314" w:type="dxa"/>
          </w:tcPr>
          <w:p w14:paraId="11B8B0F1">
            <w:pPr>
              <w:pStyle w:val="79"/>
              <w:spacing w:before="107"/>
              <w:ind w:left="118" w:right="116"/>
              <w:jc w:val="center"/>
              <w:rPr>
                <w:rFonts w:cs="等线"/>
                <w:color w:val="auto"/>
                <w:sz w:val="24"/>
                <w:szCs w:val="24"/>
                <w:highlight w:val="none"/>
              </w:rPr>
            </w:pPr>
            <w:r>
              <w:rPr>
                <w:rFonts w:hint="eastAsia" w:cs="等线"/>
                <w:color w:val="auto"/>
                <w:sz w:val="24"/>
                <w:szCs w:val="24"/>
                <w:highlight w:val="none"/>
              </w:rPr>
              <w:t>供应商名称</w:t>
            </w:r>
          </w:p>
        </w:tc>
        <w:tc>
          <w:tcPr>
            <w:tcW w:w="7198" w:type="dxa"/>
            <w:gridSpan w:val="4"/>
          </w:tcPr>
          <w:p w14:paraId="7F91B12C">
            <w:pPr>
              <w:rPr>
                <w:rFonts w:hAnsi="宋体" w:cs="等线"/>
                <w:color w:val="auto"/>
                <w:sz w:val="24"/>
                <w:highlight w:val="none"/>
              </w:rPr>
            </w:pPr>
          </w:p>
        </w:tc>
      </w:tr>
      <w:tr w14:paraId="0F413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314" w:type="dxa"/>
          </w:tcPr>
          <w:p w14:paraId="572EBADD">
            <w:pPr>
              <w:pStyle w:val="79"/>
              <w:spacing w:before="107"/>
              <w:ind w:left="116" w:right="116"/>
              <w:jc w:val="center"/>
              <w:rPr>
                <w:rFonts w:cs="等线"/>
                <w:color w:val="auto"/>
                <w:sz w:val="24"/>
                <w:szCs w:val="24"/>
                <w:highlight w:val="none"/>
              </w:rPr>
            </w:pPr>
            <w:r>
              <w:rPr>
                <w:rFonts w:hint="eastAsia" w:cs="等线"/>
                <w:color w:val="auto"/>
                <w:sz w:val="24"/>
                <w:szCs w:val="24"/>
                <w:highlight w:val="none"/>
              </w:rPr>
              <w:t>注册资金</w:t>
            </w:r>
          </w:p>
        </w:tc>
        <w:tc>
          <w:tcPr>
            <w:tcW w:w="3572" w:type="dxa"/>
            <w:gridSpan w:val="2"/>
          </w:tcPr>
          <w:p w14:paraId="4EAFFC84">
            <w:pPr>
              <w:rPr>
                <w:rFonts w:hAnsi="宋体" w:cs="等线"/>
                <w:color w:val="auto"/>
                <w:sz w:val="24"/>
                <w:highlight w:val="none"/>
              </w:rPr>
            </w:pPr>
          </w:p>
        </w:tc>
        <w:tc>
          <w:tcPr>
            <w:tcW w:w="1533" w:type="dxa"/>
          </w:tcPr>
          <w:p w14:paraId="79C91BBE">
            <w:pPr>
              <w:pStyle w:val="79"/>
              <w:spacing w:before="107"/>
              <w:ind w:left="122" w:right="122"/>
              <w:jc w:val="center"/>
              <w:rPr>
                <w:rFonts w:cs="等线"/>
                <w:color w:val="auto"/>
                <w:sz w:val="24"/>
                <w:szCs w:val="24"/>
                <w:highlight w:val="none"/>
              </w:rPr>
            </w:pPr>
            <w:r>
              <w:rPr>
                <w:rFonts w:hint="eastAsia" w:cs="等线"/>
                <w:color w:val="auto"/>
                <w:sz w:val="24"/>
                <w:szCs w:val="24"/>
                <w:highlight w:val="none"/>
              </w:rPr>
              <w:t>成立时间</w:t>
            </w:r>
          </w:p>
        </w:tc>
        <w:tc>
          <w:tcPr>
            <w:tcW w:w="2093" w:type="dxa"/>
          </w:tcPr>
          <w:p w14:paraId="3ED89CB3">
            <w:pPr>
              <w:rPr>
                <w:rFonts w:hAnsi="宋体" w:cs="等线"/>
                <w:color w:val="auto"/>
                <w:sz w:val="24"/>
                <w:highlight w:val="none"/>
              </w:rPr>
            </w:pPr>
          </w:p>
        </w:tc>
      </w:tr>
      <w:tr w14:paraId="0B431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314" w:type="dxa"/>
          </w:tcPr>
          <w:p w14:paraId="7382EE1B">
            <w:pPr>
              <w:pStyle w:val="79"/>
              <w:spacing w:before="107"/>
              <w:ind w:left="118" w:right="116"/>
              <w:jc w:val="center"/>
              <w:rPr>
                <w:rFonts w:cs="等线"/>
                <w:color w:val="auto"/>
                <w:sz w:val="24"/>
                <w:szCs w:val="24"/>
                <w:highlight w:val="none"/>
              </w:rPr>
            </w:pPr>
            <w:r>
              <w:rPr>
                <w:rFonts w:hint="eastAsia" w:cs="等线"/>
                <w:color w:val="auto"/>
                <w:sz w:val="24"/>
                <w:szCs w:val="24"/>
                <w:highlight w:val="none"/>
              </w:rPr>
              <w:t>注册地址</w:t>
            </w:r>
          </w:p>
        </w:tc>
        <w:tc>
          <w:tcPr>
            <w:tcW w:w="7198" w:type="dxa"/>
            <w:gridSpan w:val="4"/>
          </w:tcPr>
          <w:p w14:paraId="47A1E7CB">
            <w:pPr>
              <w:rPr>
                <w:rFonts w:hAnsi="宋体" w:cs="等线"/>
                <w:color w:val="auto"/>
                <w:sz w:val="24"/>
                <w:highlight w:val="none"/>
              </w:rPr>
            </w:pPr>
          </w:p>
        </w:tc>
      </w:tr>
      <w:tr w14:paraId="6103F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314" w:type="dxa"/>
          </w:tcPr>
          <w:p w14:paraId="534D3175">
            <w:pPr>
              <w:pStyle w:val="79"/>
              <w:spacing w:before="108"/>
              <w:ind w:left="118" w:right="116"/>
              <w:jc w:val="center"/>
              <w:rPr>
                <w:rFonts w:cs="等线"/>
                <w:color w:val="auto"/>
                <w:sz w:val="24"/>
                <w:szCs w:val="24"/>
                <w:highlight w:val="none"/>
              </w:rPr>
            </w:pPr>
            <w:r>
              <w:rPr>
                <w:rFonts w:hint="eastAsia" w:cs="等线"/>
                <w:color w:val="auto"/>
                <w:sz w:val="24"/>
                <w:szCs w:val="24"/>
                <w:highlight w:val="none"/>
              </w:rPr>
              <w:t>邮政编码</w:t>
            </w:r>
          </w:p>
        </w:tc>
        <w:tc>
          <w:tcPr>
            <w:tcW w:w="3572" w:type="dxa"/>
            <w:gridSpan w:val="2"/>
          </w:tcPr>
          <w:p w14:paraId="0CDFABFE">
            <w:pPr>
              <w:rPr>
                <w:rFonts w:hAnsi="宋体" w:cs="等线"/>
                <w:color w:val="auto"/>
                <w:sz w:val="24"/>
                <w:highlight w:val="none"/>
              </w:rPr>
            </w:pPr>
          </w:p>
        </w:tc>
        <w:tc>
          <w:tcPr>
            <w:tcW w:w="1533" w:type="dxa"/>
          </w:tcPr>
          <w:p w14:paraId="034CAF73">
            <w:pPr>
              <w:pStyle w:val="79"/>
              <w:spacing w:before="108"/>
              <w:ind w:left="122" w:right="122"/>
              <w:jc w:val="center"/>
              <w:rPr>
                <w:rFonts w:cs="等线"/>
                <w:color w:val="auto"/>
                <w:sz w:val="24"/>
                <w:szCs w:val="24"/>
                <w:highlight w:val="none"/>
              </w:rPr>
            </w:pPr>
            <w:r>
              <w:rPr>
                <w:rFonts w:hint="eastAsia" w:cs="等线"/>
                <w:color w:val="auto"/>
                <w:sz w:val="24"/>
                <w:szCs w:val="24"/>
                <w:highlight w:val="none"/>
              </w:rPr>
              <w:t>员工总数</w:t>
            </w:r>
          </w:p>
        </w:tc>
        <w:tc>
          <w:tcPr>
            <w:tcW w:w="2093" w:type="dxa"/>
          </w:tcPr>
          <w:p w14:paraId="1F533886">
            <w:pPr>
              <w:rPr>
                <w:rFonts w:hAnsi="宋体" w:cs="等线"/>
                <w:color w:val="auto"/>
                <w:sz w:val="24"/>
                <w:highlight w:val="none"/>
              </w:rPr>
            </w:pPr>
          </w:p>
        </w:tc>
      </w:tr>
      <w:tr w14:paraId="6A71E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314" w:type="dxa"/>
            <w:vMerge w:val="restart"/>
          </w:tcPr>
          <w:p w14:paraId="6F4BDE4D">
            <w:pPr>
              <w:pStyle w:val="79"/>
              <w:spacing w:before="5"/>
              <w:rPr>
                <w:rFonts w:cs="等线"/>
                <w:color w:val="auto"/>
                <w:sz w:val="24"/>
                <w:szCs w:val="24"/>
                <w:highlight w:val="none"/>
              </w:rPr>
            </w:pPr>
          </w:p>
          <w:p w14:paraId="53F6C914">
            <w:pPr>
              <w:pStyle w:val="79"/>
              <w:spacing w:before="1"/>
              <w:ind w:left="662"/>
              <w:rPr>
                <w:rFonts w:cs="等线"/>
                <w:color w:val="auto"/>
                <w:sz w:val="24"/>
                <w:szCs w:val="24"/>
                <w:highlight w:val="none"/>
              </w:rPr>
            </w:pPr>
            <w:r>
              <w:rPr>
                <w:rFonts w:hint="eastAsia" w:cs="等线"/>
                <w:color w:val="auto"/>
                <w:sz w:val="24"/>
                <w:szCs w:val="24"/>
                <w:highlight w:val="none"/>
              </w:rPr>
              <w:t>联系方式</w:t>
            </w:r>
          </w:p>
        </w:tc>
        <w:tc>
          <w:tcPr>
            <w:tcW w:w="1004" w:type="dxa"/>
          </w:tcPr>
          <w:p w14:paraId="03F3765D">
            <w:pPr>
              <w:pStyle w:val="79"/>
              <w:spacing w:before="107"/>
              <w:ind w:left="131" w:right="132"/>
              <w:jc w:val="center"/>
              <w:rPr>
                <w:rFonts w:cs="等线"/>
                <w:color w:val="auto"/>
                <w:sz w:val="24"/>
                <w:szCs w:val="24"/>
                <w:highlight w:val="none"/>
              </w:rPr>
            </w:pPr>
            <w:r>
              <w:rPr>
                <w:rFonts w:hint="eastAsia" w:cs="等线"/>
                <w:color w:val="auto"/>
                <w:sz w:val="24"/>
                <w:szCs w:val="24"/>
                <w:highlight w:val="none"/>
              </w:rPr>
              <w:t>联系人</w:t>
            </w:r>
          </w:p>
        </w:tc>
        <w:tc>
          <w:tcPr>
            <w:tcW w:w="2568" w:type="dxa"/>
          </w:tcPr>
          <w:p w14:paraId="0AC867C7">
            <w:pPr>
              <w:rPr>
                <w:rFonts w:hAnsi="宋体" w:cs="等线"/>
                <w:color w:val="auto"/>
                <w:sz w:val="24"/>
                <w:highlight w:val="none"/>
              </w:rPr>
            </w:pPr>
          </w:p>
        </w:tc>
        <w:tc>
          <w:tcPr>
            <w:tcW w:w="1533" w:type="dxa"/>
          </w:tcPr>
          <w:p w14:paraId="35984E4B">
            <w:pPr>
              <w:pStyle w:val="79"/>
              <w:spacing w:before="107"/>
              <w:ind w:left="122" w:right="120"/>
              <w:jc w:val="center"/>
              <w:rPr>
                <w:rFonts w:cs="等线"/>
                <w:color w:val="auto"/>
                <w:sz w:val="24"/>
                <w:szCs w:val="24"/>
                <w:highlight w:val="none"/>
              </w:rPr>
            </w:pPr>
            <w:r>
              <w:rPr>
                <w:rFonts w:hint="eastAsia" w:cs="等线"/>
                <w:color w:val="auto"/>
                <w:sz w:val="24"/>
                <w:szCs w:val="24"/>
                <w:highlight w:val="none"/>
              </w:rPr>
              <w:t>电话</w:t>
            </w:r>
          </w:p>
        </w:tc>
        <w:tc>
          <w:tcPr>
            <w:tcW w:w="2093" w:type="dxa"/>
          </w:tcPr>
          <w:p w14:paraId="7C582AAF">
            <w:pPr>
              <w:rPr>
                <w:rFonts w:hAnsi="宋体" w:cs="等线"/>
                <w:color w:val="auto"/>
                <w:sz w:val="24"/>
                <w:highlight w:val="none"/>
              </w:rPr>
            </w:pPr>
          </w:p>
        </w:tc>
      </w:tr>
      <w:tr w14:paraId="18E43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314" w:type="dxa"/>
            <w:vMerge w:val="continue"/>
          </w:tcPr>
          <w:p w14:paraId="0E50573B">
            <w:pPr>
              <w:rPr>
                <w:rFonts w:hAnsi="宋体" w:cs="等线"/>
                <w:color w:val="auto"/>
                <w:sz w:val="24"/>
                <w:highlight w:val="none"/>
              </w:rPr>
            </w:pPr>
          </w:p>
        </w:tc>
        <w:tc>
          <w:tcPr>
            <w:tcW w:w="1004" w:type="dxa"/>
          </w:tcPr>
          <w:p w14:paraId="651983AD">
            <w:pPr>
              <w:pStyle w:val="79"/>
              <w:spacing w:before="107"/>
              <w:ind w:left="131" w:right="132"/>
              <w:jc w:val="center"/>
              <w:rPr>
                <w:rFonts w:cs="等线"/>
                <w:color w:val="auto"/>
                <w:sz w:val="24"/>
                <w:szCs w:val="24"/>
                <w:highlight w:val="none"/>
              </w:rPr>
            </w:pPr>
            <w:r>
              <w:rPr>
                <w:rFonts w:hint="eastAsia" w:cs="等线"/>
                <w:color w:val="auto"/>
                <w:sz w:val="24"/>
                <w:szCs w:val="24"/>
                <w:highlight w:val="none"/>
              </w:rPr>
              <w:t>网址</w:t>
            </w:r>
          </w:p>
        </w:tc>
        <w:tc>
          <w:tcPr>
            <w:tcW w:w="2568" w:type="dxa"/>
          </w:tcPr>
          <w:p w14:paraId="14765662">
            <w:pPr>
              <w:rPr>
                <w:rFonts w:hAnsi="宋体" w:cs="等线"/>
                <w:color w:val="auto"/>
                <w:sz w:val="24"/>
                <w:highlight w:val="none"/>
              </w:rPr>
            </w:pPr>
          </w:p>
        </w:tc>
        <w:tc>
          <w:tcPr>
            <w:tcW w:w="1533" w:type="dxa"/>
          </w:tcPr>
          <w:p w14:paraId="62EC1D2F">
            <w:pPr>
              <w:pStyle w:val="79"/>
              <w:spacing w:before="107"/>
              <w:ind w:left="122" w:right="120"/>
              <w:jc w:val="center"/>
              <w:rPr>
                <w:rFonts w:cs="等线"/>
                <w:color w:val="auto"/>
                <w:sz w:val="24"/>
                <w:szCs w:val="24"/>
                <w:highlight w:val="none"/>
              </w:rPr>
            </w:pPr>
            <w:r>
              <w:rPr>
                <w:rFonts w:hint="eastAsia" w:cs="等线"/>
                <w:color w:val="auto"/>
                <w:sz w:val="24"/>
                <w:szCs w:val="24"/>
                <w:highlight w:val="none"/>
              </w:rPr>
              <w:t>传真</w:t>
            </w:r>
          </w:p>
        </w:tc>
        <w:tc>
          <w:tcPr>
            <w:tcW w:w="2093" w:type="dxa"/>
          </w:tcPr>
          <w:p w14:paraId="18F53C0B">
            <w:pPr>
              <w:rPr>
                <w:rFonts w:hAnsi="宋体" w:cs="等线"/>
                <w:color w:val="auto"/>
                <w:sz w:val="24"/>
                <w:highlight w:val="none"/>
              </w:rPr>
            </w:pPr>
          </w:p>
        </w:tc>
      </w:tr>
      <w:tr w14:paraId="18043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314" w:type="dxa"/>
          </w:tcPr>
          <w:p w14:paraId="03DA7709">
            <w:pPr>
              <w:pStyle w:val="79"/>
              <w:spacing w:before="107"/>
              <w:ind w:left="118" w:right="116"/>
              <w:jc w:val="center"/>
              <w:rPr>
                <w:rFonts w:cs="等线"/>
                <w:color w:val="auto"/>
                <w:sz w:val="24"/>
                <w:szCs w:val="24"/>
                <w:highlight w:val="none"/>
                <w:lang w:eastAsia="zh-CN"/>
              </w:rPr>
            </w:pPr>
            <w:r>
              <w:rPr>
                <w:rFonts w:hint="eastAsia" w:cs="等线"/>
                <w:color w:val="auto"/>
                <w:sz w:val="24"/>
                <w:szCs w:val="24"/>
                <w:highlight w:val="none"/>
                <w:lang w:eastAsia="zh-CN"/>
              </w:rPr>
              <w:t>法定代表人</w:t>
            </w:r>
          </w:p>
          <w:p w14:paraId="16D62E8C">
            <w:pPr>
              <w:pStyle w:val="79"/>
              <w:jc w:val="center"/>
              <w:rPr>
                <w:rFonts w:cs="等线"/>
                <w:color w:val="auto"/>
                <w:sz w:val="24"/>
                <w:szCs w:val="24"/>
                <w:highlight w:val="none"/>
                <w:lang w:eastAsia="zh-CN"/>
              </w:rPr>
            </w:pPr>
            <w:r>
              <w:rPr>
                <w:rFonts w:hint="eastAsia" w:cs="等线"/>
                <w:color w:val="auto"/>
                <w:sz w:val="24"/>
                <w:szCs w:val="24"/>
                <w:highlight w:val="none"/>
                <w:lang w:eastAsia="zh-CN"/>
              </w:rPr>
              <w:t>（单位负责人）</w:t>
            </w:r>
          </w:p>
        </w:tc>
        <w:tc>
          <w:tcPr>
            <w:tcW w:w="1004" w:type="dxa"/>
          </w:tcPr>
          <w:p w14:paraId="79665C68">
            <w:pPr>
              <w:pStyle w:val="79"/>
              <w:spacing w:before="1"/>
              <w:rPr>
                <w:rFonts w:cs="等线"/>
                <w:color w:val="auto"/>
                <w:sz w:val="24"/>
                <w:szCs w:val="24"/>
                <w:highlight w:val="none"/>
                <w:lang w:eastAsia="zh-CN"/>
              </w:rPr>
            </w:pPr>
          </w:p>
          <w:p w14:paraId="45260A84">
            <w:pPr>
              <w:pStyle w:val="79"/>
              <w:ind w:left="131" w:right="132"/>
              <w:jc w:val="center"/>
              <w:rPr>
                <w:rFonts w:cs="等线"/>
                <w:color w:val="auto"/>
                <w:sz w:val="24"/>
                <w:szCs w:val="24"/>
                <w:highlight w:val="none"/>
              </w:rPr>
            </w:pPr>
            <w:r>
              <w:rPr>
                <w:rFonts w:hint="eastAsia" w:cs="等线"/>
                <w:color w:val="auto"/>
                <w:sz w:val="24"/>
                <w:szCs w:val="24"/>
                <w:highlight w:val="none"/>
              </w:rPr>
              <w:t>姓名</w:t>
            </w:r>
          </w:p>
        </w:tc>
        <w:tc>
          <w:tcPr>
            <w:tcW w:w="2568" w:type="dxa"/>
          </w:tcPr>
          <w:p w14:paraId="156F37C1">
            <w:pPr>
              <w:rPr>
                <w:rFonts w:hAnsi="宋体" w:cs="等线"/>
                <w:color w:val="auto"/>
                <w:sz w:val="24"/>
                <w:highlight w:val="none"/>
              </w:rPr>
            </w:pPr>
          </w:p>
        </w:tc>
        <w:tc>
          <w:tcPr>
            <w:tcW w:w="1533" w:type="dxa"/>
          </w:tcPr>
          <w:p w14:paraId="5F34DDFC">
            <w:pPr>
              <w:pStyle w:val="79"/>
              <w:spacing w:before="1"/>
              <w:rPr>
                <w:rFonts w:cs="等线"/>
                <w:color w:val="auto"/>
                <w:sz w:val="24"/>
                <w:szCs w:val="24"/>
                <w:highlight w:val="none"/>
              </w:rPr>
            </w:pPr>
          </w:p>
          <w:p w14:paraId="68250F76">
            <w:pPr>
              <w:pStyle w:val="79"/>
              <w:ind w:left="122" w:right="120"/>
              <w:jc w:val="center"/>
              <w:rPr>
                <w:rFonts w:cs="等线"/>
                <w:color w:val="auto"/>
                <w:sz w:val="24"/>
                <w:szCs w:val="24"/>
                <w:highlight w:val="none"/>
              </w:rPr>
            </w:pPr>
            <w:r>
              <w:rPr>
                <w:rFonts w:hint="eastAsia" w:cs="等线"/>
                <w:color w:val="auto"/>
                <w:sz w:val="24"/>
                <w:szCs w:val="24"/>
                <w:highlight w:val="none"/>
              </w:rPr>
              <w:t>电话</w:t>
            </w:r>
          </w:p>
        </w:tc>
        <w:tc>
          <w:tcPr>
            <w:tcW w:w="2093" w:type="dxa"/>
          </w:tcPr>
          <w:p w14:paraId="4B93560E">
            <w:pPr>
              <w:rPr>
                <w:rFonts w:hAnsi="宋体" w:cs="等线"/>
                <w:color w:val="auto"/>
                <w:sz w:val="24"/>
                <w:highlight w:val="none"/>
              </w:rPr>
            </w:pPr>
          </w:p>
        </w:tc>
      </w:tr>
      <w:tr w14:paraId="5F3EF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Pr>
        <w:tc>
          <w:tcPr>
            <w:tcW w:w="2314" w:type="dxa"/>
          </w:tcPr>
          <w:p w14:paraId="00C638D0">
            <w:pPr>
              <w:pStyle w:val="79"/>
              <w:spacing w:before="1"/>
              <w:ind w:left="118" w:right="114"/>
              <w:jc w:val="center"/>
              <w:rPr>
                <w:rFonts w:cs="等线"/>
                <w:color w:val="auto"/>
                <w:sz w:val="24"/>
                <w:szCs w:val="24"/>
                <w:highlight w:val="none"/>
                <w:lang w:eastAsia="zh-CN"/>
              </w:rPr>
            </w:pPr>
            <w:r>
              <w:rPr>
                <w:rFonts w:hint="eastAsia" w:cs="等线"/>
                <w:color w:val="auto"/>
                <w:sz w:val="24"/>
                <w:szCs w:val="24"/>
                <w:highlight w:val="none"/>
                <w:lang w:eastAsia="zh-CN"/>
              </w:rPr>
              <w:t>供应商须知要求供应商需具有的各类资质证书</w:t>
            </w:r>
            <w:r>
              <w:rPr>
                <w:rFonts w:hint="eastAsia"/>
                <w:color w:val="auto"/>
                <w:sz w:val="24"/>
                <w:highlight w:val="none"/>
                <w:lang w:eastAsia="zh-CN"/>
              </w:rPr>
              <w:t>(若有)</w:t>
            </w:r>
          </w:p>
        </w:tc>
        <w:tc>
          <w:tcPr>
            <w:tcW w:w="7198" w:type="dxa"/>
            <w:gridSpan w:val="4"/>
          </w:tcPr>
          <w:p w14:paraId="4359B4D3">
            <w:pPr>
              <w:pStyle w:val="79"/>
              <w:rPr>
                <w:rFonts w:cs="等线"/>
                <w:color w:val="auto"/>
                <w:sz w:val="24"/>
                <w:szCs w:val="24"/>
                <w:highlight w:val="none"/>
                <w:lang w:eastAsia="zh-CN"/>
              </w:rPr>
            </w:pPr>
          </w:p>
          <w:p w14:paraId="05BE7E92">
            <w:pPr>
              <w:pStyle w:val="79"/>
              <w:spacing w:before="12"/>
              <w:rPr>
                <w:rFonts w:cs="等线"/>
                <w:color w:val="auto"/>
                <w:sz w:val="24"/>
                <w:szCs w:val="24"/>
                <w:highlight w:val="none"/>
                <w:lang w:eastAsia="zh-CN"/>
              </w:rPr>
            </w:pPr>
          </w:p>
          <w:p w14:paraId="3DBAAAC3">
            <w:pPr>
              <w:pStyle w:val="79"/>
              <w:tabs>
                <w:tab w:val="left" w:pos="2309"/>
                <w:tab w:val="left" w:pos="4409"/>
              </w:tabs>
              <w:ind w:left="206"/>
              <w:rPr>
                <w:rFonts w:cs="等线"/>
                <w:color w:val="auto"/>
                <w:sz w:val="24"/>
                <w:szCs w:val="24"/>
                <w:highlight w:val="none"/>
                <w:lang w:eastAsia="zh-CN"/>
              </w:rPr>
            </w:pPr>
            <w:r>
              <w:rPr>
                <w:rFonts w:hint="eastAsia" w:cs="等线"/>
                <w:color w:val="auto"/>
                <w:sz w:val="24"/>
                <w:szCs w:val="24"/>
                <w:highlight w:val="none"/>
                <w:lang w:eastAsia="zh-CN"/>
              </w:rPr>
              <w:t>类型：</w:t>
            </w:r>
            <w:r>
              <w:rPr>
                <w:rFonts w:hint="eastAsia" w:cs="等线"/>
                <w:color w:val="auto"/>
                <w:sz w:val="24"/>
                <w:szCs w:val="24"/>
                <w:highlight w:val="none"/>
                <w:lang w:eastAsia="zh-CN"/>
              </w:rPr>
              <w:tab/>
            </w:r>
            <w:r>
              <w:rPr>
                <w:rFonts w:hint="eastAsia" w:cs="等线"/>
                <w:color w:val="auto"/>
                <w:sz w:val="24"/>
                <w:szCs w:val="24"/>
                <w:highlight w:val="none"/>
                <w:lang w:eastAsia="zh-CN"/>
              </w:rPr>
              <w:t>等级：</w:t>
            </w:r>
            <w:r>
              <w:rPr>
                <w:rFonts w:hint="eastAsia" w:cs="等线"/>
                <w:color w:val="auto"/>
                <w:sz w:val="24"/>
                <w:szCs w:val="24"/>
                <w:highlight w:val="none"/>
                <w:lang w:eastAsia="zh-CN"/>
              </w:rPr>
              <w:tab/>
            </w:r>
            <w:r>
              <w:rPr>
                <w:rFonts w:hint="eastAsia" w:cs="等线"/>
                <w:color w:val="auto"/>
                <w:sz w:val="24"/>
                <w:szCs w:val="24"/>
                <w:highlight w:val="none"/>
                <w:lang w:eastAsia="zh-CN"/>
              </w:rPr>
              <w:t>证书号：</w:t>
            </w:r>
          </w:p>
        </w:tc>
      </w:tr>
      <w:tr w14:paraId="38543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314" w:type="dxa"/>
          </w:tcPr>
          <w:p w14:paraId="41F71B50">
            <w:pPr>
              <w:pStyle w:val="79"/>
              <w:spacing w:before="107"/>
              <w:ind w:left="118" w:right="116"/>
              <w:jc w:val="center"/>
              <w:rPr>
                <w:rFonts w:cs="等线"/>
                <w:color w:val="auto"/>
                <w:sz w:val="24"/>
                <w:szCs w:val="24"/>
                <w:highlight w:val="none"/>
              </w:rPr>
            </w:pPr>
            <w:r>
              <w:rPr>
                <w:rFonts w:hint="eastAsia" w:cs="等线"/>
                <w:color w:val="auto"/>
                <w:sz w:val="24"/>
                <w:szCs w:val="24"/>
                <w:highlight w:val="none"/>
              </w:rPr>
              <w:t>基本账户开户银行</w:t>
            </w:r>
          </w:p>
        </w:tc>
        <w:tc>
          <w:tcPr>
            <w:tcW w:w="7198" w:type="dxa"/>
            <w:gridSpan w:val="4"/>
          </w:tcPr>
          <w:p w14:paraId="63EF7B18">
            <w:pPr>
              <w:rPr>
                <w:rFonts w:hAnsi="宋体" w:cs="等线"/>
                <w:color w:val="auto"/>
                <w:sz w:val="24"/>
                <w:highlight w:val="none"/>
              </w:rPr>
            </w:pPr>
          </w:p>
        </w:tc>
      </w:tr>
      <w:tr w14:paraId="0EA3D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314" w:type="dxa"/>
          </w:tcPr>
          <w:p w14:paraId="04F8B056">
            <w:pPr>
              <w:pStyle w:val="79"/>
              <w:spacing w:before="107"/>
              <w:ind w:left="118" w:right="116"/>
              <w:jc w:val="center"/>
              <w:rPr>
                <w:rFonts w:cs="等线"/>
                <w:color w:val="auto"/>
                <w:sz w:val="24"/>
                <w:szCs w:val="24"/>
                <w:highlight w:val="none"/>
              </w:rPr>
            </w:pPr>
            <w:r>
              <w:rPr>
                <w:rFonts w:hint="eastAsia" w:cs="等线"/>
                <w:color w:val="auto"/>
                <w:sz w:val="24"/>
                <w:szCs w:val="24"/>
                <w:highlight w:val="none"/>
              </w:rPr>
              <w:t>基本账户银行账号</w:t>
            </w:r>
          </w:p>
        </w:tc>
        <w:tc>
          <w:tcPr>
            <w:tcW w:w="7198" w:type="dxa"/>
            <w:gridSpan w:val="4"/>
          </w:tcPr>
          <w:p w14:paraId="6EB6785A">
            <w:pPr>
              <w:rPr>
                <w:rFonts w:hAnsi="宋体" w:cs="等线"/>
                <w:color w:val="auto"/>
                <w:sz w:val="24"/>
                <w:highlight w:val="none"/>
              </w:rPr>
            </w:pPr>
          </w:p>
        </w:tc>
      </w:tr>
      <w:tr w14:paraId="46175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314" w:type="dxa"/>
          </w:tcPr>
          <w:p w14:paraId="53E9B995">
            <w:pPr>
              <w:pStyle w:val="79"/>
              <w:spacing w:before="107"/>
              <w:ind w:left="116" w:right="116"/>
              <w:jc w:val="center"/>
              <w:rPr>
                <w:rFonts w:cs="等线"/>
                <w:color w:val="auto"/>
                <w:sz w:val="24"/>
                <w:szCs w:val="24"/>
                <w:highlight w:val="none"/>
              </w:rPr>
            </w:pPr>
            <w:r>
              <w:rPr>
                <w:rFonts w:hint="eastAsia" w:cs="等线"/>
                <w:color w:val="auto"/>
                <w:sz w:val="24"/>
                <w:szCs w:val="24"/>
                <w:highlight w:val="none"/>
              </w:rPr>
              <w:t>近三年营业额</w:t>
            </w:r>
          </w:p>
        </w:tc>
        <w:tc>
          <w:tcPr>
            <w:tcW w:w="7198" w:type="dxa"/>
            <w:gridSpan w:val="4"/>
          </w:tcPr>
          <w:p w14:paraId="00C9C9E1">
            <w:pPr>
              <w:rPr>
                <w:rFonts w:hAnsi="宋体" w:cs="等线"/>
                <w:color w:val="auto"/>
                <w:sz w:val="24"/>
                <w:highlight w:val="none"/>
              </w:rPr>
            </w:pPr>
          </w:p>
        </w:tc>
      </w:tr>
      <w:tr w14:paraId="06BD3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314" w:type="dxa"/>
          </w:tcPr>
          <w:p w14:paraId="5742EBA0">
            <w:pPr>
              <w:pStyle w:val="79"/>
              <w:spacing w:before="107"/>
              <w:ind w:left="136"/>
              <w:jc w:val="both"/>
              <w:rPr>
                <w:rFonts w:cs="等线"/>
                <w:color w:val="auto"/>
                <w:sz w:val="24"/>
                <w:szCs w:val="24"/>
                <w:highlight w:val="none"/>
                <w:lang w:eastAsia="zh-CN"/>
              </w:rPr>
            </w:pPr>
            <w:r>
              <w:rPr>
                <w:rFonts w:hint="eastAsia" w:cs="等线"/>
                <w:color w:val="auto"/>
                <w:sz w:val="24"/>
                <w:szCs w:val="24"/>
                <w:highlight w:val="none"/>
                <w:lang w:eastAsia="zh-CN"/>
              </w:rPr>
              <w:t>供应商关联企业情况</w:t>
            </w:r>
          </w:p>
          <w:p w14:paraId="6BB927F2">
            <w:pPr>
              <w:pStyle w:val="79"/>
              <w:jc w:val="both"/>
              <w:rPr>
                <w:rFonts w:cs="等线"/>
                <w:color w:val="auto"/>
                <w:sz w:val="24"/>
                <w:szCs w:val="24"/>
                <w:highlight w:val="none"/>
                <w:lang w:eastAsia="zh-CN"/>
              </w:rPr>
            </w:pPr>
            <w:r>
              <w:rPr>
                <w:rFonts w:hint="eastAsia" w:cs="等线"/>
                <w:color w:val="auto"/>
                <w:sz w:val="24"/>
                <w:szCs w:val="24"/>
                <w:highlight w:val="none"/>
                <w:lang w:eastAsia="zh-CN"/>
              </w:rPr>
              <w:t>（包括但不限于与供应商法定代表人（单 位负责人）为同一人 或者存在控股、管理</w:t>
            </w:r>
          </w:p>
          <w:p w14:paraId="3EA77D45">
            <w:pPr>
              <w:pStyle w:val="79"/>
              <w:spacing w:before="40"/>
              <w:ind w:left="118" w:right="116"/>
              <w:jc w:val="center"/>
              <w:rPr>
                <w:rFonts w:cs="等线"/>
                <w:color w:val="auto"/>
                <w:sz w:val="24"/>
                <w:szCs w:val="24"/>
                <w:highlight w:val="none"/>
              </w:rPr>
            </w:pPr>
            <w:r>
              <w:rPr>
                <w:rFonts w:hint="eastAsia" w:cs="等线"/>
                <w:color w:val="auto"/>
                <w:sz w:val="24"/>
                <w:szCs w:val="24"/>
                <w:highlight w:val="none"/>
              </w:rPr>
              <w:t>关系的不同单位）</w:t>
            </w:r>
          </w:p>
        </w:tc>
        <w:tc>
          <w:tcPr>
            <w:tcW w:w="7198" w:type="dxa"/>
            <w:gridSpan w:val="4"/>
          </w:tcPr>
          <w:p w14:paraId="4014EB3B">
            <w:pPr>
              <w:rPr>
                <w:rFonts w:hAnsi="宋体" w:cs="等线"/>
                <w:color w:val="auto"/>
                <w:sz w:val="24"/>
                <w:highlight w:val="none"/>
              </w:rPr>
            </w:pPr>
          </w:p>
        </w:tc>
      </w:tr>
      <w:tr w14:paraId="4702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314" w:type="dxa"/>
          </w:tcPr>
          <w:p w14:paraId="5C26AE3C">
            <w:pPr>
              <w:pStyle w:val="79"/>
              <w:spacing w:before="107"/>
              <w:ind w:left="116" w:right="116"/>
              <w:jc w:val="center"/>
              <w:rPr>
                <w:rFonts w:cs="等线"/>
                <w:color w:val="auto"/>
                <w:sz w:val="24"/>
                <w:szCs w:val="24"/>
                <w:highlight w:val="none"/>
              </w:rPr>
            </w:pPr>
            <w:r>
              <w:rPr>
                <w:rFonts w:hint="eastAsia" w:cs="等线"/>
                <w:color w:val="auto"/>
                <w:sz w:val="24"/>
                <w:szCs w:val="24"/>
                <w:highlight w:val="none"/>
              </w:rPr>
              <w:t>备注</w:t>
            </w:r>
          </w:p>
        </w:tc>
        <w:tc>
          <w:tcPr>
            <w:tcW w:w="7198" w:type="dxa"/>
            <w:gridSpan w:val="4"/>
          </w:tcPr>
          <w:p w14:paraId="23893443">
            <w:pPr>
              <w:rPr>
                <w:rFonts w:hAnsi="宋体" w:cs="等线"/>
                <w:color w:val="auto"/>
                <w:sz w:val="24"/>
                <w:highlight w:val="none"/>
              </w:rPr>
            </w:pPr>
          </w:p>
        </w:tc>
      </w:tr>
    </w:tbl>
    <w:p w14:paraId="412D5C15">
      <w:pPr>
        <w:spacing w:line="240" w:lineRule="exact"/>
        <w:rPr>
          <w:rFonts w:hAnsi="宋体"/>
          <w:color w:val="auto"/>
          <w:sz w:val="24"/>
          <w:highlight w:val="none"/>
        </w:rPr>
      </w:pPr>
    </w:p>
    <w:p w14:paraId="7955A4E2">
      <w:pPr>
        <w:spacing w:line="360" w:lineRule="auto"/>
        <w:rPr>
          <w:rFonts w:hAnsi="宋体"/>
          <w:color w:val="auto"/>
          <w:sz w:val="24"/>
          <w:highlight w:val="none"/>
        </w:rPr>
      </w:pPr>
      <w:r>
        <w:rPr>
          <w:rFonts w:hint="eastAsia" w:hAnsi="宋体"/>
          <w:color w:val="auto"/>
          <w:sz w:val="24"/>
          <w:highlight w:val="none"/>
        </w:rPr>
        <w:t>注：供应商应根据单一来源采购文件要求在本表后附相关证明材料，如营业执照、资质证书(若有)、开户许可证或基本存款账户信息等。</w:t>
      </w:r>
    </w:p>
    <w:p w14:paraId="3D0477EE">
      <w:pPr>
        <w:spacing w:line="360" w:lineRule="auto"/>
        <w:rPr>
          <w:rFonts w:hAnsi="宋体"/>
          <w:color w:val="auto"/>
          <w:sz w:val="24"/>
          <w:highlight w:val="none"/>
        </w:rPr>
      </w:pPr>
    </w:p>
    <w:p w14:paraId="3A850832">
      <w:pPr>
        <w:pStyle w:val="4"/>
        <w:spacing w:before="158" w:beforeLines="50" w:after="158" w:afterLines="50"/>
        <w:rPr>
          <w:rFonts w:ascii="宋体" w:hAnsi="宋体"/>
          <w:color w:val="auto"/>
          <w:szCs w:val="30"/>
          <w:highlight w:val="none"/>
        </w:rPr>
      </w:pPr>
      <w:r>
        <w:rPr>
          <w:rFonts w:hint="eastAsia" w:hAnsi="宋体"/>
          <w:color w:val="auto"/>
          <w:highlight w:val="none"/>
        </w:rPr>
        <w:br w:type="page"/>
      </w:r>
      <w:bookmarkStart w:id="268" w:name="_Toc23543"/>
      <w:bookmarkEnd w:id="268"/>
      <w:bookmarkStart w:id="269" w:name="_Toc25271"/>
      <w:bookmarkEnd w:id="269"/>
      <w:bookmarkStart w:id="270" w:name="_Toc13306"/>
      <w:bookmarkStart w:id="271" w:name="_Toc25087"/>
      <w:bookmarkStart w:id="272" w:name="_Toc4685111"/>
      <w:bookmarkStart w:id="273" w:name="_Toc952"/>
      <w:r>
        <w:rPr>
          <w:rFonts w:hint="eastAsia" w:ascii="宋体" w:hAnsi="宋体"/>
          <w:color w:val="auto"/>
          <w:szCs w:val="30"/>
          <w:highlight w:val="none"/>
        </w:rPr>
        <w:t>五、</w:t>
      </w:r>
      <w:bookmarkEnd w:id="270"/>
      <w:bookmarkEnd w:id="271"/>
      <w:bookmarkEnd w:id="272"/>
      <w:r>
        <w:rPr>
          <w:rFonts w:hint="eastAsia" w:ascii="宋体" w:hAnsi="宋体"/>
          <w:color w:val="auto"/>
          <w:szCs w:val="30"/>
          <w:highlight w:val="none"/>
        </w:rPr>
        <w:t>商务偏差表</w:t>
      </w:r>
      <w:bookmarkEnd w:id="273"/>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130"/>
        <w:gridCol w:w="2435"/>
        <w:gridCol w:w="2543"/>
        <w:gridCol w:w="867"/>
        <w:gridCol w:w="867"/>
      </w:tblGrid>
      <w:tr w14:paraId="54B0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340DCF53">
            <w:pPr>
              <w:spacing w:line="360" w:lineRule="exact"/>
              <w:jc w:val="center"/>
              <w:rPr>
                <w:rFonts w:hAnsi="宋体" w:cs="宋体"/>
                <w:b/>
                <w:bCs/>
                <w:color w:val="auto"/>
                <w:sz w:val="24"/>
                <w:highlight w:val="none"/>
              </w:rPr>
            </w:pPr>
            <w:r>
              <w:rPr>
                <w:rFonts w:hint="eastAsia" w:hAnsi="宋体" w:cs="宋体"/>
                <w:b/>
                <w:bCs/>
                <w:color w:val="auto"/>
                <w:sz w:val="24"/>
                <w:highlight w:val="none"/>
              </w:rPr>
              <w:t>序 号</w:t>
            </w:r>
          </w:p>
        </w:tc>
        <w:tc>
          <w:tcPr>
            <w:tcW w:w="2130" w:type="dxa"/>
            <w:tcBorders>
              <w:top w:val="single" w:color="auto" w:sz="4" w:space="0"/>
              <w:left w:val="nil"/>
              <w:bottom w:val="single" w:color="auto" w:sz="4" w:space="0"/>
              <w:right w:val="single" w:color="auto" w:sz="4" w:space="0"/>
            </w:tcBorders>
            <w:vAlign w:val="center"/>
          </w:tcPr>
          <w:p w14:paraId="66D28C4B">
            <w:pPr>
              <w:spacing w:line="360" w:lineRule="exact"/>
              <w:jc w:val="center"/>
              <w:rPr>
                <w:rFonts w:hAnsi="宋体" w:cs="宋体"/>
                <w:b/>
                <w:bCs/>
                <w:color w:val="auto"/>
                <w:sz w:val="24"/>
                <w:highlight w:val="none"/>
              </w:rPr>
            </w:pPr>
            <w:r>
              <w:rPr>
                <w:rFonts w:hint="eastAsia" w:hAnsi="宋体" w:cs="宋体"/>
                <w:b/>
                <w:bCs/>
                <w:color w:val="auto"/>
                <w:sz w:val="24"/>
                <w:highlight w:val="none"/>
              </w:rPr>
              <w:t>单一来源采购文件条款号</w:t>
            </w:r>
          </w:p>
        </w:tc>
        <w:tc>
          <w:tcPr>
            <w:tcW w:w="2435" w:type="dxa"/>
            <w:tcBorders>
              <w:top w:val="single" w:color="auto" w:sz="4" w:space="0"/>
              <w:left w:val="nil"/>
              <w:bottom w:val="single" w:color="auto" w:sz="4" w:space="0"/>
              <w:right w:val="single" w:color="auto" w:sz="4" w:space="0"/>
            </w:tcBorders>
            <w:vAlign w:val="center"/>
          </w:tcPr>
          <w:p w14:paraId="02B7F6EE">
            <w:pPr>
              <w:spacing w:line="360" w:lineRule="exact"/>
              <w:jc w:val="center"/>
              <w:rPr>
                <w:rFonts w:hAnsi="宋体" w:cs="宋体"/>
                <w:b/>
                <w:bCs/>
                <w:color w:val="auto"/>
                <w:sz w:val="24"/>
                <w:highlight w:val="none"/>
              </w:rPr>
            </w:pPr>
            <w:r>
              <w:rPr>
                <w:rFonts w:hint="eastAsia" w:hAnsi="宋体" w:cs="宋体"/>
                <w:b/>
                <w:bCs/>
                <w:color w:val="auto"/>
                <w:sz w:val="24"/>
                <w:highlight w:val="none"/>
              </w:rPr>
              <w:t>单一来源采购文件的商务条款内容</w:t>
            </w:r>
          </w:p>
        </w:tc>
        <w:tc>
          <w:tcPr>
            <w:tcW w:w="2543" w:type="dxa"/>
            <w:tcBorders>
              <w:top w:val="single" w:color="auto" w:sz="4" w:space="0"/>
              <w:left w:val="nil"/>
              <w:bottom w:val="single" w:color="auto" w:sz="4" w:space="0"/>
              <w:right w:val="single" w:color="auto" w:sz="4" w:space="0"/>
            </w:tcBorders>
            <w:vAlign w:val="center"/>
          </w:tcPr>
          <w:p w14:paraId="0A07B6CF">
            <w:pPr>
              <w:spacing w:line="360" w:lineRule="exact"/>
              <w:jc w:val="center"/>
              <w:rPr>
                <w:rFonts w:hAnsi="宋体" w:cs="宋体"/>
                <w:b/>
                <w:bCs/>
                <w:color w:val="auto"/>
                <w:sz w:val="24"/>
                <w:highlight w:val="none"/>
              </w:rPr>
            </w:pPr>
            <w:r>
              <w:rPr>
                <w:rFonts w:hint="eastAsia" w:hAnsi="宋体" w:cs="宋体"/>
                <w:b/>
                <w:bCs/>
                <w:color w:val="auto"/>
                <w:sz w:val="24"/>
                <w:highlight w:val="none"/>
              </w:rPr>
              <w:t>响应文件的商务条款响应情况</w:t>
            </w:r>
          </w:p>
        </w:tc>
        <w:tc>
          <w:tcPr>
            <w:tcW w:w="867" w:type="dxa"/>
            <w:tcBorders>
              <w:top w:val="single" w:color="auto" w:sz="4" w:space="0"/>
              <w:left w:val="nil"/>
              <w:bottom w:val="single" w:color="auto" w:sz="4" w:space="0"/>
              <w:right w:val="single" w:color="auto" w:sz="4" w:space="0"/>
            </w:tcBorders>
            <w:vAlign w:val="center"/>
          </w:tcPr>
          <w:p w14:paraId="4FFBA662">
            <w:pPr>
              <w:spacing w:line="360" w:lineRule="exact"/>
              <w:jc w:val="center"/>
              <w:rPr>
                <w:rFonts w:hAnsi="宋体" w:cs="宋体"/>
                <w:b/>
                <w:bCs/>
                <w:color w:val="auto"/>
                <w:sz w:val="24"/>
                <w:highlight w:val="none"/>
              </w:rPr>
            </w:pPr>
            <w:r>
              <w:rPr>
                <w:rFonts w:hint="eastAsia" w:hAnsi="宋体" w:cs="宋体"/>
                <w:b/>
                <w:bCs/>
                <w:color w:val="auto"/>
                <w:sz w:val="24"/>
                <w:highlight w:val="none"/>
              </w:rPr>
              <w:t>偏离情况</w:t>
            </w:r>
          </w:p>
        </w:tc>
        <w:tc>
          <w:tcPr>
            <w:tcW w:w="867" w:type="dxa"/>
            <w:tcBorders>
              <w:top w:val="single" w:color="auto" w:sz="4" w:space="0"/>
              <w:left w:val="nil"/>
              <w:bottom w:val="single" w:color="auto" w:sz="4" w:space="0"/>
              <w:right w:val="single" w:color="auto" w:sz="4" w:space="0"/>
            </w:tcBorders>
            <w:vAlign w:val="center"/>
          </w:tcPr>
          <w:p w14:paraId="574B5ABC">
            <w:pPr>
              <w:spacing w:line="360" w:lineRule="exact"/>
              <w:jc w:val="center"/>
              <w:rPr>
                <w:rFonts w:hAnsi="宋体" w:cs="宋体"/>
                <w:b/>
                <w:bCs/>
                <w:color w:val="auto"/>
                <w:sz w:val="24"/>
                <w:highlight w:val="none"/>
              </w:rPr>
            </w:pPr>
            <w:r>
              <w:rPr>
                <w:rFonts w:hint="eastAsia" w:hAnsi="宋体" w:cs="宋体"/>
                <w:b/>
                <w:bCs/>
                <w:color w:val="auto"/>
                <w:sz w:val="24"/>
                <w:highlight w:val="none"/>
              </w:rPr>
              <w:t>说明</w:t>
            </w:r>
          </w:p>
        </w:tc>
      </w:tr>
      <w:tr w14:paraId="368B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071D03AF">
            <w:pPr>
              <w:spacing w:line="360" w:lineRule="exact"/>
              <w:jc w:val="center"/>
              <w:rPr>
                <w:rFonts w:hAnsi="宋体" w:cs="宋体"/>
                <w:color w:val="auto"/>
                <w:sz w:val="24"/>
                <w:highlight w:val="none"/>
              </w:rPr>
            </w:pPr>
            <w:r>
              <w:rPr>
                <w:rFonts w:hint="eastAsia" w:hAnsi="宋体" w:cs="宋体"/>
                <w:color w:val="auto"/>
                <w:sz w:val="24"/>
                <w:highlight w:val="none"/>
              </w:rPr>
              <w:t>1</w:t>
            </w:r>
          </w:p>
        </w:tc>
        <w:tc>
          <w:tcPr>
            <w:tcW w:w="2130" w:type="dxa"/>
            <w:tcBorders>
              <w:top w:val="single" w:color="auto" w:sz="4" w:space="0"/>
              <w:left w:val="nil"/>
              <w:bottom w:val="single" w:color="auto" w:sz="4" w:space="0"/>
              <w:right w:val="single" w:color="auto" w:sz="4" w:space="0"/>
            </w:tcBorders>
            <w:vAlign w:val="center"/>
          </w:tcPr>
          <w:p w14:paraId="354FA908">
            <w:pPr>
              <w:spacing w:line="360" w:lineRule="auto"/>
              <w:jc w:val="center"/>
              <w:rPr>
                <w:rFonts w:hAnsi="宋体" w:cs="宋体"/>
                <w:color w:val="auto"/>
                <w:sz w:val="24"/>
                <w:highlight w:val="none"/>
              </w:rPr>
            </w:pPr>
            <w:r>
              <w:rPr>
                <w:rFonts w:hint="eastAsia" w:hAnsi="宋体" w:cs="宋体"/>
                <w:color w:val="auto"/>
                <w:sz w:val="24"/>
                <w:highlight w:val="none"/>
              </w:rPr>
              <w:t>“供应商须知前附表”第1.3.2款</w:t>
            </w:r>
          </w:p>
        </w:tc>
        <w:tc>
          <w:tcPr>
            <w:tcW w:w="2435" w:type="dxa"/>
            <w:tcBorders>
              <w:top w:val="single" w:color="auto" w:sz="4" w:space="0"/>
              <w:left w:val="nil"/>
              <w:bottom w:val="single" w:color="auto" w:sz="4" w:space="0"/>
              <w:right w:val="single" w:color="auto" w:sz="4" w:space="0"/>
            </w:tcBorders>
            <w:vAlign w:val="center"/>
          </w:tcPr>
          <w:p w14:paraId="21DDC848">
            <w:pPr>
              <w:spacing w:line="360" w:lineRule="auto"/>
              <w:jc w:val="center"/>
              <w:rPr>
                <w:rFonts w:hint="eastAsia" w:hAnsi="宋体" w:eastAsia="宋体" w:cs="宋体"/>
                <w:color w:val="auto"/>
                <w:sz w:val="24"/>
                <w:highlight w:val="none"/>
                <w:lang w:eastAsia="zh-CN"/>
              </w:rPr>
            </w:pPr>
            <w:r>
              <w:rPr>
                <w:rFonts w:hint="eastAsia" w:hAnsi="宋体" w:cs="宋体"/>
                <w:color w:val="auto"/>
                <w:sz w:val="24"/>
                <w:highlight w:val="none"/>
              </w:rPr>
              <w:t>服务期限：</w:t>
            </w:r>
            <w:r>
              <w:rPr>
                <w:rFonts w:hint="eastAsia" w:hAnsi="宋体" w:cs="宋体"/>
                <w:color w:val="auto"/>
                <w:kern w:val="2"/>
                <w:sz w:val="24"/>
                <w:highlight w:val="none"/>
                <w:lang w:eastAsia="zh-CN"/>
              </w:rPr>
              <w:t>一年。</w:t>
            </w:r>
          </w:p>
        </w:tc>
        <w:tc>
          <w:tcPr>
            <w:tcW w:w="2543" w:type="dxa"/>
            <w:tcBorders>
              <w:top w:val="single" w:color="auto" w:sz="4" w:space="0"/>
              <w:left w:val="nil"/>
              <w:bottom w:val="single" w:color="auto" w:sz="4" w:space="0"/>
              <w:right w:val="single" w:color="auto" w:sz="4" w:space="0"/>
            </w:tcBorders>
            <w:vAlign w:val="center"/>
          </w:tcPr>
          <w:p w14:paraId="0406AEE9">
            <w:pPr>
              <w:spacing w:line="360" w:lineRule="exact"/>
              <w:jc w:val="center"/>
              <w:rPr>
                <w:rFonts w:hAnsi="宋体" w:cs="宋体"/>
                <w:color w:val="auto"/>
                <w:sz w:val="24"/>
                <w:highlight w:val="none"/>
              </w:rPr>
            </w:pPr>
          </w:p>
        </w:tc>
        <w:tc>
          <w:tcPr>
            <w:tcW w:w="867" w:type="dxa"/>
            <w:tcBorders>
              <w:top w:val="single" w:color="auto" w:sz="4" w:space="0"/>
              <w:left w:val="nil"/>
              <w:bottom w:val="single" w:color="auto" w:sz="4" w:space="0"/>
              <w:right w:val="single" w:color="auto" w:sz="4" w:space="0"/>
            </w:tcBorders>
            <w:vAlign w:val="center"/>
          </w:tcPr>
          <w:p w14:paraId="710F0937">
            <w:pPr>
              <w:spacing w:line="360" w:lineRule="exact"/>
              <w:jc w:val="center"/>
              <w:rPr>
                <w:rFonts w:hAnsi="宋体" w:cs="宋体"/>
                <w:color w:val="auto"/>
                <w:sz w:val="24"/>
                <w:highlight w:val="none"/>
              </w:rPr>
            </w:pPr>
          </w:p>
        </w:tc>
        <w:tc>
          <w:tcPr>
            <w:tcW w:w="867" w:type="dxa"/>
            <w:tcBorders>
              <w:top w:val="single" w:color="auto" w:sz="4" w:space="0"/>
              <w:left w:val="nil"/>
              <w:bottom w:val="single" w:color="auto" w:sz="4" w:space="0"/>
              <w:right w:val="single" w:color="auto" w:sz="4" w:space="0"/>
            </w:tcBorders>
            <w:vAlign w:val="center"/>
          </w:tcPr>
          <w:p w14:paraId="72484A7A">
            <w:pPr>
              <w:spacing w:line="360" w:lineRule="exact"/>
              <w:jc w:val="center"/>
              <w:rPr>
                <w:rFonts w:hAnsi="宋体" w:cs="宋体"/>
                <w:color w:val="auto"/>
                <w:sz w:val="24"/>
                <w:highlight w:val="none"/>
              </w:rPr>
            </w:pPr>
          </w:p>
        </w:tc>
      </w:tr>
      <w:tr w14:paraId="726B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29DCCB85">
            <w:pPr>
              <w:spacing w:line="360" w:lineRule="exact"/>
              <w:jc w:val="center"/>
              <w:rPr>
                <w:rFonts w:hAnsi="宋体" w:cs="宋体"/>
                <w:color w:val="auto"/>
                <w:sz w:val="24"/>
                <w:highlight w:val="none"/>
              </w:rPr>
            </w:pPr>
            <w:r>
              <w:rPr>
                <w:rFonts w:hint="eastAsia" w:hAnsi="宋体" w:cs="宋体"/>
                <w:color w:val="auto"/>
                <w:sz w:val="24"/>
                <w:highlight w:val="none"/>
              </w:rPr>
              <w:t>2</w:t>
            </w:r>
          </w:p>
        </w:tc>
        <w:tc>
          <w:tcPr>
            <w:tcW w:w="2130" w:type="dxa"/>
            <w:tcBorders>
              <w:top w:val="single" w:color="auto" w:sz="4" w:space="0"/>
              <w:left w:val="nil"/>
              <w:bottom w:val="single" w:color="auto" w:sz="4" w:space="0"/>
              <w:right w:val="single" w:color="auto" w:sz="4" w:space="0"/>
            </w:tcBorders>
            <w:vAlign w:val="center"/>
          </w:tcPr>
          <w:p w14:paraId="2072F5FB">
            <w:pPr>
              <w:spacing w:line="360" w:lineRule="auto"/>
              <w:jc w:val="center"/>
              <w:rPr>
                <w:rFonts w:hAnsi="宋体" w:cs="宋体"/>
                <w:color w:val="auto"/>
                <w:sz w:val="24"/>
                <w:highlight w:val="none"/>
              </w:rPr>
            </w:pPr>
            <w:r>
              <w:rPr>
                <w:rFonts w:hint="eastAsia" w:hAnsi="宋体" w:cs="宋体"/>
                <w:color w:val="auto"/>
                <w:sz w:val="24"/>
                <w:highlight w:val="none"/>
              </w:rPr>
              <w:t>“供应商须知前附表”第1.3.3款</w:t>
            </w:r>
          </w:p>
        </w:tc>
        <w:tc>
          <w:tcPr>
            <w:tcW w:w="2435" w:type="dxa"/>
            <w:tcBorders>
              <w:top w:val="single" w:color="auto" w:sz="4" w:space="0"/>
              <w:left w:val="nil"/>
              <w:bottom w:val="single" w:color="auto" w:sz="4" w:space="0"/>
              <w:right w:val="single" w:color="auto" w:sz="4" w:space="0"/>
            </w:tcBorders>
            <w:vAlign w:val="center"/>
          </w:tcPr>
          <w:p w14:paraId="2C747E73">
            <w:pPr>
              <w:spacing w:line="360" w:lineRule="auto"/>
              <w:jc w:val="center"/>
              <w:rPr>
                <w:rFonts w:hAnsi="宋体" w:cs="宋体"/>
                <w:color w:val="auto"/>
                <w:sz w:val="24"/>
                <w:highlight w:val="none"/>
              </w:rPr>
            </w:pPr>
            <w:r>
              <w:rPr>
                <w:rFonts w:hint="eastAsia" w:hAnsi="宋体" w:cs="宋体"/>
                <w:color w:val="auto"/>
                <w:sz w:val="24"/>
                <w:highlight w:val="none"/>
              </w:rPr>
              <w:t>服务地点：</w:t>
            </w:r>
            <w:r>
              <w:rPr>
                <w:rFonts w:hint="eastAsia" w:hAnsi="宋体" w:cs="宋体"/>
                <w:color w:val="auto"/>
                <w:sz w:val="24"/>
                <w:highlight w:val="none"/>
                <w:lang w:eastAsia="zh-CN"/>
              </w:rPr>
              <w:t>云南省能源局</w:t>
            </w:r>
            <w:r>
              <w:rPr>
                <w:rFonts w:hint="eastAsia" w:hAnsi="宋体" w:cs="宋体"/>
                <w:color w:val="auto"/>
                <w:sz w:val="24"/>
                <w:highlight w:val="none"/>
              </w:rPr>
              <w:t>指定地点。</w:t>
            </w:r>
          </w:p>
        </w:tc>
        <w:tc>
          <w:tcPr>
            <w:tcW w:w="2543" w:type="dxa"/>
            <w:tcBorders>
              <w:top w:val="single" w:color="auto" w:sz="4" w:space="0"/>
              <w:left w:val="nil"/>
              <w:bottom w:val="single" w:color="auto" w:sz="4" w:space="0"/>
              <w:right w:val="single" w:color="auto" w:sz="4" w:space="0"/>
            </w:tcBorders>
            <w:vAlign w:val="center"/>
          </w:tcPr>
          <w:p w14:paraId="6AEFA15A">
            <w:pPr>
              <w:spacing w:line="360" w:lineRule="exact"/>
              <w:jc w:val="center"/>
              <w:rPr>
                <w:rFonts w:hAnsi="宋体" w:cs="宋体"/>
                <w:color w:val="auto"/>
                <w:sz w:val="24"/>
                <w:highlight w:val="none"/>
              </w:rPr>
            </w:pPr>
          </w:p>
        </w:tc>
        <w:tc>
          <w:tcPr>
            <w:tcW w:w="867" w:type="dxa"/>
            <w:tcBorders>
              <w:top w:val="single" w:color="auto" w:sz="4" w:space="0"/>
              <w:left w:val="nil"/>
              <w:bottom w:val="single" w:color="auto" w:sz="4" w:space="0"/>
              <w:right w:val="single" w:color="auto" w:sz="4" w:space="0"/>
            </w:tcBorders>
            <w:vAlign w:val="center"/>
          </w:tcPr>
          <w:p w14:paraId="1D6DDDFD">
            <w:pPr>
              <w:spacing w:line="360" w:lineRule="exact"/>
              <w:jc w:val="center"/>
              <w:rPr>
                <w:rFonts w:hAnsi="宋体" w:cs="宋体"/>
                <w:color w:val="auto"/>
                <w:sz w:val="24"/>
                <w:highlight w:val="none"/>
              </w:rPr>
            </w:pPr>
          </w:p>
        </w:tc>
        <w:tc>
          <w:tcPr>
            <w:tcW w:w="867" w:type="dxa"/>
            <w:tcBorders>
              <w:top w:val="single" w:color="auto" w:sz="4" w:space="0"/>
              <w:left w:val="nil"/>
              <w:bottom w:val="single" w:color="auto" w:sz="4" w:space="0"/>
              <w:right w:val="single" w:color="auto" w:sz="4" w:space="0"/>
            </w:tcBorders>
            <w:vAlign w:val="center"/>
          </w:tcPr>
          <w:p w14:paraId="739F67F5">
            <w:pPr>
              <w:spacing w:line="360" w:lineRule="exact"/>
              <w:jc w:val="center"/>
              <w:rPr>
                <w:rFonts w:hAnsi="宋体" w:cs="宋体"/>
                <w:color w:val="auto"/>
                <w:sz w:val="24"/>
                <w:highlight w:val="none"/>
              </w:rPr>
            </w:pPr>
          </w:p>
        </w:tc>
      </w:tr>
      <w:tr w14:paraId="5286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14:paraId="082ED211">
            <w:pPr>
              <w:spacing w:line="360" w:lineRule="exact"/>
              <w:jc w:val="center"/>
              <w:rPr>
                <w:rFonts w:hint="eastAsia" w:hAnsi="宋体" w:eastAsia="宋体" w:cs="宋体"/>
                <w:color w:val="auto"/>
                <w:sz w:val="24"/>
                <w:highlight w:val="none"/>
                <w:lang w:eastAsia="zh-CN"/>
              </w:rPr>
            </w:pPr>
            <w:r>
              <w:rPr>
                <w:rFonts w:hint="eastAsia" w:hAnsi="宋体" w:cs="宋体"/>
                <w:color w:val="auto"/>
                <w:sz w:val="24"/>
                <w:highlight w:val="none"/>
                <w:lang w:val="en-US" w:eastAsia="zh-CN"/>
              </w:rPr>
              <w:t>3</w:t>
            </w:r>
          </w:p>
        </w:tc>
        <w:tc>
          <w:tcPr>
            <w:tcW w:w="2130" w:type="dxa"/>
            <w:tcBorders>
              <w:top w:val="single" w:color="auto" w:sz="4" w:space="0"/>
              <w:left w:val="nil"/>
              <w:bottom w:val="single" w:color="auto" w:sz="4" w:space="0"/>
              <w:right w:val="single" w:color="auto" w:sz="4" w:space="0"/>
            </w:tcBorders>
            <w:vAlign w:val="center"/>
          </w:tcPr>
          <w:p w14:paraId="1025C6E1">
            <w:pPr>
              <w:spacing w:line="360" w:lineRule="auto"/>
              <w:jc w:val="center"/>
              <w:rPr>
                <w:rFonts w:hAnsi="宋体" w:cs="宋体"/>
                <w:color w:val="auto"/>
                <w:sz w:val="24"/>
                <w:highlight w:val="none"/>
              </w:rPr>
            </w:pPr>
            <w:r>
              <w:rPr>
                <w:rFonts w:hint="eastAsia" w:hAnsi="宋体" w:cs="宋体"/>
                <w:color w:val="auto"/>
                <w:sz w:val="24"/>
                <w:highlight w:val="none"/>
              </w:rPr>
              <w:t>“供应商须知前附表”第3.3.1款</w:t>
            </w:r>
          </w:p>
        </w:tc>
        <w:tc>
          <w:tcPr>
            <w:tcW w:w="2435" w:type="dxa"/>
            <w:tcBorders>
              <w:top w:val="single" w:color="auto" w:sz="4" w:space="0"/>
              <w:left w:val="nil"/>
              <w:bottom w:val="single" w:color="auto" w:sz="4" w:space="0"/>
              <w:right w:val="single" w:color="auto" w:sz="4" w:space="0"/>
            </w:tcBorders>
            <w:vAlign w:val="center"/>
          </w:tcPr>
          <w:p w14:paraId="59E3575B">
            <w:pPr>
              <w:spacing w:line="360" w:lineRule="auto"/>
              <w:jc w:val="center"/>
              <w:rPr>
                <w:rFonts w:hAnsi="宋体" w:cs="宋体"/>
                <w:color w:val="auto"/>
                <w:sz w:val="24"/>
                <w:highlight w:val="none"/>
              </w:rPr>
            </w:pPr>
            <w:r>
              <w:rPr>
                <w:rFonts w:hint="eastAsia" w:hAnsi="宋体"/>
                <w:color w:val="auto"/>
                <w:kern w:val="2"/>
                <w:sz w:val="24"/>
                <w:highlight w:val="none"/>
              </w:rPr>
              <w:t>响应有效期：响应有效期为90日历天（从响应文件递交截止之日起算）</w:t>
            </w:r>
          </w:p>
        </w:tc>
        <w:tc>
          <w:tcPr>
            <w:tcW w:w="2543" w:type="dxa"/>
            <w:tcBorders>
              <w:top w:val="single" w:color="auto" w:sz="4" w:space="0"/>
              <w:left w:val="nil"/>
              <w:bottom w:val="single" w:color="auto" w:sz="4" w:space="0"/>
              <w:right w:val="single" w:color="auto" w:sz="4" w:space="0"/>
            </w:tcBorders>
            <w:vAlign w:val="center"/>
          </w:tcPr>
          <w:p w14:paraId="1DFEF320">
            <w:pPr>
              <w:spacing w:line="360" w:lineRule="exact"/>
              <w:jc w:val="center"/>
              <w:rPr>
                <w:rFonts w:hAnsi="宋体" w:cs="宋体"/>
                <w:color w:val="auto"/>
                <w:sz w:val="24"/>
                <w:highlight w:val="none"/>
              </w:rPr>
            </w:pPr>
          </w:p>
        </w:tc>
        <w:tc>
          <w:tcPr>
            <w:tcW w:w="867" w:type="dxa"/>
            <w:tcBorders>
              <w:top w:val="single" w:color="auto" w:sz="4" w:space="0"/>
              <w:left w:val="nil"/>
              <w:bottom w:val="single" w:color="auto" w:sz="4" w:space="0"/>
              <w:right w:val="single" w:color="auto" w:sz="4" w:space="0"/>
            </w:tcBorders>
            <w:vAlign w:val="center"/>
          </w:tcPr>
          <w:p w14:paraId="7132C336">
            <w:pPr>
              <w:spacing w:line="360" w:lineRule="exact"/>
              <w:jc w:val="center"/>
              <w:rPr>
                <w:rFonts w:hAnsi="宋体" w:cs="宋体"/>
                <w:color w:val="auto"/>
                <w:sz w:val="24"/>
                <w:highlight w:val="none"/>
              </w:rPr>
            </w:pPr>
          </w:p>
        </w:tc>
        <w:tc>
          <w:tcPr>
            <w:tcW w:w="867" w:type="dxa"/>
            <w:tcBorders>
              <w:top w:val="single" w:color="auto" w:sz="4" w:space="0"/>
              <w:left w:val="nil"/>
              <w:bottom w:val="single" w:color="auto" w:sz="4" w:space="0"/>
              <w:right w:val="single" w:color="auto" w:sz="4" w:space="0"/>
            </w:tcBorders>
            <w:vAlign w:val="center"/>
          </w:tcPr>
          <w:p w14:paraId="3ED341EC">
            <w:pPr>
              <w:spacing w:line="360" w:lineRule="exact"/>
              <w:jc w:val="center"/>
              <w:rPr>
                <w:rFonts w:hAnsi="宋体" w:cs="宋体"/>
                <w:color w:val="auto"/>
                <w:sz w:val="24"/>
                <w:highlight w:val="none"/>
              </w:rPr>
            </w:pPr>
          </w:p>
        </w:tc>
      </w:tr>
    </w:tbl>
    <w:p w14:paraId="2E1E378C">
      <w:pPr>
        <w:autoSpaceDE w:val="0"/>
        <w:spacing w:line="360" w:lineRule="exact"/>
        <w:ind w:firstLine="241" w:firstLineChars="100"/>
        <w:rPr>
          <w:rFonts w:hAnsi="宋体"/>
          <w:b/>
          <w:bCs/>
          <w:color w:val="auto"/>
          <w:sz w:val="24"/>
          <w:highlight w:val="none"/>
        </w:rPr>
      </w:pPr>
    </w:p>
    <w:p w14:paraId="73B87B8F">
      <w:pPr>
        <w:tabs>
          <w:tab w:val="left" w:pos="780"/>
        </w:tabs>
        <w:autoSpaceDE w:val="0"/>
        <w:spacing w:line="360" w:lineRule="auto"/>
        <w:ind w:firstLine="960" w:firstLineChars="400"/>
        <w:rPr>
          <w:rFonts w:hAnsi="宋体"/>
          <w:color w:val="auto"/>
          <w:sz w:val="24"/>
          <w:highlight w:val="none"/>
        </w:rPr>
      </w:pPr>
      <w:r>
        <w:rPr>
          <w:rFonts w:hint="eastAsia" w:hAnsi="宋体"/>
          <w:color w:val="auto"/>
          <w:sz w:val="24"/>
          <w:highlight w:val="none"/>
        </w:rPr>
        <w:tab/>
      </w:r>
    </w:p>
    <w:p w14:paraId="21784246">
      <w:pPr>
        <w:pStyle w:val="4"/>
        <w:spacing w:before="158" w:beforeLines="50" w:after="158" w:afterLines="50"/>
        <w:rPr>
          <w:rFonts w:ascii="宋体" w:hAnsi="宋体"/>
          <w:color w:val="auto"/>
          <w:szCs w:val="30"/>
          <w:highlight w:val="none"/>
        </w:rPr>
      </w:pPr>
      <w:bookmarkStart w:id="274" w:name="_Toc1739728"/>
      <w:r>
        <w:rPr>
          <w:rFonts w:ascii="宋体" w:hAnsi="宋体"/>
          <w:color w:val="auto"/>
          <w:szCs w:val="30"/>
          <w:highlight w:val="none"/>
        </w:rPr>
        <w:br w:type="page"/>
      </w:r>
      <w:bookmarkEnd w:id="274"/>
      <w:bookmarkStart w:id="275" w:name="_Toc31462"/>
      <w:bookmarkStart w:id="276" w:name="_Toc18750"/>
      <w:bookmarkStart w:id="277" w:name="_Toc4685113"/>
      <w:bookmarkStart w:id="278" w:name="_Toc5488"/>
      <w:bookmarkStart w:id="279" w:name="_Toc1739336"/>
      <w:bookmarkStart w:id="280" w:name="_Toc2635"/>
      <w:r>
        <w:rPr>
          <w:rFonts w:hint="eastAsia" w:ascii="宋体" w:hAnsi="宋体"/>
          <w:color w:val="auto"/>
          <w:szCs w:val="30"/>
          <w:highlight w:val="none"/>
        </w:rPr>
        <w:t>六、</w:t>
      </w:r>
      <w:bookmarkEnd w:id="275"/>
      <w:bookmarkStart w:id="281" w:name="_Hlk3290837"/>
      <w:bookmarkStart w:id="282" w:name="_Hlk3290877"/>
      <w:r>
        <w:rPr>
          <w:rFonts w:hint="eastAsia" w:ascii="宋体" w:hAnsi="宋体"/>
          <w:color w:val="auto"/>
          <w:szCs w:val="30"/>
          <w:highlight w:val="none"/>
        </w:rPr>
        <w:t>类似项目业绩表</w:t>
      </w:r>
      <w:bookmarkEnd w:id="276"/>
      <w:bookmarkEnd w:id="277"/>
      <w:bookmarkEnd w:id="281"/>
    </w:p>
    <w:tbl>
      <w:tblPr>
        <w:tblStyle w:val="3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7"/>
        <w:gridCol w:w="1952"/>
        <w:gridCol w:w="1425"/>
        <w:gridCol w:w="1302"/>
        <w:gridCol w:w="1823"/>
        <w:gridCol w:w="1337"/>
        <w:gridCol w:w="972"/>
      </w:tblGrid>
      <w:tr w14:paraId="44BBB5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907" w:type="dxa"/>
            <w:vAlign w:val="center"/>
          </w:tcPr>
          <w:p w14:paraId="0527BF16">
            <w:pPr>
              <w:jc w:val="center"/>
              <w:rPr>
                <w:rFonts w:hAnsi="宋体"/>
                <w:color w:val="auto"/>
                <w:sz w:val="24"/>
                <w:highlight w:val="none"/>
              </w:rPr>
            </w:pPr>
            <w:r>
              <w:rPr>
                <w:rFonts w:hint="eastAsia" w:hAnsi="宋体"/>
                <w:color w:val="auto"/>
                <w:sz w:val="24"/>
                <w:highlight w:val="none"/>
              </w:rPr>
              <w:t>年份</w:t>
            </w:r>
          </w:p>
        </w:tc>
        <w:tc>
          <w:tcPr>
            <w:tcW w:w="1952" w:type="dxa"/>
            <w:vAlign w:val="center"/>
          </w:tcPr>
          <w:p w14:paraId="3B930DA9">
            <w:pPr>
              <w:jc w:val="center"/>
              <w:rPr>
                <w:rFonts w:hAnsi="宋体"/>
                <w:color w:val="auto"/>
                <w:sz w:val="24"/>
                <w:highlight w:val="none"/>
              </w:rPr>
            </w:pPr>
            <w:r>
              <w:rPr>
                <w:rFonts w:hint="eastAsia" w:hAnsi="宋体"/>
                <w:color w:val="auto"/>
                <w:sz w:val="24"/>
                <w:highlight w:val="none"/>
              </w:rPr>
              <w:t>合同</w:t>
            </w:r>
            <w:r>
              <w:rPr>
                <w:rFonts w:hAnsi="宋体"/>
                <w:color w:val="auto"/>
                <w:sz w:val="24"/>
                <w:highlight w:val="none"/>
              </w:rPr>
              <w:t>名称</w:t>
            </w:r>
          </w:p>
        </w:tc>
        <w:tc>
          <w:tcPr>
            <w:tcW w:w="1425" w:type="dxa"/>
            <w:vAlign w:val="center"/>
          </w:tcPr>
          <w:p w14:paraId="2F933F20">
            <w:pPr>
              <w:jc w:val="center"/>
              <w:rPr>
                <w:rFonts w:hAnsi="宋体"/>
                <w:color w:val="auto"/>
                <w:sz w:val="24"/>
                <w:highlight w:val="none"/>
              </w:rPr>
            </w:pPr>
            <w:r>
              <w:rPr>
                <w:rFonts w:hint="eastAsia" w:hAnsi="宋体"/>
                <w:color w:val="auto"/>
                <w:sz w:val="24"/>
                <w:highlight w:val="none"/>
              </w:rPr>
              <w:t>合同总价</w:t>
            </w:r>
          </w:p>
        </w:tc>
        <w:tc>
          <w:tcPr>
            <w:tcW w:w="1302" w:type="dxa"/>
            <w:vAlign w:val="center"/>
          </w:tcPr>
          <w:p w14:paraId="4E9F08AC">
            <w:pPr>
              <w:jc w:val="center"/>
              <w:rPr>
                <w:rFonts w:hAnsi="宋体"/>
                <w:color w:val="auto"/>
                <w:sz w:val="24"/>
                <w:highlight w:val="none"/>
              </w:rPr>
            </w:pPr>
            <w:r>
              <w:rPr>
                <w:rFonts w:hint="eastAsia" w:hAnsi="宋体"/>
                <w:color w:val="auto"/>
                <w:sz w:val="24"/>
                <w:highlight w:val="none"/>
              </w:rPr>
              <w:t>服务单位名称</w:t>
            </w:r>
          </w:p>
        </w:tc>
        <w:tc>
          <w:tcPr>
            <w:tcW w:w="1823" w:type="dxa"/>
            <w:vAlign w:val="center"/>
          </w:tcPr>
          <w:p w14:paraId="531C1917">
            <w:pPr>
              <w:jc w:val="center"/>
              <w:rPr>
                <w:rFonts w:hAnsi="宋体"/>
                <w:color w:val="auto"/>
                <w:sz w:val="24"/>
                <w:highlight w:val="none"/>
              </w:rPr>
            </w:pPr>
            <w:r>
              <w:rPr>
                <w:rFonts w:hint="eastAsia" w:hAnsi="宋体"/>
                <w:color w:val="auto"/>
                <w:sz w:val="24"/>
                <w:highlight w:val="none"/>
              </w:rPr>
              <w:t>服务单位联系人及电话</w:t>
            </w:r>
          </w:p>
        </w:tc>
        <w:tc>
          <w:tcPr>
            <w:tcW w:w="1337" w:type="dxa"/>
            <w:vAlign w:val="center"/>
          </w:tcPr>
          <w:p w14:paraId="637A957F">
            <w:pPr>
              <w:jc w:val="center"/>
              <w:rPr>
                <w:rFonts w:hAnsi="宋体"/>
                <w:color w:val="auto"/>
                <w:sz w:val="24"/>
                <w:highlight w:val="none"/>
              </w:rPr>
            </w:pPr>
            <w:r>
              <w:rPr>
                <w:rFonts w:hint="eastAsia" w:hAnsi="宋体"/>
                <w:color w:val="auto"/>
                <w:sz w:val="24"/>
                <w:highlight w:val="none"/>
              </w:rPr>
              <w:t>签订合同时间</w:t>
            </w:r>
          </w:p>
        </w:tc>
        <w:tc>
          <w:tcPr>
            <w:tcW w:w="972" w:type="dxa"/>
            <w:vAlign w:val="center"/>
          </w:tcPr>
          <w:p w14:paraId="27810A9F">
            <w:pPr>
              <w:jc w:val="center"/>
              <w:rPr>
                <w:rFonts w:hAnsi="宋体"/>
                <w:color w:val="auto"/>
                <w:sz w:val="24"/>
                <w:highlight w:val="none"/>
              </w:rPr>
            </w:pPr>
            <w:r>
              <w:rPr>
                <w:rFonts w:hAnsi="宋体"/>
                <w:color w:val="auto"/>
                <w:sz w:val="24"/>
                <w:highlight w:val="none"/>
              </w:rPr>
              <w:t>备注</w:t>
            </w:r>
          </w:p>
        </w:tc>
      </w:tr>
      <w:tr w14:paraId="534E2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7" w:type="dxa"/>
            <w:vAlign w:val="center"/>
          </w:tcPr>
          <w:p w14:paraId="55BDDF47">
            <w:pPr>
              <w:jc w:val="center"/>
              <w:rPr>
                <w:rFonts w:hAnsi="宋体"/>
                <w:color w:val="auto"/>
                <w:sz w:val="24"/>
                <w:highlight w:val="none"/>
              </w:rPr>
            </w:pPr>
          </w:p>
        </w:tc>
        <w:tc>
          <w:tcPr>
            <w:tcW w:w="1952" w:type="dxa"/>
            <w:vAlign w:val="center"/>
          </w:tcPr>
          <w:p w14:paraId="771AD7B3">
            <w:pPr>
              <w:jc w:val="center"/>
              <w:rPr>
                <w:rFonts w:hAnsi="宋体"/>
                <w:color w:val="auto"/>
                <w:sz w:val="24"/>
                <w:highlight w:val="none"/>
              </w:rPr>
            </w:pPr>
          </w:p>
        </w:tc>
        <w:tc>
          <w:tcPr>
            <w:tcW w:w="1425" w:type="dxa"/>
            <w:vAlign w:val="center"/>
          </w:tcPr>
          <w:p w14:paraId="3B0C8126">
            <w:pPr>
              <w:jc w:val="center"/>
              <w:rPr>
                <w:rFonts w:hAnsi="宋体"/>
                <w:color w:val="auto"/>
                <w:sz w:val="24"/>
                <w:highlight w:val="none"/>
              </w:rPr>
            </w:pPr>
          </w:p>
        </w:tc>
        <w:tc>
          <w:tcPr>
            <w:tcW w:w="1302" w:type="dxa"/>
            <w:vAlign w:val="center"/>
          </w:tcPr>
          <w:p w14:paraId="76088018">
            <w:pPr>
              <w:jc w:val="center"/>
              <w:rPr>
                <w:rFonts w:hAnsi="宋体"/>
                <w:color w:val="auto"/>
                <w:sz w:val="24"/>
                <w:highlight w:val="none"/>
              </w:rPr>
            </w:pPr>
          </w:p>
        </w:tc>
        <w:tc>
          <w:tcPr>
            <w:tcW w:w="1823" w:type="dxa"/>
            <w:vAlign w:val="center"/>
          </w:tcPr>
          <w:p w14:paraId="484AB44B">
            <w:pPr>
              <w:jc w:val="center"/>
              <w:rPr>
                <w:rFonts w:hAnsi="宋体"/>
                <w:color w:val="auto"/>
                <w:sz w:val="24"/>
                <w:highlight w:val="none"/>
              </w:rPr>
            </w:pPr>
          </w:p>
        </w:tc>
        <w:tc>
          <w:tcPr>
            <w:tcW w:w="1337" w:type="dxa"/>
            <w:vAlign w:val="center"/>
          </w:tcPr>
          <w:p w14:paraId="4089F39C">
            <w:pPr>
              <w:jc w:val="center"/>
              <w:rPr>
                <w:rFonts w:hAnsi="宋体"/>
                <w:color w:val="auto"/>
                <w:sz w:val="24"/>
                <w:highlight w:val="none"/>
              </w:rPr>
            </w:pPr>
          </w:p>
        </w:tc>
        <w:tc>
          <w:tcPr>
            <w:tcW w:w="972" w:type="dxa"/>
            <w:vAlign w:val="center"/>
          </w:tcPr>
          <w:p w14:paraId="1F78E8CC">
            <w:pPr>
              <w:jc w:val="center"/>
              <w:rPr>
                <w:rFonts w:hAnsi="宋体"/>
                <w:color w:val="auto"/>
                <w:sz w:val="24"/>
                <w:highlight w:val="none"/>
              </w:rPr>
            </w:pPr>
          </w:p>
        </w:tc>
      </w:tr>
      <w:tr w14:paraId="6C56C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7" w:type="dxa"/>
            <w:vAlign w:val="center"/>
          </w:tcPr>
          <w:p w14:paraId="73DEF449">
            <w:pPr>
              <w:jc w:val="center"/>
              <w:rPr>
                <w:rFonts w:hAnsi="宋体"/>
                <w:color w:val="auto"/>
                <w:sz w:val="24"/>
                <w:highlight w:val="none"/>
              </w:rPr>
            </w:pPr>
          </w:p>
        </w:tc>
        <w:tc>
          <w:tcPr>
            <w:tcW w:w="1952" w:type="dxa"/>
            <w:vAlign w:val="center"/>
          </w:tcPr>
          <w:p w14:paraId="18880AF9">
            <w:pPr>
              <w:jc w:val="center"/>
              <w:rPr>
                <w:rFonts w:hAnsi="宋体"/>
                <w:color w:val="auto"/>
                <w:sz w:val="24"/>
                <w:highlight w:val="none"/>
              </w:rPr>
            </w:pPr>
          </w:p>
        </w:tc>
        <w:tc>
          <w:tcPr>
            <w:tcW w:w="1425" w:type="dxa"/>
            <w:vAlign w:val="center"/>
          </w:tcPr>
          <w:p w14:paraId="09DEC22F">
            <w:pPr>
              <w:jc w:val="center"/>
              <w:rPr>
                <w:rFonts w:hAnsi="宋体"/>
                <w:color w:val="auto"/>
                <w:sz w:val="24"/>
                <w:highlight w:val="none"/>
              </w:rPr>
            </w:pPr>
          </w:p>
        </w:tc>
        <w:tc>
          <w:tcPr>
            <w:tcW w:w="1302" w:type="dxa"/>
            <w:vAlign w:val="center"/>
          </w:tcPr>
          <w:p w14:paraId="09E292DE">
            <w:pPr>
              <w:jc w:val="center"/>
              <w:rPr>
                <w:rFonts w:hAnsi="宋体"/>
                <w:color w:val="auto"/>
                <w:sz w:val="24"/>
                <w:highlight w:val="none"/>
              </w:rPr>
            </w:pPr>
          </w:p>
        </w:tc>
        <w:tc>
          <w:tcPr>
            <w:tcW w:w="1823" w:type="dxa"/>
            <w:vAlign w:val="center"/>
          </w:tcPr>
          <w:p w14:paraId="3D5D75CE">
            <w:pPr>
              <w:jc w:val="center"/>
              <w:rPr>
                <w:rFonts w:hAnsi="宋体"/>
                <w:color w:val="auto"/>
                <w:sz w:val="24"/>
                <w:highlight w:val="none"/>
              </w:rPr>
            </w:pPr>
          </w:p>
        </w:tc>
        <w:tc>
          <w:tcPr>
            <w:tcW w:w="1337" w:type="dxa"/>
            <w:vAlign w:val="center"/>
          </w:tcPr>
          <w:p w14:paraId="2132834A">
            <w:pPr>
              <w:jc w:val="center"/>
              <w:rPr>
                <w:rFonts w:hAnsi="宋体"/>
                <w:color w:val="auto"/>
                <w:sz w:val="24"/>
                <w:highlight w:val="none"/>
              </w:rPr>
            </w:pPr>
          </w:p>
        </w:tc>
        <w:tc>
          <w:tcPr>
            <w:tcW w:w="972" w:type="dxa"/>
            <w:vAlign w:val="center"/>
          </w:tcPr>
          <w:p w14:paraId="5795B63A">
            <w:pPr>
              <w:jc w:val="center"/>
              <w:rPr>
                <w:rFonts w:hAnsi="宋体"/>
                <w:color w:val="auto"/>
                <w:sz w:val="24"/>
                <w:highlight w:val="none"/>
              </w:rPr>
            </w:pPr>
          </w:p>
        </w:tc>
      </w:tr>
      <w:tr w14:paraId="06374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7" w:type="dxa"/>
            <w:vAlign w:val="center"/>
          </w:tcPr>
          <w:p w14:paraId="45AE8DDC">
            <w:pPr>
              <w:jc w:val="center"/>
              <w:rPr>
                <w:rFonts w:hAnsi="宋体"/>
                <w:color w:val="auto"/>
                <w:sz w:val="24"/>
                <w:highlight w:val="none"/>
              </w:rPr>
            </w:pPr>
          </w:p>
        </w:tc>
        <w:tc>
          <w:tcPr>
            <w:tcW w:w="1952" w:type="dxa"/>
            <w:vAlign w:val="center"/>
          </w:tcPr>
          <w:p w14:paraId="6951CA07">
            <w:pPr>
              <w:jc w:val="center"/>
              <w:rPr>
                <w:rFonts w:hAnsi="宋体"/>
                <w:color w:val="auto"/>
                <w:sz w:val="24"/>
                <w:highlight w:val="none"/>
              </w:rPr>
            </w:pPr>
          </w:p>
        </w:tc>
        <w:tc>
          <w:tcPr>
            <w:tcW w:w="1425" w:type="dxa"/>
            <w:vAlign w:val="center"/>
          </w:tcPr>
          <w:p w14:paraId="64F46CC6">
            <w:pPr>
              <w:jc w:val="center"/>
              <w:rPr>
                <w:rFonts w:hAnsi="宋体"/>
                <w:color w:val="auto"/>
                <w:sz w:val="24"/>
                <w:highlight w:val="none"/>
              </w:rPr>
            </w:pPr>
          </w:p>
        </w:tc>
        <w:tc>
          <w:tcPr>
            <w:tcW w:w="1302" w:type="dxa"/>
            <w:vAlign w:val="center"/>
          </w:tcPr>
          <w:p w14:paraId="5F36964B">
            <w:pPr>
              <w:jc w:val="center"/>
              <w:rPr>
                <w:rFonts w:hAnsi="宋体"/>
                <w:color w:val="auto"/>
                <w:sz w:val="24"/>
                <w:highlight w:val="none"/>
              </w:rPr>
            </w:pPr>
          </w:p>
        </w:tc>
        <w:tc>
          <w:tcPr>
            <w:tcW w:w="1823" w:type="dxa"/>
            <w:vAlign w:val="center"/>
          </w:tcPr>
          <w:p w14:paraId="42F5F1D3">
            <w:pPr>
              <w:jc w:val="center"/>
              <w:rPr>
                <w:rFonts w:hAnsi="宋体"/>
                <w:color w:val="auto"/>
                <w:sz w:val="24"/>
                <w:highlight w:val="none"/>
              </w:rPr>
            </w:pPr>
          </w:p>
        </w:tc>
        <w:tc>
          <w:tcPr>
            <w:tcW w:w="1337" w:type="dxa"/>
            <w:vAlign w:val="center"/>
          </w:tcPr>
          <w:p w14:paraId="0570C7A6">
            <w:pPr>
              <w:jc w:val="center"/>
              <w:rPr>
                <w:rFonts w:hAnsi="宋体"/>
                <w:color w:val="auto"/>
                <w:sz w:val="24"/>
                <w:highlight w:val="none"/>
              </w:rPr>
            </w:pPr>
          </w:p>
        </w:tc>
        <w:tc>
          <w:tcPr>
            <w:tcW w:w="972" w:type="dxa"/>
            <w:vAlign w:val="center"/>
          </w:tcPr>
          <w:p w14:paraId="3501A3E5">
            <w:pPr>
              <w:jc w:val="center"/>
              <w:rPr>
                <w:rFonts w:hAnsi="宋体"/>
                <w:color w:val="auto"/>
                <w:sz w:val="24"/>
                <w:highlight w:val="none"/>
              </w:rPr>
            </w:pPr>
          </w:p>
        </w:tc>
      </w:tr>
      <w:tr w14:paraId="58576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7" w:type="dxa"/>
            <w:vAlign w:val="center"/>
          </w:tcPr>
          <w:p w14:paraId="64D26AD9">
            <w:pPr>
              <w:jc w:val="center"/>
              <w:rPr>
                <w:rFonts w:hAnsi="宋体"/>
                <w:color w:val="auto"/>
                <w:sz w:val="24"/>
                <w:highlight w:val="none"/>
              </w:rPr>
            </w:pPr>
          </w:p>
        </w:tc>
        <w:tc>
          <w:tcPr>
            <w:tcW w:w="1952" w:type="dxa"/>
            <w:vAlign w:val="center"/>
          </w:tcPr>
          <w:p w14:paraId="5843607F">
            <w:pPr>
              <w:jc w:val="center"/>
              <w:rPr>
                <w:rFonts w:hAnsi="宋体"/>
                <w:color w:val="auto"/>
                <w:sz w:val="24"/>
                <w:highlight w:val="none"/>
              </w:rPr>
            </w:pPr>
          </w:p>
        </w:tc>
        <w:tc>
          <w:tcPr>
            <w:tcW w:w="1425" w:type="dxa"/>
            <w:vAlign w:val="center"/>
          </w:tcPr>
          <w:p w14:paraId="02809B1E">
            <w:pPr>
              <w:jc w:val="center"/>
              <w:rPr>
                <w:rFonts w:hAnsi="宋体"/>
                <w:color w:val="auto"/>
                <w:sz w:val="24"/>
                <w:highlight w:val="none"/>
              </w:rPr>
            </w:pPr>
          </w:p>
        </w:tc>
        <w:tc>
          <w:tcPr>
            <w:tcW w:w="1302" w:type="dxa"/>
            <w:vAlign w:val="center"/>
          </w:tcPr>
          <w:p w14:paraId="1F992B41">
            <w:pPr>
              <w:jc w:val="center"/>
              <w:rPr>
                <w:rFonts w:hAnsi="宋体"/>
                <w:color w:val="auto"/>
                <w:sz w:val="24"/>
                <w:highlight w:val="none"/>
              </w:rPr>
            </w:pPr>
          </w:p>
        </w:tc>
        <w:tc>
          <w:tcPr>
            <w:tcW w:w="1823" w:type="dxa"/>
            <w:vAlign w:val="center"/>
          </w:tcPr>
          <w:p w14:paraId="21A8E939">
            <w:pPr>
              <w:jc w:val="center"/>
              <w:rPr>
                <w:rFonts w:hAnsi="宋体"/>
                <w:color w:val="auto"/>
                <w:sz w:val="24"/>
                <w:highlight w:val="none"/>
              </w:rPr>
            </w:pPr>
          </w:p>
        </w:tc>
        <w:tc>
          <w:tcPr>
            <w:tcW w:w="1337" w:type="dxa"/>
            <w:vAlign w:val="center"/>
          </w:tcPr>
          <w:p w14:paraId="597B2ECD">
            <w:pPr>
              <w:jc w:val="center"/>
              <w:rPr>
                <w:rFonts w:hAnsi="宋体"/>
                <w:color w:val="auto"/>
                <w:sz w:val="24"/>
                <w:highlight w:val="none"/>
              </w:rPr>
            </w:pPr>
          </w:p>
        </w:tc>
        <w:tc>
          <w:tcPr>
            <w:tcW w:w="972" w:type="dxa"/>
            <w:vAlign w:val="center"/>
          </w:tcPr>
          <w:p w14:paraId="51D05495">
            <w:pPr>
              <w:jc w:val="center"/>
              <w:rPr>
                <w:rFonts w:hAnsi="宋体"/>
                <w:color w:val="auto"/>
                <w:sz w:val="24"/>
                <w:highlight w:val="none"/>
              </w:rPr>
            </w:pPr>
          </w:p>
        </w:tc>
      </w:tr>
      <w:tr w14:paraId="60038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7" w:type="dxa"/>
            <w:vAlign w:val="center"/>
          </w:tcPr>
          <w:p w14:paraId="7A672FC2">
            <w:pPr>
              <w:jc w:val="center"/>
              <w:rPr>
                <w:rFonts w:hAnsi="宋体"/>
                <w:color w:val="auto"/>
                <w:sz w:val="24"/>
                <w:highlight w:val="none"/>
              </w:rPr>
            </w:pPr>
          </w:p>
        </w:tc>
        <w:tc>
          <w:tcPr>
            <w:tcW w:w="1952" w:type="dxa"/>
            <w:vAlign w:val="center"/>
          </w:tcPr>
          <w:p w14:paraId="02CDFF73">
            <w:pPr>
              <w:jc w:val="center"/>
              <w:rPr>
                <w:rFonts w:hAnsi="宋体"/>
                <w:color w:val="auto"/>
                <w:sz w:val="24"/>
                <w:highlight w:val="none"/>
              </w:rPr>
            </w:pPr>
          </w:p>
        </w:tc>
        <w:tc>
          <w:tcPr>
            <w:tcW w:w="1425" w:type="dxa"/>
            <w:vAlign w:val="center"/>
          </w:tcPr>
          <w:p w14:paraId="6911A7F2">
            <w:pPr>
              <w:jc w:val="center"/>
              <w:rPr>
                <w:rFonts w:hAnsi="宋体"/>
                <w:color w:val="auto"/>
                <w:sz w:val="24"/>
                <w:highlight w:val="none"/>
              </w:rPr>
            </w:pPr>
          </w:p>
        </w:tc>
        <w:tc>
          <w:tcPr>
            <w:tcW w:w="1302" w:type="dxa"/>
            <w:vAlign w:val="center"/>
          </w:tcPr>
          <w:p w14:paraId="642B9726">
            <w:pPr>
              <w:jc w:val="center"/>
              <w:rPr>
                <w:rFonts w:hAnsi="宋体"/>
                <w:color w:val="auto"/>
                <w:sz w:val="24"/>
                <w:highlight w:val="none"/>
              </w:rPr>
            </w:pPr>
          </w:p>
        </w:tc>
        <w:tc>
          <w:tcPr>
            <w:tcW w:w="1823" w:type="dxa"/>
            <w:vAlign w:val="center"/>
          </w:tcPr>
          <w:p w14:paraId="3606913E">
            <w:pPr>
              <w:jc w:val="center"/>
              <w:rPr>
                <w:rFonts w:hAnsi="宋体"/>
                <w:color w:val="auto"/>
                <w:sz w:val="24"/>
                <w:highlight w:val="none"/>
              </w:rPr>
            </w:pPr>
          </w:p>
        </w:tc>
        <w:tc>
          <w:tcPr>
            <w:tcW w:w="1337" w:type="dxa"/>
            <w:vAlign w:val="center"/>
          </w:tcPr>
          <w:p w14:paraId="54FAECB6">
            <w:pPr>
              <w:jc w:val="center"/>
              <w:rPr>
                <w:rFonts w:hAnsi="宋体"/>
                <w:color w:val="auto"/>
                <w:sz w:val="24"/>
                <w:highlight w:val="none"/>
              </w:rPr>
            </w:pPr>
          </w:p>
        </w:tc>
        <w:tc>
          <w:tcPr>
            <w:tcW w:w="972" w:type="dxa"/>
            <w:vAlign w:val="center"/>
          </w:tcPr>
          <w:p w14:paraId="09723A32">
            <w:pPr>
              <w:jc w:val="center"/>
              <w:rPr>
                <w:rFonts w:hAnsi="宋体"/>
                <w:color w:val="auto"/>
                <w:sz w:val="24"/>
                <w:highlight w:val="none"/>
              </w:rPr>
            </w:pPr>
          </w:p>
        </w:tc>
      </w:tr>
      <w:tr w14:paraId="515C5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07" w:type="dxa"/>
            <w:vAlign w:val="center"/>
          </w:tcPr>
          <w:p w14:paraId="0B4C2C6D">
            <w:pPr>
              <w:jc w:val="center"/>
              <w:rPr>
                <w:rFonts w:hAnsi="宋体"/>
                <w:color w:val="auto"/>
                <w:sz w:val="24"/>
                <w:highlight w:val="none"/>
              </w:rPr>
            </w:pPr>
          </w:p>
        </w:tc>
        <w:tc>
          <w:tcPr>
            <w:tcW w:w="1952" w:type="dxa"/>
            <w:vAlign w:val="center"/>
          </w:tcPr>
          <w:p w14:paraId="13918B9D">
            <w:pPr>
              <w:jc w:val="center"/>
              <w:rPr>
                <w:rFonts w:hAnsi="宋体"/>
                <w:color w:val="auto"/>
                <w:sz w:val="24"/>
                <w:highlight w:val="none"/>
              </w:rPr>
            </w:pPr>
          </w:p>
        </w:tc>
        <w:tc>
          <w:tcPr>
            <w:tcW w:w="1425" w:type="dxa"/>
            <w:vAlign w:val="center"/>
          </w:tcPr>
          <w:p w14:paraId="7DEEEDAF">
            <w:pPr>
              <w:jc w:val="center"/>
              <w:rPr>
                <w:rFonts w:hAnsi="宋体"/>
                <w:color w:val="auto"/>
                <w:sz w:val="24"/>
                <w:highlight w:val="none"/>
              </w:rPr>
            </w:pPr>
          </w:p>
        </w:tc>
        <w:tc>
          <w:tcPr>
            <w:tcW w:w="1302" w:type="dxa"/>
            <w:vAlign w:val="center"/>
          </w:tcPr>
          <w:p w14:paraId="76C72F1C">
            <w:pPr>
              <w:jc w:val="center"/>
              <w:rPr>
                <w:rFonts w:hAnsi="宋体"/>
                <w:color w:val="auto"/>
                <w:sz w:val="24"/>
                <w:highlight w:val="none"/>
              </w:rPr>
            </w:pPr>
          </w:p>
        </w:tc>
        <w:tc>
          <w:tcPr>
            <w:tcW w:w="1823" w:type="dxa"/>
            <w:vAlign w:val="center"/>
          </w:tcPr>
          <w:p w14:paraId="7D0D7B2C">
            <w:pPr>
              <w:jc w:val="center"/>
              <w:rPr>
                <w:rFonts w:hAnsi="宋体"/>
                <w:color w:val="auto"/>
                <w:sz w:val="24"/>
                <w:highlight w:val="none"/>
              </w:rPr>
            </w:pPr>
          </w:p>
        </w:tc>
        <w:tc>
          <w:tcPr>
            <w:tcW w:w="1337" w:type="dxa"/>
            <w:vAlign w:val="center"/>
          </w:tcPr>
          <w:p w14:paraId="10790993">
            <w:pPr>
              <w:jc w:val="center"/>
              <w:rPr>
                <w:rFonts w:hAnsi="宋体"/>
                <w:color w:val="auto"/>
                <w:sz w:val="24"/>
                <w:highlight w:val="none"/>
              </w:rPr>
            </w:pPr>
          </w:p>
        </w:tc>
        <w:tc>
          <w:tcPr>
            <w:tcW w:w="972" w:type="dxa"/>
            <w:vAlign w:val="center"/>
          </w:tcPr>
          <w:p w14:paraId="012FC74E">
            <w:pPr>
              <w:jc w:val="center"/>
              <w:rPr>
                <w:rFonts w:hAnsi="宋体"/>
                <w:color w:val="auto"/>
                <w:sz w:val="24"/>
                <w:highlight w:val="none"/>
              </w:rPr>
            </w:pPr>
          </w:p>
        </w:tc>
      </w:tr>
    </w:tbl>
    <w:p w14:paraId="3C533E1A">
      <w:pPr>
        <w:tabs>
          <w:tab w:val="left" w:pos="6942"/>
          <w:tab w:val="left" w:pos="7535"/>
        </w:tabs>
        <w:spacing w:line="358" w:lineRule="auto"/>
        <w:jc w:val="left"/>
        <w:rPr>
          <w:rFonts w:hAnsi="宋体" w:cs="宋体"/>
          <w:bCs/>
          <w:color w:val="auto"/>
          <w:sz w:val="28"/>
          <w:highlight w:val="none"/>
        </w:rPr>
      </w:pPr>
      <w:r>
        <w:rPr>
          <w:rFonts w:hint="eastAsia" w:hAnsi="宋体" w:cs="宋体"/>
          <w:bCs/>
          <w:color w:val="auto"/>
          <w:sz w:val="28"/>
          <w:highlight w:val="none"/>
        </w:rPr>
        <w:t>注：供应商提供相应的证明文件（提供中标/成交通知书或合同等）。</w:t>
      </w:r>
    </w:p>
    <w:p w14:paraId="40FBEAD9">
      <w:pPr>
        <w:ind w:firstLine="482" w:firstLineChars="200"/>
        <w:rPr>
          <w:rFonts w:hAnsi="宋体"/>
          <w:b/>
          <w:color w:val="auto"/>
          <w:sz w:val="24"/>
          <w:highlight w:val="none"/>
        </w:rPr>
      </w:pPr>
    </w:p>
    <w:p w14:paraId="08DD7DEC">
      <w:pPr>
        <w:ind w:firstLine="1687" w:firstLineChars="600"/>
        <w:rPr>
          <w:rFonts w:hAnsi="宋体"/>
          <w:b/>
          <w:color w:val="auto"/>
          <w:sz w:val="28"/>
          <w:szCs w:val="28"/>
          <w:highlight w:val="none"/>
        </w:rPr>
      </w:pPr>
    </w:p>
    <w:p w14:paraId="470C9A0D">
      <w:pPr>
        <w:pStyle w:val="10"/>
        <w:rPr>
          <w:rFonts w:hAnsi="宋体"/>
          <w:b/>
          <w:color w:val="auto"/>
          <w:sz w:val="28"/>
          <w:szCs w:val="28"/>
          <w:highlight w:val="none"/>
        </w:rPr>
      </w:pPr>
    </w:p>
    <w:bookmarkEnd w:id="278"/>
    <w:bookmarkEnd w:id="282"/>
    <w:p w14:paraId="436D83A4">
      <w:pPr>
        <w:pStyle w:val="4"/>
        <w:spacing w:before="158" w:beforeLines="50" w:after="158" w:afterLines="50"/>
        <w:rPr>
          <w:rFonts w:ascii="宋体" w:hAnsi="宋体"/>
          <w:color w:val="auto"/>
          <w:szCs w:val="30"/>
          <w:highlight w:val="none"/>
        </w:rPr>
      </w:pPr>
      <w:r>
        <w:rPr>
          <w:rFonts w:ascii="宋体" w:hAnsi="宋体"/>
          <w:color w:val="auto"/>
          <w:sz w:val="24"/>
          <w:szCs w:val="24"/>
          <w:highlight w:val="none"/>
        </w:rPr>
        <w:br w:type="page"/>
      </w:r>
      <w:bookmarkStart w:id="283" w:name="_Toc4685114"/>
      <w:bookmarkStart w:id="284" w:name="_Toc4602"/>
      <w:r>
        <w:rPr>
          <w:rFonts w:hint="eastAsia" w:ascii="宋体" w:hAnsi="宋体"/>
          <w:color w:val="auto"/>
          <w:szCs w:val="30"/>
          <w:highlight w:val="none"/>
        </w:rPr>
        <w:t>七、资格审查资料</w:t>
      </w:r>
      <w:bookmarkEnd w:id="279"/>
      <w:bookmarkEnd w:id="283"/>
      <w:bookmarkEnd w:id="284"/>
    </w:p>
    <w:p w14:paraId="4A462454">
      <w:pPr>
        <w:pStyle w:val="6"/>
        <w:spacing w:before="0" w:line="360" w:lineRule="auto"/>
        <w:ind w:firstLine="0" w:firstLineChars="0"/>
        <w:rPr>
          <w:rFonts w:hAnsi="宋体" w:cs="宋体"/>
          <w:bCs/>
          <w:color w:val="auto"/>
          <w:szCs w:val="28"/>
          <w:highlight w:val="none"/>
        </w:rPr>
      </w:pPr>
      <w:bookmarkStart w:id="285" w:name="_Toc9865"/>
      <w:bookmarkStart w:id="286" w:name="_Toc2767"/>
      <w:bookmarkStart w:id="287" w:name="_Toc20558"/>
      <w:bookmarkStart w:id="288" w:name="_Toc3283408"/>
      <w:bookmarkStart w:id="289" w:name="_Toc3280999"/>
      <w:bookmarkStart w:id="290" w:name="_Toc15218"/>
      <w:r>
        <w:rPr>
          <w:rFonts w:hint="eastAsia" w:hAnsi="宋体" w:cs="宋体"/>
          <w:bCs/>
          <w:color w:val="auto"/>
          <w:sz w:val="28"/>
          <w:szCs w:val="28"/>
          <w:highlight w:val="none"/>
        </w:rPr>
        <w:t>（一）</w:t>
      </w:r>
      <w:r>
        <w:rPr>
          <w:rFonts w:hint="eastAsia" w:hAnsi="宋体" w:cs="宋体"/>
          <w:bCs/>
          <w:color w:val="auto"/>
          <w:szCs w:val="28"/>
          <w:highlight w:val="none"/>
        </w:rPr>
        <w:t>具有独立承担民事责任的能力</w:t>
      </w:r>
      <w:bookmarkEnd w:id="285"/>
      <w:bookmarkEnd w:id="286"/>
    </w:p>
    <w:p w14:paraId="444F6F75">
      <w:pPr>
        <w:snapToGrid w:val="0"/>
        <w:spacing w:line="440" w:lineRule="exact"/>
        <w:ind w:firstLine="480" w:firstLineChars="200"/>
        <w:rPr>
          <w:rFonts w:hAnsi="宋体" w:cs="宋体"/>
          <w:color w:val="auto"/>
          <w:kern w:val="2"/>
          <w:sz w:val="24"/>
          <w:highlight w:val="none"/>
          <w:lang w:bidi="ar"/>
        </w:rPr>
      </w:pPr>
      <w:r>
        <w:rPr>
          <w:rFonts w:hint="eastAsia" w:hAnsi="宋体" w:cs="宋体"/>
          <w:color w:val="auto"/>
          <w:kern w:val="2"/>
          <w:sz w:val="24"/>
          <w:highlight w:val="none"/>
          <w:lang w:bidi="ar"/>
        </w:rPr>
        <w:t>提供法人或者其他组织的营业执照等证明文件。</w:t>
      </w:r>
    </w:p>
    <w:p w14:paraId="6E6A2809">
      <w:pPr>
        <w:rPr>
          <w:color w:val="auto"/>
          <w:highlight w:val="none"/>
        </w:rPr>
      </w:pPr>
    </w:p>
    <w:p w14:paraId="21DC3381">
      <w:pPr>
        <w:rPr>
          <w:color w:val="auto"/>
          <w:highlight w:val="none"/>
        </w:rPr>
      </w:pPr>
    </w:p>
    <w:p w14:paraId="0B229088">
      <w:pPr>
        <w:rPr>
          <w:color w:val="auto"/>
          <w:highlight w:val="none"/>
        </w:rPr>
      </w:pPr>
    </w:p>
    <w:p w14:paraId="0B13C982">
      <w:pPr>
        <w:rPr>
          <w:color w:val="auto"/>
          <w:highlight w:val="none"/>
        </w:rPr>
      </w:pPr>
    </w:p>
    <w:p w14:paraId="54F12D84">
      <w:pPr>
        <w:pStyle w:val="2"/>
        <w:rPr>
          <w:color w:val="auto"/>
          <w:highlight w:val="none"/>
        </w:rPr>
      </w:pPr>
      <w:bookmarkStart w:id="291" w:name="_Toc11747"/>
      <w:bookmarkStart w:id="292" w:name="_Toc24801"/>
    </w:p>
    <w:p w14:paraId="1B96F1D2">
      <w:pPr>
        <w:pStyle w:val="6"/>
        <w:spacing w:before="0" w:line="360" w:lineRule="auto"/>
        <w:ind w:firstLine="0" w:firstLineChars="0"/>
        <w:rPr>
          <w:rFonts w:hAnsi="宋体" w:cs="宋体"/>
          <w:bCs/>
          <w:color w:val="auto"/>
          <w:szCs w:val="28"/>
          <w:highlight w:val="none"/>
        </w:rPr>
      </w:pPr>
      <w:bookmarkStart w:id="293" w:name="_Toc11394"/>
      <w:bookmarkStart w:id="294" w:name="_Toc24018"/>
      <w:r>
        <w:rPr>
          <w:rFonts w:hint="eastAsia" w:hAnsi="宋体" w:cs="宋体"/>
          <w:bCs/>
          <w:color w:val="auto"/>
          <w:sz w:val="28"/>
          <w:szCs w:val="28"/>
          <w:highlight w:val="none"/>
        </w:rPr>
        <w:t>（二）</w:t>
      </w:r>
      <w:r>
        <w:rPr>
          <w:rFonts w:hint="eastAsia" w:hAnsi="宋体" w:cs="宋体"/>
          <w:bCs/>
          <w:color w:val="auto"/>
          <w:szCs w:val="28"/>
          <w:highlight w:val="none"/>
        </w:rPr>
        <w:t>具有良好的商业信誉和健全的财务会计制度</w:t>
      </w:r>
      <w:bookmarkEnd w:id="291"/>
      <w:bookmarkEnd w:id="292"/>
      <w:bookmarkEnd w:id="293"/>
      <w:bookmarkEnd w:id="294"/>
    </w:p>
    <w:p w14:paraId="2BA3B246">
      <w:pPr>
        <w:snapToGrid w:val="0"/>
        <w:spacing w:line="440" w:lineRule="exact"/>
        <w:ind w:firstLine="480" w:firstLineChars="200"/>
        <w:rPr>
          <w:rFonts w:hAnsi="宋体" w:cs="宋体"/>
          <w:color w:val="auto"/>
          <w:kern w:val="2"/>
          <w:sz w:val="24"/>
          <w:highlight w:val="none"/>
          <w:lang w:bidi="ar"/>
        </w:rPr>
      </w:pPr>
      <w:bookmarkStart w:id="295" w:name="_Toc27285"/>
      <w:bookmarkStart w:id="296" w:name="_Toc25770"/>
      <w:r>
        <w:rPr>
          <w:rFonts w:hint="eastAsia" w:hAnsi="宋体" w:cs="宋体"/>
          <w:color w:val="auto"/>
          <w:kern w:val="2"/>
          <w:sz w:val="24"/>
          <w:highlight w:val="none"/>
          <w:lang w:bidi="ar"/>
        </w:rPr>
        <w:t>提供具备良好的商业信誉和健全的财务会计制度的承诺或证明材料，格式自拟。</w:t>
      </w:r>
    </w:p>
    <w:p w14:paraId="015D17C7">
      <w:pPr>
        <w:snapToGrid w:val="0"/>
        <w:spacing w:line="440" w:lineRule="exact"/>
        <w:ind w:firstLine="480" w:firstLineChars="200"/>
        <w:rPr>
          <w:rFonts w:hAnsi="宋体" w:cs="宋体"/>
          <w:color w:val="auto"/>
          <w:kern w:val="2"/>
          <w:sz w:val="24"/>
          <w:highlight w:val="none"/>
          <w:lang w:bidi="ar"/>
        </w:rPr>
      </w:pPr>
    </w:p>
    <w:p w14:paraId="5F1A7F5D">
      <w:pPr>
        <w:pStyle w:val="2"/>
        <w:rPr>
          <w:color w:val="auto"/>
          <w:highlight w:val="none"/>
        </w:rPr>
      </w:pPr>
    </w:p>
    <w:p w14:paraId="730E2D17">
      <w:pPr>
        <w:pStyle w:val="2"/>
        <w:rPr>
          <w:color w:val="auto"/>
          <w:highlight w:val="none"/>
        </w:rPr>
      </w:pPr>
    </w:p>
    <w:p w14:paraId="555B509E">
      <w:pPr>
        <w:pStyle w:val="2"/>
        <w:rPr>
          <w:color w:val="auto"/>
          <w:highlight w:val="none"/>
        </w:rPr>
      </w:pPr>
    </w:p>
    <w:p w14:paraId="24196EA9">
      <w:pPr>
        <w:pStyle w:val="2"/>
        <w:rPr>
          <w:color w:val="auto"/>
          <w:highlight w:val="none"/>
        </w:rPr>
      </w:pPr>
    </w:p>
    <w:bookmarkEnd w:id="295"/>
    <w:bookmarkEnd w:id="296"/>
    <w:p w14:paraId="5FBC13E3">
      <w:pPr>
        <w:pStyle w:val="6"/>
        <w:spacing w:before="0" w:line="360" w:lineRule="auto"/>
        <w:ind w:firstLine="0" w:firstLineChars="0"/>
        <w:rPr>
          <w:rFonts w:hAnsi="宋体" w:cs="宋体"/>
          <w:color w:val="auto"/>
          <w:highlight w:val="none"/>
        </w:rPr>
      </w:pPr>
      <w:bookmarkStart w:id="297" w:name="_Toc24533"/>
      <w:bookmarkStart w:id="298" w:name="_Toc30056"/>
      <w:r>
        <w:rPr>
          <w:rFonts w:hint="eastAsia" w:hAnsi="宋体" w:cs="宋体"/>
          <w:bCs/>
          <w:color w:val="auto"/>
          <w:sz w:val="28"/>
          <w:szCs w:val="32"/>
          <w:highlight w:val="none"/>
        </w:rPr>
        <w:t>（三）</w:t>
      </w:r>
      <w:r>
        <w:rPr>
          <w:rFonts w:hint="eastAsia" w:hAnsi="宋体" w:cs="宋体"/>
          <w:color w:val="auto"/>
          <w:szCs w:val="28"/>
          <w:highlight w:val="none"/>
        </w:rPr>
        <w:t>具有履行合同所必需的设备和专业技术能力</w:t>
      </w:r>
      <w:bookmarkEnd w:id="297"/>
      <w:bookmarkEnd w:id="298"/>
    </w:p>
    <w:p w14:paraId="61467729">
      <w:pPr>
        <w:pStyle w:val="83"/>
        <w:ind w:firstLine="480" w:firstLineChars="200"/>
        <w:rPr>
          <w:rFonts w:hAnsi="宋体" w:eastAsia="宋体"/>
          <w:color w:val="auto"/>
          <w:sz w:val="24"/>
          <w:szCs w:val="24"/>
          <w:highlight w:val="none"/>
        </w:rPr>
      </w:pPr>
      <w:bookmarkStart w:id="299" w:name="_Toc14504"/>
      <w:bookmarkEnd w:id="299"/>
      <w:bookmarkStart w:id="300" w:name="_Toc20341"/>
      <w:r>
        <w:rPr>
          <w:rFonts w:hint="eastAsia" w:hAnsi="宋体" w:eastAsia="宋体"/>
          <w:color w:val="auto"/>
          <w:sz w:val="24"/>
          <w:szCs w:val="24"/>
          <w:highlight w:val="none"/>
        </w:rPr>
        <w:t>提供具备履行合同所必需的设备和专业技术能力的承诺或证明材料，格式自拟。</w:t>
      </w:r>
    </w:p>
    <w:bookmarkEnd w:id="300"/>
    <w:p w14:paraId="5F7C4BBD">
      <w:pPr>
        <w:rPr>
          <w:color w:val="auto"/>
          <w:highlight w:val="none"/>
        </w:rPr>
      </w:pPr>
      <w:bookmarkStart w:id="301" w:name="_Toc1209"/>
      <w:bookmarkStart w:id="302" w:name="_Toc23521"/>
    </w:p>
    <w:p w14:paraId="7CAC9570">
      <w:pPr>
        <w:rPr>
          <w:color w:val="auto"/>
          <w:highlight w:val="none"/>
        </w:rPr>
      </w:pPr>
    </w:p>
    <w:p w14:paraId="472808CF">
      <w:pPr>
        <w:rPr>
          <w:color w:val="auto"/>
          <w:highlight w:val="none"/>
        </w:rPr>
      </w:pPr>
    </w:p>
    <w:p w14:paraId="780BE941">
      <w:pPr>
        <w:rPr>
          <w:color w:val="auto"/>
          <w:highlight w:val="none"/>
        </w:rPr>
      </w:pPr>
    </w:p>
    <w:p w14:paraId="7684DB5F">
      <w:pPr>
        <w:rPr>
          <w:color w:val="auto"/>
          <w:highlight w:val="none"/>
        </w:rPr>
      </w:pPr>
    </w:p>
    <w:bookmarkEnd w:id="301"/>
    <w:bookmarkEnd w:id="302"/>
    <w:p w14:paraId="12C443B1">
      <w:pPr>
        <w:pStyle w:val="6"/>
        <w:spacing w:before="0" w:line="360" w:lineRule="auto"/>
        <w:ind w:firstLine="0" w:firstLineChars="0"/>
        <w:rPr>
          <w:rFonts w:hAnsi="宋体" w:cs="宋体"/>
          <w:color w:val="auto"/>
          <w:highlight w:val="none"/>
        </w:rPr>
      </w:pPr>
      <w:bookmarkStart w:id="303" w:name="_Toc1428"/>
      <w:bookmarkStart w:id="304" w:name="_Toc31926"/>
      <w:r>
        <w:rPr>
          <w:rFonts w:hint="eastAsia" w:hAnsi="宋体" w:cs="宋体"/>
          <w:bCs/>
          <w:color w:val="auto"/>
          <w:sz w:val="28"/>
          <w:szCs w:val="32"/>
          <w:highlight w:val="none"/>
        </w:rPr>
        <w:t>（四）</w:t>
      </w:r>
      <w:r>
        <w:rPr>
          <w:rFonts w:hint="eastAsia" w:hAnsi="宋体" w:cs="宋体"/>
          <w:color w:val="auto"/>
          <w:szCs w:val="28"/>
          <w:highlight w:val="none"/>
        </w:rPr>
        <w:t>有依法缴纳税收和社会保障资金的良好记录</w:t>
      </w:r>
      <w:bookmarkEnd w:id="303"/>
      <w:bookmarkEnd w:id="304"/>
    </w:p>
    <w:p w14:paraId="43F2D790">
      <w:pPr>
        <w:spacing w:line="360" w:lineRule="auto"/>
        <w:ind w:firstLine="480" w:firstLineChars="200"/>
        <w:rPr>
          <w:rFonts w:hAnsi="宋体" w:cs="宋体"/>
          <w:color w:val="auto"/>
          <w:sz w:val="24"/>
          <w:highlight w:val="none"/>
        </w:rPr>
        <w:sectPr>
          <w:headerReference r:id="rId15" w:type="default"/>
          <w:footerReference r:id="rId16" w:type="default"/>
          <w:pgSz w:w="11906" w:h="16838"/>
          <w:pgMar w:top="1440" w:right="1080" w:bottom="1440" w:left="1080" w:header="720" w:footer="720" w:gutter="0"/>
          <w:cols w:space="720" w:num="1"/>
          <w:docGrid w:type="lines" w:linePitch="317" w:charSpace="0"/>
        </w:sectPr>
      </w:pPr>
      <w:r>
        <w:rPr>
          <w:rFonts w:hint="eastAsia" w:hAnsi="宋体" w:cs="宋体"/>
          <w:color w:val="auto"/>
          <w:sz w:val="24"/>
          <w:highlight w:val="none"/>
        </w:rPr>
        <w:t>提供具备依法缴纳税收和社会保障资金的良好记录的承诺或证明材料，格式自拟。</w:t>
      </w:r>
    </w:p>
    <w:p w14:paraId="6ADA234B">
      <w:pPr>
        <w:pStyle w:val="6"/>
        <w:spacing w:before="0" w:line="360" w:lineRule="auto"/>
        <w:ind w:firstLine="0" w:firstLineChars="0"/>
        <w:rPr>
          <w:rFonts w:hAnsi="宋体" w:cs="宋体"/>
          <w:color w:val="auto"/>
          <w:sz w:val="28"/>
          <w:szCs w:val="28"/>
          <w:highlight w:val="none"/>
        </w:rPr>
      </w:pPr>
      <w:bookmarkStart w:id="305" w:name="_Toc4022"/>
      <w:bookmarkEnd w:id="305"/>
      <w:bookmarkStart w:id="306" w:name="_Toc8069"/>
      <w:bookmarkEnd w:id="306"/>
      <w:bookmarkStart w:id="307" w:name="_Toc15558"/>
      <w:bookmarkStart w:id="308" w:name="_Toc26334"/>
      <w:bookmarkStart w:id="309" w:name="_Toc30512"/>
      <w:r>
        <w:rPr>
          <w:rFonts w:hint="eastAsia" w:hAnsi="宋体" w:cs="宋体"/>
          <w:bCs/>
          <w:color w:val="auto"/>
          <w:sz w:val="28"/>
          <w:szCs w:val="28"/>
          <w:highlight w:val="none"/>
        </w:rPr>
        <w:t>（五）</w:t>
      </w:r>
      <w:bookmarkEnd w:id="307"/>
      <w:r>
        <w:rPr>
          <w:rFonts w:hint="eastAsia" w:hAnsi="宋体" w:cs="宋体"/>
          <w:bCs/>
          <w:color w:val="auto"/>
          <w:sz w:val="28"/>
          <w:szCs w:val="28"/>
          <w:highlight w:val="none"/>
        </w:rPr>
        <w:t>参加政府采购活动前三年内，在经营活动中没有重大违法记录</w:t>
      </w:r>
      <w:bookmarkEnd w:id="308"/>
    </w:p>
    <w:p w14:paraId="12148964">
      <w:pPr>
        <w:jc w:val="center"/>
        <w:rPr>
          <w:rFonts w:hAnsi="宋体" w:cs="宋体"/>
          <w:b/>
          <w:bCs/>
          <w:color w:val="auto"/>
          <w:sz w:val="28"/>
          <w:szCs w:val="28"/>
          <w:highlight w:val="none"/>
        </w:rPr>
      </w:pPr>
      <w:r>
        <w:rPr>
          <w:rFonts w:hint="eastAsia" w:hAnsi="宋体" w:cs="宋体"/>
          <w:b/>
          <w:bCs/>
          <w:color w:val="auto"/>
          <w:sz w:val="28"/>
          <w:szCs w:val="28"/>
          <w:highlight w:val="none"/>
        </w:rPr>
        <w:t>书面声明</w:t>
      </w:r>
    </w:p>
    <w:p w14:paraId="74614A01">
      <w:pPr>
        <w:spacing w:line="360" w:lineRule="auto"/>
        <w:ind w:firstLine="480" w:firstLineChars="200"/>
        <w:rPr>
          <w:rFonts w:hAnsi="宋体" w:cs="宋体"/>
          <w:color w:val="auto"/>
          <w:sz w:val="24"/>
          <w:highlight w:val="none"/>
        </w:rPr>
      </w:pPr>
      <w:r>
        <w:rPr>
          <w:rFonts w:hint="eastAsia" w:hAnsi="宋体" w:cs="宋体"/>
          <w:color w:val="auto"/>
          <w:sz w:val="24"/>
          <w:highlight w:val="none"/>
        </w:rPr>
        <w:t>致：</w:t>
      </w:r>
      <w:r>
        <w:rPr>
          <w:rFonts w:hint="eastAsia" w:hAnsi="宋体" w:cs="宋体"/>
          <w:color w:val="auto"/>
          <w:sz w:val="24"/>
          <w:highlight w:val="none"/>
          <w:u w:val="single"/>
        </w:rPr>
        <w:t xml:space="preserve">        </w:t>
      </w:r>
      <w:r>
        <w:rPr>
          <w:rFonts w:hint="eastAsia" w:hAnsi="宋体" w:cs="宋体"/>
          <w:color w:val="auto"/>
          <w:sz w:val="24"/>
          <w:highlight w:val="none"/>
        </w:rPr>
        <w:t>（采购人）</w:t>
      </w:r>
    </w:p>
    <w:p w14:paraId="3CBF5311">
      <w:pPr>
        <w:spacing w:line="360" w:lineRule="auto"/>
        <w:ind w:firstLine="720" w:firstLineChars="300"/>
        <w:rPr>
          <w:rFonts w:hAnsi="宋体" w:cs="宋体"/>
          <w:color w:val="auto"/>
          <w:sz w:val="24"/>
          <w:highlight w:val="none"/>
        </w:rPr>
      </w:pPr>
      <w:r>
        <w:rPr>
          <w:rFonts w:hint="eastAsia" w:hAnsi="宋体" w:cs="宋体"/>
          <w:color w:val="auto"/>
          <w:sz w:val="24"/>
          <w:highlight w:val="none"/>
        </w:rPr>
        <w:t>（供应商自行承诺及说明，内容自拟）</w:t>
      </w:r>
    </w:p>
    <w:p w14:paraId="18B630C1">
      <w:pPr>
        <w:spacing w:line="360" w:lineRule="auto"/>
        <w:ind w:firstLine="480" w:firstLineChars="200"/>
        <w:rPr>
          <w:rFonts w:hAnsi="宋体" w:cs="宋体"/>
          <w:color w:val="auto"/>
          <w:sz w:val="24"/>
          <w:highlight w:val="none"/>
        </w:rPr>
      </w:pPr>
    </w:p>
    <w:p w14:paraId="35314933">
      <w:pPr>
        <w:spacing w:line="360" w:lineRule="auto"/>
        <w:ind w:firstLine="480" w:firstLineChars="200"/>
        <w:rPr>
          <w:rFonts w:hAnsi="宋体" w:cs="宋体"/>
          <w:color w:val="auto"/>
          <w:sz w:val="24"/>
          <w:highlight w:val="none"/>
        </w:rPr>
      </w:pPr>
    </w:p>
    <w:p w14:paraId="2548229A">
      <w:pPr>
        <w:spacing w:line="360" w:lineRule="auto"/>
        <w:ind w:firstLine="480" w:firstLineChars="200"/>
        <w:rPr>
          <w:rFonts w:hAnsi="宋体" w:cs="宋体"/>
          <w:color w:val="auto"/>
          <w:sz w:val="24"/>
          <w:highlight w:val="none"/>
        </w:rPr>
      </w:pPr>
    </w:p>
    <w:p w14:paraId="4ABB41CF">
      <w:pPr>
        <w:spacing w:line="360" w:lineRule="auto"/>
        <w:ind w:firstLine="480" w:firstLineChars="200"/>
        <w:rPr>
          <w:rFonts w:hAnsi="宋体" w:cs="宋体"/>
          <w:color w:val="auto"/>
          <w:sz w:val="24"/>
          <w:highlight w:val="none"/>
        </w:rPr>
      </w:pPr>
    </w:p>
    <w:p w14:paraId="2EF05F64">
      <w:pPr>
        <w:ind w:firstLine="1205" w:firstLineChars="500"/>
        <w:rPr>
          <w:rFonts w:hAnsi="宋体" w:cs="宋体"/>
          <w:b/>
          <w:bCs/>
          <w:color w:val="auto"/>
          <w:sz w:val="24"/>
          <w:highlight w:val="none"/>
        </w:rPr>
      </w:pPr>
    </w:p>
    <w:p w14:paraId="1A95FE24">
      <w:pPr>
        <w:ind w:firstLine="1205" w:firstLineChars="500"/>
        <w:rPr>
          <w:rFonts w:hAnsi="宋体" w:cs="宋体"/>
          <w:b/>
          <w:bCs/>
          <w:color w:val="auto"/>
          <w:sz w:val="24"/>
          <w:highlight w:val="none"/>
        </w:rPr>
      </w:pPr>
    </w:p>
    <w:p w14:paraId="55710D36">
      <w:pPr>
        <w:ind w:firstLine="1205" w:firstLineChars="500"/>
        <w:rPr>
          <w:rFonts w:hAnsi="宋体" w:cs="宋体"/>
          <w:b/>
          <w:bCs/>
          <w:color w:val="auto"/>
          <w:sz w:val="24"/>
          <w:highlight w:val="none"/>
        </w:rPr>
      </w:pPr>
    </w:p>
    <w:p w14:paraId="2191EEC7">
      <w:pPr>
        <w:pStyle w:val="2"/>
        <w:rPr>
          <w:color w:val="auto"/>
          <w:highlight w:val="none"/>
        </w:rPr>
      </w:pPr>
    </w:p>
    <w:p w14:paraId="704A0841">
      <w:pPr>
        <w:ind w:firstLine="1205" w:firstLineChars="500"/>
        <w:rPr>
          <w:rFonts w:hAnsi="宋体" w:cs="宋体"/>
          <w:b/>
          <w:bCs/>
          <w:color w:val="auto"/>
          <w:sz w:val="24"/>
          <w:highlight w:val="none"/>
        </w:rPr>
      </w:pPr>
    </w:p>
    <w:p w14:paraId="36B3FC64">
      <w:pPr>
        <w:tabs>
          <w:tab w:val="left" w:pos="6942"/>
          <w:tab w:val="left" w:pos="7535"/>
        </w:tabs>
        <w:spacing w:line="358" w:lineRule="auto"/>
        <w:jc w:val="left"/>
        <w:rPr>
          <w:rFonts w:hAnsi="宋体" w:cs="宋体"/>
          <w:bCs/>
          <w:color w:val="auto"/>
          <w:sz w:val="28"/>
          <w:highlight w:val="none"/>
        </w:rPr>
      </w:pPr>
      <w:r>
        <w:rPr>
          <w:rFonts w:hint="eastAsia" w:hAnsi="宋体" w:cs="宋体"/>
          <w:bCs/>
          <w:color w:val="auto"/>
          <w:sz w:val="28"/>
          <w:highlight w:val="none"/>
        </w:rPr>
        <w:t>供应商：</w:t>
      </w:r>
      <w:r>
        <w:rPr>
          <w:rFonts w:hint="eastAsia" w:hAnsi="宋体" w:cs="宋体"/>
          <w:bCs/>
          <w:color w:val="auto"/>
          <w:sz w:val="28"/>
          <w:highlight w:val="none"/>
          <w:u w:val="single"/>
        </w:rPr>
        <w:t xml:space="preserve">                     </w:t>
      </w:r>
      <w:r>
        <w:rPr>
          <w:rFonts w:hint="eastAsia" w:hAnsi="宋体" w:cs="宋体"/>
          <w:bCs/>
          <w:color w:val="auto"/>
          <w:sz w:val="28"/>
          <w:highlight w:val="none"/>
        </w:rPr>
        <w:t>（电子签章）</w:t>
      </w:r>
    </w:p>
    <w:p w14:paraId="390D4F1E">
      <w:pPr>
        <w:tabs>
          <w:tab w:val="left" w:pos="6942"/>
          <w:tab w:val="left" w:pos="7535"/>
        </w:tabs>
        <w:spacing w:line="358" w:lineRule="auto"/>
        <w:jc w:val="left"/>
        <w:rPr>
          <w:rFonts w:hAnsi="宋体" w:cs="宋体"/>
          <w:bCs/>
          <w:color w:val="auto"/>
          <w:sz w:val="28"/>
          <w:highlight w:val="none"/>
        </w:rPr>
      </w:pPr>
      <w:r>
        <w:rPr>
          <w:rFonts w:hint="eastAsia" w:hAnsi="宋体" w:cs="宋体"/>
          <w:bCs/>
          <w:color w:val="auto"/>
          <w:sz w:val="28"/>
          <w:highlight w:val="none"/>
        </w:rPr>
        <w:t>法定代表人（单位负责人）或其委托代理人：</w:t>
      </w:r>
      <w:r>
        <w:rPr>
          <w:rFonts w:hint="eastAsia" w:hAnsi="宋体" w:cs="宋体"/>
          <w:bCs/>
          <w:color w:val="auto"/>
          <w:sz w:val="28"/>
          <w:highlight w:val="none"/>
          <w:u w:val="single"/>
        </w:rPr>
        <w:t xml:space="preserve">        </w:t>
      </w:r>
      <w:r>
        <w:rPr>
          <w:rFonts w:hint="eastAsia" w:hAnsi="宋体" w:cs="宋体"/>
          <w:bCs/>
          <w:color w:val="auto"/>
          <w:spacing w:val="-1"/>
          <w:sz w:val="28"/>
          <w:highlight w:val="none"/>
        </w:rPr>
        <w:t>（电子签章或签名）</w:t>
      </w:r>
    </w:p>
    <w:p w14:paraId="49542845">
      <w:pPr>
        <w:rPr>
          <w:rFonts w:hAnsi="宋体" w:cs="宋体"/>
          <w:color w:val="auto"/>
          <w:highlight w:val="none"/>
        </w:rPr>
      </w:pPr>
      <w:r>
        <w:rPr>
          <w:rFonts w:hint="eastAsia" w:hAnsi="宋体" w:cs="宋体"/>
          <w:bCs/>
          <w:color w:val="auto"/>
          <w:sz w:val="28"/>
          <w:highlight w:val="none"/>
        </w:rPr>
        <w:t>日期：</w:t>
      </w:r>
      <w:r>
        <w:rPr>
          <w:rFonts w:hint="eastAsia" w:hAnsi="宋体" w:cs="宋体"/>
          <w:bCs/>
          <w:color w:val="auto"/>
          <w:sz w:val="28"/>
          <w:highlight w:val="none"/>
          <w:u w:val="single"/>
        </w:rPr>
        <w:t xml:space="preserve">       </w:t>
      </w:r>
      <w:r>
        <w:rPr>
          <w:rFonts w:hint="eastAsia" w:hAnsi="宋体" w:cs="宋体"/>
          <w:bCs/>
          <w:color w:val="auto"/>
          <w:sz w:val="28"/>
          <w:highlight w:val="none"/>
        </w:rPr>
        <w:t>年</w:t>
      </w:r>
      <w:r>
        <w:rPr>
          <w:rFonts w:hint="eastAsia" w:hAnsi="宋体" w:cs="宋体"/>
          <w:bCs/>
          <w:color w:val="auto"/>
          <w:sz w:val="28"/>
          <w:highlight w:val="none"/>
          <w:u w:val="single"/>
        </w:rPr>
        <w:t xml:space="preserve">   </w:t>
      </w:r>
      <w:r>
        <w:rPr>
          <w:rFonts w:hint="eastAsia" w:hAnsi="宋体" w:cs="宋体"/>
          <w:bCs/>
          <w:color w:val="auto"/>
          <w:sz w:val="28"/>
          <w:highlight w:val="none"/>
        </w:rPr>
        <w:t>月</w:t>
      </w:r>
      <w:r>
        <w:rPr>
          <w:rFonts w:hint="eastAsia" w:hAnsi="宋体" w:cs="宋体"/>
          <w:bCs/>
          <w:color w:val="auto"/>
          <w:sz w:val="28"/>
          <w:highlight w:val="none"/>
          <w:u w:val="single"/>
        </w:rPr>
        <w:t xml:space="preserve">    </w:t>
      </w:r>
      <w:r>
        <w:rPr>
          <w:rFonts w:hint="eastAsia" w:hAnsi="宋体" w:cs="宋体"/>
          <w:bCs/>
          <w:color w:val="auto"/>
          <w:sz w:val="28"/>
          <w:highlight w:val="none"/>
        </w:rPr>
        <w:t>日</w:t>
      </w:r>
    </w:p>
    <w:p w14:paraId="47A67C0B">
      <w:pPr>
        <w:pStyle w:val="2"/>
        <w:rPr>
          <w:b/>
          <w:color w:val="auto"/>
          <w:sz w:val="28"/>
          <w:szCs w:val="28"/>
          <w:highlight w:val="none"/>
        </w:rPr>
      </w:pPr>
    </w:p>
    <w:p w14:paraId="6C91EE1A">
      <w:pPr>
        <w:pStyle w:val="2"/>
        <w:rPr>
          <w:b/>
          <w:color w:val="auto"/>
          <w:sz w:val="28"/>
          <w:szCs w:val="28"/>
          <w:highlight w:val="none"/>
        </w:rPr>
      </w:pPr>
    </w:p>
    <w:p w14:paraId="6FD7FD64">
      <w:pPr>
        <w:pStyle w:val="2"/>
        <w:rPr>
          <w:b/>
          <w:color w:val="auto"/>
          <w:sz w:val="28"/>
          <w:szCs w:val="28"/>
          <w:highlight w:val="none"/>
        </w:rPr>
      </w:pPr>
    </w:p>
    <w:p w14:paraId="483DFC3B">
      <w:pPr>
        <w:pStyle w:val="2"/>
        <w:rPr>
          <w:b/>
          <w:color w:val="auto"/>
          <w:sz w:val="28"/>
          <w:szCs w:val="28"/>
          <w:highlight w:val="none"/>
        </w:rPr>
      </w:pPr>
    </w:p>
    <w:p w14:paraId="06CFDFB8">
      <w:pPr>
        <w:pStyle w:val="2"/>
        <w:rPr>
          <w:b/>
          <w:color w:val="auto"/>
          <w:sz w:val="28"/>
          <w:szCs w:val="28"/>
          <w:highlight w:val="none"/>
        </w:rPr>
      </w:pPr>
    </w:p>
    <w:p w14:paraId="7C89BA0C">
      <w:pPr>
        <w:pStyle w:val="2"/>
        <w:rPr>
          <w:rFonts w:cs="宋体"/>
          <w:color w:val="auto"/>
          <w:highlight w:val="none"/>
        </w:rPr>
      </w:pPr>
    </w:p>
    <w:p w14:paraId="0CBF377D">
      <w:pPr>
        <w:pStyle w:val="2"/>
        <w:rPr>
          <w:rFonts w:cs="宋体"/>
          <w:color w:val="auto"/>
          <w:highlight w:val="none"/>
        </w:rPr>
      </w:pPr>
    </w:p>
    <w:p w14:paraId="30B92088">
      <w:pPr>
        <w:pStyle w:val="2"/>
        <w:rPr>
          <w:rFonts w:cs="宋体"/>
          <w:color w:val="auto"/>
          <w:highlight w:val="none"/>
        </w:rPr>
      </w:pPr>
    </w:p>
    <w:p w14:paraId="4F7E4AAB">
      <w:pPr>
        <w:spacing w:line="360" w:lineRule="auto"/>
        <w:ind w:firstLine="480" w:firstLineChars="200"/>
        <w:rPr>
          <w:rFonts w:hAnsi="宋体" w:cs="宋体"/>
          <w:color w:val="auto"/>
          <w:sz w:val="24"/>
          <w:highlight w:val="none"/>
        </w:rPr>
      </w:pPr>
      <w:r>
        <w:rPr>
          <w:rFonts w:hint="eastAsia" w:hAnsi="宋体" w:cs="宋体"/>
          <w:color w:val="auto"/>
          <w:sz w:val="24"/>
          <w:highlight w:val="none"/>
        </w:rPr>
        <w:t>注：重大违法记录是指供应商因违法经营受到刑事处罚或者责令停产停业、吊销许可证或者执照、较大数额罚款（较大数额罚款是指200万元以上罚款）。</w:t>
      </w:r>
    </w:p>
    <w:bookmarkEnd w:id="309"/>
    <w:p w14:paraId="000DE37F">
      <w:pPr>
        <w:spacing w:line="360" w:lineRule="auto"/>
        <w:rPr>
          <w:rFonts w:hAnsi="宋体"/>
          <w:color w:val="auto"/>
          <w:highlight w:val="none"/>
        </w:rPr>
      </w:pPr>
      <w:bookmarkStart w:id="310" w:name="_Toc15638"/>
      <w:bookmarkEnd w:id="310"/>
      <w:bookmarkStart w:id="311" w:name="_Toc16296"/>
      <w:bookmarkEnd w:id="311"/>
      <w:bookmarkStart w:id="312" w:name="_Toc15765"/>
    </w:p>
    <w:bookmarkEnd w:id="312"/>
    <w:p w14:paraId="0AE1ADDC">
      <w:pPr>
        <w:spacing w:line="440" w:lineRule="exact"/>
        <w:rPr>
          <w:rStyle w:val="47"/>
          <w:color w:val="auto"/>
          <w:highlight w:val="none"/>
        </w:rPr>
      </w:pPr>
      <w:bookmarkStart w:id="313" w:name="_Toc29133"/>
      <w:bookmarkEnd w:id="313"/>
    </w:p>
    <w:p w14:paraId="43E46ABE">
      <w:pPr>
        <w:pStyle w:val="6"/>
        <w:ind w:firstLine="482"/>
        <w:rPr>
          <w:color w:val="auto"/>
          <w:highlight w:val="none"/>
        </w:rPr>
        <w:sectPr>
          <w:pgSz w:w="11906" w:h="16838"/>
          <w:pgMar w:top="1440" w:right="1080" w:bottom="1440" w:left="1080" w:header="720" w:footer="720" w:gutter="0"/>
          <w:cols w:space="720" w:num="1"/>
          <w:docGrid w:type="lines" w:linePitch="317" w:charSpace="0"/>
        </w:sectPr>
      </w:pPr>
    </w:p>
    <w:p w14:paraId="2822D890">
      <w:pPr>
        <w:pStyle w:val="6"/>
        <w:spacing w:before="0" w:line="360" w:lineRule="auto"/>
        <w:ind w:firstLine="0" w:firstLineChars="0"/>
        <w:rPr>
          <w:rFonts w:hAnsi="宋体" w:cs="宋体"/>
          <w:bCs/>
          <w:color w:val="auto"/>
          <w:sz w:val="28"/>
          <w:szCs w:val="32"/>
          <w:highlight w:val="none"/>
        </w:rPr>
      </w:pPr>
      <w:bookmarkStart w:id="314" w:name="_Toc22109"/>
      <w:bookmarkStart w:id="315" w:name="_Toc31258"/>
      <w:r>
        <w:rPr>
          <w:rFonts w:hint="eastAsia" w:hAnsi="宋体" w:cs="宋体"/>
          <w:bCs/>
          <w:color w:val="auto"/>
          <w:sz w:val="28"/>
          <w:szCs w:val="32"/>
          <w:highlight w:val="none"/>
        </w:rPr>
        <w:t>（六）法律、行政法规规定的其他条件</w:t>
      </w:r>
      <w:bookmarkEnd w:id="314"/>
      <w:bookmarkEnd w:id="315"/>
    </w:p>
    <w:p w14:paraId="1A42F811">
      <w:pPr>
        <w:widowControl/>
        <w:spacing w:line="360" w:lineRule="auto"/>
        <w:ind w:firstLine="480" w:firstLineChars="200"/>
        <w:rPr>
          <w:rFonts w:hAnsi="宋体"/>
          <w:color w:val="auto"/>
          <w:sz w:val="24"/>
          <w:highlight w:val="none"/>
        </w:rPr>
      </w:pPr>
      <w:r>
        <w:rPr>
          <w:rFonts w:hint="eastAsia" w:hAnsi="宋体" w:cs="宋体"/>
          <w:color w:val="auto"/>
          <w:kern w:val="0"/>
          <w:sz w:val="24"/>
          <w:highlight w:val="none"/>
        </w:rPr>
        <w:t>单位负责人为同一人或者存在直接控股、管理关系的不同供应商，不得参加同一合同项下的政府采购活动</w:t>
      </w:r>
      <w:r>
        <w:rPr>
          <w:rFonts w:hint="eastAsia" w:hAnsi="宋体"/>
          <w:color w:val="auto"/>
          <w:sz w:val="24"/>
          <w:highlight w:val="none"/>
        </w:rPr>
        <w:t>。</w:t>
      </w:r>
    </w:p>
    <w:p w14:paraId="557D0201">
      <w:pPr>
        <w:spacing w:line="360" w:lineRule="auto"/>
        <w:ind w:firstLine="482" w:firstLineChars="200"/>
        <w:rPr>
          <w:rFonts w:hAnsi="宋体"/>
          <w:color w:val="auto"/>
          <w:sz w:val="24"/>
          <w:highlight w:val="none"/>
        </w:rPr>
      </w:pPr>
      <w:r>
        <w:rPr>
          <w:rFonts w:hint="eastAsia" w:hAnsi="宋体"/>
          <w:b/>
          <w:bCs/>
          <w:color w:val="auto"/>
          <w:sz w:val="24"/>
          <w:highlight w:val="none"/>
        </w:rPr>
        <w:t>提供不存在此项规定的承诺或说明。</w:t>
      </w:r>
    </w:p>
    <w:p w14:paraId="03142D81">
      <w:pPr>
        <w:tabs>
          <w:tab w:val="left" w:pos="3611"/>
          <w:tab w:val="left" w:pos="4626"/>
          <w:tab w:val="left" w:pos="5642"/>
        </w:tabs>
        <w:spacing w:before="15"/>
        <w:jc w:val="left"/>
        <w:rPr>
          <w:rFonts w:hAnsi="宋体" w:cs="宋体"/>
          <w:bCs/>
          <w:color w:val="auto"/>
          <w:sz w:val="28"/>
          <w:highlight w:val="none"/>
        </w:rPr>
      </w:pPr>
    </w:p>
    <w:p w14:paraId="15FE7707">
      <w:pPr>
        <w:tabs>
          <w:tab w:val="left" w:pos="3611"/>
          <w:tab w:val="left" w:pos="4626"/>
          <w:tab w:val="left" w:pos="5642"/>
        </w:tabs>
        <w:spacing w:before="15"/>
        <w:jc w:val="left"/>
        <w:rPr>
          <w:rFonts w:hAnsi="宋体" w:cs="宋体"/>
          <w:bCs/>
          <w:color w:val="auto"/>
          <w:sz w:val="28"/>
          <w:highlight w:val="none"/>
        </w:rPr>
      </w:pPr>
    </w:p>
    <w:p w14:paraId="08A3979D">
      <w:pPr>
        <w:tabs>
          <w:tab w:val="left" w:pos="3611"/>
          <w:tab w:val="left" w:pos="4626"/>
          <w:tab w:val="left" w:pos="5642"/>
        </w:tabs>
        <w:spacing w:before="15"/>
        <w:jc w:val="left"/>
        <w:rPr>
          <w:rFonts w:hAnsi="宋体" w:cs="宋体"/>
          <w:bCs/>
          <w:color w:val="auto"/>
          <w:sz w:val="28"/>
          <w:highlight w:val="none"/>
        </w:rPr>
      </w:pPr>
    </w:p>
    <w:bookmarkEnd w:id="287"/>
    <w:p w14:paraId="544E30B2">
      <w:pPr>
        <w:spacing w:line="360" w:lineRule="auto"/>
        <w:rPr>
          <w:color w:val="auto"/>
          <w:highlight w:val="none"/>
        </w:rPr>
      </w:pPr>
      <w:bookmarkStart w:id="316" w:name="_Hlk3284289"/>
    </w:p>
    <w:bookmarkEnd w:id="316"/>
    <w:p w14:paraId="7CCC21B4">
      <w:pPr>
        <w:pStyle w:val="6"/>
        <w:spacing w:before="0" w:line="360" w:lineRule="auto"/>
        <w:ind w:firstLine="0" w:firstLineChars="0"/>
        <w:rPr>
          <w:rFonts w:hAnsi="宋体" w:cs="宋体"/>
          <w:bCs/>
          <w:color w:val="auto"/>
          <w:sz w:val="28"/>
          <w:szCs w:val="32"/>
          <w:highlight w:val="none"/>
        </w:rPr>
      </w:pPr>
      <w:bookmarkStart w:id="317" w:name="_Toc27894"/>
      <w:bookmarkStart w:id="318" w:name="_Toc17331"/>
      <w:bookmarkStart w:id="319" w:name="_Toc28038"/>
      <w:bookmarkStart w:id="320" w:name="_Toc24676"/>
      <w:r>
        <w:rPr>
          <w:rFonts w:hint="eastAsia" w:hAnsi="宋体" w:cs="宋体"/>
          <w:bCs/>
          <w:color w:val="auto"/>
          <w:sz w:val="28"/>
          <w:szCs w:val="32"/>
          <w:highlight w:val="none"/>
        </w:rPr>
        <w:t>（七）信用要求</w:t>
      </w:r>
      <w:bookmarkEnd w:id="317"/>
    </w:p>
    <w:p w14:paraId="4831949A">
      <w:pPr>
        <w:spacing w:line="360" w:lineRule="auto"/>
        <w:ind w:firstLine="480" w:firstLineChars="200"/>
        <w:rPr>
          <w:rFonts w:hAnsi="宋体"/>
          <w:b/>
          <w:bCs/>
          <w:color w:val="auto"/>
          <w:sz w:val="24"/>
          <w:highlight w:val="none"/>
        </w:rPr>
      </w:pPr>
      <w:r>
        <w:rPr>
          <w:rFonts w:hint="eastAsia" w:hAnsi="宋体" w:cs="宋体"/>
          <w:color w:val="auto"/>
          <w:kern w:val="2"/>
          <w:sz w:val="24"/>
          <w:highlight w:val="none"/>
          <w:lang w:bidi="ar"/>
        </w:rPr>
        <w:t>供应商应在“信用中国”网站(www.creditchina.gov.cn)未被列入失信被执行人记录、重大税收违法失信主体且在中国政府采购网(www.ccgp.gov.cn)没有政府采购严重违法失信行为记录。</w:t>
      </w:r>
    </w:p>
    <w:p w14:paraId="0FCB8DA6">
      <w:pPr>
        <w:spacing w:line="360" w:lineRule="auto"/>
        <w:ind w:firstLine="480" w:firstLineChars="200"/>
        <w:rPr>
          <w:rFonts w:hAnsi="宋体" w:cs="宋体"/>
          <w:color w:val="auto"/>
          <w:kern w:val="2"/>
          <w:sz w:val="24"/>
          <w:highlight w:val="none"/>
          <w:lang w:bidi="ar"/>
        </w:rPr>
      </w:pPr>
      <w:r>
        <w:rPr>
          <w:rFonts w:hint="eastAsia" w:hAnsi="宋体" w:cs="宋体"/>
          <w:color w:val="auto"/>
          <w:kern w:val="0"/>
          <w:sz w:val="24"/>
          <w:highlight w:val="none"/>
        </w:rPr>
        <w:t>由采购代理机构负责在项目评审会议开始前查询，评审时由相关工作人员统一提供给项目协商小组。</w:t>
      </w:r>
    </w:p>
    <w:p w14:paraId="70170582">
      <w:pPr>
        <w:spacing w:line="360" w:lineRule="auto"/>
        <w:ind w:firstLine="480" w:firstLineChars="200"/>
        <w:rPr>
          <w:rFonts w:hAnsi="宋体" w:cs="宋体"/>
          <w:color w:val="auto"/>
          <w:kern w:val="2"/>
          <w:sz w:val="24"/>
          <w:highlight w:val="none"/>
          <w:lang w:bidi="ar"/>
        </w:rPr>
      </w:pPr>
    </w:p>
    <w:p w14:paraId="28F2AC73">
      <w:pPr>
        <w:spacing w:line="360" w:lineRule="auto"/>
        <w:ind w:firstLine="482" w:firstLineChars="200"/>
        <w:rPr>
          <w:rFonts w:hAnsi="宋体"/>
          <w:b/>
          <w:bCs/>
          <w:color w:val="auto"/>
          <w:sz w:val="24"/>
          <w:highlight w:val="none"/>
        </w:rPr>
      </w:pPr>
    </w:p>
    <w:p w14:paraId="6BD0A07A">
      <w:pPr>
        <w:spacing w:line="360" w:lineRule="auto"/>
        <w:ind w:firstLine="482" w:firstLineChars="200"/>
        <w:rPr>
          <w:rFonts w:hAnsi="宋体"/>
          <w:b/>
          <w:bCs/>
          <w:color w:val="auto"/>
          <w:sz w:val="24"/>
          <w:highlight w:val="none"/>
        </w:rPr>
      </w:pPr>
    </w:p>
    <w:p w14:paraId="175289D5">
      <w:pPr>
        <w:spacing w:line="360" w:lineRule="auto"/>
        <w:ind w:firstLine="482" w:firstLineChars="200"/>
        <w:rPr>
          <w:rFonts w:hAnsi="宋体"/>
          <w:b/>
          <w:bCs/>
          <w:color w:val="auto"/>
          <w:sz w:val="24"/>
          <w:highlight w:val="none"/>
        </w:rPr>
      </w:pPr>
    </w:p>
    <w:p w14:paraId="6770580D">
      <w:pPr>
        <w:spacing w:line="360" w:lineRule="auto"/>
        <w:ind w:firstLine="482" w:firstLineChars="200"/>
        <w:rPr>
          <w:rFonts w:hAnsi="宋体"/>
          <w:b/>
          <w:bCs/>
          <w:color w:val="auto"/>
          <w:sz w:val="24"/>
          <w:highlight w:val="none"/>
        </w:rPr>
      </w:pPr>
    </w:p>
    <w:p w14:paraId="22F75399">
      <w:pPr>
        <w:pStyle w:val="6"/>
        <w:ind w:firstLine="0" w:firstLineChars="0"/>
        <w:rPr>
          <w:rFonts w:hAnsi="宋体" w:cs="宋体"/>
          <w:color w:val="auto"/>
          <w:sz w:val="28"/>
          <w:szCs w:val="28"/>
          <w:highlight w:val="none"/>
        </w:rPr>
      </w:pPr>
      <w:bookmarkStart w:id="321" w:name="_Toc23643"/>
      <w:r>
        <w:rPr>
          <w:rFonts w:hint="eastAsia" w:hAnsi="宋体" w:cs="宋体"/>
          <w:bCs/>
          <w:color w:val="auto"/>
          <w:sz w:val="28"/>
          <w:szCs w:val="28"/>
          <w:highlight w:val="none"/>
        </w:rPr>
        <w:t>（八）</w:t>
      </w:r>
      <w:r>
        <w:rPr>
          <w:rFonts w:hint="eastAsia" w:hAnsi="宋体" w:cs="宋体"/>
          <w:color w:val="auto"/>
          <w:sz w:val="28"/>
          <w:szCs w:val="28"/>
          <w:highlight w:val="none"/>
        </w:rPr>
        <w:t>其他</w:t>
      </w:r>
      <w:bookmarkEnd w:id="318"/>
      <w:bookmarkEnd w:id="319"/>
      <w:bookmarkEnd w:id="320"/>
      <w:bookmarkEnd w:id="321"/>
    </w:p>
    <w:p w14:paraId="17DA54E7">
      <w:pPr>
        <w:spacing w:line="360" w:lineRule="auto"/>
        <w:ind w:firstLine="480" w:firstLineChars="200"/>
        <w:jc w:val="left"/>
        <w:rPr>
          <w:rFonts w:hAnsi="宋体"/>
          <w:color w:val="auto"/>
          <w:sz w:val="24"/>
          <w:highlight w:val="none"/>
        </w:rPr>
      </w:pPr>
    </w:p>
    <w:p w14:paraId="5573119A">
      <w:pPr>
        <w:pStyle w:val="9"/>
        <w:rPr>
          <w:color w:val="auto"/>
          <w:highlight w:val="none"/>
        </w:rPr>
      </w:pPr>
      <w:r>
        <w:rPr>
          <w:rFonts w:hint="eastAsia" w:ascii="宋体" w:hAnsi="宋体"/>
          <w:color w:val="auto"/>
          <w:sz w:val="24"/>
          <w:szCs w:val="24"/>
          <w:highlight w:val="none"/>
        </w:rPr>
        <w:t>单一来源采购文件要求及</w:t>
      </w:r>
      <w:r>
        <w:rPr>
          <w:rFonts w:hint="eastAsia" w:hAnsi="宋体"/>
          <w:color w:val="auto"/>
          <w:sz w:val="24"/>
          <w:szCs w:val="24"/>
          <w:highlight w:val="none"/>
        </w:rPr>
        <w:t>供应商</w:t>
      </w:r>
      <w:r>
        <w:rPr>
          <w:rFonts w:hint="eastAsia" w:ascii="宋体" w:hAnsi="宋体"/>
          <w:color w:val="auto"/>
          <w:sz w:val="24"/>
          <w:szCs w:val="24"/>
          <w:highlight w:val="none"/>
        </w:rPr>
        <w:t>认为需要提交的其他资格证明材料。</w:t>
      </w:r>
    </w:p>
    <w:p w14:paraId="0121A816">
      <w:pPr>
        <w:pStyle w:val="4"/>
        <w:spacing w:before="158" w:beforeLines="50" w:after="158" w:afterLines="50"/>
        <w:rPr>
          <w:rFonts w:ascii="宋体" w:hAnsi="宋体"/>
          <w:color w:val="auto"/>
          <w:szCs w:val="30"/>
          <w:highlight w:val="none"/>
        </w:rPr>
      </w:pPr>
      <w:r>
        <w:rPr>
          <w:rFonts w:hAnsi="宋体"/>
          <w:bCs/>
          <w:color w:val="auto"/>
          <w:szCs w:val="28"/>
          <w:highlight w:val="none"/>
        </w:rPr>
        <w:br w:type="page"/>
      </w:r>
      <w:bookmarkEnd w:id="280"/>
      <w:bookmarkEnd w:id="288"/>
      <w:bookmarkEnd w:id="289"/>
      <w:bookmarkEnd w:id="290"/>
      <w:bookmarkStart w:id="322" w:name="_Toc16819"/>
      <w:bookmarkStart w:id="323" w:name="_Toc3407"/>
      <w:bookmarkStart w:id="324" w:name="_Toc5344"/>
      <w:bookmarkStart w:id="325" w:name="_Toc7528834"/>
      <w:bookmarkStart w:id="326" w:name="_Toc8429"/>
      <w:bookmarkStart w:id="327" w:name="_Toc10377"/>
      <w:r>
        <w:rPr>
          <w:rFonts w:hint="eastAsia" w:ascii="宋体" w:hAnsi="宋体"/>
          <w:color w:val="auto"/>
          <w:szCs w:val="30"/>
          <w:highlight w:val="none"/>
        </w:rPr>
        <w:t>八、本项目拟投入人员表</w:t>
      </w:r>
      <w:bookmarkEnd w:id="322"/>
      <w:bookmarkEnd w:id="323"/>
    </w:p>
    <w:p w14:paraId="5E64F3B3">
      <w:pPr>
        <w:widowControl/>
        <w:autoSpaceDE w:val="0"/>
        <w:spacing w:line="360" w:lineRule="auto"/>
        <w:jc w:val="center"/>
        <w:rPr>
          <w:rFonts w:hAnsi="宋体" w:cs="宋体"/>
          <w:color w:val="auto"/>
          <w:sz w:val="28"/>
          <w:szCs w:val="28"/>
          <w:highlight w:val="none"/>
        </w:rPr>
      </w:pPr>
      <w:r>
        <w:rPr>
          <w:rFonts w:hint="eastAsia" w:hAnsi="宋体" w:cs="宋体"/>
          <w:color w:val="auto"/>
          <w:sz w:val="28"/>
          <w:szCs w:val="28"/>
          <w:highlight w:val="none"/>
        </w:rPr>
        <w:t>(格式自拟)</w:t>
      </w:r>
    </w:p>
    <w:p w14:paraId="67F03C06">
      <w:pPr>
        <w:rPr>
          <w:color w:val="auto"/>
          <w:highlight w:val="none"/>
        </w:rPr>
      </w:pPr>
    </w:p>
    <w:p w14:paraId="66AC95B2">
      <w:pPr>
        <w:rPr>
          <w:color w:val="auto"/>
          <w:highlight w:val="none"/>
        </w:rPr>
      </w:pPr>
    </w:p>
    <w:p w14:paraId="49DFF25B">
      <w:pPr>
        <w:rPr>
          <w:color w:val="auto"/>
          <w:highlight w:val="none"/>
        </w:rPr>
      </w:pPr>
    </w:p>
    <w:p w14:paraId="7C2BC76C">
      <w:pPr>
        <w:pStyle w:val="10"/>
        <w:rPr>
          <w:color w:val="auto"/>
          <w:highlight w:val="none"/>
        </w:rPr>
      </w:pPr>
    </w:p>
    <w:p w14:paraId="3A2B8D5C">
      <w:pPr>
        <w:pStyle w:val="10"/>
        <w:rPr>
          <w:color w:val="auto"/>
          <w:highlight w:val="none"/>
        </w:rPr>
      </w:pPr>
    </w:p>
    <w:p w14:paraId="7A943906">
      <w:pPr>
        <w:pStyle w:val="10"/>
        <w:rPr>
          <w:color w:val="auto"/>
          <w:highlight w:val="none"/>
        </w:rPr>
      </w:pPr>
    </w:p>
    <w:p w14:paraId="4F453994">
      <w:pPr>
        <w:pStyle w:val="10"/>
        <w:rPr>
          <w:color w:val="auto"/>
          <w:highlight w:val="none"/>
        </w:rPr>
      </w:pPr>
    </w:p>
    <w:p w14:paraId="20389042">
      <w:pPr>
        <w:pStyle w:val="10"/>
        <w:rPr>
          <w:color w:val="auto"/>
          <w:highlight w:val="none"/>
        </w:rPr>
      </w:pPr>
    </w:p>
    <w:p w14:paraId="2A3DD55D">
      <w:pPr>
        <w:pStyle w:val="9"/>
        <w:rPr>
          <w:color w:val="auto"/>
          <w:highlight w:val="none"/>
        </w:rPr>
      </w:pPr>
    </w:p>
    <w:p w14:paraId="28E128E9">
      <w:pPr>
        <w:pStyle w:val="4"/>
        <w:spacing w:before="158" w:beforeLines="50" w:after="158" w:afterLines="50"/>
        <w:rPr>
          <w:rFonts w:ascii="宋体" w:hAnsi="宋体"/>
          <w:color w:val="auto"/>
          <w:szCs w:val="30"/>
          <w:highlight w:val="none"/>
        </w:rPr>
      </w:pPr>
      <w:bookmarkStart w:id="328" w:name="_Toc18393"/>
      <w:bookmarkStart w:id="329" w:name="_Toc29430"/>
      <w:r>
        <w:rPr>
          <w:rFonts w:hint="eastAsia" w:ascii="宋体" w:hAnsi="宋体"/>
          <w:color w:val="auto"/>
          <w:szCs w:val="30"/>
          <w:highlight w:val="none"/>
        </w:rPr>
        <w:t>九、服务方案的详细描述</w:t>
      </w:r>
      <w:bookmarkEnd w:id="324"/>
      <w:bookmarkEnd w:id="325"/>
      <w:bookmarkEnd w:id="326"/>
      <w:bookmarkEnd w:id="328"/>
      <w:bookmarkEnd w:id="329"/>
    </w:p>
    <w:p w14:paraId="0F00631A">
      <w:pPr>
        <w:widowControl/>
        <w:autoSpaceDE w:val="0"/>
        <w:spacing w:line="360" w:lineRule="auto"/>
        <w:jc w:val="center"/>
        <w:rPr>
          <w:rFonts w:hAnsi="宋体" w:cs="宋体"/>
          <w:color w:val="auto"/>
          <w:sz w:val="28"/>
          <w:szCs w:val="28"/>
          <w:highlight w:val="none"/>
        </w:rPr>
      </w:pPr>
      <w:r>
        <w:rPr>
          <w:rFonts w:hint="eastAsia" w:hAnsi="宋体" w:cs="宋体"/>
          <w:color w:val="auto"/>
          <w:sz w:val="28"/>
          <w:szCs w:val="28"/>
          <w:highlight w:val="none"/>
        </w:rPr>
        <w:t>(格式自拟)</w:t>
      </w:r>
    </w:p>
    <w:p w14:paraId="553E5387">
      <w:pPr>
        <w:autoSpaceDE w:val="0"/>
        <w:spacing w:line="360" w:lineRule="auto"/>
        <w:ind w:firstLine="960" w:firstLineChars="400"/>
        <w:rPr>
          <w:rFonts w:hAnsi="宋体"/>
          <w:color w:val="auto"/>
          <w:sz w:val="24"/>
          <w:highlight w:val="none"/>
        </w:rPr>
      </w:pPr>
    </w:p>
    <w:p w14:paraId="26932974">
      <w:pPr>
        <w:pStyle w:val="10"/>
        <w:rPr>
          <w:color w:val="auto"/>
          <w:highlight w:val="none"/>
        </w:rPr>
      </w:pPr>
    </w:p>
    <w:p w14:paraId="590C8E33">
      <w:pPr>
        <w:pStyle w:val="10"/>
        <w:rPr>
          <w:rFonts w:hAnsi="宋体"/>
          <w:color w:val="auto"/>
          <w:sz w:val="24"/>
          <w:highlight w:val="none"/>
        </w:rPr>
      </w:pPr>
    </w:p>
    <w:p w14:paraId="48898843">
      <w:pPr>
        <w:pStyle w:val="10"/>
        <w:rPr>
          <w:rFonts w:hAnsi="宋体"/>
          <w:color w:val="auto"/>
          <w:sz w:val="24"/>
          <w:highlight w:val="none"/>
        </w:rPr>
      </w:pPr>
    </w:p>
    <w:p w14:paraId="55161B26">
      <w:pPr>
        <w:pStyle w:val="10"/>
        <w:rPr>
          <w:rFonts w:hAnsi="宋体"/>
          <w:color w:val="auto"/>
          <w:sz w:val="24"/>
          <w:highlight w:val="none"/>
        </w:rPr>
      </w:pPr>
    </w:p>
    <w:p w14:paraId="6DEF4AAF">
      <w:pPr>
        <w:pStyle w:val="10"/>
        <w:rPr>
          <w:rFonts w:hAnsi="宋体"/>
          <w:color w:val="auto"/>
          <w:sz w:val="24"/>
          <w:highlight w:val="none"/>
        </w:rPr>
      </w:pPr>
    </w:p>
    <w:p w14:paraId="5EA04FF6">
      <w:pPr>
        <w:autoSpaceDE w:val="0"/>
        <w:spacing w:line="360" w:lineRule="auto"/>
        <w:ind w:firstLine="960" w:firstLineChars="400"/>
        <w:rPr>
          <w:rFonts w:hAnsi="宋体"/>
          <w:color w:val="auto"/>
          <w:sz w:val="24"/>
          <w:highlight w:val="none"/>
        </w:rPr>
      </w:pPr>
    </w:p>
    <w:p w14:paraId="5C86FEC1">
      <w:pPr>
        <w:pStyle w:val="4"/>
        <w:spacing w:before="158" w:beforeLines="50" w:after="158" w:afterLines="50"/>
        <w:rPr>
          <w:rFonts w:ascii="宋体" w:hAnsi="宋体"/>
          <w:color w:val="auto"/>
          <w:szCs w:val="30"/>
          <w:highlight w:val="none"/>
        </w:rPr>
      </w:pPr>
      <w:bookmarkStart w:id="330" w:name="_Toc20683"/>
      <w:bookmarkEnd w:id="330"/>
      <w:bookmarkStart w:id="331" w:name="_Toc12082"/>
      <w:bookmarkEnd w:id="331"/>
      <w:bookmarkStart w:id="332" w:name="_Toc16675"/>
      <w:bookmarkStart w:id="333" w:name="_Toc23984"/>
      <w:bookmarkStart w:id="334" w:name="_Toc21474"/>
      <w:bookmarkStart w:id="335" w:name="_Toc13997"/>
      <w:bookmarkStart w:id="336" w:name="_Toc7528835"/>
      <w:r>
        <w:rPr>
          <w:rFonts w:hint="eastAsia" w:ascii="宋体" w:hAnsi="宋体"/>
          <w:color w:val="auto"/>
          <w:szCs w:val="30"/>
          <w:highlight w:val="none"/>
        </w:rPr>
        <w:t>十、服务质量和保障措施</w:t>
      </w:r>
      <w:bookmarkEnd w:id="332"/>
      <w:bookmarkEnd w:id="333"/>
      <w:bookmarkEnd w:id="334"/>
      <w:bookmarkEnd w:id="335"/>
      <w:bookmarkEnd w:id="336"/>
    </w:p>
    <w:p w14:paraId="47E9B2BF">
      <w:pPr>
        <w:widowControl/>
        <w:autoSpaceDE w:val="0"/>
        <w:spacing w:line="360" w:lineRule="auto"/>
        <w:jc w:val="center"/>
        <w:rPr>
          <w:rFonts w:hAnsi="宋体" w:cs="宋体"/>
          <w:color w:val="auto"/>
          <w:sz w:val="28"/>
          <w:szCs w:val="28"/>
          <w:highlight w:val="none"/>
        </w:rPr>
      </w:pPr>
      <w:r>
        <w:rPr>
          <w:rFonts w:hint="eastAsia" w:hAnsi="宋体" w:cs="宋体"/>
          <w:color w:val="auto"/>
          <w:sz w:val="28"/>
          <w:szCs w:val="28"/>
          <w:highlight w:val="none"/>
        </w:rPr>
        <w:t>(格式自拟)</w:t>
      </w:r>
    </w:p>
    <w:p w14:paraId="7B98D8EC">
      <w:pPr>
        <w:rPr>
          <w:color w:val="auto"/>
          <w:highlight w:val="none"/>
        </w:rPr>
      </w:pPr>
    </w:p>
    <w:p w14:paraId="7673141F">
      <w:pPr>
        <w:rPr>
          <w:color w:val="auto"/>
          <w:highlight w:val="none"/>
        </w:rPr>
      </w:pPr>
    </w:p>
    <w:p w14:paraId="7AD43900">
      <w:pPr>
        <w:pStyle w:val="10"/>
        <w:rPr>
          <w:color w:val="auto"/>
          <w:highlight w:val="none"/>
        </w:rPr>
      </w:pPr>
    </w:p>
    <w:p w14:paraId="46DBAF8C">
      <w:pPr>
        <w:pStyle w:val="2"/>
        <w:rPr>
          <w:color w:val="auto"/>
          <w:highlight w:val="none"/>
        </w:rPr>
      </w:pPr>
    </w:p>
    <w:p w14:paraId="59BF4FDB">
      <w:pPr>
        <w:pStyle w:val="2"/>
        <w:rPr>
          <w:color w:val="auto"/>
          <w:highlight w:val="none"/>
        </w:rPr>
      </w:pPr>
    </w:p>
    <w:p w14:paraId="63CFAD64">
      <w:pPr>
        <w:pStyle w:val="2"/>
        <w:rPr>
          <w:color w:val="auto"/>
          <w:highlight w:val="none"/>
        </w:rPr>
      </w:pPr>
    </w:p>
    <w:p w14:paraId="2F9902F4">
      <w:pPr>
        <w:pStyle w:val="2"/>
        <w:rPr>
          <w:color w:val="auto"/>
          <w:highlight w:val="none"/>
        </w:rPr>
      </w:pPr>
    </w:p>
    <w:p w14:paraId="019C8374">
      <w:pPr>
        <w:pStyle w:val="4"/>
        <w:spacing w:before="158" w:beforeLines="50" w:after="158" w:afterLines="50"/>
        <w:rPr>
          <w:rFonts w:ascii="宋体" w:hAnsi="宋体"/>
          <w:color w:val="auto"/>
          <w:szCs w:val="30"/>
          <w:highlight w:val="none"/>
        </w:rPr>
      </w:pPr>
      <w:bookmarkStart w:id="337" w:name="_Toc13048"/>
      <w:bookmarkStart w:id="338" w:name="_Toc4685125"/>
      <w:r>
        <w:rPr>
          <w:rFonts w:hint="eastAsia" w:ascii="宋体" w:hAnsi="宋体"/>
          <w:color w:val="auto"/>
          <w:szCs w:val="30"/>
          <w:highlight w:val="none"/>
        </w:rPr>
        <w:t>十一、其他资料</w:t>
      </w:r>
      <w:bookmarkEnd w:id="327"/>
      <w:bookmarkEnd w:id="337"/>
      <w:bookmarkEnd w:id="338"/>
    </w:p>
    <w:p w14:paraId="6156CC65">
      <w:pPr>
        <w:spacing w:line="360" w:lineRule="auto"/>
        <w:ind w:firstLine="480" w:firstLineChars="200"/>
        <w:jc w:val="center"/>
        <w:rPr>
          <w:rFonts w:hAnsi="宋体"/>
          <w:color w:val="auto"/>
          <w:sz w:val="24"/>
          <w:highlight w:val="none"/>
        </w:rPr>
      </w:pPr>
      <w:r>
        <w:rPr>
          <w:rFonts w:hint="eastAsia" w:hAnsi="宋体"/>
          <w:color w:val="auto"/>
          <w:sz w:val="24"/>
          <w:highlight w:val="none"/>
        </w:rPr>
        <w:t>供应商认为需要提交的其他证明材料</w:t>
      </w:r>
    </w:p>
    <w:p w14:paraId="046CA2E7">
      <w:pPr>
        <w:adjustRightInd w:val="0"/>
        <w:spacing w:line="360" w:lineRule="auto"/>
        <w:rPr>
          <w:color w:val="auto"/>
          <w:highlight w:val="none"/>
        </w:rPr>
        <w:sectPr>
          <w:footerReference r:id="rId17" w:type="default"/>
          <w:pgSz w:w="11905" w:h="16838"/>
          <w:pgMar w:top="1440" w:right="1080" w:bottom="1440" w:left="1080" w:header="850" w:footer="992" w:gutter="0"/>
          <w:cols w:space="720" w:num="1"/>
          <w:docGrid w:type="lines" w:linePitch="317" w:charSpace="0"/>
        </w:sectPr>
      </w:pPr>
    </w:p>
    <w:p w14:paraId="18F29246">
      <w:pPr>
        <w:spacing w:line="480" w:lineRule="auto"/>
        <w:jc w:val="center"/>
        <w:outlineLvl w:val="2"/>
        <w:rPr>
          <w:rFonts w:hAnsi="宋体" w:cs="宋体"/>
          <w:b/>
          <w:bCs/>
          <w:color w:val="auto"/>
          <w:sz w:val="24"/>
          <w:highlight w:val="none"/>
          <w:shd w:val="clear" w:color="auto" w:fill="FFFFFF"/>
        </w:rPr>
      </w:pPr>
      <w:bookmarkStart w:id="339" w:name="_Toc7165"/>
      <w:bookmarkStart w:id="340" w:name="_Toc11061"/>
      <w:bookmarkStart w:id="341" w:name="_Toc29135"/>
      <w:bookmarkStart w:id="342" w:name="_Toc16080"/>
      <w:bookmarkStart w:id="343" w:name="_Toc14197"/>
      <w:r>
        <w:rPr>
          <w:rFonts w:hint="eastAsia" w:hAnsi="宋体" w:cs="宋体"/>
          <w:b/>
          <w:bCs/>
          <w:color w:val="auto"/>
          <w:sz w:val="28"/>
          <w:szCs w:val="28"/>
          <w:highlight w:val="none"/>
        </w:rPr>
        <w:t>格式1：中小企业声明函(服务)</w:t>
      </w:r>
      <w:bookmarkEnd w:id="339"/>
      <w:bookmarkEnd w:id="340"/>
      <w:bookmarkEnd w:id="341"/>
      <w:bookmarkEnd w:id="342"/>
      <w:bookmarkEnd w:id="343"/>
    </w:p>
    <w:p w14:paraId="1A2B667F">
      <w:pPr>
        <w:spacing w:line="48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本公司(联合体)郑重声明，根据《政府采购促进中小企业发展管理办法》(财库( 2020 )46号)的规定，本公司(联合体)参加</w:t>
      </w:r>
      <w:r>
        <w:rPr>
          <w:rFonts w:hint="eastAsia" w:hAnsi="宋体" w:cs="宋体"/>
          <w:color w:val="auto"/>
          <w:sz w:val="24"/>
          <w:highlight w:val="none"/>
          <w:u w:val="single"/>
          <w:shd w:val="clear" w:color="auto" w:fill="FFFFFF"/>
        </w:rPr>
        <w:t xml:space="preserve">        (单位名称)</w:t>
      </w:r>
      <w:r>
        <w:rPr>
          <w:rFonts w:hint="eastAsia" w:hAnsi="宋体" w:cs="宋体"/>
          <w:color w:val="auto"/>
          <w:sz w:val="24"/>
          <w:highlight w:val="none"/>
          <w:shd w:val="clear" w:color="auto" w:fill="FFFFFF"/>
        </w:rPr>
        <w:t>的</w:t>
      </w:r>
      <w:r>
        <w:rPr>
          <w:rFonts w:hint="eastAsia" w:hAnsi="宋体" w:cs="宋体"/>
          <w:color w:val="auto"/>
          <w:sz w:val="24"/>
          <w:highlight w:val="none"/>
          <w:u w:val="single"/>
          <w:shd w:val="clear" w:color="auto" w:fill="FFFFFF"/>
        </w:rPr>
        <w:t xml:space="preserve">    (项目名称)</w:t>
      </w:r>
      <w:r>
        <w:rPr>
          <w:rFonts w:hint="eastAsia" w:hAnsi="宋体" w:cs="宋体"/>
          <w:color w:val="auto"/>
          <w:sz w:val="24"/>
          <w:highlight w:val="none"/>
          <w:shd w:val="clear" w:color="auto" w:fill="FFFFFF"/>
        </w:rPr>
        <w:t>采购活动，服务全部由符合政策要求的中小企业承接。相关企业(含联合体中的中小企业、签订分包意向协议的中小企业)的具体情况如下:</w:t>
      </w:r>
    </w:p>
    <w:p w14:paraId="39705CD9">
      <w:pPr>
        <w:spacing w:line="48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 xml:space="preserve">1. </w:t>
      </w:r>
      <w:r>
        <w:rPr>
          <w:rFonts w:hint="eastAsia" w:hAnsi="宋体" w:cs="宋体"/>
          <w:color w:val="auto"/>
          <w:sz w:val="24"/>
          <w:highlight w:val="none"/>
          <w:u w:val="single"/>
          <w:shd w:val="clear" w:color="auto" w:fill="FFFFFF"/>
        </w:rPr>
        <w:t xml:space="preserve">    (标的名称)</w:t>
      </w:r>
      <w:r>
        <w:rPr>
          <w:rFonts w:hint="eastAsia" w:hAnsi="宋体" w:cs="宋体"/>
          <w:color w:val="auto"/>
          <w:sz w:val="24"/>
          <w:highlight w:val="none"/>
          <w:shd w:val="clear" w:color="auto" w:fill="FFFFFF"/>
        </w:rPr>
        <w:t>，属于</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u w:val="single"/>
          <w:shd w:val="clear" w:color="auto" w:fill="FFFFFF"/>
          <w:lang w:val="en-US" w:eastAsia="zh-CN"/>
        </w:rPr>
        <w:t xml:space="preserve">  </w:t>
      </w:r>
      <w:r>
        <w:rPr>
          <w:rFonts w:hint="eastAsia" w:hAnsi="宋体" w:cs="宋体"/>
          <w:color w:val="auto"/>
          <w:sz w:val="24"/>
          <w:highlight w:val="none"/>
          <w:u w:val="single"/>
          <w:shd w:val="clear" w:color="auto" w:fill="FFFFFF"/>
        </w:rPr>
        <w:t>(采购文件中明确的所属行业)</w:t>
      </w:r>
      <w:r>
        <w:rPr>
          <w:rFonts w:hint="eastAsia" w:hAnsi="宋体" w:cs="宋体"/>
          <w:color w:val="auto"/>
          <w:sz w:val="24"/>
          <w:highlight w:val="none"/>
          <w:shd w:val="clear" w:color="auto" w:fill="FFFFFF"/>
        </w:rPr>
        <w:t>；承建(承接)企业为</w:t>
      </w:r>
      <w:r>
        <w:rPr>
          <w:rFonts w:hint="eastAsia" w:hAnsi="宋体" w:cs="宋体"/>
          <w:color w:val="auto"/>
          <w:sz w:val="24"/>
          <w:highlight w:val="none"/>
          <w:u w:val="single"/>
          <w:shd w:val="clear" w:color="auto" w:fill="FFFFFF"/>
        </w:rPr>
        <w:t xml:space="preserve">    (企业名称)</w:t>
      </w:r>
      <w:r>
        <w:rPr>
          <w:rFonts w:hint="eastAsia" w:hAnsi="宋体" w:cs="宋体"/>
          <w:color w:val="auto"/>
          <w:sz w:val="24"/>
          <w:highlight w:val="none"/>
          <w:shd w:val="clear" w:color="auto" w:fill="FFFFFF"/>
        </w:rPr>
        <w:t>，从业人员</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shd w:val="clear" w:color="auto" w:fill="FFFFFF"/>
        </w:rPr>
        <w:t>人， 营业收入为</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shd w:val="clear" w:color="auto" w:fill="FFFFFF"/>
        </w:rPr>
        <w:t>万元，资产总额为</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shd w:val="clear" w:color="auto" w:fill="FFFFFF"/>
        </w:rPr>
        <w:t>万元</w:t>
      </w:r>
      <w:r>
        <w:rPr>
          <w:rFonts w:hint="eastAsia" w:hAnsi="宋体" w:cs="宋体"/>
          <w:color w:val="auto"/>
          <w:sz w:val="24"/>
          <w:highlight w:val="none"/>
          <w:shd w:val="clear" w:color="auto" w:fill="FFFFFF"/>
          <w:vertAlign w:val="superscript"/>
        </w:rPr>
        <w:t>1</w:t>
      </w:r>
      <w:r>
        <w:rPr>
          <w:rFonts w:hint="eastAsia" w:hAnsi="宋体" w:cs="宋体"/>
          <w:color w:val="auto"/>
          <w:sz w:val="24"/>
          <w:highlight w:val="none"/>
          <w:shd w:val="clear" w:color="auto" w:fill="FFFFFF"/>
        </w:rPr>
        <w:t>，属于</w:t>
      </w:r>
      <w:r>
        <w:rPr>
          <w:rFonts w:hint="eastAsia" w:hAnsi="宋体" w:cs="宋体"/>
          <w:color w:val="auto"/>
          <w:sz w:val="24"/>
          <w:highlight w:val="none"/>
          <w:u w:val="single"/>
          <w:shd w:val="clear" w:color="auto" w:fill="FFFFFF"/>
        </w:rPr>
        <w:t xml:space="preserve">     (中型企业、小型企业、微型企业)</w:t>
      </w:r>
      <w:r>
        <w:rPr>
          <w:rFonts w:hint="eastAsia" w:hAnsi="宋体" w:cs="宋体"/>
          <w:color w:val="auto"/>
          <w:sz w:val="24"/>
          <w:highlight w:val="none"/>
          <w:shd w:val="clear" w:color="auto" w:fill="FFFFFF"/>
        </w:rPr>
        <w:t>；</w:t>
      </w:r>
    </w:p>
    <w:p w14:paraId="33708F13">
      <w:pPr>
        <w:spacing w:line="36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2.</w:t>
      </w:r>
      <w:r>
        <w:rPr>
          <w:rFonts w:hint="eastAsia" w:hAnsi="宋体" w:cs="宋体"/>
          <w:color w:val="auto"/>
          <w:sz w:val="24"/>
          <w:highlight w:val="none"/>
          <w:u w:val="single"/>
          <w:shd w:val="clear" w:color="auto" w:fill="FFFFFF"/>
        </w:rPr>
        <w:t xml:space="preserve">    (标的名称)</w:t>
      </w:r>
      <w:r>
        <w:rPr>
          <w:rFonts w:hint="eastAsia" w:hAnsi="宋体" w:cs="宋体"/>
          <w:color w:val="auto"/>
          <w:sz w:val="24"/>
          <w:highlight w:val="none"/>
          <w:shd w:val="clear" w:color="auto" w:fill="FFFFFF"/>
        </w:rPr>
        <w:t>，属于</w:t>
      </w:r>
      <w:r>
        <w:rPr>
          <w:rFonts w:hint="eastAsia" w:hAnsi="宋体" w:cs="宋体"/>
          <w:color w:val="auto"/>
          <w:sz w:val="24"/>
          <w:highlight w:val="none"/>
          <w:u w:val="single"/>
          <w:shd w:val="clear" w:color="auto" w:fill="FFFFFF"/>
        </w:rPr>
        <w:t xml:space="preserve">     (采购文件中明确的所属行业)</w:t>
      </w:r>
      <w:r>
        <w:rPr>
          <w:rFonts w:hint="eastAsia" w:hAnsi="宋体" w:cs="宋体"/>
          <w:color w:val="auto"/>
          <w:sz w:val="24"/>
          <w:highlight w:val="none"/>
          <w:shd w:val="clear" w:color="auto" w:fill="FFFFFF"/>
        </w:rPr>
        <w:t>；承建(承接)企业为</w:t>
      </w:r>
      <w:r>
        <w:rPr>
          <w:rFonts w:hint="eastAsia" w:hAnsi="宋体" w:cs="宋体"/>
          <w:color w:val="auto"/>
          <w:sz w:val="24"/>
          <w:highlight w:val="none"/>
          <w:u w:val="single"/>
          <w:shd w:val="clear" w:color="auto" w:fill="FFFFFF"/>
        </w:rPr>
        <w:t xml:space="preserve">       (企业名称)</w:t>
      </w:r>
      <w:r>
        <w:rPr>
          <w:rFonts w:hint="eastAsia" w:hAnsi="宋体" w:cs="宋体"/>
          <w:color w:val="auto"/>
          <w:sz w:val="24"/>
          <w:highlight w:val="none"/>
          <w:shd w:val="clear" w:color="auto" w:fill="FFFFFF"/>
        </w:rPr>
        <w:t>，从业人员</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shd w:val="clear" w:color="auto" w:fill="FFFFFF"/>
        </w:rPr>
        <w:t>人， 营业收入为</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shd w:val="clear" w:color="auto" w:fill="FFFFFF"/>
        </w:rPr>
        <w:t>万元， 资产总额为</w:t>
      </w:r>
      <w:r>
        <w:rPr>
          <w:rFonts w:hint="eastAsia" w:hAnsi="宋体" w:cs="宋体"/>
          <w:color w:val="auto"/>
          <w:sz w:val="24"/>
          <w:highlight w:val="none"/>
          <w:u w:val="single"/>
          <w:shd w:val="clear" w:color="auto" w:fill="FFFFFF"/>
        </w:rPr>
        <w:t xml:space="preserve">      </w:t>
      </w:r>
      <w:r>
        <w:rPr>
          <w:rFonts w:hint="eastAsia" w:hAnsi="宋体" w:cs="宋体"/>
          <w:color w:val="auto"/>
          <w:sz w:val="24"/>
          <w:highlight w:val="none"/>
          <w:shd w:val="clear" w:color="auto" w:fill="FFFFFF"/>
        </w:rPr>
        <w:t>万元，属于</w:t>
      </w:r>
      <w:r>
        <w:rPr>
          <w:rFonts w:hint="eastAsia" w:hAnsi="宋体" w:cs="宋体"/>
          <w:color w:val="auto"/>
          <w:sz w:val="24"/>
          <w:highlight w:val="none"/>
          <w:u w:val="single"/>
          <w:shd w:val="clear" w:color="auto" w:fill="FFFFFF"/>
        </w:rPr>
        <w:t xml:space="preserve">      (中型企业、 小型企业、微型企业)</w:t>
      </w:r>
      <w:r>
        <w:rPr>
          <w:rFonts w:hint="eastAsia" w:hAnsi="宋体" w:cs="宋体"/>
          <w:color w:val="auto"/>
          <w:sz w:val="24"/>
          <w:highlight w:val="none"/>
          <w:shd w:val="clear" w:color="auto" w:fill="FFFFFF"/>
        </w:rPr>
        <w:t>；</w:t>
      </w:r>
    </w:p>
    <w:p w14:paraId="20533085">
      <w:pPr>
        <w:spacing w:line="48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w:t>
      </w:r>
    </w:p>
    <w:p w14:paraId="55F89F34">
      <w:pPr>
        <w:spacing w:line="48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以上企业，不属于大企业的分支机构，不存在控股股东为大企业的情形，也不存在与大企业的负责人为同一人的情形。</w:t>
      </w:r>
    </w:p>
    <w:p w14:paraId="5A43F879">
      <w:pPr>
        <w:spacing w:line="48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本企业对上述声明内容的真实性负责。如有虛假，将依法承担相应责任。</w:t>
      </w:r>
    </w:p>
    <w:p w14:paraId="1C28A977">
      <w:pPr>
        <w:spacing w:line="480" w:lineRule="auto"/>
        <w:jc w:val="center"/>
        <w:rPr>
          <w:rFonts w:hAnsi="宋体" w:cs="宋体"/>
          <w:color w:val="auto"/>
          <w:sz w:val="24"/>
          <w:highlight w:val="none"/>
          <w:shd w:val="clear" w:color="auto" w:fill="FFFFFF"/>
        </w:rPr>
      </w:pPr>
      <w:r>
        <w:rPr>
          <w:rFonts w:hint="eastAsia" w:hAnsi="宋体" w:cs="宋体"/>
          <w:color w:val="auto"/>
          <w:sz w:val="24"/>
          <w:highlight w:val="none"/>
          <w:shd w:val="clear" w:color="auto" w:fill="FFFFFF"/>
        </w:rPr>
        <w:t>企业名称(盖章):</w:t>
      </w:r>
    </w:p>
    <w:p w14:paraId="7B3E9601">
      <w:pPr>
        <w:spacing w:line="480" w:lineRule="auto"/>
        <w:ind w:firstLine="4080" w:firstLineChars="1700"/>
        <w:rPr>
          <w:rFonts w:hAnsi="宋体" w:cs="宋体"/>
          <w:color w:val="auto"/>
          <w:sz w:val="24"/>
          <w:highlight w:val="none"/>
          <w:shd w:val="clear" w:color="auto" w:fill="FFFFFF"/>
        </w:rPr>
      </w:pPr>
      <w:r>
        <w:rPr>
          <w:rFonts w:hint="eastAsia" w:hAnsi="宋体" w:cs="宋体"/>
          <w:color w:val="auto"/>
          <w:sz w:val="24"/>
          <w:highlight w:val="none"/>
          <w:shd w:val="clear" w:color="auto" w:fill="FFFFFF"/>
        </w:rPr>
        <w:t>日  期:</w:t>
      </w:r>
    </w:p>
    <w:p w14:paraId="6EAA4B17">
      <w:pPr>
        <w:pStyle w:val="2"/>
        <w:rPr>
          <w:rFonts w:cs="宋体"/>
          <w:color w:val="auto"/>
          <w:highlight w:val="none"/>
        </w:rPr>
      </w:pPr>
      <w:r>
        <w:rPr>
          <w:rFonts w:hint="eastAsia" w:hAnsi="宋体" w:cs="宋体"/>
          <w:color w:val="auto"/>
          <w:sz w:val="24"/>
          <w:highlight w:val="none"/>
          <w:u w:val="single"/>
          <w:shd w:val="clear" w:color="auto" w:fill="FFFFFF"/>
        </w:rPr>
        <w:t xml:space="preserve">                   </w:t>
      </w:r>
    </w:p>
    <w:p w14:paraId="06352FF9">
      <w:pPr>
        <w:spacing w:line="360" w:lineRule="auto"/>
        <w:rPr>
          <w:rFonts w:hAnsi="宋体" w:cs="宋体"/>
          <w:color w:val="auto"/>
          <w:sz w:val="24"/>
          <w:highlight w:val="none"/>
        </w:rPr>
      </w:pPr>
      <w:r>
        <w:rPr>
          <w:rFonts w:hint="eastAsia" w:hAnsi="宋体" w:cs="宋体"/>
          <w:color w:val="auto"/>
          <w:sz w:val="18"/>
          <w:szCs w:val="18"/>
          <w:highlight w:val="none"/>
          <w:shd w:val="clear" w:color="auto" w:fill="FFFFFF"/>
          <w:vertAlign w:val="superscript"/>
        </w:rPr>
        <w:t>1</w:t>
      </w:r>
      <w:r>
        <w:rPr>
          <w:rFonts w:hint="eastAsia" w:hAnsi="宋体" w:cs="宋体"/>
          <w:color w:val="auto"/>
          <w:sz w:val="18"/>
          <w:szCs w:val="18"/>
          <w:highlight w:val="none"/>
          <w:shd w:val="clear" w:color="auto" w:fill="FFFFFF"/>
        </w:rPr>
        <w:t>从业人员、营业收入、资产总额填报上一年度数据，无上一年度数据的新成立企业可不填报。</w:t>
      </w:r>
      <w:r>
        <w:rPr>
          <w:rFonts w:hint="eastAsia" w:hAnsi="宋体" w:cs="宋体"/>
          <w:color w:val="auto"/>
          <w:sz w:val="24"/>
          <w:highlight w:val="none"/>
        </w:rPr>
        <w:t xml:space="preserve"> </w:t>
      </w:r>
    </w:p>
    <w:p w14:paraId="19ACBBE8">
      <w:pPr>
        <w:spacing w:line="360" w:lineRule="auto"/>
        <w:ind w:firstLine="482" w:firstLineChars="200"/>
        <w:rPr>
          <w:rFonts w:hAnsi="宋体" w:cs="宋体"/>
          <w:b/>
          <w:bCs/>
          <w:color w:val="auto"/>
          <w:sz w:val="24"/>
          <w:highlight w:val="none"/>
        </w:rPr>
      </w:pPr>
      <w:r>
        <w:rPr>
          <w:rFonts w:hint="eastAsia" w:hAnsi="宋体" w:cs="宋体"/>
          <w:b/>
          <w:bCs/>
          <w:color w:val="auto"/>
          <w:sz w:val="24"/>
          <w:highlight w:val="none"/>
        </w:rPr>
        <w:t>注：</w:t>
      </w:r>
    </w:p>
    <w:p w14:paraId="6907C2F0">
      <w:pPr>
        <w:spacing w:line="36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rPr>
        <w:t>1.</w:t>
      </w:r>
      <w:r>
        <w:rPr>
          <w:rFonts w:hint="eastAsia" w:hAnsi="宋体" w:cs="宋体"/>
          <w:color w:val="auto"/>
          <w:sz w:val="24"/>
          <w:highlight w:val="none"/>
          <w:shd w:val="clear" w:color="auto" w:fill="FFFFFF"/>
        </w:rPr>
        <w:t>《政府采购促进中小企业发展管理办法》第二条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6BFC7DC0">
      <w:pPr>
        <w:spacing w:line="360" w:lineRule="auto"/>
        <w:ind w:firstLine="480" w:firstLineChars="200"/>
        <w:rPr>
          <w:rFonts w:hAnsi="宋体" w:cs="宋体"/>
          <w:color w:val="auto"/>
          <w:sz w:val="24"/>
          <w:highlight w:val="none"/>
          <w:shd w:val="clear" w:color="auto" w:fill="FFFFFF"/>
        </w:rPr>
      </w:pPr>
      <w:r>
        <w:rPr>
          <w:rFonts w:hint="eastAsia" w:hAnsi="宋体" w:cs="宋体"/>
          <w:color w:val="auto"/>
          <w:sz w:val="24"/>
          <w:highlight w:val="none"/>
          <w:shd w:val="clear" w:color="auto" w:fill="FFFFFF"/>
        </w:rPr>
        <w:t>符合中小企业划分标准的个体工商户，在政府采购活动中视同中小企业。</w:t>
      </w:r>
    </w:p>
    <w:p w14:paraId="07B35458">
      <w:pPr>
        <w:spacing w:line="360" w:lineRule="auto"/>
        <w:ind w:firstLine="480" w:firstLineChars="200"/>
        <w:rPr>
          <w:rFonts w:hAnsi="宋体" w:cs="宋体"/>
          <w:color w:val="auto"/>
          <w:sz w:val="24"/>
          <w:highlight w:val="none"/>
        </w:rPr>
      </w:pPr>
      <w:r>
        <w:rPr>
          <w:rFonts w:hint="eastAsia" w:hAnsi="宋体" w:cs="宋体"/>
          <w:color w:val="auto"/>
          <w:sz w:val="24"/>
          <w:highlight w:val="none"/>
        </w:rPr>
        <w:t>2.供应商须根据情况如实出具声明函。享受本单一来源采购文件规定的中小企业扶持政策的，将随中标结果公开中标人的《中小企业声明函》。</w:t>
      </w:r>
    </w:p>
    <w:p w14:paraId="2F6CCFB9">
      <w:pPr>
        <w:spacing w:line="360" w:lineRule="auto"/>
        <w:ind w:firstLine="480" w:firstLineChars="200"/>
        <w:rPr>
          <w:rFonts w:hAnsi="宋体" w:cs="宋体"/>
          <w:color w:val="auto"/>
          <w:sz w:val="24"/>
          <w:highlight w:val="none"/>
        </w:rPr>
      </w:pPr>
      <w:r>
        <w:rPr>
          <w:rFonts w:hint="eastAsia" w:hAnsi="宋体" w:cs="宋体"/>
          <w:color w:val="auto"/>
          <w:sz w:val="24"/>
          <w:highlight w:val="none"/>
        </w:rPr>
        <w:t>3.所声明的从业人员人数、营业收入金额或资产总额不实的，依照《中华人民共和国政府采购法》等国家有关规定追究相应责任。</w:t>
      </w:r>
    </w:p>
    <w:p w14:paraId="71E8DE11">
      <w:pPr>
        <w:spacing w:line="360" w:lineRule="auto"/>
        <w:ind w:firstLine="480" w:firstLineChars="200"/>
        <w:rPr>
          <w:rFonts w:hAnsi="宋体" w:cs="Malgun Gothic"/>
          <w:b/>
          <w:color w:val="auto"/>
          <w:highlight w:val="none"/>
        </w:rPr>
      </w:pPr>
      <w:r>
        <w:rPr>
          <w:rFonts w:hint="eastAsia" w:hAnsi="宋体" w:cs="宋体"/>
          <w:color w:val="auto"/>
          <w:sz w:val="24"/>
          <w:highlight w:val="none"/>
        </w:rPr>
        <w:t>4.供应商须按单一来源采购文件规定的所属行业，核对《关于印发中小企业划型标准规定的通知》（工信部联企业〔2011〕300号）规定的中小企业划型标准，如实出具声明函。中小企业划型填写错误或所属行业填写错误的，将不予认可。</w:t>
      </w:r>
    </w:p>
    <w:p w14:paraId="4228104D">
      <w:pPr>
        <w:spacing w:line="360" w:lineRule="auto"/>
        <w:jc w:val="center"/>
        <w:outlineLvl w:val="2"/>
        <w:rPr>
          <w:rFonts w:hAnsi="宋体" w:cs="宋体"/>
          <w:b/>
          <w:color w:val="auto"/>
          <w:spacing w:val="6"/>
          <w:sz w:val="30"/>
          <w:szCs w:val="30"/>
          <w:highlight w:val="none"/>
        </w:rPr>
      </w:pPr>
      <w:r>
        <w:rPr>
          <w:rFonts w:hint="eastAsia" w:hAnsi="宋体" w:cs="Malgun Gothic"/>
          <w:b/>
          <w:color w:val="auto"/>
          <w:highlight w:val="none"/>
        </w:rPr>
        <w:br w:type="page"/>
      </w:r>
      <w:bookmarkStart w:id="344" w:name="_Toc9689"/>
      <w:bookmarkStart w:id="345" w:name="_Toc25057"/>
      <w:bookmarkStart w:id="346" w:name="_Toc19868"/>
      <w:bookmarkStart w:id="347" w:name="_Toc25461"/>
      <w:bookmarkStart w:id="348" w:name="_Toc3792"/>
      <w:r>
        <w:rPr>
          <w:rFonts w:hint="eastAsia" w:hAnsi="宋体" w:cs="宋体"/>
          <w:b/>
          <w:bCs/>
          <w:color w:val="auto"/>
          <w:sz w:val="28"/>
          <w:szCs w:val="28"/>
          <w:highlight w:val="none"/>
        </w:rPr>
        <w:t>格式2：疾人福利性单位声明函格式</w:t>
      </w:r>
      <w:bookmarkEnd w:id="344"/>
      <w:bookmarkEnd w:id="345"/>
      <w:bookmarkEnd w:id="346"/>
      <w:bookmarkEnd w:id="347"/>
      <w:bookmarkEnd w:id="348"/>
    </w:p>
    <w:p w14:paraId="3D88000F">
      <w:pPr>
        <w:spacing w:line="588" w:lineRule="exact"/>
        <w:ind w:firstLine="504" w:firstLineChars="200"/>
        <w:rPr>
          <w:rFonts w:hAnsi="宋体" w:cs="宋体"/>
          <w:color w:val="auto"/>
          <w:spacing w:val="6"/>
          <w:sz w:val="24"/>
          <w:highlight w:val="none"/>
        </w:rPr>
      </w:pPr>
      <w:r>
        <w:rPr>
          <w:rFonts w:hint="eastAsia" w:hAnsi="宋体" w:cs="宋体"/>
          <w:color w:val="auto"/>
          <w:spacing w:val="6"/>
          <w:sz w:val="24"/>
          <w:highlight w:val="none"/>
        </w:rPr>
        <w:t>本单位郑重声明，根据《财政部 民政部 中国残疾人联合会关于促进残疾人就业政府采购政策的通知》(财库</w:t>
      </w:r>
      <w:r>
        <w:rPr>
          <w:rFonts w:hint="eastAsia" w:hAnsi="宋体" w:cs="宋体"/>
          <w:color w:val="auto"/>
          <w:sz w:val="24"/>
          <w:highlight w:val="none"/>
        </w:rPr>
        <w:t>〔2017〕 141</w:t>
      </w:r>
      <w:r>
        <w:rPr>
          <w:rFonts w:hint="eastAsia" w:hAnsi="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8CEFB5">
      <w:pPr>
        <w:spacing w:line="588" w:lineRule="exact"/>
        <w:ind w:firstLine="504" w:firstLineChars="200"/>
        <w:rPr>
          <w:rFonts w:hAnsi="宋体" w:cs="宋体"/>
          <w:color w:val="auto"/>
          <w:spacing w:val="6"/>
          <w:sz w:val="24"/>
          <w:highlight w:val="none"/>
        </w:rPr>
      </w:pPr>
      <w:r>
        <w:rPr>
          <w:rFonts w:hint="eastAsia" w:hAnsi="宋体" w:cs="宋体"/>
          <w:color w:val="auto"/>
          <w:spacing w:val="6"/>
          <w:sz w:val="24"/>
          <w:highlight w:val="none"/>
        </w:rPr>
        <w:t>本单位对上述声明的真实性负责。如有虚假，将依法承担相应责任。</w:t>
      </w:r>
    </w:p>
    <w:p w14:paraId="63AFD38C">
      <w:pPr>
        <w:spacing w:line="588" w:lineRule="exact"/>
        <w:ind w:firstLine="504" w:firstLineChars="200"/>
        <w:rPr>
          <w:rFonts w:hAnsi="宋体" w:cs="宋体"/>
          <w:color w:val="auto"/>
          <w:spacing w:val="6"/>
          <w:sz w:val="24"/>
          <w:highlight w:val="none"/>
        </w:rPr>
      </w:pPr>
    </w:p>
    <w:p w14:paraId="5456E11C">
      <w:pPr>
        <w:spacing w:line="588" w:lineRule="exact"/>
        <w:ind w:firstLine="504" w:firstLineChars="200"/>
        <w:rPr>
          <w:rFonts w:hAnsi="宋体" w:cs="宋体"/>
          <w:color w:val="auto"/>
          <w:spacing w:val="6"/>
          <w:sz w:val="24"/>
          <w:highlight w:val="none"/>
        </w:rPr>
      </w:pPr>
    </w:p>
    <w:p w14:paraId="79B319B8">
      <w:pPr>
        <w:tabs>
          <w:tab w:val="left" w:pos="4860"/>
        </w:tabs>
        <w:spacing w:line="588" w:lineRule="exact"/>
        <w:ind w:right="1560" w:firstLine="504" w:firstLineChars="200"/>
        <w:jc w:val="center"/>
        <w:rPr>
          <w:rFonts w:hAnsi="宋体" w:cs="宋体"/>
          <w:color w:val="auto"/>
          <w:spacing w:val="6"/>
          <w:sz w:val="24"/>
          <w:highlight w:val="none"/>
        </w:rPr>
      </w:pPr>
      <w:r>
        <w:rPr>
          <w:rFonts w:hint="eastAsia" w:hAnsi="宋体" w:cs="宋体"/>
          <w:color w:val="auto"/>
          <w:spacing w:val="6"/>
          <w:sz w:val="24"/>
          <w:highlight w:val="none"/>
        </w:rPr>
        <w:t>单位名称(盖章)：</w:t>
      </w:r>
    </w:p>
    <w:p w14:paraId="7A4195AF">
      <w:pPr>
        <w:tabs>
          <w:tab w:val="left" w:pos="4860"/>
        </w:tabs>
        <w:spacing w:line="588" w:lineRule="exact"/>
        <w:ind w:right="1560" w:firstLine="504" w:firstLineChars="200"/>
        <w:jc w:val="center"/>
        <w:rPr>
          <w:rFonts w:hAnsi="宋体" w:cs="宋体"/>
          <w:color w:val="auto"/>
          <w:spacing w:val="6"/>
          <w:sz w:val="24"/>
          <w:highlight w:val="none"/>
        </w:rPr>
      </w:pPr>
      <w:r>
        <w:rPr>
          <w:rFonts w:hint="eastAsia" w:hAnsi="宋体" w:cs="宋体"/>
          <w:color w:val="auto"/>
          <w:spacing w:val="6"/>
          <w:sz w:val="24"/>
          <w:highlight w:val="none"/>
        </w:rPr>
        <w:t>日  期：</w:t>
      </w:r>
    </w:p>
    <w:p w14:paraId="0A339440">
      <w:pPr>
        <w:tabs>
          <w:tab w:val="left" w:pos="4860"/>
        </w:tabs>
        <w:spacing w:line="588" w:lineRule="exact"/>
        <w:ind w:right="1560"/>
        <w:rPr>
          <w:rFonts w:hAnsi="宋体" w:cs="宋体"/>
          <w:color w:val="auto"/>
          <w:spacing w:val="6"/>
          <w:sz w:val="24"/>
          <w:highlight w:val="none"/>
        </w:rPr>
      </w:pPr>
    </w:p>
    <w:p w14:paraId="7A291A2D">
      <w:pPr>
        <w:spacing w:line="480" w:lineRule="auto"/>
        <w:jc w:val="center"/>
        <w:outlineLvl w:val="2"/>
        <w:rPr>
          <w:rFonts w:hAnsi="宋体" w:cs="宋体"/>
          <w:b/>
          <w:bCs/>
          <w:color w:val="auto"/>
          <w:sz w:val="24"/>
          <w:highlight w:val="none"/>
          <w:shd w:val="clear" w:color="auto" w:fill="FFFFFF"/>
        </w:rPr>
      </w:pPr>
      <w:r>
        <w:rPr>
          <w:rFonts w:hint="eastAsia" w:hAnsi="宋体" w:cs="宋体"/>
          <w:b/>
          <w:bCs/>
          <w:color w:val="auto"/>
          <w:sz w:val="24"/>
          <w:highlight w:val="none"/>
          <w:shd w:val="clear" w:color="auto" w:fill="FFFFFF"/>
        </w:rPr>
        <w:br w:type="page"/>
      </w:r>
      <w:bookmarkStart w:id="349" w:name="_Toc10214"/>
      <w:bookmarkStart w:id="350" w:name="_Toc987"/>
      <w:bookmarkStart w:id="351" w:name="_Toc27219"/>
      <w:bookmarkStart w:id="352" w:name="_Toc10108"/>
      <w:bookmarkStart w:id="353" w:name="_Toc20228"/>
      <w:r>
        <w:rPr>
          <w:rFonts w:hint="eastAsia" w:hAnsi="宋体" w:cs="宋体"/>
          <w:b/>
          <w:bCs/>
          <w:color w:val="auto"/>
          <w:sz w:val="28"/>
          <w:szCs w:val="28"/>
          <w:highlight w:val="none"/>
        </w:rPr>
        <w:t>格式3：监狱企业证明文件格式</w:t>
      </w:r>
      <w:bookmarkEnd w:id="349"/>
      <w:bookmarkEnd w:id="350"/>
      <w:bookmarkEnd w:id="351"/>
      <w:bookmarkEnd w:id="352"/>
      <w:bookmarkEnd w:id="353"/>
    </w:p>
    <w:p w14:paraId="1365561E">
      <w:pPr>
        <w:spacing w:line="480" w:lineRule="auto"/>
        <w:ind w:firstLine="480" w:firstLineChars="200"/>
        <w:rPr>
          <w:rFonts w:hAnsi="宋体" w:cs="宋体"/>
          <w:color w:val="auto"/>
          <w:sz w:val="24"/>
          <w:highlight w:val="none"/>
        </w:rPr>
      </w:pPr>
      <w:r>
        <w:rPr>
          <w:rFonts w:hint="eastAsia" w:hAnsi="宋体" w:cs="宋体"/>
          <w:color w:val="auto"/>
          <w:sz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63EEFA">
      <w:pPr>
        <w:spacing w:line="480" w:lineRule="auto"/>
        <w:ind w:firstLine="480" w:firstLineChars="200"/>
        <w:rPr>
          <w:rFonts w:hAnsi="宋体" w:cs="宋体"/>
          <w:color w:val="auto"/>
          <w:sz w:val="28"/>
          <w:szCs w:val="28"/>
          <w:highlight w:val="none"/>
          <w:shd w:val="clear" w:color="auto" w:fill="FFFFFF"/>
        </w:rPr>
      </w:pPr>
      <w:r>
        <w:rPr>
          <w:rFonts w:hint="eastAsia" w:hAnsi="宋体" w:cs="宋体"/>
          <w:color w:val="auto"/>
          <w:sz w:val="24"/>
          <w:highlight w:val="none"/>
        </w:rPr>
        <w:t>监狱企业参加政府采购活动时，应当提供由省级以上监狱管理局、戒毒管理局(含新疆生产建设兵团)出具的属于监狱企业的证明文件。</w:t>
      </w:r>
      <w:r>
        <w:rPr>
          <w:rFonts w:hint="eastAsia" w:hAnsi="宋体" w:cs="宋体"/>
          <w:color w:val="auto"/>
          <w:sz w:val="24"/>
          <w:highlight w:val="none"/>
        </w:rPr>
        <w:br w:type="textWrapping"/>
      </w:r>
      <w:r>
        <w:rPr>
          <w:rFonts w:hint="eastAsia" w:hAnsi="宋体" w:cs="宋体"/>
          <w:color w:val="auto"/>
          <w:sz w:val="28"/>
          <w:szCs w:val="28"/>
          <w:highlight w:val="none"/>
          <w:shd w:val="clear" w:color="auto" w:fill="FFFFFF"/>
        </w:rPr>
        <w:br w:type="textWrapping"/>
      </w:r>
    </w:p>
    <w:p w14:paraId="142BA3D2">
      <w:pPr>
        <w:spacing w:line="480" w:lineRule="auto"/>
        <w:rPr>
          <w:rFonts w:hAnsi="宋体" w:cs="宋体"/>
          <w:color w:val="auto"/>
          <w:sz w:val="24"/>
          <w:highlight w:val="none"/>
        </w:rPr>
      </w:pPr>
      <w:r>
        <w:rPr>
          <w:rFonts w:hint="eastAsia" w:hAnsi="宋体" w:cs="宋体"/>
          <w:color w:val="auto"/>
          <w:highlight w:val="none"/>
        </w:rPr>
        <w:t>注：符合条件的监狱企业在参加政府采购活动时，应当按《财政部 司法部关于政府采购支持监狱企业发展有关问题的通知》(财库[2014]68 号)提供规定的《监狱企业证明文件》，并对证明文件的真实性负责。</w:t>
      </w:r>
    </w:p>
    <w:p w14:paraId="359509B5">
      <w:pPr>
        <w:spacing w:before="156" w:beforeLines="50" w:line="360" w:lineRule="auto"/>
        <w:ind w:firstLine="720" w:firstLineChars="300"/>
        <w:rPr>
          <w:rFonts w:hAnsi="宋体"/>
          <w:color w:val="auto"/>
          <w:sz w:val="24"/>
          <w:highlight w:val="none"/>
        </w:rPr>
      </w:pPr>
    </w:p>
    <w:p w14:paraId="6D3F85A7">
      <w:pPr>
        <w:spacing w:line="480" w:lineRule="auto"/>
        <w:rPr>
          <w:rFonts w:hAnsi="宋体" w:cs="宋体"/>
          <w:color w:val="auto"/>
          <w:sz w:val="24"/>
          <w:highlight w:val="none"/>
        </w:rPr>
      </w:pPr>
    </w:p>
    <w:p w14:paraId="2127DBB4">
      <w:pPr>
        <w:spacing w:before="100" w:beforeAutospacing="1" w:after="100" w:afterAutospacing="1" w:line="480" w:lineRule="auto"/>
        <w:rPr>
          <w:rFonts w:ascii="仿宋" w:hAnsi="仿宋" w:eastAsia="仿宋" w:cs="宋体"/>
          <w:color w:val="auto"/>
          <w:sz w:val="24"/>
          <w:highlight w:val="none"/>
        </w:rPr>
      </w:pPr>
    </w:p>
    <w:p w14:paraId="684E8F0F">
      <w:pPr>
        <w:adjustRightInd w:val="0"/>
        <w:spacing w:line="360" w:lineRule="auto"/>
        <w:rPr>
          <w:color w:val="auto"/>
          <w:highlight w:val="none"/>
        </w:rPr>
      </w:pPr>
    </w:p>
    <w:sectPr>
      <w:pgSz w:w="11906" w:h="16838"/>
      <w:pgMar w:top="1440" w:right="1080" w:bottom="1440" w:left="108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Malgun Gothic">
    <w:panose1 w:val="020B0503020000020004"/>
    <w:charset w:val="81"/>
    <w:family w:val="swiss"/>
    <w:pitch w:val="default"/>
    <w:sig w:usb0="9000002F" w:usb1="29D77CFB" w:usb2="00000012" w:usb3="00000000" w:csb0="0008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E81CA">
    <w:pPr>
      <w:pStyle w:val="22"/>
      <w:framePr w:wrap="around" w:vAnchor="text" w:hAnchor="margin" w:xAlign="right" w:y="1"/>
      <w:rPr>
        <w:rStyle w:val="39"/>
      </w:rPr>
    </w:pPr>
  </w:p>
  <w:p w14:paraId="22D1C751">
    <w:pPr>
      <w:pStyle w:val="22"/>
      <w:framePr w:wrap="around" w:vAnchor="text" w:hAnchor="page" w:x="1524" w:y="16"/>
      <w:ind w:right="360"/>
      <w:rPr>
        <w:rStyle w:val="39"/>
      </w:rPr>
    </w:pPr>
  </w:p>
  <w:p w14:paraId="174A2CCE">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39E67">
    <w:pPr>
      <w:pStyle w:val="22"/>
      <w:framePr w:wrap="around" w:vAnchor="text" w:hAnchor="margin" w:xAlign="center" w:y="1"/>
      <w:rPr>
        <w:rStyle w:val="39"/>
      </w:rPr>
    </w:pPr>
    <w:r>
      <w:fldChar w:fldCharType="begin"/>
    </w:r>
    <w:r>
      <w:rPr>
        <w:rStyle w:val="39"/>
      </w:rPr>
      <w:instrText xml:space="preserve">PAGE  </w:instrText>
    </w:r>
    <w:r>
      <w:fldChar w:fldCharType="separate"/>
    </w:r>
    <w:r>
      <w:rPr>
        <w:rStyle w:val="39"/>
      </w:rPr>
      <w:t>1</w:t>
    </w:r>
    <w:r>
      <w:fldChar w:fldCharType="end"/>
    </w:r>
  </w:p>
  <w:p w14:paraId="004A6585">
    <w:pPr>
      <w:pStyle w:val="2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3E08C">
    <w:pPr>
      <w:pStyle w:val="22"/>
      <w:spacing w:line="320" w:lineRule="atLeast"/>
      <w:ind w:firstLine="151" w:firstLineChars="100"/>
      <w:jc w:val="center"/>
      <w:rPr>
        <w:rFonts w:hAnsi="宋体"/>
        <w:b/>
        <w:sz w:val="15"/>
        <w:szCs w:val="15"/>
      </w:rPr>
    </w:pPr>
  </w:p>
  <w:p w14:paraId="20B4EBAB">
    <w:pPr>
      <w:rPr>
        <w:rFonts w:hAnsi="宋体"/>
        <w:b/>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DBA50">
    <w:pPr>
      <w:rPr>
        <w:rFonts w:hAnsi="宋体"/>
        <w:b/>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BDF8D2">
                          <w:pPr>
                            <w:pStyle w:val="22"/>
                          </w:pPr>
                          <w:r>
                            <w:fldChar w:fldCharType="begin"/>
                          </w:r>
                          <w:r>
                            <w:instrText xml:space="preserve"> PAGE  \* MERGEFORMAT </w:instrText>
                          </w:r>
                          <w:r>
                            <w:fldChar w:fldCharType="separate"/>
                          </w:r>
                          <w:r>
                            <w:t>4</w:t>
                          </w:r>
                          <w:r>
                            <w:fldChar w:fldCharType="end"/>
                          </w:r>
                        </w:p>
                      </w:txbxContent>
                    </wps:txbx>
                    <wps:bodyPr wrap="none" lIns="0" tIns="0" rIns="0" bIns="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G9R/FcEBAACOAwAADgAAAAAAAAABACAAAAAeAQAAZHJzL2Uyb0RvYy54bWxQSwUG&#10;AAAAAAYABgBZAQAAUQUAAAAA&#10;">
              <v:fill on="f" focussize="0,0"/>
              <v:stroke on="f"/>
              <v:imagedata o:title=""/>
              <o:lock v:ext="edit" aspectratio="f"/>
              <v:textbox inset="0mm,0mm,0mm,0mm" style="mso-fit-shape-to-text:t;">
                <w:txbxContent>
                  <w:p w14:paraId="79BDF8D2">
                    <w:pPr>
                      <w:pStyle w:val="2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06E52">
    <w:pPr>
      <w:rPr>
        <w:rFonts w:hAnsi="宋体"/>
        <w:b/>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826B8B">
                          <w:pPr>
                            <w:pStyle w:val="22"/>
                          </w:pPr>
                          <w:r>
                            <w:fldChar w:fldCharType="begin"/>
                          </w:r>
                          <w:r>
                            <w:instrText xml:space="preserve"> PAGE  \* MERGEFORMAT </w:instrText>
                          </w:r>
                          <w:r>
                            <w:fldChar w:fldCharType="separate"/>
                          </w:r>
                          <w:r>
                            <w:t>15</w:t>
                          </w:r>
                          <w:r>
                            <w:fldChar w:fldCharType="end"/>
                          </w: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PoKa8IBAACO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MuvTB6gx7SFgYhru/IBbM/sBnZn2oKLNXyREMI7qnq/qyiERkR+tV+t1hSGBsfmC+OzxeYiQ3kpv&#10;STYaGnF8RVV+eg9pTJ1TcjXn77UxZYTG/eVAzOxhufexx2ylYT9MhPa+PSOfHiffUIeLTol551DY&#10;vCSzEWdjPxm5BoTbY8LCpZ+MOkJNxXBMhdG0UnkP/ryXrMffaPs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MD6CmvCAQAAjgMAAA4AAAAAAAAAAQAgAAAAHgEAAGRycy9lMm9Eb2MueG1sUEsF&#10;BgAAAAAGAAYAWQEAAFIFAAAAAA==&#10;">
              <v:fill on="f" focussize="0,0"/>
              <v:stroke on="f"/>
              <v:imagedata o:title=""/>
              <o:lock v:ext="edit" aspectratio="f"/>
              <v:textbox inset="0mm,0mm,0mm,0mm" style="mso-fit-shape-to-text:t;">
                <w:txbxContent>
                  <w:p w14:paraId="3D826B8B">
                    <w:pPr>
                      <w:pStyle w:val="22"/>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F01A3">
    <w:pPr>
      <w:pStyle w:val="22"/>
      <w:spacing w:line="320" w:lineRule="atLeast"/>
      <w:ind w:firstLine="150" w:firstLineChars="100"/>
      <w:rPr>
        <w:rFonts w:hAnsi="宋体"/>
        <w:b/>
        <w:kern w:val="0"/>
        <w:sz w:val="15"/>
        <w:szCs w:val="15"/>
      </w:rPr>
    </w:pP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6BC98D">
                          <w:pPr>
                            <w:pStyle w:val="22"/>
                          </w:pPr>
                          <w:r>
                            <w:fldChar w:fldCharType="begin"/>
                          </w:r>
                          <w:r>
                            <w:instrText xml:space="preserve"> PAGE  \* MERGEFORMAT </w:instrText>
                          </w:r>
                          <w:r>
                            <w:fldChar w:fldCharType="separate"/>
                          </w:r>
                          <w:r>
                            <w:t>22</w:t>
                          </w:r>
                          <w:r>
                            <w:fldChar w:fldCharType="end"/>
                          </w:r>
                        </w:p>
                      </w:txbxContent>
                    </wps:txbx>
                    <wps:bodyPr wrap="none" lIns="0" tIns="0" rIns="0" bIns="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JUqLMIBAACO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KuvTB6gx7SFgYhru/IBbM/sBnZn2oKLNXyREMI7qnq/qyiERkR+tV+t1hSGBsfmC+OzxeYiQ3kpv&#10;STYaGnF8RVV+eg9pTJ1TcjXn77UxZYTG/eVAzOxhufexx2ylYT9MhPa+PSOfHiffUIeLTol551DY&#10;vCSzEWdjPxm5BoTbY8LCpZ+MOkJNxXBMhdG0UnkP/ryXrMffaPs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MSVKizCAQAAjgMAAA4AAAAAAAAAAQAgAAAAHgEAAGRycy9lMm9Eb2MueG1sUEsF&#10;BgAAAAAGAAYAWQEAAFIFAAAAAA==&#10;">
              <v:fill on="f" focussize="0,0"/>
              <v:stroke on="f"/>
              <v:imagedata o:title=""/>
              <o:lock v:ext="edit" aspectratio="f"/>
              <v:textbox inset="0mm,0mm,0mm,0mm" style="mso-fit-shape-to-text:t;">
                <w:txbxContent>
                  <w:p w14:paraId="386BC98D">
                    <w:pPr>
                      <w:pStyle w:val="22"/>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AD468">
    <w:pPr>
      <w:pStyle w:val="22"/>
      <w:ind w:right="360"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CED32E">
                          <w:pPr>
                            <w:pStyle w:val="22"/>
                          </w:pPr>
                          <w:r>
                            <w:fldChar w:fldCharType="begin"/>
                          </w:r>
                          <w:r>
                            <w:instrText xml:space="preserve"> PAGE  \* MERGEFORMAT </w:instrText>
                          </w:r>
                          <w:r>
                            <w:fldChar w:fldCharType="separate"/>
                          </w:r>
                          <w:r>
                            <w:t>26</w:t>
                          </w:r>
                          <w:r>
                            <w:fldChar w:fldCharType="end"/>
                          </w:r>
                        </w:p>
                      </w:txbxContent>
                    </wps:txbx>
                    <wps:bodyPr vert="horz" wrap="none" lIns="0" tIns="0" rIns="0" bIns="0" anchor="t" anchorCtr="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ACJnnHXAQAAswMAAA4AAAAAAAAAAQAgAAAA&#10;HgEAAGRycy9lMm9Eb2MueG1sUEsFBgAAAAAGAAYAWQEAAGcFAAAAAA==&#10;">
              <v:fill on="f" focussize="0,0"/>
              <v:stroke on="f"/>
              <v:imagedata o:title=""/>
              <o:lock v:ext="edit" aspectratio="f"/>
              <v:textbox inset="0mm,0mm,0mm,0mm" style="mso-fit-shape-to-text:t;">
                <w:txbxContent>
                  <w:p w14:paraId="09CED32E">
                    <w:pPr>
                      <w:pStyle w:val="2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A7B3F">
    <w:pPr>
      <w:pStyle w:val="22"/>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6D437C">
                          <w:pPr>
                            <w:pStyle w:val="22"/>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wps:txbx>
                    <wps:bodyPr vert="horz" wrap="none" lIns="0" tIns="0" rIns="0" bIns="0" anchor="t" anchorCtr="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wPVa/XAQAAswMAAA4AAAAAAAAAAQAgAAAA&#10;HgEAAGRycy9lMm9Eb2MueG1sUEsFBgAAAAAGAAYAWQEAAGcFAAAAAA==&#10;">
              <v:fill on="f" focussize="0,0"/>
              <v:stroke on="f"/>
              <v:imagedata o:title=""/>
              <o:lock v:ext="edit" aspectratio="f"/>
              <v:textbox inset="0mm,0mm,0mm,0mm" style="mso-fit-shape-to-text:t;">
                <w:txbxContent>
                  <w:p w14:paraId="316D437C">
                    <w:pPr>
                      <w:pStyle w:val="22"/>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v:textbox>
            </v:shape>
          </w:pict>
        </mc:Fallback>
      </mc:AlternateContent>
    </w:r>
  </w:p>
  <w:p w14:paraId="272B3E45">
    <w:pPr>
      <w:pStyle w:val="22"/>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812F3">
    <w:pPr>
      <w:pStyle w:val="22"/>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9B12D3">
                          <w:pPr>
                            <w:pStyle w:val="22"/>
                          </w:pPr>
                          <w:r>
                            <w:fldChar w:fldCharType="begin"/>
                          </w:r>
                          <w:r>
                            <w:instrText xml:space="preserve"> PAGE  \* MERGEFORMAT </w:instrText>
                          </w:r>
                          <w:r>
                            <w:fldChar w:fldCharType="separate"/>
                          </w:r>
                          <w:r>
                            <w:t>45</w:t>
                          </w:r>
                          <w:r>
                            <w:fldChar w:fldCharType="end"/>
                          </w:r>
                        </w:p>
                      </w:txbxContent>
                    </wps:txbx>
                    <wps:bodyPr vert="horz" wrap="none" lIns="0" tIns="0" rIns="0" bIns="0" anchor="t" anchorCtr="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HFL1E2AEAALMDAAAOAAAAAAAAAAEAIAAA&#10;AB4BAABkcnMvZTJvRG9jLnhtbFBLBQYAAAAABgAGAFkBAABoBQAAAAA=&#10;">
              <v:fill on="f" focussize="0,0"/>
              <v:stroke on="f"/>
              <v:imagedata o:title=""/>
              <o:lock v:ext="edit" aspectratio="f"/>
              <v:textbox inset="0mm,0mm,0mm,0mm" style="mso-fit-shape-to-text:t;">
                <w:txbxContent>
                  <w:p w14:paraId="259B12D3">
                    <w:pPr>
                      <w:pStyle w:val="2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2EF3D">
    <w:pPr>
      <w:pStyle w:val="2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FCDDF">
    <w:pPr>
      <w:pStyle w:val="2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FF319">
    <w:pPr>
      <w:pStyle w:val="23"/>
      <w:tabs>
        <w:tab w:val="right" w:pos="9240"/>
        <w:tab w:val="left" w:pos="9345"/>
        <w:tab w:val="clear" w:pos="8306"/>
      </w:tabs>
      <w:ind w:right="155" w:rightChars="74"/>
      <w:jc w:val="both"/>
      <w:rPr>
        <w:rFonts w:hAnsi="宋体"/>
        <w:b/>
      </w:rPr>
    </w:pPr>
    <w:r>
      <w:rPr>
        <w:rFonts w:hint="eastAsia" w:hAnsi="宋体"/>
      </w:rPr>
      <w:drawing>
        <wp:inline distT="0" distB="0" distL="114300" distR="114300">
          <wp:extent cx="136525" cy="145415"/>
          <wp:effectExtent l="0" t="0" r="15875" b="6985"/>
          <wp:docPr id="10" name="图片 12"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hAnsi="宋体"/>
        <w:b/>
      </w:rPr>
      <w:t xml:space="preserve">云南元大工程咨询有限责任公司 </w:t>
    </w:r>
    <w:r>
      <w:rPr>
        <w:rFonts w:hint="eastAsia" w:hAnsi="宋体"/>
        <w:b/>
        <w:lang w:val="en-US" w:eastAsia="zh-CN"/>
      </w:rPr>
      <w:t xml:space="preserve">                                                        </w:t>
    </w:r>
    <w:r>
      <w:rPr>
        <w:rFonts w:hint="eastAsia" w:hAnsi="宋体"/>
        <w:b/>
      </w:rPr>
      <w:t xml:space="preserve"> 单一来源采购文件</w:t>
    </w:r>
  </w:p>
  <w:p w14:paraId="7267A7B4">
    <w:pPr>
      <w:pStyle w:val="2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CFADE">
    <w:pPr>
      <w:pStyle w:val="23"/>
      <w:tabs>
        <w:tab w:val="right" w:pos="9240"/>
        <w:tab w:val="left" w:pos="9345"/>
        <w:tab w:val="clear" w:pos="8306"/>
      </w:tabs>
      <w:ind w:right="155" w:rightChars="74"/>
      <w:jc w:val="both"/>
      <w:rPr>
        <w:rFonts w:hAnsi="宋体"/>
        <w:b/>
      </w:rPr>
    </w:pPr>
    <w:r>
      <w:rPr>
        <w:rFonts w:hint="eastAsia" w:hAnsi="宋体"/>
      </w:rPr>
      <w:drawing>
        <wp:inline distT="0" distB="0" distL="114300" distR="114300">
          <wp:extent cx="136525" cy="145415"/>
          <wp:effectExtent l="0" t="0" r="15875" b="6985"/>
          <wp:docPr id="11" name="图片 3"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hAnsi="宋体"/>
        <w:b/>
      </w:rPr>
      <w:t xml:space="preserve">云南元大工程咨询有限责任公司 </w:t>
    </w:r>
    <w:r>
      <w:rPr>
        <w:rFonts w:hint="eastAsia" w:hAnsi="宋体"/>
        <w:b/>
        <w:lang w:val="en-US" w:eastAsia="zh-CN"/>
      </w:rPr>
      <w:t xml:space="preserve">                                                         </w:t>
    </w:r>
    <w:r>
      <w:rPr>
        <w:rFonts w:hint="eastAsia" w:hAnsi="宋体"/>
        <w:b/>
      </w:rPr>
      <w:t xml:space="preserve"> 单一来源采购文件</w:t>
    </w:r>
  </w:p>
  <w:p w14:paraId="150C7995">
    <w:pPr>
      <w:pStyle w:val="23"/>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5D438">
    <w:pPr>
      <w:pStyle w:val="23"/>
      <w:tabs>
        <w:tab w:val="right" w:pos="9240"/>
        <w:tab w:val="left" w:pos="9345"/>
        <w:tab w:val="clear" w:pos="8306"/>
      </w:tabs>
      <w:ind w:right="155" w:rightChars="74"/>
      <w:jc w:val="both"/>
      <w:rPr>
        <w:rFonts w:hAnsi="宋体"/>
        <w:b/>
      </w:rPr>
    </w:pPr>
    <w:r>
      <w:rPr>
        <w:rFonts w:hint="eastAsia" w:hAnsi="宋体"/>
      </w:rPr>
      <w:drawing>
        <wp:inline distT="0" distB="0" distL="114300" distR="114300">
          <wp:extent cx="136525" cy="145415"/>
          <wp:effectExtent l="0" t="0" r="15875" b="6985"/>
          <wp:docPr id="13" name="图片 2"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hAnsi="宋体"/>
        <w:b/>
      </w:rPr>
      <w:t xml:space="preserve">云南元大工程咨询有限责任公司 </w:t>
    </w:r>
    <w:r>
      <w:rPr>
        <w:rFonts w:hint="eastAsia" w:hAnsi="宋体"/>
        <w:b/>
        <w:lang w:val="en-US" w:eastAsia="zh-CN"/>
      </w:rPr>
      <w:t xml:space="preserve">                                                        </w:t>
    </w:r>
    <w:r>
      <w:rPr>
        <w:rFonts w:hint="eastAsia" w:hAnsi="宋体"/>
        <w:b/>
      </w:rPr>
      <w:t xml:space="preserve"> 单一来源采购文件</w:t>
    </w:r>
  </w:p>
  <w:p w14:paraId="2A287125">
    <w:pPr>
      <w:pStyle w:val="23"/>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15F2D">
    <w:pPr>
      <w:pStyle w:val="23"/>
      <w:tabs>
        <w:tab w:val="right" w:pos="9240"/>
        <w:tab w:val="left" w:pos="9345"/>
        <w:tab w:val="clear" w:pos="8306"/>
      </w:tabs>
      <w:ind w:right="155" w:rightChars="74"/>
      <w:jc w:val="both"/>
      <w:rPr>
        <w:rFonts w:hAnsi="宋体"/>
        <w:b/>
      </w:rPr>
    </w:pPr>
    <w:r>
      <w:rPr>
        <w:rFonts w:hint="eastAsia" w:hAnsi="宋体"/>
      </w:rPr>
      <w:drawing>
        <wp:inline distT="0" distB="0" distL="114300" distR="114300">
          <wp:extent cx="136525" cy="145415"/>
          <wp:effectExtent l="0" t="0" r="15875" b="6985"/>
          <wp:docPr id="14" name="图片 5"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hAnsi="宋体"/>
        <w:b/>
      </w:rPr>
      <w:t xml:space="preserve">云南元大工程咨询有限责任公司 </w:t>
    </w:r>
    <w:r>
      <w:rPr>
        <w:rFonts w:hint="eastAsia" w:hAnsi="宋体"/>
        <w:b/>
        <w:lang w:val="en-US" w:eastAsia="zh-CN"/>
      </w:rPr>
      <w:t xml:space="preserve">                                                         </w:t>
    </w:r>
    <w:r>
      <w:rPr>
        <w:rFonts w:hint="eastAsia" w:hAnsi="宋体"/>
        <w:b/>
      </w:rPr>
      <w:t xml:space="preserve"> 单一来源采购文件</w:t>
    </w:r>
  </w:p>
  <w:p w14:paraId="4E076B3C">
    <w:pPr>
      <w:pStyle w:val="2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0OGEzMDZiOWZjMWMwMDk2Yjg3ZDVkY2Y2MjJhNGUifQ=="/>
  </w:docVars>
  <w:rsids>
    <w:rsidRoot w:val="068205CF"/>
    <w:rsid w:val="000007A7"/>
    <w:rsid w:val="000138D2"/>
    <w:rsid w:val="00014014"/>
    <w:rsid w:val="000156A3"/>
    <w:rsid w:val="000216F0"/>
    <w:rsid w:val="00022B47"/>
    <w:rsid w:val="00023A6C"/>
    <w:rsid w:val="00025B43"/>
    <w:rsid w:val="00026C8D"/>
    <w:rsid w:val="00031489"/>
    <w:rsid w:val="00032F74"/>
    <w:rsid w:val="000334B8"/>
    <w:rsid w:val="000361BC"/>
    <w:rsid w:val="00042FCC"/>
    <w:rsid w:val="00044129"/>
    <w:rsid w:val="00051F2D"/>
    <w:rsid w:val="00054AEB"/>
    <w:rsid w:val="0005538F"/>
    <w:rsid w:val="000650FB"/>
    <w:rsid w:val="00067E0D"/>
    <w:rsid w:val="000716AA"/>
    <w:rsid w:val="00071A94"/>
    <w:rsid w:val="00074C6E"/>
    <w:rsid w:val="00075BEB"/>
    <w:rsid w:val="00076DF4"/>
    <w:rsid w:val="00081AFA"/>
    <w:rsid w:val="00083CC7"/>
    <w:rsid w:val="0009548C"/>
    <w:rsid w:val="00096AED"/>
    <w:rsid w:val="00096F15"/>
    <w:rsid w:val="0009786A"/>
    <w:rsid w:val="000B35B0"/>
    <w:rsid w:val="000B4404"/>
    <w:rsid w:val="000B5AD2"/>
    <w:rsid w:val="000C0DBB"/>
    <w:rsid w:val="000C1FC3"/>
    <w:rsid w:val="000C2B54"/>
    <w:rsid w:val="000C2DD9"/>
    <w:rsid w:val="000C3EB4"/>
    <w:rsid w:val="000C4334"/>
    <w:rsid w:val="000C4428"/>
    <w:rsid w:val="000C549F"/>
    <w:rsid w:val="000C6CCC"/>
    <w:rsid w:val="000C7642"/>
    <w:rsid w:val="000C7D5A"/>
    <w:rsid w:val="000D2C68"/>
    <w:rsid w:val="000D3823"/>
    <w:rsid w:val="000D41E2"/>
    <w:rsid w:val="000D46C9"/>
    <w:rsid w:val="000D54E7"/>
    <w:rsid w:val="000E3808"/>
    <w:rsid w:val="000E4AE4"/>
    <w:rsid w:val="000E50F1"/>
    <w:rsid w:val="000E76DC"/>
    <w:rsid w:val="000F36EE"/>
    <w:rsid w:val="000F3D45"/>
    <w:rsid w:val="000F44E0"/>
    <w:rsid w:val="000F6D55"/>
    <w:rsid w:val="000F7AB2"/>
    <w:rsid w:val="0010245A"/>
    <w:rsid w:val="00102EE0"/>
    <w:rsid w:val="00104A71"/>
    <w:rsid w:val="00105601"/>
    <w:rsid w:val="00105CE7"/>
    <w:rsid w:val="00107820"/>
    <w:rsid w:val="001107BE"/>
    <w:rsid w:val="00110988"/>
    <w:rsid w:val="00111078"/>
    <w:rsid w:val="0011603C"/>
    <w:rsid w:val="00120A52"/>
    <w:rsid w:val="0012579B"/>
    <w:rsid w:val="0013415E"/>
    <w:rsid w:val="00141459"/>
    <w:rsid w:val="00142EF8"/>
    <w:rsid w:val="00147E38"/>
    <w:rsid w:val="00152BA7"/>
    <w:rsid w:val="00154CF6"/>
    <w:rsid w:val="00154FA1"/>
    <w:rsid w:val="001558FB"/>
    <w:rsid w:val="00165E10"/>
    <w:rsid w:val="00173E7B"/>
    <w:rsid w:val="001813E2"/>
    <w:rsid w:val="001820EF"/>
    <w:rsid w:val="00182CA6"/>
    <w:rsid w:val="00193822"/>
    <w:rsid w:val="00193C21"/>
    <w:rsid w:val="001954E1"/>
    <w:rsid w:val="00195F8C"/>
    <w:rsid w:val="001B2901"/>
    <w:rsid w:val="001C1821"/>
    <w:rsid w:val="001C4264"/>
    <w:rsid w:val="001D542B"/>
    <w:rsid w:val="001E08F0"/>
    <w:rsid w:val="001F2DB4"/>
    <w:rsid w:val="001F4520"/>
    <w:rsid w:val="001F4746"/>
    <w:rsid w:val="00201B8F"/>
    <w:rsid w:val="00203ECE"/>
    <w:rsid w:val="00204348"/>
    <w:rsid w:val="00210414"/>
    <w:rsid w:val="00214A7A"/>
    <w:rsid w:val="00220510"/>
    <w:rsid w:val="00222BDC"/>
    <w:rsid w:val="00236BCF"/>
    <w:rsid w:val="00241138"/>
    <w:rsid w:val="00242357"/>
    <w:rsid w:val="00244BAA"/>
    <w:rsid w:val="00245926"/>
    <w:rsid w:val="002469B9"/>
    <w:rsid w:val="00246DFF"/>
    <w:rsid w:val="0024751D"/>
    <w:rsid w:val="00257641"/>
    <w:rsid w:val="00260CDF"/>
    <w:rsid w:val="002615A3"/>
    <w:rsid w:val="002619F3"/>
    <w:rsid w:val="00261E1B"/>
    <w:rsid w:val="002652FA"/>
    <w:rsid w:val="00275880"/>
    <w:rsid w:val="002922DD"/>
    <w:rsid w:val="00292DAB"/>
    <w:rsid w:val="002935E1"/>
    <w:rsid w:val="00294F57"/>
    <w:rsid w:val="002A18C1"/>
    <w:rsid w:val="002B138A"/>
    <w:rsid w:val="002B1617"/>
    <w:rsid w:val="002C1819"/>
    <w:rsid w:val="002C21EF"/>
    <w:rsid w:val="002C2265"/>
    <w:rsid w:val="002C47D6"/>
    <w:rsid w:val="002C4E1E"/>
    <w:rsid w:val="002D16CA"/>
    <w:rsid w:val="002D51B8"/>
    <w:rsid w:val="002E088E"/>
    <w:rsid w:val="002E12E2"/>
    <w:rsid w:val="002E3C1C"/>
    <w:rsid w:val="002E58EC"/>
    <w:rsid w:val="002F0E67"/>
    <w:rsid w:val="002F3599"/>
    <w:rsid w:val="002F6CCE"/>
    <w:rsid w:val="002F74B1"/>
    <w:rsid w:val="00302091"/>
    <w:rsid w:val="00305E4C"/>
    <w:rsid w:val="00313C25"/>
    <w:rsid w:val="00314F3A"/>
    <w:rsid w:val="00323106"/>
    <w:rsid w:val="00324D29"/>
    <w:rsid w:val="00325F43"/>
    <w:rsid w:val="00325F51"/>
    <w:rsid w:val="00326DC1"/>
    <w:rsid w:val="0033213F"/>
    <w:rsid w:val="00336FF0"/>
    <w:rsid w:val="0034410E"/>
    <w:rsid w:val="00345626"/>
    <w:rsid w:val="00347E93"/>
    <w:rsid w:val="00355D4C"/>
    <w:rsid w:val="0035662F"/>
    <w:rsid w:val="00356D09"/>
    <w:rsid w:val="003668E6"/>
    <w:rsid w:val="00366CB6"/>
    <w:rsid w:val="003670E1"/>
    <w:rsid w:val="00372765"/>
    <w:rsid w:val="00374B93"/>
    <w:rsid w:val="003750CF"/>
    <w:rsid w:val="0037643E"/>
    <w:rsid w:val="00377BAF"/>
    <w:rsid w:val="00380DE9"/>
    <w:rsid w:val="00380F33"/>
    <w:rsid w:val="00383E86"/>
    <w:rsid w:val="003868B1"/>
    <w:rsid w:val="003904CC"/>
    <w:rsid w:val="00390836"/>
    <w:rsid w:val="00390882"/>
    <w:rsid w:val="00392136"/>
    <w:rsid w:val="00393031"/>
    <w:rsid w:val="003A7558"/>
    <w:rsid w:val="003B2330"/>
    <w:rsid w:val="003C22E5"/>
    <w:rsid w:val="003C36D3"/>
    <w:rsid w:val="003C3927"/>
    <w:rsid w:val="003C7AF6"/>
    <w:rsid w:val="003D6890"/>
    <w:rsid w:val="003E1897"/>
    <w:rsid w:val="003E43D5"/>
    <w:rsid w:val="003F1D2C"/>
    <w:rsid w:val="003F5032"/>
    <w:rsid w:val="003F524E"/>
    <w:rsid w:val="003F5498"/>
    <w:rsid w:val="003F6F14"/>
    <w:rsid w:val="003F772A"/>
    <w:rsid w:val="00410B87"/>
    <w:rsid w:val="004118C4"/>
    <w:rsid w:val="00411CBD"/>
    <w:rsid w:val="00416F01"/>
    <w:rsid w:val="00417194"/>
    <w:rsid w:val="00421AD5"/>
    <w:rsid w:val="00425DCC"/>
    <w:rsid w:val="00427024"/>
    <w:rsid w:val="00432C00"/>
    <w:rsid w:val="00440C5B"/>
    <w:rsid w:val="0045095C"/>
    <w:rsid w:val="00453BFC"/>
    <w:rsid w:val="004550A9"/>
    <w:rsid w:val="004631E3"/>
    <w:rsid w:val="0046376B"/>
    <w:rsid w:val="00471DF2"/>
    <w:rsid w:val="00477585"/>
    <w:rsid w:val="00486A2C"/>
    <w:rsid w:val="00492B54"/>
    <w:rsid w:val="0049758E"/>
    <w:rsid w:val="004A057F"/>
    <w:rsid w:val="004A1BC1"/>
    <w:rsid w:val="004A1ECD"/>
    <w:rsid w:val="004A25CB"/>
    <w:rsid w:val="004A6704"/>
    <w:rsid w:val="004B327A"/>
    <w:rsid w:val="004B624A"/>
    <w:rsid w:val="004B6590"/>
    <w:rsid w:val="004C0E95"/>
    <w:rsid w:val="004C12B8"/>
    <w:rsid w:val="004D2471"/>
    <w:rsid w:val="004D3890"/>
    <w:rsid w:val="004D5235"/>
    <w:rsid w:val="004F2741"/>
    <w:rsid w:val="004F2ACD"/>
    <w:rsid w:val="004F36E5"/>
    <w:rsid w:val="004F3D6C"/>
    <w:rsid w:val="004F44A2"/>
    <w:rsid w:val="00517DD1"/>
    <w:rsid w:val="005214A7"/>
    <w:rsid w:val="005219AC"/>
    <w:rsid w:val="00523E71"/>
    <w:rsid w:val="005261E9"/>
    <w:rsid w:val="0053572E"/>
    <w:rsid w:val="005407CC"/>
    <w:rsid w:val="00541D62"/>
    <w:rsid w:val="005519D4"/>
    <w:rsid w:val="00553427"/>
    <w:rsid w:val="00562725"/>
    <w:rsid w:val="005638AF"/>
    <w:rsid w:val="005638C6"/>
    <w:rsid w:val="005642E4"/>
    <w:rsid w:val="0056587E"/>
    <w:rsid w:val="00567DA0"/>
    <w:rsid w:val="00570ED1"/>
    <w:rsid w:val="00571813"/>
    <w:rsid w:val="00572068"/>
    <w:rsid w:val="0057452A"/>
    <w:rsid w:val="0058485E"/>
    <w:rsid w:val="00585DB5"/>
    <w:rsid w:val="00592D74"/>
    <w:rsid w:val="005A619D"/>
    <w:rsid w:val="005B12E4"/>
    <w:rsid w:val="005B6C20"/>
    <w:rsid w:val="005C24D2"/>
    <w:rsid w:val="005C5FA6"/>
    <w:rsid w:val="005D02AA"/>
    <w:rsid w:val="005D4DBB"/>
    <w:rsid w:val="005D6887"/>
    <w:rsid w:val="005E0126"/>
    <w:rsid w:val="005E0D59"/>
    <w:rsid w:val="005E0E7C"/>
    <w:rsid w:val="005E25A9"/>
    <w:rsid w:val="005E2A88"/>
    <w:rsid w:val="005E323C"/>
    <w:rsid w:val="005F0750"/>
    <w:rsid w:val="005F1207"/>
    <w:rsid w:val="005F3991"/>
    <w:rsid w:val="005F507C"/>
    <w:rsid w:val="005F7476"/>
    <w:rsid w:val="0060030F"/>
    <w:rsid w:val="0060224C"/>
    <w:rsid w:val="00602D78"/>
    <w:rsid w:val="00610275"/>
    <w:rsid w:val="0061031F"/>
    <w:rsid w:val="006122E3"/>
    <w:rsid w:val="006131CC"/>
    <w:rsid w:val="00613307"/>
    <w:rsid w:val="006158D7"/>
    <w:rsid w:val="00624454"/>
    <w:rsid w:val="006260C0"/>
    <w:rsid w:val="006310F5"/>
    <w:rsid w:val="006313F2"/>
    <w:rsid w:val="00631F2F"/>
    <w:rsid w:val="0063232B"/>
    <w:rsid w:val="006335E5"/>
    <w:rsid w:val="006372EC"/>
    <w:rsid w:val="006410CC"/>
    <w:rsid w:val="0064138B"/>
    <w:rsid w:val="00641960"/>
    <w:rsid w:val="00646E07"/>
    <w:rsid w:val="00647EB3"/>
    <w:rsid w:val="00652182"/>
    <w:rsid w:val="006539AB"/>
    <w:rsid w:val="0066212E"/>
    <w:rsid w:val="00665330"/>
    <w:rsid w:val="00670C8D"/>
    <w:rsid w:val="0067165A"/>
    <w:rsid w:val="00685093"/>
    <w:rsid w:val="00690A3C"/>
    <w:rsid w:val="00691107"/>
    <w:rsid w:val="00692940"/>
    <w:rsid w:val="00693188"/>
    <w:rsid w:val="006945C4"/>
    <w:rsid w:val="0069494E"/>
    <w:rsid w:val="006954ED"/>
    <w:rsid w:val="006B1662"/>
    <w:rsid w:val="006B43A6"/>
    <w:rsid w:val="006C34B7"/>
    <w:rsid w:val="006C4112"/>
    <w:rsid w:val="006C6515"/>
    <w:rsid w:val="006C7560"/>
    <w:rsid w:val="006E3A6A"/>
    <w:rsid w:val="006E4A56"/>
    <w:rsid w:val="006E72A2"/>
    <w:rsid w:val="006F1569"/>
    <w:rsid w:val="006F2B66"/>
    <w:rsid w:val="006F2E65"/>
    <w:rsid w:val="00700E1D"/>
    <w:rsid w:val="00701E7E"/>
    <w:rsid w:val="007028E8"/>
    <w:rsid w:val="00707D60"/>
    <w:rsid w:val="00710AA8"/>
    <w:rsid w:val="007124F1"/>
    <w:rsid w:val="00713AB1"/>
    <w:rsid w:val="00723083"/>
    <w:rsid w:val="007250FB"/>
    <w:rsid w:val="00725FC9"/>
    <w:rsid w:val="0072749D"/>
    <w:rsid w:val="00727FB3"/>
    <w:rsid w:val="00730237"/>
    <w:rsid w:val="00730485"/>
    <w:rsid w:val="00731043"/>
    <w:rsid w:val="007324D8"/>
    <w:rsid w:val="00732F3B"/>
    <w:rsid w:val="00737653"/>
    <w:rsid w:val="0074271E"/>
    <w:rsid w:val="00743B79"/>
    <w:rsid w:val="007475C9"/>
    <w:rsid w:val="00753CF4"/>
    <w:rsid w:val="0075763A"/>
    <w:rsid w:val="00764534"/>
    <w:rsid w:val="00765D08"/>
    <w:rsid w:val="00766AAE"/>
    <w:rsid w:val="0077007E"/>
    <w:rsid w:val="00775D1F"/>
    <w:rsid w:val="007806F6"/>
    <w:rsid w:val="00780793"/>
    <w:rsid w:val="007817CC"/>
    <w:rsid w:val="00782889"/>
    <w:rsid w:val="007831CD"/>
    <w:rsid w:val="00785AD7"/>
    <w:rsid w:val="00786FD0"/>
    <w:rsid w:val="00787810"/>
    <w:rsid w:val="00787914"/>
    <w:rsid w:val="00790F4D"/>
    <w:rsid w:val="007965AC"/>
    <w:rsid w:val="00797B7C"/>
    <w:rsid w:val="007A4F0D"/>
    <w:rsid w:val="007A533B"/>
    <w:rsid w:val="007B38DF"/>
    <w:rsid w:val="007B48D3"/>
    <w:rsid w:val="007C2F87"/>
    <w:rsid w:val="007C4C57"/>
    <w:rsid w:val="007C7C5E"/>
    <w:rsid w:val="007D2E25"/>
    <w:rsid w:val="007D5022"/>
    <w:rsid w:val="007E0DBC"/>
    <w:rsid w:val="007E1D5A"/>
    <w:rsid w:val="007E42A6"/>
    <w:rsid w:val="007E5352"/>
    <w:rsid w:val="007E5AAF"/>
    <w:rsid w:val="007E73F5"/>
    <w:rsid w:val="007E7466"/>
    <w:rsid w:val="007F540F"/>
    <w:rsid w:val="007F6AA6"/>
    <w:rsid w:val="007F7A75"/>
    <w:rsid w:val="008019E8"/>
    <w:rsid w:val="00801D45"/>
    <w:rsid w:val="008077B4"/>
    <w:rsid w:val="008163ED"/>
    <w:rsid w:val="00817073"/>
    <w:rsid w:val="0082075F"/>
    <w:rsid w:val="00820E01"/>
    <w:rsid w:val="00827635"/>
    <w:rsid w:val="008315FA"/>
    <w:rsid w:val="00835AB0"/>
    <w:rsid w:val="00835B90"/>
    <w:rsid w:val="008370B1"/>
    <w:rsid w:val="0084020A"/>
    <w:rsid w:val="008441EF"/>
    <w:rsid w:val="0084626F"/>
    <w:rsid w:val="008466DD"/>
    <w:rsid w:val="00847207"/>
    <w:rsid w:val="008503A1"/>
    <w:rsid w:val="00851D5D"/>
    <w:rsid w:val="00852458"/>
    <w:rsid w:val="00852A82"/>
    <w:rsid w:val="00862B25"/>
    <w:rsid w:val="008640A0"/>
    <w:rsid w:val="00871A85"/>
    <w:rsid w:val="00886030"/>
    <w:rsid w:val="008918D5"/>
    <w:rsid w:val="00894F47"/>
    <w:rsid w:val="008A180B"/>
    <w:rsid w:val="008A218E"/>
    <w:rsid w:val="008A3918"/>
    <w:rsid w:val="008B0BCB"/>
    <w:rsid w:val="008B25B9"/>
    <w:rsid w:val="008B4387"/>
    <w:rsid w:val="008B5329"/>
    <w:rsid w:val="008C3843"/>
    <w:rsid w:val="008C5491"/>
    <w:rsid w:val="008C7475"/>
    <w:rsid w:val="008D3DBA"/>
    <w:rsid w:val="008D4BD0"/>
    <w:rsid w:val="008E752B"/>
    <w:rsid w:val="008E7CFA"/>
    <w:rsid w:val="008F570C"/>
    <w:rsid w:val="008F6327"/>
    <w:rsid w:val="00905BE2"/>
    <w:rsid w:val="009108CD"/>
    <w:rsid w:val="009111B4"/>
    <w:rsid w:val="0091275A"/>
    <w:rsid w:val="00916C69"/>
    <w:rsid w:val="0092232F"/>
    <w:rsid w:val="009247CB"/>
    <w:rsid w:val="0093263C"/>
    <w:rsid w:val="009329C9"/>
    <w:rsid w:val="009341D8"/>
    <w:rsid w:val="009342DE"/>
    <w:rsid w:val="009401EA"/>
    <w:rsid w:val="009403B2"/>
    <w:rsid w:val="00943A52"/>
    <w:rsid w:val="00944C2E"/>
    <w:rsid w:val="00945611"/>
    <w:rsid w:val="009509E9"/>
    <w:rsid w:val="0095179B"/>
    <w:rsid w:val="00953FF9"/>
    <w:rsid w:val="009568A0"/>
    <w:rsid w:val="009574A1"/>
    <w:rsid w:val="00966DD0"/>
    <w:rsid w:val="00967389"/>
    <w:rsid w:val="0097271B"/>
    <w:rsid w:val="00972778"/>
    <w:rsid w:val="00972B18"/>
    <w:rsid w:val="0097536B"/>
    <w:rsid w:val="009768CA"/>
    <w:rsid w:val="00983D9E"/>
    <w:rsid w:val="00985268"/>
    <w:rsid w:val="009964CD"/>
    <w:rsid w:val="009966A7"/>
    <w:rsid w:val="009A03FF"/>
    <w:rsid w:val="009A2809"/>
    <w:rsid w:val="009A58F9"/>
    <w:rsid w:val="009B3C0A"/>
    <w:rsid w:val="009B78F8"/>
    <w:rsid w:val="009C499E"/>
    <w:rsid w:val="009C7479"/>
    <w:rsid w:val="009C7DCD"/>
    <w:rsid w:val="009D06D6"/>
    <w:rsid w:val="009D06E5"/>
    <w:rsid w:val="009D12A1"/>
    <w:rsid w:val="009D1969"/>
    <w:rsid w:val="009D6489"/>
    <w:rsid w:val="009D74AF"/>
    <w:rsid w:val="009E057B"/>
    <w:rsid w:val="009E0603"/>
    <w:rsid w:val="009E1273"/>
    <w:rsid w:val="009E30AD"/>
    <w:rsid w:val="009E7BC1"/>
    <w:rsid w:val="009F2066"/>
    <w:rsid w:val="009F34C8"/>
    <w:rsid w:val="009F3EA7"/>
    <w:rsid w:val="009F437C"/>
    <w:rsid w:val="00A016EA"/>
    <w:rsid w:val="00A02014"/>
    <w:rsid w:val="00A02902"/>
    <w:rsid w:val="00A06422"/>
    <w:rsid w:val="00A106D0"/>
    <w:rsid w:val="00A11869"/>
    <w:rsid w:val="00A12EED"/>
    <w:rsid w:val="00A15BCB"/>
    <w:rsid w:val="00A21085"/>
    <w:rsid w:val="00A22ACD"/>
    <w:rsid w:val="00A22B05"/>
    <w:rsid w:val="00A24737"/>
    <w:rsid w:val="00A2514F"/>
    <w:rsid w:val="00A27611"/>
    <w:rsid w:val="00A278DA"/>
    <w:rsid w:val="00A57D99"/>
    <w:rsid w:val="00A76E00"/>
    <w:rsid w:val="00A834AF"/>
    <w:rsid w:val="00A83F5E"/>
    <w:rsid w:val="00A84825"/>
    <w:rsid w:val="00A90FF6"/>
    <w:rsid w:val="00A91EC7"/>
    <w:rsid w:val="00A93C7D"/>
    <w:rsid w:val="00AA1F61"/>
    <w:rsid w:val="00AA534D"/>
    <w:rsid w:val="00AB7A81"/>
    <w:rsid w:val="00AC2F7E"/>
    <w:rsid w:val="00AC546D"/>
    <w:rsid w:val="00AC5F40"/>
    <w:rsid w:val="00AC5F83"/>
    <w:rsid w:val="00AD1CB0"/>
    <w:rsid w:val="00AD3293"/>
    <w:rsid w:val="00AD5943"/>
    <w:rsid w:val="00AE4D16"/>
    <w:rsid w:val="00AF6609"/>
    <w:rsid w:val="00AF705D"/>
    <w:rsid w:val="00B01A16"/>
    <w:rsid w:val="00B029AC"/>
    <w:rsid w:val="00B07F59"/>
    <w:rsid w:val="00B118BF"/>
    <w:rsid w:val="00B25448"/>
    <w:rsid w:val="00B32E75"/>
    <w:rsid w:val="00B3322B"/>
    <w:rsid w:val="00B3526D"/>
    <w:rsid w:val="00B3535C"/>
    <w:rsid w:val="00B40E85"/>
    <w:rsid w:val="00B418AB"/>
    <w:rsid w:val="00B42373"/>
    <w:rsid w:val="00B4350E"/>
    <w:rsid w:val="00B44A07"/>
    <w:rsid w:val="00B44C2F"/>
    <w:rsid w:val="00B47216"/>
    <w:rsid w:val="00B472BF"/>
    <w:rsid w:val="00B50E4F"/>
    <w:rsid w:val="00B51822"/>
    <w:rsid w:val="00B54727"/>
    <w:rsid w:val="00B60607"/>
    <w:rsid w:val="00B61187"/>
    <w:rsid w:val="00B61491"/>
    <w:rsid w:val="00B62EF9"/>
    <w:rsid w:val="00B76179"/>
    <w:rsid w:val="00B77115"/>
    <w:rsid w:val="00B82032"/>
    <w:rsid w:val="00B8287F"/>
    <w:rsid w:val="00B8668E"/>
    <w:rsid w:val="00B8750F"/>
    <w:rsid w:val="00B93237"/>
    <w:rsid w:val="00B93858"/>
    <w:rsid w:val="00B93F2F"/>
    <w:rsid w:val="00BA423E"/>
    <w:rsid w:val="00BA6F19"/>
    <w:rsid w:val="00BB02E2"/>
    <w:rsid w:val="00BB2BF0"/>
    <w:rsid w:val="00BB3F60"/>
    <w:rsid w:val="00BB5E7C"/>
    <w:rsid w:val="00BB7780"/>
    <w:rsid w:val="00BC62BD"/>
    <w:rsid w:val="00BD3E8C"/>
    <w:rsid w:val="00BD56B3"/>
    <w:rsid w:val="00BD6DF8"/>
    <w:rsid w:val="00BE0EC2"/>
    <w:rsid w:val="00BE11B5"/>
    <w:rsid w:val="00BF4F24"/>
    <w:rsid w:val="00BF7A38"/>
    <w:rsid w:val="00C004CB"/>
    <w:rsid w:val="00C01D11"/>
    <w:rsid w:val="00C05CCC"/>
    <w:rsid w:val="00C06844"/>
    <w:rsid w:val="00C10457"/>
    <w:rsid w:val="00C10533"/>
    <w:rsid w:val="00C12D48"/>
    <w:rsid w:val="00C1307B"/>
    <w:rsid w:val="00C155C6"/>
    <w:rsid w:val="00C16D4D"/>
    <w:rsid w:val="00C20A8C"/>
    <w:rsid w:val="00C22E11"/>
    <w:rsid w:val="00C3481B"/>
    <w:rsid w:val="00C353B5"/>
    <w:rsid w:val="00C364E2"/>
    <w:rsid w:val="00C43967"/>
    <w:rsid w:val="00C46444"/>
    <w:rsid w:val="00C50E82"/>
    <w:rsid w:val="00C51CAB"/>
    <w:rsid w:val="00C61A97"/>
    <w:rsid w:val="00C700F5"/>
    <w:rsid w:val="00C72D23"/>
    <w:rsid w:val="00C74E44"/>
    <w:rsid w:val="00C8105E"/>
    <w:rsid w:val="00C82F0F"/>
    <w:rsid w:val="00C83581"/>
    <w:rsid w:val="00CA5624"/>
    <w:rsid w:val="00CB1C65"/>
    <w:rsid w:val="00CC1872"/>
    <w:rsid w:val="00CC1B34"/>
    <w:rsid w:val="00CC3299"/>
    <w:rsid w:val="00CE0A48"/>
    <w:rsid w:val="00CE35EC"/>
    <w:rsid w:val="00CF2440"/>
    <w:rsid w:val="00CF2A4A"/>
    <w:rsid w:val="00CF395E"/>
    <w:rsid w:val="00CF422D"/>
    <w:rsid w:val="00CF6933"/>
    <w:rsid w:val="00CF76C3"/>
    <w:rsid w:val="00D0134B"/>
    <w:rsid w:val="00D03583"/>
    <w:rsid w:val="00D07B81"/>
    <w:rsid w:val="00D114D2"/>
    <w:rsid w:val="00D119E2"/>
    <w:rsid w:val="00D138FA"/>
    <w:rsid w:val="00D16208"/>
    <w:rsid w:val="00D24BA7"/>
    <w:rsid w:val="00D32C8C"/>
    <w:rsid w:val="00D34B6B"/>
    <w:rsid w:val="00D37215"/>
    <w:rsid w:val="00D41941"/>
    <w:rsid w:val="00D47499"/>
    <w:rsid w:val="00D47A01"/>
    <w:rsid w:val="00D55F4D"/>
    <w:rsid w:val="00D56A3C"/>
    <w:rsid w:val="00D60360"/>
    <w:rsid w:val="00D61BBA"/>
    <w:rsid w:val="00D62A3A"/>
    <w:rsid w:val="00D648BC"/>
    <w:rsid w:val="00D662A8"/>
    <w:rsid w:val="00D705B9"/>
    <w:rsid w:val="00D75F1C"/>
    <w:rsid w:val="00D86F0B"/>
    <w:rsid w:val="00D91948"/>
    <w:rsid w:val="00D94418"/>
    <w:rsid w:val="00D96CCA"/>
    <w:rsid w:val="00D97365"/>
    <w:rsid w:val="00DA3002"/>
    <w:rsid w:val="00DA33AB"/>
    <w:rsid w:val="00DB40A8"/>
    <w:rsid w:val="00DD3063"/>
    <w:rsid w:val="00DD3E34"/>
    <w:rsid w:val="00DD46C8"/>
    <w:rsid w:val="00DE20DE"/>
    <w:rsid w:val="00DE212A"/>
    <w:rsid w:val="00DE32FD"/>
    <w:rsid w:val="00DE376B"/>
    <w:rsid w:val="00DF280B"/>
    <w:rsid w:val="00DF4171"/>
    <w:rsid w:val="00DF48C8"/>
    <w:rsid w:val="00DF5870"/>
    <w:rsid w:val="00E004BC"/>
    <w:rsid w:val="00E00C70"/>
    <w:rsid w:val="00E00D09"/>
    <w:rsid w:val="00E00F67"/>
    <w:rsid w:val="00E028AD"/>
    <w:rsid w:val="00E104AE"/>
    <w:rsid w:val="00E10E88"/>
    <w:rsid w:val="00E225C0"/>
    <w:rsid w:val="00E27B35"/>
    <w:rsid w:val="00E33785"/>
    <w:rsid w:val="00E37422"/>
    <w:rsid w:val="00E377C9"/>
    <w:rsid w:val="00E42982"/>
    <w:rsid w:val="00E42D70"/>
    <w:rsid w:val="00E4344B"/>
    <w:rsid w:val="00E50258"/>
    <w:rsid w:val="00E51C3D"/>
    <w:rsid w:val="00E51C78"/>
    <w:rsid w:val="00E676F2"/>
    <w:rsid w:val="00E77D7A"/>
    <w:rsid w:val="00E82CBD"/>
    <w:rsid w:val="00E8481E"/>
    <w:rsid w:val="00E873F2"/>
    <w:rsid w:val="00E91CF8"/>
    <w:rsid w:val="00E91F39"/>
    <w:rsid w:val="00E93AC5"/>
    <w:rsid w:val="00E97059"/>
    <w:rsid w:val="00E97FB2"/>
    <w:rsid w:val="00EA0227"/>
    <w:rsid w:val="00EA3687"/>
    <w:rsid w:val="00EA3F0A"/>
    <w:rsid w:val="00EA4D08"/>
    <w:rsid w:val="00EB4201"/>
    <w:rsid w:val="00EB50E1"/>
    <w:rsid w:val="00EC0FB6"/>
    <w:rsid w:val="00EC6943"/>
    <w:rsid w:val="00ED7133"/>
    <w:rsid w:val="00ED7172"/>
    <w:rsid w:val="00EE0AF4"/>
    <w:rsid w:val="00EE2748"/>
    <w:rsid w:val="00EF05E0"/>
    <w:rsid w:val="00EF400B"/>
    <w:rsid w:val="00F04D5B"/>
    <w:rsid w:val="00F06EE5"/>
    <w:rsid w:val="00F11176"/>
    <w:rsid w:val="00F218A5"/>
    <w:rsid w:val="00F243A7"/>
    <w:rsid w:val="00F24756"/>
    <w:rsid w:val="00F3192C"/>
    <w:rsid w:val="00F3609A"/>
    <w:rsid w:val="00F408A6"/>
    <w:rsid w:val="00F431EC"/>
    <w:rsid w:val="00F45844"/>
    <w:rsid w:val="00F459DF"/>
    <w:rsid w:val="00F476B1"/>
    <w:rsid w:val="00F47ADF"/>
    <w:rsid w:val="00F51ED5"/>
    <w:rsid w:val="00F5787C"/>
    <w:rsid w:val="00F600F0"/>
    <w:rsid w:val="00F6281D"/>
    <w:rsid w:val="00F644A0"/>
    <w:rsid w:val="00F73157"/>
    <w:rsid w:val="00F76844"/>
    <w:rsid w:val="00F77E07"/>
    <w:rsid w:val="00F803C6"/>
    <w:rsid w:val="00F84ACC"/>
    <w:rsid w:val="00F86DD5"/>
    <w:rsid w:val="00F91F9D"/>
    <w:rsid w:val="00F961CE"/>
    <w:rsid w:val="00FA0365"/>
    <w:rsid w:val="00FA2687"/>
    <w:rsid w:val="00FA2C1D"/>
    <w:rsid w:val="00FA4C45"/>
    <w:rsid w:val="00FA5A5D"/>
    <w:rsid w:val="00FB4D94"/>
    <w:rsid w:val="00FC071F"/>
    <w:rsid w:val="00FC2990"/>
    <w:rsid w:val="00FD4F96"/>
    <w:rsid w:val="00FD5472"/>
    <w:rsid w:val="00FD62D8"/>
    <w:rsid w:val="00FD63C2"/>
    <w:rsid w:val="00FD6763"/>
    <w:rsid w:val="00FD70F8"/>
    <w:rsid w:val="00FE1DAE"/>
    <w:rsid w:val="00FE5729"/>
    <w:rsid w:val="00FF0367"/>
    <w:rsid w:val="00FF5F83"/>
    <w:rsid w:val="015B33DA"/>
    <w:rsid w:val="015B42E4"/>
    <w:rsid w:val="01730582"/>
    <w:rsid w:val="01802C9E"/>
    <w:rsid w:val="01826960"/>
    <w:rsid w:val="019032E3"/>
    <w:rsid w:val="01A72984"/>
    <w:rsid w:val="01E826F5"/>
    <w:rsid w:val="01E873B2"/>
    <w:rsid w:val="022B2C0A"/>
    <w:rsid w:val="022E6257"/>
    <w:rsid w:val="02314FCE"/>
    <w:rsid w:val="028B72E3"/>
    <w:rsid w:val="02B0310F"/>
    <w:rsid w:val="02B413CC"/>
    <w:rsid w:val="02DE5ECF"/>
    <w:rsid w:val="031C2553"/>
    <w:rsid w:val="032E717B"/>
    <w:rsid w:val="03443531"/>
    <w:rsid w:val="03942A31"/>
    <w:rsid w:val="039B3DC0"/>
    <w:rsid w:val="039D2F5A"/>
    <w:rsid w:val="039E740C"/>
    <w:rsid w:val="03E1496D"/>
    <w:rsid w:val="03F7033B"/>
    <w:rsid w:val="04082AD7"/>
    <w:rsid w:val="048B2402"/>
    <w:rsid w:val="049D7D38"/>
    <w:rsid w:val="04A46CA4"/>
    <w:rsid w:val="04BA2E44"/>
    <w:rsid w:val="04D37589"/>
    <w:rsid w:val="04DB25E5"/>
    <w:rsid w:val="04E16A28"/>
    <w:rsid w:val="04FD0A58"/>
    <w:rsid w:val="05085F14"/>
    <w:rsid w:val="05366B39"/>
    <w:rsid w:val="05467D5B"/>
    <w:rsid w:val="054E09BE"/>
    <w:rsid w:val="055C757F"/>
    <w:rsid w:val="05845060"/>
    <w:rsid w:val="059F2835"/>
    <w:rsid w:val="05B747B5"/>
    <w:rsid w:val="05BB24F7"/>
    <w:rsid w:val="05D84E57"/>
    <w:rsid w:val="05DC2518"/>
    <w:rsid w:val="05EE1A1D"/>
    <w:rsid w:val="05F76F31"/>
    <w:rsid w:val="060043AE"/>
    <w:rsid w:val="064E5119"/>
    <w:rsid w:val="067D155B"/>
    <w:rsid w:val="068205CF"/>
    <w:rsid w:val="06A004F4"/>
    <w:rsid w:val="06C07699"/>
    <w:rsid w:val="06CB49BC"/>
    <w:rsid w:val="06E514FF"/>
    <w:rsid w:val="070A6664"/>
    <w:rsid w:val="07372051"/>
    <w:rsid w:val="073E1923"/>
    <w:rsid w:val="075B22CE"/>
    <w:rsid w:val="077B519D"/>
    <w:rsid w:val="077C520D"/>
    <w:rsid w:val="07847184"/>
    <w:rsid w:val="07D478A0"/>
    <w:rsid w:val="07DC4519"/>
    <w:rsid w:val="07EC688D"/>
    <w:rsid w:val="07F65A68"/>
    <w:rsid w:val="07F73C02"/>
    <w:rsid w:val="082A3964"/>
    <w:rsid w:val="082F07CF"/>
    <w:rsid w:val="0831084F"/>
    <w:rsid w:val="084D0119"/>
    <w:rsid w:val="08655395"/>
    <w:rsid w:val="08B5322E"/>
    <w:rsid w:val="08B65BE5"/>
    <w:rsid w:val="08BF5E5A"/>
    <w:rsid w:val="08D833C0"/>
    <w:rsid w:val="08E753B1"/>
    <w:rsid w:val="08FE2261"/>
    <w:rsid w:val="090B72F2"/>
    <w:rsid w:val="09243584"/>
    <w:rsid w:val="092F0177"/>
    <w:rsid w:val="094821EF"/>
    <w:rsid w:val="0958005D"/>
    <w:rsid w:val="095D5673"/>
    <w:rsid w:val="0963712E"/>
    <w:rsid w:val="09727371"/>
    <w:rsid w:val="097E29A4"/>
    <w:rsid w:val="09AD2157"/>
    <w:rsid w:val="09BA2AC6"/>
    <w:rsid w:val="09C0632E"/>
    <w:rsid w:val="09C53944"/>
    <w:rsid w:val="09EA6F07"/>
    <w:rsid w:val="0A026946"/>
    <w:rsid w:val="0A554341"/>
    <w:rsid w:val="0A6B2432"/>
    <w:rsid w:val="0A81631F"/>
    <w:rsid w:val="0ACE6829"/>
    <w:rsid w:val="0AF618DB"/>
    <w:rsid w:val="0B1F4D38"/>
    <w:rsid w:val="0B1F7084"/>
    <w:rsid w:val="0B3346F2"/>
    <w:rsid w:val="0B514356"/>
    <w:rsid w:val="0B6534D3"/>
    <w:rsid w:val="0B865355"/>
    <w:rsid w:val="0B892115"/>
    <w:rsid w:val="0BB377CC"/>
    <w:rsid w:val="0BBC0D77"/>
    <w:rsid w:val="0BD85C4B"/>
    <w:rsid w:val="0BF56037"/>
    <w:rsid w:val="0BFB189F"/>
    <w:rsid w:val="0C05627A"/>
    <w:rsid w:val="0C083FBC"/>
    <w:rsid w:val="0C1E2D61"/>
    <w:rsid w:val="0C2661F0"/>
    <w:rsid w:val="0C345C12"/>
    <w:rsid w:val="0C4A1EDF"/>
    <w:rsid w:val="0C550FD3"/>
    <w:rsid w:val="0C566AD6"/>
    <w:rsid w:val="0C7227A7"/>
    <w:rsid w:val="0C727688"/>
    <w:rsid w:val="0C760F26"/>
    <w:rsid w:val="0C9E3132"/>
    <w:rsid w:val="0CA22C8C"/>
    <w:rsid w:val="0CA900F3"/>
    <w:rsid w:val="0D1C2C36"/>
    <w:rsid w:val="0D460986"/>
    <w:rsid w:val="0D576FA9"/>
    <w:rsid w:val="0D5E7460"/>
    <w:rsid w:val="0D62695A"/>
    <w:rsid w:val="0D8604CD"/>
    <w:rsid w:val="0DBC6E0C"/>
    <w:rsid w:val="0DC21652"/>
    <w:rsid w:val="0E190008"/>
    <w:rsid w:val="0E19425F"/>
    <w:rsid w:val="0E346DF5"/>
    <w:rsid w:val="0E6976E9"/>
    <w:rsid w:val="0E835B7C"/>
    <w:rsid w:val="0E9D713D"/>
    <w:rsid w:val="0EC44672"/>
    <w:rsid w:val="0F3D21CF"/>
    <w:rsid w:val="0F40581B"/>
    <w:rsid w:val="0F580DB7"/>
    <w:rsid w:val="0F615EBD"/>
    <w:rsid w:val="0FD50659"/>
    <w:rsid w:val="0FD6350A"/>
    <w:rsid w:val="102313C5"/>
    <w:rsid w:val="1041546C"/>
    <w:rsid w:val="105772C0"/>
    <w:rsid w:val="10590B97"/>
    <w:rsid w:val="106519DD"/>
    <w:rsid w:val="10803BB3"/>
    <w:rsid w:val="10923971"/>
    <w:rsid w:val="1092654A"/>
    <w:rsid w:val="10AC13BA"/>
    <w:rsid w:val="10CE33D2"/>
    <w:rsid w:val="10D0497D"/>
    <w:rsid w:val="111B209C"/>
    <w:rsid w:val="112A0531"/>
    <w:rsid w:val="114620B5"/>
    <w:rsid w:val="11524CBA"/>
    <w:rsid w:val="116E4A90"/>
    <w:rsid w:val="118B5DC3"/>
    <w:rsid w:val="119105B0"/>
    <w:rsid w:val="11A77DD3"/>
    <w:rsid w:val="11AB1263"/>
    <w:rsid w:val="11C12C43"/>
    <w:rsid w:val="11CB5D46"/>
    <w:rsid w:val="11D851DD"/>
    <w:rsid w:val="11E900AD"/>
    <w:rsid w:val="12121FC4"/>
    <w:rsid w:val="12295B36"/>
    <w:rsid w:val="123A29F6"/>
    <w:rsid w:val="127001C5"/>
    <w:rsid w:val="12906AB9"/>
    <w:rsid w:val="129A2BA6"/>
    <w:rsid w:val="12C30C3D"/>
    <w:rsid w:val="13086650"/>
    <w:rsid w:val="13086F46"/>
    <w:rsid w:val="130D1EB8"/>
    <w:rsid w:val="13550FC8"/>
    <w:rsid w:val="13A8156F"/>
    <w:rsid w:val="13B1623D"/>
    <w:rsid w:val="13CA1788"/>
    <w:rsid w:val="13CA4FBE"/>
    <w:rsid w:val="13D80718"/>
    <w:rsid w:val="13F05A62"/>
    <w:rsid w:val="13FD6A55"/>
    <w:rsid w:val="13FF5CA5"/>
    <w:rsid w:val="140D7A6D"/>
    <w:rsid w:val="141A32CB"/>
    <w:rsid w:val="145E77C7"/>
    <w:rsid w:val="14602670"/>
    <w:rsid w:val="14641FAC"/>
    <w:rsid w:val="14885C9A"/>
    <w:rsid w:val="14893076"/>
    <w:rsid w:val="14CD56AD"/>
    <w:rsid w:val="14F055ED"/>
    <w:rsid w:val="1507056E"/>
    <w:rsid w:val="150712B5"/>
    <w:rsid w:val="153847A5"/>
    <w:rsid w:val="1546254A"/>
    <w:rsid w:val="15BA55B2"/>
    <w:rsid w:val="15C076B6"/>
    <w:rsid w:val="15C856B0"/>
    <w:rsid w:val="15EF3AF7"/>
    <w:rsid w:val="16242208"/>
    <w:rsid w:val="16557DFE"/>
    <w:rsid w:val="168B7CC4"/>
    <w:rsid w:val="16A20E18"/>
    <w:rsid w:val="16E76E09"/>
    <w:rsid w:val="1711641B"/>
    <w:rsid w:val="17365E81"/>
    <w:rsid w:val="17456CB7"/>
    <w:rsid w:val="17822E75"/>
    <w:rsid w:val="17A54DB5"/>
    <w:rsid w:val="17B374D2"/>
    <w:rsid w:val="17EC35B7"/>
    <w:rsid w:val="18155A97"/>
    <w:rsid w:val="184B159C"/>
    <w:rsid w:val="185C1918"/>
    <w:rsid w:val="18615EF9"/>
    <w:rsid w:val="189866C8"/>
    <w:rsid w:val="189C7F66"/>
    <w:rsid w:val="18A05716"/>
    <w:rsid w:val="18B352B0"/>
    <w:rsid w:val="18CD6371"/>
    <w:rsid w:val="191E6BCD"/>
    <w:rsid w:val="192844FD"/>
    <w:rsid w:val="198A4263"/>
    <w:rsid w:val="198E2B40"/>
    <w:rsid w:val="19C20679"/>
    <w:rsid w:val="19D43730"/>
    <w:rsid w:val="19F31AE6"/>
    <w:rsid w:val="1A1E488E"/>
    <w:rsid w:val="1A1F0E4F"/>
    <w:rsid w:val="1A3D12D5"/>
    <w:rsid w:val="1A3D6976"/>
    <w:rsid w:val="1A581A49"/>
    <w:rsid w:val="1A610207"/>
    <w:rsid w:val="1A642D06"/>
    <w:rsid w:val="1A6C5051"/>
    <w:rsid w:val="1A8011C2"/>
    <w:rsid w:val="1A967104"/>
    <w:rsid w:val="1A9B676C"/>
    <w:rsid w:val="1AC76DF0"/>
    <w:rsid w:val="1AD212A2"/>
    <w:rsid w:val="1B0937FD"/>
    <w:rsid w:val="1B0D0CA7"/>
    <w:rsid w:val="1B7D7E50"/>
    <w:rsid w:val="1BD700FA"/>
    <w:rsid w:val="1BE91384"/>
    <w:rsid w:val="1C1B3898"/>
    <w:rsid w:val="1C4552F5"/>
    <w:rsid w:val="1C5648D0"/>
    <w:rsid w:val="1C6147A8"/>
    <w:rsid w:val="1C674BE7"/>
    <w:rsid w:val="1C7224BE"/>
    <w:rsid w:val="1C844F99"/>
    <w:rsid w:val="1C9B4896"/>
    <w:rsid w:val="1C9D42AD"/>
    <w:rsid w:val="1CC7132A"/>
    <w:rsid w:val="1CEC2B3E"/>
    <w:rsid w:val="1CF0262F"/>
    <w:rsid w:val="1CFF0AC4"/>
    <w:rsid w:val="1D020D95"/>
    <w:rsid w:val="1D450735"/>
    <w:rsid w:val="1D4604A0"/>
    <w:rsid w:val="1D5030CD"/>
    <w:rsid w:val="1D56441D"/>
    <w:rsid w:val="1D885D3E"/>
    <w:rsid w:val="1DAD49C3"/>
    <w:rsid w:val="1DB16959"/>
    <w:rsid w:val="1DEA555D"/>
    <w:rsid w:val="1DFE521F"/>
    <w:rsid w:val="1E2971CE"/>
    <w:rsid w:val="1E322924"/>
    <w:rsid w:val="1E4B75E6"/>
    <w:rsid w:val="1F10520A"/>
    <w:rsid w:val="1F38206B"/>
    <w:rsid w:val="1F680BA2"/>
    <w:rsid w:val="1F884DA0"/>
    <w:rsid w:val="1F8B663F"/>
    <w:rsid w:val="1FB71AED"/>
    <w:rsid w:val="1FC81641"/>
    <w:rsid w:val="1FD46237"/>
    <w:rsid w:val="1FD61FB0"/>
    <w:rsid w:val="2009397D"/>
    <w:rsid w:val="201725C8"/>
    <w:rsid w:val="204F58BE"/>
    <w:rsid w:val="2063580D"/>
    <w:rsid w:val="20653333"/>
    <w:rsid w:val="207F2AC4"/>
    <w:rsid w:val="20812285"/>
    <w:rsid w:val="208A0FEC"/>
    <w:rsid w:val="209B0B03"/>
    <w:rsid w:val="20AD0837"/>
    <w:rsid w:val="20B6593D"/>
    <w:rsid w:val="20C80C33"/>
    <w:rsid w:val="21371D65"/>
    <w:rsid w:val="21464F13"/>
    <w:rsid w:val="21580BB9"/>
    <w:rsid w:val="218735D8"/>
    <w:rsid w:val="21A32FE8"/>
    <w:rsid w:val="21D92E3D"/>
    <w:rsid w:val="21EF55AB"/>
    <w:rsid w:val="21F4671D"/>
    <w:rsid w:val="21F76369"/>
    <w:rsid w:val="220D0C1E"/>
    <w:rsid w:val="22590C76"/>
    <w:rsid w:val="225B49EE"/>
    <w:rsid w:val="22635651"/>
    <w:rsid w:val="228A76A5"/>
    <w:rsid w:val="22947F00"/>
    <w:rsid w:val="22C6365E"/>
    <w:rsid w:val="22CB72A5"/>
    <w:rsid w:val="22F10EAE"/>
    <w:rsid w:val="23144B9D"/>
    <w:rsid w:val="231A6998"/>
    <w:rsid w:val="231B417D"/>
    <w:rsid w:val="2322375E"/>
    <w:rsid w:val="23515507"/>
    <w:rsid w:val="235342B7"/>
    <w:rsid w:val="23571659"/>
    <w:rsid w:val="2360079B"/>
    <w:rsid w:val="23AB1421"/>
    <w:rsid w:val="23CC1D0F"/>
    <w:rsid w:val="23D27708"/>
    <w:rsid w:val="244434BA"/>
    <w:rsid w:val="247749FB"/>
    <w:rsid w:val="249D7261"/>
    <w:rsid w:val="24B403E6"/>
    <w:rsid w:val="24BE77FC"/>
    <w:rsid w:val="24E668FF"/>
    <w:rsid w:val="25355EDB"/>
    <w:rsid w:val="25421E95"/>
    <w:rsid w:val="25493224"/>
    <w:rsid w:val="254C4AC2"/>
    <w:rsid w:val="257D265D"/>
    <w:rsid w:val="25807B05"/>
    <w:rsid w:val="25A10AAA"/>
    <w:rsid w:val="25AA77AC"/>
    <w:rsid w:val="25B31C99"/>
    <w:rsid w:val="2618039F"/>
    <w:rsid w:val="261E49F6"/>
    <w:rsid w:val="2665798F"/>
    <w:rsid w:val="266B541C"/>
    <w:rsid w:val="26781C59"/>
    <w:rsid w:val="26795443"/>
    <w:rsid w:val="26855609"/>
    <w:rsid w:val="2687168C"/>
    <w:rsid w:val="26A53919"/>
    <w:rsid w:val="26CD1C32"/>
    <w:rsid w:val="26CF59AB"/>
    <w:rsid w:val="26D7660D"/>
    <w:rsid w:val="26DB7EAB"/>
    <w:rsid w:val="26F4256F"/>
    <w:rsid w:val="27035654"/>
    <w:rsid w:val="271A2793"/>
    <w:rsid w:val="2753038A"/>
    <w:rsid w:val="2762323A"/>
    <w:rsid w:val="276500BD"/>
    <w:rsid w:val="279544FE"/>
    <w:rsid w:val="27AC7A9A"/>
    <w:rsid w:val="27AE098A"/>
    <w:rsid w:val="27C2734F"/>
    <w:rsid w:val="27E234BC"/>
    <w:rsid w:val="27E535C9"/>
    <w:rsid w:val="2816750C"/>
    <w:rsid w:val="2840076A"/>
    <w:rsid w:val="28930170"/>
    <w:rsid w:val="28CC03F4"/>
    <w:rsid w:val="29011DA8"/>
    <w:rsid w:val="293A46B2"/>
    <w:rsid w:val="29894EE8"/>
    <w:rsid w:val="298B4180"/>
    <w:rsid w:val="2A0C0A1A"/>
    <w:rsid w:val="2A16312A"/>
    <w:rsid w:val="2A6F5096"/>
    <w:rsid w:val="2A7725E1"/>
    <w:rsid w:val="2ACB3EB0"/>
    <w:rsid w:val="2B0E080E"/>
    <w:rsid w:val="2B204A27"/>
    <w:rsid w:val="2B2B728D"/>
    <w:rsid w:val="2B2C33CC"/>
    <w:rsid w:val="2B503A51"/>
    <w:rsid w:val="2BB42C74"/>
    <w:rsid w:val="2BDD6474"/>
    <w:rsid w:val="2C70553A"/>
    <w:rsid w:val="2C81312E"/>
    <w:rsid w:val="2CAE065F"/>
    <w:rsid w:val="2CBD300A"/>
    <w:rsid w:val="2CEB696E"/>
    <w:rsid w:val="2CFC6E4D"/>
    <w:rsid w:val="2D281BA0"/>
    <w:rsid w:val="2DB72CF5"/>
    <w:rsid w:val="2DC21DC5"/>
    <w:rsid w:val="2E0A5F13"/>
    <w:rsid w:val="2E333410"/>
    <w:rsid w:val="2E4A507D"/>
    <w:rsid w:val="2E5A0250"/>
    <w:rsid w:val="2E680931"/>
    <w:rsid w:val="2E824013"/>
    <w:rsid w:val="2EC41B6D"/>
    <w:rsid w:val="2EF53AD4"/>
    <w:rsid w:val="2EFB1E07"/>
    <w:rsid w:val="2F000DF7"/>
    <w:rsid w:val="2F032695"/>
    <w:rsid w:val="2F1C5505"/>
    <w:rsid w:val="2F2A5F30"/>
    <w:rsid w:val="2F615AB8"/>
    <w:rsid w:val="2F9257C7"/>
    <w:rsid w:val="2FCC3DB2"/>
    <w:rsid w:val="2FCE6212"/>
    <w:rsid w:val="2FE57FED"/>
    <w:rsid w:val="30004E27"/>
    <w:rsid w:val="30161F54"/>
    <w:rsid w:val="3062163D"/>
    <w:rsid w:val="309F019C"/>
    <w:rsid w:val="30A364B8"/>
    <w:rsid w:val="30AF5057"/>
    <w:rsid w:val="30DE740F"/>
    <w:rsid w:val="311566B0"/>
    <w:rsid w:val="312E37EB"/>
    <w:rsid w:val="319F3C0F"/>
    <w:rsid w:val="31A921AD"/>
    <w:rsid w:val="31AA329C"/>
    <w:rsid w:val="31AA6DF8"/>
    <w:rsid w:val="31B63C81"/>
    <w:rsid w:val="31BB2DB3"/>
    <w:rsid w:val="31D64091"/>
    <w:rsid w:val="3207249C"/>
    <w:rsid w:val="32075108"/>
    <w:rsid w:val="320918E7"/>
    <w:rsid w:val="32095799"/>
    <w:rsid w:val="320D1973"/>
    <w:rsid w:val="32244DFC"/>
    <w:rsid w:val="32881A3A"/>
    <w:rsid w:val="328B4E7C"/>
    <w:rsid w:val="32B244BC"/>
    <w:rsid w:val="32D57EA5"/>
    <w:rsid w:val="33041D26"/>
    <w:rsid w:val="3317670F"/>
    <w:rsid w:val="33196473"/>
    <w:rsid w:val="33636826"/>
    <w:rsid w:val="33921B68"/>
    <w:rsid w:val="33A72A92"/>
    <w:rsid w:val="33AA7583"/>
    <w:rsid w:val="33FC2719"/>
    <w:rsid w:val="3417544E"/>
    <w:rsid w:val="342C4C62"/>
    <w:rsid w:val="344D12F1"/>
    <w:rsid w:val="345C7CBA"/>
    <w:rsid w:val="34CD71A5"/>
    <w:rsid w:val="34F40E49"/>
    <w:rsid w:val="35260FC4"/>
    <w:rsid w:val="35441312"/>
    <w:rsid w:val="354E03E2"/>
    <w:rsid w:val="35571045"/>
    <w:rsid w:val="355911C6"/>
    <w:rsid w:val="358838F4"/>
    <w:rsid w:val="358E5B04"/>
    <w:rsid w:val="359C5281"/>
    <w:rsid w:val="35A324DC"/>
    <w:rsid w:val="35BC0226"/>
    <w:rsid w:val="361B3D26"/>
    <w:rsid w:val="36681030"/>
    <w:rsid w:val="36A91D74"/>
    <w:rsid w:val="36BA5D2F"/>
    <w:rsid w:val="36C46BAE"/>
    <w:rsid w:val="37272C99"/>
    <w:rsid w:val="372C4753"/>
    <w:rsid w:val="376B668E"/>
    <w:rsid w:val="37844317"/>
    <w:rsid w:val="37A83DDA"/>
    <w:rsid w:val="37AB5678"/>
    <w:rsid w:val="37BA58BB"/>
    <w:rsid w:val="37C31EC4"/>
    <w:rsid w:val="37D3697D"/>
    <w:rsid w:val="37E1553E"/>
    <w:rsid w:val="37F84DFC"/>
    <w:rsid w:val="38132A4A"/>
    <w:rsid w:val="38861DDF"/>
    <w:rsid w:val="388D1380"/>
    <w:rsid w:val="38A81BB8"/>
    <w:rsid w:val="38B844F1"/>
    <w:rsid w:val="38F26E87"/>
    <w:rsid w:val="390A4620"/>
    <w:rsid w:val="39316C83"/>
    <w:rsid w:val="393F05BD"/>
    <w:rsid w:val="394765EC"/>
    <w:rsid w:val="394E40DE"/>
    <w:rsid w:val="397C3770"/>
    <w:rsid w:val="399674A1"/>
    <w:rsid w:val="39972766"/>
    <w:rsid w:val="39AB0947"/>
    <w:rsid w:val="39BE5B37"/>
    <w:rsid w:val="39BF540B"/>
    <w:rsid w:val="3A397192"/>
    <w:rsid w:val="3A440806"/>
    <w:rsid w:val="3A4514D5"/>
    <w:rsid w:val="3A4F216D"/>
    <w:rsid w:val="3A502507"/>
    <w:rsid w:val="3A9D7A51"/>
    <w:rsid w:val="3AA918D3"/>
    <w:rsid w:val="3AAB0C3B"/>
    <w:rsid w:val="3AB46F3A"/>
    <w:rsid w:val="3ACE7FFB"/>
    <w:rsid w:val="3AE06DB6"/>
    <w:rsid w:val="3B4F0A10"/>
    <w:rsid w:val="3B732A6B"/>
    <w:rsid w:val="3B7A783B"/>
    <w:rsid w:val="3B8406BA"/>
    <w:rsid w:val="3B8C57C0"/>
    <w:rsid w:val="3BB21F31"/>
    <w:rsid w:val="3BBF5B96"/>
    <w:rsid w:val="3BDD36AC"/>
    <w:rsid w:val="3BDE40A0"/>
    <w:rsid w:val="3BF00404"/>
    <w:rsid w:val="3BFB5C37"/>
    <w:rsid w:val="3C6D4777"/>
    <w:rsid w:val="3C770CFE"/>
    <w:rsid w:val="3C9853ED"/>
    <w:rsid w:val="3CE427FB"/>
    <w:rsid w:val="3CF3268D"/>
    <w:rsid w:val="3CF5345F"/>
    <w:rsid w:val="3D042EC9"/>
    <w:rsid w:val="3D377FD8"/>
    <w:rsid w:val="3D3F0DBD"/>
    <w:rsid w:val="3D580050"/>
    <w:rsid w:val="3D5D11C3"/>
    <w:rsid w:val="3D6014E2"/>
    <w:rsid w:val="3D7B0C6D"/>
    <w:rsid w:val="3D7D7AB7"/>
    <w:rsid w:val="3D864BBD"/>
    <w:rsid w:val="3D9A3EBA"/>
    <w:rsid w:val="3D9B1CEB"/>
    <w:rsid w:val="3D9C67EC"/>
    <w:rsid w:val="3DA037A5"/>
    <w:rsid w:val="3DA6700D"/>
    <w:rsid w:val="3DA97ACC"/>
    <w:rsid w:val="3DAA75BE"/>
    <w:rsid w:val="3DE051EE"/>
    <w:rsid w:val="3DE34D6B"/>
    <w:rsid w:val="3DFB5AED"/>
    <w:rsid w:val="3E0829F8"/>
    <w:rsid w:val="3E0E4BB3"/>
    <w:rsid w:val="3E66679D"/>
    <w:rsid w:val="3E6B3DB3"/>
    <w:rsid w:val="3EA073C6"/>
    <w:rsid w:val="3EA551D4"/>
    <w:rsid w:val="3EE16C01"/>
    <w:rsid w:val="3EF142B8"/>
    <w:rsid w:val="3F0611C9"/>
    <w:rsid w:val="3F2750DF"/>
    <w:rsid w:val="3F9115F7"/>
    <w:rsid w:val="3FDA11F0"/>
    <w:rsid w:val="3FF027C2"/>
    <w:rsid w:val="40155D85"/>
    <w:rsid w:val="40211726"/>
    <w:rsid w:val="402B37FA"/>
    <w:rsid w:val="404822D9"/>
    <w:rsid w:val="40672358"/>
    <w:rsid w:val="407E2B57"/>
    <w:rsid w:val="40820547"/>
    <w:rsid w:val="409445C8"/>
    <w:rsid w:val="40973437"/>
    <w:rsid w:val="40996E09"/>
    <w:rsid w:val="40A86BF9"/>
    <w:rsid w:val="40C34607"/>
    <w:rsid w:val="41326E0A"/>
    <w:rsid w:val="414E0E04"/>
    <w:rsid w:val="41636FC4"/>
    <w:rsid w:val="416933F6"/>
    <w:rsid w:val="41782A6F"/>
    <w:rsid w:val="417B60BB"/>
    <w:rsid w:val="417F1907"/>
    <w:rsid w:val="41CA0DF1"/>
    <w:rsid w:val="41FB544E"/>
    <w:rsid w:val="4214206C"/>
    <w:rsid w:val="423D5A66"/>
    <w:rsid w:val="42426BD9"/>
    <w:rsid w:val="424E37D0"/>
    <w:rsid w:val="427E2307"/>
    <w:rsid w:val="427F607F"/>
    <w:rsid w:val="42E45EE2"/>
    <w:rsid w:val="430F7403"/>
    <w:rsid w:val="43311775"/>
    <w:rsid w:val="435968D0"/>
    <w:rsid w:val="436C2DB1"/>
    <w:rsid w:val="438F67A0"/>
    <w:rsid w:val="439439AE"/>
    <w:rsid w:val="439D4A0F"/>
    <w:rsid w:val="43A85162"/>
    <w:rsid w:val="43B6787E"/>
    <w:rsid w:val="43C71A8C"/>
    <w:rsid w:val="43D27807"/>
    <w:rsid w:val="43E85D96"/>
    <w:rsid w:val="44466E54"/>
    <w:rsid w:val="44531571"/>
    <w:rsid w:val="446612A5"/>
    <w:rsid w:val="449F08DD"/>
    <w:rsid w:val="44C63AF1"/>
    <w:rsid w:val="44C77869"/>
    <w:rsid w:val="44DE4FB0"/>
    <w:rsid w:val="44DE52DF"/>
    <w:rsid w:val="450E1090"/>
    <w:rsid w:val="454B2248"/>
    <w:rsid w:val="45745453"/>
    <w:rsid w:val="459260C9"/>
    <w:rsid w:val="45B222C8"/>
    <w:rsid w:val="45B676AD"/>
    <w:rsid w:val="45BC7E03"/>
    <w:rsid w:val="45E72D72"/>
    <w:rsid w:val="4605689B"/>
    <w:rsid w:val="46275442"/>
    <w:rsid w:val="464759F3"/>
    <w:rsid w:val="466B4C0F"/>
    <w:rsid w:val="466E61EE"/>
    <w:rsid w:val="46996DAF"/>
    <w:rsid w:val="46C27083"/>
    <w:rsid w:val="471D19C3"/>
    <w:rsid w:val="47266AC9"/>
    <w:rsid w:val="47B221EA"/>
    <w:rsid w:val="47E45D4F"/>
    <w:rsid w:val="47EA7568"/>
    <w:rsid w:val="48157B70"/>
    <w:rsid w:val="485B09F4"/>
    <w:rsid w:val="486C7341"/>
    <w:rsid w:val="487F1FBE"/>
    <w:rsid w:val="48981C49"/>
    <w:rsid w:val="489E4E80"/>
    <w:rsid w:val="48CB5B7A"/>
    <w:rsid w:val="48CC544E"/>
    <w:rsid w:val="49430935"/>
    <w:rsid w:val="495228D4"/>
    <w:rsid w:val="499A379E"/>
    <w:rsid w:val="499C5256"/>
    <w:rsid w:val="49B4109B"/>
    <w:rsid w:val="4A054AC3"/>
    <w:rsid w:val="4A063910"/>
    <w:rsid w:val="4A4A35FA"/>
    <w:rsid w:val="4A6F0787"/>
    <w:rsid w:val="4AC565F9"/>
    <w:rsid w:val="4ACA1E61"/>
    <w:rsid w:val="4AD87D6B"/>
    <w:rsid w:val="4ADD7DE7"/>
    <w:rsid w:val="4AE50A49"/>
    <w:rsid w:val="4B191464"/>
    <w:rsid w:val="4B1C090F"/>
    <w:rsid w:val="4B1D6435"/>
    <w:rsid w:val="4B1E5A1C"/>
    <w:rsid w:val="4B44113A"/>
    <w:rsid w:val="4B5160DF"/>
    <w:rsid w:val="4BA821A3"/>
    <w:rsid w:val="4BB548C0"/>
    <w:rsid w:val="4BBE7B35"/>
    <w:rsid w:val="4BC4004C"/>
    <w:rsid w:val="4BCD7E5B"/>
    <w:rsid w:val="4BEE1D26"/>
    <w:rsid w:val="4BFE1ECA"/>
    <w:rsid w:val="4C147838"/>
    <w:rsid w:val="4C4F261E"/>
    <w:rsid w:val="4C530D30"/>
    <w:rsid w:val="4C5574D1"/>
    <w:rsid w:val="4C83676C"/>
    <w:rsid w:val="4CCB76F7"/>
    <w:rsid w:val="4CDA2830"/>
    <w:rsid w:val="4CE216E4"/>
    <w:rsid w:val="4D01600E"/>
    <w:rsid w:val="4D5C1ABE"/>
    <w:rsid w:val="4D7666B0"/>
    <w:rsid w:val="4DED20EF"/>
    <w:rsid w:val="4DF26995"/>
    <w:rsid w:val="4E295F71"/>
    <w:rsid w:val="4E3D6E12"/>
    <w:rsid w:val="4E473EF5"/>
    <w:rsid w:val="4E4B0A38"/>
    <w:rsid w:val="4E4D7031"/>
    <w:rsid w:val="4E881129"/>
    <w:rsid w:val="4E8A2033"/>
    <w:rsid w:val="4EC15329"/>
    <w:rsid w:val="4EC866B8"/>
    <w:rsid w:val="4EDB463D"/>
    <w:rsid w:val="4EDE7C89"/>
    <w:rsid w:val="4F1666F1"/>
    <w:rsid w:val="4F8D74D4"/>
    <w:rsid w:val="4FA42C81"/>
    <w:rsid w:val="4FA90837"/>
    <w:rsid w:val="4FC11A85"/>
    <w:rsid w:val="4FC3294D"/>
    <w:rsid w:val="4FFB5D78"/>
    <w:rsid w:val="50153B7F"/>
    <w:rsid w:val="501D2D41"/>
    <w:rsid w:val="50250266"/>
    <w:rsid w:val="502913D8"/>
    <w:rsid w:val="50445920"/>
    <w:rsid w:val="50680152"/>
    <w:rsid w:val="507836C4"/>
    <w:rsid w:val="50A36B19"/>
    <w:rsid w:val="50A57F58"/>
    <w:rsid w:val="50BB2978"/>
    <w:rsid w:val="50BD02B7"/>
    <w:rsid w:val="50D17AA6"/>
    <w:rsid w:val="50D852D8"/>
    <w:rsid w:val="50FD46AD"/>
    <w:rsid w:val="51136310"/>
    <w:rsid w:val="514328A4"/>
    <w:rsid w:val="51595CED"/>
    <w:rsid w:val="51741FD1"/>
    <w:rsid w:val="518B5201"/>
    <w:rsid w:val="51CE2237"/>
    <w:rsid w:val="51D84452"/>
    <w:rsid w:val="51E63A25"/>
    <w:rsid w:val="52056BCB"/>
    <w:rsid w:val="52067C23"/>
    <w:rsid w:val="52195BA8"/>
    <w:rsid w:val="525536BD"/>
    <w:rsid w:val="527F4B6E"/>
    <w:rsid w:val="52911429"/>
    <w:rsid w:val="52B23907"/>
    <w:rsid w:val="52C8312A"/>
    <w:rsid w:val="537006D4"/>
    <w:rsid w:val="538F3C48"/>
    <w:rsid w:val="53986FA1"/>
    <w:rsid w:val="53D8739D"/>
    <w:rsid w:val="53E2646E"/>
    <w:rsid w:val="542E3461"/>
    <w:rsid w:val="543A1E06"/>
    <w:rsid w:val="54462559"/>
    <w:rsid w:val="544762D1"/>
    <w:rsid w:val="544C6F7C"/>
    <w:rsid w:val="545E3D46"/>
    <w:rsid w:val="54757BE2"/>
    <w:rsid w:val="549679ED"/>
    <w:rsid w:val="54971006"/>
    <w:rsid w:val="54A4025D"/>
    <w:rsid w:val="54CA0898"/>
    <w:rsid w:val="54D0158D"/>
    <w:rsid w:val="54D67D81"/>
    <w:rsid w:val="54FA33BF"/>
    <w:rsid w:val="54FD33B6"/>
    <w:rsid w:val="551B39E5"/>
    <w:rsid w:val="552C5BF2"/>
    <w:rsid w:val="5534631C"/>
    <w:rsid w:val="554201C8"/>
    <w:rsid w:val="557430F6"/>
    <w:rsid w:val="55B55BE8"/>
    <w:rsid w:val="55CF6D0F"/>
    <w:rsid w:val="55DD03A8"/>
    <w:rsid w:val="56535401"/>
    <w:rsid w:val="56694C24"/>
    <w:rsid w:val="56A05A95"/>
    <w:rsid w:val="572D4A2F"/>
    <w:rsid w:val="57381522"/>
    <w:rsid w:val="573E7E5F"/>
    <w:rsid w:val="574309BC"/>
    <w:rsid w:val="574511ED"/>
    <w:rsid w:val="57476D14"/>
    <w:rsid w:val="57482A8C"/>
    <w:rsid w:val="574B48A9"/>
    <w:rsid w:val="576F1DC6"/>
    <w:rsid w:val="57727B09"/>
    <w:rsid w:val="577D2735"/>
    <w:rsid w:val="579637F7"/>
    <w:rsid w:val="57C2283E"/>
    <w:rsid w:val="57D92F3E"/>
    <w:rsid w:val="57DD31D4"/>
    <w:rsid w:val="58A9755A"/>
    <w:rsid w:val="58C520E3"/>
    <w:rsid w:val="58CF14EA"/>
    <w:rsid w:val="58DA03BD"/>
    <w:rsid w:val="58EA204C"/>
    <w:rsid w:val="58F46A27"/>
    <w:rsid w:val="590F3861"/>
    <w:rsid w:val="595E6596"/>
    <w:rsid w:val="596C489E"/>
    <w:rsid w:val="597E09E7"/>
    <w:rsid w:val="59827FC3"/>
    <w:rsid w:val="5A0709DC"/>
    <w:rsid w:val="5A09197F"/>
    <w:rsid w:val="5A0D0A93"/>
    <w:rsid w:val="5A6444A3"/>
    <w:rsid w:val="5A7A1DCD"/>
    <w:rsid w:val="5A8C5D02"/>
    <w:rsid w:val="5A9A1850"/>
    <w:rsid w:val="5AD308BE"/>
    <w:rsid w:val="5ADC0020"/>
    <w:rsid w:val="5B33135D"/>
    <w:rsid w:val="5B35328A"/>
    <w:rsid w:val="5B5B0FE0"/>
    <w:rsid w:val="5B7A0B49"/>
    <w:rsid w:val="5B7A6F8C"/>
    <w:rsid w:val="5B914A01"/>
    <w:rsid w:val="5BD82630"/>
    <w:rsid w:val="5BE23606"/>
    <w:rsid w:val="5C114313"/>
    <w:rsid w:val="5C25514A"/>
    <w:rsid w:val="5C2A2189"/>
    <w:rsid w:val="5C390BF5"/>
    <w:rsid w:val="5CB26E1C"/>
    <w:rsid w:val="5D101956"/>
    <w:rsid w:val="5D121B72"/>
    <w:rsid w:val="5D2F36E0"/>
    <w:rsid w:val="5D476767"/>
    <w:rsid w:val="5D4B749F"/>
    <w:rsid w:val="5D6B1282"/>
    <w:rsid w:val="5D861169"/>
    <w:rsid w:val="5D95186C"/>
    <w:rsid w:val="5DA61EF8"/>
    <w:rsid w:val="5DAD3649"/>
    <w:rsid w:val="5DAD6FF6"/>
    <w:rsid w:val="5DE169F9"/>
    <w:rsid w:val="5E190CDE"/>
    <w:rsid w:val="5E3175B4"/>
    <w:rsid w:val="5E4F64AE"/>
    <w:rsid w:val="5EA467FA"/>
    <w:rsid w:val="5EC6513C"/>
    <w:rsid w:val="5EE6436E"/>
    <w:rsid w:val="5F195009"/>
    <w:rsid w:val="5F3C6647"/>
    <w:rsid w:val="5F6146EB"/>
    <w:rsid w:val="5F925ACE"/>
    <w:rsid w:val="5F93061C"/>
    <w:rsid w:val="5FA71BCA"/>
    <w:rsid w:val="5FAF36A8"/>
    <w:rsid w:val="5FB11FAD"/>
    <w:rsid w:val="5FCA6734"/>
    <w:rsid w:val="5FE07D05"/>
    <w:rsid w:val="606B5E0E"/>
    <w:rsid w:val="611F485D"/>
    <w:rsid w:val="61413197"/>
    <w:rsid w:val="614A5C26"/>
    <w:rsid w:val="619C7405"/>
    <w:rsid w:val="61A27D6A"/>
    <w:rsid w:val="61E11B13"/>
    <w:rsid w:val="61F71336"/>
    <w:rsid w:val="620426D7"/>
    <w:rsid w:val="62064125"/>
    <w:rsid w:val="62200682"/>
    <w:rsid w:val="62373E29"/>
    <w:rsid w:val="62665400"/>
    <w:rsid w:val="62736CA9"/>
    <w:rsid w:val="627D72FE"/>
    <w:rsid w:val="627F48A3"/>
    <w:rsid w:val="62854B94"/>
    <w:rsid w:val="62995958"/>
    <w:rsid w:val="62A607BB"/>
    <w:rsid w:val="62AC5AEE"/>
    <w:rsid w:val="62D0070D"/>
    <w:rsid w:val="62FB30A8"/>
    <w:rsid w:val="632E7EEE"/>
    <w:rsid w:val="63381C06"/>
    <w:rsid w:val="633D0FCB"/>
    <w:rsid w:val="63952BB5"/>
    <w:rsid w:val="63BA6A4B"/>
    <w:rsid w:val="63D00091"/>
    <w:rsid w:val="63EF49BB"/>
    <w:rsid w:val="64162907"/>
    <w:rsid w:val="645B2050"/>
    <w:rsid w:val="64AF5EF8"/>
    <w:rsid w:val="64C01EB3"/>
    <w:rsid w:val="64D92F75"/>
    <w:rsid w:val="65102E3B"/>
    <w:rsid w:val="65515BFF"/>
    <w:rsid w:val="65530371"/>
    <w:rsid w:val="65645B2C"/>
    <w:rsid w:val="656942F9"/>
    <w:rsid w:val="6592729E"/>
    <w:rsid w:val="65C35D2F"/>
    <w:rsid w:val="65E46075"/>
    <w:rsid w:val="660046AD"/>
    <w:rsid w:val="661701F9"/>
    <w:rsid w:val="662E7E7B"/>
    <w:rsid w:val="66331022"/>
    <w:rsid w:val="669B2BD8"/>
    <w:rsid w:val="66B25EBC"/>
    <w:rsid w:val="66C74548"/>
    <w:rsid w:val="670C13E0"/>
    <w:rsid w:val="67277FC8"/>
    <w:rsid w:val="67466788"/>
    <w:rsid w:val="67A96C2F"/>
    <w:rsid w:val="67AC1D83"/>
    <w:rsid w:val="67D16185"/>
    <w:rsid w:val="67EE31DB"/>
    <w:rsid w:val="681F15E7"/>
    <w:rsid w:val="682B2CD6"/>
    <w:rsid w:val="682C02F7"/>
    <w:rsid w:val="68356714"/>
    <w:rsid w:val="6837248C"/>
    <w:rsid w:val="687B72EE"/>
    <w:rsid w:val="6897117D"/>
    <w:rsid w:val="68A33FC6"/>
    <w:rsid w:val="68AD6BF3"/>
    <w:rsid w:val="68BB47E4"/>
    <w:rsid w:val="68CF3991"/>
    <w:rsid w:val="69004F74"/>
    <w:rsid w:val="690D7691"/>
    <w:rsid w:val="69205616"/>
    <w:rsid w:val="69400B68"/>
    <w:rsid w:val="698F62F8"/>
    <w:rsid w:val="699A3C88"/>
    <w:rsid w:val="699D737A"/>
    <w:rsid w:val="69A51359"/>
    <w:rsid w:val="6A1C4030"/>
    <w:rsid w:val="6A3749C6"/>
    <w:rsid w:val="6A3E5287"/>
    <w:rsid w:val="6A4E1763"/>
    <w:rsid w:val="6A795918"/>
    <w:rsid w:val="6A7F636D"/>
    <w:rsid w:val="6AA133AA"/>
    <w:rsid w:val="6AE13F66"/>
    <w:rsid w:val="6AE34B4E"/>
    <w:rsid w:val="6AEF704E"/>
    <w:rsid w:val="6B363263"/>
    <w:rsid w:val="6B6932A5"/>
    <w:rsid w:val="6B6E08BB"/>
    <w:rsid w:val="6B921020"/>
    <w:rsid w:val="6BF8287B"/>
    <w:rsid w:val="6C1A634D"/>
    <w:rsid w:val="6C30791F"/>
    <w:rsid w:val="6C4B1811"/>
    <w:rsid w:val="6C530DE5"/>
    <w:rsid w:val="6C5D448C"/>
    <w:rsid w:val="6CB0171B"/>
    <w:rsid w:val="6CBC7690"/>
    <w:rsid w:val="6CDC3602"/>
    <w:rsid w:val="6CEF5FF2"/>
    <w:rsid w:val="6D08734E"/>
    <w:rsid w:val="6D192AA9"/>
    <w:rsid w:val="6D371FCB"/>
    <w:rsid w:val="6D4A4A10"/>
    <w:rsid w:val="6D543AE1"/>
    <w:rsid w:val="6D66442A"/>
    <w:rsid w:val="6D800432"/>
    <w:rsid w:val="6DAF51BB"/>
    <w:rsid w:val="6DC1094A"/>
    <w:rsid w:val="6DC26C9C"/>
    <w:rsid w:val="6DC7558E"/>
    <w:rsid w:val="6DCF4F15"/>
    <w:rsid w:val="6DD41E84"/>
    <w:rsid w:val="6DD62748"/>
    <w:rsid w:val="6DF51037"/>
    <w:rsid w:val="6E4C0C5C"/>
    <w:rsid w:val="6E541E8F"/>
    <w:rsid w:val="6E5A6ED5"/>
    <w:rsid w:val="6E6A1632"/>
    <w:rsid w:val="6E874ED2"/>
    <w:rsid w:val="6E886271"/>
    <w:rsid w:val="6E8E603A"/>
    <w:rsid w:val="6EA2087C"/>
    <w:rsid w:val="6EA85363"/>
    <w:rsid w:val="6ECD2CC0"/>
    <w:rsid w:val="6ED70525"/>
    <w:rsid w:val="6EDC3E65"/>
    <w:rsid w:val="6EF410D7"/>
    <w:rsid w:val="6F2B261F"/>
    <w:rsid w:val="6F4047B8"/>
    <w:rsid w:val="6F651FD5"/>
    <w:rsid w:val="6F8D5088"/>
    <w:rsid w:val="6F8E1228"/>
    <w:rsid w:val="6F9A0F22"/>
    <w:rsid w:val="6FA83C70"/>
    <w:rsid w:val="6FF53F5E"/>
    <w:rsid w:val="6FFB6495"/>
    <w:rsid w:val="703D16C6"/>
    <w:rsid w:val="706E0E1E"/>
    <w:rsid w:val="70B33ADB"/>
    <w:rsid w:val="70BF39F8"/>
    <w:rsid w:val="70F40B4B"/>
    <w:rsid w:val="70F80C27"/>
    <w:rsid w:val="711517D9"/>
    <w:rsid w:val="71211937"/>
    <w:rsid w:val="712832BA"/>
    <w:rsid w:val="716B55A5"/>
    <w:rsid w:val="718B55F7"/>
    <w:rsid w:val="71D84CE0"/>
    <w:rsid w:val="71F608C4"/>
    <w:rsid w:val="721703FE"/>
    <w:rsid w:val="72673676"/>
    <w:rsid w:val="72677E12"/>
    <w:rsid w:val="72B90480"/>
    <w:rsid w:val="72DF209E"/>
    <w:rsid w:val="72EB27F1"/>
    <w:rsid w:val="72EF1AE0"/>
    <w:rsid w:val="732373DF"/>
    <w:rsid w:val="73563D10"/>
    <w:rsid w:val="73797DFD"/>
    <w:rsid w:val="73C6500C"/>
    <w:rsid w:val="73EB7937"/>
    <w:rsid w:val="74052176"/>
    <w:rsid w:val="741E226D"/>
    <w:rsid w:val="742E4774"/>
    <w:rsid w:val="744E6186"/>
    <w:rsid w:val="746665F7"/>
    <w:rsid w:val="74994B4D"/>
    <w:rsid w:val="749B3DA3"/>
    <w:rsid w:val="74AA5C0D"/>
    <w:rsid w:val="74D3168C"/>
    <w:rsid w:val="74EC0AA3"/>
    <w:rsid w:val="74F07B2E"/>
    <w:rsid w:val="75050E70"/>
    <w:rsid w:val="75271ADB"/>
    <w:rsid w:val="752B5127"/>
    <w:rsid w:val="752D5343"/>
    <w:rsid w:val="7544268D"/>
    <w:rsid w:val="754D1541"/>
    <w:rsid w:val="75886062"/>
    <w:rsid w:val="75886D97"/>
    <w:rsid w:val="75AD4450"/>
    <w:rsid w:val="75C00539"/>
    <w:rsid w:val="75C43E57"/>
    <w:rsid w:val="761107C1"/>
    <w:rsid w:val="762A1882"/>
    <w:rsid w:val="76373E82"/>
    <w:rsid w:val="763E618C"/>
    <w:rsid w:val="76B70EBF"/>
    <w:rsid w:val="76E85258"/>
    <w:rsid w:val="77065E4C"/>
    <w:rsid w:val="772A499D"/>
    <w:rsid w:val="773F310C"/>
    <w:rsid w:val="77867949"/>
    <w:rsid w:val="77996CC0"/>
    <w:rsid w:val="77996EB9"/>
    <w:rsid w:val="77C81353"/>
    <w:rsid w:val="77D47CF8"/>
    <w:rsid w:val="77DF1A9E"/>
    <w:rsid w:val="77F35CA4"/>
    <w:rsid w:val="780954C8"/>
    <w:rsid w:val="78191BAF"/>
    <w:rsid w:val="78657406"/>
    <w:rsid w:val="7866420E"/>
    <w:rsid w:val="78743289"/>
    <w:rsid w:val="789C500B"/>
    <w:rsid w:val="789D7DDB"/>
    <w:rsid w:val="78A771BA"/>
    <w:rsid w:val="78E37E61"/>
    <w:rsid w:val="790A14F7"/>
    <w:rsid w:val="790E2D96"/>
    <w:rsid w:val="79652BD2"/>
    <w:rsid w:val="79757FC4"/>
    <w:rsid w:val="799A7BDC"/>
    <w:rsid w:val="79C04B86"/>
    <w:rsid w:val="79CB4E63"/>
    <w:rsid w:val="79DA35C0"/>
    <w:rsid w:val="79F3642F"/>
    <w:rsid w:val="79F9310E"/>
    <w:rsid w:val="7A063362"/>
    <w:rsid w:val="7A1D3B99"/>
    <w:rsid w:val="7A2B3E1B"/>
    <w:rsid w:val="7A590988"/>
    <w:rsid w:val="7A6560D7"/>
    <w:rsid w:val="7A95577C"/>
    <w:rsid w:val="7ABE6A3D"/>
    <w:rsid w:val="7AF06A64"/>
    <w:rsid w:val="7B0031D3"/>
    <w:rsid w:val="7B230869"/>
    <w:rsid w:val="7B3311D9"/>
    <w:rsid w:val="7B5B603A"/>
    <w:rsid w:val="7B5F388F"/>
    <w:rsid w:val="7B632982"/>
    <w:rsid w:val="7BB831E5"/>
    <w:rsid w:val="7BBA196D"/>
    <w:rsid w:val="7BC2255D"/>
    <w:rsid w:val="7BF42C26"/>
    <w:rsid w:val="7C1B39D9"/>
    <w:rsid w:val="7C324FED"/>
    <w:rsid w:val="7C5F2501"/>
    <w:rsid w:val="7CF27B8C"/>
    <w:rsid w:val="7D1110A6"/>
    <w:rsid w:val="7D5D4836"/>
    <w:rsid w:val="7D637428"/>
    <w:rsid w:val="7D767DC3"/>
    <w:rsid w:val="7D943A85"/>
    <w:rsid w:val="7DB14066"/>
    <w:rsid w:val="7DBA173E"/>
    <w:rsid w:val="7DDF11A4"/>
    <w:rsid w:val="7DF75804"/>
    <w:rsid w:val="7E190C35"/>
    <w:rsid w:val="7E477815"/>
    <w:rsid w:val="7E6B2A38"/>
    <w:rsid w:val="7E891110"/>
    <w:rsid w:val="7EAE5C2E"/>
    <w:rsid w:val="7EBE143E"/>
    <w:rsid w:val="7ECD54A1"/>
    <w:rsid w:val="7ED06D3F"/>
    <w:rsid w:val="7ED136E3"/>
    <w:rsid w:val="7EE95C1F"/>
    <w:rsid w:val="7F2D6EBE"/>
    <w:rsid w:val="7F3A7352"/>
    <w:rsid w:val="7F4C0ABC"/>
    <w:rsid w:val="7F556450"/>
    <w:rsid w:val="7F65659C"/>
    <w:rsid w:val="7F765B38"/>
    <w:rsid w:val="7F9F0C04"/>
    <w:rsid w:val="7FB03587"/>
    <w:rsid w:val="7FDC50E5"/>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napToGrid w:val="0"/>
      <w:kern w:val="21"/>
      <w:sz w:val="21"/>
      <w:szCs w:val="24"/>
      <w:lang w:val="en-US" w:eastAsia="zh-CN" w:bidi="ar-SA"/>
    </w:rPr>
  </w:style>
  <w:style w:type="paragraph" w:styleId="3">
    <w:name w:val="heading 1"/>
    <w:basedOn w:val="1"/>
    <w:next w:val="1"/>
    <w:link w:val="44"/>
    <w:qFormat/>
    <w:uiPriority w:val="0"/>
    <w:pPr>
      <w:keepNext/>
      <w:keepLines/>
      <w:spacing w:before="120" w:after="120"/>
      <w:jc w:val="center"/>
      <w:outlineLvl w:val="0"/>
    </w:pPr>
    <w:rPr>
      <w:rFonts w:ascii="Times New Roman"/>
      <w:b/>
      <w:snapToGrid/>
      <w:spacing w:val="20"/>
      <w:kern w:val="44"/>
      <w:sz w:val="32"/>
      <w:szCs w:val="20"/>
    </w:rPr>
  </w:style>
  <w:style w:type="paragraph" w:styleId="4">
    <w:name w:val="heading 2"/>
    <w:basedOn w:val="1"/>
    <w:next w:val="5"/>
    <w:link w:val="45"/>
    <w:qFormat/>
    <w:uiPriority w:val="0"/>
    <w:pPr>
      <w:keepNext/>
      <w:keepLines/>
      <w:spacing w:line="400" w:lineRule="exact"/>
      <w:jc w:val="center"/>
      <w:outlineLvl w:val="1"/>
    </w:pPr>
    <w:rPr>
      <w:rFonts w:ascii="Arial" w:hAnsi="Arial"/>
      <w:b/>
      <w:snapToGrid/>
      <w:kern w:val="0"/>
      <w:sz w:val="30"/>
      <w:szCs w:val="20"/>
    </w:rPr>
  </w:style>
  <w:style w:type="paragraph" w:styleId="6">
    <w:name w:val="heading 3"/>
    <w:basedOn w:val="1"/>
    <w:next w:val="1"/>
    <w:link w:val="63"/>
    <w:qFormat/>
    <w:uiPriority w:val="0"/>
    <w:pPr>
      <w:keepNext/>
      <w:keepLines/>
      <w:spacing w:before="60" w:line="400" w:lineRule="exact"/>
      <w:ind w:firstLine="480" w:firstLineChars="200"/>
      <w:outlineLvl w:val="2"/>
    </w:pPr>
    <w:rPr>
      <w:b/>
      <w:snapToGrid/>
      <w:kern w:val="2"/>
      <w:sz w:val="24"/>
      <w:szCs w:val="20"/>
    </w:rPr>
  </w:style>
  <w:style w:type="paragraph" w:styleId="7">
    <w:name w:val="heading 4"/>
    <w:basedOn w:val="1"/>
    <w:next w:val="1"/>
    <w:link w:val="48"/>
    <w:qFormat/>
    <w:uiPriority w:val="0"/>
    <w:pPr>
      <w:keepNext/>
      <w:keepLines/>
      <w:spacing w:before="280" w:after="290" w:line="376" w:lineRule="auto"/>
      <w:outlineLvl w:val="3"/>
    </w:pPr>
    <w:rPr>
      <w:rFonts w:ascii="Arial" w:hAnsi="Arial" w:eastAsia="黑体"/>
      <w:b/>
      <w:bCs/>
      <w:snapToGrid/>
      <w:kern w:val="2"/>
      <w:sz w:val="28"/>
      <w:szCs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43"/>
    <w:qFormat/>
    <w:uiPriority w:val="0"/>
    <w:pPr>
      <w:adjustRightInd w:val="0"/>
      <w:spacing w:line="440" w:lineRule="exact"/>
    </w:pPr>
    <w:rPr>
      <w:rFonts w:hAnsi="宋体"/>
      <w:bCs/>
      <w:snapToGrid/>
      <w:color w:val="000000"/>
      <w:kern w:val="2"/>
      <w:sz w:val="24"/>
      <w:szCs w:val="20"/>
    </w:rPr>
  </w:style>
  <w:style w:type="paragraph" w:customStyle="1" w:styleId="5">
    <w:name w:val="标书正文格式"/>
    <w:qFormat/>
    <w:uiPriority w:val="0"/>
    <w:pPr>
      <w:spacing w:line="360" w:lineRule="auto"/>
      <w:ind w:firstLine="200" w:firstLineChars="200"/>
    </w:pPr>
    <w:rPr>
      <w:rFonts w:ascii="Times New Roman" w:hAnsi="Times New Roman" w:eastAsia="楷体_GB2312" w:cs="Times New Roman"/>
      <w:sz w:val="24"/>
      <w:szCs w:val="24"/>
      <w:lang w:val="en-US" w:eastAsia="zh-CN" w:bidi="ar-SA"/>
    </w:rPr>
  </w:style>
  <w:style w:type="paragraph" w:styleId="8">
    <w:name w:val="toc 7"/>
    <w:basedOn w:val="1"/>
    <w:next w:val="1"/>
    <w:qFormat/>
    <w:uiPriority w:val="0"/>
    <w:pPr>
      <w:ind w:left="1260"/>
      <w:jc w:val="left"/>
    </w:pPr>
    <w:rPr>
      <w:rFonts w:ascii="Times New Roman"/>
      <w:snapToGrid/>
      <w:kern w:val="2"/>
      <w:sz w:val="18"/>
      <w:szCs w:val="20"/>
    </w:rPr>
  </w:style>
  <w:style w:type="paragraph" w:styleId="9">
    <w:name w:val="Normal Indent"/>
    <w:basedOn w:val="1"/>
    <w:link w:val="46"/>
    <w:qFormat/>
    <w:uiPriority w:val="0"/>
    <w:pPr>
      <w:ind w:firstLine="420"/>
    </w:pPr>
    <w:rPr>
      <w:rFonts w:ascii="Times New Roman"/>
      <w:snapToGrid/>
      <w:kern w:val="2"/>
      <w:szCs w:val="20"/>
    </w:rPr>
  </w:style>
  <w:style w:type="paragraph" w:styleId="10">
    <w:name w:val="Document Map"/>
    <w:basedOn w:val="1"/>
    <w:link w:val="49"/>
    <w:qFormat/>
    <w:uiPriority w:val="0"/>
    <w:rPr>
      <w:snapToGrid/>
      <w:kern w:val="2"/>
      <w:sz w:val="18"/>
      <w:szCs w:val="18"/>
    </w:rPr>
  </w:style>
  <w:style w:type="paragraph" w:styleId="11">
    <w:name w:val="toa heading"/>
    <w:basedOn w:val="1"/>
    <w:next w:val="1"/>
    <w:qFormat/>
    <w:uiPriority w:val="0"/>
    <w:pPr>
      <w:spacing w:before="120"/>
    </w:pPr>
    <w:rPr>
      <w:rFonts w:ascii="Arial" w:hAnsi="Arial" w:cs="Arial"/>
      <w:snapToGrid/>
      <w:kern w:val="2"/>
      <w:sz w:val="24"/>
    </w:rPr>
  </w:style>
  <w:style w:type="paragraph" w:styleId="12">
    <w:name w:val="annotation text"/>
    <w:basedOn w:val="1"/>
    <w:link w:val="50"/>
    <w:qFormat/>
    <w:uiPriority w:val="99"/>
    <w:pPr>
      <w:jc w:val="left"/>
    </w:pPr>
    <w:rPr>
      <w:rFonts w:ascii="Times New Roman"/>
      <w:snapToGrid/>
      <w:kern w:val="2"/>
      <w:szCs w:val="20"/>
    </w:rPr>
  </w:style>
  <w:style w:type="paragraph" w:styleId="13">
    <w:name w:val="Body Text 3"/>
    <w:basedOn w:val="1"/>
    <w:link w:val="51"/>
    <w:qFormat/>
    <w:uiPriority w:val="0"/>
    <w:rPr>
      <w:rFonts w:ascii="仿宋_GB2312" w:hAnsi="Arial" w:eastAsia="仿宋_GB2312"/>
      <w:snapToGrid/>
      <w:kern w:val="2"/>
      <w:sz w:val="32"/>
      <w:szCs w:val="20"/>
    </w:rPr>
  </w:style>
  <w:style w:type="paragraph" w:styleId="14">
    <w:name w:val="Body Text Indent"/>
    <w:basedOn w:val="1"/>
    <w:link w:val="52"/>
    <w:qFormat/>
    <w:uiPriority w:val="99"/>
    <w:pPr>
      <w:spacing w:line="460" w:lineRule="exact"/>
      <w:ind w:firstLine="510"/>
    </w:pPr>
    <w:rPr>
      <w:rFonts w:ascii="Times New Roman"/>
      <w:snapToGrid/>
      <w:kern w:val="2"/>
      <w:szCs w:val="20"/>
    </w:rPr>
  </w:style>
  <w:style w:type="paragraph" w:styleId="15">
    <w:name w:val="toc 5"/>
    <w:basedOn w:val="1"/>
    <w:next w:val="1"/>
    <w:qFormat/>
    <w:uiPriority w:val="0"/>
    <w:pPr>
      <w:ind w:left="840"/>
      <w:jc w:val="left"/>
    </w:pPr>
    <w:rPr>
      <w:rFonts w:ascii="Times New Roman"/>
      <w:snapToGrid/>
      <w:kern w:val="2"/>
      <w:sz w:val="18"/>
      <w:szCs w:val="20"/>
    </w:rPr>
  </w:style>
  <w:style w:type="paragraph" w:styleId="16">
    <w:name w:val="toc 3"/>
    <w:basedOn w:val="1"/>
    <w:next w:val="1"/>
    <w:qFormat/>
    <w:uiPriority w:val="39"/>
    <w:pPr>
      <w:tabs>
        <w:tab w:val="right" w:leader="dot" w:pos="9356"/>
      </w:tabs>
      <w:spacing w:line="400" w:lineRule="exact"/>
      <w:ind w:right="78" w:rightChars="37"/>
      <w:jc w:val="left"/>
    </w:pPr>
    <w:rPr>
      <w:rFonts w:ascii="Times New Roman"/>
      <w:i/>
      <w:snapToGrid/>
      <w:kern w:val="2"/>
      <w:sz w:val="20"/>
      <w:szCs w:val="20"/>
    </w:rPr>
  </w:style>
  <w:style w:type="paragraph" w:styleId="17">
    <w:name w:val="Plain Text"/>
    <w:basedOn w:val="1"/>
    <w:next w:val="1"/>
    <w:link w:val="53"/>
    <w:qFormat/>
    <w:uiPriority w:val="0"/>
    <w:rPr>
      <w:rFonts w:hAnsi="Courier New"/>
      <w:snapToGrid/>
      <w:kern w:val="2"/>
      <w:szCs w:val="20"/>
    </w:rPr>
  </w:style>
  <w:style w:type="paragraph" w:styleId="18">
    <w:name w:val="toc 8"/>
    <w:basedOn w:val="1"/>
    <w:next w:val="1"/>
    <w:qFormat/>
    <w:uiPriority w:val="0"/>
    <w:pPr>
      <w:ind w:left="1470"/>
      <w:jc w:val="left"/>
    </w:pPr>
    <w:rPr>
      <w:rFonts w:ascii="Times New Roman"/>
      <w:snapToGrid/>
      <w:kern w:val="2"/>
      <w:sz w:val="18"/>
      <w:szCs w:val="20"/>
    </w:rPr>
  </w:style>
  <w:style w:type="paragraph" w:styleId="19">
    <w:name w:val="Date"/>
    <w:basedOn w:val="1"/>
    <w:next w:val="1"/>
    <w:link w:val="54"/>
    <w:qFormat/>
    <w:uiPriority w:val="0"/>
    <w:pPr>
      <w:ind w:left="100" w:leftChars="2500"/>
    </w:pPr>
    <w:rPr>
      <w:snapToGrid/>
      <w:kern w:val="2"/>
      <w:sz w:val="24"/>
      <w:szCs w:val="20"/>
    </w:rPr>
  </w:style>
  <w:style w:type="paragraph" w:styleId="20">
    <w:name w:val="Body Text Indent 2"/>
    <w:basedOn w:val="1"/>
    <w:link w:val="55"/>
    <w:qFormat/>
    <w:uiPriority w:val="99"/>
    <w:pPr>
      <w:spacing w:line="500" w:lineRule="exact"/>
      <w:ind w:firstLine="510"/>
    </w:pPr>
    <w:rPr>
      <w:snapToGrid/>
      <w:kern w:val="2"/>
      <w:sz w:val="24"/>
      <w:szCs w:val="20"/>
    </w:rPr>
  </w:style>
  <w:style w:type="paragraph" w:styleId="21">
    <w:name w:val="Balloon Text"/>
    <w:basedOn w:val="1"/>
    <w:link w:val="56"/>
    <w:qFormat/>
    <w:uiPriority w:val="0"/>
    <w:rPr>
      <w:rFonts w:ascii="Times New Roman"/>
      <w:snapToGrid/>
      <w:kern w:val="2"/>
      <w:sz w:val="18"/>
      <w:szCs w:val="18"/>
    </w:rPr>
  </w:style>
  <w:style w:type="paragraph" w:styleId="22">
    <w:name w:val="footer"/>
    <w:basedOn w:val="1"/>
    <w:link w:val="57"/>
    <w:qFormat/>
    <w:uiPriority w:val="0"/>
    <w:pPr>
      <w:tabs>
        <w:tab w:val="center" w:pos="4153"/>
        <w:tab w:val="right" w:pos="8306"/>
      </w:tabs>
      <w:snapToGrid w:val="0"/>
      <w:jc w:val="left"/>
    </w:pPr>
    <w:rPr>
      <w:sz w:val="18"/>
      <w:szCs w:val="18"/>
    </w:rPr>
  </w:style>
  <w:style w:type="paragraph" w:styleId="23">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tabs>
        <w:tab w:val="right" w:leader="dot" w:pos="9356"/>
      </w:tabs>
      <w:spacing w:line="480" w:lineRule="exact"/>
      <w:ind w:right="50" w:rightChars="24"/>
      <w:jc w:val="left"/>
    </w:pPr>
    <w:rPr>
      <w:rFonts w:hAnsi="宋体"/>
      <w:caps/>
      <w:snapToGrid/>
      <w:kern w:val="2"/>
      <w:sz w:val="24"/>
    </w:rPr>
  </w:style>
  <w:style w:type="paragraph" w:styleId="25">
    <w:name w:val="toc 4"/>
    <w:basedOn w:val="1"/>
    <w:next w:val="1"/>
    <w:qFormat/>
    <w:uiPriority w:val="0"/>
    <w:pPr>
      <w:ind w:left="630"/>
      <w:jc w:val="left"/>
    </w:pPr>
    <w:rPr>
      <w:rFonts w:ascii="Times New Roman"/>
      <w:snapToGrid/>
      <w:kern w:val="2"/>
      <w:sz w:val="18"/>
      <w:szCs w:val="20"/>
    </w:rPr>
  </w:style>
  <w:style w:type="paragraph" w:styleId="26">
    <w:name w:val="toc 6"/>
    <w:basedOn w:val="1"/>
    <w:next w:val="1"/>
    <w:qFormat/>
    <w:uiPriority w:val="0"/>
    <w:pPr>
      <w:ind w:left="1050"/>
      <w:jc w:val="left"/>
    </w:pPr>
    <w:rPr>
      <w:rFonts w:ascii="Times New Roman"/>
      <w:snapToGrid/>
      <w:kern w:val="2"/>
      <w:sz w:val="18"/>
      <w:szCs w:val="20"/>
    </w:rPr>
  </w:style>
  <w:style w:type="paragraph" w:styleId="27">
    <w:name w:val="Body Text Indent 3"/>
    <w:basedOn w:val="1"/>
    <w:link w:val="59"/>
    <w:qFormat/>
    <w:uiPriority w:val="0"/>
    <w:pPr>
      <w:tabs>
        <w:tab w:val="left" w:pos="720"/>
      </w:tabs>
      <w:spacing w:line="460" w:lineRule="exact"/>
      <w:ind w:firstLine="480" w:firstLineChars="200"/>
    </w:pPr>
    <w:rPr>
      <w:rFonts w:ascii="Times New Roman"/>
      <w:snapToGrid/>
      <w:kern w:val="2"/>
      <w:sz w:val="24"/>
      <w:szCs w:val="20"/>
    </w:rPr>
  </w:style>
  <w:style w:type="paragraph" w:styleId="28">
    <w:name w:val="toc 2"/>
    <w:basedOn w:val="1"/>
    <w:next w:val="1"/>
    <w:qFormat/>
    <w:uiPriority w:val="39"/>
    <w:pPr>
      <w:tabs>
        <w:tab w:val="right" w:leader="dot" w:pos="9356"/>
      </w:tabs>
      <w:spacing w:line="400" w:lineRule="exact"/>
      <w:ind w:right="-206" w:rightChars="-98"/>
      <w:jc w:val="left"/>
    </w:pPr>
    <w:rPr>
      <w:rFonts w:ascii="Times New Roman"/>
      <w:smallCaps/>
      <w:snapToGrid/>
      <w:kern w:val="2"/>
      <w:sz w:val="20"/>
      <w:szCs w:val="20"/>
    </w:rPr>
  </w:style>
  <w:style w:type="paragraph" w:styleId="29">
    <w:name w:val="toc 9"/>
    <w:basedOn w:val="1"/>
    <w:next w:val="1"/>
    <w:qFormat/>
    <w:uiPriority w:val="0"/>
    <w:pPr>
      <w:ind w:left="1680"/>
      <w:jc w:val="left"/>
    </w:pPr>
    <w:rPr>
      <w:rFonts w:ascii="Times New Roman"/>
      <w:snapToGrid/>
      <w:kern w:val="2"/>
      <w:sz w:val="18"/>
      <w:szCs w:val="20"/>
    </w:rPr>
  </w:style>
  <w:style w:type="paragraph" w:styleId="30">
    <w:name w:val="Body Text 2"/>
    <w:basedOn w:val="1"/>
    <w:link w:val="60"/>
    <w:qFormat/>
    <w:uiPriority w:val="0"/>
    <w:pPr>
      <w:spacing w:line="400" w:lineRule="exact"/>
    </w:pPr>
    <w:rPr>
      <w:snapToGrid/>
      <w:color w:val="FF00FF"/>
      <w:kern w:val="2"/>
      <w:sz w:val="24"/>
      <w:szCs w:val="20"/>
      <w:shd w:val="pct10" w:color="auto" w:fill="FFFFFF"/>
    </w:rPr>
  </w:style>
  <w:style w:type="paragraph" w:styleId="31">
    <w:name w:val="Normal (Web)"/>
    <w:basedOn w:val="1"/>
    <w:qFormat/>
    <w:uiPriority w:val="0"/>
    <w:pPr>
      <w:widowControl/>
      <w:spacing w:before="100" w:beforeAutospacing="1" w:after="100" w:afterAutospacing="1"/>
      <w:jc w:val="left"/>
    </w:pPr>
    <w:rPr>
      <w:rFonts w:ascii="Arial Unicode MS" w:hAnsi="Arial Unicode MS" w:eastAsia="Arial Unicode MS" w:cs="Arial Unicode MS"/>
      <w:snapToGrid/>
      <w:kern w:val="0"/>
      <w:sz w:val="24"/>
    </w:rPr>
  </w:style>
  <w:style w:type="paragraph" w:styleId="32">
    <w:name w:val="annotation subject"/>
    <w:basedOn w:val="12"/>
    <w:next w:val="12"/>
    <w:link w:val="61"/>
    <w:qFormat/>
    <w:uiPriority w:val="0"/>
    <w:rPr>
      <w:rFonts w:ascii="宋体"/>
      <w:b/>
      <w:bCs/>
      <w:snapToGrid w:val="0"/>
      <w:kern w:val="21"/>
      <w:szCs w:val="24"/>
    </w:rPr>
  </w:style>
  <w:style w:type="paragraph" w:styleId="33">
    <w:name w:val="Body Text First Indent"/>
    <w:basedOn w:val="2"/>
    <w:link w:val="62"/>
    <w:qFormat/>
    <w:uiPriority w:val="0"/>
    <w:pPr>
      <w:adjustRightInd/>
      <w:spacing w:after="120" w:line="240" w:lineRule="auto"/>
      <w:ind w:firstLine="420" w:firstLineChars="100"/>
    </w:pPr>
    <w:rPr>
      <w:rFonts w:ascii="Times New Roman" w:hAnsi="Times New Roman"/>
      <w:sz w:val="21"/>
    </w:rPr>
  </w:style>
  <w:style w:type="paragraph" w:styleId="34">
    <w:name w:val="Body Text First Indent 2"/>
    <w:basedOn w:val="14"/>
    <w:qFormat/>
    <w:uiPriority w:val="0"/>
    <w:pPr>
      <w:spacing w:after="120"/>
      <w:ind w:firstLine="420" w:firstLineChars="200"/>
    </w:p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bCs/>
    </w:rPr>
  </w:style>
  <w:style w:type="character" w:styleId="39">
    <w:name w:val="page number"/>
    <w:qFormat/>
    <w:uiPriority w:val="0"/>
  </w:style>
  <w:style w:type="character" w:styleId="40">
    <w:name w:val="FollowedHyperlink"/>
    <w:qFormat/>
    <w:uiPriority w:val="0"/>
    <w:rPr>
      <w:color w:val="800080"/>
      <w:u w:val="single"/>
    </w:rPr>
  </w:style>
  <w:style w:type="character" w:styleId="41">
    <w:name w:val="Hyperlink"/>
    <w:qFormat/>
    <w:uiPriority w:val="99"/>
    <w:rPr>
      <w:color w:val="0000FF"/>
      <w:u w:val="single"/>
    </w:rPr>
  </w:style>
  <w:style w:type="character" w:styleId="42">
    <w:name w:val="annotation reference"/>
    <w:qFormat/>
    <w:uiPriority w:val="0"/>
    <w:rPr>
      <w:sz w:val="21"/>
    </w:rPr>
  </w:style>
  <w:style w:type="character" w:customStyle="1" w:styleId="43">
    <w:name w:val="正文文本 Char"/>
    <w:link w:val="2"/>
    <w:qFormat/>
    <w:uiPriority w:val="0"/>
    <w:rPr>
      <w:rFonts w:ascii="宋体" w:hAnsi="宋体"/>
      <w:bCs/>
      <w:color w:val="000000"/>
      <w:kern w:val="2"/>
      <w:sz w:val="24"/>
    </w:rPr>
  </w:style>
  <w:style w:type="character" w:customStyle="1" w:styleId="44">
    <w:name w:val="标题 1 Char"/>
    <w:link w:val="3"/>
    <w:qFormat/>
    <w:uiPriority w:val="0"/>
    <w:rPr>
      <w:rFonts w:ascii="Times New Roman" w:hAnsi="Times New Roman"/>
      <w:b/>
      <w:spacing w:val="20"/>
      <w:kern w:val="44"/>
      <w:sz w:val="32"/>
    </w:rPr>
  </w:style>
  <w:style w:type="character" w:customStyle="1" w:styleId="45">
    <w:name w:val="标题 2 Char"/>
    <w:link w:val="4"/>
    <w:qFormat/>
    <w:uiPriority w:val="0"/>
    <w:rPr>
      <w:rFonts w:ascii="Arial" w:hAnsi="Arial"/>
      <w:b/>
      <w:sz w:val="30"/>
    </w:rPr>
  </w:style>
  <w:style w:type="character" w:customStyle="1" w:styleId="46">
    <w:name w:val="正文缩进 Char"/>
    <w:link w:val="9"/>
    <w:qFormat/>
    <w:uiPriority w:val="0"/>
    <w:rPr>
      <w:rFonts w:ascii="Times New Roman" w:hAnsi="Times New Roman"/>
      <w:kern w:val="2"/>
      <w:sz w:val="21"/>
    </w:rPr>
  </w:style>
  <w:style w:type="character" w:customStyle="1" w:styleId="47">
    <w:name w:val="标题 3 Char"/>
    <w:qFormat/>
    <w:uiPriority w:val="99"/>
    <w:rPr>
      <w:rFonts w:ascii="Times New Roman" w:hAnsi="Times New Roman" w:eastAsia="宋体" w:cs="Times New Roman"/>
      <w:b/>
      <w:bCs/>
      <w:kern w:val="0"/>
      <w:sz w:val="28"/>
      <w:szCs w:val="32"/>
    </w:rPr>
  </w:style>
  <w:style w:type="character" w:customStyle="1" w:styleId="48">
    <w:name w:val="标题 4 Char"/>
    <w:link w:val="7"/>
    <w:qFormat/>
    <w:uiPriority w:val="0"/>
    <w:rPr>
      <w:rFonts w:ascii="Arial" w:hAnsi="Arial" w:eastAsia="黑体"/>
      <w:b/>
      <w:bCs/>
      <w:kern w:val="2"/>
      <w:sz w:val="28"/>
      <w:szCs w:val="28"/>
    </w:rPr>
  </w:style>
  <w:style w:type="character" w:customStyle="1" w:styleId="49">
    <w:name w:val="文档结构图 Char"/>
    <w:link w:val="10"/>
    <w:qFormat/>
    <w:uiPriority w:val="0"/>
    <w:rPr>
      <w:rFonts w:ascii="宋体" w:hAnsi="Times New Roman"/>
      <w:kern w:val="2"/>
      <w:sz w:val="18"/>
      <w:szCs w:val="18"/>
    </w:rPr>
  </w:style>
  <w:style w:type="character" w:customStyle="1" w:styleId="50">
    <w:name w:val="批注文字 Char"/>
    <w:link w:val="12"/>
    <w:qFormat/>
    <w:uiPriority w:val="99"/>
    <w:rPr>
      <w:rFonts w:ascii="Times New Roman" w:hAnsi="Times New Roman"/>
      <w:kern w:val="2"/>
      <w:sz w:val="21"/>
    </w:rPr>
  </w:style>
  <w:style w:type="character" w:customStyle="1" w:styleId="51">
    <w:name w:val="正文文本 3 Char"/>
    <w:link w:val="13"/>
    <w:qFormat/>
    <w:uiPriority w:val="0"/>
    <w:rPr>
      <w:rFonts w:ascii="仿宋_GB2312" w:hAnsi="Arial" w:eastAsia="仿宋_GB2312"/>
      <w:kern w:val="2"/>
      <w:sz w:val="32"/>
    </w:rPr>
  </w:style>
  <w:style w:type="character" w:customStyle="1" w:styleId="52">
    <w:name w:val="正文文本缩进 Char"/>
    <w:link w:val="14"/>
    <w:qFormat/>
    <w:uiPriority w:val="99"/>
    <w:rPr>
      <w:rFonts w:ascii="Times New Roman" w:hAnsi="Times New Roman"/>
      <w:kern w:val="2"/>
      <w:sz w:val="21"/>
    </w:rPr>
  </w:style>
  <w:style w:type="character" w:customStyle="1" w:styleId="53">
    <w:name w:val="纯文本 Char1"/>
    <w:link w:val="17"/>
    <w:qFormat/>
    <w:locked/>
    <w:uiPriority w:val="0"/>
    <w:rPr>
      <w:rFonts w:ascii="宋体" w:hAnsi="Courier New"/>
      <w:kern w:val="2"/>
      <w:sz w:val="21"/>
    </w:rPr>
  </w:style>
  <w:style w:type="character" w:customStyle="1" w:styleId="54">
    <w:name w:val="日期 Char"/>
    <w:link w:val="19"/>
    <w:qFormat/>
    <w:uiPriority w:val="0"/>
    <w:rPr>
      <w:rFonts w:ascii="宋体" w:hAnsi="Times New Roman"/>
      <w:kern w:val="2"/>
      <w:sz w:val="24"/>
    </w:rPr>
  </w:style>
  <w:style w:type="character" w:customStyle="1" w:styleId="55">
    <w:name w:val="正文文本缩进 2 Char"/>
    <w:link w:val="20"/>
    <w:qFormat/>
    <w:uiPriority w:val="99"/>
    <w:rPr>
      <w:rFonts w:ascii="宋体" w:hAnsi="Times New Roman"/>
      <w:kern w:val="2"/>
      <w:sz w:val="24"/>
    </w:rPr>
  </w:style>
  <w:style w:type="character" w:customStyle="1" w:styleId="56">
    <w:name w:val="批注框文本 Char"/>
    <w:link w:val="21"/>
    <w:qFormat/>
    <w:uiPriority w:val="0"/>
    <w:rPr>
      <w:rFonts w:ascii="Times New Roman" w:hAnsi="Times New Roman"/>
      <w:kern w:val="2"/>
      <w:sz w:val="18"/>
      <w:szCs w:val="18"/>
    </w:rPr>
  </w:style>
  <w:style w:type="character" w:customStyle="1" w:styleId="57">
    <w:name w:val="页脚 Char"/>
    <w:link w:val="22"/>
    <w:qFormat/>
    <w:uiPriority w:val="0"/>
    <w:rPr>
      <w:rFonts w:ascii="宋体"/>
      <w:snapToGrid w:val="0"/>
      <w:kern w:val="21"/>
      <w:sz w:val="18"/>
      <w:szCs w:val="18"/>
    </w:rPr>
  </w:style>
  <w:style w:type="character" w:customStyle="1" w:styleId="58">
    <w:name w:val="页眉 Char"/>
    <w:link w:val="23"/>
    <w:qFormat/>
    <w:uiPriority w:val="0"/>
    <w:rPr>
      <w:rFonts w:ascii="宋体"/>
      <w:snapToGrid w:val="0"/>
      <w:kern w:val="21"/>
      <w:sz w:val="18"/>
      <w:szCs w:val="18"/>
    </w:rPr>
  </w:style>
  <w:style w:type="character" w:customStyle="1" w:styleId="59">
    <w:name w:val="正文文本缩进 3 Char"/>
    <w:link w:val="27"/>
    <w:qFormat/>
    <w:uiPriority w:val="0"/>
    <w:rPr>
      <w:rFonts w:ascii="Times New Roman" w:hAnsi="Times New Roman"/>
      <w:kern w:val="2"/>
      <w:sz w:val="24"/>
    </w:rPr>
  </w:style>
  <w:style w:type="character" w:customStyle="1" w:styleId="60">
    <w:name w:val="正文文本 2 Char"/>
    <w:link w:val="30"/>
    <w:qFormat/>
    <w:uiPriority w:val="0"/>
    <w:rPr>
      <w:rFonts w:ascii="宋体" w:hAnsi="Times New Roman"/>
      <w:color w:val="FF00FF"/>
      <w:kern w:val="2"/>
      <w:sz w:val="24"/>
    </w:rPr>
  </w:style>
  <w:style w:type="character" w:customStyle="1" w:styleId="61">
    <w:name w:val="批注主题 Char"/>
    <w:link w:val="32"/>
    <w:qFormat/>
    <w:uiPriority w:val="0"/>
    <w:rPr>
      <w:rFonts w:ascii="宋体" w:hAnsi="Times New Roman"/>
      <w:b/>
      <w:bCs/>
      <w:snapToGrid/>
      <w:kern w:val="21"/>
      <w:sz w:val="21"/>
      <w:szCs w:val="24"/>
    </w:rPr>
  </w:style>
  <w:style w:type="character" w:customStyle="1" w:styleId="62">
    <w:name w:val="正文首行缩进 Char"/>
    <w:link w:val="33"/>
    <w:qFormat/>
    <w:uiPriority w:val="0"/>
    <w:rPr>
      <w:rFonts w:ascii="Times New Roman" w:hAnsi="Times New Roman"/>
      <w:bCs/>
      <w:color w:val="000000"/>
      <w:kern w:val="2"/>
      <w:sz w:val="21"/>
    </w:rPr>
  </w:style>
  <w:style w:type="character" w:customStyle="1" w:styleId="63">
    <w:name w:val="标题 3 Char1"/>
    <w:link w:val="6"/>
    <w:qFormat/>
    <w:uiPriority w:val="0"/>
    <w:rPr>
      <w:rFonts w:ascii="宋体" w:hAnsi="Times New Roman"/>
      <w:b/>
      <w:kern w:val="2"/>
      <w:sz w:val="24"/>
    </w:rPr>
  </w:style>
  <w:style w:type="character" w:customStyle="1" w:styleId="64">
    <w:name w:val="页脚 字符"/>
    <w:qFormat/>
    <w:uiPriority w:val="99"/>
    <w:rPr>
      <w:sz w:val="18"/>
      <w:szCs w:val="18"/>
    </w:rPr>
  </w:style>
  <w:style w:type="character" w:customStyle="1" w:styleId="65">
    <w:name w:val="v151"/>
    <w:qFormat/>
    <w:uiPriority w:val="0"/>
    <w:rPr>
      <w:sz w:val="18"/>
      <w:szCs w:val="18"/>
    </w:rPr>
  </w:style>
  <w:style w:type="character" w:customStyle="1" w:styleId="66">
    <w:name w:val="标题 3 字符"/>
    <w:qFormat/>
    <w:uiPriority w:val="99"/>
    <w:rPr>
      <w:rFonts w:ascii="Times New Roman" w:hAnsi="Times New Roman" w:eastAsia="宋体" w:cs="Times New Roman"/>
      <w:b/>
      <w:bCs/>
      <w:kern w:val="0"/>
      <w:sz w:val="28"/>
      <w:szCs w:val="32"/>
    </w:rPr>
  </w:style>
  <w:style w:type="character" w:customStyle="1" w:styleId="67">
    <w:name w:val="16"/>
    <w:qFormat/>
    <w:uiPriority w:val="0"/>
    <w:rPr>
      <w:rFonts w:hint="default" w:ascii="Times New Roman" w:hAnsi="Times New Roman" w:cs="Times New Roman"/>
      <w:b/>
      <w:bCs/>
      <w:sz w:val="32"/>
      <w:szCs w:val="32"/>
    </w:rPr>
  </w:style>
  <w:style w:type="character" w:customStyle="1" w:styleId="68">
    <w:name w:val="页眉 字符"/>
    <w:qFormat/>
    <w:uiPriority w:val="99"/>
    <w:rPr>
      <w:rFonts w:ascii="宋体" w:hAnsi="宋体" w:eastAsia="宋体" w:cs="宋体"/>
      <w:sz w:val="18"/>
      <w:szCs w:val="18"/>
      <w:lang w:eastAsia="en-US"/>
    </w:rPr>
  </w:style>
  <w:style w:type="character" w:customStyle="1" w:styleId="69">
    <w:name w:val="参审审核标题1 Char"/>
    <w:link w:val="70"/>
    <w:qFormat/>
    <w:uiPriority w:val="0"/>
    <w:rPr>
      <w:rFonts w:ascii="黑体" w:hAnsi="黑体" w:eastAsia="黑体"/>
      <w:b/>
      <w:kern w:val="2"/>
      <w:sz w:val="21"/>
      <w:szCs w:val="21"/>
    </w:rPr>
  </w:style>
  <w:style w:type="paragraph" w:customStyle="1" w:styleId="70">
    <w:name w:val="参审审核标题1"/>
    <w:basedOn w:val="1"/>
    <w:link w:val="69"/>
    <w:qFormat/>
    <w:uiPriority w:val="0"/>
    <w:pPr>
      <w:jc w:val="left"/>
      <w:outlineLvl w:val="0"/>
    </w:pPr>
    <w:rPr>
      <w:rFonts w:ascii="黑体" w:hAnsi="黑体" w:eastAsia="黑体"/>
      <w:b/>
      <w:snapToGrid/>
      <w:kern w:val="2"/>
      <w:szCs w:val="21"/>
    </w:rPr>
  </w:style>
  <w:style w:type="character" w:customStyle="1" w:styleId="71">
    <w:name w:val="small1"/>
    <w:qFormat/>
    <w:uiPriority w:val="0"/>
    <w:rPr>
      <w:rFonts w:hint="default" w:ascii="Verdana" w:hAnsi="Verdana"/>
      <w:sz w:val="17"/>
      <w:szCs w:val="17"/>
    </w:rPr>
  </w:style>
  <w:style w:type="character" w:customStyle="1" w:styleId="72">
    <w:name w:val="标题 2 字符"/>
    <w:qFormat/>
    <w:uiPriority w:val="99"/>
    <w:rPr>
      <w:rFonts w:ascii="Arial" w:hAnsi="Arial" w:eastAsia="黑体" w:cs="Times New Roman"/>
      <w:b/>
      <w:bCs/>
      <w:kern w:val="0"/>
      <w:sz w:val="32"/>
      <w:szCs w:val="32"/>
    </w:rPr>
  </w:style>
  <w:style w:type="character" w:customStyle="1" w:styleId="73">
    <w:name w:val="point_normal"/>
    <w:qFormat/>
    <w:uiPriority w:val="0"/>
  </w:style>
  <w:style w:type="character" w:customStyle="1" w:styleId="74">
    <w:name w:val="title_emph"/>
    <w:qFormat/>
    <w:uiPriority w:val="0"/>
  </w:style>
  <w:style w:type="character" w:customStyle="1" w:styleId="75">
    <w:name w:val="纯文本 Char"/>
    <w:qFormat/>
    <w:uiPriority w:val="0"/>
    <w:rPr>
      <w:rFonts w:ascii="宋体" w:hAnsi="Courier New" w:cs="Courier New"/>
      <w:snapToGrid w:val="0"/>
      <w:kern w:val="21"/>
      <w:sz w:val="21"/>
      <w:szCs w:val="21"/>
    </w:rPr>
  </w:style>
  <w:style w:type="character" w:customStyle="1" w:styleId="76">
    <w:name w:val="para"/>
    <w:qFormat/>
    <w:uiPriority w:val="0"/>
  </w:style>
  <w:style w:type="paragraph" w:customStyle="1" w:styleId="77">
    <w:name w:val="正文缩进1"/>
    <w:basedOn w:val="1"/>
    <w:qFormat/>
    <w:uiPriority w:val="0"/>
    <w:pPr>
      <w:autoSpaceDE w:val="0"/>
      <w:autoSpaceDN w:val="0"/>
      <w:adjustRightInd w:val="0"/>
      <w:ind w:firstLine="420"/>
      <w:jc w:val="left"/>
    </w:pPr>
    <w:rPr>
      <w:rFonts w:hAnsi="Calibri"/>
      <w:sz w:val="24"/>
      <w:szCs w:val="22"/>
    </w:rPr>
  </w:style>
  <w:style w:type="paragraph" w:customStyle="1" w:styleId="78">
    <w:name w:val="p16"/>
    <w:basedOn w:val="1"/>
    <w:qFormat/>
    <w:uiPriority w:val="0"/>
    <w:pPr>
      <w:widowControl/>
      <w:spacing w:before="100" w:after="100"/>
      <w:jc w:val="left"/>
    </w:pPr>
    <w:rPr>
      <w:rFonts w:hAnsi="宋体" w:cs="宋体"/>
      <w:snapToGrid/>
      <w:kern w:val="0"/>
      <w:sz w:val="24"/>
    </w:rPr>
  </w:style>
  <w:style w:type="paragraph" w:customStyle="1" w:styleId="79">
    <w:name w:val="Table Paragraph"/>
    <w:basedOn w:val="1"/>
    <w:qFormat/>
    <w:uiPriority w:val="1"/>
    <w:pPr>
      <w:jc w:val="left"/>
    </w:pPr>
    <w:rPr>
      <w:rFonts w:hAnsi="宋体" w:cs="宋体"/>
      <w:snapToGrid/>
      <w:kern w:val="0"/>
      <w:sz w:val="22"/>
      <w:szCs w:val="22"/>
      <w:lang w:eastAsia="en-US"/>
    </w:rPr>
  </w:style>
  <w:style w:type="paragraph" w:customStyle="1" w:styleId="80">
    <w:name w:val="文档正文 Char"/>
    <w:basedOn w:val="1"/>
    <w:qFormat/>
    <w:uiPriority w:val="0"/>
    <w:pPr>
      <w:adjustRightInd w:val="0"/>
      <w:spacing w:line="480" w:lineRule="atLeast"/>
      <w:ind w:firstLine="567"/>
      <w:textAlignment w:val="baseline"/>
    </w:pPr>
    <w:rPr>
      <w:rFonts w:ascii="仿宋_GB2312" w:eastAsia="仿宋_GB2312"/>
      <w:snapToGrid/>
      <w:kern w:val="0"/>
      <w:sz w:val="28"/>
      <w:szCs w:val="20"/>
    </w:rPr>
  </w:style>
  <w:style w:type="paragraph" w:customStyle="1" w:styleId="81">
    <w:name w:val="采购申报表正文"/>
    <w:basedOn w:val="1"/>
    <w:qFormat/>
    <w:uiPriority w:val="0"/>
    <w:rPr>
      <w:rFonts w:ascii="仿宋_GB2312" w:eastAsia="仿宋_GB2312"/>
      <w:snapToGrid/>
      <w:kern w:val="2"/>
      <w:szCs w:val="28"/>
    </w:rPr>
  </w:style>
  <w:style w:type="paragraph" w:customStyle="1" w:styleId="82">
    <w:name w:val="正文2"/>
    <w:basedOn w:val="1"/>
    <w:qFormat/>
    <w:uiPriority w:val="0"/>
    <w:pPr>
      <w:spacing w:line="300" w:lineRule="auto"/>
      <w:ind w:left="500" w:leftChars="500"/>
    </w:pPr>
    <w:rPr>
      <w:rFonts w:ascii="Times New Roman"/>
      <w:snapToGrid/>
      <w:kern w:val="2"/>
      <w:szCs w:val="21"/>
    </w:rPr>
  </w:style>
  <w:style w:type="paragraph" w:customStyle="1" w:styleId="83">
    <w:name w:val="样式 样式 首行缩进:  2.57 字符 + 首行缩进:  2.57 字符"/>
    <w:basedOn w:val="1"/>
    <w:qFormat/>
    <w:uiPriority w:val="0"/>
    <w:pPr>
      <w:spacing w:line="360" w:lineRule="auto"/>
      <w:ind w:firstLine="771" w:firstLineChars="257"/>
    </w:pPr>
    <w:rPr>
      <w:rFonts w:eastAsia="仿宋" w:cs="宋体"/>
      <w:sz w:val="30"/>
      <w:szCs w:val="20"/>
    </w:rPr>
  </w:style>
  <w:style w:type="paragraph" w:customStyle="1" w:styleId="84">
    <w:name w:val="索引 11"/>
    <w:basedOn w:val="1"/>
    <w:next w:val="1"/>
    <w:qFormat/>
    <w:uiPriority w:val="0"/>
    <w:pPr>
      <w:spacing w:line="360" w:lineRule="auto"/>
    </w:pPr>
    <w:rPr>
      <w:rFonts w:ascii="仿宋_GB2312" w:eastAsia="仿宋_GB2312"/>
      <w:sz w:val="24"/>
      <w:szCs w:val="20"/>
    </w:rPr>
  </w:style>
  <w:style w:type="paragraph" w:customStyle="1" w:styleId="8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86">
    <w:name w:val="纯文本1"/>
    <w:basedOn w:val="1"/>
    <w:qFormat/>
    <w:uiPriority w:val="0"/>
    <w:pPr>
      <w:widowControl/>
      <w:jc w:val="left"/>
    </w:pPr>
    <w:rPr>
      <w:rFonts w:hAnsi="Courier New"/>
      <w:snapToGrid/>
      <w:kern w:val="0"/>
      <w:szCs w:val="22"/>
    </w:rPr>
  </w:style>
  <w:style w:type="paragraph" w:customStyle="1" w:styleId="87">
    <w:name w:val="Char"/>
    <w:basedOn w:val="1"/>
    <w:qFormat/>
    <w:uiPriority w:val="0"/>
    <w:rPr>
      <w:rFonts w:ascii="Times New Roman"/>
      <w:snapToGrid/>
      <w:kern w:val="2"/>
    </w:rPr>
  </w:style>
  <w:style w:type="paragraph" w:customStyle="1" w:styleId="88">
    <w:name w:val="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89">
    <w:name w:val="Char1"/>
    <w:basedOn w:val="1"/>
    <w:next w:val="1"/>
    <w:qFormat/>
    <w:uiPriority w:val="0"/>
    <w:pPr>
      <w:tabs>
        <w:tab w:val="left" w:pos="845"/>
      </w:tabs>
      <w:spacing w:before="156" w:beforeLines="50" w:after="312" w:afterLines="100" w:line="360" w:lineRule="auto"/>
      <w:ind w:left="1105" w:hanging="748"/>
      <w:jc w:val="center"/>
    </w:pPr>
    <w:rPr>
      <w:rFonts w:ascii="Times New Roman"/>
      <w:snapToGrid/>
      <w:kern w:val="0"/>
      <w:sz w:val="24"/>
    </w:rPr>
  </w:style>
  <w:style w:type="paragraph" w:customStyle="1" w:styleId="90">
    <w:name w:val="xl29"/>
    <w:basedOn w:val="1"/>
    <w:qFormat/>
    <w:uiPriority w:val="0"/>
    <w:pPr>
      <w:widowControl/>
      <w:spacing w:before="100" w:beforeAutospacing="1" w:after="100" w:afterAutospacing="1"/>
      <w:jc w:val="center"/>
    </w:pPr>
    <w:rPr>
      <w:rFonts w:hAnsi="宋体"/>
      <w:snapToGrid/>
      <w:kern w:val="0"/>
      <w:sz w:val="24"/>
    </w:rPr>
  </w:style>
  <w:style w:type="paragraph" w:customStyle="1" w:styleId="91">
    <w:name w:val="字元 字元 Char Char 字元 字元"/>
    <w:basedOn w:val="1"/>
    <w:qFormat/>
    <w:uiPriority w:val="0"/>
    <w:rPr>
      <w:rFonts w:ascii="Times New Roman"/>
      <w:snapToGrid/>
      <w:kern w:val="2"/>
    </w:rPr>
  </w:style>
  <w:style w:type="paragraph" w:customStyle="1" w:styleId="92">
    <w:name w:val="列出段落1"/>
    <w:basedOn w:val="1"/>
    <w:qFormat/>
    <w:uiPriority w:val="99"/>
    <w:pPr>
      <w:ind w:firstLine="420" w:firstLineChars="200"/>
    </w:pPr>
  </w:style>
  <w:style w:type="paragraph" w:customStyle="1" w:styleId="93">
    <w:name w:val="Char Char Char Char"/>
    <w:basedOn w:val="1"/>
    <w:next w:val="1"/>
    <w:qFormat/>
    <w:uiPriority w:val="0"/>
    <w:pPr>
      <w:tabs>
        <w:tab w:val="left" w:pos="845"/>
      </w:tabs>
      <w:spacing w:beforeLines="50" w:afterLines="100" w:line="360" w:lineRule="auto"/>
      <w:ind w:left="2210" w:hanging="748"/>
      <w:jc w:val="center"/>
    </w:pPr>
    <w:rPr>
      <w:rFonts w:ascii="Times New Roman"/>
      <w:snapToGrid/>
      <w:kern w:val="0"/>
      <w:sz w:val="24"/>
    </w:rPr>
  </w:style>
  <w:style w:type="paragraph" w:customStyle="1" w:styleId="94">
    <w:name w:val="_Style 2"/>
    <w:basedOn w:val="1"/>
    <w:qFormat/>
    <w:uiPriority w:val="0"/>
    <w:pPr>
      <w:widowControl/>
      <w:jc w:val="left"/>
    </w:pPr>
    <w:rPr>
      <w:rFonts w:ascii="Times New Roman"/>
      <w:snapToGrid/>
      <w:kern w:val="0"/>
      <w:szCs w:val="21"/>
    </w:rPr>
  </w:style>
  <w:style w:type="paragraph" w:customStyle="1" w:styleId="95">
    <w:name w:val="xl26"/>
    <w:basedOn w:val="1"/>
    <w:qFormat/>
    <w:uiPriority w:val="0"/>
    <w:pPr>
      <w:widowControl/>
      <w:spacing w:before="100" w:beforeAutospacing="1" w:after="100" w:afterAutospacing="1"/>
      <w:jc w:val="center"/>
    </w:pPr>
    <w:rPr>
      <w:rFonts w:hint="eastAsia" w:ascii="仿宋_GB2312" w:hAnsi="宋体" w:eastAsia="仿宋_GB2312"/>
      <w:snapToGrid/>
      <w:kern w:val="0"/>
      <w:sz w:val="24"/>
    </w:rPr>
  </w:style>
  <w:style w:type="paragraph" w:styleId="96">
    <w:name w:val="List Paragraph"/>
    <w:basedOn w:val="1"/>
    <w:qFormat/>
    <w:uiPriority w:val="34"/>
    <w:pPr>
      <w:ind w:firstLine="420" w:firstLineChars="200"/>
    </w:pPr>
    <w:rPr>
      <w:rFonts w:ascii="Calibri"/>
      <w:snapToGrid/>
      <w:kern w:val="2"/>
      <w:szCs w:val="22"/>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46</Pages>
  <Words>19234</Words>
  <Characters>20519</Characters>
  <Lines>183</Lines>
  <Paragraphs>51</Paragraphs>
  <TotalTime>20</TotalTime>
  <ScaleCrop>false</ScaleCrop>
  <LinksUpToDate>false</LinksUpToDate>
  <CharactersWithSpaces>21663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2017-04-21T13:09:00Z</dcterms:created>
  <dc:creator>Administrator</dc:creator>
  <cp:lastModifiedBy>元大</cp:lastModifiedBy>
  <dcterms:modified xsi:type="dcterms:W3CDTF">2026-09-04T00:49:34Z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05007E0F9221472498BD40531CA65519_13</vt:lpwstr>
  </property>
  <property fmtid="{D5CDD505-2E9C-101B-9397-08002B2CF9AE}" pid="4" name="KSOTemplateDocerSaveRecord">
    <vt:lpwstr>eyJoZGlkIjoiYzc1ZmE0NjY5NWI4NzJmYzZjMzkxNGE1NTc3NWM0MDUiLCJ1c2VySWQiOiIyOTg5NDI1MTQifQ==</vt:lpwstr>
  </property>
</Properties>
</file>