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kern w:val="0"/>
          <w:sz w:val="40"/>
          <w:szCs w:val="40"/>
        </w:rPr>
      </w:pPr>
      <w:r>
        <w:rPr>
          <w:rFonts w:hint="eastAsia"/>
          <w:b/>
          <w:bCs/>
          <w:kern w:val="0"/>
          <w:sz w:val="40"/>
          <w:szCs w:val="40"/>
        </w:rPr>
        <w:t>国家海洋局深圳海洋环境监测中心站办公楼（含惠州站）2024年物业管理项目</w:t>
      </w:r>
    </w:p>
    <w:p>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2"/>
        <w:tblW w:w="7582" w:type="dxa"/>
        <w:jc w:val="center"/>
        <w:tblCellSpacing w:w="0" w:type="dxa"/>
        <w:tblLayout w:type="fixed"/>
        <w:tblCellMar>
          <w:top w:w="45" w:type="dxa"/>
          <w:left w:w="45" w:type="dxa"/>
          <w:bottom w:w="45" w:type="dxa"/>
          <w:right w:w="45" w:type="dxa"/>
        </w:tblCellMar>
      </w:tblPr>
      <w:tblGrid>
        <w:gridCol w:w="2723"/>
        <w:gridCol w:w="4859"/>
      </w:tblGrid>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rPr>
              <w:t>项目编号：</w:t>
            </w:r>
          </w:p>
        </w:tc>
        <w:tc>
          <w:tcPr>
            <w:tcW w:w="4859" w:type="dxa"/>
            <w:shd w:val="clear" w:color="auto" w:fill="auto"/>
            <w:vAlign w:val="center"/>
          </w:tcPr>
          <w:p>
            <w:pPr>
              <w:widowControl/>
              <w:jc w:val="left"/>
              <w:rPr>
                <w:sz w:val="30"/>
                <w:szCs w:val="30"/>
              </w:rPr>
            </w:pPr>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rPr>
              <w:t>项目名称：</w:t>
            </w:r>
          </w:p>
        </w:tc>
        <w:tc>
          <w:tcPr>
            <w:tcW w:w="4859" w:type="dxa"/>
            <w:shd w:val="clear" w:color="auto" w:fill="auto"/>
            <w:vAlign w:val="center"/>
          </w:tcPr>
          <w:p>
            <w:pPr>
              <w:widowControl/>
              <w:jc w:val="left"/>
              <w:rPr>
                <w:sz w:val="30"/>
                <w:szCs w:val="30"/>
              </w:rPr>
            </w:pPr>
            <w:r>
              <w:rPr>
                <w:rFonts w:hint="eastAsia" w:ascii="宋体" w:hAnsi="宋体" w:cs="宋体"/>
                <w:kern w:val="0"/>
                <w:sz w:val="30"/>
                <w:szCs w:val="30"/>
              </w:rPr>
              <w:t>国家海洋局深圳海洋环境监测中心站办公楼（含惠州站）2024年物业管理项目</w:t>
            </w:r>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rPr>
              <w:t>项目类型：</w:t>
            </w:r>
          </w:p>
        </w:tc>
        <w:tc>
          <w:tcPr>
            <w:tcW w:w="4859" w:type="dxa"/>
            <w:shd w:val="clear" w:color="auto" w:fill="auto"/>
            <w:vAlign w:val="center"/>
          </w:tcPr>
          <w:p>
            <w:pPr>
              <w:widowControl/>
              <w:jc w:val="left"/>
              <w:rPr>
                <w:sz w:val="30"/>
                <w:szCs w:val="30"/>
              </w:rPr>
            </w:pPr>
            <w:r>
              <w:rPr>
                <w:rFonts w:hint="eastAsia" w:ascii="宋体" w:hAnsi="宋体" w:cs="宋体"/>
                <w:kern w:val="0"/>
                <w:sz w:val="30"/>
                <w:szCs w:val="30"/>
              </w:rPr>
              <w:t>服务</w:t>
            </w:r>
            <w:r>
              <w:rPr>
                <w:rFonts w:ascii="宋体" w:hAnsi="宋体" w:cs="宋体"/>
                <w:kern w:val="0"/>
                <w:sz w:val="30"/>
                <w:szCs w:val="30"/>
              </w:rPr>
              <w:t>类</w:t>
            </w:r>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rPr>
              <w:t>采购方式：</w:t>
            </w:r>
          </w:p>
        </w:tc>
        <w:tc>
          <w:tcPr>
            <w:tcW w:w="4859" w:type="dxa"/>
            <w:shd w:val="clear" w:color="auto" w:fill="auto"/>
            <w:vAlign w:val="center"/>
          </w:tcPr>
          <w:p>
            <w:pPr>
              <w:widowControl/>
              <w:jc w:val="left"/>
              <w:rPr>
                <w:sz w:val="30"/>
                <w:szCs w:val="30"/>
              </w:rPr>
            </w:pPr>
            <w:r>
              <w:rPr>
                <w:rFonts w:ascii="宋体" w:hAnsi="宋体" w:cs="宋体"/>
                <w:kern w:val="0"/>
                <w:sz w:val="30"/>
                <w:szCs w:val="30"/>
              </w:rPr>
              <w:t>公开招标</w:t>
            </w:r>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rPr>
              <w:t>货币类型：</w:t>
            </w:r>
          </w:p>
        </w:tc>
        <w:tc>
          <w:tcPr>
            <w:tcW w:w="4859" w:type="dxa"/>
            <w:shd w:val="clear" w:color="auto" w:fill="auto"/>
            <w:vAlign w:val="center"/>
          </w:tcPr>
          <w:p>
            <w:pPr>
              <w:widowControl/>
              <w:jc w:val="left"/>
              <w:rPr>
                <w:sz w:val="30"/>
                <w:szCs w:val="30"/>
              </w:rPr>
            </w:pPr>
            <w:r>
              <w:rPr>
                <w:rFonts w:ascii="宋体" w:hAnsi="宋体" w:cs="宋体"/>
                <w:kern w:val="0"/>
                <w:sz w:val="30"/>
                <w:szCs w:val="30"/>
              </w:rPr>
              <w:t>人民币</w:t>
            </w:r>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rPr>
              <w:t>评标方法：</w:t>
            </w:r>
          </w:p>
        </w:tc>
        <w:tc>
          <w:tcPr>
            <w:tcW w:w="4859" w:type="dxa"/>
            <w:shd w:val="clear" w:color="auto" w:fill="auto"/>
            <w:vAlign w:val="center"/>
          </w:tcPr>
          <w:p>
            <w:pPr>
              <w:widowControl/>
              <w:jc w:val="left"/>
              <w:rPr>
                <w:sz w:val="30"/>
                <w:szCs w:val="30"/>
              </w:rPr>
            </w:pPr>
            <w:r>
              <w:rPr>
                <w:rFonts w:ascii="宋体" w:hAnsi="宋体" w:cs="宋体"/>
                <w:kern w:val="0"/>
                <w:sz w:val="30"/>
                <w:szCs w:val="30"/>
              </w:rPr>
              <w:t>综合评分法</w:t>
            </w:r>
          </w:p>
        </w:tc>
      </w:tr>
    </w:tbl>
    <w:p>
      <w:pPr>
        <w:pStyle w:val="37"/>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pPr>
              <w:jc w:val="center"/>
              <w:rPr>
                <w:rFonts w:ascii="宋体" w:hAnsi="宋体" w:cs="宋体"/>
                <w:sz w:val="28"/>
                <w:szCs w:val="28"/>
              </w:rPr>
            </w:pPr>
            <w:r>
              <w:rPr>
                <w:sz w:val="28"/>
                <w:szCs w:val="28"/>
              </w:rPr>
              <w:t>内容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pPr>
              <w:rPr>
                <w:rFonts w:ascii="宋体" w:hAnsi="宋体" w:cs="宋体"/>
                <w:szCs w:val="21"/>
              </w:rPr>
            </w:pPr>
            <w:r>
              <w:rPr>
                <w:rFonts w:ascii="宋体" w:hAnsi="宋体" w:cs="宋体"/>
                <w:kern w:val="0"/>
                <w:szCs w:val="21"/>
              </w:rPr>
              <w:t>投标人不</w:t>
            </w:r>
            <w:r>
              <w:rPr>
                <w:rFonts w:hint="eastAsia" w:ascii="宋体" w:hAnsi="宋体" w:cs="宋体"/>
                <w:kern w:val="0"/>
                <w:szCs w:val="21"/>
              </w:rPr>
              <w:t>符合</w:t>
            </w:r>
            <w:r>
              <w:rPr>
                <w:rFonts w:ascii="宋体" w:hAnsi="宋体" w:cs="宋体"/>
                <w:kern w:val="0"/>
                <w:szCs w:val="21"/>
              </w:rPr>
              <w:t>资格要求，或未提交相应的资格证明资料（详见招标公告</w:t>
            </w:r>
            <w:r>
              <w:rPr>
                <w:rFonts w:hint="eastAsia" w:ascii="宋体" w:hAnsi="宋体"/>
                <w:szCs w:val="21"/>
              </w:rPr>
              <w:t>投标人资格要求，即申请人的资格要求</w:t>
            </w:r>
            <w:r>
              <w:rPr>
                <w:rFonts w:ascii="宋体" w:hAnsi="宋体" w:cs="宋体"/>
                <w:kern w:val="0"/>
                <w:szCs w:val="21"/>
              </w:rPr>
              <w:t>）</w:t>
            </w:r>
          </w:p>
        </w:tc>
      </w:tr>
    </w:tbl>
    <w:p>
      <w:pPr>
        <w:pStyle w:val="37"/>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2"/>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pPr>
              <w:widowControl/>
              <w:jc w:val="center"/>
              <w:rPr>
                <w:sz w:val="28"/>
                <w:szCs w:val="28"/>
              </w:rPr>
            </w:pPr>
            <w:r>
              <w:rPr>
                <w:rFonts w:ascii="宋体" w:hAnsi="宋体" w:cs="宋体"/>
                <w:kern w:val="0"/>
                <w:sz w:val="28"/>
                <w:szCs w:val="28"/>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pPr>
              <w:widowControl/>
              <w:jc w:val="center"/>
              <w:rPr>
                <w:sz w:val="28"/>
                <w:szCs w:val="28"/>
              </w:rPr>
            </w:pPr>
            <w:r>
              <w:rPr>
                <w:rFonts w:ascii="宋体" w:hAnsi="宋体" w:cs="宋体"/>
                <w:kern w:val="0"/>
                <w:sz w:val="28"/>
                <w:szCs w:val="28"/>
              </w:rPr>
              <w:t>内容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pPr>
              <w:widowControl/>
              <w:jc w:val="center"/>
              <w:textAlignment w:val="top"/>
              <w:rPr>
                <w:szCs w:val="21"/>
              </w:rPr>
            </w:pPr>
            <w:r>
              <w:rPr>
                <w:rFonts w:ascii="宋体" w:hAnsi="宋体" w:cs="宋体"/>
                <w:kern w:val="0"/>
                <w:szCs w:val="21"/>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pPr>
              <w:widowControl/>
              <w:jc w:val="left"/>
              <w:textAlignment w:val="top"/>
              <w:rPr>
                <w:szCs w:val="21"/>
              </w:rPr>
            </w:pPr>
            <w:r>
              <w:rPr>
                <w:rFonts w:hint="eastAsia"/>
              </w:rPr>
              <w:t>不得将一个包内容拆开投标；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pPr>
              <w:widowControl/>
              <w:jc w:val="center"/>
              <w:textAlignment w:val="top"/>
              <w:rPr>
                <w:szCs w:val="21"/>
              </w:rPr>
            </w:pPr>
            <w:r>
              <w:rPr>
                <w:rFonts w:ascii="宋体" w:hAnsi="宋体" w:cs="宋体"/>
                <w:kern w:val="0"/>
                <w:szCs w:val="21"/>
              </w:rPr>
              <w:t>2</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pPr>
              <w:widowControl/>
              <w:jc w:val="left"/>
              <w:textAlignment w:val="top"/>
              <w:rPr>
                <w:szCs w:val="21"/>
              </w:rPr>
            </w:pPr>
            <w:r>
              <w:rPr>
                <w:rFonts w:hint="eastAsia"/>
              </w:rPr>
              <w:t>对同一项目投标时，不得提供两套以上的投标方案（招标文件另有规定的除外）；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pPr>
              <w:widowControl/>
              <w:jc w:val="center"/>
              <w:textAlignment w:val="top"/>
              <w:rPr>
                <w:szCs w:val="21"/>
              </w:rPr>
            </w:pPr>
            <w:r>
              <w:rPr>
                <w:rFonts w:ascii="宋体" w:hAnsi="宋体" w:cs="宋体"/>
                <w:kern w:val="0"/>
                <w:szCs w:val="21"/>
              </w:rPr>
              <w:t>3</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pPr>
              <w:widowControl/>
              <w:jc w:val="left"/>
              <w:textAlignment w:val="top"/>
              <w:rPr>
                <w:szCs w:val="21"/>
              </w:rPr>
            </w:pPr>
            <w:r>
              <w:rPr>
                <w:rFonts w:hint="eastAsia"/>
              </w:rPr>
              <w:t>分项报价或投标总价不得高于</w:t>
            </w:r>
            <w:bookmarkStart w:id="0" w:name="_Hlk71832186"/>
            <w:r>
              <w:rPr>
                <w:rFonts w:hint="eastAsia"/>
              </w:rPr>
              <w:t>相应预算金额（或设定的预算金额下的最高限价）</w:t>
            </w:r>
            <w:bookmarkEnd w:id="0"/>
            <w:r>
              <w:rPr>
                <w:rFonts w:hint="eastAsia"/>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pPr>
              <w:widowControl/>
              <w:jc w:val="center"/>
              <w:textAlignment w:val="top"/>
              <w:rPr>
                <w:szCs w:val="21"/>
              </w:rPr>
            </w:pPr>
            <w:r>
              <w:rPr>
                <w:rFonts w:ascii="宋体" w:hAnsi="宋体" w:cs="宋体"/>
                <w:kern w:val="0"/>
                <w:szCs w:val="21"/>
              </w:rPr>
              <w:t>4</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pPr>
              <w:widowControl/>
              <w:jc w:val="left"/>
              <w:textAlignment w:val="top"/>
              <w:rPr>
                <w:szCs w:val="21"/>
              </w:rPr>
            </w:pPr>
            <w:r>
              <w:rPr>
                <w:rFonts w:hint="eastAsia"/>
              </w:rPr>
              <w:t>评审委员会认为投标人的报价明显低于其他通过符合性审查投标人的报价，有可能影响产品质量或者不能诚信履约的，应当要求其在评审现场合理的时间内提供书面说明，必要时提交相关证明材料；在此情况下，投标人仍不能证明其报价合理性的（评审委员会成员对投标人提供的说明材料判断不一致的，按照“少数服从多数”的原则确定评审委员会的意见）；</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pPr>
              <w:widowControl/>
              <w:jc w:val="center"/>
              <w:textAlignment w:val="top"/>
              <w:rPr>
                <w:szCs w:val="21"/>
              </w:rPr>
            </w:pPr>
            <w:r>
              <w:rPr>
                <w:rFonts w:ascii="宋体" w:hAnsi="宋体" w:cs="宋体"/>
                <w:kern w:val="0"/>
                <w:szCs w:val="21"/>
              </w:rPr>
              <w:t>5</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pPr>
              <w:widowControl/>
              <w:jc w:val="left"/>
              <w:textAlignment w:val="top"/>
              <w:rPr>
                <w:szCs w:val="21"/>
              </w:rPr>
            </w:pPr>
            <w:r>
              <w:rPr>
                <w:rFonts w:hint="eastAsia"/>
              </w:rPr>
              <w:t>所投货物、服务在技术、商务等方面没有实质性满足招标文件要求的（是否实质性满足招标文件要求，由评审委员会根据实质性条款响应情况作出评判）；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pPr>
              <w:widowControl/>
              <w:jc w:val="center"/>
              <w:textAlignment w:val="top"/>
              <w:rPr>
                <w:szCs w:val="21"/>
              </w:rPr>
            </w:pPr>
            <w:r>
              <w:rPr>
                <w:rFonts w:ascii="宋体" w:hAnsi="宋体" w:cs="宋体"/>
                <w:kern w:val="0"/>
                <w:szCs w:val="21"/>
              </w:rPr>
              <w:t>6</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pPr>
              <w:widowControl/>
              <w:jc w:val="left"/>
              <w:textAlignment w:val="top"/>
              <w:rPr>
                <w:szCs w:val="21"/>
              </w:rPr>
            </w:pPr>
            <w:r>
              <w:rPr>
                <w:rFonts w:hint="eastAsia"/>
              </w:rPr>
              <w:t>未按招标文件所提供的样式填写《投标函》；未按招标文件所提供的《政府采购投标及履约承诺函》进行承诺或不符合承诺的；未按招标文件对投标文件组成的要求提供投标文件；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pPr>
              <w:widowControl/>
              <w:jc w:val="center"/>
              <w:textAlignment w:val="top"/>
              <w:rPr>
                <w:szCs w:val="21"/>
              </w:rPr>
            </w:pPr>
            <w:r>
              <w:rPr>
                <w:rFonts w:ascii="宋体" w:hAnsi="宋体" w:cs="宋体"/>
                <w:kern w:val="0"/>
                <w:szCs w:val="21"/>
              </w:rPr>
              <w:t>7</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pPr>
              <w:widowControl/>
              <w:jc w:val="left"/>
              <w:textAlignment w:val="top"/>
              <w:rPr>
                <w:szCs w:val="21"/>
              </w:rPr>
            </w:pPr>
            <w:r>
              <w:rPr>
                <w:rFonts w:hint="eastAsia"/>
              </w:rPr>
              <w:t>投标报价有缺漏项目，或者对招标文件规定的项目需求内容或者需求数量进行修改</w:t>
            </w:r>
            <w:r>
              <w:rPr>
                <w:rFonts w:hint="eastAsia"/>
                <w:szCs w:val="21"/>
              </w:rPr>
              <w:t>，评审委员会判定投标响应不满足采购需求</w:t>
            </w:r>
            <w:r>
              <w:rPr>
                <w:rFonts w:hint="eastAsia"/>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pPr>
              <w:widowControl/>
              <w:jc w:val="center"/>
              <w:textAlignment w:val="top"/>
              <w:rPr>
                <w:szCs w:val="21"/>
              </w:rPr>
            </w:pPr>
            <w:r>
              <w:rPr>
                <w:rFonts w:hint="eastAsia" w:ascii="宋体" w:hAnsi="宋体" w:cs="宋体"/>
                <w:kern w:val="0"/>
                <w:szCs w:val="21"/>
              </w:rPr>
              <w:t>8</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pPr>
              <w:widowControl/>
              <w:jc w:val="left"/>
              <w:textAlignment w:val="top"/>
              <w:rPr>
                <w:szCs w:val="21"/>
              </w:rPr>
            </w:pPr>
            <w:r>
              <w:rPr>
                <w:rFonts w:hint="eastAsia"/>
              </w:rPr>
              <w:t>法律、法规、规章、规范性文件规定的其他情形。</w:t>
            </w:r>
          </w:p>
        </w:tc>
      </w:tr>
    </w:tbl>
    <w:p>
      <w:pPr>
        <w:pStyle w:val="37"/>
        <w:jc w:val="center"/>
        <w:outlineLvl w:val="1"/>
        <w:rPr>
          <w:rFonts w:ascii="黑体" w:hAnsi="黑体" w:eastAsia="黑体"/>
          <w:sz w:val="40"/>
          <w:szCs w:val="40"/>
        </w:rPr>
      </w:pPr>
      <w:r>
        <w:rPr>
          <w:rFonts w:hint="eastAsia" w:ascii="黑体" w:hAnsi="黑体" w:eastAsia="黑体"/>
          <w:sz w:val="40"/>
          <w:szCs w:val="40"/>
        </w:rPr>
        <w:t>评标信息</w:t>
      </w:r>
    </w:p>
    <w:tbl>
      <w:tblPr>
        <w:tblStyle w:val="42"/>
        <w:tblW w:w="907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jc w:val="center"/>
        </w:trPr>
        <w:tc>
          <w:tcPr>
            <w:tcW w:w="9072" w:type="dxa"/>
            <w:vAlign w:val="center"/>
          </w:tcPr>
          <w:p>
            <w:pPr>
              <w:jc w:val="left"/>
              <w:rPr>
                <w:rFonts w:ascii="宋体" w:hAnsi="宋体" w:cs="宋体"/>
                <w:b/>
                <w:bCs/>
                <w:sz w:val="24"/>
              </w:rPr>
            </w:pPr>
            <w:r>
              <w:rPr>
                <w:b/>
                <w:bCs/>
              </w:rPr>
              <w:t>评标方法：综合评分法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jc w:val="center"/>
        </w:trPr>
        <w:tc>
          <w:tcPr>
            <w:tcW w:w="9072" w:type="dxa"/>
            <w:vAlign w:val="center"/>
          </w:tcPr>
          <w:p>
            <w:pPr>
              <w:pStyle w:val="37"/>
              <w:spacing w:line="324" w:lineRule="auto"/>
              <w:ind w:firstLine="420" w:firstLineChars="200"/>
              <w:rPr>
                <w:sz w:val="21"/>
                <w:szCs w:val="21"/>
              </w:rPr>
            </w:pPr>
            <w:r>
              <w:rPr>
                <w:sz w:val="21"/>
                <w:szCs w:val="21"/>
              </w:rPr>
              <w:t>综合评分法，是指投标文件满足招标文件全部实质性要求，且按照评审因素的量化指标评审得分最高的投标人为中标候选人的评标方法。</w:t>
            </w:r>
          </w:p>
          <w:p>
            <w:pPr>
              <w:pStyle w:val="37"/>
              <w:ind w:firstLine="420" w:firstLineChars="200"/>
              <w:rPr>
                <w:sz w:val="21"/>
                <w:szCs w:val="21"/>
              </w:rPr>
            </w:pPr>
            <w:r>
              <w:rPr>
                <w:sz w:val="21"/>
                <w:szCs w:val="21"/>
              </w:rPr>
              <w:t>价格分计算方法：</w:t>
            </w:r>
          </w:p>
          <w:p>
            <w:pPr>
              <w:pStyle w:val="37"/>
              <w:spacing w:line="324" w:lineRule="auto"/>
              <w:ind w:left="420"/>
              <w:rPr>
                <w:sz w:val="21"/>
                <w:szCs w:val="21"/>
              </w:rPr>
            </w:pPr>
            <w:r>
              <w:rPr>
                <w:sz w:val="21"/>
                <w:szCs w:val="21"/>
              </w:rPr>
              <w:t>采用低价优先法计算，即满足招标文件要求且投标价格最低的投标报价为评标基准价，其价格分为满分。其他投标人的价格分统一按照下列公式计算：</w:t>
            </w:r>
          </w:p>
          <w:p>
            <w:pPr>
              <w:pStyle w:val="37"/>
              <w:spacing w:line="324" w:lineRule="auto"/>
              <w:ind w:left="420"/>
              <w:rPr>
                <w:sz w:val="21"/>
                <w:szCs w:val="21"/>
              </w:rPr>
            </w:pPr>
            <w:r>
              <w:rPr>
                <w:sz w:val="21"/>
                <w:szCs w:val="21"/>
              </w:rPr>
              <w:t>投标报价得分=(评标基准价／投标报价)×100</w:t>
            </w:r>
          </w:p>
          <w:p>
            <w:pPr>
              <w:pStyle w:val="37"/>
              <w:spacing w:line="324" w:lineRule="auto"/>
              <w:ind w:left="420"/>
              <w:rPr>
                <w:sz w:val="21"/>
                <w:szCs w:val="21"/>
              </w:rPr>
            </w:pPr>
            <w:r>
              <w:rPr>
                <w:sz w:val="21"/>
                <w:szCs w:val="21"/>
              </w:rPr>
              <w:t>评标总得分＝F1×A1＋F2×A2＋……＋Fn×An</w:t>
            </w:r>
          </w:p>
          <w:p>
            <w:pPr>
              <w:pStyle w:val="37"/>
              <w:spacing w:line="324" w:lineRule="auto"/>
              <w:ind w:left="420"/>
              <w:rPr>
                <w:sz w:val="21"/>
                <w:szCs w:val="21"/>
              </w:rPr>
            </w:pPr>
            <w:r>
              <w:rPr>
                <w:sz w:val="21"/>
                <w:szCs w:val="21"/>
              </w:rPr>
              <w:t>F1、F2……Fn分别为各项评审因素的得分；</w:t>
            </w:r>
          </w:p>
          <w:p>
            <w:pPr>
              <w:pStyle w:val="37"/>
              <w:spacing w:line="324" w:lineRule="auto"/>
              <w:ind w:left="420"/>
              <w:rPr>
                <w:sz w:val="21"/>
                <w:szCs w:val="21"/>
              </w:rPr>
            </w:pPr>
            <w:r>
              <w:rPr>
                <w:sz w:val="21"/>
                <w:szCs w:val="21"/>
              </w:rPr>
              <w:t>A1、A2、……An 分别为各项评审因素所占的权重(A1＋A2＋……＋An＝1)。</w:t>
            </w:r>
          </w:p>
          <w:p>
            <w:pPr>
              <w:pStyle w:val="37"/>
              <w:spacing w:line="324" w:lineRule="auto"/>
              <w:ind w:left="420"/>
              <w:rPr>
                <w:sz w:val="21"/>
                <w:szCs w:val="21"/>
              </w:rPr>
            </w:pPr>
            <w:r>
              <w:rPr>
                <w:sz w:val="21"/>
                <w:szCs w:val="21"/>
              </w:rPr>
              <w:t>评标过程中，不得去掉报价中的最高报价和最低报价。</w:t>
            </w:r>
          </w:p>
          <w:p>
            <w:pPr>
              <w:pStyle w:val="37"/>
              <w:spacing w:line="324" w:lineRule="auto"/>
              <w:ind w:left="420"/>
              <w:rPr>
                <w:sz w:val="21"/>
                <w:szCs w:val="21"/>
              </w:rPr>
            </w:pPr>
            <w:r>
              <w:rPr>
                <w:sz w:val="21"/>
                <w:szCs w:val="21"/>
              </w:rPr>
              <w:t>此方法适用于货物类、服务类、工程类项目</w:t>
            </w:r>
          </w:p>
        </w:tc>
      </w:tr>
    </w:tbl>
    <w:tbl>
      <w:tblPr>
        <w:tblStyle w:val="42"/>
        <w:tblpPr w:leftFromText="180" w:rightFromText="180" w:vertAnchor="text" w:horzAnchor="margin" w:tblpX="-777" w:tblpY="1096"/>
        <w:tblOverlap w:val="never"/>
        <w:tblW w:w="9144"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75"/>
        <w:gridCol w:w="709"/>
        <w:gridCol w:w="1134"/>
        <w:gridCol w:w="1276"/>
        <w:gridCol w:w="535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c>
          <w:tcPr>
            <w:tcW w:w="675" w:type="dxa"/>
            <w:tcBorders>
              <w:top w:val="single" w:color="000000" w:sz="8" w:space="0"/>
              <w:left w:val="single" w:color="000000" w:sz="8" w:space="0"/>
              <w:bottom w:val="single" w:color="000000" w:sz="8" w:space="0"/>
              <w:right w:val="single" w:color="000000" w:sz="8" w:space="0"/>
            </w:tcBorders>
            <w:shd w:val="clear" w:color="auto" w:fill="E6EFFA"/>
            <w:vAlign w:val="center"/>
          </w:tcPr>
          <w:p>
            <w:pPr>
              <w:wordWrap w:val="0"/>
              <w:jc w:val="center"/>
              <w:rPr>
                <w:rFonts w:ascii="宋体" w:hAnsi="宋体" w:cs="宋体"/>
                <w:b/>
                <w:bCs/>
                <w:szCs w:val="21"/>
              </w:rPr>
            </w:pPr>
            <w:r>
              <w:rPr>
                <w:rFonts w:hint="eastAsia" w:ascii="宋体" w:hAnsi="宋体" w:cs="宋体"/>
                <w:b/>
                <w:bCs/>
                <w:szCs w:val="21"/>
              </w:rPr>
              <w:t>序号</w:t>
            </w:r>
          </w:p>
        </w:tc>
        <w:tc>
          <w:tcPr>
            <w:tcW w:w="3119" w:type="dxa"/>
            <w:gridSpan w:val="3"/>
            <w:tcBorders>
              <w:top w:val="single" w:color="000000" w:sz="8" w:space="0"/>
              <w:left w:val="single" w:color="000000" w:sz="8" w:space="0"/>
              <w:bottom w:val="single" w:color="000000" w:sz="8" w:space="0"/>
              <w:right w:val="single" w:color="000000" w:sz="8" w:space="0"/>
            </w:tcBorders>
            <w:shd w:val="clear" w:color="auto" w:fill="E6EFFA"/>
            <w:vAlign w:val="center"/>
          </w:tcPr>
          <w:p>
            <w:pPr>
              <w:wordWrap w:val="0"/>
              <w:jc w:val="center"/>
              <w:rPr>
                <w:rFonts w:ascii="宋体" w:hAnsi="宋体" w:cs="宋体"/>
                <w:b/>
                <w:bCs/>
                <w:szCs w:val="21"/>
              </w:rPr>
            </w:pPr>
            <w:r>
              <w:rPr>
                <w:rFonts w:hint="eastAsia" w:ascii="宋体" w:hAnsi="宋体" w:cs="宋体"/>
                <w:b/>
                <w:bCs/>
                <w:szCs w:val="21"/>
              </w:rPr>
              <w:t>评分项</w:t>
            </w:r>
          </w:p>
        </w:tc>
        <w:tc>
          <w:tcPr>
            <w:tcW w:w="5350" w:type="dxa"/>
            <w:tcBorders>
              <w:top w:val="single" w:color="000000" w:sz="8" w:space="0"/>
              <w:left w:val="single" w:color="000000" w:sz="8" w:space="0"/>
              <w:bottom w:val="single" w:color="000000" w:sz="8" w:space="0"/>
              <w:right w:val="single" w:color="000000" w:sz="8" w:space="0"/>
            </w:tcBorders>
            <w:shd w:val="clear" w:color="auto" w:fill="E6EFFA"/>
            <w:vAlign w:val="center"/>
          </w:tcPr>
          <w:p>
            <w:pPr>
              <w:wordWrap w:val="0"/>
              <w:jc w:val="center"/>
              <w:rPr>
                <w:rFonts w:ascii="宋体" w:hAnsi="宋体" w:cs="宋体"/>
                <w:b/>
                <w:bCs/>
                <w:szCs w:val="21"/>
              </w:rPr>
            </w:pPr>
            <w:r>
              <w:rPr>
                <w:rFonts w:hint="eastAsia" w:ascii="宋体" w:hAnsi="宋体" w:cs="宋体"/>
                <w:b/>
                <w:bCs/>
                <w:szCs w:val="21"/>
              </w:rPr>
              <w:t>权重(%)</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279" w:hRule="atLeast"/>
        </w:trPr>
        <w:tc>
          <w:tcPr>
            <w:tcW w:w="675" w:type="dxa"/>
            <w:tcBorders>
              <w:top w:val="single" w:color="000000" w:sz="8" w:space="0"/>
              <w:left w:val="single" w:color="000000" w:sz="8" w:space="0"/>
              <w:bottom w:val="single" w:color="000000" w:sz="8" w:space="0"/>
              <w:right w:val="single" w:color="000000" w:sz="8" w:space="0"/>
            </w:tcBorders>
          </w:tcPr>
          <w:p>
            <w:pPr>
              <w:wordWrap w:val="0"/>
              <w:jc w:val="center"/>
              <w:rPr>
                <w:rFonts w:ascii="宋体" w:hAnsi="宋体" w:cs="宋体"/>
                <w:b/>
                <w:bCs/>
                <w:color w:val="0000FF"/>
                <w:szCs w:val="21"/>
              </w:rPr>
            </w:pPr>
            <w:r>
              <w:rPr>
                <w:rFonts w:hint="eastAsia" w:ascii="宋体" w:hAnsi="宋体" w:cs="宋体"/>
                <w:b/>
                <w:bCs/>
                <w:color w:val="0000FF"/>
                <w:szCs w:val="21"/>
              </w:rPr>
              <w:t>1</w:t>
            </w:r>
          </w:p>
        </w:tc>
        <w:tc>
          <w:tcPr>
            <w:tcW w:w="3119" w:type="dxa"/>
            <w:gridSpan w:val="3"/>
            <w:tcBorders>
              <w:top w:val="single" w:color="000000" w:sz="8" w:space="0"/>
              <w:left w:val="single" w:color="000000" w:sz="8" w:space="0"/>
              <w:bottom w:val="single" w:color="000000" w:sz="8" w:space="0"/>
              <w:right w:val="single" w:color="000000" w:sz="8" w:space="0"/>
            </w:tcBorders>
          </w:tcPr>
          <w:p>
            <w:pPr>
              <w:wordWrap w:val="0"/>
              <w:jc w:val="center"/>
              <w:rPr>
                <w:rFonts w:ascii="宋体" w:hAnsi="宋体" w:cs="宋体"/>
                <w:b/>
                <w:bCs/>
                <w:color w:val="0000FF"/>
                <w:szCs w:val="21"/>
              </w:rPr>
            </w:pPr>
            <w:r>
              <w:rPr>
                <w:rFonts w:hint="eastAsia" w:ascii="宋体" w:hAnsi="宋体" w:cs="宋体"/>
                <w:b/>
                <w:bCs/>
                <w:color w:val="0000FF"/>
                <w:szCs w:val="21"/>
              </w:rPr>
              <w:t>价格</w:t>
            </w:r>
          </w:p>
        </w:tc>
        <w:tc>
          <w:tcPr>
            <w:tcW w:w="5350" w:type="dxa"/>
            <w:tcBorders>
              <w:top w:val="single" w:color="000000" w:sz="8" w:space="0"/>
              <w:left w:val="single" w:color="000000" w:sz="8" w:space="0"/>
              <w:bottom w:val="single" w:color="000000" w:sz="8" w:space="0"/>
              <w:right w:val="single" w:color="000000" w:sz="8" w:space="0"/>
            </w:tcBorders>
          </w:tcPr>
          <w:p>
            <w:pPr>
              <w:wordWrap w:val="0"/>
              <w:jc w:val="center"/>
              <w:rPr>
                <w:rFonts w:ascii="宋体" w:hAnsi="宋体" w:cs="宋体"/>
                <w:b/>
                <w:bCs/>
                <w:color w:val="0000FF"/>
                <w:szCs w:val="21"/>
              </w:rPr>
            </w:pPr>
            <w:r>
              <w:rPr>
                <w:rFonts w:hint="eastAsia" w:ascii="宋体" w:hAnsi="宋体" w:cs="宋体"/>
                <w:b/>
                <w:bCs/>
                <w:color w:val="0000FF"/>
                <w:szCs w:val="21"/>
              </w:rPr>
              <w:t>10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c>
          <w:tcPr>
            <w:tcW w:w="675" w:type="dxa"/>
            <w:vMerge w:val="restart"/>
            <w:tcBorders>
              <w:top w:val="single" w:color="000000" w:sz="8" w:space="0"/>
              <w:left w:val="single" w:color="000000" w:sz="8" w:space="0"/>
              <w:right w:val="single" w:color="000000" w:sz="8" w:space="0"/>
            </w:tcBorders>
          </w:tcPr>
          <w:p>
            <w:pPr>
              <w:wordWrap w:val="0"/>
              <w:jc w:val="center"/>
              <w:rPr>
                <w:rFonts w:ascii="宋体" w:hAnsi="宋体" w:cs="宋体"/>
                <w:b/>
                <w:bCs/>
                <w:color w:val="0000FF"/>
                <w:szCs w:val="21"/>
              </w:rPr>
            </w:pPr>
            <w:r>
              <w:rPr>
                <w:rFonts w:hint="eastAsia" w:ascii="宋体" w:hAnsi="宋体" w:cs="宋体"/>
                <w:b/>
                <w:bCs/>
                <w:color w:val="0000FF"/>
                <w:szCs w:val="21"/>
              </w:rPr>
              <w:t>2</w:t>
            </w:r>
          </w:p>
        </w:tc>
        <w:tc>
          <w:tcPr>
            <w:tcW w:w="3119" w:type="dxa"/>
            <w:gridSpan w:val="3"/>
            <w:tcBorders>
              <w:top w:val="single" w:color="000000" w:sz="8" w:space="0"/>
              <w:left w:val="single" w:color="000000" w:sz="8" w:space="0"/>
              <w:bottom w:val="single" w:color="000000" w:sz="8" w:space="0"/>
              <w:right w:val="single" w:color="000000" w:sz="8" w:space="0"/>
            </w:tcBorders>
          </w:tcPr>
          <w:p>
            <w:pPr>
              <w:wordWrap w:val="0"/>
              <w:jc w:val="center"/>
              <w:rPr>
                <w:rFonts w:ascii="宋体" w:hAnsi="宋体" w:cs="宋体"/>
                <w:b/>
                <w:bCs/>
                <w:color w:val="0000FF"/>
                <w:szCs w:val="21"/>
              </w:rPr>
            </w:pPr>
            <w:r>
              <w:rPr>
                <w:rFonts w:hint="eastAsia" w:ascii="宋体" w:hAnsi="宋体" w:cs="宋体"/>
                <w:b/>
                <w:bCs/>
                <w:color w:val="0000FF"/>
                <w:szCs w:val="21"/>
              </w:rPr>
              <w:t>技术部分</w:t>
            </w:r>
          </w:p>
        </w:tc>
        <w:tc>
          <w:tcPr>
            <w:tcW w:w="5350" w:type="dxa"/>
            <w:tcBorders>
              <w:top w:val="single" w:color="000000" w:sz="8" w:space="0"/>
              <w:left w:val="single" w:color="000000" w:sz="8" w:space="0"/>
              <w:bottom w:val="single" w:color="000000" w:sz="8" w:space="0"/>
              <w:right w:val="single" w:color="000000" w:sz="8" w:space="0"/>
            </w:tcBorders>
          </w:tcPr>
          <w:p>
            <w:pPr>
              <w:wordWrap w:val="0"/>
              <w:jc w:val="center"/>
              <w:rPr>
                <w:rFonts w:ascii="宋体" w:hAnsi="宋体" w:cs="宋体"/>
                <w:b/>
                <w:bCs/>
                <w:color w:val="0000FF"/>
                <w:szCs w:val="21"/>
              </w:rPr>
            </w:pPr>
            <w:r>
              <w:rPr>
                <w:rFonts w:ascii="宋体" w:hAnsi="宋体" w:cs="宋体"/>
                <w:b/>
                <w:bCs/>
                <w:color w:val="0000FF"/>
                <w:szCs w:val="21"/>
              </w:rPr>
              <w:t>60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c>
          <w:tcPr>
            <w:tcW w:w="675" w:type="dxa"/>
            <w:vMerge w:val="continue"/>
            <w:tcBorders>
              <w:left w:val="single" w:color="000000" w:sz="8" w:space="0"/>
              <w:right w:val="single" w:color="000000" w:sz="8" w:space="0"/>
            </w:tcBorders>
            <w:shd w:val="clear" w:color="auto" w:fill="E6EFFA"/>
            <w:vAlign w:val="center"/>
          </w:tcPr>
          <w:p>
            <w:pPr>
              <w:rPr>
                <w:rFonts w:ascii="宋体" w:hAnsi="宋体" w:cs="宋体"/>
                <w:b/>
                <w:bCs/>
                <w:color w:val="0000FF"/>
                <w:szCs w:val="21"/>
              </w:rPr>
            </w:pPr>
          </w:p>
        </w:tc>
        <w:tc>
          <w:tcPr>
            <w:tcW w:w="709" w:type="dxa"/>
            <w:tcBorders>
              <w:top w:val="outset" w:color="000000" w:sz="6" w:space="0"/>
              <w:left w:val="outset" w:color="000000" w:sz="6" w:space="0"/>
              <w:bottom w:val="outset" w:color="000000" w:sz="6" w:space="0"/>
              <w:right w:val="outset" w:color="000000" w:sz="6" w:space="0"/>
            </w:tcBorders>
            <w:shd w:val="clear" w:color="auto" w:fill="E6EFFA"/>
            <w:vAlign w:val="center"/>
          </w:tcPr>
          <w:p>
            <w:pPr>
              <w:wordWrap w:val="0"/>
              <w:jc w:val="center"/>
              <w:rPr>
                <w:rFonts w:ascii="宋体" w:hAnsi="宋体" w:cs="宋体"/>
                <w:szCs w:val="21"/>
              </w:rPr>
            </w:pPr>
            <w:r>
              <w:rPr>
                <w:rFonts w:hint="eastAsia" w:ascii="宋体" w:hAnsi="宋体" w:cs="宋体"/>
                <w:szCs w:val="21"/>
              </w:rPr>
              <w:t>序号</w:t>
            </w:r>
          </w:p>
        </w:tc>
        <w:tc>
          <w:tcPr>
            <w:tcW w:w="1134" w:type="dxa"/>
            <w:tcBorders>
              <w:top w:val="outset" w:color="000000" w:sz="6" w:space="0"/>
              <w:left w:val="outset" w:color="000000" w:sz="6" w:space="0"/>
              <w:bottom w:val="outset" w:color="000000" w:sz="6" w:space="0"/>
              <w:right w:val="outset" w:color="000000" w:sz="6" w:space="0"/>
            </w:tcBorders>
            <w:shd w:val="clear" w:color="auto" w:fill="E6EFFA"/>
            <w:vAlign w:val="center"/>
          </w:tcPr>
          <w:p>
            <w:pPr>
              <w:wordWrap w:val="0"/>
              <w:jc w:val="center"/>
              <w:rPr>
                <w:rFonts w:ascii="宋体" w:hAnsi="宋体" w:cs="宋体"/>
                <w:szCs w:val="21"/>
              </w:rPr>
            </w:pPr>
            <w:r>
              <w:rPr>
                <w:rFonts w:hint="eastAsia" w:ascii="宋体" w:hAnsi="宋体" w:cs="宋体"/>
                <w:szCs w:val="21"/>
              </w:rPr>
              <w:t>评分因素</w:t>
            </w:r>
          </w:p>
        </w:tc>
        <w:tc>
          <w:tcPr>
            <w:tcW w:w="1276" w:type="dxa"/>
            <w:tcBorders>
              <w:top w:val="outset" w:color="000000" w:sz="6" w:space="0"/>
              <w:left w:val="outset" w:color="000000" w:sz="6" w:space="0"/>
              <w:bottom w:val="outset" w:color="000000" w:sz="6" w:space="0"/>
              <w:right w:val="outset" w:color="000000" w:sz="6" w:space="0"/>
            </w:tcBorders>
            <w:shd w:val="clear" w:color="auto" w:fill="E6EFFA"/>
            <w:vAlign w:val="center"/>
          </w:tcPr>
          <w:p>
            <w:pPr>
              <w:wordWrap w:val="0"/>
              <w:jc w:val="center"/>
              <w:rPr>
                <w:rFonts w:ascii="宋体" w:hAnsi="宋体" w:cs="宋体"/>
                <w:szCs w:val="21"/>
              </w:rPr>
            </w:pPr>
            <w:r>
              <w:rPr>
                <w:rFonts w:hint="eastAsia" w:ascii="宋体" w:hAnsi="宋体" w:cs="宋体"/>
                <w:szCs w:val="21"/>
              </w:rPr>
              <w:t>权重(%)</w:t>
            </w:r>
          </w:p>
        </w:tc>
        <w:tc>
          <w:tcPr>
            <w:tcW w:w="5350" w:type="dxa"/>
            <w:tcBorders>
              <w:top w:val="outset" w:color="000000" w:sz="6" w:space="0"/>
              <w:left w:val="outset" w:color="000000" w:sz="6" w:space="0"/>
              <w:bottom w:val="outset" w:color="000000" w:sz="6" w:space="0"/>
              <w:right w:val="outset" w:color="000000" w:sz="6" w:space="0"/>
            </w:tcBorders>
            <w:shd w:val="clear" w:color="auto" w:fill="E6EFFA"/>
            <w:vAlign w:val="center"/>
          </w:tcPr>
          <w:p>
            <w:pPr>
              <w:wordWrap w:val="0"/>
              <w:jc w:val="center"/>
              <w:rPr>
                <w:rFonts w:ascii="宋体" w:hAnsi="宋体" w:cs="宋体"/>
                <w:szCs w:val="21"/>
              </w:rPr>
            </w:pPr>
            <w:r>
              <w:rPr>
                <w:rFonts w:hint="eastAsia" w:ascii="宋体" w:hAnsi="宋体" w:cs="宋体"/>
                <w:szCs w:val="21"/>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c>
          <w:tcPr>
            <w:tcW w:w="675" w:type="dxa"/>
            <w:vMerge w:val="continue"/>
            <w:tcBorders>
              <w:left w:val="single" w:color="000000" w:sz="8" w:space="0"/>
              <w:right w:val="single" w:color="000000" w:sz="8" w:space="0"/>
            </w:tcBorders>
            <w:vAlign w:val="center"/>
          </w:tcPr>
          <w:p>
            <w:pPr>
              <w:rPr>
                <w:rFonts w:ascii="宋体" w:hAnsi="宋体" w:cs="宋体"/>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pPr>
              <w:wordWrap w:val="0"/>
              <w:jc w:val="center"/>
              <w:rPr>
                <w:rFonts w:ascii="宋体" w:hAnsi="宋体" w:cs="宋体"/>
                <w:szCs w:val="21"/>
              </w:rPr>
            </w:pPr>
            <w:r>
              <w:rPr>
                <w:rFonts w:hint="eastAsia" w:ascii="宋体" w:hAnsi="宋体" w:cs="宋体"/>
                <w:szCs w:val="21"/>
              </w:rPr>
              <w:t>1</w:t>
            </w:r>
          </w:p>
        </w:tc>
        <w:tc>
          <w:tcPr>
            <w:tcW w:w="1134" w:type="dxa"/>
            <w:tcBorders>
              <w:top w:val="single" w:color="000000" w:sz="8" w:space="0"/>
              <w:left w:val="single" w:color="000000" w:sz="8" w:space="0"/>
              <w:bottom w:val="single" w:color="000000" w:sz="8" w:space="0"/>
              <w:right w:val="single" w:color="000000" w:sz="8" w:space="0"/>
            </w:tcBorders>
            <w:vAlign w:val="center"/>
          </w:tcPr>
          <w:p>
            <w:pPr>
              <w:wordWrap w:val="0"/>
              <w:jc w:val="center"/>
              <w:rPr>
                <w:rFonts w:ascii="宋体" w:hAnsi="宋体" w:cs="宋体"/>
                <w:szCs w:val="21"/>
              </w:rPr>
            </w:pPr>
            <w:r>
              <w:rPr>
                <w:rFonts w:hint="eastAsia" w:ascii="宋体" w:hAnsi="宋体"/>
                <w:szCs w:val="21"/>
              </w:rPr>
              <w:t>整体服务方案</w:t>
            </w:r>
          </w:p>
        </w:tc>
        <w:tc>
          <w:tcPr>
            <w:tcW w:w="1276" w:type="dxa"/>
            <w:tcBorders>
              <w:top w:val="single" w:color="000000" w:sz="8" w:space="0"/>
              <w:left w:val="single" w:color="000000" w:sz="8" w:space="0"/>
              <w:bottom w:val="single" w:color="000000" w:sz="8" w:space="0"/>
              <w:right w:val="single" w:color="000000" w:sz="8" w:space="0"/>
            </w:tcBorders>
            <w:vAlign w:val="center"/>
          </w:tcPr>
          <w:p>
            <w:pPr>
              <w:spacing w:line="440" w:lineRule="exact"/>
              <w:jc w:val="center"/>
              <w:rPr>
                <w:rFonts w:ascii="宋体" w:hAnsi="宋体" w:cs="宋体"/>
                <w:szCs w:val="21"/>
              </w:rPr>
            </w:pPr>
            <w:r>
              <w:rPr>
                <w:rFonts w:ascii="宋体" w:hAnsi="宋体" w:cs="宋体"/>
                <w:b/>
                <w:bCs/>
                <w:color w:val="000000"/>
                <w:szCs w:val="21"/>
              </w:rPr>
              <w:t>14</w:t>
            </w:r>
          </w:p>
        </w:tc>
        <w:tc>
          <w:tcPr>
            <w:tcW w:w="5350" w:type="dxa"/>
            <w:tcBorders>
              <w:top w:val="single" w:color="000000" w:sz="8" w:space="0"/>
              <w:left w:val="single" w:color="000000" w:sz="8" w:space="0"/>
              <w:bottom w:val="single" w:color="000000" w:sz="8" w:space="0"/>
              <w:right w:val="single" w:color="000000" w:sz="8" w:space="0"/>
            </w:tcBorders>
          </w:tcPr>
          <w:p>
            <w:pPr>
              <w:wordWrap w:val="0"/>
              <w:spacing w:line="276" w:lineRule="auto"/>
              <w:rPr>
                <w:rFonts w:ascii="宋体" w:hAnsi="宋体"/>
                <w:szCs w:val="21"/>
              </w:rPr>
            </w:pPr>
            <w:r>
              <w:rPr>
                <w:rFonts w:hint="eastAsia" w:ascii="宋体" w:hAnsi="宋体"/>
                <w:szCs w:val="21"/>
              </w:rPr>
              <w:t>（一）评分内容：</w:t>
            </w:r>
          </w:p>
          <w:p>
            <w:pPr>
              <w:wordWrap w:val="0"/>
              <w:spacing w:line="276" w:lineRule="auto"/>
              <w:rPr>
                <w:rFonts w:ascii="宋体" w:hAnsi="宋体"/>
                <w:szCs w:val="21"/>
              </w:rPr>
            </w:pPr>
            <w:r>
              <w:rPr>
                <w:rFonts w:hint="eastAsia" w:ascii="宋体" w:hAnsi="宋体"/>
                <w:szCs w:val="21"/>
              </w:rPr>
              <w:t>投标人提供针对本项目的整体服务方案，具有成熟的物业管理模式包括：</w:t>
            </w:r>
          </w:p>
          <w:p>
            <w:pPr>
              <w:wordWrap w:val="0"/>
              <w:spacing w:line="276" w:lineRule="auto"/>
              <w:rPr>
                <w:rFonts w:ascii="宋体" w:hAnsi="宋体"/>
                <w:szCs w:val="21"/>
              </w:rPr>
            </w:pPr>
            <w:r>
              <w:rPr>
                <w:rFonts w:hint="eastAsia" w:ascii="宋体" w:hAnsi="宋体"/>
                <w:szCs w:val="21"/>
              </w:rPr>
              <w:t>1、整体管理设想；</w:t>
            </w:r>
          </w:p>
          <w:p>
            <w:pPr>
              <w:wordWrap w:val="0"/>
              <w:spacing w:line="276" w:lineRule="auto"/>
              <w:rPr>
                <w:rFonts w:ascii="宋体" w:hAnsi="宋体"/>
                <w:szCs w:val="21"/>
              </w:rPr>
            </w:pPr>
            <w:r>
              <w:rPr>
                <w:rFonts w:ascii="宋体" w:hAnsi="宋体"/>
                <w:szCs w:val="21"/>
              </w:rPr>
              <w:t>2</w:t>
            </w:r>
            <w:r>
              <w:rPr>
                <w:rFonts w:hint="eastAsia" w:ascii="宋体" w:hAnsi="宋体"/>
                <w:szCs w:val="21"/>
              </w:rPr>
              <w:t>、人员配置、培训及管理措施；</w:t>
            </w:r>
          </w:p>
          <w:p>
            <w:pPr>
              <w:wordWrap w:val="0"/>
              <w:spacing w:line="276" w:lineRule="auto"/>
              <w:rPr>
                <w:rFonts w:ascii="宋体" w:hAnsi="宋体"/>
                <w:szCs w:val="21"/>
              </w:rPr>
            </w:pPr>
            <w:r>
              <w:rPr>
                <w:rFonts w:ascii="宋体" w:hAnsi="宋体"/>
                <w:szCs w:val="21"/>
              </w:rPr>
              <w:t>3</w:t>
            </w:r>
            <w:r>
              <w:rPr>
                <w:rFonts w:hint="eastAsia" w:ascii="宋体" w:hAnsi="宋体"/>
                <w:szCs w:val="21"/>
              </w:rPr>
              <w:t>、规章制度及档案管理；</w:t>
            </w:r>
          </w:p>
          <w:p>
            <w:pPr>
              <w:wordWrap w:val="0"/>
              <w:spacing w:line="276" w:lineRule="auto"/>
              <w:rPr>
                <w:rFonts w:ascii="宋体" w:hAnsi="宋体"/>
                <w:szCs w:val="21"/>
              </w:rPr>
            </w:pPr>
            <w:r>
              <w:rPr>
                <w:rFonts w:ascii="宋体" w:hAnsi="宋体"/>
                <w:szCs w:val="21"/>
              </w:rPr>
              <w:t>4</w:t>
            </w:r>
            <w:r>
              <w:rPr>
                <w:rFonts w:hint="eastAsia" w:ascii="宋体" w:hAnsi="宋体"/>
                <w:szCs w:val="21"/>
              </w:rPr>
              <w:t>、应急预案。</w:t>
            </w:r>
          </w:p>
          <w:p>
            <w:pPr>
              <w:wordWrap w:val="0"/>
              <w:spacing w:line="276" w:lineRule="auto"/>
              <w:rPr>
                <w:rFonts w:ascii="宋体" w:hAnsi="宋体"/>
                <w:szCs w:val="21"/>
              </w:rPr>
            </w:pPr>
            <w:r>
              <w:rPr>
                <w:rFonts w:ascii="宋体" w:hAnsi="宋体"/>
                <w:szCs w:val="21"/>
              </w:rPr>
              <w:t>（二）</w:t>
            </w:r>
            <w:r>
              <w:rPr>
                <w:rFonts w:hint="eastAsia" w:ascii="宋体" w:hAnsi="宋体"/>
                <w:szCs w:val="21"/>
              </w:rPr>
              <w:t>评分依据：</w:t>
            </w:r>
          </w:p>
          <w:p>
            <w:pPr>
              <w:snapToGrid w:val="0"/>
              <w:rPr>
                <w:rFonts w:ascii="等线" w:hAnsi="等线"/>
                <w:szCs w:val="21"/>
              </w:rPr>
            </w:pPr>
            <w:r>
              <w:rPr>
                <w:rFonts w:ascii="等线" w:hAnsi="等线"/>
                <w:szCs w:val="21"/>
              </w:rPr>
              <w:t>1、每提供以上一项得20</w:t>
            </w:r>
            <w:r>
              <w:rPr>
                <w:rFonts w:hint="eastAsia" w:ascii="等线" w:hAnsi="等线"/>
                <w:szCs w:val="21"/>
              </w:rPr>
              <w:t>分</w:t>
            </w:r>
            <w:r>
              <w:rPr>
                <w:rFonts w:ascii="等线" w:hAnsi="等线"/>
                <w:szCs w:val="21"/>
              </w:rPr>
              <w:t>，全部提供得</w:t>
            </w:r>
            <w:r>
              <w:rPr>
                <w:rFonts w:hint="eastAsia" w:ascii="等线" w:hAnsi="等线"/>
                <w:szCs w:val="21"/>
              </w:rPr>
              <w:t>80分</w:t>
            </w:r>
            <w:r>
              <w:rPr>
                <w:rFonts w:ascii="等线" w:hAnsi="等线"/>
                <w:szCs w:val="21"/>
              </w:rPr>
              <w:t>。</w:t>
            </w:r>
          </w:p>
          <w:p>
            <w:pPr>
              <w:snapToGrid w:val="0"/>
              <w:rPr>
                <w:rFonts w:ascii="等线" w:hAnsi="等线"/>
                <w:szCs w:val="21"/>
              </w:rPr>
            </w:pPr>
            <w:r>
              <w:rPr>
                <w:rFonts w:ascii="等线" w:hAnsi="等线"/>
                <w:szCs w:val="21"/>
              </w:rPr>
              <w:t>2、在此基础上，专家根据各供应商的具体响应内容进一步评审：</w:t>
            </w:r>
          </w:p>
          <w:p>
            <w:pPr>
              <w:snapToGrid w:val="0"/>
              <w:rPr>
                <w:rFonts w:ascii="等线" w:hAnsi="等线"/>
                <w:szCs w:val="21"/>
              </w:rPr>
            </w:pPr>
            <w:r>
              <w:rPr>
                <w:rFonts w:ascii="等线" w:hAnsi="等线"/>
                <w:szCs w:val="21"/>
              </w:rPr>
              <w:t>（1）方案整体科学合理、针对性强、可操作性强，评审为优加</w:t>
            </w:r>
            <w:r>
              <w:rPr>
                <w:rFonts w:hint="eastAsia" w:ascii="等线" w:hAnsi="等线"/>
                <w:szCs w:val="21"/>
              </w:rPr>
              <w:t>20分</w:t>
            </w:r>
            <w:r>
              <w:rPr>
                <w:rFonts w:ascii="等线" w:hAnsi="等线"/>
                <w:szCs w:val="21"/>
              </w:rPr>
              <w:t>；</w:t>
            </w:r>
          </w:p>
          <w:p>
            <w:pPr>
              <w:snapToGrid w:val="0"/>
              <w:rPr>
                <w:rFonts w:ascii="等线" w:hAnsi="等线"/>
                <w:szCs w:val="21"/>
              </w:rPr>
            </w:pPr>
            <w:r>
              <w:rPr>
                <w:rFonts w:ascii="等线" w:hAnsi="等线"/>
                <w:szCs w:val="21"/>
              </w:rPr>
              <w:t>（2）方案较合理、有一定针对性、一定可操作性，评审为良加</w:t>
            </w:r>
            <w:r>
              <w:rPr>
                <w:rFonts w:hint="eastAsia" w:ascii="等线" w:hAnsi="等线"/>
                <w:szCs w:val="21"/>
              </w:rPr>
              <w:t>15分</w:t>
            </w:r>
            <w:r>
              <w:rPr>
                <w:rFonts w:ascii="等线" w:hAnsi="等线"/>
                <w:szCs w:val="21"/>
              </w:rPr>
              <w:t>；</w:t>
            </w:r>
          </w:p>
          <w:p>
            <w:pPr>
              <w:snapToGrid w:val="0"/>
              <w:rPr>
                <w:rFonts w:ascii="等线" w:hAnsi="等线"/>
                <w:szCs w:val="21"/>
              </w:rPr>
            </w:pPr>
            <w:r>
              <w:rPr>
                <w:rFonts w:ascii="等线" w:hAnsi="等线"/>
                <w:szCs w:val="21"/>
              </w:rPr>
              <w:t>（3）方案不尽合理、针对性一般、可操作性一般，评审为中加10</w:t>
            </w:r>
            <w:r>
              <w:rPr>
                <w:rFonts w:hint="eastAsia" w:ascii="等线" w:hAnsi="等线"/>
                <w:szCs w:val="21"/>
              </w:rPr>
              <w:t>分</w:t>
            </w:r>
            <w:r>
              <w:rPr>
                <w:rFonts w:ascii="等线" w:hAnsi="等线"/>
                <w:szCs w:val="21"/>
              </w:rPr>
              <w:t>；</w:t>
            </w:r>
          </w:p>
          <w:p>
            <w:pPr>
              <w:widowControl/>
              <w:jc w:val="left"/>
              <w:textAlignment w:val="top"/>
              <w:rPr>
                <w:rFonts w:ascii="宋体" w:hAnsi="宋体" w:cs="宋体"/>
                <w:szCs w:val="21"/>
              </w:rPr>
            </w:pPr>
            <w:r>
              <w:rPr>
                <w:rFonts w:ascii="等线" w:hAnsi="等线"/>
                <w:szCs w:val="21"/>
              </w:rPr>
              <w:t>（4）方案不合理、无针对性、无可操作性评审为差得不加分。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c>
          <w:tcPr>
            <w:tcW w:w="675" w:type="dxa"/>
            <w:vMerge w:val="continue"/>
            <w:tcBorders>
              <w:left w:val="single" w:color="000000" w:sz="8" w:space="0"/>
              <w:right w:val="single" w:color="000000" w:sz="8" w:space="0"/>
            </w:tcBorders>
            <w:vAlign w:val="center"/>
          </w:tcPr>
          <w:p>
            <w:pPr>
              <w:rPr>
                <w:rFonts w:ascii="宋体" w:hAnsi="宋体" w:cs="宋体"/>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pPr>
              <w:wordWrap w:val="0"/>
              <w:jc w:val="center"/>
              <w:rPr>
                <w:rFonts w:ascii="宋体" w:hAnsi="宋体" w:cs="宋体"/>
                <w:szCs w:val="21"/>
              </w:rPr>
            </w:pPr>
            <w:r>
              <w:rPr>
                <w:rFonts w:hint="eastAsia" w:ascii="宋体" w:hAnsi="宋体" w:cs="宋体"/>
                <w:szCs w:val="21"/>
              </w:rPr>
              <w:t>2</w:t>
            </w:r>
          </w:p>
        </w:tc>
        <w:tc>
          <w:tcPr>
            <w:tcW w:w="1134" w:type="dxa"/>
            <w:tcBorders>
              <w:top w:val="single" w:color="000000" w:sz="8" w:space="0"/>
              <w:left w:val="single" w:color="000000" w:sz="8" w:space="0"/>
              <w:bottom w:val="single" w:color="000000" w:sz="8" w:space="0"/>
              <w:right w:val="single" w:color="000000" w:sz="8" w:space="0"/>
            </w:tcBorders>
            <w:vAlign w:val="center"/>
          </w:tcPr>
          <w:p>
            <w:pPr>
              <w:wordWrap w:val="0"/>
              <w:jc w:val="center"/>
              <w:rPr>
                <w:rFonts w:ascii="宋体" w:hAnsi="宋体" w:cs="宋体"/>
                <w:szCs w:val="21"/>
              </w:rPr>
            </w:pPr>
            <w:r>
              <w:rPr>
                <w:rFonts w:hint="eastAsia" w:ascii="宋体" w:hAnsi="宋体"/>
                <w:szCs w:val="21"/>
              </w:rPr>
              <w:t>各项服务内容实施方案</w:t>
            </w:r>
          </w:p>
        </w:tc>
        <w:tc>
          <w:tcPr>
            <w:tcW w:w="1276" w:type="dxa"/>
            <w:tcBorders>
              <w:top w:val="single" w:color="000000" w:sz="8" w:space="0"/>
              <w:left w:val="single" w:color="000000" w:sz="8" w:space="0"/>
              <w:bottom w:val="single" w:color="000000" w:sz="8" w:space="0"/>
              <w:right w:val="single" w:color="000000" w:sz="8" w:space="0"/>
            </w:tcBorders>
            <w:vAlign w:val="center"/>
          </w:tcPr>
          <w:p>
            <w:pPr>
              <w:spacing w:line="440" w:lineRule="exact"/>
              <w:jc w:val="center"/>
              <w:rPr>
                <w:rFonts w:ascii="宋体" w:hAnsi="宋体" w:cs="宋体"/>
                <w:szCs w:val="21"/>
              </w:rPr>
            </w:pPr>
            <w:r>
              <w:rPr>
                <w:rFonts w:ascii="宋体" w:hAnsi="宋体" w:cs="宋体"/>
                <w:b/>
                <w:bCs/>
                <w:color w:val="000000"/>
                <w:szCs w:val="21"/>
              </w:rPr>
              <w:t>13</w:t>
            </w:r>
          </w:p>
        </w:tc>
        <w:tc>
          <w:tcPr>
            <w:tcW w:w="5350" w:type="dxa"/>
            <w:tcBorders>
              <w:top w:val="single" w:color="000000" w:sz="8" w:space="0"/>
              <w:left w:val="single" w:color="000000" w:sz="8" w:space="0"/>
              <w:bottom w:val="single" w:color="000000" w:sz="8" w:space="0"/>
              <w:right w:val="single" w:color="000000" w:sz="8" w:space="0"/>
            </w:tcBorders>
          </w:tcPr>
          <w:p>
            <w:pPr>
              <w:wordWrap w:val="0"/>
              <w:spacing w:line="276" w:lineRule="auto"/>
              <w:rPr>
                <w:rFonts w:ascii="宋体" w:hAnsi="宋体"/>
                <w:szCs w:val="21"/>
              </w:rPr>
            </w:pPr>
            <w:r>
              <w:rPr>
                <w:rFonts w:hint="eastAsia" w:ascii="宋体" w:hAnsi="宋体"/>
                <w:szCs w:val="21"/>
              </w:rPr>
              <w:t>（一）评分内容：</w:t>
            </w:r>
          </w:p>
          <w:p>
            <w:pPr>
              <w:wordWrap w:val="0"/>
              <w:spacing w:line="276" w:lineRule="auto"/>
              <w:rPr>
                <w:rFonts w:ascii="宋体" w:hAnsi="宋体"/>
                <w:szCs w:val="21"/>
              </w:rPr>
            </w:pPr>
            <w:r>
              <w:rPr>
                <w:rFonts w:hint="eastAsia" w:ascii="宋体" w:hAnsi="宋体"/>
                <w:szCs w:val="21"/>
              </w:rPr>
              <w:t>投标人提供针对本项目各项服务内容实施方案，包括以下服务内容：</w:t>
            </w:r>
          </w:p>
          <w:p>
            <w:pPr>
              <w:wordWrap w:val="0"/>
              <w:spacing w:line="276" w:lineRule="auto"/>
              <w:rPr>
                <w:rFonts w:ascii="宋体" w:hAnsi="宋体"/>
                <w:szCs w:val="21"/>
              </w:rPr>
            </w:pPr>
            <w:r>
              <w:rPr>
                <w:rFonts w:hint="eastAsia" w:ascii="宋体" w:hAnsi="宋体"/>
                <w:szCs w:val="21"/>
              </w:rPr>
              <w:t>1、保洁管理服务方案；</w:t>
            </w:r>
          </w:p>
          <w:p>
            <w:pPr>
              <w:wordWrap w:val="0"/>
              <w:spacing w:line="276" w:lineRule="auto"/>
              <w:rPr>
                <w:rFonts w:ascii="宋体" w:hAnsi="宋体"/>
                <w:szCs w:val="21"/>
              </w:rPr>
            </w:pPr>
            <w:r>
              <w:rPr>
                <w:rFonts w:ascii="宋体" w:hAnsi="宋体"/>
                <w:szCs w:val="21"/>
              </w:rPr>
              <w:t>2</w:t>
            </w:r>
            <w:r>
              <w:rPr>
                <w:rFonts w:hint="eastAsia" w:ascii="宋体" w:hAnsi="宋体"/>
                <w:szCs w:val="21"/>
              </w:rPr>
              <w:t>、保安管理服务方案；</w:t>
            </w:r>
          </w:p>
          <w:p>
            <w:pPr>
              <w:wordWrap w:val="0"/>
              <w:spacing w:line="276" w:lineRule="auto"/>
              <w:rPr>
                <w:rFonts w:ascii="宋体" w:hAnsi="宋体"/>
                <w:szCs w:val="21"/>
              </w:rPr>
            </w:pPr>
            <w:r>
              <w:rPr>
                <w:rFonts w:ascii="宋体" w:hAnsi="宋体"/>
                <w:szCs w:val="21"/>
              </w:rPr>
              <w:t>3</w:t>
            </w:r>
            <w:r>
              <w:rPr>
                <w:rFonts w:hint="eastAsia" w:ascii="宋体" w:hAnsi="宋体"/>
                <w:szCs w:val="21"/>
              </w:rPr>
              <w:t>、基础设施设备维护方案；</w:t>
            </w:r>
          </w:p>
          <w:p>
            <w:pPr>
              <w:wordWrap w:val="0"/>
              <w:spacing w:line="276" w:lineRule="auto"/>
              <w:rPr>
                <w:rFonts w:ascii="宋体" w:hAnsi="宋体"/>
                <w:szCs w:val="21"/>
              </w:rPr>
            </w:pPr>
            <w:r>
              <w:rPr>
                <w:rFonts w:hint="eastAsia" w:ascii="宋体" w:hAnsi="宋体"/>
                <w:szCs w:val="21"/>
              </w:rPr>
              <w:t>4、四害消杀及绿化管养方案。</w:t>
            </w:r>
          </w:p>
          <w:p>
            <w:pPr>
              <w:wordWrap w:val="0"/>
              <w:spacing w:line="276" w:lineRule="auto"/>
              <w:rPr>
                <w:rFonts w:ascii="宋体" w:hAnsi="宋体"/>
                <w:szCs w:val="21"/>
              </w:rPr>
            </w:pPr>
            <w:r>
              <w:rPr>
                <w:rFonts w:ascii="宋体" w:hAnsi="宋体"/>
                <w:szCs w:val="21"/>
              </w:rPr>
              <w:t>（二）</w:t>
            </w:r>
            <w:r>
              <w:rPr>
                <w:rFonts w:hint="eastAsia" w:ascii="宋体" w:hAnsi="宋体"/>
                <w:szCs w:val="21"/>
              </w:rPr>
              <w:t>评分依据：</w:t>
            </w:r>
          </w:p>
          <w:p>
            <w:pPr>
              <w:snapToGrid w:val="0"/>
              <w:rPr>
                <w:rFonts w:ascii="等线" w:hAnsi="等线"/>
                <w:szCs w:val="21"/>
              </w:rPr>
            </w:pPr>
            <w:r>
              <w:rPr>
                <w:rFonts w:ascii="等线" w:hAnsi="等线"/>
                <w:szCs w:val="21"/>
              </w:rPr>
              <w:t>1、每提供以上一项得20</w:t>
            </w:r>
            <w:r>
              <w:rPr>
                <w:rFonts w:hint="eastAsia" w:ascii="等线" w:hAnsi="等线"/>
                <w:szCs w:val="21"/>
              </w:rPr>
              <w:t>分</w:t>
            </w:r>
            <w:r>
              <w:rPr>
                <w:rFonts w:ascii="等线" w:hAnsi="等线"/>
                <w:szCs w:val="21"/>
              </w:rPr>
              <w:t>，全部提供得</w:t>
            </w:r>
            <w:r>
              <w:rPr>
                <w:rFonts w:hint="eastAsia" w:ascii="等线" w:hAnsi="等线"/>
                <w:szCs w:val="21"/>
              </w:rPr>
              <w:t>80分</w:t>
            </w:r>
            <w:r>
              <w:rPr>
                <w:rFonts w:ascii="等线" w:hAnsi="等线"/>
                <w:szCs w:val="21"/>
              </w:rPr>
              <w:t>。</w:t>
            </w:r>
          </w:p>
          <w:p>
            <w:pPr>
              <w:snapToGrid w:val="0"/>
              <w:rPr>
                <w:rFonts w:ascii="等线" w:hAnsi="等线"/>
                <w:szCs w:val="21"/>
              </w:rPr>
            </w:pPr>
            <w:r>
              <w:rPr>
                <w:rFonts w:ascii="等线" w:hAnsi="等线"/>
                <w:szCs w:val="21"/>
              </w:rPr>
              <w:t>2、在此基础上，专家根据各供应商的具体响应内容进一步评审：</w:t>
            </w:r>
          </w:p>
          <w:p>
            <w:pPr>
              <w:snapToGrid w:val="0"/>
              <w:rPr>
                <w:rFonts w:ascii="等线" w:hAnsi="等线"/>
                <w:szCs w:val="21"/>
              </w:rPr>
            </w:pPr>
            <w:r>
              <w:rPr>
                <w:rFonts w:ascii="等线" w:hAnsi="等线"/>
                <w:szCs w:val="21"/>
              </w:rPr>
              <w:t>（1）方案整体科学合理、针对性强、可操作性强，评审为优加</w:t>
            </w:r>
            <w:r>
              <w:rPr>
                <w:rFonts w:hint="eastAsia" w:ascii="等线" w:hAnsi="等线"/>
                <w:szCs w:val="21"/>
              </w:rPr>
              <w:t>20分</w:t>
            </w:r>
            <w:r>
              <w:rPr>
                <w:rFonts w:ascii="等线" w:hAnsi="等线"/>
                <w:szCs w:val="21"/>
              </w:rPr>
              <w:t>；</w:t>
            </w:r>
          </w:p>
          <w:p>
            <w:pPr>
              <w:snapToGrid w:val="0"/>
              <w:rPr>
                <w:rFonts w:ascii="等线" w:hAnsi="等线"/>
                <w:szCs w:val="21"/>
              </w:rPr>
            </w:pPr>
            <w:r>
              <w:rPr>
                <w:rFonts w:ascii="等线" w:hAnsi="等线"/>
                <w:szCs w:val="21"/>
              </w:rPr>
              <w:t>（2）方案较合理、有一定针对性、一定可操作性，评审为良加</w:t>
            </w:r>
            <w:r>
              <w:rPr>
                <w:rFonts w:hint="eastAsia" w:ascii="等线" w:hAnsi="等线"/>
                <w:szCs w:val="21"/>
              </w:rPr>
              <w:t>15分</w:t>
            </w:r>
            <w:r>
              <w:rPr>
                <w:rFonts w:ascii="等线" w:hAnsi="等线"/>
                <w:szCs w:val="21"/>
              </w:rPr>
              <w:t>；</w:t>
            </w:r>
          </w:p>
          <w:p>
            <w:pPr>
              <w:snapToGrid w:val="0"/>
              <w:rPr>
                <w:rFonts w:ascii="等线" w:hAnsi="等线"/>
                <w:szCs w:val="21"/>
              </w:rPr>
            </w:pPr>
            <w:r>
              <w:rPr>
                <w:rFonts w:ascii="等线" w:hAnsi="等线"/>
                <w:szCs w:val="21"/>
              </w:rPr>
              <w:t>（3）方案不尽合理、针对性一般、可操作性一般，评审为中加10</w:t>
            </w:r>
            <w:r>
              <w:rPr>
                <w:rFonts w:hint="eastAsia" w:ascii="等线" w:hAnsi="等线"/>
                <w:szCs w:val="21"/>
              </w:rPr>
              <w:t>分</w:t>
            </w:r>
            <w:r>
              <w:rPr>
                <w:rFonts w:ascii="等线" w:hAnsi="等线"/>
                <w:szCs w:val="21"/>
              </w:rPr>
              <w:t>；</w:t>
            </w:r>
          </w:p>
          <w:p>
            <w:pPr>
              <w:widowControl/>
              <w:jc w:val="left"/>
              <w:textAlignment w:val="top"/>
              <w:rPr>
                <w:rFonts w:ascii="宋体" w:hAnsi="宋体" w:cs="宋体"/>
                <w:szCs w:val="21"/>
              </w:rPr>
            </w:pPr>
            <w:r>
              <w:rPr>
                <w:rFonts w:ascii="等线" w:hAnsi="等线"/>
                <w:szCs w:val="21"/>
              </w:rPr>
              <w:t>（4）方案不合理、无针对性、无可操作性评审为差得不加分。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669" w:hRule="atLeast"/>
        </w:trPr>
        <w:tc>
          <w:tcPr>
            <w:tcW w:w="675" w:type="dxa"/>
            <w:vMerge w:val="continue"/>
            <w:tcBorders>
              <w:left w:val="single" w:color="000000" w:sz="8" w:space="0"/>
              <w:right w:val="single" w:color="000000" w:sz="8" w:space="0"/>
            </w:tcBorders>
            <w:vAlign w:val="center"/>
          </w:tcPr>
          <w:p>
            <w:pPr>
              <w:rPr>
                <w:rFonts w:ascii="宋体" w:hAnsi="宋体" w:cs="宋体"/>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pPr>
              <w:wordWrap w:val="0"/>
              <w:jc w:val="center"/>
              <w:rPr>
                <w:rFonts w:ascii="宋体" w:hAnsi="宋体" w:cs="宋体"/>
                <w:szCs w:val="21"/>
              </w:rPr>
            </w:pPr>
            <w:r>
              <w:rPr>
                <w:rFonts w:hint="eastAsia" w:ascii="宋体" w:hAnsi="宋体" w:cs="宋体"/>
                <w:szCs w:val="21"/>
              </w:rPr>
              <w:t>3</w:t>
            </w:r>
          </w:p>
        </w:tc>
        <w:tc>
          <w:tcPr>
            <w:tcW w:w="1134" w:type="dxa"/>
            <w:tcBorders>
              <w:top w:val="single" w:color="000000" w:sz="8" w:space="0"/>
              <w:left w:val="single" w:color="000000" w:sz="8" w:space="0"/>
              <w:bottom w:val="single" w:color="000000" w:sz="8" w:space="0"/>
              <w:right w:val="single" w:color="000000" w:sz="8" w:space="0"/>
            </w:tcBorders>
            <w:vAlign w:val="center"/>
          </w:tcPr>
          <w:p>
            <w:pPr>
              <w:wordWrap w:val="0"/>
              <w:jc w:val="center"/>
              <w:rPr>
                <w:rFonts w:ascii="宋体" w:hAnsi="宋体" w:cs="宋体"/>
                <w:szCs w:val="21"/>
              </w:rPr>
            </w:pPr>
            <w:r>
              <w:rPr>
                <w:rFonts w:hint="eastAsia" w:ascii="宋体" w:hAnsi="宋体"/>
                <w:szCs w:val="21"/>
              </w:rPr>
              <w:t>项目重点难点分析、应对措施及相关的合理化建议</w:t>
            </w:r>
          </w:p>
        </w:tc>
        <w:tc>
          <w:tcPr>
            <w:tcW w:w="1276" w:type="dxa"/>
            <w:tcBorders>
              <w:top w:val="single" w:color="000000" w:sz="8" w:space="0"/>
              <w:left w:val="single" w:color="000000" w:sz="8" w:space="0"/>
              <w:bottom w:val="single" w:color="000000" w:sz="8" w:space="0"/>
              <w:right w:val="single" w:color="000000" w:sz="8" w:space="0"/>
            </w:tcBorders>
            <w:vAlign w:val="center"/>
          </w:tcPr>
          <w:p>
            <w:pPr>
              <w:wordWrap w:val="0"/>
              <w:jc w:val="center"/>
              <w:rPr>
                <w:rFonts w:ascii="宋体" w:hAnsi="宋体" w:cs="宋体"/>
                <w:szCs w:val="21"/>
              </w:rPr>
            </w:pPr>
            <w:r>
              <w:rPr>
                <w:rFonts w:ascii="宋体" w:hAnsi="宋体" w:cs="宋体"/>
                <w:b/>
                <w:bCs/>
                <w:color w:val="000000"/>
                <w:szCs w:val="21"/>
              </w:rPr>
              <w:t>13</w:t>
            </w:r>
          </w:p>
        </w:tc>
        <w:tc>
          <w:tcPr>
            <w:tcW w:w="5350" w:type="dxa"/>
            <w:tcBorders>
              <w:top w:val="single" w:color="000000" w:sz="8" w:space="0"/>
              <w:left w:val="single" w:color="000000" w:sz="8" w:space="0"/>
              <w:bottom w:val="single" w:color="000000" w:sz="8" w:space="0"/>
              <w:right w:val="single" w:color="000000" w:sz="8" w:space="0"/>
            </w:tcBorders>
          </w:tcPr>
          <w:p>
            <w:pPr>
              <w:wordWrap w:val="0"/>
              <w:spacing w:line="276" w:lineRule="auto"/>
              <w:rPr>
                <w:rFonts w:ascii="宋体" w:hAnsi="宋体"/>
                <w:szCs w:val="21"/>
              </w:rPr>
            </w:pPr>
            <w:r>
              <w:rPr>
                <w:rFonts w:ascii="宋体" w:hAnsi="宋体"/>
                <w:szCs w:val="21"/>
              </w:rPr>
              <w:t>（一）评分内容：</w:t>
            </w:r>
          </w:p>
          <w:p>
            <w:pPr>
              <w:snapToGrid w:val="0"/>
              <w:spacing w:line="276" w:lineRule="auto"/>
              <w:jc w:val="left"/>
              <w:rPr>
                <w:rFonts w:ascii="宋体" w:hAnsi="宋体"/>
                <w:szCs w:val="21"/>
              </w:rPr>
            </w:pPr>
            <w:r>
              <w:rPr>
                <w:rFonts w:hint="eastAsia" w:ascii="宋体" w:hAnsi="宋体"/>
                <w:szCs w:val="21"/>
              </w:rPr>
              <w:t>1、项目整体设计与规划；</w:t>
            </w:r>
          </w:p>
          <w:p>
            <w:pPr>
              <w:snapToGrid w:val="0"/>
              <w:spacing w:line="276" w:lineRule="auto"/>
              <w:jc w:val="left"/>
              <w:rPr>
                <w:rFonts w:ascii="宋体" w:hAnsi="宋体"/>
                <w:szCs w:val="21"/>
              </w:rPr>
            </w:pPr>
            <w:r>
              <w:rPr>
                <w:rFonts w:hint="eastAsia" w:ascii="宋体" w:hAnsi="宋体"/>
                <w:szCs w:val="21"/>
              </w:rPr>
              <w:t>2、提供符合本项目服务特点的相关重点难点分析；</w:t>
            </w:r>
          </w:p>
          <w:p>
            <w:pPr>
              <w:snapToGrid w:val="0"/>
              <w:spacing w:line="276" w:lineRule="auto"/>
              <w:jc w:val="left"/>
              <w:rPr>
                <w:rFonts w:ascii="宋体" w:hAnsi="宋体"/>
                <w:szCs w:val="21"/>
              </w:rPr>
            </w:pPr>
            <w:r>
              <w:rPr>
                <w:rFonts w:hint="eastAsia" w:ascii="宋体" w:hAnsi="宋体"/>
                <w:szCs w:val="21"/>
              </w:rPr>
              <w:t>3、针对重难点分析提出应对措施；</w:t>
            </w:r>
          </w:p>
          <w:p>
            <w:pPr>
              <w:snapToGrid w:val="0"/>
              <w:spacing w:line="276" w:lineRule="auto"/>
              <w:jc w:val="left"/>
              <w:rPr>
                <w:rFonts w:ascii="宋体" w:hAnsi="宋体"/>
                <w:szCs w:val="21"/>
              </w:rPr>
            </w:pPr>
            <w:r>
              <w:rPr>
                <w:rFonts w:hint="eastAsia" w:ascii="宋体" w:hAnsi="宋体"/>
                <w:szCs w:val="21"/>
              </w:rPr>
              <w:t>4、结合上述内容提出相关的合理化建议。</w:t>
            </w:r>
          </w:p>
          <w:p>
            <w:pPr>
              <w:rPr>
                <w:rFonts w:ascii="宋体" w:hAnsi="宋体" w:cs="宋体"/>
                <w:color w:val="000000"/>
                <w:szCs w:val="21"/>
                <w:lang w:val="zh-TW"/>
              </w:rPr>
            </w:pPr>
            <w:r>
              <w:rPr>
                <w:rFonts w:ascii="宋体" w:hAnsi="宋体"/>
                <w:szCs w:val="21"/>
              </w:rPr>
              <w:t>（二）</w:t>
            </w:r>
            <w:r>
              <w:rPr>
                <w:rFonts w:hint="eastAsia" w:ascii="宋体" w:hAnsi="宋体"/>
                <w:szCs w:val="21"/>
              </w:rPr>
              <w:t>评分依据：</w:t>
            </w:r>
          </w:p>
          <w:p>
            <w:pPr>
              <w:snapToGrid w:val="0"/>
              <w:rPr>
                <w:rFonts w:ascii="等线" w:hAnsi="等线"/>
                <w:szCs w:val="21"/>
              </w:rPr>
            </w:pPr>
            <w:r>
              <w:rPr>
                <w:rFonts w:ascii="等线" w:hAnsi="等线"/>
                <w:szCs w:val="21"/>
              </w:rPr>
              <w:t>1、每提供以上一项得20</w:t>
            </w:r>
            <w:r>
              <w:rPr>
                <w:rFonts w:hint="eastAsia" w:ascii="等线" w:hAnsi="等线"/>
                <w:szCs w:val="21"/>
              </w:rPr>
              <w:t>分</w:t>
            </w:r>
            <w:r>
              <w:rPr>
                <w:rFonts w:ascii="等线" w:hAnsi="等线"/>
                <w:szCs w:val="21"/>
              </w:rPr>
              <w:t>，全部提供得</w:t>
            </w:r>
            <w:r>
              <w:rPr>
                <w:rFonts w:hint="eastAsia" w:ascii="等线" w:hAnsi="等线"/>
                <w:szCs w:val="21"/>
              </w:rPr>
              <w:t>80分</w:t>
            </w:r>
            <w:r>
              <w:rPr>
                <w:rFonts w:ascii="等线" w:hAnsi="等线"/>
                <w:szCs w:val="21"/>
              </w:rPr>
              <w:t>。</w:t>
            </w:r>
          </w:p>
          <w:p>
            <w:pPr>
              <w:snapToGrid w:val="0"/>
              <w:rPr>
                <w:rFonts w:ascii="等线" w:hAnsi="等线"/>
                <w:szCs w:val="21"/>
              </w:rPr>
            </w:pPr>
            <w:r>
              <w:rPr>
                <w:rFonts w:ascii="等线" w:hAnsi="等线"/>
                <w:szCs w:val="21"/>
              </w:rPr>
              <w:t>2、在此基础上，专家根据各供应商的具体响应内容进一步评审：</w:t>
            </w:r>
          </w:p>
          <w:p>
            <w:pPr>
              <w:snapToGrid w:val="0"/>
              <w:rPr>
                <w:rFonts w:ascii="等线" w:hAnsi="等线"/>
                <w:szCs w:val="21"/>
              </w:rPr>
            </w:pPr>
            <w:r>
              <w:rPr>
                <w:rFonts w:ascii="等线" w:hAnsi="等线"/>
                <w:szCs w:val="21"/>
              </w:rPr>
              <w:t>（1）方案整体科学合理、针对性强、可操作性强，评审为优加</w:t>
            </w:r>
            <w:r>
              <w:rPr>
                <w:rFonts w:hint="eastAsia" w:ascii="等线" w:hAnsi="等线"/>
                <w:szCs w:val="21"/>
              </w:rPr>
              <w:t>20分</w:t>
            </w:r>
            <w:r>
              <w:rPr>
                <w:rFonts w:ascii="等线" w:hAnsi="等线"/>
                <w:szCs w:val="21"/>
              </w:rPr>
              <w:t>；</w:t>
            </w:r>
          </w:p>
          <w:p>
            <w:pPr>
              <w:snapToGrid w:val="0"/>
              <w:rPr>
                <w:rFonts w:ascii="等线" w:hAnsi="等线"/>
                <w:szCs w:val="21"/>
              </w:rPr>
            </w:pPr>
            <w:r>
              <w:rPr>
                <w:rFonts w:ascii="等线" w:hAnsi="等线"/>
                <w:szCs w:val="21"/>
              </w:rPr>
              <w:t>（2）方案较合理、有一定针对性、一定可操作性，评审为良加</w:t>
            </w:r>
            <w:r>
              <w:rPr>
                <w:rFonts w:hint="eastAsia" w:ascii="等线" w:hAnsi="等线"/>
                <w:szCs w:val="21"/>
              </w:rPr>
              <w:t>15分</w:t>
            </w:r>
            <w:r>
              <w:rPr>
                <w:rFonts w:ascii="等线" w:hAnsi="等线"/>
                <w:szCs w:val="21"/>
              </w:rPr>
              <w:t>；</w:t>
            </w:r>
          </w:p>
          <w:p>
            <w:pPr>
              <w:snapToGrid w:val="0"/>
              <w:rPr>
                <w:rFonts w:ascii="等线" w:hAnsi="等线"/>
                <w:szCs w:val="21"/>
              </w:rPr>
            </w:pPr>
            <w:r>
              <w:rPr>
                <w:rFonts w:ascii="等线" w:hAnsi="等线"/>
                <w:szCs w:val="21"/>
              </w:rPr>
              <w:t>（3）方案不尽合理、针对性一般、可操作性一般，评审为中加10</w:t>
            </w:r>
            <w:r>
              <w:rPr>
                <w:rFonts w:hint="eastAsia" w:ascii="等线" w:hAnsi="等线"/>
                <w:szCs w:val="21"/>
              </w:rPr>
              <w:t>分</w:t>
            </w:r>
            <w:r>
              <w:rPr>
                <w:rFonts w:ascii="等线" w:hAnsi="等线"/>
                <w:szCs w:val="21"/>
              </w:rPr>
              <w:t>；</w:t>
            </w:r>
          </w:p>
          <w:p>
            <w:pPr>
              <w:widowControl/>
              <w:jc w:val="left"/>
              <w:textAlignment w:val="top"/>
              <w:rPr>
                <w:rFonts w:ascii="宋体" w:hAnsi="宋体" w:cs="宋体"/>
                <w:szCs w:val="21"/>
              </w:rPr>
            </w:pPr>
            <w:r>
              <w:rPr>
                <w:rFonts w:ascii="等线" w:hAnsi="等线"/>
                <w:szCs w:val="21"/>
              </w:rPr>
              <w:t>（4）方案不合理、无针对性、无可操作性评审为差得不加分。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c>
          <w:tcPr>
            <w:tcW w:w="675" w:type="dxa"/>
            <w:tcBorders>
              <w:left w:val="single" w:color="000000" w:sz="8" w:space="0"/>
              <w:bottom w:val="single" w:color="000000" w:sz="8" w:space="0"/>
              <w:right w:val="single" w:color="000000" w:sz="8" w:space="0"/>
            </w:tcBorders>
            <w:vAlign w:val="center"/>
          </w:tcPr>
          <w:p>
            <w:pPr>
              <w:rPr>
                <w:rFonts w:ascii="宋体" w:hAnsi="宋体" w:cs="宋体"/>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pPr>
              <w:wordWrap w:val="0"/>
              <w:jc w:val="center"/>
              <w:rPr>
                <w:rFonts w:ascii="宋体" w:hAnsi="宋体" w:cs="宋体"/>
                <w:szCs w:val="21"/>
              </w:rPr>
            </w:pPr>
            <w:r>
              <w:rPr>
                <w:rFonts w:ascii="宋体" w:hAnsi="宋体" w:cs="宋体"/>
                <w:szCs w:val="21"/>
              </w:rPr>
              <w:t>4</w:t>
            </w:r>
          </w:p>
        </w:tc>
        <w:tc>
          <w:tcPr>
            <w:tcW w:w="1134" w:type="dxa"/>
            <w:tcBorders>
              <w:top w:val="single" w:color="000000" w:sz="8" w:space="0"/>
              <w:left w:val="single" w:color="000000" w:sz="8" w:space="0"/>
              <w:bottom w:val="single" w:color="000000" w:sz="8" w:space="0"/>
              <w:right w:val="single" w:color="000000" w:sz="8" w:space="0"/>
            </w:tcBorders>
            <w:vAlign w:val="center"/>
          </w:tcPr>
          <w:p>
            <w:pPr>
              <w:jc w:val="center"/>
              <w:rPr>
                <w:rFonts w:ascii="宋体" w:hAnsi="宋体" w:cs="宋体"/>
                <w:szCs w:val="21"/>
              </w:rPr>
            </w:pPr>
            <w:r>
              <w:rPr>
                <w:rStyle w:val="132"/>
              </w:rPr>
              <w:t>项目经理（仅限1人）情况</w:t>
            </w:r>
          </w:p>
        </w:tc>
        <w:tc>
          <w:tcPr>
            <w:tcW w:w="1276" w:type="dxa"/>
            <w:tcBorders>
              <w:top w:val="single" w:color="000000" w:sz="8" w:space="0"/>
              <w:left w:val="single" w:color="000000" w:sz="8" w:space="0"/>
              <w:bottom w:val="single" w:color="000000" w:sz="8" w:space="0"/>
              <w:right w:val="single" w:color="000000" w:sz="8" w:space="0"/>
            </w:tcBorders>
            <w:vAlign w:val="center"/>
          </w:tcPr>
          <w:p>
            <w:pPr>
              <w:spacing w:line="440" w:lineRule="exact"/>
              <w:jc w:val="center"/>
              <w:rPr>
                <w:rFonts w:ascii="宋体" w:hAnsi="宋体" w:cs="宋体"/>
                <w:szCs w:val="21"/>
              </w:rPr>
            </w:pPr>
            <w:r>
              <w:rPr>
                <w:rFonts w:hint="eastAsia" w:ascii="宋体" w:hAnsi="宋体" w:cs="宋体"/>
                <w:b/>
                <w:bCs/>
                <w:color w:val="000000"/>
                <w:szCs w:val="21"/>
              </w:rPr>
              <w:t>10</w:t>
            </w:r>
          </w:p>
        </w:tc>
        <w:tc>
          <w:tcPr>
            <w:tcW w:w="5350" w:type="dxa"/>
            <w:tcBorders>
              <w:top w:val="single" w:color="000000" w:sz="8" w:space="0"/>
              <w:left w:val="single" w:color="000000" w:sz="8" w:space="0"/>
              <w:bottom w:val="single" w:color="000000" w:sz="8" w:space="0"/>
              <w:right w:val="single" w:color="000000" w:sz="8" w:space="0"/>
            </w:tcBorders>
          </w:tcPr>
          <w:p>
            <w:pPr>
              <w:wordWrap w:val="0"/>
              <w:rPr>
                <w:rFonts w:ascii="Calibri" w:hAnsi="Calibri" w:cs="Arial"/>
                <w:b/>
                <w:bCs/>
                <w:color w:val="000000"/>
                <w:szCs w:val="21"/>
              </w:rPr>
            </w:pPr>
            <w:r>
              <w:rPr>
                <w:rFonts w:ascii="Calibri" w:hAnsi="Calibri" w:cs="Arial"/>
                <w:b/>
                <w:bCs/>
                <w:color w:val="000000"/>
                <w:szCs w:val="21"/>
              </w:rPr>
              <w:t>（一）</w:t>
            </w:r>
            <w:r>
              <w:rPr>
                <w:rFonts w:hint="eastAsia" w:ascii="Calibri" w:hAnsi="Calibri" w:cs="Arial"/>
                <w:b/>
                <w:bCs/>
                <w:color w:val="000000"/>
                <w:szCs w:val="21"/>
              </w:rPr>
              <w:t>评分内容</w:t>
            </w:r>
          </w:p>
          <w:p>
            <w:pPr>
              <w:wordWrap w:val="0"/>
              <w:rPr>
                <w:rFonts w:cs="Arial"/>
                <w:color w:val="000000"/>
                <w:szCs w:val="21"/>
              </w:rPr>
            </w:pPr>
            <w:r>
              <w:rPr>
                <w:rFonts w:hint="eastAsia" w:cs="Arial"/>
                <w:color w:val="000000"/>
                <w:szCs w:val="21"/>
              </w:rPr>
              <w:t>拟安排的项目经理</w:t>
            </w:r>
            <w:r>
              <w:rPr>
                <w:rFonts w:hint="eastAsia" w:ascii="宋体" w:hAnsi="宋体" w:cs="宋体"/>
                <w:color w:val="000000"/>
                <w:szCs w:val="21"/>
              </w:rPr>
              <w:t>须为投标人的自有员工</w:t>
            </w:r>
            <w:r>
              <w:rPr>
                <w:rFonts w:hint="eastAsia" w:cs="Arial"/>
                <w:color w:val="000000"/>
                <w:szCs w:val="21"/>
              </w:rPr>
              <w:t>（仅限</w:t>
            </w:r>
            <w:r>
              <w:rPr>
                <w:rFonts w:cs="Arial"/>
                <w:color w:val="000000"/>
                <w:szCs w:val="21"/>
              </w:rPr>
              <w:t>1</w:t>
            </w:r>
            <w:r>
              <w:rPr>
                <w:rFonts w:hint="eastAsia" w:cs="Arial"/>
                <w:color w:val="000000"/>
                <w:szCs w:val="21"/>
              </w:rPr>
              <w:t>人）：</w:t>
            </w:r>
          </w:p>
          <w:p>
            <w:pPr>
              <w:kinsoku w:val="0"/>
              <w:autoSpaceDE w:val="0"/>
              <w:autoSpaceDN w:val="0"/>
              <w:adjustRightInd w:val="0"/>
              <w:snapToGrid w:val="0"/>
              <w:spacing w:line="260" w:lineRule="exact"/>
              <w:textAlignment w:val="baseline"/>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具有</w:t>
            </w:r>
            <w:r>
              <w:rPr>
                <w:rFonts w:hint="eastAsia" w:ascii="宋体" w:hAnsi="宋体" w:cs="宋体"/>
                <w:color w:val="000000"/>
                <w:szCs w:val="21"/>
              </w:rPr>
              <w:t>全日制本科</w:t>
            </w:r>
            <w:r>
              <w:rPr>
                <w:rFonts w:ascii="宋体" w:hAnsi="宋体" w:cs="宋体"/>
                <w:color w:val="000000"/>
                <w:szCs w:val="21"/>
              </w:rPr>
              <w:t>或以上学历得20</w:t>
            </w:r>
            <w:r>
              <w:rPr>
                <w:rFonts w:hint="eastAsia" w:ascii="宋体" w:hAnsi="宋体" w:cs="宋体"/>
                <w:color w:val="000000"/>
                <w:szCs w:val="21"/>
              </w:rPr>
              <w:t>分</w:t>
            </w:r>
            <w:r>
              <w:rPr>
                <w:rFonts w:ascii="宋体" w:hAnsi="宋体" w:cs="宋体"/>
                <w:color w:val="000000"/>
                <w:szCs w:val="21"/>
              </w:rPr>
              <w:t>；</w:t>
            </w:r>
          </w:p>
          <w:p>
            <w:pPr>
              <w:kinsoku w:val="0"/>
              <w:autoSpaceDE w:val="0"/>
              <w:autoSpaceDN w:val="0"/>
              <w:adjustRightInd w:val="0"/>
              <w:snapToGrid w:val="0"/>
              <w:spacing w:line="260" w:lineRule="exact"/>
              <w:textAlignment w:val="baseline"/>
              <w:rPr>
                <w:rFonts w:ascii="宋体" w:hAnsi="宋体" w:cs="宋体"/>
                <w:color w:val="000000"/>
                <w:szCs w:val="21"/>
              </w:rPr>
            </w:pPr>
            <w:r>
              <w:rPr>
                <w:rFonts w:hint="eastAsia" w:ascii="宋体" w:hAnsi="宋体" w:cs="宋体"/>
                <w:color w:val="000000"/>
                <w:szCs w:val="21"/>
              </w:rPr>
              <w:t>2.</w:t>
            </w:r>
            <w:r>
              <w:rPr>
                <w:rFonts w:ascii="宋体" w:hAnsi="宋体" w:cs="宋体"/>
                <w:color w:val="000000"/>
                <w:szCs w:val="21"/>
              </w:rPr>
              <w:t>具有</w:t>
            </w:r>
            <w:r>
              <w:rPr>
                <w:rFonts w:hint="eastAsia" w:ascii="宋体" w:hAnsi="宋体" w:cs="宋体"/>
                <w:color w:val="000000"/>
                <w:szCs w:val="21"/>
              </w:rPr>
              <w:t>物业协会颁发的全国物业管理项目经理证书得2</w:t>
            </w:r>
            <w:r>
              <w:rPr>
                <w:rFonts w:ascii="宋体" w:hAnsi="宋体" w:cs="宋体"/>
                <w:color w:val="000000"/>
                <w:szCs w:val="21"/>
              </w:rPr>
              <w:t>0</w:t>
            </w:r>
            <w:r>
              <w:rPr>
                <w:rFonts w:hint="eastAsia" w:ascii="宋体" w:hAnsi="宋体" w:cs="宋体"/>
                <w:color w:val="000000"/>
                <w:szCs w:val="21"/>
              </w:rPr>
              <w:t>分</w:t>
            </w:r>
            <w:r>
              <w:rPr>
                <w:rFonts w:ascii="宋体" w:hAnsi="宋体" w:cs="宋体"/>
                <w:color w:val="000000"/>
                <w:szCs w:val="21"/>
              </w:rPr>
              <w:t>；</w:t>
            </w:r>
          </w:p>
          <w:p>
            <w:pPr>
              <w:kinsoku w:val="0"/>
              <w:autoSpaceDE w:val="0"/>
              <w:autoSpaceDN w:val="0"/>
              <w:adjustRightInd w:val="0"/>
              <w:snapToGrid w:val="0"/>
              <w:spacing w:line="260" w:lineRule="exact"/>
              <w:textAlignment w:val="baseline"/>
              <w:rPr>
                <w:rFonts w:ascii="宋体" w:hAnsi="宋体" w:cs="宋体"/>
                <w:color w:val="000000"/>
                <w:szCs w:val="21"/>
              </w:rPr>
            </w:pPr>
            <w:r>
              <w:rPr>
                <w:rFonts w:hint="eastAsia" w:ascii="宋体" w:hAnsi="宋体" w:cs="宋体"/>
                <w:color w:val="000000"/>
                <w:szCs w:val="21"/>
              </w:rPr>
              <w:t>3.</w:t>
            </w:r>
            <w:r>
              <w:rPr>
                <w:rFonts w:ascii="宋体" w:hAnsi="宋体" w:cs="宋体"/>
                <w:color w:val="000000"/>
                <w:szCs w:val="21"/>
              </w:rPr>
              <w:t>具有</w:t>
            </w:r>
            <w:r>
              <w:rPr>
                <w:rFonts w:hint="eastAsia" w:ascii="宋体" w:hAnsi="宋体" w:cs="宋体"/>
                <w:color w:val="000000"/>
                <w:szCs w:val="21"/>
              </w:rPr>
              <w:t>人社部颁发的</w:t>
            </w:r>
            <w:r>
              <w:rPr>
                <w:rFonts w:ascii="宋体" w:hAnsi="宋体" w:cs="宋体"/>
                <w:color w:val="000000"/>
                <w:szCs w:val="21"/>
              </w:rPr>
              <w:t>消防设施操作员</w:t>
            </w:r>
            <w:r>
              <w:rPr>
                <w:rFonts w:hint="eastAsia" w:ascii="宋体" w:hAnsi="宋体" w:cs="Arial"/>
                <w:color w:val="000000"/>
                <w:szCs w:val="21"/>
              </w:rPr>
              <w:t>四级/中级或</w:t>
            </w:r>
            <w:r>
              <w:rPr>
                <w:rFonts w:hint="eastAsia" w:ascii="宋体" w:hAnsi="宋体" w:cs="宋体"/>
                <w:color w:val="000000"/>
                <w:szCs w:val="21"/>
              </w:rPr>
              <w:t>以上</w:t>
            </w:r>
            <w:r>
              <w:rPr>
                <w:rFonts w:ascii="宋体" w:hAnsi="宋体" w:cs="宋体"/>
                <w:color w:val="000000"/>
                <w:szCs w:val="21"/>
              </w:rPr>
              <w:t>职业资格证书</w:t>
            </w:r>
            <w:r>
              <w:rPr>
                <w:rFonts w:hint="eastAsia" w:ascii="宋体" w:hAnsi="宋体" w:cs="宋体"/>
                <w:color w:val="000000"/>
                <w:szCs w:val="21"/>
              </w:rPr>
              <w:t>的得</w:t>
            </w:r>
            <w:r>
              <w:rPr>
                <w:rFonts w:ascii="宋体" w:hAnsi="宋体" w:cs="宋体"/>
                <w:color w:val="000000"/>
                <w:szCs w:val="21"/>
              </w:rPr>
              <w:t>20</w:t>
            </w:r>
            <w:r>
              <w:rPr>
                <w:rFonts w:hint="eastAsia" w:ascii="宋体" w:hAnsi="宋体" w:cs="宋体"/>
                <w:color w:val="000000"/>
                <w:szCs w:val="21"/>
              </w:rPr>
              <w:t>分；</w:t>
            </w:r>
          </w:p>
          <w:p>
            <w:pPr>
              <w:pStyle w:val="16"/>
              <w:rPr>
                <w:rFonts w:hAnsi="宋体" w:cs="宋体"/>
                <w:color w:val="000000"/>
                <w:kern w:val="2"/>
                <w:sz w:val="21"/>
                <w:szCs w:val="21"/>
              </w:rPr>
            </w:pPr>
            <w:r>
              <w:rPr>
                <w:rFonts w:hint="eastAsia" w:hAnsi="宋体" w:cs="宋体"/>
                <w:color w:val="000000"/>
                <w:kern w:val="2"/>
                <w:sz w:val="21"/>
                <w:szCs w:val="21"/>
              </w:rPr>
              <w:t>4.具有人社部颁发的应急救援员职业资格证书得</w:t>
            </w:r>
            <w:r>
              <w:rPr>
                <w:rFonts w:hAnsi="宋体" w:cs="宋体"/>
                <w:color w:val="000000"/>
                <w:kern w:val="2"/>
                <w:sz w:val="21"/>
                <w:szCs w:val="21"/>
              </w:rPr>
              <w:t>20</w:t>
            </w:r>
            <w:r>
              <w:rPr>
                <w:rFonts w:hint="eastAsia" w:hAnsi="宋体" w:cs="宋体"/>
                <w:color w:val="000000"/>
                <w:kern w:val="2"/>
                <w:sz w:val="21"/>
                <w:szCs w:val="21"/>
              </w:rPr>
              <w:t>分；</w:t>
            </w:r>
          </w:p>
          <w:p>
            <w:pPr>
              <w:pStyle w:val="16"/>
              <w:rPr>
                <w:rFonts w:hAnsi="宋体" w:cs="宋体"/>
                <w:color w:val="000000"/>
                <w:kern w:val="2"/>
                <w:sz w:val="21"/>
                <w:szCs w:val="21"/>
              </w:rPr>
            </w:pPr>
            <w:r>
              <w:rPr>
                <w:rFonts w:hint="eastAsia" w:hAnsi="宋体" w:cs="宋体"/>
                <w:color w:val="000000"/>
                <w:kern w:val="2"/>
                <w:sz w:val="21"/>
                <w:szCs w:val="21"/>
              </w:rPr>
              <w:t>5</w:t>
            </w:r>
            <w:r>
              <w:rPr>
                <w:rFonts w:hAnsi="宋体" w:cs="宋体"/>
                <w:color w:val="000000"/>
                <w:kern w:val="2"/>
                <w:sz w:val="21"/>
                <w:szCs w:val="21"/>
              </w:rPr>
              <w:t>.</w:t>
            </w:r>
            <w:r>
              <w:rPr>
                <w:rFonts w:hint="eastAsia" w:hAnsi="宋体" w:cs="宋体"/>
                <w:color w:val="000000"/>
                <w:kern w:val="2"/>
                <w:sz w:val="21"/>
                <w:szCs w:val="21"/>
              </w:rPr>
              <w:t>具有应急管理部颁发的特种作业操作证（作业类别：电工作业，操作项目：低压电工作业）得2</w:t>
            </w:r>
            <w:r>
              <w:rPr>
                <w:rFonts w:hAnsi="宋体" w:cs="宋体"/>
                <w:color w:val="000000"/>
                <w:kern w:val="2"/>
                <w:sz w:val="21"/>
                <w:szCs w:val="21"/>
              </w:rPr>
              <w:t>0</w:t>
            </w:r>
            <w:r>
              <w:rPr>
                <w:rFonts w:hint="eastAsia" w:hAnsi="宋体" w:cs="宋体"/>
                <w:color w:val="000000"/>
                <w:kern w:val="2"/>
                <w:sz w:val="21"/>
                <w:szCs w:val="21"/>
              </w:rPr>
              <w:t>分。</w:t>
            </w:r>
          </w:p>
          <w:p>
            <w:pPr>
              <w:kinsoku w:val="0"/>
              <w:autoSpaceDE w:val="0"/>
              <w:autoSpaceDN w:val="0"/>
              <w:adjustRightInd w:val="0"/>
              <w:snapToGrid w:val="0"/>
              <w:spacing w:line="260" w:lineRule="exact"/>
              <w:textAlignment w:val="baseline"/>
              <w:rPr>
                <w:rFonts w:ascii="宋体" w:hAnsi="宋体" w:cs="宋体"/>
                <w:color w:val="000000"/>
                <w:szCs w:val="21"/>
              </w:rPr>
            </w:pPr>
            <w:r>
              <w:rPr>
                <w:rFonts w:ascii="宋体" w:hAnsi="宋体" w:cs="宋体"/>
                <w:color w:val="000000"/>
                <w:szCs w:val="21"/>
              </w:rPr>
              <w:t>以上累计得分，最</w:t>
            </w:r>
            <w:r>
              <w:rPr>
                <w:rFonts w:hint="eastAsia" w:ascii="宋体" w:hAnsi="宋体" w:cs="宋体"/>
                <w:color w:val="000000"/>
                <w:szCs w:val="21"/>
              </w:rPr>
              <w:t>高</w:t>
            </w:r>
            <w:r>
              <w:rPr>
                <w:rFonts w:ascii="宋体" w:hAnsi="宋体" w:cs="宋体"/>
                <w:color w:val="000000"/>
                <w:szCs w:val="21"/>
              </w:rPr>
              <w:t>得100分。</w:t>
            </w:r>
          </w:p>
          <w:p>
            <w:pPr>
              <w:wordWrap w:val="0"/>
              <w:rPr>
                <w:rFonts w:ascii="Calibri" w:hAnsi="Calibri" w:cs="Arial"/>
                <w:b/>
                <w:bCs/>
                <w:color w:val="000000"/>
                <w:szCs w:val="21"/>
              </w:rPr>
            </w:pPr>
            <w:r>
              <w:rPr>
                <w:rFonts w:ascii="Calibri" w:hAnsi="Calibri" w:cs="Arial"/>
                <w:b/>
                <w:bCs/>
                <w:color w:val="000000"/>
                <w:szCs w:val="21"/>
              </w:rPr>
              <w:t>（二）</w:t>
            </w:r>
            <w:r>
              <w:rPr>
                <w:rFonts w:hint="eastAsia" w:ascii="Calibri" w:hAnsi="Calibri" w:cs="Arial"/>
                <w:b/>
                <w:bCs/>
                <w:color w:val="000000"/>
                <w:szCs w:val="21"/>
              </w:rPr>
              <w:t>评分依据</w:t>
            </w:r>
          </w:p>
          <w:p>
            <w:pPr>
              <w:widowControl/>
              <w:wordWrap w:val="0"/>
              <w:jc w:val="left"/>
              <w:rPr>
                <w:rFonts w:ascii="宋体" w:hAnsi="宋体" w:cs="宋体"/>
                <w:color w:val="000000"/>
                <w:kern w:val="0"/>
                <w:szCs w:val="21"/>
              </w:rPr>
            </w:pPr>
            <w:r>
              <w:rPr>
                <w:rFonts w:hint="eastAsia" w:ascii="宋体" w:hAnsi="宋体" w:cs="宋体"/>
                <w:b/>
                <w:bCs/>
                <w:color w:val="000000"/>
                <w:kern w:val="0"/>
                <w:szCs w:val="21"/>
              </w:rPr>
              <w:t>1.社保证明：</w:t>
            </w:r>
            <w:r>
              <w:rPr>
                <w:rFonts w:hint="eastAsia" w:ascii="宋体" w:hAnsi="宋体" w:cs="宋体"/>
                <w:color w:val="000000"/>
                <w:kern w:val="0"/>
                <w:szCs w:val="21"/>
              </w:rPr>
              <w:t>需提供通过投标人缴纳的投标截止日近</w:t>
            </w:r>
            <w:r>
              <w:rPr>
                <w:rFonts w:ascii="宋体" w:hAnsi="宋体" w:cs="宋体"/>
                <w:color w:val="000000"/>
                <w:kern w:val="0"/>
                <w:szCs w:val="21"/>
              </w:rPr>
              <w:t>3</w:t>
            </w:r>
            <w:r>
              <w:rPr>
                <w:rFonts w:hint="eastAsia" w:ascii="宋体" w:hAnsi="宋体" w:cs="宋体"/>
                <w:color w:val="000000"/>
                <w:kern w:val="0"/>
                <w:szCs w:val="21"/>
              </w:rPr>
              <w:t>个月的社保证明。近</w:t>
            </w:r>
            <w:r>
              <w:rPr>
                <w:rFonts w:ascii="宋体" w:hAnsi="宋体" w:cs="宋体"/>
                <w:color w:val="000000"/>
                <w:kern w:val="0"/>
                <w:szCs w:val="21"/>
              </w:rPr>
              <w:t>3</w:t>
            </w:r>
            <w:r>
              <w:rPr>
                <w:rFonts w:hint="eastAsia" w:ascii="宋体" w:hAnsi="宋体" w:cs="宋体"/>
                <w:color w:val="000000"/>
                <w:kern w:val="0"/>
                <w:szCs w:val="21"/>
              </w:rPr>
              <w:t>个月的社保证明无法提供的，则可以往前顺延一个月；</w:t>
            </w:r>
          </w:p>
          <w:p>
            <w:pPr>
              <w:rPr>
                <w:rFonts w:ascii="宋体" w:hAnsi="宋体" w:cs="宋体"/>
                <w:color w:val="000000"/>
                <w:kern w:val="0"/>
                <w:szCs w:val="21"/>
              </w:rPr>
            </w:pPr>
            <w:r>
              <w:rPr>
                <w:rFonts w:hint="eastAsia" w:ascii="宋体" w:hAnsi="宋体" w:cs="宋体"/>
                <w:b/>
                <w:bCs/>
                <w:color w:val="000000"/>
                <w:kern w:val="0"/>
                <w:szCs w:val="21"/>
              </w:rPr>
              <w:t>2.相关证书：</w:t>
            </w:r>
            <w:r>
              <w:rPr>
                <w:rFonts w:hint="eastAsia" w:ascii="宋体" w:hAnsi="宋体" w:cs="宋体"/>
                <w:color w:val="000000"/>
                <w:kern w:val="0"/>
                <w:szCs w:val="21"/>
              </w:rPr>
              <w:t>提供证书扫描件，原件备查。</w:t>
            </w:r>
          </w:p>
          <w:p>
            <w:r>
              <w:rPr>
                <w:rFonts w:hint="eastAsia"/>
                <w:b/>
                <w:bCs/>
              </w:rPr>
              <w:t>3.学历证明：</w:t>
            </w:r>
            <w:r>
              <w:rPr>
                <w:rFonts w:hint="eastAsia"/>
              </w:rPr>
              <w:t>提供学历证书，还需提供学历认证报告或学信网（https://www.chsi.om.cn/）查询截图。学信网无法查询的，可提供其他佐证材料（如毕业院校、人社部门等颁发机构或监管机构等单位出具的证明），留学归国人员如无法提供学信网查询记录截图，提供国（境）外学历证书扫描件（以及中文翻译件）和教育部留学服务中心出具的国外学历学位认证书扫描件【或教育部留学服务中心网站（http://zwfw.cscse.edu.cn/）在线查询截图】也予以认可。</w:t>
            </w:r>
          </w:p>
          <w:p>
            <w:pPr>
              <w:kinsoku w:val="0"/>
              <w:autoSpaceDE w:val="0"/>
              <w:autoSpaceDN w:val="0"/>
              <w:adjustRightInd w:val="0"/>
              <w:snapToGrid w:val="0"/>
              <w:spacing w:line="260" w:lineRule="exact"/>
              <w:textAlignment w:val="baseline"/>
              <w:rPr>
                <w:rFonts w:ascii="宋体" w:hAnsi="宋体" w:cs="宋体"/>
                <w:color w:val="000000"/>
                <w:kern w:val="0"/>
                <w:szCs w:val="21"/>
              </w:rPr>
            </w:pPr>
            <w:r>
              <w:rPr>
                <w:rFonts w:hint="eastAsia"/>
              </w:rPr>
              <w:t>以上证明材料原件备查，未按要求提供或提供不清晰导致专家无法判断的不得分。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c>
          <w:tcPr>
            <w:tcW w:w="675" w:type="dxa"/>
            <w:tcBorders>
              <w:left w:val="single" w:color="000000" w:sz="8" w:space="0"/>
              <w:bottom w:val="single" w:color="000000" w:sz="8" w:space="0"/>
              <w:right w:val="single" w:color="000000" w:sz="8" w:space="0"/>
            </w:tcBorders>
            <w:vAlign w:val="center"/>
          </w:tcPr>
          <w:p>
            <w:pPr>
              <w:rPr>
                <w:rFonts w:ascii="宋体" w:hAnsi="宋体" w:cs="宋体"/>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pPr>
              <w:wordWrap w:val="0"/>
              <w:jc w:val="center"/>
              <w:rPr>
                <w:rFonts w:ascii="宋体" w:hAnsi="宋体" w:cs="宋体"/>
                <w:szCs w:val="21"/>
              </w:rPr>
            </w:pPr>
            <w:r>
              <w:rPr>
                <w:rFonts w:ascii="宋体" w:hAnsi="宋体" w:cs="宋体"/>
                <w:szCs w:val="21"/>
              </w:rPr>
              <w:t>5</w:t>
            </w:r>
          </w:p>
        </w:tc>
        <w:tc>
          <w:tcPr>
            <w:tcW w:w="1134" w:type="dxa"/>
            <w:tcBorders>
              <w:top w:val="single" w:color="000000" w:sz="8" w:space="0"/>
              <w:left w:val="single" w:color="000000" w:sz="8" w:space="0"/>
              <w:bottom w:val="single" w:color="000000" w:sz="8" w:space="0"/>
              <w:right w:val="single" w:color="000000" w:sz="8" w:space="0"/>
            </w:tcBorders>
            <w:vAlign w:val="center"/>
          </w:tcPr>
          <w:p>
            <w:pPr>
              <w:jc w:val="center"/>
              <w:rPr>
                <w:rFonts w:ascii="宋体" w:hAnsi="宋体" w:cs="宋体"/>
                <w:szCs w:val="21"/>
              </w:rPr>
            </w:pPr>
            <w:r>
              <w:rPr>
                <w:rStyle w:val="132"/>
              </w:rPr>
              <w:t>拟安排的项目团队成员情况（项目经理除外）</w:t>
            </w:r>
          </w:p>
        </w:tc>
        <w:tc>
          <w:tcPr>
            <w:tcW w:w="1276" w:type="dxa"/>
            <w:tcBorders>
              <w:top w:val="single" w:color="000000" w:sz="8" w:space="0"/>
              <w:left w:val="single" w:color="000000" w:sz="8" w:space="0"/>
              <w:bottom w:val="single" w:color="000000" w:sz="8" w:space="0"/>
              <w:right w:val="single" w:color="000000" w:sz="8" w:space="0"/>
            </w:tcBorders>
            <w:vAlign w:val="center"/>
          </w:tcPr>
          <w:p>
            <w:pPr>
              <w:spacing w:line="440" w:lineRule="exact"/>
              <w:jc w:val="center"/>
              <w:rPr>
                <w:rFonts w:ascii="宋体" w:hAnsi="宋体" w:cs="宋体"/>
                <w:szCs w:val="21"/>
              </w:rPr>
            </w:pPr>
            <w:r>
              <w:rPr>
                <w:rFonts w:ascii="宋体" w:hAnsi="宋体" w:cs="宋体"/>
                <w:b/>
                <w:bCs/>
                <w:color w:val="000000"/>
                <w:szCs w:val="21"/>
              </w:rPr>
              <w:t>10</w:t>
            </w:r>
          </w:p>
        </w:tc>
        <w:tc>
          <w:tcPr>
            <w:tcW w:w="5350" w:type="dxa"/>
            <w:tcBorders>
              <w:top w:val="single" w:color="000000" w:sz="8" w:space="0"/>
              <w:left w:val="single" w:color="000000" w:sz="8" w:space="0"/>
              <w:bottom w:val="single" w:color="000000" w:sz="8" w:space="0"/>
              <w:right w:val="single" w:color="000000" w:sz="8" w:space="0"/>
            </w:tcBorders>
          </w:tcPr>
          <w:p>
            <w:pPr>
              <w:widowControl/>
              <w:jc w:val="left"/>
              <w:textAlignment w:val="top"/>
              <w:rPr>
                <w:rStyle w:val="155"/>
                <w:rFonts w:hint="eastAsia"/>
              </w:rPr>
            </w:pPr>
            <w:r>
              <w:rPr>
                <w:rStyle w:val="155"/>
              </w:rPr>
              <w:t>（一）评分内容</w:t>
            </w:r>
          </w:p>
          <w:p>
            <w:pPr>
              <w:kinsoku w:val="0"/>
              <w:autoSpaceDE w:val="0"/>
              <w:autoSpaceDN w:val="0"/>
              <w:adjustRightInd w:val="0"/>
              <w:snapToGrid w:val="0"/>
              <w:spacing w:line="260" w:lineRule="exact"/>
              <w:textAlignment w:val="baseline"/>
              <w:rPr>
                <w:rFonts w:ascii="宋体" w:hAnsi="宋体" w:cs="宋体"/>
                <w:color w:val="000000"/>
                <w:szCs w:val="21"/>
              </w:rPr>
            </w:pPr>
            <w:r>
              <w:rPr>
                <w:rFonts w:ascii="宋体" w:hAnsi="宋体" w:cs="宋体"/>
                <w:color w:val="000000"/>
                <w:szCs w:val="21"/>
              </w:rPr>
              <w:t>拟安排的项目团队成员为投标人</w:t>
            </w:r>
            <w:r>
              <w:rPr>
                <w:rFonts w:hint="eastAsia" w:ascii="宋体" w:hAnsi="宋体" w:cs="宋体"/>
                <w:color w:val="000000"/>
                <w:szCs w:val="21"/>
              </w:rPr>
              <w:t>自</w:t>
            </w:r>
            <w:r>
              <w:rPr>
                <w:rFonts w:ascii="宋体" w:hAnsi="宋体" w:cs="宋体"/>
                <w:color w:val="000000"/>
                <w:szCs w:val="21"/>
              </w:rPr>
              <w:t>有员工（以社保证明为准），不满足以上要求的，本项不得分。</w:t>
            </w:r>
          </w:p>
          <w:p>
            <w:pPr>
              <w:kinsoku w:val="0"/>
              <w:autoSpaceDE w:val="0"/>
              <w:autoSpaceDN w:val="0"/>
              <w:adjustRightInd w:val="0"/>
              <w:snapToGrid w:val="0"/>
              <w:spacing w:line="260" w:lineRule="exact"/>
              <w:textAlignment w:val="baseline"/>
              <w:rPr>
                <w:rFonts w:ascii="宋体" w:hAnsi="宋体" w:cs="宋体"/>
                <w:b/>
                <w:bCs/>
                <w:color w:val="000000"/>
                <w:szCs w:val="21"/>
              </w:rPr>
            </w:pPr>
            <w:r>
              <w:rPr>
                <w:rFonts w:hint="eastAsia" w:ascii="宋体" w:hAnsi="宋体" w:cs="宋体"/>
                <w:b/>
                <w:bCs/>
                <w:color w:val="000000"/>
                <w:szCs w:val="21"/>
              </w:rPr>
              <w:t>1.物业管理人员1名，最高得</w:t>
            </w:r>
            <w:r>
              <w:rPr>
                <w:rFonts w:ascii="宋体" w:hAnsi="宋体" w:cs="宋体"/>
                <w:b/>
                <w:bCs/>
                <w:color w:val="000000"/>
                <w:szCs w:val="21"/>
              </w:rPr>
              <w:t>60</w:t>
            </w:r>
            <w:r>
              <w:rPr>
                <w:rFonts w:hint="eastAsia" w:ascii="宋体" w:hAnsi="宋体" w:cs="宋体"/>
                <w:b/>
                <w:bCs/>
                <w:color w:val="000000"/>
                <w:szCs w:val="21"/>
              </w:rPr>
              <w:t>分</w:t>
            </w:r>
            <w:r>
              <w:rPr>
                <w:rFonts w:ascii="宋体" w:hAnsi="宋体" w:cs="宋体"/>
                <w:b/>
                <w:bCs/>
                <w:color w:val="000000"/>
                <w:szCs w:val="21"/>
              </w:rPr>
              <w:t>：</w:t>
            </w:r>
          </w:p>
          <w:p>
            <w:pPr>
              <w:kinsoku w:val="0"/>
              <w:autoSpaceDE w:val="0"/>
              <w:autoSpaceDN w:val="0"/>
              <w:adjustRightInd w:val="0"/>
              <w:snapToGrid w:val="0"/>
              <w:spacing w:line="260" w:lineRule="exact"/>
              <w:textAlignment w:val="baseline"/>
              <w:rPr>
                <w:rFonts w:ascii="宋体" w:hAnsi="宋体" w:cs="宋体"/>
                <w:color w:val="000000" w:themeColor="text1"/>
                <w:szCs w:val="21"/>
              </w:rPr>
            </w:pPr>
            <w:r>
              <w:rPr>
                <w:rFonts w:hint="eastAsia" w:ascii="宋体" w:hAnsi="宋体" w:cs="宋体"/>
                <w:color w:val="000000"/>
                <w:szCs w:val="21"/>
              </w:rPr>
              <w:t>（1）</w:t>
            </w:r>
            <w:r>
              <w:rPr>
                <w:rFonts w:ascii="宋体" w:hAnsi="宋体" w:cs="宋体"/>
                <w:color w:val="000000"/>
                <w:szCs w:val="21"/>
              </w:rPr>
              <w:t>具有</w:t>
            </w:r>
            <w:r>
              <w:rPr>
                <w:rFonts w:hint="eastAsia" w:ascii="宋体" w:hAnsi="宋体" w:cs="宋体"/>
                <w:color w:val="000000" w:themeColor="text1"/>
                <w:szCs w:val="21"/>
              </w:rPr>
              <w:t>管理类专业本科</w:t>
            </w:r>
            <w:r>
              <w:rPr>
                <w:rFonts w:ascii="宋体" w:hAnsi="宋体" w:cs="宋体"/>
                <w:color w:val="000000" w:themeColor="text1"/>
                <w:szCs w:val="21"/>
              </w:rPr>
              <w:t>或以上学历</w:t>
            </w:r>
            <w:r>
              <w:rPr>
                <w:rFonts w:hint="eastAsia" w:ascii="宋体" w:hAnsi="宋体" w:cs="宋体"/>
                <w:color w:val="000000" w:themeColor="text1"/>
                <w:szCs w:val="21"/>
              </w:rPr>
              <w:t>的</w:t>
            </w:r>
            <w:r>
              <w:rPr>
                <w:rFonts w:ascii="宋体" w:hAnsi="宋体" w:cs="宋体"/>
                <w:color w:val="000000" w:themeColor="text1"/>
                <w:szCs w:val="21"/>
              </w:rPr>
              <w:t>得20</w:t>
            </w:r>
            <w:r>
              <w:rPr>
                <w:rFonts w:hint="eastAsia" w:ascii="宋体" w:hAnsi="宋体" w:cs="宋体"/>
                <w:color w:val="000000" w:themeColor="text1"/>
                <w:szCs w:val="21"/>
              </w:rPr>
              <w:t>分</w:t>
            </w:r>
            <w:r>
              <w:rPr>
                <w:rFonts w:ascii="宋体" w:hAnsi="宋体" w:cs="宋体"/>
                <w:color w:val="000000" w:themeColor="text1"/>
                <w:szCs w:val="21"/>
              </w:rPr>
              <w:t>；</w:t>
            </w:r>
          </w:p>
          <w:p>
            <w:pPr>
              <w:kinsoku w:val="0"/>
              <w:autoSpaceDE w:val="0"/>
              <w:autoSpaceDN w:val="0"/>
              <w:adjustRightInd w:val="0"/>
              <w:snapToGrid w:val="0"/>
              <w:spacing w:line="260" w:lineRule="exact"/>
              <w:textAlignment w:val="baseline"/>
              <w:rPr>
                <w:rFonts w:ascii="宋体" w:hAnsi="宋体" w:cs="宋体"/>
                <w:color w:val="000000"/>
                <w:szCs w:val="21"/>
              </w:rPr>
            </w:pPr>
            <w:r>
              <w:rPr>
                <w:rFonts w:hint="eastAsia" w:ascii="宋体" w:hAnsi="宋体" w:cs="宋体"/>
                <w:color w:val="000000" w:themeColor="text1"/>
                <w:szCs w:val="21"/>
              </w:rPr>
              <w:t>（2）</w:t>
            </w:r>
            <w:r>
              <w:rPr>
                <w:rFonts w:ascii="宋体" w:hAnsi="宋体" w:cs="宋体"/>
                <w:color w:val="000000" w:themeColor="text1"/>
                <w:szCs w:val="21"/>
              </w:rPr>
              <w:t>具有</w:t>
            </w:r>
            <w:r>
              <w:rPr>
                <w:rFonts w:hint="eastAsia" w:ascii="宋体" w:hAnsi="宋体" w:cs="宋体"/>
                <w:color w:val="000000" w:themeColor="text1"/>
                <w:szCs w:val="21"/>
              </w:rPr>
              <w:t>建设部</w:t>
            </w:r>
            <w:r>
              <w:rPr>
                <w:rFonts w:hint="eastAsia" w:ascii="宋体" w:hAnsi="宋体" w:cs="宋体"/>
                <w:color w:val="000000"/>
                <w:szCs w:val="21"/>
              </w:rPr>
              <w:t>人事教育司颁发的全国物业管理企业管理员证书得</w:t>
            </w:r>
            <w:r>
              <w:rPr>
                <w:rFonts w:ascii="宋体" w:hAnsi="宋体" w:cs="宋体"/>
                <w:color w:val="000000"/>
                <w:szCs w:val="21"/>
              </w:rPr>
              <w:t>20</w:t>
            </w:r>
            <w:r>
              <w:rPr>
                <w:rFonts w:hint="eastAsia" w:ascii="宋体" w:hAnsi="宋体" w:cs="宋体"/>
                <w:color w:val="000000"/>
                <w:szCs w:val="21"/>
              </w:rPr>
              <w:t>分；</w:t>
            </w:r>
          </w:p>
          <w:p>
            <w:pPr>
              <w:kinsoku w:val="0"/>
              <w:autoSpaceDE w:val="0"/>
              <w:autoSpaceDN w:val="0"/>
              <w:adjustRightInd w:val="0"/>
              <w:snapToGrid w:val="0"/>
              <w:spacing w:line="260" w:lineRule="exact"/>
              <w:textAlignment w:val="baseline"/>
              <w:rPr>
                <w:rFonts w:ascii="宋体" w:hAnsi="宋体" w:cs="宋体"/>
                <w:color w:val="000000"/>
                <w:szCs w:val="21"/>
              </w:rPr>
            </w:pPr>
            <w:r>
              <w:rPr>
                <w:rFonts w:hint="eastAsia" w:ascii="宋体" w:hAnsi="宋体" w:cs="宋体"/>
                <w:color w:val="000000"/>
                <w:szCs w:val="21"/>
              </w:rPr>
              <w:t>（3）具有人社部颁发的应急救援员职业资格证书得</w:t>
            </w:r>
            <w:r>
              <w:rPr>
                <w:rFonts w:ascii="宋体" w:hAnsi="宋体" w:cs="宋体"/>
                <w:color w:val="000000"/>
                <w:szCs w:val="21"/>
              </w:rPr>
              <w:t>20</w:t>
            </w:r>
            <w:r>
              <w:rPr>
                <w:rFonts w:hint="eastAsia" w:ascii="宋体" w:hAnsi="宋体" w:cs="宋体"/>
                <w:color w:val="000000"/>
                <w:szCs w:val="21"/>
              </w:rPr>
              <w:t>分。</w:t>
            </w:r>
          </w:p>
          <w:p>
            <w:pPr>
              <w:kinsoku w:val="0"/>
              <w:autoSpaceDE w:val="0"/>
              <w:autoSpaceDN w:val="0"/>
              <w:adjustRightInd w:val="0"/>
              <w:snapToGrid w:val="0"/>
              <w:spacing w:line="260" w:lineRule="exact"/>
              <w:textAlignment w:val="baseline"/>
              <w:rPr>
                <w:rFonts w:ascii="宋体" w:hAnsi="宋体" w:cs="宋体"/>
                <w:b/>
                <w:bCs/>
                <w:color w:val="000000"/>
                <w:szCs w:val="21"/>
              </w:rPr>
            </w:pPr>
            <w:r>
              <w:rPr>
                <w:rFonts w:ascii="宋体" w:hAnsi="宋体" w:cs="宋体"/>
                <w:b/>
                <w:bCs/>
                <w:color w:val="000000"/>
                <w:szCs w:val="21"/>
              </w:rPr>
              <w:t>2</w:t>
            </w:r>
            <w:r>
              <w:rPr>
                <w:rFonts w:hint="eastAsia" w:ascii="宋体" w:hAnsi="宋体" w:cs="宋体"/>
                <w:b/>
                <w:bCs/>
                <w:color w:val="000000"/>
                <w:szCs w:val="21"/>
              </w:rPr>
              <w:t>.行政人员1名，最高得</w:t>
            </w:r>
            <w:r>
              <w:rPr>
                <w:rFonts w:ascii="宋体" w:hAnsi="宋体" w:cs="宋体"/>
                <w:b/>
                <w:bCs/>
                <w:color w:val="000000"/>
                <w:szCs w:val="21"/>
              </w:rPr>
              <w:t>40</w:t>
            </w:r>
            <w:r>
              <w:rPr>
                <w:rFonts w:hint="eastAsia" w:ascii="宋体" w:hAnsi="宋体" w:cs="宋体"/>
                <w:b/>
                <w:bCs/>
                <w:color w:val="000000"/>
                <w:szCs w:val="21"/>
              </w:rPr>
              <w:t>分</w:t>
            </w:r>
            <w:r>
              <w:rPr>
                <w:rFonts w:ascii="宋体" w:hAnsi="宋体" w:cs="宋体"/>
                <w:b/>
                <w:bCs/>
                <w:color w:val="000000"/>
                <w:szCs w:val="21"/>
              </w:rPr>
              <w:t>：</w:t>
            </w:r>
          </w:p>
          <w:p>
            <w:pPr>
              <w:kinsoku w:val="0"/>
              <w:autoSpaceDE w:val="0"/>
              <w:autoSpaceDN w:val="0"/>
              <w:adjustRightInd w:val="0"/>
              <w:snapToGrid w:val="0"/>
              <w:spacing w:line="260" w:lineRule="exact"/>
              <w:textAlignment w:val="baseline"/>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具有</w:t>
            </w:r>
            <w:r>
              <w:rPr>
                <w:rFonts w:hint="eastAsia" w:ascii="宋体" w:hAnsi="宋体" w:cs="宋体"/>
                <w:color w:val="000000"/>
                <w:szCs w:val="21"/>
              </w:rPr>
              <w:t>大专</w:t>
            </w:r>
            <w:r>
              <w:rPr>
                <w:rFonts w:ascii="宋体" w:hAnsi="宋体" w:cs="宋体"/>
                <w:color w:val="000000"/>
                <w:szCs w:val="21"/>
              </w:rPr>
              <w:t>或以上学历</w:t>
            </w:r>
            <w:r>
              <w:rPr>
                <w:rFonts w:hint="eastAsia" w:ascii="宋体" w:hAnsi="宋体" w:cs="宋体"/>
                <w:color w:val="000000"/>
                <w:szCs w:val="21"/>
              </w:rPr>
              <w:t>的得</w:t>
            </w:r>
            <w:r>
              <w:rPr>
                <w:rFonts w:ascii="宋体" w:hAnsi="宋体" w:cs="宋体"/>
                <w:color w:val="000000"/>
                <w:szCs w:val="21"/>
              </w:rPr>
              <w:t>20</w:t>
            </w:r>
            <w:r>
              <w:rPr>
                <w:rFonts w:hint="eastAsia" w:ascii="宋体" w:hAnsi="宋体" w:cs="宋体"/>
                <w:color w:val="000000"/>
                <w:szCs w:val="21"/>
              </w:rPr>
              <w:t>分</w:t>
            </w:r>
            <w:r>
              <w:rPr>
                <w:rFonts w:ascii="宋体" w:hAnsi="宋体" w:cs="宋体"/>
                <w:color w:val="000000"/>
                <w:szCs w:val="21"/>
              </w:rPr>
              <w:t>；</w:t>
            </w:r>
          </w:p>
          <w:p>
            <w:pPr>
              <w:kinsoku w:val="0"/>
              <w:autoSpaceDE w:val="0"/>
              <w:autoSpaceDN w:val="0"/>
              <w:adjustRightInd w:val="0"/>
              <w:snapToGrid w:val="0"/>
              <w:spacing w:line="260" w:lineRule="exact"/>
              <w:textAlignment w:val="baseline"/>
              <w:rPr>
                <w:rFonts w:ascii="宋体" w:hAnsi="宋体" w:cs="宋体"/>
                <w:color w:val="000000"/>
                <w:szCs w:val="21"/>
              </w:rPr>
            </w:pPr>
            <w:r>
              <w:rPr>
                <w:rFonts w:hint="eastAsia" w:ascii="宋体" w:hAnsi="宋体" w:cs="宋体"/>
                <w:color w:val="000000"/>
                <w:szCs w:val="21"/>
              </w:rPr>
              <w:t>（2）</w:t>
            </w:r>
            <w:r>
              <w:rPr>
                <w:rFonts w:ascii="宋体" w:hAnsi="宋体" w:cs="宋体"/>
                <w:color w:val="000000"/>
                <w:szCs w:val="21"/>
              </w:rPr>
              <w:t>具有</w:t>
            </w:r>
            <w:r>
              <w:rPr>
                <w:rFonts w:hint="eastAsia" w:ascii="宋体" w:hAnsi="宋体" w:cs="宋体"/>
                <w:color w:val="000000"/>
                <w:szCs w:val="21"/>
              </w:rPr>
              <w:t>人社部颁发的社会工作者职业资格（级别：助理社会工作师）证书得</w:t>
            </w:r>
            <w:r>
              <w:rPr>
                <w:rFonts w:ascii="宋体" w:hAnsi="宋体" w:cs="宋体"/>
                <w:color w:val="000000"/>
                <w:szCs w:val="21"/>
              </w:rPr>
              <w:t>20</w:t>
            </w:r>
            <w:r>
              <w:rPr>
                <w:rFonts w:hint="eastAsia" w:ascii="宋体" w:hAnsi="宋体" w:cs="宋体"/>
                <w:color w:val="000000"/>
                <w:szCs w:val="21"/>
              </w:rPr>
              <w:t>分。</w:t>
            </w:r>
          </w:p>
          <w:p>
            <w:pPr>
              <w:kinsoku w:val="0"/>
              <w:autoSpaceDE w:val="0"/>
              <w:autoSpaceDN w:val="0"/>
              <w:adjustRightInd w:val="0"/>
              <w:snapToGrid w:val="0"/>
              <w:spacing w:line="260" w:lineRule="exact"/>
              <w:textAlignment w:val="baseline"/>
              <w:rPr>
                <w:rFonts w:ascii="宋体" w:hAnsi="宋体" w:cs="宋体"/>
                <w:color w:val="000000"/>
                <w:szCs w:val="21"/>
              </w:rPr>
            </w:pPr>
            <w:r>
              <w:rPr>
                <w:rFonts w:ascii="宋体" w:hAnsi="宋体" w:cs="宋体"/>
                <w:color w:val="000000"/>
                <w:szCs w:val="21"/>
              </w:rPr>
              <w:t>以上累计得分，最</w:t>
            </w:r>
            <w:r>
              <w:rPr>
                <w:rFonts w:hint="eastAsia" w:ascii="宋体" w:hAnsi="宋体" w:cs="宋体"/>
                <w:color w:val="000000"/>
                <w:szCs w:val="21"/>
              </w:rPr>
              <w:t>高</w:t>
            </w:r>
            <w:r>
              <w:rPr>
                <w:rFonts w:ascii="宋体" w:hAnsi="宋体" w:cs="宋体"/>
                <w:color w:val="000000"/>
                <w:szCs w:val="21"/>
              </w:rPr>
              <w:t>得100分</w:t>
            </w:r>
            <w:r>
              <w:rPr>
                <w:rFonts w:hint="eastAsia" w:ascii="宋体" w:hAnsi="宋体" w:cs="宋体"/>
                <w:color w:val="000000"/>
                <w:szCs w:val="21"/>
              </w:rPr>
              <w:t>，</w:t>
            </w:r>
            <w:r>
              <w:rPr>
                <w:rFonts w:ascii="宋体" w:hAnsi="宋体" w:cs="宋体"/>
                <w:color w:val="000000"/>
                <w:szCs w:val="21"/>
              </w:rPr>
              <w:t>同一人</w:t>
            </w:r>
            <w:r>
              <w:rPr>
                <w:rFonts w:hint="eastAsia" w:ascii="宋体" w:hAnsi="宋体" w:cs="宋体"/>
                <w:color w:val="000000"/>
                <w:szCs w:val="21"/>
              </w:rPr>
              <w:t>不可</w:t>
            </w:r>
            <w:r>
              <w:rPr>
                <w:rFonts w:ascii="宋体" w:hAnsi="宋体" w:cs="宋体"/>
                <w:color w:val="000000"/>
                <w:szCs w:val="21"/>
              </w:rPr>
              <w:t>重复计分。</w:t>
            </w:r>
          </w:p>
          <w:p>
            <w:pPr>
              <w:wordWrap w:val="0"/>
              <w:rPr>
                <w:rFonts w:ascii="Calibri" w:hAnsi="Calibri" w:cs="Arial"/>
                <w:b/>
                <w:bCs/>
                <w:color w:val="000000"/>
                <w:szCs w:val="21"/>
              </w:rPr>
            </w:pPr>
            <w:r>
              <w:rPr>
                <w:rFonts w:ascii="Calibri" w:hAnsi="Calibri" w:cs="Arial"/>
                <w:b/>
                <w:bCs/>
                <w:color w:val="000000"/>
                <w:szCs w:val="21"/>
              </w:rPr>
              <w:t>（二）</w:t>
            </w:r>
            <w:r>
              <w:rPr>
                <w:rFonts w:hint="eastAsia" w:ascii="Calibri" w:hAnsi="Calibri" w:cs="Arial"/>
                <w:b/>
                <w:bCs/>
                <w:color w:val="000000"/>
                <w:szCs w:val="21"/>
              </w:rPr>
              <w:t>评分依据</w:t>
            </w:r>
          </w:p>
          <w:p>
            <w:pPr>
              <w:widowControl/>
              <w:wordWrap w:val="0"/>
              <w:jc w:val="left"/>
              <w:rPr>
                <w:rFonts w:ascii="宋体" w:hAnsi="宋体" w:cs="宋体"/>
                <w:color w:val="000000"/>
                <w:kern w:val="0"/>
                <w:szCs w:val="21"/>
              </w:rPr>
            </w:pPr>
            <w:r>
              <w:rPr>
                <w:rFonts w:hint="eastAsia" w:ascii="宋体" w:hAnsi="宋体" w:cs="宋体"/>
                <w:b/>
                <w:bCs/>
                <w:color w:val="000000"/>
                <w:kern w:val="0"/>
                <w:szCs w:val="21"/>
              </w:rPr>
              <w:t>1.社保证明：</w:t>
            </w:r>
            <w:r>
              <w:rPr>
                <w:rFonts w:hint="eastAsia" w:ascii="宋体" w:hAnsi="宋体" w:cs="宋体"/>
                <w:color w:val="000000"/>
                <w:kern w:val="0"/>
                <w:szCs w:val="21"/>
              </w:rPr>
              <w:t>需提供通过投标人缴纳的投标截止日近</w:t>
            </w:r>
            <w:r>
              <w:rPr>
                <w:rFonts w:ascii="宋体" w:hAnsi="宋体" w:cs="宋体"/>
                <w:color w:val="000000"/>
                <w:kern w:val="0"/>
                <w:szCs w:val="21"/>
              </w:rPr>
              <w:t>3</w:t>
            </w:r>
            <w:r>
              <w:rPr>
                <w:rFonts w:hint="eastAsia" w:ascii="宋体" w:hAnsi="宋体" w:cs="宋体"/>
                <w:color w:val="000000"/>
                <w:kern w:val="0"/>
                <w:szCs w:val="21"/>
              </w:rPr>
              <w:t>个月的社保证明。近</w:t>
            </w:r>
            <w:r>
              <w:rPr>
                <w:rFonts w:ascii="宋体" w:hAnsi="宋体" w:cs="宋体"/>
                <w:color w:val="000000"/>
                <w:kern w:val="0"/>
                <w:szCs w:val="21"/>
              </w:rPr>
              <w:t>3</w:t>
            </w:r>
            <w:r>
              <w:rPr>
                <w:rFonts w:hint="eastAsia" w:ascii="宋体" w:hAnsi="宋体" w:cs="宋体"/>
                <w:color w:val="000000"/>
                <w:kern w:val="0"/>
                <w:szCs w:val="21"/>
              </w:rPr>
              <w:t>个月的社保证明无法提供的，则可以往前顺延一个月。</w:t>
            </w:r>
          </w:p>
          <w:p>
            <w:pPr>
              <w:widowControl/>
              <w:wordWrap w:val="0"/>
              <w:jc w:val="left"/>
              <w:rPr>
                <w:rFonts w:ascii="宋体" w:hAnsi="宋体" w:cs="宋体"/>
                <w:color w:val="000000"/>
                <w:kern w:val="0"/>
                <w:szCs w:val="21"/>
              </w:rPr>
            </w:pPr>
            <w:r>
              <w:rPr>
                <w:rFonts w:hint="eastAsia" w:ascii="宋体" w:hAnsi="宋体" w:cs="宋体"/>
                <w:b/>
                <w:bCs/>
                <w:color w:val="000000"/>
                <w:kern w:val="0"/>
                <w:szCs w:val="21"/>
              </w:rPr>
              <w:t>2.相关证书：</w:t>
            </w:r>
            <w:r>
              <w:rPr>
                <w:rFonts w:hint="eastAsia" w:ascii="宋体" w:hAnsi="宋体" w:cs="宋体"/>
                <w:color w:val="000000"/>
                <w:kern w:val="0"/>
                <w:szCs w:val="21"/>
              </w:rPr>
              <w:t>提供证书扫描件，原件备查。</w:t>
            </w:r>
          </w:p>
          <w:p>
            <w:r>
              <w:rPr>
                <w:rFonts w:hint="eastAsia"/>
                <w:b/>
                <w:bCs/>
              </w:rPr>
              <w:t>3.学历证明：</w:t>
            </w:r>
            <w:r>
              <w:rPr>
                <w:rFonts w:hint="eastAsia"/>
              </w:rPr>
              <w:t>提供学历证书，还需提供学历认证报告或学信网（https://www.chsi.om.cn/）查询截图。学信网无法查询的，可提供其他佐证材料（如毕业院校、人社部门等颁发机构或监管机构等单位出具的证明），留学归国人员如无法提供学信网查询记录截图，提供国（境）外学历证书扫描件（以及中文翻译件）和教育部留学服务中心出具的国外学历学位认证书扫描件【或教育部留学服务中心网站（http://zwfw.cscse.edu.cn/）在线查询截图】也予以认可。</w:t>
            </w:r>
          </w:p>
          <w:p>
            <w:pPr>
              <w:kinsoku w:val="0"/>
              <w:autoSpaceDE w:val="0"/>
              <w:autoSpaceDN w:val="0"/>
              <w:adjustRightInd w:val="0"/>
              <w:snapToGrid w:val="0"/>
              <w:spacing w:line="260" w:lineRule="exact"/>
              <w:textAlignment w:val="baseline"/>
              <w:rPr>
                <w:rFonts w:ascii="宋体" w:hAnsi="宋体" w:cs="宋体"/>
                <w:color w:val="000000"/>
                <w:kern w:val="0"/>
                <w:szCs w:val="21"/>
              </w:rPr>
            </w:pPr>
            <w:r>
              <w:rPr>
                <w:rFonts w:hint="eastAsia"/>
              </w:rPr>
              <w:t>以上证明材料原件备查，未按要求提供或提供不清晰导致专家无法判断的不得分。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c>
          <w:tcPr>
            <w:tcW w:w="675" w:type="dxa"/>
            <w:vMerge w:val="restart"/>
            <w:tcBorders>
              <w:top w:val="single" w:color="000000" w:sz="8" w:space="0"/>
              <w:left w:val="single" w:color="000000" w:sz="8" w:space="0"/>
              <w:right w:val="single" w:color="000000" w:sz="8" w:space="0"/>
            </w:tcBorders>
          </w:tcPr>
          <w:p>
            <w:pPr>
              <w:wordWrap w:val="0"/>
              <w:jc w:val="center"/>
              <w:rPr>
                <w:rFonts w:ascii="宋体" w:hAnsi="宋体" w:cs="宋体"/>
                <w:b/>
                <w:bCs/>
                <w:color w:val="0000FF"/>
                <w:szCs w:val="21"/>
              </w:rPr>
            </w:pPr>
            <w:r>
              <w:rPr>
                <w:rFonts w:hint="eastAsia" w:ascii="宋体" w:hAnsi="宋体" w:cs="宋体"/>
                <w:b/>
                <w:bCs/>
                <w:color w:val="0000FF"/>
                <w:szCs w:val="21"/>
              </w:rPr>
              <w:t>3</w:t>
            </w:r>
          </w:p>
        </w:tc>
        <w:tc>
          <w:tcPr>
            <w:tcW w:w="3119" w:type="dxa"/>
            <w:gridSpan w:val="3"/>
            <w:tcBorders>
              <w:top w:val="single" w:color="000000" w:sz="8" w:space="0"/>
              <w:left w:val="single" w:color="000000" w:sz="8" w:space="0"/>
              <w:bottom w:val="single" w:color="000000" w:sz="8" w:space="0"/>
              <w:right w:val="single" w:color="000000" w:sz="8" w:space="0"/>
            </w:tcBorders>
          </w:tcPr>
          <w:p>
            <w:pPr>
              <w:wordWrap w:val="0"/>
              <w:jc w:val="center"/>
              <w:rPr>
                <w:rFonts w:ascii="宋体" w:hAnsi="宋体" w:cs="宋体"/>
                <w:b/>
                <w:bCs/>
                <w:color w:val="0000FF"/>
                <w:szCs w:val="21"/>
              </w:rPr>
            </w:pPr>
            <w:r>
              <w:rPr>
                <w:rFonts w:hint="eastAsia" w:ascii="宋体" w:hAnsi="宋体" w:cs="宋体"/>
                <w:b/>
                <w:bCs/>
                <w:color w:val="0000FF"/>
                <w:szCs w:val="21"/>
              </w:rPr>
              <w:t>综合实力部分</w:t>
            </w:r>
          </w:p>
        </w:tc>
        <w:tc>
          <w:tcPr>
            <w:tcW w:w="5350" w:type="dxa"/>
            <w:tcBorders>
              <w:top w:val="single" w:color="000000" w:sz="8" w:space="0"/>
              <w:left w:val="single" w:color="000000" w:sz="8" w:space="0"/>
              <w:bottom w:val="single" w:color="000000" w:sz="8" w:space="0"/>
              <w:right w:val="single" w:color="000000" w:sz="8" w:space="0"/>
            </w:tcBorders>
          </w:tcPr>
          <w:p>
            <w:pPr>
              <w:wordWrap w:val="0"/>
              <w:jc w:val="center"/>
              <w:rPr>
                <w:rFonts w:ascii="宋体" w:hAnsi="宋体" w:cs="宋体"/>
                <w:b/>
                <w:bCs/>
                <w:color w:val="0000FF"/>
                <w:szCs w:val="21"/>
              </w:rPr>
            </w:pPr>
            <w:r>
              <w:rPr>
                <w:rFonts w:ascii="宋体" w:hAnsi="宋体" w:cs="宋体"/>
                <w:b/>
                <w:bCs/>
                <w:color w:val="0000FF"/>
                <w:szCs w:val="21"/>
              </w:rPr>
              <w:t>30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c>
          <w:tcPr>
            <w:tcW w:w="675" w:type="dxa"/>
            <w:vMerge w:val="continue"/>
            <w:tcBorders>
              <w:left w:val="single" w:color="000000" w:sz="8" w:space="0"/>
              <w:right w:val="single" w:color="000000" w:sz="8" w:space="0"/>
            </w:tcBorders>
            <w:shd w:val="clear" w:color="auto" w:fill="E6EFFA"/>
            <w:vAlign w:val="center"/>
          </w:tcPr>
          <w:p>
            <w:pPr>
              <w:rPr>
                <w:rFonts w:ascii="宋体" w:hAnsi="宋体" w:cs="宋体"/>
                <w:b/>
                <w:bCs/>
                <w:color w:val="0000FF"/>
                <w:szCs w:val="21"/>
              </w:rPr>
            </w:pPr>
          </w:p>
        </w:tc>
        <w:tc>
          <w:tcPr>
            <w:tcW w:w="709" w:type="dxa"/>
            <w:tcBorders>
              <w:top w:val="outset" w:color="000000" w:sz="6" w:space="0"/>
              <w:left w:val="outset" w:color="000000" w:sz="6" w:space="0"/>
              <w:bottom w:val="outset" w:color="000000" w:sz="6" w:space="0"/>
              <w:right w:val="outset" w:color="000000" w:sz="6" w:space="0"/>
            </w:tcBorders>
            <w:shd w:val="clear" w:color="auto" w:fill="E6EFFA"/>
            <w:vAlign w:val="center"/>
          </w:tcPr>
          <w:p>
            <w:pPr>
              <w:wordWrap w:val="0"/>
              <w:jc w:val="center"/>
              <w:rPr>
                <w:rFonts w:ascii="宋体" w:hAnsi="宋体" w:cs="宋体"/>
                <w:szCs w:val="21"/>
              </w:rPr>
            </w:pPr>
            <w:r>
              <w:rPr>
                <w:rFonts w:hint="eastAsia" w:ascii="宋体" w:hAnsi="宋体" w:cs="宋体"/>
                <w:szCs w:val="21"/>
              </w:rPr>
              <w:t>序号</w:t>
            </w:r>
          </w:p>
        </w:tc>
        <w:tc>
          <w:tcPr>
            <w:tcW w:w="1134" w:type="dxa"/>
            <w:tcBorders>
              <w:top w:val="outset" w:color="000000" w:sz="6" w:space="0"/>
              <w:left w:val="outset" w:color="000000" w:sz="6" w:space="0"/>
              <w:bottom w:val="outset" w:color="000000" w:sz="6" w:space="0"/>
              <w:right w:val="outset" w:color="000000" w:sz="6" w:space="0"/>
            </w:tcBorders>
            <w:shd w:val="clear" w:color="auto" w:fill="E6EFFA"/>
            <w:vAlign w:val="center"/>
          </w:tcPr>
          <w:p>
            <w:pPr>
              <w:wordWrap w:val="0"/>
              <w:jc w:val="center"/>
              <w:rPr>
                <w:rFonts w:ascii="宋体" w:hAnsi="宋体" w:cs="宋体"/>
                <w:szCs w:val="21"/>
              </w:rPr>
            </w:pPr>
            <w:r>
              <w:rPr>
                <w:rFonts w:hint="eastAsia" w:ascii="宋体" w:hAnsi="宋体" w:cs="宋体"/>
                <w:szCs w:val="21"/>
              </w:rPr>
              <w:t>评分因素</w:t>
            </w:r>
          </w:p>
        </w:tc>
        <w:tc>
          <w:tcPr>
            <w:tcW w:w="1276" w:type="dxa"/>
            <w:tcBorders>
              <w:top w:val="outset" w:color="000000" w:sz="6" w:space="0"/>
              <w:left w:val="outset" w:color="000000" w:sz="6" w:space="0"/>
              <w:bottom w:val="outset" w:color="000000" w:sz="6" w:space="0"/>
              <w:right w:val="outset" w:color="000000" w:sz="6" w:space="0"/>
            </w:tcBorders>
            <w:shd w:val="clear" w:color="auto" w:fill="E6EFFA"/>
            <w:vAlign w:val="center"/>
          </w:tcPr>
          <w:p>
            <w:pPr>
              <w:wordWrap w:val="0"/>
              <w:jc w:val="center"/>
              <w:rPr>
                <w:rFonts w:ascii="宋体" w:hAnsi="宋体" w:cs="宋体"/>
                <w:szCs w:val="21"/>
              </w:rPr>
            </w:pPr>
            <w:r>
              <w:rPr>
                <w:rFonts w:hint="eastAsia" w:ascii="宋体" w:hAnsi="宋体" w:cs="宋体"/>
                <w:szCs w:val="21"/>
              </w:rPr>
              <w:t>权重(%)</w:t>
            </w:r>
          </w:p>
        </w:tc>
        <w:tc>
          <w:tcPr>
            <w:tcW w:w="5350" w:type="dxa"/>
            <w:tcBorders>
              <w:top w:val="outset" w:color="000000" w:sz="6" w:space="0"/>
              <w:left w:val="outset" w:color="000000" w:sz="6" w:space="0"/>
              <w:bottom w:val="outset" w:color="000000" w:sz="6" w:space="0"/>
              <w:right w:val="outset" w:color="000000" w:sz="6" w:space="0"/>
            </w:tcBorders>
            <w:shd w:val="clear" w:color="auto" w:fill="E6EFFA"/>
            <w:vAlign w:val="center"/>
          </w:tcPr>
          <w:p>
            <w:pPr>
              <w:wordWrap w:val="0"/>
              <w:jc w:val="center"/>
              <w:rPr>
                <w:rFonts w:ascii="宋体" w:hAnsi="宋体" w:cs="宋体"/>
                <w:szCs w:val="21"/>
              </w:rPr>
            </w:pPr>
            <w:r>
              <w:rPr>
                <w:rFonts w:hint="eastAsia" w:ascii="宋体" w:hAnsi="宋体" w:cs="宋体"/>
                <w:szCs w:val="21"/>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c>
          <w:tcPr>
            <w:tcW w:w="675" w:type="dxa"/>
            <w:vMerge w:val="continue"/>
            <w:tcBorders>
              <w:left w:val="single" w:color="000000" w:sz="8" w:space="0"/>
              <w:right w:val="single" w:color="000000" w:sz="8" w:space="0"/>
            </w:tcBorders>
            <w:vAlign w:val="center"/>
          </w:tcPr>
          <w:p>
            <w:pPr>
              <w:rPr>
                <w:rFonts w:ascii="宋体" w:hAnsi="宋体" w:cs="宋体"/>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pPr>
              <w:wordWrap w:val="0"/>
              <w:jc w:val="center"/>
              <w:rPr>
                <w:rFonts w:ascii="宋体" w:hAnsi="宋体" w:cs="宋体"/>
                <w:szCs w:val="21"/>
              </w:rPr>
            </w:pPr>
            <w:r>
              <w:rPr>
                <w:rFonts w:hint="eastAsia" w:ascii="宋体" w:hAnsi="宋体" w:cs="宋体"/>
                <w:szCs w:val="21"/>
              </w:rPr>
              <w:t>1</w:t>
            </w:r>
          </w:p>
        </w:tc>
        <w:tc>
          <w:tcPr>
            <w:tcW w:w="1134" w:type="dxa"/>
            <w:tcBorders>
              <w:top w:val="single" w:color="000000" w:sz="8" w:space="0"/>
              <w:left w:val="single" w:color="000000" w:sz="8" w:space="0"/>
              <w:bottom w:val="single" w:color="000000" w:sz="8" w:space="0"/>
              <w:right w:val="single" w:color="000000" w:sz="8" w:space="0"/>
            </w:tcBorders>
            <w:vAlign w:val="center"/>
          </w:tcPr>
          <w:p>
            <w:pPr>
              <w:spacing w:line="440" w:lineRule="exact"/>
              <w:jc w:val="center"/>
              <w:rPr>
                <w:rFonts w:cs="Arial"/>
                <w:color w:val="000000"/>
                <w:szCs w:val="21"/>
              </w:rPr>
            </w:pPr>
            <w:r>
              <w:rPr>
                <w:rFonts w:cs="Arial"/>
                <w:color w:val="000000"/>
                <w:szCs w:val="21"/>
              </w:rPr>
              <w:t>体系认证情况</w:t>
            </w:r>
          </w:p>
        </w:tc>
        <w:tc>
          <w:tcPr>
            <w:tcW w:w="1276" w:type="dxa"/>
            <w:tcBorders>
              <w:top w:val="single" w:color="000000" w:sz="8" w:space="0"/>
              <w:left w:val="single" w:color="000000" w:sz="8" w:space="0"/>
              <w:bottom w:val="single" w:color="000000" w:sz="8" w:space="0"/>
              <w:right w:val="single" w:color="000000" w:sz="8" w:space="0"/>
            </w:tcBorders>
            <w:vAlign w:val="center"/>
          </w:tcPr>
          <w:p>
            <w:pPr>
              <w:spacing w:line="440" w:lineRule="exact"/>
              <w:jc w:val="center"/>
              <w:rPr>
                <w:rFonts w:ascii="宋体" w:hAnsi="宋体" w:cs="宋体"/>
                <w:b/>
                <w:bCs/>
                <w:color w:val="000000"/>
                <w:szCs w:val="21"/>
              </w:rPr>
            </w:pPr>
            <w:r>
              <w:rPr>
                <w:rFonts w:hint="eastAsia" w:ascii="宋体" w:hAnsi="宋体" w:cs="宋体"/>
                <w:b/>
                <w:bCs/>
                <w:color w:val="000000"/>
                <w:szCs w:val="21"/>
              </w:rPr>
              <w:t>1</w:t>
            </w:r>
            <w:r>
              <w:rPr>
                <w:rFonts w:ascii="宋体" w:hAnsi="宋体" w:cs="宋体"/>
                <w:b/>
                <w:bCs/>
                <w:color w:val="000000"/>
                <w:szCs w:val="21"/>
              </w:rPr>
              <w:t>0</w:t>
            </w:r>
          </w:p>
        </w:tc>
        <w:tc>
          <w:tcPr>
            <w:tcW w:w="5350" w:type="dxa"/>
            <w:tcBorders>
              <w:top w:val="single" w:color="000000" w:sz="8" w:space="0"/>
              <w:left w:val="single" w:color="000000" w:sz="8" w:space="0"/>
              <w:bottom w:val="single" w:color="000000" w:sz="8" w:space="0"/>
              <w:right w:val="single" w:color="000000" w:sz="8" w:space="0"/>
            </w:tcBorders>
            <w:vAlign w:val="center"/>
          </w:tcPr>
          <w:p>
            <w:pPr>
              <w:spacing w:line="320" w:lineRule="exact"/>
              <w:rPr>
                <w:b/>
                <w:bCs/>
                <w:color w:val="000000"/>
              </w:rPr>
            </w:pPr>
            <w:r>
              <w:rPr>
                <w:rFonts w:hint="eastAsia"/>
                <w:b/>
                <w:bCs/>
                <w:color w:val="000000"/>
              </w:rPr>
              <w:t>（一）评分内容</w:t>
            </w:r>
          </w:p>
          <w:p>
            <w:r>
              <w:rPr>
                <w:rFonts w:hint="eastAsia"/>
              </w:rPr>
              <w:t>投标人具有以下体系认证证书：</w:t>
            </w:r>
          </w:p>
          <w:p>
            <w:pPr>
              <w:rPr>
                <w:rFonts w:ascii="宋体" w:hAnsi="宋体" w:cs="宋体"/>
                <w:color w:val="000000" w:themeColor="text1"/>
              </w:rPr>
            </w:pPr>
            <w:r>
              <w:rPr>
                <w:rFonts w:hint="eastAsia" w:ascii="宋体" w:hAnsi="宋体" w:cs="宋体"/>
                <w:color w:val="000000" w:themeColor="text1"/>
              </w:rPr>
              <w:t>（1）质量管理体系认证证书；</w:t>
            </w:r>
          </w:p>
          <w:p>
            <w:pPr>
              <w:rPr>
                <w:rFonts w:ascii="宋体" w:hAnsi="宋体" w:cs="宋体"/>
                <w:color w:val="000000" w:themeColor="text1"/>
              </w:rPr>
            </w:pPr>
            <w:r>
              <w:rPr>
                <w:rFonts w:hint="eastAsia" w:ascii="宋体" w:hAnsi="宋体" w:cs="宋体"/>
                <w:color w:val="000000" w:themeColor="text1"/>
              </w:rPr>
              <w:t>（2）职业健康安全管理体系认证证书；</w:t>
            </w:r>
          </w:p>
          <w:p>
            <w:pPr>
              <w:tabs>
                <w:tab w:val="left" w:pos="562"/>
                <w:tab w:val="left" w:pos="3372"/>
                <w:tab w:val="left" w:pos="3653"/>
              </w:tabs>
              <w:rPr>
                <w:rFonts w:ascii="宋体" w:hAnsi="宋体" w:cs="宋体"/>
                <w:color w:val="000000" w:themeColor="text1"/>
              </w:rPr>
            </w:pPr>
            <w:r>
              <w:rPr>
                <w:rFonts w:hint="eastAsia" w:ascii="宋体" w:hAnsi="宋体" w:cs="宋体"/>
                <w:color w:val="000000" w:themeColor="text1"/>
              </w:rPr>
              <w:t>（3）环境管理体系认证证书。</w:t>
            </w:r>
          </w:p>
          <w:p>
            <w:pPr>
              <w:pStyle w:val="18"/>
              <w:tabs>
                <w:tab w:val="left" w:pos="562"/>
                <w:tab w:val="left" w:pos="3372"/>
                <w:tab w:val="left" w:pos="3653"/>
              </w:tabs>
              <w:spacing w:line="240" w:lineRule="auto"/>
              <w:rPr>
                <w:rFonts w:ascii="宋体" w:hAnsi="宋体" w:cs="宋体"/>
                <w:b w:val="0"/>
                <w:bCs w:val="0"/>
                <w:color w:val="000000" w:themeColor="text1"/>
                <w:sz w:val="21"/>
                <w:szCs w:val="21"/>
              </w:rPr>
            </w:pPr>
            <w:r>
              <w:rPr>
                <w:rFonts w:hint="eastAsia" w:ascii="宋体" w:hAnsi="宋体" w:cs="宋体"/>
                <w:b w:val="0"/>
                <w:bCs w:val="0"/>
                <w:color w:val="000000" w:themeColor="text1"/>
                <w:sz w:val="21"/>
                <w:szCs w:val="21"/>
              </w:rPr>
              <w:t>（4）物业服务体系认证证书。</w:t>
            </w:r>
          </w:p>
          <w:p>
            <w:pPr>
              <w:rPr>
                <w:rFonts w:ascii="宋体" w:hAnsi="宋体" w:cs="宋体"/>
                <w:color w:val="000000" w:themeColor="text1"/>
                <w:szCs w:val="21"/>
              </w:rPr>
            </w:pPr>
            <w:r>
              <w:rPr>
                <w:rFonts w:hint="eastAsia" w:ascii="宋体" w:hAnsi="宋体" w:cs="宋体"/>
                <w:color w:val="000000" w:themeColor="text1"/>
                <w:szCs w:val="21"/>
              </w:rPr>
              <w:t>（5）生活垃圾分类服务能力体系认证证书。</w:t>
            </w:r>
          </w:p>
          <w:p>
            <w:r>
              <w:rPr>
                <w:rFonts w:hint="eastAsia"/>
              </w:rPr>
              <w:t>每提供一个得20分，最高</w:t>
            </w:r>
            <w:r>
              <w:t>100</w:t>
            </w:r>
            <w:r>
              <w:rPr>
                <w:rFonts w:hint="eastAsia"/>
              </w:rPr>
              <w:t>分。</w:t>
            </w:r>
          </w:p>
          <w:p>
            <w:pPr>
              <w:spacing w:line="320" w:lineRule="exact"/>
              <w:rPr>
                <w:b/>
                <w:bCs/>
                <w:color w:val="000000"/>
              </w:rPr>
            </w:pPr>
            <w:r>
              <w:rPr>
                <w:rFonts w:hint="eastAsia"/>
                <w:b/>
                <w:bCs/>
                <w:color w:val="000000"/>
              </w:rPr>
              <w:t>（二）评分依据</w:t>
            </w:r>
          </w:p>
          <w:p>
            <w:pPr>
              <w:spacing w:line="320" w:lineRule="exact"/>
              <w:rPr>
                <w:color w:val="000000"/>
              </w:rPr>
            </w:pPr>
            <w:r>
              <w:rPr>
                <w:rFonts w:hint="eastAsia"/>
                <w:color w:val="000000"/>
              </w:rPr>
              <w:t>投标人提供在有效期内的认证证书以及全国认证认可信息公共服务平台（http://cx.cnca.cn）查询截图（截图需显示证书状态为有效）。</w:t>
            </w:r>
          </w:p>
          <w:p>
            <w:pPr>
              <w:widowControl/>
              <w:jc w:val="left"/>
              <w:textAlignment w:val="top"/>
              <w:rPr>
                <w:rStyle w:val="155"/>
                <w:rFonts w:hint="eastAsia"/>
              </w:rPr>
            </w:pPr>
            <w:r>
              <w:rPr>
                <w:rFonts w:hint="eastAsia"/>
              </w:rPr>
              <w:t>以上证明材料原件备查，未按要求提供或提供不清晰导致专家无法判断的不得分。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c>
          <w:tcPr>
            <w:tcW w:w="675" w:type="dxa"/>
            <w:vMerge w:val="continue"/>
            <w:tcBorders>
              <w:left w:val="single" w:color="000000" w:sz="8" w:space="0"/>
              <w:right w:val="single" w:color="000000" w:sz="8" w:space="0"/>
            </w:tcBorders>
            <w:vAlign w:val="center"/>
          </w:tcPr>
          <w:p>
            <w:pPr>
              <w:rPr>
                <w:rFonts w:ascii="宋体" w:hAnsi="宋体" w:cs="宋体"/>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pPr>
              <w:wordWrap w:val="0"/>
              <w:jc w:val="center"/>
              <w:rPr>
                <w:rFonts w:ascii="宋体" w:hAnsi="宋体" w:cs="宋体"/>
                <w:szCs w:val="21"/>
              </w:rPr>
            </w:pPr>
            <w:r>
              <w:rPr>
                <w:rFonts w:ascii="宋体" w:hAnsi="宋体" w:cs="宋体"/>
                <w:szCs w:val="21"/>
              </w:rPr>
              <w:t>2</w:t>
            </w:r>
          </w:p>
        </w:tc>
        <w:tc>
          <w:tcPr>
            <w:tcW w:w="1134" w:type="dxa"/>
            <w:tcBorders>
              <w:top w:val="single" w:color="000000" w:sz="8" w:space="0"/>
              <w:left w:val="single" w:color="000000" w:sz="8" w:space="0"/>
              <w:bottom w:val="single" w:color="000000" w:sz="8" w:space="0"/>
              <w:right w:val="single" w:color="000000" w:sz="8" w:space="0"/>
            </w:tcBorders>
            <w:vAlign w:val="center"/>
          </w:tcPr>
          <w:p>
            <w:pPr>
              <w:spacing w:line="440" w:lineRule="exact"/>
              <w:jc w:val="center"/>
              <w:rPr>
                <w:rFonts w:ascii="宋体" w:hAnsi="宋体" w:cs="宋体"/>
                <w:szCs w:val="21"/>
              </w:rPr>
            </w:pPr>
            <w:r>
              <w:rPr>
                <w:rFonts w:hint="eastAsia" w:cs="Arial"/>
                <w:color w:val="000000"/>
                <w:szCs w:val="21"/>
              </w:rPr>
              <w:t>同类项目业绩</w:t>
            </w:r>
          </w:p>
        </w:tc>
        <w:tc>
          <w:tcPr>
            <w:tcW w:w="1276" w:type="dxa"/>
            <w:tcBorders>
              <w:top w:val="single" w:color="000000" w:sz="8" w:space="0"/>
              <w:left w:val="single" w:color="000000" w:sz="8" w:space="0"/>
              <w:bottom w:val="single" w:color="000000" w:sz="8" w:space="0"/>
              <w:right w:val="single" w:color="000000" w:sz="8" w:space="0"/>
            </w:tcBorders>
            <w:vAlign w:val="center"/>
          </w:tcPr>
          <w:p>
            <w:pPr>
              <w:spacing w:line="440" w:lineRule="exact"/>
              <w:jc w:val="center"/>
              <w:rPr>
                <w:rFonts w:ascii="宋体" w:hAnsi="宋体" w:cs="宋体"/>
                <w:szCs w:val="21"/>
              </w:rPr>
            </w:pPr>
            <w:r>
              <w:rPr>
                <w:rFonts w:ascii="宋体" w:hAnsi="宋体" w:cs="宋体"/>
                <w:b/>
                <w:bCs/>
                <w:color w:val="000000"/>
                <w:szCs w:val="21"/>
              </w:rPr>
              <w:t>10</w:t>
            </w:r>
          </w:p>
        </w:tc>
        <w:tc>
          <w:tcPr>
            <w:tcW w:w="5350" w:type="dxa"/>
            <w:tcBorders>
              <w:top w:val="single" w:color="000000" w:sz="8" w:space="0"/>
              <w:left w:val="single" w:color="000000" w:sz="8" w:space="0"/>
              <w:bottom w:val="single" w:color="000000" w:sz="8" w:space="0"/>
              <w:right w:val="single" w:color="000000" w:sz="8" w:space="0"/>
            </w:tcBorders>
            <w:vAlign w:val="center"/>
          </w:tcPr>
          <w:p>
            <w:pPr>
              <w:widowControl/>
              <w:jc w:val="left"/>
              <w:textAlignment w:val="top"/>
              <w:rPr>
                <w:rStyle w:val="155"/>
                <w:rFonts w:hint="eastAsia"/>
              </w:rPr>
            </w:pPr>
            <w:r>
              <w:rPr>
                <w:rStyle w:val="155"/>
              </w:rPr>
              <w:t>（一）评分内容</w:t>
            </w:r>
          </w:p>
          <w:p>
            <w:pPr>
              <w:kinsoku w:val="0"/>
              <w:autoSpaceDE w:val="0"/>
              <w:autoSpaceDN w:val="0"/>
              <w:adjustRightInd w:val="0"/>
              <w:snapToGrid w:val="0"/>
              <w:spacing w:line="260" w:lineRule="exact"/>
              <w:textAlignment w:val="baseline"/>
              <w:rPr>
                <w:rFonts w:ascii="宋体" w:hAnsi="宋体" w:cs="宋体"/>
                <w:color w:val="000000"/>
              </w:rPr>
            </w:pPr>
            <w:r>
              <w:rPr>
                <w:rFonts w:hint="eastAsia" w:ascii="宋体" w:hAnsi="宋体" w:cs="宋体"/>
                <w:color w:val="000000"/>
              </w:rPr>
              <w:t>投标人2020年1月1日至本项目招标公告发布之日（以合同签订日期为准），具有政府机关或事业单位物业服务经验的，每提供一个有效业绩得2</w:t>
            </w:r>
            <w:r>
              <w:rPr>
                <w:rFonts w:ascii="宋体" w:hAnsi="宋体" w:cs="宋体"/>
                <w:color w:val="000000"/>
              </w:rPr>
              <w:t>0</w:t>
            </w:r>
            <w:r>
              <w:rPr>
                <w:rFonts w:hint="eastAsia" w:ascii="宋体" w:hAnsi="宋体" w:cs="宋体"/>
                <w:color w:val="000000"/>
              </w:rPr>
              <w:t>分，最多得100分。</w:t>
            </w:r>
          </w:p>
          <w:p>
            <w:pPr>
              <w:wordWrap w:val="0"/>
              <w:rPr>
                <w:rFonts w:ascii="Calibri" w:hAnsi="Calibri" w:cs="Arial"/>
                <w:b/>
                <w:bCs/>
                <w:color w:val="000000"/>
                <w:szCs w:val="21"/>
              </w:rPr>
            </w:pPr>
            <w:r>
              <w:rPr>
                <w:rFonts w:ascii="Calibri" w:hAnsi="Calibri" w:cs="Arial"/>
                <w:b/>
                <w:bCs/>
                <w:color w:val="000000"/>
                <w:szCs w:val="21"/>
              </w:rPr>
              <w:t>（二）</w:t>
            </w:r>
            <w:r>
              <w:rPr>
                <w:rFonts w:hint="eastAsia" w:ascii="Calibri" w:hAnsi="Calibri" w:cs="Arial"/>
                <w:b/>
                <w:bCs/>
                <w:color w:val="000000"/>
                <w:szCs w:val="21"/>
              </w:rPr>
              <w:t>评分依据</w:t>
            </w:r>
          </w:p>
          <w:p>
            <w:pPr>
              <w:kinsoku w:val="0"/>
              <w:autoSpaceDE w:val="0"/>
              <w:autoSpaceDN w:val="0"/>
              <w:adjustRightInd w:val="0"/>
              <w:snapToGrid w:val="0"/>
              <w:spacing w:line="260" w:lineRule="exact"/>
              <w:textAlignment w:val="baseline"/>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提供</w:t>
            </w:r>
            <w:r>
              <w:rPr>
                <w:rFonts w:hint="eastAsia" w:ascii="宋体" w:hAnsi="宋体" w:cs="宋体"/>
                <w:color w:val="000000"/>
                <w:szCs w:val="21"/>
              </w:rPr>
              <w:t>合同</w:t>
            </w:r>
            <w:r>
              <w:rPr>
                <w:rFonts w:ascii="宋体" w:hAnsi="宋体" w:cs="宋体"/>
                <w:color w:val="000000"/>
                <w:szCs w:val="21"/>
              </w:rPr>
              <w:t>关键页（需体现对应的服务内容和签订日期信息）</w:t>
            </w:r>
            <w:r>
              <w:rPr>
                <w:rFonts w:hint="eastAsia" w:ascii="宋体" w:hAnsi="宋体" w:cs="宋体"/>
                <w:color w:val="000000"/>
                <w:szCs w:val="21"/>
              </w:rPr>
              <w:t>；</w:t>
            </w:r>
          </w:p>
          <w:p>
            <w:pPr>
              <w:kinsoku w:val="0"/>
              <w:autoSpaceDE w:val="0"/>
              <w:autoSpaceDN w:val="0"/>
              <w:adjustRightInd w:val="0"/>
              <w:snapToGrid w:val="0"/>
              <w:spacing w:line="260" w:lineRule="exact"/>
              <w:textAlignment w:val="baseline"/>
              <w:rPr>
                <w:rFonts w:ascii="宋体" w:hAnsi="宋体" w:cs="宋体"/>
                <w:szCs w:val="21"/>
              </w:rPr>
            </w:pPr>
            <w:r>
              <w:rPr>
                <w:rFonts w:ascii="宋体" w:hAnsi="宋体" w:cs="宋体"/>
                <w:color w:val="000000"/>
                <w:szCs w:val="21"/>
              </w:rPr>
              <w:t>原件备查，</w:t>
            </w:r>
            <w:r>
              <w:rPr>
                <w:rFonts w:hint="eastAsia"/>
              </w:rPr>
              <w:t>未按要求提供或提供不清晰导致专家无法判断的不得分。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c>
          <w:tcPr>
            <w:tcW w:w="675" w:type="dxa"/>
            <w:vMerge w:val="continue"/>
            <w:tcBorders>
              <w:left w:val="single" w:color="000000" w:sz="8" w:space="0"/>
              <w:right w:val="single" w:color="000000" w:sz="8" w:space="0"/>
            </w:tcBorders>
            <w:vAlign w:val="center"/>
          </w:tcPr>
          <w:p>
            <w:pPr>
              <w:rPr>
                <w:rFonts w:ascii="宋体" w:hAnsi="宋体" w:cs="宋体"/>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pPr>
              <w:wordWrap w:val="0"/>
              <w:jc w:val="center"/>
              <w:rPr>
                <w:rFonts w:ascii="宋体" w:hAnsi="宋体" w:cs="宋体"/>
                <w:szCs w:val="21"/>
              </w:rPr>
            </w:pPr>
            <w:r>
              <w:rPr>
                <w:rFonts w:ascii="宋体" w:hAnsi="宋体" w:cs="宋体"/>
                <w:szCs w:val="21"/>
              </w:rPr>
              <w:t>3</w:t>
            </w:r>
          </w:p>
        </w:tc>
        <w:tc>
          <w:tcPr>
            <w:tcW w:w="1134" w:type="dxa"/>
            <w:tcBorders>
              <w:top w:val="single" w:color="000000" w:sz="8" w:space="0"/>
              <w:left w:val="single" w:color="000000" w:sz="8" w:space="0"/>
              <w:bottom w:val="single" w:color="000000" w:sz="8" w:space="0"/>
              <w:right w:val="single" w:color="000000" w:sz="8" w:space="0"/>
            </w:tcBorders>
            <w:vAlign w:val="center"/>
          </w:tcPr>
          <w:p>
            <w:pPr>
              <w:spacing w:line="440" w:lineRule="exact"/>
              <w:jc w:val="center"/>
              <w:rPr>
                <w:rFonts w:cs="Arial"/>
                <w:color w:val="000000"/>
                <w:szCs w:val="21"/>
              </w:rPr>
            </w:pPr>
            <w:r>
              <w:rPr>
                <w:rFonts w:hint="eastAsia" w:cs="Arial"/>
                <w:color w:val="000000"/>
                <w:szCs w:val="21"/>
              </w:rPr>
              <w:t>履约评价</w:t>
            </w:r>
          </w:p>
        </w:tc>
        <w:tc>
          <w:tcPr>
            <w:tcW w:w="1276" w:type="dxa"/>
            <w:tcBorders>
              <w:top w:val="single" w:color="000000" w:sz="8" w:space="0"/>
              <w:left w:val="single" w:color="000000" w:sz="8" w:space="0"/>
              <w:bottom w:val="single" w:color="000000" w:sz="8" w:space="0"/>
              <w:right w:val="single" w:color="000000" w:sz="8" w:space="0"/>
            </w:tcBorders>
            <w:vAlign w:val="center"/>
          </w:tcPr>
          <w:p>
            <w:pPr>
              <w:spacing w:line="440" w:lineRule="exact"/>
              <w:jc w:val="center"/>
              <w:rPr>
                <w:rFonts w:ascii="宋体" w:hAnsi="宋体" w:cs="宋体"/>
                <w:b/>
                <w:bCs/>
                <w:color w:val="000000"/>
                <w:szCs w:val="21"/>
              </w:rPr>
            </w:pPr>
            <w:r>
              <w:rPr>
                <w:rFonts w:hint="eastAsia" w:ascii="宋体" w:hAnsi="宋体" w:cs="宋体"/>
                <w:b/>
                <w:bCs/>
                <w:color w:val="000000"/>
                <w:szCs w:val="21"/>
              </w:rPr>
              <w:t>1</w:t>
            </w:r>
            <w:r>
              <w:rPr>
                <w:rFonts w:ascii="宋体" w:hAnsi="宋体" w:cs="宋体"/>
                <w:b/>
                <w:bCs/>
                <w:color w:val="000000"/>
                <w:szCs w:val="21"/>
              </w:rPr>
              <w:t>0</w:t>
            </w:r>
          </w:p>
        </w:tc>
        <w:tc>
          <w:tcPr>
            <w:tcW w:w="5350" w:type="dxa"/>
            <w:tcBorders>
              <w:top w:val="single" w:color="000000" w:sz="8" w:space="0"/>
              <w:left w:val="single" w:color="000000" w:sz="8" w:space="0"/>
              <w:bottom w:val="single" w:color="000000" w:sz="8" w:space="0"/>
              <w:right w:val="single" w:color="000000" w:sz="8" w:space="0"/>
            </w:tcBorders>
            <w:vAlign w:val="center"/>
          </w:tcPr>
          <w:p>
            <w:pPr>
              <w:widowControl/>
              <w:jc w:val="left"/>
              <w:textAlignment w:val="top"/>
              <w:rPr>
                <w:rStyle w:val="155"/>
                <w:rFonts w:hint="eastAsia"/>
              </w:rPr>
            </w:pPr>
            <w:r>
              <w:rPr>
                <w:rStyle w:val="155"/>
              </w:rPr>
              <w:t>（一）评分内容</w:t>
            </w:r>
          </w:p>
          <w:p>
            <w:pPr>
              <w:rPr>
                <w:rFonts w:ascii="宋体" w:hAnsi="宋体" w:cs="宋体"/>
                <w:color w:val="000000"/>
              </w:rPr>
            </w:pPr>
            <w:r>
              <w:rPr>
                <w:rFonts w:hint="eastAsia" w:ascii="宋体" w:hAnsi="宋体" w:cs="宋体"/>
                <w:color w:val="000000"/>
              </w:rPr>
              <w:t>投标人在上述“同类项目业绩”中提供的有效业绩经服务单位考核评价为优或满意的，每提供一个考核评价为优或满意得</w:t>
            </w:r>
            <w:r>
              <w:rPr>
                <w:rFonts w:ascii="宋体" w:hAnsi="宋体" w:cs="宋体"/>
                <w:color w:val="000000"/>
              </w:rPr>
              <w:t>20</w:t>
            </w:r>
            <w:r>
              <w:rPr>
                <w:rFonts w:hint="eastAsia" w:ascii="宋体" w:hAnsi="宋体" w:cs="宋体"/>
                <w:color w:val="000000"/>
              </w:rPr>
              <w:t>分，最多得10</w:t>
            </w:r>
            <w:r>
              <w:rPr>
                <w:rFonts w:ascii="宋体" w:hAnsi="宋体" w:cs="宋体"/>
                <w:color w:val="000000"/>
              </w:rPr>
              <w:t>0</w:t>
            </w:r>
            <w:r>
              <w:rPr>
                <w:rFonts w:hint="eastAsia" w:ascii="宋体" w:hAnsi="宋体" w:cs="宋体"/>
                <w:color w:val="000000"/>
              </w:rPr>
              <w:t>分。</w:t>
            </w:r>
          </w:p>
          <w:p>
            <w:pPr>
              <w:wordWrap w:val="0"/>
              <w:rPr>
                <w:rFonts w:ascii="Calibri" w:hAnsi="Calibri" w:cs="Arial"/>
                <w:b/>
                <w:bCs/>
                <w:color w:val="000000"/>
                <w:szCs w:val="21"/>
              </w:rPr>
            </w:pPr>
            <w:r>
              <w:rPr>
                <w:rFonts w:ascii="Calibri" w:hAnsi="Calibri" w:cs="Arial"/>
                <w:b/>
                <w:bCs/>
                <w:color w:val="000000"/>
                <w:szCs w:val="21"/>
              </w:rPr>
              <w:t>（二）</w:t>
            </w:r>
            <w:r>
              <w:rPr>
                <w:rFonts w:hint="eastAsia" w:ascii="Calibri" w:hAnsi="Calibri" w:cs="Arial"/>
                <w:b/>
                <w:bCs/>
                <w:color w:val="000000"/>
                <w:szCs w:val="21"/>
              </w:rPr>
              <w:t>评分依据</w:t>
            </w:r>
          </w:p>
          <w:p>
            <w:pPr>
              <w:widowControl/>
              <w:jc w:val="left"/>
              <w:textAlignment w:val="top"/>
              <w:rPr>
                <w:rStyle w:val="155"/>
                <w:rFonts w:hint="eastAsia"/>
              </w:rPr>
            </w:pPr>
            <w:r>
              <w:rPr>
                <w:rFonts w:hint="eastAsia" w:ascii="宋体" w:hAnsi="宋体" w:cs="宋体"/>
                <w:color w:val="000000"/>
              </w:rPr>
              <w:t>投标人须提供服务单位盖章的考核评价为“优”或“满意”的相关证明文件扫描件或复印件，原件备查。未提供或提供不全的不得分。</w:t>
            </w:r>
          </w:p>
        </w:tc>
      </w:tr>
    </w:tbl>
    <w:p>
      <w:pPr>
        <w:wordWrap w:val="0"/>
        <w:rPr>
          <w:b/>
          <w:bCs/>
        </w:rPr>
      </w:pPr>
    </w:p>
    <w:p>
      <w:r>
        <w:rPr>
          <w:rFonts w:hint="eastAsia"/>
        </w:rPr>
        <w:br w:type="page"/>
      </w:r>
    </w:p>
    <w:p>
      <w:pPr>
        <w:jc w:val="center"/>
        <w:rPr>
          <w:b/>
          <w:sz w:val="120"/>
          <w:szCs w:val="120"/>
        </w:rPr>
      </w:pPr>
    </w:p>
    <w:p>
      <w:pPr>
        <w:jc w:val="center"/>
        <w:rPr>
          <w:b/>
          <w:sz w:val="120"/>
          <w:szCs w:val="120"/>
        </w:rPr>
      </w:pPr>
    </w:p>
    <w:p>
      <w:pPr>
        <w:jc w:val="center"/>
        <w:rPr>
          <w:b/>
          <w:sz w:val="120"/>
          <w:szCs w:val="120"/>
        </w:rPr>
      </w:pPr>
      <w:r>
        <w:rPr>
          <w:rFonts w:hint="eastAsia"/>
          <w:b/>
          <w:sz w:val="120"/>
          <w:szCs w:val="120"/>
        </w:rPr>
        <w:t>政府采购</w:t>
      </w:r>
    </w:p>
    <w:p>
      <w:pPr>
        <w:jc w:val="center"/>
        <w:rPr>
          <w:b/>
          <w:sz w:val="120"/>
          <w:szCs w:val="120"/>
        </w:rPr>
      </w:pPr>
      <w:r>
        <w:rPr>
          <w:rFonts w:hint="eastAsia"/>
          <w:b/>
          <w:sz w:val="120"/>
          <w:szCs w:val="120"/>
        </w:rPr>
        <w:t>招标文件</w:t>
      </w:r>
    </w:p>
    <w:p>
      <w:pPr>
        <w:jc w:val="center"/>
        <w:rPr>
          <w:b/>
          <w:sz w:val="52"/>
          <w:szCs w:val="52"/>
        </w:rPr>
      </w:pPr>
      <w:r>
        <w:rPr>
          <w:rFonts w:hint="eastAsia"/>
          <w:b/>
          <w:sz w:val="52"/>
          <w:szCs w:val="52"/>
        </w:rPr>
        <w:t>（服务类）</w:t>
      </w:r>
    </w:p>
    <w:p/>
    <w:p/>
    <w:p/>
    <w:p/>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ind w:firstLine="3150" w:firstLineChars="1500"/>
        <w:rPr>
          <w:rFonts w:ascii="宋体" w:hAnsi="宋体" w:eastAsia="黑体"/>
          <w:b/>
          <w:bCs/>
          <w:kern w:val="44"/>
          <w:sz w:val="28"/>
          <w:szCs w:val="44"/>
        </w:rPr>
      </w:pPr>
      <w:r>
        <w:rPr>
          <w:rFonts w:hint="eastAsia"/>
        </w:rPr>
        <w:br w:type="page"/>
      </w:r>
    </w:p>
    <w:p>
      <w:pPr>
        <w:pStyle w:val="2"/>
      </w:pPr>
      <w:r>
        <w:rPr>
          <w:rFonts w:hint="eastAsia"/>
        </w:rPr>
        <w:t>目   录</w:t>
      </w:r>
    </w:p>
    <w:p>
      <w:pPr>
        <w:outlineLvl w:val="0"/>
        <w:rPr>
          <w:b/>
          <w:sz w:val="24"/>
        </w:rPr>
      </w:pPr>
      <w:r>
        <w:rPr>
          <w:rFonts w:hint="eastAsia"/>
          <w:b/>
          <w:sz w:val="24"/>
        </w:rPr>
        <w:t>第一册  专用条款</w:t>
      </w:r>
    </w:p>
    <w:p>
      <w:pPr>
        <w:rPr>
          <w:sz w:val="24"/>
        </w:rPr>
      </w:pPr>
      <w:r>
        <w:rPr>
          <w:rFonts w:hint="eastAsia"/>
          <w:sz w:val="24"/>
        </w:rPr>
        <w:t xml:space="preserve">          关键信息</w:t>
      </w:r>
    </w:p>
    <w:p>
      <w:pPr>
        <w:ind w:left="630" w:leftChars="300" w:firstLine="630" w:firstLineChars="300"/>
        <w:rPr>
          <w:rFonts w:ascii="宋体" w:hAnsi="宋体"/>
          <w:szCs w:val="21"/>
        </w:rPr>
      </w:pPr>
      <w:r>
        <w:rPr>
          <w:rFonts w:hint="eastAsia" w:ascii="宋体" w:hAnsi="宋体"/>
          <w:szCs w:val="21"/>
        </w:rPr>
        <w:t>第一章  招标公告</w:t>
      </w:r>
    </w:p>
    <w:p>
      <w:pPr>
        <w:ind w:left="630" w:leftChars="300" w:firstLine="630" w:firstLineChars="300"/>
        <w:rPr>
          <w:rFonts w:ascii="宋体" w:hAnsi="宋体"/>
          <w:szCs w:val="21"/>
        </w:rPr>
      </w:pPr>
      <w:r>
        <w:rPr>
          <w:rFonts w:hint="eastAsia" w:ascii="宋体" w:hAnsi="宋体"/>
          <w:szCs w:val="21"/>
        </w:rPr>
        <w:t xml:space="preserve">第二章  </w:t>
      </w:r>
      <w:bookmarkStart w:id="1" w:name="_Hlk71994379"/>
      <w:r>
        <w:rPr>
          <w:rFonts w:hint="eastAsia" w:ascii="宋体" w:hAnsi="宋体"/>
          <w:szCs w:val="21"/>
        </w:rPr>
        <w:t>对通用条款的补充内容及其他关键信息</w:t>
      </w:r>
      <w:bookmarkEnd w:id="1"/>
    </w:p>
    <w:p>
      <w:pPr>
        <w:ind w:left="630" w:leftChars="300" w:firstLine="630" w:firstLineChars="300"/>
        <w:rPr>
          <w:rFonts w:ascii="宋体" w:hAnsi="宋体"/>
          <w:szCs w:val="21"/>
        </w:rPr>
      </w:pPr>
      <w:r>
        <w:rPr>
          <w:rFonts w:hint="eastAsia" w:ascii="宋体" w:hAnsi="宋体"/>
          <w:szCs w:val="21"/>
        </w:rPr>
        <w:t>第三章 用户需求书</w:t>
      </w:r>
    </w:p>
    <w:p>
      <w:pPr>
        <w:ind w:left="630" w:leftChars="300" w:firstLine="630" w:firstLineChars="300"/>
        <w:rPr>
          <w:rFonts w:ascii="宋体" w:hAnsi="宋体"/>
          <w:szCs w:val="21"/>
        </w:rPr>
      </w:pPr>
      <w:r>
        <w:rPr>
          <w:rFonts w:hint="eastAsia" w:ascii="宋体" w:hAnsi="宋体"/>
          <w:szCs w:val="21"/>
        </w:rPr>
        <w:t>第四章 投标文件组成要求及格式</w:t>
      </w:r>
    </w:p>
    <w:p>
      <w:pPr>
        <w:ind w:left="630" w:leftChars="300" w:firstLine="630" w:firstLineChars="300"/>
        <w:rPr>
          <w:rFonts w:ascii="宋体" w:hAnsi="宋体"/>
          <w:szCs w:val="21"/>
        </w:rPr>
      </w:pPr>
      <w:r>
        <w:rPr>
          <w:rFonts w:hint="eastAsia" w:ascii="宋体" w:hAnsi="宋体"/>
          <w:szCs w:val="21"/>
        </w:rPr>
        <w:t>第五章  合同条款及格式</w:t>
      </w:r>
    </w:p>
    <w:p>
      <w:pPr>
        <w:rPr>
          <w:b/>
          <w:sz w:val="24"/>
        </w:rPr>
      </w:pPr>
    </w:p>
    <w:p>
      <w:pPr>
        <w:outlineLvl w:val="0"/>
        <w:rPr>
          <w:b/>
          <w:sz w:val="24"/>
        </w:rPr>
      </w:pPr>
      <w:r>
        <w:rPr>
          <w:rFonts w:hint="eastAsia"/>
          <w:b/>
          <w:sz w:val="24"/>
        </w:rPr>
        <w:t>第二册  通用条款</w:t>
      </w:r>
    </w:p>
    <w:p>
      <w:pPr>
        <w:ind w:left="630" w:leftChars="300" w:firstLine="630" w:firstLineChars="300"/>
        <w:rPr>
          <w:rFonts w:ascii="宋体" w:hAnsi="宋体"/>
          <w:szCs w:val="21"/>
        </w:rPr>
      </w:pPr>
      <w:r>
        <w:rPr>
          <w:rFonts w:hint="eastAsia" w:ascii="宋体" w:hAnsi="宋体"/>
          <w:szCs w:val="21"/>
        </w:rPr>
        <w:t>第一章  总则</w:t>
      </w:r>
    </w:p>
    <w:p>
      <w:pPr>
        <w:ind w:left="630" w:leftChars="300" w:firstLine="630" w:firstLineChars="300"/>
        <w:rPr>
          <w:rFonts w:ascii="宋体" w:hAnsi="宋体"/>
          <w:szCs w:val="21"/>
        </w:rPr>
      </w:pPr>
      <w:r>
        <w:rPr>
          <w:rFonts w:hint="eastAsia" w:ascii="宋体" w:hAnsi="宋体"/>
          <w:szCs w:val="21"/>
        </w:rPr>
        <w:t>第二章  招标文件</w:t>
      </w:r>
    </w:p>
    <w:p>
      <w:pPr>
        <w:ind w:left="630" w:leftChars="300" w:firstLine="630" w:firstLineChars="300"/>
        <w:rPr>
          <w:rFonts w:ascii="宋体" w:hAnsi="宋体"/>
          <w:szCs w:val="21"/>
        </w:rPr>
      </w:pPr>
      <w:r>
        <w:rPr>
          <w:rFonts w:hint="eastAsia" w:ascii="宋体" w:hAnsi="宋体"/>
          <w:szCs w:val="21"/>
        </w:rPr>
        <w:t>第三章  投标文件的编制</w:t>
      </w:r>
    </w:p>
    <w:p>
      <w:pPr>
        <w:ind w:left="630" w:leftChars="300" w:firstLine="630" w:firstLineChars="300"/>
        <w:rPr>
          <w:rFonts w:ascii="宋体" w:hAnsi="宋体"/>
          <w:szCs w:val="21"/>
        </w:rPr>
      </w:pPr>
      <w:r>
        <w:rPr>
          <w:rFonts w:hint="eastAsia" w:ascii="宋体" w:hAnsi="宋体"/>
          <w:szCs w:val="21"/>
        </w:rPr>
        <w:t>第四章  投标文件的递交</w:t>
      </w:r>
    </w:p>
    <w:p>
      <w:pPr>
        <w:ind w:left="630" w:leftChars="300" w:firstLine="630" w:firstLineChars="300"/>
        <w:rPr>
          <w:rFonts w:ascii="宋体" w:hAnsi="宋体"/>
          <w:szCs w:val="21"/>
        </w:rPr>
      </w:pPr>
      <w:r>
        <w:rPr>
          <w:rFonts w:hint="eastAsia" w:ascii="宋体" w:hAnsi="宋体"/>
          <w:szCs w:val="21"/>
        </w:rPr>
        <w:t>第五章  开标</w:t>
      </w:r>
    </w:p>
    <w:p>
      <w:pPr>
        <w:ind w:left="630" w:leftChars="300" w:firstLine="630" w:firstLineChars="300"/>
        <w:rPr>
          <w:rFonts w:ascii="宋体" w:hAnsi="宋体"/>
          <w:szCs w:val="21"/>
        </w:rPr>
      </w:pPr>
      <w:r>
        <w:rPr>
          <w:rFonts w:hint="eastAsia" w:ascii="宋体" w:hAnsi="宋体"/>
          <w:szCs w:val="21"/>
        </w:rPr>
        <w:t>第六章  评审要求</w:t>
      </w:r>
    </w:p>
    <w:p>
      <w:pPr>
        <w:ind w:left="630" w:leftChars="300" w:firstLine="630" w:firstLineChars="300"/>
        <w:rPr>
          <w:rFonts w:ascii="宋体" w:hAnsi="宋体"/>
          <w:szCs w:val="21"/>
        </w:rPr>
      </w:pPr>
      <w:r>
        <w:rPr>
          <w:rFonts w:hint="eastAsia" w:ascii="宋体" w:hAnsi="宋体"/>
          <w:szCs w:val="21"/>
        </w:rPr>
        <w:t>第七章  评审程序及评审方法</w:t>
      </w:r>
    </w:p>
    <w:p>
      <w:pPr>
        <w:ind w:left="630" w:leftChars="300" w:firstLine="630" w:firstLineChars="300"/>
        <w:rPr>
          <w:rFonts w:ascii="宋体" w:hAnsi="宋体"/>
          <w:szCs w:val="21"/>
        </w:rPr>
      </w:pPr>
      <w:r>
        <w:rPr>
          <w:rFonts w:hint="eastAsia" w:ascii="宋体" w:hAnsi="宋体"/>
          <w:szCs w:val="21"/>
        </w:rPr>
        <w:t>第八章  定标及公示</w:t>
      </w:r>
    </w:p>
    <w:p>
      <w:pPr>
        <w:ind w:left="630" w:leftChars="300" w:firstLine="630" w:firstLineChars="300"/>
        <w:rPr>
          <w:rFonts w:ascii="宋体" w:hAnsi="宋体"/>
          <w:szCs w:val="21"/>
        </w:rPr>
      </w:pPr>
      <w:r>
        <w:rPr>
          <w:rFonts w:hint="eastAsia" w:ascii="宋体" w:hAnsi="宋体"/>
          <w:szCs w:val="21"/>
        </w:rPr>
        <w:t>第九章  公开招标失败的后续处理</w:t>
      </w:r>
    </w:p>
    <w:p>
      <w:pPr>
        <w:ind w:left="630" w:leftChars="300" w:firstLine="630" w:firstLineChars="300"/>
        <w:rPr>
          <w:rFonts w:ascii="宋体" w:hAnsi="宋体"/>
          <w:szCs w:val="21"/>
        </w:rPr>
      </w:pPr>
      <w:r>
        <w:rPr>
          <w:rFonts w:hint="eastAsia" w:ascii="宋体" w:hAnsi="宋体"/>
          <w:szCs w:val="21"/>
        </w:rPr>
        <w:t>第十章  合同的授予与备案</w:t>
      </w:r>
    </w:p>
    <w:p>
      <w:pPr>
        <w:ind w:left="630" w:leftChars="300" w:firstLine="630" w:firstLineChars="300"/>
        <w:rPr>
          <w:rFonts w:ascii="宋体" w:hAnsi="宋体"/>
          <w:szCs w:val="21"/>
        </w:rPr>
      </w:pPr>
      <w:r>
        <w:rPr>
          <w:rFonts w:hint="eastAsia" w:ascii="宋体" w:hAnsi="宋体"/>
          <w:szCs w:val="21"/>
        </w:rPr>
        <w:t>第十一章  质疑处理</w:t>
      </w:r>
    </w:p>
    <w:p>
      <w:pPr>
        <w:spacing w:line="360" w:lineRule="auto"/>
        <w:ind w:firstLine="420" w:firstLineChars="200"/>
        <w:jc w:val="left"/>
        <w:rPr>
          <w:rFonts w:ascii="宋体" w:hAnsi="宋体"/>
          <w:szCs w:val="21"/>
        </w:rPr>
      </w:pPr>
    </w:p>
    <w:p>
      <w:pPr>
        <w:pStyle w:val="2"/>
        <w:rPr>
          <w:sz w:val="24"/>
        </w:rPr>
      </w:pPr>
      <w:r>
        <w:br w:type="page"/>
      </w:r>
      <w:bookmarkStart w:id="2" w:name="bt投标人情况介绍"/>
      <w:bookmarkEnd w:id="2"/>
      <w:bookmarkStart w:id="3" w:name="bt投标文件签署授权委托书"/>
      <w:bookmarkEnd w:id="3"/>
      <w:bookmarkStart w:id="4" w:name="bt合同条款及格式"/>
      <w:bookmarkEnd w:id="4"/>
      <w:bookmarkStart w:id="5" w:name="bt投标报价汇总表"/>
      <w:bookmarkEnd w:id="5"/>
      <w:bookmarkStart w:id="6" w:name="合同格式"/>
      <w:bookmarkEnd w:id="6"/>
      <w:bookmarkStart w:id="7" w:name="bt投标人须知"/>
      <w:bookmarkEnd w:id="7"/>
      <w:bookmarkStart w:id="8" w:name="bt投标函"/>
      <w:bookmarkEnd w:id="8"/>
      <w:bookmarkStart w:id="9" w:name="bt项目管理班子配备情况"/>
      <w:bookmarkEnd w:id="9"/>
      <w:bookmarkStart w:id="10" w:name="bt合同格式"/>
      <w:bookmarkEnd w:id="10"/>
      <w:bookmarkStart w:id="11" w:name="bt说明"/>
      <w:bookmarkEnd w:id="11"/>
      <w:bookmarkStart w:id="12" w:name="bt合同条款"/>
      <w:bookmarkEnd w:id="12"/>
      <w:bookmarkStart w:id="13" w:name="bt其他资料2"/>
      <w:bookmarkEnd w:id="13"/>
      <w:bookmarkStart w:id="14" w:name="bt技术标投标文件格式"/>
      <w:bookmarkEnd w:id="14"/>
      <w:bookmarkStart w:id="15" w:name="bt开标一览表"/>
      <w:bookmarkEnd w:id="15"/>
      <w:bookmarkStart w:id="16" w:name="bt本工程承诺书"/>
      <w:bookmarkEnd w:id="16"/>
      <w:bookmarkStart w:id="17" w:name="bt商务标投标文件格式"/>
      <w:bookmarkEnd w:id="17"/>
      <w:bookmarkStart w:id="18" w:name="bt其他资料由投标人自定"/>
      <w:bookmarkEnd w:id="18"/>
      <w:r>
        <w:rPr>
          <w:rFonts w:hint="eastAsia"/>
        </w:rPr>
        <w:t>第一册专用条款</w:t>
      </w:r>
    </w:p>
    <w:p>
      <w:pPr>
        <w:pStyle w:val="5"/>
      </w:pPr>
      <w:r>
        <w:rPr>
          <w:rFonts w:hint="eastAsia"/>
        </w:rPr>
        <w:t xml:space="preserve">第一章  招标公告  </w:t>
      </w:r>
    </w:p>
    <w:p/>
    <w:p>
      <w:pPr>
        <w:spacing w:line="360" w:lineRule="auto"/>
        <w:rPr>
          <w:rFonts w:ascii="宋体" w:hAnsi="宋体" w:cs="宋体"/>
          <w:b/>
          <w:bCs/>
          <w:kern w:val="0"/>
          <w:szCs w:val="21"/>
        </w:rPr>
      </w:pPr>
      <w:r>
        <w:rPr>
          <w:rFonts w:hint="eastAsia" w:ascii="宋体" w:hAnsi="宋体" w:cs="宋体"/>
          <w:b/>
          <w:bCs/>
          <w:kern w:val="0"/>
          <w:szCs w:val="21"/>
        </w:rPr>
        <w:t>申请人的资格要求：</w:t>
      </w:r>
    </w:p>
    <w:p>
      <w:pPr>
        <w:spacing w:line="276" w:lineRule="auto"/>
        <w:ind w:right="-4" w:rightChars="-2" w:firstLine="420" w:firstLineChars="200"/>
        <w:jc w:val="left"/>
        <w:rPr>
          <w:rFonts w:ascii="宋体" w:hAnsi="宋体"/>
          <w:szCs w:val="21"/>
        </w:rPr>
      </w:pPr>
      <w:r>
        <w:rPr>
          <w:rFonts w:hint="eastAsia" w:ascii="宋体" w:hAnsi="宋体" w:cs="宋体"/>
          <w:kern w:val="0"/>
          <w:szCs w:val="21"/>
        </w:rPr>
        <w:t>1</w:t>
      </w:r>
      <w:r>
        <w:rPr>
          <w:rFonts w:ascii="宋体" w:hAnsi="宋体" w:cs="宋体"/>
          <w:kern w:val="0"/>
          <w:szCs w:val="21"/>
        </w:rPr>
        <w:t>.</w:t>
      </w:r>
      <w:r>
        <w:rPr>
          <w:rFonts w:hint="eastAsia" w:ascii="宋体" w:hAnsi="宋体"/>
          <w:szCs w:val="21"/>
          <w:lang w:val="zh-CN"/>
        </w:rPr>
        <w:t>投标人须是在中华人民共和国境内注册，具有独立法人资格或是具有独立承担民事责任的能力的其它组织（提供营业执照扫描件或事业单位法人证等法人证明扫描件，并加盖投标人公章，原件备查）；总公司或者分公司只允许一家投标，不允许同时参与本项目投标，（以分公司名义参与投标的，须提供总公司或具有独立法人的上一级公司出具的愿为其参与本项目投标的行为以及履约等行为承担民事责任的加盖总公司公章的授权函（格式自拟），以及提供总、分公司的营业执照扫描件，原件备查）</w:t>
      </w:r>
      <w:r>
        <w:rPr>
          <w:rFonts w:hint="eastAsia" w:ascii="宋体" w:hAnsi="宋体"/>
          <w:szCs w:val="21"/>
        </w:rPr>
        <w:t>；</w:t>
      </w:r>
    </w:p>
    <w:p>
      <w:pPr>
        <w:ind w:firstLine="630" w:firstLineChars="300"/>
        <w:rPr>
          <w:rFonts w:ascii="宋体" w:hAnsi="宋体"/>
          <w:szCs w:val="21"/>
          <w:lang w:val="zh-CN"/>
        </w:rPr>
      </w:pPr>
      <w:r>
        <w:rPr>
          <w:rFonts w:hint="eastAsia" w:ascii="宋体" w:hAnsi="宋体"/>
          <w:szCs w:val="21"/>
          <w:lang w:val="zh-CN"/>
        </w:rPr>
        <w:t>2</w:t>
      </w:r>
      <w:r>
        <w:rPr>
          <w:rFonts w:ascii="宋体" w:hAnsi="宋体"/>
          <w:szCs w:val="21"/>
          <w:lang w:val="zh-CN"/>
        </w:rPr>
        <w:t>.</w:t>
      </w:r>
      <w:r>
        <w:rPr>
          <w:rFonts w:hint="eastAsia" w:ascii="宋体" w:hAnsi="宋体"/>
          <w:szCs w:val="21"/>
          <w:lang w:val="zh-CN"/>
        </w:rPr>
        <w:t>本项目不接受联合体投标，不允许转包、分包。</w:t>
      </w:r>
    </w:p>
    <w:p>
      <w:pPr>
        <w:ind w:firstLine="630" w:firstLineChars="300"/>
        <w:rPr>
          <w:rFonts w:ascii="宋体" w:hAnsi="宋体" w:cs="宋体"/>
          <w:kern w:val="0"/>
          <w:szCs w:val="21"/>
        </w:rPr>
      </w:pPr>
      <w:r>
        <w:rPr>
          <w:rFonts w:hint="eastAsia" w:ascii="宋体" w:hAnsi="宋体" w:cs="宋体"/>
          <w:kern w:val="0"/>
          <w:szCs w:val="21"/>
        </w:rPr>
        <w:t>3</w:t>
      </w:r>
      <w:r>
        <w:rPr>
          <w:rFonts w:ascii="宋体" w:hAnsi="宋体" w:cs="宋体"/>
          <w:kern w:val="0"/>
          <w:szCs w:val="21"/>
        </w:rPr>
        <w:t>.</w:t>
      </w:r>
      <w:r>
        <w:rPr>
          <w:rFonts w:hint="eastAsia" w:ascii="宋体" w:hAnsi="宋体" w:cs="宋体"/>
          <w:kern w:val="0"/>
          <w:szCs w:val="21"/>
        </w:rPr>
        <w:t>参与本项目投标前三年内，在经营活动中没有重大违法记录（由供应商在《政府采购投标及履约承诺函》中作出声明）；</w:t>
      </w:r>
    </w:p>
    <w:p>
      <w:pPr>
        <w:ind w:firstLine="630" w:firstLineChars="300"/>
        <w:rPr>
          <w:rFonts w:ascii="宋体" w:hAnsi="宋体" w:cs="宋体"/>
          <w:kern w:val="0"/>
          <w:szCs w:val="21"/>
        </w:rPr>
      </w:pPr>
      <w:r>
        <w:rPr>
          <w:rFonts w:hint="eastAsia" w:ascii="宋体" w:hAnsi="宋体" w:cs="宋体"/>
          <w:kern w:val="0"/>
          <w:szCs w:val="21"/>
        </w:rPr>
        <w:t>4</w:t>
      </w:r>
      <w:r>
        <w:rPr>
          <w:rFonts w:ascii="宋体" w:hAnsi="宋体" w:cs="宋体"/>
          <w:kern w:val="0"/>
          <w:szCs w:val="21"/>
        </w:rPr>
        <w:t>.</w:t>
      </w:r>
      <w:r>
        <w:rPr>
          <w:rFonts w:hint="eastAsia" w:ascii="宋体" w:hAnsi="宋体" w:cs="宋体"/>
          <w:kern w:val="0"/>
          <w:szCs w:val="21"/>
        </w:rPr>
        <w:t>参与本项目政府采购活动时不存在被有关部门禁止参与政府采购活动且在有效期内的情况（由供应商在《政府采购投标及履约承诺函》中作出声明）；</w:t>
      </w:r>
    </w:p>
    <w:p>
      <w:pPr>
        <w:ind w:firstLine="630" w:firstLineChars="300"/>
        <w:rPr>
          <w:rFonts w:ascii="宋体" w:hAnsi="宋体" w:cs="宋体"/>
          <w:kern w:val="0"/>
          <w:szCs w:val="21"/>
        </w:rPr>
      </w:pP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具备《中华人民共和国政府采购法》第二十二条第一款的条件（由供应商在《政府采购投标及履约承诺函》中作出声明）；</w:t>
      </w:r>
    </w:p>
    <w:p>
      <w:pPr>
        <w:ind w:firstLine="630" w:firstLineChars="300"/>
        <w:rPr>
          <w:rFonts w:ascii="宋体" w:hAnsi="宋体" w:cs="宋体"/>
          <w:kern w:val="0"/>
          <w:szCs w:val="21"/>
        </w:rPr>
      </w:pPr>
      <w:r>
        <w:rPr>
          <w:rFonts w:hint="eastAsia" w:ascii="宋体" w:hAnsi="宋体" w:cs="宋体"/>
          <w:kern w:val="0"/>
          <w:szCs w:val="21"/>
        </w:rPr>
        <w:t>6</w:t>
      </w:r>
      <w:r>
        <w:rPr>
          <w:rFonts w:ascii="宋体" w:hAnsi="宋体" w:cs="宋体"/>
          <w:kern w:val="0"/>
          <w:szCs w:val="21"/>
        </w:rPr>
        <w:t>.</w:t>
      </w:r>
      <w:r>
        <w:rPr>
          <w:rFonts w:hint="eastAsia" w:ascii="宋体" w:hAnsi="宋体" w:cs="宋体"/>
          <w:kern w:val="0"/>
          <w:szCs w:val="21"/>
        </w:rPr>
        <w:t>未被列入失信被执行人、重大税收违法案件当事人名单、政府采购严重违法失信行为记录名单（由供应商在《政府采购投标及履约承诺函》中作出声明）；</w:t>
      </w:r>
    </w:p>
    <w:p>
      <w:pPr>
        <w:ind w:firstLine="630" w:firstLineChars="300"/>
        <w:rPr>
          <w:rFonts w:ascii="宋体" w:hAnsi="宋体" w:cs="宋体"/>
          <w:kern w:val="0"/>
          <w:szCs w:val="21"/>
        </w:rPr>
      </w:pPr>
      <w:r>
        <w:rPr>
          <w:rFonts w:hint="eastAsia" w:ascii="宋体" w:hAnsi="宋体" w:cs="宋体"/>
          <w:kern w:val="0"/>
          <w:szCs w:val="21"/>
        </w:rPr>
        <w:t>7.与其他投标供应商不存在单位负责人为同一人或者存在直接控股、管理关系；未对本次采购项目提供整体设计、规范编制或者项目管理、监理、检测等服务。（由供应商在《政府采购投标及履约承诺函》中作出声明）；</w:t>
      </w:r>
    </w:p>
    <w:p>
      <w:pPr>
        <w:ind w:firstLine="420" w:firstLineChars="200"/>
        <w:rPr>
          <w:rFonts w:ascii="宋体" w:hAnsi="宋体" w:cs="宋体"/>
          <w:color w:val="000000" w:themeColor="text1"/>
          <w:kern w:val="0"/>
          <w:szCs w:val="21"/>
        </w:rPr>
      </w:pPr>
      <w:r>
        <w:rPr>
          <w:rFonts w:hint="eastAsia" w:ascii="宋体" w:hAnsi="宋体" w:cs="宋体"/>
          <w:color w:val="000000" w:themeColor="text1"/>
          <w:kern w:val="0"/>
          <w:szCs w:val="21"/>
        </w:rPr>
        <w:t>8.本项目属于专门面向小微企业采购（由供应商根据《财政部工业和信息化部关于印发&lt;政府采购促进中小企业发展管理办法&gt;的通知》（财库〔2020〕46号）的规定在《中小企业声明函、残疾人福利性单位声明函、监狱企业声明函》中作出声明）。</w:t>
      </w:r>
    </w:p>
    <w:p>
      <w:pPr>
        <w:pStyle w:val="5"/>
        <w:jc w:val="left"/>
        <w:rPr>
          <w:sz w:val="22"/>
          <w:szCs w:val="18"/>
        </w:rPr>
      </w:pPr>
      <w:r>
        <w:rPr>
          <w:rFonts w:hint="eastAsia"/>
          <w:sz w:val="22"/>
          <w:szCs w:val="18"/>
        </w:rPr>
        <w:t>完整公告内容详见：中央政府采购网（</w:t>
      </w:r>
      <w:r>
        <w:rPr>
          <w:sz w:val="22"/>
          <w:szCs w:val="18"/>
        </w:rPr>
        <w:t>https://www.zycg.gov.cn/</w:t>
      </w:r>
      <w:r>
        <w:rPr>
          <w:rFonts w:hint="eastAsia"/>
          <w:sz w:val="22"/>
          <w:szCs w:val="18"/>
        </w:rPr>
        <w:t>）</w:t>
      </w:r>
    </w:p>
    <w:p>
      <w:r>
        <w:rPr>
          <w:rFonts w:hint="eastAsia"/>
        </w:rPr>
        <w:br w:type="page"/>
      </w:r>
    </w:p>
    <w:p>
      <w:pPr>
        <w:pStyle w:val="5"/>
        <w:rPr>
          <w:sz w:val="28"/>
          <w:szCs w:val="28"/>
        </w:rPr>
      </w:pPr>
      <w:r>
        <w:rPr>
          <w:rFonts w:hint="eastAsia"/>
          <w:sz w:val="28"/>
          <w:szCs w:val="28"/>
        </w:rPr>
        <w:t>第二章 对通用条款的补充内容及其他关键信息</w:t>
      </w:r>
    </w:p>
    <w:p>
      <w:pPr>
        <w:pStyle w:val="5"/>
        <w:spacing w:beforeLines="50" w:afterLines="50"/>
        <w:rPr>
          <w:sz w:val="28"/>
          <w:szCs w:val="28"/>
        </w:rPr>
      </w:pPr>
      <w:bookmarkStart w:id="19" w:name="_Toc73518117"/>
      <w:bookmarkStart w:id="20" w:name="_Toc60560625"/>
      <w:bookmarkStart w:id="21" w:name="_Toc101074876"/>
      <w:bookmarkStart w:id="22" w:name="_Toc73521547"/>
      <w:bookmarkStart w:id="23" w:name="_Toc100052364"/>
      <w:bookmarkStart w:id="24" w:name="_Toc73517639"/>
      <w:bookmarkStart w:id="25" w:name="_Toc73521635"/>
      <w:bookmarkStart w:id="26" w:name="_Toc60631620"/>
      <w:r>
        <w:rPr>
          <w:rFonts w:hint="eastAsia"/>
          <w:szCs w:val="24"/>
        </w:rPr>
        <w:t>一、对通用条款的补充内容</w:t>
      </w:r>
    </w:p>
    <w:bookmarkEnd w:id="19"/>
    <w:bookmarkEnd w:id="20"/>
    <w:bookmarkEnd w:id="21"/>
    <w:bookmarkEnd w:id="22"/>
    <w:bookmarkEnd w:id="23"/>
    <w:bookmarkEnd w:id="24"/>
    <w:bookmarkEnd w:id="25"/>
    <w:bookmarkEnd w:id="26"/>
    <w:tbl>
      <w:tblPr>
        <w:tblStyle w:val="42"/>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b/>
                <w:bCs/>
              </w:rPr>
            </w:pPr>
            <w:r>
              <w:rPr>
                <w:rFonts w:hint="eastAsia" w:ascii="宋体" w:hAnsi="宋体"/>
                <w:b/>
                <w:bCs/>
              </w:rPr>
              <w:t>通用条款序号</w:t>
            </w:r>
          </w:p>
        </w:tc>
        <w:tc>
          <w:tcPr>
            <w:tcW w:w="2409" w:type="dxa"/>
            <w:vAlign w:val="center"/>
          </w:tcPr>
          <w:p>
            <w:pPr>
              <w:jc w:val="center"/>
              <w:rPr>
                <w:rFonts w:ascii="宋体" w:hAnsi="宋体"/>
                <w:b/>
                <w:bCs/>
              </w:rPr>
            </w:pPr>
            <w:r>
              <w:rPr>
                <w:rFonts w:hint="eastAsia" w:ascii="宋体" w:hAnsi="宋体"/>
                <w:b/>
                <w:bCs/>
              </w:rPr>
              <w:t>涉及事项</w:t>
            </w:r>
          </w:p>
        </w:tc>
        <w:tc>
          <w:tcPr>
            <w:tcW w:w="4980" w:type="dxa"/>
            <w:vAlign w:val="center"/>
          </w:tcPr>
          <w:p>
            <w:pPr>
              <w:jc w:val="center"/>
              <w:rPr>
                <w:rFonts w:ascii="宋体" w:hAnsi="宋体"/>
                <w:b/>
                <w:bCs/>
              </w:rPr>
            </w:pPr>
            <w:r>
              <w:rPr>
                <w:rFonts w:hint="eastAsia" w:ascii="宋体" w:hAnsi="宋体"/>
                <w:b/>
                <w:bCs/>
              </w:rPr>
              <w:t>具 体 补 充 内 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978" w:type="dxa"/>
            <w:vAlign w:val="center"/>
          </w:tcPr>
          <w:p>
            <w:pPr>
              <w:jc w:val="center"/>
              <w:rPr>
                <w:rFonts w:ascii="宋体" w:hAnsi="宋体"/>
              </w:rPr>
            </w:pPr>
            <w:r>
              <w:rPr>
                <w:rFonts w:hint="eastAsia" w:ascii="宋体" w:hAnsi="宋体"/>
              </w:rPr>
              <w:t>1</w:t>
            </w:r>
          </w:p>
        </w:tc>
        <w:tc>
          <w:tcPr>
            <w:tcW w:w="2409" w:type="dxa"/>
            <w:vAlign w:val="center"/>
          </w:tcPr>
          <w:p>
            <w:pPr>
              <w:jc w:val="center"/>
            </w:pPr>
            <w:r>
              <w:rPr>
                <w:rFonts w:hint="eastAsia"/>
              </w:rPr>
              <w:t>采购人</w:t>
            </w:r>
          </w:p>
        </w:tc>
        <w:tc>
          <w:tcPr>
            <w:tcW w:w="4980" w:type="dxa"/>
            <w:vAlign w:val="center"/>
          </w:tcPr>
          <w:p>
            <w:pPr>
              <w:jc w:val="center"/>
              <w:rPr>
                <w:rFonts w:ascii="宋体" w:hAnsi="宋体"/>
              </w:rPr>
            </w:pPr>
            <w:r>
              <w:rPr>
                <w:rFonts w:hint="eastAsia" w:ascii="宋体" w:hAnsi="宋体"/>
              </w:rPr>
              <w:t>国家海洋局深圳海洋环境监测中心站</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2</w:t>
            </w:r>
          </w:p>
        </w:tc>
        <w:tc>
          <w:tcPr>
            <w:tcW w:w="2409" w:type="dxa"/>
            <w:vAlign w:val="center"/>
          </w:tcPr>
          <w:p>
            <w:pPr>
              <w:jc w:val="center"/>
              <w:rPr>
                <w:rFonts w:ascii="宋体" w:hAnsi="宋体"/>
              </w:rPr>
            </w:pPr>
            <w:r>
              <w:rPr>
                <w:rFonts w:hint="eastAsia" w:ascii="宋体" w:hAnsi="宋体"/>
              </w:rPr>
              <w:t>招标机构</w:t>
            </w:r>
          </w:p>
        </w:tc>
        <w:tc>
          <w:tcPr>
            <w:tcW w:w="4980" w:type="dxa"/>
            <w:vAlign w:val="center"/>
          </w:tcPr>
          <w:p>
            <w:pPr>
              <w:jc w:val="center"/>
              <w:rPr>
                <w:rFonts w:ascii="宋体" w:hAnsi="宋体"/>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3</w:t>
            </w:r>
          </w:p>
        </w:tc>
        <w:tc>
          <w:tcPr>
            <w:tcW w:w="2409" w:type="dxa"/>
            <w:vAlign w:val="center"/>
          </w:tcPr>
          <w:p>
            <w:pPr>
              <w:jc w:val="center"/>
              <w:rPr>
                <w:rFonts w:ascii="宋体" w:hAnsi="宋体"/>
              </w:rPr>
            </w:pPr>
            <w:r>
              <w:rPr>
                <w:rFonts w:hint="eastAsia" w:ascii="宋体" w:hAnsi="宋体"/>
              </w:rPr>
              <w:t>踏勘现场</w:t>
            </w:r>
          </w:p>
        </w:tc>
        <w:tc>
          <w:tcPr>
            <w:tcW w:w="4980" w:type="dxa"/>
            <w:vAlign w:val="center"/>
          </w:tcPr>
          <w:p>
            <w:pPr>
              <w:jc w:val="center"/>
              <w:rPr>
                <w:rFonts w:ascii="宋体" w:hAnsi="宋体"/>
              </w:rPr>
            </w:pPr>
            <w:r>
              <w:rPr>
                <w:rFonts w:hint="eastAsia" w:ascii="宋体" w:hAnsi="宋体"/>
              </w:rPr>
              <w:t>不组织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4</w:t>
            </w:r>
          </w:p>
        </w:tc>
        <w:tc>
          <w:tcPr>
            <w:tcW w:w="2409" w:type="dxa"/>
            <w:vAlign w:val="center"/>
          </w:tcPr>
          <w:p>
            <w:pPr>
              <w:jc w:val="center"/>
              <w:rPr>
                <w:rFonts w:ascii="宋体" w:hAnsi="宋体"/>
              </w:rPr>
            </w:pPr>
            <w:r>
              <w:rPr>
                <w:rFonts w:hint="eastAsia" w:ascii="宋体" w:hAnsi="宋体"/>
              </w:rPr>
              <w:t>标前会议</w:t>
            </w:r>
          </w:p>
        </w:tc>
        <w:tc>
          <w:tcPr>
            <w:tcW w:w="4980" w:type="dxa"/>
            <w:vAlign w:val="center"/>
          </w:tcPr>
          <w:p>
            <w:pPr>
              <w:jc w:val="center"/>
              <w:rPr>
                <w:rFonts w:ascii="宋体" w:hAnsi="宋体"/>
              </w:rPr>
            </w:pPr>
            <w:r>
              <w:rPr>
                <w:rFonts w:hint="eastAsia" w:ascii="宋体" w:hAnsi="宋体"/>
              </w:rPr>
              <w:t>不组织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5</w:t>
            </w:r>
          </w:p>
        </w:tc>
        <w:tc>
          <w:tcPr>
            <w:tcW w:w="2409" w:type="dxa"/>
            <w:vAlign w:val="center"/>
          </w:tcPr>
          <w:p>
            <w:pPr>
              <w:jc w:val="center"/>
              <w:rPr>
                <w:rFonts w:ascii="宋体" w:hAnsi="宋体"/>
              </w:rPr>
            </w:pPr>
            <w:r>
              <w:rPr>
                <w:rFonts w:hint="eastAsia" w:ascii="宋体" w:hAnsi="宋体"/>
              </w:rPr>
              <w:t>招标文件的澄清和修改</w:t>
            </w:r>
          </w:p>
        </w:tc>
        <w:tc>
          <w:tcPr>
            <w:tcW w:w="4980" w:type="dxa"/>
            <w:vAlign w:val="center"/>
          </w:tcPr>
          <w:p>
            <w:pPr>
              <w:jc w:val="left"/>
              <w:rPr>
                <w:rFonts w:ascii="宋体" w:hAnsi="宋体"/>
              </w:rPr>
            </w:pPr>
            <w:r>
              <w:rPr>
                <w:rFonts w:hint="eastAsia" w:ascii="宋体" w:hAnsi="宋体"/>
              </w:rPr>
              <w:t>不晚于投标截止日三日前（详见招标公告），投标人有义务在招标期间在代理机构网站浏览与本项目有关的澄清和修改信息</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6</w:t>
            </w:r>
          </w:p>
        </w:tc>
        <w:tc>
          <w:tcPr>
            <w:tcW w:w="2409" w:type="dxa"/>
            <w:vAlign w:val="center"/>
          </w:tcPr>
          <w:p>
            <w:pPr>
              <w:jc w:val="center"/>
              <w:rPr>
                <w:rFonts w:ascii="宋体" w:hAnsi="宋体"/>
              </w:rPr>
            </w:pPr>
            <w:r>
              <w:rPr>
                <w:rFonts w:hint="eastAsia" w:ascii="宋体" w:hAnsi="宋体"/>
              </w:rPr>
              <w:t>投标有效期</w:t>
            </w:r>
          </w:p>
        </w:tc>
        <w:tc>
          <w:tcPr>
            <w:tcW w:w="4980" w:type="dxa"/>
            <w:vAlign w:val="center"/>
          </w:tcPr>
          <w:p>
            <w:pPr>
              <w:jc w:val="center"/>
              <w:rPr>
                <w:rFonts w:ascii="宋体" w:hAnsi="宋体"/>
              </w:rPr>
            </w:pPr>
            <w:r>
              <w:rPr>
                <w:rFonts w:hint="eastAsia" w:ascii="宋体" w:hAnsi="宋体"/>
              </w:rPr>
              <w:t>120个日历日</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7</w:t>
            </w:r>
          </w:p>
        </w:tc>
        <w:tc>
          <w:tcPr>
            <w:tcW w:w="2409" w:type="dxa"/>
            <w:vAlign w:val="center"/>
          </w:tcPr>
          <w:p>
            <w:pPr>
              <w:jc w:val="center"/>
              <w:rPr>
                <w:rFonts w:ascii="宋体" w:hAnsi="宋体"/>
              </w:rPr>
            </w:pPr>
            <w:r>
              <w:rPr>
                <w:rFonts w:hint="eastAsia" w:ascii="宋体" w:hAnsi="宋体"/>
              </w:rPr>
              <w:t>投标人的替代方案</w:t>
            </w:r>
          </w:p>
        </w:tc>
        <w:tc>
          <w:tcPr>
            <w:tcW w:w="4980" w:type="dxa"/>
            <w:vAlign w:val="center"/>
          </w:tcPr>
          <w:p>
            <w:pPr>
              <w:jc w:val="center"/>
              <w:rPr>
                <w:rFonts w:ascii="宋体" w:hAnsi="宋体"/>
              </w:rPr>
            </w:pPr>
            <w:r>
              <w:rPr>
                <w:rFonts w:hint="eastAsia" w:ascii="宋体" w:hAnsi="宋体"/>
              </w:rPr>
              <w:t>不接受</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8</w:t>
            </w:r>
          </w:p>
        </w:tc>
        <w:tc>
          <w:tcPr>
            <w:tcW w:w="2409" w:type="dxa"/>
            <w:vAlign w:val="center"/>
          </w:tcPr>
          <w:p>
            <w:pPr>
              <w:jc w:val="center"/>
              <w:rPr>
                <w:rFonts w:ascii="宋体" w:hAnsi="宋体"/>
              </w:rPr>
            </w:pPr>
            <w:r>
              <w:rPr>
                <w:rFonts w:hint="eastAsia" w:ascii="宋体" w:hAnsi="宋体"/>
              </w:rPr>
              <w:t>评审方法</w:t>
            </w:r>
          </w:p>
        </w:tc>
        <w:tc>
          <w:tcPr>
            <w:tcW w:w="4980" w:type="dxa"/>
            <w:vAlign w:val="center"/>
          </w:tcPr>
          <w:p>
            <w:pPr>
              <w:jc w:val="left"/>
              <w:rPr>
                <w:rFonts w:ascii="宋体" w:hAnsi="宋体"/>
              </w:rPr>
            </w:pPr>
            <w:r>
              <w:rPr>
                <w:rFonts w:hint="eastAsia" w:ascii="宋体" w:hAnsi="宋体"/>
              </w:rPr>
              <w:t>综合评分法</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9</w:t>
            </w:r>
          </w:p>
        </w:tc>
        <w:tc>
          <w:tcPr>
            <w:tcW w:w="2409" w:type="dxa"/>
            <w:vAlign w:val="center"/>
          </w:tcPr>
          <w:p>
            <w:pPr>
              <w:jc w:val="center"/>
              <w:rPr>
                <w:rFonts w:ascii="宋体" w:hAnsi="宋体"/>
              </w:rPr>
            </w:pPr>
            <w:r>
              <w:rPr>
                <w:rFonts w:hint="eastAsia" w:ascii="宋体" w:hAnsi="宋体"/>
              </w:rPr>
              <w:t>定标方法</w:t>
            </w:r>
          </w:p>
        </w:tc>
        <w:tc>
          <w:tcPr>
            <w:tcW w:w="4980" w:type="dxa"/>
            <w:vAlign w:val="center"/>
          </w:tcPr>
          <w:p>
            <w:pPr>
              <w:jc w:val="left"/>
              <w:rPr>
                <w:rFonts w:ascii="宋体" w:hAnsi="宋体"/>
              </w:rPr>
            </w:pPr>
            <w:r>
              <w:rPr>
                <w:rFonts w:hint="eastAsia" w:ascii="宋体" w:hAnsi="宋体"/>
              </w:rPr>
              <w:t>非评定分离</w:t>
            </w:r>
          </w:p>
        </w:tc>
      </w:tr>
    </w:tbl>
    <w:p>
      <w:pPr>
        <w:rPr>
          <w:b/>
        </w:rPr>
      </w:pPr>
      <w:r>
        <w:rPr>
          <w:rFonts w:hint="eastAsia"/>
          <w:szCs w:val="21"/>
        </w:rPr>
        <w:t>备注：本表是通用条款相关条款的补充和明确，如与通用条款内容相冲突的，以本表为准。</w:t>
      </w:r>
    </w:p>
    <w:p>
      <w:pPr>
        <w:rPr>
          <w:b/>
        </w:rPr>
      </w:pPr>
    </w:p>
    <w:p>
      <w:pPr>
        <w:pStyle w:val="5"/>
        <w:spacing w:beforeLines="50" w:afterLines="50"/>
        <w:rPr>
          <w:szCs w:val="24"/>
        </w:rPr>
      </w:pPr>
      <w:r>
        <w:rPr>
          <w:rFonts w:hint="eastAsia"/>
          <w:szCs w:val="24"/>
        </w:rPr>
        <w:t>二、其他关键信息</w:t>
      </w:r>
    </w:p>
    <w:p>
      <w:pPr>
        <w:ind w:firstLine="422" w:firstLineChars="200"/>
        <w:rPr>
          <w:b/>
          <w:bCs/>
        </w:rPr>
      </w:pPr>
      <w:r>
        <w:rPr>
          <w:rFonts w:hint="eastAsia"/>
          <w:b/>
          <w:bCs/>
        </w:rPr>
        <w:t>（一）与“对通用条款的补充内容”章节相关的事项</w:t>
      </w:r>
    </w:p>
    <w:p>
      <w:bookmarkStart w:id="27" w:name="_Hlk72579465"/>
    </w:p>
    <w:p>
      <w:pPr>
        <w:jc w:val="center"/>
      </w:pPr>
      <w:r>
        <w:rPr>
          <w:rFonts w:hint="eastAsia"/>
          <w:b/>
        </w:rPr>
        <w:t>非评定分离项目</w:t>
      </w:r>
    </w:p>
    <w:tbl>
      <w:tblPr>
        <w:tblStyle w:val="43"/>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1"/>
        <w:gridCol w:w="4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11" w:type="dxa"/>
            <w:vAlign w:val="center"/>
          </w:tcPr>
          <w:p>
            <w:pPr>
              <w:jc w:val="center"/>
            </w:pPr>
            <w:r>
              <w:rPr>
                <w:rFonts w:hint="eastAsia"/>
              </w:rPr>
              <w:t>评标方法</w:t>
            </w:r>
          </w:p>
        </w:tc>
        <w:tc>
          <w:tcPr>
            <w:tcW w:w="4402" w:type="dxa"/>
            <w:vAlign w:val="center"/>
          </w:tcPr>
          <w:p>
            <w:pPr>
              <w:jc w:val="center"/>
            </w:pPr>
            <w:r>
              <w:rPr>
                <w:rFonts w:hint="eastAsia"/>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11" w:type="dxa"/>
            <w:vAlign w:val="center"/>
          </w:tcPr>
          <w:p>
            <w:pPr>
              <w:jc w:val="center"/>
            </w:pPr>
            <w:r>
              <w:rPr>
                <w:rFonts w:hint="eastAsia"/>
              </w:rPr>
              <w:t>中标供应商数量</w:t>
            </w:r>
          </w:p>
        </w:tc>
        <w:tc>
          <w:tcPr>
            <w:tcW w:w="4402" w:type="dxa"/>
            <w:vAlign w:val="center"/>
          </w:tcPr>
          <w:p>
            <w:pPr>
              <w:jc w:val="center"/>
            </w:pPr>
            <w:r>
              <w:rPr>
                <w:rFonts w:hint="eastAsia"/>
              </w:rPr>
              <w:t>1</w:t>
            </w:r>
          </w:p>
        </w:tc>
      </w:tr>
    </w:tbl>
    <w:p>
      <w:pPr>
        <w:rPr>
          <w:rFonts w:ascii="宋体" w:hAnsi="宋体"/>
          <w:b/>
        </w:rPr>
      </w:pPr>
    </w:p>
    <w:bookmarkEnd w:id="27"/>
    <w:p>
      <w:pPr>
        <w:ind w:firstLine="422" w:firstLineChars="200"/>
        <w:rPr>
          <w:b/>
          <w:bCs/>
        </w:rPr>
      </w:pPr>
      <w:r>
        <w:rPr>
          <w:rFonts w:hint="eastAsia"/>
          <w:b/>
        </w:rPr>
        <w:t>（二）其他事项</w:t>
      </w:r>
    </w:p>
    <w:p>
      <w:r>
        <w:t>1</w:t>
      </w:r>
      <w:r>
        <w:rPr>
          <w:rFonts w:hint="eastAsia"/>
        </w:rPr>
        <w:t>、关于享受优惠政策的主体及价格扣除比例</w:t>
      </w:r>
    </w:p>
    <w:p>
      <w:pPr>
        <w:ind w:firstLine="420" w:firstLineChars="200"/>
        <w:rPr>
          <w:color w:val="000000" w:themeColor="text1"/>
        </w:rPr>
      </w:pPr>
      <w:r>
        <w:rPr>
          <w:rFonts w:hint="eastAsia"/>
          <w:color w:val="000000" w:themeColor="text1"/>
        </w:rPr>
        <w:t>（1）投标人提供的服务</w:t>
      </w:r>
      <w:r>
        <w:rPr>
          <w:rFonts w:hint="eastAsia"/>
          <w:b/>
          <w:color w:val="000000" w:themeColor="text1"/>
        </w:rPr>
        <w:t>全部</w:t>
      </w:r>
      <w:r>
        <w:rPr>
          <w:rFonts w:hint="eastAsia"/>
          <w:color w:val="000000" w:themeColor="text1"/>
        </w:rPr>
        <w:t>均由优惠主体承接，则对其投标总价给予</w:t>
      </w:r>
      <w:r>
        <w:rPr>
          <w:rFonts w:hint="eastAsia"/>
          <w:b/>
          <w:bCs/>
          <w:color w:val="000000" w:themeColor="text1"/>
          <w:u w:val="single"/>
        </w:rPr>
        <w:t>10</w:t>
      </w:r>
      <w:r>
        <w:rPr>
          <w:b/>
          <w:bCs/>
          <w:color w:val="000000" w:themeColor="text1"/>
          <w:u w:val="single"/>
        </w:rPr>
        <w:t>%</w:t>
      </w:r>
      <w:r>
        <w:rPr>
          <w:rFonts w:hint="eastAsia"/>
          <w:color w:val="000000" w:themeColor="text1"/>
        </w:rPr>
        <w:t>的扣除，用扣除后的价格参与评审。满足多项优惠政策的企业，不重复享受多项价格扣除政策。</w:t>
      </w:r>
    </w:p>
    <w:p>
      <w:pPr>
        <w:ind w:firstLine="420" w:firstLineChars="200"/>
        <w:rPr>
          <w:color w:val="000000" w:themeColor="text1"/>
        </w:rPr>
      </w:pPr>
      <w:r>
        <w:rPr>
          <w:rFonts w:hint="eastAsia"/>
          <w:color w:val="000000" w:themeColor="text1"/>
        </w:rPr>
        <w:t>备注：（a）优惠主体包括小型企业、微型企业、监狱企业、残疾人福利性单位；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color w:val="000000" w:themeColor="text1"/>
        </w:rPr>
        <w:t>b)</w:t>
      </w:r>
      <w:r>
        <w:rPr>
          <w:rFonts w:hint="eastAsia"/>
          <w:color w:val="000000" w:themeColor="text1"/>
        </w:rPr>
        <w:t>优惠主体承接是指提供服务的人员为中小企业依照《中华人民共和国劳动合同法》订立劳动合同的从业人员。</w:t>
      </w:r>
    </w:p>
    <w:p>
      <w:pPr>
        <w:ind w:firstLine="420" w:firstLineChars="200"/>
        <w:rPr>
          <w:color w:val="000000" w:themeColor="text1"/>
        </w:rPr>
      </w:pPr>
      <w:r>
        <w:rPr>
          <w:rFonts w:hint="eastAsia"/>
          <w:color w:val="000000" w:themeColor="text1"/>
        </w:rPr>
        <w:t>（2）根据</w:t>
      </w:r>
      <w:r>
        <w:rPr>
          <w:rFonts w:hint="eastAsia"/>
          <w:color w:val="000000" w:themeColor="text1"/>
          <w:szCs w:val="22"/>
        </w:rPr>
        <w:t>《工业和信息化部、国家统计局、国家发展和</w:t>
      </w:r>
      <w:bookmarkStart w:id="97" w:name="_GoBack"/>
      <w:bookmarkEnd w:id="97"/>
      <w:r>
        <w:rPr>
          <w:rFonts w:hint="eastAsia"/>
          <w:color w:val="000000" w:themeColor="text1"/>
          <w:szCs w:val="22"/>
        </w:rPr>
        <w:t>改革委员会、财政部关于印发中小企业划型标准规定的通知》（工信部联企业〔2011〕300 号）</w:t>
      </w:r>
      <w:r>
        <w:rPr>
          <w:rFonts w:hint="eastAsia"/>
          <w:color w:val="000000" w:themeColor="text1"/>
        </w:rPr>
        <w:t>，</w:t>
      </w:r>
      <w:bookmarkStart w:id="28" w:name="_Hlk71970739"/>
      <w:r>
        <w:rPr>
          <w:rFonts w:hint="eastAsia"/>
          <w:color w:val="000000" w:themeColor="text1"/>
        </w:rPr>
        <w:t>本项目</w:t>
      </w:r>
      <w:bookmarkStart w:id="29" w:name="_Hlk71924718"/>
      <w:r>
        <w:rPr>
          <w:rFonts w:hint="eastAsia"/>
          <w:color w:val="000000" w:themeColor="text1"/>
        </w:rPr>
        <w:t>采购标的（服务需求）对应的中小企业划分标准所属行业</w:t>
      </w:r>
      <w:bookmarkEnd w:id="29"/>
      <w:r>
        <w:rPr>
          <w:rFonts w:hint="eastAsia"/>
          <w:color w:val="000000" w:themeColor="text1"/>
        </w:rPr>
        <w:t>为</w:t>
      </w:r>
      <w:r>
        <w:rPr>
          <w:rFonts w:hint="eastAsia"/>
          <w:b/>
          <w:bCs/>
          <w:color w:val="000000" w:themeColor="text1"/>
          <w:u w:val="single"/>
        </w:rPr>
        <w:t>物业管理</w:t>
      </w:r>
      <w:r>
        <w:rPr>
          <w:rFonts w:hint="eastAsia"/>
          <w:color w:val="000000" w:themeColor="text1"/>
        </w:rPr>
        <w:t>。</w:t>
      </w:r>
      <w:bookmarkEnd w:id="28"/>
    </w:p>
    <w:p>
      <w:pPr>
        <w:ind w:firstLine="420" w:firstLineChars="200"/>
      </w:pPr>
      <w:r>
        <w:rPr>
          <w:rFonts w:hint="eastAsia"/>
        </w:rPr>
        <w:t>（3）小型企业、微型企业、残疾人福利性单位作为优惠主体的认定资料为《中小企业声明函》、《残疾人福利性单位声明函》；监狱企业作为优惠主体的认定资料为省级以上监狱管理局、戒毒管理局出具的监狱企业证明文件。声明函样式见本招标文件第一册专用条款第四章“</w:t>
      </w:r>
      <w:r>
        <w:rPr>
          <w:rFonts w:hint="eastAsia" w:ascii="宋体" w:hAnsi="宋体"/>
          <w:szCs w:val="21"/>
        </w:rPr>
        <w:t>投标文件组成要求及格式</w:t>
      </w:r>
      <w:r>
        <w:rPr>
          <w:rFonts w:hint="eastAsia"/>
        </w:rPr>
        <w:t>”中“三、投标人情况及资格证明文件”章节提供的格式）。</w:t>
      </w:r>
    </w:p>
    <w:p>
      <w:pPr>
        <w:ind w:firstLine="420" w:firstLineChars="200"/>
        <w:rPr>
          <w:rFonts w:ascii="仿宋" w:hAnsi="仿宋" w:eastAsia="仿宋"/>
          <w:sz w:val="28"/>
          <w:szCs w:val="28"/>
        </w:rPr>
      </w:pPr>
      <w:r>
        <w:rPr>
          <w:rFonts w:hint="eastAsia"/>
        </w:rPr>
        <w:t>（4）享受价格扣除获得政府采购合同的，小微企业不得将合同分包给大中型企业。</w:t>
      </w:r>
    </w:p>
    <w:p>
      <w:pPr>
        <w:rPr>
          <w:rFonts w:ascii="Calibri" w:hAnsi="Calibri"/>
        </w:rPr>
      </w:pPr>
    </w:p>
    <w:p/>
    <w:p>
      <w:pPr>
        <w:rPr>
          <w:color w:val="000000" w:themeColor="text1"/>
        </w:rPr>
      </w:pPr>
      <w:r>
        <w:rPr>
          <w:rFonts w:hint="eastAsia"/>
          <w:color w:val="000000" w:themeColor="text1"/>
        </w:rPr>
        <w:t>2.代理服务费</w:t>
      </w:r>
    </w:p>
    <w:p>
      <w:pPr>
        <w:ind w:firstLine="420" w:firstLineChars="200"/>
        <w:rPr>
          <w:color w:val="000000" w:themeColor="text1"/>
        </w:rPr>
      </w:pPr>
      <w:r>
        <w:rPr>
          <w:rFonts w:hint="eastAsia"/>
          <w:color w:val="000000" w:themeColor="text1"/>
        </w:rPr>
        <w:t>本项目向中标供应商收取代理服务费。</w:t>
      </w:r>
    </w:p>
    <w:p>
      <w:pPr>
        <w:ind w:firstLine="420" w:firstLineChars="200"/>
        <w:rPr>
          <w:color w:val="000000" w:themeColor="text1"/>
        </w:rPr>
      </w:pPr>
    </w:p>
    <w:p>
      <w:pPr>
        <w:rPr>
          <w:color w:val="000000" w:themeColor="text1"/>
        </w:rPr>
      </w:pPr>
      <w:r>
        <w:rPr>
          <w:rFonts w:hint="eastAsia"/>
          <w:color w:val="000000" w:themeColor="text1"/>
        </w:rPr>
        <w:t>3.长期服务采购项目</w:t>
      </w:r>
    </w:p>
    <w:p>
      <w:pPr>
        <w:ind w:firstLine="420" w:firstLineChars="200"/>
      </w:pPr>
      <w:r>
        <w:rPr>
          <w:rFonts w:hint="eastAsia"/>
          <w:color w:val="000000" w:themeColor="text1"/>
        </w:rPr>
        <w:t>本项目为长期服务项目，原则上合同每年签署一次，合同期满可以续签，但合同履行期限最长不得超过三十六个月。如甲方对履约情况不满意，甲方不再续约。</w:t>
      </w:r>
    </w:p>
    <w:p>
      <w:pPr>
        <w:ind w:firstLine="420" w:firstLineChars="200"/>
        <w:jc w:val="left"/>
      </w:pPr>
    </w:p>
    <w:p>
      <w:pPr>
        <w:pStyle w:val="5"/>
        <w:rPr>
          <w:sz w:val="28"/>
          <w:szCs w:val="28"/>
        </w:rPr>
      </w:pPr>
      <w:bookmarkStart w:id="30" w:name="_Toc128884461"/>
      <w:r>
        <w:rPr>
          <w:rFonts w:hint="eastAsia"/>
          <w:sz w:val="28"/>
          <w:szCs w:val="28"/>
        </w:rPr>
        <w:t>第三章 用户需求书</w:t>
      </w:r>
    </w:p>
    <w:p>
      <w:pPr>
        <w:pStyle w:val="5"/>
        <w:spacing w:beforeLines="50" w:afterLines="50"/>
        <w:rPr>
          <w:szCs w:val="24"/>
        </w:rPr>
      </w:pPr>
      <w:r>
        <w:rPr>
          <w:rFonts w:hint="eastAsia"/>
          <w:szCs w:val="24"/>
        </w:rPr>
        <w:t>一、项目基本信息</w:t>
      </w:r>
    </w:p>
    <w:tbl>
      <w:tblPr>
        <w:tblStyle w:val="42"/>
        <w:tblW w:w="86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6653"/>
        <w:gridCol w:w="1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426" w:type="dxa"/>
            <w:vAlign w:val="center"/>
          </w:tcPr>
          <w:p>
            <w:pPr>
              <w:jc w:val="center"/>
              <w:rPr>
                <w:bCs/>
                <w:szCs w:val="21"/>
              </w:rPr>
            </w:pPr>
            <w:r>
              <w:rPr>
                <w:rFonts w:hint="eastAsia"/>
                <w:bCs/>
                <w:szCs w:val="21"/>
              </w:rPr>
              <w:t>序号</w:t>
            </w:r>
          </w:p>
        </w:tc>
        <w:tc>
          <w:tcPr>
            <w:tcW w:w="6653" w:type="dxa"/>
            <w:vAlign w:val="center"/>
          </w:tcPr>
          <w:p>
            <w:pPr>
              <w:jc w:val="center"/>
              <w:rPr>
                <w:bCs/>
                <w:szCs w:val="21"/>
              </w:rPr>
            </w:pPr>
            <w:r>
              <w:rPr>
                <w:rFonts w:hint="eastAsia"/>
                <w:bCs/>
                <w:szCs w:val="21"/>
              </w:rPr>
              <w:t>采购项目名称</w:t>
            </w:r>
          </w:p>
        </w:tc>
        <w:tc>
          <w:tcPr>
            <w:tcW w:w="1533" w:type="dxa"/>
            <w:vAlign w:val="center"/>
          </w:tcPr>
          <w:p>
            <w:pPr>
              <w:jc w:val="center"/>
              <w:rPr>
                <w:b/>
                <w:bCs/>
                <w:color w:val="FF0000"/>
                <w:szCs w:val="21"/>
              </w:rPr>
            </w:pPr>
            <w:r>
              <w:rPr>
                <w:rFonts w:hint="eastAsia"/>
                <w:b/>
                <w:bCs/>
                <w:color w:val="FF0000"/>
                <w:szCs w:val="21"/>
              </w:rPr>
              <w:t>预算金额（元）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426" w:type="dxa"/>
            <w:vAlign w:val="center"/>
          </w:tcPr>
          <w:p>
            <w:pPr>
              <w:jc w:val="center"/>
              <w:rPr>
                <w:bCs/>
                <w:szCs w:val="21"/>
              </w:rPr>
            </w:pPr>
            <w:r>
              <w:rPr>
                <w:rFonts w:hint="eastAsia"/>
                <w:bCs/>
                <w:szCs w:val="21"/>
              </w:rPr>
              <w:t>1</w:t>
            </w:r>
          </w:p>
        </w:tc>
        <w:tc>
          <w:tcPr>
            <w:tcW w:w="6653" w:type="dxa"/>
            <w:vAlign w:val="center"/>
          </w:tcPr>
          <w:p>
            <w:pPr>
              <w:jc w:val="center"/>
              <w:rPr>
                <w:bCs/>
                <w:szCs w:val="21"/>
              </w:rPr>
            </w:pPr>
            <w:r>
              <w:rPr>
                <w:rFonts w:hint="eastAsia"/>
                <w:bCs/>
                <w:szCs w:val="21"/>
              </w:rPr>
              <w:t>国家海洋局深圳海洋环境监测中心站办公楼（含惠州站）2024年物业管理项目</w:t>
            </w:r>
          </w:p>
        </w:tc>
        <w:tc>
          <w:tcPr>
            <w:tcW w:w="1533" w:type="dxa"/>
            <w:vAlign w:val="center"/>
          </w:tcPr>
          <w:p>
            <w:pPr>
              <w:jc w:val="center"/>
              <w:rPr>
                <w:b/>
                <w:bCs/>
                <w:color w:val="FF0000"/>
                <w:szCs w:val="21"/>
              </w:rPr>
            </w:pPr>
            <w:r>
              <w:rPr>
                <w:bCs/>
                <w:szCs w:val="21"/>
              </w:rPr>
              <w:t>750000.00</w:t>
            </w:r>
          </w:p>
        </w:tc>
      </w:tr>
    </w:tbl>
    <w:p>
      <w:pPr>
        <w:pStyle w:val="5"/>
        <w:spacing w:beforeLines="50" w:afterLines="50"/>
        <w:jc w:val="both"/>
        <w:rPr>
          <w:szCs w:val="24"/>
        </w:rPr>
      </w:pPr>
    </w:p>
    <w:p>
      <w:pPr>
        <w:pStyle w:val="5"/>
        <w:spacing w:beforeLines="50" w:afterLines="50"/>
        <w:rPr>
          <w:szCs w:val="24"/>
        </w:rPr>
      </w:pPr>
      <w:r>
        <w:rPr>
          <w:rFonts w:hint="eastAsia"/>
          <w:szCs w:val="24"/>
        </w:rPr>
        <w:t>二、项目概况</w:t>
      </w:r>
    </w:p>
    <w:p>
      <w:pPr>
        <w:ind w:firstLine="440" w:firstLineChars="200"/>
        <w:rPr>
          <w:color w:val="000000" w:themeColor="text1"/>
          <w:sz w:val="22"/>
        </w:rPr>
      </w:pPr>
      <w:r>
        <w:rPr>
          <w:rFonts w:hint="eastAsia"/>
          <w:color w:val="000000" w:themeColor="text1"/>
          <w:sz w:val="22"/>
        </w:rPr>
        <w:t>本次合同物业服务包括甲方所属两处办公楼：</w:t>
      </w:r>
    </w:p>
    <w:p>
      <w:pPr>
        <w:ind w:firstLine="440" w:firstLineChars="200"/>
        <w:rPr>
          <w:color w:val="000000" w:themeColor="text1"/>
          <w:sz w:val="22"/>
        </w:rPr>
      </w:pPr>
      <w:r>
        <w:rPr>
          <w:rFonts w:hint="eastAsia"/>
          <w:color w:val="000000" w:themeColor="text1"/>
          <w:sz w:val="22"/>
        </w:rPr>
        <w:t>1.深圳本部</w:t>
      </w:r>
    </w:p>
    <w:p>
      <w:pPr>
        <w:ind w:left="439" w:leftChars="209" w:firstLine="440"/>
        <w:rPr>
          <w:rFonts w:hint="eastAsia" w:eastAsia="宋体"/>
          <w:color w:val="000000" w:themeColor="text1"/>
          <w:sz w:val="22"/>
          <w:lang w:eastAsia="zh-CN"/>
        </w:rPr>
      </w:pPr>
      <w:r>
        <w:rPr>
          <w:rFonts w:hint="eastAsia"/>
          <w:color w:val="000000" w:themeColor="text1"/>
          <w:sz w:val="22"/>
        </w:rPr>
        <w:t>物业名称：国家海洋局深圳海洋环境监测中心站办公楼</w:t>
      </w:r>
      <w:r>
        <w:rPr>
          <w:rFonts w:hint="eastAsia"/>
          <w:color w:val="000000" w:themeColor="text1"/>
          <w:sz w:val="22"/>
        </w:rPr>
        <w:br w:type="textWrapping"/>
      </w:r>
      <w:r>
        <w:rPr>
          <w:rFonts w:hint="eastAsia"/>
          <w:color w:val="000000" w:themeColor="text1"/>
          <w:sz w:val="22"/>
        </w:rPr>
        <w:t>座落位置：深圳市南山区蛇口</w:t>
      </w:r>
      <w:r>
        <w:rPr>
          <w:rFonts w:hint="eastAsia"/>
          <w:color w:val="000000" w:themeColor="text1"/>
          <w:sz w:val="22"/>
          <w:lang w:eastAsia="zh-CN"/>
        </w:rPr>
        <w:t>沿山路31号</w:t>
      </w:r>
    </w:p>
    <w:p>
      <w:pPr>
        <w:ind w:firstLine="440" w:firstLineChars="200"/>
        <w:rPr>
          <w:color w:val="000000" w:themeColor="text1"/>
          <w:sz w:val="22"/>
        </w:rPr>
      </w:pPr>
      <w:r>
        <w:rPr>
          <w:rFonts w:hint="eastAsia"/>
          <w:color w:val="000000" w:themeColor="text1"/>
          <w:sz w:val="22"/>
        </w:rPr>
        <w:t>建筑面积：2700平方米</w:t>
      </w:r>
    </w:p>
    <w:p>
      <w:pPr>
        <w:ind w:firstLine="440" w:firstLineChars="200"/>
        <w:rPr>
          <w:color w:val="000000" w:themeColor="text1"/>
          <w:sz w:val="22"/>
        </w:rPr>
      </w:pPr>
      <w:r>
        <w:rPr>
          <w:rFonts w:hint="eastAsia"/>
          <w:color w:val="000000" w:themeColor="text1"/>
          <w:sz w:val="22"/>
        </w:rPr>
        <w:t>物业类型：办公楼</w:t>
      </w:r>
    </w:p>
    <w:p>
      <w:pPr>
        <w:ind w:firstLine="440" w:firstLineChars="200"/>
        <w:rPr>
          <w:color w:val="000000" w:themeColor="text1"/>
          <w:sz w:val="22"/>
        </w:rPr>
      </w:pPr>
      <w:r>
        <w:rPr>
          <w:rFonts w:hint="eastAsia"/>
          <w:color w:val="000000" w:themeColor="text1"/>
          <w:sz w:val="22"/>
        </w:rPr>
        <w:t>2.惠州站</w:t>
      </w:r>
    </w:p>
    <w:p>
      <w:pPr>
        <w:ind w:firstLine="440" w:firstLineChars="200"/>
        <w:rPr>
          <w:color w:val="000000" w:themeColor="text1"/>
          <w:sz w:val="22"/>
        </w:rPr>
      </w:pPr>
      <w:r>
        <w:rPr>
          <w:rFonts w:hint="eastAsia"/>
          <w:color w:val="000000" w:themeColor="text1"/>
          <w:sz w:val="22"/>
        </w:rPr>
        <w:t>物业名称：国家海洋局惠州海洋环境监测站办公楼</w:t>
      </w:r>
    </w:p>
    <w:p>
      <w:pPr>
        <w:ind w:firstLine="440" w:firstLineChars="200"/>
        <w:rPr>
          <w:color w:val="000000" w:themeColor="text1"/>
          <w:sz w:val="22"/>
        </w:rPr>
      </w:pPr>
      <w:r>
        <w:rPr>
          <w:rFonts w:hint="eastAsia"/>
          <w:color w:val="000000" w:themeColor="text1"/>
          <w:sz w:val="22"/>
        </w:rPr>
        <w:t>座落位置：惠州市惠阳区大亚湾霞涌街道东环路二号</w:t>
      </w:r>
    </w:p>
    <w:p>
      <w:pPr>
        <w:ind w:firstLine="440" w:firstLineChars="200"/>
        <w:rPr>
          <w:color w:val="000000" w:themeColor="text1"/>
          <w:sz w:val="22"/>
        </w:rPr>
      </w:pPr>
      <w:r>
        <w:rPr>
          <w:rFonts w:hint="eastAsia"/>
          <w:color w:val="000000" w:themeColor="text1"/>
          <w:sz w:val="22"/>
        </w:rPr>
        <w:t> 建筑面积：1092平方米</w:t>
      </w:r>
    </w:p>
    <w:p>
      <w:pPr>
        <w:ind w:firstLine="440" w:firstLineChars="200"/>
        <w:rPr>
          <w:color w:val="000000" w:themeColor="text1"/>
          <w:sz w:val="22"/>
        </w:rPr>
      </w:pPr>
      <w:r>
        <w:rPr>
          <w:rFonts w:hint="eastAsia"/>
          <w:color w:val="000000" w:themeColor="text1"/>
          <w:sz w:val="22"/>
        </w:rPr>
        <w:t>物业类型：办公楼</w:t>
      </w:r>
    </w:p>
    <w:p>
      <w:pPr>
        <w:rPr>
          <w:rFonts w:ascii="宋体" w:hAnsi="宋体"/>
          <w:b/>
          <w:color w:val="FF0000"/>
          <w:szCs w:val="21"/>
        </w:rPr>
      </w:pPr>
    </w:p>
    <w:p>
      <w:pPr>
        <w:pStyle w:val="5"/>
        <w:spacing w:beforeLines="50" w:afterLines="50"/>
        <w:rPr>
          <w:color w:val="000000" w:themeColor="text1"/>
          <w:szCs w:val="24"/>
        </w:rPr>
      </w:pPr>
      <w:r>
        <w:rPr>
          <w:b w:val="0"/>
          <w:color w:val="000000" w:themeColor="text1"/>
          <w:szCs w:val="21"/>
        </w:rPr>
        <w:t>三</w:t>
      </w:r>
      <w:r>
        <w:rPr>
          <w:rFonts w:hint="eastAsia"/>
          <w:color w:val="000000" w:themeColor="text1"/>
          <w:szCs w:val="24"/>
        </w:rPr>
        <w:t>、实质性条款</w:t>
      </w:r>
    </w:p>
    <w:tbl>
      <w:tblPr>
        <w:tblStyle w:val="42"/>
        <w:tblW w:w="86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7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5" w:type="dxa"/>
          </w:tcPr>
          <w:p>
            <w:pPr>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7907" w:type="dxa"/>
          </w:tcPr>
          <w:p>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7907" w:type="dxa"/>
          </w:tcPr>
          <w:p>
            <w:pPr>
              <w:rPr>
                <w:rFonts w:hAnsi="宋体" w:eastAsiaTheme="minorEastAsia"/>
                <w:kern w:val="0"/>
                <w:szCs w:val="21"/>
              </w:rPr>
            </w:pPr>
            <w:r>
              <w:rPr>
                <w:rFonts w:hint="eastAsia"/>
              </w:rPr>
              <w:t>满足本项目标★的条款要求</w:t>
            </w:r>
          </w:p>
        </w:tc>
      </w:tr>
      <w:bookmarkEnd w:id="30"/>
    </w:tbl>
    <w:p>
      <w:pPr>
        <w:rPr>
          <w:rFonts w:ascii="宋体"/>
          <w:b/>
          <w:kern w:val="0"/>
          <w:sz w:val="24"/>
          <w:szCs w:val="20"/>
        </w:rPr>
      </w:pPr>
      <w:r>
        <w:rPr>
          <w:rFonts w:ascii="宋体"/>
          <w:b/>
          <w:kern w:val="0"/>
          <w:sz w:val="24"/>
          <w:szCs w:val="20"/>
        </w:rPr>
        <w:t>注：上表所列内容为不可负偏离条款，负偏离将视为未实质性满足招标文件要求和条件作投标无效处理。</w:t>
      </w:r>
    </w:p>
    <w:p>
      <w:pPr>
        <w:pStyle w:val="18"/>
      </w:pPr>
    </w:p>
    <w:p>
      <w:pPr>
        <w:pStyle w:val="5"/>
        <w:spacing w:beforeLines="50" w:afterLines="50"/>
        <w:rPr>
          <w:szCs w:val="24"/>
        </w:rPr>
      </w:pPr>
      <w:r>
        <w:rPr>
          <w:rFonts w:hint="eastAsia"/>
          <w:szCs w:val="24"/>
        </w:rPr>
        <w:t>四、技术要求</w:t>
      </w:r>
    </w:p>
    <w:p>
      <w:pPr>
        <w:ind w:firstLine="422" w:firstLineChars="200"/>
        <w:outlineLvl w:val="2"/>
        <w:rPr>
          <w:rFonts w:ascii="宋体" w:hAnsi="宋体" w:cs="宋体"/>
          <w:sz w:val="24"/>
        </w:rPr>
      </w:pPr>
      <w:r>
        <w:rPr>
          <w:rFonts w:hint="eastAsia" w:ascii="宋体" w:hAnsi="宋体"/>
          <w:b/>
          <w:bCs/>
          <w:lang w:val="zh-TW"/>
        </w:rPr>
        <w:t>（一）</w:t>
      </w:r>
      <w:r>
        <w:rPr>
          <w:rFonts w:hint="eastAsia" w:ascii="宋体" w:hAnsi="宋体" w:cs="宋体"/>
          <w:sz w:val="24"/>
        </w:rPr>
        <w:t>本项目的服务内容包括深圳和惠州站办公区的如下服务：</w:t>
      </w:r>
    </w:p>
    <w:p>
      <w:pPr>
        <w:pStyle w:val="78"/>
        <w:widowControl/>
        <w:numPr>
          <w:ilvl w:val="0"/>
          <w:numId w:val="7"/>
        </w:numPr>
        <w:adjustRightInd w:val="0"/>
        <w:snapToGrid w:val="0"/>
        <w:spacing w:after="200" w:line="440" w:lineRule="exact"/>
        <w:ind w:right="480" w:firstLineChars="0"/>
        <w:rPr>
          <w:rFonts w:ascii="宋体" w:hAnsi="宋体" w:cs="宋体"/>
          <w:b/>
          <w:sz w:val="24"/>
        </w:rPr>
      </w:pPr>
      <w:r>
        <w:rPr>
          <w:rFonts w:hint="eastAsia" w:ascii="宋体" w:hAnsi="宋体" w:cs="宋体"/>
          <w:b/>
          <w:sz w:val="24"/>
        </w:rPr>
        <w:t>管家服务</w:t>
      </w:r>
    </w:p>
    <w:p>
      <w:pPr>
        <w:spacing w:line="440" w:lineRule="exact"/>
        <w:ind w:right="480" w:firstLine="480" w:firstLineChars="200"/>
        <w:rPr>
          <w:rFonts w:ascii="宋体" w:hAnsi="宋体" w:cs="宋体"/>
          <w:sz w:val="24"/>
        </w:rPr>
      </w:pPr>
      <w:r>
        <w:rPr>
          <w:rFonts w:hint="eastAsia" w:ascii="宋体" w:hAnsi="宋体" w:cs="宋体"/>
          <w:sz w:val="24"/>
        </w:rPr>
        <w:t>（1）负责现场物业管理全面工作安排、协调、上呈下达工作；</w:t>
      </w:r>
    </w:p>
    <w:p>
      <w:pPr>
        <w:spacing w:line="440" w:lineRule="exact"/>
        <w:ind w:right="480" w:firstLine="480" w:firstLineChars="200"/>
        <w:rPr>
          <w:rFonts w:ascii="宋体" w:hAnsi="宋体" w:cs="宋体"/>
          <w:sz w:val="24"/>
        </w:rPr>
      </w:pPr>
      <w:r>
        <w:rPr>
          <w:rFonts w:hint="eastAsia" w:ascii="宋体" w:hAnsi="宋体" w:cs="宋体"/>
          <w:sz w:val="24"/>
        </w:rPr>
        <w:t>（2）负责与业主沟通、协助业主做好各项服务工作；</w:t>
      </w:r>
    </w:p>
    <w:p>
      <w:pPr>
        <w:spacing w:line="440" w:lineRule="exact"/>
        <w:ind w:right="480" w:firstLine="480" w:firstLineChars="200"/>
        <w:rPr>
          <w:rFonts w:ascii="宋体" w:hAnsi="宋体" w:cs="宋体"/>
          <w:sz w:val="24"/>
        </w:rPr>
      </w:pPr>
      <w:r>
        <w:rPr>
          <w:rFonts w:hint="eastAsia" w:ascii="宋体" w:hAnsi="宋体" w:cs="宋体"/>
          <w:sz w:val="24"/>
        </w:rPr>
        <w:t>（3）负责与社区、片区警务室做好联络工作；</w:t>
      </w:r>
    </w:p>
    <w:p>
      <w:pPr>
        <w:spacing w:line="440" w:lineRule="exact"/>
        <w:ind w:right="480" w:firstLine="420"/>
        <w:rPr>
          <w:rFonts w:ascii="宋体" w:hAnsi="宋体" w:cs="宋体"/>
          <w:sz w:val="24"/>
        </w:rPr>
      </w:pPr>
      <w:r>
        <w:rPr>
          <w:rFonts w:hint="eastAsia" w:ascii="宋体" w:hAnsi="宋体" w:cs="宋体"/>
          <w:sz w:val="24"/>
        </w:rPr>
        <w:t>（4）负责完成业主临时安排各项工作。</w:t>
      </w:r>
    </w:p>
    <w:p>
      <w:pPr>
        <w:pStyle w:val="78"/>
        <w:spacing w:line="440" w:lineRule="exact"/>
        <w:ind w:left="360" w:right="480" w:firstLine="0" w:firstLineChars="0"/>
        <w:rPr>
          <w:rFonts w:ascii="宋体" w:hAnsi="宋体" w:cs="宋体"/>
          <w:b/>
          <w:sz w:val="24"/>
          <w:szCs w:val="24"/>
        </w:rPr>
      </w:pPr>
      <w:r>
        <w:rPr>
          <w:rFonts w:hint="eastAsia" w:ascii="宋体" w:hAnsi="宋体" w:cs="宋体"/>
          <w:b/>
          <w:sz w:val="24"/>
          <w:szCs w:val="24"/>
        </w:rPr>
        <w:t>2、2</w:t>
      </w:r>
      <w:r>
        <w:rPr>
          <w:rFonts w:ascii="宋体" w:hAnsi="宋体" w:cs="宋体"/>
          <w:b/>
          <w:sz w:val="24"/>
          <w:szCs w:val="24"/>
        </w:rPr>
        <w:t>4</w:t>
      </w:r>
      <w:r>
        <w:rPr>
          <w:rFonts w:hint="eastAsia" w:ascii="宋体" w:hAnsi="宋体" w:cs="宋体"/>
          <w:b/>
          <w:sz w:val="24"/>
          <w:szCs w:val="24"/>
        </w:rPr>
        <w:t>小时保安服务</w:t>
      </w:r>
    </w:p>
    <w:p>
      <w:pPr>
        <w:pStyle w:val="78"/>
        <w:numPr>
          <w:ilvl w:val="0"/>
          <w:numId w:val="8"/>
        </w:numPr>
        <w:spacing w:line="440" w:lineRule="exact"/>
        <w:ind w:right="480" w:firstLineChars="0"/>
        <w:rPr>
          <w:rFonts w:ascii="宋体" w:hAnsi="宋体" w:cs="宋体"/>
          <w:b/>
          <w:sz w:val="24"/>
          <w:szCs w:val="24"/>
        </w:rPr>
      </w:pPr>
      <w:r>
        <w:rPr>
          <w:rFonts w:hint="eastAsia" w:asciiTheme="majorEastAsia" w:hAnsiTheme="majorEastAsia" w:eastAsiaTheme="majorEastAsia"/>
          <w:sz w:val="24"/>
          <w:szCs w:val="24"/>
        </w:rPr>
        <w:t>服从管家工作安排，着装整齐，按规定时间上岗交接班，忠于职守，在岗时不得与其他无关人员闲聊；</w:t>
      </w:r>
    </w:p>
    <w:p>
      <w:pPr>
        <w:pStyle w:val="78"/>
        <w:numPr>
          <w:ilvl w:val="0"/>
          <w:numId w:val="8"/>
        </w:numPr>
        <w:spacing w:line="440" w:lineRule="exact"/>
        <w:ind w:right="480" w:firstLineChars="0"/>
        <w:rPr>
          <w:rFonts w:ascii="宋体" w:hAnsi="宋体" w:cs="宋体"/>
          <w:b/>
          <w:sz w:val="24"/>
          <w:szCs w:val="24"/>
        </w:rPr>
      </w:pPr>
      <w:r>
        <w:rPr>
          <w:rFonts w:hint="eastAsia" w:asciiTheme="majorEastAsia" w:hAnsiTheme="majorEastAsia" w:eastAsiaTheme="majorEastAsia"/>
          <w:sz w:val="24"/>
          <w:szCs w:val="24"/>
        </w:rPr>
        <w:t>严格执行交接班制度，对外来人员要进行礼貌询问并做好相关登记工作；</w:t>
      </w:r>
    </w:p>
    <w:p>
      <w:pPr>
        <w:pStyle w:val="78"/>
        <w:numPr>
          <w:ilvl w:val="0"/>
          <w:numId w:val="8"/>
        </w:numPr>
        <w:spacing w:line="360" w:lineRule="auto"/>
        <w:ind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负责引导车辆的停放和管理，对晚上不开走的车辆要进行登记工作；</w:t>
      </w:r>
    </w:p>
    <w:p>
      <w:pPr>
        <w:pStyle w:val="78"/>
        <w:numPr>
          <w:ilvl w:val="0"/>
          <w:numId w:val="8"/>
        </w:numPr>
        <w:spacing w:line="360" w:lineRule="auto"/>
        <w:ind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严格把关，对外来车辆要进行礼貌劝阻，对可疑情况要提高警惕，并及进报告确保安全；</w:t>
      </w:r>
    </w:p>
    <w:p>
      <w:pPr>
        <w:pStyle w:val="78"/>
        <w:numPr>
          <w:ilvl w:val="0"/>
          <w:numId w:val="8"/>
        </w:numPr>
        <w:spacing w:line="360" w:lineRule="auto"/>
        <w:ind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严禁收买、推销、小贩等闲杂人员进入本办公大楼，发现可疑人员要进行警告和劝阻，对不听劝阻人员要理行报警处理，确保安全；</w:t>
      </w:r>
    </w:p>
    <w:p>
      <w:pPr>
        <w:pStyle w:val="78"/>
        <w:numPr>
          <w:ilvl w:val="0"/>
          <w:numId w:val="8"/>
        </w:numPr>
        <w:spacing w:line="360" w:lineRule="auto"/>
        <w:ind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早上做好迎岗、并做好记录；</w:t>
      </w:r>
    </w:p>
    <w:p>
      <w:pPr>
        <w:pStyle w:val="78"/>
        <w:numPr>
          <w:ilvl w:val="0"/>
          <w:numId w:val="8"/>
        </w:numPr>
        <w:spacing w:line="360" w:lineRule="auto"/>
        <w:ind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中、夜班安管员要严格按规章制度，每2小时要对本办公大楼的外围、楼道、天台进行巡查，并做好相关记录；</w:t>
      </w:r>
    </w:p>
    <w:p>
      <w:pPr>
        <w:pStyle w:val="78"/>
        <w:numPr>
          <w:ilvl w:val="0"/>
          <w:numId w:val="8"/>
        </w:numPr>
        <w:spacing w:line="360" w:lineRule="auto"/>
        <w:ind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早、中、夜班做好邮件收发、送水工作；</w:t>
      </w:r>
    </w:p>
    <w:p>
      <w:pPr>
        <w:pStyle w:val="78"/>
        <w:numPr>
          <w:ilvl w:val="0"/>
          <w:numId w:val="8"/>
        </w:numPr>
        <w:spacing w:line="360" w:lineRule="auto"/>
        <w:ind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早、中、夜班做好锁门、关窗、开门、开窗工作；</w:t>
      </w:r>
    </w:p>
    <w:p>
      <w:pPr>
        <w:pStyle w:val="78"/>
        <w:numPr>
          <w:ilvl w:val="0"/>
          <w:numId w:val="8"/>
        </w:numPr>
        <w:spacing w:line="360" w:lineRule="auto"/>
        <w:ind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早、中、夜班做好交接班工作；</w:t>
      </w:r>
    </w:p>
    <w:p>
      <w:pPr>
        <w:pStyle w:val="78"/>
        <w:numPr>
          <w:ilvl w:val="0"/>
          <w:numId w:val="8"/>
        </w:numPr>
        <w:spacing w:line="360" w:lineRule="auto"/>
        <w:ind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配合做好防盗、防汛、防火应急工作；</w:t>
      </w:r>
    </w:p>
    <w:p>
      <w:pPr>
        <w:pStyle w:val="78"/>
        <w:numPr>
          <w:ilvl w:val="0"/>
          <w:numId w:val="8"/>
        </w:numPr>
        <w:spacing w:line="360" w:lineRule="auto"/>
        <w:ind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熟悉本办公大楼消防系统工及消防器材的安装位置，熟练掌握各种灭火器材的使用方法，遇到突发事件能正确进行处理，遇有紧急重大事件，要及时向管家和公司报告；</w:t>
      </w:r>
    </w:p>
    <w:p>
      <w:pPr>
        <w:pStyle w:val="78"/>
        <w:numPr>
          <w:ilvl w:val="0"/>
          <w:numId w:val="8"/>
        </w:numPr>
        <w:spacing w:line="360" w:lineRule="auto"/>
        <w:ind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切记凡是周六、日、平时下班后不是业主本人开车出去必须确认后方可放行；</w:t>
      </w:r>
    </w:p>
    <w:p>
      <w:pPr>
        <w:pStyle w:val="78"/>
        <w:numPr>
          <w:ilvl w:val="0"/>
          <w:numId w:val="8"/>
        </w:numPr>
        <w:spacing w:line="360" w:lineRule="auto"/>
        <w:ind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巡查时做好巡查工作，带上遥控器和手机以应急之用；</w:t>
      </w:r>
    </w:p>
    <w:p>
      <w:pPr>
        <w:pStyle w:val="78"/>
        <w:numPr>
          <w:ilvl w:val="0"/>
          <w:numId w:val="8"/>
        </w:numPr>
        <w:spacing w:line="360" w:lineRule="auto"/>
        <w:ind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完成好上级领导交办的其他工作任务。</w:t>
      </w:r>
    </w:p>
    <w:p>
      <w:pPr>
        <w:pStyle w:val="78"/>
        <w:numPr>
          <w:ilvl w:val="0"/>
          <w:numId w:val="9"/>
        </w:numPr>
        <w:spacing w:line="360" w:lineRule="auto"/>
        <w:ind w:firstLineChars="0"/>
        <w:rPr>
          <w:rFonts w:asciiTheme="majorEastAsia" w:hAnsiTheme="majorEastAsia" w:eastAsiaTheme="majorEastAsia"/>
          <w:sz w:val="24"/>
          <w:szCs w:val="24"/>
        </w:rPr>
      </w:pPr>
      <w:r>
        <w:rPr>
          <w:rFonts w:hint="eastAsia" w:ascii="宋体" w:hAnsi="宋体" w:cs="宋体"/>
          <w:b/>
          <w:sz w:val="24"/>
        </w:rPr>
        <w:t>室内外清洁服务</w:t>
      </w:r>
    </w:p>
    <w:p>
      <w:pPr>
        <w:pStyle w:val="78"/>
        <w:spacing w:line="360" w:lineRule="auto"/>
        <w:ind w:left="360" w:firstLine="0"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（1）服从管家工作安排，着装整齐，按规定时间上岗交接班，忠于职守，在岗时不得做与工作无关事情； </w:t>
      </w:r>
    </w:p>
    <w:p>
      <w:pPr>
        <w:pStyle w:val="7"/>
        <w:spacing w:line="360" w:lineRule="auto"/>
        <w:ind w:left="344" w:leftChars="164" w:firstLine="360" w:firstLineChars="150"/>
        <w:rPr>
          <w:rFonts w:asciiTheme="majorEastAsia" w:hAnsiTheme="majorEastAsia" w:eastAsiaTheme="majorEastAsia"/>
          <w:sz w:val="24"/>
          <w:szCs w:val="24"/>
        </w:rPr>
      </w:pPr>
    </w:p>
    <w:p>
      <w:pPr>
        <w:pStyle w:val="78"/>
        <w:spacing w:line="360" w:lineRule="auto"/>
        <w:ind w:left="360" w:firstLine="0"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（2）严格执行清洁工作制度，坚守岗位，掌握保洁用品、用具的使用方法；</w:t>
      </w:r>
    </w:p>
    <w:p>
      <w:pPr>
        <w:pStyle w:val="78"/>
        <w:spacing w:line="360" w:lineRule="auto"/>
        <w:ind w:left="360" w:firstLine="0"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（3）在岗人员必须洁身自爱，不允许因个人情绪降低保洁质量；</w:t>
      </w:r>
    </w:p>
    <w:p>
      <w:pPr>
        <w:pStyle w:val="78"/>
        <w:spacing w:line="360" w:lineRule="auto"/>
        <w:ind w:left="360" w:firstLine="0" w:firstLineChars="0"/>
        <w:jc w:val="left"/>
        <w:rPr>
          <w:rFonts w:asciiTheme="majorEastAsia" w:hAnsiTheme="majorEastAsia" w:eastAsiaTheme="majorEastAsia"/>
          <w:sz w:val="24"/>
          <w:szCs w:val="24"/>
        </w:rPr>
      </w:pPr>
      <w:r>
        <w:rPr>
          <w:rFonts w:hint="eastAsia" w:asciiTheme="majorEastAsia" w:hAnsiTheme="majorEastAsia" w:eastAsiaTheme="majorEastAsia"/>
          <w:sz w:val="24"/>
          <w:szCs w:val="24"/>
        </w:rPr>
        <w:t>（4）早班员工到岗后必须先检查各办公室的清洁工作，如发现没完成即时完成，以免影响业主正常工作；</w:t>
      </w:r>
    </w:p>
    <w:p>
      <w:pPr>
        <w:pStyle w:val="78"/>
        <w:spacing w:line="360" w:lineRule="auto"/>
        <w:ind w:left="360" w:firstLine="0" w:firstLineChars="0"/>
        <w:jc w:val="lef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（5）更换电梯地毯及保洁电梯桥箱、按键消毒、上油护理工作，按保洁记录表时间进行保洁工作并做好记录；  </w:t>
      </w:r>
    </w:p>
    <w:p>
      <w:pPr>
        <w:pStyle w:val="78"/>
        <w:spacing w:line="360" w:lineRule="auto"/>
        <w:ind w:left="344" w:leftChars="164" w:firstLine="0" w:firstLineChars="0"/>
        <w:rPr>
          <w:rFonts w:asciiTheme="majorEastAsia" w:hAnsiTheme="majorEastAsia" w:eastAsiaTheme="majorEastAsia"/>
          <w:sz w:val="24"/>
          <w:szCs w:val="24"/>
        </w:rPr>
      </w:pPr>
      <w:r>
        <w:rPr>
          <w:rFonts w:hint="eastAsia" w:asciiTheme="majorEastAsia" w:hAnsiTheme="majorEastAsia" w:eastAsiaTheme="majorEastAsia"/>
          <w:sz w:val="24"/>
          <w:szCs w:val="24"/>
        </w:rPr>
        <w:t>（6）晚班员工负责对所有办公室台面、电脑、茶具、茶台、窗台、地面进行清洗及保洁工作；</w:t>
      </w:r>
    </w:p>
    <w:p>
      <w:pPr>
        <w:pStyle w:val="78"/>
        <w:spacing w:line="360" w:lineRule="auto"/>
        <w:ind w:left="360" w:firstLine="0" w:firstLineChars="0"/>
        <w:jc w:val="left"/>
        <w:rPr>
          <w:rFonts w:asciiTheme="majorEastAsia" w:hAnsiTheme="majorEastAsia" w:eastAsiaTheme="majorEastAsia"/>
          <w:sz w:val="24"/>
          <w:szCs w:val="24"/>
        </w:rPr>
      </w:pPr>
      <w:r>
        <w:rPr>
          <w:rFonts w:hint="eastAsia" w:asciiTheme="majorEastAsia" w:hAnsiTheme="majorEastAsia" w:eastAsiaTheme="majorEastAsia"/>
          <w:sz w:val="24"/>
          <w:szCs w:val="24"/>
        </w:rPr>
        <w:t>（7）负责对地库、天台进行清扫、清洗和保洁工作；</w:t>
      </w:r>
    </w:p>
    <w:p>
      <w:pPr>
        <w:pStyle w:val="78"/>
        <w:spacing w:line="360" w:lineRule="auto"/>
        <w:ind w:left="360" w:firstLine="0" w:firstLineChars="0"/>
        <w:jc w:val="left"/>
        <w:rPr>
          <w:rFonts w:asciiTheme="majorEastAsia" w:hAnsiTheme="majorEastAsia" w:eastAsiaTheme="majorEastAsia"/>
          <w:sz w:val="24"/>
          <w:szCs w:val="24"/>
        </w:rPr>
      </w:pPr>
      <w:r>
        <w:rPr>
          <w:rFonts w:hint="eastAsia" w:asciiTheme="majorEastAsia" w:hAnsiTheme="majorEastAsia" w:eastAsiaTheme="majorEastAsia"/>
          <w:sz w:val="24"/>
          <w:szCs w:val="24"/>
        </w:rPr>
        <w:t>（8）负责对一至六楼洗手间、洗手盆进行清洗及保洁工作；</w:t>
      </w:r>
    </w:p>
    <w:p>
      <w:pPr>
        <w:pStyle w:val="78"/>
        <w:spacing w:line="360" w:lineRule="auto"/>
        <w:ind w:left="360" w:firstLine="0" w:firstLineChars="0"/>
        <w:jc w:val="left"/>
        <w:rPr>
          <w:rFonts w:asciiTheme="majorEastAsia" w:hAnsiTheme="majorEastAsia" w:eastAsiaTheme="majorEastAsia"/>
          <w:sz w:val="24"/>
          <w:szCs w:val="24"/>
        </w:rPr>
      </w:pPr>
      <w:r>
        <w:rPr>
          <w:rFonts w:hint="eastAsia" w:asciiTheme="majorEastAsia" w:hAnsiTheme="majorEastAsia" w:eastAsiaTheme="majorEastAsia"/>
          <w:sz w:val="24"/>
          <w:szCs w:val="24"/>
        </w:rPr>
        <w:t>（9）负责对公共走道、大堂地面进行清洁及保洁工作；</w:t>
      </w:r>
    </w:p>
    <w:p>
      <w:pPr>
        <w:pStyle w:val="78"/>
        <w:spacing w:line="360" w:lineRule="auto"/>
        <w:ind w:left="360" w:firstLine="0" w:firstLineChars="0"/>
        <w:jc w:val="left"/>
        <w:rPr>
          <w:rFonts w:asciiTheme="majorEastAsia" w:hAnsiTheme="majorEastAsia" w:eastAsiaTheme="majorEastAsia"/>
          <w:sz w:val="24"/>
          <w:szCs w:val="24"/>
        </w:rPr>
      </w:pPr>
      <w:r>
        <w:rPr>
          <w:rFonts w:hint="eastAsia" w:asciiTheme="majorEastAsia" w:hAnsiTheme="majorEastAsia" w:eastAsiaTheme="majorEastAsia"/>
          <w:sz w:val="24"/>
          <w:szCs w:val="24"/>
        </w:rPr>
        <w:t>（10）负责对负一至六楼的消防栓、灭火箱进行保洁工作；</w:t>
      </w:r>
    </w:p>
    <w:p>
      <w:pPr>
        <w:spacing w:line="360" w:lineRule="auto"/>
        <w:ind w:firstLine="360" w:firstLineChars="150"/>
        <w:rPr>
          <w:rFonts w:asciiTheme="majorEastAsia" w:hAnsiTheme="majorEastAsia" w:eastAsiaTheme="majorEastAsia"/>
          <w:sz w:val="24"/>
        </w:rPr>
      </w:pPr>
      <w:r>
        <w:rPr>
          <w:rFonts w:hint="eastAsia" w:asciiTheme="majorEastAsia" w:hAnsiTheme="majorEastAsia" w:eastAsiaTheme="majorEastAsia"/>
          <w:sz w:val="24"/>
        </w:rPr>
        <w:t>（11）负责对地库、地面下水沟清理淤泥；</w:t>
      </w:r>
    </w:p>
    <w:p>
      <w:pPr>
        <w:spacing w:line="360" w:lineRule="auto"/>
        <w:ind w:firstLine="360" w:firstLineChars="150"/>
        <w:rPr>
          <w:rFonts w:asciiTheme="majorEastAsia" w:hAnsiTheme="majorEastAsia" w:eastAsiaTheme="majorEastAsia"/>
          <w:sz w:val="24"/>
        </w:rPr>
      </w:pPr>
      <w:r>
        <w:rPr>
          <w:rFonts w:hint="eastAsia" w:asciiTheme="majorEastAsia" w:hAnsiTheme="majorEastAsia" w:eastAsiaTheme="majorEastAsia"/>
          <w:sz w:val="24"/>
        </w:rPr>
        <w:t>（12）负责对电梯门口的不锈钢垃圾桶保洁工作及上油护理工作；</w:t>
      </w:r>
    </w:p>
    <w:p>
      <w:pPr>
        <w:spacing w:line="360" w:lineRule="auto"/>
        <w:ind w:firstLine="360" w:firstLineChars="150"/>
        <w:rPr>
          <w:rFonts w:asciiTheme="majorEastAsia" w:hAnsiTheme="majorEastAsia" w:eastAsiaTheme="majorEastAsia"/>
          <w:sz w:val="24"/>
        </w:rPr>
      </w:pPr>
      <w:r>
        <w:rPr>
          <w:rFonts w:hint="eastAsia" w:asciiTheme="majorEastAsia" w:hAnsiTheme="majorEastAsia" w:eastAsiaTheme="majorEastAsia"/>
          <w:sz w:val="24"/>
        </w:rPr>
        <w:t>（13）负责对电梯门口大理石进行保洁护理工作；</w:t>
      </w:r>
    </w:p>
    <w:p>
      <w:pPr>
        <w:spacing w:line="360" w:lineRule="auto"/>
        <w:ind w:firstLine="360" w:firstLineChars="150"/>
        <w:rPr>
          <w:rFonts w:asciiTheme="majorEastAsia" w:hAnsiTheme="majorEastAsia" w:eastAsiaTheme="majorEastAsia"/>
          <w:sz w:val="24"/>
        </w:rPr>
      </w:pPr>
      <w:r>
        <w:rPr>
          <w:rFonts w:hint="eastAsia" w:asciiTheme="majorEastAsia" w:hAnsiTheme="majorEastAsia" w:eastAsiaTheme="majorEastAsia"/>
          <w:sz w:val="24"/>
        </w:rPr>
        <w:t>（14）负责物业管理区域内绿植进行浇水护理工作；</w:t>
      </w:r>
    </w:p>
    <w:p>
      <w:pPr>
        <w:spacing w:line="360" w:lineRule="auto"/>
        <w:ind w:firstLine="360" w:firstLineChars="150"/>
        <w:rPr>
          <w:rFonts w:asciiTheme="majorEastAsia" w:hAnsiTheme="majorEastAsia" w:eastAsiaTheme="majorEastAsia"/>
          <w:sz w:val="24"/>
        </w:rPr>
      </w:pPr>
      <w:r>
        <w:rPr>
          <w:rFonts w:hint="eastAsia" w:asciiTheme="majorEastAsia" w:hAnsiTheme="majorEastAsia" w:eastAsiaTheme="majorEastAsia"/>
          <w:sz w:val="24"/>
        </w:rPr>
        <w:t>（15）负责办公室杯子进行清洗和消毒工作；</w:t>
      </w:r>
    </w:p>
    <w:p>
      <w:pPr>
        <w:spacing w:line="360" w:lineRule="auto"/>
        <w:ind w:firstLine="360" w:firstLineChars="150"/>
        <w:rPr>
          <w:rFonts w:asciiTheme="majorEastAsia" w:hAnsiTheme="majorEastAsia" w:eastAsiaTheme="majorEastAsia"/>
          <w:sz w:val="24"/>
        </w:rPr>
      </w:pPr>
      <w:r>
        <w:rPr>
          <w:rFonts w:hint="eastAsia" w:asciiTheme="majorEastAsia" w:hAnsiTheme="majorEastAsia" w:eastAsiaTheme="majorEastAsia"/>
          <w:sz w:val="24"/>
        </w:rPr>
        <w:t>（16）负责收垃圾、更换垃圾袋工作；</w:t>
      </w:r>
    </w:p>
    <w:p>
      <w:pPr>
        <w:spacing w:line="360" w:lineRule="auto"/>
        <w:ind w:firstLine="360" w:firstLineChars="150"/>
        <w:rPr>
          <w:rFonts w:asciiTheme="majorEastAsia" w:hAnsiTheme="majorEastAsia" w:eastAsiaTheme="majorEastAsia"/>
          <w:sz w:val="24"/>
        </w:rPr>
      </w:pPr>
      <w:r>
        <w:rPr>
          <w:rFonts w:hint="eastAsia" w:asciiTheme="majorEastAsia" w:hAnsiTheme="majorEastAsia" w:eastAsiaTheme="majorEastAsia"/>
          <w:sz w:val="24"/>
        </w:rPr>
        <w:t>（17）根据业主要求协助对各间实验室地面进行保洁和实验室普通采样瓶清洗工作；</w:t>
      </w:r>
    </w:p>
    <w:p>
      <w:pPr>
        <w:spacing w:line="360" w:lineRule="auto"/>
        <w:ind w:firstLine="360" w:firstLineChars="150"/>
        <w:rPr>
          <w:rFonts w:asciiTheme="majorEastAsia" w:hAnsiTheme="majorEastAsia" w:eastAsiaTheme="majorEastAsia"/>
          <w:sz w:val="24"/>
        </w:rPr>
      </w:pPr>
      <w:r>
        <w:rPr>
          <w:rFonts w:hint="eastAsia" w:asciiTheme="majorEastAsia" w:hAnsiTheme="majorEastAsia" w:eastAsiaTheme="majorEastAsia"/>
          <w:sz w:val="24"/>
        </w:rPr>
        <w:t>（18）根据防疫要求随时对办公大楼各区域进行消毒工作；</w:t>
      </w:r>
    </w:p>
    <w:p>
      <w:pPr>
        <w:spacing w:line="360" w:lineRule="auto"/>
        <w:ind w:firstLine="360" w:firstLineChars="150"/>
        <w:rPr>
          <w:rFonts w:asciiTheme="majorEastAsia" w:hAnsiTheme="majorEastAsia" w:eastAsiaTheme="majorEastAsia"/>
          <w:b/>
          <w:sz w:val="24"/>
        </w:rPr>
      </w:pPr>
      <w:r>
        <w:rPr>
          <w:rFonts w:hint="eastAsia" w:asciiTheme="majorEastAsia" w:hAnsiTheme="majorEastAsia" w:eastAsiaTheme="majorEastAsia"/>
          <w:sz w:val="24"/>
        </w:rPr>
        <w:t>（19）完成好上级领导交办的其他工作任务。</w:t>
      </w:r>
    </w:p>
    <w:p>
      <w:pPr>
        <w:pStyle w:val="78"/>
        <w:spacing w:line="440" w:lineRule="exact"/>
        <w:ind w:left="360" w:right="480" w:firstLine="0" w:firstLineChars="0"/>
        <w:rPr>
          <w:rFonts w:ascii="宋体" w:hAnsi="宋体" w:cs="宋体"/>
          <w:b/>
          <w:sz w:val="24"/>
          <w:szCs w:val="24"/>
        </w:rPr>
      </w:pPr>
      <w:r>
        <w:rPr>
          <w:rFonts w:hint="eastAsia" w:ascii="宋体" w:hAnsi="宋体" w:cs="宋体"/>
          <w:b/>
          <w:sz w:val="24"/>
          <w:szCs w:val="24"/>
        </w:rPr>
        <w:t>4、维修保养服务</w:t>
      </w:r>
    </w:p>
    <w:p>
      <w:pPr>
        <w:pStyle w:val="78"/>
        <w:spacing w:line="440" w:lineRule="exact"/>
        <w:ind w:left="360" w:right="480" w:firstLine="0" w:firstLineChars="0"/>
        <w:rPr>
          <w:rFonts w:ascii="宋体" w:hAnsi="宋体" w:cs="宋体"/>
          <w:sz w:val="24"/>
          <w:szCs w:val="24"/>
        </w:rPr>
      </w:pPr>
      <w:r>
        <w:rPr>
          <w:rFonts w:hint="eastAsia" w:ascii="宋体" w:hAnsi="宋体" w:cs="宋体"/>
          <w:sz w:val="24"/>
          <w:szCs w:val="24"/>
        </w:rPr>
        <w:t>（1）负责对物业区域内的维修工作；</w:t>
      </w:r>
    </w:p>
    <w:p>
      <w:pPr>
        <w:pStyle w:val="78"/>
        <w:spacing w:line="440" w:lineRule="exact"/>
        <w:ind w:left="360" w:right="480" w:firstLine="0" w:firstLineChars="0"/>
        <w:rPr>
          <w:rFonts w:ascii="宋体" w:hAnsi="宋体" w:cs="宋体"/>
          <w:sz w:val="24"/>
          <w:szCs w:val="24"/>
        </w:rPr>
      </w:pPr>
      <w:r>
        <w:rPr>
          <w:rFonts w:hint="eastAsia" w:ascii="宋体" w:hAnsi="宋体" w:cs="宋体"/>
          <w:sz w:val="24"/>
          <w:szCs w:val="24"/>
        </w:rPr>
        <w:t>（2）负责对物业区域内公共设施、设备进行巡视工作，并做好相关记录；</w:t>
      </w:r>
    </w:p>
    <w:p>
      <w:pPr>
        <w:pStyle w:val="78"/>
        <w:spacing w:line="440" w:lineRule="exact"/>
        <w:ind w:left="1064" w:leftChars="164" w:right="480" w:hanging="720" w:hangingChars="300"/>
        <w:rPr>
          <w:rFonts w:ascii="宋体" w:hAnsi="宋体" w:cs="宋体"/>
          <w:sz w:val="24"/>
          <w:szCs w:val="24"/>
        </w:rPr>
      </w:pPr>
      <w:r>
        <w:rPr>
          <w:rFonts w:hint="eastAsia" w:ascii="宋体" w:hAnsi="宋体" w:cs="宋体"/>
          <w:sz w:val="24"/>
          <w:szCs w:val="24"/>
        </w:rPr>
        <w:t>（3）负责对物业区域内设施、设备做好定期保养计划，并接时进行例行检查保养，确保设施、设备正常运作；</w:t>
      </w:r>
    </w:p>
    <w:p>
      <w:pPr>
        <w:pStyle w:val="78"/>
        <w:spacing w:line="440" w:lineRule="exact"/>
        <w:ind w:left="1064" w:leftChars="164" w:right="480" w:hanging="720" w:hangingChars="300"/>
        <w:rPr>
          <w:rFonts w:ascii="宋体" w:hAnsi="宋体" w:cs="宋体"/>
          <w:sz w:val="24"/>
          <w:szCs w:val="24"/>
        </w:rPr>
      </w:pPr>
      <w:r>
        <w:rPr>
          <w:rFonts w:hint="eastAsia" w:ascii="宋体" w:hAnsi="宋体" w:cs="宋体"/>
          <w:sz w:val="24"/>
          <w:szCs w:val="24"/>
        </w:rPr>
        <w:t>（4）负责对物业区域内设施、设备做好清洁工作，做至、到“三净”即设备净、机房净、工作场所净，确保设施、设备正常运作，为业主设施、设备增值使用，为业主节约成本开支；</w:t>
      </w:r>
    </w:p>
    <w:p>
      <w:pPr>
        <w:pStyle w:val="78"/>
        <w:spacing w:line="440" w:lineRule="exact"/>
        <w:ind w:left="1060" w:leftChars="219" w:right="480" w:hanging="600" w:hangingChars="250"/>
        <w:rPr>
          <w:rFonts w:ascii="宋体" w:hAnsi="宋体" w:cs="宋体"/>
          <w:color w:val="FF0000"/>
          <w:sz w:val="24"/>
          <w:szCs w:val="24"/>
        </w:rPr>
      </w:pPr>
      <w:r>
        <w:rPr>
          <w:rFonts w:hint="eastAsia" w:ascii="宋体" w:hAnsi="宋体" w:cs="宋体"/>
          <w:sz w:val="24"/>
          <w:szCs w:val="24"/>
        </w:rPr>
        <w:t>（5）负责物业管理区域内消防设施、设备检查工作，并做好记录；</w:t>
      </w:r>
    </w:p>
    <w:p>
      <w:pPr>
        <w:pStyle w:val="78"/>
        <w:spacing w:line="440" w:lineRule="exact"/>
        <w:ind w:left="940" w:leftChars="219" w:right="480" w:hanging="480" w:hangingChars="200"/>
        <w:rPr>
          <w:rFonts w:ascii="宋体" w:hAnsi="宋体" w:cs="宋体"/>
          <w:sz w:val="24"/>
          <w:szCs w:val="24"/>
        </w:rPr>
      </w:pPr>
      <w:r>
        <w:rPr>
          <w:rFonts w:hint="eastAsia" w:ascii="宋体" w:hAnsi="宋体" w:cs="宋体"/>
          <w:sz w:val="24"/>
          <w:szCs w:val="24"/>
        </w:rPr>
        <w:t>（6）熟悉物业区域内公共设施、设备发电机、给水、消防的控制与联动线路，能及时排除故障，保证设施、设备正运行，并恢复正常运行；</w:t>
      </w:r>
    </w:p>
    <w:p>
      <w:pPr>
        <w:pStyle w:val="78"/>
        <w:spacing w:line="440" w:lineRule="exact"/>
        <w:ind w:left="940" w:leftChars="219" w:right="480" w:hanging="480" w:hangingChars="200"/>
        <w:rPr>
          <w:rFonts w:ascii="宋体" w:hAnsi="宋体" w:cs="宋体"/>
          <w:sz w:val="24"/>
          <w:szCs w:val="24"/>
        </w:rPr>
      </w:pPr>
      <w:r>
        <w:rPr>
          <w:rFonts w:hint="eastAsia" w:ascii="宋体" w:hAnsi="宋体" w:cs="宋体"/>
          <w:sz w:val="24"/>
          <w:szCs w:val="24"/>
        </w:rPr>
        <w:t>（7）协助业主做好防火、防汛工作应急救援工作。</w:t>
      </w:r>
    </w:p>
    <w:p>
      <w:pPr>
        <w:spacing w:line="440" w:lineRule="exact"/>
        <w:ind w:right="480" w:firstLine="480" w:firstLineChars="200"/>
        <w:rPr>
          <w:rFonts w:ascii="宋体" w:hAnsi="宋体" w:cs="宋体"/>
          <w:sz w:val="24"/>
        </w:rPr>
      </w:pPr>
      <w:r>
        <w:rPr>
          <w:rFonts w:hint="eastAsia" w:ascii="宋体" w:hAnsi="宋体" w:cs="宋体"/>
          <w:sz w:val="24"/>
        </w:rPr>
        <w:t>（8）负责完成业主临时安排各项工作；</w:t>
      </w:r>
    </w:p>
    <w:p>
      <w:pPr>
        <w:ind w:firstLine="480"/>
        <w:rPr>
          <w:rFonts w:asciiTheme="majorEastAsia" w:hAnsiTheme="majorEastAsia" w:eastAsiaTheme="majorEastAsia"/>
          <w:sz w:val="24"/>
        </w:rPr>
      </w:pPr>
      <w:r>
        <w:rPr>
          <w:rFonts w:hint="eastAsia" w:asciiTheme="majorEastAsia" w:hAnsiTheme="majorEastAsia" w:eastAsiaTheme="majorEastAsia"/>
          <w:sz w:val="24"/>
        </w:rPr>
        <w:t>（9）完成好上级领导交办的其他工作任务。</w:t>
      </w:r>
    </w:p>
    <w:p>
      <w:pPr>
        <w:ind w:firstLine="480"/>
        <w:rPr>
          <w:rFonts w:asciiTheme="majorEastAsia" w:hAnsiTheme="majorEastAsia" w:eastAsiaTheme="majorEastAsia"/>
          <w:sz w:val="24"/>
        </w:rPr>
      </w:pPr>
    </w:p>
    <w:p>
      <w:pPr>
        <w:ind w:firstLine="480"/>
        <w:rPr>
          <w:rFonts w:ascii="宋体" w:cs="宋体"/>
          <w:b/>
          <w:bCs/>
          <w:color w:val="000000" w:themeColor="text1"/>
          <w:kern w:val="0"/>
          <w:sz w:val="24"/>
          <w:lang w:val="zh-CN"/>
        </w:rPr>
      </w:pPr>
      <w:r>
        <w:rPr>
          <w:rFonts w:hint="eastAsia" w:ascii="宋体" w:cs="宋体"/>
          <w:b/>
          <w:bCs/>
          <w:color w:val="000000" w:themeColor="text1"/>
          <w:kern w:val="0"/>
          <w:sz w:val="24"/>
          <w:lang w:val="zh-CN"/>
        </w:rPr>
        <w:t>（三）物业管理的分项标准</w:t>
      </w:r>
    </w:p>
    <w:p>
      <w:pPr>
        <w:autoSpaceDE w:val="0"/>
        <w:autoSpaceDN w:val="0"/>
        <w:adjustRightInd w:val="0"/>
        <w:spacing w:after="60" w:line="400" w:lineRule="atLeast"/>
        <w:ind w:firstLine="422"/>
        <w:rPr>
          <w:rFonts w:ascii="宋体" w:cs="宋体"/>
          <w:b/>
          <w:bCs/>
          <w:color w:val="000000" w:themeColor="text1"/>
          <w:kern w:val="0"/>
          <w:sz w:val="24"/>
          <w:lang w:val="zh-CN"/>
        </w:rPr>
      </w:pPr>
      <w:r>
        <w:rPr>
          <w:rFonts w:ascii="宋体" w:cs="宋体"/>
          <w:b/>
          <w:bCs/>
          <w:color w:val="000000" w:themeColor="text1"/>
          <w:kern w:val="0"/>
          <w:szCs w:val="21"/>
          <w:lang w:val="zh-CN"/>
        </w:rPr>
        <w:t xml:space="preserve"> 1</w:t>
      </w:r>
      <w:r>
        <w:rPr>
          <w:rFonts w:hint="eastAsia" w:ascii="宋体" w:cs="宋体"/>
          <w:b/>
          <w:bCs/>
          <w:color w:val="000000" w:themeColor="text1"/>
          <w:kern w:val="0"/>
          <w:szCs w:val="21"/>
          <w:lang w:val="zh-CN"/>
        </w:rPr>
        <w:t>、</w:t>
      </w:r>
      <w:r>
        <w:rPr>
          <w:rFonts w:hint="eastAsia" w:ascii="宋体" w:cs="宋体"/>
          <w:b/>
          <w:bCs/>
          <w:color w:val="000000" w:themeColor="text1"/>
          <w:kern w:val="0"/>
          <w:sz w:val="24"/>
          <w:lang w:val="zh-CN"/>
        </w:rPr>
        <w:t>清洁保洁管理</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（1）、清洁卫生有专业清洁队伍，管理制度完善。</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（2）、</w:t>
      </w:r>
      <w:r>
        <w:rPr>
          <w:rFonts w:ascii="宋体" w:hAnsi="宋体"/>
          <w:color w:val="000000" w:themeColor="text1"/>
          <w:szCs w:val="21"/>
        </w:rPr>
        <w:t>环卫设施</w:t>
      </w:r>
      <w:r>
        <w:rPr>
          <w:rFonts w:hint="eastAsia" w:ascii="宋体" w:hAnsi="宋体"/>
          <w:color w:val="000000" w:themeColor="text1"/>
          <w:szCs w:val="21"/>
        </w:rPr>
        <w:t>设置合理、完备，垃圾日清，保洁工作满足机关办公环境和外来人员流量大的特点要求。</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（3）、负责物业共用部位等区域的清洁卫生（不含食堂），日常保洁中注意垃圾的及时清运、“零干扰”服务。</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（4）、建筑外墙、屋面、室外场地、道路、地下室等保持清洁无积尘，无纸屑、树叶、烟头等杂物。</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（5）、会议室、办公室、楼梯、走道、大堂、室内公共区域及开水间、卫生间的顶面、地面清洁无尘，无蜘蛛网，无积水；室内设施表面、门窗等无灰尘；定期消杀；大堂、室内主要通道地面无尘印。</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（6）、大堂大理石及电梯轿厢表面定期打蜡、养护；会议室、接待室和其它功能室及地毯等定期吸尘、清洗、擦拭，随时保洁，确保随时可以使用。</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（7）、室内外金属护栏、把手和电梯轿厢定期擦拭保养，确保无锈迹、污渍、汗渍。</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（8）、路灯、草坪灯、牌匾、宣传栏牢固、安全、美观、整洁，无乱贴乱画现象。</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（9）、公共玻璃门、窗、玻璃隔断保持无污迹、灰尘。</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（10）、地下停车场地面和管道、设施表面清洁无积水、积尘，顶面、墙面无灰尘和蜘蛛网。</w:t>
      </w:r>
    </w:p>
    <w:p>
      <w:pPr>
        <w:spacing w:line="360" w:lineRule="auto"/>
        <w:ind w:firstLine="420" w:firstLineChars="200"/>
        <w:rPr>
          <w:rFonts w:ascii="宋体" w:hAnsi="宋体"/>
          <w:color w:val="000000" w:themeColor="text1"/>
          <w:kern w:val="0"/>
          <w:szCs w:val="21"/>
        </w:rPr>
      </w:pPr>
      <w:r>
        <w:rPr>
          <w:rFonts w:hint="eastAsia" w:ascii="宋体" w:hAnsi="宋体"/>
          <w:color w:val="000000" w:themeColor="text1"/>
          <w:szCs w:val="21"/>
        </w:rPr>
        <w:t>（11）、负责下水道、沟渠、池、井、楼顶的清淤处理、垃圾收集清运；负责垃圾房的使用、保养及维修，垃圾清运必须实行袋装化收集清运，在垃圾清走以后要及时对垃圾房清洗、消毒。</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（12）、建筑物外墙每年清洗</w:t>
      </w:r>
      <w:r>
        <w:rPr>
          <w:rFonts w:ascii="宋体" w:hAnsi="宋体"/>
          <w:color w:val="000000" w:themeColor="text1"/>
          <w:szCs w:val="21"/>
        </w:rPr>
        <w:t>1</w:t>
      </w:r>
      <w:r>
        <w:rPr>
          <w:rFonts w:hint="eastAsia" w:ascii="宋体" w:hAnsi="宋体"/>
          <w:color w:val="000000" w:themeColor="text1"/>
          <w:szCs w:val="21"/>
        </w:rPr>
        <w:t>次，须由具有高空作业资质的施工队伍进行现场操作，费用由中标单位承担。</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（13）、广场地面每月用洗地机磨洗</w:t>
      </w:r>
      <w:r>
        <w:rPr>
          <w:rFonts w:ascii="宋体" w:hAnsi="宋体"/>
          <w:color w:val="000000" w:themeColor="text1"/>
          <w:szCs w:val="21"/>
        </w:rPr>
        <w:t>2</w:t>
      </w:r>
      <w:r>
        <w:rPr>
          <w:rFonts w:hint="eastAsia" w:ascii="宋体" w:hAnsi="宋体"/>
          <w:color w:val="000000" w:themeColor="text1"/>
          <w:szCs w:val="21"/>
        </w:rPr>
        <w:t>次，并根据实际情况增加清洗次数，以保证场地及设施的洁净。节假日、重要接待或举办活动时须配备充足保洁员，及时跟进打扫，清理现场垃圾，保持环境清洁卫生。</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（14）、定期开展除“四害”、白蚁防治及卫生消杀工作，严格按照上级有关部门规定进行定期的防疫消杀工作，在流行性传染病高发期或爆发期以及春夏孽蚊滋生季节要严格按甲方要求组织消杀。</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（15）、中标单位应在早上</w:t>
      </w:r>
      <w:r>
        <w:rPr>
          <w:rFonts w:ascii="宋体" w:hAnsi="宋体"/>
          <w:color w:val="000000" w:themeColor="text1"/>
          <w:szCs w:val="21"/>
        </w:rPr>
        <w:t>8</w:t>
      </w:r>
      <w:r>
        <w:rPr>
          <w:rFonts w:hint="eastAsia" w:ascii="宋体" w:hAnsi="宋体"/>
          <w:color w:val="000000" w:themeColor="text1"/>
          <w:szCs w:val="21"/>
        </w:rPr>
        <w:t>：</w:t>
      </w:r>
      <w:r>
        <w:rPr>
          <w:rFonts w:ascii="宋体" w:hAnsi="宋体"/>
          <w:color w:val="000000" w:themeColor="text1"/>
          <w:szCs w:val="21"/>
        </w:rPr>
        <w:t>30</w:t>
      </w:r>
      <w:r>
        <w:rPr>
          <w:rFonts w:hint="eastAsia" w:ascii="宋体" w:hAnsi="宋体"/>
          <w:color w:val="000000" w:themeColor="text1"/>
          <w:szCs w:val="21"/>
        </w:rPr>
        <w:t>前将所有区域（如外围、功能室、楼梯、过道、洗手间等）的卫生清洁完毕，并全天随时保洁，保证不影响正常办公。</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（16）、清洁卫生工作流程和质量标准（见下表）</w:t>
      </w:r>
    </w:p>
    <w:tbl>
      <w:tblPr>
        <w:tblStyle w:val="42"/>
        <w:tblW w:w="10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2007"/>
        <w:gridCol w:w="3275"/>
        <w:gridCol w:w="2906"/>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75" w:type="dxa"/>
            <w:noWrap/>
            <w:vAlign w:val="center"/>
          </w:tcPr>
          <w:p>
            <w:pPr>
              <w:spacing w:line="360" w:lineRule="auto"/>
              <w:jc w:val="center"/>
              <w:rPr>
                <w:rFonts w:ascii="黑体" w:hAnsi="黑体" w:eastAsia="黑体"/>
                <w:b/>
                <w:color w:val="000000" w:themeColor="text1"/>
                <w:szCs w:val="21"/>
              </w:rPr>
            </w:pPr>
            <w:r>
              <w:rPr>
                <w:rFonts w:hint="eastAsia" w:ascii="黑体" w:hAnsi="黑体" w:eastAsia="黑体"/>
                <w:b/>
                <w:color w:val="000000" w:themeColor="text1"/>
                <w:szCs w:val="21"/>
              </w:rPr>
              <w:t>序号</w:t>
            </w:r>
          </w:p>
        </w:tc>
        <w:tc>
          <w:tcPr>
            <w:tcW w:w="2007" w:type="dxa"/>
            <w:noWrap/>
            <w:vAlign w:val="center"/>
          </w:tcPr>
          <w:p>
            <w:pPr>
              <w:spacing w:line="360" w:lineRule="auto"/>
              <w:jc w:val="center"/>
              <w:rPr>
                <w:rFonts w:ascii="黑体" w:hAnsi="黑体" w:eastAsia="黑体"/>
                <w:b/>
                <w:color w:val="000000" w:themeColor="text1"/>
                <w:szCs w:val="21"/>
              </w:rPr>
            </w:pPr>
            <w:r>
              <w:rPr>
                <w:rFonts w:hint="eastAsia" w:ascii="黑体" w:hAnsi="黑体" w:eastAsia="黑体"/>
                <w:b/>
                <w:color w:val="000000" w:themeColor="text1"/>
                <w:szCs w:val="21"/>
              </w:rPr>
              <w:t>工作项目</w:t>
            </w:r>
          </w:p>
        </w:tc>
        <w:tc>
          <w:tcPr>
            <w:tcW w:w="3275" w:type="dxa"/>
            <w:noWrap/>
            <w:vAlign w:val="center"/>
          </w:tcPr>
          <w:p>
            <w:pPr>
              <w:spacing w:line="360" w:lineRule="auto"/>
              <w:jc w:val="center"/>
              <w:rPr>
                <w:rFonts w:ascii="黑体" w:hAnsi="黑体" w:eastAsia="黑体"/>
                <w:b/>
                <w:color w:val="000000" w:themeColor="text1"/>
                <w:szCs w:val="21"/>
              </w:rPr>
            </w:pPr>
            <w:r>
              <w:rPr>
                <w:rFonts w:hint="eastAsia" w:ascii="黑体" w:hAnsi="黑体" w:eastAsia="黑体"/>
                <w:b/>
                <w:color w:val="000000" w:themeColor="text1"/>
                <w:szCs w:val="21"/>
              </w:rPr>
              <w:t>作业频率</w:t>
            </w:r>
          </w:p>
        </w:tc>
        <w:tc>
          <w:tcPr>
            <w:tcW w:w="2906" w:type="dxa"/>
            <w:noWrap/>
            <w:vAlign w:val="center"/>
          </w:tcPr>
          <w:p>
            <w:pPr>
              <w:spacing w:line="360" w:lineRule="auto"/>
              <w:jc w:val="center"/>
              <w:rPr>
                <w:rFonts w:ascii="黑体" w:hAnsi="黑体" w:eastAsia="黑体"/>
                <w:b/>
                <w:color w:val="000000" w:themeColor="text1"/>
                <w:szCs w:val="21"/>
              </w:rPr>
            </w:pPr>
            <w:r>
              <w:rPr>
                <w:rFonts w:hint="eastAsia" w:ascii="黑体" w:hAnsi="黑体" w:eastAsia="黑体"/>
                <w:b/>
                <w:color w:val="000000" w:themeColor="text1"/>
                <w:szCs w:val="21"/>
              </w:rPr>
              <w:t>质量标准</w:t>
            </w:r>
          </w:p>
        </w:tc>
        <w:tc>
          <w:tcPr>
            <w:tcW w:w="1080" w:type="dxa"/>
            <w:noWrap/>
            <w:vAlign w:val="center"/>
          </w:tcPr>
          <w:p>
            <w:pPr>
              <w:spacing w:line="360" w:lineRule="auto"/>
              <w:jc w:val="center"/>
              <w:rPr>
                <w:rFonts w:ascii="黑体" w:hAnsi="黑体" w:eastAsia="黑体"/>
                <w:b/>
                <w:color w:val="000000" w:themeColor="text1"/>
                <w:szCs w:val="21"/>
              </w:rPr>
            </w:pPr>
            <w:r>
              <w:rPr>
                <w:rFonts w:hint="eastAsia" w:ascii="黑体" w:hAnsi="黑体" w:eastAsia="黑体"/>
                <w:b/>
                <w:color w:val="000000" w:themeColor="text1"/>
                <w:szCs w:val="21"/>
              </w:rPr>
              <w:t>保洁率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1</w:t>
            </w:r>
          </w:p>
        </w:tc>
        <w:tc>
          <w:tcPr>
            <w:tcW w:w="2007" w:type="dxa"/>
            <w:noWrap/>
            <w:vAlign w:val="center"/>
          </w:tcPr>
          <w:p>
            <w:pPr>
              <w:tabs>
                <w:tab w:val="center" w:pos="-27"/>
              </w:tabs>
              <w:spacing w:line="360" w:lineRule="auto"/>
              <w:rPr>
                <w:rFonts w:ascii="宋体" w:hAnsi="宋体"/>
                <w:color w:val="000000" w:themeColor="text1"/>
                <w:szCs w:val="21"/>
              </w:rPr>
            </w:pPr>
            <w:r>
              <w:rPr>
                <w:rFonts w:hint="eastAsia" w:ascii="宋体" w:hAnsi="宋体"/>
                <w:color w:val="000000" w:themeColor="text1"/>
                <w:szCs w:val="21"/>
              </w:rPr>
              <w:t>外围地面</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每日清扫</w:t>
            </w:r>
            <w:r>
              <w:rPr>
                <w:rFonts w:ascii="宋体" w:hAnsi="宋体"/>
                <w:color w:val="000000" w:themeColor="text1"/>
                <w:szCs w:val="21"/>
              </w:rPr>
              <w:t>2</w:t>
            </w:r>
            <w:r>
              <w:rPr>
                <w:rFonts w:hint="eastAsia" w:ascii="宋体" w:hAnsi="宋体"/>
                <w:color w:val="000000" w:themeColor="text1"/>
                <w:szCs w:val="21"/>
              </w:rPr>
              <w:t>次并随时保洁，每</w:t>
            </w:r>
          </w:p>
          <w:p>
            <w:pPr>
              <w:spacing w:line="360" w:lineRule="auto"/>
              <w:rPr>
                <w:rFonts w:ascii="宋体" w:hAnsi="宋体"/>
                <w:color w:val="000000" w:themeColor="text1"/>
                <w:szCs w:val="21"/>
              </w:rPr>
            </w:pPr>
            <w:r>
              <w:rPr>
                <w:rFonts w:hint="eastAsia" w:ascii="宋体" w:hAnsi="宋体"/>
                <w:color w:val="000000" w:themeColor="text1"/>
                <w:szCs w:val="21"/>
              </w:rPr>
              <w:t>月彻底磨洗清洁</w:t>
            </w:r>
            <w:r>
              <w:rPr>
                <w:rFonts w:ascii="宋体" w:hAnsi="宋体"/>
                <w:color w:val="000000" w:themeColor="text1"/>
                <w:szCs w:val="21"/>
              </w:rPr>
              <w:t>1</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无垃圾杂物、无污渍秽迹，无积水聚沙等</w:t>
            </w:r>
          </w:p>
        </w:tc>
        <w:tc>
          <w:tcPr>
            <w:tcW w:w="108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99</w:t>
            </w:r>
            <w:r>
              <w:rPr>
                <w:rFonts w:ascii="宋体" w:hAnsi="宋体"/>
                <w:color w:val="000000" w:themeColor="text1"/>
                <w:szCs w:val="21"/>
              </w:rPr>
              <w:t>%</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2</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楼道清洁</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每日清扫2次，清运垃圾</w:t>
            </w:r>
            <w:r>
              <w:rPr>
                <w:rFonts w:ascii="宋体" w:hAnsi="宋体"/>
                <w:color w:val="000000" w:themeColor="text1"/>
                <w:szCs w:val="21"/>
              </w:rPr>
              <w:t>1</w:t>
            </w:r>
            <w:r>
              <w:rPr>
                <w:rFonts w:hint="eastAsia" w:ascii="宋体" w:hAnsi="宋体"/>
                <w:color w:val="000000" w:themeColor="text1"/>
                <w:szCs w:val="21"/>
              </w:rPr>
              <w:t>次，每日拖抹四次；并随时保洁</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无杂物、无黑尘、无蜘蛛网、无乱贴广告、无乱堆放、挂墙设施、扶手无尘，地面无拖痕</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100%</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3</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梯级</w:t>
            </w:r>
            <w:r>
              <w:rPr>
                <w:rFonts w:ascii="宋体" w:hAnsi="宋体"/>
                <w:color w:val="000000" w:themeColor="text1"/>
                <w:szCs w:val="21"/>
              </w:rPr>
              <w:t>(</w:t>
            </w:r>
            <w:r>
              <w:rPr>
                <w:rFonts w:hint="eastAsia" w:ascii="宋体" w:hAnsi="宋体"/>
                <w:color w:val="000000" w:themeColor="text1"/>
                <w:szCs w:val="21"/>
              </w:rPr>
              <w:t>阶梯</w:t>
            </w:r>
            <w:r>
              <w:rPr>
                <w:rFonts w:ascii="宋体" w:hAnsi="宋体"/>
                <w:color w:val="000000" w:themeColor="text1"/>
                <w:szCs w:val="21"/>
              </w:rPr>
              <w:t>)</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每天拖抹</w:t>
            </w:r>
            <w:r>
              <w:rPr>
                <w:rFonts w:ascii="宋体" w:hAnsi="宋体"/>
                <w:color w:val="000000" w:themeColor="text1"/>
                <w:szCs w:val="21"/>
              </w:rPr>
              <w:t>2</w:t>
            </w:r>
            <w:r>
              <w:rPr>
                <w:rFonts w:hint="eastAsia" w:ascii="宋体" w:hAnsi="宋体"/>
                <w:color w:val="000000" w:themeColor="text1"/>
                <w:szCs w:val="21"/>
              </w:rPr>
              <w:t>次，随时清扫保洁；每周清洗污渍沙泥</w:t>
            </w:r>
            <w:r>
              <w:rPr>
                <w:rFonts w:ascii="宋体" w:hAnsi="宋体"/>
                <w:color w:val="000000" w:themeColor="text1"/>
                <w:szCs w:val="21"/>
              </w:rPr>
              <w:t>1</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无垃圾、沙泥、无污渍油渍保持干净</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4</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楼梯扶手、栏杆、走廊坐椅的清洁</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扶手、坐椅每日擦抹</w:t>
            </w:r>
            <w:r>
              <w:rPr>
                <w:rFonts w:ascii="宋体" w:hAnsi="宋体"/>
                <w:color w:val="000000" w:themeColor="text1"/>
                <w:szCs w:val="21"/>
              </w:rPr>
              <w:t>2</w:t>
            </w:r>
            <w:r>
              <w:rPr>
                <w:rFonts w:hint="eastAsia" w:ascii="宋体" w:hAnsi="宋体"/>
                <w:color w:val="000000" w:themeColor="text1"/>
                <w:szCs w:val="21"/>
              </w:rPr>
              <w:t>次，栏杆每日擦抹</w:t>
            </w:r>
            <w:r>
              <w:rPr>
                <w:rFonts w:ascii="宋体" w:hAnsi="宋体"/>
                <w:color w:val="000000" w:themeColor="text1"/>
                <w:szCs w:val="21"/>
              </w:rPr>
              <w:t>1</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无黑尘、无污迹、无蜘蛛网、无死角、死皮</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5</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公共过道、大厅瓷砖地面</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每日拖扫</w:t>
            </w:r>
            <w:r>
              <w:rPr>
                <w:rFonts w:ascii="宋体" w:hAnsi="宋体"/>
                <w:color w:val="000000" w:themeColor="text1"/>
                <w:szCs w:val="21"/>
              </w:rPr>
              <w:t>2</w:t>
            </w:r>
            <w:r>
              <w:rPr>
                <w:rFonts w:hint="eastAsia" w:ascii="宋体" w:hAnsi="宋体"/>
                <w:color w:val="000000" w:themeColor="text1"/>
                <w:szCs w:val="21"/>
              </w:rPr>
              <w:t>次，尘推静电吸尘</w:t>
            </w:r>
            <w:r>
              <w:rPr>
                <w:rFonts w:ascii="宋体" w:hAnsi="宋体"/>
                <w:color w:val="000000" w:themeColor="text1"/>
                <w:szCs w:val="21"/>
              </w:rPr>
              <w:t>2</w:t>
            </w:r>
            <w:r>
              <w:rPr>
                <w:rFonts w:hint="eastAsia" w:ascii="宋体" w:hAnsi="宋体"/>
                <w:color w:val="000000" w:themeColor="text1"/>
                <w:szCs w:val="21"/>
              </w:rPr>
              <w:t>次，并随时保洁，保洁至少两小时内</w:t>
            </w:r>
            <w:r>
              <w:rPr>
                <w:rFonts w:ascii="宋体" w:hAnsi="宋体"/>
                <w:color w:val="000000" w:themeColor="text1"/>
                <w:szCs w:val="21"/>
              </w:rPr>
              <w:t>1</w:t>
            </w:r>
            <w:r>
              <w:rPr>
                <w:rFonts w:hint="eastAsia" w:ascii="宋体" w:hAnsi="宋体"/>
                <w:color w:val="000000" w:themeColor="text1"/>
                <w:szCs w:val="21"/>
              </w:rPr>
              <w:t>次。地板洗地机磨洗每月不少于</w:t>
            </w:r>
            <w:r>
              <w:rPr>
                <w:rFonts w:ascii="宋体" w:hAnsi="宋体"/>
                <w:color w:val="000000" w:themeColor="text1"/>
                <w:szCs w:val="21"/>
              </w:rPr>
              <w:t>1</w:t>
            </w:r>
            <w:r>
              <w:rPr>
                <w:rFonts w:hint="eastAsia" w:ascii="宋体" w:hAnsi="宋体"/>
                <w:color w:val="000000" w:themeColor="text1"/>
                <w:szCs w:val="21"/>
              </w:rPr>
              <w:t>次；建筑物外地面洗地机磨洗不少于每月</w:t>
            </w:r>
            <w:r>
              <w:rPr>
                <w:rFonts w:ascii="宋体" w:hAnsi="宋体"/>
                <w:color w:val="000000" w:themeColor="text1"/>
                <w:szCs w:val="21"/>
              </w:rPr>
              <w:t>1</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无垃圾杂物、无泥沙、无污渍、无黑尘、无死角、拖痕、无卫生死角</w:t>
            </w:r>
          </w:p>
        </w:tc>
        <w:tc>
          <w:tcPr>
            <w:tcW w:w="108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99</w:t>
            </w:r>
            <w:r>
              <w:rPr>
                <w:rFonts w:ascii="宋体" w:hAnsi="宋体"/>
                <w:color w:val="000000" w:themeColor="text1"/>
                <w:szCs w:val="21"/>
              </w:rPr>
              <w:t>%</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6</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大堂大理石地面</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每日拖扫2次，并随时保洁。</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无灰尘、无污渍、秽迹，地板光洁如镜。</w:t>
            </w:r>
          </w:p>
        </w:tc>
        <w:tc>
          <w:tcPr>
            <w:tcW w:w="108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99</w:t>
            </w:r>
            <w:r>
              <w:rPr>
                <w:rFonts w:ascii="宋体" w:hAnsi="宋体"/>
                <w:color w:val="000000" w:themeColor="text1"/>
                <w:szCs w:val="21"/>
              </w:rPr>
              <w:t>%</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7</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墙面、开关按钮清洁</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每周用绿水除尘擦拭</w:t>
            </w:r>
            <w:r>
              <w:rPr>
                <w:rFonts w:ascii="宋体" w:hAnsi="宋体"/>
                <w:color w:val="000000" w:themeColor="text1"/>
                <w:szCs w:val="21"/>
              </w:rPr>
              <w:t>3</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无广告纸、无蜘蛛网、无积尘、污迹等</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8</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电子门禁器清洁</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每日擦抹1次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无黑尘、无污迹等</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9</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消防栓、消防管道、配电箱等清洁</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每周擦抹2次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无蜘蛛网、无积尘、污迹等</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10</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排水管、排风口、冷风口</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每周清洁</w:t>
            </w:r>
            <w:r>
              <w:rPr>
                <w:rFonts w:ascii="宋体" w:hAnsi="宋体"/>
                <w:color w:val="000000" w:themeColor="text1"/>
                <w:szCs w:val="21"/>
              </w:rPr>
              <w:t>1</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无灰尘、蜘蛛网</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11</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公共灯具清洁</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外抹每月</w:t>
            </w:r>
            <w:r>
              <w:rPr>
                <w:rFonts w:ascii="宋体" w:hAnsi="宋体"/>
                <w:color w:val="000000" w:themeColor="text1"/>
                <w:szCs w:val="21"/>
              </w:rPr>
              <w:t>2</w:t>
            </w:r>
            <w:r>
              <w:rPr>
                <w:rFonts w:hint="eastAsia" w:ascii="宋体" w:hAnsi="宋体"/>
                <w:color w:val="000000" w:themeColor="text1"/>
                <w:szCs w:val="21"/>
              </w:rPr>
              <w:t>次，内抹每月</w:t>
            </w:r>
            <w:r>
              <w:rPr>
                <w:rFonts w:ascii="宋体" w:hAnsi="宋体"/>
                <w:color w:val="000000" w:themeColor="text1"/>
                <w:szCs w:val="21"/>
              </w:rPr>
              <w:t>1</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灯具、灯管无灰尘，灯具内无蚊虫，灯盖、灯罩无蜘蛛网，保持明亮洁净</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12</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宣传栏、标识牌等不锈钢饰物表面清洁</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宣传栏、标识牌每日清洁</w:t>
            </w:r>
            <w:r>
              <w:rPr>
                <w:rFonts w:ascii="宋体" w:hAnsi="宋体"/>
                <w:color w:val="000000" w:themeColor="text1"/>
                <w:szCs w:val="21"/>
              </w:rPr>
              <w:t>1</w:t>
            </w:r>
            <w:r>
              <w:rPr>
                <w:rFonts w:hint="eastAsia" w:ascii="宋体" w:hAnsi="宋体"/>
                <w:color w:val="000000" w:themeColor="text1"/>
                <w:szCs w:val="21"/>
              </w:rPr>
              <w:t>次，不锈钢表面每日保洁</w:t>
            </w:r>
            <w:r>
              <w:rPr>
                <w:rFonts w:ascii="宋体" w:hAnsi="宋体"/>
                <w:color w:val="000000" w:themeColor="text1"/>
                <w:szCs w:val="21"/>
              </w:rPr>
              <w:t>1</w:t>
            </w:r>
            <w:r>
              <w:rPr>
                <w:rFonts w:hint="eastAsia" w:ascii="宋体" w:hAnsi="宋体"/>
                <w:color w:val="000000" w:themeColor="text1"/>
                <w:szCs w:val="21"/>
              </w:rPr>
              <w:t>次，每月上不锈钢油1次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宣传栏、标识牌无污迹、无斑点、积尘，表面光亮可映出人形</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13</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天面、平台清洁</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每月彻底清洁、清理不少于</w:t>
            </w:r>
            <w:r>
              <w:rPr>
                <w:rFonts w:ascii="宋体" w:hAnsi="宋体"/>
                <w:color w:val="000000" w:themeColor="text1"/>
                <w:szCs w:val="21"/>
              </w:rPr>
              <w:t>1</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无垃圾、无积水、无死皮青苔、无杂物、无堵塞</w:t>
            </w:r>
          </w:p>
        </w:tc>
        <w:tc>
          <w:tcPr>
            <w:tcW w:w="108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99</w:t>
            </w:r>
            <w:r>
              <w:rPr>
                <w:rFonts w:ascii="宋体" w:hAnsi="宋体"/>
                <w:color w:val="000000" w:themeColor="text1"/>
                <w:szCs w:val="21"/>
              </w:rPr>
              <w:t>%</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14</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地下车棚（房）、停车场清洁</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每周1次，停车场每月冲洗不少于2次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无垃圾、果皮、纸屑、杂物、灰尘、积水，及时处理油迹</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15</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公共场地和道路的清洁</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每日清扫1次；每月磨洗</w:t>
            </w:r>
            <w:r>
              <w:rPr>
                <w:rFonts w:ascii="宋体" w:hAnsi="宋体"/>
                <w:color w:val="000000" w:themeColor="text1"/>
                <w:szCs w:val="21"/>
              </w:rPr>
              <w:t>1</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无泥沙、无垃圾杂物、无积水、无污迹、无死角、无杂草</w:t>
            </w:r>
          </w:p>
        </w:tc>
        <w:tc>
          <w:tcPr>
            <w:tcW w:w="108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99</w:t>
            </w:r>
            <w:r>
              <w:rPr>
                <w:rFonts w:ascii="宋体" w:hAnsi="宋体"/>
                <w:color w:val="000000" w:themeColor="text1"/>
                <w:szCs w:val="21"/>
              </w:rPr>
              <w:t>%</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16</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垃圾桶的清洁</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每日</w:t>
            </w:r>
            <w:r>
              <w:rPr>
                <w:rFonts w:ascii="宋体" w:hAnsi="宋体"/>
                <w:color w:val="000000" w:themeColor="text1"/>
                <w:szCs w:val="21"/>
              </w:rPr>
              <w:t>2</w:t>
            </w:r>
            <w:r>
              <w:rPr>
                <w:rFonts w:hint="eastAsia" w:ascii="宋体" w:hAnsi="宋体"/>
                <w:color w:val="000000" w:themeColor="text1"/>
                <w:szCs w:val="21"/>
              </w:rPr>
              <w:t>次清理收集、每天</w:t>
            </w:r>
            <w:r>
              <w:rPr>
                <w:rFonts w:ascii="宋体" w:hAnsi="宋体"/>
                <w:color w:val="000000" w:themeColor="text1"/>
                <w:szCs w:val="21"/>
              </w:rPr>
              <w:t>1</w:t>
            </w:r>
            <w:r>
              <w:rPr>
                <w:rFonts w:hint="eastAsia" w:ascii="宋体" w:hAnsi="宋体"/>
                <w:color w:val="000000" w:themeColor="text1"/>
                <w:szCs w:val="21"/>
              </w:rPr>
              <w:t>次擦拭清洁，每周</w:t>
            </w:r>
            <w:r>
              <w:rPr>
                <w:rFonts w:ascii="宋体" w:hAnsi="宋体"/>
                <w:color w:val="000000" w:themeColor="text1"/>
                <w:szCs w:val="21"/>
              </w:rPr>
              <w:t>1</w:t>
            </w:r>
            <w:r>
              <w:rPr>
                <w:rFonts w:hint="eastAsia" w:ascii="宋体" w:hAnsi="宋体"/>
                <w:color w:val="000000" w:themeColor="text1"/>
                <w:szCs w:val="21"/>
              </w:rPr>
              <w:t>-2次消杀</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干净整洁无臭味、无滴水、无蚊虫孳生、无污迹、无乱张贴，日清洁达</w:t>
            </w:r>
            <w:r>
              <w:rPr>
                <w:rFonts w:ascii="宋体" w:hAnsi="宋体"/>
                <w:color w:val="000000" w:themeColor="text1"/>
                <w:szCs w:val="21"/>
              </w:rPr>
              <w:t>99%</w:t>
            </w:r>
            <w:r>
              <w:rPr>
                <w:rFonts w:hint="eastAsia" w:ascii="宋体" w:hAnsi="宋体"/>
                <w:color w:val="000000" w:themeColor="text1"/>
                <w:szCs w:val="21"/>
              </w:rPr>
              <w:t>以上</w:t>
            </w:r>
          </w:p>
        </w:tc>
        <w:tc>
          <w:tcPr>
            <w:tcW w:w="108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99</w:t>
            </w:r>
            <w:r>
              <w:rPr>
                <w:rFonts w:ascii="宋体" w:hAnsi="宋体"/>
                <w:color w:val="000000" w:themeColor="text1"/>
                <w:szCs w:val="21"/>
              </w:rPr>
              <w:t>%</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17</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化粪池、隔油池及相关管道</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定时检查畅通情况，发现堵塞及时处理，每年清理抽吸不少于</w:t>
            </w:r>
            <w:r>
              <w:rPr>
                <w:rFonts w:ascii="宋体" w:hAnsi="宋体"/>
                <w:color w:val="000000" w:themeColor="text1"/>
                <w:szCs w:val="21"/>
              </w:rPr>
              <w:t>2</w:t>
            </w:r>
            <w:r>
              <w:rPr>
                <w:rFonts w:hint="eastAsia" w:ascii="宋体" w:hAnsi="宋体"/>
                <w:color w:val="000000" w:themeColor="text1"/>
                <w:szCs w:val="21"/>
              </w:rPr>
              <w:t>次，（疏通及抽吸需先报批）</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无臭味、无沉淀物、无堵塞、无积溢、排污畅通</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18</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垃圾房（池）清洁</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每日清理清运</w:t>
            </w:r>
            <w:r>
              <w:rPr>
                <w:rFonts w:ascii="宋体" w:hAnsi="宋体"/>
                <w:color w:val="000000" w:themeColor="text1"/>
                <w:szCs w:val="21"/>
              </w:rPr>
              <w:t>2</w:t>
            </w:r>
            <w:r>
              <w:rPr>
                <w:rFonts w:hint="eastAsia" w:ascii="宋体" w:hAnsi="宋体"/>
                <w:color w:val="000000" w:themeColor="text1"/>
                <w:szCs w:val="21"/>
              </w:rPr>
              <w:t>次，冲洗</w:t>
            </w:r>
            <w:r>
              <w:rPr>
                <w:rFonts w:ascii="宋体" w:hAnsi="宋体"/>
                <w:color w:val="000000" w:themeColor="text1"/>
                <w:szCs w:val="21"/>
              </w:rPr>
              <w:t>2</w:t>
            </w:r>
            <w:r>
              <w:rPr>
                <w:rFonts w:hint="eastAsia" w:ascii="宋体" w:hAnsi="宋体"/>
                <w:color w:val="000000" w:themeColor="text1"/>
                <w:szCs w:val="21"/>
              </w:rPr>
              <w:t>次，每周消杀</w:t>
            </w:r>
            <w:r>
              <w:rPr>
                <w:rFonts w:ascii="宋体" w:hAnsi="宋体"/>
                <w:color w:val="000000" w:themeColor="text1"/>
                <w:szCs w:val="21"/>
              </w:rPr>
              <w:t>3</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内外墙干净。无明显垃圾，水沟、地面无积水、无蚊虫孳生、无臭味异味，日清理</w:t>
            </w:r>
            <w:r>
              <w:rPr>
                <w:rFonts w:ascii="宋体" w:hAnsi="宋体"/>
                <w:color w:val="000000" w:themeColor="text1"/>
                <w:szCs w:val="21"/>
              </w:rPr>
              <w:t>100%</w:t>
            </w:r>
          </w:p>
        </w:tc>
        <w:tc>
          <w:tcPr>
            <w:tcW w:w="108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99</w:t>
            </w:r>
            <w:r>
              <w:rPr>
                <w:rFonts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19</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排水沟、排污管、污水井清洁、清理、清杀</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每天明沟</w:t>
            </w:r>
            <w:r>
              <w:rPr>
                <w:rFonts w:ascii="宋体" w:hAnsi="宋体"/>
                <w:color w:val="000000" w:themeColor="text1"/>
                <w:szCs w:val="21"/>
              </w:rPr>
              <w:t>(</w:t>
            </w:r>
            <w:r>
              <w:rPr>
                <w:rFonts w:hint="eastAsia" w:ascii="宋体" w:hAnsi="宋体"/>
                <w:color w:val="000000" w:themeColor="text1"/>
                <w:szCs w:val="21"/>
              </w:rPr>
              <w:t>井</w:t>
            </w:r>
            <w:r>
              <w:rPr>
                <w:rFonts w:ascii="宋体" w:hAnsi="宋体"/>
                <w:color w:val="000000" w:themeColor="text1"/>
                <w:szCs w:val="21"/>
              </w:rPr>
              <w:t>)</w:t>
            </w:r>
            <w:r>
              <w:rPr>
                <w:rFonts w:hint="eastAsia" w:ascii="宋体" w:hAnsi="宋体"/>
                <w:color w:val="000000" w:themeColor="text1"/>
                <w:szCs w:val="21"/>
              </w:rPr>
              <w:t>清洁垃圾杂物</w:t>
            </w:r>
            <w:r>
              <w:rPr>
                <w:rFonts w:ascii="宋体" w:hAnsi="宋体"/>
                <w:color w:val="000000" w:themeColor="text1"/>
                <w:szCs w:val="21"/>
              </w:rPr>
              <w:t>2</w:t>
            </w:r>
            <w:r>
              <w:rPr>
                <w:rFonts w:hint="eastAsia" w:ascii="宋体" w:hAnsi="宋体"/>
                <w:color w:val="000000" w:themeColor="text1"/>
                <w:szCs w:val="21"/>
              </w:rPr>
              <w:t>次并保洁，每周管道、雨水井、污水井清洁</w:t>
            </w:r>
            <w:r>
              <w:rPr>
                <w:rFonts w:ascii="宋体" w:hAnsi="宋体"/>
                <w:color w:val="000000" w:themeColor="text1"/>
                <w:szCs w:val="21"/>
              </w:rPr>
              <w:t>1</w:t>
            </w:r>
            <w:r>
              <w:rPr>
                <w:rFonts w:hint="eastAsia" w:ascii="宋体" w:hAnsi="宋体"/>
                <w:color w:val="000000" w:themeColor="text1"/>
                <w:szCs w:val="21"/>
              </w:rPr>
              <w:t>次，每月消杀</w:t>
            </w:r>
            <w:r>
              <w:rPr>
                <w:rFonts w:ascii="宋体" w:hAnsi="宋体"/>
                <w:color w:val="000000" w:themeColor="text1"/>
                <w:szCs w:val="21"/>
              </w:rPr>
              <w:t>2</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无垃圾、杂物、无积水、畅通无阻；少蚊、蝇、蟑螂，无鼠，消杀率达</w:t>
            </w:r>
            <w:r>
              <w:rPr>
                <w:rFonts w:ascii="宋体" w:hAnsi="宋体"/>
                <w:color w:val="000000" w:themeColor="text1"/>
                <w:szCs w:val="21"/>
              </w:rPr>
              <w:t>99%</w:t>
            </w:r>
            <w:r>
              <w:rPr>
                <w:rFonts w:hint="eastAsia" w:ascii="宋体" w:hAnsi="宋体"/>
                <w:color w:val="000000" w:themeColor="text1"/>
                <w:szCs w:val="21"/>
              </w:rPr>
              <w:t>以上。</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20</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建筑物楼顶</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每月检查</w:t>
            </w:r>
            <w:r>
              <w:rPr>
                <w:rFonts w:ascii="宋体" w:hAnsi="宋体"/>
                <w:color w:val="000000" w:themeColor="text1"/>
                <w:szCs w:val="21"/>
              </w:rPr>
              <w:t>1</w:t>
            </w:r>
            <w:r>
              <w:rPr>
                <w:rFonts w:hint="eastAsia" w:ascii="宋体" w:hAnsi="宋体"/>
                <w:color w:val="000000" w:themeColor="text1"/>
                <w:szCs w:val="21"/>
              </w:rPr>
              <w:t>次，多雨季节不定期检查</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无积水，无堵塞。</w:t>
            </w:r>
          </w:p>
        </w:tc>
        <w:tc>
          <w:tcPr>
            <w:tcW w:w="108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99</w:t>
            </w:r>
            <w:r>
              <w:rPr>
                <w:rFonts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21</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绿化带</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每日随时拾捡垃圾杂物并保洁，每周彻底清理干净杂物垃圾等</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如有花草枯萎，及时更换，无垃圾杂物、无污渍秽迹，无积水聚沙等</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22</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车道、停车位</w:t>
            </w:r>
          </w:p>
        </w:tc>
        <w:tc>
          <w:tcPr>
            <w:tcW w:w="3275" w:type="dxa"/>
            <w:noWrap/>
            <w:vAlign w:val="center"/>
          </w:tcPr>
          <w:p>
            <w:pPr>
              <w:spacing w:line="380" w:lineRule="exact"/>
              <w:rPr>
                <w:rFonts w:ascii="宋体" w:hAnsi="宋体"/>
                <w:color w:val="000000" w:themeColor="text1"/>
                <w:szCs w:val="21"/>
              </w:rPr>
            </w:pPr>
            <w:r>
              <w:rPr>
                <w:rFonts w:hint="eastAsia" w:ascii="宋体" w:hAnsi="宋体"/>
                <w:color w:val="000000" w:themeColor="text1"/>
                <w:szCs w:val="21"/>
              </w:rPr>
              <w:t>每天清扫1次并保洁，每月用化油剂清洗后再用高压冲洗机冲洗</w:t>
            </w:r>
            <w:r>
              <w:rPr>
                <w:rFonts w:ascii="宋体" w:hAnsi="宋体"/>
                <w:color w:val="000000" w:themeColor="text1"/>
                <w:szCs w:val="21"/>
              </w:rPr>
              <w:t>1</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无垃圾油污，无积水聚沙</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775" w:type="dxa"/>
            <w:vMerge w:val="restart"/>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23</w:t>
            </w:r>
          </w:p>
        </w:tc>
        <w:tc>
          <w:tcPr>
            <w:tcW w:w="2007" w:type="dxa"/>
            <w:vMerge w:val="restart"/>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玻璃门、窗</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走廊玻璃门、窗每天用玻璃水清洗清刮1次，随时清抹保洁</w:t>
            </w:r>
          </w:p>
        </w:tc>
        <w:tc>
          <w:tcPr>
            <w:tcW w:w="2906" w:type="dxa"/>
            <w:vMerge w:val="restart"/>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无灰尘、污渍、手印、光洁明亮</w:t>
            </w:r>
          </w:p>
        </w:tc>
        <w:tc>
          <w:tcPr>
            <w:tcW w:w="1080" w:type="dxa"/>
            <w:vMerge w:val="restart"/>
            <w:noWrap/>
            <w:vAlign w:val="center"/>
          </w:tcPr>
          <w:p>
            <w:pPr>
              <w:spacing w:line="360" w:lineRule="auto"/>
              <w:rPr>
                <w:rFonts w:ascii="宋体" w:hAnsi="宋体"/>
                <w:color w:val="000000" w:themeColor="text1"/>
                <w:szCs w:val="21"/>
              </w:rPr>
            </w:pP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775" w:type="dxa"/>
            <w:vMerge w:val="continue"/>
            <w:noWrap/>
            <w:vAlign w:val="center"/>
          </w:tcPr>
          <w:p>
            <w:pPr>
              <w:spacing w:line="360" w:lineRule="auto"/>
              <w:jc w:val="center"/>
              <w:rPr>
                <w:rFonts w:ascii="宋体" w:hAnsi="宋体"/>
                <w:color w:val="000000" w:themeColor="text1"/>
                <w:szCs w:val="21"/>
              </w:rPr>
            </w:pPr>
          </w:p>
        </w:tc>
        <w:tc>
          <w:tcPr>
            <w:tcW w:w="2007" w:type="dxa"/>
            <w:vMerge w:val="continue"/>
            <w:noWrap/>
            <w:vAlign w:val="center"/>
          </w:tcPr>
          <w:p>
            <w:pPr>
              <w:spacing w:line="360" w:lineRule="auto"/>
              <w:rPr>
                <w:rFonts w:ascii="宋体" w:hAnsi="宋体"/>
                <w:color w:val="000000" w:themeColor="text1"/>
                <w:szCs w:val="21"/>
              </w:rPr>
            </w:pP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大堂玻璃每天用玻璃水清抹清刮</w:t>
            </w:r>
            <w:r>
              <w:rPr>
                <w:rFonts w:ascii="宋体" w:hAnsi="宋体"/>
                <w:color w:val="000000" w:themeColor="text1"/>
                <w:szCs w:val="21"/>
              </w:rPr>
              <w:t>1</w:t>
            </w:r>
            <w:r>
              <w:rPr>
                <w:rFonts w:hint="eastAsia" w:ascii="宋体" w:hAnsi="宋体"/>
                <w:color w:val="000000" w:themeColor="text1"/>
                <w:szCs w:val="21"/>
              </w:rPr>
              <w:t>次并随时保洁</w:t>
            </w:r>
          </w:p>
        </w:tc>
        <w:tc>
          <w:tcPr>
            <w:tcW w:w="2906" w:type="dxa"/>
            <w:vMerge w:val="continue"/>
            <w:noWrap/>
            <w:vAlign w:val="center"/>
          </w:tcPr>
          <w:p>
            <w:pPr>
              <w:spacing w:line="360" w:lineRule="auto"/>
              <w:rPr>
                <w:rFonts w:ascii="宋体" w:hAnsi="宋体"/>
                <w:color w:val="000000" w:themeColor="text1"/>
                <w:szCs w:val="21"/>
              </w:rPr>
            </w:pPr>
          </w:p>
        </w:tc>
        <w:tc>
          <w:tcPr>
            <w:tcW w:w="1080" w:type="dxa"/>
            <w:vMerge w:val="continue"/>
            <w:noWrap/>
            <w:vAlign w:val="center"/>
          </w:tcPr>
          <w:p>
            <w:pPr>
              <w:spacing w:line="360" w:lineRule="auto"/>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775" w:type="dxa"/>
            <w:vMerge w:val="continue"/>
            <w:noWrap/>
            <w:vAlign w:val="center"/>
          </w:tcPr>
          <w:p>
            <w:pPr>
              <w:spacing w:line="360" w:lineRule="auto"/>
              <w:jc w:val="center"/>
              <w:rPr>
                <w:rFonts w:ascii="宋体" w:hAnsi="宋体"/>
                <w:color w:val="000000" w:themeColor="text1"/>
                <w:szCs w:val="21"/>
              </w:rPr>
            </w:pPr>
          </w:p>
        </w:tc>
        <w:tc>
          <w:tcPr>
            <w:tcW w:w="2007" w:type="dxa"/>
            <w:vMerge w:val="continue"/>
            <w:noWrap/>
            <w:vAlign w:val="center"/>
          </w:tcPr>
          <w:p>
            <w:pPr>
              <w:spacing w:line="360" w:lineRule="auto"/>
              <w:rPr>
                <w:rFonts w:ascii="宋体" w:hAnsi="宋体"/>
                <w:color w:val="000000" w:themeColor="text1"/>
                <w:szCs w:val="21"/>
              </w:rPr>
            </w:pP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公共走廊玻璃墙面</w:t>
            </w:r>
            <w:r>
              <w:rPr>
                <w:rFonts w:ascii="宋体" w:hAnsi="宋体"/>
                <w:color w:val="000000" w:themeColor="text1"/>
                <w:szCs w:val="21"/>
              </w:rPr>
              <w:t>(</w:t>
            </w:r>
            <w:r>
              <w:rPr>
                <w:rFonts w:hint="eastAsia" w:ascii="宋体" w:hAnsi="宋体"/>
                <w:color w:val="000000" w:themeColor="text1"/>
                <w:szCs w:val="21"/>
              </w:rPr>
              <w:t>外侧</w:t>
            </w:r>
            <w:r>
              <w:rPr>
                <w:rFonts w:ascii="宋体" w:hAnsi="宋体"/>
                <w:color w:val="000000" w:themeColor="text1"/>
                <w:szCs w:val="21"/>
              </w:rPr>
              <w:t>)</w:t>
            </w:r>
            <w:r>
              <w:rPr>
                <w:rFonts w:hint="eastAsia" w:ascii="宋体" w:hAnsi="宋体"/>
                <w:color w:val="000000" w:themeColor="text1"/>
                <w:szCs w:val="21"/>
              </w:rPr>
              <w:t>保洁每周用玻璃水清洗清刮</w:t>
            </w:r>
            <w:r>
              <w:rPr>
                <w:rFonts w:ascii="宋体" w:hAnsi="宋体"/>
                <w:color w:val="000000" w:themeColor="text1"/>
                <w:szCs w:val="21"/>
              </w:rPr>
              <w:t>1</w:t>
            </w:r>
            <w:r>
              <w:rPr>
                <w:rFonts w:hint="eastAsia" w:ascii="宋体" w:hAnsi="宋体"/>
                <w:color w:val="000000" w:themeColor="text1"/>
                <w:szCs w:val="21"/>
              </w:rPr>
              <w:t>次</w:t>
            </w:r>
          </w:p>
        </w:tc>
        <w:tc>
          <w:tcPr>
            <w:tcW w:w="2906" w:type="dxa"/>
            <w:vMerge w:val="continue"/>
            <w:noWrap/>
            <w:vAlign w:val="center"/>
          </w:tcPr>
          <w:p>
            <w:pPr>
              <w:spacing w:line="360" w:lineRule="auto"/>
              <w:rPr>
                <w:rFonts w:ascii="宋体" w:hAnsi="宋体"/>
                <w:color w:val="000000" w:themeColor="text1"/>
                <w:szCs w:val="21"/>
              </w:rPr>
            </w:pPr>
          </w:p>
        </w:tc>
        <w:tc>
          <w:tcPr>
            <w:tcW w:w="1080" w:type="dxa"/>
            <w:vMerge w:val="continue"/>
            <w:noWrap/>
            <w:vAlign w:val="center"/>
          </w:tcPr>
          <w:p>
            <w:pPr>
              <w:spacing w:line="360" w:lineRule="auto"/>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775" w:type="dxa"/>
            <w:vMerge w:val="restart"/>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24</w:t>
            </w:r>
          </w:p>
        </w:tc>
        <w:tc>
          <w:tcPr>
            <w:tcW w:w="2007" w:type="dxa"/>
            <w:vMerge w:val="restart"/>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洗手间</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洗手间大门每天用消毒剂清抹</w:t>
            </w:r>
            <w:r>
              <w:rPr>
                <w:rFonts w:ascii="宋体" w:hAnsi="宋体"/>
                <w:color w:val="000000" w:themeColor="text1"/>
                <w:szCs w:val="21"/>
              </w:rPr>
              <w:t>1</w:t>
            </w:r>
            <w:r>
              <w:rPr>
                <w:rFonts w:hint="eastAsia" w:ascii="宋体" w:hAnsi="宋体"/>
                <w:color w:val="000000" w:themeColor="text1"/>
                <w:szCs w:val="21"/>
              </w:rPr>
              <w:t>次并保洁</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无灰尘、无污渍手印</w:t>
            </w:r>
          </w:p>
        </w:tc>
        <w:tc>
          <w:tcPr>
            <w:tcW w:w="1080" w:type="dxa"/>
            <w:vMerge w:val="restart"/>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99</w:t>
            </w:r>
            <w:r>
              <w:rPr>
                <w:rFonts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775" w:type="dxa"/>
            <w:vMerge w:val="continue"/>
            <w:noWrap/>
            <w:vAlign w:val="center"/>
          </w:tcPr>
          <w:p>
            <w:pPr>
              <w:spacing w:line="360" w:lineRule="auto"/>
              <w:jc w:val="center"/>
              <w:rPr>
                <w:rFonts w:ascii="宋体" w:hAnsi="宋体"/>
                <w:color w:val="000000" w:themeColor="text1"/>
                <w:szCs w:val="21"/>
              </w:rPr>
            </w:pPr>
          </w:p>
        </w:tc>
        <w:tc>
          <w:tcPr>
            <w:tcW w:w="2007" w:type="dxa"/>
            <w:vMerge w:val="continue"/>
            <w:noWrap/>
            <w:vAlign w:val="center"/>
          </w:tcPr>
          <w:p>
            <w:pPr>
              <w:spacing w:line="360" w:lineRule="auto"/>
              <w:rPr>
                <w:rFonts w:ascii="宋体" w:hAnsi="宋体"/>
                <w:color w:val="000000" w:themeColor="text1"/>
                <w:szCs w:val="21"/>
              </w:rPr>
            </w:pP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地面每天用消毒剂清洗</w:t>
            </w:r>
            <w:r>
              <w:rPr>
                <w:rFonts w:ascii="宋体" w:hAnsi="宋体"/>
                <w:color w:val="000000" w:themeColor="text1"/>
                <w:szCs w:val="21"/>
              </w:rPr>
              <w:t>4</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无灰尘、水渍、污渍</w:t>
            </w:r>
          </w:p>
        </w:tc>
        <w:tc>
          <w:tcPr>
            <w:tcW w:w="1080" w:type="dxa"/>
            <w:vMerge w:val="continue"/>
            <w:noWrap/>
            <w:vAlign w:val="center"/>
          </w:tcPr>
          <w:p>
            <w:pPr>
              <w:spacing w:line="360" w:lineRule="auto"/>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vMerge w:val="continue"/>
            <w:noWrap/>
            <w:vAlign w:val="center"/>
          </w:tcPr>
          <w:p>
            <w:pPr>
              <w:spacing w:line="360" w:lineRule="auto"/>
              <w:jc w:val="center"/>
              <w:rPr>
                <w:rFonts w:ascii="宋体" w:hAnsi="宋体"/>
                <w:color w:val="000000" w:themeColor="text1"/>
                <w:szCs w:val="21"/>
              </w:rPr>
            </w:pPr>
          </w:p>
        </w:tc>
        <w:tc>
          <w:tcPr>
            <w:tcW w:w="2007" w:type="dxa"/>
            <w:vMerge w:val="continue"/>
            <w:noWrap/>
            <w:vAlign w:val="center"/>
          </w:tcPr>
          <w:p>
            <w:pPr>
              <w:spacing w:line="360" w:lineRule="auto"/>
              <w:rPr>
                <w:rFonts w:ascii="宋体" w:hAnsi="宋体"/>
                <w:color w:val="000000" w:themeColor="text1"/>
                <w:szCs w:val="21"/>
              </w:rPr>
            </w:pP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墙身每天用消毒剂清抹</w:t>
            </w:r>
            <w:r>
              <w:rPr>
                <w:rFonts w:ascii="宋体" w:hAnsi="宋体"/>
                <w:color w:val="000000" w:themeColor="text1"/>
                <w:szCs w:val="21"/>
              </w:rPr>
              <w:t>1</w:t>
            </w:r>
            <w:r>
              <w:rPr>
                <w:rFonts w:hint="eastAsia" w:ascii="宋体" w:hAnsi="宋体"/>
                <w:color w:val="000000" w:themeColor="text1"/>
                <w:szCs w:val="21"/>
              </w:rPr>
              <w:t>次并保洁，每周用清洁剂清洗</w:t>
            </w:r>
            <w:r>
              <w:rPr>
                <w:rFonts w:ascii="宋体" w:hAnsi="宋体"/>
                <w:color w:val="000000" w:themeColor="text1"/>
                <w:szCs w:val="21"/>
              </w:rPr>
              <w:t>1</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无灰尘、无污渍、水渍、洁净</w:t>
            </w:r>
          </w:p>
        </w:tc>
        <w:tc>
          <w:tcPr>
            <w:tcW w:w="1080" w:type="dxa"/>
            <w:vMerge w:val="continue"/>
            <w:noWrap/>
            <w:vAlign w:val="center"/>
          </w:tcPr>
          <w:p>
            <w:pPr>
              <w:spacing w:line="360" w:lineRule="auto"/>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775" w:type="dxa"/>
            <w:vMerge w:val="continue"/>
            <w:noWrap/>
            <w:vAlign w:val="center"/>
          </w:tcPr>
          <w:p>
            <w:pPr>
              <w:spacing w:line="360" w:lineRule="auto"/>
              <w:jc w:val="center"/>
              <w:rPr>
                <w:rFonts w:ascii="宋体" w:hAnsi="宋体"/>
                <w:color w:val="000000" w:themeColor="text1"/>
                <w:szCs w:val="21"/>
              </w:rPr>
            </w:pPr>
          </w:p>
        </w:tc>
        <w:tc>
          <w:tcPr>
            <w:tcW w:w="2007" w:type="dxa"/>
            <w:vMerge w:val="continue"/>
            <w:noWrap/>
            <w:vAlign w:val="center"/>
          </w:tcPr>
          <w:p>
            <w:pPr>
              <w:spacing w:line="360" w:lineRule="auto"/>
              <w:rPr>
                <w:rFonts w:ascii="宋体" w:hAnsi="宋体"/>
                <w:color w:val="000000" w:themeColor="text1"/>
                <w:szCs w:val="21"/>
              </w:rPr>
            </w:pP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玻璃镜每天用玻璃水清洗</w:t>
            </w:r>
            <w:r>
              <w:rPr>
                <w:rFonts w:ascii="宋体" w:hAnsi="宋体"/>
                <w:color w:val="000000" w:themeColor="text1"/>
                <w:szCs w:val="21"/>
              </w:rPr>
              <w:t>1</w:t>
            </w:r>
            <w:r>
              <w:rPr>
                <w:rFonts w:hint="eastAsia" w:ascii="宋体" w:hAnsi="宋体"/>
                <w:color w:val="000000" w:themeColor="text1"/>
                <w:szCs w:val="21"/>
              </w:rPr>
              <w:t>次并保洁</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无灰尘、污渍、手印、光亮</w:t>
            </w:r>
          </w:p>
        </w:tc>
        <w:tc>
          <w:tcPr>
            <w:tcW w:w="1080" w:type="dxa"/>
            <w:vMerge w:val="continue"/>
            <w:noWrap/>
            <w:vAlign w:val="center"/>
          </w:tcPr>
          <w:p>
            <w:pPr>
              <w:spacing w:line="360" w:lineRule="auto"/>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vMerge w:val="continue"/>
            <w:noWrap/>
            <w:vAlign w:val="center"/>
          </w:tcPr>
          <w:p>
            <w:pPr>
              <w:spacing w:line="360" w:lineRule="auto"/>
              <w:jc w:val="center"/>
              <w:rPr>
                <w:rFonts w:ascii="宋体" w:hAnsi="宋体"/>
                <w:color w:val="000000" w:themeColor="text1"/>
                <w:szCs w:val="21"/>
              </w:rPr>
            </w:pPr>
          </w:p>
        </w:tc>
        <w:tc>
          <w:tcPr>
            <w:tcW w:w="2007" w:type="dxa"/>
            <w:vMerge w:val="continue"/>
            <w:noWrap/>
            <w:vAlign w:val="center"/>
          </w:tcPr>
          <w:p>
            <w:pPr>
              <w:spacing w:line="360" w:lineRule="auto"/>
              <w:rPr>
                <w:rFonts w:ascii="宋体" w:hAnsi="宋体"/>
                <w:color w:val="000000" w:themeColor="text1"/>
                <w:szCs w:val="21"/>
              </w:rPr>
            </w:pP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洗手盆、台面、水池每天用消毒剂清抹</w:t>
            </w:r>
            <w:r>
              <w:rPr>
                <w:rFonts w:ascii="宋体" w:hAnsi="宋体"/>
                <w:color w:val="000000" w:themeColor="text1"/>
                <w:szCs w:val="21"/>
              </w:rPr>
              <w:t>1</w:t>
            </w:r>
            <w:r>
              <w:rPr>
                <w:rFonts w:hint="eastAsia" w:ascii="宋体" w:hAnsi="宋体"/>
                <w:color w:val="000000" w:themeColor="text1"/>
                <w:szCs w:val="21"/>
              </w:rPr>
              <w:t>次并保洁</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无灰尘、无污渍无痰渍</w:t>
            </w:r>
          </w:p>
        </w:tc>
        <w:tc>
          <w:tcPr>
            <w:tcW w:w="1080" w:type="dxa"/>
            <w:vMerge w:val="continue"/>
            <w:noWrap/>
            <w:vAlign w:val="center"/>
          </w:tcPr>
          <w:p>
            <w:pPr>
              <w:spacing w:line="360" w:lineRule="auto"/>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vMerge w:val="continue"/>
            <w:noWrap/>
            <w:vAlign w:val="center"/>
          </w:tcPr>
          <w:p>
            <w:pPr>
              <w:spacing w:line="360" w:lineRule="auto"/>
              <w:jc w:val="center"/>
              <w:rPr>
                <w:rFonts w:ascii="宋体" w:hAnsi="宋体"/>
                <w:color w:val="000000" w:themeColor="text1"/>
                <w:szCs w:val="21"/>
              </w:rPr>
            </w:pPr>
          </w:p>
        </w:tc>
        <w:tc>
          <w:tcPr>
            <w:tcW w:w="2007" w:type="dxa"/>
            <w:vMerge w:val="continue"/>
            <w:noWrap/>
            <w:vAlign w:val="center"/>
          </w:tcPr>
          <w:p>
            <w:pPr>
              <w:spacing w:line="360" w:lineRule="auto"/>
              <w:rPr>
                <w:rFonts w:ascii="宋体" w:hAnsi="宋体"/>
                <w:color w:val="000000" w:themeColor="text1"/>
                <w:szCs w:val="21"/>
              </w:rPr>
            </w:pP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大小便器每天用消毒清洁剂清洗2次，随时保洁，定时放卫生球和喷空气清新剂；每周用消毒剂全面大清洁</w:t>
            </w:r>
            <w:r>
              <w:rPr>
                <w:rFonts w:ascii="宋体" w:hAnsi="宋体"/>
                <w:color w:val="000000" w:themeColor="text1"/>
                <w:szCs w:val="21"/>
              </w:rPr>
              <w:t>1</w:t>
            </w:r>
            <w:r>
              <w:rPr>
                <w:rFonts w:hint="eastAsia" w:ascii="宋体" w:hAnsi="宋体"/>
                <w:color w:val="000000" w:themeColor="text1"/>
                <w:szCs w:val="21"/>
              </w:rPr>
              <w:t>次；每月定时检查管道畅通情况，发现堵塞及时处理</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无臭味、无污渍无垢、干净清洁</w:t>
            </w:r>
          </w:p>
        </w:tc>
        <w:tc>
          <w:tcPr>
            <w:tcW w:w="1080" w:type="dxa"/>
            <w:vMerge w:val="continue"/>
            <w:noWrap/>
            <w:vAlign w:val="center"/>
          </w:tcPr>
          <w:p>
            <w:pPr>
              <w:spacing w:line="360" w:lineRule="auto"/>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vMerge w:val="continue"/>
            <w:noWrap/>
            <w:vAlign w:val="center"/>
          </w:tcPr>
          <w:p>
            <w:pPr>
              <w:spacing w:line="360" w:lineRule="auto"/>
              <w:jc w:val="center"/>
              <w:rPr>
                <w:rFonts w:ascii="宋体" w:hAnsi="宋体"/>
                <w:color w:val="000000" w:themeColor="text1"/>
                <w:szCs w:val="21"/>
              </w:rPr>
            </w:pPr>
          </w:p>
        </w:tc>
        <w:tc>
          <w:tcPr>
            <w:tcW w:w="2007" w:type="dxa"/>
            <w:vMerge w:val="continue"/>
            <w:noWrap/>
            <w:vAlign w:val="center"/>
          </w:tcPr>
          <w:p>
            <w:pPr>
              <w:spacing w:line="360" w:lineRule="auto"/>
              <w:rPr>
                <w:rFonts w:ascii="宋体" w:hAnsi="宋体"/>
                <w:color w:val="000000" w:themeColor="text1"/>
                <w:szCs w:val="21"/>
              </w:rPr>
            </w:pP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洗手间保洁每1小时</w:t>
            </w:r>
            <w:r>
              <w:rPr>
                <w:rFonts w:ascii="宋体" w:hAnsi="宋体"/>
                <w:color w:val="000000" w:themeColor="text1"/>
                <w:szCs w:val="21"/>
              </w:rPr>
              <w:t>1</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无臭味、无污渍无垢、干净清洁</w:t>
            </w:r>
          </w:p>
        </w:tc>
        <w:tc>
          <w:tcPr>
            <w:tcW w:w="1080" w:type="dxa"/>
            <w:vMerge w:val="continue"/>
            <w:noWrap/>
            <w:vAlign w:val="center"/>
          </w:tcPr>
          <w:p>
            <w:pPr>
              <w:spacing w:line="360" w:lineRule="auto"/>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25</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天花</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每周扫清除天花顶部灰尘及蛛网</w:t>
            </w:r>
            <w:r>
              <w:rPr>
                <w:rFonts w:ascii="宋体" w:hAnsi="宋体"/>
                <w:color w:val="000000" w:themeColor="text1"/>
                <w:szCs w:val="21"/>
              </w:rPr>
              <w:t>1</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无灰尘、无蜘蛛网</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26</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排风扇</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风扇的定期拭擦清洁每季度</w:t>
            </w:r>
            <w:r>
              <w:rPr>
                <w:rFonts w:ascii="宋体" w:hAnsi="宋体"/>
                <w:color w:val="000000" w:themeColor="text1"/>
                <w:szCs w:val="21"/>
              </w:rPr>
              <w:t>1</w:t>
            </w:r>
            <w:r>
              <w:rPr>
                <w:rFonts w:hint="eastAsia" w:ascii="宋体" w:hAnsi="宋体"/>
                <w:color w:val="000000" w:themeColor="text1"/>
                <w:szCs w:val="21"/>
              </w:rPr>
              <w:t>次，拆除清洗每年</w:t>
            </w:r>
            <w:r>
              <w:rPr>
                <w:rFonts w:ascii="宋体" w:hAnsi="宋体"/>
                <w:color w:val="000000" w:themeColor="text1"/>
                <w:szCs w:val="21"/>
              </w:rPr>
              <w:t>2</w:t>
            </w:r>
            <w:r>
              <w:rPr>
                <w:rFonts w:hint="eastAsia" w:ascii="宋体" w:hAnsi="宋体"/>
                <w:color w:val="000000" w:themeColor="text1"/>
                <w:szCs w:val="21"/>
              </w:rPr>
              <w:t>次</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无污渍无垢、干净清洁</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27</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楼层会议室</w:t>
            </w:r>
          </w:p>
        </w:tc>
        <w:tc>
          <w:tcPr>
            <w:tcW w:w="327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会议室每天清洁不少于1次，会议、活动前清抹桌椅灰尘，适当通风后开灯、开空调，整理桌椅以及在开会时提供开水。会后清扫地面，擦拭并整理桌椅，清洗烟灰缸、清倒垃圾桶，关闭空调，照明期间根据需要适时保洁</w:t>
            </w:r>
          </w:p>
        </w:tc>
        <w:tc>
          <w:tcPr>
            <w:tcW w:w="2906"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无垃圾、杂物、无灰尘、无污渍、无痰渍、“零干扰”服务</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28</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生活水池</w:t>
            </w:r>
          </w:p>
        </w:tc>
        <w:tc>
          <w:tcPr>
            <w:tcW w:w="6181" w:type="dxa"/>
            <w:gridSpan w:val="2"/>
            <w:noWrap/>
            <w:vAlign w:val="center"/>
          </w:tcPr>
          <w:p>
            <w:pPr>
              <w:spacing w:line="360" w:lineRule="auto"/>
              <w:rPr>
                <w:rFonts w:ascii="宋体" w:hAnsi="宋体"/>
                <w:color w:val="000000" w:themeColor="text1"/>
                <w:szCs w:val="21"/>
              </w:rPr>
            </w:pPr>
            <w:r>
              <w:rPr>
                <w:rFonts w:hint="eastAsia" w:ascii="宋体" w:hAnsi="宋体" w:cs="宋体"/>
                <w:color w:val="000000" w:themeColor="text1"/>
                <w:szCs w:val="21"/>
                <w:lang w:val="zh-CN"/>
              </w:rPr>
              <w:t>每年</w:t>
            </w:r>
            <w:r>
              <w:rPr>
                <w:rFonts w:ascii="宋体" w:hAnsi="宋体" w:cs="宋体"/>
                <w:color w:val="000000" w:themeColor="text1"/>
                <w:szCs w:val="21"/>
                <w:lang w:val="zh-CN"/>
              </w:rPr>
              <w:t>2</w:t>
            </w:r>
            <w:r>
              <w:rPr>
                <w:rFonts w:hint="eastAsia" w:ascii="宋体" w:hAnsi="宋体" w:cs="宋体"/>
                <w:color w:val="000000" w:themeColor="text1"/>
                <w:szCs w:val="21"/>
                <w:lang w:val="zh-CN"/>
              </w:rPr>
              <w:t>次的水池清洗消毒，符合安全标准，正常使用，获得相关检验文件</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75"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29</w:t>
            </w:r>
          </w:p>
        </w:tc>
        <w:tc>
          <w:tcPr>
            <w:tcW w:w="200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保洁</w:t>
            </w:r>
          </w:p>
        </w:tc>
        <w:tc>
          <w:tcPr>
            <w:tcW w:w="6181" w:type="dxa"/>
            <w:gridSpan w:val="2"/>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所有区域范围内的保洁每服务不得少于每两小时一次；洗手间的保洁不得少于1小时一次</w:t>
            </w:r>
          </w:p>
        </w:tc>
        <w:tc>
          <w:tcPr>
            <w:tcW w:w="1080" w:type="dxa"/>
            <w:noWrap/>
            <w:vAlign w:val="center"/>
          </w:tcPr>
          <w:p>
            <w:pPr>
              <w:spacing w:line="360" w:lineRule="auto"/>
              <w:rPr>
                <w:rFonts w:ascii="宋体" w:hAnsi="宋体"/>
                <w:color w:val="000000" w:themeColor="text1"/>
                <w:szCs w:val="21"/>
              </w:rPr>
            </w:pPr>
            <w:r>
              <w:rPr>
                <w:rFonts w:ascii="宋体" w:hAnsi="宋体"/>
                <w:color w:val="000000" w:themeColor="text1"/>
                <w:szCs w:val="21"/>
              </w:rPr>
              <w:t>100%</w:t>
            </w:r>
          </w:p>
        </w:tc>
      </w:tr>
    </w:tbl>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（17）、消杀服务工作标准（见下表）</w:t>
      </w:r>
    </w:p>
    <w:tbl>
      <w:tblPr>
        <w:tblStyle w:val="42"/>
        <w:tblW w:w="10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439"/>
        <w:gridCol w:w="2340"/>
        <w:gridCol w:w="1095"/>
        <w:gridCol w:w="4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4" w:type="dxa"/>
            <w:noWrap/>
            <w:vAlign w:val="center"/>
          </w:tcPr>
          <w:p>
            <w:pPr>
              <w:spacing w:line="360" w:lineRule="auto"/>
              <w:jc w:val="center"/>
              <w:rPr>
                <w:rFonts w:ascii="黑体" w:hAnsi="黑体" w:eastAsia="黑体"/>
                <w:b/>
                <w:color w:val="000000" w:themeColor="text1"/>
                <w:szCs w:val="21"/>
              </w:rPr>
            </w:pPr>
            <w:r>
              <w:rPr>
                <w:rFonts w:hint="eastAsia" w:ascii="黑体" w:hAnsi="黑体" w:eastAsia="黑体"/>
                <w:b/>
                <w:color w:val="000000" w:themeColor="text1"/>
                <w:szCs w:val="21"/>
              </w:rPr>
              <w:t>序号</w:t>
            </w:r>
          </w:p>
        </w:tc>
        <w:tc>
          <w:tcPr>
            <w:tcW w:w="1439" w:type="dxa"/>
            <w:noWrap/>
            <w:vAlign w:val="center"/>
          </w:tcPr>
          <w:p>
            <w:pPr>
              <w:spacing w:line="360" w:lineRule="auto"/>
              <w:jc w:val="center"/>
              <w:rPr>
                <w:rFonts w:ascii="黑体" w:hAnsi="黑体" w:eastAsia="黑体"/>
                <w:b/>
                <w:color w:val="000000" w:themeColor="text1"/>
                <w:szCs w:val="21"/>
              </w:rPr>
            </w:pPr>
            <w:r>
              <w:rPr>
                <w:rFonts w:hint="eastAsia" w:ascii="黑体" w:hAnsi="黑体" w:eastAsia="黑体"/>
                <w:b/>
                <w:color w:val="000000" w:themeColor="text1"/>
                <w:szCs w:val="21"/>
              </w:rPr>
              <w:t>消杀项目</w:t>
            </w:r>
          </w:p>
        </w:tc>
        <w:tc>
          <w:tcPr>
            <w:tcW w:w="2340" w:type="dxa"/>
            <w:noWrap/>
            <w:vAlign w:val="center"/>
          </w:tcPr>
          <w:p>
            <w:pPr>
              <w:spacing w:line="360" w:lineRule="auto"/>
              <w:jc w:val="center"/>
              <w:rPr>
                <w:rFonts w:ascii="黑体" w:hAnsi="黑体" w:eastAsia="黑体"/>
                <w:b/>
                <w:color w:val="000000" w:themeColor="text1"/>
                <w:szCs w:val="21"/>
              </w:rPr>
            </w:pPr>
            <w:r>
              <w:rPr>
                <w:rFonts w:hint="eastAsia" w:ascii="黑体" w:hAnsi="黑体" w:eastAsia="黑体"/>
                <w:b/>
                <w:color w:val="000000" w:themeColor="text1"/>
                <w:szCs w:val="21"/>
              </w:rPr>
              <w:t>消杀区域</w:t>
            </w:r>
          </w:p>
        </w:tc>
        <w:tc>
          <w:tcPr>
            <w:tcW w:w="1095" w:type="dxa"/>
            <w:noWrap/>
            <w:vAlign w:val="center"/>
          </w:tcPr>
          <w:p>
            <w:pPr>
              <w:spacing w:line="360" w:lineRule="auto"/>
              <w:jc w:val="center"/>
              <w:rPr>
                <w:rFonts w:ascii="黑体" w:hAnsi="黑体" w:eastAsia="黑体"/>
                <w:b/>
                <w:color w:val="000000" w:themeColor="text1"/>
                <w:szCs w:val="21"/>
              </w:rPr>
            </w:pPr>
            <w:r>
              <w:rPr>
                <w:rFonts w:hint="eastAsia" w:ascii="黑体" w:hAnsi="黑体" w:eastAsia="黑体"/>
                <w:b/>
                <w:color w:val="000000" w:themeColor="text1"/>
                <w:szCs w:val="21"/>
              </w:rPr>
              <w:t>消杀频率</w:t>
            </w:r>
          </w:p>
        </w:tc>
        <w:tc>
          <w:tcPr>
            <w:tcW w:w="4449" w:type="dxa"/>
            <w:noWrap/>
            <w:vAlign w:val="center"/>
          </w:tcPr>
          <w:p>
            <w:pPr>
              <w:spacing w:line="360" w:lineRule="auto"/>
              <w:jc w:val="center"/>
              <w:rPr>
                <w:rFonts w:ascii="黑体" w:hAnsi="黑体" w:eastAsia="黑体"/>
                <w:b/>
                <w:color w:val="000000" w:themeColor="text1"/>
                <w:szCs w:val="21"/>
              </w:rPr>
            </w:pPr>
            <w:r>
              <w:rPr>
                <w:rFonts w:hint="eastAsia" w:ascii="黑体" w:hAnsi="黑体" w:eastAsia="黑体"/>
                <w:b/>
                <w:color w:val="000000" w:themeColor="text1"/>
                <w:szCs w:val="21"/>
              </w:rPr>
              <w:t>消杀标准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774" w:type="dxa"/>
            <w:vMerge w:val="restart"/>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1</w:t>
            </w:r>
          </w:p>
        </w:tc>
        <w:tc>
          <w:tcPr>
            <w:tcW w:w="1439" w:type="dxa"/>
            <w:vMerge w:val="restart"/>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灭鼠消杀</w:t>
            </w:r>
          </w:p>
        </w:tc>
        <w:tc>
          <w:tcPr>
            <w:tcW w:w="234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建筑物</w:t>
            </w:r>
          </w:p>
        </w:tc>
        <w:tc>
          <w:tcPr>
            <w:tcW w:w="1095" w:type="dxa"/>
            <w:vMerge w:val="restart"/>
            <w:noWrap/>
            <w:vAlign w:val="center"/>
          </w:tcPr>
          <w:p>
            <w:pPr>
              <w:spacing w:line="360" w:lineRule="auto"/>
              <w:rPr>
                <w:rFonts w:ascii="宋体" w:hAnsi="宋体"/>
                <w:color w:val="000000" w:themeColor="text1"/>
                <w:szCs w:val="21"/>
              </w:rPr>
            </w:pPr>
            <w:r>
              <w:rPr>
                <w:rFonts w:ascii="宋体" w:hAnsi="宋体"/>
                <w:color w:val="000000" w:themeColor="text1"/>
                <w:szCs w:val="21"/>
              </w:rPr>
              <w:t>2</w:t>
            </w:r>
            <w:r>
              <w:rPr>
                <w:rFonts w:hint="eastAsia" w:ascii="宋体" w:hAnsi="宋体"/>
                <w:color w:val="000000" w:themeColor="text1"/>
                <w:szCs w:val="21"/>
              </w:rPr>
              <w:t>次</w:t>
            </w:r>
            <w:r>
              <w:rPr>
                <w:rFonts w:ascii="宋体" w:hAnsi="宋体"/>
                <w:color w:val="000000" w:themeColor="text1"/>
                <w:szCs w:val="21"/>
              </w:rPr>
              <w:t>/</w:t>
            </w:r>
            <w:r>
              <w:rPr>
                <w:rFonts w:hint="eastAsia" w:ascii="宋体" w:hAnsi="宋体"/>
                <w:color w:val="000000" w:themeColor="text1"/>
                <w:szCs w:val="21"/>
              </w:rPr>
              <w:t>月</w:t>
            </w:r>
          </w:p>
        </w:tc>
        <w:tc>
          <w:tcPr>
            <w:tcW w:w="4449"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阳性地方无鼠迹和鼠痕，不能见老鼠活动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774" w:type="dxa"/>
            <w:vMerge w:val="continue"/>
            <w:noWrap/>
            <w:vAlign w:val="center"/>
          </w:tcPr>
          <w:p>
            <w:pPr>
              <w:spacing w:line="360" w:lineRule="auto"/>
              <w:jc w:val="center"/>
              <w:rPr>
                <w:rFonts w:ascii="宋体" w:hAnsi="宋体"/>
                <w:color w:val="000000" w:themeColor="text1"/>
                <w:szCs w:val="21"/>
              </w:rPr>
            </w:pPr>
          </w:p>
        </w:tc>
        <w:tc>
          <w:tcPr>
            <w:tcW w:w="1439" w:type="dxa"/>
            <w:vMerge w:val="continue"/>
            <w:noWrap/>
            <w:vAlign w:val="center"/>
          </w:tcPr>
          <w:p>
            <w:pPr>
              <w:spacing w:line="360" w:lineRule="auto"/>
              <w:rPr>
                <w:rFonts w:ascii="宋体" w:hAnsi="宋体"/>
                <w:color w:val="000000" w:themeColor="text1"/>
                <w:szCs w:val="21"/>
              </w:rPr>
            </w:pPr>
          </w:p>
        </w:tc>
        <w:tc>
          <w:tcPr>
            <w:tcW w:w="234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天台、消防通道、地下室、绿化带</w:t>
            </w:r>
          </w:p>
        </w:tc>
        <w:tc>
          <w:tcPr>
            <w:tcW w:w="1095" w:type="dxa"/>
            <w:vMerge w:val="continue"/>
            <w:noWrap/>
            <w:vAlign w:val="center"/>
          </w:tcPr>
          <w:p>
            <w:pPr>
              <w:spacing w:line="360" w:lineRule="auto"/>
              <w:rPr>
                <w:rFonts w:ascii="宋体" w:hAnsi="宋体"/>
                <w:color w:val="000000" w:themeColor="text1"/>
                <w:szCs w:val="21"/>
              </w:rPr>
            </w:pPr>
          </w:p>
        </w:tc>
        <w:tc>
          <w:tcPr>
            <w:tcW w:w="4449"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白天在室内外不见老鼠活动，绿化地上无鼠洞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774" w:type="dxa"/>
            <w:vMerge w:val="restart"/>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2</w:t>
            </w:r>
          </w:p>
        </w:tc>
        <w:tc>
          <w:tcPr>
            <w:tcW w:w="1439" w:type="dxa"/>
            <w:vMerge w:val="restart"/>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灭蝇消杀</w:t>
            </w:r>
          </w:p>
        </w:tc>
        <w:tc>
          <w:tcPr>
            <w:tcW w:w="234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建筑物</w:t>
            </w:r>
          </w:p>
        </w:tc>
        <w:tc>
          <w:tcPr>
            <w:tcW w:w="1095" w:type="dxa"/>
            <w:vMerge w:val="restart"/>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2次</w:t>
            </w:r>
            <w:r>
              <w:rPr>
                <w:rFonts w:ascii="宋体" w:hAnsi="宋体"/>
                <w:color w:val="000000" w:themeColor="text1"/>
                <w:szCs w:val="21"/>
              </w:rPr>
              <w:t>/</w:t>
            </w:r>
            <w:r>
              <w:rPr>
                <w:rFonts w:hint="eastAsia" w:ascii="宋体" w:hAnsi="宋体"/>
                <w:color w:val="000000" w:themeColor="text1"/>
                <w:szCs w:val="21"/>
              </w:rPr>
              <w:t>月</w:t>
            </w:r>
          </w:p>
        </w:tc>
        <w:tc>
          <w:tcPr>
            <w:tcW w:w="4449" w:type="dxa"/>
            <w:vMerge w:val="restart"/>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白天和晚上在室内不得见有苍蝇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774" w:type="dxa"/>
            <w:vMerge w:val="continue"/>
            <w:noWrap/>
            <w:vAlign w:val="center"/>
          </w:tcPr>
          <w:p>
            <w:pPr>
              <w:spacing w:line="360" w:lineRule="auto"/>
              <w:jc w:val="center"/>
              <w:rPr>
                <w:rFonts w:ascii="宋体" w:hAnsi="宋体"/>
                <w:color w:val="000000" w:themeColor="text1"/>
                <w:szCs w:val="21"/>
              </w:rPr>
            </w:pPr>
          </w:p>
        </w:tc>
        <w:tc>
          <w:tcPr>
            <w:tcW w:w="1439" w:type="dxa"/>
            <w:vMerge w:val="continue"/>
            <w:noWrap/>
            <w:vAlign w:val="center"/>
          </w:tcPr>
          <w:p>
            <w:pPr>
              <w:spacing w:line="360" w:lineRule="auto"/>
              <w:rPr>
                <w:rFonts w:ascii="宋体" w:hAnsi="宋体"/>
                <w:color w:val="000000" w:themeColor="text1"/>
                <w:szCs w:val="21"/>
              </w:rPr>
            </w:pPr>
          </w:p>
        </w:tc>
        <w:tc>
          <w:tcPr>
            <w:tcW w:w="234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垃圾桶、垃圾房</w:t>
            </w:r>
          </w:p>
        </w:tc>
        <w:tc>
          <w:tcPr>
            <w:tcW w:w="1095" w:type="dxa"/>
            <w:vMerge w:val="continue"/>
            <w:noWrap/>
            <w:vAlign w:val="center"/>
          </w:tcPr>
          <w:p>
            <w:pPr>
              <w:spacing w:line="360" w:lineRule="auto"/>
              <w:rPr>
                <w:rFonts w:ascii="宋体" w:hAnsi="宋体"/>
                <w:color w:val="000000" w:themeColor="text1"/>
                <w:szCs w:val="21"/>
              </w:rPr>
            </w:pPr>
          </w:p>
        </w:tc>
        <w:tc>
          <w:tcPr>
            <w:tcW w:w="4449" w:type="dxa"/>
            <w:vMerge w:val="continue"/>
            <w:noWrap/>
            <w:vAlign w:val="center"/>
          </w:tcPr>
          <w:p>
            <w:pPr>
              <w:spacing w:line="360" w:lineRule="auto"/>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0" w:hRule="atLeast"/>
          <w:jc w:val="center"/>
        </w:trPr>
        <w:tc>
          <w:tcPr>
            <w:tcW w:w="774" w:type="dxa"/>
            <w:vMerge w:val="restart"/>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3</w:t>
            </w:r>
          </w:p>
        </w:tc>
        <w:tc>
          <w:tcPr>
            <w:tcW w:w="1439" w:type="dxa"/>
            <w:vMerge w:val="restart"/>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灭蟑消杀</w:t>
            </w:r>
          </w:p>
        </w:tc>
        <w:tc>
          <w:tcPr>
            <w:tcW w:w="234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建筑物内</w:t>
            </w:r>
          </w:p>
        </w:tc>
        <w:tc>
          <w:tcPr>
            <w:tcW w:w="1095" w:type="dxa"/>
            <w:vMerge w:val="restart"/>
            <w:noWrap/>
            <w:vAlign w:val="center"/>
          </w:tcPr>
          <w:p>
            <w:pPr>
              <w:spacing w:line="360" w:lineRule="auto"/>
              <w:rPr>
                <w:rFonts w:ascii="宋体" w:hAnsi="宋体"/>
                <w:color w:val="000000" w:themeColor="text1"/>
                <w:szCs w:val="21"/>
              </w:rPr>
            </w:pPr>
            <w:r>
              <w:rPr>
                <w:rFonts w:ascii="宋体" w:hAnsi="宋体"/>
                <w:color w:val="000000" w:themeColor="text1"/>
                <w:szCs w:val="21"/>
              </w:rPr>
              <w:t>2</w:t>
            </w:r>
            <w:r>
              <w:rPr>
                <w:rFonts w:hint="eastAsia" w:ascii="宋体" w:hAnsi="宋体"/>
                <w:color w:val="000000" w:themeColor="text1"/>
                <w:szCs w:val="21"/>
              </w:rPr>
              <w:t>次</w:t>
            </w:r>
            <w:r>
              <w:rPr>
                <w:rFonts w:ascii="宋体" w:hAnsi="宋体"/>
                <w:color w:val="000000" w:themeColor="text1"/>
                <w:szCs w:val="21"/>
              </w:rPr>
              <w:t>/</w:t>
            </w:r>
            <w:r>
              <w:rPr>
                <w:rFonts w:hint="eastAsia" w:ascii="宋体" w:hAnsi="宋体"/>
                <w:color w:val="000000" w:themeColor="text1"/>
                <w:szCs w:val="21"/>
              </w:rPr>
              <w:t>周</w:t>
            </w:r>
          </w:p>
        </w:tc>
        <w:tc>
          <w:tcPr>
            <w:tcW w:w="4449" w:type="dxa"/>
            <w:vMerge w:val="restart"/>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白天和晚上在室内不得见蟑螂活动的痕迹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774" w:type="dxa"/>
            <w:vMerge w:val="continue"/>
            <w:noWrap/>
            <w:vAlign w:val="center"/>
          </w:tcPr>
          <w:p>
            <w:pPr>
              <w:spacing w:line="360" w:lineRule="auto"/>
              <w:jc w:val="center"/>
              <w:rPr>
                <w:rFonts w:ascii="宋体" w:hAnsi="宋体"/>
                <w:color w:val="000000" w:themeColor="text1"/>
                <w:szCs w:val="21"/>
              </w:rPr>
            </w:pPr>
          </w:p>
        </w:tc>
        <w:tc>
          <w:tcPr>
            <w:tcW w:w="1439" w:type="dxa"/>
            <w:vMerge w:val="continue"/>
            <w:noWrap/>
            <w:vAlign w:val="center"/>
          </w:tcPr>
          <w:p>
            <w:pPr>
              <w:spacing w:line="360" w:lineRule="auto"/>
              <w:rPr>
                <w:rFonts w:ascii="宋体" w:hAnsi="宋体"/>
                <w:color w:val="000000" w:themeColor="text1"/>
                <w:szCs w:val="21"/>
              </w:rPr>
            </w:pPr>
          </w:p>
        </w:tc>
        <w:tc>
          <w:tcPr>
            <w:tcW w:w="234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下水道、污、雨水井</w:t>
            </w:r>
          </w:p>
        </w:tc>
        <w:tc>
          <w:tcPr>
            <w:tcW w:w="1095" w:type="dxa"/>
            <w:vMerge w:val="continue"/>
            <w:noWrap/>
            <w:vAlign w:val="center"/>
          </w:tcPr>
          <w:p>
            <w:pPr>
              <w:spacing w:line="360" w:lineRule="auto"/>
              <w:rPr>
                <w:rFonts w:ascii="宋体" w:hAnsi="宋体"/>
                <w:color w:val="000000" w:themeColor="text1"/>
                <w:szCs w:val="21"/>
              </w:rPr>
            </w:pPr>
          </w:p>
        </w:tc>
        <w:tc>
          <w:tcPr>
            <w:tcW w:w="4449" w:type="dxa"/>
            <w:vMerge w:val="continue"/>
            <w:noWrap/>
            <w:vAlign w:val="center"/>
          </w:tcPr>
          <w:p>
            <w:pPr>
              <w:spacing w:line="360" w:lineRule="auto"/>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774"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4</w:t>
            </w:r>
          </w:p>
        </w:tc>
        <w:tc>
          <w:tcPr>
            <w:tcW w:w="1439"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灭蚁消杀</w:t>
            </w:r>
          </w:p>
        </w:tc>
        <w:tc>
          <w:tcPr>
            <w:tcW w:w="234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院内白蚁防治</w:t>
            </w:r>
          </w:p>
        </w:tc>
        <w:tc>
          <w:tcPr>
            <w:tcW w:w="1095"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2次</w:t>
            </w:r>
            <w:r>
              <w:rPr>
                <w:rFonts w:ascii="宋体" w:hAnsi="宋体"/>
                <w:color w:val="000000" w:themeColor="text1"/>
                <w:szCs w:val="21"/>
              </w:rPr>
              <w:t>/</w:t>
            </w:r>
            <w:r>
              <w:rPr>
                <w:rFonts w:hint="eastAsia" w:ascii="宋体" w:hAnsi="宋体"/>
                <w:color w:val="000000" w:themeColor="text1"/>
                <w:szCs w:val="21"/>
              </w:rPr>
              <w:t>月</w:t>
            </w:r>
          </w:p>
        </w:tc>
        <w:tc>
          <w:tcPr>
            <w:tcW w:w="4449"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需进行专业白蚁防治，院内林木、建筑物内无白蚁及蚁害现象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774" w:type="dxa"/>
            <w:vMerge w:val="restart"/>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5</w:t>
            </w:r>
          </w:p>
        </w:tc>
        <w:tc>
          <w:tcPr>
            <w:tcW w:w="1439" w:type="dxa"/>
            <w:vMerge w:val="restart"/>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灭蚊消杀</w:t>
            </w:r>
          </w:p>
        </w:tc>
        <w:tc>
          <w:tcPr>
            <w:tcW w:w="234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建筑物</w:t>
            </w:r>
          </w:p>
        </w:tc>
        <w:tc>
          <w:tcPr>
            <w:tcW w:w="1095" w:type="dxa"/>
            <w:vMerge w:val="restart"/>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2次</w:t>
            </w:r>
            <w:r>
              <w:rPr>
                <w:rFonts w:ascii="宋体" w:hAnsi="宋体"/>
                <w:color w:val="000000" w:themeColor="text1"/>
                <w:szCs w:val="21"/>
              </w:rPr>
              <w:t>/</w:t>
            </w:r>
            <w:r>
              <w:rPr>
                <w:rFonts w:hint="eastAsia" w:ascii="宋体" w:hAnsi="宋体"/>
                <w:color w:val="000000" w:themeColor="text1"/>
                <w:szCs w:val="21"/>
              </w:rPr>
              <w:t>月</w:t>
            </w:r>
          </w:p>
        </w:tc>
        <w:tc>
          <w:tcPr>
            <w:tcW w:w="4449" w:type="dxa"/>
            <w:vMerge w:val="restart"/>
            <w:noWrap/>
            <w:vAlign w:val="center"/>
          </w:tcPr>
          <w:p>
            <w:pPr>
              <w:spacing w:line="360" w:lineRule="auto"/>
              <w:jc w:val="center"/>
              <w:rPr>
                <w:rFonts w:ascii="宋体" w:hAnsi="宋体"/>
                <w:color w:val="000000" w:themeColor="text1"/>
                <w:szCs w:val="21"/>
              </w:rPr>
            </w:pPr>
          </w:p>
          <w:p>
            <w:pPr>
              <w:spacing w:line="360" w:lineRule="auto"/>
              <w:jc w:val="center"/>
              <w:rPr>
                <w:rFonts w:ascii="宋体" w:hAnsi="宋体"/>
                <w:color w:val="000000" w:themeColor="text1"/>
                <w:szCs w:val="21"/>
              </w:rPr>
            </w:pPr>
            <w:r>
              <w:rPr>
                <w:rFonts w:hint="eastAsia" w:ascii="宋体" w:hAnsi="宋体"/>
                <w:color w:val="000000" w:themeColor="text1"/>
                <w:szCs w:val="21"/>
              </w:rPr>
              <w:t>白天和晚上不得见有蚊虫</w:t>
            </w:r>
          </w:p>
          <w:p>
            <w:pPr>
              <w:spacing w:line="360" w:lineRule="auto"/>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jc w:val="center"/>
        </w:trPr>
        <w:tc>
          <w:tcPr>
            <w:tcW w:w="774" w:type="dxa"/>
            <w:vMerge w:val="continue"/>
            <w:noWrap/>
            <w:vAlign w:val="center"/>
          </w:tcPr>
          <w:p>
            <w:pPr>
              <w:spacing w:line="360" w:lineRule="auto"/>
              <w:jc w:val="center"/>
              <w:rPr>
                <w:rFonts w:ascii="宋体" w:hAnsi="宋体"/>
                <w:color w:val="000000" w:themeColor="text1"/>
                <w:szCs w:val="21"/>
              </w:rPr>
            </w:pPr>
          </w:p>
        </w:tc>
        <w:tc>
          <w:tcPr>
            <w:tcW w:w="1439" w:type="dxa"/>
            <w:vMerge w:val="continue"/>
            <w:noWrap/>
            <w:vAlign w:val="center"/>
          </w:tcPr>
          <w:p>
            <w:pPr>
              <w:spacing w:line="360" w:lineRule="auto"/>
              <w:rPr>
                <w:rFonts w:ascii="宋体" w:hAnsi="宋体"/>
                <w:color w:val="000000" w:themeColor="text1"/>
                <w:szCs w:val="21"/>
              </w:rPr>
            </w:pPr>
          </w:p>
        </w:tc>
        <w:tc>
          <w:tcPr>
            <w:tcW w:w="2340"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地下室</w:t>
            </w:r>
          </w:p>
        </w:tc>
        <w:tc>
          <w:tcPr>
            <w:tcW w:w="1095" w:type="dxa"/>
            <w:vMerge w:val="continue"/>
            <w:noWrap/>
            <w:vAlign w:val="center"/>
          </w:tcPr>
          <w:p>
            <w:pPr>
              <w:spacing w:line="360" w:lineRule="auto"/>
              <w:rPr>
                <w:rFonts w:ascii="宋体" w:hAnsi="宋体"/>
                <w:color w:val="000000" w:themeColor="text1"/>
                <w:szCs w:val="21"/>
              </w:rPr>
            </w:pPr>
          </w:p>
        </w:tc>
        <w:tc>
          <w:tcPr>
            <w:tcW w:w="4449" w:type="dxa"/>
            <w:vMerge w:val="continue"/>
            <w:noWrap/>
            <w:vAlign w:val="center"/>
          </w:tcPr>
          <w:p>
            <w:pPr>
              <w:spacing w:line="360" w:lineRule="auto"/>
              <w:rPr>
                <w:rFonts w:ascii="宋体" w:hAnsi="宋体"/>
                <w:color w:val="000000" w:themeColor="text1"/>
                <w:szCs w:val="21"/>
              </w:rPr>
            </w:pPr>
          </w:p>
        </w:tc>
      </w:tr>
    </w:tbl>
    <w:p>
      <w:pPr>
        <w:autoSpaceDE w:val="0"/>
        <w:autoSpaceDN w:val="0"/>
        <w:adjustRightInd w:val="0"/>
        <w:spacing w:line="400" w:lineRule="atLeast"/>
        <w:rPr>
          <w:b/>
          <w:bCs/>
          <w:color w:val="000000" w:themeColor="text1"/>
          <w:kern w:val="0"/>
          <w:sz w:val="24"/>
        </w:rPr>
      </w:pPr>
    </w:p>
    <w:p>
      <w:pPr>
        <w:autoSpaceDE w:val="0"/>
        <w:autoSpaceDN w:val="0"/>
        <w:adjustRightInd w:val="0"/>
        <w:spacing w:line="400" w:lineRule="atLeast"/>
        <w:rPr>
          <w:b/>
          <w:bCs/>
          <w:color w:val="000000" w:themeColor="text1"/>
          <w:kern w:val="0"/>
          <w:sz w:val="24"/>
        </w:rPr>
      </w:pPr>
      <w:r>
        <w:rPr>
          <w:b/>
          <w:bCs/>
          <w:color w:val="000000" w:themeColor="text1"/>
          <w:kern w:val="0"/>
          <w:sz w:val="24"/>
        </w:rPr>
        <w:t>2.</w:t>
      </w:r>
      <w:r>
        <w:rPr>
          <w:rFonts w:hint="eastAsia" w:ascii="宋体" w:cs="宋体"/>
          <w:b/>
          <w:bCs/>
          <w:color w:val="000000" w:themeColor="text1"/>
          <w:kern w:val="0"/>
          <w:sz w:val="24"/>
          <w:lang w:val="zh-CN"/>
        </w:rPr>
        <w:t>绿化养护管理</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（1）、采购单位对中标人实施的国家海洋局深圳海洋环境监测中心站办公楼</w:t>
      </w:r>
      <w:r>
        <w:rPr>
          <w:rFonts w:hint="eastAsia" w:ascii="宋体" w:hAnsi="宋体"/>
          <w:color w:val="000000" w:themeColor="text1"/>
          <w:szCs w:val="21"/>
          <w:lang w:val="zh-CN"/>
        </w:rPr>
        <w:t>院本部及惠州站办公室内及公共区域</w:t>
      </w:r>
      <w:r>
        <w:rPr>
          <w:rFonts w:hint="eastAsia" w:ascii="宋体" w:hAnsi="宋体"/>
          <w:color w:val="000000" w:themeColor="text1"/>
          <w:szCs w:val="21"/>
        </w:rPr>
        <w:t>绿化养护业务进行监督管理。</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（2）、按照采购单位有关植物品种、数量及摆放位置的要求，配齐大厅、楼层走道、会议室和办公室等室内场所的植物，并定期浇水、修剪，并根据植物生长情况施肥和杀虫，及时更换枯黄的植物。</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（3）、室内盆栽阔叶植物叶面无灰尘、盆内无纸屑、烟头。</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（4）、负责承担甲方室外绿化的维护、保养、修剪造型、施肥、浇水、除杂草、补苗、松土、杀虫、杂物清除等管理。</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（5）、根据植物生长习性、种植环境等因素进行科学养护。包括光照管理、温度管理、水分管理、土壤管理、施肥管理、修剪整形、病虫害防治等。</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（6）、落实公共绿地、花坛、树木养护措施，修剪、更换及时，无破坏、践踏、无虫害、枯死及随意占用现象，绿化达标率</w:t>
      </w:r>
      <w:r>
        <w:rPr>
          <w:rFonts w:ascii="宋体" w:hAnsi="宋体"/>
          <w:color w:val="000000" w:themeColor="text1"/>
          <w:szCs w:val="21"/>
        </w:rPr>
        <w:t>100%</w:t>
      </w:r>
      <w:r>
        <w:rPr>
          <w:rFonts w:hint="eastAsia" w:ascii="宋体" w:hAnsi="宋体"/>
          <w:color w:val="000000" w:themeColor="text1"/>
          <w:szCs w:val="21"/>
        </w:rPr>
        <w:t>。</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（7）、绿地、花坛、树丛无杂草、纸屑、枯死树叶、烟头等杂物。</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（8）、中标人在花木租摆服务工作中，要注重环保，</w:t>
      </w:r>
      <w:r>
        <w:rPr>
          <w:rFonts w:hint="eastAsia" w:ascii="宋体" w:hAnsi="宋体"/>
          <w:color w:val="000000" w:themeColor="text1"/>
          <w:lang w:val="zh-CN"/>
        </w:rPr>
        <w:t>绿化垃圾要及时自行清运到政府指定地点</w:t>
      </w:r>
      <w:r>
        <w:rPr>
          <w:rFonts w:hint="eastAsia" w:ascii="宋体" w:hAnsi="宋体"/>
          <w:color w:val="000000" w:themeColor="text1"/>
          <w:szCs w:val="21"/>
        </w:rPr>
        <w:t>。</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（9）、中标人不承担花木租摆养护工作的水费，但应加强对水的使用管理，杜绝浪费。</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（10）、园林绿化工作流程和质量标准：见下表</w:t>
      </w:r>
    </w:p>
    <w:tbl>
      <w:tblPr>
        <w:tblStyle w:val="42"/>
        <w:tblW w:w="979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7"/>
        <w:gridCol w:w="1089"/>
        <w:gridCol w:w="3241"/>
        <w:gridCol w:w="2681"/>
        <w:gridCol w:w="20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7" w:type="dxa"/>
            <w:noWrap/>
            <w:vAlign w:val="center"/>
          </w:tcPr>
          <w:p>
            <w:pPr>
              <w:spacing w:line="360" w:lineRule="auto"/>
              <w:jc w:val="center"/>
              <w:rPr>
                <w:rFonts w:ascii="黑体" w:hAnsi="黑体" w:eastAsia="黑体"/>
                <w:b/>
                <w:color w:val="000000" w:themeColor="text1"/>
                <w:szCs w:val="21"/>
              </w:rPr>
            </w:pPr>
            <w:r>
              <w:rPr>
                <w:rFonts w:hint="eastAsia" w:ascii="黑体" w:hAnsi="黑体" w:eastAsia="黑体"/>
                <w:b/>
                <w:color w:val="000000" w:themeColor="text1"/>
                <w:szCs w:val="21"/>
              </w:rPr>
              <w:t>序号</w:t>
            </w:r>
          </w:p>
        </w:tc>
        <w:tc>
          <w:tcPr>
            <w:tcW w:w="1089" w:type="dxa"/>
            <w:noWrap/>
            <w:vAlign w:val="center"/>
          </w:tcPr>
          <w:p>
            <w:pPr>
              <w:spacing w:line="360" w:lineRule="auto"/>
              <w:jc w:val="center"/>
              <w:rPr>
                <w:rFonts w:ascii="黑体" w:hAnsi="黑体" w:eastAsia="黑体"/>
                <w:b/>
                <w:color w:val="000000" w:themeColor="text1"/>
                <w:szCs w:val="21"/>
              </w:rPr>
            </w:pPr>
            <w:r>
              <w:rPr>
                <w:rFonts w:hint="eastAsia" w:ascii="黑体" w:hAnsi="黑体" w:eastAsia="黑体"/>
                <w:b/>
                <w:color w:val="000000" w:themeColor="text1"/>
                <w:szCs w:val="21"/>
              </w:rPr>
              <w:t>工作项目</w:t>
            </w:r>
          </w:p>
        </w:tc>
        <w:tc>
          <w:tcPr>
            <w:tcW w:w="3241" w:type="dxa"/>
            <w:noWrap/>
            <w:vAlign w:val="center"/>
          </w:tcPr>
          <w:p>
            <w:pPr>
              <w:spacing w:line="360" w:lineRule="auto"/>
              <w:ind w:firstLine="422" w:firstLineChars="200"/>
              <w:jc w:val="center"/>
              <w:rPr>
                <w:rFonts w:ascii="黑体" w:hAnsi="黑体" w:eastAsia="黑体"/>
                <w:b/>
                <w:color w:val="000000" w:themeColor="text1"/>
                <w:szCs w:val="21"/>
              </w:rPr>
            </w:pPr>
            <w:r>
              <w:rPr>
                <w:rFonts w:hint="eastAsia" w:ascii="黑体" w:hAnsi="黑体" w:eastAsia="黑体"/>
                <w:b/>
                <w:color w:val="000000" w:themeColor="text1"/>
                <w:szCs w:val="21"/>
              </w:rPr>
              <w:t>作业频率</w:t>
            </w:r>
          </w:p>
        </w:tc>
        <w:tc>
          <w:tcPr>
            <w:tcW w:w="2681" w:type="dxa"/>
            <w:noWrap/>
            <w:vAlign w:val="center"/>
          </w:tcPr>
          <w:p>
            <w:pPr>
              <w:spacing w:line="360" w:lineRule="auto"/>
              <w:ind w:firstLine="422" w:firstLineChars="200"/>
              <w:jc w:val="center"/>
              <w:rPr>
                <w:rFonts w:ascii="黑体" w:hAnsi="黑体" w:eastAsia="黑体"/>
                <w:b/>
                <w:color w:val="000000" w:themeColor="text1"/>
                <w:szCs w:val="21"/>
              </w:rPr>
            </w:pPr>
            <w:r>
              <w:rPr>
                <w:rFonts w:hint="eastAsia" w:ascii="黑体" w:hAnsi="黑体" w:eastAsia="黑体"/>
                <w:b/>
                <w:color w:val="000000" w:themeColor="text1"/>
                <w:szCs w:val="21"/>
              </w:rPr>
              <w:t>质量标准</w:t>
            </w:r>
          </w:p>
        </w:tc>
        <w:tc>
          <w:tcPr>
            <w:tcW w:w="2027" w:type="dxa"/>
            <w:noWrap/>
            <w:vAlign w:val="center"/>
          </w:tcPr>
          <w:p>
            <w:pPr>
              <w:spacing w:line="360" w:lineRule="auto"/>
              <w:ind w:firstLine="422" w:firstLineChars="200"/>
              <w:jc w:val="center"/>
              <w:rPr>
                <w:rFonts w:ascii="黑体" w:hAnsi="黑体" w:eastAsia="黑体"/>
                <w:b/>
                <w:color w:val="000000" w:themeColor="text1"/>
                <w:szCs w:val="21"/>
              </w:rPr>
            </w:pPr>
            <w:r>
              <w:rPr>
                <w:rFonts w:hint="eastAsia" w:ascii="黑体" w:hAnsi="黑体" w:eastAsia="黑体"/>
                <w:b/>
                <w:color w:val="000000" w:themeColor="text1"/>
                <w:szCs w:val="21"/>
              </w:rPr>
              <w:t>达标率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51" w:hRule="atLeast"/>
          <w:jc w:val="center"/>
        </w:trPr>
        <w:tc>
          <w:tcPr>
            <w:tcW w:w="757"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1</w:t>
            </w:r>
          </w:p>
        </w:tc>
        <w:tc>
          <w:tcPr>
            <w:tcW w:w="1089" w:type="dxa"/>
            <w:noWrap/>
            <w:vAlign w:val="center"/>
          </w:tcPr>
          <w:p>
            <w:pPr>
              <w:spacing w:line="360" w:lineRule="auto"/>
              <w:jc w:val="left"/>
              <w:rPr>
                <w:rFonts w:ascii="宋体" w:hAnsi="宋体"/>
                <w:color w:val="000000" w:themeColor="text1"/>
                <w:szCs w:val="21"/>
              </w:rPr>
            </w:pPr>
            <w:r>
              <w:rPr>
                <w:rFonts w:hint="eastAsia" w:ascii="宋体" w:hAnsi="宋体"/>
                <w:color w:val="000000" w:themeColor="text1"/>
                <w:szCs w:val="21"/>
              </w:rPr>
              <w:t>绿篱花球修剪养护</w:t>
            </w:r>
          </w:p>
        </w:tc>
        <w:tc>
          <w:tcPr>
            <w:tcW w:w="3241"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每半月修剪</w:t>
            </w:r>
            <w:r>
              <w:rPr>
                <w:rFonts w:ascii="宋体" w:hAnsi="宋体"/>
                <w:color w:val="000000" w:themeColor="text1"/>
                <w:szCs w:val="21"/>
              </w:rPr>
              <w:t>1</w:t>
            </w:r>
            <w:r>
              <w:rPr>
                <w:rFonts w:hint="eastAsia" w:ascii="宋体" w:hAnsi="宋体"/>
                <w:color w:val="000000" w:themeColor="text1"/>
                <w:szCs w:val="21"/>
              </w:rPr>
              <w:t>次，雨季加大修剪频次</w:t>
            </w:r>
          </w:p>
        </w:tc>
        <w:tc>
          <w:tcPr>
            <w:tcW w:w="2681"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长势良好，造型美好，修剪整齐，无干旱缺水、无杂草、无枯枝及缺苗，无病虫害</w:t>
            </w:r>
          </w:p>
        </w:tc>
        <w:tc>
          <w:tcPr>
            <w:tcW w:w="202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生长高度</w:t>
            </w:r>
            <w:r>
              <w:rPr>
                <w:rFonts w:ascii="宋体" w:hAnsi="宋体"/>
                <w:color w:val="000000" w:themeColor="text1"/>
                <w:szCs w:val="21"/>
              </w:rPr>
              <w:t>80</w:t>
            </w:r>
            <w:r>
              <w:rPr>
                <w:rFonts w:hint="eastAsia" w:ascii="宋体" w:hAnsi="宋体"/>
                <w:color w:val="000000" w:themeColor="text1"/>
                <w:szCs w:val="21"/>
              </w:rPr>
              <w:t>厘米以上，</w:t>
            </w:r>
            <w:r>
              <w:rPr>
                <w:rFonts w:ascii="宋体" w:hAnsi="宋体"/>
                <w:color w:val="000000" w:themeColor="text1"/>
                <w:szCs w:val="21"/>
              </w:rPr>
              <w:t>100</w:t>
            </w:r>
            <w:r>
              <w:rPr>
                <w:rFonts w:hint="eastAsia" w:ascii="宋体" w:hAnsi="宋体"/>
                <w:color w:val="000000" w:themeColor="text1"/>
                <w:szCs w:val="21"/>
              </w:rPr>
              <w:t>厘米以下。达标</w:t>
            </w: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7"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2</w:t>
            </w:r>
          </w:p>
        </w:tc>
        <w:tc>
          <w:tcPr>
            <w:tcW w:w="1089"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乔灌木的整形修剪、养护</w:t>
            </w:r>
          </w:p>
        </w:tc>
        <w:tc>
          <w:tcPr>
            <w:tcW w:w="3241" w:type="dxa"/>
            <w:noWrap/>
            <w:vAlign w:val="center"/>
          </w:tcPr>
          <w:p>
            <w:pPr>
              <w:spacing w:line="360" w:lineRule="exact"/>
              <w:rPr>
                <w:rFonts w:ascii="宋体" w:hAnsi="宋体"/>
                <w:color w:val="000000" w:themeColor="text1"/>
                <w:szCs w:val="21"/>
              </w:rPr>
            </w:pPr>
            <w:r>
              <w:rPr>
                <w:rFonts w:hint="eastAsia" w:ascii="宋体" w:hAnsi="宋体"/>
                <w:color w:val="000000" w:themeColor="text1"/>
                <w:szCs w:val="21"/>
              </w:rPr>
              <w:t>3米以下乔木每年</w:t>
            </w:r>
            <w:r>
              <w:rPr>
                <w:rFonts w:ascii="宋体" w:hAnsi="宋体"/>
                <w:color w:val="000000" w:themeColor="text1"/>
                <w:szCs w:val="21"/>
              </w:rPr>
              <w:t>1-2</w:t>
            </w:r>
            <w:r>
              <w:rPr>
                <w:rFonts w:hint="eastAsia" w:ascii="宋体" w:hAnsi="宋体"/>
                <w:color w:val="000000" w:themeColor="text1"/>
                <w:szCs w:val="21"/>
              </w:rPr>
              <w:t>次，灌木每月</w:t>
            </w:r>
            <w:r>
              <w:rPr>
                <w:rFonts w:ascii="宋体" w:hAnsi="宋体"/>
                <w:color w:val="000000" w:themeColor="text1"/>
                <w:szCs w:val="21"/>
              </w:rPr>
              <w:t>1</w:t>
            </w:r>
            <w:r>
              <w:rPr>
                <w:rFonts w:hint="eastAsia" w:ascii="宋体" w:hAnsi="宋体"/>
                <w:color w:val="000000" w:themeColor="text1"/>
                <w:szCs w:val="21"/>
              </w:rPr>
              <w:t>次。乔木树冠整齐，无枯枝、断枝、徒长枝，一个月进行</w:t>
            </w:r>
            <w:r>
              <w:rPr>
                <w:rFonts w:ascii="宋体" w:hAnsi="宋体"/>
                <w:color w:val="000000" w:themeColor="text1"/>
                <w:szCs w:val="21"/>
              </w:rPr>
              <w:t>1</w:t>
            </w:r>
            <w:r>
              <w:rPr>
                <w:rFonts w:hint="eastAsia" w:ascii="宋体" w:hAnsi="宋体"/>
                <w:color w:val="000000" w:themeColor="text1"/>
                <w:szCs w:val="21"/>
              </w:rPr>
              <w:t>次整形修剪。灌木修剪成形，生长健壮。绿化带修剪平整、造型突出，及时剪除徒长枝、萌蘖枝，半个月进行</w:t>
            </w:r>
            <w:r>
              <w:rPr>
                <w:rFonts w:ascii="宋体" w:hAnsi="宋体"/>
                <w:color w:val="000000" w:themeColor="text1"/>
                <w:szCs w:val="21"/>
              </w:rPr>
              <w:t>1</w:t>
            </w:r>
            <w:r>
              <w:rPr>
                <w:rFonts w:hint="eastAsia" w:ascii="宋体" w:hAnsi="宋体"/>
                <w:color w:val="000000" w:themeColor="text1"/>
                <w:szCs w:val="21"/>
              </w:rPr>
              <w:t>次整形修剪。盆花及时修剪枯枝黄叶、绑缚树形。应保证每</w:t>
            </w:r>
            <w:r>
              <w:rPr>
                <w:rFonts w:ascii="宋体" w:hAnsi="宋体"/>
                <w:color w:val="000000" w:themeColor="text1"/>
                <w:szCs w:val="21"/>
              </w:rPr>
              <w:t>3</w:t>
            </w:r>
            <w:r>
              <w:rPr>
                <w:rFonts w:hint="eastAsia" w:ascii="宋体" w:hAnsi="宋体"/>
                <w:color w:val="000000" w:themeColor="text1"/>
                <w:szCs w:val="21"/>
              </w:rPr>
              <w:t>天淋</w:t>
            </w:r>
            <w:r>
              <w:rPr>
                <w:rFonts w:ascii="宋体" w:hAnsi="宋体"/>
                <w:color w:val="000000" w:themeColor="text1"/>
                <w:szCs w:val="21"/>
              </w:rPr>
              <w:t>1</w:t>
            </w:r>
            <w:r>
              <w:rPr>
                <w:rFonts w:hint="eastAsia" w:ascii="宋体" w:hAnsi="宋体"/>
                <w:color w:val="000000" w:themeColor="text1"/>
                <w:szCs w:val="21"/>
              </w:rPr>
              <w:t>次水，（雨天除外），并根据季节情况，每半月喷</w:t>
            </w:r>
            <w:r>
              <w:rPr>
                <w:rFonts w:ascii="宋体" w:hAnsi="宋体"/>
                <w:color w:val="000000" w:themeColor="text1"/>
                <w:szCs w:val="21"/>
              </w:rPr>
              <w:t>1</w:t>
            </w:r>
            <w:r>
              <w:rPr>
                <w:rFonts w:hint="eastAsia" w:ascii="宋体" w:hAnsi="宋体"/>
                <w:color w:val="000000" w:themeColor="text1"/>
                <w:szCs w:val="21"/>
              </w:rPr>
              <w:t>次药物。除夏季外，每两周应进行</w:t>
            </w:r>
            <w:r>
              <w:rPr>
                <w:rFonts w:ascii="宋体" w:hAnsi="宋体"/>
                <w:color w:val="000000" w:themeColor="text1"/>
                <w:szCs w:val="21"/>
              </w:rPr>
              <w:t>1</w:t>
            </w:r>
            <w:r>
              <w:rPr>
                <w:rFonts w:hint="eastAsia" w:ascii="宋体" w:hAnsi="宋体"/>
                <w:color w:val="000000" w:themeColor="text1"/>
                <w:szCs w:val="21"/>
              </w:rPr>
              <w:t>次松土。每月根据树种情况适时施肥</w:t>
            </w:r>
            <w:r>
              <w:rPr>
                <w:rFonts w:ascii="宋体" w:hAnsi="宋体"/>
                <w:color w:val="000000" w:themeColor="text1"/>
                <w:szCs w:val="21"/>
              </w:rPr>
              <w:t>2-3</w:t>
            </w:r>
            <w:r>
              <w:rPr>
                <w:rFonts w:hint="eastAsia" w:ascii="宋体" w:hAnsi="宋体"/>
                <w:color w:val="000000" w:themeColor="text1"/>
                <w:szCs w:val="21"/>
              </w:rPr>
              <w:t>次，修剪枝</w:t>
            </w:r>
            <w:r>
              <w:rPr>
                <w:rFonts w:ascii="宋体" w:hAnsi="宋体"/>
                <w:color w:val="000000" w:themeColor="text1"/>
                <w:szCs w:val="21"/>
              </w:rPr>
              <w:t>2</w:t>
            </w:r>
            <w:r>
              <w:rPr>
                <w:rFonts w:hint="eastAsia" w:ascii="宋体" w:hAnsi="宋体"/>
                <w:color w:val="000000" w:themeColor="text1"/>
                <w:szCs w:val="21"/>
              </w:rPr>
              <w:t>次。药物除土壤里的害虫每年</w:t>
            </w:r>
            <w:r>
              <w:rPr>
                <w:rFonts w:ascii="宋体" w:hAnsi="宋体"/>
                <w:color w:val="000000" w:themeColor="text1"/>
                <w:szCs w:val="21"/>
              </w:rPr>
              <w:t>3</w:t>
            </w:r>
            <w:r>
              <w:rPr>
                <w:rFonts w:hint="eastAsia" w:ascii="宋体" w:hAnsi="宋体"/>
                <w:color w:val="000000" w:themeColor="text1"/>
                <w:szCs w:val="21"/>
              </w:rPr>
              <w:t>次以上</w:t>
            </w:r>
          </w:p>
        </w:tc>
        <w:tc>
          <w:tcPr>
            <w:tcW w:w="2681"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造型美观，形态逼真，长势良好、无干枯枝条、无干旱缺水、无杂草。</w:t>
            </w:r>
          </w:p>
          <w:p>
            <w:pPr>
              <w:spacing w:line="360" w:lineRule="auto"/>
              <w:rPr>
                <w:rFonts w:ascii="宋体" w:hAnsi="宋体"/>
                <w:color w:val="000000" w:themeColor="text1"/>
                <w:szCs w:val="21"/>
              </w:rPr>
            </w:pPr>
            <w:r>
              <w:rPr>
                <w:rFonts w:hint="eastAsia" w:ascii="宋体" w:hAnsi="宋体"/>
                <w:color w:val="000000" w:themeColor="text1"/>
                <w:szCs w:val="21"/>
              </w:rPr>
              <w:t>采用穴施或沟施施肥，浇水及时，覆土平整，肥料不露出土面；树不阻车辆和行人通过，主侧枝分布均匀；无病虫害</w:t>
            </w:r>
          </w:p>
        </w:tc>
        <w:tc>
          <w:tcPr>
            <w:tcW w:w="202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成型，整齐，灌木等新长枝条不超过</w:t>
            </w:r>
            <w:r>
              <w:rPr>
                <w:rFonts w:ascii="宋体" w:hAnsi="宋体"/>
                <w:color w:val="000000" w:themeColor="text1"/>
                <w:szCs w:val="21"/>
              </w:rPr>
              <w:t>15</w:t>
            </w:r>
            <w:r>
              <w:rPr>
                <w:rFonts w:hint="eastAsia" w:ascii="宋体" w:hAnsi="宋体"/>
                <w:color w:val="000000" w:themeColor="text1"/>
                <w:szCs w:val="21"/>
              </w:rPr>
              <w:t>厘米；无病虫害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22" w:hRule="atLeast"/>
          <w:jc w:val="center"/>
        </w:trPr>
        <w:tc>
          <w:tcPr>
            <w:tcW w:w="757"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3</w:t>
            </w:r>
          </w:p>
        </w:tc>
        <w:tc>
          <w:tcPr>
            <w:tcW w:w="1089"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室内花木管理</w:t>
            </w:r>
          </w:p>
        </w:tc>
        <w:tc>
          <w:tcPr>
            <w:tcW w:w="3241"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定期浇水、施肥，适时修剪发黄的枝叶，必要时更换花木。</w:t>
            </w:r>
          </w:p>
        </w:tc>
        <w:tc>
          <w:tcPr>
            <w:tcW w:w="2681"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造型美观、长势良好、无干枯发黄枝叶、无缺水、无病虫害</w:t>
            </w:r>
          </w:p>
        </w:tc>
        <w:tc>
          <w:tcPr>
            <w:tcW w:w="202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完好率</w:t>
            </w: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019" w:hRule="atLeast"/>
          <w:jc w:val="center"/>
        </w:trPr>
        <w:tc>
          <w:tcPr>
            <w:tcW w:w="757"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4</w:t>
            </w:r>
          </w:p>
        </w:tc>
        <w:tc>
          <w:tcPr>
            <w:tcW w:w="1089"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病虫害的防治</w:t>
            </w:r>
          </w:p>
        </w:tc>
        <w:tc>
          <w:tcPr>
            <w:tcW w:w="3241"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每周抽查，每月普查。花灌木、草坪生长季节每两月打</w:t>
            </w:r>
            <w:r>
              <w:rPr>
                <w:rFonts w:ascii="宋体" w:hAnsi="宋体"/>
                <w:color w:val="000000" w:themeColor="text1"/>
                <w:szCs w:val="21"/>
              </w:rPr>
              <w:t>1</w:t>
            </w:r>
            <w:r>
              <w:rPr>
                <w:rFonts w:hint="eastAsia" w:ascii="宋体" w:hAnsi="宋体"/>
                <w:color w:val="000000" w:themeColor="text1"/>
                <w:szCs w:val="21"/>
              </w:rPr>
              <w:t>次药，个别有病虫的地方及时打、多次打，直至消灭为止。打药时戴手套、口罩，农药配比按照规范</w:t>
            </w:r>
          </w:p>
        </w:tc>
        <w:tc>
          <w:tcPr>
            <w:tcW w:w="2681"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保证无病虫危害，一旦发生，十天内得到控制</w:t>
            </w:r>
          </w:p>
        </w:tc>
        <w:tc>
          <w:tcPr>
            <w:tcW w:w="202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完好率</w:t>
            </w:r>
            <w:r>
              <w:rPr>
                <w:rFonts w:ascii="宋体" w:hAnsi="宋体"/>
                <w:color w:val="000000" w:themeColor="text1"/>
                <w:szCs w:val="21"/>
              </w:rPr>
              <w:t>99%</w:t>
            </w:r>
            <w:r>
              <w:rPr>
                <w:rFonts w:hint="eastAsia" w:ascii="宋体" w:hAnsi="宋体"/>
                <w:color w:val="000000" w:themeColor="text1"/>
                <w:szCs w:val="21"/>
              </w:rPr>
              <w:t>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7"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5</w:t>
            </w:r>
          </w:p>
        </w:tc>
        <w:tc>
          <w:tcPr>
            <w:tcW w:w="1089"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防风</w:t>
            </w:r>
          </w:p>
          <w:p>
            <w:pPr>
              <w:spacing w:line="360" w:lineRule="auto"/>
              <w:rPr>
                <w:rFonts w:ascii="宋体" w:hAnsi="宋体"/>
                <w:color w:val="000000" w:themeColor="text1"/>
                <w:szCs w:val="21"/>
              </w:rPr>
            </w:pPr>
            <w:r>
              <w:rPr>
                <w:rFonts w:hint="eastAsia" w:ascii="宋体" w:hAnsi="宋体"/>
                <w:color w:val="000000" w:themeColor="text1"/>
                <w:szCs w:val="21"/>
              </w:rPr>
              <w:t>防暴雨</w:t>
            </w:r>
          </w:p>
        </w:tc>
        <w:tc>
          <w:tcPr>
            <w:tcW w:w="3241"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风暴前加强预防，风暴后及时处理</w:t>
            </w:r>
          </w:p>
        </w:tc>
        <w:tc>
          <w:tcPr>
            <w:tcW w:w="2681"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风前设立支柱疏剪枝叶；风后</w:t>
            </w:r>
            <w:r>
              <w:rPr>
                <w:rFonts w:ascii="宋体" w:hAnsi="宋体"/>
                <w:color w:val="000000" w:themeColor="text1"/>
                <w:szCs w:val="21"/>
              </w:rPr>
              <w:t>12</w:t>
            </w:r>
            <w:r>
              <w:rPr>
                <w:rFonts w:hint="eastAsia" w:ascii="宋体" w:hAnsi="宋体"/>
                <w:color w:val="000000" w:themeColor="text1"/>
                <w:szCs w:val="21"/>
              </w:rPr>
              <w:t>小时内无断枝、落叶，树木无倒斜；草地内无</w:t>
            </w:r>
            <w:r>
              <w:rPr>
                <w:rFonts w:ascii="宋体" w:hAnsi="宋体"/>
                <w:color w:val="000000" w:themeColor="text1"/>
                <w:szCs w:val="21"/>
              </w:rPr>
              <w:t>1</w:t>
            </w:r>
            <w:r>
              <w:rPr>
                <w:rFonts w:hint="eastAsia" w:ascii="宋体" w:hAnsi="宋体"/>
                <w:color w:val="000000" w:themeColor="text1"/>
                <w:szCs w:val="21"/>
              </w:rPr>
              <w:t>平方米以上积水。及时清理被台风暴雨吹倒的树枝。</w:t>
            </w:r>
          </w:p>
        </w:tc>
        <w:tc>
          <w:tcPr>
            <w:tcW w:w="2027"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把损害减少到最低限度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7"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6</w:t>
            </w:r>
          </w:p>
        </w:tc>
        <w:tc>
          <w:tcPr>
            <w:tcW w:w="1089"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施肥</w:t>
            </w:r>
          </w:p>
        </w:tc>
        <w:tc>
          <w:tcPr>
            <w:tcW w:w="3241"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草地每月</w:t>
            </w:r>
            <w:r>
              <w:rPr>
                <w:rFonts w:ascii="宋体" w:hAnsi="宋体"/>
                <w:color w:val="000000" w:themeColor="text1"/>
                <w:szCs w:val="21"/>
              </w:rPr>
              <w:t>1</w:t>
            </w:r>
            <w:r>
              <w:rPr>
                <w:rFonts w:hint="eastAsia" w:ascii="宋体" w:hAnsi="宋体"/>
                <w:color w:val="000000" w:themeColor="text1"/>
                <w:szCs w:val="21"/>
              </w:rPr>
              <w:t>次（阴雨天施），乔灌木每季</w:t>
            </w:r>
            <w:r>
              <w:rPr>
                <w:rFonts w:ascii="宋体" w:hAnsi="宋体"/>
                <w:color w:val="000000" w:themeColor="text1"/>
                <w:szCs w:val="21"/>
              </w:rPr>
              <w:t>1</w:t>
            </w:r>
            <w:r>
              <w:rPr>
                <w:rFonts w:hint="eastAsia" w:ascii="宋体" w:hAnsi="宋体"/>
                <w:color w:val="000000" w:themeColor="text1"/>
                <w:szCs w:val="21"/>
              </w:rPr>
              <w:t>次，冬季施加花生麸、蘑菇肥、饼肥等做为底肥</w:t>
            </w:r>
          </w:p>
        </w:tc>
        <w:tc>
          <w:tcPr>
            <w:tcW w:w="2681"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保证不因缺肥及养分不足而长势不好，枯萎或死亡</w:t>
            </w:r>
          </w:p>
        </w:tc>
        <w:tc>
          <w:tcPr>
            <w:tcW w:w="2027" w:type="dxa"/>
            <w:noWrap/>
            <w:vAlign w:val="center"/>
          </w:tcPr>
          <w:p>
            <w:pPr>
              <w:spacing w:line="360" w:lineRule="auto"/>
              <w:rPr>
                <w:rFonts w:ascii="宋体" w:hAnsi="宋体"/>
                <w:color w:val="000000" w:themeColor="text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7" w:type="dxa"/>
            <w:noWrap/>
            <w:vAlign w:val="center"/>
          </w:tcPr>
          <w:p>
            <w:pPr>
              <w:spacing w:line="360" w:lineRule="auto"/>
              <w:jc w:val="center"/>
              <w:rPr>
                <w:rFonts w:ascii="宋体" w:hAnsi="宋体"/>
                <w:color w:val="000000" w:themeColor="text1"/>
                <w:szCs w:val="21"/>
              </w:rPr>
            </w:pPr>
            <w:r>
              <w:rPr>
                <w:rFonts w:hint="eastAsia" w:ascii="宋体" w:hAnsi="宋体"/>
                <w:color w:val="000000" w:themeColor="text1"/>
                <w:szCs w:val="21"/>
              </w:rPr>
              <w:t>7</w:t>
            </w:r>
          </w:p>
        </w:tc>
        <w:tc>
          <w:tcPr>
            <w:tcW w:w="1089"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浇水</w:t>
            </w:r>
          </w:p>
        </w:tc>
        <w:tc>
          <w:tcPr>
            <w:tcW w:w="3241"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绿化带视天气情况适量浇水，不能有缺水现象</w:t>
            </w:r>
          </w:p>
        </w:tc>
        <w:tc>
          <w:tcPr>
            <w:tcW w:w="2681" w:type="dxa"/>
            <w:noWrap/>
            <w:vAlign w:val="center"/>
          </w:tcPr>
          <w:p>
            <w:pPr>
              <w:spacing w:line="360" w:lineRule="auto"/>
              <w:rPr>
                <w:rFonts w:ascii="宋体" w:hAnsi="宋体"/>
                <w:color w:val="000000" w:themeColor="text1"/>
                <w:szCs w:val="21"/>
              </w:rPr>
            </w:pPr>
            <w:r>
              <w:rPr>
                <w:rFonts w:hint="eastAsia" w:ascii="宋体" w:hAnsi="宋体"/>
                <w:color w:val="000000" w:themeColor="text1"/>
                <w:szCs w:val="21"/>
              </w:rPr>
              <w:t>以浇透为准</w:t>
            </w:r>
          </w:p>
        </w:tc>
        <w:tc>
          <w:tcPr>
            <w:tcW w:w="2027" w:type="dxa"/>
            <w:noWrap/>
            <w:vAlign w:val="center"/>
          </w:tcPr>
          <w:p>
            <w:pPr>
              <w:spacing w:line="360" w:lineRule="auto"/>
              <w:rPr>
                <w:rFonts w:ascii="宋体" w:hAnsi="宋体"/>
                <w:color w:val="000000" w:themeColor="text1"/>
                <w:szCs w:val="21"/>
              </w:rPr>
            </w:pPr>
          </w:p>
        </w:tc>
      </w:tr>
    </w:tbl>
    <w:p>
      <w:pPr>
        <w:autoSpaceDE w:val="0"/>
        <w:autoSpaceDN w:val="0"/>
        <w:adjustRightInd w:val="0"/>
        <w:spacing w:after="60" w:line="400" w:lineRule="atLeast"/>
        <w:ind w:firstLine="413"/>
        <w:rPr>
          <w:rFonts w:ascii="宋体" w:cs="宋体"/>
          <w:b/>
          <w:bCs/>
          <w:color w:val="000000" w:themeColor="text1"/>
          <w:kern w:val="0"/>
          <w:sz w:val="24"/>
          <w:lang w:val="zh-CN"/>
        </w:rPr>
      </w:pPr>
      <w:r>
        <w:rPr>
          <w:rFonts w:ascii="宋体" w:cs="宋体"/>
          <w:b/>
          <w:bCs/>
          <w:color w:val="000000" w:themeColor="text1"/>
          <w:kern w:val="0"/>
          <w:sz w:val="24"/>
          <w:lang w:val="zh-CN"/>
        </w:rPr>
        <w:t>3.</w:t>
      </w:r>
      <w:r>
        <w:rPr>
          <w:rFonts w:hint="eastAsia" w:ascii="宋体" w:cs="宋体"/>
          <w:b/>
          <w:bCs/>
          <w:color w:val="000000" w:themeColor="text1"/>
          <w:kern w:val="0"/>
          <w:sz w:val="24"/>
          <w:lang w:val="zh-CN"/>
        </w:rPr>
        <w:t>公用设施、设备维护</w:t>
      </w:r>
    </w:p>
    <w:p>
      <w:pPr>
        <w:ind w:firstLine="480"/>
        <w:rPr>
          <w:rFonts w:ascii="宋体" w:hAnsi="宋体"/>
          <w:color w:val="000000" w:themeColor="text1"/>
          <w:lang w:val="zh-CN"/>
        </w:rPr>
      </w:pPr>
      <w:r>
        <w:rPr>
          <w:rFonts w:hint="eastAsia" w:ascii="宋体" w:hAnsi="宋体"/>
          <w:color w:val="000000" w:themeColor="text1"/>
          <w:lang w:val="zh-CN"/>
        </w:rPr>
        <w:t>（</w:t>
      </w:r>
      <w:r>
        <w:rPr>
          <w:rFonts w:ascii="宋体" w:hAnsi="宋体"/>
          <w:color w:val="000000" w:themeColor="text1"/>
          <w:lang w:val="zh-CN"/>
        </w:rPr>
        <w:t>1</w:t>
      </w:r>
      <w:r>
        <w:rPr>
          <w:rFonts w:hint="eastAsia" w:ascii="宋体" w:hAnsi="宋体"/>
          <w:color w:val="000000" w:themeColor="text1"/>
          <w:lang w:val="zh-CN"/>
        </w:rPr>
        <w:t>）建立完善的质量保证体系，提供切实可行的运行管理、维护保养、维修的实施方案和各种措施。</w:t>
      </w:r>
    </w:p>
    <w:p>
      <w:pPr>
        <w:ind w:firstLine="480"/>
        <w:rPr>
          <w:rFonts w:ascii="宋体" w:hAnsi="宋体"/>
          <w:color w:val="000000" w:themeColor="text1"/>
          <w:lang w:val="zh-CN"/>
        </w:rPr>
      </w:pPr>
      <w:r>
        <w:rPr>
          <w:rFonts w:hint="eastAsia" w:ascii="宋体" w:hAnsi="宋体"/>
          <w:color w:val="000000" w:themeColor="text1"/>
          <w:lang w:val="zh-CN"/>
        </w:rPr>
        <w:t>（</w:t>
      </w:r>
      <w:r>
        <w:rPr>
          <w:rFonts w:ascii="宋体" w:hAnsi="宋体"/>
          <w:color w:val="000000" w:themeColor="text1"/>
          <w:lang w:val="zh-CN"/>
        </w:rPr>
        <w:t>2</w:t>
      </w:r>
      <w:r>
        <w:rPr>
          <w:rFonts w:hint="eastAsia" w:ascii="宋体" w:hAnsi="宋体"/>
          <w:color w:val="000000" w:themeColor="text1"/>
          <w:lang w:val="zh-CN"/>
        </w:rPr>
        <w:t>）制定设备安全运行管理、岗位责任制、定期巡视检查、操作规程及监督检查制度，建立岗位责任制，并严格执行。做到科学管理、正确使用，精心维护，备齐备件，及时维修；主要设备如电梯、中央空调系统及</w:t>
      </w:r>
      <w:r>
        <w:rPr>
          <w:rFonts w:ascii="宋体" w:hAnsi="宋体"/>
          <w:color w:val="000000" w:themeColor="text1"/>
          <w:lang w:val="zh-CN"/>
        </w:rPr>
        <w:t>VRV</w:t>
      </w:r>
      <w:r>
        <w:rPr>
          <w:rFonts w:hint="eastAsia" w:ascii="宋体" w:hAnsi="宋体"/>
          <w:color w:val="000000" w:themeColor="text1"/>
          <w:lang w:val="zh-CN"/>
        </w:rPr>
        <w:t>空调、发电机及消防系统的保养工作，费用由中标单位承担。</w:t>
      </w:r>
    </w:p>
    <w:p>
      <w:pPr>
        <w:ind w:firstLine="480"/>
        <w:rPr>
          <w:rFonts w:ascii="宋体" w:hAnsi="宋体"/>
          <w:color w:val="000000" w:themeColor="text1"/>
          <w:lang w:val="zh-CN"/>
        </w:rPr>
      </w:pPr>
      <w:r>
        <w:rPr>
          <w:rFonts w:hint="eastAsia" w:ascii="宋体" w:hAnsi="宋体"/>
          <w:color w:val="000000" w:themeColor="text1"/>
          <w:lang w:val="zh-CN"/>
        </w:rPr>
        <w:t>（</w:t>
      </w:r>
      <w:r>
        <w:rPr>
          <w:rFonts w:ascii="宋体" w:hAnsi="宋体"/>
          <w:color w:val="000000" w:themeColor="text1"/>
          <w:lang w:val="zh-CN"/>
        </w:rPr>
        <w:t>3</w:t>
      </w:r>
      <w:r>
        <w:rPr>
          <w:rFonts w:hint="eastAsia" w:ascii="宋体" w:hAnsi="宋体"/>
          <w:color w:val="000000" w:themeColor="text1"/>
          <w:lang w:val="zh-CN"/>
        </w:rPr>
        <w:t>）建立安全检查制度，配备专职值班员对所管辖区域及设备设施进行日常安全巡检和定期安全检查，并记录备查。实行</w:t>
      </w:r>
      <w:r>
        <w:rPr>
          <w:rFonts w:ascii="宋体" w:hAnsi="宋体"/>
          <w:color w:val="000000" w:themeColor="text1"/>
          <w:lang w:val="zh-CN"/>
        </w:rPr>
        <w:t>24</w:t>
      </w:r>
      <w:r>
        <w:rPr>
          <w:rFonts w:hint="eastAsia" w:ascii="宋体" w:hAnsi="宋体"/>
          <w:color w:val="000000" w:themeColor="text1"/>
          <w:lang w:val="zh-CN"/>
        </w:rPr>
        <w:t>小时值班制度，保证设备良好，运行正常，无重大管理责任事故。配电机房须安排人员</w:t>
      </w:r>
      <w:r>
        <w:rPr>
          <w:rFonts w:ascii="宋体" w:hAnsi="宋体"/>
          <w:color w:val="000000" w:themeColor="text1"/>
          <w:lang w:val="zh-CN"/>
        </w:rPr>
        <w:t>24</w:t>
      </w:r>
      <w:r>
        <w:rPr>
          <w:rFonts w:hint="eastAsia" w:ascii="宋体" w:hAnsi="宋体"/>
          <w:color w:val="000000" w:themeColor="text1"/>
          <w:lang w:val="zh-CN"/>
        </w:rPr>
        <w:t>小时值班。严格按照操作规程施工操作。</w:t>
      </w:r>
    </w:p>
    <w:p>
      <w:pPr>
        <w:ind w:firstLine="480"/>
        <w:rPr>
          <w:rFonts w:ascii="宋体" w:hAnsi="宋体"/>
          <w:color w:val="000000" w:themeColor="text1"/>
          <w:lang w:val="zh-CN"/>
        </w:rPr>
      </w:pPr>
      <w:r>
        <w:rPr>
          <w:rFonts w:hint="eastAsia" w:ascii="宋体" w:hAnsi="宋体"/>
          <w:color w:val="000000" w:themeColor="text1"/>
          <w:lang w:val="zh-CN"/>
        </w:rPr>
        <w:t>（</w:t>
      </w:r>
      <w:r>
        <w:rPr>
          <w:rFonts w:ascii="宋体" w:hAnsi="宋体"/>
          <w:color w:val="000000" w:themeColor="text1"/>
          <w:lang w:val="zh-CN"/>
        </w:rPr>
        <w:t>4</w:t>
      </w:r>
      <w:r>
        <w:rPr>
          <w:rFonts w:hint="eastAsia" w:ascii="宋体" w:hAnsi="宋体"/>
          <w:color w:val="000000" w:themeColor="text1"/>
          <w:lang w:val="zh-CN"/>
        </w:rPr>
        <w:t>）设备及机房环境整洁，不得有杂物、灰尘，无鼠、虫害或因漏电引起故障发生。</w:t>
      </w:r>
    </w:p>
    <w:p>
      <w:pPr>
        <w:ind w:firstLine="480"/>
        <w:rPr>
          <w:rFonts w:ascii="宋体" w:hAnsi="宋体"/>
          <w:color w:val="000000" w:themeColor="text1"/>
          <w:lang w:val="zh-CN"/>
        </w:rPr>
      </w:pPr>
      <w:r>
        <w:rPr>
          <w:rFonts w:hint="eastAsia" w:ascii="宋体" w:hAnsi="宋体"/>
          <w:color w:val="000000" w:themeColor="text1"/>
          <w:lang w:val="zh-CN"/>
        </w:rPr>
        <w:t>（</w:t>
      </w:r>
      <w:r>
        <w:rPr>
          <w:rFonts w:ascii="宋体" w:hAnsi="宋体"/>
          <w:color w:val="000000" w:themeColor="text1"/>
          <w:lang w:val="zh-CN"/>
        </w:rPr>
        <w:t>5</w:t>
      </w:r>
      <w:r>
        <w:rPr>
          <w:rFonts w:hint="eastAsia" w:ascii="宋体" w:hAnsi="宋体"/>
          <w:color w:val="000000" w:themeColor="text1"/>
          <w:lang w:val="zh-CN"/>
        </w:rPr>
        <w:t>）房屋本体、公用设施整洁，公用楼梯、通道无堆放杂物及违章占用等。</w:t>
      </w:r>
    </w:p>
    <w:p>
      <w:pPr>
        <w:ind w:firstLine="480"/>
        <w:rPr>
          <w:rFonts w:ascii="宋体" w:hAnsi="宋体"/>
          <w:color w:val="000000" w:themeColor="text1"/>
          <w:lang w:val="zh-CN"/>
        </w:rPr>
      </w:pPr>
      <w:r>
        <w:rPr>
          <w:rFonts w:hint="eastAsia" w:ascii="宋体" w:hAnsi="宋体"/>
          <w:color w:val="000000" w:themeColor="text1"/>
          <w:lang w:val="zh-CN"/>
        </w:rPr>
        <w:t>（</w:t>
      </w:r>
      <w:r>
        <w:rPr>
          <w:rFonts w:ascii="宋体" w:hAnsi="宋体"/>
          <w:color w:val="000000" w:themeColor="text1"/>
          <w:lang w:val="zh-CN"/>
        </w:rPr>
        <w:t>6</w:t>
      </w:r>
      <w:r>
        <w:rPr>
          <w:rFonts w:hint="eastAsia" w:ascii="宋体" w:hAnsi="宋体"/>
          <w:color w:val="000000" w:themeColor="text1"/>
          <w:lang w:val="zh-CN"/>
        </w:rPr>
        <w:t>）确保楼盖、屋顶、梁、柱、共用部位内外墙体和基础等承重结构部位、外墙面、楼梯间、走廊通道、门窗、设备机房、室外场地、道路的完好和正常使用。</w:t>
      </w:r>
    </w:p>
    <w:p>
      <w:pPr>
        <w:ind w:firstLine="480"/>
        <w:rPr>
          <w:rFonts w:ascii="宋体" w:hAnsi="宋体"/>
          <w:color w:val="000000" w:themeColor="text1"/>
          <w:lang w:val="zh-CN"/>
        </w:rPr>
      </w:pPr>
      <w:r>
        <w:rPr>
          <w:rFonts w:hint="eastAsia" w:ascii="宋体" w:hAnsi="宋体"/>
          <w:color w:val="000000" w:themeColor="text1"/>
          <w:lang w:val="zh-CN"/>
        </w:rPr>
        <w:t>（</w:t>
      </w:r>
      <w:r>
        <w:rPr>
          <w:rFonts w:ascii="宋体" w:hAnsi="宋体"/>
          <w:color w:val="000000" w:themeColor="text1"/>
          <w:lang w:val="zh-CN"/>
        </w:rPr>
        <w:t>7</w:t>
      </w:r>
      <w:r>
        <w:rPr>
          <w:rFonts w:hint="eastAsia" w:ascii="宋体" w:hAnsi="宋体"/>
          <w:color w:val="000000" w:themeColor="text1"/>
          <w:lang w:val="zh-CN"/>
        </w:rPr>
        <w:t>）所需各种专业技术人员配备齐全、维修和操作人员持证上岗。有解决各类故障和事件的能力。</w:t>
      </w:r>
    </w:p>
    <w:p>
      <w:pPr>
        <w:ind w:firstLine="480"/>
        <w:rPr>
          <w:rFonts w:ascii="宋体" w:hAnsi="宋体"/>
          <w:color w:val="000000" w:themeColor="text1"/>
        </w:rPr>
      </w:pPr>
      <w:r>
        <w:rPr>
          <w:rFonts w:hint="eastAsia" w:ascii="宋体" w:hAnsi="宋体"/>
          <w:color w:val="000000" w:themeColor="text1"/>
          <w:lang w:val="zh-CN"/>
        </w:rPr>
        <w:t>（</w:t>
      </w:r>
      <w:r>
        <w:rPr>
          <w:rFonts w:ascii="宋体" w:hAnsi="宋体"/>
          <w:color w:val="000000" w:themeColor="text1"/>
          <w:lang w:val="zh-CN"/>
        </w:rPr>
        <w:t>8</w:t>
      </w:r>
      <w:r>
        <w:rPr>
          <w:rFonts w:hint="eastAsia" w:ascii="宋体" w:hAnsi="宋体"/>
          <w:color w:val="000000" w:themeColor="text1"/>
          <w:lang w:val="zh-CN"/>
        </w:rPr>
        <w:t>）建立设备台账和档案，项目齐全，目录清晰，设备图纸档案、技术资料齐全，管理完善，可随时查阅。相关资料应及时向采购单位报告和确认。没有巡查、维修等记录的，所有维修费用及因维修不及时造成的损失由中标单位承担。</w:t>
      </w:r>
    </w:p>
    <w:p>
      <w:pPr>
        <w:ind w:firstLine="480"/>
        <w:rPr>
          <w:rFonts w:ascii="宋体" w:hAnsi="宋体"/>
          <w:color w:val="000000" w:themeColor="text1"/>
          <w:lang w:val="zh-CN"/>
        </w:rPr>
      </w:pPr>
      <w:r>
        <w:rPr>
          <w:rFonts w:hint="eastAsia" w:ascii="宋体" w:hAnsi="宋体"/>
          <w:color w:val="000000" w:themeColor="text1"/>
          <w:lang w:val="zh-CN"/>
        </w:rPr>
        <w:t>服务标准见下表：</w:t>
      </w:r>
    </w:p>
    <w:tbl>
      <w:tblPr>
        <w:tblStyle w:val="42"/>
        <w:tblW w:w="9904" w:type="dxa"/>
        <w:jc w:val="center"/>
        <w:tblLayout w:type="fixed"/>
        <w:tblCellMar>
          <w:top w:w="0" w:type="dxa"/>
          <w:left w:w="108" w:type="dxa"/>
          <w:bottom w:w="0" w:type="dxa"/>
          <w:right w:w="108" w:type="dxa"/>
        </w:tblCellMar>
      </w:tblPr>
      <w:tblGrid>
        <w:gridCol w:w="724"/>
        <w:gridCol w:w="896"/>
        <w:gridCol w:w="2561"/>
        <w:gridCol w:w="5723"/>
      </w:tblGrid>
      <w:tr>
        <w:tblPrEx>
          <w:tblCellMar>
            <w:top w:w="0" w:type="dxa"/>
            <w:left w:w="108" w:type="dxa"/>
            <w:bottom w:w="0" w:type="dxa"/>
            <w:right w:w="108" w:type="dxa"/>
          </w:tblCellMar>
        </w:tblPrEx>
        <w:trPr>
          <w:trHeight w:val="550" w:hRule="atLeast"/>
          <w:jc w:val="center"/>
        </w:trPr>
        <w:tc>
          <w:tcPr>
            <w:tcW w:w="724"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line="300" w:lineRule="atLeast"/>
              <w:jc w:val="center"/>
              <w:rPr>
                <w:rFonts w:ascii="宋体" w:cs="宋体"/>
                <w:color w:val="000000" w:themeColor="text1"/>
                <w:kern w:val="0"/>
                <w:sz w:val="22"/>
                <w:szCs w:val="22"/>
                <w:lang w:val="zh-CN"/>
              </w:rPr>
            </w:pPr>
            <w:r>
              <w:rPr>
                <w:rFonts w:hint="eastAsia" w:ascii="宋体" w:cs="宋体"/>
                <w:b/>
                <w:bCs/>
                <w:color w:val="000000" w:themeColor="text1"/>
                <w:kern w:val="0"/>
                <w:szCs w:val="21"/>
                <w:lang w:val="zh-CN"/>
              </w:rPr>
              <w:t>序号</w:t>
            </w:r>
          </w:p>
        </w:tc>
        <w:tc>
          <w:tcPr>
            <w:tcW w:w="896"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line="300" w:lineRule="atLeast"/>
              <w:jc w:val="center"/>
              <w:rPr>
                <w:rFonts w:ascii="宋体" w:cs="宋体"/>
                <w:color w:val="000000" w:themeColor="text1"/>
                <w:kern w:val="0"/>
                <w:sz w:val="22"/>
                <w:szCs w:val="22"/>
                <w:lang w:val="zh-CN"/>
              </w:rPr>
            </w:pPr>
            <w:r>
              <w:rPr>
                <w:rFonts w:hint="eastAsia" w:ascii="宋体" w:cs="宋体"/>
                <w:b/>
                <w:bCs/>
                <w:color w:val="000000" w:themeColor="text1"/>
                <w:kern w:val="0"/>
                <w:szCs w:val="21"/>
                <w:lang w:val="zh-CN"/>
              </w:rPr>
              <w:t>项目</w:t>
            </w:r>
          </w:p>
        </w:tc>
        <w:tc>
          <w:tcPr>
            <w:tcW w:w="2561"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line="300" w:lineRule="atLeast"/>
              <w:jc w:val="center"/>
              <w:rPr>
                <w:rFonts w:ascii="宋体" w:cs="宋体"/>
                <w:color w:val="000000" w:themeColor="text1"/>
                <w:kern w:val="0"/>
                <w:sz w:val="22"/>
                <w:szCs w:val="22"/>
                <w:lang w:val="zh-CN"/>
              </w:rPr>
            </w:pPr>
            <w:r>
              <w:rPr>
                <w:rFonts w:hint="eastAsia" w:ascii="宋体" w:cs="宋体"/>
                <w:b/>
                <w:bCs/>
                <w:color w:val="000000" w:themeColor="text1"/>
                <w:kern w:val="0"/>
                <w:szCs w:val="21"/>
                <w:lang w:val="zh-CN"/>
              </w:rPr>
              <w:t>内容</w:t>
            </w:r>
          </w:p>
        </w:tc>
        <w:tc>
          <w:tcPr>
            <w:tcW w:w="5723"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line="300" w:lineRule="atLeast"/>
              <w:jc w:val="center"/>
              <w:rPr>
                <w:rFonts w:ascii="宋体" w:cs="宋体"/>
                <w:color w:val="000000" w:themeColor="text1"/>
                <w:kern w:val="0"/>
                <w:sz w:val="22"/>
                <w:szCs w:val="22"/>
                <w:lang w:val="zh-CN"/>
              </w:rPr>
            </w:pPr>
            <w:r>
              <w:rPr>
                <w:rFonts w:hint="eastAsia" w:ascii="宋体" w:cs="宋体"/>
                <w:b/>
                <w:bCs/>
                <w:color w:val="000000" w:themeColor="text1"/>
                <w:kern w:val="0"/>
                <w:szCs w:val="21"/>
                <w:lang w:val="zh-CN"/>
              </w:rPr>
              <w:t>服务标准</w:t>
            </w:r>
          </w:p>
        </w:tc>
      </w:tr>
      <w:tr>
        <w:tblPrEx>
          <w:tblCellMar>
            <w:top w:w="0" w:type="dxa"/>
            <w:left w:w="108" w:type="dxa"/>
            <w:bottom w:w="0" w:type="dxa"/>
            <w:right w:w="108" w:type="dxa"/>
          </w:tblCellMar>
        </w:tblPrEx>
        <w:trPr>
          <w:trHeight w:val="457" w:hRule="atLeast"/>
          <w:jc w:val="center"/>
        </w:trPr>
        <w:tc>
          <w:tcPr>
            <w:tcW w:w="724"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jc w:val="center"/>
              <w:rPr>
                <w:rFonts w:ascii="宋体" w:cs="宋体"/>
                <w:color w:val="000000" w:themeColor="text1"/>
                <w:kern w:val="0"/>
                <w:sz w:val="22"/>
                <w:szCs w:val="22"/>
                <w:lang w:val="zh-CN"/>
              </w:rPr>
            </w:pPr>
            <w:r>
              <w:rPr>
                <w:rFonts w:ascii="宋体" w:cs="宋体"/>
                <w:color w:val="000000" w:themeColor="text1"/>
                <w:kern w:val="0"/>
                <w:szCs w:val="21"/>
                <w:lang w:val="zh-CN"/>
              </w:rPr>
              <w:t>1</w:t>
            </w:r>
          </w:p>
        </w:tc>
        <w:tc>
          <w:tcPr>
            <w:tcW w:w="896"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房屋日常养护及零星维修</w:t>
            </w:r>
          </w:p>
        </w:tc>
        <w:tc>
          <w:tcPr>
            <w:tcW w:w="2561"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ind w:left="17" w:hanging="17"/>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大楼围墙零星修补</w:t>
            </w:r>
          </w:p>
          <w:p>
            <w:pPr>
              <w:autoSpaceDE w:val="0"/>
              <w:autoSpaceDN w:val="0"/>
              <w:adjustRightInd w:val="0"/>
              <w:spacing w:after="60"/>
              <w:ind w:left="17" w:hanging="17"/>
              <w:rPr>
                <w:rFonts w:ascii="宋体" w:cs="宋体"/>
                <w:color w:val="000000" w:themeColor="text1"/>
                <w:kern w:val="0"/>
                <w:szCs w:val="21"/>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门窗工程养护维修</w:t>
            </w:r>
          </w:p>
          <w:p>
            <w:pPr>
              <w:autoSpaceDE w:val="0"/>
              <w:autoSpaceDN w:val="0"/>
              <w:adjustRightInd w:val="0"/>
              <w:spacing w:after="60"/>
              <w:ind w:left="17" w:hanging="17"/>
              <w:rPr>
                <w:rFonts w:ascii="宋体" w:cs="宋体"/>
                <w:color w:val="000000" w:themeColor="text1"/>
                <w:kern w:val="0"/>
                <w:szCs w:val="21"/>
                <w:lang w:val="zh-CN"/>
              </w:rPr>
            </w:pPr>
            <w:r>
              <w:rPr>
                <w:rFonts w:ascii="宋体" w:cs="宋体"/>
                <w:color w:val="000000" w:themeColor="text1"/>
                <w:kern w:val="0"/>
                <w:szCs w:val="21"/>
                <w:lang w:val="zh-CN"/>
              </w:rPr>
              <w:t>3.</w:t>
            </w:r>
            <w:r>
              <w:rPr>
                <w:rFonts w:hint="eastAsia" w:ascii="宋体" w:cs="宋体"/>
                <w:color w:val="000000" w:themeColor="text1"/>
                <w:kern w:val="0"/>
                <w:szCs w:val="21"/>
                <w:lang w:val="zh-CN"/>
              </w:rPr>
              <w:t>油漆工程养护维修</w:t>
            </w:r>
          </w:p>
          <w:p>
            <w:pPr>
              <w:autoSpaceDE w:val="0"/>
              <w:autoSpaceDN w:val="0"/>
              <w:adjustRightInd w:val="0"/>
              <w:spacing w:after="60"/>
              <w:ind w:left="17" w:hanging="17"/>
              <w:rPr>
                <w:rFonts w:ascii="宋体" w:cs="宋体"/>
                <w:color w:val="000000" w:themeColor="text1"/>
                <w:kern w:val="0"/>
                <w:szCs w:val="21"/>
                <w:lang w:val="zh-CN"/>
              </w:rPr>
            </w:pPr>
            <w:r>
              <w:rPr>
                <w:rFonts w:ascii="宋体" w:cs="宋体"/>
                <w:color w:val="000000" w:themeColor="text1"/>
                <w:kern w:val="0"/>
                <w:szCs w:val="21"/>
                <w:lang w:val="zh-CN"/>
              </w:rPr>
              <w:t>4.</w:t>
            </w:r>
            <w:r>
              <w:rPr>
                <w:rFonts w:hint="eastAsia" w:ascii="宋体" w:cs="宋体"/>
                <w:color w:val="000000" w:themeColor="text1"/>
                <w:kern w:val="0"/>
                <w:szCs w:val="21"/>
                <w:lang w:val="zh-CN"/>
              </w:rPr>
              <w:t>墙台面及吊顶工程养护维修</w:t>
            </w:r>
          </w:p>
          <w:p>
            <w:pPr>
              <w:autoSpaceDE w:val="0"/>
              <w:autoSpaceDN w:val="0"/>
              <w:adjustRightInd w:val="0"/>
              <w:spacing w:after="60"/>
              <w:ind w:left="17" w:hanging="17"/>
              <w:rPr>
                <w:rFonts w:ascii="宋体" w:cs="宋体"/>
                <w:color w:val="000000" w:themeColor="text1"/>
                <w:kern w:val="0"/>
                <w:szCs w:val="21"/>
                <w:lang w:val="zh-CN"/>
              </w:rPr>
            </w:pPr>
            <w:r>
              <w:rPr>
                <w:rFonts w:ascii="宋体" w:cs="宋体"/>
                <w:color w:val="000000" w:themeColor="text1"/>
                <w:kern w:val="0"/>
                <w:szCs w:val="21"/>
                <w:lang w:val="zh-CN"/>
              </w:rPr>
              <w:t>5.</w:t>
            </w:r>
            <w:r>
              <w:rPr>
                <w:rFonts w:hint="eastAsia" w:ascii="宋体" w:cs="宋体"/>
                <w:color w:val="000000" w:themeColor="text1"/>
                <w:kern w:val="0"/>
                <w:szCs w:val="21"/>
                <w:lang w:val="zh-CN"/>
              </w:rPr>
              <w:t>屋面工程养护维修</w:t>
            </w:r>
          </w:p>
          <w:p>
            <w:pPr>
              <w:autoSpaceDE w:val="0"/>
              <w:autoSpaceDN w:val="0"/>
              <w:adjustRightInd w:val="0"/>
              <w:spacing w:after="60"/>
              <w:ind w:left="17" w:hanging="17"/>
              <w:rPr>
                <w:rFonts w:ascii="宋体" w:cs="宋体"/>
                <w:color w:val="000000" w:themeColor="text1"/>
                <w:kern w:val="0"/>
                <w:sz w:val="22"/>
                <w:szCs w:val="22"/>
                <w:lang w:val="zh-CN"/>
              </w:rPr>
            </w:pPr>
            <w:r>
              <w:rPr>
                <w:rFonts w:ascii="宋体" w:cs="宋体"/>
                <w:color w:val="000000" w:themeColor="text1"/>
                <w:kern w:val="0"/>
                <w:szCs w:val="21"/>
                <w:lang w:val="zh-CN"/>
              </w:rPr>
              <w:t>6.</w:t>
            </w:r>
            <w:r>
              <w:rPr>
                <w:rFonts w:hint="eastAsia" w:ascii="宋体" w:cs="宋体"/>
                <w:color w:val="000000" w:themeColor="text1"/>
                <w:kern w:val="0"/>
                <w:szCs w:val="21"/>
                <w:lang w:val="zh-CN"/>
              </w:rPr>
              <w:t>地下防水工程养护维修</w:t>
            </w:r>
          </w:p>
        </w:tc>
        <w:tc>
          <w:tcPr>
            <w:tcW w:w="5723"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）防止漏水浸水，确保房屋、内外墙面、天花、门窗的完好和正常使用；</w:t>
            </w:r>
          </w:p>
          <w:p>
            <w:pPr>
              <w:autoSpaceDE w:val="0"/>
              <w:autoSpaceDN w:val="0"/>
              <w:adjustRightInd w:val="0"/>
              <w:spacing w:after="60"/>
              <w:rPr>
                <w:rFonts w:ascii="宋体" w:cs="宋体"/>
                <w:color w:val="000000" w:themeColor="text1"/>
                <w:kern w:val="0"/>
                <w:szCs w:val="21"/>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）及时完成各项零星维修任务，零修合格率</w:t>
            </w:r>
            <w:r>
              <w:rPr>
                <w:rFonts w:ascii="宋体" w:cs="宋体"/>
                <w:color w:val="000000" w:themeColor="text1"/>
                <w:kern w:val="0"/>
                <w:szCs w:val="21"/>
                <w:lang w:val="zh-CN"/>
              </w:rPr>
              <w:t>100%</w:t>
            </w:r>
            <w:r>
              <w:rPr>
                <w:rFonts w:hint="eastAsia" w:ascii="宋体" w:cs="宋体"/>
                <w:color w:val="000000" w:themeColor="text1"/>
                <w:kern w:val="0"/>
                <w:szCs w:val="21"/>
                <w:lang w:val="zh-CN"/>
              </w:rPr>
              <w:t>。及时完成油漆涂刷。</w:t>
            </w:r>
          </w:p>
          <w:p>
            <w:pPr>
              <w:autoSpaceDE w:val="0"/>
              <w:autoSpaceDN w:val="0"/>
              <w:adjustRightInd w:val="0"/>
              <w:spacing w:after="60"/>
              <w:rPr>
                <w:rFonts w:ascii="宋体" w:cs="宋体"/>
                <w:color w:val="000000" w:themeColor="text1"/>
                <w:kern w:val="0"/>
                <w:sz w:val="22"/>
                <w:szCs w:val="22"/>
                <w:lang w:val="zh-CN"/>
              </w:rPr>
            </w:pPr>
            <w:r>
              <w:rPr>
                <w:rFonts w:ascii="宋体" w:cs="宋体"/>
                <w:color w:val="000000" w:themeColor="text1"/>
                <w:kern w:val="0"/>
                <w:szCs w:val="21"/>
                <w:lang w:val="zh-CN"/>
              </w:rPr>
              <w:t>3</w:t>
            </w:r>
            <w:r>
              <w:rPr>
                <w:rFonts w:hint="eastAsia" w:ascii="宋体" w:cs="宋体"/>
                <w:color w:val="000000" w:themeColor="text1"/>
                <w:kern w:val="0"/>
                <w:szCs w:val="21"/>
                <w:lang w:val="zh-CN"/>
              </w:rPr>
              <w:t>）所有天面管道设施至少</w:t>
            </w:r>
            <w:r>
              <w:rPr>
                <w:rFonts w:ascii="宋体" w:cs="宋体"/>
                <w:color w:val="000000" w:themeColor="text1"/>
                <w:kern w:val="0"/>
                <w:szCs w:val="21"/>
                <w:lang w:val="zh-CN"/>
              </w:rPr>
              <w:t>1</w:t>
            </w:r>
            <w:r>
              <w:rPr>
                <w:rFonts w:hint="eastAsia" w:ascii="宋体" w:cs="宋体"/>
                <w:color w:val="000000" w:themeColor="text1"/>
                <w:kern w:val="0"/>
                <w:szCs w:val="21"/>
                <w:lang w:val="zh-CN"/>
              </w:rPr>
              <w:t>年油漆</w:t>
            </w:r>
            <w:r>
              <w:rPr>
                <w:rFonts w:ascii="宋体" w:cs="宋体"/>
                <w:color w:val="000000" w:themeColor="text1"/>
                <w:kern w:val="0"/>
                <w:szCs w:val="21"/>
                <w:lang w:val="zh-CN"/>
              </w:rPr>
              <w:t>1</w:t>
            </w:r>
            <w:r>
              <w:rPr>
                <w:rFonts w:hint="eastAsia" w:ascii="宋体" w:cs="宋体"/>
                <w:color w:val="000000" w:themeColor="text1"/>
                <w:kern w:val="0"/>
                <w:szCs w:val="21"/>
                <w:lang w:val="zh-CN"/>
              </w:rPr>
              <w:t>次。</w:t>
            </w:r>
          </w:p>
        </w:tc>
      </w:tr>
      <w:tr>
        <w:tblPrEx>
          <w:tblCellMar>
            <w:top w:w="0" w:type="dxa"/>
            <w:left w:w="108" w:type="dxa"/>
            <w:bottom w:w="0" w:type="dxa"/>
            <w:right w:w="108" w:type="dxa"/>
          </w:tblCellMar>
        </w:tblPrEx>
        <w:trPr>
          <w:trHeight w:val="621" w:hRule="atLeast"/>
          <w:jc w:val="center"/>
        </w:trPr>
        <w:tc>
          <w:tcPr>
            <w:tcW w:w="724"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jc w:val="center"/>
              <w:rPr>
                <w:rFonts w:ascii="宋体" w:cs="宋体"/>
                <w:color w:val="000000" w:themeColor="text1"/>
                <w:kern w:val="0"/>
                <w:sz w:val="22"/>
                <w:szCs w:val="22"/>
                <w:lang w:val="zh-CN"/>
              </w:rPr>
            </w:pPr>
            <w:r>
              <w:rPr>
                <w:rFonts w:ascii="宋体" w:cs="宋体"/>
                <w:color w:val="000000" w:themeColor="text1"/>
                <w:kern w:val="0"/>
                <w:szCs w:val="21"/>
                <w:lang w:val="zh-CN"/>
              </w:rPr>
              <w:t>2</w:t>
            </w:r>
          </w:p>
        </w:tc>
        <w:tc>
          <w:tcPr>
            <w:tcW w:w="896"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室外场地、道路养护维修</w:t>
            </w:r>
          </w:p>
        </w:tc>
        <w:tc>
          <w:tcPr>
            <w:tcW w:w="2561"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ind w:left="218" w:hanging="218"/>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院内广场地面、台阶、养护维修</w:t>
            </w:r>
          </w:p>
          <w:p>
            <w:pPr>
              <w:autoSpaceDE w:val="0"/>
              <w:autoSpaceDN w:val="0"/>
              <w:adjustRightInd w:val="0"/>
              <w:rPr>
                <w:rFonts w:ascii="宋体" w:cs="宋体"/>
                <w:color w:val="000000" w:themeColor="text1"/>
                <w:kern w:val="0"/>
                <w:sz w:val="22"/>
                <w:szCs w:val="22"/>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室外地面养护维修</w:t>
            </w:r>
          </w:p>
        </w:tc>
        <w:tc>
          <w:tcPr>
            <w:tcW w:w="5723"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）确保大楼室外场地、道路的完好和正常使用；</w:t>
            </w:r>
          </w:p>
          <w:p>
            <w:pPr>
              <w:autoSpaceDE w:val="0"/>
              <w:autoSpaceDN w:val="0"/>
              <w:adjustRightInd w:val="0"/>
              <w:spacing w:after="60"/>
              <w:rPr>
                <w:rFonts w:ascii="宋体" w:cs="宋体"/>
                <w:color w:val="000000" w:themeColor="text1"/>
                <w:kern w:val="0"/>
                <w:sz w:val="22"/>
                <w:szCs w:val="22"/>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）及时完成各项零星维修任务，零修合格率</w:t>
            </w:r>
            <w:r>
              <w:rPr>
                <w:rFonts w:ascii="宋体" w:cs="宋体"/>
                <w:color w:val="000000" w:themeColor="text1"/>
                <w:kern w:val="0"/>
                <w:szCs w:val="21"/>
                <w:lang w:val="zh-CN"/>
              </w:rPr>
              <w:t>100%</w:t>
            </w:r>
            <w:r>
              <w:rPr>
                <w:rFonts w:hint="eastAsia" w:ascii="宋体" w:cs="宋体"/>
                <w:color w:val="000000" w:themeColor="text1"/>
                <w:kern w:val="0"/>
                <w:szCs w:val="21"/>
                <w:lang w:val="zh-CN"/>
              </w:rPr>
              <w:t>。</w:t>
            </w:r>
          </w:p>
        </w:tc>
      </w:tr>
      <w:tr>
        <w:tblPrEx>
          <w:tblCellMar>
            <w:top w:w="0" w:type="dxa"/>
            <w:left w:w="108" w:type="dxa"/>
            <w:bottom w:w="0" w:type="dxa"/>
            <w:right w:w="108" w:type="dxa"/>
          </w:tblCellMar>
        </w:tblPrEx>
        <w:trPr>
          <w:trHeight w:val="457" w:hRule="atLeast"/>
          <w:jc w:val="center"/>
        </w:trPr>
        <w:tc>
          <w:tcPr>
            <w:tcW w:w="724"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jc w:val="center"/>
              <w:rPr>
                <w:rFonts w:ascii="宋体" w:cs="宋体"/>
                <w:color w:val="000000" w:themeColor="text1"/>
                <w:kern w:val="0"/>
                <w:sz w:val="22"/>
                <w:szCs w:val="22"/>
                <w:lang w:val="zh-CN"/>
              </w:rPr>
            </w:pPr>
            <w:r>
              <w:rPr>
                <w:rFonts w:ascii="宋体" w:cs="宋体"/>
                <w:color w:val="000000" w:themeColor="text1"/>
                <w:kern w:val="0"/>
                <w:szCs w:val="21"/>
                <w:lang w:val="zh-CN"/>
              </w:rPr>
              <w:t>3</w:t>
            </w:r>
          </w:p>
        </w:tc>
        <w:tc>
          <w:tcPr>
            <w:tcW w:w="896"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给排水设备运行维护管理</w:t>
            </w:r>
          </w:p>
        </w:tc>
        <w:tc>
          <w:tcPr>
            <w:tcW w:w="2561"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220"/>
              </w:tabs>
              <w:autoSpaceDE w:val="0"/>
              <w:autoSpaceDN w:val="0"/>
              <w:adjustRightInd w:val="0"/>
              <w:ind w:left="218" w:hanging="218"/>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给排水管道养护维修</w:t>
            </w:r>
          </w:p>
          <w:p>
            <w:pPr>
              <w:tabs>
                <w:tab w:val="left" w:pos="220"/>
              </w:tabs>
              <w:autoSpaceDE w:val="0"/>
              <w:autoSpaceDN w:val="0"/>
              <w:adjustRightInd w:val="0"/>
              <w:ind w:left="218" w:hanging="218"/>
              <w:rPr>
                <w:rFonts w:ascii="宋体" w:cs="宋体"/>
                <w:color w:val="000000" w:themeColor="text1"/>
                <w:kern w:val="0"/>
                <w:szCs w:val="21"/>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水泵、水箱、阀门等设备设施养护维修</w:t>
            </w:r>
          </w:p>
          <w:p>
            <w:pPr>
              <w:tabs>
                <w:tab w:val="left" w:pos="220"/>
              </w:tabs>
              <w:autoSpaceDE w:val="0"/>
              <w:autoSpaceDN w:val="0"/>
              <w:adjustRightInd w:val="0"/>
              <w:ind w:left="218" w:hanging="218"/>
              <w:rPr>
                <w:rFonts w:ascii="宋体" w:cs="宋体"/>
                <w:color w:val="000000" w:themeColor="text1"/>
                <w:kern w:val="0"/>
                <w:szCs w:val="21"/>
                <w:lang w:val="zh-CN"/>
              </w:rPr>
            </w:pPr>
            <w:r>
              <w:rPr>
                <w:rFonts w:ascii="宋体" w:cs="宋体"/>
                <w:color w:val="000000" w:themeColor="text1"/>
                <w:kern w:val="0"/>
                <w:szCs w:val="21"/>
                <w:lang w:val="zh-CN"/>
              </w:rPr>
              <w:t>3.</w:t>
            </w:r>
            <w:r>
              <w:rPr>
                <w:rFonts w:hint="eastAsia" w:ascii="宋体" w:cs="宋体"/>
                <w:color w:val="000000" w:themeColor="text1"/>
                <w:kern w:val="0"/>
                <w:szCs w:val="21"/>
                <w:lang w:val="zh-CN"/>
              </w:rPr>
              <w:t>水泵房及机电设备的养护维修</w:t>
            </w:r>
          </w:p>
          <w:p>
            <w:pPr>
              <w:tabs>
                <w:tab w:val="left" w:pos="220"/>
              </w:tabs>
              <w:autoSpaceDE w:val="0"/>
              <w:autoSpaceDN w:val="0"/>
              <w:adjustRightInd w:val="0"/>
              <w:ind w:left="218" w:hanging="218"/>
              <w:rPr>
                <w:rFonts w:ascii="宋体" w:cs="宋体"/>
                <w:color w:val="000000" w:themeColor="text1"/>
                <w:kern w:val="0"/>
                <w:szCs w:val="21"/>
                <w:lang w:val="zh-CN"/>
              </w:rPr>
            </w:pPr>
            <w:r>
              <w:rPr>
                <w:rFonts w:ascii="宋体" w:cs="宋体"/>
                <w:color w:val="000000" w:themeColor="text1"/>
                <w:kern w:val="0"/>
                <w:szCs w:val="21"/>
                <w:lang w:val="zh-CN"/>
              </w:rPr>
              <w:t>4.</w:t>
            </w:r>
            <w:r>
              <w:rPr>
                <w:rFonts w:hint="eastAsia" w:ascii="宋体" w:cs="宋体"/>
                <w:color w:val="000000" w:themeColor="text1"/>
                <w:kern w:val="0"/>
                <w:szCs w:val="21"/>
                <w:lang w:val="zh-CN"/>
              </w:rPr>
              <w:t>给排水检查井养护维修</w:t>
            </w:r>
          </w:p>
          <w:p>
            <w:pPr>
              <w:tabs>
                <w:tab w:val="left" w:pos="220"/>
              </w:tabs>
              <w:autoSpaceDE w:val="0"/>
              <w:autoSpaceDN w:val="0"/>
              <w:adjustRightInd w:val="0"/>
              <w:ind w:left="218" w:hanging="218"/>
              <w:rPr>
                <w:rFonts w:ascii="宋体" w:cs="宋体"/>
                <w:color w:val="000000" w:themeColor="text1"/>
                <w:kern w:val="0"/>
                <w:szCs w:val="21"/>
                <w:lang w:val="zh-CN"/>
              </w:rPr>
            </w:pPr>
            <w:r>
              <w:rPr>
                <w:rFonts w:ascii="宋体" w:cs="宋体"/>
                <w:color w:val="000000" w:themeColor="text1"/>
                <w:kern w:val="0"/>
                <w:szCs w:val="21"/>
                <w:lang w:val="zh-CN"/>
              </w:rPr>
              <w:t>5.</w:t>
            </w:r>
            <w:r>
              <w:rPr>
                <w:rFonts w:hint="eastAsia" w:ascii="宋体" w:cs="宋体"/>
                <w:color w:val="000000" w:themeColor="text1"/>
                <w:kern w:val="0"/>
                <w:szCs w:val="21"/>
                <w:lang w:val="zh-CN"/>
              </w:rPr>
              <w:t>其他相关养护维修</w:t>
            </w:r>
          </w:p>
          <w:p>
            <w:pPr>
              <w:tabs>
                <w:tab w:val="left" w:pos="220"/>
              </w:tabs>
              <w:autoSpaceDE w:val="0"/>
              <w:autoSpaceDN w:val="0"/>
              <w:adjustRightInd w:val="0"/>
              <w:ind w:left="218" w:hanging="218"/>
              <w:rPr>
                <w:rFonts w:ascii="宋体" w:cs="宋体"/>
                <w:color w:val="000000" w:themeColor="text1"/>
                <w:kern w:val="0"/>
                <w:sz w:val="22"/>
                <w:szCs w:val="22"/>
                <w:lang w:val="zh-CN"/>
              </w:rPr>
            </w:pPr>
            <w:r>
              <w:rPr>
                <w:rFonts w:ascii="宋体" w:cs="宋体"/>
                <w:color w:val="000000" w:themeColor="text1"/>
                <w:kern w:val="0"/>
                <w:szCs w:val="21"/>
                <w:lang w:val="zh-CN"/>
              </w:rPr>
              <w:t>6.</w:t>
            </w:r>
            <w:r>
              <w:rPr>
                <w:rFonts w:hint="eastAsia" w:ascii="宋体" w:cs="宋体"/>
                <w:color w:val="000000" w:themeColor="text1"/>
                <w:kern w:val="0"/>
                <w:szCs w:val="21"/>
                <w:lang w:val="zh-CN"/>
              </w:rPr>
              <w:t>沟渠池井的检查</w:t>
            </w:r>
          </w:p>
        </w:tc>
        <w:tc>
          <w:tcPr>
            <w:tcW w:w="5723"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）建立用水、供水管理制度并予以实施，保证给排水系统正常运行使用。</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）防止跑、冒、滴、漏，对供水系统管路、水泵、水箱、阀门等进行日常维护和定期检修，不发生大面积跑水事故，定期对水泵房进行检查、保养、维修、清洁。</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3</w:t>
            </w:r>
            <w:r>
              <w:rPr>
                <w:rFonts w:hint="eastAsia" w:ascii="宋体" w:cs="宋体"/>
                <w:b/>
                <w:bCs/>
                <w:color w:val="000000" w:themeColor="text1"/>
                <w:kern w:val="0"/>
                <w:szCs w:val="21"/>
                <w:lang w:val="zh-CN"/>
              </w:rPr>
              <w:t>）</w:t>
            </w:r>
            <w:r>
              <w:rPr>
                <w:rFonts w:hint="eastAsia" w:ascii="宋体" w:cs="宋体"/>
                <w:color w:val="000000" w:themeColor="text1"/>
                <w:kern w:val="0"/>
                <w:szCs w:val="21"/>
                <w:lang w:val="zh-CN"/>
              </w:rPr>
              <w:t>保持水箱清洁卫生并定期每年清洗消毒</w:t>
            </w:r>
            <w:r>
              <w:rPr>
                <w:rFonts w:ascii="宋体" w:cs="宋体"/>
                <w:color w:val="000000" w:themeColor="text1"/>
                <w:kern w:val="0"/>
                <w:szCs w:val="21"/>
                <w:lang w:val="zh-CN"/>
              </w:rPr>
              <w:t>1</w:t>
            </w:r>
            <w:r>
              <w:rPr>
                <w:rFonts w:hint="eastAsia" w:ascii="宋体" w:cs="宋体"/>
                <w:color w:val="000000" w:themeColor="text1"/>
                <w:kern w:val="0"/>
                <w:szCs w:val="21"/>
                <w:lang w:val="zh-CN"/>
              </w:rPr>
              <w:t>次，确保二次供水符合饮用水国家标准（出具合格的水质检验书）。</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4</w:t>
            </w:r>
            <w:r>
              <w:rPr>
                <w:rFonts w:hint="eastAsia" w:ascii="宋体" w:cs="宋体"/>
                <w:color w:val="000000" w:themeColor="text1"/>
                <w:kern w:val="0"/>
                <w:szCs w:val="21"/>
                <w:lang w:val="zh-CN"/>
              </w:rPr>
              <w:t>）保证设备和管道系统状况良好，供水系统能正常发挥功能。</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5</w:t>
            </w:r>
            <w:r>
              <w:rPr>
                <w:rFonts w:hint="eastAsia" w:ascii="宋体" w:cs="宋体"/>
                <w:color w:val="000000" w:themeColor="text1"/>
                <w:kern w:val="0"/>
                <w:szCs w:val="21"/>
                <w:lang w:val="zh-CN"/>
              </w:rPr>
              <w:t>）定期对排水管、化粪池、隔油池、沟渠、池、井进行清疏、养护及清除污垢。保证排水系统通畅、确保上下水管道完好和正常使用。</w:t>
            </w:r>
          </w:p>
          <w:p>
            <w:pPr>
              <w:autoSpaceDE w:val="0"/>
              <w:autoSpaceDN w:val="0"/>
              <w:adjustRightInd w:val="0"/>
              <w:spacing w:after="60"/>
              <w:rPr>
                <w:rFonts w:ascii="宋体" w:cs="宋体"/>
                <w:color w:val="000000" w:themeColor="text1"/>
                <w:kern w:val="0"/>
                <w:sz w:val="22"/>
                <w:szCs w:val="22"/>
                <w:lang w:val="zh-CN"/>
              </w:rPr>
            </w:pPr>
            <w:r>
              <w:rPr>
                <w:rFonts w:ascii="宋体" w:cs="宋体"/>
                <w:color w:val="000000" w:themeColor="text1"/>
                <w:kern w:val="0"/>
                <w:szCs w:val="21"/>
                <w:lang w:val="zh-CN"/>
              </w:rPr>
              <w:t>6</w:t>
            </w:r>
            <w:r>
              <w:rPr>
                <w:rFonts w:hint="eastAsia" w:ascii="宋体" w:cs="宋体"/>
                <w:color w:val="000000" w:themeColor="text1"/>
                <w:kern w:val="0"/>
                <w:szCs w:val="21"/>
                <w:lang w:val="zh-CN"/>
              </w:rPr>
              <w:t>）及时发现和解决故障，当出现故障时，维修人员及时到位抢修，恢复正常功能。零修合格率</w:t>
            </w:r>
            <w:r>
              <w:rPr>
                <w:rFonts w:ascii="宋体" w:cs="宋体"/>
                <w:color w:val="000000" w:themeColor="text1"/>
                <w:kern w:val="0"/>
                <w:szCs w:val="21"/>
                <w:lang w:val="zh-CN"/>
              </w:rPr>
              <w:t>100%</w:t>
            </w:r>
            <w:r>
              <w:rPr>
                <w:rFonts w:hint="eastAsia" w:ascii="宋体" w:cs="宋体"/>
                <w:color w:val="000000" w:themeColor="text1"/>
                <w:kern w:val="0"/>
                <w:szCs w:val="21"/>
                <w:lang w:val="zh-CN"/>
              </w:rPr>
              <w:t>。雨水井、污水井、化粪池、阀门井完好率达</w:t>
            </w:r>
            <w:r>
              <w:rPr>
                <w:rFonts w:ascii="宋体" w:cs="宋体"/>
                <w:color w:val="000000" w:themeColor="text1"/>
                <w:kern w:val="0"/>
                <w:szCs w:val="21"/>
                <w:lang w:val="zh-CN"/>
              </w:rPr>
              <w:t>100</w:t>
            </w:r>
            <w:r>
              <w:rPr>
                <w:rFonts w:hint="eastAsia" w:ascii="宋体" w:cs="宋体"/>
                <w:color w:val="000000" w:themeColor="text1"/>
                <w:kern w:val="0"/>
                <w:szCs w:val="21"/>
                <w:lang w:val="zh-CN"/>
              </w:rPr>
              <w:t>％；无缺损，无污积、无堵。</w:t>
            </w:r>
          </w:p>
        </w:tc>
      </w:tr>
      <w:tr>
        <w:tblPrEx>
          <w:tblCellMar>
            <w:top w:w="0" w:type="dxa"/>
            <w:left w:w="108" w:type="dxa"/>
            <w:bottom w:w="0" w:type="dxa"/>
            <w:right w:w="108" w:type="dxa"/>
          </w:tblCellMar>
        </w:tblPrEx>
        <w:trPr>
          <w:trHeight w:val="458" w:hRule="atLeast"/>
          <w:jc w:val="center"/>
        </w:trPr>
        <w:tc>
          <w:tcPr>
            <w:tcW w:w="724" w:type="dxa"/>
            <w:vMerge w:val="restart"/>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jc w:val="center"/>
              <w:rPr>
                <w:rFonts w:ascii="宋体" w:cs="宋体"/>
                <w:color w:val="000000" w:themeColor="text1"/>
                <w:kern w:val="0"/>
                <w:sz w:val="22"/>
                <w:szCs w:val="22"/>
                <w:lang w:val="zh-CN"/>
              </w:rPr>
            </w:pPr>
            <w:r>
              <w:rPr>
                <w:rFonts w:ascii="宋体" w:cs="宋体"/>
                <w:color w:val="000000" w:themeColor="text1"/>
                <w:kern w:val="0"/>
                <w:szCs w:val="21"/>
                <w:lang w:val="zh-CN"/>
              </w:rPr>
              <w:t>4</w:t>
            </w:r>
          </w:p>
        </w:tc>
        <w:tc>
          <w:tcPr>
            <w:tcW w:w="896" w:type="dxa"/>
            <w:vMerge w:val="restart"/>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供配电设备运行维护管理</w:t>
            </w:r>
          </w:p>
        </w:tc>
        <w:tc>
          <w:tcPr>
            <w:tcW w:w="2561"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供配电设备运行维护管理</w:t>
            </w:r>
          </w:p>
        </w:tc>
        <w:tc>
          <w:tcPr>
            <w:tcW w:w="5723"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）对供电范围的电气设备定期巡视维护和重点检测，建立各项设备档案（包括电气平面图、设备管理图、接线图等图样），做到安全、合理、节约用电；</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）用电设备管理、操作、维修保养严格按国家标准操作运行，建立严格的配送电运行制度、电气维修制度和配电房管理制度，制定临时用电措施并严格执行；供电运行和维修人员必须持证上岗；</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3</w:t>
            </w:r>
            <w:r>
              <w:rPr>
                <w:rFonts w:hint="eastAsia" w:ascii="宋体" w:cs="宋体"/>
                <w:color w:val="000000" w:themeColor="text1"/>
                <w:kern w:val="0"/>
                <w:szCs w:val="21"/>
                <w:lang w:val="zh-CN"/>
              </w:rPr>
              <w:t>）建立</w:t>
            </w:r>
            <w:r>
              <w:rPr>
                <w:rFonts w:ascii="宋体" w:cs="宋体"/>
                <w:color w:val="000000" w:themeColor="text1"/>
                <w:kern w:val="0"/>
                <w:szCs w:val="21"/>
                <w:lang w:val="zh-CN"/>
              </w:rPr>
              <w:t>24</w:t>
            </w:r>
            <w:r>
              <w:rPr>
                <w:rFonts w:hint="eastAsia" w:ascii="宋体" w:cs="宋体"/>
                <w:color w:val="000000" w:themeColor="text1"/>
                <w:kern w:val="0"/>
                <w:szCs w:val="21"/>
                <w:lang w:val="zh-CN"/>
              </w:rPr>
              <w:t>小时运行维修值班制度，及时发现和解决故障。当出现故障时，维修人员</w:t>
            </w:r>
            <w:r>
              <w:rPr>
                <w:rFonts w:ascii="宋体" w:cs="宋体"/>
                <w:color w:val="000000" w:themeColor="text1"/>
                <w:kern w:val="0"/>
                <w:szCs w:val="21"/>
                <w:lang w:val="zh-CN"/>
              </w:rPr>
              <w:t>5</w:t>
            </w:r>
            <w:r>
              <w:rPr>
                <w:rFonts w:hint="eastAsia" w:ascii="宋体" w:cs="宋体"/>
                <w:color w:val="000000" w:themeColor="text1"/>
                <w:kern w:val="0"/>
                <w:szCs w:val="21"/>
                <w:lang w:val="zh-CN"/>
              </w:rPr>
              <w:t>分钟内及时到位抢修，排除故障，恢复正常功能。零修合格率</w:t>
            </w:r>
            <w:r>
              <w:rPr>
                <w:rFonts w:ascii="宋体" w:cs="宋体"/>
                <w:color w:val="000000" w:themeColor="text1"/>
                <w:kern w:val="0"/>
                <w:szCs w:val="21"/>
                <w:lang w:val="zh-CN"/>
              </w:rPr>
              <w:t>100%</w:t>
            </w:r>
            <w:r>
              <w:rPr>
                <w:rFonts w:hint="eastAsia" w:ascii="宋体" w:cs="宋体"/>
                <w:color w:val="000000" w:themeColor="text1"/>
                <w:kern w:val="0"/>
                <w:szCs w:val="21"/>
                <w:lang w:val="zh-CN"/>
              </w:rPr>
              <w:t>；</w:t>
            </w:r>
          </w:p>
          <w:p>
            <w:pPr>
              <w:autoSpaceDE w:val="0"/>
              <w:autoSpaceDN w:val="0"/>
              <w:adjustRightInd w:val="0"/>
              <w:spacing w:before="25" w:after="60"/>
              <w:jc w:val="left"/>
              <w:rPr>
                <w:rFonts w:ascii="宋体" w:cs="宋体"/>
                <w:color w:val="000000" w:themeColor="text1"/>
                <w:kern w:val="0"/>
                <w:sz w:val="22"/>
                <w:szCs w:val="22"/>
                <w:lang w:val="zh-CN"/>
              </w:rPr>
            </w:pPr>
            <w:r>
              <w:rPr>
                <w:rFonts w:ascii="宋体" w:cs="宋体"/>
                <w:color w:val="000000" w:themeColor="text1"/>
                <w:kern w:val="0"/>
                <w:szCs w:val="21"/>
                <w:lang w:val="zh-CN"/>
              </w:rPr>
              <w:t>4</w:t>
            </w:r>
            <w:r>
              <w:rPr>
                <w:rFonts w:hint="eastAsia" w:ascii="宋体" w:cs="宋体"/>
                <w:color w:val="000000" w:themeColor="text1"/>
                <w:kern w:val="0"/>
                <w:szCs w:val="21"/>
                <w:lang w:val="zh-CN"/>
              </w:rPr>
              <w:t>）加强日常维护检修，公共使用的照明灯具（包括地下室照明、楼梯、电梯间、设备房、室外院墙照明）线路、开关保证完好，确保用电安全，并管理和维护好避雷设施。</w:t>
            </w:r>
          </w:p>
        </w:tc>
      </w:tr>
      <w:tr>
        <w:tblPrEx>
          <w:tblCellMar>
            <w:top w:w="0" w:type="dxa"/>
            <w:left w:w="108" w:type="dxa"/>
            <w:bottom w:w="0" w:type="dxa"/>
            <w:right w:w="108" w:type="dxa"/>
          </w:tblCellMar>
        </w:tblPrEx>
        <w:trPr>
          <w:trHeight w:val="551" w:hRule="atLeast"/>
          <w:jc w:val="center"/>
        </w:trPr>
        <w:tc>
          <w:tcPr>
            <w:tcW w:w="724" w:type="dxa"/>
            <w:vMerge w:val="continue"/>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rPr>
                <w:rFonts w:ascii="宋体" w:cs="宋体"/>
                <w:color w:val="000000" w:themeColor="text1"/>
                <w:kern w:val="0"/>
                <w:sz w:val="22"/>
                <w:szCs w:val="22"/>
                <w:lang w:val="zh-CN"/>
              </w:rPr>
            </w:pPr>
          </w:p>
        </w:tc>
        <w:tc>
          <w:tcPr>
            <w:tcW w:w="896" w:type="dxa"/>
            <w:vMerge w:val="continue"/>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rPr>
                <w:rFonts w:ascii="宋体" w:cs="宋体"/>
                <w:color w:val="000000" w:themeColor="text1"/>
                <w:kern w:val="0"/>
                <w:sz w:val="22"/>
                <w:szCs w:val="22"/>
                <w:lang w:val="zh-CN"/>
              </w:rPr>
            </w:pPr>
          </w:p>
        </w:tc>
        <w:tc>
          <w:tcPr>
            <w:tcW w:w="2561"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所有照明灯光维护管理（含室内办公室）</w:t>
            </w:r>
          </w:p>
        </w:tc>
        <w:tc>
          <w:tcPr>
            <w:tcW w:w="5723" w:type="dxa"/>
            <w:vMerge w:val="restart"/>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）加强日常检查巡视，及时更换灯具光源，确保节日灯光的正常使用；</w:t>
            </w:r>
          </w:p>
          <w:p>
            <w:pPr>
              <w:autoSpaceDE w:val="0"/>
              <w:autoSpaceDN w:val="0"/>
              <w:adjustRightInd w:val="0"/>
              <w:spacing w:after="60"/>
              <w:rPr>
                <w:rFonts w:ascii="宋体" w:cs="宋体"/>
                <w:color w:val="000000" w:themeColor="text1"/>
                <w:kern w:val="0"/>
                <w:sz w:val="22"/>
                <w:szCs w:val="22"/>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）定期检测，发现故障及时维修，零修及时率达到</w:t>
            </w:r>
            <w:r>
              <w:rPr>
                <w:rFonts w:ascii="宋体" w:cs="宋体"/>
                <w:color w:val="000000" w:themeColor="text1"/>
                <w:kern w:val="0"/>
                <w:szCs w:val="21"/>
                <w:lang w:val="zh-CN"/>
              </w:rPr>
              <w:t>100%</w:t>
            </w:r>
            <w:r>
              <w:rPr>
                <w:rFonts w:hint="eastAsia" w:ascii="宋体" w:cs="宋体"/>
                <w:color w:val="000000" w:themeColor="text1"/>
                <w:kern w:val="0"/>
                <w:szCs w:val="21"/>
                <w:lang w:val="zh-CN"/>
              </w:rPr>
              <w:t>，小修不过夜。</w:t>
            </w:r>
          </w:p>
        </w:tc>
      </w:tr>
      <w:tr>
        <w:tblPrEx>
          <w:tblCellMar>
            <w:top w:w="0" w:type="dxa"/>
            <w:left w:w="108" w:type="dxa"/>
            <w:bottom w:w="0" w:type="dxa"/>
            <w:right w:w="108" w:type="dxa"/>
          </w:tblCellMar>
        </w:tblPrEx>
        <w:trPr>
          <w:trHeight w:val="559" w:hRule="atLeast"/>
          <w:jc w:val="center"/>
        </w:trPr>
        <w:tc>
          <w:tcPr>
            <w:tcW w:w="724" w:type="dxa"/>
            <w:vMerge w:val="continue"/>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rPr>
                <w:rFonts w:ascii="宋体" w:cs="宋体"/>
                <w:color w:val="000000" w:themeColor="text1"/>
                <w:kern w:val="0"/>
                <w:sz w:val="22"/>
                <w:szCs w:val="22"/>
                <w:lang w:val="zh-CN"/>
              </w:rPr>
            </w:pPr>
          </w:p>
        </w:tc>
        <w:tc>
          <w:tcPr>
            <w:tcW w:w="896" w:type="dxa"/>
            <w:vMerge w:val="continue"/>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rPr>
                <w:rFonts w:ascii="宋体" w:cs="宋体"/>
                <w:color w:val="000000" w:themeColor="text1"/>
                <w:kern w:val="0"/>
                <w:sz w:val="22"/>
                <w:szCs w:val="22"/>
                <w:lang w:val="zh-CN"/>
              </w:rPr>
            </w:pPr>
          </w:p>
        </w:tc>
        <w:tc>
          <w:tcPr>
            <w:tcW w:w="2561"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效果灯光工程系统维护管理（不含灯光工程材料费用）</w:t>
            </w:r>
          </w:p>
        </w:tc>
        <w:tc>
          <w:tcPr>
            <w:tcW w:w="5723" w:type="dxa"/>
            <w:vMerge w:val="continue"/>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rPr>
                <w:rFonts w:ascii="宋体" w:cs="宋体"/>
                <w:color w:val="000000" w:themeColor="text1"/>
                <w:kern w:val="0"/>
                <w:sz w:val="22"/>
                <w:szCs w:val="22"/>
                <w:lang w:val="zh-CN"/>
              </w:rPr>
            </w:pPr>
          </w:p>
        </w:tc>
      </w:tr>
      <w:tr>
        <w:tblPrEx>
          <w:tblCellMar>
            <w:top w:w="0" w:type="dxa"/>
            <w:left w:w="108" w:type="dxa"/>
            <w:bottom w:w="0" w:type="dxa"/>
            <w:right w:w="108" w:type="dxa"/>
          </w:tblCellMar>
        </w:tblPrEx>
        <w:trPr>
          <w:trHeight w:val="2481" w:hRule="atLeast"/>
          <w:jc w:val="center"/>
        </w:trPr>
        <w:tc>
          <w:tcPr>
            <w:tcW w:w="724"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jc w:val="center"/>
              <w:rPr>
                <w:rFonts w:ascii="宋体" w:cs="宋体"/>
                <w:color w:val="000000" w:themeColor="text1"/>
                <w:kern w:val="0"/>
                <w:sz w:val="22"/>
                <w:szCs w:val="22"/>
                <w:lang w:val="zh-CN"/>
              </w:rPr>
            </w:pPr>
            <w:r>
              <w:rPr>
                <w:rFonts w:ascii="宋体" w:cs="宋体"/>
                <w:color w:val="000000" w:themeColor="text1"/>
                <w:kern w:val="0"/>
                <w:szCs w:val="21"/>
                <w:lang w:val="zh-CN"/>
              </w:rPr>
              <w:t>5</w:t>
            </w:r>
          </w:p>
        </w:tc>
        <w:tc>
          <w:tcPr>
            <w:tcW w:w="896"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消防系统维护管理</w:t>
            </w:r>
          </w:p>
        </w:tc>
        <w:tc>
          <w:tcPr>
            <w:tcW w:w="2561"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before="25" w:after="60"/>
              <w:ind w:left="218" w:hanging="218"/>
              <w:jc w:val="left"/>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火灾自动报警系统</w:t>
            </w:r>
            <w:r>
              <w:rPr>
                <w:rFonts w:ascii="宋体" w:cs="宋体"/>
                <w:color w:val="000000" w:themeColor="text1"/>
                <w:kern w:val="0"/>
                <w:szCs w:val="21"/>
                <w:lang w:val="zh-CN"/>
              </w:rPr>
              <w:t>(</w:t>
            </w:r>
            <w:r>
              <w:rPr>
                <w:rFonts w:hint="eastAsia" w:ascii="宋体" w:cs="宋体"/>
                <w:color w:val="000000" w:themeColor="text1"/>
                <w:kern w:val="0"/>
                <w:szCs w:val="21"/>
                <w:lang w:val="zh-CN"/>
              </w:rPr>
              <w:t>联动系统</w:t>
            </w:r>
            <w:r>
              <w:rPr>
                <w:rFonts w:ascii="宋体" w:cs="宋体"/>
                <w:color w:val="000000" w:themeColor="text1"/>
                <w:kern w:val="0"/>
                <w:szCs w:val="21"/>
                <w:lang w:val="zh-CN"/>
              </w:rPr>
              <w:t>)</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消防广播及电话系统</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3.</w:t>
            </w:r>
            <w:r>
              <w:rPr>
                <w:rFonts w:hint="eastAsia" w:ascii="宋体" w:cs="宋体"/>
                <w:color w:val="000000" w:themeColor="text1"/>
                <w:kern w:val="0"/>
                <w:szCs w:val="21"/>
                <w:lang w:val="zh-CN"/>
              </w:rPr>
              <w:t>消防水系统、气系统</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4.</w:t>
            </w:r>
            <w:r>
              <w:rPr>
                <w:rFonts w:hint="eastAsia" w:ascii="宋体" w:cs="宋体"/>
                <w:color w:val="000000" w:themeColor="text1"/>
                <w:kern w:val="0"/>
                <w:szCs w:val="21"/>
                <w:lang w:val="zh-CN"/>
              </w:rPr>
              <w:t>防排烟系统</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5.</w:t>
            </w:r>
            <w:r>
              <w:rPr>
                <w:rFonts w:hint="eastAsia" w:ascii="宋体" w:cs="宋体"/>
                <w:color w:val="000000" w:themeColor="text1"/>
                <w:kern w:val="0"/>
                <w:szCs w:val="21"/>
                <w:lang w:val="zh-CN"/>
              </w:rPr>
              <w:t>应急照明系统</w:t>
            </w:r>
          </w:p>
          <w:p>
            <w:pPr>
              <w:autoSpaceDE w:val="0"/>
              <w:autoSpaceDN w:val="0"/>
              <w:adjustRightInd w:val="0"/>
              <w:spacing w:after="60"/>
              <w:rPr>
                <w:rFonts w:ascii="宋体" w:cs="宋体"/>
                <w:color w:val="000000" w:themeColor="text1"/>
                <w:kern w:val="0"/>
                <w:sz w:val="22"/>
                <w:szCs w:val="22"/>
                <w:lang w:val="zh-CN"/>
              </w:rPr>
            </w:pPr>
            <w:r>
              <w:rPr>
                <w:rFonts w:ascii="宋体" w:cs="宋体"/>
                <w:color w:val="000000" w:themeColor="text1"/>
                <w:kern w:val="0"/>
                <w:szCs w:val="21"/>
                <w:lang w:val="zh-CN"/>
              </w:rPr>
              <w:t>6.</w:t>
            </w:r>
            <w:r>
              <w:rPr>
                <w:rFonts w:hint="eastAsia" w:ascii="宋体" w:cs="宋体"/>
                <w:color w:val="000000" w:themeColor="text1"/>
                <w:kern w:val="0"/>
                <w:szCs w:val="21"/>
                <w:lang w:val="zh-CN"/>
              </w:rPr>
              <w:t>其它设备设施</w:t>
            </w:r>
          </w:p>
        </w:tc>
        <w:tc>
          <w:tcPr>
            <w:tcW w:w="5723"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）加强日常检查巡视，确保消防控制中心及消防系统的设施、阀门润滑油保养、线路齐全，完好无损，随时可启用，定期进行联动测试，确保整个系统反应正常；</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）落实消防安全责任人、义务消防人员，定期进行演练，开展消防知识及法规的宣传教育，杜绝火灾事故发生。</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3</w:t>
            </w:r>
            <w:r>
              <w:rPr>
                <w:rFonts w:hint="eastAsia" w:ascii="宋体" w:cs="宋体"/>
                <w:color w:val="000000" w:themeColor="text1"/>
                <w:kern w:val="0"/>
                <w:szCs w:val="21"/>
                <w:lang w:val="zh-CN"/>
              </w:rPr>
              <w:t>）制定突发性火灾等应急处理方案，设立消防疏散示意图，保证紧急疏散通道畅通，照明设备、引路标志完好。定期对消防系统进行保养维护以及定期进行消防宣传及培训。</w:t>
            </w:r>
          </w:p>
          <w:p>
            <w:pPr>
              <w:autoSpaceDE w:val="0"/>
              <w:autoSpaceDN w:val="0"/>
              <w:adjustRightInd w:val="0"/>
              <w:spacing w:before="25" w:after="60"/>
              <w:jc w:val="left"/>
              <w:rPr>
                <w:rFonts w:ascii="宋体" w:cs="宋体"/>
                <w:color w:val="000000" w:themeColor="text1"/>
                <w:kern w:val="0"/>
                <w:sz w:val="22"/>
                <w:szCs w:val="22"/>
                <w:lang w:val="zh-CN"/>
              </w:rPr>
            </w:pPr>
            <w:r>
              <w:rPr>
                <w:rFonts w:ascii="宋体" w:cs="宋体"/>
                <w:color w:val="000000" w:themeColor="text1"/>
                <w:kern w:val="0"/>
                <w:szCs w:val="21"/>
                <w:lang w:val="zh-CN"/>
              </w:rPr>
              <w:t>4</w:t>
            </w:r>
            <w:r>
              <w:rPr>
                <w:rFonts w:hint="eastAsia" w:ascii="宋体" w:cs="宋体"/>
                <w:color w:val="000000" w:themeColor="text1"/>
                <w:kern w:val="0"/>
                <w:szCs w:val="21"/>
                <w:lang w:val="zh-CN"/>
              </w:rPr>
              <w:t>）及时发现并排除火灾等安全隐患，以及消防设备故障。</w:t>
            </w:r>
          </w:p>
        </w:tc>
      </w:tr>
      <w:tr>
        <w:tblPrEx>
          <w:tblCellMar>
            <w:top w:w="0" w:type="dxa"/>
            <w:left w:w="108" w:type="dxa"/>
            <w:bottom w:w="0" w:type="dxa"/>
            <w:right w:w="108" w:type="dxa"/>
          </w:tblCellMar>
        </w:tblPrEx>
        <w:trPr>
          <w:trHeight w:val="395" w:hRule="atLeast"/>
          <w:jc w:val="center"/>
        </w:trPr>
        <w:tc>
          <w:tcPr>
            <w:tcW w:w="724"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jc w:val="center"/>
              <w:rPr>
                <w:rFonts w:ascii="宋体" w:cs="宋体"/>
                <w:color w:val="000000" w:themeColor="text1"/>
                <w:kern w:val="0"/>
                <w:sz w:val="22"/>
                <w:szCs w:val="22"/>
                <w:lang w:val="zh-CN"/>
              </w:rPr>
            </w:pPr>
            <w:r>
              <w:rPr>
                <w:rFonts w:ascii="宋体" w:cs="宋体"/>
                <w:color w:val="000000" w:themeColor="text1"/>
                <w:kern w:val="0"/>
                <w:szCs w:val="21"/>
                <w:lang w:val="zh-CN"/>
              </w:rPr>
              <w:t>6</w:t>
            </w:r>
          </w:p>
        </w:tc>
        <w:tc>
          <w:tcPr>
            <w:tcW w:w="896"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空调系统维护</w:t>
            </w:r>
          </w:p>
        </w:tc>
        <w:tc>
          <w:tcPr>
            <w:tcW w:w="2561"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before="25" w:after="60"/>
              <w:jc w:val="left"/>
              <w:rPr>
                <w:rFonts w:ascii="宋体" w:cs="宋体"/>
                <w:color w:val="000000" w:themeColor="text1"/>
                <w:kern w:val="0"/>
                <w:sz w:val="22"/>
                <w:szCs w:val="22"/>
                <w:lang w:val="zh-CN"/>
              </w:rPr>
            </w:pPr>
            <w:r>
              <w:rPr>
                <w:rFonts w:hint="eastAsia" w:ascii="宋体" w:cs="宋体"/>
                <w:color w:val="000000" w:themeColor="text1"/>
                <w:kern w:val="0"/>
                <w:szCs w:val="21"/>
                <w:lang w:val="zh-CN"/>
              </w:rPr>
              <w:t>空调设备运行维护</w:t>
            </w:r>
          </w:p>
        </w:tc>
        <w:tc>
          <w:tcPr>
            <w:tcW w:w="5723"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）建立规范完善的空调运行、安全操作规程、维修保养制度，并严格执行。</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）保证空调系统安全运行、正常使用。运行中无超标噪音和滴漏水现象。</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3</w:t>
            </w:r>
            <w:r>
              <w:rPr>
                <w:rFonts w:hint="eastAsia" w:ascii="宋体" w:cs="宋体"/>
                <w:color w:val="000000" w:themeColor="text1"/>
                <w:kern w:val="0"/>
                <w:szCs w:val="21"/>
                <w:lang w:val="zh-CN"/>
              </w:rPr>
              <w:t>）有准确完整的空调系统档案资料</w:t>
            </w:r>
            <w:r>
              <w:rPr>
                <w:rFonts w:ascii="宋体" w:cs="宋体"/>
                <w:color w:val="000000" w:themeColor="text1"/>
                <w:kern w:val="0"/>
                <w:szCs w:val="21"/>
                <w:lang w:val="zh-CN"/>
              </w:rPr>
              <w:t>,</w:t>
            </w:r>
            <w:r>
              <w:rPr>
                <w:rFonts w:hint="eastAsia" w:ascii="宋体" w:cs="宋体"/>
                <w:color w:val="000000" w:themeColor="text1"/>
                <w:kern w:val="0"/>
                <w:szCs w:val="21"/>
                <w:lang w:val="zh-CN"/>
              </w:rPr>
              <w:t>各项运行记录和维修保养记录齐全</w:t>
            </w:r>
            <w:r>
              <w:rPr>
                <w:rFonts w:ascii="宋体" w:cs="宋体"/>
                <w:color w:val="000000" w:themeColor="text1"/>
                <w:kern w:val="0"/>
                <w:szCs w:val="21"/>
                <w:lang w:val="zh-CN"/>
              </w:rPr>
              <w:t>,</w:t>
            </w:r>
            <w:r>
              <w:rPr>
                <w:rFonts w:hint="eastAsia" w:ascii="宋体" w:cs="宋体"/>
                <w:color w:val="000000" w:themeColor="text1"/>
                <w:kern w:val="0"/>
                <w:szCs w:val="21"/>
                <w:lang w:val="zh-CN"/>
              </w:rPr>
              <w:t>并归档。</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4</w:t>
            </w:r>
            <w:r>
              <w:rPr>
                <w:rFonts w:hint="eastAsia" w:ascii="宋体" w:cs="宋体"/>
                <w:color w:val="000000" w:themeColor="text1"/>
                <w:kern w:val="0"/>
                <w:szCs w:val="21"/>
                <w:lang w:val="zh-CN"/>
              </w:rPr>
              <w:t>）制定切实可行节能降耗措施，应有明显节能降耗成果。</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5</w:t>
            </w:r>
            <w:r>
              <w:rPr>
                <w:rFonts w:hint="eastAsia" w:ascii="宋体" w:cs="宋体"/>
                <w:color w:val="000000" w:themeColor="text1"/>
                <w:kern w:val="0"/>
                <w:szCs w:val="21"/>
                <w:lang w:val="zh-CN"/>
              </w:rPr>
              <w:t>）定期检修养护空调设备末端，保证空调设备、设施处于良好状态。</w:t>
            </w:r>
          </w:p>
          <w:p>
            <w:pPr>
              <w:autoSpaceDE w:val="0"/>
              <w:autoSpaceDN w:val="0"/>
              <w:adjustRightInd w:val="0"/>
              <w:rPr>
                <w:rFonts w:ascii="宋体" w:cs="宋体"/>
                <w:color w:val="000000" w:themeColor="text1"/>
                <w:kern w:val="0"/>
                <w:sz w:val="22"/>
                <w:szCs w:val="22"/>
                <w:lang w:val="zh-CN"/>
              </w:rPr>
            </w:pPr>
            <w:r>
              <w:rPr>
                <w:rFonts w:ascii="宋体" w:cs="宋体"/>
                <w:color w:val="000000" w:themeColor="text1"/>
                <w:kern w:val="0"/>
                <w:szCs w:val="21"/>
                <w:lang w:val="zh-CN"/>
              </w:rPr>
              <w:t>6</w:t>
            </w:r>
            <w:r>
              <w:rPr>
                <w:rFonts w:hint="eastAsia" w:ascii="宋体" w:cs="宋体"/>
                <w:color w:val="000000" w:themeColor="text1"/>
                <w:kern w:val="0"/>
                <w:szCs w:val="21"/>
                <w:lang w:val="zh-CN"/>
              </w:rPr>
              <w:t>）定期对冷冻水、冷却水系统进行杀菌灭藻处理及除浮锈、除油化学清洗。开机阶段，每周加药一次，每月清洗冷却塔塔盘一次，并进行排污。冷冻水系统每季度、冷却水系统每月取水样进行一次检测并出具检测结果，确保水质符合如下要求：冷却水pH值</w:t>
            </w:r>
            <w:r>
              <w:rPr>
                <w:rFonts w:ascii="宋体" w:cs="宋体"/>
                <w:color w:val="000000" w:themeColor="text1"/>
                <w:kern w:val="0"/>
                <w:szCs w:val="21"/>
                <w:lang w:val="zh-CN"/>
              </w:rPr>
              <w:t>6.5</w:t>
            </w:r>
            <w:r>
              <w:rPr>
                <w:rFonts w:hint="eastAsia" w:ascii="宋体" w:cs="宋体"/>
                <w:color w:val="000000" w:themeColor="text1"/>
                <w:kern w:val="0"/>
                <w:szCs w:val="21"/>
                <w:lang w:val="zh-CN"/>
              </w:rPr>
              <w:t>～</w:t>
            </w:r>
            <w:r>
              <w:rPr>
                <w:rFonts w:ascii="宋体" w:cs="宋体"/>
                <w:color w:val="000000" w:themeColor="text1"/>
                <w:kern w:val="0"/>
                <w:szCs w:val="21"/>
                <w:lang w:val="zh-CN"/>
              </w:rPr>
              <w:t>8.5,</w:t>
            </w:r>
            <w:r>
              <w:rPr>
                <w:rFonts w:hint="eastAsia" w:ascii="宋体" w:cs="宋体"/>
                <w:color w:val="000000" w:themeColor="text1"/>
                <w:kern w:val="0"/>
                <w:szCs w:val="21"/>
                <w:lang w:val="zh-CN"/>
              </w:rPr>
              <w:t>浊度≤</w:t>
            </w:r>
            <w:r>
              <w:rPr>
                <w:rFonts w:ascii="宋体" w:cs="宋体"/>
                <w:color w:val="000000" w:themeColor="text1"/>
                <w:kern w:val="0"/>
                <w:szCs w:val="21"/>
                <w:lang w:val="zh-CN"/>
              </w:rPr>
              <w:t>600PPM(</w:t>
            </w:r>
            <w:r>
              <w:rPr>
                <w:rFonts w:hint="eastAsia" w:ascii="宋体" w:cs="宋体"/>
                <w:color w:val="000000" w:themeColor="text1"/>
                <w:kern w:val="0"/>
                <w:szCs w:val="21"/>
                <w:lang w:val="zh-CN"/>
              </w:rPr>
              <w:t>以</w:t>
            </w:r>
            <w:r>
              <w:rPr>
                <w:rFonts w:ascii="宋体" w:cs="宋体"/>
                <w:color w:val="000000" w:themeColor="text1"/>
                <w:kern w:val="0"/>
                <w:szCs w:val="21"/>
                <w:lang w:val="zh-CN"/>
              </w:rPr>
              <w:t>caco</w:t>
            </w:r>
            <w:r>
              <w:rPr>
                <w:rFonts w:ascii="宋体" w:cs="宋体"/>
                <w:color w:val="000000" w:themeColor="text1"/>
                <w:kern w:val="0"/>
                <w:szCs w:val="21"/>
                <w:vertAlign w:val="subscript"/>
                <w:lang w:val="zh-CN"/>
              </w:rPr>
              <w:t>3</w:t>
            </w:r>
            <w:r>
              <w:rPr>
                <w:rFonts w:hint="eastAsia" w:ascii="宋体" w:cs="宋体"/>
                <w:color w:val="000000" w:themeColor="text1"/>
                <w:kern w:val="0"/>
                <w:szCs w:val="21"/>
                <w:lang w:val="zh-CN"/>
              </w:rPr>
              <w:t>计</w:t>
            </w:r>
            <w:r>
              <w:rPr>
                <w:rFonts w:ascii="宋体" w:cs="宋体"/>
                <w:color w:val="000000" w:themeColor="text1"/>
                <w:kern w:val="0"/>
                <w:szCs w:val="21"/>
                <w:lang w:val="zh-CN"/>
              </w:rPr>
              <w:t>),</w:t>
            </w:r>
            <w:r>
              <w:rPr>
                <w:rFonts w:hint="eastAsia" w:ascii="宋体" w:cs="宋体"/>
                <w:color w:val="000000" w:themeColor="text1"/>
                <w:kern w:val="0"/>
                <w:szCs w:val="21"/>
                <w:lang w:val="zh-CN"/>
              </w:rPr>
              <w:t>总碱度≤</w:t>
            </w:r>
            <w:r>
              <w:rPr>
                <w:rFonts w:ascii="宋体" w:cs="宋体"/>
                <w:color w:val="000000" w:themeColor="text1"/>
                <w:kern w:val="0"/>
                <w:szCs w:val="21"/>
                <w:lang w:val="zh-CN"/>
              </w:rPr>
              <w:t>5me/1,</w:t>
            </w:r>
            <w:r>
              <w:rPr>
                <w:rFonts w:hint="eastAsia" w:ascii="宋体" w:cs="宋体"/>
                <w:color w:val="000000" w:themeColor="text1"/>
                <w:kern w:val="0"/>
                <w:szCs w:val="21"/>
                <w:lang w:val="zh-CN"/>
              </w:rPr>
              <w:t>总铁≤</w:t>
            </w:r>
            <w:r>
              <w:rPr>
                <w:rFonts w:ascii="宋体" w:cs="宋体"/>
                <w:color w:val="000000" w:themeColor="text1"/>
                <w:kern w:val="0"/>
                <w:szCs w:val="21"/>
                <w:lang w:val="zh-CN"/>
              </w:rPr>
              <w:t>1PPM,</w:t>
            </w:r>
            <w:r>
              <w:rPr>
                <w:rFonts w:hint="eastAsia" w:ascii="宋体" w:cs="宋体"/>
                <w:color w:val="000000" w:themeColor="text1"/>
                <w:kern w:val="0"/>
                <w:szCs w:val="21"/>
                <w:lang w:val="zh-CN"/>
              </w:rPr>
              <w:t>总铜≤</w:t>
            </w:r>
            <w:r>
              <w:rPr>
                <w:rFonts w:ascii="宋体" w:cs="宋体"/>
                <w:color w:val="000000" w:themeColor="text1"/>
                <w:kern w:val="0"/>
                <w:szCs w:val="21"/>
                <w:lang w:val="zh-CN"/>
              </w:rPr>
              <w:t>0.2PPM,</w:t>
            </w:r>
            <w:r>
              <w:rPr>
                <w:rFonts w:hint="eastAsia" w:ascii="宋体" w:cs="宋体"/>
                <w:color w:val="000000" w:themeColor="text1"/>
                <w:kern w:val="0"/>
                <w:szCs w:val="21"/>
                <w:lang w:val="zh-CN"/>
              </w:rPr>
              <w:t>细菌数≤</w:t>
            </w:r>
            <w:r>
              <w:rPr>
                <w:rFonts w:ascii="宋体" w:cs="宋体"/>
                <w:color w:val="000000" w:themeColor="text1"/>
                <w:kern w:val="0"/>
                <w:szCs w:val="21"/>
                <w:lang w:val="zh-CN"/>
              </w:rPr>
              <w:t>100000</w:t>
            </w:r>
            <w:r>
              <w:rPr>
                <w:rFonts w:hint="eastAsia" w:ascii="宋体" w:cs="宋体"/>
                <w:color w:val="000000" w:themeColor="text1"/>
                <w:kern w:val="0"/>
                <w:szCs w:val="21"/>
                <w:lang w:val="zh-CN"/>
              </w:rPr>
              <w:t>～－</w:t>
            </w:r>
            <w:r>
              <w:rPr>
                <w:rFonts w:ascii="宋体" w:cs="宋体"/>
                <w:color w:val="000000" w:themeColor="text1"/>
                <w:kern w:val="0"/>
                <w:szCs w:val="21"/>
                <w:lang w:val="zh-CN"/>
              </w:rPr>
              <w:t>1000000</w:t>
            </w:r>
            <w:r>
              <w:rPr>
                <w:rFonts w:hint="eastAsia" w:ascii="宋体" w:cs="宋体"/>
                <w:color w:val="000000" w:themeColor="text1"/>
                <w:kern w:val="0"/>
                <w:szCs w:val="21"/>
                <w:lang w:val="zh-CN"/>
              </w:rPr>
              <w:t>个</w:t>
            </w:r>
            <w:r>
              <w:rPr>
                <w:rFonts w:ascii="宋体" w:cs="宋体"/>
                <w:color w:val="000000" w:themeColor="text1"/>
                <w:kern w:val="0"/>
                <w:szCs w:val="21"/>
                <w:lang w:val="zh-CN"/>
              </w:rPr>
              <w:t>/M 1</w:t>
            </w:r>
            <w:r>
              <w:rPr>
                <w:rFonts w:hint="eastAsia" w:ascii="宋体" w:cs="宋体"/>
                <w:color w:val="000000" w:themeColor="text1"/>
                <w:kern w:val="0"/>
                <w:szCs w:val="21"/>
                <w:lang w:val="zh-CN"/>
              </w:rPr>
              <w:t>。冷冻水pH值</w:t>
            </w:r>
            <w:r>
              <w:rPr>
                <w:rFonts w:ascii="宋体" w:cs="宋体"/>
                <w:color w:val="000000" w:themeColor="text1"/>
                <w:kern w:val="0"/>
                <w:szCs w:val="21"/>
                <w:lang w:val="zh-CN"/>
              </w:rPr>
              <w:t>8.5</w:t>
            </w:r>
            <w:r>
              <w:rPr>
                <w:rFonts w:hint="eastAsia" w:ascii="宋体" w:cs="宋体"/>
                <w:color w:val="000000" w:themeColor="text1"/>
                <w:kern w:val="0"/>
                <w:szCs w:val="21"/>
                <w:lang w:val="zh-CN"/>
              </w:rPr>
              <w:t>～</w:t>
            </w:r>
            <w:r>
              <w:rPr>
                <w:rFonts w:ascii="宋体" w:cs="宋体"/>
                <w:color w:val="000000" w:themeColor="text1"/>
                <w:kern w:val="0"/>
                <w:szCs w:val="21"/>
                <w:lang w:val="zh-CN"/>
              </w:rPr>
              <w:t>10</w:t>
            </w:r>
            <w:r>
              <w:rPr>
                <w:rFonts w:hint="eastAsia" w:ascii="宋体" w:cs="宋体"/>
                <w:color w:val="000000" w:themeColor="text1"/>
                <w:kern w:val="0"/>
                <w:szCs w:val="21"/>
                <w:lang w:val="zh-CN"/>
              </w:rPr>
              <w:t>，钢腐蚀率≤±</w:t>
            </w:r>
            <w:r>
              <w:rPr>
                <w:rFonts w:ascii="宋体" w:cs="宋体"/>
                <w:color w:val="000000" w:themeColor="text1"/>
                <w:kern w:val="0"/>
                <w:szCs w:val="21"/>
                <w:lang w:val="zh-CN"/>
              </w:rPr>
              <w:t>0.6mg/cm</w:t>
            </w:r>
            <w:r>
              <w:rPr>
                <w:rFonts w:ascii="宋体" w:cs="宋体"/>
                <w:color w:val="000000" w:themeColor="text1"/>
                <w:kern w:val="0"/>
                <w:szCs w:val="21"/>
                <w:vertAlign w:val="superscript"/>
                <w:lang w:val="zh-CN"/>
              </w:rPr>
              <w:t>2</w:t>
            </w:r>
            <w:r>
              <w:rPr>
                <w:rFonts w:ascii="宋体" w:cs="宋体"/>
                <w:color w:val="000000" w:themeColor="text1"/>
                <w:kern w:val="0"/>
                <w:szCs w:val="21"/>
                <w:lang w:val="zh-CN"/>
              </w:rPr>
              <w:t>,</w:t>
            </w:r>
            <w:r>
              <w:rPr>
                <w:rFonts w:hint="eastAsia" w:ascii="宋体" w:cs="宋体"/>
                <w:color w:val="000000" w:themeColor="text1"/>
                <w:kern w:val="0"/>
                <w:szCs w:val="21"/>
                <w:lang w:val="zh-CN"/>
              </w:rPr>
              <w:t>细菌数≤</w:t>
            </w:r>
            <w:r>
              <w:rPr>
                <w:rFonts w:ascii="宋体" w:cs="宋体"/>
                <w:color w:val="000000" w:themeColor="text1"/>
                <w:kern w:val="0"/>
                <w:szCs w:val="21"/>
                <w:lang w:val="zh-CN"/>
              </w:rPr>
              <w:t>100000-1000000</w:t>
            </w:r>
            <w:r>
              <w:rPr>
                <w:rFonts w:hint="eastAsia" w:ascii="宋体" w:cs="宋体"/>
                <w:color w:val="000000" w:themeColor="text1"/>
                <w:kern w:val="0"/>
                <w:szCs w:val="21"/>
                <w:lang w:val="zh-CN"/>
              </w:rPr>
              <w:t>个</w:t>
            </w:r>
            <w:r>
              <w:rPr>
                <w:rFonts w:ascii="宋体" w:cs="宋体"/>
                <w:color w:val="000000" w:themeColor="text1"/>
                <w:kern w:val="0"/>
                <w:szCs w:val="21"/>
                <w:lang w:val="zh-CN"/>
              </w:rPr>
              <w:t>/ml</w:t>
            </w:r>
            <w:r>
              <w:rPr>
                <w:rFonts w:hint="eastAsia" w:ascii="宋体" w:cs="宋体"/>
                <w:color w:val="000000" w:themeColor="text1"/>
                <w:kern w:val="0"/>
                <w:szCs w:val="21"/>
                <w:lang w:val="zh-CN"/>
              </w:rPr>
              <w:t>。</w:t>
            </w:r>
          </w:p>
        </w:tc>
      </w:tr>
      <w:tr>
        <w:tblPrEx>
          <w:tblCellMar>
            <w:top w:w="0" w:type="dxa"/>
            <w:left w:w="108" w:type="dxa"/>
            <w:bottom w:w="0" w:type="dxa"/>
            <w:right w:w="108" w:type="dxa"/>
          </w:tblCellMar>
        </w:tblPrEx>
        <w:trPr>
          <w:trHeight w:val="1640" w:hRule="atLeast"/>
          <w:jc w:val="center"/>
        </w:trPr>
        <w:tc>
          <w:tcPr>
            <w:tcW w:w="724"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jc w:val="center"/>
              <w:rPr>
                <w:rFonts w:ascii="宋体" w:cs="宋体"/>
                <w:color w:val="000000" w:themeColor="text1"/>
                <w:kern w:val="0"/>
                <w:sz w:val="22"/>
                <w:szCs w:val="22"/>
                <w:lang w:val="zh-CN"/>
              </w:rPr>
            </w:pPr>
            <w:r>
              <w:rPr>
                <w:rFonts w:ascii="宋体" w:cs="宋体"/>
                <w:color w:val="000000" w:themeColor="text1"/>
                <w:kern w:val="0"/>
                <w:szCs w:val="21"/>
                <w:lang w:val="zh-CN"/>
              </w:rPr>
              <w:t>7</w:t>
            </w:r>
          </w:p>
        </w:tc>
        <w:tc>
          <w:tcPr>
            <w:tcW w:w="896"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智能化系统</w:t>
            </w:r>
          </w:p>
        </w:tc>
        <w:tc>
          <w:tcPr>
            <w:tcW w:w="2561"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before="25" w:after="60"/>
              <w:jc w:val="left"/>
              <w:rPr>
                <w:rFonts w:ascii="宋体" w:cs="宋体"/>
                <w:color w:val="000000" w:themeColor="text1"/>
                <w:kern w:val="0"/>
                <w:sz w:val="22"/>
                <w:szCs w:val="22"/>
                <w:lang w:val="zh-CN"/>
              </w:rPr>
            </w:pPr>
            <w:r>
              <w:rPr>
                <w:rFonts w:hint="eastAsia" w:ascii="宋体" w:cs="宋体"/>
                <w:color w:val="000000" w:themeColor="text1"/>
                <w:kern w:val="0"/>
                <w:szCs w:val="21"/>
                <w:lang w:val="zh-CN"/>
              </w:rPr>
              <w:t>智能化系统运行管理维护</w:t>
            </w:r>
          </w:p>
        </w:tc>
        <w:tc>
          <w:tcPr>
            <w:tcW w:w="5723"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）协助采购单位做好运行管理维护</w:t>
            </w:r>
          </w:p>
          <w:p>
            <w:pPr>
              <w:autoSpaceDE w:val="0"/>
              <w:autoSpaceDN w:val="0"/>
              <w:adjustRightInd w:val="0"/>
              <w:spacing w:before="25" w:after="60"/>
              <w:jc w:val="left"/>
              <w:rPr>
                <w:rFonts w:ascii="宋体" w:cs="宋体"/>
                <w:color w:val="000000" w:themeColor="text1"/>
                <w:kern w:val="0"/>
                <w:szCs w:val="21"/>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）消防报警主机模拟报警正常。探测器、报警器完好、有效，接线牢固可靠。</w:t>
            </w:r>
          </w:p>
          <w:p>
            <w:pPr>
              <w:autoSpaceDE w:val="0"/>
              <w:autoSpaceDN w:val="0"/>
              <w:adjustRightInd w:val="0"/>
              <w:spacing w:before="25" w:after="60"/>
              <w:jc w:val="left"/>
              <w:rPr>
                <w:rFonts w:ascii="宋体" w:cs="宋体"/>
                <w:color w:val="000000" w:themeColor="text1"/>
                <w:kern w:val="0"/>
                <w:sz w:val="22"/>
                <w:szCs w:val="22"/>
                <w:lang w:val="zh-CN"/>
              </w:rPr>
            </w:pPr>
            <w:r>
              <w:rPr>
                <w:rFonts w:ascii="宋体" w:cs="宋体"/>
                <w:color w:val="000000" w:themeColor="text1"/>
                <w:kern w:val="0"/>
                <w:szCs w:val="21"/>
                <w:lang w:val="zh-CN"/>
              </w:rPr>
              <w:t>3</w:t>
            </w:r>
            <w:r>
              <w:rPr>
                <w:rFonts w:hint="eastAsia" w:ascii="宋体" w:cs="宋体"/>
                <w:color w:val="000000" w:themeColor="text1"/>
                <w:kern w:val="0"/>
                <w:szCs w:val="21"/>
                <w:lang w:val="zh-CN"/>
              </w:rPr>
              <w:t>）报警广播系统音质清晰、噪声低。</w:t>
            </w:r>
          </w:p>
        </w:tc>
      </w:tr>
    </w:tbl>
    <w:p>
      <w:pPr>
        <w:autoSpaceDE w:val="0"/>
        <w:autoSpaceDN w:val="0"/>
        <w:adjustRightInd w:val="0"/>
        <w:spacing w:after="60"/>
        <w:rPr>
          <w:rFonts w:ascii="宋体" w:cs="宋体"/>
          <w:color w:val="000000" w:themeColor="text1"/>
          <w:kern w:val="0"/>
          <w:szCs w:val="21"/>
        </w:rPr>
      </w:pPr>
      <w:r>
        <w:rPr>
          <w:rFonts w:ascii="宋体" w:cs="宋体"/>
          <w:color w:val="000000" w:themeColor="text1"/>
          <w:kern w:val="0"/>
          <w:szCs w:val="21"/>
        </w:rPr>
        <w:t>以上服务依据服务合同由采购人另行支付费用，由中标人执行。</w:t>
      </w:r>
    </w:p>
    <w:p>
      <w:pPr>
        <w:autoSpaceDE w:val="0"/>
        <w:autoSpaceDN w:val="0"/>
        <w:adjustRightInd w:val="0"/>
        <w:spacing w:after="60"/>
        <w:rPr>
          <w:rFonts w:ascii="宋体" w:cs="宋体"/>
          <w:color w:val="000000" w:themeColor="text1"/>
          <w:kern w:val="0"/>
          <w:szCs w:val="21"/>
          <w:lang w:val="zh-CN"/>
        </w:rPr>
      </w:pPr>
      <w:r>
        <w:rPr>
          <w:rFonts w:hint="eastAsia" w:ascii="宋体" w:cs="宋体"/>
          <w:color w:val="000000" w:themeColor="text1"/>
          <w:kern w:val="0"/>
          <w:szCs w:val="21"/>
          <w:lang w:val="zh-CN"/>
        </w:rPr>
        <w:t>（</w:t>
      </w:r>
      <w:r>
        <w:rPr>
          <w:rFonts w:ascii="宋体" w:cs="宋体"/>
          <w:color w:val="000000" w:themeColor="text1"/>
          <w:kern w:val="0"/>
          <w:szCs w:val="21"/>
          <w:lang w:val="zh-CN"/>
        </w:rPr>
        <w:t>10</w:t>
      </w:r>
      <w:r>
        <w:rPr>
          <w:rFonts w:hint="eastAsia" w:ascii="宋体" w:cs="宋体"/>
          <w:color w:val="000000" w:themeColor="text1"/>
          <w:kern w:val="0"/>
          <w:szCs w:val="21"/>
          <w:lang w:val="zh-CN"/>
        </w:rPr>
        <w:t>）公共设施日常维修养护计划及实施方案：见下表</w:t>
      </w:r>
    </w:p>
    <w:tbl>
      <w:tblPr>
        <w:tblStyle w:val="42"/>
        <w:tblW w:w="9947" w:type="dxa"/>
        <w:jc w:val="center"/>
        <w:tblLayout w:type="fixed"/>
        <w:tblCellMar>
          <w:top w:w="0" w:type="dxa"/>
          <w:left w:w="108" w:type="dxa"/>
          <w:bottom w:w="0" w:type="dxa"/>
          <w:right w:w="108" w:type="dxa"/>
        </w:tblCellMar>
      </w:tblPr>
      <w:tblGrid>
        <w:gridCol w:w="808"/>
        <w:gridCol w:w="1443"/>
        <w:gridCol w:w="2325"/>
        <w:gridCol w:w="5371"/>
      </w:tblGrid>
      <w:tr>
        <w:tblPrEx>
          <w:tblCellMar>
            <w:top w:w="0" w:type="dxa"/>
            <w:left w:w="108" w:type="dxa"/>
            <w:bottom w:w="0" w:type="dxa"/>
            <w:right w:w="108" w:type="dxa"/>
          </w:tblCellMar>
        </w:tblPrEx>
        <w:trPr>
          <w:trHeight w:val="1" w:hRule="atLeast"/>
          <w:jc w:val="center"/>
        </w:trPr>
        <w:tc>
          <w:tcPr>
            <w:tcW w:w="80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jc w:val="center"/>
              <w:rPr>
                <w:rFonts w:ascii="宋体" w:cs="宋体"/>
                <w:color w:val="000000" w:themeColor="text1"/>
                <w:kern w:val="0"/>
                <w:sz w:val="22"/>
                <w:szCs w:val="22"/>
                <w:lang w:val="zh-CN"/>
              </w:rPr>
            </w:pPr>
            <w:r>
              <w:rPr>
                <w:rFonts w:hint="eastAsia" w:ascii="宋体" w:cs="宋体"/>
                <w:b/>
                <w:bCs/>
                <w:color w:val="000000" w:themeColor="text1"/>
                <w:kern w:val="0"/>
                <w:szCs w:val="21"/>
                <w:lang w:val="zh-CN"/>
              </w:rPr>
              <w:t>序号</w:t>
            </w:r>
          </w:p>
        </w:tc>
        <w:tc>
          <w:tcPr>
            <w:tcW w:w="1443"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jc w:val="center"/>
              <w:rPr>
                <w:rFonts w:ascii="宋体" w:cs="宋体"/>
                <w:color w:val="000000" w:themeColor="text1"/>
                <w:kern w:val="0"/>
                <w:sz w:val="22"/>
                <w:szCs w:val="22"/>
                <w:lang w:val="zh-CN"/>
              </w:rPr>
            </w:pPr>
            <w:r>
              <w:rPr>
                <w:rFonts w:hint="eastAsia" w:ascii="宋体" w:cs="宋体"/>
                <w:b/>
                <w:bCs/>
                <w:color w:val="000000" w:themeColor="text1"/>
                <w:kern w:val="0"/>
                <w:szCs w:val="21"/>
                <w:lang w:val="zh-CN"/>
              </w:rPr>
              <w:t>项目</w:t>
            </w:r>
          </w:p>
        </w:tc>
        <w:tc>
          <w:tcPr>
            <w:tcW w:w="2325"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jc w:val="center"/>
              <w:rPr>
                <w:rFonts w:ascii="宋体" w:cs="宋体"/>
                <w:color w:val="000000" w:themeColor="text1"/>
                <w:kern w:val="0"/>
                <w:sz w:val="22"/>
                <w:szCs w:val="22"/>
                <w:lang w:val="zh-CN"/>
              </w:rPr>
            </w:pPr>
            <w:r>
              <w:rPr>
                <w:rFonts w:hint="eastAsia" w:ascii="宋体" w:cs="宋体"/>
                <w:b/>
                <w:bCs/>
                <w:color w:val="000000" w:themeColor="text1"/>
                <w:kern w:val="0"/>
                <w:szCs w:val="21"/>
                <w:lang w:val="zh-CN"/>
              </w:rPr>
              <w:t>维修类别划分</w:t>
            </w:r>
          </w:p>
        </w:tc>
        <w:tc>
          <w:tcPr>
            <w:tcW w:w="5371"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jc w:val="center"/>
              <w:rPr>
                <w:rFonts w:ascii="宋体" w:cs="宋体"/>
                <w:b/>
                <w:bCs/>
                <w:color w:val="000000" w:themeColor="text1"/>
                <w:kern w:val="0"/>
                <w:szCs w:val="21"/>
                <w:lang w:val="zh-CN"/>
              </w:rPr>
            </w:pPr>
            <w:r>
              <w:rPr>
                <w:rFonts w:hint="eastAsia" w:ascii="宋体" w:cs="宋体"/>
                <w:b/>
                <w:bCs/>
                <w:color w:val="000000" w:themeColor="text1"/>
                <w:kern w:val="0"/>
                <w:szCs w:val="21"/>
                <w:lang w:val="zh-CN"/>
              </w:rPr>
              <w:t>日常维修</w:t>
            </w:r>
          </w:p>
          <w:p>
            <w:pPr>
              <w:tabs>
                <w:tab w:val="left" w:pos="3600"/>
              </w:tabs>
              <w:autoSpaceDE w:val="0"/>
              <w:autoSpaceDN w:val="0"/>
              <w:adjustRightInd w:val="0"/>
              <w:spacing w:after="60"/>
              <w:jc w:val="center"/>
              <w:rPr>
                <w:rFonts w:ascii="宋体" w:cs="宋体"/>
                <w:color w:val="000000" w:themeColor="text1"/>
                <w:kern w:val="0"/>
                <w:sz w:val="22"/>
                <w:szCs w:val="22"/>
                <w:lang w:val="zh-CN"/>
              </w:rPr>
            </w:pPr>
            <w:r>
              <w:rPr>
                <w:rFonts w:hint="eastAsia" w:ascii="宋体" w:cs="宋体"/>
                <w:b/>
                <w:bCs/>
                <w:color w:val="000000" w:themeColor="text1"/>
                <w:kern w:val="0"/>
                <w:szCs w:val="21"/>
                <w:lang w:val="zh-CN"/>
              </w:rPr>
              <w:t>（计划、实施、标准、效果）</w:t>
            </w:r>
          </w:p>
        </w:tc>
      </w:tr>
      <w:tr>
        <w:tblPrEx>
          <w:tblCellMar>
            <w:top w:w="0" w:type="dxa"/>
            <w:left w:w="108" w:type="dxa"/>
            <w:bottom w:w="0" w:type="dxa"/>
            <w:right w:w="108" w:type="dxa"/>
          </w:tblCellMar>
        </w:tblPrEx>
        <w:trPr>
          <w:trHeight w:val="1" w:hRule="atLeast"/>
          <w:jc w:val="center"/>
        </w:trPr>
        <w:tc>
          <w:tcPr>
            <w:tcW w:w="80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jc w:val="center"/>
              <w:rPr>
                <w:rFonts w:ascii="宋体" w:cs="宋体"/>
                <w:color w:val="000000" w:themeColor="text1"/>
                <w:kern w:val="0"/>
                <w:sz w:val="22"/>
                <w:szCs w:val="22"/>
                <w:lang w:val="zh-CN"/>
              </w:rPr>
            </w:pPr>
            <w:r>
              <w:rPr>
                <w:rFonts w:ascii="宋体" w:cs="宋体"/>
                <w:color w:val="000000" w:themeColor="text1"/>
                <w:kern w:val="0"/>
                <w:szCs w:val="21"/>
                <w:lang w:val="zh-CN"/>
              </w:rPr>
              <w:t>1</w:t>
            </w:r>
          </w:p>
        </w:tc>
        <w:tc>
          <w:tcPr>
            <w:tcW w:w="1443"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rPr>
                <w:rFonts w:ascii="宋体" w:cs="宋体"/>
                <w:color w:val="000000" w:themeColor="text1"/>
                <w:kern w:val="0"/>
                <w:szCs w:val="21"/>
                <w:lang w:val="zh-CN"/>
              </w:rPr>
            </w:pPr>
            <w:r>
              <w:rPr>
                <w:rFonts w:hint="eastAsia" w:ascii="宋体" w:cs="宋体"/>
                <w:color w:val="000000" w:themeColor="text1"/>
                <w:kern w:val="0"/>
                <w:szCs w:val="21"/>
                <w:lang w:val="zh-CN"/>
              </w:rPr>
              <w:t>公共</w:t>
            </w:r>
          </w:p>
          <w:p>
            <w:pPr>
              <w:tabs>
                <w:tab w:val="left" w:pos="3600"/>
              </w:tabs>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屋面</w:t>
            </w:r>
          </w:p>
        </w:tc>
        <w:tc>
          <w:tcPr>
            <w:tcW w:w="2325"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220"/>
                <w:tab w:val="left" w:pos="3600"/>
              </w:tabs>
              <w:autoSpaceDE w:val="0"/>
              <w:autoSpaceDN w:val="0"/>
              <w:adjustRightInd w:val="0"/>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、隔热层破损；</w:t>
            </w:r>
          </w:p>
          <w:p>
            <w:pPr>
              <w:tabs>
                <w:tab w:val="left" w:pos="220"/>
                <w:tab w:val="left" w:pos="3600"/>
              </w:tabs>
              <w:autoSpaceDE w:val="0"/>
              <w:autoSpaceDN w:val="0"/>
              <w:adjustRightInd w:val="0"/>
              <w:rPr>
                <w:rFonts w:ascii="宋体" w:cs="宋体"/>
                <w:color w:val="000000" w:themeColor="text1"/>
                <w:kern w:val="0"/>
                <w:szCs w:val="21"/>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、防水层破损，造成屋面渗漏；</w:t>
            </w:r>
          </w:p>
          <w:p>
            <w:pPr>
              <w:tabs>
                <w:tab w:val="left" w:pos="220"/>
                <w:tab w:val="left" w:pos="3600"/>
              </w:tabs>
              <w:autoSpaceDE w:val="0"/>
              <w:autoSpaceDN w:val="0"/>
              <w:adjustRightInd w:val="0"/>
              <w:rPr>
                <w:rFonts w:ascii="宋体" w:cs="宋体"/>
                <w:color w:val="000000" w:themeColor="text1"/>
                <w:kern w:val="0"/>
                <w:szCs w:val="21"/>
                <w:lang w:val="zh-CN"/>
              </w:rPr>
            </w:pPr>
            <w:r>
              <w:rPr>
                <w:rFonts w:ascii="宋体" w:cs="宋体"/>
                <w:color w:val="000000" w:themeColor="text1"/>
                <w:kern w:val="0"/>
                <w:szCs w:val="21"/>
                <w:lang w:val="zh-CN"/>
              </w:rPr>
              <w:t>3</w:t>
            </w:r>
            <w:r>
              <w:rPr>
                <w:rFonts w:hint="eastAsia" w:ascii="宋体" w:cs="宋体"/>
                <w:color w:val="000000" w:themeColor="text1"/>
                <w:kern w:val="0"/>
                <w:szCs w:val="21"/>
                <w:lang w:val="zh-CN"/>
              </w:rPr>
              <w:t>、避雷网脱焊、间断；</w:t>
            </w:r>
          </w:p>
          <w:p>
            <w:pPr>
              <w:tabs>
                <w:tab w:val="left" w:pos="220"/>
                <w:tab w:val="left" w:pos="3600"/>
              </w:tabs>
              <w:autoSpaceDE w:val="0"/>
              <w:autoSpaceDN w:val="0"/>
              <w:adjustRightInd w:val="0"/>
              <w:rPr>
                <w:rFonts w:ascii="宋体" w:cs="宋体"/>
                <w:color w:val="000000" w:themeColor="text1"/>
                <w:kern w:val="0"/>
                <w:sz w:val="22"/>
                <w:szCs w:val="22"/>
                <w:lang w:val="zh-CN"/>
              </w:rPr>
            </w:pPr>
            <w:r>
              <w:rPr>
                <w:rFonts w:ascii="宋体" w:cs="宋体"/>
                <w:color w:val="000000" w:themeColor="text1"/>
                <w:kern w:val="0"/>
                <w:szCs w:val="21"/>
                <w:lang w:val="zh-CN"/>
              </w:rPr>
              <w:t>4</w:t>
            </w:r>
            <w:r>
              <w:rPr>
                <w:rFonts w:hint="eastAsia" w:ascii="宋体" w:cs="宋体"/>
                <w:color w:val="000000" w:themeColor="text1"/>
                <w:kern w:val="0"/>
                <w:szCs w:val="21"/>
                <w:lang w:val="zh-CN"/>
              </w:rPr>
              <w:t>、屋面积水。</w:t>
            </w:r>
          </w:p>
        </w:tc>
        <w:tc>
          <w:tcPr>
            <w:tcW w:w="5371"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rPr>
                <w:rFonts w:ascii="宋体" w:cs="宋体"/>
                <w:color w:val="000000" w:themeColor="text1"/>
                <w:kern w:val="0"/>
                <w:szCs w:val="21"/>
                <w:lang w:val="zh-CN"/>
              </w:rPr>
            </w:pPr>
            <w:r>
              <w:rPr>
                <w:rFonts w:hint="eastAsia" w:ascii="宋体" w:cs="宋体"/>
                <w:color w:val="000000" w:themeColor="text1"/>
                <w:kern w:val="0"/>
                <w:szCs w:val="21"/>
                <w:lang w:val="zh-CN"/>
              </w:rPr>
              <w:t>计划：每天检查</w:t>
            </w:r>
            <w:r>
              <w:rPr>
                <w:rFonts w:ascii="宋体" w:cs="宋体"/>
                <w:color w:val="000000" w:themeColor="text1"/>
                <w:kern w:val="0"/>
                <w:szCs w:val="21"/>
                <w:lang w:val="zh-CN"/>
              </w:rPr>
              <w:t>1</w:t>
            </w:r>
            <w:r>
              <w:rPr>
                <w:rFonts w:hint="eastAsia" w:ascii="宋体" w:cs="宋体"/>
                <w:color w:val="000000" w:themeColor="text1"/>
                <w:kern w:val="0"/>
                <w:szCs w:val="21"/>
                <w:lang w:val="zh-CN"/>
              </w:rPr>
              <w:t>遍，发现问题，及时维修。</w:t>
            </w:r>
          </w:p>
          <w:p>
            <w:pPr>
              <w:tabs>
                <w:tab w:val="left" w:pos="3600"/>
              </w:tabs>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效果：无积水，无渗漏；隔热层完好无损；避雷网无间断。</w:t>
            </w:r>
          </w:p>
        </w:tc>
      </w:tr>
      <w:tr>
        <w:tblPrEx>
          <w:tblCellMar>
            <w:top w:w="0" w:type="dxa"/>
            <w:left w:w="108" w:type="dxa"/>
            <w:bottom w:w="0" w:type="dxa"/>
            <w:right w:w="108" w:type="dxa"/>
          </w:tblCellMar>
        </w:tblPrEx>
        <w:trPr>
          <w:trHeight w:val="1" w:hRule="atLeast"/>
          <w:jc w:val="center"/>
        </w:trPr>
        <w:tc>
          <w:tcPr>
            <w:tcW w:w="80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jc w:val="center"/>
              <w:rPr>
                <w:rFonts w:ascii="宋体" w:cs="宋体"/>
                <w:color w:val="000000" w:themeColor="text1"/>
                <w:kern w:val="0"/>
                <w:sz w:val="22"/>
                <w:szCs w:val="22"/>
                <w:lang w:val="zh-CN"/>
              </w:rPr>
            </w:pPr>
            <w:r>
              <w:rPr>
                <w:rFonts w:ascii="宋体" w:cs="宋体"/>
                <w:color w:val="000000" w:themeColor="text1"/>
                <w:kern w:val="0"/>
                <w:szCs w:val="21"/>
                <w:lang w:val="zh-CN"/>
              </w:rPr>
              <w:t>2</w:t>
            </w:r>
          </w:p>
        </w:tc>
        <w:tc>
          <w:tcPr>
            <w:tcW w:w="1443"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水、电、太阳能设备</w:t>
            </w:r>
          </w:p>
        </w:tc>
        <w:tc>
          <w:tcPr>
            <w:tcW w:w="2325"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ind w:left="218" w:hanging="218"/>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、水、电、太阳能等设备的维护保养；</w:t>
            </w:r>
          </w:p>
          <w:p>
            <w:pPr>
              <w:tabs>
                <w:tab w:val="left" w:pos="3600"/>
              </w:tabs>
              <w:autoSpaceDE w:val="0"/>
              <w:autoSpaceDN w:val="0"/>
              <w:adjustRightInd w:val="0"/>
              <w:ind w:left="218" w:hanging="218"/>
              <w:rPr>
                <w:rFonts w:ascii="宋体" w:cs="宋体"/>
                <w:color w:val="000000" w:themeColor="text1"/>
                <w:kern w:val="0"/>
                <w:sz w:val="22"/>
                <w:szCs w:val="22"/>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、日常设备的零部件易耗品维修、更换</w:t>
            </w:r>
          </w:p>
        </w:tc>
        <w:tc>
          <w:tcPr>
            <w:tcW w:w="5371"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rPr>
                <w:rFonts w:ascii="宋体" w:cs="宋体"/>
                <w:color w:val="000000" w:themeColor="text1"/>
                <w:kern w:val="0"/>
                <w:szCs w:val="21"/>
                <w:lang w:val="zh-CN"/>
              </w:rPr>
            </w:pPr>
            <w:r>
              <w:rPr>
                <w:rFonts w:hint="eastAsia" w:ascii="宋体" w:cs="宋体"/>
                <w:color w:val="000000" w:themeColor="text1"/>
                <w:kern w:val="0"/>
                <w:szCs w:val="21"/>
                <w:lang w:val="zh-CN"/>
              </w:rPr>
              <w:t>计划：每天巡视检查，发现问题，挤时检修。</w:t>
            </w:r>
          </w:p>
          <w:p>
            <w:pPr>
              <w:tabs>
                <w:tab w:val="left" w:pos="3600"/>
              </w:tabs>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效果：无故障停水、停电、停热水供应；保障安全运行。</w:t>
            </w:r>
          </w:p>
        </w:tc>
      </w:tr>
      <w:tr>
        <w:tblPrEx>
          <w:tblCellMar>
            <w:top w:w="0" w:type="dxa"/>
            <w:left w:w="108" w:type="dxa"/>
            <w:bottom w:w="0" w:type="dxa"/>
            <w:right w:w="108" w:type="dxa"/>
          </w:tblCellMar>
        </w:tblPrEx>
        <w:trPr>
          <w:trHeight w:val="633" w:hRule="atLeast"/>
          <w:jc w:val="center"/>
        </w:trPr>
        <w:tc>
          <w:tcPr>
            <w:tcW w:w="80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jc w:val="center"/>
              <w:rPr>
                <w:rFonts w:ascii="宋体" w:cs="宋体"/>
                <w:color w:val="000000" w:themeColor="text1"/>
                <w:kern w:val="0"/>
                <w:sz w:val="22"/>
                <w:szCs w:val="22"/>
                <w:lang w:val="zh-CN"/>
              </w:rPr>
            </w:pPr>
            <w:r>
              <w:rPr>
                <w:rFonts w:ascii="宋体" w:cs="宋体"/>
                <w:color w:val="000000" w:themeColor="text1"/>
                <w:kern w:val="0"/>
                <w:szCs w:val="21"/>
                <w:lang w:val="zh-CN"/>
              </w:rPr>
              <w:t>3</w:t>
            </w:r>
          </w:p>
        </w:tc>
        <w:tc>
          <w:tcPr>
            <w:tcW w:w="1443"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rPr>
                <w:rFonts w:ascii="宋体" w:cs="宋体"/>
                <w:color w:val="000000" w:themeColor="text1"/>
                <w:kern w:val="0"/>
                <w:szCs w:val="21"/>
                <w:lang w:val="zh-CN"/>
              </w:rPr>
            </w:pPr>
            <w:r>
              <w:rPr>
                <w:rFonts w:hint="eastAsia" w:ascii="宋体" w:cs="宋体"/>
                <w:color w:val="000000" w:themeColor="text1"/>
                <w:kern w:val="0"/>
                <w:szCs w:val="21"/>
                <w:lang w:val="zh-CN"/>
              </w:rPr>
              <w:t>公用</w:t>
            </w:r>
          </w:p>
          <w:p>
            <w:pPr>
              <w:tabs>
                <w:tab w:val="left" w:pos="3600"/>
              </w:tabs>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照明</w:t>
            </w:r>
          </w:p>
        </w:tc>
        <w:tc>
          <w:tcPr>
            <w:tcW w:w="2325"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、线路的检修维护；</w:t>
            </w:r>
          </w:p>
          <w:p>
            <w:pPr>
              <w:tabs>
                <w:tab w:val="left" w:pos="3600"/>
              </w:tabs>
              <w:autoSpaceDE w:val="0"/>
              <w:autoSpaceDN w:val="0"/>
              <w:adjustRightInd w:val="0"/>
              <w:rPr>
                <w:rFonts w:ascii="宋体" w:cs="宋体"/>
                <w:color w:val="000000" w:themeColor="text1"/>
                <w:kern w:val="0"/>
                <w:sz w:val="22"/>
                <w:szCs w:val="22"/>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、灯具的维修和更换</w:t>
            </w:r>
          </w:p>
        </w:tc>
        <w:tc>
          <w:tcPr>
            <w:tcW w:w="5371"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rPr>
                <w:rFonts w:ascii="宋体" w:cs="宋体"/>
                <w:color w:val="000000" w:themeColor="text1"/>
                <w:kern w:val="0"/>
                <w:szCs w:val="21"/>
                <w:lang w:val="zh-CN"/>
              </w:rPr>
            </w:pPr>
            <w:r>
              <w:rPr>
                <w:rFonts w:hint="eastAsia" w:ascii="宋体" w:cs="宋体"/>
                <w:color w:val="000000" w:themeColor="text1"/>
                <w:kern w:val="0"/>
                <w:szCs w:val="21"/>
                <w:lang w:val="zh-CN"/>
              </w:rPr>
              <w:t>计划：每周检查</w:t>
            </w:r>
            <w:r>
              <w:rPr>
                <w:rFonts w:ascii="宋体" w:cs="宋体"/>
                <w:color w:val="000000" w:themeColor="text1"/>
                <w:kern w:val="0"/>
                <w:szCs w:val="21"/>
                <w:lang w:val="zh-CN"/>
              </w:rPr>
              <w:t>1</w:t>
            </w:r>
            <w:r>
              <w:rPr>
                <w:rFonts w:hint="eastAsia" w:ascii="宋体" w:cs="宋体"/>
                <w:color w:val="000000" w:themeColor="text1"/>
                <w:kern w:val="0"/>
                <w:szCs w:val="21"/>
                <w:lang w:val="zh-CN"/>
              </w:rPr>
              <w:t>次，发现问题，及时维修。</w:t>
            </w:r>
          </w:p>
          <w:p>
            <w:pPr>
              <w:tabs>
                <w:tab w:val="left" w:pos="3600"/>
              </w:tabs>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效果：线路无搭乱接；照明灯具正常有效。</w:t>
            </w:r>
          </w:p>
        </w:tc>
      </w:tr>
      <w:tr>
        <w:tblPrEx>
          <w:tblCellMar>
            <w:top w:w="0" w:type="dxa"/>
            <w:left w:w="108" w:type="dxa"/>
            <w:bottom w:w="0" w:type="dxa"/>
            <w:right w:w="108" w:type="dxa"/>
          </w:tblCellMar>
        </w:tblPrEx>
        <w:trPr>
          <w:trHeight w:val="1" w:hRule="atLeast"/>
          <w:jc w:val="center"/>
        </w:trPr>
        <w:tc>
          <w:tcPr>
            <w:tcW w:w="80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jc w:val="center"/>
              <w:rPr>
                <w:rFonts w:ascii="宋体" w:cs="宋体"/>
                <w:color w:val="000000" w:themeColor="text1"/>
                <w:kern w:val="0"/>
                <w:sz w:val="22"/>
                <w:szCs w:val="22"/>
                <w:lang w:val="zh-CN"/>
              </w:rPr>
            </w:pPr>
            <w:r>
              <w:rPr>
                <w:rFonts w:ascii="宋体" w:cs="宋体"/>
                <w:color w:val="000000" w:themeColor="text1"/>
                <w:kern w:val="0"/>
                <w:szCs w:val="21"/>
                <w:lang w:val="zh-CN"/>
              </w:rPr>
              <w:t>4</w:t>
            </w:r>
          </w:p>
        </w:tc>
        <w:tc>
          <w:tcPr>
            <w:tcW w:w="1443"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墙面、地面、门厅、天棚、通道、楼梯等</w:t>
            </w:r>
          </w:p>
        </w:tc>
        <w:tc>
          <w:tcPr>
            <w:tcW w:w="2325"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420"/>
                <w:tab w:val="left" w:pos="3600"/>
              </w:tabs>
              <w:autoSpaceDE w:val="0"/>
              <w:autoSpaceDN w:val="0"/>
              <w:adjustRightInd w:val="0"/>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、地面的维修、维护；</w:t>
            </w:r>
          </w:p>
          <w:p>
            <w:pPr>
              <w:tabs>
                <w:tab w:val="left" w:pos="420"/>
                <w:tab w:val="left" w:pos="3600"/>
              </w:tabs>
              <w:autoSpaceDE w:val="0"/>
              <w:autoSpaceDN w:val="0"/>
              <w:adjustRightInd w:val="0"/>
              <w:rPr>
                <w:rFonts w:ascii="宋体" w:cs="宋体"/>
                <w:color w:val="000000" w:themeColor="text1"/>
                <w:kern w:val="0"/>
                <w:szCs w:val="21"/>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、墙、天棚维护；</w:t>
            </w:r>
          </w:p>
          <w:p>
            <w:pPr>
              <w:tabs>
                <w:tab w:val="left" w:pos="420"/>
                <w:tab w:val="left" w:pos="3600"/>
              </w:tabs>
              <w:autoSpaceDE w:val="0"/>
              <w:autoSpaceDN w:val="0"/>
              <w:adjustRightInd w:val="0"/>
              <w:rPr>
                <w:rFonts w:ascii="宋体" w:cs="宋体"/>
                <w:color w:val="000000" w:themeColor="text1"/>
                <w:kern w:val="0"/>
                <w:sz w:val="22"/>
                <w:szCs w:val="22"/>
                <w:lang w:val="zh-CN"/>
              </w:rPr>
            </w:pPr>
            <w:r>
              <w:rPr>
                <w:rFonts w:ascii="宋体" w:cs="宋体"/>
                <w:color w:val="000000" w:themeColor="text1"/>
                <w:kern w:val="0"/>
                <w:szCs w:val="21"/>
                <w:lang w:val="zh-CN"/>
              </w:rPr>
              <w:t>3</w:t>
            </w:r>
            <w:r>
              <w:rPr>
                <w:rFonts w:hint="eastAsia" w:ascii="宋体" w:cs="宋体"/>
                <w:color w:val="000000" w:themeColor="text1"/>
                <w:kern w:val="0"/>
                <w:szCs w:val="21"/>
                <w:lang w:val="zh-CN"/>
              </w:rPr>
              <w:t>、通道、楼梯到墙面、扶手、踏步的维护。</w:t>
            </w:r>
          </w:p>
        </w:tc>
        <w:tc>
          <w:tcPr>
            <w:tcW w:w="5371"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rPr>
                <w:rFonts w:ascii="宋体" w:cs="宋体"/>
                <w:color w:val="000000" w:themeColor="text1"/>
                <w:kern w:val="0"/>
                <w:szCs w:val="21"/>
                <w:lang w:val="zh-CN"/>
              </w:rPr>
            </w:pPr>
            <w:r>
              <w:rPr>
                <w:rFonts w:hint="eastAsia" w:ascii="宋体" w:cs="宋体"/>
                <w:color w:val="000000" w:themeColor="text1"/>
                <w:kern w:val="0"/>
                <w:szCs w:val="21"/>
                <w:lang w:val="zh-CN"/>
              </w:rPr>
              <w:t>计划：每周检查一次，发现问题，及时维修。</w:t>
            </w:r>
          </w:p>
          <w:p>
            <w:pPr>
              <w:tabs>
                <w:tab w:val="left" w:pos="3600"/>
              </w:tabs>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效果：无缺损、无霉迹，扶手完好，无张贴痕迹。</w:t>
            </w:r>
          </w:p>
        </w:tc>
      </w:tr>
      <w:tr>
        <w:tblPrEx>
          <w:tblCellMar>
            <w:top w:w="0" w:type="dxa"/>
            <w:left w:w="108" w:type="dxa"/>
            <w:bottom w:w="0" w:type="dxa"/>
            <w:right w:w="108" w:type="dxa"/>
          </w:tblCellMar>
        </w:tblPrEx>
        <w:trPr>
          <w:trHeight w:val="1" w:hRule="atLeast"/>
          <w:jc w:val="center"/>
        </w:trPr>
        <w:tc>
          <w:tcPr>
            <w:tcW w:w="80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jc w:val="center"/>
              <w:rPr>
                <w:rFonts w:ascii="宋体" w:cs="宋体"/>
                <w:color w:val="000000" w:themeColor="text1"/>
                <w:kern w:val="0"/>
                <w:sz w:val="22"/>
                <w:szCs w:val="22"/>
                <w:lang w:val="zh-CN"/>
              </w:rPr>
            </w:pPr>
            <w:r>
              <w:rPr>
                <w:rFonts w:ascii="宋体" w:cs="宋体"/>
                <w:color w:val="000000" w:themeColor="text1"/>
                <w:kern w:val="0"/>
                <w:szCs w:val="21"/>
                <w:lang w:val="zh-CN"/>
              </w:rPr>
              <w:t>5</w:t>
            </w:r>
          </w:p>
        </w:tc>
        <w:tc>
          <w:tcPr>
            <w:tcW w:w="1443"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上下水主管</w:t>
            </w:r>
          </w:p>
        </w:tc>
        <w:tc>
          <w:tcPr>
            <w:tcW w:w="2325"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rPr>
                <w:rFonts w:ascii="宋体" w:cs="宋体"/>
                <w:color w:val="000000" w:themeColor="text1"/>
                <w:kern w:val="0"/>
                <w:szCs w:val="21"/>
                <w:lang w:val="zh-CN"/>
              </w:rPr>
            </w:pPr>
            <w:r>
              <w:rPr>
                <w:rFonts w:ascii="宋体" w:cs="宋体"/>
                <w:color w:val="000000" w:themeColor="text1"/>
                <w:kern w:val="0"/>
                <w:szCs w:val="21"/>
                <w:lang w:val="zh-CN"/>
              </w:rPr>
              <w:t>1</w:t>
            </w:r>
            <w:r>
              <w:rPr>
                <w:rFonts w:hint="eastAsia" w:ascii="宋体" w:cs="宋体"/>
                <w:color w:val="000000" w:themeColor="text1"/>
                <w:kern w:val="0"/>
                <w:szCs w:val="21"/>
                <w:lang w:val="zh-CN"/>
              </w:rPr>
              <w:t>、接口及砂眼漏水；</w:t>
            </w:r>
          </w:p>
          <w:p>
            <w:pPr>
              <w:tabs>
                <w:tab w:val="left" w:pos="3600"/>
              </w:tabs>
              <w:autoSpaceDE w:val="0"/>
              <w:autoSpaceDN w:val="0"/>
              <w:adjustRightInd w:val="0"/>
              <w:rPr>
                <w:rFonts w:ascii="宋体" w:cs="宋体"/>
                <w:color w:val="000000" w:themeColor="text1"/>
                <w:kern w:val="0"/>
                <w:szCs w:val="21"/>
                <w:lang w:val="zh-CN"/>
              </w:rPr>
            </w:pPr>
            <w:r>
              <w:rPr>
                <w:rFonts w:ascii="宋体" w:cs="宋体"/>
                <w:color w:val="000000" w:themeColor="text1"/>
                <w:kern w:val="0"/>
                <w:szCs w:val="21"/>
                <w:lang w:val="zh-CN"/>
              </w:rPr>
              <w:t>2</w:t>
            </w:r>
            <w:r>
              <w:rPr>
                <w:rFonts w:hint="eastAsia" w:ascii="宋体" w:cs="宋体"/>
                <w:color w:val="000000" w:themeColor="text1"/>
                <w:kern w:val="0"/>
                <w:szCs w:val="21"/>
                <w:lang w:val="zh-CN"/>
              </w:rPr>
              <w:t>、管道堵塞、破裂</w:t>
            </w:r>
          </w:p>
          <w:p>
            <w:pPr>
              <w:tabs>
                <w:tab w:val="left" w:pos="3600"/>
              </w:tabs>
              <w:autoSpaceDE w:val="0"/>
              <w:autoSpaceDN w:val="0"/>
              <w:adjustRightInd w:val="0"/>
              <w:rPr>
                <w:rFonts w:ascii="宋体" w:cs="宋体"/>
                <w:color w:val="000000" w:themeColor="text1"/>
                <w:kern w:val="0"/>
                <w:sz w:val="22"/>
                <w:szCs w:val="22"/>
                <w:lang w:val="zh-CN"/>
              </w:rPr>
            </w:pPr>
            <w:r>
              <w:rPr>
                <w:rFonts w:ascii="宋体" w:cs="宋体"/>
                <w:color w:val="000000" w:themeColor="text1"/>
                <w:kern w:val="0"/>
                <w:szCs w:val="21"/>
                <w:lang w:val="zh-CN"/>
              </w:rPr>
              <w:t>3</w:t>
            </w:r>
            <w:r>
              <w:rPr>
                <w:rFonts w:hint="eastAsia" w:ascii="宋体" w:cs="宋体"/>
                <w:color w:val="000000" w:themeColor="text1"/>
                <w:kern w:val="0"/>
                <w:szCs w:val="21"/>
                <w:lang w:val="zh-CN"/>
              </w:rPr>
              <w:t>、固定码松脱</w:t>
            </w:r>
          </w:p>
        </w:tc>
        <w:tc>
          <w:tcPr>
            <w:tcW w:w="5371"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pPr>
              <w:tabs>
                <w:tab w:val="left" w:pos="3600"/>
              </w:tabs>
              <w:autoSpaceDE w:val="0"/>
              <w:autoSpaceDN w:val="0"/>
              <w:adjustRightInd w:val="0"/>
              <w:spacing w:after="60"/>
              <w:rPr>
                <w:rFonts w:ascii="宋体" w:cs="宋体"/>
                <w:color w:val="000000" w:themeColor="text1"/>
                <w:kern w:val="0"/>
                <w:szCs w:val="21"/>
                <w:lang w:val="zh-CN"/>
              </w:rPr>
            </w:pPr>
            <w:r>
              <w:rPr>
                <w:rFonts w:hint="eastAsia" w:ascii="宋体" w:cs="宋体"/>
                <w:color w:val="000000" w:themeColor="text1"/>
                <w:kern w:val="0"/>
                <w:szCs w:val="21"/>
                <w:lang w:val="zh-CN"/>
              </w:rPr>
              <w:t>计划：每周检查一次发现问题，及时维修。</w:t>
            </w:r>
          </w:p>
          <w:p>
            <w:pPr>
              <w:tabs>
                <w:tab w:val="left" w:pos="3600"/>
              </w:tabs>
              <w:autoSpaceDE w:val="0"/>
              <w:autoSpaceDN w:val="0"/>
              <w:adjustRightInd w:val="0"/>
              <w:spacing w:after="60"/>
              <w:rPr>
                <w:rFonts w:ascii="宋体" w:cs="宋体"/>
                <w:color w:val="000000" w:themeColor="text1"/>
                <w:kern w:val="0"/>
                <w:sz w:val="22"/>
                <w:szCs w:val="22"/>
                <w:lang w:val="zh-CN"/>
              </w:rPr>
            </w:pPr>
            <w:r>
              <w:rPr>
                <w:rFonts w:hint="eastAsia" w:ascii="宋体" w:cs="宋体"/>
                <w:color w:val="000000" w:themeColor="text1"/>
                <w:kern w:val="0"/>
                <w:szCs w:val="21"/>
                <w:lang w:val="zh-CN"/>
              </w:rPr>
              <w:t>效果：上下水畅通、无渗漏。</w:t>
            </w:r>
          </w:p>
        </w:tc>
      </w:tr>
    </w:tbl>
    <w:p>
      <w:pPr>
        <w:spacing w:line="360" w:lineRule="auto"/>
        <w:ind w:firstLine="480" w:firstLineChars="200"/>
        <w:rPr>
          <w:rFonts w:ascii="宋体" w:hAnsi="宋体"/>
          <w:color w:val="000000" w:themeColor="text1"/>
          <w:sz w:val="24"/>
        </w:rPr>
      </w:pPr>
    </w:p>
    <w:p>
      <w:pPr>
        <w:spacing w:line="360" w:lineRule="auto"/>
        <w:ind w:firstLine="480" w:firstLineChars="200"/>
        <w:rPr>
          <w:rFonts w:ascii="宋体" w:hAnsi="宋体"/>
          <w:color w:val="000000" w:themeColor="text1"/>
          <w:sz w:val="24"/>
        </w:rPr>
      </w:pPr>
    </w:p>
    <w:p>
      <w:pPr>
        <w:spacing w:line="360" w:lineRule="auto"/>
        <w:ind w:firstLine="482" w:firstLineChars="200"/>
        <w:rPr>
          <w:rFonts w:ascii="宋体" w:hAnsi="宋体"/>
          <w:b/>
          <w:color w:val="000000" w:themeColor="text1"/>
          <w:sz w:val="24"/>
        </w:rPr>
      </w:pPr>
      <w:r>
        <w:rPr>
          <w:rFonts w:hint="eastAsia" w:ascii="宋体" w:hAnsi="宋体"/>
          <w:b/>
          <w:color w:val="000000" w:themeColor="text1"/>
          <w:sz w:val="24"/>
        </w:rPr>
        <w:t>4、节能管理</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中标人要明确写出具体节电、节水措施与实施办法并报管理部门，并纳入综合评分标准</w:t>
      </w:r>
      <w:r>
        <w:rPr>
          <w:rFonts w:ascii="宋体" w:hAnsi="宋体"/>
          <w:color w:val="000000" w:themeColor="text1"/>
          <w:szCs w:val="21"/>
        </w:rPr>
        <w:t>,</w:t>
      </w:r>
      <w:r>
        <w:rPr>
          <w:rFonts w:hint="eastAsia" w:ascii="宋体" w:hAnsi="宋体"/>
          <w:color w:val="000000" w:themeColor="text1"/>
          <w:szCs w:val="21"/>
        </w:rPr>
        <w:t xml:space="preserve"> 在开关、热水器、水龙头、冲洗器具等用电、用水处张贴节能标识。定期检查：每天18时下班后半小时内检查用电、用水系统，周末每天早上8时至9时检查用电、用水系统，防止浪费现象。要对中央空调、公共区域照明、热水器等用电部位采取重点节能措施，切实减少用电量。</w:t>
      </w:r>
    </w:p>
    <w:p>
      <w:pPr>
        <w:spacing w:line="360" w:lineRule="auto"/>
        <w:ind w:firstLine="482" w:firstLineChars="200"/>
        <w:rPr>
          <w:rFonts w:ascii="宋体" w:cs="宋体"/>
          <w:b/>
          <w:bCs/>
          <w:color w:val="000000" w:themeColor="text1"/>
          <w:kern w:val="0"/>
          <w:sz w:val="24"/>
          <w:lang w:val="zh-CN"/>
        </w:rPr>
      </w:pPr>
      <w:r>
        <w:rPr>
          <w:rFonts w:hint="eastAsia" w:ascii="宋体" w:cs="宋体"/>
          <w:b/>
          <w:bCs/>
          <w:color w:val="000000" w:themeColor="text1"/>
          <w:kern w:val="0"/>
          <w:sz w:val="24"/>
        </w:rPr>
        <w:t>5、</w:t>
      </w:r>
      <w:r>
        <w:rPr>
          <w:rFonts w:hint="eastAsia" w:ascii="宋体" w:cs="宋体"/>
          <w:b/>
          <w:bCs/>
          <w:color w:val="000000" w:themeColor="text1"/>
          <w:kern w:val="0"/>
          <w:sz w:val="24"/>
          <w:lang w:val="zh-CN"/>
        </w:rPr>
        <w:t>交通、车辆管理</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（1）、道路通畅，路面相关设施完整，交通标识规范完好</w:t>
      </w:r>
      <w:r>
        <w:rPr>
          <w:rFonts w:ascii="宋体" w:hAnsi="宋体"/>
          <w:color w:val="000000" w:themeColor="text1"/>
          <w:szCs w:val="21"/>
        </w:rPr>
        <w:t>.</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（2）、由专人指挥交通，杜绝车辆随意停靠，防止交通堵塞，保证本院车辆出入畅通</w:t>
      </w:r>
      <w:r>
        <w:rPr>
          <w:rFonts w:ascii="宋体" w:hAnsi="宋体"/>
          <w:color w:val="000000" w:themeColor="text1"/>
          <w:szCs w:val="21"/>
        </w:rPr>
        <w:t>.</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（3）、停车场人员配备合理，无乱停乱放和阻塞现象，车辆停放有序</w:t>
      </w:r>
      <w:r>
        <w:rPr>
          <w:rFonts w:ascii="宋体" w:hAnsi="宋体"/>
          <w:color w:val="000000" w:themeColor="text1"/>
          <w:szCs w:val="21"/>
        </w:rPr>
        <w:t>.</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（4）、必要时并根据甲方要求对出入人员的物品、人员、车辆进行检查。</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（5）、经常巡视停车场内停放的车辆，发现车门、车尾厢未锁和车窗未关好现象的及时通知车主。</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（6）、正确引导院内车辆行驶和停放</w:t>
      </w:r>
      <w:r>
        <w:rPr>
          <w:rFonts w:ascii="宋体" w:hAnsi="宋体"/>
          <w:color w:val="000000" w:themeColor="text1"/>
          <w:szCs w:val="21"/>
        </w:rPr>
        <w:t>,</w:t>
      </w:r>
      <w:r>
        <w:rPr>
          <w:rFonts w:hint="eastAsia" w:ascii="宋体" w:hAnsi="宋体"/>
          <w:color w:val="000000" w:themeColor="text1"/>
          <w:szCs w:val="21"/>
        </w:rPr>
        <w:t>对违反车辆停放规定的业主进行劝导并协助整改。对进出车辆进行详细的登记检查</w:t>
      </w:r>
      <w:r>
        <w:rPr>
          <w:rFonts w:ascii="宋体" w:hAnsi="宋体"/>
          <w:color w:val="000000" w:themeColor="text1"/>
          <w:szCs w:val="21"/>
        </w:rPr>
        <w:t>,</w:t>
      </w:r>
      <w:r>
        <w:rPr>
          <w:rFonts w:hint="eastAsia" w:ascii="宋体" w:hAnsi="宋体"/>
          <w:color w:val="000000" w:themeColor="text1"/>
          <w:szCs w:val="21"/>
        </w:rPr>
        <w:t>严禁非登记外来车辆进入院内。</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（7）、保持车库、车棚整洁</w:t>
      </w:r>
      <w:r>
        <w:rPr>
          <w:rFonts w:ascii="宋体" w:hAnsi="宋体"/>
          <w:color w:val="000000" w:themeColor="text1"/>
          <w:szCs w:val="21"/>
        </w:rPr>
        <w:t>,</w:t>
      </w:r>
      <w:r>
        <w:rPr>
          <w:rFonts w:hint="eastAsia" w:ascii="宋体" w:hAnsi="宋体"/>
          <w:color w:val="000000" w:themeColor="text1"/>
          <w:szCs w:val="21"/>
        </w:rPr>
        <w:t>车辆停放有序。发现车辆门窗未关</w:t>
      </w:r>
      <w:r>
        <w:rPr>
          <w:rFonts w:ascii="宋体" w:hAnsi="宋体"/>
          <w:color w:val="000000" w:themeColor="text1"/>
          <w:szCs w:val="21"/>
        </w:rPr>
        <w:t>,</w:t>
      </w:r>
      <w:r>
        <w:rPr>
          <w:rFonts w:hint="eastAsia" w:ascii="宋体" w:hAnsi="宋体"/>
          <w:color w:val="000000" w:themeColor="text1"/>
          <w:szCs w:val="21"/>
        </w:rPr>
        <w:t>漏油、漏水等情况及时通知车主或车队负责人</w:t>
      </w:r>
      <w:r>
        <w:rPr>
          <w:rFonts w:ascii="宋体" w:hAnsi="宋体"/>
          <w:color w:val="000000" w:themeColor="text1"/>
          <w:szCs w:val="21"/>
        </w:rPr>
        <w:t>,</w:t>
      </w:r>
      <w:r>
        <w:rPr>
          <w:rFonts w:hint="eastAsia" w:ascii="宋体" w:hAnsi="宋体"/>
          <w:color w:val="000000" w:themeColor="text1"/>
          <w:szCs w:val="21"/>
        </w:rPr>
        <w:t>对漏油可能造成的危害做好防范措施。</w:t>
      </w:r>
    </w:p>
    <w:p>
      <w:pPr>
        <w:autoSpaceDE w:val="0"/>
        <w:autoSpaceDN w:val="0"/>
        <w:adjustRightInd w:val="0"/>
        <w:spacing w:line="440" w:lineRule="atLeast"/>
        <w:ind w:left="416"/>
        <w:rPr>
          <w:rFonts w:ascii="宋体" w:cs="宋体"/>
          <w:b/>
          <w:bCs/>
          <w:color w:val="000000" w:themeColor="text1"/>
          <w:kern w:val="0"/>
          <w:sz w:val="24"/>
          <w:lang w:val="zh-CN"/>
        </w:rPr>
      </w:pPr>
      <w:r>
        <w:rPr>
          <w:rFonts w:hint="eastAsia" w:ascii="宋体" w:cs="宋体"/>
          <w:b/>
          <w:bCs/>
          <w:color w:val="000000" w:themeColor="text1"/>
          <w:kern w:val="0"/>
          <w:sz w:val="24"/>
        </w:rPr>
        <w:t>6、</w:t>
      </w:r>
      <w:r>
        <w:rPr>
          <w:rFonts w:hint="eastAsia" w:ascii="宋体" w:cs="宋体"/>
          <w:b/>
          <w:bCs/>
          <w:color w:val="000000" w:themeColor="text1"/>
          <w:kern w:val="0"/>
          <w:sz w:val="24"/>
          <w:lang w:val="zh-CN"/>
        </w:rPr>
        <w:t>消防安全管理</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严格执行</w:t>
      </w:r>
      <w:r>
        <w:rPr>
          <w:rFonts w:ascii="宋体" w:hAnsi="宋体"/>
          <w:color w:val="000000" w:themeColor="text1"/>
          <w:szCs w:val="21"/>
        </w:rPr>
        <w:t>做好</w:t>
      </w:r>
      <w:r>
        <w:rPr>
          <w:rFonts w:hint="eastAsia" w:ascii="宋体" w:hAnsi="宋体"/>
          <w:color w:val="000000" w:themeColor="text1"/>
          <w:szCs w:val="21"/>
        </w:rPr>
        <w:t>消防安全管理。</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（1）全面负责协助管辖区域内防火、防盗、防破坏、防事故的安全保卫工作，及时发现和消除安全隐患；按照安全防范的有关要求，开展定期和不定期的安全检查，做好安全宣传工作。</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（2）负责及时、正确处理院内的各类突发事件。</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3）负责办公楼消防管理，指派消防安全责任人；巡查消防设备设施，发现问题应立即处理，确保系统可随时启用，确保消防通道畅通，并制订消防应急方案。所有物管人员均是义务消防员，接受消防培训（由投标单位组织），每半年最少进行一次消防演习。</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（4）建立突发事件处理程序，拟定相应的措施，建立快速反应、快速支援等安全体系。</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（5）建立突发性预警机制，在发生火灾、地震、水灾、台风等自然灾害时，确保紧急疏散通道畅通，照明设备、引路标志完好及其它安全隐患。</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（6）采购单位要求的其他消防管理工作。</w:t>
      </w:r>
    </w:p>
    <w:p>
      <w:pPr>
        <w:autoSpaceDE w:val="0"/>
        <w:autoSpaceDN w:val="0"/>
        <w:adjustRightInd w:val="0"/>
        <w:spacing w:line="440" w:lineRule="atLeast"/>
        <w:ind w:left="416"/>
        <w:rPr>
          <w:rFonts w:ascii="宋体" w:cs="宋体"/>
          <w:b/>
          <w:bCs/>
          <w:color w:val="000000" w:themeColor="text1"/>
          <w:kern w:val="0"/>
          <w:sz w:val="24"/>
          <w:lang w:val="zh-CN"/>
        </w:rPr>
      </w:pPr>
      <w:r>
        <w:rPr>
          <w:rFonts w:hint="eastAsia" w:ascii="宋体" w:cs="宋体"/>
          <w:b/>
          <w:bCs/>
          <w:color w:val="000000" w:themeColor="text1"/>
          <w:kern w:val="0"/>
          <w:sz w:val="24"/>
        </w:rPr>
        <w:t>7、</w:t>
      </w:r>
      <w:r>
        <w:rPr>
          <w:rFonts w:hint="eastAsia" w:ascii="宋体" w:cs="宋体"/>
          <w:b/>
          <w:bCs/>
          <w:color w:val="000000" w:themeColor="text1"/>
          <w:kern w:val="0"/>
          <w:sz w:val="24"/>
          <w:lang w:val="zh-CN"/>
        </w:rPr>
        <w:t>治安保卫及安检管理</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（1）、管理要求</w:t>
      </w:r>
    </w:p>
    <w:p>
      <w:pPr>
        <w:spacing w:line="360" w:lineRule="auto"/>
        <w:ind w:firstLine="420" w:firstLineChars="200"/>
        <w:rPr>
          <w:rFonts w:ascii="宋体" w:hAnsi="宋体"/>
          <w:color w:val="000000" w:themeColor="text1"/>
          <w:szCs w:val="21"/>
        </w:rPr>
      </w:pPr>
      <w:r>
        <w:rPr>
          <w:rFonts w:ascii="宋体" w:hAnsi="宋体"/>
          <w:color w:val="000000" w:themeColor="text1"/>
          <w:szCs w:val="21"/>
        </w:rPr>
        <w:t>a</w:t>
      </w:r>
      <w:r>
        <w:rPr>
          <w:rFonts w:hint="eastAsia" w:ascii="宋体" w:hAnsi="宋体"/>
          <w:color w:val="000000" w:themeColor="text1"/>
          <w:szCs w:val="21"/>
        </w:rPr>
        <w:t>、接受国家海洋局深圳海洋环境监测中心站领导和监督，</w:t>
      </w:r>
      <w:r>
        <w:rPr>
          <w:rFonts w:hint="eastAsia" w:ascii="宋体" w:hAnsi="宋体" w:cs="宋体"/>
          <w:color w:val="000000" w:themeColor="text1"/>
          <w:kern w:val="0"/>
          <w:szCs w:val="21"/>
        </w:rPr>
        <w:t>在分管领导的指导下，做好甲方的安全保卫工作。</w:t>
      </w:r>
      <w:r>
        <w:rPr>
          <w:rFonts w:hint="eastAsia" w:ascii="宋体" w:hAnsi="宋体"/>
          <w:color w:val="000000" w:themeColor="text1"/>
          <w:kern w:val="0"/>
          <w:szCs w:val="21"/>
        </w:rPr>
        <w:t>鉴于甲方人员进出频率较高的实际情况，中标人应在人防和技防两方面加强安全管理工作。</w:t>
      </w:r>
    </w:p>
    <w:p>
      <w:pPr>
        <w:spacing w:line="360" w:lineRule="auto"/>
        <w:ind w:firstLine="420" w:firstLineChars="200"/>
        <w:rPr>
          <w:rFonts w:ascii="宋体" w:hAnsi="宋体"/>
          <w:color w:val="000000" w:themeColor="text1"/>
          <w:szCs w:val="21"/>
        </w:rPr>
      </w:pPr>
      <w:r>
        <w:rPr>
          <w:rFonts w:ascii="宋体" w:hAnsi="宋体"/>
          <w:color w:val="000000" w:themeColor="text1"/>
          <w:szCs w:val="21"/>
        </w:rPr>
        <w:t>b</w:t>
      </w:r>
      <w:r>
        <w:rPr>
          <w:rFonts w:hint="eastAsia" w:ascii="宋体" w:hAnsi="宋体"/>
          <w:color w:val="000000" w:themeColor="text1"/>
          <w:szCs w:val="21"/>
        </w:rPr>
        <w:t>、实行</w:t>
      </w:r>
      <w:r>
        <w:rPr>
          <w:rFonts w:ascii="宋体" w:hAnsi="宋体"/>
          <w:color w:val="000000" w:themeColor="text1"/>
          <w:szCs w:val="21"/>
        </w:rPr>
        <w:t>24</w:t>
      </w:r>
      <w:r>
        <w:rPr>
          <w:rFonts w:hint="eastAsia" w:ascii="宋体" w:hAnsi="宋体"/>
          <w:color w:val="000000" w:themeColor="text1"/>
          <w:szCs w:val="21"/>
        </w:rPr>
        <w:t>小时安全管理，人防、机防相结合，监控、巡视、值班相配合，确保无漏岗、脱岗、睡岗等失职现象。</w:t>
      </w:r>
    </w:p>
    <w:p>
      <w:pPr>
        <w:spacing w:line="360" w:lineRule="auto"/>
        <w:ind w:firstLine="420" w:firstLineChars="200"/>
        <w:rPr>
          <w:rFonts w:ascii="宋体" w:hAnsi="宋体"/>
          <w:color w:val="000000" w:themeColor="text1"/>
          <w:szCs w:val="21"/>
        </w:rPr>
      </w:pPr>
      <w:r>
        <w:rPr>
          <w:rFonts w:ascii="宋体" w:hAnsi="宋体"/>
          <w:color w:val="000000" w:themeColor="text1"/>
          <w:szCs w:val="21"/>
        </w:rPr>
        <w:t>c</w:t>
      </w:r>
      <w:r>
        <w:rPr>
          <w:rFonts w:hint="eastAsia" w:ascii="宋体" w:hAnsi="宋体"/>
          <w:color w:val="000000" w:themeColor="text1"/>
          <w:szCs w:val="21"/>
        </w:rPr>
        <w:t>、</w:t>
      </w:r>
      <w:r>
        <w:rPr>
          <w:rFonts w:hint="eastAsia" w:ascii="宋体" w:hAnsi="宋体" w:cs="宋体"/>
          <w:color w:val="000000" w:themeColor="text1"/>
          <w:kern w:val="0"/>
          <w:szCs w:val="21"/>
        </w:rPr>
        <w:t>全面负责甲方区域内防火、防盗、防破坏、防事故</w:t>
      </w:r>
      <w:r>
        <w:rPr>
          <w:rFonts w:hint="eastAsia" w:ascii="宋体" w:hAnsi="宋体"/>
          <w:color w:val="000000" w:themeColor="text1"/>
          <w:szCs w:val="21"/>
        </w:rPr>
        <w:t>的安全保卫工作</w:t>
      </w:r>
      <w:r>
        <w:rPr>
          <w:rFonts w:hint="eastAsia" w:ascii="宋体" w:hAnsi="宋体" w:cs="宋体"/>
          <w:color w:val="000000" w:themeColor="text1"/>
          <w:kern w:val="0"/>
          <w:szCs w:val="21"/>
        </w:rPr>
        <w:t>，及时发现和消除安全隐患；</w:t>
      </w:r>
      <w:r>
        <w:rPr>
          <w:rFonts w:hint="eastAsia" w:ascii="宋体" w:hAnsi="宋体"/>
          <w:color w:val="000000" w:themeColor="text1"/>
          <w:szCs w:val="21"/>
        </w:rPr>
        <w:t>按照安全防范的有关要求，开展定期和不定期的安全检查，做好安全宣传及培训工作。</w:t>
      </w:r>
    </w:p>
    <w:p>
      <w:pPr>
        <w:spacing w:line="360" w:lineRule="auto"/>
        <w:ind w:firstLine="420" w:firstLineChars="200"/>
        <w:rPr>
          <w:rFonts w:ascii="宋体" w:hAnsi="宋体"/>
          <w:color w:val="000000" w:themeColor="text1"/>
          <w:szCs w:val="21"/>
        </w:rPr>
      </w:pPr>
      <w:r>
        <w:rPr>
          <w:rFonts w:ascii="宋体" w:hAnsi="宋体"/>
          <w:color w:val="000000" w:themeColor="text1"/>
          <w:szCs w:val="21"/>
        </w:rPr>
        <w:t>d</w:t>
      </w:r>
      <w:r>
        <w:rPr>
          <w:rFonts w:hint="eastAsia" w:ascii="宋体" w:hAnsi="宋体"/>
          <w:color w:val="000000" w:themeColor="text1"/>
          <w:szCs w:val="21"/>
        </w:rPr>
        <w:t>、在大堂、电梯、楼面及其他要害部位发现可疑情况采取跟踪监视和定点录像措施，及时通知巡逻秩序维护员询问、盘查。</w:t>
      </w:r>
    </w:p>
    <w:p>
      <w:pPr>
        <w:spacing w:line="360" w:lineRule="auto"/>
        <w:ind w:firstLine="420" w:firstLineChars="200"/>
        <w:rPr>
          <w:rFonts w:ascii="宋体" w:hAnsi="宋体"/>
          <w:color w:val="000000" w:themeColor="text1"/>
          <w:szCs w:val="21"/>
        </w:rPr>
      </w:pPr>
      <w:r>
        <w:rPr>
          <w:rFonts w:ascii="宋体" w:hAnsi="宋体"/>
          <w:color w:val="000000" w:themeColor="text1"/>
          <w:szCs w:val="21"/>
        </w:rPr>
        <w:t>e</w:t>
      </w:r>
      <w:r>
        <w:rPr>
          <w:rFonts w:hint="eastAsia" w:ascii="宋体" w:hAnsi="宋体"/>
          <w:color w:val="000000" w:themeColor="text1"/>
          <w:szCs w:val="21"/>
        </w:rPr>
        <w:t>、危及物业使用安全处和事故易发区设置警示标志和采取切实可行的安全防范措施。</w:t>
      </w:r>
    </w:p>
    <w:p>
      <w:pPr>
        <w:spacing w:line="360" w:lineRule="auto"/>
        <w:ind w:firstLine="420" w:firstLineChars="200"/>
        <w:rPr>
          <w:rFonts w:ascii="宋体" w:hAnsi="宋体"/>
          <w:color w:val="000000" w:themeColor="text1"/>
          <w:szCs w:val="21"/>
        </w:rPr>
      </w:pPr>
      <w:r>
        <w:rPr>
          <w:rFonts w:ascii="宋体" w:hAnsi="宋体"/>
          <w:color w:val="000000" w:themeColor="text1"/>
          <w:szCs w:val="21"/>
        </w:rPr>
        <w:t>f</w:t>
      </w:r>
      <w:r>
        <w:rPr>
          <w:rFonts w:hint="eastAsia" w:ascii="宋体" w:hAnsi="宋体"/>
          <w:color w:val="000000" w:themeColor="text1"/>
          <w:szCs w:val="21"/>
        </w:rPr>
        <w:t>、有针对性地提供突发事件的安全保卫服务，措施得力，制度健全、人员到位，编制切实可行的扰乱办公秩序等突发事件的应急预案及措施。</w:t>
      </w:r>
      <w:r>
        <w:rPr>
          <w:rFonts w:hint="eastAsia" w:ascii="宋体" w:hAnsi="宋体" w:cs="宋体"/>
          <w:color w:val="000000" w:themeColor="text1"/>
          <w:kern w:val="0"/>
          <w:szCs w:val="21"/>
        </w:rPr>
        <w:t>负责及时、正确处理院内各类突发事件，</w:t>
      </w:r>
      <w:r>
        <w:rPr>
          <w:rFonts w:hint="eastAsia" w:ascii="宋体" w:hAnsi="宋体"/>
          <w:color w:val="000000" w:themeColor="text1"/>
          <w:szCs w:val="21"/>
        </w:rPr>
        <w:t>配合公安机关，协助调查甲方内发生的各类案件及意外事故。</w:t>
      </w:r>
    </w:p>
    <w:p>
      <w:pPr>
        <w:spacing w:line="360" w:lineRule="auto"/>
        <w:ind w:firstLine="420" w:firstLineChars="200"/>
        <w:rPr>
          <w:rFonts w:ascii="宋体" w:hAnsi="宋体"/>
          <w:color w:val="000000" w:themeColor="text1"/>
          <w:szCs w:val="21"/>
        </w:rPr>
      </w:pPr>
      <w:r>
        <w:rPr>
          <w:rFonts w:ascii="宋体" w:hAnsi="宋体"/>
          <w:color w:val="000000" w:themeColor="text1"/>
          <w:szCs w:val="21"/>
        </w:rPr>
        <w:t>g</w:t>
      </w:r>
      <w:r>
        <w:rPr>
          <w:rFonts w:hint="eastAsia" w:ascii="宋体" w:hAnsi="宋体"/>
          <w:color w:val="000000" w:themeColor="text1"/>
          <w:szCs w:val="21"/>
        </w:rPr>
        <w:t>、因物业管理原因造成的火灾、刑事案件或交通事故发生率为零，无任何其他重大物业管理责任事故。</w:t>
      </w:r>
    </w:p>
    <w:p>
      <w:pPr>
        <w:spacing w:line="360" w:lineRule="auto"/>
        <w:ind w:firstLine="420" w:firstLineChars="200"/>
        <w:rPr>
          <w:rFonts w:ascii="宋体" w:hAnsi="宋体"/>
          <w:color w:val="000000" w:themeColor="text1"/>
          <w:szCs w:val="21"/>
        </w:rPr>
      </w:pPr>
      <w:r>
        <w:rPr>
          <w:rFonts w:ascii="宋体" w:hAnsi="宋体"/>
          <w:color w:val="000000" w:themeColor="text1"/>
          <w:szCs w:val="21"/>
        </w:rPr>
        <w:t>h</w:t>
      </w:r>
      <w:r>
        <w:rPr>
          <w:rFonts w:hint="eastAsia" w:ascii="宋体" w:hAnsi="宋体"/>
          <w:color w:val="000000" w:themeColor="text1"/>
          <w:szCs w:val="21"/>
        </w:rPr>
        <w:t>、</w:t>
      </w:r>
      <w:r>
        <w:rPr>
          <w:rFonts w:hint="eastAsia" w:ascii="宋体" w:hAnsi="宋体" w:cs="宋体"/>
          <w:color w:val="000000" w:themeColor="text1"/>
          <w:kern w:val="0"/>
          <w:szCs w:val="21"/>
        </w:rPr>
        <w:t>负责甲方消防管理。</w:t>
      </w:r>
      <w:r>
        <w:rPr>
          <w:rFonts w:hint="eastAsia" w:ascii="宋体" w:hAnsi="宋体"/>
          <w:color w:val="000000" w:themeColor="text1"/>
          <w:szCs w:val="21"/>
        </w:rPr>
        <w:t>指派消防安全现场管理责任人；巡查消防设备设施，发现问题应立即处理，中标公司无法处理的应及时上报招标单位解决，确保系统可随时起用，确保消防通道畅通，并制订消防应急方案。所有护卫人员均是义务消防员，接受消防培训（由中标单位组织），中标单位每半年进行最少一次消防演习。</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i</w:t>
      </w:r>
      <w:r>
        <w:rPr>
          <w:rFonts w:hint="eastAsia" w:ascii="宋体" w:hAnsi="宋体"/>
          <w:color w:val="000000" w:themeColor="text1"/>
          <w:szCs w:val="21"/>
        </w:rPr>
        <w:t>、建立突发事件处理程序，拟定相应的措施，建立快速反应、快速支援等安全体系。</w:t>
      </w:r>
    </w:p>
    <w:p>
      <w:pPr>
        <w:spacing w:line="360" w:lineRule="auto"/>
        <w:ind w:firstLine="420" w:firstLineChars="200"/>
        <w:rPr>
          <w:rFonts w:ascii="宋体" w:hAnsi="宋体"/>
          <w:color w:val="000000" w:themeColor="text1"/>
          <w:szCs w:val="21"/>
        </w:rPr>
      </w:pPr>
      <w:r>
        <w:rPr>
          <w:rFonts w:ascii="宋体" w:hAnsi="宋体"/>
          <w:color w:val="000000" w:themeColor="text1"/>
          <w:szCs w:val="21"/>
        </w:rPr>
        <w:t>j</w:t>
      </w:r>
      <w:r>
        <w:rPr>
          <w:rFonts w:hint="eastAsia" w:ascii="宋体" w:hAnsi="宋体"/>
          <w:color w:val="000000" w:themeColor="text1"/>
          <w:szCs w:val="21"/>
        </w:rPr>
        <w:t>、确保大楼出入道口及外围无聚众、阻塞、叫卖等现象，负责对外来人员的安全检查、来访登记信息登记、物品寄存管理等。</w:t>
      </w:r>
    </w:p>
    <w:p>
      <w:pPr>
        <w:spacing w:line="360" w:lineRule="auto"/>
        <w:ind w:firstLine="420" w:firstLineChars="200"/>
        <w:rPr>
          <w:rFonts w:ascii="宋体" w:hAnsi="宋体"/>
          <w:color w:val="000000" w:themeColor="text1"/>
          <w:szCs w:val="21"/>
        </w:rPr>
      </w:pPr>
      <w:r>
        <w:rPr>
          <w:rFonts w:ascii="宋体" w:hAnsi="宋体"/>
          <w:color w:val="000000" w:themeColor="text1"/>
          <w:szCs w:val="21"/>
        </w:rPr>
        <w:t>k</w:t>
      </w:r>
      <w:r>
        <w:rPr>
          <w:rFonts w:hint="eastAsia" w:ascii="宋体" w:hAnsi="宋体"/>
          <w:color w:val="000000" w:themeColor="text1"/>
          <w:szCs w:val="21"/>
        </w:rPr>
        <w:t>、有重大活动、接待或会议时，须按甲方要求在规定时间内增加适当的安全保卫人员保障安全。对本部、惠州站周边区域、内部各重要岗位（领导办公室、档案室、财务室、食堂、车库）等重点场所进行巡检。</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l、建立突发性预警机制，在发生火灾、地震、水灾等自然灾害时，确保紧急疏散通道畅通，照明设备、引路标志完好、及其它安全隐患。</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m、中标人负责提供现场秩序维护员的值勤所需的装备、保安制服、保安器材、通讯设备等</w:t>
      </w:r>
      <w:r>
        <w:rPr>
          <w:rFonts w:ascii="宋体" w:hAnsi="宋体"/>
          <w:color w:val="000000" w:themeColor="text1"/>
          <w:szCs w:val="21"/>
        </w:rPr>
        <w:t>,</w:t>
      </w:r>
      <w:r>
        <w:rPr>
          <w:rFonts w:hint="eastAsia" w:ascii="宋体" w:hAnsi="宋体"/>
          <w:color w:val="000000" w:themeColor="text1"/>
          <w:szCs w:val="21"/>
        </w:rPr>
        <w:t>甲方负责提供门岗值班室。</w:t>
      </w:r>
    </w:p>
    <w:p>
      <w:pPr>
        <w:spacing w:line="360" w:lineRule="auto"/>
        <w:ind w:firstLine="420" w:firstLineChars="200"/>
        <w:rPr>
          <w:rFonts w:ascii="宋体" w:hAnsi="宋体"/>
          <w:color w:val="000000" w:themeColor="text1"/>
          <w:szCs w:val="21"/>
        </w:rPr>
      </w:pPr>
      <w:r>
        <w:rPr>
          <w:rFonts w:hint="eastAsia" w:ascii="宋体" w:hAnsi="宋体"/>
          <w:color w:val="000000" w:themeColor="text1"/>
          <w:szCs w:val="21"/>
        </w:rPr>
        <w:t>n、内部管理体制健全，设立保安（安检）队长，全面负责日常保安队伍的规范化管理。</w:t>
      </w:r>
    </w:p>
    <w:p>
      <w:pPr>
        <w:spacing w:line="360" w:lineRule="auto"/>
        <w:ind w:firstLine="420" w:firstLineChars="200"/>
        <w:rPr>
          <w:rFonts w:ascii="宋体" w:hAnsi="宋体" w:cs="宋体"/>
          <w:color w:val="000000" w:themeColor="text1"/>
          <w:kern w:val="0"/>
          <w:szCs w:val="21"/>
        </w:rPr>
      </w:pPr>
      <w:r>
        <w:rPr>
          <w:rFonts w:hint="eastAsia" w:ascii="宋体" w:hAnsi="宋体"/>
          <w:color w:val="000000" w:themeColor="text1"/>
          <w:szCs w:val="21"/>
        </w:rPr>
        <w:t>o、</w:t>
      </w:r>
      <w:r>
        <w:rPr>
          <w:rFonts w:hint="eastAsia" w:ascii="宋体" w:hAnsi="宋体" w:cs="宋体"/>
          <w:color w:val="000000" w:themeColor="text1"/>
          <w:kern w:val="0"/>
          <w:szCs w:val="21"/>
        </w:rPr>
        <w:t>投标单位须采取切实有效措施保持保安队伍的稳定，严格控制人员轮换岗比例，一年内轮换岗保安人数不得超过合同编制的5</w:t>
      </w:r>
      <w:r>
        <w:rPr>
          <w:rFonts w:ascii="宋体" w:hAnsi="宋体" w:cs="宋体"/>
          <w:color w:val="000000" w:themeColor="text1"/>
          <w:kern w:val="0"/>
          <w:szCs w:val="21"/>
        </w:rPr>
        <w:t>0%</w:t>
      </w:r>
      <w:r>
        <w:rPr>
          <w:rFonts w:hint="eastAsia" w:ascii="宋体" w:hAnsi="宋体" w:cs="宋体"/>
          <w:color w:val="000000" w:themeColor="text1"/>
          <w:kern w:val="0"/>
          <w:szCs w:val="21"/>
        </w:rPr>
        <w:t>，轮岗人员须经采购单位同意，保安队伍主要管理员更换，应提前一个月以口头形式通知招标人确保服务质量不因人员变动而受影响。</w:t>
      </w:r>
    </w:p>
    <w:p>
      <w:pPr>
        <w:spacing w:line="360" w:lineRule="auto"/>
        <w:ind w:firstLine="420" w:firstLineChars="200"/>
        <w:rPr>
          <w:rFonts w:ascii="宋体" w:hAnsi="宋体" w:cs="宋体"/>
          <w:color w:val="000000" w:themeColor="text1"/>
          <w:kern w:val="0"/>
          <w:szCs w:val="21"/>
        </w:rPr>
      </w:pPr>
      <w:r>
        <w:rPr>
          <w:rFonts w:hint="eastAsia" w:ascii="宋体" w:hAnsi="宋体"/>
          <w:color w:val="000000" w:themeColor="text1"/>
          <w:szCs w:val="21"/>
        </w:rPr>
        <w:t>p、</w:t>
      </w:r>
      <w:r>
        <w:rPr>
          <w:rFonts w:hint="eastAsia" w:ascii="宋体" w:hAnsi="宋体" w:cs="宋体"/>
          <w:color w:val="000000" w:themeColor="text1"/>
          <w:kern w:val="0"/>
          <w:szCs w:val="21"/>
        </w:rPr>
        <w:t>保安应聘、录用、离职等管理档案规范，手续齐全，相应资料和管理过程中所有资料须保存完好以备甲方随时检查，禁止离职保安及无关人员进入甲方。</w:t>
      </w:r>
    </w:p>
    <w:p>
      <w:pPr>
        <w:ind w:firstLine="480"/>
        <w:rPr>
          <w:rFonts w:ascii="宋体" w:hAnsi="宋体"/>
          <w:color w:val="000000" w:themeColor="text1"/>
          <w:lang w:val="zh-CN"/>
        </w:rPr>
      </w:pPr>
      <w:r>
        <w:rPr>
          <w:rFonts w:hint="eastAsia" w:ascii="宋体" w:hAnsi="宋体"/>
          <w:color w:val="000000" w:themeColor="text1"/>
        </w:rPr>
        <w:t>q</w:t>
      </w:r>
      <w:r>
        <w:rPr>
          <w:rFonts w:hint="eastAsia" w:ascii="宋体" w:hAnsi="宋体"/>
          <w:color w:val="000000" w:themeColor="text1"/>
          <w:szCs w:val="21"/>
        </w:rPr>
        <w:t>、</w:t>
      </w:r>
      <w:r>
        <w:rPr>
          <w:rFonts w:hint="eastAsia" w:ascii="宋体" w:hAnsi="宋体"/>
          <w:color w:val="000000" w:themeColor="text1"/>
          <w:lang w:val="zh-CN"/>
        </w:rPr>
        <w:t>协助甲方按照相关规定和要求，加强人防、物防、技防、消防、制度防建设，强化甲方内部安全管理。</w:t>
      </w:r>
    </w:p>
    <w:p>
      <w:pPr>
        <w:ind w:firstLine="525" w:firstLineChars="250"/>
        <w:rPr>
          <w:rFonts w:ascii="宋体" w:hAnsi="宋体"/>
          <w:color w:val="000000" w:themeColor="text1"/>
        </w:rPr>
      </w:pPr>
      <w:r>
        <w:rPr>
          <w:rFonts w:hint="eastAsia" w:ascii="宋体" w:hAnsi="宋体"/>
          <w:color w:val="000000" w:themeColor="text1"/>
        </w:rPr>
        <w:t>r、保安员、安检员上岗前须先经过专业培训，并经投标单位核检通过。</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630" w:firstLineChars="300"/>
        <w:rPr>
          <w:rFonts w:ascii="宋体" w:hAnsi="宋体"/>
          <w:color w:val="000000" w:themeColor="text1"/>
          <w:kern w:val="0"/>
          <w:szCs w:val="21"/>
        </w:rPr>
      </w:pPr>
      <w:r>
        <w:rPr>
          <w:rFonts w:hint="eastAsia" w:ascii="宋体" w:hAnsi="宋体"/>
          <w:color w:val="000000" w:themeColor="text1"/>
          <w:kern w:val="0"/>
          <w:szCs w:val="21"/>
        </w:rPr>
        <w:t>2</w:t>
      </w:r>
      <w:r>
        <w:rPr>
          <w:rFonts w:ascii="宋体" w:hAnsi="宋体"/>
          <w:color w:val="000000" w:themeColor="text1"/>
          <w:kern w:val="0"/>
          <w:szCs w:val="21"/>
        </w:rPr>
        <w:t>、秩序</w:t>
      </w:r>
      <w:r>
        <w:rPr>
          <w:rFonts w:hint="eastAsia" w:ascii="宋体" w:hAnsi="宋体"/>
          <w:color w:val="000000" w:themeColor="text1"/>
          <w:kern w:val="0"/>
          <w:szCs w:val="21"/>
        </w:rPr>
        <w:t>人</w:t>
      </w:r>
      <w:r>
        <w:rPr>
          <w:rFonts w:ascii="宋体" w:hAnsi="宋体"/>
          <w:color w:val="000000" w:themeColor="text1"/>
          <w:kern w:val="0"/>
          <w:szCs w:val="21"/>
        </w:rPr>
        <w:t>员值班要求</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（1）职业纪律:</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a</w:t>
      </w:r>
      <w:r>
        <w:rPr>
          <w:rFonts w:hint="eastAsia" w:ascii="宋体" w:hAnsi="宋体"/>
          <w:color w:val="000000" w:themeColor="text1"/>
          <w:szCs w:val="21"/>
        </w:rPr>
        <w:t>、严禁秩序维护员执勤着装不整齐</w:t>
      </w:r>
      <w:r>
        <w:rPr>
          <w:rFonts w:ascii="宋体" w:hAnsi="宋体"/>
          <w:color w:val="000000" w:themeColor="text1"/>
          <w:szCs w:val="21"/>
        </w:rPr>
        <w:t>,</w:t>
      </w:r>
      <w:r>
        <w:rPr>
          <w:rFonts w:hint="eastAsia" w:ascii="宋体" w:hAnsi="宋体"/>
          <w:color w:val="000000" w:themeColor="text1"/>
          <w:szCs w:val="21"/>
        </w:rPr>
        <w:t>不按规定着装佩带不全。</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b</w:t>
      </w:r>
      <w:r>
        <w:rPr>
          <w:rFonts w:hint="eastAsia" w:ascii="宋体" w:hAnsi="宋体"/>
          <w:color w:val="000000" w:themeColor="text1"/>
          <w:szCs w:val="21"/>
        </w:rPr>
        <w:t>、严禁秩序维护员当班时看阅书报小说</w:t>
      </w:r>
      <w:r>
        <w:rPr>
          <w:rFonts w:ascii="宋体" w:hAnsi="宋体"/>
          <w:color w:val="000000" w:themeColor="text1"/>
          <w:szCs w:val="21"/>
        </w:rPr>
        <w:t>,</w:t>
      </w:r>
      <w:r>
        <w:rPr>
          <w:rFonts w:hint="eastAsia" w:ascii="宋体" w:hAnsi="宋体"/>
          <w:color w:val="000000" w:themeColor="text1"/>
          <w:szCs w:val="21"/>
        </w:rPr>
        <w:t>玩游戏机等与工作无关的事情。</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c</w:t>
      </w:r>
      <w:r>
        <w:rPr>
          <w:rFonts w:hint="eastAsia" w:ascii="宋体" w:hAnsi="宋体"/>
          <w:color w:val="000000" w:themeColor="text1"/>
          <w:szCs w:val="21"/>
        </w:rPr>
        <w:t>、严禁秩序维护员值班时打瞌睡或聚众聊天嬉闹。</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d</w:t>
      </w:r>
      <w:r>
        <w:rPr>
          <w:rFonts w:hint="eastAsia" w:ascii="宋体" w:hAnsi="宋体"/>
          <w:color w:val="000000" w:themeColor="text1"/>
          <w:szCs w:val="21"/>
        </w:rPr>
        <w:t>、严禁饮酒执勤或在上班岗位吸烟。</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e</w:t>
      </w:r>
      <w:r>
        <w:rPr>
          <w:rFonts w:hint="eastAsia" w:ascii="宋体" w:hAnsi="宋体"/>
          <w:color w:val="000000" w:themeColor="text1"/>
          <w:szCs w:val="21"/>
        </w:rPr>
        <w:t>、严禁交接班不清楚</w:t>
      </w:r>
      <w:r>
        <w:rPr>
          <w:rFonts w:ascii="宋体" w:hAnsi="宋体"/>
          <w:color w:val="000000" w:themeColor="text1"/>
          <w:szCs w:val="21"/>
        </w:rPr>
        <w:t>,</w:t>
      </w:r>
      <w:r>
        <w:rPr>
          <w:rFonts w:hint="eastAsia" w:ascii="宋体" w:hAnsi="宋体"/>
          <w:color w:val="000000" w:themeColor="text1"/>
          <w:szCs w:val="21"/>
        </w:rPr>
        <w:t>未经队长批准</w:t>
      </w:r>
      <w:r>
        <w:rPr>
          <w:rFonts w:ascii="宋体" w:hAnsi="宋体"/>
          <w:color w:val="000000" w:themeColor="text1"/>
          <w:szCs w:val="21"/>
        </w:rPr>
        <w:t>,</w:t>
      </w:r>
      <w:r>
        <w:rPr>
          <w:rFonts w:hint="eastAsia" w:ascii="宋体" w:hAnsi="宋体"/>
          <w:color w:val="000000" w:themeColor="text1"/>
          <w:szCs w:val="21"/>
        </w:rPr>
        <w:t>私自请人顶班。</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f</w:t>
      </w:r>
      <w:r>
        <w:rPr>
          <w:rFonts w:hint="eastAsia" w:ascii="宋体" w:hAnsi="宋体"/>
          <w:color w:val="000000" w:themeColor="text1"/>
          <w:szCs w:val="21"/>
        </w:rPr>
        <w:t>、严禁非法扣留他人证件及物品或接受业主的钱物。</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g</w:t>
      </w:r>
      <w:r>
        <w:rPr>
          <w:rFonts w:hint="eastAsia" w:ascii="宋体" w:hAnsi="宋体"/>
          <w:color w:val="000000" w:themeColor="text1"/>
          <w:szCs w:val="21"/>
        </w:rPr>
        <w:t>、严禁在突发事件</w:t>
      </w:r>
      <w:r>
        <w:rPr>
          <w:rFonts w:ascii="宋体" w:hAnsi="宋体"/>
          <w:color w:val="000000" w:themeColor="text1"/>
          <w:szCs w:val="21"/>
        </w:rPr>
        <w:t>,</w:t>
      </w:r>
      <w:r>
        <w:rPr>
          <w:rFonts w:hint="eastAsia" w:ascii="宋体" w:hAnsi="宋体"/>
          <w:color w:val="000000" w:themeColor="text1"/>
          <w:szCs w:val="21"/>
        </w:rPr>
        <w:t>紧急情况中临阵脱逃或视之不理。</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h</w:t>
      </w:r>
      <w:r>
        <w:rPr>
          <w:rFonts w:hint="eastAsia" w:ascii="宋体" w:hAnsi="宋体"/>
          <w:color w:val="000000" w:themeColor="text1"/>
          <w:szCs w:val="21"/>
        </w:rPr>
        <w:t>、严禁秩序维护员之间</w:t>
      </w:r>
      <w:r>
        <w:rPr>
          <w:rFonts w:ascii="宋体" w:hAnsi="宋体"/>
          <w:color w:val="000000" w:themeColor="text1"/>
          <w:szCs w:val="21"/>
        </w:rPr>
        <w:t>,</w:t>
      </w:r>
      <w:r>
        <w:rPr>
          <w:rFonts w:hint="eastAsia" w:ascii="宋体" w:hAnsi="宋体"/>
          <w:color w:val="000000" w:themeColor="text1"/>
          <w:szCs w:val="21"/>
        </w:rPr>
        <w:t>监守自盗</w:t>
      </w:r>
      <w:r>
        <w:rPr>
          <w:rFonts w:ascii="宋体" w:hAnsi="宋体"/>
          <w:color w:val="000000" w:themeColor="text1"/>
          <w:szCs w:val="21"/>
        </w:rPr>
        <w:t>,</w:t>
      </w:r>
      <w:r>
        <w:rPr>
          <w:rFonts w:hint="eastAsia" w:ascii="宋体" w:hAnsi="宋体"/>
          <w:color w:val="000000" w:themeColor="text1"/>
          <w:szCs w:val="21"/>
        </w:rPr>
        <w:t>以权谋私</w:t>
      </w:r>
      <w:r>
        <w:rPr>
          <w:rFonts w:ascii="宋体" w:hAnsi="宋体"/>
          <w:color w:val="000000" w:themeColor="text1"/>
          <w:szCs w:val="21"/>
        </w:rPr>
        <w:t>,</w:t>
      </w:r>
      <w:r>
        <w:rPr>
          <w:rFonts w:hint="eastAsia" w:ascii="宋体" w:hAnsi="宋体"/>
          <w:color w:val="000000" w:themeColor="text1"/>
          <w:szCs w:val="21"/>
        </w:rPr>
        <w:t>向业主收取费用。</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i</w:t>
      </w:r>
      <w:r>
        <w:rPr>
          <w:rFonts w:hint="eastAsia" w:ascii="宋体" w:hAnsi="宋体"/>
          <w:color w:val="000000" w:themeColor="text1"/>
          <w:szCs w:val="21"/>
        </w:rPr>
        <w:t>、严禁违反保安器材、消防器材的操作规定或转借。</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j</w:t>
      </w:r>
      <w:r>
        <w:rPr>
          <w:rFonts w:hint="eastAsia" w:ascii="宋体" w:hAnsi="宋体"/>
          <w:color w:val="000000" w:themeColor="text1"/>
          <w:szCs w:val="21"/>
        </w:rPr>
        <w:t>、严禁无故不参与保安会议培训学习训练及集体活动。</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k</w:t>
      </w:r>
      <w:r>
        <w:rPr>
          <w:rFonts w:hint="eastAsia" w:ascii="宋体" w:hAnsi="宋体"/>
          <w:color w:val="000000" w:themeColor="text1"/>
          <w:szCs w:val="21"/>
        </w:rPr>
        <w:t>、严禁拉帮结派、搞不团结、不服从安排。</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l</w:t>
      </w:r>
      <w:r>
        <w:rPr>
          <w:rFonts w:hint="eastAsia" w:ascii="宋体" w:hAnsi="宋体"/>
          <w:color w:val="000000" w:themeColor="text1"/>
          <w:szCs w:val="21"/>
        </w:rPr>
        <w:t>、严禁未经批准缺勤和擅离岗位或请假不按时归队。</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m</w:t>
      </w:r>
      <w:r>
        <w:rPr>
          <w:rFonts w:hint="eastAsia" w:ascii="宋体" w:hAnsi="宋体"/>
          <w:color w:val="000000" w:themeColor="text1"/>
          <w:szCs w:val="21"/>
        </w:rPr>
        <w:t>、严禁泄露服务单位重要信息。</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n</w:t>
      </w:r>
      <w:r>
        <w:rPr>
          <w:rFonts w:hint="eastAsia" w:ascii="宋体" w:hAnsi="宋体"/>
          <w:color w:val="000000" w:themeColor="text1"/>
          <w:szCs w:val="21"/>
        </w:rPr>
        <w:t>、严禁隐瞒不向上级汇报工作中存在的问题或可能造成的后果。</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（2）规范用语:</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您好、请进、请讲、请稍等、请您出示证件、请您把车停好、请您登记、请问您找谁、抱歉、对不起、谢谢、再见等。</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 xml:space="preserve">（3）岗位规范: </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a</w:t>
      </w:r>
      <w:r>
        <w:rPr>
          <w:rFonts w:hint="eastAsia" w:ascii="宋体" w:hAnsi="宋体"/>
          <w:color w:val="000000" w:themeColor="text1"/>
          <w:szCs w:val="21"/>
        </w:rPr>
        <w:t>、安检</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①按时到岗</w:t>
      </w:r>
      <w:r>
        <w:rPr>
          <w:rFonts w:ascii="宋体" w:hAnsi="宋体"/>
          <w:color w:val="000000" w:themeColor="text1"/>
          <w:szCs w:val="21"/>
        </w:rPr>
        <w:t>,</w:t>
      </w:r>
      <w:r>
        <w:rPr>
          <w:rFonts w:hint="eastAsia" w:ascii="宋体" w:hAnsi="宋体"/>
          <w:color w:val="000000" w:themeColor="text1"/>
          <w:szCs w:val="21"/>
        </w:rPr>
        <w:t>交接后换岗</w:t>
      </w:r>
      <w:r>
        <w:rPr>
          <w:rFonts w:ascii="宋体" w:hAnsi="宋体"/>
          <w:color w:val="000000" w:themeColor="text1"/>
          <w:szCs w:val="21"/>
        </w:rPr>
        <w:t>,</w:t>
      </w:r>
      <w:r>
        <w:rPr>
          <w:rFonts w:hint="eastAsia" w:ascii="宋体" w:hAnsi="宋体"/>
          <w:color w:val="000000" w:themeColor="text1"/>
          <w:szCs w:val="21"/>
        </w:rPr>
        <w:t>坚守岗位不脱岗。保持个人仪表整洁</w:t>
      </w:r>
      <w:r>
        <w:rPr>
          <w:rFonts w:ascii="宋体" w:hAnsi="宋体"/>
          <w:color w:val="000000" w:themeColor="text1"/>
          <w:szCs w:val="21"/>
        </w:rPr>
        <w:t>,</w:t>
      </w:r>
      <w:r>
        <w:rPr>
          <w:rFonts w:hint="eastAsia" w:ascii="宋体" w:hAnsi="宋体"/>
          <w:color w:val="000000" w:themeColor="text1"/>
          <w:szCs w:val="21"/>
        </w:rPr>
        <w:t>门岗周围环境清洁。</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②负责安检通道安保人员必须懂得</w:t>
      </w:r>
      <w:r>
        <w:rPr>
          <w:rFonts w:ascii="宋体" w:hAnsi="宋体"/>
          <w:color w:val="000000" w:themeColor="text1"/>
          <w:szCs w:val="21"/>
        </w:rPr>
        <w:t>X</w:t>
      </w:r>
      <w:r>
        <w:rPr>
          <w:rFonts w:hint="eastAsia" w:ascii="宋体" w:hAnsi="宋体"/>
          <w:color w:val="000000" w:themeColor="text1"/>
          <w:szCs w:val="21"/>
        </w:rPr>
        <w:t>光机《安全操作规程》《</w:t>
      </w:r>
      <w:r>
        <w:rPr>
          <w:rFonts w:ascii="宋体" w:hAnsi="宋体"/>
          <w:color w:val="000000" w:themeColor="text1"/>
          <w:szCs w:val="21"/>
        </w:rPr>
        <w:t>X</w:t>
      </w:r>
      <w:r>
        <w:rPr>
          <w:rFonts w:hint="eastAsia" w:ascii="宋体" w:hAnsi="宋体"/>
          <w:color w:val="000000" w:themeColor="text1"/>
          <w:szCs w:val="21"/>
        </w:rPr>
        <w:t>射线防护制度》《</w:t>
      </w:r>
      <w:r>
        <w:rPr>
          <w:rFonts w:ascii="宋体" w:hAnsi="宋体"/>
          <w:color w:val="000000" w:themeColor="text1"/>
          <w:szCs w:val="21"/>
        </w:rPr>
        <w:t>X</w:t>
      </w:r>
      <w:r>
        <w:rPr>
          <w:rFonts w:hint="eastAsia" w:ascii="宋体" w:hAnsi="宋体"/>
          <w:color w:val="000000" w:themeColor="text1"/>
          <w:szCs w:val="21"/>
        </w:rPr>
        <w:t>射线辐射事故应急措施》以及手持金属探测器使用等安检工具。</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③在安全检查通道对来访人员进行身份识别，做来访登记手续。</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④对其它进出门岗来访人员也办来访登记手续，发现疑点应当及时询问，指引来办理业务人员走当事人通道。</w:t>
      </w:r>
    </w:p>
    <w:p>
      <w:pPr>
        <w:ind w:firstLine="480"/>
        <w:rPr>
          <w:rFonts w:ascii="宋体" w:hAnsi="宋体"/>
          <w:color w:val="000000" w:themeColor="text1"/>
          <w:lang w:val="zh-CN"/>
        </w:rPr>
      </w:pPr>
      <w:r>
        <w:rPr>
          <w:rFonts w:hint="eastAsia" w:ascii="汉仪书宋二S" w:hAnsi="汉仪书宋二S" w:eastAsia="汉仪书宋二S" w:cs="汉仪书宋二S"/>
          <w:color w:val="000000" w:themeColor="text1"/>
          <w:lang w:val="zh-CN"/>
        </w:rPr>
        <w:t>⑤</w:t>
      </w:r>
      <w:r>
        <w:rPr>
          <w:rFonts w:hint="eastAsia" w:ascii="宋体" w:hAnsi="宋体"/>
          <w:color w:val="000000" w:themeColor="text1"/>
          <w:lang w:val="zh-CN"/>
        </w:rPr>
        <w:t>具备一定的反恐处置及突发应急事件处置能力，能按照既定的预防应急处置机制妥善地预防和处置各类突发事件、群体性事件及违法犯罪行为。</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b</w:t>
      </w:r>
      <w:r>
        <w:rPr>
          <w:rFonts w:hint="eastAsia" w:ascii="宋体" w:hAnsi="宋体"/>
          <w:color w:val="000000" w:themeColor="text1"/>
          <w:szCs w:val="21"/>
        </w:rPr>
        <w:t>、巡逻</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①按规定时间、路线巡逻</w:t>
      </w:r>
      <w:r>
        <w:rPr>
          <w:rFonts w:ascii="宋体" w:hAnsi="宋体"/>
          <w:color w:val="000000" w:themeColor="text1"/>
          <w:szCs w:val="21"/>
        </w:rPr>
        <w:t>,</w:t>
      </w:r>
      <w:r>
        <w:rPr>
          <w:rFonts w:hint="eastAsia" w:ascii="宋体" w:hAnsi="宋体"/>
          <w:color w:val="000000" w:themeColor="text1"/>
          <w:szCs w:val="21"/>
        </w:rPr>
        <w:t>多看、多听、多问</w:t>
      </w:r>
      <w:r>
        <w:rPr>
          <w:rFonts w:ascii="宋体" w:hAnsi="宋体"/>
          <w:color w:val="000000" w:themeColor="text1"/>
          <w:szCs w:val="21"/>
        </w:rPr>
        <w:t>,</w:t>
      </w:r>
      <w:r>
        <w:rPr>
          <w:rFonts w:hint="eastAsia" w:ascii="宋体" w:hAnsi="宋体"/>
          <w:color w:val="000000" w:themeColor="text1"/>
          <w:szCs w:val="21"/>
        </w:rPr>
        <w:t>发现疑点追查到底并及时报告和记录。发现问题及时通知上级领导</w:t>
      </w:r>
      <w:r>
        <w:rPr>
          <w:rFonts w:ascii="宋体" w:hAnsi="宋体"/>
          <w:color w:val="000000" w:themeColor="text1"/>
          <w:szCs w:val="21"/>
        </w:rPr>
        <w:t>,</w:t>
      </w:r>
      <w:r>
        <w:rPr>
          <w:rFonts w:hint="eastAsia" w:ascii="宋体" w:hAnsi="宋体"/>
          <w:color w:val="000000" w:themeColor="text1"/>
          <w:szCs w:val="21"/>
        </w:rPr>
        <w:t>并协助做好处理工作。</w:t>
      </w:r>
      <w:r>
        <w:rPr>
          <w:rFonts w:ascii="宋体" w:hAnsi="宋体"/>
          <w:color w:val="000000" w:themeColor="text1"/>
          <w:szCs w:val="21"/>
        </w:rPr>
        <w:br w:type="textWrapping"/>
      </w:r>
      <w:r>
        <w:rPr>
          <w:rFonts w:hint="eastAsia" w:ascii="宋体" w:hAnsi="宋体"/>
          <w:color w:val="000000" w:themeColor="text1"/>
          <w:szCs w:val="21"/>
        </w:rPr>
        <w:t xml:space="preserve">    ②对院内设置的消火栓箱、雨水井盖、安全警示标志等涉及公共安全的设施、设备进行巡查发现缺失、损坏或不能正常使用等应及时报告并处理。</w:t>
      </w:r>
    </w:p>
    <w:p>
      <w:pPr>
        <w:autoSpaceDE w:val="0"/>
        <w:autoSpaceDN w:val="0"/>
        <w:spacing w:line="360" w:lineRule="auto"/>
        <w:ind w:firstLine="420" w:firstLineChars="200"/>
        <w:rPr>
          <w:rFonts w:ascii="宋体" w:hAnsi="宋体"/>
          <w:color w:val="000000" w:themeColor="text1"/>
          <w:szCs w:val="21"/>
        </w:rPr>
      </w:pPr>
      <w:r>
        <w:rPr>
          <w:rFonts w:ascii="宋体" w:hAnsi="宋体"/>
          <w:color w:val="000000" w:themeColor="text1"/>
          <w:szCs w:val="21"/>
        </w:rPr>
        <w:t>c</w:t>
      </w:r>
      <w:r>
        <w:rPr>
          <w:rFonts w:hint="eastAsia" w:ascii="宋体" w:hAnsi="宋体"/>
          <w:color w:val="000000" w:themeColor="text1"/>
          <w:szCs w:val="21"/>
        </w:rPr>
        <w:t>、监控</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①坚守岗位</w:t>
      </w:r>
      <w:r>
        <w:rPr>
          <w:rFonts w:ascii="宋体" w:hAnsi="宋体"/>
          <w:color w:val="000000" w:themeColor="text1"/>
          <w:szCs w:val="21"/>
        </w:rPr>
        <w:t>,</w:t>
      </w:r>
      <w:r>
        <w:rPr>
          <w:rFonts w:hint="eastAsia" w:ascii="宋体" w:hAnsi="宋体"/>
          <w:color w:val="000000" w:themeColor="text1"/>
          <w:szCs w:val="21"/>
        </w:rPr>
        <w:t>不间断注视监视屏及控制柜的运行状况</w:t>
      </w:r>
      <w:r>
        <w:rPr>
          <w:rFonts w:ascii="宋体" w:hAnsi="宋体"/>
          <w:color w:val="000000" w:themeColor="text1"/>
          <w:szCs w:val="21"/>
        </w:rPr>
        <w:t>,</w:t>
      </w:r>
      <w:r>
        <w:rPr>
          <w:rFonts w:hint="eastAsia" w:ascii="宋体" w:hAnsi="宋体"/>
          <w:color w:val="000000" w:themeColor="text1"/>
          <w:szCs w:val="21"/>
        </w:rPr>
        <w:t>记录准确和完整。发现周界报警、探头等监控设备故障</w:t>
      </w:r>
      <w:r>
        <w:rPr>
          <w:rFonts w:ascii="宋体" w:hAnsi="宋体"/>
          <w:color w:val="000000" w:themeColor="text1"/>
          <w:szCs w:val="21"/>
        </w:rPr>
        <w:t>,</w:t>
      </w:r>
      <w:r>
        <w:rPr>
          <w:rFonts w:hint="eastAsia" w:ascii="宋体" w:hAnsi="宋体"/>
          <w:color w:val="000000" w:themeColor="text1"/>
          <w:szCs w:val="21"/>
        </w:rPr>
        <w:t>要及时报告管理处采取措施消除故障</w:t>
      </w:r>
      <w:r>
        <w:rPr>
          <w:rFonts w:ascii="宋体" w:hAnsi="宋体"/>
          <w:color w:val="000000" w:themeColor="text1"/>
          <w:szCs w:val="21"/>
        </w:rPr>
        <w:t>,</w:t>
      </w:r>
      <w:r>
        <w:rPr>
          <w:rFonts w:hint="eastAsia" w:ascii="宋体" w:hAnsi="宋体"/>
          <w:color w:val="000000" w:themeColor="text1"/>
          <w:szCs w:val="21"/>
        </w:rPr>
        <w:t>保持正常使用。</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②按规定保存监控录相、设备运行、排除异常情况等记录。</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③发现异常情况或匪警、火警等警情立即报警</w:t>
      </w:r>
      <w:r>
        <w:rPr>
          <w:rFonts w:ascii="宋体" w:hAnsi="宋体"/>
          <w:color w:val="000000" w:themeColor="text1"/>
          <w:szCs w:val="21"/>
        </w:rPr>
        <w:t>,</w:t>
      </w:r>
      <w:r>
        <w:rPr>
          <w:rFonts w:hint="eastAsia" w:ascii="宋体" w:hAnsi="宋体"/>
          <w:color w:val="000000" w:themeColor="text1"/>
          <w:szCs w:val="21"/>
        </w:rPr>
        <w:t>同时报告负责人和相关出警单位</w:t>
      </w:r>
      <w:r>
        <w:rPr>
          <w:rFonts w:ascii="宋体" w:hAnsi="宋体"/>
          <w:color w:val="000000" w:themeColor="text1"/>
          <w:szCs w:val="21"/>
        </w:rPr>
        <w:t>,</w:t>
      </w:r>
      <w:r>
        <w:rPr>
          <w:rFonts w:hint="eastAsia" w:ascii="宋体" w:hAnsi="宋体"/>
          <w:color w:val="000000" w:themeColor="text1"/>
          <w:szCs w:val="21"/>
        </w:rPr>
        <w:t>并监控处理过程。</w:t>
      </w:r>
    </w:p>
    <w:p>
      <w:pPr>
        <w:autoSpaceDE w:val="0"/>
        <w:autoSpaceDN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fldChar w:fldCharType="begin"/>
      </w:r>
      <w:r>
        <w:rPr>
          <w:rFonts w:hint="eastAsia" w:ascii="宋体" w:hAnsi="宋体"/>
          <w:color w:val="000000" w:themeColor="text1"/>
          <w:szCs w:val="21"/>
        </w:rPr>
        <w:instrText xml:space="preserve"> EQ \o\ac(○,</w:instrText>
      </w:r>
      <w:r>
        <w:rPr>
          <w:rFonts w:hint="eastAsia" w:ascii="宋体" w:hAnsi="宋体"/>
          <w:color w:val="000000" w:themeColor="text1"/>
          <w:position w:val="2"/>
          <w:sz w:val="14"/>
          <w:szCs w:val="21"/>
        </w:rPr>
        <w:instrText xml:space="preserve">4</w:instrText>
      </w:r>
      <w:r>
        <w:rPr>
          <w:rFonts w:hint="eastAsia" w:ascii="宋体" w:hAnsi="宋体"/>
          <w:color w:val="000000" w:themeColor="text1"/>
          <w:szCs w:val="21"/>
        </w:rPr>
        <w:instrText xml:space="preserve">)</w:instrText>
      </w:r>
      <w:r>
        <w:rPr>
          <w:rFonts w:hint="eastAsia" w:ascii="宋体" w:hAnsi="宋体"/>
          <w:color w:val="000000" w:themeColor="text1"/>
          <w:szCs w:val="21"/>
        </w:rPr>
        <w:fldChar w:fldCharType="end"/>
      </w:r>
      <w:r>
        <w:rPr>
          <w:rFonts w:hint="eastAsia" w:ascii="宋体" w:hAnsi="宋体"/>
          <w:color w:val="000000" w:themeColor="text1"/>
          <w:szCs w:val="21"/>
        </w:rPr>
        <w:t>值班人员须熟悉值班规范流程，熟练掌握值班室监控等设备的操作。</w:t>
      </w:r>
    </w:p>
    <w:p>
      <w:pPr>
        <w:outlineLvl w:val="2"/>
        <w:rPr>
          <w:b/>
          <w:color w:val="000000" w:themeColor="text1"/>
          <w:sz w:val="24"/>
        </w:rPr>
      </w:pPr>
      <w:r>
        <w:rPr>
          <w:rFonts w:hint="eastAsia"/>
          <w:b/>
          <w:color w:val="000000" w:themeColor="text1"/>
          <w:sz w:val="24"/>
        </w:rPr>
        <w:t>五、履约时人员配备要求</w:t>
      </w:r>
    </w:p>
    <w:tbl>
      <w:tblPr>
        <w:tblStyle w:val="42"/>
        <w:tblW w:w="8282" w:type="dxa"/>
        <w:tblInd w:w="0" w:type="dxa"/>
        <w:tblLayout w:type="fixed"/>
        <w:tblCellMar>
          <w:top w:w="0" w:type="dxa"/>
          <w:left w:w="108" w:type="dxa"/>
          <w:bottom w:w="0" w:type="dxa"/>
          <w:right w:w="108" w:type="dxa"/>
        </w:tblCellMar>
      </w:tblPr>
      <w:tblGrid>
        <w:gridCol w:w="434"/>
        <w:gridCol w:w="885"/>
        <w:gridCol w:w="3467"/>
        <w:gridCol w:w="3496"/>
      </w:tblGrid>
      <w:tr>
        <w:tblPrEx>
          <w:tblCellMar>
            <w:top w:w="0" w:type="dxa"/>
            <w:left w:w="108" w:type="dxa"/>
            <w:bottom w:w="0" w:type="dxa"/>
            <w:right w:w="108" w:type="dxa"/>
          </w:tblCellMar>
        </w:tblPrEx>
        <w:trPr>
          <w:gridAfter w:val="1"/>
          <w:wAfter w:w="3496" w:type="dxa"/>
          <w:trHeight w:val="600" w:hRule="atLeast"/>
        </w:trPr>
        <w:tc>
          <w:tcPr>
            <w:tcW w:w="43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序号</w:t>
            </w:r>
          </w:p>
        </w:tc>
        <w:tc>
          <w:tcPr>
            <w:tcW w:w="4352" w:type="dxa"/>
            <w:gridSpan w:val="2"/>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类别</w:t>
            </w:r>
          </w:p>
        </w:tc>
      </w:tr>
      <w:tr>
        <w:tblPrEx>
          <w:tblCellMar>
            <w:top w:w="0" w:type="dxa"/>
            <w:left w:w="108" w:type="dxa"/>
            <w:bottom w:w="0" w:type="dxa"/>
            <w:right w:w="108" w:type="dxa"/>
          </w:tblCellMar>
        </w:tblPrEx>
        <w:trPr>
          <w:trHeight w:val="300" w:hRule="atLeast"/>
        </w:trPr>
        <w:tc>
          <w:tcPr>
            <w:tcW w:w="434"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1</w:t>
            </w:r>
          </w:p>
        </w:tc>
        <w:tc>
          <w:tcPr>
            <w:tcW w:w="885"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人工配置要求</w:t>
            </w:r>
          </w:p>
        </w:tc>
        <w:tc>
          <w:tcPr>
            <w:tcW w:w="3467"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岗位</w:t>
            </w:r>
          </w:p>
        </w:tc>
        <w:tc>
          <w:tcPr>
            <w:tcW w:w="3496"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人数</w:t>
            </w:r>
          </w:p>
        </w:tc>
      </w:tr>
      <w:tr>
        <w:tblPrEx>
          <w:tblCellMar>
            <w:top w:w="0" w:type="dxa"/>
            <w:left w:w="108" w:type="dxa"/>
            <w:bottom w:w="0" w:type="dxa"/>
            <w:right w:w="108" w:type="dxa"/>
          </w:tblCellMar>
        </w:tblPrEx>
        <w:trPr>
          <w:trHeight w:val="300" w:hRule="atLeast"/>
        </w:trPr>
        <w:tc>
          <w:tcPr>
            <w:tcW w:w="434" w:type="dxa"/>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sz w:val="20"/>
                <w:szCs w:val="20"/>
              </w:rPr>
            </w:pPr>
          </w:p>
        </w:tc>
        <w:tc>
          <w:tcPr>
            <w:tcW w:w="885" w:type="dxa"/>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sz w:val="20"/>
                <w:szCs w:val="20"/>
              </w:rPr>
            </w:pPr>
          </w:p>
        </w:tc>
        <w:tc>
          <w:tcPr>
            <w:tcW w:w="3467"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管家</w:t>
            </w:r>
          </w:p>
        </w:tc>
        <w:tc>
          <w:tcPr>
            <w:tcW w:w="3496"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1</w:t>
            </w:r>
          </w:p>
        </w:tc>
      </w:tr>
      <w:tr>
        <w:tblPrEx>
          <w:tblCellMar>
            <w:top w:w="0" w:type="dxa"/>
            <w:left w:w="108" w:type="dxa"/>
            <w:bottom w:w="0" w:type="dxa"/>
            <w:right w:w="108" w:type="dxa"/>
          </w:tblCellMar>
        </w:tblPrEx>
        <w:trPr>
          <w:trHeight w:val="300" w:hRule="atLeast"/>
        </w:trPr>
        <w:tc>
          <w:tcPr>
            <w:tcW w:w="434" w:type="dxa"/>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sz w:val="20"/>
                <w:szCs w:val="20"/>
              </w:rPr>
            </w:pPr>
          </w:p>
        </w:tc>
        <w:tc>
          <w:tcPr>
            <w:tcW w:w="885" w:type="dxa"/>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sz w:val="20"/>
                <w:szCs w:val="20"/>
              </w:rPr>
            </w:pPr>
          </w:p>
        </w:tc>
        <w:tc>
          <w:tcPr>
            <w:tcW w:w="3467"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保安</w:t>
            </w:r>
          </w:p>
        </w:tc>
        <w:tc>
          <w:tcPr>
            <w:tcW w:w="3496"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3</w:t>
            </w:r>
          </w:p>
        </w:tc>
      </w:tr>
      <w:tr>
        <w:tblPrEx>
          <w:tblCellMar>
            <w:top w:w="0" w:type="dxa"/>
            <w:left w:w="108" w:type="dxa"/>
            <w:bottom w:w="0" w:type="dxa"/>
            <w:right w:w="108" w:type="dxa"/>
          </w:tblCellMar>
        </w:tblPrEx>
        <w:trPr>
          <w:trHeight w:val="300" w:hRule="atLeast"/>
        </w:trPr>
        <w:tc>
          <w:tcPr>
            <w:tcW w:w="434" w:type="dxa"/>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sz w:val="20"/>
                <w:szCs w:val="20"/>
              </w:rPr>
            </w:pPr>
          </w:p>
        </w:tc>
        <w:tc>
          <w:tcPr>
            <w:tcW w:w="885" w:type="dxa"/>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sz w:val="20"/>
                <w:szCs w:val="20"/>
              </w:rPr>
            </w:pPr>
          </w:p>
        </w:tc>
        <w:tc>
          <w:tcPr>
            <w:tcW w:w="3467"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清洁工</w:t>
            </w:r>
          </w:p>
        </w:tc>
        <w:tc>
          <w:tcPr>
            <w:tcW w:w="3496"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2</w:t>
            </w:r>
          </w:p>
        </w:tc>
      </w:tr>
      <w:tr>
        <w:tblPrEx>
          <w:tblCellMar>
            <w:top w:w="0" w:type="dxa"/>
            <w:left w:w="108" w:type="dxa"/>
            <w:bottom w:w="0" w:type="dxa"/>
            <w:right w:w="108" w:type="dxa"/>
          </w:tblCellMar>
        </w:tblPrEx>
        <w:trPr>
          <w:trHeight w:val="300" w:hRule="atLeast"/>
        </w:trPr>
        <w:tc>
          <w:tcPr>
            <w:tcW w:w="434" w:type="dxa"/>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sz w:val="20"/>
                <w:szCs w:val="20"/>
              </w:rPr>
            </w:pPr>
          </w:p>
        </w:tc>
        <w:tc>
          <w:tcPr>
            <w:tcW w:w="885" w:type="dxa"/>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sz w:val="20"/>
                <w:szCs w:val="20"/>
              </w:rPr>
            </w:pPr>
          </w:p>
        </w:tc>
        <w:tc>
          <w:tcPr>
            <w:tcW w:w="3467"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维修电工</w:t>
            </w:r>
          </w:p>
        </w:tc>
        <w:tc>
          <w:tcPr>
            <w:tcW w:w="3496"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1</w:t>
            </w:r>
          </w:p>
        </w:tc>
      </w:tr>
      <w:tr>
        <w:tblPrEx>
          <w:tblCellMar>
            <w:top w:w="0" w:type="dxa"/>
            <w:left w:w="108" w:type="dxa"/>
            <w:bottom w:w="0" w:type="dxa"/>
            <w:right w:w="108" w:type="dxa"/>
          </w:tblCellMar>
        </w:tblPrEx>
        <w:trPr>
          <w:trHeight w:val="300" w:hRule="atLeast"/>
        </w:trPr>
        <w:tc>
          <w:tcPr>
            <w:tcW w:w="434" w:type="dxa"/>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sz w:val="20"/>
                <w:szCs w:val="20"/>
              </w:rPr>
            </w:pPr>
          </w:p>
        </w:tc>
        <w:tc>
          <w:tcPr>
            <w:tcW w:w="885" w:type="dxa"/>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sz w:val="20"/>
                <w:szCs w:val="20"/>
              </w:rPr>
            </w:pPr>
          </w:p>
        </w:tc>
        <w:tc>
          <w:tcPr>
            <w:tcW w:w="3467"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班长（惠州）</w:t>
            </w:r>
          </w:p>
        </w:tc>
        <w:tc>
          <w:tcPr>
            <w:tcW w:w="3496"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1</w:t>
            </w:r>
          </w:p>
        </w:tc>
      </w:tr>
      <w:tr>
        <w:tblPrEx>
          <w:tblCellMar>
            <w:top w:w="0" w:type="dxa"/>
            <w:left w:w="108" w:type="dxa"/>
            <w:bottom w:w="0" w:type="dxa"/>
            <w:right w:w="108" w:type="dxa"/>
          </w:tblCellMar>
        </w:tblPrEx>
        <w:trPr>
          <w:trHeight w:val="300" w:hRule="atLeast"/>
        </w:trPr>
        <w:tc>
          <w:tcPr>
            <w:tcW w:w="434" w:type="dxa"/>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sz w:val="20"/>
                <w:szCs w:val="20"/>
              </w:rPr>
            </w:pPr>
          </w:p>
        </w:tc>
        <w:tc>
          <w:tcPr>
            <w:tcW w:w="885" w:type="dxa"/>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sz w:val="20"/>
                <w:szCs w:val="20"/>
              </w:rPr>
            </w:pPr>
          </w:p>
        </w:tc>
        <w:tc>
          <w:tcPr>
            <w:tcW w:w="3467"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员工（惠州）</w:t>
            </w:r>
          </w:p>
        </w:tc>
        <w:tc>
          <w:tcPr>
            <w:tcW w:w="3496"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000000"/>
                <w:sz w:val="20"/>
                <w:szCs w:val="20"/>
              </w:rPr>
              <w:t>1</w:t>
            </w:r>
          </w:p>
        </w:tc>
      </w:tr>
      <w:tr>
        <w:tblPrEx>
          <w:tblCellMar>
            <w:top w:w="0" w:type="dxa"/>
            <w:left w:w="108" w:type="dxa"/>
            <w:bottom w:w="0" w:type="dxa"/>
            <w:right w:w="108" w:type="dxa"/>
          </w:tblCellMar>
        </w:tblPrEx>
        <w:trPr>
          <w:trHeight w:val="300" w:hRule="atLeast"/>
        </w:trPr>
        <w:tc>
          <w:tcPr>
            <w:tcW w:w="434" w:type="dxa"/>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sz w:val="20"/>
                <w:szCs w:val="20"/>
              </w:rPr>
            </w:pPr>
          </w:p>
        </w:tc>
        <w:tc>
          <w:tcPr>
            <w:tcW w:w="885" w:type="dxa"/>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sz w:val="20"/>
                <w:szCs w:val="20"/>
              </w:rPr>
            </w:pPr>
          </w:p>
        </w:tc>
        <w:tc>
          <w:tcPr>
            <w:tcW w:w="3467"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b/>
                <w:bCs/>
                <w:color w:val="000000"/>
                <w:sz w:val="20"/>
                <w:szCs w:val="20"/>
              </w:rPr>
            </w:pPr>
            <w:r>
              <w:rPr>
                <w:rFonts w:hint="eastAsia" w:ascii="宋体" w:hAnsi="宋体" w:cs="宋体"/>
                <w:b/>
                <w:bCs/>
                <w:color w:val="000000"/>
                <w:sz w:val="20"/>
                <w:szCs w:val="20"/>
              </w:rPr>
              <w:t>合计</w:t>
            </w:r>
          </w:p>
        </w:tc>
        <w:tc>
          <w:tcPr>
            <w:tcW w:w="3496" w:type="dxa"/>
            <w:tcBorders>
              <w:top w:val="nil"/>
              <w:left w:val="nil"/>
              <w:bottom w:val="single" w:color="auto" w:sz="4" w:space="0"/>
              <w:right w:val="single" w:color="auto" w:sz="4" w:space="0"/>
            </w:tcBorders>
            <w:shd w:val="clear" w:color="auto" w:fill="auto"/>
            <w:vAlign w:val="center"/>
          </w:tcPr>
          <w:p>
            <w:pPr>
              <w:jc w:val="center"/>
              <w:rPr>
                <w:rFonts w:ascii="宋体" w:hAnsi="宋体" w:cs="宋体"/>
                <w:b/>
                <w:bCs/>
                <w:color w:val="000000"/>
                <w:sz w:val="20"/>
                <w:szCs w:val="20"/>
              </w:rPr>
            </w:pPr>
            <w:r>
              <w:rPr>
                <w:rFonts w:hint="eastAsia" w:ascii="宋体" w:hAnsi="宋体" w:cs="宋体"/>
                <w:b/>
                <w:bCs/>
                <w:color w:val="000000"/>
                <w:sz w:val="20"/>
                <w:szCs w:val="20"/>
              </w:rPr>
              <w:t>9</w:t>
            </w:r>
          </w:p>
        </w:tc>
      </w:tr>
    </w:tbl>
    <w:p>
      <w:pPr>
        <w:ind w:firstLine="480"/>
        <w:rPr>
          <w:rFonts w:ascii="宋体" w:hAnsi="宋体"/>
        </w:rPr>
      </w:pPr>
    </w:p>
    <w:p>
      <w:pPr>
        <w:pStyle w:val="5"/>
        <w:spacing w:beforeLines="50" w:afterLines="50"/>
      </w:pPr>
      <w:r>
        <w:rPr>
          <w:rFonts w:hint="eastAsia"/>
          <w:szCs w:val="24"/>
        </w:rPr>
        <w:t>六、商务要求</w:t>
      </w:r>
    </w:p>
    <w:p>
      <w:pPr>
        <w:ind w:firstLine="480"/>
        <w:rPr>
          <w:rFonts w:ascii="宋体" w:hAnsi="宋体"/>
          <w:color w:val="000000" w:themeColor="text1"/>
        </w:rPr>
      </w:pPr>
      <w:bookmarkStart w:id="31" w:name="_Hlk72167863"/>
      <w:r>
        <w:rPr>
          <w:rFonts w:hint="eastAsia" w:ascii="宋体" w:hAnsi="宋体"/>
          <w:color w:val="000000" w:themeColor="text1"/>
        </w:rPr>
        <w:t>（一）服务期限：1年。本项目为长期服务项目，合同期满可以续签，但合同履行期限最长不得超过三十六个月。如甲方对履约情况不满意，甲方不再续约。</w:t>
      </w:r>
    </w:p>
    <w:p>
      <w:pPr>
        <w:ind w:firstLine="480"/>
        <w:rPr>
          <w:rFonts w:ascii="宋体" w:hAnsi="宋体"/>
          <w:color w:val="000000" w:themeColor="text1"/>
        </w:rPr>
      </w:pPr>
      <w:r>
        <w:rPr>
          <w:rFonts w:hint="eastAsia" w:ascii="宋体" w:hAnsi="宋体"/>
          <w:color w:val="000000" w:themeColor="text1"/>
        </w:rPr>
        <w:t>（二）付款方式：按月支付</w:t>
      </w:r>
    </w:p>
    <w:p>
      <w:pPr>
        <w:ind w:firstLine="480"/>
        <w:rPr>
          <w:rFonts w:ascii="宋体" w:hAnsi="宋体"/>
          <w:color w:val="000000" w:themeColor="text1"/>
        </w:rPr>
      </w:pPr>
      <w:r>
        <w:rPr>
          <w:rFonts w:hint="eastAsia" w:ascii="宋体" w:hAnsi="宋体"/>
          <w:color w:val="000000" w:themeColor="text1"/>
        </w:rPr>
        <w:t>（三）质量考核验收标准及违约责任</w:t>
      </w:r>
    </w:p>
    <w:p>
      <w:pPr>
        <w:ind w:firstLine="480"/>
        <w:rPr>
          <w:rFonts w:ascii="宋体" w:hAnsi="宋体"/>
          <w:color w:val="000000" w:themeColor="text1"/>
        </w:rPr>
      </w:pPr>
      <w:r>
        <w:rPr>
          <w:rFonts w:hint="eastAsia" w:ascii="宋体" w:hAnsi="宋体"/>
          <w:color w:val="000000" w:themeColor="text1"/>
        </w:rPr>
        <w:t>（四）如中标，中标人应在本项目设置独立核算的分支机构，签订合同并提供服务。</w:t>
      </w:r>
    </w:p>
    <w:p>
      <w:pPr>
        <w:ind w:firstLine="480"/>
        <w:rPr>
          <w:rFonts w:ascii="宋体" w:hAnsi="宋体"/>
          <w:color w:val="000000" w:themeColor="text1"/>
        </w:rPr>
      </w:pPr>
      <w:r>
        <w:rPr>
          <w:rFonts w:hint="eastAsia" w:ascii="宋体" w:hAnsi="宋体"/>
          <w:color w:val="000000" w:themeColor="text1"/>
        </w:rPr>
        <w:t>1.质量考核验收标准:合同期满后，经考核物业管理质量符合甲方各方面的要求，采购单位将申请按市政府采购相关规定续签物业管理合同。</w:t>
      </w:r>
    </w:p>
    <w:p>
      <w:pPr>
        <w:ind w:firstLine="480"/>
        <w:rPr>
          <w:rFonts w:ascii="宋体" w:hAnsi="宋体"/>
          <w:color w:val="000000" w:themeColor="text1"/>
        </w:rPr>
      </w:pPr>
      <w:r>
        <w:rPr>
          <w:rFonts w:hint="eastAsia" w:ascii="宋体" w:hAnsi="宋体"/>
          <w:color w:val="000000" w:themeColor="text1"/>
        </w:rPr>
        <w:t xml:space="preserve">2.违约责任 </w:t>
      </w:r>
    </w:p>
    <w:p>
      <w:pPr>
        <w:ind w:firstLine="480"/>
        <w:rPr>
          <w:rFonts w:ascii="宋体" w:hAnsi="宋体"/>
          <w:color w:val="000000" w:themeColor="text1"/>
        </w:rPr>
      </w:pPr>
      <w:r>
        <w:rPr>
          <w:rFonts w:hint="eastAsia" w:ascii="宋体" w:hAnsi="宋体"/>
          <w:color w:val="000000" w:themeColor="text1"/>
        </w:rPr>
        <w:t>（1）如非甲方原因，乙方不能完成管理目标的，系乙方违约，甲方有权要求乙方限期整改，在整改期满乙方仍未完成管理目标情况下，甲方有权单方面解除并即时终止合同；同时，如因乙方工作不达标影响了甲方工作进展并造成严重不良影响的或给甲方造成重大经济损失的，乙方须向甲方支付本合同总价款1%的违约金，违约金不足以弥补甲方损失的，乙方还必须承担赔偿责任。</w:t>
      </w:r>
    </w:p>
    <w:p>
      <w:pPr>
        <w:ind w:firstLine="480"/>
        <w:rPr>
          <w:rFonts w:ascii="宋体" w:hAnsi="宋体"/>
          <w:color w:val="000000" w:themeColor="text1"/>
        </w:rPr>
      </w:pPr>
      <w:r>
        <w:rPr>
          <w:rFonts w:hint="eastAsia" w:ascii="宋体" w:hAnsi="宋体"/>
          <w:color w:val="000000" w:themeColor="text1"/>
        </w:rPr>
        <w:t>（2）如因甲方原因，造成乙方未完成规定管理目标，乙方有权要求甲方限期整改，如在整改期限内甲方仍未能完成的，乙方有权终止合同。乙方已实施工作的，按照乙方履约的管理费进行结算。</w:t>
      </w:r>
    </w:p>
    <w:p>
      <w:pPr>
        <w:ind w:firstLine="480"/>
        <w:rPr>
          <w:rFonts w:ascii="宋体" w:hAnsi="宋体"/>
          <w:color w:val="000000" w:themeColor="text1"/>
        </w:rPr>
      </w:pPr>
      <w:r>
        <w:rPr>
          <w:rFonts w:hint="eastAsia" w:ascii="宋体" w:hAnsi="宋体"/>
          <w:color w:val="000000" w:themeColor="text1"/>
        </w:rPr>
        <w:t xml:space="preserve">（3）因甲方房屋建筑或设施设备质量等原因，造成重大事故的，由甲方承担责任并负责善后处理。因乙方管理不善或乙方工作人员操作不当、失职、维修维护等原因造成重大事故和经济损失的，由乙方承担责任并负责善后处理。产生事故的直接原因，以政府有关部门的鉴定结论为准。 </w:t>
      </w:r>
    </w:p>
    <w:p>
      <w:pPr>
        <w:ind w:firstLine="480"/>
        <w:rPr>
          <w:rFonts w:ascii="宋体" w:hAnsi="宋体"/>
          <w:color w:val="000000" w:themeColor="text1"/>
        </w:rPr>
      </w:pPr>
      <w:r>
        <w:rPr>
          <w:rFonts w:hint="eastAsia" w:ascii="宋体" w:hAnsi="宋体"/>
          <w:color w:val="000000" w:themeColor="text1"/>
        </w:rPr>
        <w:t>（四）投标报价</w:t>
      </w:r>
    </w:p>
    <w:p>
      <w:pPr>
        <w:ind w:firstLine="480"/>
        <w:rPr>
          <w:rFonts w:ascii="宋体" w:hAnsi="宋体"/>
          <w:color w:val="000000" w:themeColor="text1"/>
        </w:rPr>
      </w:pPr>
      <w:r>
        <w:rPr>
          <w:rFonts w:hint="eastAsia" w:ascii="宋体" w:hAnsi="宋体"/>
          <w:color w:val="000000" w:themeColor="text1"/>
        </w:rPr>
        <w:t>1.投标人应根据本企业的成本自行决定报价，但不得以低于其企业成本的报价投标；评标时，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ind w:firstLine="480"/>
        <w:rPr>
          <w:rFonts w:ascii="宋体" w:hAnsi="宋体"/>
          <w:color w:val="000000" w:themeColor="text1"/>
        </w:rPr>
      </w:pPr>
      <w:r>
        <w:rPr>
          <w:rFonts w:hint="eastAsia" w:ascii="宋体" w:hAnsi="宋体"/>
          <w:color w:val="000000" w:themeColor="text1"/>
        </w:rPr>
        <w:t>2.除非代理机构通过修改招标文件予以更正，否则，投标人应毫无例外地按招标文件所列的清单中项目和数量填报综合单价或总价。投标人未填综合单价或总价的项目，在实施后，将不得以支付，并视作该项费用已包括在其它有价款的综合单价或总价内。</w:t>
      </w:r>
    </w:p>
    <w:p>
      <w:pPr>
        <w:ind w:firstLine="480"/>
        <w:rPr>
          <w:rFonts w:ascii="宋体" w:hAnsi="宋体"/>
          <w:color w:val="000000" w:themeColor="text1"/>
        </w:rPr>
      </w:pPr>
      <w:r>
        <w:rPr>
          <w:rFonts w:hint="eastAsia" w:ascii="宋体" w:hAnsi="宋体"/>
          <w:color w:val="000000" w:themeColor="text1"/>
        </w:rPr>
        <w:t>3.投标人应充分了解项目的位置、情况、道路及任何其它足以影响投标报价的情况，任何因忽视或误解项目情况而导致的索赔或服务期限延长申请将不获批准。</w:t>
      </w:r>
    </w:p>
    <w:bookmarkEnd w:id="31"/>
    <w:p>
      <w:pPr>
        <w:spacing w:line="360" w:lineRule="auto"/>
        <w:ind w:firstLine="420" w:firstLineChars="200"/>
        <w:rPr>
          <w:rFonts w:ascii="宋体" w:hAnsi="宋体"/>
          <w:szCs w:val="21"/>
        </w:rPr>
      </w:pPr>
    </w:p>
    <w:p>
      <w:pPr>
        <w:pStyle w:val="5"/>
        <w:spacing w:beforeLines="50" w:afterLines="50"/>
        <w:rPr>
          <w:szCs w:val="24"/>
        </w:rPr>
      </w:pPr>
      <w:bookmarkStart w:id="32" w:name="OLE_LINK2"/>
      <w:r>
        <w:rPr>
          <w:rFonts w:hint="eastAsia"/>
          <w:szCs w:val="24"/>
        </w:rPr>
        <w:t>七、其他重要条款</w:t>
      </w:r>
    </w:p>
    <w:bookmarkEnd w:id="32"/>
    <w:p>
      <w:pPr>
        <w:ind w:firstLine="420" w:firstLineChars="200"/>
        <w:rPr>
          <w:bCs/>
          <w:szCs w:val="21"/>
        </w:rPr>
      </w:pPr>
      <w:bookmarkStart w:id="33" w:name="_Hlk72257111"/>
      <w:r>
        <w:rPr>
          <w:rFonts w:hint="eastAsia"/>
          <w:bCs/>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pPr>
        <w:pStyle w:val="7"/>
        <w:spacing w:beforeLines="25" w:afterLines="25"/>
        <w:ind w:firstLine="392" w:firstLineChars="187"/>
        <w:rPr>
          <w:rFonts w:ascii="宋体" w:hAnsi="宋体"/>
          <w:szCs w:val="21"/>
        </w:rPr>
      </w:pPr>
      <w:r>
        <w:rPr>
          <w:bCs/>
          <w:szCs w:val="21"/>
        </w:rPr>
        <w:t>2</w:t>
      </w:r>
      <w:r>
        <w:rPr>
          <w:rFonts w:hint="eastAsia"/>
          <w:bCs/>
          <w:szCs w:val="21"/>
        </w:rPr>
        <w:t>、投标人应充分了解项目的位置、情况、道路及任何其它足以影响投标报价的情况，任何因忽视或误解项目情况而导致的索赔或服务期限延长申请将不获批准。</w:t>
      </w:r>
    </w:p>
    <w:p>
      <w:pPr>
        <w:ind w:firstLine="420" w:firstLineChars="200"/>
        <w:rPr>
          <w:bCs/>
          <w:szCs w:val="21"/>
        </w:rPr>
      </w:pPr>
      <w:r>
        <w:rPr>
          <w:bCs/>
          <w:szCs w:val="21"/>
        </w:rPr>
        <w:t>3</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pPr>
        <w:ind w:firstLine="420" w:firstLineChars="200"/>
        <w:rPr>
          <w:bCs/>
          <w:szCs w:val="21"/>
        </w:rPr>
      </w:pPr>
      <w:r>
        <w:rPr>
          <w:bCs/>
          <w:szCs w:val="21"/>
        </w:rPr>
        <w:t>4</w:t>
      </w:r>
      <w:r>
        <w:rPr>
          <w:rFonts w:hint="eastAsia"/>
          <w:bCs/>
          <w:szCs w:val="21"/>
        </w:rPr>
        <w:t>、鼓励采购人积极运用公共信用信息，明确对信用记录良好的供应商（特别是中小微企业）免收履约保证金，确需收取履约保证金的，列明通过保函等非现金方式收取。在采购合同中明确对上述企业加大首付款或预付款比例，具体由采购人根据项目实际情况确定。</w:t>
      </w:r>
    </w:p>
    <w:p>
      <w:pPr>
        <w:widowControl/>
        <w:ind w:firstLine="420" w:firstLineChars="200"/>
        <w:jc w:val="left"/>
        <w:rPr>
          <w:rFonts w:ascii="宋体" w:hAnsi="宋体"/>
          <w:b/>
          <w:bCs/>
          <w:sz w:val="24"/>
          <w:szCs w:val="20"/>
        </w:rPr>
      </w:pPr>
      <w:r>
        <w:rPr>
          <w:bCs/>
          <w:szCs w:val="21"/>
        </w:rPr>
        <w:t>5</w:t>
      </w:r>
      <w:r>
        <w:rPr>
          <w:rFonts w:hint="eastAsia"/>
          <w:bCs/>
          <w:szCs w:val="21"/>
        </w:rPr>
        <w:t>、除政府采购合同继续履行将损害国家利益和社会公共利益外，双方当事人不得擅自变更、中止或者终止合同。</w:t>
      </w:r>
      <w:bookmarkEnd w:id="33"/>
      <w:r>
        <w:br w:type="page"/>
      </w:r>
    </w:p>
    <w:p>
      <w:pPr>
        <w:pStyle w:val="5"/>
        <w:rPr>
          <w:kern w:val="2"/>
        </w:rPr>
      </w:pPr>
      <w:r>
        <w:rPr>
          <w:rFonts w:hint="eastAsia"/>
          <w:kern w:val="2"/>
        </w:rPr>
        <w:t>第四章 投标文件组成要求及格式</w:t>
      </w:r>
    </w:p>
    <w:p>
      <w:pPr>
        <w:widowControl/>
        <w:jc w:val="left"/>
        <w:rPr>
          <w:rFonts w:ascii="宋体" w:hAnsi="宋体"/>
          <w:sz w:val="24"/>
        </w:rPr>
      </w:pPr>
    </w:p>
    <w:p>
      <w:pPr>
        <w:rPr>
          <w:rFonts w:ascii="宋体" w:hAnsi="宋体"/>
          <w:sz w:val="28"/>
        </w:rPr>
      </w:pPr>
      <w:r>
        <w:rPr>
          <w:rFonts w:hint="eastAsia" w:ascii="宋体" w:hAnsi="宋体"/>
          <w:sz w:val="28"/>
        </w:rPr>
        <w:t>投标文件组成：</w:t>
      </w:r>
    </w:p>
    <w:p>
      <w:pPr>
        <w:ind w:firstLine="1400" w:firstLineChars="500"/>
        <w:outlineLvl w:val="0"/>
        <w:rPr>
          <w:rFonts w:ascii="宋体" w:hAnsi="宋体"/>
          <w:sz w:val="28"/>
        </w:rPr>
      </w:pPr>
      <w:r>
        <w:rPr>
          <w:rFonts w:hint="eastAsia" w:ascii="宋体" w:hAnsi="宋体"/>
          <w:sz w:val="28"/>
        </w:rPr>
        <w:t>1.投标文件正文，主要包括以下内容：</w:t>
      </w:r>
    </w:p>
    <w:p>
      <w:pPr>
        <w:ind w:left="718" w:leftChars="342" w:firstLine="732" w:firstLineChars="333"/>
        <w:rPr>
          <w:sz w:val="22"/>
          <w:szCs w:val="21"/>
        </w:rPr>
      </w:pPr>
      <w:r>
        <w:rPr>
          <w:rFonts w:hint="eastAsia"/>
          <w:sz w:val="22"/>
          <w:szCs w:val="21"/>
        </w:rPr>
        <w:t>（1）</w:t>
      </w:r>
      <w:bookmarkStart w:id="34" w:name="_Hlk72070784"/>
      <w:r>
        <w:rPr>
          <w:rFonts w:hint="eastAsia"/>
          <w:sz w:val="22"/>
          <w:szCs w:val="21"/>
        </w:rPr>
        <w:t>投标函</w:t>
      </w:r>
      <w:bookmarkEnd w:id="34"/>
    </w:p>
    <w:p>
      <w:pPr>
        <w:ind w:left="718" w:leftChars="342" w:firstLine="732" w:firstLineChars="333"/>
        <w:rPr>
          <w:sz w:val="22"/>
          <w:szCs w:val="21"/>
        </w:rPr>
      </w:pPr>
      <w:r>
        <w:rPr>
          <w:rFonts w:hint="eastAsia"/>
          <w:sz w:val="22"/>
          <w:szCs w:val="21"/>
        </w:rPr>
        <w:t>（2）</w:t>
      </w:r>
      <w:bookmarkStart w:id="35" w:name="_Hlk72062521"/>
      <w:r>
        <w:rPr>
          <w:rFonts w:hint="eastAsia"/>
          <w:sz w:val="22"/>
          <w:szCs w:val="21"/>
        </w:rPr>
        <w:t>政府采购投标及履约承诺函</w:t>
      </w:r>
      <w:bookmarkEnd w:id="35"/>
    </w:p>
    <w:p>
      <w:pPr>
        <w:ind w:left="718" w:leftChars="342" w:firstLine="732" w:firstLineChars="333"/>
        <w:rPr>
          <w:sz w:val="22"/>
          <w:szCs w:val="21"/>
        </w:rPr>
      </w:pPr>
      <w:r>
        <w:rPr>
          <w:rFonts w:hint="eastAsia"/>
          <w:sz w:val="22"/>
          <w:szCs w:val="21"/>
        </w:rPr>
        <w:t>（</w:t>
      </w:r>
      <w:r>
        <w:rPr>
          <w:sz w:val="22"/>
          <w:szCs w:val="21"/>
        </w:rPr>
        <w:t>3</w:t>
      </w:r>
      <w:r>
        <w:rPr>
          <w:rFonts w:hint="eastAsia"/>
          <w:sz w:val="22"/>
          <w:szCs w:val="21"/>
        </w:rPr>
        <w:t>）投标人情况及资格证明文件</w:t>
      </w:r>
    </w:p>
    <w:p>
      <w:pPr>
        <w:ind w:left="718" w:leftChars="342" w:firstLine="732" w:firstLineChars="333"/>
        <w:rPr>
          <w:sz w:val="22"/>
          <w:szCs w:val="21"/>
        </w:rPr>
      </w:pPr>
      <w:bookmarkStart w:id="36" w:name="_Hlk72257201"/>
      <w:r>
        <w:rPr>
          <w:rFonts w:hint="eastAsia"/>
          <w:sz w:val="22"/>
          <w:szCs w:val="21"/>
        </w:rPr>
        <w:t>（</w:t>
      </w:r>
      <w:r>
        <w:rPr>
          <w:sz w:val="22"/>
          <w:szCs w:val="21"/>
        </w:rPr>
        <w:t>4</w:t>
      </w:r>
      <w:r>
        <w:rPr>
          <w:rFonts w:hint="eastAsia"/>
          <w:sz w:val="22"/>
          <w:szCs w:val="21"/>
        </w:rPr>
        <w:t>）项目详细报价</w:t>
      </w:r>
    </w:p>
    <w:p>
      <w:pPr>
        <w:ind w:firstLine="1485" w:firstLineChars="675"/>
        <w:rPr>
          <w:sz w:val="22"/>
          <w:szCs w:val="21"/>
        </w:rPr>
      </w:pPr>
      <w:r>
        <w:rPr>
          <w:rFonts w:hint="eastAsia" w:ascii="宋体" w:hAnsi="宋体" w:cs="宋体"/>
          <w:sz w:val="22"/>
          <w:szCs w:val="21"/>
        </w:rPr>
        <w:t>（5）供应商认证情况</w:t>
      </w:r>
      <w:r>
        <w:rPr>
          <w:rFonts w:hint="eastAsia" w:ascii="宋体" w:hAnsi="宋体"/>
          <w:sz w:val="22"/>
          <w:szCs w:val="21"/>
        </w:rPr>
        <w:t>（格式自定）</w:t>
      </w:r>
    </w:p>
    <w:p>
      <w:pPr>
        <w:ind w:firstLine="1485" w:firstLineChars="675"/>
        <w:rPr>
          <w:sz w:val="22"/>
          <w:szCs w:val="21"/>
        </w:rPr>
      </w:pPr>
      <w:r>
        <w:rPr>
          <w:rFonts w:hint="eastAsia" w:ascii="宋体" w:hAnsi="宋体" w:cs="宋体"/>
          <w:sz w:val="22"/>
          <w:szCs w:val="21"/>
        </w:rPr>
        <w:t>（6）</w:t>
      </w:r>
      <w:r>
        <w:rPr>
          <w:rFonts w:hint="eastAsia" w:ascii="宋体" w:hAnsi="宋体"/>
          <w:sz w:val="22"/>
          <w:szCs w:val="21"/>
        </w:rPr>
        <w:t>供应商同类项目业绩情况（格式自定）</w:t>
      </w:r>
    </w:p>
    <w:p>
      <w:pPr>
        <w:ind w:left="718" w:leftChars="342" w:firstLine="1485" w:firstLineChars="675"/>
        <w:rPr>
          <w:sz w:val="22"/>
          <w:szCs w:val="21"/>
        </w:rPr>
      </w:pPr>
    </w:p>
    <w:bookmarkEnd w:id="36"/>
    <w:p>
      <w:pPr>
        <w:ind w:firstLine="1400" w:firstLineChars="500"/>
        <w:outlineLvl w:val="0"/>
        <w:rPr>
          <w:rFonts w:ascii="宋体" w:hAnsi="宋体"/>
          <w:sz w:val="28"/>
        </w:rPr>
      </w:pPr>
      <w:r>
        <w:rPr>
          <w:rFonts w:hint="eastAsia" w:ascii="宋体" w:hAnsi="宋体"/>
          <w:sz w:val="28"/>
        </w:rPr>
        <w:t>2.投标文件附件：主要包括以下内容：</w:t>
      </w:r>
    </w:p>
    <w:p>
      <w:pPr>
        <w:ind w:firstLine="1485" w:firstLineChars="675"/>
        <w:rPr>
          <w:sz w:val="22"/>
          <w:szCs w:val="21"/>
        </w:rPr>
      </w:pPr>
      <w:r>
        <w:rPr>
          <w:rFonts w:hint="eastAsia"/>
          <w:sz w:val="22"/>
          <w:szCs w:val="21"/>
        </w:rPr>
        <w:t>（1）法定代表人（负责人）证明书</w:t>
      </w:r>
    </w:p>
    <w:p>
      <w:pPr>
        <w:ind w:firstLine="1485" w:firstLineChars="675"/>
        <w:rPr>
          <w:sz w:val="22"/>
          <w:szCs w:val="21"/>
        </w:rPr>
      </w:pPr>
      <w:r>
        <w:rPr>
          <w:rFonts w:hint="eastAsia"/>
          <w:sz w:val="22"/>
          <w:szCs w:val="21"/>
        </w:rPr>
        <w:t>（2）投标文件签署授权委托书</w:t>
      </w:r>
    </w:p>
    <w:p>
      <w:pPr>
        <w:ind w:firstLine="1485" w:firstLineChars="675"/>
        <w:rPr>
          <w:sz w:val="22"/>
          <w:szCs w:val="21"/>
        </w:rPr>
      </w:pPr>
      <w:r>
        <w:rPr>
          <w:rFonts w:hint="eastAsia"/>
          <w:sz w:val="22"/>
          <w:szCs w:val="21"/>
        </w:rPr>
        <w:t>（3）</w:t>
      </w:r>
      <w:r>
        <w:rPr>
          <w:sz w:val="22"/>
          <w:szCs w:val="21"/>
        </w:rPr>
        <w:t>实质性条款响应情况表</w:t>
      </w:r>
    </w:p>
    <w:p>
      <w:pPr>
        <w:ind w:firstLine="1485" w:firstLineChars="675"/>
        <w:rPr>
          <w:sz w:val="22"/>
          <w:szCs w:val="21"/>
        </w:rPr>
      </w:pPr>
      <w:r>
        <w:rPr>
          <w:rFonts w:hint="eastAsia"/>
          <w:sz w:val="22"/>
          <w:szCs w:val="21"/>
        </w:rPr>
        <w:t>（4）</w:t>
      </w:r>
      <w:r>
        <w:rPr>
          <w:rFonts w:hint="eastAsia" w:ascii="宋体" w:hAnsi="宋体"/>
          <w:sz w:val="22"/>
          <w:szCs w:val="21"/>
        </w:rPr>
        <w:t>整体服务方案（格式自拟）</w:t>
      </w:r>
    </w:p>
    <w:p>
      <w:pPr>
        <w:pStyle w:val="7"/>
        <w:ind w:left="210" w:leftChars="100" w:firstLine="1265" w:firstLineChars="575"/>
        <w:rPr>
          <w:rFonts w:ascii="宋体" w:hAnsi="宋体"/>
          <w:sz w:val="22"/>
          <w:szCs w:val="21"/>
        </w:rPr>
      </w:pPr>
      <w:r>
        <w:rPr>
          <w:rFonts w:hint="eastAsia" w:ascii="宋体" w:hAnsi="宋体"/>
          <w:sz w:val="22"/>
          <w:szCs w:val="21"/>
        </w:rPr>
        <w:t>（</w:t>
      </w:r>
      <w:r>
        <w:rPr>
          <w:rFonts w:ascii="宋体" w:hAnsi="宋体"/>
          <w:sz w:val="22"/>
          <w:szCs w:val="21"/>
        </w:rPr>
        <w:t>5</w:t>
      </w:r>
      <w:r>
        <w:rPr>
          <w:rFonts w:hint="eastAsia" w:ascii="宋体" w:hAnsi="宋体"/>
          <w:sz w:val="22"/>
          <w:szCs w:val="21"/>
        </w:rPr>
        <w:t>）各项服务内容实施方案（格式自定）</w:t>
      </w:r>
    </w:p>
    <w:p>
      <w:pPr>
        <w:pStyle w:val="7"/>
        <w:ind w:left="210" w:leftChars="100" w:firstLine="1265" w:firstLineChars="575"/>
        <w:rPr>
          <w:rFonts w:ascii="宋体" w:hAnsi="宋体"/>
          <w:sz w:val="22"/>
          <w:szCs w:val="21"/>
        </w:rPr>
      </w:pPr>
      <w:r>
        <w:rPr>
          <w:rFonts w:hint="eastAsia" w:ascii="宋体" w:hAnsi="宋体"/>
          <w:sz w:val="22"/>
          <w:szCs w:val="21"/>
        </w:rPr>
        <w:t>（</w:t>
      </w:r>
      <w:r>
        <w:rPr>
          <w:rFonts w:ascii="宋体" w:hAnsi="宋体"/>
          <w:sz w:val="22"/>
          <w:szCs w:val="21"/>
        </w:rPr>
        <w:t>6</w:t>
      </w:r>
      <w:r>
        <w:rPr>
          <w:rFonts w:hint="eastAsia" w:ascii="宋体" w:hAnsi="宋体"/>
          <w:sz w:val="22"/>
          <w:szCs w:val="21"/>
        </w:rPr>
        <w:t>）项目重点难点分析、应对措施及相关的合理化建议（格式自定）</w:t>
      </w:r>
    </w:p>
    <w:p>
      <w:pPr>
        <w:pStyle w:val="7"/>
        <w:spacing w:beforeLines="25" w:afterLines="25"/>
        <w:ind w:firstLine="1485" w:firstLineChars="675"/>
        <w:rPr>
          <w:rFonts w:ascii="宋体" w:hAnsi="宋体"/>
          <w:sz w:val="22"/>
          <w:szCs w:val="21"/>
        </w:rPr>
      </w:pPr>
      <w:r>
        <w:rPr>
          <w:rFonts w:hint="eastAsia" w:ascii="宋体" w:hAnsi="宋体"/>
          <w:sz w:val="22"/>
          <w:szCs w:val="21"/>
        </w:rPr>
        <w:t>（7）拟安排的项目负责人情况（仅限一人）（格式自定）</w:t>
      </w:r>
    </w:p>
    <w:p>
      <w:pPr>
        <w:pStyle w:val="7"/>
        <w:spacing w:beforeLines="25" w:afterLines="25"/>
        <w:ind w:left="1525" w:leftChars="700" w:hanging="55" w:hangingChars="25"/>
        <w:rPr>
          <w:rFonts w:ascii="宋体" w:hAnsi="宋体"/>
          <w:sz w:val="22"/>
          <w:szCs w:val="21"/>
        </w:rPr>
      </w:pPr>
      <w:r>
        <w:rPr>
          <w:rFonts w:hint="eastAsia" w:ascii="宋体" w:hAnsi="宋体"/>
          <w:sz w:val="22"/>
          <w:szCs w:val="21"/>
        </w:rPr>
        <w:t>（8）拟安排的项目主要团队成员（主要技术人员）情况（项目负责人除外）（格式自定）</w:t>
      </w:r>
    </w:p>
    <w:p>
      <w:pPr>
        <w:pStyle w:val="7"/>
        <w:spacing w:beforeLines="25" w:afterLines="25"/>
        <w:ind w:firstLine="1485" w:firstLineChars="675"/>
        <w:rPr>
          <w:rFonts w:ascii="宋体" w:hAnsi="宋体"/>
          <w:sz w:val="22"/>
          <w:szCs w:val="21"/>
        </w:rPr>
      </w:pPr>
      <w:r>
        <w:rPr>
          <w:rFonts w:hint="eastAsia" w:ascii="宋体" w:hAnsi="宋体"/>
          <w:sz w:val="22"/>
          <w:szCs w:val="21"/>
        </w:rPr>
        <w:t>（9）</w:t>
      </w:r>
      <w:r>
        <w:rPr>
          <w:rFonts w:hint="eastAsia"/>
          <w:sz w:val="22"/>
          <w:szCs w:val="21"/>
        </w:rPr>
        <w:t>投标人认为需要加以说明的其他内容（格式自定）</w:t>
      </w:r>
    </w:p>
    <w:p>
      <w:pPr>
        <w:jc w:val="left"/>
        <w:rPr>
          <w:rFonts w:ascii="宋体" w:hAnsi="宋体"/>
          <w:b/>
          <w:color w:val="FF0000"/>
          <w:sz w:val="36"/>
          <w:szCs w:val="36"/>
        </w:rPr>
      </w:pPr>
      <w:r>
        <w:rPr>
          <w:rFonts w:hint="eastAsia" w:ascii="宋体" w:hAnsi="宋体"/>
          <w:b/>
          <w:color w:val="FF0000"/>
          <w:sz w:val="36"/>
          <w:szCs w:val="36"/>
        </w:rPr>
        <w:br w:type="page"/>
      </w:r>
    </w:p>
    <w:p>
      <w:pPr>
        <w:outlineLvl w:val="1"/>
        <w:rPr>
          <w:rFonts w:ascii="宋体" w:hAnsi="宋体"/>
          <w:b/>
          <w:color w:val="FF0000"/>
          <w:sz w:val="28"/>
          <w:szCs w:val="28"/>
        </w:rPr>
      </w:pPr>
      <w:r>
        <w:rPr>
          <w:rFonts w:hint="eastAsia" w:ascii="宋体" w:hAnsi="宋体"/>
          <w:b/>
          <w:color w:val="FF0000"/>
          <w:sz w:val="28"/>
          <w:szCs w:val="28"/>
        </w:rPr>
        <w:t>投标文件正文</w:t>
      </w:r>
    </w:p>
    <w:p>
      <w:pPr>
        <w:pStyle w:val="3"/>
        <w:jc w:val="center"/>
        <w:rPr>
          <w:rFonts w:ascii="黑体" w:eastAsia="黑体"/>
          <w:b w:val="0"/>
          <w:kern w:val="0"/>
          <w:sz w:val="24"/>
        </w:rPr>
      </w:pPr>
      <w:r>
        <w:rPr>
          <w:rFonts w:hint="eastAsia" w:ascii="黑体" w:eastAsia="黑体"/>
          <w:b w:val="0"/>
          <w:kern w:val="0"/>
          <w:sz w:val="24"/>
        </w:rPr>
        <w:t>一、投标函</w:t>
      </w:r>
    </w:p>
    <w:p>
      <w:pPr>
        <w:spacing w:line="360" w:lineRule="auto"/>
        <w:rPr>
          <w:rFonts w:ascii="宋体" w:hAnsi="宋体"/>
          <w:color w:val="000000" w:themeColor="text1"/>
          <w:szCs w:val="21"/>
        </w:rPr>
      </w:pPr>
      <w:r>
        <w:rPr>
          <w:rFonts w:hint="eastAsia" w:ascii="宋体" w:hAnsi="宋体"/>
          <w:szCs w:val="21"/>
        </w:rPr>
        <w:t>致：</w:t>
      </w:r>
      <w:r>
        <w:rPr>
          <w:rFonts w:hint="eastAsia" w:ascii="宋体" w:hAnsi="宋体"/>
          <w:color w:val="000000" w:themeColor="text1"/>
          <w:szCs w:val="21"/>
          <w:u w:val="single"/>
        </w:rPr>
        <w:t xml:space="preserve">  </w:t>
      </w:r>
    </w:p>
    <w:p>
      <w:pPr>
        <w:ind w:firstLine="420" w:firstLineChars="200"/>
        <w:rPr>
          <w:rFonts w:ascii="宋体" w:hAnsi="宋体"/>
          <w:szCs w:val="21"/>
        </w:rPr>
      </w:pPr>
      <w:bookmarkStart w:id="37" w:name="_Hlk73818812"/>
      <w:r>
        <w:rPr>
          <w:rFonts w:hint="eastAsia"/>
          <w:szCs w:val="21"/>
        </w:rPr>
        <w:t>1、根据已收到贵单位本项目的招标文件，我单位经研究上述招标文件的条款后，</w:t>
      </w:r>
      <w:bookmarkStart w:id="38" w:name="_Hlk72263588"/>
      <w:r>
        <w:rPr>
          <w:rFonts w:hint="eastAsia"/>
          <w:szCs w:val="21"/>
        </w:rPr>
        <w:t>愿意按照招标文件要求承包上述项目并修补其任何缺陷。</w:t>
      </w:r>
      <w:bookmarkEnd w:id="38"/>
    </w:p>
    <w:p>
      <w:pPr>
        <w:ind w:firstLine="420" w:firstLineChars="200"/>
        <w:rPr>
          <w:rFonts w:ascii="宋体" w:hAnsi="宋体"/>
          <w:szCs w:val="21"/>
        </w:rPr>
      </w:pPr>
      <w:r>
        <w:rPr>
          <w:rFonts w:ascii="宋体" w:hAnsi="宋体"/>
          <w:szCs w:val="21"/>
        </w:rPr>
        <w:t>2</w:t>
      </w:r>
      <w:r>
        <w:rPr>
          <w:rFonts w:hint="eastAsia" w:ascii="宋体" w:hAnsi="宋体"/>
          <w:szCs w:val="21"/>
        </w:rPr>
        <w:t>、投标价格见</w:t>
      </w:r>
      <w:r>
        <w:rPr>
          <w:rFonts w:hint="eastAsia"/>
          <w:szCs w:val="21"/>
        </w:rPr>
        <w:t>投标书编制软件中《开标一览表》中填写的投标报价。</w:t>
      </w:r>
    </w:p>
    <w:p>
      <w:pPr>
        <w:ind w:firstLine="420" w:firstLineChars="200"/>
        <w:rPr>
          <w:rFonts w:ascii="宋体" w:hAnsi="宋体"/>
          <w:szCs w:val="21"/>
        </w:rPr>
      </w:pPr>
      <w:r>
        <w:rPr>
          <w:rFonts w:hint="eastAsia" w:ascii="宋体" w:hAnsi="宋体"/>
          <w:szCs w:val="21"/>
        </w:rPr>
        <w:t>3、如果我单位中标，我单位将按照招标文件的要求提交履约担保。</w:t>
      </w:r>
    </w:p>
    <w:p>
      <w:pPr>
        <w:ind w:firstLine="420" w:firstLineChars="200"/>
        <w:rPr>
          <w:rFonts w:ascii="宋体" w:hAnsi="宋体"/>
          <w:szCs w:val="21"/>
        </w:rPr>
      </w:pPr>
      <w:r>
        <w:rPr>
          <w:rFonts w:hint="eastAsia" w:ascii="宋体" w:hAnsi="宋体"/>
          <w:szCs w:val="21"/>
        </w:rPr>
        <w:t>4、我单位同意所递交的投标文件在“对招标文件条款的补充内容”中明确的投标有效期内有效，在此期间内我单位的投标有可能中标，我方将受此约束。</w:t>
      </w:r>
    </w:p>
    <w:p>
      <w:pPr>
        <w:ind w:firstLine="420" w:firstLineChars="200"/>
        <w:rPr>
          <w:rFonts w:ascii="宋体" w:hAnsi="宋体"/>
          <w:szCs w:val="21"/>
        </w:rPr>
      </w:pPr>
      <w:r>
        <w:rPr>
          <w:rFonts w:hint="eastAsia" w:ascii="宋体" w:hAnsi="宋体"/>
          <w:szCs w:val="21"/>
        </w:rPr>
        <w:t>5、除非另外达成协议并生效，贵单位的中标通知书和本投标文件将构成合同的重要内容。</w:t>
      </w:r>
    </w:p>
    <w:p>
      <w:pPr>
        <w:ind w:left="525" w:leftChars="200" w:hanging="105" w:hangingChars="50"/>
        <w:rPr>
          <w:rFonts w:ascii="宋体" w:hAnsi="宋体"/>
          <w:szCs w:val="21"/>
        </w:rPr>
      </w:pPr>
      <w:r>
        <w:rPr>
          <w:rFonts w:hint="eastAsia" w:ascii="宋体" w:hAnsi="宋体"/>
          <w:szCs w:val="21"/>
        </w:rPr>
        <w:t>6、我单位理解贵单位将不受必须接受所收到的最低报价或其它任何投标文件的约束。</w:t>
      </w:r>
      <w:bookmarkEnd w:id="37"/>
    </w:p>
    <w:p>
      <w:pPr>
        <w:ind w:firstLine="420" w:firstLineChars="200"/>
        <w:rPr>
          <w:rFonts w:ascii="宋体" w:hAnsi="宋体"/>
          <w:szCs w:val="21"/>
        </w:rPr>
      </w:pPr>
      <w:r>
        <w:rPr>
          <w:rFonts w:hint="eastAsia" w:ascii="宋体" w:hAnsi="宋体"/>
          <w:szCs w:val="21"/>
        </w:rPr>
        <w:t>7、如我单位按项目要求提供样品，且未在规定时间内取回样品的，视同放弃取回，同意招标人对样品进行清理。</w:t>
      </w:r>
    </w:p>
    <w:p>
      <w:pPr>
        <w:ind w:left="540" w:leftChars="257"/>
        <w:rPr>
          <w:szCs w:val="21"/>
          <w:u w:val="single"/>
        </w:rPr>
      </w:pPr>
      <w:r>
        <w:rPr>
          <w:rFonts w:hint="eastAsia"/>
          <w:szCs w:val="21"/>
        </w:rPr>
        <w:t>投标人：    单位地址：</w:t>
      </w:r>
    </w:p>
    <w:p>
      <w:pPr>
        <w:ind w:left="540" w:leftChars="257"/>
        <w:rPr>
          <w:szCs w:val="21"/>
          <w:u w:val="single"/>
        </w:rPr>
      </w:pPr>
      <w:r>
        <w:rPr>
          <w:rFonts w:hint="eastAsia"/>
          <w:szCs w:val="21"/>
        </w:rPr>
        <w:t>法定代表人（负责人）或其委托代理人：</w:t>
      </w:r>
    </w:p>
    <w:p>
      <w:pPr>
        <w:ind w:left="540" w:leftChars="257"/>
        <w:rPr>
          <w:szCs w:val="21"/>
          <w:u w:val="single"/>
        </w:rPr>
      </w:pPr>
      <w:r>
        <w:rPr>
          <w:rFonts w:hint="eastAsia"/>
          <w:szCs w:val="21"/>
        </w:rPr>
        <w:t>邮政编码：  电话：  邮箱：</w:t>
      </w:r>
    </w:p>
    <w:p>
      <w:pPr>
        <w:ind w:left="540" w:leftChars="257"/>
        <w:rPr>
          <w:szCs w:val="21"/>
        </w:rPr>
      </w:pPr>
      <w:r>
        <w:rPr>
          <w:rFonts w:hint="eastAsia"/>
          <w:szCs w:val="21"/>
        </w:rPr>
        <w:t>开户银行名称：</w:t>
      </w:r>
      <w:r>
        <w:rPr>
          <w:rFonts w:hint="eastAsia"/>
          <w:szCs w:val="21"/>
          <w:u w:val="single"/>
        </w:rPr>
        <w:tab/>
      </w:r>
      <w:r>
        <w:rPr>
          <w:rFonts w:hint="eastAsia"/>
          <w:szCs w:val="21"/>
          <w:u w:val="single"/>
        </w:rPr>
        <w:tab/>
      </w:r>
      <w:r>
        <w:rPr>
          <w:rFonts w:hint="eastAsia"/>
          <w:szCs w:val="21"/>
          <w:u w:val="single"/>
        </w:rPr>
        <w:tab/>
      </w:r>
      <w:r>
        <w:rPr>
          <w:rFonts w:hint="eastAsia"/>
          <w:szCs w:val="21"/>
          <w:u w:val="single"/>
        </w:rPr>
        <w:tab/>
      </w:r>
      <w:r>
        <w:rPr>
          <w:rFonts w:hint="eastAsia"/>
          <w:szCs w:val="21"/>
        </w:rPr>
        <w:tab/>
      </w:r>
      <w:r>
        <w:rPr>
          <w:rFonts w:hint="eastAsia"/>
          <w:szCs w:val="21"/>
        </w:rPr>
        <w:t>开户银行账号：</w:t>
      </w:r>
      <w:r>
        <w:rPr>
          <w:rFonts w:hint="eastAsia"/>
          <w:szCs w:val="21"/>
          <w:u w:val="single"/>
        </w:rPr>
        <w:tab/>
      </w:r>
      <w:r>
        <w:rPr>
          <w:rFonts w:hint="eastAsia"/>
          <w:szCs w:val="21"/>
          <w:u w:val="single"/>
        </w:rPr>
        <w:tab/>
      </w:r>
      <w:r>
        <w:rPr>
          <w:rFonts w:hint="eastAsia"/>
          <w:szCs w:val="21"/>
          <w:u w:val="single"/>
        </w:rPr>
        <w:tab/>
      </w:r>
      <w:r>
        <w:rPr>
          <w:rFonts w:hint="eastAsia"/>
          <w:szCs w:val="21"/>
          <w:u w:val="single"/>
        </w:rPr>
        <w:tab/>
      </w:r>
    </w:p>
    <w:p>
      <w:pPr>
        <w:ind w:left="540" w:leftChars="257"/>
        <w:rPr>
          <w:szCs w:val="21"/>
        </w:rPr>
      </w:pPr>
      <w:r>
        <w:rPr>
          <w:rFonts w:hint="eastAsia"/>
          <w:szCs w:val="21"/>
        </w:rPr>
        <w:t>开户银行地址：</w:t>
      </w:r>
      <w:r>
        <w:rPr>
          <w:rFonts w:hint="eastAsia"/>
          <w:szCs w:val="21"/>
          <w:u w:val="single"/>
        </w:rPr>
        <w:tab/>
      </w:r>
      <w:r>
        <w:rPr>
          <w:rFonts w:hint="eastAsia"/>
          <w:szCs w:val="21"/>
          <w:u w:val="single"/>
        </w:rPr>
        <w:tab/>
      </w:r>
      <w:r>
        <w:rPr>
          <w:rFonts w:hint="eastAsia"/>
          <w:szCs w:val="21"/>
          <w:u w:val="single"/>
        </w:rPr>
        <w:tab/>
      </w:r>
      <w:r>
        <w:rPr>
          <w:rFonts w:hint="eastAsia"/>
          <w:szCs w:val="21"/>
          <w:u w:val="single"/>
        </w:rPr>
        <w:tab/>
      </w:r>
      <w:r>
        <w:rPr>
          <w:rFonts w:hint="eastAsia"/>
          <w:szCs w:val="21"/>
        </w:rPr>
        <w:tab/>
      </w:r>
      <w:r>
        <w:rPr>
          <w:rFonts w:hint="eastAsia"/>
          <w:szCs w:val="21"/>
        </w:rPr>
        <w:t>开户银行电话：</w:t>
      </w:r>
      <w:r>
        <w:rPr>
          <w:rFonts w:hint="eastAsia"/>
          <w:szCs w:val="21"/>
          <w:u w:val="single"/>
        </w:rPr>
        <w:tab/>
      </w:r>
      <w:r>
        <w:rPr>
          <w:rFonts w:hint="eastAsia"/>
          <w:szCs w:val="21"/>
          <w:u w:val="single"/>
        </w:rPr>
        <w:tab/>
      </w:r>
      <w:r>
        <w:rPr>
          <w:rFonts w:hint="eastAsia"/>
          <w:szCs w:val="21"/>
          <w:u w:val="single"/>
        </w:rPr>
        <w:tab/>
      </w:r>
      <w:r>
        <w:rPr>
          <w:rFonts w:hint="eastAsia"/>
          <w:szCs w:val="21"/>
          <w:u w:val="single"/>
        </w:rPr>
        <w:tab/>
      </w:r>
    </w:p>
    <w:p>
      <w:pPr>
        <w:ind w:firstLine="539" w:firstLineChars="257"/>
        <w:rPr>
          <w:sz w:val="24"/>
        </w:rPr>
      </w:pPr>
      <w:r>
        <w:rPr>
          <w:rFonts w:hint="eastAsia" w:ascii="宋体" w:hAnsi="宋体"/>
          <w:szCs w:val="21"/>
        </w:rPr>
        <w:t>日期：年月日</w:t>
      </w:r>
    </w:p>
    <w:p>
      <w:pPr>
        <w:rPr>
          <w:rFonts w:ascii="黑体" w:hAnsi="宋体" w:eastAsia="黑体"/>
        </w:rPr>
      </w:pPr>
    </w:p>
    <w:p>
      <w:pPr>
        <w:rPr>
          <w:rFonts w:ascii="黑体" w:hAnsi="宋体" w:eastAsia="黑体"/>
        </w:rPr>
      </w:pPr>
    </w:p>
    <w:p>
      <w:pPr>
        <w:pStyle w:val="3"/>
        <w:jc w:val="center"/>
        <w:rPr>
          <w:rFonts w:ascii="黑体" w:eastAsia="黑体"/>
          <w:b w:val="0"/>
          <w:kern w:val="0"/>
          <w:sz w:val="24"/>
        </w:rPr>
      </w:pPr>
      <w:r>
        <w:rPr>
          <w:rFonts w:hint="eastAsia" w:ascii="黑体" w:eastAsia="黑体"/>
          <w:b w:val="0"/>
          <w:kern w:val="0"/>
          <w:sz w:val="24"/>
        </w:rPr>
        <w:t>二、政府采购投标及履约承诺函</w:t>
      </w:r>
    </w:p>
    <w:p>
      <w:pPr>
        <w:rPr>
          <w:rFonts w:ascii="宋体" w:hAnsi="宋体"/>
          <w:sz w:val="24"/>
        </w:rPr>
      </w:pPr>
    </w:p>
    <w:p>
      <w:pPr>
        <w:rPr>
          <w:rFonts w:ascii="宋体" w:hAnsi="宋体"/>
          <w:color w:val="000000" w:themeColor="text1"/>
          <w:szCs w:val="21"/>
        </w:rPr>
      </w:pPr>
      <w:r>
        <w:rPr>
          <w:rFonts w:hint="eastAsia" w:ascii="宋体" w:hAnsi="宋体"/>
          <w:color w:val="000000" w:themeColor="text1"/>
          <w:szCs w:val="21"/>
        </w:rPr>
        <w:t>致：</w:t>
      </w:r>
      <w:r>
        <w:rPr>
          <w:rFonts w:hint="eastAsia" w:ascii="宋体" w:hAnsi="宋体"/>
          <w:color w:val="000000" w:themeColor="text1"/>
          <w:szCs w:val="21"/>
          <w:u w:val="single"/>
        </w:rPr>
        <w:t xml:space="preserve"> </w:t>
      </w:r>
    </w:p>
    <w:p>
      <w:pPr>
        <w:ind w:firstLine="420" w:firstLineChars="200"/>
        <w:rPr>
          <w:rFonts w:ascii="宋体" w:hAnsi="宋体"/>
          <w:szCs w:val="21"/>
        </w:rPr>
      </w:pPr>
      <w:r>
        <w:rPr>
          <w:rFonts w:hint="eastAsia" w:ascii="宋体" w:hAnsi="宋体"/>
          <w:szCs w:val="21"/>
        </w:rPr>
        <w:t>我单位承诺：</w:t>
      </w:r>
    </w:p>
    <w:p>
      <w:pPr>
        <w:ind w:firstLine="420" w:firstLineChars="200"/>
        <w:rPr>
          <w:rFonts w:ascii="宋体" w:hAnsi="宋体"/>
          <w:szCs w:val="21"/>
        </w:rPr>
      </w:pPr>
      <w:r>
        <w:rPr>
          <w:rFonts w:hint="eastAsia" w:ascii="宋体" w:hAnsi="宋体"/>
          <w:szCs w:val="21"/>
        </w:rPr>
        <w:t>1.我单位参与本项目所投标（响应）的货物、工程或服务，不存在侵犯知识产权的情况；已知悉并同意中标（成交）结果信息公示（公开）的内容。</w:t>
      </w:r>
    </w:p>
    <w:p>
      <w:pPr>
        <w:ind w:firstLine="420" w:firstLineChars="200"/>
        <w:rPr>
          <w:rFonts w:ascii="宋体" w:hAnsi="宋体"/>
          <w:szCs w:val="21"/>
        </w:rPr>
      </w:pPr>
      <w:r>
        <w:rPr>
          <w:rFonts w:hint="eastAsia" w:ascii="宋体" w:hAnsi="宋体"/>
          <w:szCs w:val="21"/>
        </w:rPr>
        <w:t>2.我单位参与该项目投标，符合招标文件关于联合体及进口产品的相关资格要求。</w:t>
      </w:r>
    </w:p>
    <w:p>
      <w:pPr>
        <w:ind w:firstLine="420" w:firstLineChars="200"/>
        <w:rPr>
          <w:rFonts w:ascii="宋体" w:hAnsi="宋体"/>
          <w:szCs w:val="21"/>
        </w:rPr>
      </w:pPr>
      <w:r>
        <w:rPr>
          <w:rFonts w:hint="eastAsia" w:ascii="宋体" w:hAnsi="宋体"/>
          <w:szCs w:val="21"/>
        </w:rPr>
        <w:t>3.我单位参与本项目</w:t>
      </w:r>
      <w:r>
        <w:rPr>
          <w:rFonts w:hint="eastAsia"/>
        </w:rPr>
        <w:t>政府采购活动时不存在被有关部门禁止参与政府采购活动且在有效期内的情况。</w:t>
      </w:r>
    </w:p>
    <w:p>
      <w:pPr>
        <w:ind w:firstLine="420" w:firstLineChars="200"/>
        <w:rPr>
          <w:rFonts w:ascii="宋体" w:hAnsi="宋体"/>
          <w:szCs w:val="21"/>
        </w:rPr>
      </w:pPr>
      <w:r>
        <w:rPr>
          <w:rFonts w:hint="eastAsia" w:ascii="宋体" w:hAnsi="宋体"/>
          <w:szCs w:val="21"/>
        </w:rPr>
        <w:t>4.我单位具备《中华人民共和国政府采购法》第二十二条的条件。</w:t>
      </w:r>
    </w:p>
    <w:p>
      <w:pPr>
        <w:ind w:firstLine="420" w:firstLineChars="200"/>
        <w:rPr>
          <w:rFonts w:ascii="宋体" w:hAnsi="宋体"/>
          <w:szCs w:val="21"/>
        </w:rPr>
      </w:pPr>
      <w:r>
        <w:rPr>
          <w:rFonts w:hint="eastAsia" w:ascii="宋体" w:hAnsi="宋体"/>
          <w:szCs w:val="21"/>
        </w:rPr>
        <w:t>5.我单位</w:t>
      </w:r>
      <w:r>
        <w:rPr>
          <w:rFonts w:hint="eastAsia"/>
        </w:rPr>
        <w:t>未被列入失信被执行人、重大税收违法案件当事人名单（重大税收违法失信主体）、政府采购严重违法失信行为记录名单</w:t>
      </w:r>
    </w:p>
    <w:p>
      <w:pPr>
        <w:ind w:firstLine="420" w:firstLineChars="200"/>
        <w:rPr>
          <w:rFonts w:ascii="宋体" w:hAnsi="宋体"/>
          <w:szCs w:val="21"/>
        </w:rPr>
      </w:pPr>
      <w:r>
        <w:rPr>
          <w:rFonts w:hint="eastAsia" w:ascii="宋体" w:hAnsi="宋体"/>
          <w:szCs w:val="21"/>
        </w:rPr>
        <w:t>6.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pPr>
        <w:ind w:firstLine="420" w:firstLineChars="200"/>
        <w:rPr>
          <w:rFonts w:ascii="宋体" w:hAnsi="宋体"/>
          <w:szCs w:val="21"/>
        </w:rPr>
      </w:pPr>
      <w:r>
        <w:rPr>
          <w:rFonts w:hint="eastAsia" w:ascii="宋体" w:hAnsi="宋体"/>
          <w:szCs w:val="21"/>
        </w:rPr>
        <w:t>7.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pPr>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pPr>
        <w:ind w:firstLine="420" w:firstLineChars="200"/>
        <w:rPr>
          <w:rFonts w:ascii="宋体" w:hAnsi="宋体"/>
          <w:szCs w:val="21"/>
        </w:rPr>
      </w:pPr>
      <w:r>
        <w:rPr>
          <w:rFonts w:ascii="宋体" w:hAnsi="宋体"/>
          <w:szCs w:val="21"/>
        </w:rPr>
        <w:t>8</w:t>
      </w:r>
      <w:r>
        <w:rPr>
          <w:rFonts w:hint="eastAsia" w:ascii="宋体" w:hAnsi="宋体"/>
          <w:szCs w:val="21"/>
        </w:rPr>
        <w:t>.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pPr>
        <w:ind w:firstLine="420" w:firstLineChars="200"/>
        <w:rPr>
          <w:rFonts w:ascii="宋体" w:hAnsi="宋体"/>
          <w:szCs w:val="21"/>
        </w:rPr>
      </w:pPr>
      <w:r>
        <w:rPr>
          <w:rFonts w:ascii="宋体" w:hAnsi="宋体"/>
          <w:szCs w:val="21"/>
        </w:rPr>
        <w:t>9</w:t>
      </w:r>
      <w:r>
        <w:rPr>
          <w:rFonts w:hint="eastAsia" w:ascii="宋体" w:hAnsi="宋体"/>
          <w:szCs w:val="21"/>
        </w:rPr>
        <w:t>.我单位承诺中标后项目不转包，未经采购人同意不进行分包。</w:t>
      </w:r>
    </w:p>
    <w:p>
      <w:pPr>
        <w:ind w:firstLine="420" w:firstLineChars="200"/>
        <w:rPr>
          <w:rFonts w:ascii="宋体" w:hAnsi="宋体"/>
        </w:rPr>
      </w:pPr>
      <w:r>
        <w:rPr>
          <w:rFonts w:hint="eastAsia" w:ascii="宋体" w:hAnsi="宋体"/>
          <w:szCs w:val="21"/>
        </w:rPr>
        <w:t>1</w:t>
      </w:r>
      <w:r>
        <w:rPr>
          <w:rFonts w:ascii="宋体" w:hAnsi="宋体"/>
          <w:szCs w:val="21"/>
        </w:rPr>
        <w:t>0.</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pPr>
        <w:ind w:firstLine="420" w:firstLineChars="200"/>
        <w:rPr>
          <w:rFonts w:ascii="宋体" w:hAnsi="宋体"/>
        </w:rPr>
      </w:pPr>
      <w:r>
        <w:rPr>
          <w:rFonts w:ascii="宋体" w:hAnsi="宋体"/>
        </w:rPr>
        <w:t>11.</w:t>
      </w:r>
      <w:r>
        <w:rPr>
          <w:rFonts w:hint="eastAsia" w:ascii="宋体" w:hAnsi="宋体"/>
        </w:rPr>
        <w:t>我单位保证，若所投货物涉及</w:t>
      </w:r>
      <w:r>
        <w:rPr>
          <w:rFonts w:ascii="宋体" w:hAnsi="宋体"/>
        </w:rPr>
        <w:t>《</w:t>
      </w:r>
      <w:r>
        <w:rPr>
          <w:rFonts w:hint="eastAsia" w:ascii="宋体" w:hAnsi="宋体"/>
        </w:rPr>
        <w:t>财政部生态环境部关于印发节能产品政府采购品目清单的通知》（财库〔20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w:t>
      </w:r>
    </w:p>
    <w:p>
      <w:pPr>
        <w:ind w:firstLine="420" w:firstLineChars="200"/>
        <w:rPr>
          <w:rFonts w:ascii="宋体" w:hAnsi="宋体"/>
        </w:rPr>
      </w:pPr>
      <w:r>
        <w:rPr>
          <w:rFonts w:hint="eastAsia" w:ascii="宋体" w:hAnsi="宋体"/>
        </w:rPr>
        <w:t>1</w:t>
      </w:r>
      <w:r>
        <w:rPr>
          <w:rFonts w:ascii="宋体" w:hAnsi="宋体"/>
        </w:rPr>
        <w:t>2.</w:t>
      </w:r>
      <w:r>
        <w:rPr>
          <w:rFonts w:hint="eastAsia" w:ascii="宋体" w:hAnsi="宋体"/>
        </w:rPr>
        <w:t>我单位保证，不存在“单位负责人为同一人或者存在直接控股、管理关系的不同供应商，不得参加同一合同项下的政府采购活动；为采购项目提供整体设计、规范编制或者项目管理、监理、检测等服务的供应商，不得再参加该采购项目的其他采购活动”的情形。</w:t>
      </w:r>
    </w:p>
    <w:p>
      <w:pPr>
        <w:numPr>
          <w:ilvl w:val="255"/>
          <w:numId w:val="0"/>
        </w:numPr>
        <w:ind w:firstLine="420" w:firstLineChars="200"/>
        <w:rPr>
          <w:rFonts w:ascii="宋体" w:hAnsi="宋体"/>
        </w:rPr>
      </w:pPr>
      <w:r>
        <w:rPr>
          <w:rFonts w:hint="eastAsia" w:ascii="宋体" w:hAnsi="宋体"/>
        </w:rPr>
        <w:t>13.我单位保证，若所投产品列入强制性产品认证目录的，则所投该产品须获得强制性产品认证证书（即CCC认证）；其中适用自我声明评价方式的产品，则所投该产品须具有“强制性认证产品符合性自我声明”；若所投产品列入工业产品生产许可证管理的产品目录的，则所投该产品生产者（制造商）须获得《全国工业产品生产许可证》。</w:t>
      </w:r>
    </w:p>
    <w:p>
      <w:pPr>
        <w:ind w:firstLine="422" w:firstLineChars="200"/>
        <w:rPr>
          <w:rFonts w:ascii="宋体" w:hAnsi="宋体"/>
        </w:rPr>
      </w:pPr>
      <w:r>
        <w:rPr>
          <w:rFonts w:hint="eastAsia" w:ascii="宋体" w:hAnsi="宋体"/>
          <w:b/>
          <w:bCs/>
        </w:rPr>
        <w:t>14.我单位清楚，如存在违反投标承诺行为情节严重的，将根据国家相关政策法规，依法被列入失信信息。</w:t>
      </w:r>
    </w:p>
    <w:p>
      <w:pPr>
        <w:pStyle w:val="18"/>
      </w:pPr>
    </w:p>
    <w:p>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pPr>
        <w:spacing w:beforeLines="25" w:afterLines="25"/>
        <w:ind w:firstLine="5460" w:firstLineChars="2600"/>
        <w:rPr>
          <w:rFonts w:ascii="宋体" w:hAnsi="宋体"/>
          <w:szCs w:val="21"/>
        </w:rPr>
      </w:pPr>
    </w:p>
    <w:p>
      <w:pPr>
        <w:spacing w:beforeLines="25" w:afterLines="25"/>
        <w:ind w:firstLine="5460" w:firstLineChars="2600"/>
        <w:rPr>
          <w:color w:val="000000" w:themeColor="text1"/>
        </w:rPr>
      </w:pPr>
      <w:r>
        <w:rPr>
          <w:rFonts w:hint="eastAsia"/>
          <w:color w:val="000000" w:themeColor="text1"/>
          <w:szCs w:val="21"/>
        </w:rPr>
        <w:t>投标人：</w:t>
      </w:r>
    </w:p>
    <w:p>
      <w:pPr>
        <w:ind w:firstLine="645"/>
        <w:rPr>
          <w:rFonts w:ascii="宋体" w:hAnsi="宋体"/>
          <w:color w:val="000000" w:themeColor="text1"/>
          <w:szCs w:val="21"/>
        </w:rPr>
      </w:pPr>
      <w:r>
        <w:rPr>
          <w:rFonts w:hint="eastAsia" w:ascii="宋体" w:hAnsi="宋体"/>
          <w:color w:val="000000" w:themeColor="text1"/>
          <w:szCs w:val="21"/>
        </w:rPr>
        <w:t xml:space="preserve">                                              日期：年月日</w:t>
      </w:r>
    </w:p>
    <w:p/>
    <w:p/>
    <w:p>
      <w:pPr>
        <w:pStyle w:val="3"/>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pPr>
        <w:outlineLvl w:val="3"/>
        <w:rPr>
          <w:rFonts w:ascii="黑体" w:hAnsi="宋体" w:eastAsia="黑体"/>
          <w:bCs/>
          <w:kern w:val="0"/>
          <w:sz w:val="24"/>
          <w:szCs w:val="32"/>
        </w:rPr>
      </w:pPr>
      <w:r>
        <w:rPr>
          <w:rFonts w:hint="eastAsia" w:ascii="黑体" w:hAnsi="宋体" w:eastAsia="黑体"/>
          <w:bCs/>
          <w:kern w:val="0"/>
          <w:sz w:val="24"/>
          <w:szCs w:val="32"/>
        </w:rPr>
        <w:t>（一）投标人资格证明文件</w:t>
      </w:r>
    </w:p>
    <w:p>
      <w:pPr>
        <w:spacing w:beforeLines="50"/>
        <w:ind w:firstLine="422" w:firstLineChars="200"/>
        <w:rPr>
          <w:b/>
          <w:bCs/>
          <w:color w:val="FF0000"/>
        </w:rPr>
      </w:pPr>
      <w:r>
        <w:rPr>
          <w:rFonts w:hint="eastAsia"/>
          <w:b/>
          <w:bCs/>
          <w:color w:val="FF0000"/>
        </w:rPr>
        <w:t>（特别提示：投标人须按本招标文件第一册第一章招标公告 “申请人的资格要求”（即投标人资格要求）提供相关的资格证明资料，未提供或提供不完整、不符合要求的，将作投标无效处理。）</w:t>
      </w:r>
    </w:p>
    <w:p>
      <w:pPr>
        <w:ind w:firstLine="480" w:firstLineChars="200"/>
        <w:outlineLvl w:val="3"/>
        <w:rPr>
          <w:rFonts w:ascii="黑体" w:hAnsi="宋体" w:eastAsia="黑体"/>
          <w:bCs/>
          <w:kern w:val="0"/>
          <w:sz w:val="24"/>
          <w:szCs w:val="32"/>
        </w:rPr>
      </w:pPr>
    </w:p>
    <w:p>
      <w:pPr>
        <w:outlineLvl w:val="3"/>
        <w:rPr>
          <w:rFonts w:ascii="黑体" w:hAnsi="宋体" w:eastAsia="黑体"/>
          <w:bCs/>
          <w:kern w:val="0"/>
          <w:sz w:val="24"/>
          <w:szCs w:val="32"/>
        </w:rPr>
      </w:pPr>
      <w:r>
        <w:rPr>
          <w:rFonts w:hint="eastAsia" w:ascii="黑体" w:hAnsi="宋体" w:eastAsia="黑体"/>
          <w:bCs/>
          <w:kern w:val="0"/>
          <w:sz w:val="24"/>
          <w:szCs w:val="32"/>
        </w:rPr>
        <w:t>（二）中小企业声明函、残疾人福利性单位声明函及监狱企业声明函</w:t>
      </w:r>
    </w:p>
    <w:p>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填写指引：</w:t>
      </w:r>
    </w:p>
    <w:p>
      <w:pPr>
        <w:ind w:firstLine="420" w:firstLineChars="200"/>
        <w:outlineLvl w:val="3"/>
        <w:rPr>
          <w:rFonts w:ascii="黑体" w:hAnsi="黑体" w:eastAsia="黑体"/>
          <w:color w:val="FF0000"/>
          <w:szCs w:val="21"/>
        </w:rPr>
      </w:pPr>
      <w:r>
        <w:rPr>
          <w:rFonts w:hint="eastAsia" w:ascii="黑体" w:hAnsi="宋体" w:eastAsia="黑体"/>
          <w:bCs/>
          <w:color w:val="FF0000"/>
          <w:kern w:val="0"/>
          <w:szCs w:val="21"/>
        </w:rPr>
        <w:t>1、该部分内容由投标人根据自身实际情况填写，不符合要求的投标人可以不填写或直接删除相应的声明函。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pPr>
        <w:ind w:firstLine="420" w:firstLineChars="200"/>
        <w:outlineLvl w:val="3"/>
        <w:rPr>
          <w:rFonts w:ascii="黑体" w:hAnsi="黑体" w:eastAsia="黑体"/>
          <w:color w:val="FF0000"/>
          <w:szCs w:val="21"/>
        </w:rPr>
      </w:pPr>
      <w:r>
        <w:rPr>
          <w:rFonts w:hint="eastAsia" w:ascii="黑体" w:hAnsi="黑体" w:eastAsia="黑体"/>
          <w:color w:val="FF0000"/>
          <w:szCs w:val="21"/>
        </w:rPr>
        <w:t>2、该部分内容填写需要参考的相关文件：(</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r>
        <w:rPr>
          <w:rFonts w:ascii="黑体" w:hAnsi="黑体" w:eastAsia="黑体"/>
          <w:color w:val="FF0000"/>
          <w:szCs w:val="21"/>
        </w:rPr>
        <w:t>2</w:t>
      </w:r>
      <w:r>
        <w:rPr>
          <w:rFonts w:hint="eastAsia" w:ascii="黑体" w:hAnsi="黑体" w:eastAsia="黑体"/>
          <w:color w:val="FF0000"/>
          <w:szCs w:val="21"/>
        </w:rPr>
        <w:t>)《工业和信息化部、国家统计局、国家发展和改革委员会、财政部关于印发中小企业划型标准规定的通知》（工信部联企业〔2011〕300 号，以下简称3</w:t>
      </w:r>
      <w:r>
        <w:rPr>
          <w:rFonts w:ascii="黑体" w:hAnsi="黑体" w:eastAsia="黑体"/>
          <w:color w:val="FF0000"/>
          <w:szCs w:val="21"/>
        </w:rPr>
        <w:t>00</w:t>
      </w:r>
      <w:r>
        <w:rPr>
          <w:rFonts w:hint="eastAsia" w:ascii="黑体" w:hAnsi="黑体" w:eastAsia="黑体"/>
          <w:color w:val="FF0000"/>
          <w:szCs w:val="21"/>
        </w:rPr>
        <w:t>号文）。</w:t>
      </w:r>
    </w:p>
    <w:p>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3、请依照提供的格式和内容填写声明函，不要随意变更格式；声明函不需要盖章或签字；</w:t>
      </w:r>
      <w:r>
        <w:rPr>
          <w:rFonts w:hint="eastAsia" w:ascii="黑体" w:hAnsi="黑体" w:eastAsia="黑体"/>
          <w:color w:val="FF0000"/>
          <w:szCs w:val="21"/>
        </w:rPr>
        <w:t>满足多项优惠政策的投标人，不同时享受多项价格扣除政策。</w:t>
      </w:r>
    </w:p>
    <w:p>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4、声明函具体填写要求：</w:t>
      </w:r>
    </w:p>
    <w:p>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（1）声明是中小企业须填写《中小企业声明函》(服务)的以下内容：</w:t>
      </w:r>
    </w:p>
    <w:p>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第二处，在“项目名称”下划线处如实填写采购项目名称；</w:t>
      </w:r>
    </w:p>
    <w:p>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服务（标的）的具体名称（以招标文件第一册第三章用户需求书“服务需求明细”的“服务需求名称”一栏为准）；如果涉及多个服务需求（标的）由同一企业承接，“标的名称”下划线处可以如实填写多个服务需求（标的）；</w:t>
      </w:r>
    </w:p>
    <w:p>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第四处，在“采购文件中明确的所属行业”下划线处填写采购标的对应的中小企业划分标准所属行业（所属行业可在招标文件第一册第二章“对通用条款的补充内容及其他关键信息”章节查看）；</w:t>
      </w:r>
    </w:p>
    <w:p>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五处，在“企业名称”下划线处如实填写承接企业名称；在“从业人员”、“营业收入”、“资产总额”下划线处如实填写从业人员、营业收入、资产总额；在“中型企业、小型企业、微型企业”下划线处如实依照300号文填写相应的企业类型；从业人员、营业收入、资产总额填报上一年度数据，无上一年度数据的新成立企业可以不填报。</w:t>
      </w:r>
    </w:p>
    <w:p>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（2）声明是残疾人福利性单位须填写《残疾人福利性单位声明函》（服务类）的相关内容（填写位置的字体已加粗），具体参照上述针对《中小企业声明函》的填写要求进行填写。</w:t>
      </w:r>
    </w:p>
    <w:p>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（3）声明是监狱企业须填写《监狱企业声明函》的相关内容（填写位置的字体已加粗），具体参照上述针对《中小企业声明函》的填写要求进行填写。</w:t>
      </w:r>
    </w:p>
    <w:p>
      <w:pPr>
        <w:ind w:firstLine="420" w:firstLineChars="200"/>
      </w:pPr>
      <w:r>
        <w:rPr>
          <w:rFonts w:hint="eastAsia" w:ascii="黑体" w:hAnsi="宋体" w:eastAsia="黑体"/>
          <w:bCs/>
          <w:color w:val="FF0000"/>
          <w:kern w:val="0"/>
          <w:szCs w:val="21"/>
        </w:rPr>
        <w:t>5、声明函的有效性最终由评审委员会判定；如评审委员会判定声明函无效，相关供应商不享受</w:t>
      </w:r>
      <w:r>
        <w:rPr>
          <w:rFonts w:hint="eastAsia" w:ascii="黑体" w:hAnsi="黑体" w:eastAsia="黑体"/>
          <w:color w:val="FF0000"/>
          <w:szCs w:val="21"/>
        </w:rPr>
        <w:t>价格扣除</w:t>
      </w:r>
      <w:r>
        <w:rPr>
          <w:rFonts w:hint="eastAsia" w:ascii="黑体" w:hAnsi="宋体" w:eastAsia="黑体"/>
          <w:bCs/>
          <w:color w:val="FF0000"/>
          <w:kern w:val="0"/>
          <w:szCs w:val="21"/>
        </w:rPr>
        <w:t>（但不作投标无效处理）。</w:t>
      </w:r>
    </w:p>
    <w:p>
      <w:pPr>
        <w:ind w:firstLine="420" w:firstLineChars="200"/>
      </w:pPr>
    </w:p>
    <w:p>
      <w:pPr>
        <w:jc w:val="center"/>
        <w:outlineLvl w:val="3"/>
        <w:rPr>
          <w:b/>
          <w:sz w:val="24"/>
        </w:rPr>
      </w:pPr>
      <w:r>
        <w:rPr>
          <w:rFonts w:hint="eastAsia"/>
          <w:b/>
          <w:sz w:val="24"/>
        </w:rPr>
        <w:t>1、</w:t>
      </w:r>
      <w:r>
        <w:rPr>
          <w:b/>
          <w:sz w:val="24"/>
        </w:rPr>
        <w:t>中小企业声明函（</w:t>
      </w:r>
      <w:r>
        <w:rPr>
          <w:rFonts w:hint="eastAsia"/>
          <w:b/>
          <w:sz w:val="24"/>
        </w:rPr>
        <w:t>服务</w:t>
      </w:r>
      <w:r>
        <w:rPr>
          <w:b/>
          <w:sz w:val="24"/>
        </w:rPr>
        <w:t xml:space="preserve">） </w:t>
      </w:r>
    </w:p>
    <w:p>
      <w:pPr>
        <w:ind w:firstLine="420" w:firstLineChars="200"/>
        <w:outlineLvl w:val="3"/>
        <w:rPr>
          <w:rFonts w:ascii="宋体" w:hAnsi="宋体"/>
          <w:szCs w:val="21"/>
        </w:rPr>
      </w:pPr>
      <w:r>
        <w:rPr>
          <w:rFonts w:ascii="宋体" w:hAnsi="宋体"/>
          <w:szCs w:val="21"/>
        </w:rPr>
        <w:t>本</w:t>
      </w:r>
      <w:r>
        <w:rPr>
          <w:rFonts w:hint="eastAsia" w:ascii="宋体" w:hAnsi="宋体"/>
          <w:szCs w:val="21"/>
        </w:rPr>
        <w:t>公司（联合体）</w:t>
      </w:r>
      <w:r>
        <w:rPr>
          <w:rFonts w:ascii="宋体" w:hAnsi="宋体"/>
          <w:szCs w:val="21"/>
        </w:rPr>
        <w:t>郑重声明，根据《政府采购促进中小企业发展管理办法》（财库</w:t>
      </w:r>
      <w:r>
        <w:rPr>
          <w:rFonts w:hint="eastAsia" w:ascii="宋体" w:hAnsi="宋体" w:cs="微软雅黑"/>
          <w:szCs w:val="21"/>
        </w:rPr>
        <w:t>﹝</w:t>
      </w:r>
      <w:r>
        <w:rPr>
          <w:rFonts w:ascii="宋体" w:hAnsi="宋体"/>
          <w:szCs w:val="21"/>
        </w:rPr>
        <w:t>2020</w:t>
      </w:r>
      <w:r>
        <w:rPr>
          <w:rFonts w:hint="eastAsia" w:ascii="宋体" w:hAnsi="宋体" w:cs="微软雅黑"/>
          <w:szCs w:val="21"/>
        </w:rPr>
        <w:t>﹞</w:t>
      </w:r>
      <w:r>
        <w:rPr>
          <w:rFonts w:ascii="宋体" w:hAnsi="宋体"/>
          <w:szCs w:val="21"/>
        </w:rPr>
        <w:t>46号）的规定，本</w:t>
      </w:r>
      <w:r>
        <w:rPr>
          <w:rFonts w:hint="eastAsia" w:ascii="宋体" w:hAnsi="宋体"/>
          <w:szCs w:val="21"/>
        </w:rPr>
        <w:t>公司（联合体）</w:t>
      </w:r>
      <w:r>
        <w:rPr>
          <w:rFonts w:ascii="宋体" w:hAnsi="宋体"/>
          <w:szCs w:val="21"/>
        </w:rPr>
        <w:t>参加</w:t>
      </w:r>
      <w:r>
        <w:rPr>
          <w:rFonts w:ascii="宋体" w:hAnsi="宋体"/>
          <w:b/>
          <w:bCs/>
          <w:szCs w:val="21"/>
          <w:u w:val="single"/>
        </w:rPr>
        <w:t>（</w:t>
      </w:r>
      <w:r>
        <w:rPr>
          <w:rFonts w:hint="eastAsia" w:ascii="宋体" w:hAnsi="宋体"/>
          <w:b/>
          <w:bCs/>
          <w:szCs w:val="21"/>
          <w:u w:val="single"/>
        </w:rPr>
        <w:t>单位</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全部由符合政策要求的中小企业</w:t>
      </w:r>
      <w:r>
        <w:rPr>
          <w:rFonts w:hint="eastAsia" w:ascii="宋体" w:hAnsi="宋体"/>
          <w:szCs w:val="21"/>
        </w:rPr>
        <w:t>承接</w:t>
      </w:r>
      <w:r>
        <w:rPr>
          <w:rFonts w:ascii="宋体" w:hAnsi="宋体"/>
          <w:szCs w:val="21"/>
        </w:rPr>
        <w:t>。相关企业</w:t>
      </w:r>
      <w:r>
        <w:rPr>
          <w:rFonts w:hint="eastAsia" w:ascii="宋体" w:hAnsi="宋体"/>
          <w:szCs w:val="21"/>
        </w:rPr>
        <w:t>（含联合体中的中小企业、签订分包意向协议的中小企业）</w:t>
      </w:r>
      <w:r>
        <w:rPr>
          <w:rFonts w:ascii="宋体" w:hAnsi="宋体"/>
          <w:szCs w:val="21"/>
        </w:rPr>
        <w:t>的具体情况如下：</w:t>
      </w:r>
    </w:p>
    <w:p>
      <w:pPr>
        <w:ind w:firstLine="420" w:firstLineChars="200"/>
        <w:outlineLvl w:val="3"/>
        <w:rPr>
          <w:rFonts w:ascii="宋体" w:hAnsi="宋体"/>
          <w:szCs w:val="21"/>
        </w:rPr>
      </w:pPr>
      <w:r>
        <w:rPr>
          <w:rFonts w:ascii="宋体" w:hAnsi="宋体"/>
          <w:szCs w:val="21"/>
        </w:rPr>
        <w:t>1.</w:t>
      </w:r>
      <w:r>
        <w:rPr>
          <w:rFonts w:ascii="宋体" w:hAnsi="宋体"/>
          <w:b/>
          <w:bCs/>
          <w:szCs w:val="21"/>
          <w:u w:val="single"/>
        </w:rPr>
        <w:t xml:space="preserve"> （标的名称）</w:t>
      </w:r>
      <w:r>
        <w:rPr>
          <w:rFonts w:ascii="宋体" w:hAnsi="宋体"/>
          <w:szCs w:val="21"/>
        </w:rPr>
        <w:t xml:space="preserve"> ，属于</w:t>
      </w:r>
      <w:r>
        <w:rPr>
          <w:rFonts w:ascii="宋体" w:hAnsi="宋体"/>
          <w:b/>
          <w:bCs/>
          <w:szCs w:val="21"/>
          <w:u w:val="single"/>
        </w:rPr>
        <w:t>（</w:t>
      </w:r>
      <w:r>
        <w:rPr>
          <w:rFonts w:hint="eastAsia" w:ascii="宋体" w:hAnsi="宋体"/>
          <w:b/>
          <w:bCs/>
          <w:szCs w:val="21"/>
          <w:u w:val="single"/>
        </w:rPr>
        <w:t>采购文件中明确的所属行业</w:t>
      </w:r>
      <w:r>
        <w:rPr>
          <w:rFonts w:ascii="宋体" w:hAnsi="宋体"/>
          <w:b/>
          <w:bCs/>
          <w:szCs w:val="21"/>
          <w:u w:val="single"/>
        </w:rPr>
        <w:t xml:space="preserve">） </w:t>
      </w:r>
      <w:r>
        <w:rPr>
          <w:rFonts w:ascii="宋体" w:hAnsi="宋体"/>
          <w:szCs w:val="21"/>
        </w:rPr>
        <w:t>行业；</w:t>
      </w:r>
      <w:r>
        <w:rPr>
          <w:rFonts w:hint="eastAsia" w:ascii="宋体" w:hAnsi="宋体"/>
          <w:szCs w:val="21"/>
        </w:rPr>
        <w:t>承接企业</w:t>
      </w:r>
      <w:r>
        <w:rPr>
          <w:rFonts w:ascii="宋体" w:hAnsi="宋体"/>
          <w:szCs w:val="21"/>
        </w:rPr>
        <w:t>为</w:t>
      </w:r>
      <w:r>
        <w:rPr>
          <w:rFonts w:ascii="宋体" w:hAnsi="宋体"/>
          <w:b/>
          <w:bCs/>
          <w:szCs w:val="21"/>
          <w:u w:val="single"/>
        </w:rPr>
        <w:t>（企业名称）</w:t>
      </w:r>
      <w:r>
        <w:rPr>
          <w:rFonts w:ascii="宋体" w:hAnsi="宋体"/>
          <w:szCs w:val="21"/>
        </w:rPr>
        <w:t>，从业人员人，营业收入为万元，资产总额为万元 ，属于</w:t>
      </w:r>
      <w:r>
        <w:rPr>
          <w:rFonts w:ascii="宋体" w:hAnsi="宋体"/>
          <w:b/>
          <w:bCs/>
          <w:szCs w:val="21"/>
          <w:u w:val="single"/>
        </w:rPr>
        <w:t>（中型企业、小型企业、微型企业）</w:t>
      </w:r>
      <w:r>
        <w:rPr>
          <w:rFonts w:ascii="宋体" w:hAnsi="宋体"/>
          <w:szCs w:val="21"/>
        </w:rPr>
        <w:t xml:space="preserve">； </w:t>
      </w:r>
    </w:p>
    <w:p>
      <w:pPr>
        <w:ind w:firstLine="420" w:firstLineChars="200"/>
        <w:outlineLvl w:val="3"/>
        <w:rPr>
          <w:rFonts w:ascii="宋体" w:hAnsi="宋体"/>
          <w:szCs w:val="21"/>
          <w:u w:val="single"/>
        </w:rPr>
      </w:pPr>
      <w:r>
        <w:rPr>
          <w:rFonts w:ascii="宋体" w:hAnsi="宋体"/>
          <w:szCs w:val="21"/>
        </w:rPr>
        <w:t>2.</w:t>
      </w:r>
      <w:r>
        <w:rPr>
          <w:rFonts w:ascii="宋体" w:hAnsi="宋体"/>
          <w:b/>
          <w:bCs/>
          <w:szCs w:val="21"/>
          <w:u w:val="single"/>
        </w:rPr>
        <w:t xml:space="preserve"> （标的名称）</w:t>
      </w:r>
      <w:r>
        <w:rPr>
          <w:rFonts w:ascii="宋体" w:hAnsi="宋体"/>
          <w:szCs w:val="21"/>
        </w:rPr>
        <w:t xml:space="preserve"> ，属于</w:t>
      </w:r>
      <w:r>
        <w:rPr>
          <w:rFonts w:ascii="宋体" w:hAnsi="宋体"/>
          <w:b/>
          <w:bCs/>
          <w:szCs w:val="21"/>
          <w:u w:val="single"/>
        </w:rPr>
        <w:t>（</w:t>
      </w:r>
      <w:r>
        <w:rPr>
          <w:rFonts w:hint="eastAsia" w:ascii="宋体" w:hAnsi="宋体"/>
          <w:b/>
          <w:bCs/>
          <w:szCs w:val="21"/>
          <w:u w:val="single"/>
        </w:rPr>
        <w:t>采购文件中明确的所属行业</w:t>
      </w:r>
      <w:r>
        <w:rPr>
          <w:rFonts w:ascii="宋体" w:hAnsi="宋体"/>
          <w:b/>
          <w:bCs/>
          <w:szCs w:val="21"/>
          <w:u w:val="single"/>
        </w:rPr>
        <w:t xml:space="preserve">） </w:t>
      </w:r>
      <w:r>
        <w:rPr>
          <w:rFonts w:ascii="宋体" w:hAnsi="宋体"/>
          <w:szCs w:val="21"/>
        </w:rPr>
        <w:t>行业；</w:t>
      </w:r>
      <w:r>
        <w:rPr>
          <w:rFonts w:hint="eastAsia" w:ascii="宋体" w:hAnsi="宋体"/>
          <w:szCs w:val="21"/>
        </w:rPr>
        <w:t>承接企业</w:t>
      </w:r>
      <w:r>
        <w:rPr>
          <w:rFonts w:ascii="宋体" w:hAnsi="宋体"/>
          <w:szCs w:val="21"/>
        </w:rPr>
        <w:t>为</w:t>
      </w:r>
      <w:r>
        <w:rPr>
          <w:rFonts w:ascii="宋体" w:hAnsi="宋体"/>
          <w:b/>
          <w:bCs/>
          <w:szCs w:val="21"/>
          <w:u w:val="single"/>
        </w:rPr>
        <w:t>（企业名称）</w:t>
      </w:r>
      <w:r>
        <w:rPr>
          <w:rFonts w:ascii="宋体" w:hAnsi="宋体"/>
          <w:szCs w:val="21"/>
        </w:rPr>
        <w:t>，从业人员人，营业收入为万元，资产总额为万元 ，属于</w:t>
      </w:r>
      <w:r>
        <w:rPr>
          <w:rFonts w:ascii="宋体" w:hAnsi="宋体"/>
          <w:b/>
          <w:bCs/>
          <w:szCs w:val="21"/>
          <w:u w:val="single"/>
        </w:rPr>
        <w:t>（中型企业、小型企业、微型企业）</w:t>
      </w:r>
      <w:r>
        <w:rPr>
          <w:rFonts w:hint="eastAsia" w:ascii="宋体" w:hAnsi="宋体"/>
          <w:szCs w:val="21"/>
        </w:rPr>
        <w:t>；</w:t>
      </w:r>
    </w:p>
    <w:p>
      <w:pPr>
        <w:ind w:firstLine="420" w:firstLineChars="200"/>
        <w:outlineLvl w:val="3"/>
        <w:rPr>
          <w:rFonts w:ascii="宋体" w:hAnsi="宋体"/>
          <w:szCs w:val="21"/>
        </w:rPr>
      </w:pPr>
      <w:r>
        <w:rPr>
          <w:rFonts w:ascii="宋体" w:hAnsi="宋体"/>
          <w:szCs w:val="21"/>
        </w:rPr>
        <w:t xml:space="preserve">…… </w:t>
      </w:r>
    </w:p>
    <w:p>
      <w:pPr>
        <w:ind w:firstLine="420" w:firstLineChars="200"/>
        <w:outlineLvl w:val="3"/>
        <w:rPr>
          <w:rFonts w:ascii="宋体" w:hAnsi="宋体"/>
          <w:szCs w:val="21"/>
        </w:rPr>
      </w:pPr>
      <w:r>
        <w:rPr>
          <w:rFonts w:ascii="宋体" w:hAnsi="宋体"/>
          <w:szCs w:val="21"/>
        </w:rPr>
        <w:t>以上企业，不属于大企业的分支机构，不存在控股股东为大企业的情形，也不存在与大企业的负责人为同一人的情形。</w:t>
      </w:r>
    </w:p>
    <w:p>
      <w:pPr>
        <w:ind w:firstLine="420" w:firstLineChars="200"/>
        <w:outlineLvl w:val="3"/>
      </w:pPr>
      <w:r>
        <w:rPr>
          <w:rFonts w:hint="eastAsia"/>
        </w:rPr>
        <w:t>本企业对上述声明内容的真实性负责。如有虚假，将依法承担相应责任。</w:t>
      </w:r>
    </w:p>
    <w:p>
      <w:pPr>
        <w:ind w:firstLine="420" w:firstLineChars="200"/>
        <w:jc w:val="right"/>
      </w:pPr>
    </w:p>
    <w:p>
      <w:pPr>
        <w:wordWrap w:val="0"/>
        <w:ind w:firstLine="420" w:firstLineChars="200"/>
        <w:jc w:val="right"/>
      </w:pPr>
      <w:r>
        <w:rPr>
          <w:rFonts w:hint="eastAsia"/>
        </w:rPr>
        <w:t xml:space="preserve">企业名称：                </w:t>
      </w:r>
    </w:p>
    <w:p>
      <w:pPr>
        <w:wordWrap w:val="0"/>
        <w:ind w:firstLine="420" w:firstLineChars="200"/>
        <w:jc w:val="right"/>
      </w:pPr>
      <w:r>
        <w:rPr>
          <w:rFonts w:hint="eastAsia"/>
        </w:rPr>
        <w:t xml:space="preserve">日 期：                </w:t>
      </w:r>
    </w:p>
    <w:p>
      <w:pPr>
        <w:ind w:firstLine="420" w:firstLineChars="200"/>
      </w:pPr>
    </w:p>
    <w:p>
      <w:pPr>
        <w:jc w:val="center"/>
        <w:outlineLvl w:val="3"/>
        <w:rPr>
          <w:b/>
          <w:sz w:val="24"/>
        </w:rPr>
      </w:pPr>
      <w:r>
        <w:rPr>
          <w:rFonts w:hint="eastAsia"/>
          <w:b/>
          <w:sz w:val="24"/>
        </w:rPr>
        <w:t>2、残疾人福利性单位声明函（服务类）</w:t>
      </w:r>
    </w:p>
    <w:p>
      <w:pPr>
        <w:rPr>
          <w:b/>
          <w:bCs/>
        </w:rPr>
      </w:pPr>
    </w:p>
    <w:p>
      <w:pPr>
        <w:ind w:firstLine="420" w:firstLineChars="200"/>
        <w:rPr>
          <w:rFonts w:ascii="宋体" w:hAnsi="宋体"/>
          <w:szCs w:val="21"/>
        </w:rPr>
      </w:pPr>
      <w:r>
        <w:rPr>
          <w:rFonts w:ascii="宋体" w:hAnsi="宋体"/>
          <w:szCs w:val="21"/>
        </w:rPr>
        <w:t>本</w:t>
      </w:r>
      <w:r>
        <w:rPr>
          <w:rFonts w:hint="eastAsia" w:ascii="宋体" w:hAnsi="宋体"/>
          <w:szCs w:val="21"/>
        </w:rPr>
        <w:t>单位郑重声明，根据《财政部民政部中国残疾人联合会关于促进残疾人就业政府采购政策的通知》（财库〔</w:t>
      </w:r>
      <w:r>
        <w:rPr>
          <w:rFonts w:ascii="宋体" w:hAnsi="宋体"/>
          <w:szCs w:val="21"/>
        </w:rPr>
        <w:t>2017</w:t>
      </w:r>
      <w:r>
        <w:rPr>
          <w:rFonts w:hint="eastAsia" w:ascii="宋体" w:hAnsi="宋体"/>
          <w:szCs w:val="21"/>
        </w:rPr>
        <w:t>〕</w:t>
      </w:r>
      <w:r>
        <w:rPr>
          <w:rFonts w:ascii="宋体" w:hAnsi="宋体"/>
          <w:szCs w:val="21"/>
        </w:rPr>
        <w:t xml:space="preserve">141 </w:t>
      </w:r>
      <w:r>
        <w:rPr>
          <w:rFonts w:hint="eastAsia" w:ascii="宋体" w:hAnsi="宋体"/>
          <w:szCs w:val="21"/>
        </w:rPr>
        <w:t>号）的规定，本单位为符合条件的残疾人福利性单位，且本单位</w:t>
      </w:r>
      <w:r>
        <w:rPr>
          <w:rFonts w:ascii="宋体" w:hAnsi="宋体"/>
          <w:szCs w:val="21"/>
        </w:rPr>
        <w:t>参加</w:t>
      </w:r>
      <w:r>
        <w:rPr>
          <w:rFonts w:ascii="宋体" w:hAnsi="宋体"/>
          <w:b/>
          <w:bCs/>
          <w:szCs w:val="21"/>
          <w:u w:val="single"/>
        </w:rPr>
        <w:t>（</w:t>
      </w:r>
      <w:r>
        <w:rPr>
          <w:rFonts w:hint="eastAsia" w:ascii="宋体" w:hAnsi="宋体"/>
          <w:b/>
          <w:bCs/>
          <w:szCs w:val="21"/>
          <w:u w:val="single"/>
        </w:rPr>
        <w:t>单位</w:t>
      </w:r>
      <w:r>
        <w:rPr>
          <w:rFonts w:ascii="宋体" w:hAnsi="宋体"/>
          <w:b/>
          <w:bCs/>
          <w:szCs w:val="21"/>
          <w:u w:val="single"/>
        </w:rPr>
        <w:t>名称）</w:t>
      </w:r>
      <w:r>
        <w:rPr>
          <w:rFonts w:hint="eastAsia" w:ascii="宋体" w:hAnsi="宋体"/>
          <w:szCs w:val="21"/>
          <w:u w:val="single"/>
        </w:rPr>
        <w:t>单位</w:t>
      </w:r>
      <w:r>
        <w:rPr>
          <w:rFonts w:ascii="宋体" w:hAnsi="宋体"/>
          <w:szCs w:val="21"/>
        </w:rPr>
        <w:t>的</w:t>
      </w:r>
      <w:r>
        <w:rPr>
          <w:rFonts w:ascii="宋体" w:hAnsi="宋体"/>
          <w:b/>
          <w:bCs/>
          <w:szCs w:val="21"/>
          <w:u w:val="single"/>
        </w:rPr>
        <w:t>（项目名称）</w:t>
      </w:r>
      <w:r>
        <w:rPr>
          <w:rFonts w:hint="eastAsia" w:ascii="宋体" w:hAnsi="宋体"/>
          <w:szCs w:val="21"/>
          <w:u w:val="single"/>
        </w:rPr>
        <w:t>项目</w:t>
      </w:r>
      <w:r>
        <w:rPr>
          <w:rFonts w:ascii="宋体" w:hAnsi="宋体"/>
          <w:szCs w:val="21"/>
        </w:rPr>
        <w:t>采购活动</w:t>
      </w:r>
      <w:r>
        <w:rPr>
          <w:rFonts w:hint="eastAsia" w:ascii="宋体" w:hAnsi="宋体"/>
          <w:szCs w:val="21"/>
        </w:rPr>
        <w:t>提供本单位服务。</w:t>
      </w:r>
    </w:p>
    <w:p>
      <w:pPr>
        <w:ind w:firstLine="420" w:firstLineChars="200"/>
        <w:rPr>
          <w:rFonts w:ascii="宋体" w:hAnsi="宋体"/>
          <w:szCs w:val="21"/>
        </w:rPr>
      </w:pPr>
      <w:r>
        <w:rPr>
          <w:rFonts w:hint="eastAsia" w:ascii="宋体" w:hAnsi="宋体"/>
          <w:szCs w:val="21"/>
        </w:rPr>
        <w:t>本单位对上述声明的真实性负责。如有虚假，将依法承担相应责任。</w:t>
      </w:r>
    </w:p>
    <w:p>
      <w:pPr>
        <w:ind w:firstLine="420" w:firstLineChars="200"/>
        <w:rPr>
          <w:rFonts w:ascii="宋体" w:hAnsi="宋体"/>
          <w:szCs w:val="21"/>
        </w:rPr>
      </w:pPr>
    </w:p>
    <w:p>
      <w:pPr>
        <w:wordWrap w:val="0"/>
        <w:ind w:firstLine="420" w:firstLineChars="200"/>
        <w:jc w:val="right"/>
        <w:rPr>
          <w:rFonts w:ascii="宋体" w:hAnsi="宋体"/>
          <w:szCs w:val="21"/>
        </w:rPr>
      </w:pPr>
      <w:r>
        <w:rPr>
          <w:rFonts w:hint="eastAsia" w:ascii="宋体" w:hAnsi="宋体"/>
          <w:szCs w:val="21"/>
        </w:rPr>
        <w:t xml:space="preserve">企业名称：            </w:t>
      </w:r>
    </w:p>
    <w:p>
      <w:pPr>
        <w:wordWrap w:val="0"/>
        <w:ind w:firstLine="420" w:firstLineChars="200"/>
        <w:jc w:val="right"/>
        <w:rPr>
          <w:rFonts w:ascii="宋体" w:hAnsi="宋体"/>
          <w:szCs w:val="21"/>
        </w:rPr>
      </w:pPr>
      <w:r>
        <w:rPr>
          <w:rFonts w:hint="eastAsia" w:ascii="宋体" w:hAnsi="宋体"/>
          <w:szCs w:val="21"/>
        </w:rPr>
        <w:t xml:space="preserve">日  期：            </w:t>
      </w:r>
    </w:p>
    <w:p>
      <w:pPr>
        <w:ind w:firstLine="420" w:firstLineChars="200"/>
        <w:rPr>
          <w:rFonts w:ascii="宋体" w:hAnsi="宋体"/>
          <w:szCs w:val="21"/>
        </w:rPr>
      </w:pPr>
    </w:p>
    <w:p>
      <w:pPr>
        <w:jc w:val="center"/>
        <w:outlineLvl w:val="3"/>
        <w:rPr>
          <w:b/>
          <w:sz w:val="24"/>
        </w:rPr>
      </w:pPr>
      <w:r>
        <w:rPr>
          <w:rFonts w:hint="eastAsia"/>
          <w:b/>
          <w:sz w:val="24"/>
        </w:rPr>
        <w:t>3、监狱企业声明函【服务类，监狱企业如需享受优惠政策，还须另行提供省级以上监狱管理局、戒毒管理局（含新疆生产建设兵团）出具的监狱企业证明文件】</w:t>
      </w:r>
    </w:p>
    <w:p>
      <w:pPr>
        <w:ind w:firstLine="420" w:firstLineChars="200"/>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szCs w:val="21"/>
        </w:rPr>
        <w:t>参加</w:t>
      </w:r>
      <w:r>
        <w:rPr>
          <w:rFonts w:ascii="宋体" w:hAnsi="宋体"/>
          <w:b/>
          <w:bCs/>
          <w:szCs w:val="21"/>
          <w:u w:val="single"/>
        </w:rPr>
        <w:t>（</w:t>
      </w:r>
      <w:r>
        <w:rPr>
          <w:rFonts w:hint="eastAsia" w:ascii="宋体" w:hAnsi="宋体"/>
          <w:b/>
          <w:bCs/>
          <w:szCs w:val="21"/>
          <w:u w:val="single"/>
        </w:rPr>
        <w:t>单位名称</w:t>
      </w:r>
      <w:r>
        <w:rPr>
          <w:rFonts w:ascii="宋体" w:hAnsi="宋体"/>
          <w:b/>
          <w:bCs/>
          <w:szCs w:val="21"/>
          <w:u w:val="single"/>
        </w:rPr>
        <w:t>）</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pPr>
        <w:ind w:firstLine="420" w:firstLineChars="200"/>
        <w:rPr>
          <w:rFonts w:ascii="宋体" w:hAnsi="宋体"/>
          <w:szCs w:val="21"/>
        </w:rPr>
      </w:pPr>
      <w:r>
        <w:rPr>
          <w:rFonts w:ascii="宋体" w:hAnsi="宋体"/>
          <w:szCs w:val="21"/>
        </w:rPr>
        <w:t>1.</w:t>
      </w:r>
      <w:r>
        <w:rPr>
          <w:rFonts w:ascii="宋体" w:hAnsi="宋体"/>
          <w:b/>
          <w:bCs/>
          <w:szCs w:val="21"/>
          <w:u w:val="single"/>
        </w:rPr>
        <w:t xml:space="preserve"> （标的名称）</w:t>
      </w:r>
      <w:r>
        <w:rPr>
          <w:rFonts w:hint="eastAsia" w:ascii="宋体" w:hAnsi="宋体"/>
          <w:szCs w:val="21"/>
        </w:rPr>
        <w:t>，承接单位</w:t>
      </w:r>
      <w:r>
        <w:rPr>
          <w:rFonts w:ascii="宋体" w:hAnsi="宋体"/>
          <w:szCs w:val="21"/>
        </w:rPr>
        <w:t>为</w:t>
      </w:r>
      <w:r>
        <w:rPr>
          <w:rFonts w:ascii="宋体" w:hAnsi="宋体"/>
          <w:b/>
          <w:bCs/>
          <w:szCs w:val="21"/>
          <w:u w:val="single"/>
        </w:rPr>
        <w:t>（</w:t>
      </w:r>
      <w:r>
        <w:rPr>
          <w:rFonts w:hint="eastAsia" w:ascii="宋体" w:hAnsi="宋体"/>
          <w:b/>
          <w:bCs/>
          <w:szCs w:val="21"/>
          <w:u w:val="single"/>
        </w:rPr>
        <w:t>企业</w:t>
      </w:r>
      <w:r>
        <w:rPr>
          <w:rFonts w:ascii="宋体" w:hAnsi="宋体"/>
          <w:b/>
          <w:bCs/>
          <w:szCs w:val="21"/>
          <w:u w:val="single"/>
        </w:rPr>
        <w:t>名称）</w:t>
      </w:r>
      <w:r>
        <w:rPr>
          <w:rFonts w:ascii="宋体" w:hAnsi="宋体"/>
          <w:szCs w:val="21"/>
        </w:rPr>
        <w:t>，属于</w:t>
      </w:r>
      <w:r>
        <w:rPr>
          <w:rFonts w:hint="eastAsia" w:ascii="宋体" w:hAnsi="宋体"/>
          <w:b/>
          <w:bCs/>
          <w:szCs w:val="21"/>
          <w:u w:val="single"/>
        </w:rPr>
        <w:t>监狱企业</w:t>
      </w:r>
      <w:r>
        <w:rPr>
          <w:rFonts w:ascii="宋体" w:hAnsi="宋体"/>
          <w:szCs w:val="21"/>
        </w:rPr>
        <w:t>；</w:t>
      </w:r>
    </w:p>
    <w:p>
      <w:pPr>
        <w:ind w:firstLine="420" w:firstLineChars="200"/>
        <w:rPr>
          <w:rFonts w:ascii="宋体" w:hAnsi="宋体"/>
          <w:szCs w:val="21"/>
        </w:rPr>
      </w:pPr>
      <w:r>
        <w:rPr>
          <w:rFonts w:ascii="宋体" w:hAnsi="宋体"/>
          <w:szCs w:val="21"/>
        </w:rPr>
        <w:t>2.</w:t>
      </w:r>
      <w:r>
        <w:rPr>
          <w:rFonts w:ascii="宋体" w:hAnsi="宋体"/>
          <w:b/>
          <w:bCs/>
          <w:szCs w:val="21"/>
          <w:u w:val="single"/>
        </w:rPr>
        <w:t xml:space="preserve"> （标的名称）</w:t>
      </w:r>
      <w:r>
        <w:rPr>
          <w:rFonts w:hint="eastAsia" w:ascii="宋体" w:hAnsi="宋体"/>
          <w:szCs w:val="21"/>
        </w:rPr>
        <w:t>，承接单位</w:t>
      </w:r>
      <w:r>
        <w:rPr>
          <w:rFonts w:ascii="宋体" w:hAnsi="宋体"/>
          <w:szCs w:val="21"/>
        </w:rPr>
        <w:t>为</w:t>
      </w:r>
      <w:r>
        <w:rPr>
          <w:rFonts w:ascii="宋体" w:hAnsi="宋体"/>
          <w:b/>
          <w:bCs/>
          <w:szCs w:val="21"/>
          <w:u w:val="single"/>
        </w:rPr>
        <w:t>（</w:t>
      </w:r>
      <w:r>
        <w:rPr>
          <w:rFonts w:hint="eastAsia" w:ascii="宋体" w:hAnsi="宋体"/>
          <w:b/>
          <w:bCs/>
          <w:szCs w:val="21"/>
          <w:u w:val="single"/>
        </w:rPr>
        <w:t>企业</w:t>
      </w:r>
      <w:r>
        <w:rPr>
          <w:rFonts w:ascii="宋体" w:hAnsi="宋体"/>
          <w:b/>
          <w:bCs/>
          <w:szCs w:val="21"/>
          <w:u w:val="single"/>
        </w:rPr>
        <w:t>名称）</w:t>
      </w:r>
      <w:r>
        <w:rPr>
          <w:rFonts w:ascii="宋体" w:hAnsi="宋体"/>
          <w:szCs w:val="21"/>
        </w:rPr>
        <w:t>，属于</w:t>
      </w:r>
      <w:r>
        <w:rPr>
          <w:rFonts w:hint="eastAsia" w:ascii="宋体" w:hAnsi="宋体"/>
          <w:b/>
          <w:bCs/>
          <w:szCs w:val="21"/>
          <w:u w:val="single"/>
        </w:rPr>
        <w:t>监狱企业</w:t>
      </w:r>
      <w:r>
        <w:rPr>
          <w:rFonts w:hint="eastAsia" w:ascii="宋体" w:hAnsi="宋体"/>
          <w:szCs w:val="21"/>
        </w:rPr>
        <w:t>。</w:t>
      </w:r>
    </w:p>
    <w:p>
      <w:pPr>
        <w:ind w:firstLine="420" w:firstLineChars="200"/>
        <w:outlineLvl w:val="3"/>
        <w:rPr>
          <w:rFonts w:ascii="宋体" w:hAnsi="宋体"/>
          <w:szCs w:val="21"/>
        </w:rPr>
      </w:pPr>
      <w:r>
        <w:rPr>
          <w:rFonts w:ascii="宋体" w:hAnsi="宋体"/>
          <w:szCs w:val="21"/>
        </w:rPr>
        <w:t xml:space="preserve">…… </w:t>
      </w:r>
    </w:p>
    <w:p>
      <w:pPr>
        <w:ind w:firstLine="420" w:firstLineChars="200"/>
        <w:rPr>
          <w:rFonts w:ascii="宋体" w:hAnsi="宋体"/>
          <w:szCs w:val="21"/>
        </w:rPr>
      </w:pPr>
      <w:r>
        <w:rPr>
          <w:rFonts w:ascii="宋体" w:hAnsi="宋体"/>
          <w:szCs w:val="21"/>
        </w:rPr>
        <w:t>本</w:t>
      </w:r>
      <w:r>
        <w:rPr>
          <w:rFonts w:hint="eastAsia" w:ascii="宋体" w:hAnsi="宋体"/>
          <w:szCs w:val="21"/>
        </w:rPr>
        <w:t>投标人</w:t>
      </w:r>
      <w:r>
        <w:rPr>
          <w:rFonts w:ascii="宋体" w:hAnsi="宋体"/>
          <w:szCs w:val="21"/>
        </w:rPr>
        <w:t>对上述声明内容的真实性负责。如有虚假，将依法承担相应责任。</w:t>
      </w:r>
    </w:p>
    <w:p>
      <w:pPr>
        <w:ind w:firstLine="420" w:firstLineChars="200"/>
        <w:rPr>
          <w:rFonts w:ascii="宋体" w:hAnsi="宋体"/>
          <w:szCs w:val="21"/>
        </w:rPr>
      </w:pPr>
      <w:r>
        <w:rPr>
          <w:rFonts w:hint="eastAsia" w:ascii="宋体" w:hAnsi="宋体"/>
          <w:szCs w:val="21"/>
        </w:rPr>
        <w:t>附：省级以上监狱管理局、戒毒管理局（含新疆生产建设兵团）出具的监狱企业证明文件。</w:t>
      </w:r>
    </w:p>
    <w:p>
      <w:pPr>
        <w:ind w:firstLine="420" w:firstLineChars="200"/>
        <w:rPr>
          <w:rFonts w:ascii="宋体" w:hAnsi="宋体"/>
          <w:szCs w:val="21"/>
        </w:rPr>
      </w:pPr>
    </w:p>
    <w:p>
      <w:pPr>
        <w:wordWrap w:val="0"/>
        <w:ind w:firstLine="420" w:firstLineChars="200"/>
        <w:jc w:val="right"/>
        <w:rPr>
          <w:rFonts w:ascii="宋体" w:hAnsi="宋体"/>
          <w:szCs w:val="21"/>
        </w:rPr>
      </w:pPr>
      <w:r>
        <w:rPr>
          <w:rFonts w:hint="eastAsia" w:ascii="宋体" w:hAnsi="宋体"/>
          <w:szCs w:val="21"/>
        </w:rPr>
        <w:t xml:space="preserve">企业名称：            </w:t>
      </w:r>
    </w:p>
    <w:p>
      <w:pPr>
        <w:wordWrap w:val="0"/>
        <w:ind w:firstLine="420" w:firstLineChars="200"/>
        <w:jc w:val="right"/>
        <w:rPr>
          <w:rFonts w:ascii="宋体" w:hAnsi="宋体"/>
          <w:szCs w:val="21"/>
        </w:rPr>
      </w:pPr>
      <w:r>
        <w:rPr>
          <w:rFonts w:hint="eastAsia" w:ascii="宋体" w:hAnsi="宋体"/>
          <w:szCs w:val="21"/>
        </w:rPr>
        <w:t xml:space="preserve">日  期：            </w:t>
      </w:r>
    </w:p>
    <w:p>
      <w:pPr>
        <w:ind w:left="723" w:hanging="723" w:hangingChars="300"/>
        <w:rPr>
          <w:b/>
          <w:sz w:val="24"/>
        </w:rPr>
      </w:pPr>
    </w:p>
    <w:p>
      <w:pPr>
        <w:pStyle w:val="3"/>
        <w:jc w:val="center"/>
        <w:rPr>
          <w:rFonts w:ascii="黑体" w:eastAsia="黑体"/>
          <w:b w:val="0"/>
          <w:sz w:val="24"/>
          <w:szCs w:val="24"/>
        </w:rPr>
      </w:pPr>
      <w:r>
        <w:rPr>
          <w:rFonts w:hint="eastAsia" w:ascii="黑体" w:eastAsia="黑体"/>
          <w:b w:val="0"/>
          <w:sz w:val="24"/>
          <w:szCs w:val="24"/>
        </w:rPr>
        <w:t>四、项目详细报价</w:t>
      </w:r>
    </w:p>
    <w:p>
      <w:pPr>
        <w:ind w:firstLine="482" w:firstLineChars="200"/>
        <w:rPr>
          <w:rFonts w:hAnsi="宋体"/>
          <w:b/>
          <w:bCs/>
          <w:sz w:val="24"/>
        </w:rPr>
      </w:pPr>
    </w:p>
    <w:p>
      <w:pPr>
        <w:pStyle w:val="19"/>
        <w:jc w:val="center"/>
      </w:pPr>
      <w:r>
        <w:rPr>
          <w:rFonts w:hint="eastAsia"/>
          <w:b/>
          <w:bCs/>
        </w:rPr>
        <w:t>（一）</w:t>
      </w:r>
      <w:r>
        <w:rPr>
          <w:rFonts w:hint="eastAsia"/>
          <w:b/>
        </w:rPr>
        <w:t>分项报价表</w:t>
      </w:r>
    </w:p>
    <w:tbl>
      <w:tblPr>
        <w:tblStyle w:val="42"/>
        <w:tblW w:w="7820"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1725"/>
        <w:gridCol w:w="735"/>
        <w:gridCol w:w="690"/>
        <w:gridCol w:w="1680"/>
        <w:gridCol w:w="1628"/>
        <w:gridCol w:w="807"/>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jc w:val="center"/>
        </w:trPr>
        <w:tc>
          <w:tcPr>
            <w:tcW w:w="555" w:type="dxa"/>
            <w:tcBorders>
              <w:top w:val="double" w:color="auto" w:sz="4" w:space="0"/>
              <w:bottom w:val="single" w:color="auto" w:sz="4" w:space="0"/>
            </w:tcBorders>
            <w:vAlign w:val="center"/>
          </w:tcPr>
          <w:p>
            <w:pPr>
              <w:jc w:val="center"/>
              <w:rPr>
                <w:bCs/>
                <w:szCs w:val="21"/>
              </w:rPr>
            </w:pPr>
            <w:r>
              <w:rPr>
                <w:rFonts w:hint="eastAsia"/>
                <w:bCs/>
                <w:szCs w:val="21"/>
              </w:rPr>
              <w:t>序号</w:t>
            </w:r>
          </w:p>
        </w:tc>
        <w:tc>
          <w:tcPr>
            <w:tcW w:w="1725" w:type="dxa"/>
            <w:tcBorders>
              <w:top w:val="double" w:color="auto" w:sz="4" w:space="0"/>
              <w:bottom w:val="single" w:color="auto" w:sz="4" w:space="0"/>
            </w:tcBorders>
            <w:vAlign w:val="center"/>
          </w:tcPr>
          <w:p>
            <w:pPr>
              <w:widowControl/>
              <w:adjustRightInd w:val="0"/>
              <w:snapToGrid w:val="0"/>
              <w:spacing w:line="300" w:lineRule="auto"/>
              <w:jc w:val="center"/>
              <w:rPr>
                <w:rFonts w:ascii="宋体" w:hAnsi="宋体"/>
                <w:snapToGrid w:val="0"/>
                <w:kern w:val="0"/>
                <w:sz w:val="24"/>
                <w:szCs w:val="21"/>
              </w:rPr>
            </w:pPr>
            <w:r>
              <w:rPr>
                <w:rFonts w:hint="eastAsia"/>
                <w:bCs/>
                <w:szCs w:val="21"/>
              </w:rPr>
              <w:t>服务需求名称</w:t>
            </w:r>
          </w:p>
        </w:tc>
        <w:tc>
          <w:tcPr>
            <w:tcW w:w="735" w:type="dxa"/>
            <w:tcBorders>
              <w:top w:val="double" w:color="auto" w:sz="4" w:space="0"/>
              <w:bottom w:val="single" w:color="auto" w:sz="4" w:space="0"/>
            </w:tcBorders>
            <w:vAlign w:val="center"/>
          </w:tcPr>
          <w:p>
            <w:pPr>
              <w:jc w:val="center"/>
              <w:rPr>
                <w:bCs/>
                <w:szCs w:val="21"/>
              </w:rPr>
            </w:pPr>
            <w:r>
              <w:rPr>
                <w:rFonts w:hint="eastAsia"/>
                <w:bCs/>
                <w:szCs w:val="21"/>
              </w:rPr>
              <w:t>数量</w:t>
            </w:r>
          </w:p>
        </w:tc>
        <w:tc>
          <w:tcPr>
            <w:tcW w:w="690" w:type="dxa"/>
            <w:tcBorders>
              <w:top w:val="double" w:color="auto" w:sz="4" w:space="0"/>
              <w:bottom w:val="single" w:color="auto" w:sz="4" w:space="0"/>
            </w:tcBorders>
            <w:vAlign w:val="center"/>
          </w:tcPr>
          <w:p>
            <w:pPr>
              <w:jc w:val="center"/>
              <w:rPr>
                <w:bCs/>
                <w:szCs w:val="21"/>
              </w:rPr>
            </w:pPr>
            <w:r>
              <w:rPr>
                <w:rFonts w:hint="eastAsia"/>
                <w:bCs/>
                <w:szCs w:val="21"/>
              </w:rPr>
              <w:t>单位</w:t>
            </w:r>
          </w:p>
        </w:tc>
        <w:tc>
          <w:tcPr>
            <w:tcW w:w="1680" w:type="dxa"/>
            <w:tcBorders>
              <w:top w:val="double" w:color="auto" w:sz="4" w:space="0"/>
              <w:bottom w:val="single" w:color="auto" w:sz="4" w:space="0"/>
            </w:tcBorders>
            <w:vAlign w:val="center"/>
          </w:tcPr>
          <w:p>
            <w:pPr>
              <w:widowControl/>
              <w:adjustRightInd w:val="0"/>
              <w:snapToGrid w:val="0"/>
              <w:spacing w:line="300" w:lineRule="auto"/>
              <w:jc w:val="center"/>
              <w:rPr>
                <w:rFonts w:ascii="宋体" w:hAnsi="宋体"/>
                <w:snapToGrid w:val="0"/>
                <w:kern w:val="0"/>
                <w:sz w:val="24"/>
                <w:szCs w:val="21"/>
              </w:rPr>
            </w:pPr>
            <w:r>
              <w:rPr>
                <w:rFonts w:hint="eastAsia" w:ascii="宋体" w:hAnsi="宋体"/>
                <w:snapToGrid w:val="0"/>
                <w:kern w:val="0"/>
                <w:sz w:val="24"/>
                <w:szCs w:val="21"/>
              </w:rPr>
              <w:t>投标报价（元）</w:t>
            </w:r>
          </w:p>
        </w:tc>
        <w:tc>
          <w:tcPr>
            <w:tcW w:w="1628" w:type="dxa"/>
            <w:tcBorders>
              <w:top w:val="double" w:color="auto" w:sz="4" w:space="0"/>
              <w:bottom w:val="single" w:color="auto" w:sz="4" w:space="0"/>
            </w:tcBorders>
            <w:vAlign w:val="center"/>
          </w:tcPr>
          <w:p>
            <w:pPr>
              <w:jc w:val="center"/>
              <w:rPr>
                <w:b/>
                <w:color w:val="FF0000"/>
                <w:szCs w:val="21"/>
              </w:rPr>
            </w:pPr>
            <w:r>
              <w:rPr>
                <w:rFonts w:hint="eastAsia"/>
                <w:b/>
                <w:color w:val="FF0000"/>
                <w:szCs w:val="21"/>
              </w:rPr>
              <w:t>预算金额（元）</w:t>
            </w:r>
          </w:p>
        </w:tc>
        <w:tc>
          <w:tcPr>
            <w:tcW w:w="807" w:type="dxa"/>
            <w:tcBorders>
              <w:top w:val="double" w:color="auto" w:sz="4" w:space="0"/>
              <w:bottom w:val="single" w:color="auto" w:sz="4" w:space="0"/>
            </w:tcBorders>
            <w:vAlign w:val="center"/>
          </w:tcPr>
          <w:p>
            <w:pPr>
              <w:widowControl/>
              <w:adjustRightInd w:val="0"/>
              <w:snapToGrid w:val="0"/>
              <w:spacing w:line="300" w:lineRule="auto"/>
              <w:jc w:val="center"/>
              <w:rPr>
                <w:rFonts w:ascii="宋体" w:hAnsi="宋体"/>
                <w:snapToGrid w:val="0"/>
                <w:kern w:val="0"/>
                <w:sz w:val="24"/>
                <w:szCs w:val="21"/>
              </w:rPr>
            </w:pPr>
            <w:r>
              <w:rPr>
                <w:rFonts w:hint="eastAsia" w:ascii="宋体" w:hAnsi="宋体"/>
                <w:snapToGrid w:val="0"/>
                <w:kern w:val="0"/>
                <w:sz w:val="24"/>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555" w:type="dxa"/>
            <w:tcBorders>
              <w:top w:val="single" w:color="auto" w:sz="4" w:space="0"/>
              <w:bottom w:val="single" w:color="auto" w:sz="4" w:space="0"/>
            </w:tcBorders>
            <w:vAlign w:val="center"/>
          </w:tcPr>
          <w:p>
            <w:pPr>
              <w:jc w:val="center"/>
              <w:rPr>
                <w:bCs/>
                <w:szCs w:val="21"/>
              </w:rPr>
            </w:pPr>
            <w:r>
              <w:rPr>
                <w:rFonts w:hint="eastAsia"/>
                <w:bCs/>
                <w:szCs w:val="21"/>
              </w:rPr>
              <w:t>1</w:t>
            </w:r>
          </w:p>
        </w:tc>
        <w:tc>
          <w:tcPr>
            <w:tcW w:w="1725" w:type="dxa"/>
            <w:tcBorders>
              <w:top w:val="single" w:color="auto" w:sz="4" w:space="0"/>
              <w:bottom w:val="single" w:color="auto" w:sz="4" w:space="0"/>
            </w:tcBorders>
            <w:vAlign w:val="center"/>
          </w:tcPr>
          <w:p>
            <w:pPr>
              <w:jc w:val="center"/>
              <w:rPr>
                <w:bCs/>
                <w:szCs w:val="21"/>
              </w:rPr>
            </w:pPr>
            <w:r>
              <w:rPr>
                <w:rFonts w:hint="eastAsia"/>
                <w:bCs/>
                <w:szCs w:val="21"/>
              </w:rPr>
              <w:t>国家海洋局深圳海洋环境监测中心站办公楼（含惠州站）2024年物业管理项目</w:t>
            </w:r>
          </w:p>
        </w:tc>
        <w:tc>
          <w:tcPr>
            <w:tcW w:w="735" w:type="dxa"/>
            <w:tcBorders>
              <w:top w:val="single" w:color="auto" w:sz="4" w:space="0"/>
              <w:bottom w:val="single" w:color="auto" w:sz="4" w:space="0"/>
            </w:tcBorders>
            <w:vAlign w:val="center"/>
          </w:tcPr>
          <w:p>
            <w:pPr>
              <w:jc w:val="center"/>
              <w:rPr>
                <w:bCs/>
                <w:szCs w:val="21"/>
              </w:rPr>
            </w:pPr>
            <w:r>
              <w:rPr>
                <w:rFonts w:hint="eastAsia"/>
                <w:bCs/>
                <w:szCs w:val="21"/>
              </w:rPr>
              <w:t>1</w:t>
            </w:r>
          </w:p>
        </w:tc>
        <w:tc>
          <w:tcPr>
            <w:tcW w:w="690" w:type="dxa"/>
            <w:tcBorders>
              <w:top w:val="single" w:color="auto" w:sz="4" w:space="0"/>
              <w:bottom w:val="single" w:color="auto" w:sz="4" w:space="0"/>
            </w:tcBorders>
            <w:vAlign w:val="center"/>
          </w:tcPr>
          <w:p>
            <w:pPr>
              <w:jc w:val="center"/>
              <w:rPr>
                <w:bCs/>
                <w:szCs w:val="21"/>
              </w:rPr>
            </w:pPr>
            <w:r>
              <w:rPr>
                <w:rFonts w:hint="eastAsia"/>
                <w:bCs/>
                <w:szCs w:val="21"/>
              </w:rPr>
              <w:t>项</w:t>
            </w:r>
          </w:p>
        </w:tc>
        <w:tc>
          <w:tcPr>
            <w:tcW w:w="1680" w:type="dxa"/>
            <w:tcBorders>
              <w:top w:val="single" w:color="auto" w:sz="4" w:space="0"/>
              <w:bottom w:val="single" w:color="auto" w:sz="4" w:space="0"/>
            </w:tcBorders>
            <w:vAlign w:val="center"/>
          </w:tcPr>
          <w:p>
            <w:pPr>
              <w:widowControl/>
              <w:adjustRightInd w:val="0"/>
              <w:snapToGrid w:val="0"/>
              <w:spacing w:line="300" w:lineRule="auto"/>
              <w:jc w:val="left"/>
              <w:rPr>
                <w:rFonts w:ascii="宋体" w:hAnsi="宋体"/>
                <w:snapToGrid w:val="0"/>
                <w:kern w:val="0"/>
                <w:sz w:val="24"/>
                <w:szCs w:val="21"/>
              </w:rPr>
            </w:pPr>
            <w:r>
              <w:rPr>
                <w:rFonts w:hint="eastAsia" w:ascii="宋体" w:hAnsi="宋体"/>
                <w:snapToGrid w:val="0"/>
                <w:kern w:val="0"/>
                <w:sz w:val="24"/>
                <w:szCs w:val="21"/>
              </w:rPr>
              <w:t>大写：</w:t>
            </w:r>
          </w:p>
          <w:p>
            <w:pPr>
              <w:widowControl/>
              <w:adjustRightInd w:val="0"/>
              <w:snapToGrid w:val="0"/>
              <w:spacing w:line="300" w:lineRule="auto"/>
              <w:jc w:val="left"/>
            </w:pPr>
            <w:r>
              <w:rPr>
                <w:rFonts w:hint="eastAsia" w:ascii="宋体" w:hAnsi="宋体"/>
                <w:snapToGrid w:val="0"/>
                <w:kern w:val="0"/>
                <w:sz w:val="24"/>
                <w:szCs w:val="21"/>
              </w:rPr>
              <w:t>小写：</w:t>
            </w:r>
          </w:p>
        </w:tc>
        <w:tc>
          <w:tcPr>
            <w:tcW w:w="1628" w:type="dxa"/>
            <w:tcBorders>
              <w:top w:val="single" w:color="auto" w:sz="4" w:space="0"/>
              <w:bottom w:val="single" w:color="auto" w:sz="4" w:space="0"/>
            </w:tcBorders>
            <w:vAlign w:val="center"/>
          </w:tcPr>
          <w:p>
            <w:pPr>
              <w:jc w:val="center"/>
              <w:rPr>
                <w:b/>
                <w:color w:val="FF0000"/>
                <w:szCs w:val="21"/>
              </w:rPr>
            </w:pPr>
            <w:r>
              <w:rPr>
                <w:bCs/>
                <w:szCs w:val="21"/>
              </w:rPr>
              <w:t>750000.00</w:t>
            </w:r>
          </w:p>
        </w:tc>
        <w:tc>
          <w:tcPr>
            <w:tcW w:w="807" w:type="dxa"/>
            <w:tcBorders>
              <w:top w:val="single" w:color="auto" w:sz="4" w:space="0"/>
              <w:bottom w:val="single" w:color="auto" w:sz="4" w:space="0"/>
            </w:tcBorders>
            <w:vAlign w:val="center"/>
          </w:tcPr>
          <w:p>
            <w:pPr>
              <w:widowControl/>
              <w:adjustRightInd w:val="0"/>
              <w:snapToGrid w:val="0"/>
              <w:spacing w:line="300" w:lineRule="auto"/>
              <w:jc w:val="center"/>
              <w:rPr>
                <w:rFonts w:ascii="宋体" w:hAnsi="宋体"/>
                <w:snapToGrid w:val="0"/>
                <w:kern w:val="0"/>
                <w:sz w:val="24"/>
                <w:szCs w:val="21"/>
              </w:rPr>
            </w:pPr>
          </w:p>
        </w:tc>
      </w:tr>
    </w:tbl>
    <w:p>
      <w:pPr>
        <w:ind w:left="632" w:hanging="632" w:hangingChars="300"/>
        <w:rPr>
          <w:b/>
          <w:color w:val="0000FF"/>
          <w:szCs w:val="21"/>
        </w:rPr>
      </w:pPr>
    </w:p>
    <w:p>
      <w:pPr>
        <w:ind w:left="632" w:hanging="632" w:hangingChars="300"/>
        <w:rPr>
          <w:rFonts w:ascii="宋体" w:hAnsi="宋体"/>
          <w:color w:val="0000FF"/>
          <w:kern w:val="0"/>
          <w:szCs w:val="21"/>
        </w:rPr>
      </w:pPr>
      <w:r>
        <w:rPr>
          <w:rFonts w:hint="eastAsia"/>
          <w:b/>
          <w:color w:val="0000FF"/>
          <w:szCs w:val="21"/>
        </w:rPr>
        <w:t>注：</w:t>
      </w:r>
      <w:r>
        <w:rPr>
          <w:rFonts w:hint="eastAsia" w:ascii="宋体" w:hAnsi="宋体"/>
          <w:color w:val="0000FF"/>
          <w:kern w:val="0"/>
          <w:szCs w:val="21"/>
        </w:rPr>
        <w:t>投标人的投标报价不得超过预算金额，否则将导致投标被否决。</w:t>
      </w:r>
    </w:p>
    <w:p>
      <w:pPr>
        <w:ind w:firstLine="482" w:firstLineChars="200"/>
        <w:rPr>
          <w:rFonts w:hAnsi="宋体"/>
          <w:b/>
          <w:bCs/>
          <w:sz w:val="24"/>
        </w:rPr>
      </w:pPr>
    </w:p>
    <w:p>
      <w:pPr>
        <w:ind w:firstLine="482" w:firstLineChars="200"/>
        <w:rPr>
          <w:rFonts w:hAnsi="宋体"/>
          <w:b/>
          <w:bCs/>
          <w:sz w:val="24"/>
        </w:rPr>
      </w:pPr>
    </w:p>
    <w:p>
      <w:pPr>
        <w:tabs>
          <w:tab w:val="left" w:pos="720"/>
        </w:tabs>
        <w:jc w:val="center"/>
        <w:rPr>
          <w:b/>
          <w:sz w:val="24"/>
        </w:rPr>
      </w:pPr>
      <w:r>
        <w:rPr>
          <w:rFonts w:hint="eastAsia"/>
          <w:b/>
          <w:sz w:val="24"/>
        </w:rPr>
        <w:t>（二）</w:t>
      </w:r>
      <w:bookmarkStart w:id="39" w:name="_Hlk72073235"/>
      <w:r>
        <w:rPr>
          <w:rFonts w:hint="eastAsia"/>
          <w:b/>
          <w:sz w:val="24"/>
        </w:rPr>
        <w:t>投标人认为需要涉及的其他内容报价清单</w:t>
      </w:r>
      <w:bookmarkEnd w:id="39"/>
    </w:p>
    <w:p>
      <w:pPr>
        <w:rPr>
          <w:b/>
          <w:bCs/>
        </w:rPr>
      </w:pPr>
    </w:p>
    <w:p/>
    <w:p>
      <w:pPr>
        <w:widowControl/>
        <w:numPr>
          <w:ilvl w:val="0"/>
          <w:numId w:val="10"/>
        </w:numPr>
        <w:tabs>
          <w:tab w:val="left" w:pos="720"/>
        </w:tabs>
        <w:spacing w:line="360" w:lineRule="auto"/>
        <w:jc w:val="left"/>
        <w:rPr>
          <w:rFonts w:ascii="黑体" w:hAnsi="宋体" w:eastAsia="黑体"/>
          <w:bCs/>
          <w:sz w:val="24"/>
        </w:rPr>
      </w:pPr>
      <w:r>
        <w:rPr>
          <w:rFonts w:hint="eastAsia" w:ascii="黑体" w:hAnsi="宋体" w:eastAsia="黑体"/>
          <w:bCs/>
          <w:sz w:val="24"/>
        </w:rPr>
        <w:t>供应商认证情况（格式自定）</w:t>
      </w:r>
    </w:p>
    <w:p>
      <w:pPr>
        <w:pStyle w:val="18"/>
        <w:rPr>
          <w:b w:val="0"/>
          <w:bCs w:val="0"/>
        </w:rPr>
      </w:pPr>
      <w:r>
        <w:rPr>
          <w:rFonts w:hint="eastAsia"/>
          <w:b w:val="0"/>
          <w:bCs w:val="0"/>
        </w:rPr>
        <w:t>（特别提示：投标人须按本招标文件评标信息中“供应商认证情况”这一评审因素要求，提供证明资料）</w:t>
      </w:r>
    </w:p>
    <w:p>
      <w:pPr>
        <w:widowControl/>
        <w:numPr>
          <w:ilvl w:val="0"/>
          <w:numId w:val="10"/>
        </w:numPr>
        <w:tabs>
          <w:tab w:val="left" w:pos="720"/>
        </w:tabs>
        <w:spacing w:line="360" w:lineRule="auto"/>
        <w:jc w:val="left"/>
        <w:rPr>
          <w:rFonts w:ascii="黑体" w:hAnsi="宋体" w:eastAsia="黑体"/>
          <w:sz w:val="24"/>
          <w:szCs w:val="20"/>
        </w:rPr>
      </w:pPr>
      <w:r>
        <w:rPr>
          <w:rFonts w:hint="eastAsia" w:ascii="黑体" w:hAnsi="宋体" w:eastAsia="黑体"/>
          <w:bCs/>
          <w:sz w:val="24"/>
        </w:rPr>
        <w:t>供应商同类项目业绩情况</w:t>
      </w:r>
      <w:r>
        <w:rPr>
          <w:rFonts w:hint="eastAsia" w:ascii="黑体" w:hAnsi="宋体" w:eastAsia="黑体"/>
          <w:sz w:val="24"/>
          <w:szCs w:val="20"/>
        </w:rPr>
        <w:t>（格式自定）</w:t>
      </w:r>
    </w:p>
    <w:p>
      <w:pPr>
        <w:pStyle w:val="18"/>
        <w:rPr>
          <w:b w:val="0"/>
          <w:bCs w:val="0"/>
        </w:rPr>
      </w:pPr>
      <w:r>
        <w:rPr>
          <w:rFonts w:hint="eastAsia"/>
          <w:b w:val="0"/>
          <w:bCs w:val="0"/>
        </w:rPr>
        <w:t>（特别提示：投标人须按本招标文件评标信息中“供应商同类项目业绩情况”这一评审因素要求，提供证明资料）</w:t>
      </w:r>
    </w:p>
    <w:p>
      <w:pPr>
        <w:pStyle w:val="19"/>
      </w:pPr>
    </w:p>
    <w:p>
      <w:pPr>
        <w:pStyle w:val="19"/>
      </w:pPr>
    </w:p>
    <w:p>
      <w:pPr>
        <w:pStyle w:val="19"/>
      </w:pPr>
    </w:p>
    <w:p>
      <w:pPr>
        <w:pStyle w:val="19"/>
      </w:pPr>
    </w:p>
    <w:p>
      <w:pPr>
        <w:pStyle w:val="19"/>
      </w:pPr>
    </w:p>
    <w:p>
      <w:pPr>
        <w:pStyle w:val="19"/>
      </w:pPr>
    </w:p>
    <w:p>
      <w:pPr>
        <w:pStyle w:val="19"/>
      </w:pPr>
    </w:p>
    <w:p>
      <w:pPr>
        <w:spacing w:line="360" w:lineRule="auto"/>
        <w:jc w:val="center"/>
        <w:rPr>
          <w:sz w:val="24"/>
        </w:rPr>
      </w:pPr>
      <w:r>
        <w:rPr>
          <w:rFonts w:hint="eastAsia"/>
          <w:sz w:val="24"/>
        </w:rPr>
        <w:t>承诺函</w:t>
      </w:r>
    </w:p>
    <w:p>
      <w:pPr>
        <w:spacing w:line="360" w:lineRule="auto"/>
        <w:rPr>
          <w:sz w:val="24"/>
        </w:rPr>
      </w:pPr>
      <w:r>
        <w:rPr>
          <w:rFonts w:hint="eastAsia"/>
          <w:sz w:val="24"/>
        </w:rPr>
        <w:t>致：采购人</w:t>
      </w:r>
    </w:p>
    <w:p>
      <w:pPr>
        <w:spacing w:line="360" w:lineRule="auto"/>
        <w:ind w:firstLine="480" w:firstLineChars="200"/>
        <w:rPr>
          <w:sz w:val="24"/>
        </w:rPr>
      </w:pPr>
      <w:r>
        <w:rPr>
          <w:rFonts w:hint="eastAsia"/>
          <w:sz w:val="24"/>
        </w:rPr>
        <w:t>我单位承诺，中标后为本项目提供本地经营（服务）网点，如不遵守相应承诺，愿按违约处理，并承担由此给采购人带来的损失。</w:t>
      </w:r>
    </w:p>
    <w:p>
      <w:pPr>
        <w:spacing w:line="360" w:lineRule="auto"/>
        <w:ind w:right="960" w:firstLine="5520" w:firstLineChars="2300"/>
        <w:rPr>
          <w:sz w:val="24"/>
        </w:rPr>
      </w:pPr>
      <w:r>
        <w:rPr>
          <w:rFonts w:hint="eastAsia"/>
          <w:sz w:val="24"/>
        </w:rPr>
        <w:t xml:space="preserve">投标人：              </w:t>
      </w:r>
    </w:p>
    <w:p>
      <w:pPr>
        <w:spacing w:line="360" w:lineRule="auto"/>
        <w:rPr>
          <w:sz w:val="24"/>
        </w:rPr>
      </w:pPr>
      <w:r>
        <w:rPr>
          <w:rFonts w:hint="eastAsia"/>
          <w:sz w:val="24"/>
        </w:rPr>
        <w:t xml:space="preserve">                                              日期：    年   月   日</w:t>
      </w:r>
    </w:p>
    <w:p>
      <w:pPr>
        <w:spacing w:line="360" w:lineRule="auto"/>
        <w:rPr>
          <w:sz w:val="24"/>
        </w:rPr>
      </w:pPr>
      <w:r>
        <w:rPr>
          <w:b/>
          <w:bCs/>
          <w:sz w:val="24"/>
        </w:rPr>
        <w:t>特别提示：投标人需按以上模板要求提供承诺函，否则将按不得分处理</w:t>
      </w:r>
      <w:r>
        <w:rPr>
          <w:rFonts w:hint="eastAsia"/>
          <w:b/>
          <w:bCs/>
          <w:sz w:val="24"/>
        </w:rPr>
        <w:t>。</w:t>
      </w:r>
    </w:p>
    <w:p>
      <w:pPr>
        <w:spacing w:line="360" w:lineRule="auto"/>
        <w:rPr>
          <w:sz w:val="24"/>
        </w:rPr>
      </w:pPr>
      <w:r>
        <w:rPr>
          <w:rFonts w:hint="eastAsia"/>
          <w:sz w:val="24"/>
        </w:rPr>
        <w:t>（特别提示：投标人须按本招标文件评标信息中“服务网点”这一评审因素要求，提供证明资料）</w:t>
      </w:r>
    </w:p>
    <w:p>
      <w:pPr>
        <w:rPr>
          <w:b/>
          <w:sz w:val="32"/>
          <w:szCs w:val="32"/>
        </w:rPr>
      </w:pPr>
      <w:r>
        <w:rPr>
          <w:b/>
          <w:sz w:val="32"/>
          <w:szCs w:val="32"/>
        </w:rPr>
        <w:br w:type="page"/>
      </w:r>
    </w:p>
    <w:p>
      <w:pPr>
        <w:outlineLvl w:val="1"/>
        <w:rPr>
          <w:rFonts w:ascii="宋体" w:hAnsi="宋体"/>
          <w:b/>
          <w:color w:val="FF0000"/>
          <w:sz w:val="28"/>
          <w:szCs w:val="28"/>
        </w:rPr>
      </w:pPr>
      <w:r>
        <w:rPr>
          <w:rFonts w:hint="eastAsia" w:ascii="宋体" w:hAnsi="宋体"/>
          <w:b/>
          <w:color w:val="FF0000"/>
          <w:sz w:val="28"/>
          <w:szCs w:val="28"/>
        </w:rPr>
        <w:t>投标文件附件</w:t>
      </w:r>
    </w:p>
    <w:p>
      <w:pPr>
        <w:pStyle w:val="3"/>
        <w:jc w:val="center"/>
        <w:rPr>
          <w:rFonts w:ascii="黑体" w:eastAsia="黑体"/>
          <w:b w:val="0"/>
          <w:sz w:val="24"/>
        </w:rPr>
      </w:pPr>
      <w:r>
        <w:rPr>
          <w:rFonts w:hint="eastAsia" w:ascii="黑体" w:eastAsia="黑体"/>
          <w:b w:val="0"/>
          <w:sz w:val="24"/>
        </w:rPr>
        <w:t>一、</w:t>
      </w:r>
      <w:bookmarkStart w:id="40" w:name="_Hlk72092499"/>
      <w:r>
        <w:rPr>
          <w:rFonts w:hint="eastAsia" w:ascii="黑体" w:eastAsia="黑体"/>
          <w:b w:val="0"/>
          <w:sz w:val="24"/>
        </w:rPr>
        <w:t>法定代表人（负责人）证明书</w:t>
      </w:r>
      <w:bookmarkEnd w:id="40"/>
    </w:p>
    <w:p>
      <w:pPr>
        <w:rPr>
          <w:sz w:val="24"/>
        </w:rPr>
      </w:pPr>
    </w:p>
    <w:p>
      <w:pPr>
        <w:spacing w:line="360" w:lineRule="auto"/>
        <w:rPr>
          <w:szCs w:val="21"/>
        </w:rPr>
      </w:pPr>
      <w:r>
        <w:rPr>
          <w:rFonts w:hint="eastAsia"/>
          <w:szCs w:val="21"/>
        </w:rPr>
        <w:t>同志，身份证号码：，现任我单位职务，为法定代表人（负责人），特此证明。</w:t>
      </w:r>
    </w:p>
    <w:p>
      <w:pPr>
        <w:spacing w:line="360" w:lineRule="auto"/>
        <w:rPr>
          <w:szCs w:val="21"/>
        </w:rPr>
      </w:pPr>
    </w:p>
    <w:p>
      <w:pPr>
        <w:spacing w:line="360" w:lineRule="auto"/>
        <w:rPr>
          <w:szCs w:val="21"/>
        </w:rPr>
      </w:pPr>
      <w:r>
        <w:rPr>
          <w:rFonts w:hint="eastAsia"/>
          <w:szCs w:val="21"/>
        </w:rPr>
        <w:t>说明：1、法定代表人为投标人（企业事业单位、国家机关、社会团体）的主要行政负责人。</w:t>
      </w:r>
    </w:p>
    <w:p>
      <w:pPr>
        <w:rPr>
          <w:szCs w:val="21"/>
        </w:rPr>
      </w:pPr>
      <w:r>
        <w:rPr>
          <w:rFonts w:hint="eastAsia"/>
          <w:szCs w:val="21"/>
        </w:rPr>
        <w:t>2、内容必须填写真实、清楚，涂改无效，不得转让、买卖。</w:t>
      </w:r>
    </w:p>
    <w:p>
      <w:pPr>
        <w:rPr>
          <w:sz w:val="24"/>
        </w:rPr>
      </w:pPr>
    </w:p>
    <w:p>
      <w:pPr>
        <w:rPr>
          <w:b/>
          <w:bCs/>
          <w:sz w:val="24"/>
        </w:rPr>
      </w:pPr>
    </w:p>
    <w:p>
      <w:pPr>
        <w:pStyle w:val="3"/>
        <w:spacing w:before="120" w:after="120"/>
        <w:jc w:val="center"/>
        <w:rPr>
          <w:rFonts w:ascii="黑体" w:eastAsia="黑体"/>
          <w:b w:val="0"/>
          <w:sz w:val="24"/>
        </w:rPr>
      </w:pPr>
      <w:r>
        <w:rPr>
          <w:rFonts w:hint="eastAsia" w:ascii="黑体" w:eastAsia="黑体"/>
          <w:b w:val="0"/>
          <w:sz w:val="24"/>
        </w:rPr>
        <w:t>二、投标文件签署授权委托书</w:t>
      </w:r>
    </w:p>
    <w:p>
      <w:pPr>
        <w:spacing w:line="360" w:lineRule="auto"/>
        <w:ind w:firstLine="420" w:firstLineChars="200"/>
        <w:rPr>
          <w:szCs w:val="21"/>
        </w:rPr>
      </w:pPr>
      <w:r>
        <w:rPr>
          <w:rFonts w:hint="eastAsia"/>
          <w:szCs w:val="21"/>
        </w:rPr>
        <w:t>本授权委托书声明：我（姓名）系（投标人名称）的法定代表人（负责人），现授权委托（姓名）为我单位签署本项目已递交的投标文件的法定代表人（负责人）的授权委托代理人，代理人全权代表我所签署的本项目已递交的投标文件内容我均承认。</w:t>
      </w:r>
    </w:p>
    <w:p>
      <w:pPr>
        <w:pStyle w:val="7"/>
        <w:spacing w:line="360" w:lineRule="auto"/>
        <w:rPr>
          <w:szCs w:val="21"/>
        </w:rPr>
      </w:pPr>
      <w:r>
        <w:rPr>
          <w:rFonts w:hint="eastAsia"/>
          <w:szCs w:val="21"/>
        </w:rPr>
        <w:t>代理人无转委托权，特此委托。</w:t>
      </w:r>
    </w:p>
    <w:p>
      <w:pPr>
        <w:pStyle w:val="7"/>
        <w:spacing w:line="360" w:lineRule="auto"/>
        <w:rPr>
          <w:szCs w:val="21"/>
        </w:rPr>
      </w:pPr>
    </w:p>
    <w:p>
      <w:pPr>
        <w:spacing w:line="360" w:lineRule="auto"/>
        <w:ind w:left="540" w:leftChars="257"/>
        <w:rPr>
          <w:szCs w:val="21"/>
          <w:u w:val="single"/>
        </w:rPr>
      </w:pPr>
      <w:r>
        <w:rPr>
          <w:rFonts w:hint="eastAsia"/>
          <w:szCs w:val="21"/>
        </w:rPr>
        <w:t>代理人：</w:t>
      </w:r>
    </w:p>
    <w:p>
      <w:pPr>
        <w:spacing w:line="360" w:lineRule="auto"/>
        <w:ind w:left="540" w:leftChars="257"/>
        <w:rPr>
          <w:szCs w:val="21"/>
        </w:rPr>
      </w:pPr>
      <w:r>
        <w:rPr>
          <w:rFonts w:hint="eastAsia"/>
          <w:szCs w:val="21"/>
        </w:rPr>
        <w:t>联系电话：  手机：</w:t>
      </w:r>
    </w:p>
    <w:p>
      <w:pPr>
        <w:spacing w:line="360" w:lineRule="auto"/>
        <w:ind w:left="540" w:leftChars="257"/>
        <w:rPr>
          <w:szCs w:val="21"/>
          <w:u w:val="single"/>
        </w:rPr>
      </w:pPr>
      <w:r>
        <w:rPr>
          <w:rFonts w:hint="eastAsia"/>
          <w:szCs w:val="21"/>
        </w:rPr>
        <w:t>身份证号码：职务：</w:t>
      </w:r>
    </w:p>
    <w:p>
      <w:pPr>
        <w:spacing w:line="360" w:lineRule="auto"/>
        <w:ind w:left="540" w:leftChars="257"/>
        <w:rPr>
          <w:szCs w:val="21"/>
        </w:rPr>
      </w:pPr>
      <w:r>
        <w:rPr>
          <w:rFonts w:hint="eastAsia"/>
          <w:szCs w:val="21"/>
        </w:rPr>
        <w:t>授权委托日期：年月 日</w:t>
      </w:r>
    </w:p>
    <w:p/>
    <w:p>
      <w:pPr>
        <w:spacing w:line="360" w:lineRule="auto"/>
        <w:ind w:firstLine="422" w:firstLineChars="200"/>
        <w:rPr>
          <w:b/>
          <w:color w:val="FF0000"/>
          <w:szCs w:val="21"/>
        </w:rPr>
      </w:pPr>
      <w:r>
        <w:rPr>
          <w:rFonts w:hint="eastAsia"/>
          <w:b/>
          <w:color w:val="FF0000"/>
          <w:szCs w:val="21"/>
        </w:rPr>
        <w:t>附： 请提供代理人身份证扫描件（正反两面）；非中国国籍管辖范围人员，可提供公安部门认可的身份证明材料扫描件。</w:t>
      </w:r>
    </w:p>
    <w:p>
      <w:pPr>
        <w:spacing w:line="360" w:lineRule="auto"/>
        <w:rPr>
          <w:b/>
          <w:szCs w:val="21"/>
        </w:rPr>
      </w:pPr>
    </w:p>
    <w:p>
      <w:pPr>
        <w:pStyle w:val="3"/>
        <w:jc w:val="center"/>
        <w:rPr>
          <w:rFonts w:ascii="黑体" w:eastAsia="黑体"/>
          <w:b w:val="0"/>
          <w:kern w:val="0"/>
          <w:sz w:val="24"/>
          <w:szCs w:val="24"/>
        </w:rPr>
      </w:pPr>
      <w:r>
        <w:rPr>
          <w:rFonts w:hint="eastAsia" w:ascii="黑体" w:eastAsia="黑体"/>
          <w:b w:val="0"/>
          <w:kern w:val="0"/>
          <w:sz w:val="24"/>
          <w:szCs w:val="24"/>
        </w:rPr>
        <w:t>三、</w:t>
      </w:r>
      <w:bookmarkStart w:id="41" w:name="_Hlk72092634"/>
      <w:r>
        <w:rPr>
          <w:rFonts w:hint="eastAsia" w:ascii="黑体" w:eastAsia="黑体"/>
          <w:b w:val="0"/>
          <w:kern w:val="0"/>
          <w:sz w:val="24"/>
          <w:szCs w:val="24"/>
        </w:rPr>
        <w:t>实质性条款响应情况表</w:t>
      </w:r>
      <w:bookmarkEnd w:id="41"/>
    </w:p>
    <w:tbl>
      <w:tblPr>
        <w:tblStyle w:val="42"/>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514"/>
        <w:gridCol w:w="1559"/>
        <w:gridCol w:w="1276"/>
        <w:gridCol w:w="1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pPr>
              <w:adjustRightInd w:val="0"/>
              <w:snapToGrid w:val="0"/>
              <w:spacing w:line="360" w:lineRule="auto"/>
              <w:jc w:val="center"/>
              <w:rPr>
                <w:rFonts w:ascii="宋体" w:hAnsi="宋体"/>
                <w:kern w:val="0"/>
                <w:szCs w:val="21"/>
              </w:rPr>
            </w:pPr>
            <w:bookmarkStart w:id="42" w:name="_Hlk72092651"/>
            <w:r>
              <w:rPr>
                <w:rFonts w:hint="eastAsia" w:ascii="宋体" w:hAnsi="宋体"/>
                <w:kern w:val="0"/>
                <w:szCs w:val="21"/>
              </w:rPr>
              <w:t>序号</w:t>
            </w:r>
          </w:p>
        </w:tc>
        <w:tc>
          <w:tcPr>
            <w:tcW w:w="3514" w:type="dxa"/>
            <w:vAlign w:val="center"/>
          </w:tcPr>
          <w:p>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59" w:type="dxa"/>
            <w:vAlign w:val="center"/>
          </w:tcPr>
          <w:p>
            <w:pPr>
              <w:adjustRightInd w:val="0"/>
              <w:snapToGrid w:val="0"/>
              <w:spacing w:line="360" w:lineRule="auto"/>
              <w:jc w:val="center"/>
              <w:rPr>
                <w:rFonts w:ascii="宋体" w:hAnsi="宋体"/>
                <w:kern w:val="0"/>
                <w:szCs w:val="21"/>
              </w:rPr>
            </w:pPr>
            <w:r>
              <w:rPr>
                <w:rFonts w:hint="eastAsia"/>
              </w:rPr>
              <w:t>投标响应</w:t>
            </w:r>
          </w:p>
        </w:tc>
        <w:tc>
          <w:tcPr>
            <w:tcW w:w="1276" w:type="dxa"/>
            <w:vAlign w:val="center"/>
          </w:tcPr>
          <w:p>
            <w:pPr>
              <w:adjustRightInd w:val="0"/>
              <w:snapToGrid w:val="0"/>
              <w:spacing w:line="360" w:lineRule="auto"/>
              <w:jc w:val="center"/>
              <w:rPr>
                <w:rFonts w:ascii="宋体" w:hAnsi="宋体"/>
                <w:kern w:val="0"/>
                <w:szCs w:val="21"/>
              </w:rPr>
            </w:pPr>
            <w:r>
              <w:rPr>
                <w:rFonts w:hint="eastAsia"/>
              </w:rPr>
              <w:t>偏离情况</w:t>
            </w:r>
          </w:p>
        </w:tc>
        <w:tc>
          <w:tcPr>
            <w:tcW w:w="1163" w:type="dxa"/>
            <w:vAlign w:val="center"/>
          </w:tcPr>
          <w:p>
            <w:pPr>
              <w:adjustRightInd w:val="0"/>
              <w:snapToGrid w:val="0"/>
              <w:spacing w:line="360" w:lineRule="auto"/>
              <w:jc w:val="center"/>
              <w:rPr>
                <w:rFonts w:ascii="宋体" w:hAnsi="宋体"/>
                <w:kern w:val="0"/>
                <w:szCs w:val="21"/>
              </w:rPr>
            </w:pPr>
            <w:r>
              <w:rPr>
                <w:rFonts w:hint="eastAsia"/>
              </w:rPr>
              <w:t>说明</w:t>
            </w:r>
          </w:p>
        </w:tc>
      </w:tr>
      <w:bookmarkEnd w:id="4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3514" w:type="dxa"/>
          </w:tcPr>
          <w:p>
            <w:pPr>
              <w:adjustRightInd w:val="0"/>
              <w:snapToGrid w:val="0"/>
              <w:spacing w:line="360" w:lineRule="auto"/>
              <w:jc w:val="left"/>
              <w:rPr>
                <w:rFonts w:hAnsi="宋体"/>
                <w:kern w:val="0"/>
                <w:szCs w:val="21"/>
              </w:rPr>
            </w:pPr>
            <w:r>
              <w:rPr>
                <w:rFonts w:hint="eastAsia"/>
              </w:rPr>
              <w:t>满足本项目标★的条款要求</w:t>
            </w:r>
          </w:p>
        </w:tc>
        <w:tc>
          <w:tcPr>
            <w:tcW w:w="1559" w:type="dxa"/>
          </w:tcPr>
          <w:p>
            <w:pPr>
              <w:adjustRightInd w:val="0"/>
              <w:snapToGrid w:val="0"/>
              <w:spacing w:line="360" w:lineRule="auto"/>
              <w:rPr>
                <w:rFonts w:ascii="宋体" w:hAnsi="宋体"/>
                <w:kern w:val="0"/>
                <w:szCs w:val="21"/>
              </w:rPr>
            </w:pPr>
          </w:p>
        </w:tc>
        <w:tc>
          <w:tcPr>
            <w:tcW w:w="1276" w:type="dxa"/>
          </w:tcPr>
          <w:p>
            <w:pPr>
              <w:adjustRightInd w:val="0"/>
              <w:snapToGrid w:val="0"/>
              <w:spacing w:line="360" w:lineRule="auto"/>
              <w:rPr>
                <w:rFonts w:ascii="宋体" w:hAnsi="宋体"/>
                <w:kern w:val="0"/>
                <w:szCs w:val="21"/>
              </w:rPr>
            </w:pPr>
          </w:p>
        </w:tc>
        <w:tc>
          <w:tcPr>
            <w:tcW w:w="1163" w:type="dxa"/>
          </w:tcPr>
          <w:p>
            <w:pPr>
              <w:adjustRightInd w:val="0"/>
              <w:snapToGrid w:val="0"/>
              <w:spacing w:line="360" w:lineRule="auto"/>
              <w:rPr>
                <w:rFonts w:ascii="宋体" w:hAnsi="宋体"/>
                <w:kern w:val="0"/>
                <w:szCs w:val="21"/>
              </w:rPr>
            </w:pPr>
          </w:p>
        </w:tc>
      </w:tr>
    </w:tbl>
    <w:p>
      <w:pPr>
        <w:ind w:firstLine="482" w:firstLineChars="200"/>
        <w:rPr>
          <w:b/>
          <w:sz w:val="24"/>
          <w:szCs w:val="22"/>
        </w:rPr>
      </w:pPr>
      <w:r>
        <w:rPr>
          <w:rFonts w:hint="eastAsia"/>
          <w:b/>
          <w:sz w:val="24"/>
          <w:szCs w:val="22"/>
        </w:rPr>
        <w:t>注：1. 上表所列各项均为不可负偏离条款。</w:t>
      </w:r>
    </w:p>
    <w:p>
      <w:pPr>
        <w:ind w:firstLine="482" w:firstLineChars="200"/>
        <w:rPr>
          <w:b/>
          <w:sz w:val="24"/>
          <w:szCs w:val="22"/>
        </w:rPr>
      </w:pPr>
      <w:r>
        <w:rPr>
          <w:rFonts w:hint="eastAsia"/>
          <w:b/>
          <w:sz w:val="24"/>
          <w:szCs w:val="22"/>
        </w:rPr>
        <w:t>2.“投标响应”一栏应当详细填写投标人自身响应情况，而不能不合理照搬照抄招实质性条款具体内容。</w:t>
      </w:r>
    </w:p>
    <w:p>
      <w:pPr>
        <w:ind w:firstLine="482" w:firstLineChars="200"/>
        <w:rPr>
          <w:b/>
          <w:sz w:val="24"/>
          <w:szCs w:val="22"/>
        </w:rPr>
      </w:pPr>
      <w:r>
        <w:rPr>
          <w:rFonts w:hint="eastAsia"/>
          <w:b/>
          <w:sz w:val="24"/>
          <w:szCs w:val="22"/>
        </w:rPr>
        <w:t>3</w:t>
      </w:r>
      <w:r>
        <w:rPr>
          <w:b/>
          <w:sz w:val="24"/>
          <w:szCs w:val="22"/>
        </w:rPr>
        <w:t>.</w:t>
      </w:r>
      <w:r>
        <w:rPr>
          <w:rFonts w:hint="eastAsia"/>
          <w:b/>
          <w:sz w:val="24"/>
          <w:szCs w:val="22"/>
        </w:rPr>
        <w:t>“偏离情况”一栏应填写“正偏离”、“负偏离”或“无偏离”，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pPr>
        <w:ind w:firstLine="482" w:firstLineChars="200"/>
        <w:rPr>
          <w:b/>
          <w:sz w:val="24"/>
        </w:rPr>
      </w:pPr>
      <w:r>
        <w:rPr>
          <w:b/>
          <w:sz w:val="24"/>
        </w:rPr>
        <w:t>4.</w:t>
      </w:r>
      <w:r>
        <w:rPr>
          <w:rFonts w:hint="eastAsia"/>
          <w:b/>
          <w:sz w:val="24"/>
        </w:rPr>
        <w:t>评审委员会有权根据实质性条款响应情况作出评判。</w:t>
      </w:r>
    </w:p>
    <w:p/>
    <w:p>
      <w:pPr>
        <w:rPr>
          <w:b/>
          <w:bCs/>
          <w:sz w:val="24"/>
        </w:rPr>
      </w:pPr>
    </w:p>
    <w:p>
      <w:pPr>
        <w:rPr>
          <w:rFonts w:ascii="黑体" w:hAnsi="宋体" w:eastAsia="黑体"/>
          <w:sz w:val="24"/>
          <w:szCs w:val="20"/>
        </w:rPr>
      </w:pPr>
      <w:r>
        <w:rPr>
          <w:rFonts w:hint="eastAsia" w:ascii="黑体" w:hAnsi="宋体" w:eastAsia="黑体"/>
          <w:sz w:val="24"/>
          <w:szCs w:val="20"/>
        </w:rPr>
        <w:t>四、</w:t>
      </w:r>
      <w:r>
        <w:rPr>
          <w:rFonts w:hint="eastAsia" w:ascii="宋体" w:hAnsi="宋体"/>
          <w:szCs w:val="21"/>
        </w:rPr>
        <w:t>整体服务方案</w:t>
      </w:r>
      <w:r>
        <w:rPr>
          <w:rFonts w:hint="eastAsia" w:ascii="黑体" w:hAnsi="宋体" w:eastAsia="黑体"/>
          <w:sz w:val="24"/>
          <w:szCs w:val="20"/>
        </w:rPr>
        <w:t>（格式自定）</w:t>
      </w:r>
    </w:p>
    <w:p>
      <w:pPr>
        <w:pStyle w:val="7"/>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w:t>
      </w:r>
      <w:r>
        <w:rPr>
          <w:rFonts w:hint="eastAsia" w:ascii="宋体" w:hAnsi="宋体"/>
          <w:szCs w:val="21"/>
        </w:rPr>
        <w:t>整体服务方案</w:t>
      </w:r>
      <w:r>
        <w:rPr>
          <w:rFonts w:hint="eastAsia" w:asciiTheme="minorEastAsia" w:hAnsiTheme="minorEastAsia" w:eastAsiaTheme="minorEastAsia" w:cstheme="minorEastAsia"/>
          <w:color w:val="FF0000"/>
          <w:sz w:val="24"/>
        </w:rPr>
        <w:t>”这一评审因素要求，提供证明资料）</w:t>
      </w:r>
    </w:p>
    <w:p>
      <w:pPr>
        <w:pStyle w:val="7"/>
        <w:ind w:firstLine="0"/>
        <w:rPr>
          <w:rFonts w:asciiTheme="minorEastAsia" w:hAnsiTheme="minorEastAsia" w:eastAsiaTheme="minorEastAsia" w:cstheme="minorEastAsia"/>
          <w:sz w:val="24"/>
        </w:rPr>
      </w:pPr>
    </w:p>
    <w:p>
      <w:pPr>
        <w:pStyle w:val="7"/>
        <w:ind w:firstLine="0"/>
        <w:rPr>
          <w:rFonts w:ascii="黑体" w:hAnsi="宋体" w:eastAsia="黑体"/>
          <w:sz w:val="24"/>
        </w:rPr>
      </w:pPr>
      <w:r>
        <w:rPr>
          <w:rFonts w:hint="eastAsia" w:ascii="黑体" w:hAnsi="宋体" w:eastAsia="黑体"/>
          <w:sz w:val="24"/>
        </w:rPr>
        <w:t>五、</w:t>
      </w:r>
      <w:r>
        <w:rPr>
          <w:rFonts w:hint="eastAsia" w:ascii="宋体" w:hAnsi="宋体"/>
          <w:szCs w:val="21"/>
        </w:rPr>
        <w:t>各项服务内容实施方案</w:t>
      </w:r>
      <w:r>
        <w:rPr>
          <w:rFonts w:hint="eastAsia" w:ascii="黑体" w:hAnsi="宋体" w:eastAsia="黑体"/>
          <w:sz w:val="24"/>
        </w:rPr>
        <w:t>（格式自定）</w:t>
      </w:r>
    </w:p>
    <w:p>
      <w:pPr>
        <w:pStyle w:val="7"/>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w:t>
      </w:r>
      <w:r>
        <w:rPr>
          <w:rFonts w:hint="eastAsia" w:ascii="宋体" w:hAnsi="宋体"/>
          <w:szCs w:val="21"/>
        </w:rPr>
        <w:t>各项服务内容实施方案</w:t>
      </w:r>
      <w:r>
        <w:rPr>
          <w:rFonts w:hint="eastAsia" w:asciiTheme="minorEastAsia" w:hAnsiTheme="minorEastAsia" w:eastAsiaTheme="minorEastAsia" w:cstheme="minorEastAsia"/>
          <w:color w:val="FF0000"/>
          <w:sz w:val="24"/>
        </w:rPr>
        <w:t>”这一评审因素要求，提供证明资料）</w:t>
      </w:r>
    </w:p>
    <w:p>
      <w:pPr>
        <w:pStyle w:val="7"/>
        <w:ind w:firstLine="0"/>
        <w:rPr>
          <w:rFonts w:asciiTheme="minorEastAsia" w:hAnsiTheme="minorEastAsia" w:eastAsiaTheme="minorEastAsia" w:cstheme="minorEastAsia"/>
          <w:sz w:val="24"/>
        </w:rPr>
      </w:pPr>
    </w:p>
    <w:p>
      <w:pPr>
        <w:pStyle w:val="7"/>
        <w:ind w:firstLine="0"/>
        <w:rPr>
          <w:rFonts w:ascii="黑体" w:hAnsi="宋体" w:eastAsia="黑体"/>
          <w:sz w:val="24"/>
        </w:rPr>
      </w:pPr>
      <w:r>
        <w:rPr>
          <w:rFonts w:hint="eastAsia" w:ascii="黑体" w:hAnsi="宋体" w:eastAsia="黑体"/>
          <w:sz w:val="24"/>
        </w:rPr>
        <w:t>六、</w:t>
      </w:r>
      <w:r>
        <w:rPr>
          <w:rFonts w:hint="eastAsia" w:ascii="宋体" w:hAnsi="宋体"/>
          <w:szCs w:val="21"/>
        </w:rPr>
        <w:t>项目重点难点分析、应对措施及相关的合理化建议</w:t>
      </w:r>
      <w:r>
        <w:rPr>
          <w:rFonts w:hint="eastAsia" w:ascii="黑体" w:hAnsi="宋体" w:eastAsia="黑体"/>
          <w:sz w:val="24"/>
        </w:rPr>
        <w:t>（格式自定）</w:t>
      </w:r>
    </w:p>
    <w:p>
      <w:pPr>
        <w:pStyle w:val="7"/>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w:t>
      </w:r>
      <w:r>
        <w:rPr>
          <w:rFonts w:hint="eastAsia" w:ascii="宋体" w:hAnsi="宋体"/>
          <w:szCs w:val="21"/>
        </w:rPr>
        <w:t>项目重点难点分析、应对措施及相关的合理化建议</w:t>
      </w:r>
      <w:r>
        <w:rPr>
          <w:rFonts w:hint="eastAsia" w:asciiTheme="minorEastAsia" w:hAnsiTheme="minorEastAsia" w:eastAsiaTheme="minorEastAsia" w:cstheme="minorEastAsia"/>
          <w:color w:val="FF0000"/>
          <w:sz w:val="24"/>
        </w:rPr>
        <w:t>”这一评审因素要求，提供证明资料）</w:t>
      </w:r>
    </w:p>
    <w:p>
      <w:pPr>
        <w:pStyle w:val="7"/>
        <w:spacing w:beforeLines="25" w:afterLines="25"/>
        <w:ind w:firstLine="0"/>
        <w:rPr>
          <w:rFonts w:asciiTheme="minorEastAsia" w:hAnsiTheme="minorEastAsia" w:eastAsiaTheme="minorEastAsia" w:cstheme="minorEastAsia"/>
          <w:sz w:val="24"/>
        </w:rPr>
      </w:pPr>
    </w:p>
    <w:p>
      <w:pPr>
        <w:pStyle w:val="7"/>
        <w:spacing w:beforeLines="25" w:afterLines="25"/>
        <w:ind w:firstLine="0"/>
        <w:rPr>
          <w:rFonts w:ascii="黑体" w:hAnsi="宋体" w:eastAsia="黑体"/>
          <w:sz w:val="24"/>
        </w:rPr>
      </w:pPr>
      <w:r>
        <w:rPr>
          <w:rFonts w:hint="eastAsia" w:ascii="黑体" w:hAnsi="宋体" w:eastAsia="黑体"/>
          <w:sz w:val="24"/>
        </w:rPr>
        <w:t>七、拟安排的项目负责人情况（仅限一人）（格式自定）</w:t>
      </w:r>
    </w:p>
    <w:p>
      <w:pPr>
        <w:pStyle w:val="7"/>
        <w:spacing w:beforeLines="25" w:afterLines="25"/>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（特别提示：投标人须按本招标文件评标信息中“拟安排的项目负责人情况（仅限一人）”这一评审因素要求，提供证明资料）</w:t>
      </w:r>
    </w:p>
    <w:p>
      <w:pPr>
        <w:pStyle w:val="7"/>
        <w:spacing w:beforeLines="25" w:afterLines="25"/>
        <w:ind w:firstLine="0"/>
        <w:rPr>
          <w:rFonts w:asciiTheme="minorEastAsia" w:hAnsiTheme="minorEastAsia" w:eastAsiaTheme="minorEastAsia" w:cstheme="minorEastAsia"/>
          <w:sz w:val="24"/>
        </w:rPr>
      </w:pPr>
    </w:p>
    <w:p>
      <w:pPr>
        <w:pStyle w:val="7"/>
        <w:spacing w:beforeLines="25" w:afterLines="25"/>
        <w:ind w:firstLine="0"/>
        <w:rPr>
          <w:rFonts w:ascii="黑体" w:hAnsi="宋体" w:eastAsia="黑体"/>
          <w:sz w:val="24"/>
        </w:rPr>
      </w:pPr>
      <w:r>
        <w:rPr>
          <w:rFonts w:hint="eastAsia" w:ascii="黑体" w:hAnsi="宋体" w:eastAsia="黑体"/>
          <w:sz w:val="24"/>
        </w:rPr>
        <w:t>八、拟安排的项目主要团队成员（主要技术人员）情况（项目负责人除外）（格式自定）</w:t>
      </w:r>
    </w:p>
    <w:p>
      <w:pPr>
        <w:pStyle w:val="7"/>
        <w:spacing w:beforeLines="25" w:afterLines="25"/>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（特别提示：投标人须按本招标文件评标信息中“拟安排的项目主要团队成员（主要技术人员）情况（项目负责人除外）”这一评审因素要求，提供证明资料）</w:t>
      </w:r>
    </w:p>
    <w:p>
      <w:pPr>
        <w:pStyle w:val="18"/>
      </w:pPr>
    </w:p>
    <w:p>
      <w:pPr>
        <w:pStyle w:val="7"/>
        <w:spacing w:beforeLines="25" w:afterLines="25"/>
        <w:ind w:firstLine="0"/>
        <w:rPr>
          <w:rFonts w:ascii="黑体" w:hAnsi="宋体" w:eastAsia="黑体"/>
          <w:sz w:val="24"/>
        </w:rPr>
      </w:pPr>
      <w:r>
        <w:rPr>
          <w:rFonts w:hint="eastAsia" w:ascii="黑体" w:hAnsi="宋体" w:eastAsia="黑体"/>
          <w:sz w:val="24"/>
        </w:rPr>
        <w:t>九、投标人认为需要加以说明的其他内容（格式自定）</w:t>
      </w:r>
    </w:p>
    <w:p>
      <w:pPr>
        <w:pStyle w:val="18"/>
      </w:pPr>
    </w:p>
    <w:p>
      <w:pPr>
        <w:rPr>
          <w:rFonts w:ascii="黑体" w:hAnsi="宋体" w:eastAsia="黑体"/>
          <w:sz w:val="24"/>
          <w:szCs w:val="20"/>
        </w:rPr>
      </w:pPr>
      <w:r>
        <w:rPr>
          <w:rFonts w:hint="eastAsia" w:ascii="黑体" w:hAnsi="宋体" w:eastAsia="黑体"/>
          <w:sz w:val="24"/>
          <w:szCs w:val="20"/>
        </w:rPr>
        <w:t>（1）政府采购违法行为风险知悉确认书</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本公司在投标前已充分知悉以下情形为参与政府采购活动时的重大风险事项，并承诺已对下述风险提示事项重点排查，做到严谨、诚信、依法依规参与政府采购活动。</w:t>
      </w:r>
    </w:p>
    <w:p>
      <w:pPr>
        <w:ind w:firstLine="422" w:firstLineChars="200"/>
        <w:rPr>
          <w:b/>
          <w:bCs/>
          <w:szCs w:val="21"/>
        </w:rPr>
      </w:pPr>
      <w:r>
        <w:rPr>
          <w:rFonts w:hint="eastAsia" w:ascii="宋体" w:hAnsi="宋体"/>
          <w:b/>
          <w:bCs/>
          <w:szCs w:val="21"/>
        </w:rPr>
        <w:t>一、本公司已充分知悉</w:t>
      </w:r>
      <w:r>
        <w:rPr>
          <w:rFonts w:hint="eastAsia"/>
          <w:b/>
          <w:bCs/>
          <w:szCs w:val="21"/>
        </w:rPr>
        <w:t>“</w:t>
      </w:r>
      <w:r>
        <w:rPr>
          <w:rFonts w:hint="eastAsia" w:ascii="宋体" w:hAnsi="宋体"/>
          <w:b/>
          <w:bCs/>
          <w:szCs w:val="21"/>
        </w:rPr>
        <w:t>隐瞒真实情况，提供虚假资料</w:t>
      </w:r>
      <w:r>
        <w:rPr>
          <w:rFonts w:hint="eastAsia"/>
          <w:b/>
          <w:bCs/>
          <w:szCs w:val="21"/>
        </w:rPr>
        <w:t>”</w:t>
      </w:r>
      <w:r>
        <w:rPr>
          <w:rFonts w:hint="eastAsia" w:ascii="宋体" w:hAnsi="宋体"/>
          <w:b/>
          <w:bCs/>
          <w:szCs w:val="21"/>
        </w:rPr>
        <w:t>的法定情形，相关情形包括但不限于：</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（一）通过转让或者租借等方式从其他单位获取资格或者资质证书投标的。</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（二）由其他单位或者其他单位负责人在投标供应商编制的投标文件上加盖印章或者签字的。</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（三）项目负责人或者主要技术人员不是本单位人员的。</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（四）投标保证金不是从投标供应商基本账户转出的。</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（五）其他隐瞒真实情况、提供虚假资料的行为。</w:t>
      </w:r>
    </w:p>
    <w:p>
      <w:pPr>
        <w:ind w:firstLine="422" w:firstLineChars="200"/>
        <w:rPr>
          <w:b/>
          <w:bCs/>
          <w:szCs w:val="21"/>
        </w:rPr>
      </w:pPr>
      <w:r>
        <w:rPr>
          <w:rFonts w:hint="eastAsia" w:ascii="宋体" w:hAnsi="宋体"/>
          <w:b/>
          <w:bCs/>
          <w:szCs w:val="21"/>
        </w:rPr>
        <w:t>二、本公司已充分知悉</w:t>
      </w:r>
      <w:r>
        <w:rPr>
          <w:rFonts w:hint="eastAsia"/>
          <w:b/>
          <w:bCs/>
          <w:szCs w:val="21"/>
        </w:rPr>
        <w:t>“</w:t>
      </w:r>
      <w:r>
        <w:rPr>
          <w:rFonts w:hint="eastAsia" w:ascii="宋体" w:hAnsi="宋体"/>
          <w:b/>
          <w:bCs/>
          <w:szCs w:val="21"/>
        </w:rPr>
        <w:t>与其他采购参加人串通投标</w:t>
      </w:r>
      <w:r>
        <w:rPr>
          <w:rFonts w:hint="eastAsia"/>
          <w:b/>
          <w:bCs/>
          <w:szCs w:val="21"/>
        </w:rPr>
        <w:t>”</w:t>
      </w:r>
      <w:r>
        <w:rPr>
          <w:rFonts w:hint="eastAsia" w:ascii="宋体" w:hAnsi="宋体"/>
          <w:b/>
          <w:bCs/>
          <w:szCs w:val="21"/>
        </w:rPr>
        <w:t>的法定情形，相关情形包括但不限于：</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（一）投标供应商之间相互约定给予未中标的供应商利益补偿。</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（二）不同投标供应商的法定代表人、主要经营负责人、项目投标授权代表人、项目负责人、主要技术人员为同一人、属同一单位或者在同一单位缴纳社会保险。</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（三）不同投标供应商的投标文件由同一单位或者同一人编制，或者由同一人分阶段参与编制的。</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（四）不同投标供应商的投标文件或部分投标文件相互混装。</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（五）不同投标供应商的投标文件内容存在非正常一致。</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（六）由同一单位工作人员为两家以上（含两家）供应商进行同一项投标活动的。</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（七）不同投标人的投标报价呈规律性差异。</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（八）不同投标人的投标保证金从同一单位或者个人的账户转出。</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（九）主管部门依照法律、法规认定的其他情形。</w:t>
      </w:r>
    </w:p>
    <w:p>
      <w:pPr>
        <w:ind w:firstLine="422" w:firstLineChars="200"/>
        <w:rPr>
          <w:b/>
          <w:bCs/>
          <w:szCs w:val="21"/>
        </w:rPr>
      </w:pPr>
      <w:r>
        <w:rPr>
          <w:rFonts w:hint="eastAsia" w:ascii="宋体" w:hAnsi="宋体"/>
          <w:b/>
          <w:bCs/>
          <w:szCs w:val="21"/>
        </w:rPr>
        <w:t>三、本公司已充分知悉下列情形所对应的法律风险，并在投标前已对相关风险事项进行排查。</w:t>
      </w:r>
    </w:p>
    <w:p>
      <w:pPr>
        <w:autoSpaceDE w:val="0"/>
        <w:autoSpaceDN w:val="0"/>
        <w:spacing w:line="400" w:lineRule="exact"/>
        <w:ind w:firstLine="404" w:firstLineChars="200"/>
        <w:rPr>
          <w:rFonts w:ascii="宋体" w:hAnsi="宋体"/>
          <w:b/>
          <w:bCs/>
          <w:spacing w:val="-4"/>
          <w:kern w:val="0"/>
          <w:szCs w:val="21"/>
        </w:rPr>
      </w:pPr>
      <w:r>
        <w:rPr>
          <w:rFonts w:hint="eastAsia" w:ascii="宋体" w:hAnsi="宋体"/>
          <w:spacing w:val="-4"/>
          <w:kern w:val="0"/>
          <w:szCs w:val="21"/>
        </w:rPr>
        <w:t>（一）对于从其他主体获取的投标资料，供应商应审慎核查，确保投标资料的真实性。</w:t>
      </w:r>
      <w:r>
        <w:rPr>
          <w:rFonts w:hint="eastAsia" w:ascii="宋体" w:hAnsi="宋体"/>
          <w:b/>
          <w:bCs/>
          <w:spacing w:val="-4"/>
          <w:kern w:val="0"/>
          <w:szCs w:val="21"/>
        </w:rPr>
        <w:t>如主管部门查实投标文件中存在虚假资料的，无论相关资料是否由第三方或本公司员工提供，均不影响主管部门对供应商存在“隐瞒真实情况，提供虚假资料”违法行为的认定。</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（二）对于涉及国家机关出具的公文、证件、证明材料等文件，一旦涉嫌虚假，经查实，主管部门将依法从严处理，并移送有关部门追究法律责任；涉嫌犯罪的，主管部门将一并移送司法机关追究法律责任。</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（三）对于涉及安全生产、特种作业、抢险救灾、防疫等政府采购项目，供应商实施提供虚假资料、串通投标等违法行为的，主管部门将依法从严处理。</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四）供应商应严格规范项目授权代表、员工参与招标投标的行为，加强对投标文件的审核。项目授权代表、员工编制、上传投标文件等行为违反政府采购法律法规或招标文件要求的，投标供应商应当依法承担相应法律责任。</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pPr>
        <w:pStyle w:val="37"/>
        <w:autoSpaceDE w:val="0"/>
        <w:autoSpaceDN w:val="0"/>
        <w:spacing w:line="400" w:lineRule="exact"/>
        <w:ind w:firstLine="404" w:firstLineChars="200"/>
        <w:rPr>
          <w:rFonts w:ascii="宋体" w:hAnsi="宋体"/>
          <w:spacing w:val="-4"/>
          <w:kern w:val="0"/>
          <w:sz w:val="21"/>
          <w:szCs w:val="21"/>
        </w:rPr>
      </w:pPr>
      <w:r>
        <w:rPr>
          <w:rFonts w:hint="eastAsia" w:ascii="宋体" w:hAnsi="宋体"/>
          <w:spacing w:val="-4"/>
          <w:kern w:val="0"/>
          <w:sz w:val="21"/>
          <w:szCs w:val="21"/>
        </w:rPr>
        <w:t>（六）单位负责人为同一人或者存在直接控股、管理关系的不同供应商，不得参加同一合同项下的政府采购活动。相关情形如查实，依法作投标无效处理；涉嫌串通投标等违法行为的，主管部门将依法调查处理。</w:t>
      </w:r>
    </w:p>
    <w:p>
      <w:pPr>
        <w:pStyle w:val="37"/>
        <w:autoSpaceDE w:val="0"/>
        <w:autoSpaceDN w:val="0"/>
        <w:spacing w:line="400" w:lineRule="exact"/>
        <w:ind w:firstLine="422" w:firstLineChars="200"/>
        <w:rPr>
          <w:b/>
          <w:bCs/>
          <w:sz w:val="21"/>
          <w:szCs w:val="21"/>
        </w:rPr>
      </w:pPr>
      <w:r>
        <w:rPr>
          <w:rFonts w:hint="eastAsia" w:ascii="宋体" w:hAnsi="宋体"/>
          <w:b/>
          <w:bCs/>
          <w:sz w:val="21"/>
          <w:szCs w:val="21"/>
        </w:rPr>
        <w:t>四、本公司已充分知悉政府采购违法、违规行为的法律后果。</w:t>
      </w:r>
    </w:p>
    <w:p>
      <w:pPr>
        <w:pStyle w:val="37"/>
        <w:autoSpaceDE w:val="0"/>
        <w:autoSpaceDN w:val="0"/>
        <w:spacing w:line="400" w:lineRule="exact"/>
        <w:ind w:firstLine="404" w:firstLineChars="200"/>
        <w:rPr>
          <w:rFonts w:ascii="宋体" w:hAnsi="宋体"/>
          <w:b/>
          <w:bCs/>
          <w:spacing w:val="-4"/>
          <w:kern w:val="0"/>
          <w:sz w:val="21"/>
          <w:szCs w:val="21"/>
        </w:rPr>
      </w:pPr>
      <w:r>
        <w:rPr>
          <w:rFonts w:hint="eastAsia" w:ascii="宋体" w:hAnsi="宋体"/>
          <w:spacing w:val="-4"/>
          <w:kern w:val="0"/>
          <w:sz w:val="21"/>
          <w:szCs w:val="21"/>
        </w:rPr>
        <w:t>经查实，若投标供应商存在政府采购违法、违规行为，主管部门将国家有关政府采购法律法规处于罚款等措施；情节严重的，取消参与政府采购资格，处采购金额相应罚款，并由市场监管部门依法吊销营业执照。</w:t>
      </w:r>
      <w:r>
        <w:rPr>
          <w:rFonts w:hint="eastAsia" w:ascii="宋体" w:hAnsi="宋体"/>
          <w:b/>
          <w:bCs/>
          <w:spacing w:val="-4"/>
          <w:kern w:val="0"/>
          <w:sz w:val="21"/>
          <w:szCs w:val="21"/>
        </w:rPr>
        <w:t>以下文字请投标供应商抄写并确认：“本公司已仔细阅读《政府采购违法行为风险知悉确认书》，充分知悉违法行为的法律后果，并承诺将严谨、诚信、依法依规参与政府采购活动”。</w:t>
      </w:r>
    </w:p>
    <w:tbl>
      <w:tblPr>
        <w:tblStyle w:val="43"/>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pPr>
              <w:pStyle w:val="37"/>
              <w:autoSpaceDE w:val="0"/>
              <w:autoSpaceDN w:val="0"/>
              <w:spacing w:line="400" w:lineRule="exact"/>
              <w:rPr>
                <w:rFonts w:ascii="宋体" w:hAnsi="宋体"/>
                <w:spacing w:val="-4"/>
                <w:kern w:val="0"/>
                <w:sz w:val="21"/>
                <w:szCs w:val="21"/>
              </w:rPr>
            </w:pP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pPr>
              <w:pStyle w:val="37"/>
              <w:autoSpaceDE w:val="0"/>
              <w:autoSpaceDN w:val="0"/>
              <w:spacing w:line="400" w:lineRule="exact"/>
              <w:rPr>
                <w:rFonts w:ascii="宋体" w:hAnsi="宋体"/>
                <w:spacing w:val="-4"/>
                <w:kern w:val="0"/>
                <w:sz w:val="21"/>
                <w:szCs w:val="21"/>
              </w:rPr>
            </w:pP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pPr>
              <w:pStyle w:val="37"/>
              <w:autoSpaceDE w:val="0"/>
              <w:autoSpaceDN w:val="0"/>
              <w:spacing w:line="400" w:lineRule="exact"/>
              <w:rPr>
                <w:rFonts w:ascii="宋体" w:hAnsi="宋体"/>
                <w:spacing w:val="-4"/>
                <w:kern w:val="0"/>
                <w:sz w:val="21"/>
                <w:szCs w:val="21"/>
              </w:rPr>
            </w:pP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pPr>
              <w:pStyle w:val="37"/>
              <w:autoSpaceDE w:val="0"/>
              <w:autoSpaceDN w:val="0"/>
              <w:spacing w:line="400" w:lineRule="exact"/>
              <w:rPr>
                <w:rFonts w:ascii="宋体" w:hAnsi="宋体"/>
                <w:spacing w:val="-4"/>
                <w:kern w:val="0"/>
                <w:sz w:val="21"/>
                <w:szCs w:val="21"/>
              </w:rPr>
            </w:pPr>
          </w:p>
        </w:tc>
      </w:tr>
    </w:tbl>
    <w:p>
      <w:pPr>
        <w:pStyle w:val="37"/>
        <w:autoSpaceDE w:val="0"/>
        <w:autoSpaceDN w:val="0"/>
        <w:spacing w:line="400" w:lineRule="exact"/>
        <w:ind w:firstLine="406" w:firstLineChars="200"/>
        <w:jc w:val="left"/>
        <w:rPr>
          <w:rFonts w:ascii="宋体" w:hAnsi="宋体"/>
          <w:b/>
          <w:bCs/>
          <w:color w:val="FF0000"/>
          <w:spacing w:val="-4"/>
          <w:kern w:val="0"/>
          <w:sz w:val="21"/>
          <w:szCs w:val="21"/>
        </w:rPr>
      </w:pPr>
      <w:r>
        <w:rPr>
          <w:rFonts w:hint="eastAsia" w:ascii="宋体" w:hAnsi="宋体"/>
          <w:b/>
          <w:bCs/>
          <w:color w:val="FF0000"/>
          <w:spacing w:val="-4"/>
          <w:kern w:val="0"/>
          <w:sz w:val="21"/>
          <w:szCs w:val="21"/>
        </w:rPr>
        <w:t>注：1.政府采购违法行为风险知悉确认书不作为资格性审查及符合性审查条件。</w:t>
      </w:r>
    </w:p>
    <w:p>
      <w:pPr>
        <w:pStyle w:val="37"/>
        <w:autoSpaceDE w:val="0"/>
        <w:autoSpaceDN w:val="0"/>
        <w:spacing w:line="400" w:lineRule="exact"/>
        <w:ind w:firstLine="406" w:firstLineChars="200"/>
        <w:rPr>
          <w:rFonts w:ascii="宋体" w:hAnsi="宋体"/>
          <w:color w:val="FF0000"/>
          <w:spacing w:val="-4"/>
          <w:kern w:val="0"/>
          <w:sz w:val="21"/>
          <w:szCs w:val="21"/>
        </w:rPr>
      </w:pPr>
      <w:r>
        <w:rPr>
          <w:rFonts w:hint="eastAsia" w:ascii="宋体" w:hAnsi="宋体"/>
          <w:b/>
          <w:bCs/>
          <w:color w:val="FF0000"/>
          <w:spacing w:val="-4"/>
          <w:kern w:val="0"/>
          <w:sz w:val="21"/>
          <w:szCs w:val="21"/>
        </w:rPr>
        <w:t>2.投标供应商负责人或投标授权代表签字并加盖单位公章后，与投标文件一并提交。</w:t>
      </w:r>
    </w:p>
    <w:p>
      <w:pPr>
        <w:pStyle w:val="37"/>
        <w:wordWrap w:val="0"/>
        <w:autoSpaceDE w:val="0"/>
        <w:autoSpaceDN w:val="0"/>
        <w:spacing w:line="400" w:lineRule="exact"/>
        <w:ind w:firstLine="404" w:firstLineChars="200"/>
        <w:jc w:val="right"/>
        <w:rPr>
          <w:rFonts w:ascii="宋体" w:hAnsi="宋体"/>
          <w:spacing w:val="-4"/>
          <w:kern w:val="0"/>
          <w:sz w:val="21"/>
          <w:szCs w:val="21"/>
        </w:rPr>
      </w:pPr>
      <w:r>
        <w:rPr>
          <w:rFonts w:hint="eastAsia" w:ascii="宋体" w:hAnsi="宋体"/>
          <w:spacing w:val="-4"/>
          <w:kern w:val="0"/>
          <w:sz w:val="21"/>
          <w:szCs w:val="21"/>
        </w:rPr>
        <w:t xml:space="preserve">负责人/投标授权代表签名：     </w:t>
      </w:r>
    </w:p>
    <w:p>
      <w:pPr>
        <w:pStyle w:val="37"/>
        <w:wordWrap w:val="0"/>
        <w:autoSpaceDE w:val="0"/>
        <w:autoSpaceDN w:val="0"/>
        <w:spacing w:line="400" w:lineRule="exact"/>
        <w:ind w:firstLine="404" w:firstLineChars="200"/>
        <w:jc w:val="right"/>
        <w:rPr>
          <w:rFonts w:ascii="宋体" w:hAnsi="宋体"/>
          <w:spacing w:val="-4"/>
          <w:kern w:val="0"/>
          <w:sz w:val="21"/>
          <w:szCs w:val="21"/>
        </w:rPr>
      </w:pPr>
      <w:r>
        <w:rPr>
          <w:rFonts w:hint="eastAsia" w:ascii="宋体" w:hAnsi="宋体"/>
          <w:spacing w:val="-4"/>
          <w:kern w:val="0"/>
          <w:sz w:val="21"/>
          <w:szCs w:val="21"/>
        </w:rPr>
        <w:t xml:space="preserve">知悉人（公章）：     </w:t>
      </w:r>
    </w:p>
    <w:p>
      <w:pPr>
        <w:pStyle w:val="37"/>
        <w:wordWrap w:val="0"/>
        <w:autoSpaceDE w:val="0"/>
        <w:autoSpaceDN w:val="0"/>
        <w:spacing w:line="400" w:lineRule="exact"/>
        <w:ind w:firstLine="404" w:firstLineChars="200"/>
        <w:jc w:val="right"/>
      </w:pPr>
      <w:r>
        <w:rPr>
          <w:rFonts w:hint="eastAsia" w:ascii="宋体" w:hAnsi="宋体"/>
          <w:spacing w:val="-4"/>
          <w:kern w:val="0"/>
          <w:sz w:val="21"/>
          <w:szCs w:val="21"/>
        </w:rPr>
        <w:t xml:space="preserve">日期：     </w:t>
      </w:r>
    </w:p>
    <w:p>
      <w:pPr>
        <w:pStyle w:val="18"/>
      </w:pPr>
    </w:p>
    <w:p>
      <w:pPr>
        <w:rPr>
          <w:rFonts w:ascii="黑体" w:hAnsi="宋体" w:eastAsia="黑体"/>
          <w:sz w:val="24"/>
          <w:szCs w:val="20"/>
        </w:rPr>
      </w:pPr>
      <w:r>
        <w:rPr>
          <w:rFonts w:hint="eastAsia" w:ascii="黑体" w:hAnsi="宋体" w:eastAsia="黑体"/>
          <w:sz w:val="24"/>
          <w:szCs w:val="20"/>
        </w:rPr>
        <w:t>（2）投标人认为需要加以说明的其他内容</w:t>
      </w:r>
    </w:p>
    <w:p>
      <w:pPr>
        <w:pStyle w:val="18"/>
      </w:pPr>
    </w:p>
    <w:p>
      <w:pPr>
        <w:pStyle w:val="19"/>
      </w:pPr>
    </w:p>
    <w:p>
      <w:pPr>
        <w:widowControl/>
        <w:jc w:val="left"/>
        <w:rPr>
          <w:rFonts w:ascii="宋体" w:hAnsi="宋体"/>
          <w:b/>
          <w:bCs/>
          <w:kern w:val="0"/>
          <w:sz w:val="24"/>
          <w:szCs w:val="20"/>
        </w:rPr>
      </w:pPr>
      <w:r>
        <w:br w:type="page"/>
      </w:r>
    </w:p>
    <w:p>
      <w:pPr>
        <w:pStyle w:val="5"/>
      </w:pPr>
      <w:r>
        <w:rPr>
          <w:rFonts w:hint="eastAsia"/>
        </w:rPr>
        <w:t>第五章  合同条款及格式</w:t>
      </w:r>
    </w:p>
    <w:p>
      <w:pPr>
        <w:outlineLvl w:val="0"/>
      </w:pPr>
    </w:p>
    <w:p>
      <w:pPr>
        <w:ind w:firstLine="442" w:firstLineChars="200"/>
        <w:jc w:val="center"/>
        <w:rPr>
          <w:rFonts w:ascii="宋体" w:hAnsi="宋体"/>
          <w:b/>
          <w:sz w:val="22"/>
          <w:szCs w:val="21"/>
        </w:rPr>
      </w:pPr>
      <w:r>
        <w:rPr>
          <w:rFonts w:hint="eastAsia" w:ascii="宋体" w:hAnsi="宋体"/>
          <w:b/>
          <w:sz w:val="22"/>
          <w:szCs w:val="21"/>
        </w:rPr>
        <w:t>物业管理委托合同</w:t>
      </w:r>
    </w:p>
    <w:p>
      <w:pPr>
        <w:ind w:firstLine="482" w:firstLineChars="200"/>
        <w:jc w:val="center"/>
        <w:rPr>
          <w:b/>
          <w:sz w:val="24"/>
        </w:rPr>
      </w:pPr>
      <w:r>
        <w:rPr>
          <w:rFonts w:hint="eastAsia"/>
          <w:b/>
          <w:sz w:val="24"/>
        </w:rPr>
        <w:t>（仅供参考，具体以项目需求及采购结果为准）</w:t>
      </w:r>
    </w:p>
    <w:p>
      <w:pPr>
        <w:ind w:firstLine="420" w:firstLineChars="200"/>
        <w:jc w:val="center"/>
        <w:rPr>
          <w:rFonts w:ascii="宋体" w:hAnsi="宋体"/>
          <w:szCs w:val="21"/>
        </w:rPr>
      </w:pPr>
    </w:p>
    <w:p>
      <w:pPr>
        <w:ind w:firstLine="420" w:firstLineChars="200"/>
        <w:rPr>
          <w:rFonts w:ascii="宋体" w:hAnsi="宋体"/>
          <w:szCs w:val="21"/>
        </w:rPr>
      </w:pPr>
      <w:r>
        <w:rPr>
          <w:rFonts w:hint="eastAsia" w:ascii="宋体" w:hAnsi="宋体"/>
          <w:szCs w:val="21"/>
        </w:rPr>
        <w:t>第一章　总则</w:t>
      </w:r>
    </w:p>
    <w:p>
      <w:pPr>
        <w:ind w:firstLine="420" w:firstLineChars="200"/>
        <w:rPr>
          <w:rFonts w:ascii="宋体" w:hAnsi="宋体"/>
          <w:szCs w:val="21"/>
        </w:rPr>
      </w:pPr>
      <w:r>
        <w:rPr>
          <w:rFonts w:hint="eastAsia" w:ascii="宋体" w:hAnsi="宋体"/>
          <w:szCs w:val="21"/>
        </w:rPr>
        <w:t>第一条　本合同当事人</w:t>
      </w:r>
    </w:p>
    <w:p>
      <w:pPr>
        <w:ind w:firstLine="420" w:firstLineChars="200"/>
        <w:rPr>
          <w:rFonts w:ascii="宋体" w:hAnsi="宋体"/>
          <w:szCs w:val="21"/>
        </w:rPr>
      </w:pPr>
      <w:r>
        <w:rPr>
          <w:rFonts w:hint="eastAsia" w:ascii="宋体" w:hAnsi="宋体"/>
          <w:szCs w:val="21"/>
        </w:rPr>
        <w:t>委托方（以下简称甲方）：  国家海洋局深圳海洋环境监测中心站</w:t>
      </w:r>
    </w:p>
    <w:p>
      <w:pPr>
        <w:ind w:firstLine="420" w:firstLineChars="200"/>
        <w:rPr>
          <w:rFonts w:ascii="宋体" w:hAnsi="宋体"/>
          <w:szCs w:val="21"/>
        </w:rPr>
      </w:pPr>
      <w:r>
        <w:rPr>
          <w:rFonts w:hint="eastAsia" w:ascii="宋体" w:hAnsi="宋体"/>
          <w:szCs w:val="21"/>
        </w:rPr>
        <w:t>代表人：</w:t>
      </w:r>
    </w:p>
    <w:p>
      <w:pPr>
        <w:ind w:left="420" w:leftChars="200"/>
        <w:rPr>
          <w:rFonts w:ascii="宋体" w:hAnsi="宋体"/>
          <w:szCs w:val="21"/>
        </w:rPr>
      </w:pPr>
      <w:r>
        <w:rPr>
          <w:rFonts w:hint="eastAsia" w:ascii="宋体" w:hAnsi="宋体"/>
          <w:szCs w:val="21"/>
        </w:rPr>
        <w:t xml:space="preserve">受委托方（以下简称乙方）： </w:t>
      </w:r>
      <w:r>
        <w:rPr>
          <w:rFonts w:hint="eastAsia" w:ascii="宋体" w:hAnsi="宋体"/>
          <w:szCs w:val="21"/>
        </w:rPr>
        <w:br w:type="textWrapping"/>
      </w:r>
      <w:r>
        <w:rPr>
          <w:rFonts w:hint="eastAsia" w:ascii="宋体" w:hAnsi="宋体"/>
          <w:szCs w:val="21"/>
        </w:rPr>
        <w:t xml:space="preserve">代表人： </w:t>
      </w:r>
    </w:p>
    <w:p>
      <w:pPr>
        <w:ind w:firstLine="420" w:firstLineChars="200"/>
        <w:rPr>
          <w:rFonts w:ascii="宋体" w:hAnsi="宋体"/>
          <w:szCs w:val="21"/>
        </w:rPr>
      </w:pPr>
      <w:r>
        <w:rPr>
          <w:rFonts w:hint="eastAsia" w:ascii="宋体" w:hAnsi="宋体"/>
          <w:szCs w:val="21"/>
        </w:rPr>
        <w:t>根据《中华人民共和国民法典》等有关法律、法规的规定，甲乙双方在自愿、平等、公平、诚实信用的基础上，就国家海洋局深圳海洋环境监测中心站2024年物业服务有关事宜,协商订立本合同。</w:t>
      </w:r>
    </w:p>
    <w:p>
      <w:pPr>
        <w:ind w:firstLine="420" w:firstLineChars="200"/>
        <w:rPr>
          <w:rFonts w:ascii="宋体" w:hAnsi="宋体"/>
          <w:szCs w:val="21"/>
        </w:rPr>
      </w:pPr>
      <w:r>
        <w:rPr>
          <w:rFonts w:hint="eastAsia" w:ascii="宋体" w:hAnsi="宋体"/>
          <w:szCs w:val="21"/>
        </w:rPr>
        <w:t>第二条  物业基本情况</w:t>
      </w:r>
      <w:r>
        <w:rPr>
          <w:rFonts w:hint="eastAsia" w:ascii="宋体" w:hAnsi="宋体"/>
          <w:szCs w:val="21"/>
        </w:rPr>
        <w:br w:type="textWrapping"/>
      </w:r>
      <w:r>
        <w:rPr>
          <w:rFonts w:hint="eastAsia" w:ascii="宋体" w:hAnsi="宋体"/>
          <w:szCs w:val="21"/>
        </w:rPr>
        <w:t>本次合同物业服务包括甲方所属两处办公楼：</w:t>
      </w:r>
    </w:p>
    <w:p>
      <w:pPr>
        <w:ind w:firstLine="420" w:firstLineChars="200"/>
        <w:rPr>
          <w:rFonts w:ascii="宋体" w:hAnsi="宋体"/>
          <w:szCs w:val="21"/>
        </w:rPr>
      </w:pPr>
      <w:r>
        <w:rPr>
          <w:rFonts w:hint="eastAsia" w:ascii="宋体" w:hAnsi="宋体"/>
          <w:szCs w:val="21"/>
        </w:rPr>
        <w:t>1.深圳本部</w:t>
      </w:r>
    </w:p>
    <w:p>
      <w:pPr>
        <w:ind w:firstLine="420" w:firstLineChars="200"/>
        <w:rPr>
          <w:rFonts w:ascii="宋体" w:hAnsi="宋体"/>
          <w:szCs w:val="21"/>
        </w:rPr>
      </w:pPr>
      <w:r>
        <w:rPr>
          <w:rFonts w:hint="eastAsia" w:ascii="宋体" w:hAnsi="宋体"/>
          <w:szCs w:val="21"/>
        </w:rPr>
        <w:t>物业名称：国家海洋局深圳海洋环境监测中心站办公楼</w:t>
      </w:r>
    </w:p>
    <w:p>
      <w:pPr>
        <w:ind w:firstLine="420" w:firstLineChars="200"/>
        <w:rPr>
          <w:rFonts w:hint="eastAsia" w:ascii="宋体" w:hAnsi="宋体" w:eastAsia="宋体"/>
          <w:szCs w:val="21"/>
          <w:lang w:eastAsia="zh-CN"/>
        </w:rPr>
      </w:pPr>
      <w:r>
        <w:rPr>
          <w:rFonts w:hint="eastAsia" w:ascii="宋体" w:hAnsi="宋体"/>
          <w:szCs w:val="21"/>
        </w:rPr>
        <w:t>座落位置：深圳市南山区蛇口</w:t>
      </w:r>
      <w:r>
        <w:rPr>
          <w:rFonts w:hint="eastAsia" w:ascii="宋体" w:hAnsi="宋体"/>
          <w:szCs w:val="21"/>
          <w:lang w:eastAsia="zh-CN"/>
        </w:rPr>
        <w:t>沿山路31号</w:t>
      </w:r>
    </w:p>
    <w:p>
      <w:pPr>
        <w:ind w:firstLine="420" w:firstLineChars="200"/>
        <w:rPr>
          <w:rFonts w:ascii="宋体" w:hAnsi="宋体"/>
          <w:szCs w:val="21"/>
        </w:rPr>
      </w:pPr>
      <w:r>
        <w:rPr>
          <w:rFonts w:hint="eastAsia" w:ascii="宋体" w:hAnsi="宋体"/>
          <w:szCs w:val="21"/>
        </w:rPr>
        <w:t>建筑面积：2700平方米</w:t>
      </w:r>
    </w:p>
    <w:p>
      <w:pPr>
        <w:ind w:firstLine="420" w:firstLineChars="200"/>
        <w:rPr>
          <w:rFonts w:ascii="宋体" w:hAnsi="宋体"/>
          <w:szCs w:val="21"/>
        </w:rPr>
      </w:pPr>
      <w:r>
        <w:rPr>
          <w:rFonts w:hint="eastAsia" w:ascii="宋体" w:hAnsi="宋体"/>
          <w:szCs w:val="21"/>
        </w:rPr>
        <w:t>物业类型：办公楼</w:t>
      </w:r>
    </w:p>
    <w:p>
      <w:pPr>
        <w:ind w:firstLine="420" w:firstLineChars="200"/>
        <w:rPr>
          <w:rFonts w:ascii="宋体" w:hAnsi="宋体"/>
          <w:szCs w:val="21"/>
        </w:rPr>
      </w:pPr>
      <w:r>
        <w:rPr>
          <w:rFonts w:hint="eastAsia" w:ascii="宋体" w:hAnsi="宋体"/>
          <w:szCs w:val="21"/>
        </w:rPr>
        <w:t>2.惠州站</w:t>
      </w:r>
    </w:p>
    <w:p>
      <w:pPr>
        <w:ind w:firstLine="420" w:firstLineChars="200"/>
        <w:rPr>
          <w:rFonts w:ascii="宋体" w:hAnsi="宋体"/>
          <w:szCs w:val="21"/>
        </w:rPr>
      </w:pPr>
      <w:r>
        <w:rPr>
          <w:rFonts w:hint="eastAsia" w:ascii="宋体" w:hAnsi="宋体"/>
          <w:szCs w:val="21"/>
        </w:rPr>
        <w:t>物业名称：国家海洋局惠州海洋环境监测站办公楼</w:t>
      </w:r>
    </w:p>
    <w:p>
      <w:pPr>
        <w:ind w:firstLine="420" w:firstLineChars="200"/>
        <w:rPr>
          <w:rFonts w:ascii="宋体" w:hAnsi="宋体"/>
          <w:szCs w:val="21"/>
        </w:rPr>
      </w:pPr>
      <w:r>
        <w:rPr>
          <w:rFonts w:hint="eastAsia" w:ascii="宋体" w:hAnsi="宋体"/>
          <w:szCs w:val="21"/>
        </w:rPr>
        <w:t>座落位置：惠州市惠阳区大亚湾霞涌街道东环路二号</w:t>
      </w:r>
    </w:p>
    <w:p>
      <w:pPr>
        <w:ind w:firstLine="420" w:firstLineChars="200"/>
        <w:rPr>
          <w:rFonts w:ascii="宋体" w:hAnsi="宋体"/>
          <w:szCs w:val="21"/>
        </w:rPr>
      </w:pPr>
      <w:r>
        <w:rPr>
          <w:rFonts w:hint="eastAsia" w:ascii="宋体" w:hAnsi="宋体"/>
          <w:szCs w:val="21"/>
        </w:rPr>
        <w:t>建筑面积：1092平方米</w:t>
      </w:r>
    </w:p>
    <w:p>
      <w:pPr>
        <w:ind w:firstLine="420" w:firstLineChars="200"/>
        <w:rPr>
          <w:rFonts w:ascii="宋体" w:hAnsi="宋体"/>
          <w:szCs w:val="21"/>
        </w:rPr>
      </w:pPr>
      <w:r>
        <w:rPr>
          <w:rFonts w:hint="eastAsia" w:ascii="宋体" w:hAnsi="宋体"/>
          <w:szCs w:val="21"/>
        </w:rPr>
        <w:t>物业类型：办公楼</w:t>
      </w:r>
    </w:p>
    <w:p>
      <w:pPr>
        <w:ind w:firstLine="420" w:firstLineChars="200"/>
        <w:rPr>
          <w:rFonts w:ascii="宋体" w:hAnsi="宋体"/>
          <w:szCs w:val="21"/>
        </w:rPr>
      </w:pPr>
      <w:r>
        <w:rPr>
          <w:rFonts w:hint="eastAsia" w:ascii="宋体" w:hAnsi="宋体"/>
          <w:szCs w:val="21"/>
        </w:rPr>
        <w:t>第三条　乙方提供服务的受益人为国家海洋局深圳海洋环境监测中心站及其全体干部职工。</w:t>
      </w:r>
    </w:p>
    <w:p>
      <w:pPr>
        <w:ind w:firstLine="420" w:firstLineChars="200"/>
        <w:rPr>
          <w:rFonts w:ascii="宋体" w:hAnsi="宋体"/>
          <w:szCs w:val="21"/>
        </w:rPr>
      </w:pPr>
      <w:r>
        <w:rPr>
          <w:rFonts w:hint="eastAsia" w:ascii="宋体" w:hAnsi="宋体"/>
          <w:szCs w:val="21"/>
        </w:rPr>
        <w:t>第二章　委托管理事项</w:t>
      </w:r>
    </w:p>
    <w:p>
      <w:pPr>
        <w:ind w:firstLine="420" w:firstLineChars="200"/>
        <w:rPr>
          <w:rFonts w:ascii="宋体" w:hAnsi="宋体"/>
          <w:szCs w:val="21"/>
        </w:rPr>
      </w:pPr>
      <w:r>
        <w:rPr>
          <w:rFonts w:hint="eastAsia" w:ascii="宋体" w:hAnsi="宋体"/>
          <w:szCs w:val="21"/>
        </w:rPr>
        <w:t>第四条　房屋建筑共用部位的养护和日常管理，包括：楼盖、屋顶、外墙面等。承重结构、楼梯间、走廊通道、门厅(由于乙方没有收取专项维修基金，若需大项维修和养护，费用双方另行协商或由聘请第三方机构负责)。</w:t>
      </w:r>
    </w:p>
    <w:p>
      <w:pPr>
        <w:ind w:firstLine="420" w:firstLineChars="200"/>
        <w:rPr>
          <w:rFonts w:ascii="宋体" w:hAnsi="宋体"/>
          <w:szCs w:val="21"/>
        </w:rPr>
      </w:pPr>
      <w:r>
        <w:rPr>
          <w:rFonts w:hint="eastAsia" w:ascii="宋体" w:hAnsi="宋体"/>
          <w:szCs w:val="21"/>
        </w:rPr>
        <w:t>第五条　共用设施、设备的养护、运行和管理，包括：共用的上下水管道、落水管、共用照明、楼内消防设施设备。(若需维修和改造，费用双方另行协商或由聘请第三方机构负责)。</w:t>
      </w:r>
    </w:p>
    <w:p>
      <w:pPr>
        <w:ind w:firstLine="420" w:firstLineChars="200"/>
        <w:rPr>
          <w:rFonts w:ascii="宋体" w:hAnsi="宋体"/>
          <w:szCs w:val="21"/>
        </w:rPr>
      </w:pPr>
      <w:r>
        <w:rPr>
          <w:rFonts w:hint="eastAsia" w:ascii="宋体" w:hAnsi="宋体"/>
          <w:szCs w:val="21"/>
        </w:rPr>
        <w:t>第六条　负责本物业区域内、外绿化养护及修剪。</w:t>
      </w:r>
    </w:p>
    <w:p>
      <w:pPr>
        <w:ind w:firstLine="420" w:firstLineChars="200"/>
        <w:rPr>
          <w:rFonts w:ascii="宋体" w:hAnsi="宋体"/>
          <w:szCs w:val="21"/>
        </w:rPr>
      </w:pPr>
      <w:r>
        <w:rPr>
          <w:rFonts w:hint="eastAsia" w:ascii="宋体" w:hAnsi="宋体"/>
          <w:szCs w:val="21"/>
        </w:rPr>
        <w:t>第七条　附属配套建筑和设施的维修、养护和管理。</w:t>
      </w:r>
    </w:p>
    <w:p>
      <w:pPr>
        <w:ind w:firstLine="420" w:firstLineChars="200"/>
        <w:rPr>
          <w:rFonts w:ascii="宋体" w:hAnsi="宋体"/>
          <w:szCs w:val="21"/>
        </w:rPr>
      </w:pPr>
      <w:r>
        <w:rPr>
          <w:rFonts w:hint="eastAsia" w:ascii="宋体" w:hAnsi="宋体"/>
          <w:szCs w:val="21"/>
        </w:rPr>
        <w:t>第八条　公共环境卫生，包括公共场所、房屋共用部位的清洁卫生、垃圾的收集、清运。</w:t>
      </w:r>
    </w:p>
    <w:p>
      <w:pPr>
        <w:ind w:firstLine="420" w:firstLineChars="200"/>
        <w:rPr>
          <w:rFonts w:ascii="宋体" w:hAnsi="宋体"/>
          <w:szCs w:val="21"/>
        </w:rPr>
      </w:pPr>
      <w:r>
        <w:rPr>
          <w:rFonts w:hint="eastAsia" w:ascii="宋体" w:hAnsi="宋体"/>
          <w:szCs w:val="21"/>
        </w:rPr>
        <w:t>第九条　交通与车辆停放秩序的管理。</w:t>
      </w:r>
    </w:p>
    <w:p>
      <w:pPr>
        <w:ind w:firstLine="420" w:firstLineChars="200"/>
        <w:rPr>
          <w:rFonts w:ascii="宋体" w:hAnsi="宋体"/>
          <w:szCs w:val="21"/>
        </w:rPr>
      </w:pPr>
      <w:r>
        <w:rPr>
          <w:rFonts w:hint="eastAsia" w:ascii="宋体" w:hAnsi="宋体"/>
          <w:szCs w:val="21"/>
        </w:rPr>
        <w:t>第十条　维持公共秩序，包括安全监控、巡视、门岗执勤、消防管井安全管理，但不包含人身和财产的保管、保险责任。</w:t>
      </w:r>
    </w:p>
    <w:p>
      <w:pPr>
        <w:ind w:firstLine="420" w:firstLineChars="200"/>
        <w:rPr>
          <w:rFonts w:ascii="宋体" w:hAnsi="宋体"/>
          <w:szCs w:val="21"/>
        </w:rPr>
      </w:pPr>
      <w:r>
        <w:rPr>
          <w:rFonts w:hint="eastAsia" w:ascii="宋体" w:hAnsi="宋体"/>
          <w:szCs w:val="21"/>
        </w:rPr>
        <w:t>第十一条　配合本物业区域内装饰、装修的全面监督管理。</w:t>
      </w:r>
    </w:p>
    <w:p>
      <w:pPr>
        <w:ind w:firstLine="420" w:firstLineChars="200"/>
        <w:rPr>
          <w:rFonts w:ascii="宋体" w:hAnsi="宋体"/>
          <w:szCs w:val="21"/>
        </w:rPr>
      </w:pPr>
      <w:r>
        <w:rPr>
          <w:rFonts w:hint="eastAsia" w:ascii="宋体" w:hAnsi="宋体"/>
          <w:szCs w:val="21"/>
        </w:rPr>
        <w:t>第十二条　管理与物业相关的工程图纸、住用户档案与竣工验收资料。</w:t>
      </w:r>
    </w:p>
    <w:p>
      <w:pPr>
        <w:ind w:firstLine="420" w:firstLineChars="200"/>
        <w:rPr>
          <w:rFonts w:ascii="宋体" w:hAnsi="宋体"/>
          <w:szCs w:val="21"/>
        </w:rPr>
      </w:pPr>
      <w:r>
        <w:rPr>
          <w:rFonts w:hint="eastAsia" w:ascii="宋体" w:hAnsi="宋体"/>
          <w:szCs w:val="21"/>
        </w:rPr>
        <w:t>第十三条　其它委托事项。</w:t>
      </w:r>
    </w:p>
    <w:p>
      <w:pPr>
        <w:ind w:firstLine="420" w:firstLineChars="200"/>
        <w:rPr>
          <w:rFonts w:ascii="宋体" w:hAnsi="宋体"/>
          <w:szCs w:val="21"/>
        </w:rPr>
      </w:pPr>
      <w:r>
        <w:rPr>
          <w:rFonts w:hint="eastAsia" w:ascii="宋体" w:hAnsi="宋体"/>
          <w:szCs w:val="21"/>
        </w:rPr>
        <w:t>第三章　委托管理期限</w:t>
      </w:r>
    </w:p>
    <w:p>
      <w:pPr>
        <w:ind w:firstLine="420" w:firstLineChars="200"/>
        <w:rPr>
          <w:rFonts w:ascii="宋体" w:hAnsi="宋体"/>
          <w:szCs w:val="21"/>
        </w:rPr>
      </w:pPr>
      <w:r>
        <w:rPr>
          <w:rFonts w:hint="eastAsia" w:ascii="宋体" w:hAnsi="宋体"/>
          <w:szCs w:val="21"/>
        </w:rPr>
        <w:t>第十四条　委托管理期限为自 202年月日起至202年月日止，合同到期后，双方若无异议，可自动延续一年。</w:t>
      </w:r>
    </w:p>
    <w:p>
      <w:pPr>
        <w:ind w:firstLine="420" w:firstLineChars="200"/>
        <w:rPr>
          <w:rFonts w:ascii="宋体" w:hAnsi="宋体"/>
          <w:szCs w:val="21"/>
        </w:rPr>
      </w:pPr>
      <w:r>
        <w:rPr>
          <w:rFonts w:hint="eastAsia" w:ascii="宋体" w:hAnsi="宋体"/>
          <w:szCs w:val="21"/>
        </w:rPr>
        <w:t>第四章　双方权利义务</w:t>
      </w:r>
    </w:p>
    <w:p>
      <w:pPr>
        <w:ind w:firstLine="420" w:firstLineChars="200"/>
        <w:rPr>
          <w:rFonts w:ascii="宋体" w:hAnsi="宋体"/>
          <w:szCs w:val="21"/>
        </w:rPr>
      </w:pPr>
      <w:r>
        <w:rPr>
          <w:rFonts w:hint="eastAsia" w:ascii="宋体" w:hAnsi="宋体"/>
          <w:szCs w:val="21"/>
        </w:rPr>
        <w:t>第十五条　甲方权利义务</w:t>
      </w:r>
    </w:p>
    <w:p>
      <w:pPr>
        <w:ind w:firstLine="420" w:firstLineChars="200"/>
        <w:rPr>
          <w:rFonts w:ascii="宋体" w:hAnsi="宋体"/>
          <w:szCs w:val="21"/>
        </w:rPr>
      </w:pPr>
      <w:r>
        <w:rPr>
          <w:rFonts w:hint="eastAsia" w:ascii="宋体" w:hAnsi="宋体"/>
          <w:szCs w:val="21"/>
        </w:rPr>
        <w:t>1.代表和维护产权人、使用人的合法权益；</w:t>
      </w:r>
    </w:p>
    <w:p>
      <w:pPr>
        <w:ind w:firstLine="420" w:firstLineChars="200"/>
        <w:rPr>
          <w:rFonts w:ascii="宋体" w:hAnsi="宋体"/>
          <w:szCs w:val="21"/>
        </w:rPr>
      </w:pPr>
      <w:r>
        <w:rPr>
          <w:rFonts w:hint="eastAsia" w:ascii="宋体" w:hAnsi="宋体"/>
          <w:szCs w:val="21"/>
        </w:rPr>
        <w:t>2.制定管理规约并监督干部职工遵守管理规约；</w:t>
      </w:r>
    </w:p>
    <w:p>
      <w:pPr>
        <w:ind w:firstLine="420" w:firstLineChars="200"/>
        <w:rPr>
          <w:rFonts w:ascii="宋体" w:hAnsi="宋体"/>
          <w:szCs w:val="21"/>
        </w:rPr>
      </w:pPr>
      <w:r>
        <w:rPr>
          <w:rFonts w:hint="eastAsia" w:ascii="宋体" w:hAnsi="宋体"/>
          <w:szCs w:val="21"/>
        </w:rPr>
        <w:t>3.审定乙方拟定的物业管理制度；</w:t>
      </w:r>
    </w:p>
    <w:p>
      <w:pPr>
        <w:ind w:firstLine="420" w:firstLineChars="200"/>
        <w:rPr>
          <w:rFonts w:ascii="宋体" w:hAnsi="宋体"/>
          <w:szCs w:val="21"/>
        </w:rPr>
      </w:pPr>
      <w:r>
        <w:rPr>
          <w:rFonts w:hint="eastAsia" w:ascii="宋体" w:hAnsi="宋体"/>
          <w:szCs w:val="21"/>
        </w:rPr>
        <w:t>4.检查监督乙方管理工作的实施及制度的执行情况；</w:t>
      </w:r>
    </w:p>
    <w:p>
      <w:pPr>
        <w:ind w:firstLine="420" w:firstLineChars="200"/>
        <w:rPr>
          <w:rFonts w:ascii="宋体" w:hAnsi="宋体"/>
          <w:szCs w:val="21"/>
        </w:rPr>
      </w:pPr>
      <w:r>
        <w:rPr>
          <w:rFonts w:hint="eastAsia" w:ascii="宋体" w:hAnsi="宋体"/>
          <w:szCs w:val="21"/>
        </w:rPr>
        <w:t>5.审定乙方提出的物业管理服务年度计划、财务预算；</w:t>
      </w:r>
    </w:p>
    <w:p>
      <w:pPr>
        <w:ind w:firstLine="420" w:firstLineChars="200"/>
        <w:rPr>
          <w:rFonts w:ascii="宋体" w:hAnsi="宋体"/>
          <w:szCs w:val="21"/>
        </w:rPr>
      </w:pPr>
      <w:r>
        <w:rPr>
          <w:rFonts w:hint="eastAsia" w:ascii="宋体" w:hAnsi="宋体"/>
          <w:szCs w:val="21"/>
        </w:rPr>
        <w:t>6.在合同生效之日起向乙方提供物业管理用房(产权属甲方)，由乙方无偿使用；</w:t>
      </w:r>
    </w:p>
    <w:p>
      <w:pPr>
        <w:ind w:firstLine="420" w:firstLineChars="200"/>
        <w:rPr>
          <w:rFonts w:ascii="宋体" w:hAnsi="宋体"/>
          <w:szCs w:val="21"/>
        </w:rPr>
      </w:pPr>
      <w:r>
        <w:rPr>
          <w:rFonts w:hint="eastAsia" w:ascii="宋体" w:hAnsi="宋体"/>
          <w:szCs w:val="21"/>
        </w:rPr>
        <w:t>7.负责收集、整理物业管理所需全部图纸、档案、资料，并于合同生效之日起3日内向乙方移交；</w:t>
      </w:r>
    </w:p>
    <w:p>
      <w:pPr>
        <w:ind w:firstLine="420" w:firstLineChars="200"/>
        <w:rPr>
          <w:rFonts w:ascii="宋体" w:hAnsi="宋体"/>
          <w:szCs w:val="21"/>
        </w:rPr>
      </w:pPr>
      <w:r>
        <w:rPr>
          <w:rFonts w:hint="eastAsia" w:ascii="宋体" w:hAnsi="宋体"/>
          <w:szCs w:val="21"/>
        </w:rPr>
        <w:t>8.协助乙方做好物业管理工作和宣传教育、文化活动，并按规定缴纳物业管理费用。</w:t>
      </w:r>
    </w:p>
    <w:p>
      <w:pPr>
        <w:ind w:firstLine="420" w:firstLineChars="200"/>
        <w:rPr>
          <w:rFonts w:ascii="宋体" w:hAnsi="宋体"/>
          <w:szCs w:val="21"/>
        </w:rPr>
      </w:pPr>
      <w:r>
        <w:rPr>
          <w:rFonts w:hint="eastAsia" w:ascii="宋体" w:hAnsi="宋体"/>
          <w:szCs w:val="21"/>
        </w:rPr>
        <w:t>第十六条　乙方权利义务</w:t>
      </w:r>
    </w:p>
    <w:p>
      <w:pPr>
        <w:ind w:firstLine="420" w:firstLineChars="200"/>
        <w:rPr>
          <w:rFonts w:ascii="宋体" w:hAnsi="宋体"/>
          <w:szCs w:val="21"/>
        </w:rPr>
      </w:pPr>
      <w:r>
        <w:rPr>
          <w:rFonts w:hint="eastAsia" w:ascii="宋体" w:hAnsi="宋体"/>
          <w:szCs w:val="21"/>
        </w:rPr>
        <w:t>1.根据有关法律法规及本合同的约定，制订物业管理制度；</w:t>
      </w:r>
    </w:p>
    <w:p>
      <w:pPr>
        <w:ind w:firstLine="420" w:firstLineChars="200"/>
        <w:rPr>
          <w:rFonts w:ascii="宋体" w:hAnsi="宋体"/>
          <w:szCs w:val="21"/>
        </w:rPr>
      </w:pPr>
      <w:r>
        <w:rPr>
          <w:rFonts w:hint="eastAsia" w:ascii="宋体" w:hAnsi="宋体"/>
          <w:szCs w:val="21"/>
        </w:rPr>
        <w:t>2.根据物业管理收费规定向甲方收取物业管理费用；</w:t>
      </w:r>
    </w:p>
    <w:p>
      <w:pPr>
        <w:ind w:firstLine="420" w:firstLineChars="200"/>
        <w:rPr>
          <w:rFonts w:ascii="宋体" w:hAnsi="宋体"/>
          <w:szCs w:val="21"/>
        </w:rPr>
      </w:pPr>
      <w:r>
        <w:rPr>
          <w:rFonts w:hint="eastAsia" w:ascii="宋体" w:hAnsi="宋体"/>
          <w:szCs w:val="21"/>
        </w:rPr>
        <w:t>3.对甲方违反法规、规章的行为，提请有关部门处理；</w:t>
      </w:r>
    </w:p>
    <w:p>
      <w:pPr>
        <w:ind w:firstLine="420" w:firstLineChars="200"/>
        <w:rPr>
          <w:rFonts w:ascii="宋体" w:hAnsi="宋体"/>
          <w:szCs w:val="21"/>
        </w:rPr>
      </w:pPr>
      <w:r>
        <w:rPr>
          <w:rFonts w:hint="eastAsia" w:ascii="宋体" w:hAnsi="宋体"/>
          <w:szCs w:val="21"/>
        </w:rPr>
        <w:t>4.可选聘专营公司承担本物业的专项管理业务，但不得将本物业的管理责任转让给第三方；</w:t>
      </w:r>
    </w:p>
    <w:p>
      <w:pPr>
        <w:ind w:firstLine="420" w:firstLineChars="200"/>
        <w:rPr>
          <w:rFonts w:ascii="宋体" w:hAnsi="宋体"/>
          <w:szCs w:val="21"/>
        </w:rPr>
      </w:pPr>
      <w:r>
        <w:rPr>
          <w:rFonts w:hint="eastAsia" w:ascii="宋体" w:hAnsi="宋体"/>
          <w:szCs w:val="21"/>
        </w:rPr>
        <w:t>5.负责编制房屋、附属建筑物、构筑物、设备、设备等的年度维修养护计划和大中修方案，经双方议定后由乙方组织实施；</w:t>
      </w:r>
    </w:p>
    <w:p>
      <w:pPr>
        <w:ind w:firstLine="420" w:firstLineChars="200"/>
        <w:rPr>
          <w:rFonts w:ascii="宋体" w:hAnsi="宋体"/>
          <w:szCs w:val="21"/>
        </w:rPr>
      </w:pPr>
      <w:r>
        <w:rPr>
          <w:rFonts w:hint="eastAsia" w:ascii="宋体" w:hAnsi="宋体"/>
          <w:szCs w:val="21"/>
        </w:rPr>
        <w:t>6.协助甲方做好办公场所墙面、天花、水电线路、路面等等重要基础建设设施的维修工作，保障施工期间甲方工作秩序正常。</w:t>
      </w:r>
    </w:p>
    <w:p>
      <w:pPr>
        <w:ind w:firstLine="420" w:firstLineChars="200"/>
        <w:rPr>
          <w:rFonts w:ascii="宋体" w:hAnsi="宋体"/>
          <w:szCs w:val="21"/>
        </w:rPr>
      </w:pPr>
      <w:r>
        <w:rPr>
          <w:rFonts w:hint="eastAsia" w:ascii="宋体" w:hAnsi="宋体"/>
          <w:szCs w:val="21"/>
        </w:rPr>
        <w:t>7.妥善保管物业资料，建立管理档案，并对客户的个人信息资料保密；</w:t>
      </w:r>
    </w:p>
    <w:p>
      <w:pPr>
        <w:ind w:firstLine="420" w:firstLineChars="200"/>
        <w:rPr>
          <w:rFonts w:ascii="宋体" w:hAnsi="宋体"/>
          <w:szCs w:val="21"/>
        </w:rPr>
      </w:pPr>
      <w:r>
        <w:rPr>
          <w:rFonts w:hint="eastAsia" w:ascii="宋体" w:hAnsi="宋体"/>
          <w:szCs w:val="21"/>
        </w:rPr>
        <w:t>8. 本合同终止时，乙方必须向甲方移交全部管理用房及物业管理的全部档案资料；</w:t>
      </w:r>
    </w:p>
    <w:p>
      <w:pPr>
        <w:ind w:firstLine="420" w:firstLineChars="200"/>
        <w:rPr>
          <w:rFonts w:ascii="宋体" w:hAnsi="宋体"/>
          <w:szCs w:val="21"/>
        </w:rPr>
      </w:pPr>
      <w:r>
        <w:rPr>
          <w:rFonts w:hint="eastAsia" w:ascii="宋体" w:hAnsi="宋体"/>
          <w:szCs w:val="21"/>
        </w:rPr>
        <w:t>9.乙方需维持现场工作人员的相对稳定，无特殊情况不得随意变更现场人员。有人员变动时，需提前书面通知甲方。</w:t>
      </w:r>
    </w:p>
    <w:p>
      <w:pPr>
        <w:ind w:firstLine="420" w:firstLineChars="200"/>
        <w:rPr>
          <w:rFonts w:ascii="宋体" w:hAnsi="宋体"/>
          <w:szCs w:val="21"/>
        </w:rPr>
      </w:pPr>
      <w:r>
        <w:rPr>
          <w:rFonts w:hint="eastAsia" w:ascii="宋体" w:hAnsi="宋体"/>
          <w:szCs w:val="21"/>
        </w:rPr>
        <w:t>10.法律规定由乙方承担的其他权利义务。</w:t>
      </w:r>
    </w:p>
    <w:p>
      <w:pPr>
        <w:ind w:firstLine="420" w:firstLineChars="200"/>
        <w:rPr>
          <w:rFonts w:ascii="宋体" w:hAnsi="宋体"/>
          <w:szCs w:val="21"/>
        </w:rPr>
      </w:pPr>
      <w:r>
        <w:rPr>
          <w:rFonts w:hint="eastAsia" w:ascii="宋体" w:hAnsi="宋体"/>
          <w:szCs w:val="21"/>
        </w:rPr>
        <w:t>第五章　物业管理服务质量</w:t>
      </w:r>
    </w:p>
    <w:p>
      <w:pPr>
        <w:ind w:firstLine="420" w:firstLineChars="200"/>
        <w:rPr>
          <w:rFonts w:ascii="宋体" w:hAnsi="宋体"/>
          <w:szCs w:val="21"/>
        </w:rPr>
      </w:pPr>
      <w:r>
        <w:rPr>
          <w:rFonts w:hint="eastAsia" w:ascii="宋体" w:hAnsi="宋体"/>
          <w:szCs w:val="21"/>
        </w:rPr>
        <w:t>第十七条　乙方须按下列约定，实现目标管理</w:t>
      </w:r>
    </w:p>
    <w:p>
      <w:pPr>
        <w:ind w:firstLine="420" w:firstLineChars="200"/>
        <w:rPr>
          <w:rFonts w:ascii="宋体" w:hAnsi="宋体"/>
          <w:szCs w:val="21"/>
        </w:rPr>
      </w:pPr>
      <w:r>
        <w:rPr>
          <w:rFonts w:hint="eastAsia" w:ascii="宋体" w:hAnsi="宋体"/>
          <w:szCs w:val="21"/>
        </w:rPr>
        <w:t>1.房屋外观：对房屋公用部位进行日常管理和维修养护，检修记录和保养记录齐全；发现问题及时修复（与供应商有约定的及时联系供应商协修复）；每日巡查一次楼梯通道及其他共用部位的门窗、玻璃等，做好巡查记录，并及时维修养护。</w:t>
      </w:r>
    </w:p>
    <w:p>
      <w:pPr>
        <w:ind w:firstLine="420" w:firstLineChars="200"/>
        <w:rPr>
          <w:rFonts w:ascii="宋体" w:hAnsi="宋体"/>
          <w:szCs w:val="21"/>
        </w:rPr>
      </w:pPr>
      <w:r>
        <w:rPr>
          <w:rFonts w:hint="eastAsia" w:ascii="宋体" w:hAnsi="宋体"/>
          <w:szCs w:val="21"/>
        </w:rPr>
        <w:t>2.设备运行：对共用设施设备定期组织巡查，做好巡查记录；对住宅区域内配备的消防设施设备进行管理，设施设备完好，可随时启用。为确保消防通道畅通，发现有圈占、堵占消防通道的，应加以制止并报有关部门；设备房保持整洁、通风、无泡、冒、滴、漏和鼠害现象；路灯、楼道灯完好率99%。</w:t>
      </w:r>
    </w:p>
    <w:p>
      <w:pPr>
        <w:ind w:firstLine="420" w:firstLineChars="200"/>
        <w:rPr>
          <w:rFonts w:ascii="宋体" w:hAnsi="宋体"/>
          <w:szCs w:val="21"/>
        </w:rPr>
      </w:pPr>
      <w:r>
        <w:rPr>
          <w:rFonts w:hint="eastAsia" w:ascii="宋体" w:hAnsi="宋体"/>
          <w:szCs w:val="21"/>
        </w:rPr>
        <w:t>3.房屋及设施、设备的维修、养护：配备专业人员维修养护；建立共用设施设备档案，设施设备的运行、检查、维修、保养等记录齐全；公共设施设备标志齐全、规范，责任人明确；操作维护人员严格执行设施设备操作规程及保养规范。</w:t>
      </w:r>
    </w:p>
    <w:p>
      <w:pPr>
        <w:ind w:firstLine="420" w:firstLineChars="200"/>
        <w:rPr>
          <w:rFonts w:ascii="宋体" w:hAnsi="宋体"/>
          <w:szCs w:val="21"/>
        </w:rPr>
      </w:pPr>
      <w:r>
        <w:rPr>
          <w:rFonts w:hint="eastAsia" w:ascii="宋体" w:hAnsi="宋体"/>
          <w:szCs w:val="21"/>
        </w:rPr>
        <w:t>4.公共环境：对物业区域内设置的垃圾桶做到日产日清，保持垃圾桶、周边清洁； 对物业区域内道路、停车场等公共场地每日清洁一次，全天保洁。楼道每日清扫一次，楼梯扶手每周清擦一次。公共部位门、窗每月清擦一次；及时清除道路积水；保持路灯、楼道灯的清洁及使用效果；共用雨、污水、井、化粪池每月检查一次，视检查情况及时清掏；根据气候及实际情况定期进行消毒和灭虫除害。卫生保洁设专人监督检查，发现问题及时处理。　</w:t>
      </w:r>
    </w:p>
    <w:p>
      <w:pPr>
        <w:ind w:firstLine="420" w:firstLineChars="200"/>
        <w:rPr>
          <w:rFonts w:ascii="宋体" w:hAnsi="宋体"/>
          <w:szCs w:val="21"/>
        </w:rPr>
      </w:pPr>
      <w:r>
        <w:rPr>
          <w:rFonts w:hint="eastAsia" w:ascii="宋体" w:hAnsi="宋体"/>
          <w:szCs w:val="21"/>
        </w:rPr>
        <w:t>5.大型活动和重大节日根据甲方要求摆放绿植，美化环境、增加气氛；重要事项及时向甲方通报，双方信息保持传递畅通。</w:t>
      </w:r>
    </w:p>
    <w:p>
      <w:pPr>
        <w:ind w:firstLine="420" w:firstLineChars="200"/>
        <w:rPr>
          <w:rFonts w:ascii="宋体" w:hAnsi="宋体"/>
          <w:szCs w:val="21"/>
        </w:rPr>
      </w:pPr>
      <w:r>
        <w:rPr>
          <w:rFonts w:hint="eastAsia" w:ascii="宋体" w:hAnsi="宋体"/>
          <w:szCs w:val="21"/>
        </w:rPr>
        <w:t>6.协助维护公共秩序：出入口24小时岗位执勤；管家服务热线24小时服务；配有安全监控设施的，24小时监控，监控资料保存不少于30日；对进出车辆实施证、卡管理，引导车辆有序通行、停放（双方另有约定的除外）；对进出办公楼的外来人员实行临时出入证管理；对火灾、治安、防台、防汛等突发事件有应急措施和预案、事发时及时报告有关部门，并协助采取相应措施。</w:t>
      </w:r>
    </w:p>
    <w:p>
      <w:pPr>
        <w:ind w:firstLine="420" w:firstLineChars="200"/>
        <w:rPr>
          <w:rFonts w:ascii="宋体" w:hAnsi="宋体"/>
          <w:szCs w:val="21"/>
        </w:rPr>
      </w:pPr>
      <w:r>
        <w:rPr>
          <w:rFonts w:hint="eastAsia" w:ascii="宋体" w:hAnsi="宋体"/>
          <w:szCs w:val="21"/>
        </w:rPr>
        <w:t>7.急修：急修半小时内到场，其它报修按双方约定时间到达现场，有完整的报修、维修和回访记录。</w:t>
      </w:r>
    </w:p>
    <w:p>
      <w:pPr>
        <w:ind w:firstLine="420" w:firstLineChars="200"/>
        <w:rPr>
          <w:rFonts w:ascii="宋体" w:hAnsi="宋体"/>
          <w:szCs w:val="21"/>
        </w:rPr>
      </w:pPr>
      <w:r>
        <w:rPr>
          <w:rFonts w:hint="eastAsia" w:ascii="宋体" w:hAnsi="宋体"/>
          <w:szCs w:val="21"/>
        </w:rPr>
        <w:t>8.每年组织一次客户满意度调查，对乙方的满意率达95％以上</w:t>
      </w:r>
    </w:p>
    <w:p>
      <w:pPr>
        <w:ind w:firstLine="420" w:firstLineChars="200"/>
        <w:rPr>
          <w:rFonts w:ascii="宋体" w:hAnsi="宋体"/>
          <w:szCs w:val="21"/>
        </w:rPr>
      </w:pPr>
      <w:r>
        <w:rPr>
          <w:rFonts w:hint="eastAsia" w:ascii="宋体" w:hAnsi="宋体"/>
          <w:szCs w:val="21"/>
        </w:rPr>
        <w:t>第六章　物业管理服务费用</w:t>
      </w:r>
    </w:p>
    <w:p>
      <w:pPr>
        <w:ind w:firstLine="420" w:firstLineChars="200"/>
        <w:rPr>
          <w:rFonts w:ascii="宋体" w:hAnsi="宋体"/>
          <w:szCs w:val="21"/>
        </w:rPr>
      </w:pPr>
      <w:r>
        <w:rPr>
          <w:rFonts w:hint="eastAsia" w:ascii="宋体" w:hAnsi="宋体"/>
          <w:szCs w:val="21"/>
        </w:rPr>
        <w:t>第十八条　物业管理服务费</w:t>
      </w:r>
    </w:p>
    <w:p>
      <w:pPr>
        <w:ind w:firstLine="420" w:firstLineChars="200"/>
        <w:rPr>
          <w:rFonts w:ascii="宋体" w:hAnsi="宋体"/>
          <w:szCs w:val="21"/>
        </w:rPr>
      </w:pPr>
      <w:r>
        <w:rPr>
          <w:rFonts w:hint="eastAsia" w:ascii="宋体" w:hAnsi="宋体"/>
          <w:szCs w:val="21"/>
        </w:rPr>
        <w:t>1、乙方每月收取综合物业管理费用小写¥元，大写人民币元整，按月向甲方收取物业管理服务费。合同有效期内，若深圳市或惠州市最低工资标准发生变动，在深圳市或惠州市最低工资标准发生变动当月，乙方根据相应变动比例和深圳、惠州两地工作的物业员工数量情况调整月度物业管理服务费用。</w:t>
      </w:r>
    </w:p>
    <w:p>
      <w:pPr>
        <w:ind w:firstLine="420" w:firstLineChars="200"/>
        <w:rPr>
          <w:rFonts w:ascii="宋体" w:hAnsi="宋体"/>
          <w:szCs w:val="21"/>
        </w:rPr>
      </w:pPr>
      <w:r>
        <w:rPr>
          <w:rFonts w:hint="eastAsia" w:ascii="宋体" w:hAnsi="宋体"/>
          <w:szCs w:val="21"/>
        </w:rPr>
        <w:t>2、乙方协助甲方签署电梯维保、消防维保、物业管理区域内消杀、垃圾清运、水处理等相关外包业务合同，其专项服务费用由甲方承担。</w:t>
      </w:r>
    </w:p>
    <w:p>
      <w:pPr>
        <w:ind w:firstLine="420" w:firstLineChars="200"/>
        <w:rPr>
          <w:rFonts w:ascii="宋体" w:hAnsi="宋体"/>
          <w:szCs w:val="21"/>
        </w:rPr>
      </w:pPr>
      <w:r>
        <w:rPr>
          <w:rFonts w:hint="eastAsia" w:ascii="宋体" w:hAnsi="宋体"/>
          <w:szCs w:val="21"/>
        </w:rPr>
        <w:t>第十九条  乙方每月开具当月物业管理服务费用发票，在双数月份5日前向甲方提供上月及当月发票，甲方在收到乙方发票十五个工作日内向乙方缴纳当期的物业管理费；逾期缴纳的，每逾期一日，应缴纳欠费总额的0.5‰作为滞纳金。</w:t>
      </w:r>
    </w:p>
    <w:p>
      <w:pPr>
        <w:ind w:firstLine="420" w:firstLineChars="200"/>
        <w:rPr>
          <w:rFonts w:ascii="宋体" w:hAnsi="宋体"/>
          <w:szCs w:val="21"/>
        </w:rPr>
      </w:pPr>
      <w:r>
        <w:rPr>
          <w:rFonts w:hint="eastAsia" w:ascii="宋体" w:hAnsi="宋体"/>
          <w:szCs w:val="21"/>
        </w:rPr>
        <w:t>第二十条　乙方根据甲方要求提供维修、专项清洁及其它特约服务，双方另行签署合同约定。</w:t>
      </w:r>
    </w:p>
    <w:p>
      <w:pPr>
        <w:ind w:firstLine="420" w:firstLineChars="200"/>
        <w:rPr>
          <w:rFonts w:ascii="宋体" w:hAnsi="宋体"/>
          <w:szCs w:val="21"/>
        </w:rPr>
      </w:pPr>
      <w:r>
        <w:rPr>
          <w:rFonts w:hint="eastAsia" w:ascii="宋体" w:hAnsi="宋体"/>
          <w:szCs w:val="21"/>
        </w:rPr>
        <w:t> 第二十一条　房屋的共用部位、共用设施、设备、公共场地的维修、养护费用由甲方承担。</w:t>
      </w:r>
    </w:p>
    <w:p>
      <w:pPr>
        <w:ind w:firstLine="420" w:firstLineChars="200"/>
        <w:rPr>
          <w:rFonts w:ascii="宋体" w:hAnsi="宋体"/>
          <w:szCs w:val="21"/>
        </w:rPr>
      </w:pPr>
      <w:r>
        <w:rPr>
          <w:rFonts w:hint="eastAsia" w:ascii="宋体" w:hAnsi="宋体"/>
          <w:szCs w:val="21"/>
        </w:rPr>
        <w:t>第七章　其它</w:t>
      </w:r>
    </w:p>
    <w:p>
      <w:pPr>
        <w:ind w:firstLine="420" w:firstLineChars="200"/>
        <w:rPr>
          <w:rFonts w:ascii="宋体" w:hAnsi="宋体"/>
          <w:szCs w:val="21"/>
        </w:rPr>
      </w:pPr>
      <w:r>
        <w:rPr>
          <w:rFonts w:hint="eastAsia" w:ascii="宋体" w:hAnsi="宋体"/>
          <w:szCs w:val="21"/>
        </w:rPr>
        <w:t>第二十二条  乙方在进行下列物业服务与管理活动中，对业主造成的财产损失不承担民事赔偿责任：</w:t>
      </w:r>
    </w:p>
    <w:p>
      <w:pPr>
        <w:ind w:firstLine="420" w:firstLineChars="200"/>
        <w:rPr>
          <w:rFonts w:ascii="宋体" w:hAnsi="宋体"/>
          <w:szCs w:val="21"/>
        </w:rPr>
      </w:pPr>
      <w:r>
        <w:rPr>
          <w:rFonts w:hint="eastAsia" w:ascii="宋体" w:hAnsi="宋体"/>
          <w:szCs w:val="21"/>
        </w:rPr>
        <w:t>1、为救助人命而造成的必要财产损失（比如有人在房间内试图自杀、为救助人命、不得不破门、破窗而入）；</w:t>
      </w:r>
    </w:p>
    <w:p>
      <w:pPr>
        <w:ind w:firstLine="420" w:firstLineChars="200"/>
        <w:rPr>
          <w:rFonts w:ascii="宋体" w:hAnsi="宋体"/>
          <w:szCs w:val="21"/>
        </w:rPr>
      </w:pPr>
      <w:r>
        <w:rPr>
          <w:rFonts w:hint="eastAsia" w:ascii="宋体" w:hAnsi="宋体"/>
          <w:szCs w:val="21"/>
        </w:rPr>
        <w:t>2、为避免客户财产受损或可能受损而造成的必要财产损失（如房间内漏水，失火又无人在内，为避免其造成更大损失，乙方强行入内救治）；</w:t>
      </w:r>
    </w:p>
    <w:p>
      <w:pPr>
        <w:ind w:firstLine="420" w:firstLineChars="200"/>
        <w:rPr>
          <w:rFonts w:ascii="宋体" w:hAnsi="宋体"/>
          <w:szCs w:val="21"/>
        </w:rPr>
      </w:pPr>
      <w:r>
        <w:rPr>
          <w:rFonts w:hint="eastAsia" w:ascii="宋体" w:hAnsi="宋体"/>
          <w:szCs w:val="21"/>
        </w:rPr>
        <w:t>3、制止不法侵害行为而造成的必要财产损失；</w:t>
      </w:r>
    </w:p>
    <w:p>
      <w:pPr>
        <w:ind w:firstLine="420" w:firstLineChars="200"/>
        <w:rPr>
          <w:rFonts w:ascii="宋体" w:hAnsi="宋体"/>
          <w:szCs w:val="21"/>
        </w:rPr>
      </w:pPr>
      <w:r>
        <w:rPr>
          <w:rFonts w:hint="eastAsia" w:ascii="宋体" w:hAnsi="宋体"/>
          <w:szCs w:val="21"/>
        </w:rPr>
        <w:t>4、其他类似上述情况的情形。</w:t>
      </w:r>
    </w:p>
    <w:p>
      <w:pPr>
        <w:ind w:firstLine="420" w:firstLineChars="200"/>
        <w:rPr>
          <w:rFonts w:ascii="宋体" w:hAnsi="宋体"/>
          <w:szCs w:val="21"/>
        </w:rPr>
      </w:pPr>
      <w:r>
        <w:rPr>
          <w:rFonts w:hint="eastAsia" w:ascii="宋体" w:hAnsi="宋体"/>
          <w:szCs w:val="21"/>
        </w:rPr>
        <w:t>第八章  违约责任</w:t>
      </w:r>
    </w:p>
    <w:p>
      <w:pPr>
        <w:ind w:firstLine="420" w:firstLineChars="200"/>
        <w:rPr>
          <w:rFonts w:ascii="宋体" w:hAnsi="宋体"/>
          <w:szCs w:val="21"/>
        </w:rPr>
      </w:pPr>
      <w:r>
        <w:rPr>
          <w:rFonts w:hint="eastAsia" w:ascii="宋体" w:hAnsi="宋体"/>
          <w:szCs w:val="21"/>
        </w:rPr>
        <w:t>第二十三条　甲方违反合同第十五条的约定，使乙方未完成规定管理目标，乙方有权要求甲方在一定期限内解决，逾期未解决的，乙方有权终止合同；造成乙方经济损失的，甲方应给予乙方经济赔偿。</w:t>
      </w:r>
    </w:p>
    <w:p>
      <w:pPr>
        <w:ind w:firstLine="420" w:firstLineChars="200"/>
        <w:rPr>
          <w:rFonts w:ascii="宋体" w:hAnsi="宋体"/>
          <w:szCs w:val="21"/>
        </w:rPr>
      </w:pPr>
      <w:r>
        <w:rPr>
          <w:rFonts w:hint="eastAsia" w:ascii="宋体" w:hAnsi="宋体"/>
          <w:szCs w:val="21"/>
        </w:rPr>
        <w:t> 第二十四条  乙方违反本合同第五章的约定，未能达到约定的管理目标，甲方有权要求乙方限期整改，逾期未整改的，甲方有权终止合同；造成甲方经济损失的，乙方应给予甲方经济赔偿。</w:t>
      </w:r>
    </w:p>
    <w:p>
      <w:pPr>
        <w:ind w:firstLine="420" w:firstLineChars="200"/>
        <w:rPr>
          <w:rFonts w:ascii="宋体" w:hAnsi="宋体"/>
          <w:szCs w:val="21"/>
        </w:rPr>
      </w:pPr>
    </w:p>
    <w:p>
      <w:pPr>
        <w:widowControl/>
        <w:jc w:val="left"/>
        <w:rPr>
          <w:rFonts w:ascii="宋体" w:hAnsi="宋体"/>
          <w:szCs w:val="21"/>
        </w:rPr>
      </w:pPr>
      <w:r>
        <w:rPr>
          <w:rFonts w:ascii="宋体" w:hAnsi="宋体"/>
          <w:szCs w:val="21"/>
        </w:rPr>
        <w:br w:type="page"/>
      </w:r>
    </w:p>
    <w:p>
      <w:pPr>
        <w:pStyle w:val="5"/>
        <w:spacing w:beforeLines="50" w:afterLines="50"/>
        <w:ind w:left="562"/>
        <w:rPr>
          <w:sz w:val="28"/>
          <w:szCs w:val="28"/>
        </w:rPr>
      </w:pPr>
      <w:r>
        <w:rPr>
          <w:rFonts w:hint="eastAsia"/>
          <w:sz w:val="28"/>
          <w:szCs w:val="28"/>
        </w:rPr>
        <w:t>第二册  通用条款（公开招标）</w:t>
      </w:r>
    </w:p>
    <w:p>
      <w:pPr>
        <w:pStyle w:val="5"/>
        <w:numPr>
          <w:ilvl w:val="0"/>
          <w:numId w:val="11"/>
        </w:numPr>
        <w:spacing w:beforeLines="50" w:afterLines="50"/>
        <w:ind w:left="562" w:hanging="562"/>
        <w:rPr>
          <w:sz w:val="28"/>
          <w:szCs w:val="28"/>
        </w:rPr>
      </w:pPr>
      <w:bookmarkStart w:id="43" w:name="_Hlk72399513"/>
      <w:r>
        <w:rPr>
          <w:rFonts w:hint="eastAsia"/>
          <w:sz w:val="28"/>
          <w:szCs w:val="28"/>
        </w:rPr>
        <w:t>总则</w:t>
      </w:r>
    </w:p>
    <w:bookmarkEnd w:id="43"/>
    <w:p>
      <w:pPr>
        <w:outlineLvl w:val="1"/>
        <w:rPr>
          <w:rFonts w:ascii="黑体" w:hAnsi="宋体" w:eastAsia="黑体"/>
          <w:sz w:val="24"/>
        </w:rPr>
      </w:pPr>
      <w:r>
        <w:rPr>
          <w:rFonts w:hint="eastAsia" w:ascii="黑体" w:hAnsi="宋体" w:eastAsia="黑体"/>
          <w:sz w:val="24"/>
        </w:rPr>
        <w:t>1. 通用条款说明</w:t>
      </w:r>
    </w:p>
    <w:p>
      <w:pPr>
        <w:ind w:firstLine="411" w:firstLineChars="196"/>
        <w:rPr>
          <w:rFonts w:ascii="宋体" w:hAnsi="宋体"/>
          <w:szCs w:val="21"/>
        </w:rPr>
      </w:pPr>
      <w:r>
        <w:rPr>
          <w:rFonts w:hint="eastAsia" w:ascii="宋体" w:hAnsi="宋体"/>
          <w:szCs w:val="21"/>
        </w:rPr>
        <w:t>1.1代理机构发出招标文件通用条款版本，列出政府采购项目进行招标采购所适用的通用条款内容。</w:t>
      </w:r>
      <w:bookmarkStart w:id="44" w:name="_Hlk72399729"/>
      <w:r>
        <w:rPr>
          <w:rFonts w:hint="eastAsia" w:ascii="宋体" w:hAnsi="宋体"/>
          <w:szCs w:val="21"/>
        </w:rPr>
        <w:t>如有需要，代理机构可以对通用条款的内容进行补充。</w:t>
      </w:r>
      <w:bookmarkEnd w:id="44"/>
    </w:p>
    <w:p>
      <w:pPr>
        <w:ind w:firstLine="411" w:firstLineChars="196"/>
        <w:rPr>
          <w:rFonts w:ascii="宋体" w:hAnsi="宋体"/>
          <w:szCs w:val="21"/>
        </w:rPr>
      </w:pPr>
      <w:r>
        <w:rPr>
          <w:rFonts w:hint="eastAsia" w:ascii="宋体" w:hAnsi="宋体"/>
          <w:szCs w:val="21"/>
        </w:rPr>
        <w:t>1.2招标文件分为第一册“专用条款”和第二册“通用条款”。</w:t>
      </w:r>
    </w:p>
    <w:p>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pPr>
        <w:ind w:firstLine="411" w:firstLineChars="196"/>
        <w:rPr>
          <w:rFonts w:ascii="宋体" w:hAnsi="宋体"/>
          <w:szCs w:val="21"/>
        </w:rPr>
      </w:pPr>
      <w:r>
        <w:rPr>
          <w:rFonts w:hint="eastAsia" w:ascii="宋体" w:hAnsi="宋体"/>
          <w:szCs w:val="21"/>
        </w:rPr>
        <w:t>1.5 “专用条款”和“通用条款”表述不一致或有冲突时，以“专用条款”为准。</w:t>
      </w:r>
    </w:p>
    <w:p>
      <w:pPr>
        <w:outlineLvl w:val="1"/>
        <w:rPr>
          <w:rFonts w:ascii="黑体" w:hAnsi="宋体" w:eastAsia="黑体"/>
          <w:sz w:val="24"/>
        </w:rPr>
      </w:pPr>
      <w:r>
        <w:rPr>
          <w:rFonts w:hint="eastAsia" w:ascii="黑体" w:hAnsi="宋体" w:eastAsia="黑体"/>
          <w:sz w:val="24"/>
        </w:rPr>
        <w:t>2</w:t>
      </w:r>
      <w:r>
        <w:rPr>
          <w:rFonts w:ascii="黑体" w:hAnsi="宋体" w:eastAsia="黑体"/>
          <w:sz w:val="24"/>
        </w:rPr>
        <w:t>．</w:t>
      </w:r>
      <w:r>
        <w:rPr>
          <w:rFonts w:hint="eastAsia" w:ascii="黑体" w:hAnsi="宋体" w:eastAsia="黑体"/>
          <w:sz w:val="24"/>
        </w:rPr>
        <w:t>招标说明</w:t>
      </w:r>
    </w:p>
    <w:p>
      <w:pPr>
        <w:ind w:firstLine="411" w:firstLineChars="196"/>
        <w:rPr>
          <w:rFonts w:ascii="宋体" w:hAnsi="宋体"/>
          <w:szCs w:val="21"/>
        </w:rPr>
      </w:pPr>
      <w:r>
        <w:rPr>
          <w:rFonts w:hint="eastAsia" w:ascii="宋体" w:hAnsi="宋体"/>
          <w:szCs w:val="21"/>
        </w:rPr>
        <w:t>本项目依据国家政府采购法律法规，通过公开招标方式确定中标供应商。</w:t>
      </w:r>
    </w:p>
    <w:p>
      <w:pPr>
        <w:outlineLvl w:val="1"/>
        <w:rPr>
          <w:rFonts w:ascii="黑体" w:hAnsi="宋体" w:eastAsia="黑体"/>
          <w:sz w:val="24"/>
        </w:rPr>
      </w:pPr>
      <w:r>
        <w:rPr>
          <w:rFonts w:hint="eastAsia" w:ascii="黑体" w:hAnsi="宋体" w:eastAsia="黑体"/>
          <w:sz w:val="24"/>
        </w:rPr>
        <w:t>3．定义</w:t>
      </w:r>
    </w:p>
    <w:p>
      <w:pPr>
        <w:ind w:firstLine="420" w:firstLineChars="200"/>
        <w:rPr>
          <w:rFonts w:ascii="宋体" w:hAnsi="宋体"/>
          <w:szCs w:val="21"/>
        </w:rPr>
      </w:pPr>
      <w:r>
        <w:rPr>
          <w:rFonts w:ascii="宋体" w:hAnsi="宋体"/>
          <w:szCs w:val="21"/>
        </w:rPr>
        <w:t>招标文件中下列术语应解释为：</w:t>
      </w:r>
    </w:p>
    <w:p>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p>
    <w:p>
      <w:pPr>
        <w:ind w:firstLine="411" w:firstLineChars="196"/>
        <w:rPr>
          <w:rFonts w:ascii="宋体" w:hAnsi="宋体"/>
          <w:szCs w:val="21"/>
        </w:rPr>
      </w:pPr>
      <w:r>
        <w:rPr>
          <w:rFonts w:hint="eastAsia" w:ascii="宋体" w:hAnsi="宋体"/>
          <w:szCs w:val="21"/>
        </w:rPr>
        <w:t>3.2“投标人”，即供应商，指参加投标竞争并愿意按照招标文件要求向采购人提供货物、工程或者服务的依法成立的法人、其他组织或者自然人；</w:t>
      </w:r>
    </w:p>
    <w:p>
      <w:pPr>
        <w:ind w:firstLine="411" w:firstLineChars="196"/>
        <w:rPr>
          <w:rFonts w:ascii="宋体" w:hAnsi="宋体"/>
          <w:szCs w:val="21"/>
        </w:rPr>
      </w:pPr>
      <w:r>
        <w:rPr>
          <w:rFonts w:hint="eastAsia" w:ascii="宋体" w:hAnsi="宋体"/>
          <w:szCs w:val="21"/>
        </w:rPr>
        <w:t>3.3“中标候选人”即“候选中标供应商”；</w:t>
      </w:r>
    </w:p>
    <w:p>
      <w:pPr>
        <w:ind w:firstLine="411" w:firstLineChars="196"/>
        <w:rPr>
          <w:rFonts w:ascii="宋体" w:hAnsi="宋体"/>
          <w:szCs w:val="21"/>
        </w:rPr>
      </w:pPr>
      <w:r>
        <w:rPr>
          <w:rFonts w:hint="eastAsia" w:ascii="宋体" w:hAnsi="宋体"/>
          <w:szCs w:val="21"/>
        </w:rPr>
        <w:t>3.4“评审委员会”是依据招标文件规定组建的专门负责本次招标其评审工作的临时性机构；</w:t>
      </w:r>
    </w:p>
    <w:p>
      <w:pPr>
        <w:ind w:firstLine="411" w:firstLineChars="196"/>
        <w:rPr>
          <w:rFonts w:ascii="宋体" w:hAnsi="宋体"/>
          <w:szCs w:val="21"/>
        </w:rPr>
      </w:pPr>
      <w:r>
        <w:rPr>
          <w:rFonts w:hint="eastAsia" w:ascii="宋体" w:hAnsi="宋体"/>
          <w:szCs w:val="21"/>
        </w:rPr>
        <w:t>3.5“日期”指公历日；</w:t>
      </w:r>
    </w:p>
    <w:p>
      <w:pPr>
        <w:ind w:firstLine="411" w:firstLineChars="196"/>
        <w:rPr>
          <w:rFonts w:ascii="宋体" w:hAnsi="宋体"/>
          <w:szCs w:val="21"/>
        </w:rPr>
      </w:pPr>
      <w:r>
        <w:rPr>
          <w:rFonts w:hint="eastAsia" w:ascii="宋体" w:hAnsi="宋体"/>
          <w:szCs w:val="21"/>
        </w:rPr>
        <w:t>3.6“合同”指由本次招标所产生的合同或合约文件；</w:t>
      </w:r>
    </w:p>
    <w:p>
      <w:pPr>
        <w:ind w:firstLine="411" w:firstLineChars="196"/>
        <w:rPr>
          <w:rFonts w:ascii="宋体" w:hAnsi="宋体"/>
          <w:szCs w:val="21"/>
        </w:rPr>
      </w:pPr>
      <w:r>
        <w:rPr>
          <w:rFonts w:hint="eastAsia" w:ascii="宋体" w:hAnsi="宋体"/>
          <w:szCs w:val="21"/>
        </w:rPr>
        <w:t>3.7招标文件中的标题或题名仅起引导作用，而不应视为对招标文件内容的理解和解释。</w:t>
      </w:r>
    </w:p>
    <w:p>
      <w:pPr>
        <w:outlineLvl w:val="1"/>
        <w:rPr>
          <w:rFonts w:ascii="黑体" w:hAnsi="宋体" w:eastAsia="黑体"/>
          <w:sz w:val="24"/>
        </w:rPr>
      </w:pPr>
      <w:r>
        <w:rPr>
          <w:rFonts w:hint="eastAsia" w:ascii="黑体" w:hAnsi="宋体" w:eastAsia="黑体"/>
          <w:sz w:val="24"/>
        </w:rPr>
        <w:t xml:space="preserve">4. </w:t>
      </w:r>
      <w:bookmarkStart w:id="45" w:name="_Hlk72398643"/>
      <w:r>
        <w:rPr>
          <w:rFonts w:hint="eastAsia" w:ascii="黑体" w:hAnsi="宋体" w:eastAsia="黑体"/>
          <w:sz w:val="24"/>
        </w:rPr>
        <w:t>政府采购供应商责任</w:t>
      </w:r>
    </w:p>
    <w:p>
      <w:pPr>
        <w:ind w:firstLine="411" w:firstLineChars="196"/>
        <w:rPr>
          <w:rFonts w:ascii="宋体" w:hAnsi="宋体"/>
          <w:szCs w:val="21"/>
        </w:rPr>
      </w:pPr>
      <w:r>
        <w:rPr>
          <w:rFonts w:hint="eastAsia" w:ascii="宋体" w:hAnsi="宋体"/>
          <w:szCs w:val="21"/>
        </w:rPr>
        <w:t>4.1欢迎诚信、有实力和有社会责任心的供应商参与政府采购事业。</w:t>
      </w:r>
    </w:p>
    <w:p>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pPr>
        <w:outlineLvl w:val="1"/>
        <w:rPr>
          <w:rFonts w:ascii="黑体" w:hAnsi="宋体" w:eastAsia="黑体"/>
          <w:sz w:val="24"/>
        </w:rPr>
      </w:pPr>
      <w:r>
        <w:rPr>
          <w:rFonts w:hint="eastAsia" w:ascii="黑体" w:hAnsi="宋体" w:eastAsia="黑体"/>
          <w:sz w:val="24"/>
        </w:rPr>
        <w:t>5．投标人参加政府采购的条件</w:t>
      </w:r>
    </w:p>
    <w:p>
      <w:pPr>
        <w:ind w:firstLine="411" w:firstLineChars="196"/>
        <w:rPr>
          <w:rFonts w:ascii="宋体" w:hAnsi="宋体"/>
          <w:szCs w:val="21"/>
        </w:rPr>
      </w:pPr>
      <w:r>
        <w:rPr>
          <w:rFonts w:hint="eastAsia" w:ascii="宋体" w:hAnsi="宋体"/>
          <w:szCs w:val="21"/>
        </w:rPr>
        <w:t>5.1投标人资格要求</w:t>
      </w:r>
    </w:p>
    <w:p>
      <w:pPr>
        <w:ind w:firstLine="411" w:firstLineChars="196"/>
        <w:rPr>
          <w:rFonts w:ascii="宋体" w:hAnsi="宋体"/>
          <w:szCs w:val="21"/>
        </w:rPr>
      </w:pPr>
      <w:r>
        <w:rPr>
          <w:rFonts w:hint="eastAsia" w:ascii="宋体" w:hAnsi="宋体"/>
          <w:szCs w:val="21"/>
        </w:rPr>
        <w:t>参加本项目的投标人应具备的资格条件详见本项目招标公告中 “投标人资格要求”（即申请人的资格要求）的内容。</w:t>
      </w:r>
    </w:p>
    <w:p>
      <w:pPr>
        <w:ind w:firstLine="411" w:firstLineChars="196"/>
        <w:rPr>
          <w:rFonts w:ascii="宋体" w:hAnsi="宋体"/>
          <w:szCs w:val="21"/>
        </w:rPr>
      </w:pPr>
      <w:r>
        <w:rPr>
          <w:rFonts w:hint="eastAsia" w:ascii="宋体" w:hAnsi="宋体"/>
          <w:szCs w:val="21"/>
        </w:rPr>
        <w:t>5.2联合体投标（本项目不允许联合体投标）</w:t>
      </w:r>
    </w:p>
    <w:p>
      <w:pPr>
        <w:ind w:firstLine="411" w:firstLineChars="196"/>
        <w:rPr>
          <w:rFonts w:ascii="宋体" w:hAnsi="宋体"/>
          <w:szCs w:val="21"/>
        </w:rPr>
      </w:pPr>
      <w:r>
        <w:rPr>
          <w:rFonts w:hint="eastAsia" w:ascii="宋体" w:hAnsi="宋体"/>
          <w:szCs w:val="21"/>
        </w:rPr>
        <w:t>5.2.1　以下有关联合体投标的条款仅适用于允许投标人组成联合体投标的项目。</w:t>
      </w:r>
    </w:p>
    <w:p>
      <w:pPr>
        <w:ind w:firstLine="411" w:firstLineChars="196"/>
        <w:rPr>
          <w:rFonts w:ascii="宋体" w:hAnsi="宋体"/>
          <w:szCs w:val="21"/>
        </w:rPr>
      </w:pPr>
      <w:r>
        <w:rPr>
          <w:rFonts w:hint="eastAsia" w:ascii="宋体" w:hAnsi="宋体"/>
          <w:szCs w:val="21"/>
        </w:rPr>
        <w:t>5.2.2  由两个或两个以上的自然人、法人或者其他组织可以组成一个联合体，以一个供应商的身份共同投标时，应符合以下原则：</w:t>
      </w:r>
    </w:p>
    <w:p>
      <w:pPr>
        <w:ind w:firstLine="411" w:firstLineChars="196"/>
        <w:rPr>
          <w:rFonts w:ascii="宋体" w:hAnsi="宋体"/>
        </w:rPr>
      </w:pPr>
      <w:r>
        <w:rPr>
          <w:rFonts w:hint="eastAsia" w:ascii="宋体" w:hAnsi="宋体"/>
        </w:rPr>
        <w:t>（1）投标联合体各方参加政府采购活动应当具备下列条件：</w:t>
      </w:r>
    </w:p>
    <w:p>
      <w:pPr>
        <w:ind w:left="420" w:leftChars="200" w:firstLine="411" w:firstLineChars="196"/>
        <w:rPr>
          <w:rFonts w:ascii="宋体" w:hAnsi="宋体"/>
        </w:rPr>
      </w:pPr>
      <w:r>
        <w:rPr>
          <w:rFonts w:hint="eastAsia" w:ascii="宋体" w:hAnsi="宋体"/>
        </w:rPr>
        <w:t>1、具有独立承担民事责任的能力；</w:t>
      </w:r>
    </w:p>
    <w:p>
      <w:pPr>
        <w:ind w:left="420" w:firstLine="411" w:firstLineChars="196"/>
        <w:rPr>
          <w:rFonts w:ascii="宋体" w:hAnsi="宋体"/>
        </w:rPr>
      </w:pPr>
      <w:r>
        <w:rPr>
          <w:rFonts w:hint="eastAsia" w:ascii="宋体" w:hAnsi="宋体"/>
        </w:rPr>
        <w:t>2、有良好的商业信誉和健全的财务会计制度；</w:t>
      </w:r>
    </w:p>
    <w:p>
      <w:pPr>
        <w:ind w:left="420" w:leftChars="200" w:firstLine="411" w:firstLineChars="196"/>
        <w:rPr>
          <w:rFonts w:ascii="宋体" w:hAnsi="宋体"/>
        </w:rPr>
      </w:pPr>
      <w:r>
        <w:rPr>
          <w:rFonts w:hint="eastAsia" w:ascii="宋体" w:hAnsi="宋体"/>
        </w:rPr>
        <w:t>3、具有履行合同所必需的设备和专业技术能力；</w:t>
      </w:r>
    </w:p>
    <w:p>
      <w:pPr>
        <w:ind w:left="420" w:leftChars="200" w:firstLine="411" w:firstLineChars="196"/>
        <w:rPr>
          <w:rFonts w:ascii="宋体" w:hAnsi="宋体"/>
        </w:rPr>
      </w:pPr>
      <w:r>
        <w:rPr>
          <w:rFonts w:hint="eastAsia" w:ascii="宋体" w:hAnsi="宋体"/>
        </w:rPr>
        <w:t>4、有依法缴纳税收和社会保障资金的良好记录；</w:t>
      </w:r>
    </w:p>
    <w:p>
      <w:pPr>
        <w:ind w:left="420" w:leftChars="200" w:firstLine="411" w:firstLineChars="196"/>
        <w:rPr>
          <w:rFonts w:ascii="宋体" w:hAnsi="宋体"/>
        </w:rPr>
      </w:pPr>
      <w:r>
        <w:rPr>
          <w:rFonts w:hint="eastAsia" w:ascii="宋体" w:hAnsi="宋体"/>
        </w:rPr>
        <w:t>5、参加政府采购活动前三年内，在经营活动中没有重大违法记录；</w:t>
      </w:r>
    </w:p>
    <w:p>
      <w:pPr>
        <w:ind w:left="420" w:leftChars="200" w:firstLine="411" w:firstLineChars="196"/>
        <w:rPr>
          <w:rFonts w:ascii="宋体" w:hAnsi="宋体"/>
        </w:rPr>
      </w:pPr>
      <w:r>
        <w:rPr>
          <w:rFonts w:hint="eastAsia" w:ascii="宋体" w:hAnsi="宋体"/>
        </w:rPr>
        <w:t>6、法律、行政法规规定的其他条件。</w:t>
      </w:r>
    </w:p>
    <w:p>
      <w:pPr>
        <w:ind w:firstLine="411" w:firstLineChars="196"/>
        <w:rPr>
          <w:rFonts w:ascii="宋体" w:hAnsi="宋体"/>
        </w:rPr>
      </w:pPr>
      <w:r>
        <w:rPr>
          <w:rFonts w:hint="eastAsia" w:ascii="宋体" w:hAnsi="宋体"/>
        </w:rPr>
        <w:t>（2）联合体中有同类资质的供应商按照联合体分工承担相同工作的，应当按照资质等级较低的供应商确定资质等级；</w:t>
      </w:r>
    </w:p>
    <w:p>
      <w:pPr>
        <w:ind w:firstLine="411" w:firstLineChars="196"/>
      </w:pPr>
      <w:r>
        <w:rPr>
          <w:rFonts w:hint="eastAsia"/>
        </w:rPr>
        <w:t>（3）是否允许联合体参加投标，应当由采购人和采购代理机构根据项目的实际情况和潜在供应商的数量自主决定，如果决定接受联合体投标则应当在招标公告中明示；</w:t>
      </w:r>
    </w:p>
    <w:p>
      <w:pPr>
        <w:ind w:firstLine="411" w:firstLineChars="196"/>
        <w:rPr>
          <w:rFonts w:ascii="宋体" w:hAnsi="宋体"/>
        </w:rPr>
      </w:pPr>
      <w:r>
        <w:rPr>
          <w:rFonts w:hint="eastAsia" w:ascii="宋体" w:hAnsi="宋体"/>
        </w:rPr>
        <w:t>（4）投标人的投标文件及中标后签署的合同协议对联合体各方均具法律约束力；</w:t>
      </w:r>
    </w:p>
    <w:p>
      <w:pPr>
        <w:ind w:firstLine="411" w:firstLineChars="196"/>
        <w:rPr>
          <w:rFonts w:ascii="宋体" w:hAnsi="宋体"/>
        </w:rPr>
      </w:pPr>
      <w:r>
        <w:rPr>
          <w:rFonts w:hint="eastAsia" w:ascii="宋体" w:hAnsi="宋体"/>
        </w:rPr>
        <w:t>（5）联合体各方应当签订联合体投标协议，明确约定各方拟承担的工作和责任，并将该协议随投标文件一并递交给代理机构；</w:t>
      </w:r>
    </w:p>
    <w:p>
      <w:pPr>
        <w:ind w:firstLine="411" w:firstLineChars="196"/>
        <w:rPr>
          <w:rFonts w:ascii="宋体" w:hAnsi="宋体"/>
        </w:rPr>
      </w:pPr>
      <w:r>
        <w:rPr>
          <w:rFonts w:hint="eastAsia" w:ascii="宋体" w:hAnsi="宋体"/>
        </w:rPr>
        <w:t>（6）联合体中标后，联合体各方应当共同与采购人签订合同，就中标项目向采购人承担连带责任；</w:t>
      </w:r>
    </w:p>
    <w:p>
      <w:pPr>
        <w:ind w:firstLine="411" w:firstLineChars="196"/>
        <w:rPr>
          <w:rFonts w:ascii="宋体" w:hAnsi="宋体"/>
        </w:rPr>
      </w:pPr>
      <w:r>
        <w:rPr>
          <w:rFonts w:hint="eastAsia" w:ascii="宋体" w:hAnsi="宋体"/>
        </w:rPr>
        <w:t>（7）以联合体形式参加政府采购活动的，联合体各方不得再单独参加或者与其他供应商另外组成联合体参加同一合同项下的政府采购活动，出现上述情况者，其投标和与此有关联合体、总包单位的投标将被拒绝；</w:t>
      </w:r>
    </w:p>
    <w:p>
      <w:pPr>
        <w:ind w:firstLine="411" w:firstLineChars="196"/>
        <w:rPr>
          <w:rFonts w:ascii="宋体" w:hAnsi="宋体"/>
          <w:szCs w:val="21"/>
        </w:rPr>
      </w:pPr>
      <w:r>
        <w:rPr>
          <w:rFonts w:hint="eastAsia" w:ascii="宋体" w:hAnsi="宋体"/>
        </w:rPr>
        <w:t>（8）本通用条款中“投标人”一词亦指联合体各方，专用条款另有规定或说明的除外。</w:t>
      </w:r>
    </w:p>
    <w:p>
      <w:pPr>
        <w:outlineLvl w:val="1"/>
        <w:rPr>
          <w:rFonts w:ascii="黑体" w:hAnsi="宋体" w:eastAsia="黑体"/>
          <w:sz w:val="24"/>
        </w:rPr>
      </w:pPr>
      <w:r>
        <w:rPr>
          <w:rFonts w:hint="eastAsia" w:ascii="黑体" w:hAnsi="宋体" w:eastAsia="黑体"/>
          <w:sz w:val="24"/>
        </w:rPr>
        <w:t>6．政策导向</w:t>
      </w:r>
    </w:p>
    <w:p>
      <w:pPr>
        <w:ind w:firstLine="411" w:firstLineChars="196"/>
        <w:rPr>
          <w:rFonts w:ascii="宋体" w:hAnsi="宋体"/>
        </w:rPr>
      </w:pPr>
      <w:r>
        <w:rPr>
          <w:rFonts w:hint="eastAsia" w:ascii="宋体" w:hAnsi="宋体"/>
        </w:rPr>
        <w:t>6.1政府采购扶持贫困地区、中小企业、监狱企业和残疾人福利性单位发展，支持节能减排、环境保护。</w:t>
      </w:r>
    </w:p>
    <w:p>
      <w:pPr>
        <w:ind w:firstLine="405"/>
        <w:rPr>
          <w:shd w:val="clear" w:color="auto" w:fill="FFFFFF"/>
        </w:rPr>
      </w:pPr>
      <w:r>
        <w:rPr>
          <w:rFonts w:hint="eastAsia" w:ascii="宋体" w:hAnsi="宋体"/>
        </w:rPr>
        <w:t>6.2本项目落实政府采购供应商诚信管理政策要求。</w:t>
      </w:r>
    </w:p>
    <w:p>
      <w:pPr>
        <w:outlineLvl w:val="1"/>
        <w:rPr>
          <w:rFonts w:ascii="黑体" w:hAnsi="宋体" w:eastAsia="黑体"/>
          <w:sz w:val="24"/>
        </w:rPr>
      </w:pPr>
      <w:r>
        <w:rPr>
          <w:rFonts w:hint="eastAsia" w:ascii="黑体" w:hAnsi="宋体" w:eastAsia="黑体"/>
          <w:sz w:val="24"/>
        </w:rPr>
        <w:t>7. 本项目若涉及采购货物，则合格的货物及相应服务应满足以下要求：</w:t>
      </w:r>
    </w:p>
    <w:p>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pPr>
        <w:ind w:firstLine="411" w:firstLineChars="196"/>
        <w:rPr>
          <w:rFonts w:ascii="宋体" w:hAnsi="宋体"/>
        </w:rPr>
      </w:pPr>
      <w:r>
        <w:rPr>
          <w:rFonts w:hint="eastAsia" w:ascii="宋体" w:hAnsi="宋体"/>
        </w:rPr>
        <w:t>7.2  国产的货物及其有关服务必须符合中华人民共和国的设计、制造生产标准及行业标准。招标公告有其他要求的，亦应符合其要求。</w:t>
      </w:r>
    </w:p>
    <w:p>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4投标人</w:t>
      </w:r>
      <w:bookmarkStart w:id="46"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46"/>
    </w:p>
    <w:p>
      <w:pPr>
        <w:ind w:firstLine="411" w:firstLineChars="196"/>
        <w:rPr>
          <w:rFonts w:ascii="宋体" w:hAnsi="宋体"/>
        </w:rPr>
      </w:pPr>
      <w:r>
        <w:rPr>
          <w:rFonts w:hint="eastAsia" w:ascii="宋体" w:hAnsi="宋体"/>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pPr>
        <w:ind w:firstLine="411" w:firstLineChars="196"/>
        <w:rPr>
          <w:rFonts w:ascii="宋体" w:hAnsi="宋体"/>
        </w:rPr>
      </w:pPr>
      <w:r>
        <w:rPr>
          <w:rFonts w:hint="eastAsia" w:ascii="宋体" w:hAnsi="宋体"/>
        </w:rPr>
        <w:t>7.6  工期要求：投标人在投标时对其所投项目应提交交货进度、交货计划等，在合同规定的时间内完成项目实施工作。</w:t>
      </w:r>
    </w:p>
    <w:p>
      <w:pPr>
        <w:ind w:firstLine="411" w:firstLineChars="196"/>
        <w:rPr>
          <w:rFonts w:ascii="宋体" w:hAnsi="宋体"/>
        </w:rPr>
      </w:pPr>
      <w:r>
        <w:rPr>
          <w:rFonts w:hint="eastAsia" w:ascii="宋体" w:hAnsi="宋体"/>
        </w:rPr>
        <w:t>7.7  投标人必须承担的设备运输、安装调试、验收检测和提供设备操作说明书、图纸等其他相关及类似的义务。</w:t>
      </w:r>
    </w:p>
    <w:p>
      <w:pPr>
        <w:outlineLvl w:val="1"/>
        <w:rPr>
          <w:rFonts w:ascii="黑体" w:hAnsi="宋体" w:eastAsia="黑体"/>
          <w:sz w:val="24"/>
        </w:rPr>
      </w:pPr>
      <w:r>
        <w:rPr>
          <w:rFonts w:hint="eastAsia" w:ascii="黑体" w:hAnsi="宋体" w:eastAsia="黑体"/>
          <w:sz w:val="24"/>
        </w:rPr>
        <w:t>8．投标费用</w:t>
      </w:r>
    </w:p>
    <w:p>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pPr>
        <w:outlineLvl w:val="1"/>
        <w:rPr>
          <w:rFonts w:ascii="黑体" w:hAnsi="宋体" w:eastAsia="黑体"/>
          <w:sz w:val="24"/>
        </w:rPr>
      </w:pPr>
      <w:r>
        <w:rPr>
          <w:rFonts w:hint="eastAsia" w:ascii="黑体" w:hAnsi="宋体" w:eastAsia="黑体"/>
          <w:sz w:val="24"/>
        </w:rPr>
        <w:t>9．踏勘现场</w:t>
      </w:r>
    </w:p>
    <w:p>
      <w:pPr>
        <w:ind w:firstLine="411" w:firstLineChars="196"/>
        <w:rPr>
          <w:rFonts w:ascii="宋体" w:hAnsi="宋体"/>
          <w:szCs w:val="21"/>
        </w:rPr>
      </w:pPr>
      <w:r>
        <w:rPr>
          <w:rFonts w:hint="eastAsia" w:ascii="宋体" w:hAnsi="宋体"/>
          <w:szCs w:val="21"/>
        </w:rPr>
        <w:t>9.1如有需要（详见专用条款），采购人将组织投标人对项目现场及周围环境进行踏勘，以便投标人获取有关编制投标文件和签署合同所需的资料。踏勘现场所发生的费用由投标人自行承担。投标人应按招标文件所约定的时间、地点踏勘现场。</w:t>
      </w:r>
    </w:p>
    <w:p>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pPr>
        <w:ind w:firstLine="411" w:firstLineChars="196"/>
        <w:rPr>
          <w:rFonts w:ascii="宋体" w:hAnsi="宋体"/>
        </w:rPr>
      </w:pPr>
      <w:r>
        <w:rPr>
          <w:rFonts w:hint="eastAsia" w:ascii="宋体" w:hAnsi="宋体"/>
        </w:rPr>
        <w:t>9.3采购人应当通过代理机构向投标人提供有关现场的书面资料和数据。</w:t>
      </w:r>
    </w:p>
    <w:p>
      <w:pPr>
        <w:ind w:firstLine="411" w:firstLineChars="196"/>
        <w:rPr>
          <w:rFonts w:ascii="宋体" w:hAnsi="宋体"/>
        </w:rPr>
      </w:pPr>
      <w:r>
        <w:rPr>
          <w:rFonts w:hint="eastAsia" w:ascii="宋体" w:hAnsi="宋体"/>
        </w:rPr>
        <w:t>9.4任何人或任何组织在踏勘现场时向投标人提供的任何书面资料或口头承诺，未经代理机构在网上发布或书面通知，均作无效处理。</w:t>
      </w:r>
    </w:p>
    <w:p>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pPr>
        <w:outlineLvl w:val="1"/>
        <w:rPr>
          <w:rFonts w:ascii="宋体" w:hAnsi="宋体"/>
          <w:szCs w:val="21"/>
        </w:rPr>
      </w:pPr>
      <w:r>
        <w:rPr>
          <w:rFonts w:hint="eastAsia" w:ascii="黑体" w:hAnsi="宋体" w:eastAsia="黑体"/>
          <w:sz w:val="24"/>
        </w:rPr>
        <w:t>1</w:t>
      </w:r>
      <w:r>
        <w:rPr>
          <w:rFonts w:ascii="黑体" w:hAnsi="宋体" w:eastAsia="黑体"/>
          <w:sz w:val="24"/>
        </w:rPr>
        <w:t>0</w:t>
      </w:r>
      <w:r>
        <w:rPr>
          <w:rFonts w:hint="eastAsia" w:ascii="黑体" w:hAnsi="宋体" w:eastAsia="黑体"/>
          <w:sz w:val="24"/>
        </w:rPr>
        <w:t>．标前会议</w:t>
      </w:r>
    </w:p>
    <w:p>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如采购人或代理机构认为有必要组织标前会议，投标人应按照招标文件规定的时间或代理机构另行书面通知（包括代理机构网站发布方式，如更正公告等）的时间和地点，参与标前会议。</w:t>
      </w:r>
    </w:p>
    <w:p>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任何人或任何组织在标前会议时向投标人提供的任何书面资料或口头承诺，未经代理机构在网上发布或书面通知，均作无效处理。</w:t>
      </w:r>
    </w:p>
    <w:p>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45"/>
    <w:p>
      <w:pPr>
        <w:pStyle w:val="5"/>
        <w:numPr>
          <w:ilvl w:val="0"/>
          <w:numId w:val="11"/>
        </w:numPr>
        <w:tabs>
          <w:tab w:val="left" w:pos="360"/>
        </w:tabs>
        <w:spacing w:beforeLines="50" w:afterLines="50"/>
        <w:ind w:left="562" w:hanging="562"/>
        <w:rPr>
          <w:sz w:val="28"/>
          <w:szCs w:val="28"/>
        </w:rPr>
      </w:pPr>
      <w:r>
        <w:rPr>
          <w:rFonts w:hint="eastAsia"/>
          <w:sz w:val="28"/>
          <w:szCs w:val="28"/>
        </w:rPr>
        <w:t>招标文件</w:t>
      </w:r>
    </w:p>
    <w:p>
      <w:pPr>
        <w:rPr>
          <w:rFonts w:ascii="黑体" w:hAnsi="宋体" w:eastAsia="黑体"/>
          <w:sz w:val="24"/>
        </w:rPr>
      </w:pPr>
      <w:r>
        <w:rPr>
          <w:rFonts w:hint="eastAsia" w:ascii="黑体" w:hAnsi="宋体" w:eastAsia="黑体"/>
          <w:sz w:val="24"/>
        </w:rPr>
        <w:t>1</w:t>
      </w:r>
      <w:r>
        <w:rPr>
          <w:rFonts w:ascii="黑体" w:hAnsi="宋体" w:eastAsia="黑体"/>
          <w:sz w:val="24"/>
        </w:rPr>
        <w:t>1</w:t>
      </w:r>
      <w:r>
        <w:rPr>
          <w:rFonts w:hint="eastAsia" w:ascii="黑体" w:hAnsi="宋体" w:eastAsia="黑体"/>
          <w:sz w:val="24"/>
        </w:rPr>
        <w:t>．</w:t>
      </w:r>
      <w:bookmarkStart w:id="47" w:name="_Hlk72399819"/>
      <w:r>
        <w:rPr>
          <w:rFonts w:hint="eastAsia" w:ascii="黑体" w:hAnsi="宋体" w:eastAsia="黑体"/>
          <w:sz w:val="24"/>
        </w:rPr>
        <w:t>招标文件的编制与组成</w:t>
      </w:r>
    </w:p>
    <w:p>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.1招标文件除以下内容外，代理机构在招标期间发出的澄清或修改等相关公告或通知内容，均是招标文件的组成部分，对投标人起约束作用；</w:t>
      </w:r>
    </w:p>
    <w:p>
      <w:pPr>
        <w:ind w:firstLine="411" w:firstLineChars="196"/>
        <w:rPr>
          <w:rFonts w:ascii="宋体" w:hAnsi="宋体"/>
          <w:szCs w:val="21"/>
        </w:rPr>
      </w:pPr>
      <w:r>
        <w:rPr>
          <w:rFonts w:hint="eastAsia" w:ascii="宋体" w:hAnsi="宋体"/>
          <w:szCs w:val="21"/>
        </w:rPr>
        <w:t>招标文件包括下列内容：</w:t>
      </w:r>
    </w:p>
    <w:p>
      <w:pPr>
        <w:ind w:left="420" w:leftChars="200" w:firstLine="413" w:firstLineChars="196"/>
        <w:rPr>
          <w:rFonts w:ascii="宋体" w:hAnsi="宋体"/>
          <w:b/>
          <w:szCs w:val="21"/>
        </w:rPr>
      </w:pPr>
      <w:r>
        <w:rPr>
          <w:rFonts w:hint="eastAsia" w:ascii="宋体" w:hAnsi="宋体"/>
          <w:b/>
          <w:szCs w:val="21"/>
        </w:rPr>
        <w:t>第一册  专用条款</w:t>
      </w:r>
    </w:p>
    <w:p>
      <w:pPr>
        <w:ind w:left="1079" w:leftChars="514"/>
        <w:rPr>
          <w:rFonts w:ascii="宋体" w:hAnsi="宋体"/>
          <w:b/>
          <w:szCs w:val="21"/>
        </w:rPr>
      </w:pPr>
      <w:r>
        <w:rPr>
          <w:rFonts w:hint="eastAsia" w:ascii="宋体" w:hAnsi="宋体"/>
          <w:b/>
          <w:szCs w:val="21"/>
        </w:rPr>
        <w:t>关键信息</w:t>
      </w:r>
    </w:p>
    <w:p>
      <w:pPr>
        <w:ind w:left="630" w:leftChars="300" w:firstLine="411" w:firstLineChars="196"/>
        <w:outlineLvl w:val="0"/>
        <w:rPr>
          <w:rFonts w:ascii="宋体" w:hAnsi="宋体"/>
          <w:szCs w:val="21"/>
        </w:rPr>
      </w:pPr>
      <w:r>
        <w:rPr>
          <w:rFonts w:hint="eastAsia" w:ascii="宋体" w:hAnsi="宋体"/>
          <w:szCs w:val="21"/>
        </w:rPr>
        <w:t>第一章  招标公告</w:t>
      </w:r>
    </w:p>
    <w:p>
      <w:pPr>
        <w:ind w:left="630" w:leftChars="300" w:firstLine="411" w:firstLineChars="196"/>
        <w:outlineLvl w:val="0"/>
        <w:rPr>
          <w:rFonts w:ascii="宋体" w:hAnsi="宋体"/>
          <w:szCs w:val="21"/>
        </w:rPr>
      </w:pPr>
      <w:r>
        <w:rPr>
          <w:rFonts w:hint="eastAsia" w:ascii="宋体" w:hAnsi="宋体"/>
          <w:szCs w:val="21"/>
        </w:rPr>
        <w:t>第二章  对通用条款的补充内容及其他关键信息</w:t>
      </w:r>
    </w:p>
    <w:p>
      <w:pPr>
        <w:ind w:left="630" w:leftChars="300" w:firstLine="411" w:firstLineChars="196"/>
        <w:outlineLvl w:val="0"/>
        <w:rPr>
          <w:rFonts w:ascii="宋体" w:hAnsi="宋体"/>
          <w:szCs w:val="21"/>
        </w:rPr>
      </w:pPr>
      <w:r>
        <w:rPr>
          <w:rFonts w:hint="eastAsia" w:ascii="宋体" w:hAnsi="宋体"/>
          <w:szCs w:val="21"/>
        </w:rPr>
        <w:t>第三章  用户需求书</w:t>
      </w:r>
    </w:p>
    <w:p>
      <w:pPr>
        <w:ind w:left="630" w:leftChars="300" w:firstLine="411" w:firstLineChars="196"/>
        <w:outlineLvl w:val="0"/>
        <w:rPr>
          <w:rFonts w:ascii="宋体" w:hAnsi="宋体"/>
          <w:szCs w:val="21"/>
        </w:rPr>
      </w:pPr>
      <w:r>
        <w:rPr>
          <w:rFonts w:hint="eastAsia"/>
        </w:rPr>
        <w:t>第四章 投标文件格式及附件</w:t>
      </w:r>
    </w:p>
    <w:p>
      <w:pPr>
        <w:ind w:left="630" w:leftChars="300" w:firstLine="411" w:firstLineChars="196"/>
        <w:outlineLvl w:val="0"/>
        <w:rPr>
          <w:rFonts w:ascii="宋体" w:hAnsi="宋体"/>
          <w:szCs w:val="21"/>
        </w:rPr>
      </w:pPr>
      <w:r>
        <w:rPr>
          <w:rFonts w:hint="eastAsia" w:ascii="宋体" w:hAnsi="宋体"/>
          <w:szCs w:val="21"/>
        </w:rPr>
        <w:t>第五章  合同条款及格式</w:t>
      </w:r>
    </w:p>
    <w:p>
      <w:pPr>
        <w:ind w:left="420" w:leftChars="200" w:firstLine="413" w:firstLineChars="196"/>
        <w:outlineLvl w:val="0"/>
        <w:rPr>
          <w:rFonts w:ascii="宋体" w:hAnsi="宋体"/>
          <w:b/>
          <w:szCs w:val="21"/>
        </w:rPr>
      </w:pPr>
      <w:r>
        <w:rPr>
          <w:rFonts w:hint="eastAsia" w:ascii="宋体" w:hAnsi="宋体"/>
          <w:b/>
          <w:szCs w:val="21"/>
        </w:rPr>
        <w:t>第二册  通用条款</w:t>
      </w:r>
    </w:p>
    <w:p>
      <w:pPr>
        <w:ind w:left="630" w:leftChars="300" w:firstLine="411" w:firstLineChars="196"/>
        <w:outlineLvl w:val="0"/>
        <w:rPr>
          <w:rFonts w:ascii="宋体" w:hAnsi="宋体"/>
          <w:szCs w:val="21"/>
        </w:rPr>
      </w:pPr>
      <w:r>
        <w:rPr>
          <w:rFonts w:hint="eastAsia" w:ascii="宋体" w:hAnsi="宋体"/>
          <w:szCs w:val="21"/>
        </w:rPr>
        <w:t>第一章  总则</w:t>
      </w:r>
    </w:p>
    <w:p>
      <w:pPr>
        <w:ind w:left="630" w:leftChars="300" w:firstLine="411" w:firstLineChars="196"/>
        <w:outlineLvl w:val="0"/>
        <w:rPr>
          <w:rFonts w:ascii="宋体" w:hAnsi="宋体"/>
          <w:szCs w:val="21"/>
        </w:rPr>
      </w:pPr>
      <w:r>
        <w:rPr>
          <w:rFonts w:hint="eastAsia" w:ascii="宋体" w:hAnsi="宋体"/>
          <w:szCs w:val="21"/>
        </w:rPr>
        <w:t>第二章  招标文件</w:t>
      </w:r>
    </w:p>
    <w:p>
      <w:pPr>
        <w:ind w:left="630" w:leftChars="300" w:firstLine="411" w:firstLineChars="196"/>
        <w:outlineLvl w:val="0"/>
        <w:rPr>
          <w:rFonts w:ascii="宋体" w:hAnsi="宋体"/>
          <w:szCs w:val="21"/>
        </w:rPr>
      </w:pPr>
      <w:r>
        <w:rPr>
          <w:rFonts w:hint="eastAsia" w:ascii="宋体" w:hAnsi="宋体"/>
          <w:szCs w:val="21"/>
        </w:rPr>
        <w:t>第三章  投标文件的编制</w:t>
      </w:r>
    </w:p>
    <w:p>
      <w:pPr>
        <w:ind w:left="630" w:leftChars="300" w:firstLine="411" w:firstLineChars="196"/>
        <w:outlineLvl w:val="0"/>
        <w:rPr>
          <w:rFonts w:ascii="宋体" w:hAnsi="宋体"/>
          <w:szCs w:val="21"/>
        </w:rPr>
      </w:pPr>
      <w:r>
        <w:rPr>
          <w:rFonts w:hint="eastAsia" w:ascii="宋体" w:hAnsi="宋体"/>
          <w:szCs w:val="21"/>
        </w:rPr>
        <w:t>第四章  投标文件的递交</w:t>
      </w:r>
    </w:p>
    <w:p>
      <w:pPr>
        <w:ind w:left="630" w:leftChars="300" w:firstLine="411" w:firstLineChars="196"/>
        <w:outlineLvl w:val="0"/>
        <w:rPr>
          <w:rFonts w:ascii="宋体" w:hAnsi="宋体"/>
          <w:szCs w:val="21"/>
        </w:rPr>
      </w:pPr>
      <w:r>
        <w:rPr>
          <w:rFonts w:hint="eastAsia" w:ascii="宋体" w:hAnsi="宋体"/>
          <w:szCs w:val="21"/>
        </w:rPr>
        <w:t>第五章  开标</w:t>
      </w:r>
    </w:p>
    <w:p>
      <w:pPr>
        <w:ind w:left="630" w:leftChars="300" w:firstLine="411" w:firstLineChars="196"/>
        <w:outlineLvl w:val="0"/>
        <w:rPr>
          <w:rFonts w:ascii="宋体" w:hAnsi="宋体"/>
          <w:szCs w:val="21"/>
        </w:rPr>
      </w:pPr>
      <w:r>
        <w:rPr>
          <w:rFonts w:hint="eastAsia" w:ascii="宋体" w:hAnsi="宋体"/>
          <w:szCs w:val="21"/>
        </w:rPr>
        <w:t>第六章  评审要求</w:t>
      </w:r>
    </w:p>
    <w:p>
      <w:pPr>
        <w:ind w:left="630" w:leftChars="300" w:firstLine="411" w:firstLineChars="196"/>
        <w:outlineLvl w:val="0"/>
        <w:rPr>
          <w:rFonts w:ascii="宋体" w:hAnsi="宋体"/>
          <w:szCs w:val="21"/>
        </w:rPr>
      </w:pPr>
      <w:r>
        <w:rPr>
          <w:rFonts w:hint="eastAsia" w:ascii="宋体" w:hAnsi="宋体"/>
          <w:szCs w:val="21"/>
        </w:rPr>
        <w:t>第七章  评审程序及评审方法</w:t>
      </w:r>
    </w:p>
    <w:p>
      <w:pPr>
        <w:ind w:left="630" w:leftChars="300" w:firstLine="411" w:firstLineChars="196"/>
        <w:outlineLvl w:val="0"/>
        <w:rPr>
          <w:rFonts w:ascii="宋体" w:hAnsi="宋体"/>
          <w:szCs w:val="21"/>
        </w:rPr>
      </w:pPr>
      <w:r>
        <w:rPr>
          <w:rFonts w:hint="eastAsia" w:ascii="宋体" w:hAnsi="宋体"/>
          <w:szCs w:val="21"/>
        </w:rPr>
        <w:t>第八章  定标及公示</w:t>
      </w:r>
    </w:p>
    <w:p>
      <w:pPr>
        <w:ind w:left="630" w:leftChars="300" w:firstLine="411" w:firstLineChars="196"/>
        <w:outlineLvl w:val="0"/>
        <w:rPr>
          <w:rFonts w:ascii="宋体" w:hAnsi="宋体"/>
          <w:szCs w:val="21"/>
        </w:rPr>
      </w:pPr>
      <w:r>
        <w:rPr>
          <w:rFonts w:hint="eastAsia" w:ascii="宋体" w:hAnsi="宋体"/>
          <w:szCs w:val="21"/>
        </w:rPr>
        <w:t>第九章  公开招标失败的后续处理</w:t>
      </w:r>
    </w:p>
    <w:p>
      <w:pPr>
        <w:ind w:left="630" w:leftChars="300" w:firstLine="411" w:firstLineChars="196"/>
        <w:outlineLvl w:val="0"/>
        <w:rPr>
          <w:rFonts w:ascii="宋体" w:hAnsi="宋体"/>
          <w:szCs w:val="21"/>
        </w:rPr>
      </w:pPr>
      <w:r>
        <w:rPr>
          <w:rFonts w:hint="eastAsia" w:ascii="宋体" w:hAnsi="宋体"/>
          <w:szCs w:val="21"/>
        </w:rPr>
        <w:t>第十章  合同的授予与备案</w:t>
      </w:r>
    </w:p>
    <w:p>
      <w:pPr>
        <w:ind w:left="630" w:leftChars="300" w:firstLine="411" w:firstLineChars="196"/>
        <w:outlineLvl w:val="0"/>
        <w:rPr>
          <w:rFonts w:ascii="宋体" w:hAnsi="宋体"/>
          <w:szCs w:val="21"/>
        </w:rPr>
      </w:pPr>
      <w:r>
        <w:rPr>
          <w:rFonts w:hint="eastAsia" w:ascii="宋体" w:hAnsi="宋体"/>
          <w:szCs w:val="21"/>
        </w:rPr>
        <w:t>第十一章  质疑处理</w:t>
      </w:r>
    </w:p>
    <w:p>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 投标人获取招标文件后，应仔细检查招标文件的所有内容，如有疑问应在答疑截止时间之前向代理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任何人或任何组织向投标人提交的任何书面或口头资料，未经代理机构在网上发布或书面通知，均作无效处理，不得作为招标文件的组成部分。代理机构对投标人由此而做出的推论、理解和结论概不负责。</w:t>
      </w:r>
    </w:p>
    <w:p>
      <w:pPr>
        <w:rPr>
          <w:rFonts w:ascii="黑体" w:hAnsi="宋体" w:eastAsia="黑体"/>
          <w:sz w:val="24"/>
        </w:rPr>
      </w:pPr>
      <w:r>
        <w:rPr>
          <w:rFonts w:hint="eastAsia" w:ascii="黑体" w:hAnsi="宋体" w:eastAsia="黑体"/>
          <w:sz w:val="24"/>
        </w:rPr>
        <w:t>1</w:t>
      </w:r>
      <w:r>
        <w:rPr>
          <w:rFonts w:ascii="黑体" w:hAnsi="宋体" w:eastAsia="黑体"/>
          <w:sz w:val="24"/>
        </w:rPr>
        <w:t>2</w:t>
      </w:r>
      <w:r>
        <w:rPr>
          <w:rFonts w:hint="eastAsia" w:ascii="黑体" w:hAnsi="宋体" w:eastAsia="黑体"/>
          <w:sz w:val="24"/>
        </w:rPr>
        <w:t>．招标文件的澄清</w:t>
      </w:r>
    </w:p>
    <w:p>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.2投标人如对招标文件内容有疑问，应当在招标公告规定的澄清（提问）截止时间前以网上提问的形式通过网上政府采购系统提交代理机构。</w:t>
      </w:r>
    </w:p>
    <w:p>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代理机构根据需要主动对招标文件进行必要的澄清或是根据投标人的要求对招标文件做出澄清，代理机构都将在投标截止日期前以书面形式（包括代理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pPr>
        <w:rPr>
          <w:rFonts w:ascii="黑体" w:hAnsi="宋体" w:eastAsia="黑体"/>
          <w:sz w:val="24"/>
        </w:rPr>
      </w:pPr>
      <w:r>
        <w:rPr>
          <w:rFonts w:ascii="黑体" w:hAnsi="宋体" w:eastAsia="黑体"/>
          <w:sz w:val="24"/>
        </w:rPr>
        <w:t>1</w:t>
      </w:r>
      <w:r>
        <w:rPr>
          <w:rFonts w:hint="eastAsia" w:ascii="黑体" w:hAnsi="宋体" w:eastAsia="黑体"/>
          <w:sz w:val="24"/>
        </w:rPr>
        <w:t>3．招标文件的修改</w:t>
      </w:r>
    </w:p>
    <w:p>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3.1招标文件发出后，在投标截止日期前任何时候，确需要变更招标文件内容的，代理机构可主动或在解答投标人提出的澄清问题时对招标文件进行修改。</w:t>
      </w:r>
    </w:p>
    <w:p>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3.2招标文件的修改以书面形式（包括代理机构网站发布方式，如更正公告等）发送给所有投标人，招标文件的修改内容作为招标文件的组成部分，并具有约束力。</w:t>
      </w:r>
    </w:p>
    <w:p>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代理机构网站公开发布方式，如更正公告等）明确的内容为准。当招标文件、修改补充通知、招标文件澄清答复内容相互矛盾时，以最后发出的内容为准。</w:t>
      </w:r>
    </w:p>
    <w:p>
      <w:pPr>
        <w:ind w:firstLine="411" w:firstLineChars="196"/>
        <w:rPr>
          <w:rFonts w:ascii="宋体" w:hAnsi="宋体"/>
          <w:szCs w:val="21"/>
        </w:rPr>
      </w:pPr>
      <w:r>
        <w:rPr>
          <w:rFonts w:ascii="宋体" w:hAnsi="宋体"/>
          <w:szCs w:val="21"/>
        </w:rPr>
        <w:t>1</w:t>
      </w:r>
      <w:r>
        <w:rPr>
          <w:rFonts w:hint="eastAsia" w:ascii="宋体" w:hAnsi="宋体"/>
          <w:szCs w:val="21"/>
        </w:rPr>
        <w:t>3.4代理机构保证招标文件澄清答复内容和招标文件修改补充内容在投标截止时间前以书面形式（包括代理机构网站发布方式，如更正公告等）发送给所有投标人。为使投标人在编制投标文件时有充分时间对招标文件的修改部分进行研究，代理机构可以酌情延长递交投标文件的截止日期。</w:t>
      </w:r>
      <w:bookmarkEnd w:id="47"/>
    </w:p>
    <w:p>
      <w:pPr>
        <w:pStyle w:val="5"/>
        <w:numPr>
          <w:ilvl w:val="0"/>
          <w:numId w:val="11"/>
        </w:numPr>
        <w:tabs>
          <w:tab w:val="left" w:pos="360"/>
        </w:tabs>
        <w:spacing w:beforeLines="50" w:afterLines="50"/>
        <w:ind w:left="562" w:hanging="562"/>
        <w:rPr>
          <w:sz w:val="28"/>
          <w:szCs w:val="28"/>
        </w:rPr>
      </w:pPr>
      <w:r>
        <w:rPr>
          <w:rFonts w:hint="eastAsia"/>
          <w:sz w:val="28"/>
          <w:szCs w:val="28"/>
        </w:rPr>
        <w:t>投标文件的编制</w:t>
      </w:r>
    </w:p>
    <w:p>
      <w:pPr>
        <w:rPr>
          <w:rFonts w:ascii="黑体" w:hAnsi="宋体" w:eastAsia="黑体"/>
          <w:sz w:val="24"/>
        </w:rPr>
      </w:pPr>
      <w:r>
        <w:rPr>
          <w:rFonts w:hint="eastAsia" w:ascii="黑体" w:hAnsi="宋体" w:eastAsia="黑体"/>
          <w:sz w:val="24"/>
        </w:rPr>
        <w:t>14．</w:t>
      </w:r>
      <w:bookmarkStart w:id="48" w:name="_Hlk72400236"/>
      <w:r>
        <w:rPr>
          <w:rFonts w:hint="eastAsia" w:ascii="黑体" w:hAnsi="宋体" w:eastAsia="黑体"/>
          <w:sz w:val="24"/>
        </w:rPr>
        <w:t>投标文件的语言及度量单位</w:t>
      </w:r>
    </w:p>
    <w:p>
      <w:pPr>
        <w:ind w:firstLine="411" w:firstLineChars="196"/>
        <w:rPr>
          <w:rFonts w:ascii="宋体" w:hAnsi="宋体"/>
          <w:szCs w:val="21"/>
        </w:rPr>
      </w:pPr>
      <w:r>
        <w:rPr>
          <w:rFonts w:hint="eastAsia" w:ascii="宋体" w:hAnsi="宋体"/>
          <w:szCs w:val="21"/>
        </w:rPr>
        <w:t>14.1 投标人与代理机构之间与投标有关的所有往来通知、函件和投标文件均用中文表述。投标人随投标文件提供的证明文件和资料可以为其它语言，但必须附中文译文。翻译的中文资料与外文资料如果出现差异时，以中文为准，但翻译错误的除外。</w:t>
      </w:r>
    </w:p>
    <w:p>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48"/>
    <w:p>
      <w:pPr>
        <w:rPr>
          <w:rFonts w:ascii="黑体" w:hAnsi="宋体" w:eastAsia="黑体"/>
          <w:sz w:val="24"/>
        </w:rPr>
      </w:pPr>
      <w:r>
        <w:rPr>
          <w:rFonts w:hint="eastAsia" w:ascii="黑体" w:hAnsi="宋体" w:eastAsia="黑体"/>
          <w:sz w:val="24"/>
        </w:rPr>
        <w:t>15．</w:t>
      </w:r>
      <w:bookmarkStart w:id="49" w:name="_Hlk72401567"/>
      <w:r>
        <w:rPr>
          <w:rFonts w:hint="eastAsia" w:ascii="黑体" w:hAnsi="宋体" w:eastAsia="黑体"/>
          <w:sz w:val="24"/>
        </w:rPr>
        <w:t>投标文件的组成</w:t>
      </w:r>
    </w:p>
    <w:p>
      <w:pPr>
        <w:ind w:firstLine="411" w:firstLineChars="196"/>
        <w:rPr>
          <w:rFonts w:ascii="宋体" w:hAnsi="宋体"/>
          <w:szCs w:val="21"/>
        </w:rPr>
      </w:pPr>
      <w:r>
        <w:rPr>
          <w:rFonts w:hint="eastAsia" w:ascii="宋体" w:hAnsi="宋体"/>
          <w:szCs w:val="21"/>
        </w:rPr>
        <w:t>具体内容在招标文件专用条款中进行规定。</w:t>
      </w:r>
    </w:p>
    <w:p>
      <w:pPr>
        <w:rPr>
          <w:rFonts w:ascii="黑体" w:hAnsi="宋体" w:eastAsia="黑体"/>
          <w:sz w:val="24"/>
        </w:rPr>
      </w:pPr>
      <w:r>
        <w:rPr>
          <w:rFonts w:ascii="黑体" w:hAnsi="宋体" w:eastAsia="黑体"/>
          <w:sz w:val="24"/>
        </w:rPr>
        <w:t>16．投标文件格式</w:t>
      </w:r>
    </w:p>
    <w:p>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pPr>
        <w:rPr>
          <w:rFonts w:ascii="黑体" w:hAnsi="宋体" w:eastAsia="黑体"/>
          <w:sz w:val="24"/>
        </w:rPr>
      </w:pPr>
      <w:r>
        <w:rPr>
          <w:rFonts w:hint="eastAsia" w:ascii="黑体" w:hAnsi="宋体" w:eastAsia="黑体"/>
          <w:sz w:val="24"/>
        </w:rPr>
        <w:t>17．投标货币</w:t>
      </w:r>
    </w:p>
    <w:p>
      <w:pPr>
        <w:ind w:firstLine="411" w:firstLineChars="196"/>
        <w:rPr>
          <w:rFonts w:ascii="宋体" w:hAnsi="宋体"/>
          <w:szCs w:val="21"/>
        </w:rPr>
      </w:pPr>
      <w:r>
        <w:rPr>
          <w:rFonts w:hint="eastAsia" w:ascii="宋体" w:hAnsi="宋体"/>
          <w:szCs w:val="21"/>
        </w:rPr>
        <w:t>本项目的投标报价应以人民币计。</w:t>
      </w:r>
    </w:p>
    <w:bookmarkEnd w:id="49"/>
    <w:p>
      <w:pPr>
        <w:rPr>
          <w:rFonts w:ascii="黑体" w:hAnsi="宋体" w:eastAsia="黑体"/>
          <w:sz w:val="24"/>
        </w:rPr>
      </w:pPr>
      <w:r>
        <w:rPr>
          <w:rFonts w:hint="eastAsia" w:ascii="黑体" w:hAnsi="宋体" w:eastAsia="黑体"/>
          <w:sz w:val="24"/>
        </w:rPr>
        <w:t>18．</w:t>
      </w:r>
      <w:bookmarkStart w:id="50" w:name="_Hlk72401735"/>
      <w:r>
        <w:rPr>
          <w:rFonts w:hint="eastAsia" w:ascii="黑体" w:hAnsi="宋体" w:eastAsia="黑体"/>
          <w:sz w:val="24"/>
        </w:rPr>
        <w:t>证明投标文件投标技术方案的合格性和符合招标文件规定的文件要求</w:t>
      </w:r>
    </w:p>
    <w:p>
      <w:pPr>
        <w:ind w:firstLine="411" w:firstLineChars="196"/>
        <w:rPr>
          <w:rFonts w:ascii="宋体" w:hAnsi="宋体"/>
          <w:szCs w:val="21"/>
        </w:rPr>
      </w:pPr>
      <w:r>
        <w:rPr>
          <w:rFonts w:hint="eastAsia" w:ascii="宋体" w:hAnsi="宋体"/>
          <w:szCs w:val="21"/>
        </w:rPr>
        <w:t>18</w:t>
      </w:r>
      <w:r>
        <w:rPr>
          <w:rFonts w:ascii="宋体" w:hAnsi="宋体"/>
          <w:szCs w:val="21"/>
        </w:rPr>
        <w:t xml:space="preserve">.1 </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pPr>
        <w:ind w:firstLine="411" w:firstLineChars="196"/>
        <w:rPr>
          <w:rFonts w:ascii="宋体" w:hAnsi="宋体"/>
          <w:szCs w:val="21"/>
        </w:rPr>
      </w:pPr>
      <w:r>
        <w:rPr>
          <w:rFonts w:hint="eastAsia" w:ascii="宋体" w:hAnsi="宋体"/>
          <w:szCs w:val="21"/>
        </w:rPr>
        <w:t>18.2.1主要技术指标和性能的详细说明。</w:t>
      </w:r>
    </w:p>
    <w:p>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50"/>
    <w:p>
      <w:pPr>
        <w:rPr>
          <w:rFonts w:ascii="黑体" w:hAnsi="宋体" w:eastAsia="黑体"/>
          <w:sz w:val="24"/>
        </w:rPr>
      </w:pPr>
      <w:r>
        <w:rPr>
          <w:rFonts w:hint="eastAsia" w:ascii="黑体" w:hAnsi="宋体" w:eastAsia="黑体"/>
          <w:sz w:val="24"/>
        </w:rPr>
        <w:t>19．</w:t>
      </w:r>
      <w:bookmarkStart w:id="51" w:name="_Hlk72402034"/>
      <w:r>
        <w:rPr>
          <w:rFonts w:hint="eastAsia" w:ascii="黑体" w:hAnsi="宋体" w:eastAsia="黑体"/>
          <w:sz w:val="24"/>
        </w:rPr>
        <w:t>投标文件其他证明文件的要求</w:t>
      </w:r>
    </w:p>
    <w:p>
      <w:pPr>
        <w:rPr>
          <w:rFonts w:ascii="宋体" w:hAnsi="宋体"/>
          <w:color w:val="FF0000"/>
          <w:szCs w:val="21"/>
        </w:rPr>
      </w:pP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信息》打分项的则该项评分予以0分处理。评审委员会对供应商投标资料是否异常、是否有效问题进行核查和判定，如认为供应商投标资料有异常或无效的，若涉及资格性审查或符合性审查条款的，则应作投标无效处理；若涉及评分的，则作不得分处理。</w:t>
      </w:r>
      <w:bookmarkStart w:id="52" w:name="_Hlk71407299"/>
    </w:p>
    <w:bookmarkEnd w:id="52"/>
    <w:p>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围不需提供的，供应商应做书面说明并提供证明文件，否则该证书无效），则该投标人提供年审证明的可按原资质（资格）投标；若投标人正在申报上一级别资质（资格），在未获批准之前，仍按原级别资质（资格）投标。</w:t>
      </w:r>
    </w:p>
    <w:p>
      <w:pPr>
        <w:rPr>
          <w:rFonts w:ascii="黑体" w:hAnsi="宋体" w:eastAsia="黑体"/>
          <w:sz w:val="24"/>
        </w:rPr>
      </w:pPr>
      <w:r>
        <w:rPr>
          <w:rFonts w:hint="eastAsia" w:ascii="黑体" w:hAnsi="宋体" w:eastAsia="黑体"/>
          <w:sz w:val="24"/>
        </w:rPr>
        <w:t>20．投标有效期</w:t>
      </w:r>
    </w:p>
    <w:bookmarkEnd w:id="51"/>
    <w:p>
      <w:pPr>
        <w:ind w:firstLine="411" w:firstLineChars="196"/>
        <w:rPr>
          <w:rFonts w:ascii="宋体" w:hAnsi="宋体"/>
          <w:szCs w:val="21"/>
        </w:rPr>
      </w:pPr>
      <w:bookmarkStart w:id="53" w:name="_Hlk72402214"/>
      <w:r>
        <w:rPr>
          <w:rFonts w:hint="eastAsia" w:ascii="宋体" w:hAnsi="宋体"/>
          <w:szCs w:val="21"/>
        </w:rPr>
        <w:t>20.1 投标有效期为</w:t>
      </w:r>
      <w:r>
        <w:rPr>
          <w:rFonts w:hint="eastAsia" w:ascii="Arial" w:hAnsi="Arial" w:cs="Arial"/>
          <w:szCs w:val="21"/>
        </w:rPr>
        <w:t>从投标截止之日算起的120日历天数。</w:t>
      </w:r>
      <w:r>
        <w:rPr>
          <w:rFonts w:hint="eastAsia" w:ascii="宋体" w:hAnsi="宋体"/>
          <w:szCs w:val="21"/>
        </w:rPr>
        <w:t>在此期限内，所有投标文件均保持有效。</w:t>
      </w:r>
    </w:p>
    <w:p>
      <w:pPr>
        <w:ind w:firstLine="411" w:firstLineChars="196"/>
        <w:rPr>
          <w:rFonts w:ascii="宋体" w:hAnsi="宋体"/>
          <w:szCs w:val="21"/>
        </w:rPr>
      </w:pPr>
      <w:r>
        <w:rPr>
          <w:rFonts w:hint="eastAsia" w:ascii="宋体" w:hAnsi="宋体"/>
          <w:szCs w:val="21"/>
        </w:rPr>
        <w:t>20.2 在特殊情况下，代理机构在原定的投标有效期满之前，代理机构可以根据需要以书面形式（包括代理机构网站公开发布方式）向投标人提出延长投标有效期的要求，对此要求投标人须以书面形式予以答复，投标人可以拒绝代理机构此项要求，其投标在原投标有效期满后不再有效。同意延长投标有效期的投标人不能要求也不允许修改其投标文件。</w:t>
      </w:r>
    </w:p>
    <w:p>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53"/>
    <w:p>
      <w:pPr>
        <w:rPr>
          <w:rFonts w:ascii="黑体" w:hAnsi="宋体" w:eastAsia="黑体"/>
          <w:sz w:val="24"/>
        </w:rPr>
      </w:pPr>
      <w:r>
        <w:rPr>
          <w:rFonts w:hint="eastAsia" w:ascii="黑体" w:hAnsi="宋体" w:eastAsia="黑体"/>
          <w:sz w:val="24"/>
        </w:rPr>
        <w:t>21．</w:t>
      </w:r>
      <w:bookmarkStart w:id="54" w:name="_Hlk72402325"/>
      <w:r>
        <w:rPr>
          <w:rFonts w:hint="eastAsia" w:ascii="黑体" w:hAnsi="宋体" w:eastAsia="黑体"/>
          <w:sz w:val="24"/>
        </w:rPr>
        <w:t xml:space="preserve">关于投标保证金 </w:t>
      </w:r>
    </w:p>
    <w:p>
      <w:pPr>
        <w:rPr>
          <w:rFonts w:ascii="宋体" w:hAnsi="宋体"/>
          <w:szCs w:val="21"/>
        </w:rPr>
      </w:pPr>
      <w:r>
        <w:rPr>
          <w:rFonts w:hint="eastAsia" w:ascii="宋体" w:hAnsi="宋体"/>
          <w:szCs w:val="21"/>
        </w:rPr>
        <w:t xml:space="preserve">    21.1</w:t>
      </w:r>
      <w:r>
        <w:rPr>
          <w:rFonts w:hint="eastAsia"/>
        </w:rPr>
        <w:t>本项目不收取投标保证金。</w:t>
      </w:r>
    </w:p>
    <w:p>
      <w:pPr>
        <w:rPr>
          <w:rFonts w:ascii="黑体" w:hAnsi="宋体" w:eastAsia="黑体"/>
          <w:sz w:val="24"/>
        </w:rPr>
      </w:pPr>
      <w:r>
        <w:rPr>
          <w:rFonts w:hint="eastAsia" w:ascii="黑体" w:hAnsi="宋体" w:eastAsia="黑体"/>
          <w:sz w:val="24"/>
        </w:rPr>
        <w:t>22．投标人的替代方案</w:t>
      </w:r>
    </w:p>
    <w:p>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54"/>
    <w:p>
      <w:pPr>
        <w:pStyle w:val="5"/>
        <w:numPr>
          <w:ilvl w:val="0"/>
          <w:numId w:val="11"/>
        </w:numPr>
        <w:tabs>
          <w:tab w:val="left" w:pos="360"/>
        </w:tabs>
        <w:spacing w:beforeLines="50" w:afterLines="50"/>
        <w:ind w:left="562" w:hanging="562"/>
        <w:rPr>
          <w:sz w:val="28"/>
          <w:szCs w:val="28"/>
        </w:rPr>
      </w:pPr>
      <w:r>
        <w:rPr>
          <w:rFonts w:hint="eastAsia"/>
          <w:sz w:val="28"/>
          <w:szCs w:val="28"/>
        </w:rPr>
        <w:t>投标文件的递交</w:t>
      </w:r>
      <w:bookmarkStart w:id="55" w:name="_Hlk72405459"/>
    </w:p>
    <w:p>
      <w:pPr>
        <w:ind w:firstLine="411" w:firstLineChars="196"/>
        <w:rPr>
          <w:rFonts w:ascii="宋体" w:hAnsi="宋体"/>
          <w:szCs w:val="21"/>
        </w:rPr>
      </w:pPr>
      <w:r>
        <w:rPr>
          <w:rFonts w:hint="eastAsia" w:ascii="宋体" w:hAnsi="宋体"/>
          <w:szCs w:val="21"/>
        </w:rPr>
        <w:t>23．投标文件的密封和标记</w:t>
      </w:r>
    </w:p>
    <w:p>
      <w:pPr>
        <w:ind w:firstLine="411" w:firstLineChars="196"/>
        <w:rPr>
          <w:rFonts w:ascii="宋体" w:hAnsi="宋体"/>
          <w:szCs w:val="21"/>
        </w:rPr>
      </w:pPr>
      <w:r>
        <w:rPr>
          <w:rFonts w:hint="eastAsia" w:ascii="宋体" w:hAnsi="宋体"/>
          <w:szCs w:val="21"/>
        </w:rPr>
        <w:t>23</w:t>
      </w:r>
      <w:r>
        <w:rPr>
          <w:rFonts w:ascii="宋体" w:hAnsi="宋体"/>
          <w:szCs w:val="21"/>
        </w:rPr>
        <w:t>.1</w:t>
      </w:r>
      <w:r>
        <w:rPr>
          <w:rFonts w:hint="eastAsia" w:ascii="宋体" w:hAnsi="宋体"/>
          <w:szCs w:val="21"/>
        </w:rPr>
        <w:t>为方便开标唱标，投标人应将投标报价一览表、投标保证金银行转帐凭证原件或者投标保函原件（若招标人设有）用信封单独密封，在信封上标明</w:t>
      </w:r>
      <w:r>
        <w:rPr>
          <w:rFonts w:ascii="宋体" w:hAnsi="宋体"/>
          <w:szCs w:val="21"/>
        </w:rPr>
        <w:t>“</w:t>
      </w:r>
      <w:r>
        <w:rPr>
          <w:rFonts w:hint="eastAsia" w:ascii="宋体" w:hAnsi="宋体"/>
          <w:szCs w:val="21"/>
        </w:rPr>
        <w:t>开标所需文件</w:t>
      </w:r>
      <w:r>
        <w:rPr>
          <w:rFonts w:ascii="宋体" w:hAnsi="宋体"/>
          <w:szCs w:val="21"/>
        </w:rPr>
        <w:t>”</w:t>
      </w:r>
      <w:r>
        <w:rPr>
          <w:rFonts w:hint="eastAsia" w:ascii="宋体" w:hAnsi="宋体"/>
          <w:szCs w:val="21"/>
        </w:rPr>
        <w:t>字样，并注明</w:t>
      </w:r>
      <w:r>
        <w:rPr>
          <w:rFonts w:ascii="宋体" w:hAnsi="宋体"/>
          <w:szCs w:val="21"/>
        </w:rPr>
        <w:t>“</w:t>
      </w:r>
      <w:r>
        <w:rPr>
          <w:rFonts w:hint="eastAsia" w:ascii="宋体" w:hAnsi="宋体"/>
          <w:szCs w:val="21"/>
        </w:rPr>
        <w:t>于2023年月日时分开标之前不准启封（以实际开标时间为准）</w:t>
      </w:r>
      <w:r>
        <w:rPr>
          <w:rFonts w:ascii="宋体" w:hAnsi="宋体"/>
          <w:szCs w:val="21"/>
        </w:rPr>
        <w:t>”</w:t>
      </w:r>
      <w:r>
        <w:rPr>
          <w:rFonts w:hint="eastAsia" w:ascii="宋体" w:hAnsi="宋体"/>
          <w:szCs w:val="21"/>
        </w:rPr>
        <w:t>的字样。投标文件中装订投标担保（若招标人设有）的复印件。</w:t>
      </w:r>
    </w:p>
    <w:p>
      <w:pPr>
        <w:ind w:firstLine="411" w:firstLineChars="196"/>
        <w:rPr>
          <w:rFonts w:ascii="宋体" w:hAnsi="宋体"/>
          <w:szCs w:val="21"/>
        </w:rPr>
      </w:pPr>
      <w:r>
        <w:rPr>
          <w:rFonts w:hint="eastAsia" w:ascii="宋体" w:hAnsi="宋体"/>
          <w:szCs w:val="21"/>
        </w:rPr>
        <w:t>23</w:t>
      </w:r>
      <w:r>
        <w:rPr>
          <w:rFonts w:ascii="宋体" w:hAnsi="宋体"/>
          <w:szCs w:val="21"/>
        </w:rPr>
        <w:t>.2</w:t>
      </w:r>
      <w:r>
        <w:rPr>
          <w:rFonts w:hint="eastAsia" w:ascii="宋体" w:hAnsi="宋体"/>
          <w:szCs w:val="21"/>
        </w:rPr>
        <w:t>投标人应将</w:t>
      </w:r>
      <w:r>
        <w:rPr>
          <w:rFonts w:ascii="宋体" w:hAnsi="宋体"/>
          <w:szCs w:val="21"/>
        </w:rPr>
        <w:t>1</w:t>
      </w:r>
      <w:r>
        <w:rPr>
          <w:rFonts w:hint="eastAsia" w:ascii="宋体" w:hAnsi="宋体"/>
          <w:szCs w:val="21"/>
        </w:rPr>
        <w:t>份正本和</w:t>
      </w:r>
      <w:r>
        <w:rPr>
          <w:rFonts w:ascii="宋体" w:hAnsi="宋体"/>
          <w:szCs w:val="21"/>
        </w:rPr>
        <w:t>4</w:t>
      </w:r>
      <w:r>
        <w:rPr>
          <w:rFonts w:hint="eastAsia" w:ascii="宋体" w:hAnsi="宋体"/>
          <w:szCs w:val="21"/>
        </w:rPr>
        <w:t>份副本投标文件，及按23</w:t>
      </w:r>
      <w:r>
        <w:rPr>
          <w:rFonts w:ascii="宋体" w:hAnsi="宋体"/>
          <w:szCs w:val="21"/>
        </w:rPr>
        <w:t>.1</w:t>
      </w:r>
      <w:r>
        <w:rPr>
          <w:rFonts w:hint="eastAsia" w:ascii="宋体" w:hAnsi="宋体"/>
          <w:szCs w:val="21"/>
        </w:rPr>
        <w:t>款规定密封并标明</w:t>
      </w:r>
      <w:r>
        <w:rPr>
          <w:rFonts w:ascii="宋体" w:hAnsi="宋体"/>
          <w:szCs w:val="21"/>
        </w:rPr>
        <w:t>“</w:t>
      </w:r>
      <w:r>
        <w:rPr>
          <w:rFonts w:hint="eastAsia" w:ascii="宋体" w:hAnsi="宋体"/>
          <w:szCs w:val="21"/>
        </w:rPr>
        <w:t>开标所需文件</w:t>
      </w:r>
      <w:r>
        <w:rPr>
          <w:rFonts w:ascii="宋体" w:hAnsi="宋体"/>
          <w:szCs w:val="21"/>
        </w:rPr>
        <w:t>”</w:t>
      </w:r>
      <w:r>
        <w:rPr>
          <w:rFonts w:hint="eastAsia" w:ascii="宋体" w:hAnsi="宋体"/>
          <w:szCs w:val="21"/>
        </w:rPr>
        <w:t>字样的信封用同一密封袋（箱）进行密封，标明</w:t>
      </w:r>
      <w:r>
        <w:rPr>
          <w:rFonts w:ascii="宋体" w:hAnsi="宋体"/>
          <w:szCs w:val="21"/>
        </w:rPr>
        <w:t>“</w:t>
      </w:r>
      <w:r>
        <w:rPr>
          <w:rFonts w:hint="eastAsia" w:ascii="宋体" w:hAnsi="宋体"/>
          <w:szCs w:val="21"/>
        </w:rPr>
        <w:t>投标文件（含正本、副本和开标所需文件）</w:t>
      </w:r>
      <w:r>
        <w:rPr>
          <w:rFonts w:ascii="宋体" w:hAnsi="宋体"/>
          <w:szCs w:val="21"/>
        </w:rPr>
        <w:t>”</w:t>
      </w:r>
      <w:r>
        <w:rPr>
          <w:rFonts w:hint="eastAsia" w:ascii="宋体" w:hAnsi="宋体"/>
          <w:szCs w:val="21"/>
        </w:rPr>
        <w:t>字样，并注明</w:t>
      </w:r>
      <w:r>
        <w:rPr>
          <w:rFonts w:ascii="宋体" w:hAnsi="宋体"/>
          <w:szCs w:val="21"/>
        </w:rPr>
        <w:t>“</w:t>
      </w:r>
      <w:r>
        <w:rPr>
          <w:rFonts w:hint="eastAsia" w:ascii="宋体" w:hAnsi="宋体"/>
          <w:szCs w:val="21"/>
        </w:rPr>
        <w:t>于2023年月日时分开标之前不准启封（以实际开标时间为准）</w:t>
      </w:r>
      <w:r>
        <w:rPr>
          <w:rFonts w:ascii="宋体" w:hAnsi="宋体"/>
          <w:szCs w:val="21"/>
        </w:rPr>
        <w:t>”</w:t>
      </w:r>
      <w:r>
        <w:rPr>
          <w:rFonts w:hint="eastAsia" w:ascii="宋体" w:hAnsi="宋体"/>
          <w:szCs w:val="21"/>
        </w:rPr>
        <w:t>的字样。密封袋的封口处应贴封条并骑缝加盖投标人单位公章。</w:t>
      </w:r>
    </w:p>
    <w:p>
      <w:pPr>
        <w:ind w:firstLine="411" w:firstLineChars="196"/>
        <w:rPr>
          <w:rFonts w:ascii="宋体" w:hAnsi="宋体"/>
          <w:szCs w:val="21"/>
        </w:rPr>
      </w:pPr>
      <w:r>
        <w:rPr>
          <w:rFonts w:hint="eastAsia" w:ascii="宋体" w:hAnsi="宋体"/>
          <w:szCs w:val="21"/>
        </w:rPr>
        <w:t>23</w:t>
      </w:r>
      <w:r>
        <w:rPr>
          <w:rFonts w:ascii="宋体" w:hAnsi="宋体"/>
          <w:szCs w:val="21"/>
        </w:rPr>
        <w:t>.3</w:t>
      </w:r>
      <w:r>
        <w:rPr>
          <w:rFonts w:hint="eastAsia" w:ascii="宋体" w:hAnsi="宋体"/>
          <w:szCs w:val="21"/>
        </w:rPr>
        <w:t>投标人应将投标文件按23</w:t>
      </w:r>
      <w:r>
        <w:rPr>
          <w:rFonts w:ascii="宋体" w:hAnsi="宋体"/>
          <w:szCs w:val="21"/>
        </w:rPr>
        <w:t>.1</w:t>
      </w:r>
      <w:r>
        <w:rPr>
          <w:rFonts w:hint="eastAsia" w:ascii="宋体" w:hAnsi="宋体"/>
          <w:szCs w:val="21"/>
        </w:rPr>
        <w:t>～23</w:t>
      </w:r>
      <w:r>
        <w:rPr>
          <w:rFonts w:ascii="宋体" w:hAnsi="宋体"/>
          <w:szCs w:val="21"/>
        </w:rPr>
        <w:t>.2</w:t>
      </w:r>
      <w:r>
        <w:rPr>
          <w:rFonts w:hint="eastAsia" w:ascii="宋体" w:hAnsi="宋体"/>
          <w:szCs w:val="21"/>
        </w:rPr>
        <w:t>款中的规定进行密封和标记后，按照本招标文件载明的要求递交投标文件。</w:t>
      </w:r>
    </w:p>
    <w:p>
      <w:pPr>
        <w:ind w:firstLine="411" w:firstLineChars="196"/>
        <w:rPr>
          <w:rFonts w:ascii="宋体" w:hAnsi="宋体"/>
          <w:szCs w:val="21"/>
        </w:rPr>
      </w:pPr>
      <w:r>
        <w:rPr>
          <w:rFonts w:hint="eastAsia" w:ascii="宋体" w:hAnsi="宋体"/>
          <w:szCs w:val="21"/>
        </w:rPr>
        <w:t>23</w:t>
      </w:r>
      <w:r>
        <w:rPr>
          <w:rFonts w:ascii="宋体" w:hAnsi="宋体"/>
          <w:szCs w:val="21"/>
        </w:rPr>
        <w:t>.4</w:t>
      </w:r>
      <w:r>
        <w:rPr>
          <w:rFonts w:hint="eastAsia" w:ascii="宋体" w:hAnsi="宋体"/>
          <w:szCs w:val="21"/>
        </w:rPr>
        <w:t>如果投标人未按上述规定进行密封、标记和递交的，招标方对投标文件的误投或提前拆封不负责任。</w:t>
      </w:r>
    </w:p>
    <w:p>
      <w:pPr>
        <w:ind w:firstLine="411" w:firstLineChars="196"/>
        <w:rPr>
          <w:rFonts w:ascii="宋体" w:hAnsi="宋体"/>
          <w:szCs w:val="21"/>
        </w:rPr>
      </w:pPr>
      <w:r>
        <w:rPr>
          <w:rFonts w:hint="eastAsia" w:ascii="宋体" w:hAnsi="宋体"/>
          <w:szCs w:val="21"/>
        </w:rPr>
        <w:t>24、投标文件的提交和截标时投标文件的数量要求</w:t>
      </w:r>
    </w:p>
    <w:p>
      <w:pPr>
        <w:ind w:firstLine="411" w:firstLineChars="196"/>
        <w:rPr>
          <w:rFonts w:ascii="宋体" w:hAnsi="宋体"/>
          <w:szCs w:val="21"/>
        </w:rPr>
      </w:pPr>
      <w:r>
        <w:rPr>
          <w:rFonts w:hint="eastAsia" w:ascii="宋体" w:hAnsi="宋体"/>
          <w:szCs w:val="21"/>
        </w:rPr>
        <w:t>24</w:t>
      </w:r>
      <w:r>
        <w:rPr>
          <w:rFonts w:ascii="宋体" w:hAnsi="宋体"/>
          <w:szCs w:val="21"/>
        </w:rPr>
        <w:t>.1</w:t>
      </w:r>
      <w:r>
        <w:rPr>
          <w:rFonts w:hint="eastAsia" w:ascii="宋体" w:hAnsi="宋体"/>
          <w:szCs w:val="21"/>
        </w:rPr>
        <w:t>投标文件截止时间和地点。投标人应根据“投标须知前附表”的规定，在投标截止时间前将投标文件密封送达指定地点。</w:t>
      </w:r>
    </w:p>
    <w:p>
      <w:pPr>
        <w:ind w:firstLine="411" w:firstLineChars="196"/>
        <w:rPr>
          <w:rFonts w:ascii="宋体" w:hAnsi="宋体"/>
          <w:szCs w:val="21"/>
        </w:rPr>
      </w:pPr>
      <w:r>
        <w:rPr>
          <w:rFonts w:hint="eastAsia" w:ascii="宋体" w:hAnsi="宋体"/>
          <w:szCs w:val="21"/>
        </w:rPr>
        <w:t>24</w:t>
      </w:r>
      <w:r>
        <w:rPr>
          <w:rFonts w:ascii="宋体" w:hAnsi="宋体"/>
          <w:szCs w:val="21"/>
        </w:rPr>
        <w:t>.2</w:t>
      </w:r>
      <w:r>
        <w:rPr>
          <w:rFonts w:hint="eastAsia" w:ascii="宋体" w:hAnsi="宋体"/>
          <w:szCs w:val="21"/>
        </w:rPr>
        <w:t>投标截止后如投标人少于</w:t>
      </w:r>
      <w:r>
        <w:rPr>
          <w:rFonts w:ascii="宋体" w:hAnsi="宋体"/>
          <w:szCs w:val="21"/>
        </w:rPr>
        <w:t xml:space="preserve"> 3 </w:t>
      </w:r>
      <w:r>
        <w:rPr>
          <w:rFonts w:hint="eastAsia" w:ascii="宋体" w:hAnsi="宋体"/>
          <w:szCs w:val="21"/>
        </w:rPr>
        <w:t>名。</w:t>
      </w:r>
    </w:p>
    <w:p>
      <w:pPr>
        <w:ind w:firstLine="411" w:firstLineChars="196"/>
        <w:rPr>
          <w:rFonts w:ascii="宋体" w:hAnsi="宋体"/>
          <w:szCs w:val="21"/>
        </w:rPr>
      </w:pPr>
      <w:r>
        <w:rPr>
          <w:rFonts w:hint="eastAsia" w:ascii="宋体" w:hAnsi="宋体"/>
          <w:szCs w:val="21"/>
        </w:rPr>
        <w:t>25．投标文件的修改和撤销</w:t>
      </w:r>
    </w:p>
    <w:p>
      <w:pPr>
        <w:ind w:firstLine="411" w:firstLineChars="196"/>
        <w:rPr>
          <w:rFonts w:ascii="宋体" w:hAnsi="宋体"/>
          <w:szCs w:val="21"/>
        </w:rPr>
      </w:pPr>
      <w:r>
        <w:rPr>
          <w:rFonts w:ascii="宋体" w:hAnsi="宋体"/>
          <w:szCs w:val="21"/>
        </w:rPr>
        <w:t>2</w:t>
      </w:r>
      <w:r>
        <w:rPr>
          <w:rFonts w:hint="eastAsia" w:ascii="宋体" w:hAnsi="宋体"/>
          <w:szCs w:val="21"/>
        </w:rPr>
        <w:t>5</w:t>
      </w:r>
      <w:r>
        <w:rPr>
          <w:rFonts w:ascii="宋体" w:hAnsi="宋体"/>
          <w:szCs w:val="21"/>
        </w:rPr>
        <w:t>.1</w:t>
      </w:r>
      <w:r>
        <w:rPr>
          <w:rFonts w:hint="eastAsia" w:ascii="宋体" w:hAnsi="宋体"/>
          <w:szCs w:val="21"/>
        </w:rPr>
        <w:t>投标截止时间以后，投标人不得修改投标文件。</w:t>
      </w:r>
    </w:p>
    <w:p>
      <w:pPr>
        <w:ind w:firstLine="411" w:firstLineChars="196"/>
        <w:rPr>
          <w:rFonts w:ascii="宋体" w:hAnsi="宋体"/>
          <w:szCs w:val="21"/>
        </w:rPr>
      </w:pPr>
      <w:r>
        <w:rPr>
          <w:rFonts w:ascii="宋体" w:hAnsi="宋体"/>
          <w:szCs w:val="21"/>
        </w:rPr>
        <w:t>2</w:t>
      </w:r>
      <w:r>
        <w:rPr>
          <w:rFonts w:hint="eastAsia" w:ascii="宋体" w:hAnsi="宋体"/>
          <w:szCs w:val="21"/>
        </w:rPr>
        <w:t>5</w:t>
      </w:r>
      <w:r>
        <w:rPr>
          <w:rFonts w:ascii="宋体" w:hAnsi="宋体"/>
          <w:szCs w:val="21"/>
        </w:rPr>
        <w:t>.3</w:t>
      </w:r>
      <w:r>
        <w:rPr>
          <w:rFonts w:hint="eastAsia" w:ascii="宋体" w:hAnsi="宋体"/>
          <w:szCs w:val="21"/>
        </w:rPr>
        <w:t>招标人不退还投标文件。</w:t>
      </w:r>
    </w:p>
    <w:bookmarkEnd w:id="55"/>
    <w:p>
      <w:pPr>
        <w:pStyle w:val="5"/>
        <w:numPr>
          <w:ilvl w:val="0"/>
          <w:numId w:val="11"/>
        </w:numPr>
        <w:tabs>
          <w:tab w:val="left" w:pos="360"/>
        </w:tabs>
        <w:spacing w:beforeLines="50" w:afterLines="50"/>
        <w:ind w:left="562" w:hanging="562"/>
        <w:rPr>
          <w:sz w:val="28"/>
          <w:szCs w:val="28"/>
        </w:rPr>
      </w:pPr>
      <w:r>
        <w:rPr>
          <w:rFonts w:hint="eastAsia"/>
          <w:sz w:val="28"/>
          <w:szCs w:val="28"/>
        </w:rPr>
        <w:t>开标</w:t>
      </w:r>
    </w:p>
    <w:p>
      <w:pPr>
        <w:ind w:firstLine="411" w:firstLineChars="196"/>
        <w:rPr>
          <w:rFonts w:ascii="宋体" w:hAnsi="宋体"/>
          <w:szCs w:val="21"/>
        </w:rPr>
      </w:pPr>
      <w:r>
        <w:rPr>
          <w:rFonts w:ascii="宋体" w:hAnsi="宋体"/>
          <w:szCs w:val="21"/>
        </w:rPr>
        <w:t>2</w:t>
      </w:r>
      <w:r>
        <w:rPr>
          <w:rFonts w:hint="eastAsia" w:ascii="宋体" w:hAnsi="宋体"/>
          <w:szCs w:val="21"/>
        </w:rPr>
        <w:t>6．开标</w:t>
      </w:r>
    </w:p>
    <w:p>
      <w:pPr>
        <w:ind w:firstLine="411" w:firstLineChars="196"/>
        <w:rPr>
          <w:rFonts w:ascii="宋体" w:hAnsi="宋体"/>
          <w:szCs w:val="21"/>
        </w:rPr>
      </w:pPr>
      <w:r>
        <w:rPr>
          <w:rFonts w:ascii="宋体" w:hAnsi="宋体"/>
          <w:szCs w:val="21"/>
        </w:rPr>
        <w:t>2</w:t>
      </w:r>
      <w:r>
        <w:rPr>
          <w:rFonts w:hint="eastAsia" w:ascii="宋体" w:hAnsi="宋体"/>
          <w:szCs w:val="21"/>
        </w:rPr>
        <w:t>6</w:t>
      </w:r>
      <w:r>
        <w:rPr>
          <w:rFonts w:ascii="宋体" w:hAnsi="宋体"/>
          <w:szCs w:val="21"/>
        </w:rPr>
        <w:t xml:space="preserve">.1 </w:t>
      </w:r>
      <w:r>
        <w:rPr>
          <w:rFonts w:hint="eastAsia" w:ascii="宋体" w:hAnsi="宋体"/>
          <w:szCs w:val="21"/>
        </w:rPr>
        <w:t>开标时间：见《招标公告》；</w:t>
      </w:r>
    </w:p>
    <w:p>
      <w:pPr>
        <w:ind w:firstLine="411" w:firstLineChars="196"/>
        <w:rPr>
          <w:rFonts w:ascii="宋体" w:hAnsi="宋体"/>
          <w:szCs w:val="21"/>
        </w:rPr>
      </w:pPr>
      <w:r>
        <w:rPr>
          <w:rFonts w:hint="eastAsia" w:ascii="宋体" w:hAnsi="宋体"/>
          <w:szCs w:val="21"/>
        </w:rPr>
        <w:t>开标地点：见《招标公告》。</w:t>
      </w:r>
    </w:p>
    <w:p>
      <w:pPr>
        <w:ind w:firstLine="411" w:firstLineChars="196"/>
        <w:rPr>
          <w:rFonts w:ascii="宋体" w:hAnsi="宋体"/>
          <w:szCs w:val="21"/>
        </w:rPr>
      </w:pPr>
      <w:r>
        <w:rPr>
          <w:rFonts w:hint="eastAsia" w:ascii="宋体" w:hAnsi="宋体"/>
          <w:szCs w:val="21"/>
        </w:rPr>
        <w:t>投标人应派代表参加开标会。不参加开标会的投标人，视为其认可开标程序和结果。</w:t>
      </w:r>
    </w:p>
    <w:p>
      <w:pPr>
        <w:ind w:firstLine="411" w:firstLineChars="196"/>
        <w:rPr>
          <w:rFonts w:ascii="宋体" w:hAnsi="宋体"/>
          <w:szCs w:val="21"/>
        </w:rPr>
      </w:pPr>
      <w:r>
        <w:rPr>
          <w:rFonts w:ascii="宋体" w:hAnsi="宋体"/>
          <w:szCs w:val="21"/>
        </w:rPr>
        <w:t>2</w:t>
      </w:r>
      <w:r>
        <w:rPr>
          <w:rFonts w:hint="eastAsia" w:ascii="宋体" w:hAnsi="宋体"/>
          <w:szCs w:val="21"/>
        </w:rPr>
        <w:t>6</w:t>
      </w:r>
      <w:r>
        <w:rPr>
          <w:rFonts w:ascii="宋体" w:hAnsi="宋体"/>
          <w:szCs w:val="21"/>
        </w:rPr>
        <w:t>.2</w:t>
      </w:r>
      <w:r>
        <w:rPr>
          <w:rFonts w:hint="eastAsia" w:ascii="宋体" w:hAnsi="宋体"/>
          <w:szCs w:val="21"/>
        </w:rPr>
        <w:t>参加开标会议的投标人只委派一名代表，且必须是本单位法定代表人或投标员。</w:t>
      </w:r>
    </w:p>
    <w:p>
      <w:pPr>
        <w:ind w:firstLine="411" w:firstLineChars="196"/>
        <w:rPr>
          <w:rFonts w:ascii="宋体" w:hAnsi="宋体"/>
          <w:szCs w:val="21"/>
        </w:rPr>
      </w:pPr>
      <w:r>
        <w:rPr>
          <w:rFonts w:ascii="宋体" w:hAnsi="宋体"/>
          <w:szCs w:val="21"/>
        </w:rPr>
        <w:t>2</w:t>
      </w:r>
      <w:r>
        <w:rPr>
          <w:rFonts w:hint="eastAsia" w:ascii="宋体" w:hAnsi="宋体"/>
          <w:szCs w:val="21"/>
        </w:rPr>
        <w:t>6</w:t>
      </w:r>
      <w:r>
        <w:rPr>
          <w:rFonts w:ascii="宋体" w:hAnsi="宋体"/>
          <w:szCs w:val="21"/>
        </w:rPr>
        <w:t>.3</w:t>
      </w:r>
      <w:r>
        <w:rPr>
          <w:rFonts w:hint="eastAsia" w:ascii="宋体" w:hAnsi="宋体"/>
          <w:szCs w:val="21"/>
        </w:rPr>
        <w:t>开标会由招标人主持。</w:t>
      </w:r>
    </w:p>
    <w:p>
      <w:pPr>
        <w:ind w:firstLine="411" w:firstLineChars="196"/>
        <w:rPr>
          <w:rFonts w:ascii="宋体" w:hAnsi="宋体"/>
          <w:szCs w:val="21"/>
        </w:rPr>
      </w:pPr>
      <w:r>
        <w:rPr>
          <w:rFonts w:ascii="宋体" w:hAnsi="宋体"/>
          <w:szCs w:val="21"/>
        </w:rPr>
        <w:t>2</w:t>
      </w:r>
      <w:r>
        <w:rPr>
          <w:rFonts w:hint="eastAsia" w:ascii="宋体" w:hAnsi="宋体"/>
          <w:szCs w:val="21"/>
        </w:rPr>
        <w:t>6</w:t>
      </w:r>
      <w:r>
        <w:rPr>
          <w:rFonts w:ascii="宋体" w:hAnsi="宋体"/>
          <w:szCs w:val="21"/>
        </w:rPr>
        <w:t>.4</w:t>
      </w:r>
      <w:r>
        <w:rPr>
          <w:rFonts w:hint="eastAsia" w:ascii="宋体" w:hAnsi="宋体"/>
          <w:szCs w:val="21"/>
        </w:rPr>
        <w:t>招标人当众宣布开标纪律、招标人参会人员的名单，公布提交投标文件的投标人名单。</w:t>
      </w:r>
    </w:p>
    <w:p>
      <w:pPr>
        <w:ind w:firstLine="411" w:firstLineChars="196"/>
        <w:rPr>
          <w:rFonts w:ascii="宋体" w:hAnsi="宋体"/>
          <w:szCs w:val="21"/>
        </w:rPr>
      </w:pPr>
      <w:r>
        <w:rPr>
          <w:rFonts w:ascii="宋体" w:hAnsi="宋体"/>
          <w:szCs w:val="21"/>
        </w:rPr>
        <w:t>2</w:t>
      </w:r>
      <w:r>
        <w:rPr>
          <w:rFonts w:hint="eastAsia" w:ascii="宋体" w:hAnsi="宋体"/>
          <w:szCs w:val="21"/>
        </w:rPr>
        <w:t>6</w:t>
      </w:r>
      <w:r>
        <w:rPr>
          <w:rFonts w:ascii="宋体" w:hAnsi="宋体"/>
          <w:szCs w:val="21"/>
        </w:rPr>
        <w:t xml:space="preserve">.5 </w:t>
      </w:r>
      <w:r>
        <w:rPr>
          <w:rFonts w:hint="eastAsia" w:ascii="宋体" w:hAnsi="宋体"/>
          <w:szCs w:val="21"/>
        </w:rPr>
        <w:t>公布提交合格撤回通知的投标人名单，并将其投标文件原封不动地退回。</w:t>
      </w:r>
    </w:p>
    <w:p>
      <w:pPr>
        <w:ind w:firstLine="411" w:firstLineChars="196"/>
        <w:rPr>
          <w:rFonts w:ascii="宋体" w:hAnsi="宋体"/>
          <w:szCs w:val="21"/>
        </w:rPr>
      </w:pPr>
      <w:r>
        <w:rPr>
          <w:rFonts w:ascii="宋体" w:hAnsi="宋体"/>
          <w:szCs w:val="21"/>
        </w:rPr>
        <w:t>2</w:t>
      </w:r>
      <w:r>
        <w:rPr>
          <w:rFonts w:hint="eastAsia" w:ascii="宋体" w:hAnsi="宋体"/>
          <w:szCs w:val="21"/>
        </w:rPr>
        <w:t>6</w:t>
      </w:r>
      <w:r>
        <w:rPr>
          <w:rFonts w:ascii="宋体" w:hAnsi="宋体"/>
          <w:szCs w:val="21"/>
        </w:rPr>
        <w:t>.6</w:t>
      </w:r>
      <w:r>
        <w:rPr>
          <w:rFonts w:hint="eastAsia" w:ascii="宋体" w:hAnsi="宋体"/>
          <w:szCs w:val="21"/>
        </w:rPr>
        <w:t>招标人负责检查投标文件的密封和标记情况，在场所有投标人和代理机构工作人员、监管人员共同见证。</w:t>
      </w:r>
    </w:p>
    <w:p>
      <w:pPr>
        <w:ind w:firstLine="411" w:firstLineChars="196"/>
        <w:rPr>
          <w:rFonts w:ascii="宋体" w:hAnsi="宋体"/>
          <w:szCs w:val="21"/>
        </w:rPr>
      </w:pPr>
      <w:r>
        <w:rPr>
          <w:rFonts w:ascii="宋体" w:hAnsi="宋体"/>
          <w:szCs w:val="21"/>
        </w:rPr>
        <w:t>2</w:t>
      </w:r>
      <w:r>
        <w:rPr>
          <w:rFonts w:hint="eastAsia" w:ascii="宋体" w:hAnsi="宋体"/>
          <w:szCs w:val="21"/>
        </w:rPr>
        <w:t>6</w:t>
      </w:r>
      <w:r>
        <w:rPr>
          <w:rFonts w:ascii="宋体" w:hAnsi="宋体"/>
          <w:szCs w:val="21"/>
        </w:rPr>
        <w:t xml:space="preserve">.7 </w:t>
      </w:r>
      <w:r>
        <w:rPr>
          <w:rFonts w:hint="eastAsia" w:ascii="宋体" w:hAnsi="宋体"/>
          <w:szCs w:val="21"/>
        </w:rPr>
        <w:t>经确认无误后，由招标人当众拆封，宣读投标人名称、投标担保的提交情况（若招标人设有）以及招标文件规定的其他内容。</w:t>
      </w:r>
    </w:p>
    <w:p>
      <w:pPr>
        <w:ind w:firstLine="411" w:firstLineChars="196"/>
        <w:rPr>
          <w:rFonts w:ascii="宋体" w:hAnsi="宋体"/>
          <w:szCs w:val="21"/>
        </w:rPr>
      </w:pPr>
      <w:r>
        <w:rPr>
          <w:rFonts w:ascii="宋体" w:hAnsi="宋体"/>
          <w:szCs w:val="21"/>
        </w:rPr>
        <w:t>2</w:t>
      </w:r>
      <w:r>
        <w:rPr>
          <w:rFonts w:hint="eastAsia" w:ascii="宋体" w:hAnsi="宋体"/>
          <w:szCs w:val="21"/>
        </w:rPr>
        <w:t>6</w:t>
      </w:r>
      <w:r>
        <w:rPr>
          <w:rFonts w:ascii="宋体" w:hAnsi="宋体"/>
          <w:szCs w:val="21"/>
        </w:rPr>
        <w:t>.8</w:t>
      </w:r>
      <w:r>
        <w:rPr>
          <w:rFonts w:hint="eastAsia" w:ascii="宋体" w:hAnsi="宋体"/>
          <w:szCs w:val="21"/>
        </w:rPr>
        <w:t>招标人在投标截止时间前收到的所有投标文件，开标时都应当众拆封、宣读。</w:t>
      </w:r>
    </w:p>
    <w:p>
      <w:pPr>
        <w:ind w:firstLine="411" w:firstLineChars="196"/>
        <w:rPr>
          <w:sz w:val="24"/>
        </w:rPr>
      </w:pPr>
      <w:r>
        <w:rPr>
          <w:rFonts w:ascii="宋体" w:hAnsi="宋体"/>
          <w:szCs w:val="21"/>
        </w:rPr>
        <w:t>2</w:t>
      </w:r>
      <w:r>
        <w:rPr>
          <w:rFonts w:hint="eastAsia" w:ascii="宋体" w:hAnsi="宋体"/>
          <w:szCs w:val="21"/>
        </w:rPr>
        <w:t>6</w:t>
      </w:r>
      <w:r>
        <w:rPr>
          <w:rFonts w:ascii="宋体" w:hAnsi="宋体"/>
          <w:szCs w:val="21"/>
        </w:rPr>
        <w:t>.9</w:t>
      </w:r>
      <w:r>
        <w:rPr>
          <w:rFonts w:hint="eastAsia" w:ascii="宋体" w:hAnsi="宋体"/>
          <w:szCs w:val="21"/>
        </w:rPr>
        <w:t>招标人应把开标过程记录在《开标情况记录表》，并由投标人签字确认。投标人拒绝在《开标情况记录表》上签字的，视为同意开标程序和结果。</w:t>
      </w:r>
    </w:p>
    <w:p>
      <w:pPr>
        <w:pStyle w:val="5"/>
        <w:numPr>
          <w:ilvl w:val="0"/>
          <w:numId w:val="11"/>
        </w:numPr>
        <w:tabs>
          <w:tab w:val="left" w:pos="360"/>
        </w:tabs>
        <w:spacing w:beforeLines="50" w:afterLines="50"/>
        <w:ind w:left="562" w:hanging="562"/>
        <w:rPr>
          <w:sz w:val="28"/>
          <w:szCs w:val="28"/>
        </w:rPr>
      </w:pPr>
      <w:r>
        <w:rPr>
          <w:rFonts w:hint="eastAsia"/>
          <w:sz w:val="28"/>
          <w:szCs w:val="28"/>
        </w:rPr>
        <w:t>评审要求</w:t>
      </w:r>
    </w:p>
    <w:p>
      <w:pPr>
        <w:rPr>
          <w:rFonts w:ascii="黑体" w:hAnsi="宋体" w:eastAsia="黑体"/>
          <w:sz w:val="24"/>
        </w:rPr>
      </w:pPr>
      <w:r>
        <w:rPr>
          <w:rFonts w:hint="eastAsia" w:ascii="黑体" w:hAnsi="宋体" w:eastAsia="黑体"/>
          <w:sz w:val="24"/>
        </w:rPr>
        <w:t>27．评审委员会组成</w:t>
      </w:r>
    </w:p>
    <w:p>
      <w:pPr>
        <w:ind w:firstLine="411" w:firstLineChars="196"/>
        <w:rPr>
          <w:rFonts w:ascii="宋体" w:hAnsi="宋体"/>
        </w:rPr>
      </w:pPr>
      <w:r>
        <w:rPr>
          <w:rFonts w:hint="eastAsia" w:ascii="宋体" w:hAnsi="宋体"/>
        </w:rPr>
        <w:t>27.1开标结束后召开评审会议，</w:t>
      </w:r>
      <w:r>
        <w:rPr>
          <w:rFonts w:hint="eastAsia" w:ascii="宋体" w:hAnsi="宋体"/>
          <w:szCs w:val="21"/>
        </w:rPr>
        <w:t>评审委员会</w:t>
      </w:r>
      <w:r>
        <w:rPr>
          <w:rFonts w:hint="eastAsia" w:ascii="宋体" w:hAnsi="宋体"/>
        </w:rPr>
        <w:t>由招标人组建，负责评审活动。</w:t>
      </w:r>
    </w:p>
    <w:p>
      <w:pPr>
        <w:ind w:firstLine="411" w:firstLineChars="196"/>
        <w:rPr>
          <w:rFonts w:ascii="宋体" w:hAnsi="宋体"/>
        </w:rPr>
      </w:pPr>
      <w:bookmarkStart w:id="56" w:name="_Hlk72436580"/>
      <w:r>
        <w:rPr>
          <w:rFonts w:hint="eastAsia" w:ascii="宋体" w:hAnsi="宋体"/>
        </w:rPr>
        <w:t>评审委员会由采购人代表和评审专家组成，成员人数应当为5人以上单数（部分条件下为7人以上单数），其中评审专家不得少于成员总数的三分之二，本项目评标专家为4人，采购人代表1人。</w:t>
      </w:r>
      <w:bookmarkEnd w:id="56"/>
    </w:p>
    <w:p>
      <w:pPr>
        <w:ind w:firstLine="411" w:firstLineChars="196"/>
        <w:rPr>
          <w:rFonts w:ascii="宋体" w:hAnsi="宋体"/>
        </w:rPr>
      </w:pPr>
      <w:r>
        <w:rPr>
          <w:rFonts w:hint="eastAsia" w:ascii="宋体" w:hAnsi="宋体"/>
        </w:rPr>
        <w:t>27.2评审定标应当遵循公平、公正、科学、择优的原则。</w:t>
      </w:r>
    </w:p>
    <w:p>
      <w:pPr>
        <w:ind w:firstLine="411" w:firstLineChars="196"/>
        <w:rPr>
          <w:rFonts w:ascii="宋体" w:hAnsi="宋体"/>
        </w:rPr>
      </w:pPr>
      <w:r>
        <w:rPr>
          <w:rFonts w:hint="eastAsia" w:ascii="宋体" w:hAnsi="宋体"/>
        </w:rPr>
        <w:t>27.3评审活动依法进行，任何单位和个人不得非法干预评标过程和结果。</w:t>
      </w:r>
    </w:p>
    <w:p>
      <w:pPr>
        <w:ind w:firstLine="411" w:firstLineChars="196"/>
        <w:rPr>
          <w:rFonts w:ascii="宋体" w:hAnsi="宋体"/>
        </w:rPr>
      </w:pPr>
      <w:r>
        <w:rPr>
          <w:rFonts w:hint="eastAsia" w:ascii="宋体" w:hAnsi="宋体"/>
        </w:rPr>
        <w:t>27.4评审过程中不允许违背评标程序或采用招标文件未载明的评标方法或评标因素进行评标。</w:t>
      </w:r>
    </w:p>
    <w:p>
      <w:pPr>
        <w:ind w:firstLine="411" w:firstLineChars="196"/>
        <w:rPr>
          <w:rFonts w:ascii="宋体" w:hAnsi="宋体"/>
          <w:bCs/>
        </w:rPr>
      </w:pPr>
      <w:r>
        <w:rPr>
          <w:rFonts w:hint="eastAsia" w:ascii="宋体" w:hAnsi="宋体"/>
          <w:bCs/>
        </w:rPr>
        <w:t>27.5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pPr>
        <w:rPr>
          <w:rFonts w:ascii="黑体" w:hAnsi="宋体" w:eastAsia="黑体"/>
          <w:sz w:val="24"/>
        </w:rPr>
      </w:pPr>
      <w:r>
        <w:rPr>
          <w:rFonts w:hint="eastAsia" w:ascii="黑体" w:hAnsi="宋体" w:eastAsia="黑体"/>
          <w:sz w:val="24"/>
        </w:rPr>
        <w:t>28．向评审委员会提供的资料</w:t>
      </w:r>
    </w:p>
    <w:p>
      <w:pPr>
        <w:ind w:firstLine="411" w:firstLineChars="196"/>
        <w:rPr>
          <w:rFonts w:ascii="宋体" w:hAnsi="宋体"/>
        </w:rPr>
      </w:pPr>
      <w:r>
        <w:rPr>
          <w:rFonts w:hint="eastAsia" w:ascii="宋体" w:hAnsi="宋体"/>
        </w:rPr>
        <w:t>28.1公开发布的招标文件，包括图纸、服务清单、答疑文件等；</w:t>
      </w:r>
    </w:p>
    <w:p>
      <w:pPr>
        <w:ind w:firstLine="411" w:firstLineChars="196"/>
        <w:rPr>
          <w:rFonts w:ascii="宋体" w:hAnsi="宋体"/>
        </w:rPr>
      </w:pPr>
      <w:r>
        <w:rPr>
          <w:rFonts w:hint="eastAsia" w:ascii="宋体" w:hAnsi="宋体"/>
        </w:rPr>
        <w:t>28.2其他评标必须的资料。</w:t>
      </w:r>
    </w:p>
    <w:p>
      <w:pPr>
        <w:ind w:firstLine="411" w:firstLineChars="196"/>
        <w:rPr>
          <w:rFonts w:ascii="宋体" w:hAnsi="宋体"/>
        </w:rPr>
      </w:pPr>
      <w:r>
        <w:rPr>
          <w:rFonts w:hint="eastAsia" w:ascii="宋体" w:hAnsi="宋体"/>
        </w:rPr>
        <w:t>28.3</w:t>
      </w:r>
      <w:r>
        <w:rPr>
          <w:rFonts w:hint="eastAsia" w:ascii="宋体" w:hAnsi="宋体"/>
          <w:szCs w:val="21"/>
        </w:rPr>
        <w:t>评审委员会</w:t>
      </w:r>
      <w:r>
        <w:rPr>
          <w:rFonts w:hint="eastAsia" w:ascii="宋体" w:hAnsi="宋体"/>
        </w:rPr>
        <w:t>应当认真研究招标文件，至少应了解熟悉以下内容：</w:t>
      </w:r>
    </w:p>
    <w:p>
      <w:pPr>
        <w:ind w:firstLine="411" w:firstLineChars="196"/>
        <w:rPr>
          <w:rFonts w:ascii="宋体" w:hAnsi="宋体"/>
        </w:rPr>
      </w:pPr>
      <w:r>
        <w:rPr>
          <w:rFonts w:hint="eastAsia" w:ascii="宋体" w:hAnsi="宋体"/>
        </w:rPr>
        <w:t>（1）招标的目的；</w:t>
      </w:r>
    </w:p>
    <w:p>
      <w:pPr>
        <w:ind w:firstLine="411" w:firstLineChars="196"/>
        <w:rPr>
          <w:rFonts w:ascii="宋体" w:hAnsi="宋体"/>
        </w:rPr>
      </w:pPr>
      <w:r>
        <w:rPr>
          <w:rFonts w:hint="eastAsia" w:ascii="宋体" w:hAnsi="宋体"/>
        </w:rPr>
        <w:t>（2）招标项目需求的范围和性质；</w:t>
      </w:r>
    </w:p>
    <w:p>
      <w:pPr>
        <w:ind w:firstLine="411" w:firstLineChars="196"/>
        <w:rPr>
          <w:rFonts w:ascii="宋体" w:hAnsi="宋体"/>
        </w:rPr>
      </w:pPr>
      <w:r>
        <w:rPr>
          <w:rFonts w:hint="eastAsia" w:ascii="宋体" w:hAnsi="宋体"/>
        </w:rPr>
        <w:t>（3）招标文件规定的投标人的资格、预算金额、商务条款；</w:t>
      </w:r>
    </w:p>
    <w:p>
      <w:pPr>
        <w:ind w:firstLine="411" w:firstLineChars="196"/>
        <w:rPr>
          <w:rFonts w:ascii="宋体" w:hAnsi="宋体"/>
        </w:rPr>
      </w:pPr>
      <w:r>
        <w:rPr>
          <w:rFonts w:hint="eastAsia" w:ascii="宋体" w:hAnsi="宋体"/>
        </w:rPr>
        <w:t>（4）招标文件规定的评标程序、评标方法和评标因素；</w:t>
      </w:r>
    </w:p>
    <w:p>
      <w:pPr>
        <w:ind w:firstLine="411" w:firstLineChars="196"/>
        <w:rPr>
          <w:rFonts w:ascii="宋体" w:hAnsi="宋体"/>
        </w:rPr>
      </w:pPr>
      <w:r>
        <w:rPr>
          <w:rFonts w:hint="eastAsia" w:ascii="宋体" w:hAnsi="宋体"/>
        </w:rPr>
        <w:t>（5）招标文件所列示的资格性审查表及符合性审查表。</w:t>
      </w:r>
    </w:p>
    <w:p>
      <w:pPr>
        <w:rPr>
          <w:rFonts w:ascii="黑体" w:hAnsi="宋体" w:eastAsia="黑体"/>
          <w:sz w:val="24"/>
        </w:rPr>
      </w:pPr>
      <w:r>
        <w:rPr>
          <w:rFonts w:hint="eastAsia" w:ascii="黑体" w:hAnsi="宋体" w:eastAsia="黑体"/>
          <w:sz w:val="24"/>
        </w:rPr>
        <w:t>29．独立评审</w:t>
      </w:r>
    </w:p>
    <w:p>
      <w:pPr>
        <w:ind w:firstLine="411" w:firstLineChars="196"/>
        <w:rPr>
          <w:rFonts w:ascii="宋体" w:hAnsi="宋体"/>
          <w:bCs/>
        </w:rPr>
      </w:pPr>
      <w:r>
        <w:rPr>
          <w:rFonts w:hint="eastAsia" w:ascii="宋体" w:hAnsi="宋体"/>
          <w:bCs/>
        </w:rPr>
        <w:t>29.1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pPr>
        <w:pStyle w:val="5"/>
        <w:numPr>
          <w:ilvl w:val="0"/>
          <w:numId w:val="11"/>
        </w:numPr>
        <w:tabs>
          <w:tab w:val="left" w:pos="360"/>
        </w:tabs>
        <w:spacing w:beforeLines="50" w:afterLines="50"/>
        <w:ind w:left="562" w:hanging="562"/>
        <w:rPr>
          <w:sz w:val="28"/>
          <w:szCs w:val="28"/>
        </w:rPr>
      </w:pPr>
      <w:r>
        <w:rPr>
          <w:rFonts w:hint="eastAsia"/>
          <w:sz w:val="28"/>
          <w:szCs w:val="28"/>
        </w:rPr>
        <w:t>评审程序及评审方法</w:t>
      </w:r>
    </w:p>
    <w:p>
      <w:pPr>
        <w:rPr>
          <w:rFonts w:ascii="黑体" w:hAnsi="宋体" w:eastAsia="黑体"/>
          <w:sz w:val="24"/>
        </w:rPr>
      </w:pPr>
      <w:r>
        <w:rPr>
          <w:rFonts w:hint="eastAsia" w:ascii="黑体" w:hAnsi="宋体" w:eastAsia="黑体"/>
          <w:sz w:val="24"/>
        </w:rPr>
        <w:t>30．投标文件初审</w:t>
      </w:r>
    </w:p>
    <w:p>
      <w:pPr>
        <w:ind w:firstLine="411" w:firstLineChars="196"/>
        <w:rPr>
          <w:rFonts w:ascii="宋体" w:hAnsi="宋体"/>
        </w:rPr>
      </w:pPr>
      <w:r>
        <w:rPr>
          <w:rFonts w:hint="eastAsia" w:ascii="宋体" w:hAnsi="宋体"/>
        </w:rPr>
        <w:t>30.1投标文件初审包括资格性审查和符合性审查。</w:t>
      </w:r>
    </w:p>
    <w:p>
      <w:pPr>
        <w:ind w:firstLine="411" w:firstLineChars="196"/>
        <w:rPr>
          <w:rFonts w:ascii="宋体" w:hAnsi="宋体"/>
        </w:rPr>
      </w:pPr>
      <w:r>
        <w:rPr>
          <w:rFonts w:hint="eastAsia" w:ascii="宋体" w:hAnsi="宋体"/>
        </w:rPr>
        <w:t>资格性审查：依据法律法规和招标文件的规定，对投标文件中的资格证明等进行审查，以确定投标供应商是否具备投标资格。</w:t>
      </w:r>
    </w:p>
    <w:p>
      <w:pPr>
        <w:ind w:firstLine="411" w:firstLineChars="196"/>
        <w:rPr>
          <w:rFonts w:ascii="宋体" w:hAnsi="宋体"/>
        </w:rPr>
      </w:pPr>
      <w:r>
        <w:rPr>
          <w:rFonts w:hint="eastAsia" w:ascii="宋体" w:hAnsi="宋体"/>
        </w:rPr>
        <w:t>符合性审查：依据招标文件的规定，对投标文件的有效性、完整性和对招标文件的响应程度进行审查，以确定是否满足符合性审查的要求。</w:t>
      </w:r>
    </w:p>
    <w:p>
      <w:pPr>
        <w:ind w:firstLine="411" w:firstLineChars="196"/>
        <w:rPr>
          <w:rFonts w:ascii="宋体" w:hAnsi="宋体"/>
        </w:rPr>
      </w:pPr>
      <w:r>
        <w:rPr>
          <w:rFonts w:hint="eastAsia" w:ascii="宋体" w:hAnsi="宋体"/>
        </w:rPr>
        <w:t>30.2 投标文件初审内容请详见《资格性审查表》和《符合性审查表》部分。投标人若有一条审查不通过则按投标无效处理。</w:t>
      </w:r>
    </w:p>
    <w:p>
      <w:pPr>
        <w:ind w:firstLine="411" w:firstLineChars="196"/>
        <w:rPr>
          <w:rFonts w:ascii="宋体" w:hAnsi="宋体"/>
          <w:bCs/>
        </w:rPr>
      </w:pPr>
      <w:r>
        <w:rPr>
          <w:rFonts w:hint="eastAsia" w:ascii="宋体" w:hAnsi="宋体"/>
          <w:bCs/>
        </w:rPr>
        <w:t>30.3 投标文件初审中关于供应商家数的计算:</w:t>
      </w:r>
    </w:p>
    <w:p>
      <w:pPr>
        <w:ind w:firstLine="411" w:firstLineChars="196"/>
        <w:rPr>
          <w:rFonts w:ascii="宋体" w:hAnsi="宋体"/>
          <w:bCs/>
        </w:rPr>
      </w:pPr>
      <w:r>
        <w:rPr>
          <w:rFonts w:hint="eastAsia" w:ascii="宋体" w:hAnsi="宋体"/>
          <w:bCs/>
        </w:rPr>
        <w:t>30.3.1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审的投标人，招标文件未规定的采取随机抽取方式确定，其他投标无效。</w:t>
      </w:r>
    </w:p>
    <w:p>
      <w:pPr>
        <w:ind w:firstLine="411" w:firstLineChars="196"/>
        <w:rPr>
          <w:rFonts w:ascii="宋体" w:hAnsi="宋体"/>
          <w:bCs/>
        </w:rPr>
      </w:pPr>
      <w:r>
        <w:rPr>
          <w:rFonts w:hint="eastAsia" w:ascii="宋体" w:hAnsi="宋体"/>
          <w:bCs/>
        </w:rPr>
        <w:t>30.3.2采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pPr>
        <w:ind w:firstLine="411" w:firstLineChars="196"/>
        <w:rPr>
          <w:rFonts w:ascii="宋体" w:hAnsi="宋体"/>
          <w:bCs/>
        </w:rPr>
      </w:pPr>
      <w:r>
        <w:rPr>
          <w:rFonts w:hint="eastAsia" w:ascii="宋体" w:hAnsi="宋体"/>
          <w:bCs/>
        </w:rPr>
        <w:t>30.3.3非单一产品采购项目，采购人应当根据采购项目技术构成、产品价格比重等合理确定核心产品，并在招标文件中载明。多家投标人提供的核心产品品牌相同的，按前两款规定处理。</w:t>
      </w:r>
    </w:p>
    <w:p>
      <w:pPr>
        <w:ind w:firstLine="411" w:firstLineChars="196"/>
        <w:rPr>
          <w:rFonts w:ascii="宋体" w:hAnsi="宋体"/>
        </w:rPr>
      </w:pPr>
      <w:r>
        <w:rPr>
          <w:rFonts w:hint="eastAsia" w:ascii="宋体" w:hAnsi="宋体"/>
        </w:rPr>
        <w:t>30.4投标人投标文件作无效处理的情形，具体包括但不限于以下：</w:t>
      </w:r>
    </w:p>
    <w:p>
      <w:pPr>
        <w:ind w:firstLine="411" w:firstLineChars="196"/>
      </w:pPr>
      <w:r>
        <w:rPr>
          <w:rFonts w:hint="eastAsia" w:ascii="宋体" w:hAnsi="宋体"/>
        </w:rPr>
        <w:t>30.4.1</w:t>
      </w:r>
      <w:r>
        <w:rPr>
          <w:rFonts w:hint="eastAsia"/>
        </w:rPr>
        <w:t>不同投标人的投标文件由同一单位或者同一个人编制，或者由同一个人分阶段参与编制；</w:t>
      </w:r>
    </w:p>
    <w:p>
      <w:pPr>
        <w:ind w:firstLine="411" w:firstLineChars="196"/>
      </w:pPr>
      <w:r>
        <w:rPr>
          <w:rFonts w:ascii="宋体" w:hAnsi="宋体"/>
        </w:rPr>
        <w:t>3</w:t>
      </w:r>
      <w:r>
        <w:rPr>
          <w:rFonts w:hint="eastAsia" w:ascii="宋体" w:hAnsi="宋体"/>
        </w:rPr>
        <w:t>0</w:t>
      </w:r>
      <w:r>
        <w:rPr>
          <w:rFonts w:ascii="宋体" w:hAnsi="宋体"/>
        </w:rPr>
        <w:t>.4.</w:t>
      </w:r>
      <w:r>
        <w:rPr>
          <w:rFonts w:hint="eastAsia" w:ascii="宋体" w:hAnsi="宋体"/>
        </w:rPr>
        <w:t>2</w:t>
      </w:r>
      <w:r>
        <w:rPr>
          <w:rFonts w:hint="eastAsia"/>
        </w:rPr>
        <w:t>不同投标人委托同一单位或者个人办理投标事宜；</w:t>
      </w:r>
    </w:p>
    <w:p>
      <w:pPr>
        <w:ind w:firstLine="411" w:firstLineChars="196"/>
        <w:rPr>
          <w:rFonts w:ascii="宋体" w:hAnsi="宋体"/>
        </w:rPr>
      </w:pPr>
      <w:r>
        <w:rPr>
          <w:rFonts w:hint="eastAsia" w:ascii="宋体" w:hAnsi="宋体"/>
        </w:rPr>
        <w:t>30.4.3不同投标人的投标文件载明的项目管理成员或者联系人员为同一人；</w:t>
      </w:r>
    </w:p>
    <w:p>
      <w:pPr>
        <w:ind w:firstLine="411" w:firstLineChars="196"/>
        <w:rPr>
          <w:rFonts w:ascii="宋体" w:hAnsi="宋体"/>
        </w:rPr>
      </w:pPr>
      <w:r>
        <w:rPr>
          <w:rFonts w:hint="eastAsia" w:ascii="宋体" w:hAnsi="宋体"/>
        </w:rPr>
        <w:t>30.4.4不同投标人的投标文件异常一致或者投标报价呈规律性差异；</w:t>
      </w:r>
    </w:p>
    <w:p>
      <w:pPr>
        <w:ind w:firstLine="411" w:firstLineChars="196"/>
        <w:rPr>
          <w:rFonts w:ascii="宋体" w:hAnsi="宋体"/>
        </w:rPr>
      </w:pPr>
      <w:r>
        <w:rPr>
          <w:rFonts w:hint="eastAsia" w:ascii="宋体" w:hAnsi="宋体"/>
        </w:rPr>
        <w:t>30.4.5</w:t>
      </w:r>
      <w:r>
        <w:rPr>
          <w:rFonts w:ascii="宋体" w:hAnsi="宋体"/>
        </w:rPr>
        <w:t>不同投标供应商的投标文件或部分投标文件相互混装</w:t>
      </w:r>
      <w:r>
        <w:rPr>
          <w:rFonts w:hint="eastAsia" w:ascii="宋体" w:hAnsi="宋体"/>
        </w:rPr>
        <w:t>；</w:t>
      </w:r>
    </w:p>
    <w:p>
      <w:pPr>
        <w:ind w:firstLine="411" w:firstLineChars="196"/>
        <w:rPr>
          <w:rFonts w:ascii="宋体" w:hAnsi="宋体"/>
        </w:rPr>
      </w:pPr>
      <w:r>
        <w:rPr>
          <w:rFonts w:hint="eastAsia" w:ascii="宋体" w:hAnsi="宋体"/>
        </w:rPr>
        <w:t>30.4.6投标供应商之间相互约定给予未中标的供应商利益补偿；</w:t>
      </w:r>
    </w:p>
    <w:p>
      <w:pPr>
        <w:ind w:firstLine="411" w:firstLineChars="196"/>
        <w:rPr>
          <w:rFonts w:ascii="宋体" w:hAnsi="宋体"/>
        </w:rPr>
      </w:pPr>
      <w:r>
        <w:rPr>
          <w:rFonts w:hint="eastAsia" w:ascii="宋体" w:hAnsi="宋体"/>
        </w:rPr>
        <w:t>30.4.7不同投标供应商的法定代表人、主要经营负责人、项目投标授权代表人、项目负责人、主要技术人员为同一人、属同一单位或者同一单位缴纳社会保险；</w:t>
      </w:r>
    </w:p>
    <w:p>
      <w:pPr>
        <w:ind w:firstLine="411" w:firstLineChars="196"/>
        <w:rPr>
          <w:rFonts w:ascii="宋体" w:hAnsi="宋体"/>
        </w:rPr>
      </w:pPr>
      <w:r>
        <w:rPr>
          <w:rFonts w:hint="eastAsia" w:ascii="宋体" w:hAnsi="宋体"/>
        </w:rPr>
        <w:t>30.4.8不同投标供应商的投标文件内容存在非正常一致；</w:t>
      </w:r>
    </w:p>
    <w:p>
      <w:pPr>
        <w:ind w:firstLine="411" w:firstLineChars="196"/>
        <w:rPr>
          <w:rFonts w:ascii="宋体" w:hAnsi="宋体"/>
        </w:rPr>
      </w:pPr>
      <w:r>
        <w:rPr>
          <w:rFonts w:hint="eastAsia" w:ascii="宋体" w:hAnsi="宋体"/>
        </w:rPr>
        <w:t>30.4.9在同一单位工作人员为两家以上（含两家）供应商进行同一项投标活动；</w:t>
      </w:r>
    </w:p>
    <w:p>
      <w:pPr>
        <w:ind w:firstLine="411" w:firstLineChars="196"/>
        <w:rPr>
          <w:rFonts w:ascii="宋体" w:hAnsi="宋体"/>
        </w:rPr>
      </w:pPr>
      <w:r>
        <w:rPr>
          <w:rFonts w:hint="eastAsia" w:ascii="宋体" w:hAnsi="宋体"/>
        </w:rPr>
        <w:t>30.4.10主管部门依照法律、法规认定的其他情形。</w:t>
      </w:r>
    </w:p>
    <w:p>
      <w:pPr>
        <w:ind w:firstLine="411" w:firstLineChars="196"/>
        <w:rPr>
          <w:rFonts w:ascii="宋体" w:hAnsi="宋体"/>
        </w:rPr>
      </w:pPr>
      <w:r>
        <w:rPr>
          <w:rFonts w:hint="eastAsia" w:ascii="宋体" w:hAnsi="宋体"/>
        </w:rPr>
        <w:t>30.5对不属于《资格性审查表》和《符合性审查表》所列的其他情形，除专用条款另有规定和32.4条款所列情形外，不得作为投标无效的理由。</w:t>
      </w:r>
    </w:p>
    <w:p>
      <w:pPr>
        <w:ind w:firstLine="480" w:firstLineChars="200"/>
        <w:rPr>
          <w:rFonts w:ascii="黑体" w:hAnsi="宋体" w:eastAsia="黑体"/>
          <w:sz w:val="24"/>
        </w:rPr>
      </w:pPr>
      <w:r>
        <w:rPr>
          <w:rFonts w:hint="eastAsia" w:ascii="黑体" w:hAnsi="宋体" w:eastAsia="黑体"/>
          <w:sz w:val="24"/>
        </w:rPr>
        <w:t>31．澄清有关问题</w:t>
      </w:r>
    </w:p>
    <w:p>
      <w:pPr>
        <w:ind w:firstLine="411" w:firstLineChars="196"/>
        <w:rPr>
          <w:rFonts w:ascii="宋体" w:hAnsi="宋体"/>
        </w:rPr>
      </w:pPr>
      <w:bookmarkStart w:id="57" w:name="_Hlk71407321"/>
      <w:r>
        <w:rPr>
          <w:rFonts w:hint="eastAsia" w:ascii="宋体" w:hAnsi="宋体"/>
        </w:rPr>
        <w:t>31</w:t>
      </w:r>
      <w:r>
        <w:rPr>
          <w:rFonts w:ascii="宋体" w:hAnsi="宋体"/>
        </w:rPr>
        <w:t>.1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57"/>
    </w:p>
    <w:p>
      <w:pPr>
        <w:ind w:firstLine="411" w:firstLineChars="196"/>
        <w:rPr>
          <w:rFonts w:ascii="宋体" w:hAnsi="宋体"/>
        </w:rPr>
      </w:pPr>
      <w:r>
        <w:rPr>
          <w:rFonts w:hint="eastAsia" w:ascii="宋体" w:hAnsi="宋体"/>
        </w:rPr>
        <w:t>31</w:t>
      </w:r>
      <w:r>
        <w:rPr>
          <w:rFonts w:ascii="宋体" w:hAnsi="宋体"/>
        </w:rPr>
        <w:t>.2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代理机构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pPr>
        <w:ind w:firstLine="411" w:firstLineChars="196"/>
        <w:rPr>
          <w:rFonts w:ascii="宋体" w:hAnsi="宋体"/>
        </w:rPr>
      </w:pPr>
      <w:r>
        <w:rPr>
          <w:rFonts w:ascii="宋体" w:hAnsi="宋体"/>
        </w:rPr>
        <w:t>3</w:t>
      </w:r>
      <w:r>
        <w:rPr>
          <w:rFonts w:hint="eastAsia" w:ascii="宋体" w:hAnsi="宋体"/>
        </w:rPr>
        <w:t>1</w:t>
      </w:r>
      <w:r>
        <w:rPr>
          <w:rFonts w:ascii="宋体" w:hAnsi="宋体"/>
        </w:rPr>
        <w:t>.3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pPr>
        <w:ind w:firstLine="411" w:firstLineChars="196"/>
        <w:rPr>
          <w:rFonts w:ascii="宋体" w:hAnsi="宋体"/>
          <w:szCs w:val="21"/>
        </w:rPr>
      </w:pPr>
      <w:r>
        <w:rPr>
          <w:rFonts w:hint="eastAsia" w:ascii="宋体" w:hAnsi="宋体"/>
          <w:szCs w:val="21"/>
        </w:rPr>
        <w:t>根据本通用条款第32条，凡属于评审委员会在评审中发现的算术错误进行核实的修改不在此列。</w:t>
      </w:r>
    </w:p>
    <w:p>
      <w:pPr>
        <w:rPr>
          <w:rFonts w:ascii="黑体" w:hAnsi="宋体" w:eastAsia="黑体"/>
          <w:sz w:val="24"/>
        </w:rPr>
      </w:pPr>
      <w:bookmarkStart w:id="58" w:name="_Toc73521669"/>
      <w:bookmarkStart w:id="59" w:name="_Toc73518151"/>
      <w:bookmarkStart w:id="60" w:name="_Toc100052400"/>
      <w:bookmarkStart w:id="61" w:name="_Toc73521581"/>
      <w:bookmarkStart w:id="62" w:name="_Toc73517673"/>
      <w:r>
        <w:rPr>
          <w:rFonts w:hint="eastAsia" w:ascii="黑体" w:hAnsi="宋体" w:eastAsia="黑体"/>
          <w:sz w:val="24"/>
        </w:rPr>
        <w:t>32．错误的修正</w:t>
      </w:r>
      <w:bookmarkEnd w:id="58"/>
      <w:bookmarkEnd w:id="59"/>
      <w:bookmarkEnd w:id="60"/>
      <w:bookmarkEnd w:id="61"/>
      <w:bookmarkEnd w:id="62"/>
    </w:p>
    <w:p>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pPr>
        <w:ind w:firstLine="411" w:firstLineChars="196"/>
        <w:rPr>
          <w:rFonts w:ascii="宋体" w:hAnsi="宋体"/>
          <w:szCs w:val="21"/>
        </w:rPr>
      </w:pPr>
      <w:r>
        <w:rPr>
          <w:rFonts w:hint="eastAsia" w:ascii="宋体" w:hAnsi="宋体"/>
          <w:szCs w:val="21"/>
        </w:rPr>
        <w:t>32.1投标文件中开标一览表投标报价内容与投标文件中投标报价相应内容不一致的，以开标一览表为准；</w:t>
      </w:r>
    </w:p>
    <w:p>
      <w:pPr>
        <w:ind w:firstLine="411" w:firstLineChars="196"/>
        <w:rPr>
          <w:rFonts w:ascii="宋体" w:hAnsi="宋体"/>
          <w:szCs w:val="21"/>
        </w:rPr>
      </w:pPr>
      <w:r>
        <w:rPr>
          <w:rFonts w:hint="eastAsia" w:ascii="宋体" w:hAnsi="宋体"/>
          <w:szCs w:val="21"/>
        </w:rPr>
        <w:t>32.2大写金额和小写金额不一致的，以大写金额为准；</w:t>
      </w:r>
    </w:p>
    <w:p>
      <w:pPr>
        <w:ind w:firstLine="411" w:firstLineChars="196"/>
        <w:rPr>
          <w:rFonts w:ascii="宋体" w:hAnsi="宋体"/>
          <w:szCs w:val="21"/>
        </w:rPr>
      </w:pPr>
      <w:r>
        <w:rPr>
          <w:rFonts w:hint="eastAsia" w:ascii="宋体" w:hAnsi="宋体"/>
          <w:szCs w:val="21"/>
        </w:rPr>
        <w:t>32.3单价金额小数点或者百分比有明显错位，以开标一览表的总价为准，并修改单价；</w:t>
      </w:r>
    </w:p>
    <w:p>
      <w:pPr>
        <w:ind w:firstLine="411" w:firstLineChars="196"/>
        <w:rPr>
          <w:rFonts w:ascii="宋体" w:hAnsi="宋体"/>
          <w:szCs w:val="21"/>
        </w:rPr>
      </w:pPr>
      <w:r>
        <w:rPr>
          <w:rFonts w:hint="eastAsia" w:ascii="宋体" w:hAnsi="宋体"/>
          <w:szCs w:val="21"/>
        </w:rPr>
        <w:t>32.4总价金额与按单价汇总金额不一致的，以单价金额计算结果为准。</w:t>
      </w:r>
    </w:p>
    <w:p>
      <w:pPr>
        <w:ind w:firstLine="411" w:firstLineChars="196"/>
        <w:rPr>
          <w:rFonts w:ascii="宋体" w:hAnsi="宋体"/>
          <w:szCs w:val="21"/>
        </w:rPr>
      </w:pPr>
      <w:r>
        <w:rPr>
          <w:rFonts w:hint="eastAsia" w:ascii="宋体" w:hAnsi="宋体"/>
          <w:szCs w:val="21"/>
        </w:rPr>
        <w:t>32.5同时出现两种以上不一致的，按照前款规定的顺序修正。修正后的报价按照本通用条款31条的规定，经投标人确认后产生约束力，投标人不确认的，其投标无效。</w:t>
      </w:r>
    </w:p>
    <w:p>
      <w:pPr>
        <w:rPr>
          <w:rFonts w:ascii="黑体" w:hAnsi="宋体" w:eastAsia="黑体"/>
          <w:sz w:val="24"/>
        </w:rPr>
      </w:pPr>
      <w:r>
        <w:rPr>
          <w:rFonts w:hint="eastAsia" w:ascii="黑体" w:hAnsi="宋体" w:eastAsia="黑体"/>
          <w:sz w:val="24"/>
        </w:rPr>
        <w:t>33．评审方法</w:t>
      </w:r>
    </w:p>
    <w:p>
      <w:pPr>
        <w:ind w:firstLine="413" w:firstLineChars="196"/>
        <w:rPr>
          <w:rFonts w:ascii="宋体" w:hAnsi="宋体"/>
          <w:b/>
          <w:bCs/>
          <w:szCs w:val="21"/>
        </w:rPr>
      </w:pPr>
      <w:r>
        <w:rPr>
          <w:rFonts w:hint="eastAsia" w:ascii="宋体" w:hAnsi="宋体"/>
          <w:b/>
          <w:bCs/>
          <w:szCs w:val="21"/>
        </w:rPr>
        <w:t>33.1.1最低价法</w:t>
      </w:r>
    </w:p>
    <w:p>
      <w:pPr>
        <w:ind w:firstLine="411" w:firstLineChars="196"/>
        <w:rPr>
          <w:rFonts w:hint="eastAsia" w:ascii="ˎ̥" w:hAnsi="ˎ̥"/>
        </w:rPr>
      </w:pPr>
      <w:bookmarkStart w:id="63" w:name="_Hlk72438142"/>
      <w:r>
        <w:rPr>
          <w:rFonts w:ascii="ˎ̥" w:hAnsi="ˎ̥"/>
        </w:rPr>
        <w:t>最低价法，是指</w:t>
      </w:r>
      <w:r>
        <w:rPr>
          <w:rFonts w:hint="eastAsia" w:ascii="ˎ̥" w:hAnsi="ˎ̥"/>
        </w:rPr>
        <w:t>完全</w:t>
      </w:r>
      <w:r>
        <w:rPr>
          <w:rFonts w:ascii="ˎ̥" w:hAnsi="ˎ̥"/>
        </w:rPr>
        <w:t>满足招标文件实质性要求，</w:t>
      </w:r>
      <w:r>
        <w:rPr>
          <w:rFonts w:hint="eastAsia" w:ascii="ˎ̥" w:hAnsi="ˎ̥"/>
        </w:rPr>
        <w:t>按照报价由低到高的顺序，依据招标文件中规定的数量或者比例推荐候选中标供应商。</w:t>
      </w:r>
    </w:p>
    <w:p>
      <w:pPr>
        <w:ind w:firstLine="413" w:firstLineChars="196"/>
        <w:rPr>
          <w:rFonts w:ascii="宋体" w:hAnsi="宋体"/>
          <w:b/>
          <w:bCs/>
          <w:szCs w:val="21"/>
        </w:rPr>
      </w:pPr>
      <w:r>
        <w:rPr>
          <w:rFonts w:hint="eastAsia" w:ascii="宋体" w:hAnsi="宋体"/>
          <w:b/>
          <w:bCs/>
          <w:szCs w:val="21"/>
        </w:rPr>
        <w:t>33.1.2综合评分法</w:t>
      </w:r>
    </w:p>
    <w:p>
      <w:pPr>
        <w:ind w:firstLine="411" w:firstLineChars="196"/>
        <w:rPr>
          <w:rFonts w:hint="eastAsia" w:ascii="ˎ̥" w:hAnsi="ˎ̥"/>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63"/>
    </w:p>
    <w:p>
      <w:pPr>
        <w:ind w:firstLine="413" w:firstLineChars="196"/>
        <w:rPr>
          <w:rFonts w:ascii="宋体" w:hAnsi="宋体"/>
          <w:b/>
          <w:bCs/>
          <w:szCs w:val="21"/>
        </w:rPr>
      </w:pPr>
      <w:r>
        <w:rPr>
          <w:rFonts w:hint="eastAsia" w:ascii="宋体" w:hAnsi="宋体"/>
          <w:b/>
          <w:bCs/>
          <w:szCs w:val="21"/>
        </w:rPr>
        <w:t>33.2 本项目采用的评审方法见本项目招标文件第一册“专用条款”的相关内容。</w:t>
      </w:r>
    </w:p>
    <w:p>
      <w:pPr>
        <w:ind w:firstLine="413" w:firstLineChars="196"/>
        <w:rPr>
          <w:rFonts w:ascii="宋体" w:hAnsi="宋体"/>
          <w:b/>
          <w:bCs/>
          <w:szCs w:val="21"/>
        </w:rPr>
      </w:pPr>
      <w:r>
        <w:rPr>
          <w:rFonts w:hint="eastAsia" w:ascii="宋体" w:hAnsi="宋体"/>
          <w:b/>
          <w:bCs/>
          <w:szCs w:val="21"/>
        </w:rPr>
        <w:t>33.3重新评审的情形</w:t>
      </w:r>
    </w:p>
    <w:p>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pPr>
        <w:ind w:firstLine="411" w:firstLineChars="196"/>
        <w:rPr>
          <w:rFonts w:ascii="宋体" w:hAnsi="宋体" w:cs="宋体"/>
          <w:kern w:val="0"/>
          <w:szCs w:val="21"/>
        </w:rPr>
      </w:pPr>
      <w:r>
        <w:rPr>
          <w:rFonts w:hint="eastAsia" w:ascii="宋体" w:hAnsi="宋体" w:cs="宋体"/>
          <w:kern w:val="0"/>
          <w:szCs w:val="21"/>
        </w:rPr>
        <w:t>33.3.1分值汇总计算错误的；</w:t>
      </w:r>
    </w:p>
    <w:p>
      <w:pPr>
        <w:ind w:firstLine="411" w:firstLineChars="196"/>
        <w:rPr>
          <w:rFonts w:ascii="宋体" w:hAnsi="宋体" w:cs="宋体"/>
          <w:kern w:val="0"/>
          <w:szCs w:val="21"/>
        </w:rPr>
      </w:pPr>
      <w:r>
        <w:rPr>
          <w:rFonts w:hint="eastAsia" w:ascii="宋体" w:hAnsi="宋体" w:cs="宋体"/>
          <w:kern w:val="0"/>
          <w:szCs w:val="21"/>
        </w:rPr>
        <w:t>33.3.2分项评分超出评分标准范围的；</w:t>
      </w:r>
    </w:p>
    <w:p>
      <w:pPr>
        <w:ind w:firstLine="411" w:firstLineChars="196"/>
        <w:rPr>
          <w:rFonts w:ascii="宋体" w:hAnsi="宋体" w:cs="宋体"/>
          <w:kern w:val="0"/>
          <w:szCs w:val="21"/>
        </w:rPr>
      </w:pPr>
      <w:r>
        <w:rPr>
          <w:rFonts w:hint="eastAsia" w:ascii="宋体" w:hAnsi="宋体" w:cs="宋体"/>
          <w:kern w:val="0"/>
          <w:szCs w:val="21"/>
        </w:rPr>
        <w:t>33.3.3评审委员会成员对客观评审因素评分不一致的；</w:t>
      </w:r>
    </w:p>
    <w:p>
      <w:pPr>
        <w:ind w:firstLine="411" w:firstLineChars="196"/>
        <w:rPr>
          <w:rFonts w:ascii="宋体" w:hAnsi="宋体" w:cs="宋体"/>
          <w:kern w:val="0"/>
          <w:szCs w:val="21"/>
        </w:rPr>
      </w:pPr>
      <w:r>
        <w:rPr>
          <w:rFonts w:hint="eastAsia" w:ascii="宋体" w:hAnsi="宋体" w:cs="宋体"/>
          <w:kern w:val="0"/>
          <w:szCs w:val="21"/>
        </w:rPr>
        <w:t>33.3.4经评审委员会认定评分畸高、畸低的。</w:t>
      </w:r>
    </w:p>
    <w:p>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财政部门。</w:t>
      </w:r>
    </w:p>
    <w:p>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投标人对本条第一款情形提出质疑的，采购人或者采购代理机构可以组织原评审委员会进行重新评审，重新评审改变评审结果的，应当书面报告财政部门。</w:t>
      </w:r>
    </w:p>
    <w:p>
      <w:pPr>
        <w:pStyle w:val="5"/>
        <w:numPr>
          <w:ilvl w:val="0"/>
          <w:numId w:val="11"/>
        </w:numPr>
        <w:tabs>
          <w:tab w:val="left" w:pos="360"/>
        </w:tabs>
        <w:spacing w:beforeLines="50" w:afterLines="50"/>
        <w:ind w:left="562" w:hanging="562"/>
        <w:rPr>
          <w:sz w:val="28"/>
          <w:szCs w:val="28"/>
        </w:rPr>
      </w:pPr>
      <w:r>
        <w:rPr>
          <w:rFonts w:hint="eastAsia"/>
          <w:sz w:val="28"/>
          <w:szCs w:val="28"/>
        </w:rPr>
        <w:t>定标及公示</w:t>
      </w:r>
    </w:p>
    <w:p>
      <w:pPr>
        <w:rPr>
          <w:rFonts w:ascii="黑体" w:hAnsi="宋体" w:eastAsia="黑体"/>
          <w:sz w:val="24"/>
        </w:rPr>
      </w:pPr>
      <w:r>
        <w:rPr>
          <w:rFonts w:hint="eastAsia" w:ascii="黑体" w:hAnsi="宋体" w:eastAsia="黑体"/>
          <w:sz w:val="24"/>
        </w:rPr>
        <w:t>34．定标方法</w:t>
      </w:r>
    </w:p>
    <w:p>
      <w:pPr>
        <w:ind w:firstLine="411" w:firstLineChars="196"/>
        <w:rPr>
          <w:rFonts w:ascii="宋体" w:hAnsi="宋体"/>
          <w:szCs w:val="21"/>
        </w:rPr>
      </w:pPr>
      <w:bookmarkStart w:id="64" w:name="_Hlk73782795"/>
      <w:r>
        <w:rPr>
          <w:rFonts w:hint="eastAsia" w:ascii="宋体" w:hAnsi="宋体"/>
          <w:szCs w:val="21"/>
        </w:rPr>
        <w:t>34.1非评定分离项目定标方法</w:t>
      </w:r>
    </w:p>
    <w:p>
      <w:pPr>
        <w:ind w:firstLine="411" w:firstLineChars="196"/>
        <w:rPr>
          <w:rFonts w:ascii="宋体" w:hAnsi="宋体"/>
          <w:szCs w:val="21"/>
        </w:rPr>
      </w:pPr>
      <w:r>
        <w:rPr>
          <w:rFonts w:hint="eastAsia" w:ascii="宋体" w:hAnsi="宋体"/>
          <w:szCs w:val="21"/>
        </w:rPr>
        <w:t>34</w:t>
      </w:r>
      <w:r>
        <w:rPr>
          <w:rFonts w:ascii="宋体" w:hAnsi="宋体"/>
          <w:szCs w:val="21"/>
        </w:rPr>
        <w:t>.</w:t>
      </w:r>
      <w:r>
        <w:rPr>
          <w:rFonts w:hint="eastAsia" w:ascii="宋体" w:hAnsi="宋体"/>
          <w:szCs w:val="21"/>
        </w:rPr>
        <w:t>1.1评审委员会依据本项目招标文件所约定的评审方法进行评审和比较，向代理机构提交书面评审报告，根据评审方法比较评价结果从优到劣进行排序，确定候选中标供应商。</w:t>
      </w:r>
    </w:p>
    <w:p>
      <w:pPr>
        <w:ind w:firstLine="411" w:firstLineChars="196"/>
        <w:rPr>
          <w:rFonts w:hint="eastAsia" w:ascii="ˎ̥" w:hAnsi="ˎ̥"/>
        </w:rPr>
      </w:pPr>
      <w:r>
        <w:rPr>
          <w:rFonts w:hint="eastAsia" w:ascii="宋体" w:hAnsi="宋体"/>
          <w:szCs w:val="21"/>
        </w:rPr>
        <w:t>34</w:t>
      </w:r>
      <w:r>
        <w:rPr>
          <w:rFonts w:ascii="宋体" w:hAnsi="宋体"/>
          <w:szCs w:val="21"/>
        </w:rPr>
        <w:t>.</w:t>
      </w:r>
      <w:r>
        <w:rPr>
          <w:rFonts w:hint="eastAsia" w:ascii="宋体" w:hAnsi="宋体"/>
          <w:szCs w:val="21"/>
        </w:rPr>
        <w:t>1.2</w:t>
      </w:r>
      <w:r>
        <w:rPr>
          <w:rFonts w:ascii="ˎ̥" w:hAnsi="ˎ̥"/>
        </w:rPr>
        <w:t>采用最低价法的，评</w:t>
      </w:r>
      <w:r>
        <w:rPr>
          <w:rFonts w:hint="eastAsia" w:ascii="ˎ̥" w:hAnsi="ˎ̥"/>
        </w:rPr>
        <w:t>审</w:t>
      </w:r>
      <w:r>
        <w:rPr>
          <w:rFonts w:ascii="ˎ̥" w:hAnsi="ˎ̥"/>
        </w:rPr>
        <w:t>结果按投标报价由低到高顺序排列。投标报价相同的并列。投标文件满足招标文件全部实质性要求且投标报价最低的</w:t>
      </w:r>
      <w:r>
        <w:rPr>
          <w:rFonts w:hint="eastAsia" w:ascii="ˎ̥" w:hAnsi="ˎ̥"/>
        </w:rPr>
        <w:t>投标人为</w:t>
      </w:r>
      <w:bookmarkStart w:id="65" w:name="_Hlk73821177"/>
      <w:r>
        <w:rPr>
          <w:rFonts w:hint="eastAsia" w:ascii="ˎ̥" w:hAnsi="ˎ̥"/>
        </w:rPr>
        <w:t>中标供应商</w:t>
      </w:r>
      <w:r>
        <w:rPr>
          <w:rFonts w:ascii="ˎ̥" w:hAnsi="ˎ̥"/>
        </w:rPr>
        <w:t>（</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bookmarkEnd w:id="65"/>
      <w:r>
        <w:rPr>
          <w:rFonts w:ascii="ˎ̥" w:hAnsi="ˎ̥"/>
        </w:rPr>
        <w:t>）。</w:t>
      </w:r>
    </w:p>
    <w:p>
      <w:pPr>
        <w:ind w:firstLine="411" w:firstLineChars="196"/>
        <w:rPr>
          <w:rFonts w:hint="eastAsia" w:ascii="ˎ̥" w:hAnsi="ˎ̥"/>
        </w:rPr>
      </w:pPr>
      <w:r>
        <w:rPr>
          <w:rFonts w:hint="eastAsia" w:ascii="宋体" w:hAnsi="宋体"/>
          <w:szCs w:val="21"/>
        </w:rPr>
        <w:t>34</w:t>
      </w:r>
      <w:r>
        <w:rPr>
          <w:rFonts w:ascii="宋体" w:hAnsi="宋体"/>
          <w:szCs w:val="21"/>
        </w:rPr>
        <w:t>.</w:t>
      </w:r>
      <w:r>
        <w:rPr>
          <w:rFonts w:hint="eastAsia" w:ascii="宋体" w:hAnsi="宋体"/>
          <w:szCs w:val="21"/>
        </w:rPr>
        <w:t>1.3</w:t>
      </w:r>
      <w:r>
        <w:rPr>
          <w:rFonts w:ascii="宋体" w:hAnsi="宋体"/>
          <w:szCs w:val="21"/>
        </w:rPr>
        <w:t>采</w:t>
      </w:r>
      <w:r>
        <w:rPr>
          <w:rFonts w:ascii="ˎ̥" w:hAnsi="ˎ̥"/>
        </w:rPr>
        <w:t>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w:t>
      </w:r>
      <w:r>
        <w:rPr>
          <w:rFonts w:hint="eastAsia" w:ascii="ˎ̥" w:hAnsi="ˎ̥"/>
        </w:rPr>
        <w:t>为中标供应商</w:t>
      </w:r>
      <w:r>
        <w:rPr>
          <w:rFonts w:ascii="ˎ̥" w:hAnsi="ˎ̥"/>
        </w:rPr>
        <w:t>（</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ascii="ˎ̥" w:hAnsi="ˎ̥"/>
        </w:rPr>
        <w:t>）。</w:t>
      </w:r>
      <w:r>
        <w:rPr>
          <w:rFonts w:hint="eastAsia" w:ascii="ˎ̥" w:hAnsi="ˎ̥"/>
        </w:rPr>
        <w:t>出现</w:t>
      </w:r>
      <w:r>
        <w:rPr>
          <w:rFonts w:ascii="ˎ̥" w:hAnsi="ˎ̥"/>
        </w:rPr>
        <w:t>得分且投标报价相同的并列</w:t>
      </w:r>
      <w:r>
        <w:rPr>
          <w:rFonts w:hint="eastAsia" w:ascii="ˎ̥" w:hAnsi="ˎ̥"/>
        </w:rPr>
        <w:t>情况时，采取随机抽取的方式确定，具体操作办法及流程由评审委员会确定。</w:t>
      </w:r>
    </w:p>
    <w:p>
      <w:pPr>
        <w:ind w:firstLine="411" w:firstLineChars="196"/>
        <w:rPr>
          <w:rFonts w:ascii="宋体" w:hAnsi="宋体"/>
          <w:szCs w:val="21"/>
        </w:rPr>
      </w:pPr>
      <w:r>
        <w:rPr>
          <w:rFonts w:hint="eastAsia" w:ascii="宋体" w:hAnsi="宋体"/>
          <w:szCs w:val="21"/>
        </w:rPr>
        <w:t>34.2评定分离项目定标方法</w:t>
      </w:r>
    </w:p>
    <w:p>
      <w:pPr>
        <w:ind w:firstLine="411" w:firstLineChars="196"/>
        <w:rPr>
          <w:rFonts w:ascii="宋体" w:hAnsi="宋体"/>
          <w:szCs w:val="21"/>
        </w:rPr>
      </w:pPr>
      <w:r>
        <w:rPr>
          <w:rFonts w:hint="eastAsia" w:ascii="宋体" w:hAnsi="宋体"/>
          <w:szCs w:val="21"/>
        </w:rPr>
        <w:t>34.2.1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pPr>
        <w:ind w:firstLine="411" w:firstLineChars="196"/>
      </w:pPr>
      <w:r>
        <w:rPr>
          <w:rFonts w:ascii="宋体" w:hAnsi="宋体"/>
          <w:szCs w:val="21"/>
        </w:rPr>
        <w:t>3</w:t>
      </w:r>
      <w:r>
        <w:rPr>
          <w:rFonts w:hint="eastAsia" w:ascii="宋体" w:hAnsi="宋体"/>
          <w:szCs w:val="21"/>
        </w:rPr>
        <w:t>4</w:t>
      </w:r>
      <w:r>
        <w:rPr>
          <w:rFonts w:ascii="宋体" w:hAnsi="宋体"/>
          <w:szCs w:val="21"/>
        </w:rPr>
        <w:t xml:space="preserve">.2.2 </w:t>
      </w:r>
      <w:bookmarkStart w:id="66" w:name="_Hlk71469733"/>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pPr>
        <w:ind w:firstLine="411" w:firstLineChars="196"/>
        <w:rPr>
          <w:rFonts w:ascii="宋体" w:hAnsi="宋体"/>
          <w:szCs w:val="21"/>
        </w:rPr>
      </w:pPr>
      <w:r>
        <w:rPr>
          <w:rFonts w:hint="eastAsia" w:ascii="宋体" w:hAnsi="宋体"/>
          <w:szCs w:val="21"/>
        </w:rPr>
        <w:t>34.2.3</w:t>
      </w:r>
      <w:bookmarkStart w:id="67" w:name="_Hlk71469688"/>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bookmarkEnd w:id="66"/>
      <w:bookmarkEnd w:id="67"/>
    </w:p>
    <w:p>
      <w:pPr>
        <w:ind w:firstLine="411" w:firstLineChars="196"/>
        <w:rPr>
          <w:rFonts w:ascii="宋体" w:hAnsi="宋体"/>
          <w:szCs w:val="21"/>
        </w:rPr>
      </w:pPr>
      <w:r>
        <w:rPr>
          <w:rFonts w:ascii="宋体" w:hAnsi="宋体"/>
          <w:szCs w:val="21"/>
        </w:rPr>
        <w:t>3</w:t>
      </w:r>
      <w:r>
        <w:rPr>
          <w:rFonts w:hint="eastAsia" w:ascii="宋体" w:hAnsi="宋体"/>
          <w:szCs w:val="21"/>
        </w:rPr>
        <w:t>4</w:t>
      </w:r>
      <w:r>
        <w:rPr>
          <w:rFonts w:ascii="宋体" w:hAnsi="宋体"/>
          <w:szCs w:val="21"/>
        </w:rPr>
        <w:t>.2.4</w:t>
      </w:r>
      <w:r>
        <w:rPr>
          <w:rFonts w:hint="eastAsia" w:ascii="宋体" w:hAnsi="宋体"/>
          <w:szCs w:val="21"/>
        </w:rPr>
        <w:t>代理机构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代理机构。</w:t>
      </w:r>
      <w:r>
        <w:rPr>
          <w:rFonts w:hint="eastAsia" w:ascii="宋体" w:hAnsi="宋体"/>
          <w:szCs w:val="21"/>
        </w:rPr>
        <w:t>说明：采购人及投标供应商应按照上述方法提前做好相关准备。</w:t>
      </w:r>
    </w:p>
    <w:p>
      <w:pPr>
        <w:ind w:firstLine="411" w:firstLineChars="196"/>
        <w:rPr>
          <w:rFonts w:ascii="宋体" w:hAnsi="宋体"/>
          <w:szCs w:val="21"/>
        </w:rPr>
      </w:pPr>
      <w:r>
        <w:rPr>
          <w:rFonts w:hint="eastAsia" w:ascii="宋体" w:hAnsi="宋体"/>
          <w:szCs w:val="21"/>
        </w:rPr>
        <w:t>34.3专用条款另有规定的，按专用条款相关要求定标。</w:t>
      </w:r>
      <w:bookmarkEnd w:id="64"/>
    </w:p>
    <w:p>
      <w:pPr>
        <w:rPr>
          <w:rFonts w:ascii="黑体" w:hAnsi="宋体" w:eastAsia="黑体"/>
          <w:sz w:val="24"/>
        </w:rPr>
      </w:pPr>
      <w:r>
        <w:rPr>
          <w:rFonts w:hint="eastAsia" w:ascii="黑体" w:hAnsi="宋体" w:eastAsia="黑体"/>
          <w:sz w:val="24"/>
        </w:rPr>
        <w:t>35．编写评审报告</w:t>
      </w:r>
    </w:p>
    <w:p>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pPr>
        <w:rPr>
          <w:rFonts w:ascii="黑体" w:hAnsi="宋体" w:eastAsia="黑体"/>
          <w:sz w:val="24"/>
        </w:rPr>
      </w:pPr>
      <w:r>
        <w:rPr>
          <w:rFonts w:hint="eastAsia" w:ascii="黑体" w:hAnsi="宋体" w:eastAsia="黑体"/>
          <w:sz w:val="24"/>
        </w:rPr>
        <w:t>36．中标公告</w:t>
      </w:r>
    </w:p>
    <w:p>
      <w:pPr>
        <w:ind w:firstLine="411" w:firstLineChars="196"/>
        <w:rPr>
          <w:rFonts w:ascii="宋体" w:hAnsi="宋体"/>
          <w:szCs w:val="21"/>
        </w:rPr>
      </w:pPr>
      <w:r>
        <w:rPr>
          <w:rFonts w:hint="eastAsia" w:ascii="宋体" w:hAnsi="宋体"/>
          <w:szCs w:val="21"/>
        </w:rPr>
        <w:t>36.1</w:t>
      </w:r>
      <w:bookmarkStart w:id="68" w:name="_Hlk72438709"/>
      <w:r>
        <w:rPr>
          <w:rFonts w:hint="eastAsia" w:ascii="宋体" w:hAnsi="宋体"/>
          <w:szCs w:val="21"/>
        </w:rPr>
        <w:t>为体现“公开、公平、公正”的原则，评审结束后经采购人确认（确定）评审结果，代理机构将在</w:t>
      </w:r>
      <w:r>
        <w:fldChar w:fldCharType="begin"/>
      </w:r>
      <w:r>
        <w:instrText xml:space="preserve"> HYPERLINK </w:instrText>
      </w:r>
      <w:r>
        <w:fldChar w:fldCharType="separate"/>
      </w:r>
      <w:r>
        <w:fldChar w:fldCharType="end"/>
      </w:r>
      <w:r>
        <w:rPr>
          <w:rFonts w:hint="eastAsia" w:ascii="宋体" w:hAnsi="宋体"/>
          <w:szCs w:val="21"/>
        </w:rPr>
        <w:t>网站上发布中标结果公告。</w:t>
      </w:r>
      <w:bookmarkEnd w:id="68"/>
      <w:bookmarkStart w:id="69" w:name="_Hlk72438751"/>
      <w:r>
        <w:rPr>
          <w:rFonts w:hint="eastAsia" w:ascii="宋体" w:hAnsi="宋体"/>
          <w:szCs w:val="21"/>
        </w:rPr>
        <w:t>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代理机构</w:t>
      </w:r>
      <w:r>
        <w:rPr>
          <w:rFonts w:ascii="宋体" w:hAnsi="宋体"/>
          <w:szCs w:val="21"/>
        </w:rPr>
        <w:t>提出。</w:t>
      </w:r>
      <w:r>
        <w:rPr>
          <w:rFonts w:hint="eastAsia" w:ascii="宋体" w:hAnsi="宋体"/>
          <w:szCs w:val="21"/>
        </w:rPr>
        <w:t>若在公示期内未提出质疑，则视为认同该评审结果。</w:t>
      </w:r>
    </w:p>
    <w:bookmarkEnd w:id="69"/>
    <w:p>
      <w:pPr>
        <w:ind w:firstLine="411" w:firstLineChars="196"/>
        <w:rPr>
          <w:rFonts w:ascii="宋体" w:hAnsi="宋体"/>
          <w:szCs w:val="21"/>
        </w:rPr>
      </w:pPr>
      <w:r>
        <w:rPr>
          <w:rFonts w:hint="eastAsia" w:ascii="宋体" w:hAnsi="宋体"/>
          <w:szCs w:val="21"/>
        </w:rPr>
        <w:t>36.2质疑、投诉供应商应保证质疑、投诉内容的真实性和可靠性，并承担相应的法律责任。</w:t>
      </w:r>
    </w:p>
    <w:p>
      <w:pPr>
        <w:rPr>
          <w:rFonts w:ascii="黑体" w:hAnsi="宋体" w:eastAsia="黑体"/>
          <w:sz w:val="24"/>
        </w:rPr>
      </w:pPr>
      <w:r>
        <w:rPr>
          <w:rFonts w:hint="eastAsia" w:ascii="黑体" w:hAnsi="宋体" w:eastAsia="黑体"/>
          <w:sz w:val="24"/>
        </w:rPr>
        <w:t>37．中标通知书</w:t>
      </w:r>
    </w:p>
    <w:p>
      <w:pPr>
        <w:ind w:firstLine="411" w:firstLineChars="196"/>
        <w:rPr>
          <w:rFonts w:ascii="宋体" w:hAnsi="宋体"/>
          <w:szCs w:val="21"/>
        </w:rPr>
      </w:pPr>
      <w:r>
        <w:rPr>
          <w:rFonts w:hint="eastAsia" w:ascii="宋体" w:hAnsi="宋体"/>
          <w:szCs w:val="21"/>
        </w:rPr>
        <w:t>37</w:t>
      </w:r>
      <w:r>
        <w:rPr>
          <w:rFonts w:ascii="宋体" w:hAnsi="宋体"/>
          <w:szCs w:val="21"/>
        </w:rPr>
        <w:t>.</w:t>
      </w:r>
      <w:r>
        <w:rPr>
          <w:rFonts w:hint="eastAsia" w:ascii="宋体" w:hAnsi="宋体"/>
          <w:szCs w:val="21"/>
        </w:rPr>
        <w:t>1</w:t>
      </w:r>
      <w:bookmarkStart w:id="70" w:name="_Hlk72438863"/>
      <w:r>
        <w:rPr>
          <w:rFonts w:hint="eastAsia" w:ascii="宋体" w:hAnsi="宋体"/>
          <w:szCs w:val="21"/>
        </w:rPr>
        <w:t>中标公告公布以后无异常的情况下,中标供应商应向代理机构申请中标通知书，但必须结清相关费用。</w:t>
      </w:r>
      <w:bookmarkEnd w:id="70"/>
    </w:p>
    <w:p>
      <w:pPr>
        <w:ind w:firstLine="411" w:firstLineChars="196"/>
        <w:rPr>
          <w:rFonts w:ascii="宋体" w:hAnsi="宋体"/>
          <w:szCs w:val="21"/>
        </w:rPr>
      </w:pPr>
      <w:r>
        <w:rPr>
          <w:rFonts w:hint="eastAsia" w:ascii="宋体" w:hAnsi="宋体"/>
          <w:szCs w:val="21"/>
        </w:rPr>
        <w:t>37</w:t>
      </w:r>
      <w:r>
        <w:rPr>
          <w:rFonts w:ascii="宋体" w:hAnsi="宋体"/>
          <w:szCs w:val="21"/>
        </w:rPr>
        <w:t>.2</w:t>
      </w:r>
      <w:r>
        <w:rPr>
          <w:rFonts w:hint="eastAsia" w:ascii="宋体" w:hAnsi="宋体"/>
          <w:szCs w:val="21"/>
        </w:rPr>
        <w:t>中标通知书是合同的重要组成部分。</w:t>
      </w:r>
    </w:p>
    <w:p>
      <w:pPr>
        <w:ind w:firstLine="411" w:firstLineChars="196"/>
        <w:rPr>
          <w:rFonts w:ascii="宋体" w:hAnsi="宋体"/>
          <w:szCs w:val="21"/>
        </w:rPr>
      </w:pPr>
      <w:bookmarkStart w:id="71" w:name="_Hlk71407340"/>
      <w:r>
        <w:rPr>
          <w:rFonts w:hint="eastAsia" w:ascii="宋体" w:hAnsi="宋体"/>
          <w:szCs w:val="21"/>
        </w:rPr>
        <w:t>37.3因质疑投诉或其它原因导致项目结果变更或采购终止的，代理机构有权吊销中标通知书。</w:t>
      </w:r>
    </w:p>
    <w:bookmarkEnd w:id="71"/>
    <w:p>
      <w:pPr>
        <w:pStyle w:val="5"/>
        <w:numPr>
          <w:ilvl w:val="0"/>
          <w:numId w:val="11"/>
        </w:numPr>
        <w:tabs>
          <w:tab w:val="left" w:pos="360"/>
        </w:tabs>
        <w:spacing w:beforeLines="50" w:afterLines="50"/>
        <w:ind w:left="562" w:hanging="562"/>
        <w:rPr>
          <w:sz w:val="28"/>
          <w:szCs w:val="28"/>
        </w:rPr>
      </w:pPr>
      <w:r>
        <w:rPr>
          <w:rFonts w:hint="eastAsia"/>
          <w:sz w:val="28"/>
          <w:szCs w:val="28"/>
        </w:rPr>
        <w:t>公开招标失败的后续处理</w:t>
      </w:r>
    </w:p>
    <w:p>
      <w:pPr>
        <w:rPr>
          <w:rFonts w:ascii="黑体" w:hAnsi="宋体" w:eastAsia="黑体"/>
          <w:sz w:val="24"/>
        </w:rPr>
      </w:pPr>
      <w:r>
        <w:rPr>
          <w:rFonts w:hint="eastAsia" w:ascii="黑体" w:hAnsi="宋体" w:eastAsia="黑体"/>
          <w:sz w:val="24"/>
        </w:rPr>
        <w:t>38．公开招标失败的处理</w:t>
      </w:r>
    </w:p>
    <w:p>
      <w:pPr>
        <w:ind w:firstLine="411" w:firstLineChars="196"/>
        <w:rPr>
          <w:rFonts w:ascii="宋体" w:hAnsi="宋体"/>
        </w:rPr>
      </w:pPr>
      <w:r>
        <w:rPr>
          <w:rFonts w:hint="eastAsia" w:ascii="宋体" w:hAnsi="宋体"/>
          <w:szCs w:val="21"/>
        </w:rPr>
        <w:t>38.1本项目公开招标过程中若由于投标截止后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代理机构</w:t>
      </w:r>
      <w:r>
        <w:rPr>
          <w:rFonts w:hint="eastAsia" w:ascii="宋体" w:hAnsi="宋体"/>
        </w:rPr>
        <w:t>重新组织采购。</w:t>
      </w:r>
    </w:p>
    <w:p>
      <w:pPr>
        <w:ind w:firstLine="411" w:firstLineChars="196"/>
        <w:rPr>
          <w:rFonts w:ascii="宋体" w:hAnsi="宋体"/>
          <w:szCs w:val="21"/>
        </w:rPr>
      </w:pPr>
      <w:r>
        <w:rPr>
          <w:rFonts w:hint="eastAsia" w:ascii="宋体" w:hAnsi="宋体"/>
          <w:szCs w:val="21"/>
        </w:rPr>
        <w:t>38.2对公开招标失败的项目，评审委员会在出具该项目招标失败结论的同时，可以提出重新采购组织形式的建议，以及进一步完善招标文件的资格、技术、商务要求的修改建议。</w:t>
      </w:r>
    </w:p>
    <w:p>
      <w:pPr>
        <w:ind w:firstLine="411" w:firstLineChars="196"/>
        <w:rPr>
          <w:rFonts w:ascii="宋体" w:hAnsi="宋体"/>
          <w:szCs w:val="21"/>
        </w:rPr>
      </w:pPr>
      <w:r>
        <w:rPr>
          <w:rFonts w:hint="eastAsia" w:ascii="宋体" w:hAnsi="宋体"/>
          <w:szCs w:val="21"/>
        </w:rPr>
        <w:t>38.3重新组织采购有以下两种组织形式：</w:t>
      </w:r>
    </w:p>
    <w:p>
      <w:pPr>
        <w:ind w:firstLine="411" w:firstLineChars="196"/>
        <w:rPr>
          <w:rFonts w:ascii="宋体" w:hAnsi="宋体"/>
        </w:rPr>
      </w:pPr>
      <w:r>
        <w:rPr>
          <w:rFonts w:hint="eastAsia" w:ascii="宋体" w:hAnsi="宋体"/>
        </w:rPr>
        <w:t>（1）由代理机构重新组织公开招标；</w:t>
      </w:r>
    </w:p>
    <w:p>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pPr>
        <w:ind w:firstLine="411" w:firstLineChars="196"/>
        <w:rPr>
          <w:rFonts w:ascii="宋体" w:hAnsi="宋体"/>
        </w:rPr>
      </w:pPr>
      <w:r>
        <w:rPr>
          <w:rFonts w:hint="eastAsia" w:ascii="宋体" w:hAnsi="宋体"/>
        </w:rPr>
        <w:t>38.4公开招标失败的采购项目重新组织公开招标，由代理机构重新按公开招标流程组织采购活动。</w:t>
      </w:r>
    </w:p>
    <w:p>
      <w:pPr>
        <w:ind w:firstLine="420" w:firstLineChars="200"/>
        <w:rPr>
          <w:rFonts w:ascii="宋体" w:hAnsi="宋体"/>
        </w:rPr>
      </w:pPr>
      <w:r>
        <w:rPr>
          <w:rFonts w:hint="eastAsia" w:ascii="宋体" w:hAnsi="宋体"/>
        </w:rPr>
        <w:t>38.5公开招标失败的采购项目经同级财政部门批准转为竞争性谈判或单一来源谈判方式采购的，按规定要求组织政府采购工作。</w:t>
      </w:r>
    </w:p>
    <w:p>
      <w:pPr>
        <w:pStyle w:val="5"/>
        <w:numPr>
          <w:ilvl w:val="0"/>
          <w:numId w:val="11"/>
        </w:numPr>
        <w:tabs>
          <w:tab w:val="left" w:pos="360"/>
        </w:tabs>
        <w:spacing w:beforeLines="50" w:afterLines="50"/>
        <w:ind w:left="562" w:hanging="562"/>
        <w:rPr>
          <w:sz w:val="28"/>
          <w:szCs w:val="28"/>
        </w:rPr>
      </w:pPr>
      <w:bookmarkStart w:id="72" w:name="_Hlk72439043"/>
      <w:r>
        <w:rPr>
          <w:rFonts w:hint="eastAsia"/>
          <w:sz w:val="28"/>
          <w:szCs w:val="28"/>
        </w:rPr>
        <w:t>合同的授予与备案</w:t>
      </w:r>
      <w:bookmarkEnd w:id="72"/>
    </w:p>
    <w:p>
      <w:pPr>
        <w:rPr>
          <w:rFonts w:ascii="黑体" w:hAnsi="宋体" w:eastAsia="黑体"/>
          <w:sz w:val="24"/>
        </w:rPr>
      </w:pPr>
      <w:bookmarkStart w:id="73" w:name="_Toc73521674"/>
      <w:bookmarkStart w:id="74" w:name="_Toc100052408"/>
      <w:bookmarkStart w:id="75" w:name="_Toc73517679"/>
      <w:bookmarkStart w:id="76" w:name="_Toc73521586"/>
      <w:bookmarkStart w:id="77" w:name="_Toc73518157"/>
      <w:bookmarkStart w:id="78" w:name="_Hlk72439088"/>
      <w:r>
        <w:rPr>
          <w:rFonts w:hint="eastAsia" w:ascii="黑体" w:hAnsi="宋体" w:eastAsia="黑体"/>
          <w:sz w:val="24"/>
        </w:rPr>
        <w:t>39．合同授予标准</w:t>
      </w:r>
      <w:bookmarkEnd w:id="73"/>
      <w:bookmarkEnd w:id="74"/>
      <w:bookmarkEnd w:id="75"/>
      <w:bookmarkEnd w:id="76"/>
      <w:bookmarkEnd w:id="77"/>
    </w:p>
    <w:p>
      <w:pPr>
        <w:ind w:firstLine="411" w:firstLineChars="196"/>
        <w:rPr>
          <w:rFonts w:ascii="宋体" w:hAnsi="宋体"/>
          <w:szCs w:val="21"/>
        </w:rPr>
      </w:pPr>
      <w:r>
        <w:rPr>
          <w:rFonts w:hint="eastAsia" w:ascii="宋体" w:hAnsi="宋体"/>
          <w:szCs w:val="21"/>
        </w:rPr>
        <w:t>本项目的合同将授予经本招标文件规定评审确定的中标供应商。</w:t>
      </w:r>
    </w:p>
    <w:p>
      <w:pPr>
        <w:rPr>
          <w:rFonts w:ascii="黑体" w:hAnsi="宋体" w:eastAsia="黑体"/>
          <w:sz w:val="24"/>
        </w:rPr>
      </w:pPr>
      <w:bookmarkStart w:id="79" w:name="_Toc100052409"/>
      <w:bookmarkStart w:id="80" w:name="_Toc73517680"/>
      <w:bookmarkStart w:id="81" w:name="_Toc73518158"/>
      <w:bookmarkStart w:id="82" w:name="_Toc73521675"/>
      <w:bookmarkStart w:id="83" w:name="_Toc73521587"/>
      <w:r>
        <w:rPr>
          <w:rFonts w:hint="eastAsia" w:ascii="黑体" w:hAnsi="宋体" w:eastAsia="黑体"/>
          <w:sz w:val="24"/>
        </w:rPr>
        <w:t>40．</w:t>
      </w:r>
      <w:bookmarkEnd w:id="79"/>
      <w:bookmarkEnd w:id="80"/>
      <w:bookmarkEnd w:id="81"/>
      <w:bookmarkEnd w:id="82"/>
      <w:bookmarkEnd w:id="83"/>
      <w:r>
        <w:rPr>
          <w:rFonts w:hint="eastAsia" w:ascii="黑体" w:hAnsi="宋体" w:eastAsia="黑体"/>
          <w:sz w:val="24"/>
        </w:rPr>
        <w:t>接受和拒绝任何或所有投标的权力</w:t>
      </w:r>
    </w:p>
    <w:p>
      <w:pPr>
        <w:ind w:firstLine="411" w:firstLineChars="196"/>
        <w:rPr>
          <w:rFonts w:ascii="宋体" w:hAnsi="宋体"/>
          <w:szCs w:val="21"/>
        </w:rPr>
      </w:pPr>
      <w:r>
        <w:rPr>
          <w:rFonts w:hint="eastAsia" w:ascii="宋体" w:hAnsi="宋体"/>
          <w:szCs w:val="21"/>
        </w:rPr>
        <w:t>采购人保留在投标之前任何时候接受或拒绝任何投标或所有投标，以及宣布招标无效的权力，对受影响的投标人不承担任何责任，也无义务向受影响的投标人解释采取这一行动的理由。</w:t>
      </w:r>
    </w:p>
    <w:p>
      <w:pPr>
        <w:rPr>
          <w:rFonts w:ascii="黑体" w:hAnsi="宋体" w:eastAsia="黑体"/>
          <w:sz w:val="24"/>
        </w:rPr>
      </w:pPr>
      <w:bookmarkStart w:id="84" w:name="_Toc73521589"/>
      <w:bookmarkStart w:id="85" w:name="_Toc73518160"/>
      <w:bookmarkStart w:id="86" w:name="_Toc73521677"/>
      <w:bookmarkStart w:id="87" w:name="_Toc100052410"/>
      <w:bookmarkStart w:id="88" w:name="_Toc73517682"/>
      <w:r>
        <w:rPr>
          <w:rFonts w:hint="eastAsia" w:ascii="黑体" w:hAnsi="宋体" w:eastAsia="黑体"/>
          <w:sz w:val="24"/>
        </w:rPr>
        <w:t>41．合同的签订</w:t>
      </w:r>
      <w:bookmarkEnd w:id="84"/>
      <w:bookmarkEnd w:id="85"/>
      <w:bookmarkEnd w:id="86"/>
      <w:bookmarkEnd w:id="87"/>
      <w:bookmarkEnd w:id="88"/>
    </w:p>
    <w:p>
      <w:pPr>
        <w:ind w:firstLine="411" w:firstLineChars="196"/>
        <w:rPr>
          <w:rFonts w:ascii="宋体" w:hAnsi="宋体"/>
          <w:szCs w:val="21"/>
        </w:rPr>
      </w:pPr>
      <w:r>
        <w:rPr>
          <w:rFonts w:hint="eastAsia" w:ascii="宋体" w:hAnsi="宋体"/>
          <w:szCs w:val="21"/>
        </w:rPr>
        <w:t>41.1中标人将于中标通知书发出之日起十个工作日内，按照采购文件（招标文件和投标文件等）内容与采购人签订政府采购合同；合同的实质性内容应当符合招标文件的规定；</w:t>
      </w:r>
    </w:p>
    <w:p>
      <w:pPr>
        <w:ind w:firstLine="411" w:firstLineChars="196"/>
        <w:rPr>
          <w:rFonts w:ascii="宋体" w:hAnsi="宋体"/>
          <w:szCs w:val="21"/>
        </w:rPr>
      </w:pPr>
      <w:r>
        <w:rPr>
          <w:rFonts w:hint="eastAsia" w:ascii="宋体" w:hAnsi="宋体"/>
          <w:szCs w:val="21"/>
        </w:rPr>
        <w:t>41.2中标人如不按本通用条款有关的规定与采购人签订合同，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pPr>
        <w:ind w:firstLine="411" w:firstLineChars="196"/>
        <w:rPr>
          <w:rFonts w:ascii="宋体" w:hAnsi="宋体"/>
          <w:szCs w:val="21"/>
        </w:rPr>
      </w:pPr>
      <w:r>
        <w:rPr>
          <w:rFonts w:hint="eastAsia" w:ascii="宋体" w:hAnsi="宋体"/>
          <w:szCs w:val="21"/>
        </w:rPr>
        <w:t>41.3中标人应当按照合同约定履行义务，完成中标项目，不得将中标项目转让（转包）给他人。</w:t>
      </w:r>
    </w:p>
    <w:p>
      <w:pPr>
        <w:rPr>
          <w:rFonts w:ascii="黑体" w:hAnsi="宋体" w:eastAsia="黑体"/>
          <w:sz w:val="24"/>
        </w:rPr>
      </w:pPr>
      <w:bookmarkStart w:id="89" w:name="_Toc73521678"/>
      <w:bookmarkStart w:id="90" w:name="_Toc100052411"/>
      <w:bookmarkStart w:id="91" w:name="_Toc73518161"/>
      <w:bookmarkStart w:id="92" w:name="_Toc73521590"/>
      <w:bookmarkStart w:id="93" w:name="_Toc73517683"/>
      <w:r>
        <w:rPr>
          <w:rFonts w:hint="eastAsia" w:ascii="黑体" w:hAnsi="宋体" w:eastAsia="黑体"/>
          <w:sz w:val="24"/>
        </w:rPr>
        <w:t>42．履约担保</w:t>
      </w:r>
      <w:bookmarkEnd w:id="89"/>
      <w:bookmarkEnd w:id="90"/>
      <w:bookmarkEnd w:id="91"/>
      <w:bookmarkEnd w:id="92"/>
      <w:bookmarkEnd w:id="93"/>
    </w:p>
    <w:p>
      <w:pPr>
        <w:ind w:firstLine="411" w:firstLineChars="196"/>
        <w:rPr>
          <w:rFonts w:ascii="宋体" w:hAnsi="宋体"/>
          <w:szCs w:val="21"/>
        </w:rPr>
      </w:pPr>
      <w:r>
        <w:rPr>
          <w:rFonts w:hint="eastAsia" w:ascii="宋体" w:hAnsi="宋体"/>
          <w:szCs w:val="21"/>
        </w:rPr>
        <w:t>42.1在签订项目合同的同时，中标人应按“对通用条款的补充内容”中规定的金额向采购人提交履约担保（如有）；</w:t>
      </w:r>
    </w:p>
    <w:p>
      <w:pPr>
        <w:ind w:firstLine="411" w:firstLineChars="196"/>
        <w:rPr>
          <w:rFonts w:ascii="宋体" w:hAnsi="宋体"/>
          <w:szCs w:val="21"/>
        </w:rPr>
      </w:pPr>
      <w:r>
        <w:rPr>
          <w:rFonts w:hint="eastAsia" w:ascii="宋体" w:hAnsi="宋体"/>
          <w:szCs w:val="21"/>
        </w:rPr>
        <w:t>42.2，允许供应商自主选择以支票、汇票、本票、保函等非现金方式提交履约担保；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pPr>
        <w:rPr>
          <w:rFonts w:ascii="黑体" w:hAnsi="宋体" w:eastAsia="黑体"/>
          <w:sz w:val="24"/>
        </w:rPr>
      </w:pPr>
      <w:r>
        <w:rPr>
          <w:rFonts w:hint="eastAsia" w:ascii="黑体" w:hAnsi="宋体" w:eastAsia="黑体"/>
          <w:sz w:val="24"/>
        </w:rPr>
        <w:t>43. 合同备案</w:t>
      </w:r>
    </w:p>
    <w:p>
      <w:pPr>
        <w:ind w:firstLine="411" w:firstLineChars="196"/>
        <w:rPr>
          <w:rFonts w:ascii="宋体" w:hAnsi="宋体"/>
          <w:szCs w:val="21"/>
        </w:rPr>
      </w:pPr>
      <w:r>
        <w:rPr>
          <w:rFonts w:hint="eastAsia" w:ascii="宋体" w:hAnsi="宋体"/>
          <w:szCs w:val="21"/>
        </w:rPr>
        <w:t>采购人与中标人应于合同签订之日起十日内，由采购人或委托中标人将采购合同副本抄送合同备案工作实施机构备案。</w:t>
      </w:r>
    </w:p>
    <w:p>
      <w:pPr>
        <w:rPr>
          <w:rFonts w:ascii="黑体" w:hAnsi="宋体" w:eastAsia="黑体"/>
          <w:sz w:val="24"/>
        </w:rPr>
      </w:pPr>
      <w:r>
        <w:rPr>
          <w:rFonts w:hint="eastAsia" w:ascii="黑体" w:hAnsi="宋体" w:eastAsia="黑体"/>
          <w:sz w:val="24"/>
        </w:rPr>
        <w:t>44. 合同变更</w:t>
      </w:r>
    </w:p>
    <w:p>
      <w:pPr>
        <w:ind w:firstLine="411" w:firstLineChars="196"/>
        <w:rPr>
          <w:rFonts w:ascii="宋体" w:hAnsi="宋体"/>
          <w:szCs w:val="21"/>
        </w:rPr>
      </w:pPr>
      <w:r>
        <w:rPr>
          <w:rFonts w:hint="eastAsia" w:ascii="宋体" w:hAnsi="宋体"/>
          <w:szCs w:val="21"/>
        </w:rPr>
        <w:t>合同变更事宜按招标人主管部门相关规定执行。</w:t>
      </w:r>
    </w:p>
    <w:p>
      <w:pPr>
        <w:rPr>
          <w:rFonts w:ascii="黑体" w:hAnsi="宋体" w:eastAsia="黑体"/>
          <w:sz w:val="24"/>
        </w:rPr>
      </w:pPr>
      <w:r>
        <w:rPr>
          <w:rFonts w:hint="eastAsia" w:ascii="黑体" w:hAnsi="宋体" w:eastAsia="黑体"/>
          <w:sz w:val="24"/>
        </w:rPr>
        <w:t>45. 项目验收</w:t>
      </w:r>
    </w:p>
    <w:p>
      <w:pPr>
        <w:widowControl/>
        <w:ind w:right="176" w:firstLine="420"/>
        <w:jc w:val="left"/>
        <w:rPr>
          <w:rFonts w:ascii="宋体" w:hAnsi="宋体"/>
        </w:rPr>
      </w:pPr>
      <w:r>
        <w:rPr>
          <w:rFonts w:hint="eastAsia" w:ascii="宋体" w:hAnsi="宋体"/>
        </w:rPr>
        <w:t>45.1采购人应当按照招标文件和合同规定的标准和方法，及时组织验收。</w:t>
      </w:r>
    </w:p>
    <w:p>
      <w:pPr>
        <w:rPr>
          <w:rFonts w:ascii="黑体" w:hAnsi="宋体" w:eastAsia="黑体"/>
          <w:sz w:val="24"/>
        </w:rPr>
      </w:pPr>
      <w:r>
        <w:rPr>
          <w:rFonts w:hint="eastAsia" w:ascii="黑体" w:hAnsi="宋体" w:eastAsia="黑体"/>
          <w:sz w:val="24"/>
        </w:rPr>
        <w:t>46. 供应商违法责任</w:t>
      </w:r>
    </w:p>
    <w:p>
      <w:pPr>
        <w:ind w:firstLine="411" w:firstLineChars="196"/>
        <w:rPr>
          <w:rFonts w:ascii="宋体" w:hAnsi="宋体"/>
          <w:szCs w:val="21"/>
        </w:rPr>
      </w:pPr>
      <w:r>
        <w:rPr>
          <w:rFonts w:hint="eastAsia" w:ascii="宋体" w:hAnsi="宋体"/>
          <w:szCs w:val="21"/>
        </w:rPr>
        <w:t>46</w:t>
      </w:r>
      <w:r>
        <w:rPr>
          <w:rFonts w:ascii="宋体" w:hAnsi="宋体"/>
          <w:szCs w:val="21"/>
        </w:rPr>
        <w:t>.1依据国家相关政府采购法律法规可采取罚款等措施</w:t>
      </w:r>
      <w:r>
        <w:rPr>
          <w:rFonts w:hint="eastAsia" w:ascii="宋体" w:hAnsi="宋体"/>
          <w:szCs w:val="21"/>
        </w:rPr>
        <w:t>；情节严重的，取消其参与政府采购资格，处以相应金额罚款，并由市场监管部门依法吊销其营业执照；给他人造成损失的，依法承担赔偿责任；构成犯罪的，依法追究刑事责任：</w:t>
      </w:r>
    </w:p>
    <w:p>
      <w:pPr>
        <w:ind w:firstLine="411" w:firstLineChars="196"/>
        <w:rPr>
          <w:rFonts w:ascii="宋体" w:hAnsi="宋体"/>
          <w:szCs w:val="21"/>
        </w:rPr>
      </w:pPr>
      <w:r>
        <w:rPr>
          <w:rFonts w:hint="eastAsia" w:ascii="宋体" w:hAnsi="宋体"/>
          <w:szCs w:val="21"/>
        </w:rPr>
        <w:t>（1）在采购活动中应当回避而未回避的；</w:t>
      </w:r>
    </w:p>
    <w:p>
      <w:pPr>
        <w:ind w:firstLine="411" w:firstLineChars="196"/>
        <w:rPr>
          <w:rFonts w:ascii="宋体" w:hAnsi="宋体"/>
          <w:szCs w:val="21"/>
        </w:rPr>
      </w:pPr>
      <w:r>
        <w:rPr>
          <w:rFonts w:hint="eastAsia" w:ascii="宋体" w:hAnsi="宋体"/>
          <w:szCs w:val="21"/>
        </w:rPr>
        <w:t>（2）未按本条例规定签订、履行采购合同，造成严重后果的；</w:t>
      </w:r>
    </w:p>
    <w:p>
      <w:pPr>
        <w:ind w:firstLine="411" w:firstLineChars="196"/>
        <w:rPr>
          <w:rFonts w:ascii="宋体" w:hAnsi="宋体"/>
          <w:szCs w:val="21"/>
        </w:rPr>
      </w:pPr>
      <w:r>
        <w:rPr>
          <w:rFonts w:hint="eastAsia" w:ascii="宋体" w:hAnsi="宋体"/>
          <w:szCs w:val="21"/>
        </w:rPr>
        <w:t>（3）隐瞒真实情况，提供虚假资料的；</w:t>
      </w:r>
    </w:p>
    <w:p>
      <w:pPr>
        <w:ind w:firstLine="411" w:firstLineChars="196"/>
        <w:rPr>
          <w:rFonts w:ascii="宋体" w:hAnsi="宋体"/>
          <w:szCs w:val="21"/>
        </w:rPr>
      </w:pPr>
      <w:r>
        <w:rPr>
          <w:rFonts w:hint="eastAsia" w:ascii="宋体" w:hAnsi="宋体"/>
          <w:szCs w:val="21"/>
        </w:rPr>
        <w:t>（4）以非法手段排斥其他供应商参与竞争的；</w:t>
      </w:r>
    </w:p>
    <w:p>
      <w:pPr>
        <w:ind w:firstLine="411" w:firstLineChars="196"/>
        <w:rPr>
          <w:rFonts w:ascii="宋体" w:hAnsi="宋体"/>
          <w:szCs w:val="21"/>
        </w:rPr>
      </w:pPr>
      <w:r>
        <w:rPr>
          <w:rFonts w:hint="eastAsia" w:ascii="宋体" w:hAnsi="宋体"/>
          <w:szCs w:val="21"/>
        </w:rPr>
        <w:t>（5）与其他采购参加人串通投标的；</w:t>
      </w:r>
    </w:p>
    <w:p>
      <w:pPr>
        <w:ind w:firstLine="411" w:firstLineChars="196"/>
        <w:rPr>
          <w:rFonts w:ascii="宋体" w:hAnsi="宋体"/>
          <w:szCs w:val="21"/>
        </w:rPr>
      </w:pPr>
      <w:r>
        <w:rPr>
          <w:rFonts w:hint="eastAsia" w:ascii="宋体" w:hAnsi="宋体"/>
          <w:szCs w:val="21"/>
        </w:rPr>
        <w:t>（6）恶意投诉的；</w:t>
      </w:r>
    </w:p>
    <w:p>
      <w:pPr>
        <w:ind w:firstLine="411" w:firstLineChars="196"/>
        <w:rPr>
          <w:rFonts w:ascii="宋体" w:hAnsi="宋体"/>
          <w:szCs w:val="21"/>
        </w:rPr>
      </w:pPr>
      <w:r>
        <w:rPr>
          <w:rFonts w:hint="eastAsia" w:ascii="宋体" w:hAnsi="宋体"/>
          <w:szCs w:val="21"/>
        </w:rPr>
        <w:t>（7）向采购项目相关人行贿或者提供其他不当利益的；</w:t>
      </w:r>
    </w:p>
    <w:p>
      <w:pPr>
        <w:ind w:firstLine="411" w:firstLineChars="196"/>
        <w:rPr>
          <w:rFonts w:ascii="宋体" w:hAnsi="宋体"/>
          <w:szCs w:val="21"/>
        </w:rPr>
      </w:pPr>
      <w:r>
        <w:rPr>
          <w:rFonts w:hint="eastAsia" w:ascii="宋体" w:hAnsi="宋体"/>
          <w:szCs w:val="21"/>
        </w:rPr>
        <w:t>（8）阻碍、抗拒主管部门监督检查的；</w:t>
      </w:r>
    </w:p>
    <w:p>
      <w:pPr>
        <w:ind w:firstLine="411" w:firstLineChars="196"/>
        <w:rPr>
          <w:rFonts w:ascii="宋体" w:hAnsi="宋体"/>
          <w:szCs w:val="21"/>
        </w:rPr>
      </w:pPr>
      <w:r>
        <w:rPr>
          <w:rFonts w:hint="eastAsia" w:ascii="宋体" w:hAnsi="宋体"/>
          <w:szCs w:val="21"/>
        </w:rPr>
        <w:t>（9）其他违反本条例规定的行为。</w:t>
      </w:r>
    </w:p>
    <w:p>
      <w:pPr>
        <w:ind w:firstLine="411" w:firstLineChars="196"/>
        <w:rPr>
          <w:rFonts w:ascii="宋体" w:hAnsi="宋体"/>
          <w:szCs w:val="21"/>
        </w:rPr>
      </w:pPr>
      <w:r>
        <w:rPr>
          <w:rFonts w:hint="eastAsia" w:ascii="宋体" w:hAnsi="宋体"/>
          <w:szCs w:val="21"/>
        </w:rPr>
        <w:t>46</w:t>
      </w:r>
      <w:r>
        <w:rPr>
          <w:rFonts w:ascii="宋体" w:hAnsi="宋体"/>
          <w:szCs w:val="21"/>
        </w:rPr>
        <w:t xml:space="preserve">.2 </w:t>
      </w:r>
      <w:r>
        <w:rPr>
          <w:rFonts w:hint="eastAsia" w:ascii="宋体" w:hAnsi="宋体"/>
          <w:szCs w:val="21"/>
        </w:rPr>
        <w:t>供应商在政府采购活动中出现以下所列情形的，</w:t>
      </w:r>
      <w:bookmarkStart w:id="94" w:name="_Hlk72440769"/>
      <w:r>
        <w:rPr>
          <w:rFonts w:hint="eastAsia" w:ascii="宋体" w:hAnsi="宋体"/>
          <w:szCs w:val="21"/>
        </w:rPr>
        <w:t>采购人或</w:t>
      </w:r>
      <w:bookmarkEnd w:id="94"/>
      <w:r>
        <w:rPr>
          <w:rFonts w:hint="eastAsia" w:ascii="宋体" w:hAnsi="宋体"/>
          <w:szCs w:val="21"/>
        </w:rPr>
        <w:t>代理机构可将有关情况报同级财政部门，由财政部门根据实际情况记入供应商诚信档案，予以通报：</w:t>
      </w:r>
    </w:p>
    <w:p>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bookmarkEnd w:id="78"/>
    <w:p>
      <w:pPr>
        <w:pStyle w:val="5"/>
        <w:numPr>
          <w:ilvl w:val="0"/>
          <w:numId w:val="11"/>
        </w:numPr>
        <w:tabs>
          <w:tab w:val="left" w:pos="360"/>
        </w:tabs>
        <w:spacing w:beforeLines="50" w:afterLines="50"/>
        <w:ind w:left="562" w:hanging="562"/>
        <w:rPr>
          <w:sz w:val="28"/>
          <w:szCs w:val="28"/>
        </w:rPr>
      </w:pPr>
      <w:r>
        <w:rPr>
          <w:rFonts w:hint="eastAsia"/>
          <w:sz w:val="28"/>
          <w:szCs w:val="28"/>
        </w:rPr>
        <w:t>质疑处理</w:t>
      </w:r>
    </w:p>
    <w:p>
      <w:pPr>
        <w:rPr>
          <w:rFonts w:ascii="黑体" w:hAnsi="宋体" w:eastAsia="黑体"/>
          <w:sz w:val="24"/>
        </w:rPr>
      </w:pPr>
      <w:bookmarkStart w:id="95" w:name="_Hlk72439706"/>
      <w:r>
        <w:rPr>
          <w:rFonts w:hint="eastAsia" w:ascii="黑体" w:hAnsi="宋体" w:eastAsia="黑体"/>
          <w:sz w:val="24"/>
        </w:rPr>
        <w:t>47.质疑提出与答复</w:t>
      </w:r>
    </w:p>
    <w:p>
      <w:pPr>
        <w:rPr>
          <w:rFonts w:ascii="宋体" w:hAnsi="宋体"/>
          <w:szCs w:val="21"/>
        </w:rPr>
      </w:pPr>
      <w:r>
        <w:rPr>
          <w:rFonts w:hint="eastAsia" w:ascii="宋体" w:hAnsi="宋体"/>
          <w:szCs w:val="21"/>
        </w:rPr>
        <w:t xml:space="preserve">    47.1提出质疑</w:t>
      </w:r>
    </w:p>
    <w:p>
      <w:pPr>
        <w:rPr>
          <w:rFonts w:ascii="宋体" w:hAnsi="宋体"/>
          <w:szCs w:val="21"/>
        </w:rPr>
      </w:pPr>
      <w:r>
        <w:rPr>
          <w:rFonts w:hint="eastAsia" w:ascii="宋体" w:hAnsi="宋体"/>
          <w:szCs w:val="21"/>
        </w:rPr>
        <w:t xml:space="preserve">    参与政府采购活动的供应商认为自己的权益在采购活动中受到损害的，应当自知道或者应当知道其权益受到损害之日起七个工作日内向采购人、代理机构以书面形式提出质疑。</w:t>
      </w:r>
    </w:p>
    <w:p>
      <w:pPr>
        <w:rPr>
          <w:rFonts w:ascii="宋体" w:hAnsi="宋体"/>
          <w:szCs w:val="21"/>
        </w:rPr>
      </w:pPr>
      <w:r>
        <w:rPr>
          <w:rFonts w:hint="eastAsia" w:ascii="宋体" w:hAnsi="宋体"/>
          <w:szCs w:val="21"/>
        </w:rPr>
        <w:t xml:space="preserve">    47.2</w:t>
      </w:r>
      <w:r>
        <w:rPr>
          <w:rFonts w:ascii="宋体" w:hAnsi="宋体"/>
          <w:szCs w:val="21"/>
        </w:rPr>
        <w:t>法律依据</w:t>
      </w:r>
    </w:p>
    <w:p>
      <w:pPr>
        <w:rPr>
          <w:rFonts w:ascii="宋体" w:hAnsi="宋体"/>
          <w:szCs w:val="21"/>
        </w:rPr>
      </w:pPr>
      <w:r>
        <w:rPr>
          <w:rFonts w:hint="eastAsia" w:ascii="宋体" w:hAnsi="宋体"/>
          <w:szCs w:val="21"/>
        </w:rPr>
        <w:t xml:space="preserve">    《中华人民共和国政府采购法》、《中华人民共和国政府采购法实施条例》、《政府采购质疑和投诉办法》（财政部令第94号）和其他有关法律法规规定。</w:t>
      </w:r>
    </w:p>
    <w:p>
      <w:pPr>
        <w:ind w:firstLine="420" w:firstLineChars="200"/>
        <w:rPr>
          <w:rFonts w:ascii="宋体" w:hAnsi="宋体"/>
          <w:szCs w:val="21"/>
        </w:rPr>
      </w:pPr>
      <w:r>
        <w:rPr>
          <w:rFonts w:hint="eastAsia" w:ascii="宋体" w:hAnsi="宋体"/>
          <w:szCs w:val="21"/>
        </w:rPr>
        <w:t>47.3质疑条件</w:t>
      </w:r>
    </w:p>
    <w:p>
      <w:pPr>
        <w:rPr>
          <w:rFonts w:ascii="宋体" w:hAnsi="宋体"/>
          <w:szCs w:val="21"/>
        </w:rPr>
      </w:pPr>
      <w:r>
        <w:rPr>
          <w:rFonts w:hint="eastAsia" w:ascii="宋体" w:hAnsi="宋体"/>
          <w:szCs w:val="21"/>
        </w:rPr>
        <w:t xml:space="preserve">    47.3.1提出质疑的供应商应当是参与所质疑项目采购活动的供应商；</w:t>
      </w:r>
      <w:bookmarkStart w:id="96" w:name="_Hlk75374941"/>
      <w:r>
        <w:rPr>
          <w:rFonts w:hint="eastAsia" w:ascii="宋体" w:hAnsi="宋体"/>
          <w:szCs w:val="21"/>
        </w:rPr>
        <w:t>以联合体形式参与的，质疑应当由组成联合体的所有成员共同提出</w:t>
      </w:r>
      <w:bookmarkEnd w:id="96"/>
      <w:r>
        <w:rPr>
          <w:rFonts w:hint="eastAsia" w:ascii="宋体" w:hAnsi="宋体"/>
          <w:szCs w:val="21"/>
        </w:rPr>
        <w:t>；</w:t>
      </w:r>
    </w:p>
    <w:p>
      <w:pPr>
        <w:rPr>
          <w:rFonts w:ascii="宋体" w:hAnsi="宋体"/>
          <w:szCs w:val="21"/>
        </w:rPr>
      </w:pPr>
      <w:r>
        <w:rPr>
          <w:rFonts w:hint="eastAsia" w:ascii="宋体" w:hAnsi="宋体"/>
          <w:szCs w:val="21"/>
        </w:rPr>
        <w:t xml:space="preserve">    47.3.2应当在法定质疑期内一次性提出针对同一采购程序环节的质疑，法定质疑期为自知道或应当知道权益受到损害之日起7个工作日内。应当知道其权益受到损害之日是指：对招标文件的质疑，为招标文件公布之日；对采购过程的质疑，为各采购程序环节结束之日；对中标结果以及评审委员会组成人员的质疑，为中标结果公示之日；</w:t>
      </w:r>
    </w:p>
    <w:p>
      <w:pPr>
        <w:ind w:firstLine="420"/>
        <w:rPr>
          <w:rFonts w:ascii="宋体" w:hAnsi="宋体"/>
          <w:szCs w:val="21"/>
        </w:rPr>
      </w:pPr>
      <w:r>
        <w:rPr>
          <w:rFonts w:hint="eastAsia" w:ascii="宋体" w:hAnsi="宋体"/>
          <w:szCs w:val="21"/>
        </w:rPr>
        <w:t>47.3.3应提交书面质疑函，质疑函应当包括以下内容：</w:t>
      </w:r>
    </w:p>
    <w:p>
      <w:pPr>
        <w:ind w:firstLine="420"/>
        <w:rPr>
          <w:rFonts w:ascii="宋体" w:hAnsi="宋体"/>
          <w:szCs w:val="21"/>
        </w:rPr>
      </w:pPr>
      <w:r>
        <w:rPr>
          <w:rFonts w:hint="eastAsia" w:ascii="宋体" w:hAnsi="宋体"/>
          <w:szCs w:val="21"/>
        </w:rPr>
        <w:t>（1）供应商的名称（或者姓名）、地址、邮编、邮箱、联系人及联系电话；</w:t>
      </w:r>
    </w:p>
    <w:p>
      <w:pPr>
        <w:ind w:firstLine="420" w:firstLineChars="200"/>
        <w:rPr>
          <w:rFonts w:ascii="宋体" w:hAnsi="宋体"/>
          <w:szCs w:val="21"/>
        </w:rPr>
      </w:pPr>
      <w:r>
        <w:rPr>
          <w:rFonts w:hint="eastAsia" w:ascii="宋体" w:hAnsi="宋体"/>
          <w:szCs w:val="21"/>
        </w:rPr>
        <w:t>（2）质疑项目的名称、编号；</w:t>
      </w:r>
    </w:p>
    <w:p>
      <w:pPr>
        <w:ind w:firstLine="420" w:firstLineChars="200"/>
        <w:rPr>
          <w:rFonts w:ascii="宋体" w:hAnsi="宋体"/>
          <w:szCs w:val="21"/>
        </w:rPr>
      </w:pPr>
      <w:r>
        <w:rPr>
          <w:rFonts w:hint="eastAsia" w:ascii="宋体" w:hAnsi="宋体"/>
          <w:szCs w:val="21"/>
        </w:rPr>
        <w:t>（3）具体、明确的质疑对象、质疑事项和质疑请求；</w:t>
      </w:r>
    </w:p>
    <w:p>
      <w:pPr>
        <w:ind w:firstLine="420" w:firstLineChars="200"/>
        <w:rPr>
          <w:rFonts w:ascii="宋体" w:hAnsi="宋体"/>
          <w:szCs w:val="21"/>
        </w:rPr>
      </w:pPr>
      <w:r>
        <w:rPr>
          <w:rFonts w:hint="eastAsia" w:ascii="宋体" w:hAnsi="宋体"/>
          <w:szCs w:val="21"/>
        </w:rPr>
        <w:t>（4）因质疑事项而受损害的权益；</w:t>
      </w:r>
    </w:p>
    <w:p>
      <w:pPr>
        <w:ind w:firstLine="420" w:firstLineChars="200"/>
        <w:rPr>
          <w:rFonts w:ascii="宋体" w:hAnsi="宋体"/>
          <w:szCs w:val="21"/>
        </w:rPr>
      </w:pPr>
      <w:r>
        <w:rPr>
          <w:rFonts w:hint="eastAsia" w:ascii="宋体" w:hAnsi="宋体"/>
          <w:szCs w:val="21"/>
        </w:rPr>
        <w:t>（5）事实依据；</w:t>
      </w:r>
    </w:p>
    <w:p>
      <w:pPr>
        <w:ind w:firstLine="420" w:firstLineChars="200"/>
        <w:rPr>
          <w:rFonts w:ascii="宋体" w:hAnsi="宋体"/>
          <w:szCs w:val="21"/>
        </w:rPr>
      </w:pPr>
      <w:r>
        <w:rPr>
          <w:rFonts w:hint="eastAsia" w:ascii="宋体" w:hAnsi="宋体"/>
          <w:szCs w:val="21"/>
        </w:rPr>
        <w:t>（6）必要的法律依据；</w:t>
      </w:r>
    </w:p>
    <w:p>
      <w:pPr>
        <w:ind w:firstLine="420" w:firstLineChars="200"/>
        <w:rPr>
          <w:rFonts w:ascii="宋体" w:hAnsi="宋体"/>
          <w:szCs w:val="21"/>
        </w:rPr>
      </w:pPr>
      <w:r>
        <w:rPr>
          <w:rFonts w:hint="eastAsia" w:ascii="宋体" w:hAnsi="宋体"/>
          <w:szCs w:val="21"/>
        </w:rPr>
        <w:t>（7）提出质疑的日期。</w:t>
      </w:r>
    </w:p>
    <w:p>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pPr>
        <w:ind w:firstLine="420" w:firstLineChars="200"/>
        <w:rPr>
          <w:rFonts w:ascii="宋体" w:hAnsi="宋体"/>
          <w:szCs w:val="21"/>
        </w:rPr>
      </w:pPr>
      <w:r>
        <w:rPr>
          <w:rFonts w:hint="eastAsia" w:ascii="宋体" w:hAnsi="宋体"/>
          <w:szCs w:val="21"/>
        </w:rPr>
        <w:t>47.4提交</w:t>
      </w:r>
      <w:r>
        <w:rPr>
          <w:rFonts w:ascii="宋体" w:hAnsi="宋体"/>
          <w:szCs w:val="21"/>
        </w:rPr>
        <w:t>材料</w:t>
      </w:r>
    </w:p>
    <w:p>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pPr>
        <w:ind w:firstLine="420" w:firstLineChars="200"/>
        <w:rPr>
          <w:rFonts w:ascii="宋体" w:hAnsi="宋体"/>
          <w:szCs w:val="21"/>
        </w:rPr>
      </w:pPr>
      <w:r>
        <w:rPr>
          <w:rFonts w:hint="eastAsia" w:ascii="宋体" w:hAnsi="宋体"/>
          <w:szCs w:val="21"/>
        </w:rPr>
        <w:t>47.5提交方式</w:t>
      </w:r>
    </w:p>
    <w:p>
      <w:pPr>
        <w:ind w:firstLine="420" w:firstLineChars="200"/>
        <w:rPr>
          <w:rFonts w:ascii="宋体" w:hAnsi="宋体"/>
          <w:b/>
          <w:bCs/>
          <w:szCs w:val="21"/>
        </w:rPr>
      </w:pPr>
      <w:r>
        <w:rPr>
          <w:rFonts w:hint="eastAsia" w:ascii="宋体" w:hAnsi="宋体"/>
          <w:szCs w:val="21"/>
        </w:rPr>
        <w:t>47</w:t>
      </w:r>
      <w:r>
        <w:rPr>
          <w:rFonts w:ascii="宋体" w:hAnsi="宋体"/>
          <w:szCs w:val="21"/>
        </w:rPr>
        <w:t>.5.1</w:t>
      </w:r>
      <w:r>
        <w:rPr>
          <w:rFonts w:hint="eastAsia" w:ascii="宋体" w:hAnsi="宋体"/>
          <w:szCs w:val="21"/>
        </w:rPr>
        <w:t>请质疑供应商</w:t>
      </w:r>
      <w:r>
        <w:fldChar w:fldCharType="begin"/>
      </w:r>
      <w:r>
        <w:instrText xml:space="preserve"> HYPERLINK </w:instrText>
      </w:r>
      <w:r>
        <w:fldChar w:fldCharType="separate"/>
      </w:r>
      <w:r>
        <w:fldChar w:fldCharType="end"/>
      </w:r>
      <w:r>
        <w:rPr>
          <w:rFonts w:hint="eastAsia" w:ascii="宋体" w:hAnsi="宋体"/>
          <w:szCs w:val="21"/>
        </w:rPr>
        <w:t>应向代理机构提出</w:t>
      </w:r>
    </w:p>
    <w:p>
      <w:pPr>
        <w:ind w:firstLine="420" w:firstLineChars="200"/>
        <w:rPr>
          <w:rFonts w:ascii="宋体" w:hAnsi="宋体"/>
          <w:szCs w:val="21"/>
        </w:rPr>
      </w:pPr>
      <w:r>
        <w:rPr>
          <w:rFonts w:hint="eastAsia" w:ascii="宋体" w:hAnsi="宋体"/>
          <w:szCs w:val="21"/>
        </w:rPr>
        <w:t>47.6收文办理</w:t>
      </w:r>
      <w:r>
        <w:rPr>
          <w:rFonts w:ascii="宋体" w:hAnsi="宋体"/>
          <w:szCs w:val="21"/>
        </w:rPr>
        <w:t>程序</w:t>
      </w:r>
    </w:p>
    <w:p>
      <w:pPr>
        <w:ind w:firstLine="420" w:firstLineChars="200"/>
        <w:rPr>
          <w:rFonts w:ascii="宋体" w:hAnsi="宋体"/>
          <w:szCs w:val="21"/>
        </w:rPr>
      </w:pPr>
      <w:r>
        <w:rPr>
          <w:rFonts w:hint="eastAsia" w:ascii="宋体" w:hAnsi="宋体"/>
          <w:szCs w:val="21"/>
        </w:rPr>
        <w:t>47.6.1供应商提交的质疑符合受理条件的，代理机构自收到质疑材料之日起即为受理，应当向供应商出具质疑函收文回执并可以要求其递交质疑的法定代表人（负责人）或者授权代理人签署质疑文书送达地址确认书。</w:t>
      </w:r>
    </w:p>
    <w:p>
      <w:pPr>
        <w:ind w:firstLine="420" w:firstLineChars="200"/>
        <w:rPr>
          <w:rFonts w:ascii="仿宋" w:hAnsi="仿宋" w:eastAsia="仿宋"/>
          <w:sz w:val="28"/>
          <w:szCs w:val="28"/>
        </w:rPr>
      </w:pPr>
      <w:r>
        <w:rPr>
          <w:rFonts w:hint="eastAsia" w:ascii="宋体" w:hAnsi="宋体"/>
          <w:szCs w:val="21"/>
        </w:rPr>
        <w:t>47.6.2供应商提交的质疑材料不符合质疑条件的，视情况处理：</w:t>
      </w:r>
    </w:p>
    <w:p>
      <w:pPr>
        <w:ind w:firstLine="420" w:firstLineChars="200"/>
        <w:rPr>
          <w:rFonts w:ascii="宋体" w:hAnsi="宋体"/>
          <w:szCs w:val="21"/>
        </w:rPr>
      </w:pPr>
      <w:r>
        <w:rPr>
          <w:rFonts w:hint="eastAsia" w:ascii="宋体" w:hAnsi="宋体"/>
          <w:szCs w:val="21"/>
        </w:rPr>
        <w:t>供应商提交的质疑材料不全或者未按要求签字或者盖章的，代理机构应当一次性告知供应商需补正的内容和补正期限。</w:t>
      </w:r>
    </w:p>
    <w:p>
      <w:pPr>
        <w:ind w:firstLine="420" w:firstLineChars="200"/>
        <w:rPr>
          <w:rFonts w:ascii="宋体" w:hAnsi="宋体"/>
          <w:szCs w:val="21"/>
        </w:rPr>
      </w:pPr>
      <w:r>
        <w:rPr>
          <w:rFonts w:hint="eastAsia" w:ascii="宋体" w:hAnsi="宋体"/>
          <w:szCs w:val="21"/>
        </w:rPr>
        <w:t>供应商提交的质疑存在下列情形之一的，不予受理：</w:t>
      </w:r>
    </w:p>
    <w:p>
      <w:pPr>
        <w:ind w:firstLine="420" w:firstLineChars="200"/>
        <w:rPr>
          <w:rFonts w:ascii="宋体" w:hAnsi="宋体"/>
          <w:szCs w:val="21"/>
        </w:rPr>
      </w:pPr>
      <w:r>
        <w:rPr>
          <w:rFonts w:hint="eastAsia" w:ascii="宋体" w:hAnsi="宋体"/>
          <w:szCs w:val="21"/>
        </w:rPr>
        <w:t>（1）质疑主体不满足要求的；</w:t>
      </w:r>
    </w:p>
    <w:p>
      <w:pPr>
        <w:ind w:firstLine="420" w:firstLineChars="200"/>
        <w:rPr>
          <w:rFonts w:ascii="宋体" w:hAnsi="宋体"/>
          <w:szCs w:val="21"/>
        </w:rPr>
      </w:pPr>
      <w:r>
        <w:rPr>
          <w:rFonts w:hint="eastAsia" w:ascii="宋体" w:hAnsi="宋体"/>
          <w:szCs w:val="21"/>
        </w:rPr>
        <w:t>（2）供应商自身权益未受到损害的；</w:t>
      </w:r>
    </w:p>
    <w:p>
      <w:pPr>
        <w:ind w:firstLine="420" w:firstLineChars="200"/>
        <w:rPr>
          <w:rFonts w:ascii="宋体" w:hAnsi="宋体"/>
          <w:szCs w:val="21"/>
        </w:rPr>
      </w:pPr>
      <w:r>
        <w:rPr>
          <w:rFonts w:hint="eastAsia" w:ascii="宋体" w:hAnsi="宋体"/>
          <w:szCs w:val="21"/>
        </w:rPr>
        <w:t>（3）供应商未在法定质疑期限内提出质疑的；</w:t>
      </w:r>
    </w:p>
    <w:p>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pPr>
        <w:ind w:firstLine="420" w:firstLineChars="200"/>
        <w:rPr>
          <w:rFonts w:ascii="宋体" w:hAnsi="宋体"/>
          <w:szCs w:val="21"/>
        </w:rPr>
      </w:pPr>
      <w:r>
        <w:rPr>
          <w:rFonts w:hint="eastAsia" w:ascii="宋体" w:hAnsi="宋体"/>
          <w:szCs w:val="21"/>
        </w:rPr>
        <w:t>（5）其他不符合受理条件情形的。</w:t>
      </w:r>
    </w:p>
    <w:p>
      <w:pPr>
        <w:ind w:firstLine="420" w:firstLineChars="200"/>
        <w:rPr>
          <w:rFonts w:ascii="宋体" w:hAnsi="宋体"/>
          <w:szCs w:val="21"/>
        </w:rPr>
      </w:pPr>
      <w:r>
        <w:rPr>
          <w:rFonts w:hint="eastAsia" w:ascii="宋体" w:hAnsi="宋体"/>
          <w:szCs w:val="21"/>
        </w:rPr>
        <w:t>质疑事项不予受理的，代理机构应当向供应商出具不符合质疑条件告知书。</w:t>
      </w:r>
    </w:p>
    <w:p>
      <w:pPr>
        <w:rPr>
          <w:rFonts w:ascii="宋体" w:hAnsi="宋体"/>
          <w:szCs w:val="21"/>
        </w:rPr>
      </w:pPr>
      <w:r>
        <w:rPr>
          <w:rFonts w:hint="eastAsia" w:ascii="宋体" w:hAnsi="宋体"/>
          <w:szCs w:val="21"/>
        </w:rPr>
        <w:t xml:space="preserve">    47.7质疑答复时限</w:t>
      </w:r>
    </w:p>
    <w:p>
      <w:pPr>
        <w:rPr>
          <w:rFonts w:ascii="宋体" w:hAnsi="宋体"/>
          <w:szCs w:val="21"/>
        </w:rPr>
      </w:pPr>
      <w:r>
        <w:rPr>
          <w:rFonts w:hint="eastAsia" w:ascii="宋体" w:hAnsi="宋体"/>
          <w:szCs w:val="21"/>
        </w:rPr>
        <w:t xml:space="preserve">    自收文之日起七个工作日内。</w:t>
      </w:r>
    </w:p>
    <w:p>
      <w:pPr>
        <w:rPr>
          <w:rFonts w:ascii="黑体" w:hAnsi="宋体" w:eastAsia="黑体"/>
          <w:sz w:val="24"/>
        </w:rPr>
      </w:pPr>
      <w:r>
        <w:rPr>
          <w:rFonts w:hint="eastAsia" w:ascii="黑体" w:hAnsi="宋体" w:eastAsia="黑体"/>
          <w:sz w:val="24"/>
        </w:rPr>
        <w:t>48. 质疑后续处理</w:t>
      </w:r>
    </w:p>
    <w:p>
      <w:pPr>
        <w:rPr>
          <w:rFonts w:ascii="宋体" w:hAnsi="宋体"/>
          <w:szCs w:val="21"/>
        </w:rPr>
      </w:pPr>
      <w:r>
        <w:rPr>
          <w:rFonts w:hint="eastAsia" w:ascii="宋体" w:hAnsi="宋体"/>
          <w:szCs w:val="21"/>
        </w:rPr>
        <w:t xml:space="preserve">    48.1供应商质疑不成立，或者成立但未对中标、成交结果构成影响的，继续开展采购活动。</w:t>
      </w:r>
    </w:p>
    <w:p>
      <w:pPr>
        <w:rPr>
          <w:rFonts w:ascii="宋体" w:hAnsi="宋体"/>
          <w:szCs w:val="21"/>
        </w:rPr>
      </w:pPr>
      <w:r>
        <w:rPr>
          <w:rFonts w:hint="eastAsia" w:ascii="宋体" w:hAnsi="宋体"/>
          <w:szCs w:val="21"/>
        </w:rPr>
        <w:t xml:space="preserve">    48.2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w:t>
      </w:r>
    </w:p>
    <w:p>
      <w:pPr>
        <w:jc w:val="center"/>
        <w:rPr>
          <w:rFonts w:ascii="宋体" w:hAnsi="宋体"/>
          <w:szCs w:val="21"/>
        </w:rPr>
      </w:pPr>
      <w:r>
        <w:t>---- END ----</w:t>
      </w:r>
      <w:bookmarkEnd w:id="95"/>
    </w:p>
    <w:sectPr>
      <w:headerReference r:id="rId3" w:type="first"/>
      <w:footerReference r:id="rId4" w:type="default"/>
      <w:footerReference r:id="rId5" w:type="even"/>
      <w:pgSz w:w="11907" w:h="16840"/>
      <w:pgMar w:top="1440" w:right="1797" w:bottom="1440" w:left="1797"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Arial Unicode MS">
    <w:altName w:val="宋体"/>
    <w:panose1 w:val="020B0604020202020204"/>
    <w:charset w:val="86"/>
    <w:family w:val="swiss"/>
    <w:pitch w:val="default"/>
    <w:sig w:usb0="00000000" w:usb1="00000000" w:usb2="0000003F" w:usb3="00000000" w:csb0="003F01FF" w:csb1="00000000"/>
  </w:font>
  <w:font w:name="隶书">
    <w:altName w:val="微软雅黑"/>
    <w:panose1 w:val="02010509060101010101"/>
    <w:charset w:val="86"/>
    <w:family w:val="modern"/>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00000" w:csb1="00000000"/>
  </w:font>
  <w:font w:name="??">
    <w:altName w:val="Times New Roman"/>
    <w:panose1 w:val="00000000000000000000"/>
    <w:charset w:val="01"/>
    <w:family w:val="auto"/>
    <w:pitch w:val="default"/>
    <w:sig w:usb0="00000000" w:usb1="00000000" w:usb2="00000000" w:usb3="00000000" w:csb0="00040001" w:csb1="00000000"/>
  </w:font>
  <w:font w:name="汉仪细等线简">
    <w:altName w:val="宋体"/>
    <w:panose1 w:val="00000000000000000000"/>
    <w:charset w:val="86"/>
    <w:family w:val="modern"/>
    <w:pitch w:val="default"/>
    <w:sig w:usb0="00000000" w:usb1="00000000" w:usb2="00000012" w:usb3="00000000" w:csb0="00040000" w:csb1="00000000"/>
  </w:font>
  <w:font w:name="H Yb 2gj">
    <w:altName w:val="黑体"/>
    <w:panose1 w:val="00000000000000000000"/>
    <w:charset w:val="86"/>
    <w:family w:val="auto"/>
    <w:pitch w:val="default"/>
    <w:sig w:usb0="00000000" w:usb1="00000000" w:usb2="00000010" w:usb3="00000000" w:csb0="00040000" w:csb1="00000000"/>
  </w:font>
  <w:font w:name="幼圆">
    <w:altName w:val="宋体"/>
    <w:panose1 w:val="02010509060101010101"/>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汉仪书宋二S">
    <w:altName w:val="宋体"/>
    <w:panose1 w:val="00000000000000000000"/>
    <w:charset w:val="86"/>
    <w:family w:val="auto"/>
    <w:pitch w:val="default"/>
    <w:sig w:usb0="00000000" w:usb1="00000000" w:usb2="00000016" w:usb3="00000000" w:csb0="00040000" w:csb1="00000000"/>
  </w:font>
  <w:font w:name="微软雅黑">
    <w:panose1 w:val="020B0503020204020204"/>
    <w:charset w:val="86"/>
    <w:family w:val="swiss"/>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6"/>
      </w:rPr>
    </w:pPr>
    <w:r>
      <w:t xml:space="preserve">- </w:t>
    </w:r>
    <w:r>
      <w:fldChar w:fldCharType="begin"/>
    </w:r>
    <w:r>
      <w:instrText xml:space="preserve"> PAGE </w:instrText>
    </w:r>
    <w:r>
      <w:fldChar w:fldCharType="separate"/>
    </w:r>
    <w:r>
      <w:t>2</w:t>
    </w:r>
    <w:r>
      <w:fldChar w:fldCharType="end"/>
    </w:r>
    <w:r>
      <w:t xml:space="preserve"> -</w:t>
    </w:r>
  </w:p>
  <w:p>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6"/>
      </w:rPr>
    </w:pPr>
    <w:r>
      <w:rPr>
        <w:rStyle w:val="46"/>
      </w:rPr>
      <w:fldChar w:fldCharType="begin"/>
    </w:r>
    <w:r>
      <w:rPr>
        <w:rStyle w:val="46"/>
      </w:rPr>
      <w:instrText xml:space="preserve">PAGE  </w:instrText>
    </w:r>
    <w:r>
      <w:rPr>
        <w:rStyle w:val="46"/>
      </w:rPr>
      <w:fldChar w:fldCharType="separate"/>
    </w:r>
    <w:r>
      <w:rPr>
        <w:rStyle w:val="46"/>
      </w:rPr>
      <w:t>10</w:t>
    </w:r>
    <w:r>
      <w:rPr>
        <w:rStyle w:val="46"/>
      </w:rPr>
      <w:fldChar w:fldCharType="end"/>
    </w:r>
  </w:p>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4"/>
      <w:lvlText w:val="%1."/>
      <w:lvlJc w:val="left"/>
      <w:pPr>
        <w:tabs>
          <w:tab w:val="left" w:pos="2040"/>
        </w:tabs>
        <w:ind w:left="2040" w:leftChars="800" w:hanging="360" w:hangingChars="200"/>
      </w:pPr>
    </w:lvl>
  </w:abstractNum>
  <w:abstractNum w:abstractNumId="1">
    <w:nsid w:val="FFFFFF89"/>
    <w:multiLevelType w:val="singleLevel"/>
    <w:tmpl w:val="FFFFFF89"/>
    <w:lvl w:ilvl="0" w:tentative="0">
      <w:start w:val="1"/>
      <w:numFmt w:val="bullet"/>
      <w:pStyle w:val="14"/>
      <w:lvlText w:val=""/>
      <w:lvlJc w:val="left"/>
      <w:pPr>
        <w:tabs>
          <w:tab w:val="left" w:pos="360"/>
        </w:tabs>
        <w:ind w:left="360" w:hanging="360" w:hangingChars="200"/>
      </w:pPr>
      <w:rPr>
        <w:rFonts w:hint="default" w:ascii="Wingdings" w:hAnsi="Wingdings"/>
      </w:rPr>
    </w:lvl>
  </w:abstractNum>
  <w:abstractNum w:abstractNumId="2">
    <w:nsid w:val="01E0206F"/>
    <w:multiLevelType w:val="multilevel"/>
    <w:tmpl w:val="01E0206F"/>
    <w:lvl w:ilvl="0" w:tentative="0">
      <w:start w:val="3"/>
      <w:numFmt w:val="decimal"/>
      <w:lvlText w:val="%1、"/>
      <w:lvlJc w:val="left"/>
      <w:pPr>
        <w:ind w:left="809" w:hanging="390"/>
      </w:pPr>
      <w:rPr>
        <w:rFonts w:hint="default" w:ascii="宋体" w:hAnsi="宋体" w:eastAsia="宋体" w:cs="宋体"/>
        <w:b/>
      </w:rPr>
    </w:lvl>
    <w:lvl w:ilvl="1" w:tentative="0">
      <w:start w:val="1"/>
      <w:numFmt w:val="lowerLetter"/>
      <w:lvlText w:val="%2)"/>
      <w:lvlJc w:val="left"/>
      <w:pPr>
        <w:ind w:left="1259" w:hanging="420"/>
      </w:pPr>
    </w:lvl>
    <w:lvl w:ilvl="2" w:tentative="0">
      <w:start w:val="1"/>
      <w:numFmt w:val="lowerRoman"/>
      <w:lvlText w:val="%3."/>
      <w:lvlJc w:val="right"/>
      <w:pPr>
        <w:ind w:left="1679" w:hanging="420"/>
      </w:pPr>
    </w:lvl>
    <w:lvl w:ilvl="3" w:tentative="0">
      <w:start w:val="1"/>
      <w:numFmt w:val="decimal"/>
      <w:lvlText w:val="%4."/>
      <w:lvlJc w:val="left"/>
      <w:pPr>
        <w:ind w:left="2099" w:hanging="420"/>
      </w:pPr>
    </w:lvl>
    <w:lvl w:ilvl="4" w:tentative="0">
      <w:start w:val="1"/>
      <w:numFmt w:val="lowerLetter"/>
      <w:lvlText w:val="%5)"/>
      <w:lvlJc w:val="left"/>
      <w:pPr>
        <w:ind w:left="2519" w:hanging="420"/>
      </w:pPr>
    </w:lvl>
    <w:lvl w:ilvl="5" w:tentative="0">
      <w:start w:val="1"/>
      <w:numFmt w:val="lowerRoman"/>
      <w:lvlText w:val="%6."/>
      <w:lvlJc w:val="right"/>
      <w:pPr>
        <w:ind w:left="2939" w:hanging="420"/>
      </w:pPr>
    </w:lvl>
    <w:lvl w:ilvl="6" w:tentative="0">
      <w:start w:val="1"/>
      <w:numFmt w:val="decimal"/>
      <w:lvlText w:val="%7."/>
      <w:lvlJc w:val="left"/>
      <w:pPr>
        <w:ind w:left="3359" w:hanging="420"/>
      </w:pPr>
    </w:lvl>
    <w:lvl w:ilvl="7" w:tentative="0">
      <w:start w:val="1"/>
      <w:numFmt w:val="lowerLetter"/>
      <w:lvlText w:val="%8)"/>
      <w:lvlJc w:val="left"/>
      <w:pPr>
        <w:ind w:left="3779" w:hanging="420"/>
      </w:pPr>
    </w:lvl>
    <w:lvl w:ilvl="8" w:tentative="0">
      <w:start w:val="1"/>
      <w:numFmt w:val="lowerRoman"/>
      <w:lvlText w:val="%9."/>
      <w:lvlJc w:val="right"/>
      <w:pPr>
        <w:ind w:left="4199" w:hanging="420"/>
      </w:pPr>
    </w:lvl>
  </w:abstractNum>
  <w:abstractNum w:abstractNumId="3">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12503483"/>
    <w:multiLevelType w:val="multilevel"/>
    <w:tmpl w:val="12503483"/>
    <w:lvl w:ilvl="0" w:tentative="0">
      <w:start w:val="1"/>
      <w:numFmt w:val="bullet"/>
      <w:pStyle w:val="112"/>
      <w:lvlText w:val=""/>
      <w:lvlJc w:val="left"/>
      <w:pPr>
        <w:tabs>
          <w:tab w:val="left" w:pos="420"/>
        </w:tabs>
        <w:ind w:left="420" w:hanging="420"/>
      </w:pPr>
      <w:rPr>
        <w:rFonts w:hint="default" w:ascii="Wingdings" w:hAnsi="Wingdings"/>
      </w:rPr>
    </w:lvl>
    <w:lvl w:ilvl="1" w:tentative="0">
      <w:start w:val="1"/>
      <w:numFmt w:val="bullet"/>
      <w:pStyle w:val="111"/>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15B4919C"/>
    <w:multiLevelType w:val="singleLevel"/>
    <w:tmpl w:val="15B4919C"/>
    <w:lvl w:ilvl="0" w:tentative="0">
      <w:start w:val="5"/>
      <w:numFmt w:val="chineseCounting"/>
      <w:suff w:val="nothing"/>
      <w:lvlText w:val="%1、"/>
      <w:lvlJc w:val="left"/>
      <w:pPr>
        <w:ind w:left="630" w:firstLine="0"/>
      </w:pPr>
      <w:rPr>
        <w:rFonts w:hint="eastAsia"/>
      </w:rPr>
    </w:lvl>
  </w:abstractNum>
  <w:abstractNum w:abstractNumId="6">
    <w:nsid w:val="160D20D0"/>
    <w:multiLevelType w:val="multilevel"/>
    <w:tmpl w:val="160D20D0"/>
    <w:lvl w:ilvl="0" w:tentative="0">
      <w:start w:val="1"/>
      <w:numFmt w:val="bullet"/>
      <w:pStyle w:val="80"/>
      <w:lvlText w:val=""/>
      <w:lvlJc w:val="left"/>
      <w:pPr>
        <w:tabs>
          <w:tab w:val="left" w:pos="840"/>
        </w:tabs>
        <w:ind w:left="840" w:hanging="420"/>
      </w:pPr>
      <w:rPr>
        <w:rFonts w:hint="default" w:ascii="Wingdings" w:hAnsi="Wingdings"/>
      </w:rPr>
    </w:lvl>
    <w:lvl w:ilvl="1" w:tentative="0">
      <w:start w:val="1"/>
      <w:numFmt w:val="bullet"/>
      <w:pStyle w:val="81"/>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7">
    <w:nsid w:val="2F395B7B"/>
    <w:multiLevelType w:val="multilevel"/>
    <w:tmpl w:val="2F395B7B"/>
    <w:lvl w:ilvl="0" w:tentative="0">
      <w:start w:val="1"/>
      <w:numFmt w:val="bullet"/>
      <w:pStyle w:val="172"/>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8">
    <w:nsid w:val="358B4892"/>
    <w:multiLevelType w:val="multilevel"/>
    <w:tmpl w:val="358B4892"/>
    <w:lvl w:ilvl="0" w:tentative="0">
      <w:start w:val="1"/>
      <w:numFmt w:val="decimal"/>
      <w:lvlText w:val="%1、"/>
      <w:lvlJc w:val="left"/>
      <w:pPr>
        <w:ind w:left="1139" w:hanging="720"/>
      </w:pPr>
      <w:rPr>
        <w:rFonts w:hint="default"/>
      </w:rPr>
    </w:lvl>
    <w:lvl w:ilvl="1" w:tentative="0">
      <w:start w:val="1"/>
      <w:numFmt w:val="lowerLetter"/>
      <w:lvlText w:val="%2)"/>
      <w:lvlJc w:val="left"/>
      <w:pPr>
        <w:ind w:left="1259" w:hanging="420"/>
      </w:pPr>
    </w:lvl>
    <w:lvl w:ilvl="2" w:tentative="0">
      <w:start w:val="1"/>
      <w:numFmt w:val="lowerRoman"/>
      <w:lvlText w:val="%3."/>
      <w:lvlJc w:val="right"/>
      <w:pPr>
        <w:ind w:left="1679" w:hanging="420"/>
      </w:pPr>
    </w:lvl>
    <w:lvl w:ilvl="3" w:tentative="0">
      <w:start w:val="1"/>
      <w:numFmt w:val="decimal"/>
      <w:lvlText w:val="%4."/>
      <w:lvlJc w:val="left"/>
      <w:pPr>
        <w:ind w:left="2099" w:hanging="420"/>
      </w:pPr>
    </w:lvl>
    <w:lvl w:ilvl="4" w:tentative="0">
      <w:start w:val="1"/>
      <w:numFmt w:val="lowerLetter"/>
      <w:lvlText w:val="%5)"/>
      <w:lvlJc w:val="left"/>
      <w:pPr>
        <w:ind w:left="2519" w:hanging="420"/>
      </w:pPr>
    </w:lvl>
    <w:lvl w:ilvl="5" w:tentative="0">
      <w:start w:val="1"/>
      <w:numFmt w:val="lowerRoman"/>
      <w:lvlText w:val="%6."/>
      <w:lvlJc w:val="right"/>
      <w:pPr>
        <w:ind w:left="2939" w:hanging="420"/>
      </w:pPr>
    </w:lvl>
    <w:lvl w:ilvl="6" w:tentative="0">
      <w:start w:val="1"/>
      <w:numFmt w:val="decimal"/>
      <w:lvlText w:val="%7."/>
      <w:lvlJc w:val="left"/>
      <w:pPr>
        <w:ind w:left="3359" w:hanging="420"/>
      </w:pPr>
    </w:lvl>
    <w:lvl w:ilvl="7" w:tentative="0">
      <w:start w:val="1"/>
      <w:numFmt w:val="lowerLetter"/>
      <w:lvlText w:val="%8)"/>
      <w:lvlJc w:val="left"/>
      <w:pPr>
        <w:ind w:left="3779" w:hanging="420"/>
      </w:pPr>
    </w:lvl>
    <w:lvl w:ilvl="8" w:tentative="0">
      <w:start w:val="1"/>
      <w:numFmt w:val="lowerRoman"/>
      <w:lvlText w:val="%9."/>
      <w:lvlJc w:val="right"/>
      <w:pPr>
        <w:ind w:left="4199" w:hanging="420"/>
      </w:pPr>
    </w:lvl>
  </w:abstractNum>
  <w:abstractNum w:abstractNumId="9">
    <w:nsid w:val="733C17C4"/>
    <w:multiLevelType w:val="multilevel"/>
    <w:tmpl w:val="733C17C4"/>
    <w:lvl w:ilvl="0" w:tentative="0">
      <w:start w:val="1"/>
      <w:numFmt w:val="decimal"/>
      <w:lvlText w:val="（%1）"/>
      <w:lvlJc w:val="left"/>
      <w:pPr>
        <w:ind w:left="720" w:hanging="720"/>
      </w:pPr>
      <w:rPr>
        <w:rFonts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AEF7716"/>
    <w:multiLevelType w:val="multilevel"/>
    <w:tmpl w:val="7AEF7716"/>
    <w:lvl w:ilvl="0" w:tentative="0">
      <w:start w:val="1"/>
      <w:numFmt w:val="chineseCountingThousand"/>
      <w:pStyle w:val="125"/>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6"/>
  </w:num>
  <w:num w:numId="4">
    <w:abstractNumId w:val="4"/>
  </w:num>
  <w:num w:numId="5">
    <w:abstractNumId w:val="10"/>
  </w:num>
  <w:num w:numId="6">
    <w:abstractNumId w:val="7"/>
  </w:num>
  <w:num w:numId="7">
    <w:abstractNumId w:val="8"/>
  </w:num>
  <w:num w:numId="8">
    <w:abstractNumId w:val="9"/>
  </w:num>
  <w:num w:numId="9">
    <w:abstractNumId w:val="2"/>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TYyODNkZWUxNGQzZjczMDI3MzgzMTRiYjcxYTY1YmIifQ=="/>
  </w:docVars>
  <w:rsids>
    <w:rsidRoot w:val="00A1153C"/>
    <w:rsid w:val="000418D9"/>
    <w:rsid w:val="000B014C"/>
    <w:rsid w:val="000F3899"/>
    <w:rsid w:val="001036FB"/>
    <w:rsid w:val="00103791"/>
    <w:rsid w:val="001074DF"/>
    <w:rsid w:val="00170252"/>
    <w:rsid w:val="00183EBB"/>
    <w:rsid w:val="0027761A"/>
    <w:rsid w:val="002F25D7"/>
    <w:rsid w:val="003A23E7"/>
    <w:rsid w:val="003A63B9"/>
    <w:rsid w:val="00437B6B"/>
    <w:rsid w:val="004713DB"/>
    <w:rsid w:val="004A177D"/>
    <w:rsid w:val="004B4A27"/>
    <w:rsid w:val="004D1919"/>
    <w:rsid w:val="004E26DF"/>
    <w:rsid w:val="004F448D"/>
    <w:rsid w:val="005D47D0"/>
    <w:rsid w:val="00626A3B"/>
    <w:rsid w:val="006457CC"/>
    <w:rsid w:val="00670C98"/>
    <w:rsid w:val="006D1C44"/>
    <w:rsid w:val="00726653"/>
    <w:rsid w:val="007558D2"/>
    <w:rsid w:val="0075659A"/>
    <w:rsid w:val="00793BF9"/>
    <w:rsid w:val="00870BE1"/>
    <w:rsid w:val="008D1A4B"/>
    <w:rsid w:val="00A1153C"/>
    <w:rsid w:val="00AA6B3C"/>
    <w:rsid w:val="00AF42F0"/>
    <w:rsid w:val="00B2278B"/>
    <w:rsid w:val="00B9652B"/>
    <w:rsid w:val="00BA7748"/>
    <w:rsid w:val="00BF24F4"/>
    <w:rsid w:val="00D5176D"/>
    <w:rsid w:val="00D73ED2"/>
    <w:rsid w:val="00D76BBF"/>
    <w:rsid w:val="00DC742B"/>
    <w:rsid w:val="00DC7C0F"/>
    <w:rsid w:val="00E200CC"/>
    <w:rsid w:val="00E6083E"/>
    <w:rsid w:val="00E92A9A"/>
    <w:rsid w:val="00F740B8"/>
    <w:rsid w:val="00FA39AF"/>
    <w:rsid w:val="6B13746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61"/>
    <w:qFormat/>
    <w:uiPriority w:val="0"/>
    <w:pPr>
      <w:spacing w:before="340" w:after="330" w:line="360" w:lineRule="auto"/>
      <w:jc w:val="center"/>
      <w:outlineLvl w:val="0"/>
    </w:pPr>
    <w:rPr>
      <w:rFonts w:eastAsia="黑体"/>
      <w:kern w:val="44"/>
      <w:szCs w:val="44"/>
    </w:rPr>
  </w:style>
  <w:style w:type="paragraph" w:styleId="5">
    <w:name w:val="heading 2"/>
    <w:basedOn w:val="3"/>
    <w:next w:val="4"/>
    <w:link w:val="76"/>
    <w:qFormat/>
    <w:uiPriority w:val="0"/>
    <w:pPr>
      <w:adjustRightInd w:val="0"/>
      <w:jc w:val="center"/>
      <w:textAlignment w:val="baseline"/>
      <w:outlineLvl w:val="1"/>
    </w:pPr>
    <w:rPr>
      <w:kern w:val="0"/>
      <w:sz w:val="24"/>
      <w:szCs w:val="20"/>
    </w:rPr>
  </w:style>
  <w:style w:type="paragraph" w:styleId="3">
    <w:name w:val="heading 3"/>
    <w:basedOn w:val="4"/>
    <w:next w:val="1"/>
    <w:link w:val="60"/>
    <w:qFormat/>
    <w:uiPriority w:val="9"/>
    <w:pPr>
      <w:spacing w:before="260" w:after="260" w:line="240" w:lineRule="auto"/>
      <w:outlineLvl w:val="2"/>
    </w:pPr>
    <w:rPr>
      <w:rFonts w:ascii="宋体" w:hAnsi="宋体" w:eastAsia="宋体"/>
      <w:szCs w:val="32"/>
    </w:rPr>
  </w:style>
  <w:style w:type="paragraph" w:styleId="4">
    <w:name w:val="heading 4"/>
    <w:basedOn w:val="1"/>
    <w:next w:val="1"/>
    <w:link w:val="58"/>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85"/>
    <w:qFormat/>
    <w:uiPriority w:val="0"/>
    <w:pPr>
      <w:keepNext/>
      <w:keepLines/>
      <w:spacing w:before="280" w:after="290" w:line="376" w:lineRule="auto"/>
      <w:outlineLvl w:val="4"/>
    </w:pPr>
    <w:rPr>
      <w:b/>
      <w:sz w:val="28"/>
      <w:szCs w:val="20"/>
    </w:rPr>
  </w:style>
  <w:style w:type="paragraph" w:styleId="8">
    <w:name w:val="heading 6"/>
    <w:basedOn w:val="1"/>
    <w:next w:val="7"/>
    <w:link w:val="88"/>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7"/>
    <w:link w:val="89"/>
    <w:qFormat/>
    <w:uiPriority w:val="0"/>
    <w:pPr>
      <w:keepNext/>
      <w:keepLines/>
      <w:spacing w:before="240" w:after="64" w:line="320" w:lineRule="auto"/>
      <w:outlineLvl w:val="6"/>
    </w:pPr>
    <w:rPr>
      <w:b/>
      <w:sz w:val="24"/>
      <w:szCs w:val="20"/>
    </w:rPr>
  </w:style>
  <w:style w:type="paragraph" w:styleId="10">
    <w:name w:val="heading 8"/>
    <w:basedOn w:val="1"/>
    <w:next w:val="7"/>
    <w:link w:val="90"/>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7"/>
    <w:link w:val="91"/>
    <w:qFormat/>
    <w:uiPriority w:val="0"/>
    <w:pPr>
      <w:keepNext/>
      <w:keepLines/>
      <w:spacing w:before="240" w:after="64" w:line="320" w:lineRule="auto"/>
      <w:outlineLvl w:val="8"/>
    </w:pPr>
    <w:rPr>
      <w:rFonts w:ascii="Arial" w:hAnsi="Arial" w:eastAsia="黑体"/>
      <w:szCs w:val="20"/>
    </w:rPr>
  </w:style>
  <w:style w:type="character" w:default="1" w:styleId="44">
    <w:name w:val="Default Paragraph Font"/>
    <w:semiHidden/>
    <w:unhideWhenUsed/>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62"/>
    <w:qFormat/>
    <w:uiPriority w:val="0"/>
    <w:pPr>
      <w:ind w:firstLine="420"/>
    </w:pPr>
    <w:rPr>
      <w:szCs w:val="20"/>
    </w:rPr>
  </w:style>
  <w:style w:type="paragraph" w:styleId="12">
    <w:name w:val="toc 7"/>
    <w:basedOn w:val="1"/>
    <w:next w:val="1"/>
    <w:semiHidden/>
    <w:qFormat/>
    <w:uiPriority w:val="0"/>
    <w:pPr>
      <w:ind w:left="1260"/>
      <w:jc w:val="left"/>
    </w:pPr>
    <w:rPr>
      <w:szCs w:val="21"/>
    </w:rPr>
  </w:style>
  <w:style w:type="paragraph" w:styleId="13">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4">
    <w:name w:val="List Bullet"/>
    <w:basedOn w:val="1"/>
    <w:qFormat/>
    <w:uiPriority w:val="0"/>
    <w:pPr>
      <w:numPr>
        <w:ilvl w:val="0"/>
        <w:numId w:val="1"/>
      </w:numPr>
    </w:pPr>
    <w:rPr>
      <w:szCs w:val="20"/>
    </w:rPr>
  </w:style>
  <w:style w:type="paragraph" w:styleId="15">
    <w:name w:val="Document Map"/>
    <w:basedOn w:val="1"/>
    <w:semiHidden/>
    <w:qFormat/>
    <w:uiPriority w:val="0"/>
    <w:pPr>
      <w:shd w:val="clear" w:color="auto" w:fill="000080"/>
    </w:pPr>
  </w:style>
  <w:style w:type="paragraph" w:styleId="16">
    <w:name w:val="annotation text"/>
    <w:basedOn w:val="1"/>
    <w:link w:val="189"/>
    <w:qFormat/>
    <w:uiPriority w:val="99"/>
    <w:pPr>
      <w:autoSpaceDE w:val="0"/>
      <w:autoSpaceDN w:val="0"/>
      <w:adjustRightInd w:val="0"/>
      <w:jc w:val="left"/>
      <w:textAlignment w:val="baseline"/>
    </w:pPr>
    <w:rPr>
      <w:rFonts w:ascii="宋体"/>
      <w:kern w:val="0"/>
      <w:sz w:val="34"/>
      <w:szCs w:val="20"/>
    </w:rPr>
  </w:style>
  <w:style w:type="paragraph" w:styleId="17">
    <w:name w:val="Body Text 3"/>
    <w:basedOn w:val="1"/>
    <w:link w:val="103"/>
    <w:qFormat/>
    <w:uiPriority w:val="0"/>
    <w:pPr>
      <w:spacing w:after="120"/>
    </w:pPr>
    <w:rPr>
      <w:sz w:val="16"/>
      <w:szCs w:val="16"/>
    </w:rPr>
  </w:style>
  <w:style w:type="paragraph" w:styleId="18">
    <w:name w:val="Body Text"/>
    <w:basedOn w:val="1"/>
    <w:next w:val="19"/>
    <w:link w:val="97"/>
    <w:qFormat/>
    <w:uiPriority w:val="0"/>
    <w:pPr>
      <w:spacing w:line="360" w:lineRule="auto"/>
    </w:pPr>
    <w:rPr>
      <w:b/>
      <w:bCs/>
      <w:sz w:val="24"/>
    </w:rPr>
  </w:style>
  <w:style w:type="paragraph" w:styleId="19">
    <w:name w:val="Body Text 2"/>
    <w:basedOn w:val="1"/>
    <w:link w:val="101"/>
    <w:qFormat/>
    <w:uiPriority w:val="0"/>
    <w:pPr>
      <w:spacing w:line="360" w:lineRule="auto"/>
    </w:pPr>
    <w:rPr>
      <w:sz w:val="24"/>
    </w:rPr>
  </w:style>
  <w:style w:type="paragraph" w:styleId="20">
    <w:name w:val="Body Text Indent"/>
    <w:basedOn w:val="1"/>
    <w:link w:val="84"/>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95"/>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93"/>
    <w:qFormat/>
    <w:uiPriority w:val="0"/>
    <w:rPr>
      <w:rFonts w:ascii="宋体" w:hAnsi="Courier New"/>
      <w:sz w:val="32"/>
      <w:szCs w:val="20"/>
    </w:rPr>
  </w:style>
  <w:style w:type="paragraph" w:styleId="26">
    <w:name w:val="Body Text Indent 2"/>
    <w:basedOn w:val="1"/>
    <w:link w:val="98"/>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104"/>
    <w:semiHidden/>
    <w:qFormat/>
    <w:uiPriority w:val="99"/>
    <w:rPr>
      <w:sz w:val="18"/>
      <w:szCs w:val="18"/>
    </w:rPr>
  </w:style>
  <w:style w:type="paragraph" w:styleId="28">
    <w:name w:val="footer"/>
    <w:basedOn w:val="1"/>
    <w:link w:val="102"/>
    <w:qFormat/>
    <w:uiPriority w:val="0"/>
    <w:pPr>
      <w:tabs>
        <w:tab w:val="center" w:pos="4153"/>
        <w:tab w:val="right" w:pos="8306"/>
      </w:tabs>
      <w:snapToGrid w:val="0"/>
      <w:jc w:val="left"/>
    </w:pPr>
    <w:rPr>
      <w:sz w:val="18"/>
      <w:szCs w:val="18"/>
    </w:rPr>
  </w:style>
  <w:style w:type="paragraph" w:styleId="29">
    <w:name w:val="header"/>
    <w:basedOn w:val="1"/>
    <w:link w:val="99"/>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toc 6"/>
    <w:basedOn w:val="1"/>
    <w:next w:val="1"/>
    <w:semiHidden/>
    <w:qFormat/>
    <w:uiPriority w:val="0"/>
    <w:pPr>
      <w:ind w:left="1050"/>
      <w:jc w:val="left"/>
    </w:pPr>
    <w:rPr>
      <w:szCs w:val="21"/>
    </w:rPr>
  </w:style>
  <w:style w:type="paragraph" w:styleId="33">
    <w:name w:val="Body Text Indent 3"/>
    <w:basedOn w:val="1"/>
    <w:link w:val="100"/>
    <w:qFormat/>
    <w:uiPriority w:val="0"/>
    <w:pPr>
      <w:spacing w:line="360" w:lineRule="auto"/>
      <w:ind w:firstLine="482" w:firstLineChars="200"/>
    </w:pPr>
    <w:rPr>
      <w:rFonts w:ascii="宋体"/>
      <w:b/>
      <w:bCs/>
      <w:sz w:val="24"/>
    </w:rPr>
  </w:style>
  <w:style w:type="paragraph" w:styleId="34">
    <w:name w:val="toc 2"/>
    <w:basedOn w:val="1"/>
    <w:next w:val="1"/>
    <w:semiHidden/>
    <w:qFormat/>
    <w:uiPriority w:val="0"/>
    <w:pPr>
      <w:tabs>
        <w:tab w:val="right" w:leader="dot" w:pos="8296"/>
      </w:tabs>
      <w:ind w:left="210"/>
      <w:jc w:val="left"/>
    </w:pPr>
    <w:rPr>
      <w:smallCaps/>
    </w:rPr>
  </w:style>
  <w:style w:type="paragraph" w:styleId="35">
    <w:name w:val="toc 9"/>
    <w:basedOn w:val="1"/>
    <w:next w:val="1"/>
    <w:semiHidden/>
    <w:qFormat/>
    <w:uiPriority w:val="0"/>
    <w:pPr>
      <w:ind w:left="1680"/>
      <w:jc w:val="left"/>
    </w:pPr>
    <w:rPr>
      <w:szCs w:val="21"/>
    </w:rPr>
  </w:style>
  <w:style w:type="paragraph" w:styleId="36">
    <w:name w:val="HTML Preformatted"/>
    <w:basedOn w:val="1"/>
    <w:link w:val="9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7">
    <w:name w:val="Normal (Web)"/>
    <w:basedOn w:val="1"/>
    <w:link w:val="195"/>
    <w:qFormat/>
    <w:uiPriority w:val="99"/>
    <w:rPr>
      <w:sz w:val="24"/>
    </w:rPr>
  </w:style>
  <w:style w:type="paragraph" w:styleId="38">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39">
    <w:name w:val="Title"/>
    <w:basedOn w:val="1"/>
    <w:link w:val="92"/>
    <w:qFormat/>
    <w:uiPriority w:val="0"/>
    <w:pPr>
      <w:spacing w:before="240" w:after="60"/>
      <w:jc w:val="center"/>
      <w:outlineLvl w:val="0"/>
    </w:pPr>
    <w:rPr>
      <w:rFonts w:ascii="Arial" w:hAnsi="Arial" w:eastAsia="隶书" w:cs="Arial"/>
      <w:b/>
      <w:bCs/>
      <w:sz w:val="32"/>
      <w:szCs w:val="32"/>
    </w:rPr>
  </w:style>
  <w:style w:type="paragraph" w:styleId="40">
    <w:name w:val="annotation subject"/>
    <w:basedOn w:val="16"/>
    <w:next w:val="16"/>
    <w:link w:val="190"/>
    <w:qFormat/>
    <w:uiPriority w:val="99"/>
    <w:pPr>
      <w:autoSpaceDE/>
      <w:autoSpaceDN/>
      <w:adjustRightInd/>
      <w:textAlignment w:val="auto"/>
    </w:pPr>
    <w:rPr>
      <w:rFonts w:ascii="Times New Roman"/>
      <w:b/>
      <w:bCs/>
      <w:kern w:val="2"/>
      <w:sz w:val="21"/>
      <w:szCs w:val="24"/>
    </w:rPr>
  </w:style>
  <w:style w:type="paragraph" w:styleId="41">
    <w:name w:val="Body Text First Indent"/>
    <w:basedOn w:val="18"/>
    <w:link w:val="135"/>
    <w:qFormat/>
    <w:uiPriority w:val="0"/>
    <w:pPr>
      <w:spacing w:after="120" w:line="240" w:lineRule="auto"/>
      <w:ind w:firstLine="420" w:firstLineChars="100"/>
    </w:pPr>
    <w:rPr>
      <w:sz w:val="21"/>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HTML Definition"/>
    <w:basedOn w:val="44"/>
    <w:semiHidden/>
    <w:unhideWhenUsed/>
    <w:qFormat/>
    <w:uiPriority w:val="0"/>
  </w:style>
  <w:style w:type="character" w:styleId="49">
    <w:name w:val="HTML Typewriter"/>
    <w:basedOn w:val="44"/>
    <w:semiHidden/>
    <w:unhideWhenUsed/>
    <w:qFormat/>
    <w:uiPriority w:val="0"/>
    <w:rPr>
      <w:rFonts w:hint="default" w:ascii="monospace" w:hAnsi="monospace" w:eastAsia="monospace" w:cs="monospace"/>
      <w:sz w:val="20"/>
    </w:rPr>
  </w:style>
  <w:style w:type="character" w:styleId="50">
    <w:name w:val="HTML Acronym"/>
    <w:basedOn w:val="44"/>
    <w:semiHidden/>
    <w:unhideWhenUsed/>
    <w:qFormat/>
    <w:uiPriority w:val="0"/>
  </w:style>
  <w:style w:type="character" w:styleId="51">
    <w:name w:val="HTML Variable"/>
    <w:basedOn w:val="44"/>
    <w:semiHidden/>
    <w:unhideWhenUsed/>
    <w:qFormat/>
    <w:uiPriority w:val="0"/>
  </w:style>
  <w:style w:type="character" w:styleId="52">
    <w:name w:val="Hyperlink"/>
    <w:qFormat/>
    <w:uiPriority w:val="0"/>
    <w:rPr>
      <w:color w:val="0000FF"/>
      <w:u w:val="single"/>
    </w:rPr>
  </w:style>
  <w:style w:type="character" w:styleId="53">
    <w:name w:val="HTML Code"/>
    <w:basedOn w:val="44"/>
    <w:semiHidden/>
    <w:unhideWhenUsed/>
    <w:qFormat/>
    <w:uiPriority w:val="0"/>
    <w:rPr>
      <w:rFonts w:hint="default" w:ascii="monospace" w:hAnsi="monospace" w:eastAsia="monospace" w:cs="monospace"/>
      <w:sz w:val="20"/>
    </w:rPr>
  </w:style>
  <w:style w:type="character" w:styleId="54">
    <w:name w:val="annotation reference"/>
    <w:basedOn w:val="44"/>
    <w:qFormat/>
    <w:uiPriority w:val="99"/>
    <w:rPr>
      <w:sz w:val="21"/>
      <w:szCs w:val="21"/>
    </w:rPr>
  </w:style>
  <w:style w:type="character" w:styleId="55">
    <w:name w:val="HTML Cite"/>
    <w:basedOn w:val="44"/>
    <w:semiHidden/>
    <w:unhideWhenUsed/>
    <w:qFormat/>
    <w:uiPriority w:val="0"/>
  </w:style>
  <w:style w:type="character" w:styleId="56">
    <w:name w:val="HTML Keyboard"/>
    <w:basedOn w:val="44"/>
    <w:semiHidden/>
    <w:unhideWhenUsed/>
    <w:qFormat/>
    <w:uiPriority w:val="0"/>
    <w:rPr>
      <w:rFonts w:hint="default" w:ascii="monospace" w:hAnsi="monospace" w:eastAsia="monospace" w:cs="monospace"/>
      <w:sz w:val="20"/>
    </w:rPr>
  </w:style>
  <w:style w:type="character" w:styleId="57">
    <w:name w:val="HTML Sample"/>
    <w:basedOn w:val="44"/>
    <w:semiHidden/>
    <w:unhideWhenUsed/>
    <w:qFormat/>
    <w:uiPriority w:val="0"/>
    <w:rPr>
      <w:rFonts w:ascii="monospace" w:hAnsi="monospace" w:eastAsia="monospace" w:cs="monospace"/>
    </w:rPr>
  </w:style>
  <w:style w:type="character" w:customStyle="1" w:styleId="58">
    <w:name w:val="标题 4 Char"/>
    <w:link w:val="4"/>
    <w:qFormat/>
    <w:uiPriority w:val="9"/>
    <w:rPr>
      <w:rFonts w:ascii="Arial" w:hAnsi="Arial" w:eastAsia="黑体"/>
      <w:b/>
      <w:bCs/>
      <w:kern w:val="2"/>
      <w:sz w:val="28"/>
      <w:szCs w:val="28"/>
      <w:lang w:val="en-US" w:eastAsia="zh-CN" w:bidi="ar-SA"/>
    </w:rPr>
  </w:style>
  <w:style w:type="paragraph" w:customStyle="1" w:styleId="59">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0">
    <w:name w:val="标题 3 Char1"/>
    <w:link w:val="3"/>
    <w:qFormat/>
    <w:uiPriority w:val="9"/>
    <w:rPr>
      <w:rFonts w:ascii="宋体" w:hAnsi="宋体" w:eastAsia="宋体"/>
      <w:b/>
      <w:bCs/>
      <w:kern w:val="2"/>
      <w:sz w:val="28"/>
      <w:szCs w:val="32"/>
      <w:lang w:val="en-US" w:eastAsia="zh-CN" w:bidi="ar-SA"/>
    </w:rPr>
  </w:style>
  <w:style w:type="character" w:customStyle="1" w:styleId="61">
    <w:name w:val="标题 1 Char"/>
    <w:link w:val="2"/>
    <w:qFormat/>
    <w:uiPriority w:val="0"/>
    <w:rPr>
      <w:rFonts w:ascii="宋体" w:hAnsi="宋体" w:eastAsia="黑体"/>
      <w:b/>
      <w:bCs/>
      <w:kern w:val="44"/>
      <w:sz w:val="28"/>
      <w:szCs w:val="44"/>
      <w:lang w:val="en-US" w:eastAsia="zh-CN" w:bidi="ar-SA"/>
    </w:rPr>
  </w:style>
  <w:style w:type="character" w:customStyle="1" w:styleId="62">
    <w:name w:val="正文缩进 Char"/>
    <w:link w:val="7"/>
    <w:qFormat/>
    <w:uiPriority w:val="0"/>
    <w:rPr>
      <w:rFonts w:eastAsia="宋体"/>
      <w:kern w:val="2"/>
      <w:sz w:val="21"/>
      <w:lang w:val="en-US" w:eastAsia="zh-CN" w:bidi="ar-SA"/>
    </w:rPr>
  </w:style>
  <w:style w:type="character" w:customStyle="1" w:styleId="63">
    <w:name w:val="标题 3 Char"/>
    <w:qFormat/>
    <w:uiPriority w:val="0"/>
    <w:rPr>
      <w:rFonts w:ascii="黑体" w:eastAsia="黑体"/>
      <w:bCs/>
      <w:sz w:val="30"/>
    </w:rPr>
  </w:style>
  <w:style w:type="paragraph" w:customStyle="1" w:styleId="64">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5">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66">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67">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8">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9">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0">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1">
    <w:name w:val="自定义正文"/>
    <w:basedOn w:val="1"/>
    <w:qFormat/>
    <w:uiPriority w:val="0"/>
    <w:pPr>
      <w:spacing w:afterLines="50"/>
      <w:ind w:left="600" w:leftChars="600"/>
    </w:pPr>
  </w:style>
  <w:style w:type="paragraph" w:customStyle="1" w:styleId="72">
    <w:name w:val="Char Char Char Char Char"/>
    <w:basedOn w:val="1"/>
    <w:qFormat/>
    <w:uiPriority w:val="0"/>
    <w:rPr>
      <w:rFonts w:ascii="Tahoma" w:hAnsi="Tahoma"/>
      <w:sz w:val="24"/>
      <w:szCs w:val="20"/>
    </w:rPr>
  </w:style>
  <w:style w:type="paragraph" w:customStyle="1" w:styleId="73">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4">
    <w:name w:val="Char Char"/>
    <w:basedOn w:val="1"/>
    <w:qFormat/>
    <w:uiPriority w:val="0"/>
    <w:rPr>
      <w:rFonts w:ascii="Tahoma" w:hAnsi="Tahoma"/>
      <w:sz w:val="24"/>
      <w:szCs w:val="20"/>
    </w:rPr>
  </w:style>
  <w:style w:type="paragraph" w:customStyle="1" w:styleId="75">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76">
    <w:name w:val="标题 2 Char"/>
    <w:link w:val="5"/>
    <w:qFormat/>
    <w:uiPriority w:val="0"/>
    <w:rPr>
      <w:rFonts w:ascii="宋体" w:hAnsi="宋体" w:eastAsia="宋体"/>
      <w:b/>
      <w:bCs/>
      <w:sz w:val="24"/>
      <w:lang w:val="en-US" w:eastAsia="zh-CN" w:bidi="ar-SA"/>
    </w:rPr>
  </w:style>
  <w:style w:type="paragraph" w:customStyle="1" w:styleId="77">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78">
    <w:name w:val="List Paragraph"/>
    <w:basedOn w:val="1"/>
    <w:qFormat/>
    <w:uiPriority w:val="34"/>
    <w:pPr>
      <w:ind w:firstLine="420" w:firstLineChars="200"/>
    </w:pPr>
    <w:rPr>
      <w:rFonts w:ascii="Calibri" w:hAnsi="Calibri"/>
      <w:szCs w:val="22"/>
    </w:rPr>
  </w:style>
  <w:style w:type="paragraph" w:customStyle="1" w:styleId="79">
    <w:name w:val="USE 1"/>
    <w:basedOn w:val="1"/>
    <w:qFormat/>
    <w:uiPriority w:val="0"/>
    <w:pPr>
      <w:spacing w:line="200" w:lineRule="atLeast"/>
      <w:jc w:val="left"/>
    </w:pPr>
    <w:rPr>
      <w:rFonts w:ascii="宋体" w:hAnsi="宋体"/>
      <w:b/>
      <w:sz w:val="24"/>
      <w:szCs w:val="28"/>
    </w:rPr>
  </w:style>
  <w:style w:type="paragraph" w:customStyle="1" w:styleId="80">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1">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2">
    <w:name w:val="样式 标题 2 + 段前: 13 磅 段后: 13 磅 行距: 单倍行距"/>
    <w:basedOn w:val="5"/>
    <w:qFormat/>
    <w:uiPriority w:val="0"/>
    <w:pPr>
      <w:adjustRightInd/>
      <w:spacing w:before="0" w:after="0"/>
      <w:jc w:val="both"/>
      <w:textAlignment w:val="auto"/>
    </w:pPr>
    <w:rPr>
      <w:rFonts w:ascii="Cambria" w:hAnsi="Cambria" w:cs="宋体"/>
      <w:kern w:val="2"/>
      <w:sz w:val="32"/>
    </w:rPr>
  </w:style>
  <w:style w:type="character" w:customStyle="1" w:styleId="83">
    <w:name w:val="H4 Char2"/>
    <w:qFormat/>
    <w:uiPriority w:val="0"/>
    <w:rPr>
      <w:rFonts w:ascii="Arial" w:hAnsi="Arial" w:eastAsia="黑体"/>
      <w:b/>
      <w:bCs/>
      <w:kern w:val="2"/>
      <w:sz w:val="28"/>
      <w:szCs w:val="28"/>
      <w:lang w:val="en-US" w:eastAsia="zh-CN" w:bidi="ar-SA"/>
    </w:rPr>
  </w:style>
  <w:style w:type="character" w:customStyle="1" w:styleId="84">
    <w:name w:val="正文文本缩进 Char"/>
    <w:link w:val="20"/>
    <w:qFormat/>
    <w:uiPriority w:val="0"/>
    <w:rPr>
      <w:rFonts w:eastAsia="宋体"/>
      <w:kern w:val="2"/>
      <w:sz w:val="21"/>
      <w:szCs w:val="24"/>
      <w:lang w:val="en-US" w:eastAsia="zh-CN" w:bidi="ar-SA"/>
    </w:rPr>
  </w:style>
  <w:style w:type="character" w:customStyle="1" w:styleId="85">
    <w:name w:val="标题 5 Char"/>
    <w:link w:val="6"/>
    <w:qFormat/>
    <w:uiPriority w:val="0"/>
    <w:rPr>
      <w:rFonts w:eastAsia="宋体"/>
      <w:b/>
      <w:kern w:val="2"/>
      <w:sz w:val="28"/>
      <w:lang w:val="en-US" w:eastAsia="zh-CN" w:bidi="ar-SA"/>
    </w:rPr>
  </w:style>
  <w:style w:type="character" w:customStyle="1" w:styleId="86">
    <w:name w:val="第*章 Char"/>
    <w:qFormat/>
    <w:uiPriority w:val="0"/>
    <w:rPr>
      <w:rFonts w:ascii="Arial" w:hAnsi="Arial" w:eastAsia="黑体"/>
      <w:b/>
      <w:bCs/>
      <w:kern w:val="2"/>
      <w:sz w:val="32"/>
      <w:szCs w:val="32"/>
    </w:rPr>
  </w:style>
  <w:style w:type="character" w:customStyle="1" w:styleId="87">
    <w:name w:val="章标题1 Char"/>
    <w:qFormat/>
    <w:uiPriority w:val="0"/>
    <w:rPr>
      <w:rFonts w:eastAsia="宋体"/>
      <w:b/>
      <w:bCs/>
      <w:kern w:val="2"/>
      <w:sz w:val="32"/>
      <w:szCs w:val="32"/>
      <w:lang w:val="en-US" w:eastAsia="zh-CN" w:bidi="ar-SA"/>
    </w:rPr>
  </w:style>
  <w:style w:type="character" w:customStyle="1" w:styleId="88">
    <w:name w:val="标题 6 Char"/>
    <w:link w:val="8"/>
    <w:qFormat/>
    <w:uiPriority w:val="0"/>
    <w:rPr>
      <w:rFonts w:ascii="Arial" w:hAnsi="Arial" w:eastAsia="黑体"/>
      <w:b/>
      <w:kern w:val="2"/>
      <w:sz w:val="24"/>
      <w:lang w:val="en-US" w:eastAsia="zh-CN" w:bidi="ar-SA"/>
    </w:rPr>
  </w:style>
  <w:style w:type="character" w:customStyle="1" w:styleId="89">
    <w:name w:val="标题 7 Char"/>
    <w:link w:val="9"/>
    <w:qFormat/>
    <w:uiPriority w:val="0"/>
    <w:rPr>
      <w:rFonts w:eastAsia="宋体"/>
      <w:b/>
      <w:kern w:val="2"/>
      <w:sz w:val="24"/>
      <w:lang w:val="en-US" w:eastAsia="zh-CN" w:bidi="ar-SA"/>
    </w:rPr>
  </w:style>
  <w:style w:type="character" w:customStyle="1" w:styleId="90">
    <w:name w:val="标题 8 Char"/>
    <w:link w:val="10"/>
    <w:qFormat/>
    <w:uiPriority w:val="0"/>
    <w:rPr>
      <w:rFonts w:ascii="Arial" w:hAnsi="Arial" w:eastAsia="黑体"/>
      <w:kern w:val="2"/>
      <w:sz w:val="24"/>
      <w:lang w:val="en-US" w:eastAsia="zh-CN" w:bidi="ar-SA"/>
    </w:rPr>
  </w:style>
  <w:style w:type="character" w:customStyle="1" w:styleId="91">
    <w:name w:val="标题 9 Char"/>
    <w:link w:val="11"/>
    <w:qFormat/>
    <w:uiPriority w:val="0"/>
    <w:rPr>
      <w:rFonts w:ascii="Arial" w:hAnsi="Arial" w:eastAsia="黑体"/>
      <w:kern w:val="2"/>
      <w:sz w:val="21"/>
      <w:lang w:val="en-US" w:eastAsia="zh-CN" w:bidi="ar-SA"/>
    </w:rPr>
  </w:style>
  <w:style w:type="character" w:customStyle="1" w:styleId="92">
    <w:name w:val="标题 Char"/>
    <w:link w:val="39"/>
    <w:qFormat/>
    <w:uiPriority w:val="0"/>
    <w:rPr>
      <w:rFonts w:ascii="Arial" w:hAnsi="Arial" w:eastAsia="隶书" w:cs="Arial"/>
      <w:b/>
      <w:bCs/>
      <w:kern w:val="2"/>
      <w:sz w:val="32"/>
      <w:szCs w:val="32"/>
      <w:lang w:val="en-US" w:eastAsia="zh-CN" w:bidi="ar-SA"/>
    </w:rPr>
  </w:style>
  <w:style w:type="character" w:customStyle="1" w:styleId="93">
    <w:name w:val="日期 Char"/>
    <w:link w:val="25"/>
    <w:qFormat/>
    <w:uiPriority w:val="0"/>
    <w:rPr>
      <w:rFonts w:ascii="宋体" w:hAnsi="Courier New" w:eastAsia="宋体"/>
      <w:kern w:val="2"/>
      <w:sz w:val="32"/>
      <w:lang w:val="en-US" w:eastAsia="zh-CN" w:bidi="ar-SA"/>
    </w:rPr>
  </w:style>
  <w:style w:type="character" w:customStyle="1" w:styleId="94">
    <w:name w:val="HTML 预设格式 Char"/>
    <w:link w:val="36"/>
    <w:qFormat/>
    <w:uiPriority w:val="0"/>
    <w:rPr>
      <w:rFonts w:ascii="Arial Unicode MS" w:hAnsi="Arial Unicode MS" w:eastAsia="Arial Unicode MS"/>
      <w:color w:val="000000"/>
      <w:lang w:val="en-US" w:eastAsia="zh-CN" w:bidi="ar-SA"/>
    </w:rPr>
  </w:style>
  <w:style w:type="character" w:customStyle="1" w:styleId="95">
    <w:name w:val="纯文本 Char"/>
    <w:link w:val="23"/>
    <w:qFormat/>
    <w:uiPriority w:val="0"/>
    <w:rPr>
      <w:rFonts w:ascii="宋体" w:hAnsi="Courier New" w:eastAsia="宋体"/>
      <w:kern w:val="2"/>
      <w:sz w:val="21"/>
      <w:lang w:val="en-US" w:eastAsia="zh-CN" w:bidi="ar-SA"/>
    </w:rPr>
  </w:style>
  <w:style w:type="character" w:customStyle="1" w:styleId="96">
    <w:name w:val="正文文字首行缩进 Char"/>
    <w:qFormat/>
    <w:uiPriority w:val="0"/>
    <w:rPr>
      <w:kern w:val="2"/>
      <w:sz w:val="21"/>
      <w:szCs w:val="24"/>
    </w:rPr>
  </w:style>
  <w:style w:type="character" w:customStyle="1" w:styleId="97">
    <w:name w:val="正文文本 Char"/>
    <w:link w:val="18"/>
    <w:qFormat/>
    <w:uiPriority w:val="0"/>
    <w:rPr>
      <w:rFonts w:eastAsia="宋体"/>
      <w:b/>
      <w:bCs/>
      <w:kern w:val="2"/>
      <w:sz w:val="24"/>
      <w:szCs w:val="24"/>
      <w:lang w:val="en-US" w:eastAsia="zh-CN" w:bidi="ar-SA"/>
    </w:rPr>
  </w:style>
  <w:style w:type="character" w:customStyle="1" w:styleId="98">
    <w:name w:val="正文文本缩进 2 Char"/>
    <w:link w:val="26"/>
    <w:qFormat/>
    <w:uiPriority w:val="0"/>
    <w:rPr>
      <w:rFonts w:ascii="宋体" w:hAnsi="宋体" w:eastAsia="宋体"/>
      <w:kern w:val="2"/>
      <w:sz w:val="21"/>
      <w:szCs w:val="24"/>
      <w:lang w:val="en-US" w:eastAsia="zh-CN" w:bidi="ar-SA"/>
    </w:rPr>
  </w:style>
  <w:style w:type="character" w:customStyle="1" w:styleId="99">
    <w:name w:val="页眉 Char"/>
    <w:link w:val="29"/>
    <w:qFormat/>
    <w:uiPriority w:val="99"/>
    <w:rPr>
      <w:rFonts w:eastAsia="宋体"/>
      <w:kern w:val="2"/>
      <w:sz w:val="18"/>
      <w:szCs w:val="18"/>
      <w:lang w:val="en-US" w:eastAsia="zh-CN" w:bidi="ar-SA"/>
    </w:rPr>
  </w:style>
  <w:style w:type="character" w:customStyle="1" w:styleId="100">
    <w:name w:val="正文文本缩进 3 Char"/>
    <w:link w:val="33"/>
    <w:qFormat/>
    <w:uiPriority w:val="0"/>
    <w:rPr>
      <w:rFonts w:ascii="宋体" w:eastAsia="宋体"/>
      <w:b/>
      <w:bCs/>
      <w:kern w:val="2"/>
      <w:sz w:val="24"/>
      <w:szCs w:val="24"/>
      <w:lang w:val="en-US" w:eastAsia="zh-CN" w:bidi="ar-SA"/>
    </w:rPr>
  </w:style>
  <w:style w:type="character" w:customStyle="1" w:styleId="101">
    <w:name w:val="正文文本 2 Char"/>
    <w:link w:val="19"/>
    <w:qFormat/>
    <w:uiPriority w:val="0"/>
    <w:rPr>
      <w:rFonts w:eastAsia="宋体"/>
      <w:kern w:val="2"/>
      <w:sz w:val="24"/>
      <w:szCs w:val="24"/>
      <w:lang w:val="en-US" w:eastAsia="zh-CN" w:bidi="ar-SA"/>
    </w:rPr>
  </w:style>
  <w:style w:type="character" w:customStyle="1" w:styleId="102">
    <w:name w:val="页脚 Char"/>
    <w:link w:val="28"/>
    <w:qFormat/>
    <w:uiPriority w:val="0"/>
    <w:rPr>
      <w:rFonts w:eastAsia="宋体"/>
      <w:kern w:val="2"/>
      <w:sz w:val="18"/>
      <w:szCs w:val="18"/>
      <w:lang w:val="en-US" w:eastAsia="zh-CN" w:bidi="ar-SA"/>
    </w:rPr>
  </w:style>
  <w:style w:type="character" w:customStyle="1" w:styleId="103">
    <w:name w:val="正文文本 3 Char"/>
    <w:link w:val="17"/>
    <w:qFormat/>
    <w:uiPriority w:val="0"/>
    <w:rPr>
      <w:rFonts w:eastAsia="宋体"/>
      <w:kern w:val="2"/>
      <w:sz w:val="16"/>
      <w:szCs w:val="16"/>
      <w:lang w:val="en-US" w:eastAsia="zh-CN" w:bidi="ar-SA"/>
    </w:rPr>
  </w:style>
  <w:style w:type="character" w:customStyle="1" w:styleId="104">
    <w:name w:val="批注框文本 Char"/>
    <w:link w:val="27"/>
    <w:semiHidden/>
    <w:qFormat/>
    <w:uiPriority w:val="99"/>
    <w:rPr>
      <w:rFonts w:eastAsia="宋体"/>
      <w:kern w:val="2"/>
      <w:sz w:val="18"/>
      <w:szCs w:val="18"/>
      <w:lang w:val="en-US" w:eastAsia="zh-CN" w:bidi="ar-SA"/>
    </w:rPr>
  </w:style>
  <w:style w:type="paragraph" w:customStyle="1" w:styleId="105">
    <w:name w:val="样式1"/>
    <w:basedOn w:val="39"/>
    <w:qFormat/>
    <w:uiPriority w:val="0"/>
    <w:pPr>
      <w:spacing w:before="120" w:after="120"/>
    </w:pPr>
    <w:rPr>
      <w:rFonts w:eastAsia="黑体"/>
      <w:b w:val="0"/>
      <w:sz w:val="30"/>
      <w:szCs w:val="21"/>
    </w:rPr>
  </w:style>
  <w:style w:type="paragraph" w:customStyle="1" w:styleId="106">
    <w:name w:val="样式2"/>
    <w:basedOn w:val="39"/>
    <w:next w:val="105"/>
    <w:qFormat/>
    <w:uiPriority w:val="0"/>
    <w:pPr>
      <w:spacing w:before="120" w:after="120"/>
    </w:pPr>
    <w:rPr>
      <w:rFonts w:eastAsia="黑体"/>
      <w:b w:val="0"/>
      <w:sz w:val="30"/>
      <w:szCs w:val="30"/>
    </w:rPr>
  </w:style>
  <w:style w:type="character" w:customStyle="1" w:styleId="107">
    <w:name w:val="标题 3 Char Char"/>
    <w:qFormat/>
    <w:uiPriority w:val="0"/>
    <w:rPr>
      <w:rFonts w:eastAsia="宋体"/>
      <w:b/>
      <w:bCs/>
      <w:kern w:val="2"/>
      <w:sz w:val="32"/>
      <w:szCs w:val="32"/>
      <w:lang w:val="en-US" w:eastAsia="zh-CN" w:bidi="ar-SA"/>
    </w:rPr>
  </w:style>
  <w:style w:type="paragraph" w:customStyle="1" w:styleId="108">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09">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0">
    <w:name w:val="--规划正文"/>
    <w:basedOn w:val="1"/>
    <w:qFormat/>
    <w:uiPriority w:val="0"/>
    <w:pPr>
      <w:spacing w:line="360" w:lineRule="auto"/>
      <w:ind w:firstLine="200" w:firstLineChars="200"/>
    </w:pPr>
    <w:rPr>
      <w:szCs w:val="20"/>
    </w:rPr>
  </w:style>
  <w:style w:type="paragraph" w:customStyle="1" w:styleId="111">
    <w:name w:val="设计依据"/>
    <w:basedOn w:val="18"/>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2">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3">
    <w:name w:val="样式4"/>
    <w:basedOn w:val="1"/>
    <w:qFormat/>
    <w:uiPriority w:val="0"/>
    <w:pPr>
      <w:tabs>
        <w:tab w:val="left" w:pos="842"/>
      </w:tabs>
      <w:spacing w:line="360" w:lineRule="auto"/>
      <w:ind w:left="842" w:hanging="420"/>
    </w:pPr>
    <w:rPr>
      <w:sz w:val="24"/>
    </w:rPr>
  </w:style>
  <w:style w:type="paragraph" w:customStyle="1" w:styleId="114">
    <w:name w:val="文字"/>
    <w:basedOn w:val="1"/>
    <w:qFormat/>
    <w:uiPriority w:val="0"/>
    <w:pPr>
      <w:tabs>
        <w:tab w:val="left" w:pos="8520"/>
      </w:tabs>
      <w:spacing w:line="312" w:lineRule="auto"/>
      <w:ind w:right="-210" w:firstLine="556"/>
    </w:pPr>
    <w:rPr>
      <w:rFonts w:ascii="宋体"/>
      <w:sz w:val="28"/>
      <w:szCs w:val="20"/>
    </w:rPr>
  </w:style>
  <w:style w:type="paragraph" w:customStyle="1" w:styleId="115">
    <w:name w:val="--规划-表格-居左"/>
    <w:basedOn w:val="110"/>
    <w:qFormat/>
    <w:uiPriority w:val="0"/>
    <w:pPr>
      <w:spacing w:line="240" w:lineRule="auto"/>
      <w:ind w:firstLine="0" w:firstLineChars="0"/>
    </w:pPr>
    <w:rPr>
      <w:sz w:val="20"/>
    </w:rPr>
  </w:style>
  <w:style w:type="paragraph" w:customStyle="1" w:styleId="116">
    <w:name w:val="--规划-表格-居中"/>
    <w:basedOn w:val="110"/>
    <w:qFormat/>
    <w:uiPriority w:val="0"/>
    <w:pPr>
      <w:spacing w:line="240" w:lineRule="auto"/>
      <w:ind w:firstLine="0" w:firstLineChars="0"/>
      <w:jc w:val="center"/>
    </w:pPr>
    <w:rPr>
      <w:sz w:val="20"/>
    </w:rPr>
  </w:style>
  <w:style w:type="paragraph" w:customStyle="1" w:styleId="117">
    <w:name w:val="--编号内缩进"/>
    <w:basedOn w:val="1"/>
    <w:qFormat/>
    <w:uiPriority w:val="0"/>
    <w:pPr>
      <w:spacing w:line="360" w:lineRule="auto"/>
      <w:ind w:left="420" w:firstLine="200" w:firstLineChars="200"/>
    </w:pPr>
    <w:rPr>
      <w:szCs w:val="21"/>
    </w:rPr>
  </w:style>
  <w:style w:type="paragraph" w:customStyle="1" w:styleId="118">
    <w:name w:val="--规划-题注"/>
    <w:basedOn w:val="1"/>
    <w:next w:val="110"/>
    <w:qFormat/>
    <w:uiPriority w:val="0"/>
    <w:pPr>
      <w:spacing w:line="360" w:lineRule="auto"/>
      <w:jc w:val="center"/>
    </w:pPr>
    <w:rPr>
      <w:rFonts w:eastAsia="黑体"/>
    </w:rPr>
  </w:style>
  <w:style w:type="paragraph" w:customStyle="1" w:styleId="119">
    <w:name w:val="--规划-图和表"/>
    <w:next w:val="110"/>
    <w:qFormat/>
    <w:uiPriority w:val="0"/>
    <w:pPr>
      <w:jc w:val="center"/>
    </w:pPr>
    <w:rPr>
      <w:rFonts w:ascii="Times New Roman" w:hAnsi="Times New Roman" w:eastAsia="宋体" w:cs="Times New Roman"/>
      <w:kern w:val="2"/>
      <w:sz w:val="21"/>
      <w:lang w:val="en-US" w:eastAsia="zh-CN" w:bidi="ar-SA"/>
    </w:rPr>
  </w:style>
  <w:style w:type="paragraph" w:customStyle="1" w:styleId="120">
    <w:name w:val="--规划-小标题"/>
    <w:basedOn w:val="1"/>
    <w:next w:val="110"/>
    <w:qFormat/>
    <w:uiPriority w:val="0"/>
    <w:pPr>
      <w:keepNext/>
      <w:keepLines/>
      <w:spacing w:line="360" w:lineRule="auto"/>
      <w:outlineLvl w:val="4"/>
    </w:pPr>
    <w:rPr>
      <w:rFonts w:eastAsia="黑体"/>
    </w:rPr>
  </w:style>
  <w:style w:type="paragraph" w:customStyle="1" w:styleId="121">
    <w:name w:val="--规划正文 Char"/>
    <w:basedOn w:val="1"/>
    <w:qFormat/>
    <w:uiPriority w:val="0"/>
    <w:pPr>
      <w:spacing w:line="360" w:lineRule="auto"/>
      <w:ind w:firstLine="200" w:firstLineChars="200"/>
    </w:pPr>
    <w:rPr>
      <w:sz w:val="24"/>
    </w:rPr>
  </w:style>
  <w:style w:type="paragraph" w:customStyle="1" w:styleId="122">
    <w:name w:val="缺省文本"/>
    <w:basedOn w:val="1"/>
    <w:qFormat/>
    <w:uiPriority w:val="0"/>
    <w:pPr>
      <w:autoSpaceDE w:val="0"/>
      <w:autoSpaceDN w:val="0"/>
      <w:adjustRightInd w:val="0"/>
      <w:jc w:val="left"/>
    </w:pPr>
    <w:rPr>
      <w:kern w:val="0"/>
    </w:rPr>
  </w:style>
  <w:style w:type="paragraph" w:customStyle="1" w:styleId="123">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4">
    <w:name w:val="--规划正文 Char Char"/>
    <w:qFormat/>
    <w:uiPriority w:val="0"/>
    <w:rPr>
      <w:rFonts w:eastAsia="宋体"/>
      <w:kern w:val="2"/>
      <w:sz w:val="24"/>
      <w:szCs w:val="24"/>
      <w:lang w:val="en-US" w:eastAsia="zh-CN" w:bidi="ar-SA"/>
    </w:rPr>
  </w:style>
  <w:style w:type="paragraph" w:customStyle="1" w:styleId="125">
    <w:name w:val="样式3"/>
    <w:basedOn w:val="2"/>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26">
    <w:name w:val="--规划正文 Char1"/>
    <w:qFormat/>
    <w:uiPriority w:val="0"/>
    <w:rPr>
      <w:rFonts w:eastAsia="宋体"/>
      <w:kern w:val="2"/>
      <w:sz w:val="21"/>
      <w:lang w:val="en-US" w:eastAsia="zh-CN" w:bidi="ar-SA"/>
    </w:rPr>
  </w:style>
  <w:style w:type="paragraph" w:customStyle="1" w:styleId="127">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28">
    <w:name w:val="列表项目"/>
    <w:basedOn w:val="1"/>
    <w:qFormat/>
    <w:uiPriority w:val="0"/>
    <w:pPr>
      <w:tabs>
        <w:tab w:val="left" w:pos="420"/>
        <w:tab w:val="left" w:pos="1080"/>
      </w:tabs>
      <w:spacing w:line="288" w:lineRule="auto"/>
      <w:ind w:left="1080" w:hanging="360"/>
    </w:pPr>
    <w:rPr>
      <w:sz w:val="24"/>
      <w:szCs w:val="20"/>
    </w:rPr>
  </w:style>
  <w:style w:type="character" w:customStyle="1" w:styleId="129">
    <w:name w:val="content1"/>
    <w:qFormat/>
    <w:uiPriority w:val="0"/>
    <w:rPr>
      <w:rFonts w:hint="default" w:ascii="??" w:hAnsi="??"/>
      <w:sz w:val="16"/>
      <w:szCs w:val="16"/>
      <w:u w:val="none"/>
    </w:rPr>
  </w:style>
  <w:style w:type="character" w:customStyle="1" w:styleId="130">
    <w:name w:val="unnamed4"/>
    <w:basedOn w:val="44"/>
    <w:qFormat/>
    <w:uiPriority w:val="0"/>
  </w:style>
  <w:style w:type="character" w:customStyle="1" w:styleId="131">
    <w:name w:val="font2"/>
    <w:basedOn w:val="44"/>
    <w:qFormat/>
    <w:uiPriority w:val="0"/>
  </w:style>
  <w:style w:type="character" w:customStyle="1" w:styleId="132">
    <w:name w:val="font41"/>
    <w:qFormat/>
    <w:uiPriority w:val="0"/>
    <w:rPr>
      <w:color w:val="000000"/>
      <w:spacing w:val="260"/>
      <w:sz w:val="18"/>
      <w:szCs w:val="18"/>
      <w:u w:val="none"/>
    </w:rPr>
  </w:style>
  <w:style w:type="paragraph" w:customStyle="1" w:styleId="133">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4">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5">
    <w:name w:val="正文首行缩进 Char"/>
    <w:link w:val="41"/>
    <w:qFormat/>
    <w:uiPriority w:val="0"/>
    <w:rPr>
      <w:rFonts w:eastAsia="宋体"/>
      <w:b/>
      <w:bCs/>
      <w:kern w:val="2"/>
      <w:sz w:val="21"/>
      <w:szCs w:val="24"/>
      <w:lang w:val="en-US" w:eastAsia="zh-CN" w:bidi="ar-SA"/>
    </w:rPr>
  </w:style>
  <w:style w:type="paragraph" w:customStyle="1" w:styleId="136">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37">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38">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39">
    <w:name w:val="mode"/>
    <w:basedOn w:val="44"/>
    <w:qFormat/>
    <w:uiPriority w:val="0"/>
  </w:style>
  <w:style w:type="paragraph" w:customStyle="1" w:styleId="140">
    <w:name w:val="9"/>
    <w:basedOn w:val="1"/>
    <w:next w:val="7"/>
    <w:qFormat/>
    <w:uiPriority w:val="0"/>
    <w:pPr>
      <w:autoSpaceDE w:val="0"/>
      <w:autoSpaceDN w:val="0"/>
      <w:adjustRightInd w:val="0"/>
      <w:ind w:firstLine="420"/>
      <w:jc w:val="left"/>
      <w:textAlignment w:val="baseline"/>
    </w:pPr>
    <w:rPr>
      <w:rFonts w:ascii="宋体"/>
      <w:kern w:val="0"/>
      <w:sz w:val="34"/>
      <w:szCs w:val="20"/>
    </w:rPr>
  </w:style>
  <w:style w:type="character" w:customStyle="1" w:styleId="141">
    <w:name w:val="unnamed3"/>
    <w:basedOn w:val="44"/>
    <w:qFormat/>
    <w:uiPriority w:val="0"/>
  </w:style>
  <w:style w:type="paragraph" w:customStyle="1" w:styleId="142">
    <w:name w:val="8"/>
    <w:basedOn w:val="1"/>
    <w:next w:val="20"/>
    <w:qFormat/>
    <w:uiPriority w:val="0"/>
    <w:pPr>
      <w:spacing w:after="120"/>
      <w:ind w:left="420" w:leftChars="200"/>
    </w:pPr>
  </w:style>
  <w:style w:type="paragraph" w:customStyle="1" w:styleId="143">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4">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5">
    <w:name w:val="5"/>
    <w:basedOn w:val="1"/>
    <w:qFormat/>
    <w:uiPriority w:val="0"/>
    <w:pPr>
      <w:autoSpaceDE w:val="0"/>
      <w:autoSpaceDN w:val="0"/>
      <w:adjustRightInd w:val="0"/>
      <w:jc w:val="left"/>
    </w:pPr>
    <w:rPr>
      <w:rFonts w:ascii="宋体"/>
      <w:b/>
      <w:bCs/>
      <w:kern w:val="0"/>
      <w:sz w:val="18"/>
      <w:szCs w:val="18"/>
    </w:rPr>
  </w:style>
  <w:style w:type="paragraph" w:customStyle="1" w:styleId="146">
    <w:name w:val="6"/>
    <w:basedOn w:val="145"/>
    <w:qFormat/>
    <w:uiPriority w:val="0"/>
    <w:pPr>
      <w:spacing w:line="270" w:lineRule="atLeast"/>
      <w:jc w:val="both"/>
    </w:pPr>
    <w:rPr>
      <w:b w:val="0"/>
      <w:bCs w:val="0"/>
    </w:rPr>
  </w:style>
  <w:style w:type="paragraph" w:customStyle="1" w:styleId="147">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48">
    <w:name w:val="姜文清定义的正文"/>
    <w:basedOn w:val="1"/>
    <w:qFormat/>
    <w:uiPriority w:val="0"/>
    <w:pPr>
      <w:spacing w:line="240" w:lineRule="atLeast"/>
      <w:ind w:firstLine="567"/>
    </w:pPr>
    <w:rPr>
      <w:szCs w:val="20"/>
    </w:rPr>
  </w:style>
  <w:style w:type="paragraph" w:customStyle="1" w:styleId="149">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0">
    <w:name w:val="CM2"/>
    <w:basedOn w:val="149"/>
    <w:next w:val="149"/>
    <w:qFormat/>
    <w:uiPriority w:val="0"/>
    <w:pPr>
      <w:spacing w:line="200" w:lineRule="atLeast"/>
    </w:pPr>
    <w:rPr>
      <w:rFonts w:ascii="Arial" w:hAnsi="Arial" w:eastAsia="宋体" w:cs="Times New Roman"/>
      <w:color w:val="auto"/>
    </w:rPr>
  </w:style>
  <w:style w:type="paragraph" w:customStyle="1" w:styleId="151">
    <w:name w:val="Normal Paragraph"/>
    <w:basedOn w:val="1"/>
    <w:qFormat/>
    <w:uiPriority w:val="0"/>
    <w:pPr>
      <w:widowControl/>
      <w:spacing w:before="120" w:line="360" w:lineRule="auto"/>
      <w:ind w:firstLine="425"/>
    </w:pPr>
    <w:rPr>
      <w:kern w:val="0"/>
      <w:sz w:val="24"/>
    </w:rPr>
  </w:style>
  <w:style w:type="character" w:customStyle="1" w:styleId="152">
    <w:name w:val="blue"/>
    <w:basedOn w:val="44"/>
    <w:qFormat/>
    <w:uiPriority w:val="0"/>
  </w:style>
  <w:style w:type="paragraph" w:customStyle="1" w:styleId="153">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4">
    <w:name w:val="font"/>
    <w:basedOn w:val="44"/>
    <w:qFormat/>
    <w:uiPriority w:val="0"/>
  </w:style>
  <w:style w:type="character" w:customStyle="1" w:styleId="155">
    <w:name w:val="font11"/>
    <w:qFormat/>
    <w:uiPriority w:val="0"/>
    <w:rPr>
      <w:rFonts w:hint="default" w:ascii="ˎ̥" w:hAnsi="ˎ̥"/>
    </w:rPr>
  </w:style>
  <w:style w:type="paragraph" w:customStyle="1" w:styleId="156">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57">
    <w:name w:val="proddescription"/>
    <w:basedOn w:val="44"/>
    <w:qFormat/>
    <w:uiPriority w:val="0"/>
  </w:style>
  <w:style w:type="character" w:customStyle="1" w:styleId="158">
    <w:name w:val="prodheadlines"/>
    <w:basedOn w:val="44"/>
    <w:qFormat/>
    <w:uiPriority w:val="0"/>
  </w:style>
  <w:style w:type="character" w:customStyle="1" w:styleId="159">
    <w:name w:val="text"/>
    <w:basedOn w:val="44"/>
    <w:qFormat/>
    <w:uiPriority w:val="0"/>
  </w:style>
  <w:style w:type="paragraph" w:customStyle="1" w:styleId="160">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2">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3">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4">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5">
    <w:name w:val="段落正文"/>
    <w:basedOn w:val="23"/>
    <w:qFormat/>
    <w:uiPriority w:val="0"/>
    <w:pPr>
      <w:ind w:firstLine="560" w:firstLineChars="200"/>
    </w:pPr>
    <w:rPr>
      <w:sz w:val="28"/>
    </w:rPr>
  </w:style>
  <w:style w:type="character" w:customStyle="1" w:styleId="166">
    <w:name w:val="gray6"/>
    <w:basedOn w:val="44"/>
    <w:qFormat/>
    <w:uiPriority w:val="0"/>
  </w:style>
  <w:style w:type="character" w:customStyle="1" w:styleId="167">
    <w:name w:val="style9"/>
    <w:basedOn w:val="44"/>
    <w:qFormat/>
    <w:uiPriority w:val="0"/>
  </w:style>
  <w:style w:type="paragraph" w:customStyle="1" w:styleId="168">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69">
    <w:name w:val="grame"/>
    <w:basedOn w:val="44"/>
    <w:qFormat/>
    <w:uiPriority w:val="0"/>
  </w:style>
  <w:style w:type="paragraph" w:customStyle="1" w:styleId="170">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1">
    <w:name w:val="Char1"/>
    <w:basedOn w:val="1"/>
    <w:qFormat/>
    <w:uiPriority w:val="0"/>
    <w:pPr>
      <w:jc w:val="left"/>
    </w:pPr>
    <w:rPr>
      <w:rFonts w:ascii="Tahoma" w:hAnsi="Tahoma"/>
      <w:sz w:val="24"/>
      <w:szCs w:val="20"/>
    </w:rPr>
  </w:style>
  <w:style w:type="paragraph" w:customStyle="1" w:styleId="172">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3">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4">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5">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76">
    <w:name w:val="font6"/>
    <w:basedOn w:val="1"/>
    <w:qFormat/>
    <w:uiPriority w:val="0"/>
    <w:pPr>
      <w:widowControl/>
      <w:spacing w:before="100" w:beforeAutospacing="1" w:after="100" w:afterAutospacing="1"/>
      <w:jc w:val="left"/>
    </w:pPr>
    <w:rPr>
      <w:kern w:val="0"/>
      <w:sz w:val="24"/>
    </w:rPr>
  </w:style>
  <w:style w:type="paragraph" w:customStyle="1" w:styleId="17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7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79">
    <w:name w:val="表格字"/>
    <w:basedOn w:val="1"/>
    <w:qFormat/>
    <w:uiPriority w:val="0"/>
    <w:pPr>
      <w:adjustRightInd w:val="0"/>
      <w:jc w:val="center"/>
    </w:pPr>
    <w:rPr>
      <w:rFonts w:ascii="宋体"/>
      <w:sz w:val="24"/>
      <w:szCs w:val="20"/>
    </w:rPr>
  </w:style>
  <w:style w:type="character" w:customStyle="1" w:styleId="180">
    <w:name w:val="样式 小三 加粗"/>
    <w:qFormat/>
    <w:uiPriority w:val="0"/>
    <w:rPr>
      <w:rFonts w:eastAsia="宋体"/>
      <w:b/>
      <w:bCs/>
      <w:sz w:val="32"/>
    </w:rPr>
  </w:style>
  <w:style w:type="paragraph" w:customStyle="1" w:styleId="18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2">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3">
    <w:name w:val="Char Char Char"/>
    <w:basedOn w:val="1"/>
    <w:qFormat/>
    <w:uiPriority w:val="0"/>
    <w:rPr>
      <w:rFonts w:ascii="Tahoma" w:hAnsi="Tahoma"/>
      <w:sz w:val="24"/>
      <w:szCs w:val="20"/>
    </w:rPr>
  </w:style>
  <w:style w:type="paragraph" w:customStyle="1" w:styleId="184">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5">
    <w:name w:val="info4"/>
    <w:basedOn w:val="44"/>
    <w:qFormat/>
    <w:uiPriority w:val="0"/>
  </w:style>
  <w:style w:type="paragraph" w:customStyle="1" w:styleId="186">
    <w:name w:val="缩进正文"/>
    <w:basedOn w:val="1"/>
    <w:link w:val="187"/>
    <w:qFormat/>
    <w:uiPriority w:val="0"/>
    <w:pPr>
      <w:ind w:firstLine="560" w:firstLineChars="200"/>
    </w:pPr>
    <w:rPr>
      <w:rFonts w:eastAsia="仿宋_GB2312" w:cs="宋体"/>
      <w:sz w:val="28"/>
      <w:szCs w:val="20"/>
    </w:rPr>
  </w:style>
  <w:style w:type="character" w:customStyle="1" w:styleId="187">
    <w:name w:val="缩进正文 Char"/>
    <w:link w:val="186"/>
    <w:qFormat/>
    <w:uiPriority w:val="0"/>
    <w:rPr>
      <w:rFonts w:eastAsia="仿宋_GB2312" w:cs="宋体"/>
      <w:kern w:val="2"/>
      <w:sz w:val="28"/>
      <w:lang w:val="en-US" w:eastAsia="zh-CN" w:bidi="ar-SA"/>
    </w:rPr>
  </w:style>
  <w:style w:type="paragraph" w:customStyle="1" w:styleId="188">
    <w:name w:val="列出段落1"/>
    <w:basedOn w:val="1"/>
    <w:qFormat/>
    <w:uiPriority w:val="0"/>
    <w:pPr>
      <w:ind w:firstLine="420" w:firstLineChars="200"/>
    </w:pPr>
    <w:rPr>
      <w:rFonts w:ascii="Calibri" w:hAnsi="Calibri" w:cs="Calibri"/>
      <w:szCs w:val="21"/>
    </w:rPr>
  </w:style>
  <w:style w:type="character" w:customStyle="1" w:styleId="189">
    <w:name w:val="批注文字 Char"/>
    <w:basedOn w:val="44"/>
    <w:link w:val="16"/>
    <w:qFormat/>
    <w:uiPriority w:val="99"/>
    <w:rPr>
      <w:rFonts w:ascii="宋体"/>
      <w:sz w:val="34"/>
    </w:rPr>
  </w:style>
  <w:style w:type="character" w:customStyle="1" w:styleId="190">
    <w:name w:val="批注主题 Char"/>
    <w:basedOn w:val="189"/>
    <w:link w:val="40"/>
    <w:qFormat/>
    <w:uiPriority w:val="99"/>
    <w:rPr>
      <w:rFonts w:ascii="宋体"/>
      <w:sz w:val="34"/>
    </w:rPr>
  </w:style>
  <w:style w:type="paragraph" w:customStyle="1" w:styleId="191">
    <w:name w:val="评价"/>
    <w:basedOn w:val="1"/>
    <w:qFormat/>
    <w:uiPriority w:val="0"/>
    <w:pPr>
      <w:spacing w:afterLines="20"/>
      <w:ind w:firstLine="1446" w:firstLineChars="200"/>
    </w:pPr>
    <w:rPr>
      <w:rFonts w:ascii="Calibri" w:hAnsi="Calibri"/>
      <w:sz w:val="24"/>
    </w:rPr>
  </w:style>
  <w:style w:type="paragraph" w:customStyle="1" w:styleId="192">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3">
    <w:name w:val="alt-edited1"/>
    <w:qFormat/>
    <w:uiPriority w:val="0"/>
    <w:rPr>
      <w:color w:val="4D90F0"/>
    </w:rPr>
  </w:style>
  <w:style w:type="character" w:customStyle="1" w:styleId="194">
    <w:name w:val="body text Char1"/>
    <w:qFormat/>
    <w:uiPriority w:val="0"/>
    <w:rPr>
      <w:rFonts w:eastAsia="宋体"/>
      <w:kern w:val="2"/>
      <w:sz w:val="21"/>
      <w:lang w:val="en-US" w:eastAsia="zh-CN" w:bidi="ar-SA"/>
    </w:rPr>
  </w:style>
  <w:style w:type="character" w:customStyle="1" w:styleId="195">
    <w:name w:val="普通(网站) Char"/>
    <w:link w:val="37"/>
    <w:qFormat/>
    <w:uiPriority w:val="0"/>
    <w:rPr>
      <w:kern w:val="2"/>
      <w:sz w:val="24"/>
      <w:szCs w:val="24"/>
    </w:rPr>
  </w:style>
  <w:style w:type="character" w:customStyle="1" w:styleId="196">
    <w:name w:val="批注文字 Char1"/>
    <w:qFormat/>
    <w:uiPriority w:val="99"/>
    <w:rPr>
      <w:rFonts w:ascii="宋体"/>
      <w:sz w:val="34"/>
    </w:rPr>
  </w:style>
  <w:style w:type="character" w:customStyle="1" w:styleId="197">
    <w:name w:val="正文缩进 Char1"/>
    <w:qFormat/>
    <w:uiPriority w:val="0"/>
    <w:rPr>
      <w:rFonts w:eastAsia="宋体"/>
      <w:kern w:val="2"/>
      <w:sz w:val="21"/>
      <w:lang w:val="en-US" w:eastAsia="zh-CN" w:bidi="ar-SA"/>
    </w:rPr>
  </w:style>
  <w:style w:type="character" w:customStyle="1" w:styleId="198">
    <w:name w:val="layui-this"/>
    <w:basedOn w:val="44"/>
    <w:qFormat/>
    <w:uiPriority w:val="0"/>
    <w:rPr>
      <w:bdr w:val="single" w:color="EEEEEE" w:sz="4" w:space="0"/>
      <w:shd w:val="clear" w:color="auto" w:fill="FFFFFF"/>
    </w:rPr>
  </w:style>
  <w:style w:type="character" w:customStyle="1" w:styleId="199">
    <w:name w:val="first-child"/>
    <w:basedOn w:val="44"/>
    <w:qFormat/>
    <w:uiPriority w:val="0"/>
  </w:style>
  <w:style w:type="paragraph" w:customStyle="1" w:styleId="200">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201">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81703-B4DB-4B20-B42E-38E96D6FB13E}">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50</Pages>
  <Words>6913</Words>
  <Characters>39405</Characters>
  <Lines>328</Lines>
  <Paragraphs>92</Paragraphs>
  <TotalTime>382</TotalTime>
  <ScaleCrop>false</ScaleCrop>
  <LinksUpToDate>false</LinksUpToDate>
  <CharactersWithSpaces>46226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2022-08-11T07:27:00Z</dcterms:created>
  <dc:creator>thsware</dc:creator>
  <cp:lastModifiedBy>HRGW</cp:lastModifiedBy>
  <cp:lastPrinted>2021-05-09T08:02:00Z</cp:lastPrinted>
  <dcterms:modified xsi:type="dcterms:W3CDTF">2023-11-16T03:56:53Z</dcterms:modified>
  <dc:title>招  标　文　件</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498C551F5547438B8E94174908DBFC8E_13</vt:lpwstr>
  </property>
  <property fmtid="{D5CDD505-2E9C-101B-9397-08002B2CF9AE}" pid="3" name="KSOProductBuildVer">
    <vt:lpwstr>2052-12.1.0.15712</vt:lpwstr>
  </property>
</Properties>
</file>