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版本号：N510811202600003320260903001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2026年肥料采购项目(四次)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N5108112026000033</w:t>
      </w:r>
    </w:p>
    <w:p>
      <w:pPr>
        <w:pStyle w:val="null3"/>
        <w:jc w:val="left"/>
        <w:outlineLvl w:val="2"/>
      </w:pPr>
      <w:r>
        <w:rPr>
          <w:rFonts w:ascii="仿宋_GB2312" w:hAnsi="仿宋_GB2312" w:cs="仿宋_GB2312" w:eastAsia="仿宋_GB2312"/>
          <w:sz w:val="28"/>
          <w:b/>
        </w:rPr>
        <w:t>广元市昭化区农业农村局</w:t>
      </w:r>
    </w:p>
    <w:p>
      <w:pPr>
        <w:pStyle w:val="null3"/>
        <w:jc w:val="center"/>
        <w:outlineLvl w:val="2"/>
      </w:pPr>
      <w:r>
        <w:rPr>
          <w:rFonts w:ascii="仿宋_GB2312" w:hAnsi="仿宋_GB2312" w:cs="仿宋_GB2312" w:eastAsia="仿宋_GB2312"/>
          <w:sz w:val="28"/>
          <w:b/>
        </w:rPr>
        <w:t>四川荣屹工程咨询有限公司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四川荣屹工程咨询有限公司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广元市昭化区农业农村局</w:t>
      </w:r>
      <w:r>
        <w:rPr>
          <w:rFonts w:ascii="仿宋_GB2312" w:hAnsi="仿宋_GB2312" w:cs="仿宋_GB2312" w:eastAsia="仿宋_GB2312"/>
        </w:rPr>
        <w:t xml:space="preserve"> 委托，拟对 </w:t>
      </w:r>
      <w:r>
        <w:rPr>
          <w:rFonts w:ascii="仿宋_GB2312" w:hAnsi="仿宋_GB2312" w:cs="仿宋_GB2312" w:eastAsia="仿宋_GB2312"/>
        </w:rPr>
        <w:t>2026年肥料采购项目(四次)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广元市昭化区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N5108112026000033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2026年肥料采购项目(四次)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通过统一采购优质达标复合肥，满足区内集中连片和新增面积基地施肥用肥需求，有效提升土壤肥力、改善作物长势，全面夯实我区秋冬油菜稳产增收基础，保障年度粮油扩种任务落地落实。</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1、投标人须提供所投产品“复合肥”有效的《全国工业产品生产许可证》和备案证明资料（描述：投标人须提供所投产品“复合肥”有效的《全国工业产品生产许可证》和备案证明资料）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广元市昭化区农业农村局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广元市昭化区元坝镇育才路14号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628021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13568378285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四川荣屹工程咨询有限公司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四川省成都市金牛区西三环路五段199号君信大厦B座909室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028-60352590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采购包1：1,716,000.00元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代理服务费收费标准：以中标金额作为计算基数，参照国家发改委《计价格[2002]1980号》和(发改办价格[2003]857号)中差额定率累进计费方式的标准下浮18%收取。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广元市昭化区农业农村局</w:t>
      </w:r>
      <w:r>
        <w:rPr>
          <w:rFonts w:ascii="仿宋_GB2312" w:hAnsi="仿宋_GB2312" w:cs="仿宋_GB2312" w:eastAsia="仿宋_GB2312"/>
        </w:rPr>
        <w:t xml:space="preserve"> 和 </w:t>
      </w:r>
      <w:r>
        <w:rPr>
          <w:rFonts w:ascii="仿宋_GB2312" w:hAnsi="仿宋_GB2312" w:cs="仿宋_GB2312" w:eastAsia="仿宋_GB2312"/>
        </w:rPr>
        <w:t>四川荣屹工程咨询有限公司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广元市昭化区农业农村局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四川荣屹工程咨询有限公司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按照采购文件技术、服务履约内容和要求执行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按照采购文件商务履约内容和要求执行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文件要求和中标人的投标文件及双方订立的采购合同进行验收；履约验收程序按照政府采购相关法律法规以及《财政部关于进一步加强政府采购需求和履约验收管理的指导意见》（财库〔2016〕205号）的要求组织。</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广元市昭化区农业农村局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四川荣屹工程咨询有限公司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四川荣屹工程咨询有限公司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联系电话：028-60352590</w:t>
      </w:r>
    </w:p>
    <w:p>
      <w:pPr>
        <w:pStyle w:val="null3"/>
        <w:jc w:val="left"/>
      </w:pPr>
      <w:r>
        <w:rPr>
          <w:rFonts w:ascii="仿宋_GB2312" w:hAnsi="仿宋_GB2312" w:cs="仿宋_GB2312" w:eastAsia="仿宋_GB2312"/>
        </w:rPr>
        <w:t>地址：四川省成都市金牛区西三环路五段199号君信大厦B座909室</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联系人：徐老师</w:t>
      </w:r>
    </w:p>
    <w:p>
      <w:pPr>
        <w:pStyle w:val="null3"/>
        <w:jc w:val="left"/>
      </w:pPr>
      <w:r>
        <w:rPr>
          <w:rFonts w:ascii="仿宋_GB2312" w:hAnsi="仿宋_GB2312" w:cs="仿宋_GB2312" w:eastAsia="仿宋_GB2312"/>
        </w:rPr>
        <w:t>联系电话：13568378285</w:t>
      </w:r>
    </w:p>
    <w:p>
      <w:pPr>
        <w:pStyle w:val="null3"/>
        <w:jc w:val="left"/>
      </w:pPr>
      <w:r>
        <w:rPr>
          <w:rFonts w:ascii="仿宋_GB2312" w:hAnsi="仿宋_GB2312" w:cs="仿宋_GB2312" w:eastAsia="仿宋_GB2312"/>
        </w:rPr>
        <w:t>地址：广元市昭化区元坝镇育才路14号</w:t>
      </w:r>
    </w:p>
    <w:p>
      <w:pPr>
        <w:pStyle w:val="null3"/>
        <w:jc w:val="left"/>
      </w:pPr>
      <w:r>
        <w:rPr>
          <w:rFonts w:ascii="仿宋_GB2312" w:hAnsi="仿宋_GB2312" w:cs="仿宋_GB2312" w:eastAsia="仿宋_GB2312"/>
        </w:rPr>
        <w:t>邮编：628021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1,716,000.00</w:t>
      </w:r>
    </w:p>
    <w:p>
      <w:pPr>
        <w:pStyle w:val="null3"/>
        <w:jc w:val="left"/>
      </w:pPr>
      <w:r>
        <w:rPr>
          <w:rFonts w:ascii="仿宋_GB2312" w:hAnsi="仿宋_GB2312" w:cs="仿宋_GB2312" w:eastAsia="仿宋_GB2312"/>
        </w:rPr>
        <w:t>采购包最高限价（元）: 1,656,720.00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A07080104 化学肥料</w:t>
            </w:r>
          </w:p>
        </w:tc>
        <w:tc>
          <w:tcPr>
            <w:tcW w:type="dxa" w:w="821"/>
          </w:tcPr>
          <w:p>
            <w:pPr>
              <w:pStyle w:val="null3"/>
              <w:jc w:val="left"/>
            </w:pPr>
            <w:r>
              <w:rPr>
                <w:rFonts w:ascii="仿宋_GB2312" w:hAnsi="仿宋_GB2312" w:cs="仿宋_GB2312" w:eastAsia="仿宋_GB2312"/>
              </w:rPr>
              <w:t>复合肥</w:t>
            </w:r>
          </w:p>
        </w:tc>
        <w:tc>
          <w:tcPr>
            <w:tcW w:type="dxa" w:w="821"/>
          </w:tcPr>
          <w:p>
            <w:pPr>
              <w:pStyle w:val="null3"/>
              <w:jc w:val="right"/>
            </w:pPr>
            <w:r>
              <w:rPr>
                <w:rFonts w:ascii="仿宋_GB2312" w:hAnsi="仿宋_GB2312" w:cs="仿宋_GB2312" w:eastAsia="仿宋_GB2312"/>
              </w:rPr>
              <w:t>624.00（吨）</w:t>
            </w:r>
          </w:p>
        </w:tc>
        <w:tc>
          <w:tcPr>
            <w:tcW w:type="dxa" w:w="821"/>
          </w:tcPr>
          <w:p>
            <w:pPr>
              <w:pStyle w:val="null3"/>
              <w:jc w:val="right"/>
            </w:pPr>
            <w:r>
              <w:rPr>
                <w:rFonts w:ascii="仿宋_GB2312" w:hAnsi="仿宋_GB2312" w:cs="仿宋_GB2312" w:eastAsia="仿宋_GB2312"/>
              </w:rPr>
              <w:t>1,656,720.00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复合肥</w:t>
            </w:r>
          </w:p>
        </w:tc>
        <w:tc>
          <w:tcPr>
            <w:tcW w:type="dxa" w:w="1138"/>
          </w:tcPr>
          <w:p>
            <w:pPr>
              <w:pStyle w:val="null3"/>
              <w:jc w:val="center"/>
            </w:pPr>
            <w:r>
              <w:rPr>
                <w:rFonts w:ascii="仿宋_GB2312" w:hAnsi="仿宋_GB2312" w:cs="仿宋_GB2312" w:eastAsia="仿宋_GB2312"/>
              </w:rPr>
              <w:t>624.00（吨）</w:t>
            </w:r>
          </w:p>
        </w:tc>
        <w:tc>
          <w:tcPr>
            <w:tcW w:type="dxa" w:w="1365"/>
          </w:tcPr>
          <w:p>
            <w:pPr>
              <w:pStyle w:val="null3"/>
              <w:jc w:val="center"/>
            </w:pPr>
            <w:r>
              <w:rPr>
                <w:rFonts w:ascii="仿宋_GB2312" w:hAnsi="仿宋_GB2312" w:cs="仿宋_GB2312" w:eastAsia="仿宋_GB2312"/>
              </w:rPr>
              <w:t>1,656,720.00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A07080104 化学肥料</w:t>
            </w:r>
          </w:p>
        </w:tc>
        <w:tc>
          <w:tcPr>
            <w:tcW w:type="dxa" w:w="2492"/>
          </w:tcPr>
          <w:p>
            <w:pPr>
              <w:pStyle w:val="null3"/>
              <w:jc w:val="left"/>
            </w:pPr>
            <w:r>
              <w:rPr>
                <w:rFonts w:ascii="仿宋_GB2312" w:hAnsi="仿宋_GB2312" w:cs="仿宋_GB2312" w:eastAsia="仿宋_GB2312"/>
              </w:rPr>
              <w:t>复合肥</w:t>
            </w:r>
          </w:p>
        </w:tc>
        <w:tc>
          <w:tcPr>
            <w:tcW w:type="dxa" w:w="2492"/>
          </w:tcPr>
          <w:p>
            <w:pPr>
              <w:pStyle w:val="null3"/>
              <w:jc w:val="left"/>
            </w:pPr>
            <w:r>
              <w:rPr>
                <w:rFonts w:ascii="仿宋_GB2312" w:hAnsi="仿宋_GB2312" w:cs="仿宋_GB2312" w:eastAsia="仿宋_GB2312"/>
              </w:rPr>
              <w:t>复合肥</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标的名称：复合肥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 xml:space="preserve"> 产品参数</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(一)养分指标:总养分(N+P2O5+K2O)质量分数≥40%，其中N≥20%、P2O5≥10%、K2O≥10%，有效硼含量≥0.15%，满足油菜生长需肥特性。</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(二)外观粒度:产品为颗粒状，粒径1.00 mm~4.75 mm颗粒占比≥90%，均匀度好、利用率高、适宜机械化撒施。</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(三)质量控制:氯离子质量分数≤15%，适配我区油菜种植土壤条件，避免肥害、提升作物抗逆性。</w:t>
            </w:r>
          </w:p>
          <w:p>
            <w:pPr>
              <w:pStyle w:val="null3"/>
              <w:jc w:val="left"/>
            </w:pPr>
            <w:r>
              <w:rPr>
                <w:rFonts w:ascii="仿宋_GB2312" w:hAnsi="仿宋_GB2312" w:cs="仿宋_GB2312" w:eastAsia="仿宋_GB2312"/>
                <w:sz w:val="18"/>
              </w:rPr>
              <w:t>★（四）质量标准</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投标产品执行标准：GB/T 15063-2020《复合肥料》；有毒有害物质执行 GB 38400-2019。</w:t>
            </w:r>
            <w:r>
              <w:rPr>
                <w:rFonts w:ascii="仿宋_GB2312" w:hAnsi="仿宋_GB2312" w:cs="仿宋_GB2312" w:eastAsia="仿宋_GB2312"/>
                <w:sz w:val="18"/>
              </w:rPr>
              <w:t>各项指标检验采用国标配套方法。</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如有最新标准以最新标准执行。</w:t>
            </w:r>
          </w:p>
          <w:p>
            <w:pPr>
              <w:pStyle w:val="null3"/>
              <w:jc w:val="both"/>
            </w:pPr>
            <w:r>
              <w:rPr>
                <w:rFonts w:ascii="仿宋_GB2312" w:hAnsi="仿宋_GB2312" w:cs="仿宋_GB2312" w:eastAsia="仿宋_GB2312"/>
                <w:sz w:val="18"/>
              </w:rPr>
              <w:t>（五）规格：25公斤/袋（净重</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注：1、以上带“★”号的技术参数条款为本次采购项目的实质性要求，不允许负偏离，否则按无效处理；</w:t>
            </w:r>
          </w:p>
          <w:p>
            <w:pPr>
              <w:pStyle w:val="null3"/>
              <w:jc w:val="left"/>
            </w:pPr>
            <w:r>
              <w:rPr>
                <w:rFonts w:ascii="仿宋_GB2312" w:hAnsi="仿宋_GB2312" w:cs="仿宋_GB2312" w:eastAsia="仿宋_GB2312"/>
                <w:sz w:val="18"/>
              </w:rPr>
              <w:t>2、以上带“★”的技术参数条款均须提供国家认证的第三方机构出具的检验（测）报告复印件加盖单位公章。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18"/>
              </w:rPr>
              <w:t>★（一）服务内容</w:t>
            </w:r>
          </w:p>
          <w:p>
            <w:pPr>
              <w:pStyle w:val="null3"/>
              <w:jc w:val="left"/>
            </w:pPr>
            <w:r>
              <w:rPr>
                <w:rFonts w:ascii="仿宋_GB2312" w:hAnsi="仿宋_GB2312" w:cs="仿宋_GB2312" w:eastAsia="仿宋_GB2312"/>
                <w:sz w:val="18"/>
              </w:rPr>
              <w:t>1.对采购人指定镇提供肥料配送。具体配送到乡镇以采购人通知为准。</w:t>
            </w:r>
          </w:p>
          <w:p>
            <w:pPr>
              <w:pStyle w:val="null3"/>
              <w:jc w:val="left"/>
            </w:pPr>
            <w:r>
              <w:rPr>
                <w:rFonts w:ascii="仿宋_GB2312" w:hAnsi="仿宋_GB2312" w:cs="仿宋_GB2312" w:eastAsia="仿宋_GB2312"/>
                <w:sz w:val="18"/>
              </w:rPr>
              <w:t>2.肥料采购包含配送到指定位置：包含上下车费、暂存、按计划发放、施肥技术培训。</w:t>
            </w:r>
          </w:p>
          <w:p>
            <w:pPr>
              <w:pStyle w:val="null3"/>
              <w:jc w:val="left"/>
            </w:pPr>
            <w:r>
              <w:rPr>
                <w:rFonts w:ascii="仿宋_GB2312" w:hAnsi="仿宋_GB2312" w:cs="仿宋_GB2312" w:eastAsia="仿宋_GB2312"/>
                <w:sz w:val="18"/>
              </w:rPr>
              <w:t>3.采购人和投标人共同对肥料进行抽样并送检，由第三方有资质的检验机构进行检测并出具检测报告，检测合格后采购人进行签收，如检测不合格由投标人退回后另行配送，若因此而延误农时由投标人负责；检测费由投标人自行承担。（提供承诺函，格式自拟）</w:t>
            </w:r>
          </w:p>
          <w:p>
            <w:pPr>
              <w:pStyle w:val="null3"/>
              <w:jc w:val="left"/>
            </w:pPr>
            <w:r>
              <w:rPr>
                <w:rFonts w:ascii="仿宋_GB2312" w:hAnsi="仿宋_GB2312" w:cs="仿宋_GB2312" w:eastAsia="仿宋_GB2312"/>
                <w:sz w:val="18"/>
              </w:rPr>
              <w:t>4.投标人须提供全新的货物，权属清楚，不得侵害他人产权。</w:t>
            </w:r>
          </w:p>
          <w:p>
            <w:pPr>
              <w:pStyle w:val="null3"/>
              <w:jc w:val="left"/>
            </w:pPr>
            <w:r>
              <w:rPr>
                <w:rFonts w:ascii="仿宋_GB2312" w:hAnsi="仿宋_GB2312" w:cs="仿宋_GB2312" w:eastAsia="仿宋_GB2312"/>
                <w:sz w:val="18"/>
              </w:rPr>
              <w:t>★（二）技术服务要求</w:t>
            </w:r>
          </w:p>
          <w:p>
            <w:pPr>
              <w:pStyle w:val="null3"/>
              <w:jc w:val="left"/>
            </w:pPr>
            <w:r>
              <w:rPr>
                <w:rFonts w:ascii="仿宋_GB2312" w:hAnsi="仿宋_GB2312" w:cs="仿宋_GB2312" w:eastAsia="仿宋_GB2312"/>
                <w:sz w:val="18"/>
              </w:rPr>
              <w:t>1.项目实施要求：</w:t>
            </w:r>
          </w:p>
          <w:p>
            <w:pPr>
              <w:pStyle w:val="null3"/>
              <w:jc w:val="left"/>
            </w:pPr>
            <w:r>
              <w:rPr>
                <w:rFonts w:ascii="仿宋_GB2312" w:hAnsi="仿宋_GB2312" w:cs="仿宋_GB2312" w:eastAsia="仿宋_GB2312"/>
                <w:sz w:val="18"/>
              </w:rPr>
              <w:t>（1）肥料配送、发放要求：投标人的配送需根据采购人要求配送，配送路线需满足实际最优行使路线；车辆不少于2辆，自有车辆提供车辆行驶证复印件，租赁车辆提供租赁合同和车辆行驶证复印件。</w:t>
            </w:r>
          </w:p>
          <w:p>
            <w:pPr>
              <w:pStyle w:val="null3"/>
              <w:jc w:val="left"/>
            </w:pPr>
            <w:r>
              <w:rPr>
                <w:rFonts w:ascii="仿宋_GB2312" w:hAnsi="仿宋_GB2312" w:cs="仿宋_GB2312" w:eastAsia="仿宋_GB2312"/>
                <w:sz w:val="18"/>
              </w:rPr>
              <w:t>（2）项目人员配备要求：投标人根据项目配备项目组成人员，发放人员不少于2人，驾驶员不少于2人，驾驶员需提供驾驶证复印。</w:t>
            </w:r>
          </w:p>
          <w:p>
            <w:pPr>
              <w:pStyle w:val="null3"/>
              <w:jc w:val="left"/>
            </w:pPr>
            <w:r>
              <w:rPr>
                <w:rFonts w:ascii="仿宋_GB2312" w:hAnsi="仿宋_GB2312" w:cs="仿宋_GB2312" w:eastAsia="仿宋_GB2312"/>
                <w:sz w:val="18"/>
              </w:rPr>
              <w:t>（3）项目质量保障措施：关键农时季节，避免肥料受潮影响产品质量导致不能按时按需使用肥料；温度条件，肥料储存的温度是非常重要的，因为高温和低温都会对肥料造成损害。一般来说，肥料的储存温度应控制在5℃-40℃之间，确保不过高不过低。湿度条件，肥料本身就含有很多水分，如果储存的环境湿度太高，会让肥料受潮发生化学变化，影响其使用效果。因此，肥料的储存湿度要控制在50%-60%之间。通风条件，肥料储存的场所一定要通风，以保证肥料的质量。过度密闭的环境会让肥料中的氧气流通不畅，从而引发化学反应，产生有害气体，影响肥料的质量。确保通风充足，并且密封性好。</w:t>
            </w:r>
          </w:p>
          <w:p>
            <w:pPr>
              <w:pStyle w:val="null3"/>
              <w:jc w:val="left"/>
            </w:pPr>
            <w:r>
              <w:rPr>
                <w:rFonts w:ascii="仿宋_GB2312" w:hAnsi="仿宋_GB2312" w:cs="仿宋_GB2312" w:eastAsia="仿宋_GB2312"/>
                <w:sz w:val="18"/>
              </w:rPr>
              <w:t>（4）培训：根据农业农村部办公厅关于肥料包装废弃物回收处理的指导意见，坚持分类处置，根据肥料包装物的功能、材质和再利用价值，采取适宜回收方式，对于有再利用价值的，由使用者收集利用或发挥市场机制，由市场主体回收后二次利用，对于无再利用价值的，由使用者收集并作为农村垃圾进行处理。产品到货后，需要专业人员对肥料进行施肥、肥料包装废弃物回收培训工作。</w:t>
            </w:r>
          </w:p>
          <w:p>
            <w:pPr>
              <w:pStyle w:val="null3"/>
              <w:jc w:val="left"/>
            </w:pPr>
            <w:r>
              <w:rPr>
                <w:rFonts w:ascii="仿宋_GB2312" w:hAnsi="仿宋_GB2312" w:cs="仿宋_GB2312" w:eastAsia="仿宋_GB2312"/>
                <w:sz w:val="18"/>
              </w:rPr>
              <w:t>（5）应急预案管理措施要求：成立应急指挥部，人员可由驾驶员、配送员、售后人员及其他项目相关人员组成，负责协调应急工作，做出决策，向采购人汇报应急情况，管理现场指挥调动各方资源参与应急救援，应急小组组织人员疏散，确保人员安全，控制事故现场，采取措施避免事态扩大。</w:t>
            </w:r>
          </w:p>
          <w:p>
            <w:pPr>
              <w:pStyle w:val="null3"/>
              <w:jc w:val="left"/>
            </w:pPr>
            <w:r>
              <w:rPr>
                <w:rFonts w:ascii="仿宋_GB2312" w:hAnsi="仿宋_GB2312" w:cs="仿宋_GB2312" w:eastAsia="仿宋_GB2312"/>
                <w:sz w:val="18"/>
              </w:rPr>
              <w:t>★（三）售后保障要求</w:t>
            </w:r>
          </w:p>
          <w:p>
            <w:pPr>
              <w:pStyle w:val="null3"/>
              <w:jc w:val="left"/>
            </w:pPr>
            <w:r>
              <w:rPr>
                <w:rFonts w:ascii="仿宋_GB2312" w:hAnsi="仿宋_GB2312" w:cs="仿宋_GB2312" w:eastAsia="仿宋_GB2312"/>
                <w:sz w:val="18"/>
              </w:rPr>
              <w:t>1.售后服务人员构成要求：售后人员不少于2名，并提供联系电话，对于后期发生的售后问题需及时向采购人和公司上报，并跟踪处理。</w:t>
            </w:r>
          </w:p>
          <w:p>
            <w:pPr>
              <w:pStyle w:val="null3"/>
              <w:jc w:val="left"/>
            </w:pPr>
            <w:r>
              <w:rPr>
                <w:rFonts w:ascii="仿宋_GB2312" w:hAnsi="仿宋_GB2312" w:cs="仿宋_GB2312" w:eastAsia="仿宋_GB2312"/>
                <w:sz w:val="18"/>
              </w:rPr>
              <w:t>2.快速的退换货机制要求：采购人发现产品质量不合格的可以退货，投标人必须配合。</w:t>
            </w:r>
          </w:p>
          <w:p>
            <w:pPr>
              <w:pStyle w:val="null3"/>
              <w:jc w:val="left"/>
            </w:pPr>
            <w:r>
              <w:rPr>
                <w:rFonts w:ascii="仿宋_GB2312" w:hAnsi="仿宋_GB2312" w:cs="仿宋_GB2312" w:eastAsia="仿宋_GB2312"/>
                <w:sz w:val="18"/>
              </w:rPr>
              <w:t>3.完整的售后服务体系要求：售后服务响应时间，在1个小时内作出响应，4小时内远程解决。</w:t>
            </w:r>
          </w:p>
          <w:p>
            <w:pPr>
              <w:pStyle w:val="null3"/>
              <w:jc w:val="left"/>
            </w:pPr>
            <w:r>
              <w:rPr>
                <w:rFonts w:ascii="仿宋_GB2312" w:hAnsi="仿宋_GB2312" w:cs="仿宋_GB2312" w:eastAsia="仿宋_GB2312"/>
                <w:sz w:val="18"/>
              </w:rPr>
              <w:t>4.技术指导要求：关键农时季节对基层干部、农技人员、农民群众和新型农业经营主体开展全方位、多渠道、多层次培训指导，提高技术到位率，指导试点区域农户和新型经营主体落实技术措施，开展绿色高效生产，确保承担示范推广任务的主体能种、会种、种好，中标人需组织不少于两次技术培训。</w:t>
            </w:r>
          </w:p>
          <w:p>
            <w:pPr>
              <w:pStyle w:val="null3"/>
              <w:jc w:val="left"/>
            </w:pPr>
            <w:r>
              <w:rPr>
                <w:rFonts w:ascii="仿宋_GB2312" w:hAnsi="仿宋_GB2312" w:cs="仿宋_GB2312" w:eastAsia="仿宋_GB2312"/>
                <w:sz w:val="18"/>
                <w:b/>
              </w:rPr>
              <w:t>注：以上带“★”号的技术参数条款为本次采购项目的实质性要求，不允许负偏离，否则按无效处理。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 xml:space="preserve"> 其他要求</w:t>
            </w:r>
          </w:p>
        </w:tc>
        <w:tc>
          <w:tcPr>
            <w:tcW w:type="dxa" w:w="5814"/>
          </w:tcPr>
          <w:p>
            <w:pPr>
              <w:pStyle w:val="null3"/>
              <w:jc w:val="both"/>
            </w:pPr>
            <w:r>
              <w:rPr>
                <w:rFonts w:ascii="仿宋_GB2312" w:hAnsi="仿宋_GB2312" w:cs="仿宋_GB2312" w:eastAsia="仿宋_GB2312"/>
                <w:sz w:val="18"/>
              </w:rPr>
              <w:t>★1.交货期限：自合同签订之日起10日历天内完成。</w:t>
            </w:r>
          </w:p>
          <w:p>
            <w:pPr>
              <w:pStyle w:val="null3"/>
              <w:jc w:val="left"/>
            </w:pPr>
            <w:r>
              <w:rPr>
                <w:rFonts w:ascii="仿宋_GB2312" w:hAnsi="仿宋_GB2312" w:cs="仿宋_GB2312" w:eastAsia="仿宋_GB2312"/>
                <w:sz w:val="18"/>
              </w:rPr>
              <w:t>★2.交货地点：采购人指定地点，中标供应商按照采购的要求配送至指定地点，经采购人初步验收，若货物未达到采购人的要求，采购人有权拒收货物。</w:t>
            </w:r>
          </w:p>
          <w:p>
            <w:pPr>
              <w:pStyle w:val="null3"/>
              <w:jc w:val="left"/>
            </w:pPr>
            <w:r>
              <w:rPr>
                <w:rFonts w:ascii="仿宋_GB2312" w:hAnsi="仿宋_GB2312" w:cs="仿宋_GB2312" w:eastAsia="仿宋_GB2312"/>
                <w:sz w:val="18"/>
              </w:rPr>
              <w:t>★3.付款方式：（1）签订合同后全部货物按时提供至指定地点初步验收合格后，达到付款条件起30个工作日内，支付合同总金额的50.00%；</w:t>
            </w:r>
            <w:r>
              <w:br/>
            </w:r>
            <w:r>
              <w:rPr>
                <w:rFonts w:ascii="仿宋_GB2312" w:hAnsi="仿宋_GB2312" w:cs="仿宋_GB2312" w:eastAsia="仿宋_GB2312"/>
                <w:sz w:val="18"/>
              </w:rPr>
              <w:t xml:space="preserve"> （2）货物样本经采购人送有资质的检验机构检测相关指标合格后，</w:t>
            </w:r>
            <w:r>
              <w:rPr>
                <w:rFonts w:ascii="仿宋_GB2312" w:hAnsi="仿宋_GB2312" w:cs="仿宋_GB2312" w:eastAsia="仿宋_GB2312"/>
                <w:sz w:val="18"/>
              </w:rPr>
              <w:t>达到付款条件起30个工作日内</w:t>
            </w:r>
            <w:r>
              <w:rPr>
                <w:rFonts w:ascii="仿宋_GB2312" w:hAnsi="仿宋_GB2312" w:cs="仿宋_GB2312" w:eastAsia="仿宋_GB2312"/>
                <w:sz w:val="18"/>
              </w:rPr>
              <w:t>，支付合同总金额的30.00%；</w:t>
            </w:r>
            <w:r>
              <w:br/>
            </w:r>
            <w:r>
              <w:rPr>
                <w:rFonts w:ascii="仿宋_GB2312" w:hAnsi="仿宋_GB2312" w:cs="仿宋_GB2312" w:eastAsia="仿宋_GB2312"/>
                <w:sz w:val="18"/>
              </w:rPr>
              <w:t xml:space="preserve"> （3）剩余合同价款至2027年5月底后无重大问题，</w:t>
            </w:r>
            <w:r>
              <w:rPr>
                <w:rFonts w:ascii="仿宋_GB2312" w:hAnsi="仿宋_GB2312" w:cs="仿宋_GB2312" w:eastAsia="仿宋_GB2312"/>
                <w:sz w:val="18"/>
              </w:rPr>
              <w:t>达到付款条件起30个工作日内</w:t>
            </w:r>
            <w:r>
              <w:rPr>
                <w:rFonts w:ascii="仿宋_GB2312" w:hAnsi="仿宋_GB2312" w:cs="仿宋_GB2312" w:eastAsia="仿宋_GB2312"/>
                <w:sz w:val="18"/>
              </w:rPr>
              <w:t>，支付合同总金额的20.00% 。</w:t>
            </w:r>
          </w:p>
          <w:p>
            <w:pPr>
              <w:pStyle w:val="null3"/>
              <w:jc w:val="left"/>
            </w:pPr>
            <w:r>
              <w:rPr>
                <w:rFonts w:ascii="仿宋_GB2312" w:hAnsi="仿宋_GB2312" w:cs="仿宋_GB2312" w:eastAsia="仿宋_GB2312"/>
                <w:sz w:val="18"/>
              </w:rPr>
              <w:t>（每阶段付款前中标人向采购人出具完整合法有效的完税发票）</w:t>
            </w:r>
          </w:p>
          <w:p>
            <w:pPr>
              <w:pStyle w:val="null3"/>
              <w:jc w:val="left"/>
            </w:pPr>
            <w:r>
              <w:rPr>
                <w:rFonts w:ascii="仿宋_GB2312" w:hAnsi="仿宋_GB2312" w:cs="仿宋_GB2312" w:eastAsia="仿宋_GB2312"/>
                <w:sz w:val="18"/>
              </w:rPr>
              <w:t>★4.履约验收</w:t>
            </w:r>
          </w:p>
          <w:p>
            <w:pPr>
              <w:pStyle w:val="null3"/>
              <w:jc w:val="left"/>
            </w:pPr>
            <w:r>
              <w:rPr>
                <w:rFonts w:ascii="仿宋_GB2312" w:hAnsi="仿宋_GB2312" w:cs="仿宋_GB2312" w:eastAsia="仿宋_GB2312"/>
                <w:sz w:val="18"/>
              </w:rPr>
              <w:t>4.1验收主体：广元市昭化区农业农村局。</w:t>
            </w:r>
          </w:p>
          <w:p>
            <w:pPr>
              <w:pStyle w:val="null3"/>
              <w:jc w:val="left"/>
            </w:pPr>
            <w:r>
              <w:rPr>
                <w:rFonts w:ascii="仿宋_GB2312" w:hAnsi="仿宋_GB2312" w:cs="仿宋_GB2312" w:eastAsia="仿宋_GB2312"/>
                <w:sz w:val="18"/>
              </w:rPr>
              <w:t>4.2验收时间、方式及程序：履约完成后10日内由中标人提出验收申请，采购人在接到中标人验收申请后10日内自行组织一次性验收。采购人将按照《财政部关于进一步加强政府采购需求和履约验收管理的指导意见》（财库〔2016〕205号）的要求进行验收。</w:t>
            </w:r>
          </w:p>
          <w:p>
            <w:pPr>
              <w:pStyle w:val="null3"/>
              <w:jc w:val="left"/>
            </w:pPr>
            <w:r>
              <w:rPr>
                <w:rFonts w:ascii="仿宋_GB2312" w:hAnsi="仿宋_GB2312" w:cs="仿宋_GB2312" w:eastAsia="仿宋_GB2312"/>
                <w:sz w:val="18"/>
              </w:rPr>
              <w:t>4.3验收内容：本项目技术服务和商务要求的内容。</w:t>
            </w:r>
          </w:p>
          <w:p>
            <w:pPr>
              <w:pStyle w:val="null3"/>
              <w:jc w:val="left"/>
            </w:pPr>
            <w:r>
              <w:rPr>
                <w:rFonts w:ascii="仿宋_GB2312" w:hAnsi="仿宋_GB2312" w:cs="仿宋_GB2312" w:eastAsia="仿宋_GB2312"/>
                <w:sz w:val="18"/>
              </w:rPr>
              <w:t>4.4验收标准：本项目采购文件要求和中标人的投标文件及双方订立的采购合同进行验收；履约验收程序按照政府采购相关法律法规以及《财政部关于进一步加强政府采购需求和履约验收管理的指导意见》（财库〔2016〕205号）的要求组织。</w:t>
            </w:r>
          </w:p>
          <w:p>
            <w:pPr>
              <w:pStyle w:val="null3"/>
              <w:jc w:val="left"/>
            </w:pPr>
            <w:r>
              <w:rPr>
                <w:rFonts w:ascii="仿宋_GB2312" w:hAnsi="仿宋_GB2312" w:cs="仿宋_GB2312" w:eastAsia="仿宋_GB2312"/>
                <w:sz w:val="18"/>
              </w:rPr>
              <w:t>5.本项目的报价应包括项目的货物成本、税费、运输、人工费、安全、装卸、仓储（含租赁仓库等待检测结果时产生的费用）、发放、培训、技术指导和送样检测费等全部费用，采购人不再支付其他任何费用。</w:t>
            </w:r>
          </w:p>
          <w:p>
            <w:pPr>
              <w:pStyle w:val="null3"/>
              <w:jc w:val="left"/>
            </w:pPr>
            <w:r>
              <w:rPr>
                <w:rFonts w:ascii="仿宋_GB2312" w:hAnsi="仿宋_GB2312" w:cs="仿宋_GB2312" w:eastAsia="仿宋_GB2312"/>
                <w:sz w:val="18"/>
              </w:rPr>
              <w:t>6.交货要求：投标人所投产品必须符合产品规格要求，投标人所提供清单中的产品不满足规格要求，采购人可拒收。</w:t>
            </w:r>
          </w:p>
          <w:p>
            <w:pPr>
              <w:pStyle w:val="null3"/>
              <w:jc w:val="left"/>
            </w:pPr>
            <w:r>
              <w:rPr>
                <w:rFonts w:ascii="仿宋_GB2312" w:hAnsi="仿宋_GB2312" w:cs="仿宋_GB2312" w:eastAsia="仿宋_GB2312"/>
                <w:sz w:val="18"/>
              </w:rPr>
              <w:t>7.包装方式及运输：涉及的商品包装盒快递包装，均应符合《商品包装政府采购需求标准（试行）》《快递包装政府采购需求标准（试行）》的要求，包装应适用于远距离运输、防潮、防雨和防野蛮装卸，以确保货物安全无损运抵指定地点。</w:t>
            </w:r>
          </w:p>
          <w:p>
            <w:pPr>
              <w:pStyle w:val="null3"/>
              <w:jc w:val="left"/>
            </w:pPr>
            <w:r>
              <w:rPr>
                <w:rFonts w:ascii="仿宋_GB2312" w:hAnsi="仿宋_GB2312" w:cs="仿宋_GB2312" w:eastAsia="仿宋_GB2312"/>
                <w:sz w:val="18"/>
              </w:rPr>
              <w:t>8.违约责任</w:t>
            </w:r>
          </w:p>
          <w:p>
            <w:pPr>
              <w:pStyle w:val="null3"/>
              <w:jc w:val="left"/>
            </w:pPr>
            <w:r>
              <w:rPr>
                <w:rFonts w:ascii="仿宋_GB2312" w:hAnsi="仿宋_GB2312" w:cs="仿宋_GB2312" w:eastAsia="仿宋_GB2312"/>
                <w:sz w:val="18"/>
              </w:rPr>
              <w:t>（1）采购人与中标人双方必须遵守并执行本项目中约定的各项规定，保证本项目的正常实施。</w:t>
            </w:r>
          </w:p>
          <w:p>
            <w:pPr>
              <w:pStyle w:val="null3"/>
              <w:jc w:val="left"/>
            </w:pPr>
            <w:r>
              <w:rPr>
                <w:rFonts w:ascii="仿宋_GB2312" w:hAnsi="仿宋_GB2312" w:cs="仿宋_GB2312" w:eastAsia="仿宋_GB2312"/>
                <w:sz w:val="18"/>
              </w:rPr>
              <w:t>（2）如因中标人工作人员在履行职务过程中的疏忽、失职、过错等故意或过失给采购人造成损失或侵害，包括但不限于采购人本身财产损失、由此而导致的采购人对任何第三方的法律责任等，中标人对此均应承担全部的赔偿责任。</w:t>
            </w:r>
          </w:p>
          <w:p>
            <w:pPr>
              <w:pStyle w:val="null3"/>
              <w:jc w:val="left"/>
            </w:pPr>
            <w:r>
              <w:rPr>
                <w:rFonts w:ascii="仿宋_GB2312" w:hAnsi="仿宋_GB2312" w:cs="仿宋_GB2312" w:eastAsia="仿宋_GB2312"/>
                <w:sz w:val="18"/>
                <w:b/>
              </w:rPr>
              <w:t>注：以上带“★”号的技术参数条款为本次采购项目的实质性要求，不允许负偏离，否则按无效处理。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合同签订之日起10个日历天内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采购人指定地点，中标供应商按照采购的要求配送至指定地点，经采购人初步验收，若货物未达到采购人的要求，采购人有权拒收货物。</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1付款条件：签订合同后全部货物按时提供至指定地点初步验收合格后，达到该付款条件起30个工作日内，支付合同总金额的50.00%</w:t>
            </w:r>
          </w:p>
          <w:p>
            <w:pPr>
              <w:pStyle w:val="null3"/>
              <w:jc w:val="left"/>
            </w:pPr>
            <w:r>
              <w:rPr>
                <w:rFonts w:ascii="仿宋_GB2312" w:hAnsi="仿宋_GB2312" w:cs="仿宋_GB2312" w:eastAsia="仿宋_GB2312"/>
              </w:rPr>
              <w:t>2付款条件：货物样本经采购人送有资质的检验机构检测相关指标合格后，达到该付款条件起30个工作日内，支付合同总金额的30.00%</w:t>
            </w:r>
          </w:p>
          <w:p>
            <w:pPr>
              <w:pStyle w:val="null3"/>
              <w:jc w:val="left"/>
            </w:pPr>
            <w:r>
              <w:rPr>
                <w:rFonts w:ascii="仿宋_GB2312" w:hAnsi="仿宋_GB2312" w:cs="仿宋_GB2312" w:eastAsia="仿宋_GB2312"/>
              </w:rPr>
              <w:t>3付款条件：剩余合同价款至2027年5月底后无重大问题，达到该付款条件起30个工作日内，支付合同总金额的20.00%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履约完成后10日内由中标人提出验收申请，采购人在接到中标人验收申请后10日内自行组织一次性验收。采购人将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本项目不涉及</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按照采购合同约定执行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服务应答表,投标（响应）函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投标人须提供所投产品“复合肥”有效的《全国工业产品生产许可证》和备案证明资料</w:t>
            </w:r>
          </w:p>
        </w:tc>
        <w:tc>
          <w:tcPr>
            <w:tcW w:type="dxa" w:w="3322"/>
          </w:tcPr>
          <w:p>
            <w:pPr>
              <w:pStyle w:val="null3"/>
              <w:jc w:val="left"/>
            </w:pPr>
            <w:r>
              <w:rPr>
                <w:rFonts w:ascii="仿宋_GB2312" w:hAnsi="仿宋_GB2312" w:cs="仿宋_GB2312" w:eastAsia="仿宋_GB2312"/>
              </w:rPr>
              <w:t>投标人须提供所投产品“复合肥”有效的《全国工业产品生产许可证》和备案证明资料</w:t>
            </w:r>
          </w:p>
        </w:tc>
        <w:tc>
          <w:tcPr>
            <w:tcW w:type="dxa" w:w="1661"/>
          </w:tcPr>
          <w:p>
            <w:pPr>
              <w:pStyle w:val="null3"/>
              <w:jc w:val="left"/>
            </w:pPr>
            <w:r>
              <w:rPr>
                <w:rFonts w:ascii="仿宋_GB2312" w:hAnsi="仿宋_GB2312" w:cs="仿宋_GB2312" w:eastAsia="仿宋_GB2312"/>
              </w:rPr>
              <w:t>产品技术参数响应表,供应商应提交的相关证明材料,投标（响应）函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有效性、完整性和响应程度审查</w:t>
            </w:r>
          </w:p>
        </w:tc>
        <w:tc>
          <w:tcPr>
            <w:tcW w:type="dxa" w:w="3322"/>
          </w:tcPr>
          <w:p>
            <w:pPr>
              <w:pStyle w:val="null3"/>
              <w:jc w:val="left"/>
            </w:pPr>
            <w:r>
              <w:rPr>
                <w:rFonts w:ascii="仿宋_GB2312" w:hAnsi="仿宋_GB2312" w:cs="仿宋_GB2312" w:eastAsia="仿宋_GB2312"/>
              </w:rPr>
              <w:t>供应商完全满足谈判文件的实质性要求。（未要求提供证明材料的，供应商响应即可；要求单独提供证明材料的，未单独提供相关证明材料视为无效响应）</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