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0A83B196">
      <w:pPr>
        <w:spacing w:line="360" w:lineRule="auto"/>
        <w:jc w:val="center"/>
        <w:rPr>
          <w:rFonts w:hint="eastAsia" w:asciiTheme="minorEastAsia" w:hAnsiTheme="minorEastAsia" w:eastAsiaTheme="minorEastAsia"/>
          <w:color w:val="auto"/>
          <w:sz w:val="24"/>
          <w:szCs w:val="24"/>
          <w:highlight w:val="none"/>
          <w:lang w:eastAsia="zh-CN"/>
        </w:rPr>
      </w:pPr>
      <w:r>
        <w:rPr>
          <w:rFonts w:hint="eastAsia" w:asciiTheme="majorEastAsia" w:hAnsiTheme="majorEastAsia" w:eastAsiaTheme="majorEastAsia"/>
          <w:b/>
          <w:bCs/>
          <w:color w:val="auto"/>
          <w:sz w:val="44"/>
          <w:szCs w:val="44"/>
          <w:highlight w:val="none"/>
          <w:lang w:eastAsia="zh-CN"/>
        </w:rPr>
        <w:t>滇池底泥处理处置与城市固废协同治理与循环利用应用示范项目监理服务</w:t>
      </w:r>
    </w:p>
    <w:p w14:paraId="7940854E">
      <w:pPr>
        <w:spacing w:line="360" w:lineRule="auto"/>
        <w:jc w:val="center"/>
        <w:rPr>
          <w:rFonts w:hint="eastAsia" w:asciiTheme="minorEastAsia" w:hAnsiTheme="minorEastAsia" w:eastAsiaTheme="minorEastAsia"/>
          <w:color w:val="auto"/>
          <w:sz w:val="24"/>
          <w:szCs w:val="24"/>
          <w:highlight w:val="none"/>
        </w:rPr>
      </w:pPr>
    </w:p>
    <w:p w14:paraId="3B46FBEB">
      <w:pPr>
        <w:spacing w:line="360" w:lineRule="auto"/>
        <w:jc w:val="center"/>
        <w:rPr>
          <w:rFonts w:hint="eastAsia" w:asciiTheme="minorEastAsia" w:hAnsiTheme="minorEastAsia" w:eastAsiaTheme="minorEastAsia"/>
          <w:color w:val="auto"/>
          <w:sz w:val="24"/>
          <w:szCs w:val="24"/>
          <w:highlight w:val="none"/>
        </w:rPr>
      </w:pPr>
    </w:p>
    <w:p w14:paraId="2D3B4681">
      <w:pPr>
        <w:spacing w:line="360" w:lineRule="auto"/>
        <w:jc w:val="center"/>
        <w:rPr>
          <w:rFonts w:hint="eastAsia" w:asciiTheme="minorEastAsia" w:hAnsiTheme="minorEastAsia" w:eastAsiaTheme="minorEastAsia"/>
          <w:color w:val="auto"/>
          <w:sz w:val="24"/>
          <w:szCs w:val="24"/>
          <w:highlight w:val="none"/>
        </w:rPr>
      </w:pPr>
    </w:p>
    <w:p w14:paraId="560C9E6D">
      <w:pPr>
        <w:spacing w:line="360" w:lineRule="auto"/>
        <w:jc w:val="center"/>
        <w:rPr>
          <w:rFonts w:asciiTheme="minorEastAsia" w:hAnsiTheme="minorEastAsia" w:eastAsiaTheme="minorEastAsia"/>
          <w:color w:val="auto"/>
          <w:sz w:val="24"/>
          <w:szCs w:val="24"/>
          <w:highlight w:val="none"/>
        </w:rPr>
      </w:pPr>
    </w:p>
    <w:p w14:paraId="58C9C052">
      <w:pPr>
        <w:spacing w:line="360" w:lineRule="auto"/>
        <w:jc w:val="center"/>
        <w:rPr>
          <w:rFonts w:asciiTheme="minorEastAsia" w:hAnsiTheme="minorEastAsia" w:eastAsiaTheme="minorEastAsia"/>
          <w:color w:val="auto"/>
          <w:sz w:val="24"/>
          <w:szCs w:val="24"/>
          <w:highlight w:val="none"/>
        </w:rPr>
      </w:pPr>
    </w:p>
    <w:p w14:paraId="197D93B2">
      <w:pPr>
        <w:spacing w:line="360" w:lineRule="auto"/>
        <w:jc w:val="center"/>
        <w:rPr>
          <w:rFonts w:hint="eastAsia" w:asciiTheme="minorEastAsia" w:hAnsiTheme="minorEastAsia" w:eastAsiaTheme="minorEastAsia"/>
          <w:color w:val="auto"/>
          <w:sz w:val="24"/>
          <w:szCs w:val="24"/>
          <w:highlight w:val="none"/>
        </w:rPr>
      </w:pPr>
    </w:p>
    <w:p w14:paraId="5CA00323">
      <w:pPr>
        <w:pStyle w:val="28"/>
        <w:jc w:val="center"/>
        <w:rPr>
          <w:rFonts w:hint="eastAsia" w:asciiTheme="minorEastAsia" w:hAnsiTheme="minorEastAsia" w:eastAsiaTheme="minorEastAsia"/>
          <w:b/>
          <w:bCs/>
          <w:color w:val="auto"/>
          <w:sz w:val="72"/>
          <w:szCs w:val="72"/>
          <w:highlight w:val="none"/>
        </w:rPr>
      </w:pPr>
      <w:r>
        <w:rPr>
          <w:rFonts w:hint="eastAsia" w:asciiTheme="minorEastAsia" w:hAnsiTheme="minorEastAsia" w:eastAsiaTheme="minorEastAsia"/>
          <w:b/>
          <w:bCs/>
          <w:color w:val="auto"/>
          <w:sz w:val="72"/>
          <w:szCs w:val="72"/>
          <w:highlight w:val="none"/>
        </w:rPr>
        <w:t>采 购 文 件</w:t>
      </w:r>
    </w:p>
    <w:p w14:paraId="01A53A7F">
      <w:pPr>
        <w:spacing w:before="120" w:beforeLines="50" w:line="360" w:lineRule="auto"/>
        <w:jc w:val="center"/>
        <w:rPr>
          <w:rFonts w:hint="eastAsia" w:asciiTheme="minorEastAsia" w:hAnsiTheme="minorEastAsia" w:eastAsiaTheme="minorEastAsia"/>
          <w:b/>
          <w:color w:val="auto"/>
          <w:sz w:val="32"/>
          <w:szCs w:val="32"/>
          <w:highlight w:val="none"/>
          <w:lang w:eastAsia="zh-CN"/>
        </w:rPr>
      </w:pPr>
      <w:r>
        <w:rPr>
          <w:rFonts w:hint="eastAsia" w:asciiTheme="minorEastAsia" w:hAnsiTheme="minorEastAsia" w:eastAsiaTheme="minorEastAsia"/>
          <w:b/>
          <w:color w:val="auto"/>
          <w:sz w:val="32"/>
          <w:szCs w:val="32"/>
          <w:highlight w:val="none"/>
        </w:rPr>
        <w:t>项目编号：</w:t>
      </w:r>
      <w:r>
        <w:rPr>
          <w:rFonts w:hint="eastAsia" w:asciiTheme="minorEastAsia" w:hAnsiTheme="minorEastAsia" w:eastAsiaTheme="minorEastAsia"/>
          <w:b/>
          <w:color w:val="auto"/>
          <w:sz w:val="32"/>
          <w:szCs w:val="32"/>
          <w:highlight w:val="none"/>
          <w:lang w:eastAsia="zh-CN"/>
        </w:rPr>
        <w:t>KMZC2025-C3-01859-YNYG-0024</w:t>
      </w:r>
    </w:p>
    <w:p w14:paraId="3AC1D960">
      <w:pPr>
        <w:spacing w:line="360" w:lineRule="auto"/>
        <w:jc w:val="center"/>
        <w:rPr>
          <w:rFonts w:hint="eastAsia" w:asciiTheme="minorEastAsia" w:hAnsiTheme="minorEastAsia" w:eastAsiaTheme="minorEastAsia"/>
          <w:b/>
          <w:color w:val="auto"/>
          <w:sz w:val="32"/>
          <w:szCs w:val="32"/>
          <w:highlight w:val="none"/>
        </w:rPr>
      </w:pPr>
    </w:p>
    <w:p w14:paraId="39BD1D68">
      <w:pPr>
        <w:spacing w:line="360" w:lineRule="auto"/>
        <w:jc w:val="center"/>
        <w:rPr>
          <w:rFonts w:hint="eastAsia" w:asciiTheme="minorEastAsia" w:hAnsiTheme="minorEastAsia" w:eastAsiaTheme="minorEastAsia"/>
          <w:color w:val="auto"/>
          <w:sz w:val="24"/>
          <w:szCs w:val="24"/>
          <w:highlight w:val="none"/>
        </w:rPr>
      </w:pPr>
    </w:p>
    <w:p w14:paraId="271DE271">
      <w:pPr>
        <w:tabs>
          <w:tab w:val="left" w:pos="5190"/>
        </w:tabs>
        <w:spacing w:line="360" w:lineRule="auto"/>
        <w:jc w:val="center"/>
        <w:rPr>
          <w:rFonts w:hint="eastAsia" w:asciiTheme="minorEastAsia" w:hAnsiTheme="minorEastAsia" w:eastAsiaTheme="minorEastAsia"/>
          <w:color w:val="auto"/>
          <w:sz w:val="24"/>
          <w:szCs w:val="24"/>
          <w:highlight w:val="none"/>
        </w:rPr>
      </w:pPr>
    </w:p>
    <w:p w14:paraId="4520B514">
      <w:pPr>
        <w:tabs>
          <w:tab w:val="left" w:pos="5190"/>
        </w:tabs>
        <w:spacing w:line="360" w:lineRule="auto"/>
        <w:jc w:val="center"/>
        <w:rPr>
          <w:rFonts w:hint="eastAsia" w:asciiTheme="minorEastAsia" w:hAnsiTheme="minorEastAsia" w:eastAsiaTheme="minorEastAsia"/>
          <w:color w:val="auto"/>
          <w:sz w:val="24"/>
          <w:szCs w:val="24"/>
          <w:highlight w:val="none"/>
        </w:rPr>
      </w:pPr>
    </w:p>
    <w:p w14:paraId="12CF92B1">
      <w:pPr>
        <w:tabs>
          <w:tab w:val="left" w:pos="5190"/>
        </w:tabs>
        <w:spacing w:line="360" w:lineRule="auto"/>
        <w:jc w:val="center"/>
        <w:rPr>
          <w:rFonts w:hint="eastAsia" w:asciiTheme="minorEastAsia" w:hAnsiTheme="minorEastAsia" w:eastAsiaTheme="minorEastAsia"/>
          <w:color w:val="auto"/>
          <w:sz w:val="24"/>
          <w:szCs w:val="24"/>
          <w:highlight w:val="none"/>
        </w:rPr>
      </w:pPr>
    </w:p>
    <w:p w14:paraId="403B3C49">
      <w:pPr>
        <w:pStyle w:val="67"/>
        <w:rPr>
          <w:rFonts w:eastAsiaTheme="minorEastAsia"/>
          <w:color w:val="auto"/>
          <w:highlight w:val="none"/>
        </w:rPr>
      </w:pPr>
    </w:p>
    <w:p w14:paraId="3B8487E6">
      <w:pPr>
        <w:pStyle w:val="67"/>
        <w:rPr>
          <w:rFonts w:eastAsiaTheme="minorEastAsia"/>
          <w:color w:val="auto"/>
          <w:highlight w:val="none"/>
        </w:rPr>
      </w:pPr>
    </w:p>
    <w:p w14:paraId="665E520D">
      <w:pPr>
        <w:pStyle w:val="67"/>
        <w:ind w:left="0"/>
        <w:rPr>
          <w:rFonts w:eastAsiaTheme="minorEastAsia"/>
          <w:color w:val="auto"/>
          <w:highlight w:val="none"/>
        </w:rPr>
      </w:pPr>
    </w:p>
    <w:p w14:paraId="4B7EB236">
      <w:pPr>
        <w:tabs>
          <w:tab w:val="left" w:pos="5190"/>
        </w:tabs>
        <w:spacing w:line="360" w:lineRule="auto"/>
        <w:jc w:val="center"/>
        <w:rPr>
          <w:rFonts w:hint="eastAsia" w:asciiTheme="minorEastAsia" w:hAnsiTheme="minorEastAsia" w:eastAsiaTheme="minorEastAsia"/>
          <w:color w:val="auto"/>
          <w:sz w:val="24"/>
          <w:szCs w:val="24"/>
          <w:highlight w:val="none"/>
        </w:rPr>
      </w:pPr>
    </w:p>
    <w:p w14:paraId="56879443">
      <w:pPr>
        <w:pStyle w:val="67"/>
        <w:rPr>
          <w:rFonts w:eastAsiaTheme="minorEastAsia"/>
          <w:color w:val="auto"/>
          <w:highlight w:val="none"/>
        </w:rPr>
      </w:pPr>
    </w:p>
    <w:p w14:paraId="2A4FB598">
      <w:pPr>
        <w:spacing w:line="480" w:lineRule="auto"/>
        <w:ind w:firstLine="1205" w:firstLineChars="400"/>
        <w:rPr>
          <w:rFonts w:hint="eastAsia" w:asciiTheme="minorEastAsia" w:hAnsiTheme="minorEastAsia" w:eastAsiaTheme="minorEastAsia"/>
          <w:b/>
          <w:color w:val="auto"/>
          <w:sz w:val="30"/>
          <w:szCs w:val="30"/>
          <w:highlight w:val="none"/>
          <w:lang w:eastAsia="zh-CN"/>
        </w:rPr>
      </w:pPr>
      <w:r>
        <w:rPr>
          <w:rFonts w:hint="eastAsia" w:asciiTheme="minorEastAsia" w:hAnsiTheme="minorEastAsia" w:eastAsiaTheme="minorEastAsia"/>
          <w:b/>
          <w:color w:val="auto"/>
          <w:sz w:val="30"/>
          <w:szCs w:val="30"/>
          <w:highlight w:val="none"/>
        </w:rPr>
        <w:t>采</w:t>
      </w:r>
      <w:r>
        <w:rPr>
          <w:rFonts w:hint="eastAsia" w:asciiTheme="minorEastAsia" w:hAnsiTheme="minorEastAsia" w:eastAsiaTheme="minorEastAsia"/>
          <w:b/>
          <w:color w:val="auto"/>
          <w:sz w:val="30"/>
          <w:szCs w:val="30"/>
          <w:highlight w:val="none"/>
          <w:lang w:val="en-US" w:eastAsia="zh-CN"/>
        </w:rPr>
        <w:t xml:space="preserve">   </w:t>
      </w:r>
      <w:r>
        <w:rPr>
          <w:rFonts w:hint="eastAsia" w:asciiTheme="minorEastAsia" w:hAnsiTheme="minorEastAsia" w:eastAsiaTheme="minorEastAsia"/>
          <w:b/>
          <w:color w:val="auto"/>
          <w:sz w:val="30"/>
          <w:szCs w:val="30"/>
          <w:highlight w:val="none"/>
        </w:rPr>
        <w:t>购</w:t>
      </w:r>
      <w:r>
        <w:rPr>
          <w:rFonts w:hint="eastAsia" w:asciiTheme="minorEastAsia" w:hAnsiTheme="minorEastAsia" w:eastAsiaTheme="minorEastAsia"/>
          <w:b/>
          <w:color w:val="auto"/>
          <w:sz w:val="30"/>
          <w:szCs w:val="30"/>
          <w:highlight w:val="none"/>
          <w:lang w:val="en-US" w:eastAsia="zh-CN"/>
        </w:rPr>
        <w:t xml:space="preserve">  </w:t>
      </w:r>
      <w:r>
        <w:rPr>
          <w:rFonts w:hint="eastAsia" w:asciiTheme="minorEastAsia" w:hAnsiTheme="minorEastAsia" w:eastAsiaTheme="minorEastAsia"/>
          <w:b/>
          <w:color w:val="auto"/>
          <w:sz w:val="30"/>
          <w:szCs w:val="30"/>
          <w:highlight w:val="none"/>
        </w:rPr>
        <w:t>人：</w:t>
      </w:r>
      <w:r>
        <w:rPr>
          <w:rFonts w:hint="eastAsia" w:asciiTheme="minorEastAsia" w:hAnsiTheme="minorEastAsia" w:eastAsiaTheme="minorEastAsia"/>
          <w:b/>
          <w:color w:val="auto"/>
          <w:sz w:val="30"/>
          <w:szCs w:val="30"/>
          <w:highlight w:val="none"/>
          <w:lang w:eastAsia="zh-CN"/>
        </w:rPr>
        <w:t>昆明市滇池高原湖泊研究院</w:t>
      </w:r>
    </w:p>
    <w:p w14:paraId="4EF6473C">
      <w:pPr>
        <w:spacing w:line="480" w:lineRule="auto"/>
        <w:ind w:firstLine="1205" w:firstLineChars="400"/>
        <w:rPr>
          <w:rFonts w:hint="eastAsia" w:asciiTheme="minorEastAsia" w:hAnsiTheme="minorEastAsia" w:eastAsiaTheme="minorEastAsia"/>
          <w:b/>
          <w:color w:val="auto"/>
          <w:sz w:val="30"/>
          <w:szCs w:val="30"/>
          <w:highlight w:val="none"/>
          <w:lang w:eastAsia="zh-CN"/>
        </w:rPr>
      </w:pPr>
      <w:r>
        <w:rPr>
          <w:rFonts w:hint="eastAsia" w:asciiTheme="minorEastAsia" w:hAnsiTheme="minorEastAsia" w:eastAsiaTheme="minorEastAsia"/>
          <w:b/>
          <w:color w:val="auto"/>
          <w:sz w:val="30"/>
          <w:szCs w:val="30"/>
          <w:highlight w:val="none"/>
        </w:rPr>
        <w:t>采购代理机构：</w:t>
      </w:r>
      <w:r>
        <w:rPr>
          <w:rFonts w:hint="eastAsia" w:asciiTheme="minorEastAsia" w:hAnsiTheme="minorEastAsia" w:eastAsiaTheme="minorEastAsia"/>
          <w:b/>
          <w:color w:val="auto"/>
          <w:sz w:val="30"/>
          <w:szCs w:val="30"/>
          <w:highlight w:val="none"/>
          <w:lang w:eastAsia="zh-CN"/>
        </w:rPr>
        <w:t>云南燕国工程咨询有限公司</w:t>
      </w:r>
    </w:p>
    <w:p w14:paraId="5917996B">
      <w:pPr>
        <w:ind w:firstLine="198"/>
        <w:jc w:val="center"/>
        <w:rPr>
          <w:rFonts w:hint="eastAsia" w:asciiTheme="minorEastAsia" w:hAnsiTheme="minorEastAsia" w:eastAsiaTheme="minorEastAsia"/>
          <w:b/>
          <w:color w:val="auto"/>
          <w:sz w:val="30"/>
          <w:szCs w:val="30"/>
          <w:highlight w:val="none"/>
        </w:rPr>
      </w:pPr>
      <w:r>
        <w:rPr>
          <w:rFonts w:hint="eastAsia" w:asciiTheme="minorEastAsia" w:hAnsiTheme="minorEastAsia" w:eastAsiaTheme="minorEastAsia"/>
          <w:b/>
          <w:color w:val="auto"/>
          <w:sz w:val="30"/>
          <w:szCs w:val="30"/>
          <w:highlight w:val="none"/>
        </w:rPr>
        <w:t>2025年7月</w:t>
      </w:r>
    </w:p>
    <w:p w14:paraId="0E1E3270">
      <w:pPr>
        <w:spacing w:line="360" w:lineRule="auto"/>
        <w:ind w:firstLine="2554" w:firstLineChars="795"/>
        <w:rPr>
          <w:rFonts w:hint="eastAsia" w:asciiTheme="minorEastAsia" w:hAnsiTheme="minorEastAsia" w:eastAsiaTheme="minorEastAsia"/>
          <w:b/>
          <w:color w:val="auto"/>
          <w:sz w:val="32"/>
          <w:szCs w:val="32"/>
          <w:highlight w:val="none"/>
        </w:rPr>
        <w:sectPr>
          <w:headerReference r:id="rId3" w:type="default"/>
          <w:footerReference r:id="rId5" w:type="default"/>
          <w:headerReference r:id="rId4" w:type="even"/>
          <w:footerReference r:id="rId6" w:type="even"/>
          <w:pgSz w:w="11906" w:h="16838"/>
          <w:pgMar w:top="1440" w:right="1474" w:bottom="1440" w:left="1474" w:header="851" w:footer="851" w:gutter="0"/>
          <w:cols w:space="720" w:num="1"/>
          <w:titlePg/>
          <w:docGrid w:linePitch="312" w:charSpace="0"/>
        </w:sectPr>
      </w:pPr>
    </w:p>
    <w:p w14:paraId="473DB54D">
      <w:pPr>
        <w:pStyle w:val="45"/>
        <w:tabs>
          <w:tab w:val="right" w:leader="dot" w:pos="9736"/>
        </w:tabs>
        <w:spacing w:line="360" w:lineRule="auto"/>
        <w:jc w:val="center"/>
        <w:rPr>
          <w:rFonts w:hint="eastAsia" w:asciiTheme="minorEastAsia" w:hAnsiTheme="minorEastAsia" w:eastAsiaTheme="minorEastAsia"/>
          <w:b/>
          <w:bCs/>
          <w:color w:val="auto"/>
          <w:sz w:val="28"/>
          <w:szCs w:val="28"/>
          <w:highlight w:val="none"/>
        </w:rPr>
      </w:pPr>
      <w:bookmarkStart w:id="0" w:name="_Toc458763736"/>
      <w:bookmarkStart w:id="1" w:name="_Toc37603093"/>
      <w:bookmarkStart w:id="2" w:name="_Hlk521320756"/>
      <w:r>
        <w:rPr>
          <w:rFonts w:hint="eastAsia" w:asciiTheme="minorEastAsia" w:hAnsiTheme="minorEastAsia" w:eastAsiaTheme="minorEastAsia"/>
          <w:b/>
          <w:bCs/>
          <w:color w:val="auto"/>
          <w:sz w:val="28"/>
          <w:szCs w:val="28"/>
          <w:highlight w:val="none"/>
        </w:rPr>
        <w:t>目 录</w:t>
      </w:r>
    </w:p>
    <w:bookmarkEnd w:id="0"/>
    <w:bookmarkEnd w:id="1"/>
    <w:p w14:paraId="256137FF">
      <w:pPr>
        <w:pStyle w:val="31"/>
        <w:tabs>
          <w:tab w:val="right" w:leader="dot" w:pos="8948"/>
        </w:tabs>
        <w:spacing w:before="0" w:after="0" w:line="480" w:lineRule="auto"/>
        <w:rPr>
          <w:rFonts w:hint="eastAsia" w:ascii="宋体" w:hAnsi="宋体" w:eastAsia="宋体" w:cs="宋体"/>
          <w:b w:val="0"/>
          <w:bCs w:val="0"/>
          <w:caps w:val="0"/>
          <w:color w:val="auto"/>
          <w:sz w:val="21"/>
          <w:szCs w:val="21"/>
          <w:highlight w:val="none"/>
        </w:rPr>
      </w:pPr>
      <w:bookmarkStart w:id="3" w:name="_Toc28359011"/>
      <w:bookmarkStart w:id="4" w:name="_Toc35393797"/>
      <w:bookmarkStart w:id="5" w:name="_Hlk9513089"/>
      <w:r>
        <w:rPr>
          <w:rStyle w:val="62"/>
          <w:rFonts w:hint="eastAsia" w:ascii="宋体" w:hAnsi="宋体" w:eastAsia="宋体" w:cs="宋体"/>
          <w:color w:val="auto"/>
          <w:sz w:val="21"/>
          <w:szCs w:val="21"/>
          <w:highlight w:val="none"/>
        </w:rPr>
        <w:fldChar w:fldCharType="begin"/>
      </w:r>
      <w:r>
        <w:rPr>
          <w:rStyle w:val="62"/>
          <w:rFonts w:hint="eastAsia" w:ascii="宋体" w:hAnsi="宋体" w:eastAsia="宋体" w:cs="宋体"/>
          <w:b w:val="0"/>
          <w:bCs w:val="0"/>
          <w:color w:val="auto"/>
          <w:sz w:val="21"/>
          <w:szCs w:val="21"/>
          <w:highlight w:val="none"/>
        </w:rPr>
        <w:instrText xml:space="preserve"> TOC \o "1-2" \h \z \u </w:instrText>
      </w:r>
      <w:r>
        <w:rPr>
          <w:rStyle w:val="62"/>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"_Toc158233411" </w:instrText>
      </w:r>
      <w:r>
        <w:rPr>
          <w:rFonts w:hint="eastAsia" w:ascii="宋体" w:hAnsi="宋体" w:eastAsia="宋体" w:cs="宋体"/>
          <w:color w:val="auto"/>
          <w:sz w:val="21"/>
          <w:szCs w:val="21"/>
          <w:highlight w:val="none"/>
        </w:rPr>
        <w:fldChar w:fldCharType="separate"/>
      </w:r>
      <w:r>
        <w:rPr>
          <w:rStyle w:val="62"/>
          <w:rFonts w:hint="eastAsia" w:ascii="宋体" w:hAnsi="宋体" w:eastAsia="宋体" w:cs="宋体"/>
          <w:b w:val="0"/>
          <w:color w:val="auto"/>
          <w:sz w:val="21"/>
          <w:szCs w:val="21"/>
          <w:highlight w:val="none"/>
        </w:rPr>
        <w:t>第一章 竞争性磋商公告</w:t>
      </w:r>
      <w:r>
        <w:rPr>
          <w:rFonts w:hint="eastAsia" w:ascii="宋体" w:hAnsi="宋体" w:eastAsia="宋体" w:cs="宋体"/>
          <w:b w:val="0"/>
          <w:color w:val="auto"/>
          <w:sz w:val="21"/>
          <w:szCs w:val="21"/>
          <w:highlight w:val="none"/>
        </w:rPr>
        <w:tab/>
      </w:r>
      <w:r>
        <w:rPr>
          <w:rFonts w:hint="eastAsia" w:ascii="宋体" w:hAnsi="宋体" w:eastAsia="宋体" w:cs="宋体"/>
          <w:b w:val="0"/>
          <w:color w:val="auto"/>
          <w:sz w:val="21"/>
          <w:szCs w:val="21"/>
          <w:highlight w:val="none"/>
        </w:rPr>
        <w:fldChar w:fldCharType="begin"/>
      </w:r>
      <w:r>
        <w:rPr>
          <w:rFonts w:hint="eastAsia" w:ascii="宋体" w:hAnsi="宋体" w:eastAsia="宋体" w:cs="宋体"/>
          <w:b w:val="0"/>
          <w:color w:val="auto"/>
          <w:sz w:val="21"/>
          <w:szCs w:val="21"/>
          <w:highlight w:val="none"/>
        </w:rPr>
        <w:instrText xml:space="preserve"> PAGEREF _Toc158233411 \h </w:instrText>
      </w:r>
      <w:r>
        <w:rPr>
          <w:rFonts w:hint="eastAsia" w:ascii="宋体" w:hAnsi="宋体" w:eastAsia="宋体" w:cs="宋体"/>
          <w:b w:val="0"/>
          <w:color w:val="auto"/>
          <w:sz w:val="21"/>
          <w:szCs w:val="21"/>
          <w:highlight w:val="none"/>
        </w:rPr>
        <w:fldChar w:fldCharType="separate"/>
      </w:r>
      <w:r>
        <w:rPr>
          <w:rFonts w:hint="eastAsia" w:ascii="宋体" w:hAnsi="宋体" w:eastAsia="宋体" w:cs="宋体"/>
          <w:b w:val="0"/>
          <w:color w:val="auto"/>
          <w:sz w:val="21"/>
          <w:szCs w:val="21"/>
          <w:highlight w:val="none"/>
        </w:rPr>
        <w:t>3</w:t>
      </w:r>
      <w:r>
        <w:rPr>
          <w:rFonts w:hint="eastAsia" w:ascii="宋体" w:hAnsi="宋体" w:eastAsia="宋体" w:cs="宋体"/>
          <w:b w:val="0"/>
          <w:color w:val="auto"/>
          <w:sz w:val="21"/>
          <w:szCs w:val="21"/>
          <w:highlight w:val="none"/>
        </w:rPr>
        <w:fldChar w:fldCharType="end"/>
      </w:r>
      <w:r>
        <w:rPr>
          <w:rFonts w:hint="eastAsia" w:ascii="宋体" w:hAnsi="宋体" w:eastAsia="宋体" w:cs="宋体"/>
          <w:b w:val="0"/>
          <w:color w:val="auto"/>
          <w:sz w:val="21"/>
          <w:szCs w:val="21"/>
          <w:highlight w:val="none"/>
        </w:rPr>
        <w:fldChar w:fldCharType="end"/>
      </w:r>
    </w:p>
    <w:p w14:paraId="1DADF021">
      <w:pPr>
        <w:pStyle w:val="31"/>
        <w:tabs>
          <w:tab w:val="right" w:leader="dot" w:pos="8948"/>
        </w:tabs>
        <w:spacing w:before="0" w:after="0" w:line="480" w:lineRule="auto"/>
        <w:rPr>
          <w:rFonts w:hint="eastAsia" w:ascii="宋体" w:hAnsi="宋体" w:eastAsia="宋体" w:cs="宋体"/>
          <w:b w:val="0"/>
          <w:bCs w:val="0"/>
          <w:caps w:val="0"/>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"_Toc158233412" </w:instrText>
      </w:r>
      <w:r>
        <w:rPr>
          <w:rFonts w:hint="eastAsia" w:ascii="宋体" w:hAnsi="宋体" w:eastAsia="宋体" w:cs="宋体"/>
          <w:color w:val="auto"/>
          <w:sz w:val="21"/>
          <w:szCs w:val="21"/>
          <w:highlight w:val="none"/>
        </w:rPr>
        <w:fldChar w:fldCharType="separate"/>
      </w:r>
      <w:r>
        <w:rPr>
          <w:rStyle w:val="62"/>
          <w:rFonts w:hint="eastAsia" w:ascii="宋体" w:hAnsi="宋体" w:eastAsia="宋体" w:cs="宋体"/>
          <w:b w:val="0"/>
          <w:color w:val="auto"/>
          <w:sz w:val="21"/>
          <w:szCs w:val="21"/>
          <w:highlight w:val="none"/>
        </w:rPr>
        <w:t>第二章 供应商须知</w:t>
      </w:r>
      <w:r>
        <w:rPr>
          <w:rFonts w:hint="eastAsia" w:ascii="宋体" w:hAnsi="宋体" w:eastAsia="宋体" w:cs="宋体"/>
          <w:b w:val="0"/>
          <w:color w:val="auto"/>
          <w:sz w:val="21"/>
          <w:szCs w:val="21"/>
          <w:highlight w:val="none"/>
        </w:rPr>
        <w:tab/>
      </w:r>
      <w:r>
        <w:rPr>
          <w:rFonts w:hint="eastAsia" w:ascii="宋体" w:hAnsi="宋体" w:eastAsia="宋体" w:cs="宋体"/>
          <w:b w:val="0"/>
          <w:color w:val="auto"/>
          <w:sz w:val="21"/>
          <w:szCs w:val="21"/>
          <w:highlight w:val="none"/>
        </w:rPr>
        <w:fldChar w:fldCharType="begin"/>
      </w:r>
      <w:r>
        <w:rPr>
          <w:rFonts w:hint="eastAsia" w:ascii="宋体" w:hAnsi="宋体" w:eastAsia="宋体" w:cs="宋体"/>
          <w:b w:val="0"/>
          <w:color w:val="auto"/>
          <w:sz w:val="21"/>
          <w:szCs w:val="21"/>
          <w:highlight w:val="none"/>
        </w:rPr>
        <w:instrText xml:space="preserve"> PAGEREF _Toc158233412 \h </w:instrText>
      </w:r>
      <w:r>
        <w:rPr>
          <w:rFonts w:hint="eastAsia" w:ascii="宋体" w:hAnsi="宋体" w:eastAsia="宋体" w:cs="宋体"/>
          <w:b w:val="0"/>
          <w:color w:val="auto"/>
          <w:sz w:val="21"/>
          <w:szCs w:val="21"/>
          <w:highlight w:val="none"/>
        </w:rPr>
        <w:fldChar w:fldCharType="separate"/>
      </w:r>
      <w:r>
        <w:rPr>
          <w:rFonts w:hint="eastAsia" w:ascii="宋体" w:hAnsi="宋体" w:eastAsia="宋体" w:cs="宋体"/>
          <w:b w:val="0"/>
          <w:color w:val="auto"/>
          <w:sz w:val="21"/>
          <w:szCs w:val="21"/>
          <w:highlight w:val="none"/>
        </w:rPr>
        <w:t>7</w:t>
      </w:r>
      <w:r>
        <w:rPr>
          <w:rFonts w:hint="eastAsia" w:ascii="宋体" w:hAnsi="宋体" w:eastAsia="宋体" w:cs="宋体"/>
          <w:b w:val="0"/>
          <w:color w:val="auto"/>
          <w:sz w:val="21"/>
          <w:szCs w:val="21"/>
          <w:highlight w:val="none"/>
        </w:rPr>
        <w:fldChar w:fldCharType="end"/>
      </w:r>
      <w:r>
        <w:rPr>
          <w:rFonts w:hint="eastAsia" w:ascii="宋体" w:hAnsi="宋体" w:eastAsia="宋体" w:cs="宋体"/>
          <w:b w:val="0"/>
          <w:color w:val="auto"/>
          <w:sz w:val="21"/>
          <w:szCs w:val="21"/>
          <w:highlight w:val="none"/>
        </w:rPr>
        <w:fldChar w:fldCharType="end"/>
      </w:r>
    </w:p>
    <w:p w14:paraId="34E1E832">
      <w:pPr>
        <w:pStyle w:val="45"/>
        <w:tabs>
          <w:tab w:val="right" w:leader="dot" w:pos="8948"/>
        </w:tabs>
        <w:spacing w:line="480" w:lineRule="auto"/>
        <w:rPr>
          <w:rFonts w:hint="eastAsia" w:ascii="宋体" w:hAnsi="宋体" w:eastAsia="宋体" w:cs="宋体"/>
          <w:smallCaps w:val="0"/>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"_Toc158233413" </w:instrText>
      </w:r>
      <w:r>
        <w:rPr>
          <w:rFonts w:hint="eastAsia" w:ascii="宋体" w:hAnsi="宋体" w:eastAsia="宋体" w:cs="宋体"/>
          <w:color w:val="auto"/>
          <w:sz w:val="21"/>
          <w:szCs w:val="21"/>
          <w:highlight w:val="none"/>
        </w:rPr>
        <w:fldChar w:fldCharType="separate"/>
      </w:r>
      <w:r>
        <w:rPr>
          <w:rStyle w:val="62"/>
          <w:rFonts w:hint="eastAsia" w:ascii="宋体" w:hAnsi="宋体" w:eastAsia="宋体" w:cs="宋体"/>
          <w:color w:val="auto"/>
          <w:sz w:val="21"/>
          <w:szCs w:val="21"/>
          <w:highlight w:val="none"/>
        </w:rPr>
        <w:t>一、供应商须知前附表</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_Toc158233413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5995A792">
      <w:pPr>
        <w:pStyle w:val="45"/>
        <w:tabs>
          <w:tab w:val="right" w:leader="dot" w:pos="8948"/>
        </w:tabs>
        <w:spacing w:line="480" w:lineRule="auto"/>
        <w:rPr>
          <w:rFonts w:hint="eastAsia" w:ascii="宋体" w:hAnsi="宋体" w:eastAsia="宋体" w:cs="宋体"/>
          <w:smallCaps w:val="0"/>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"_Toc158233414" </w:instrText>
      </w:r>
      <w:r>
        <w:rPr>
          <w:rFonts w:hint="eastAsia" w:ascii="宋体" w:hAnsi="宋体" w:eastAsia="宋体" w:cs="宋体"/>
          <w:color w:val="auto"/>
          <w:sz w:val="21"/>
          <w:szCs w:val="21"/>
          <w:highlight w:val="none"/>
        </w:rPr>
        <w:fldChar w:fldCharType="separate"/>
      </w:r>
      <w:r>
        <w:rPr>
          <w:rStyle w:val="62"/>
          <w:rFonts w:hint="eastAsia" w:ascii="宋体" w:hAnsi="宋体" w:eastAsia="宋体" w:cs="宋体"/>
          <w:color w:val="auto"/>
          <w:sz w:val="21"/>
          <w:szCs w:val="21"/>
          <w:highlight w:val="none"/>
        </w:rPr>
        <w:t>二、供应商须知正文部分</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_Toc158233414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14</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5D4A6AF9">
      <w:pPr>
        <w:pStyle w:val="31"/>
        <w:tabs>
          <w:tab w:val="right" w:leader="dot" w:pos="8948"/>
        </w:tabs>
        <w:spacing w:before="0" w:after="0" w:line="480" w:lineRule="auto"/>
        <w:rPr>
          <w:rFonts w:hint="eastAsia" w:ascii="宋体" w:hAnsi="宋体" w:eastAsia="宋体" w:cs="宋体"/>
          <w:b w:val="0"/>
          <w:bCs w:val="0"/>
          <w:caps w:val="0"/>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"_Toc158233415" </w:instrText>
      </w:r>
      <w:r>
        <w:rPr>
          <w:rFonts w:hint="eastAsia" w:ascii="宋体" w:hAnsi="宋体" w:eastAsia="宋体" w:cs="宋体"/>
          <w:color w:val="auto"/>
          <w:sz w:val="21"/>
          <w:szCs w:val="21"/>
          <w:highlight w:val="none"/>
        </w:rPr>
        <w:fldChar w:fldCharType="separate"/>
      </w:r>
      <w:r>
        <w:rPr>
          <w:rStyle w:val="62"/>
          <w:rFonts w:hint="eastAsia" w:ascii="宋体" w:hAnsi="宋体" w:eastAsia="宋体" w:cs="宋体"/>
          <w:b w:val="0"/>
          <w:color w:val="auto"/>
          <w:sz w:val="21"/>
          <w:szCs w:val="21"/>
          <w:highlight w:val="none"/>
        </w:rPr>
        <w:t>第三章 合同条款及格式</w:t>
      </w:r>
      <w:r>
        <w:rPr>
          <w:rFonts w:hint="eastAsia" w:ascii="宋体" w:hAnsi="宋体" w:eastAsia="宋体" w:cs="宋体"/>
          <w:b w:val="0"/>
          <w:color w:val="auto"/>
          <w:sz w:val="21"/>
          <w:szCs w:val="21"/>
          <w:highlight w:val="none"/>
        </w:rPr>
        <w:tab/>
      </w:r>
      <w:r>
        <w:rPr>
          <w:rFonts w:hint="eastAsia" w:ascii="宋体" w:hAnsi="宋体" w:eastAsia="宋体" w:cs="宋体"/>
          <w:b w:val="0"/>
          <w:color w:val="auto"/>
          <w:sz w:val="21"/>
          <w:szCs w:val="21"/>
          <w:highlight w:val="none"/>
        </w:rPr>
        <w:fldChar w:fldCharType="begin"/>
      </w:r>
      <w:r>
        <w:rPr>
          <w:rFonts w:hint="eastAsia" w:ascii="宋体" w:hAnsi="宋体" w:eastAsia="宋体" w:cs="宋体"/>
          <w:b w:val="0"/>
          <w:color w:val="auto"/>
          <w:sz w:val="21"/>
          <w:szCs w:val="21"/>
          <w:highlight w:val="none"/>
        </w:rPr>
        <w:instrText xml:space="preserve"> PAGEREF _Toc158233415 \h </w:instrText>
      </w:r>
      <w:r>
        <w:rPr>
          <w:rFonts w:hint="eastAsia" w:ascii="宋体" w:hAnsi="宋体" w:eastAsia="宋体" w:cs="宋体"/>
          <w:b w:val="0"/>
          <w:color w:val="auto"/>
          <w:sz w:val="21"/>
          <w:szCs w:val="21"/>
          <w:highlight w:val="none"/>
        </w:rPr>
        <w:fldChar w:fldCharType="separate"/>
      </w:r>
      <w:r>
        <w:rPr>
          <w:rFonts w:hint="eastAsia" w:ascii="宋体" w:hAnsi="宋体" w:eastAsia="宋体" w:cs="宋体"/>
          <w:b w:val="0"/>
          <w:color w:val="auto"/>
          <w:sz w:val="21"/>
          <w:szCs w:val="21"/>
          <w:highlight w:val="none"/>
        </w:rPr>
        <w:t>22</w:t>
      </w:r>
      <w:r>
        <w:rPr>
          <w:rFonts w:hint="eastAsia" w:ascii="宋体" w:hAnsi="宋体" w:eastAsia="宋体" w:cs="宋体"/>
          <w:b w:val="0"/>
          <w:color w:val="auto"/>
          <w:sz w:val="21"/>
          <w:szCs w:val="21"/>
          <w:highlight w:val="none"/>
        </w:rPr>
        <w:fldChar w:fldCharType="end"/>
      </w:r>
      <w:r>
        <w:rPr>
          <w:rFonts w:hint="eastAsia" w:ascii="宋体" w:hAnsi="宋体" w:eastAsia="宋体" w:cs="宋体"/>
          <w:b w:val="0"/>
          <w:color w:val="auto"/>
          <w:sz w:val="21"/>
          <w:szCs w:val="21"/>
          <w:highlight w:val="none"/>
        </w:rPr>
        <w:fldChar w:fldCharType="end"/>
      </w:r>
    </w:p>
    <w:p w14:paraId="0AF6B19F">
      <w:pPr>
        <w:pStyle w:val="31"/>
        <w:tabs>
          <w:tab w:val="right" w:leader="dot" w:pos="8948"/>
        </w:tabs>
        <w:spacing w:before="0" w:after="0" w:line="480" w:lineRule="auto"/>
        <w:rPr>
          <w:rFonts w:hint="eastAsia" w:ascii="宋体" w:hAnsi="宋体" w:eastAsia="宋体" w:cs="宋体"/>
          <w:b w:val="0"/>
          <w:bCs w:val="0"/>
          <w:caps w:val="0"/>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"_Toc158233416" </w:instrText>
      </w:r>
      <w:r>
        <w:rPr>
          <w:rFonts w:hint="eastAsia" w:ascii="宋体" w:hAnsi="宋体" w:eastAsia="宋体" w:cs="宋体"/>
          <w:color w:val="auto"/>
          <w:sz w:val="21"/>
          <w:szCs w:val="21"/>
          <w:highlight w:val="none"/>
        </w:rPr>
        <w:fldChar w:fldCharType="separate"/>
      </w:r>
      <w:r>
        <w:rPr>
          <w:rStyle w:val="62"/>
          <w:rFonts w:hint="eastAsia" w:ascii="宋体" w:hAnsi="宋体" w:eastAsia="宋体" w:cs="宋体"/>
          <w:b w:val="0"/>
          <w:color w:val="auto"/>
          <w:sz w:val="21"/>
          <w:szCs w:val="21"/>
          <w:highlight w:val="none"/>
        </w:rPr>
        <w:t>第四章 响应文件格式</w:t>
      </w:r>
      <w:r>
        <w:rPr>
          <w:rFonts w:hint="eastAsia" w:ascii="宋体" w:hAnsi="宋体" w:eastAsia="宋体" w:cs="宋体"/>
          <w:b w:val="0"/>
          <w:color w:val="auto"/>
          <w:sz w:val="21"/>
          <w:szCs w:val="21"/>
          <w:highlight w:val="none"/>
        </w:rPr>
        <w:tab/>
      </w:r>
      <w:r>
        <w:rPr>
          <w:rFonts w:hint="eastAsia" w:ascii="宋体" w:hAnsi="宋体" w:eastAsia="宋体" w:cs="宋体"/>
          <w:b w:val="0"/>
          <w:color w:val="auto"/>
          <w:sz w:val="21"/>
          <w:szCs w:val="21"/>
          <w:highlight w:val="none"/>
        </w:rPr>
        <w:fldChar w:fldCharType="begin"/>
      </w:r>
      <w:r>
        <w:rPr>
          <w:rFonts w:hint="eastAsia" w:ascii="宋体" w:hAnsi="宋体" w:eastAsia="宋体" w:cs="宋体"/>
          <w:b w:val="0"/>
          <w:color w:val="auto"/>
          <w:sz w:val="21"/>
          <w:szCs w:val="21"/>
          <w:highlight w:val="none"/>
        </w:rPr>
        <w:instrText xml:space="preserve"> PAGEREF _Toc158233416 \h </w:instrText>
      </w:r>
      <w:r>
        <w:rPr>
          <w:rFonts w:hint="eastAsia" w:ascii="宋体" w:hAnsi="宋体" w:eastAsia="宋体" w:cs="宋体"/>
          <w:b w:val="0"/>
          <w:color w:val="auto"/>
          <w:sz w:val="21"/>
          <w:szCs w:val="21"/>
          <w:highlight w:val="none"/>
        </w:rPr>
        <w:fldChar w:fldCharType="separate"/>
      </w:r>
      <w:r>
        <w:rPr>
          <w:rFonts w:hint="eastAsia" w:ascii="宋体" w:hAnsi="宋体" w:eastAsia="宋体" w:cs="宋体"/>
          <w:b w:val="0"/>
          <w:color w:val="auto"/>
          <w:sz w:val="21"/>
          <w:szCs w:val="21"/>
          <w:highlight w:val="none"/>
        </w:rPr>
        <w:t>22</w:t>
      </w:r>
      <w:r>
        <w:rPr>
          <w:rFonts w:hint="eastAsia" w:ascii="宋体" w:hAnsi="宋体" w:eastAsia="宋体" w:cs="宋体"/>
          <w:b w:val="0"/>
          <w:color w:val="auto"/>
          <w:sz w:val="21"/>
          <w:szCs w:val="21"/>
          <w:highlight w:val="none"/>
        </w:rPr>
        <w:fldChar w:fldCharType="end"/>
      </w:r>
      <w:r>
        <w:rPr>
          <w:rFonts w:hint="eastAsia" w:ascii="宋体" w:hAnsi="宋体" w:eastAsia="宋体" w:cs="宋体"/>
          <w:b w:val="0"/>
          <w:color w:val="auto"/>
          <w:sz w:val="21"/>
          <w:szCs w:val="21"/>
          <w:highlight w:val="none"/>
        </w:rPr>
        <w:fldChar w:fldCharType="end"/>
      </w:r>
    </w:p>
    <w:p w14:paraId="3508C81A">
      <w:pPr>
        <w:pStyle w:val="45"/>
        <w:tabs>
          <w:tab w:val="right" w:leader="dot" w:pos="8948"/>
        </w:tabs>
        <w:spacing w:line="480" w:lineRule="auto"/>
        <w:rPr>
          <w:rFonts w:hint="eastAsia" w:ascii="宋体" w:hAnsi="宋体" w:eastAsia="宋体" w:cs="宋体"/>
          <w:smallCaps w:val="0"/>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"_Toc158233417" </w:instrText>
      </w:r>
      <w:r>
        <w:rPr>
          <w:rFonts w:hint="eastAsia" w:ascii="宋体" w:hAnsi="宋体" w:eastAsia="宋体" w:cs="宋体"/>
          <w:color w:val="auto"/>
          <w:sz w:val="21"/>
          <w:szCs w:val="21"/>
          <w:highlight w:val="none"/>
        </w:rPr>
        <w:fldChar w:fldCharType="separate"/>
      </w:r>
      <w:r>
        <w:rPr>
          <w:rStyle w:val="62"/>
          <w:rFonts w:hint="eastAsia" w:ascii="宋体" w:hAnsi="宋体" w:eastAsia="宋体" w:cs="宋体"/>
          <w:color w:val="auto"/>
          <w:sz w:val="21"/>
          <w:szCs w:val="21"/>
          <w:highlight w:val="none"/>
        </w:rPr>
        <w:t>一、资格文件</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_Toc158233417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40</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2CF14EC9">
      <w:pPr>
        <w:pStyle w:val="45"/>
        <w:tabs>
          <w:tab w:val="right" w:leader="dot" w:pos="8948"/>
        </w:tabs>
        <w:spacing w:line="480" w:lineRule="auto"/>
        <w:rPr>
          <w:rFonts w:hint="eastAsia" w:ascii="宋体" w:hAnsi="宋体" w:eastAsia="宋体" w:cs="宋体"/>
          <w:smallCaps w:val="0"/>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"_Toc158233418" </w:instrText>
      </w:r>
      <w:r>
        <w:rPr>
          <w:rFonts w:hint="eastAsia" w:ascii="宋体" w:hAnsi="宋体" w:eastAsia="宋体" w:cs="宋体"/>
          <w:color w:val="auto"/>
          <w:sz w:val="21"/>
          <w:szCs w:val="21"/>
          <w:highlight w:val="none"/>
        </w:rPr>
        <w:fldChar w:fldCharType="separate"/>
      </w:r>
      <w:r>
        <w:rPr>
          <w:rStyle w:val="62"/>
          <w:rFonts w:hint="eastAsia" w:ascii="宋体" w:hAnsi="宋体" w:eastAsia="宋体" w:cs="宋体"/>
          <w:color w:val="auto"/>
          <w:sz w:val="21"/>
          <w:szCs w:val="21"/>
          <w:highlight w:val="none"/>
        </w:rPr>
        <w:t>二、商务报价文件</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_Toc158233418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45</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4068377B">
      <w:pPr>
        <w:pStyle w:val="45"/>
        <w:tabs>
          <w:tab w:val="right" w:leader="dot" w:pos="8948"/>
        </w:tabs>
        <w:spacing w:line="480" w:lineRule="auto"/>
        <w:rPr>
          <w:rFonts w:hint="eastAsia" w:ascii="宋体" w:hAnsi="宋体" w:eastAsia="宋体" w:cs="宋体"/>
          <w:smallCaps w:val="0"/>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"_Toc158233419" </w:instrText>
      </w:r>
      <w:r>
        <w:rPr>
          <w:rFonts w:hint="eastAsia" w:ascii="宋体" w:hAnsi="宋体" w:eastAsia="宋体" w:cs="宋体"/>
          <w:color w:val="auto"/>
          <w:sz w:val="21"/>
          <w:szCs w:val="21"/>
          <w:highlight w:val="none"/>
        </w:rPr>
        <w:fldChar w:fldCharType="separate"/>
      </w:r>
      <w:r>
        <w:rPr>
          <w:rStyle w:val="62"/>
          <w:rFonts w:hint="eastAsia" w:ascii="宋体" w:hAnsi="宋体" w:eastAsia="宋体" w:cs="宋体"/>
          <w:color w:val="auto"/>
          <w:sz w:val="21"/>
          <w:szCs w:val="21"/>
          <w:highlight w:val="none"/>
        </w:rPr>
        <w:t>三、技术文件</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_Toc158233419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56</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792547F1">
      <w:pPr>
        <w:pStyle w:val="31"/>
        <w:tabs>
          <w:tab w:val="right" w:leader="dot" w:pos="8948"/>
        </w:tabs>
        <w:spacing w:before="0" w:after="0" w:line="480" w:lineRule="auto"/>
        <w:rPr>
          <w:rFonts w:hint="eastAsia" w:ascii="宋体" w:hAnsi="宋体" w:eastAsia="宋体" w:cs="宋体"/>
          <w:b w:val="0"/>
          <w:bCs w:val="0"/>
          <w:caps w:val="0"/>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"_Toc158233420" </w:instrText>
      </w:r>
      <w:r>
        <w:rPr>
          <w:rFonts w:hint="eastAsia" w:ascii="宋体" w:hAnsi="宋体" w:eastAsia="宋体" w:cs="宋体"/>
          <w:color w:val="auto"/>
          <w:sz w:val="21"/>
          <w:szCs w:val="21"/>
          <w:highlight w:val="none"/>
        </w:rPr>
        <w:fldChar w:fldCharType="separate"/>
      </w:r>
      <w:r>
        <w:rPr>
          <w:rStyle w:val="62"/>
          <w:rFonts w:hint="eastAsia" w:ascii="宋体" w:hAnsi="宋体" w:eastAsia="宋体" w:cs="宋体"/>
          <w:b w:val="0"/>
          <w:color w:val="auto"/>
          <w:sz w:val="21"/>
          <w:szCs w:val="21"/>
          <w:highlight w:val="none"/>
        </w:rPr>
        <w:t>第五章 采购需求</w:t>
      </w:r>
      <w:r>
        <w:rPr>
          <w:rFonts w:hint="eastAsia" w:ascii="宋体" w:hAnsi="宋体" w:eastAsia="宋体" w:cs="宋体"/>
          <w:b w:val="0"/>
          <w:color w:val="auto"/>
          <w:sz w:val="21"/>
          <w:szCs w:val="21"/>
          <w:highlight w:val="none"/>
        </w:rPr>
        <w:tab/>
      </w:r>
      <w:r>
        <w:rPr>
          <w:rFonts w:hint="eastAsia" w:ascii="宋体" w:hAnsi="宋体" w:eastAsia="宋体" w:cs="宋体"/>
          <w:b w:val="0"/>
          <w:color w:val="auto"/>
          <w:sz w:val="21"/>
          <w:szCs w:val="21"/>
          <w:highlight w:val="none"/>
        </w:rPr>
        <w:fldChar w:fldCharType="begin"/>
      </w:r>
      <w:r>
        <w:rPr>
          <w:rFonts w:hint="eastAsia" w:ascii="宋体" w:hAnsi="宋体" w:eastAsia="宋体" w:cs="宋体"/>
          <w:b w:val="0"/>
          <w:color w:val="auto"/>
          <w:sz w:val="21"/>
          <w:szCs w:val="21"/>
          <w:highlight w:val="none"/>
        </w:rPr>
        <w:instrText xml:space="preserve"> PAGEREF _Toc158233420 \h </w:instrText>
      </w:r>
      <w:r>
        <w:rPr>
          <w:rFonts w:hint="eastAsia" w:ascii="宋体" w:hAnsi="宋体" w:eastAsia="宋体" w:cs="宋体"/>
          <w:b w:val="0"/>
          <w:color w:val="auto"/>
          <w:sz w:val="21"/>
          <w:szCs w:val="21"/>
          <w:highlight w:val="none"/>
        </w:rPr>
        <w:fldChar w:fldCharType="separate"/>
      </w:r>
      <w:r>
        <w:rPr>
          <w:rFonts w:hint="eastAsia" w:ascii="宋体" w:hAnsi="宋体" w:eastAsia="宋体" w:cs="宋体"/>
          <w:b w:val="0"/>
          <w:color w:val="auto"/>
          <w:sz w:val="21"/>
          <w:szCs w:val="21"/>
          <w:highlight w:val="none"/>
        </w:rPr>
        <w:t>61</w:t>
      </w:r>
      <w:r>
        <w:rPr>
          <w:rFonts w:hint="eastAsia" w:ascii="宋体" w:hAnsi="宋体" w:eastAsia="宋体" w:cs="宋体"/>
          <w:b w:val="0"/>
          <w:color w:val="auto"/>
          <w:sz w:val="21"/>
          <w:szCs w:val="21"/>
          <w:highlight w:val="none"/>
        </w:rPr>
        <w:fldChar w:fldCharType="end"/>
      </w:r>
      <w:r>
        <w:rPr>
          <w:rFonts w:hint="eastAsia" w:ascii="宋体" w:hAnsi="宋体" w:eastAsia="宋体" w:cs="宋体"/>
          <w:b w:val="0"/>
          <w:color w:val="auto"/>
          <w:sz w:val="21"/>
          <w:szCs w:val="21"/>
          <w:highlight w:val="none"/>
        </w:rPr>
        <w:fldChar w:fldCharType="end"/>
      </w:r>
    </w:p>
    <w:p w14:paraId="2645D5B9">
      <w:pPr>
        <w:pStyle w:val="31"/>
        <w:tabs>
          <w:tab w:val="right" w:leader="dot" w:pos="8948"/>
        </w:tabs>
        <w:spacing w:before="0" w:after="0" w:line="480" w:lineRule="auto"/>
        <w:rPr>
          <w:rFonts w:hint="eastAsia" w:ascii="宋体" w:hAnsi="宋体" w:eastAsia="宋体" w:cs="宋体"/>
          <w:b w:val="0"/>
          <w:bCs w:val="0"/>
          <w:caps w:val="0"/>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"_Toc158233421" </w:instrText>
      </w:r>
      <w:r>
        <w:rPr>
          <w:rFonts w:hint="eastAsia" w:ascii="宋体" w:hAnsi="宋体" w:eastAsia="宋体" w:cs="宋体"/>
          <w:color w:val="auto"/>
          <w:sz w:val="21"/>
          <w:szCs w:val="21"/>
          <w:highlight w:val="none"/>
        </w:rPr>
        <w:fldChar w:fldCharType="separate"/>
      </w:r>
      <w:r>
        <w:rPr>
          <w:rStyle w:val="62"/>
          <w:rFonts w:hint="eastAsia" w:ascii="宋体" w:hAnsi="宋体" w:eastAsia="宋体" w:cs="宋体"/>
          <w:b w:val="0"/>
          <w:color w:val="auto"/>
          <w:sz w:val="21"/>
          <w:szCs w:val="21"/>
          <w:highlight w:val="none"/>
        </w:rPr>
        <w:t>第六章 评审办法（综合评分法）</w:t>
      </w:r>
      <w:r>
        <w:rPr>
          <w:rFonts w:hint="eastAsia" w:ascii="宋体" w:hAnsi="宋体" w:eastAsia="宋体" w:cs="宋体"/>
          <w:b w:val="0"/>
          <w:color w:val="auto"/>
          <w:sz w:val="21"/>
          <w:szCs w:val="21"/>
          <w:highlight w:val="none"/>
        </w:rPr>
        <w:tab/>
      </w:r>
      <w:r>
        <w:rPr>
          <w:rFonts w:hint="eastAsia" w:ascii="宋体" w:hAnsi="宋体" w:eastAsia="宋体" w:cs="宋体"/>
          <w:b w:val="0"/>
          <w:color w:val="auto"/>
          <w:sz w:val="21"/>
          <w:szCs w:val="21"/>
          <w:highlight w:val="none"/>
        </w:rPr>
        <w:fldChar w:fldCharType="begin"/>
      </w:r>
      <w:r>
        <w:rPr>
          <w:rFonts w:hint="eastAsia" w:ascii="宋体" w:hAnsi="宋体" w:eastAsia="宋体" w:cs="宋体"/>
          <w:b w:val="0"/>
          <w:color w:val="auto"/>
          <w:sz w:val="21"/>
          <w:szCs w:val="21"/>
          <w:highlight w:val="none"/>
        </w:rPr>
        <w:instrText xml:space="preserve"> PAGEREF _Toc158233421 \h </w:instrText>
      </w:r>
      <w:r>
        <w:rPr>
          <w:rFonts w:hint="eastAsia" w:ascii="宋体" w:hAnsi="宋体" w:eastAsia="宋体" w:cs="宋体"/>
          <w:b w:val="0"/>
          <w:color w:val="auto"/>
          <w:sz w:val="21"/>
          <w:szCs w:val="21"/>
          <w:highlight w:val="none"/>
        </w:rPr>
        <w:fldChar w:fldCharType="separate"/>
      </w:r>
      <w:r>
        <w:rPr>
          <w:rFonts w:hint="eastAsia" w:ascii="宋体" w:hAnsi="宋体" w:eastAsia="宋体" w:cs="宋体"/>
          <w:b w:val="0"/>
          <w:color w:val="auto"/>
          <w:sz w:val="21"/>
          <w:szCs w:val="21"/>
          <w:highlight w:val="none"/>
        </w:rPr>
        <w:t>63</w:t>
      </w:r>
      <w:r>
        <w:rPr>
          <w:rFonts w:hint="eastAsia" w:ascii="宋体" w:hAnsi="宋体" w:eastAsia="宋体" w:cs="宋体"/>
          <w:b w:val="0"/>
          <w:color w:val="auto"/>
          <w:sz w:val="21"/>
          <w:szCs w:val="21"/>
          <w:highlight w:val="none"/>
        </w:rPr>
        <w:fldChar w:fldCharType="end"/>
      </w:r>
      <w:r>
        <w:rPr>
          <w:rFonts w:hint="eastAsia" w:ascii="宋体" w:hAnsi="宋体" w:eastAsia="宋体" w:cs="宋体"/>
          <w:b w:val="0"/>
          <w:color w:val="auto"/>
          <w:sz w:val="21"/>
          <w:szCs w:val="21"/>
          <w:highlight w:val="none"/>
        </w:rPr>
        <w:fldChar w:fldCharType="end"/>
      </w:r>
    </w:p>
    <w:p w14:paraId="6024E6B5">
      <w:pPr>
        <w:pStyle w:val="45"/>
        <w:tabs>
          <w:tab w:val="right" w:leader="dot" w:pos="8948"/>
        </w:tabs>
        <w:spacing w:line="480" w:lineRule="auto"/>
        <w:rPr>
          <w:rFonts w:hint="eastAsia" w:ascii="宋体" w:hAnsi="宋体" w:eastAsia="宋体" w:cs="宋体"/>
          <w:smallCaps w:val="0"/>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"_Toc158233422" </w:instrText>
      </w:r>
      <w:r>
        <w:rPr>
          <w:rFonts w:hint="eastAsia" w:ascii="宋体" w:hAnsi="宋体" w:eastAsia="宋体" w:cs="宋体"/>
          <w:color w:val="auto"/>
          <w:sz w:val="21"/>
          <w:szCs w:val="21"/>
          <w:highlight w:val="none"/>
        </w:rPr>
        <w:fldChar w:fldCharType="separate"/>
      </w:r>
      <w:r>
        <w:rPr>
          <w:rStyle w:val="62"/>
          <w:rFonts w:hint="eastAsia" w:ascii="宋体" w:hAnsi="宋体" w:eastAsia="宋体" w:cs="宋体"/>
          <w:bCs/>
          <w:color w:val="auto"/>
          <w:sz w:val="21"/>
          <w:szCs w:val="21"/>
          <w:highlight w:val="none"/>
        </w:rPr>
        <w:t>一、评审办法前附表</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_Toc158233422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64</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02B3990E">
      <w:pPr>
        <w:pStyle w:val="45"/>
        <w:tabs>
          <w:tab w:val="right" w:leader="dot" w:pos="8948"/>
        </w:tabs>
        <w:spacing w:line="480" w:lineRule="auto"/>
        <w:rPr>
          <w:rFonts w:hint="eastAsia" w:ascii="宋体" w:hAnsi="宋体" w:eastAsia="宋体" w:cs="宋体"/>
          <w:smallCaps w:val="0"/>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"_Toc158233423" </w:instrText>
      </w:r>
      <w:r>
        <w:rPr>
          <w:rFonts w:hint="eastAsia" w:ascii="宋体" w:hAnsi="宋体" w:eastAsia="宋体" w:cs="宋体"/>
          <w:color w:val="auto"/>
          <w:sz w:val="21"/>
          <w:szCs w:val="21"/>
          <w:highlight w:val="none"/>
        </w:rPr>
        <w:fldChar w:fldCharType="separate"/>
      </w:r>
      <w:r>
        <w:rPr>
          <w:rStyle w:val="62"/>
          <w:rFonts w:hint="eastAsia" w:ascii="宋体" w:hAnsi="宋体" w:eastAsia="宋体" w:cs="宋体"/>
          <w:color w:val="auto"/>
          <w:sz w:val="21"/>
          <w:szCs w:val="21"/>
          <w:highlight w:val="none"/>
        </w:rPr>
        <w:t>二、评审办法正文部分</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_Toc158233423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67</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3F0365C2">
      <w:pPr>
        <w:pStyle w:val="31"/>
        <w:tabs>
          <w:tab w:val="right" w:leader="dot" w:pos="8948"/>
        </w:tabs>
        <w:spacing w:before="0" w:after="0" w:line="480" w:lineRule="auto"/>
        <w:rPr>
          <w:rFonts w:hint="eastAsia" w:asciiTheme="minorEastAsia" w:hAnsiTheme="minorEastAsia" w:eastAsiaTheme="minorEastAsia" w:cstheme="minorEastAsia"/>
          <w:smallCaps/>
          <w:color w:val="auto"/>
          <w:szCs w:val="21"/>
          <w:highlight w:val="none"/>
        </w:rPr>
      </w:pPr>
      <w:r>
        <w:rPr>
          <w:rFonts w:hint="eastAsia" w:ascii="宋体" w:hAnsi="宋体" w:eastAsia="宋体" w:cs="宋体"/>
          <w:b w:val="0"/>
          <w:bCs w:val="0"/>
          <w:color w:val="auto"/>
          <w:sz w:val="21"/>
          <w:szCs w:val="21"/>
          <w:highlight w:val="none"/>
        </w:rPr>
        <w:fldChar w:fldCharType="end"/>
      </w:r>
      <w:r>
        <w:rPr>
          <w:rFonts w:hint="eastAsia" w:asciiTheme="minorEastAsia" w:hAnsiTheme="minorEastAsia" w:eastAsiaTheme="minorEastAsia" w:cstheme="minorEastAsia"/>
          <w:color w:val="auto"/>
          <w:szCs w:val="21"/>
          <w:highlight w:val="none"/>
        </w:rPr>
        <w:br w:type="page"/>
      </w:r>
    </w:p>
    <w:p w14:paraId="00639BC0">
      <w:pPr>
        <w:pStyle w:val="45"/>
        <w:tabs>
          <w:tab w:val="right" w:leader="dot" w:pos="8948"/>
        </w:tabs>
        <w:spacing w:line="360" w:lineRule="auto"/>
        <w:ind w:left="0"/>
        <w:jc w:val="center"/>
        <w:outlineLvl w:val="0"/>
        <w:rPr>
          <w:rFonts w:hint="eastAsia" w:asciiTheme="minorEastAsia" w:hAnsiTheme="minorEastAsia" w:eastAsiaTheme="minorEastAsia"/>
          <w:b/>
          <w:bCs/>
          <w:color w:val="auto"/>
          <w:sz w:val="32"/>
          <w:szCs w:val="32"/>
          <w:highlight w:val="none"/>
        </w:rPr>
      </w:pPr>
      <w:bookmarkStart w:id="6" w:name="_Toc158233411"/>
      <w:r>
        <w:rPr>
          <w:rFonts w:hint="eastAsia" w:asciiTheme="minorEastAsia" w:hAnsiTheme="minorEastAsia" w:eastAsiaTheme="minorEastAsia"/>
          <w:b/>
          <w:bCs/>
          <w:color w:val="auto"/>
          <w:sz w:val="32"/>
          <w:szCs w:val="32"/>
          <w:highlight w:val="none"/>
        </w:rPr>
        <w:t xml:space="preserve">第一章 </w:t>
      </w:r>
      <w:bookmarkStart w:id="7" w:name="_Hlk69293590"/>
      <w:r>
        <w:rPr>
          <w:rFonts w:hint="eastAsia" w:asciiTheme="minorEastAsia" w:hAnsiTheme="minorEastAsia" w:eastAsiaTheme="minorEastAsia"/>
          <w:b/>
          <w:bCs/>
          <w:color w:val="auto"/>
          <w:sz w:val="32"/>
          <w:szCs w:val="32"/>
          <w:highlight w:val="none"/>
        </w:rPr>
        <w:t>竞争性磋商公告</w:t>
      </w:r>
      <w:bookmarkEnd w:id="3"/>
      <w:bookmarkEnd w:id="4"/>
      <w:bookmarkEnd w:id="6"/>
    </w:p>
    <w:p w14:paraId="085AB7D2">
      <w:pPr>
        <w:pBdr>
          <w:top w:val="single" w:color="auto" w:sz="4" w:space="4"/>
          <w:left w:val="single" w:color="auto" w:sz="4" w:space="0"/>
          <w:bottom w:val="single" w:color="auto" w:sz="4" w:space="1"/>
          <w:right w:val="single" w:color="auto" w:sz="4" w:space="0"/>
        </w:pBd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项目概况</w:t>
      </w:r>
    </w:p>
    <w:p w14:paraId="1B4AA712">
      <w:pPr>
        <w:pBdr>
          <w:top w:val="single" w:color="auto" w:sz="4" w:space="4"/>
          <w:left w:val="single" w:color="auto" w:sz="4" w:space="0"/>
          <w:bottom w:val="single" w:color="auto" w:sz="4" w:space="1"/>
          <w:right w:val="single" w:color="auto" w:sz="4" w:space="0"/>
        </w:pBdr>
        <w:wordWrap w:val="0"/>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u w:val="single"/>
          <w:lang w:eastAsia="zh-CN"/>
        </w:rPr>
        <w:t>滇池底泥处理处置与城市固废协同治理与循环利用应用示范项目监理服务</w:t>
      </w:r>
      <w:r>
        <w:rPr>
          <w:rFonts w:hint="eastAsia" w:asciiTheme="minorEastAsia" w:hAnsiTheme="minorEastAsia" w:eastAsiaTheme="minorEastAsia"/>
          <w:color w:val="auto"/>
          <w:szCs w:val="21"/>
          <w:highlight w:val="none"/>
        </w:rPr>
        <w:t>采购项目的潜在供应商应在</w:t>
      </w:r>
      <w:r>
        <w:rPr>
          <w:rFonts w:hint="eastAsia" w:asciiTheme="minorEastAsia" w:hAnsiTheme="minorEastAsia" w:eastAsiaTheme="minorEastAsia"/>
          <w:color w:val="auto"/>
          <w:szCs w:val="21"/>
          <w:highlight w:val="none"/>
          <w:u w:val="single"/>
        </w:rPr>
        <w:t>政府采购云平台（网址:</w:t>
      </w:r>
      <w:r>
        <w:rPr>
          <w:rFonts w:asciiTheme="minorEastAsia" w:hAnsiTheme="minorEastAsia" w:eastAsiaTheme="minorEastAsia"/>
          <w:color w:val="auto"/>
          <w:szCs w:val="21"/>
          <w:highlight w:val="none"/>
          <w:u w:val="single"/>
        </w:rPr>
        <w:t>https://www.zcygov.cn/</w:t>
      </w:r>
      <w:r>
        <w:rPr>
          <w:rFonts w:hint="eastAsia" w:asciiTheme="minorEastAsia" w:hAnsiTheme="minorEastAsia" w:eastAsiaTheme="minorEastAsia"/>
          <w:color w:val="auto"/>
          <w:szCs w:val="21"/>
          <w:highlight w:val="none"/>
          <w:u w:val="single"/>
        </w:rPr>
        <w:t>）</w:t>
      </w:r>
      <w:r>
        <w:rPr>
          <w:rFonts w:hint="eastAsia" w:asciiTheme="minorEastAsia" w:hAnsiTheme="minorEastAsia" w:eastAsiaTheme="minorEastAsia"/>
          <w:color w:val="auto"/>
          <w:szCs w:val="21"/>
          <w:highlight w:val="none"/>
        </w:rPr>
        <w:t>获取采购文件，并于</w:t>
      </w:r>
      <w:r>
        <w:rPr>
          <w:rFonts w:hint="eastAsia" w:asciiTheme="minorEastAsia" w:hAnsiTheme="minorEastAsia" w:eastAsiaTheme="minorEastAsia"/>
          <w:color w:val="auto"/>
          <w:szCs w:val="21"/>
          <w:highlight w:val="none"/>
          <w:u w:val="single"/>
          <w:lang w:val="en-US" w:eastAsia="zh-CN"/>
        </w:rPr>
        <w:t>2025年08月13日14:00</w:t>
      </w:r>
      <w:r>
        <w:rPr>
          <w:rFonts w:hint="eastAsia" w:asciiTheme="minorEastAsia" w:hAnsiTheme="minorEastAsia" w:eastAsiaTheme="minorEastAsia"/>
          <w:color w:val="auto"/>
          <w:szCs w:val="21"/>
          <w:highlight w:val="none"/>
        </w:rPr>
        <w:t>（北京时间）</w:t>
      </w:r>
      <w:r>
        <w:rPr>
          <w:rFonts w:hint="eastAsia" w:asciiTheme="minorEastAsia" w:hAnsiTheme="minorEastAsia" w:eastAsiaTheme="minorEastAsia"/>
          <w:color w:val="auto"/>
          <w:szCs w:val="21"/>
          <w:highlight w:val="none"/>
        </w:rPr>
        <w:t>前提交响应文件。</w:t>
      </w:r>
    </w:p>
    <w:p w14:paraId="19F80CBD">
      <w:pPr>
        <w:spacing w:before="156" w:beforeLines="50" w:line="360" w:lineRule="auto"/>
        <w:rPr>
          <w:rFonts w:hint="eastAsia" w:asciiTheme="minorEastAsia" w:hAnsiTheme="minorEastAsia" w:eastAsiaTheme="minorEastAsia"/>
          <w:b/>
          <w:bCs/>
          <w:color w:val="auto"/>
          <w:sz w:val="24"/>
          <w:szCs w:val="24"/>
          <w:highlight w:val="none"/>
        </w:rPr>
      </w:pPr>
      <w:bookmarkStart w:id="8" w:name="_Toc28359012"/>
      <w:bookmarkStart w:id="9" w:name="_Toc109809289"/>
      <w:bookmarkStart w:id="10" w:name="_Toc45976872"/>
      <w:bookmarkStart w:id="11" w:name="_Toc53412193"/>
      <w:bookmarkStart w:id="12" w:name="_Toc98033911"/>
      <w:bookmarkStart w:id="13" w:name="_Toc87538346"/>
      <w:bookmarkStart w:id="14" w:name="_Toc35393629"/>
      <w:bookmarkStart w:id="15" w:name="_Toc83753869"/>
      <w:bookmarkStart w:id="16" w:name="_Toc35393798"/>
      <w:bookmarkStart w:id="17" w:name="_Toc69678406"/>
      <w:bookmarkStart w:id="18" w:name="_Toc87543795"/>
      <w:bookmarkStart w:id="19" w:name="_Toc28359089"/>
      <w:bookmarkStart w:id="20" w:name="_Toc45791325"/>
      <w:bookmarkStart w:id="21" w:name="_Toc98864988"/>
      <w:bookmarkStart w:id="22" w:name="_Toc84356229"/>
      <w:r>
        <w:rPr>
          <w:rFonts w:hint="eastAsia" w:asciiTheme="minorEastAsia" w:hAnsiTheme="minorEastAsia" w:eastAsiaTheme="minorEastAsia"/>
          <w:b/>
          <w:bCs/>
          <w:color w:val="auto"/>
          <w:sz w:val="24"/>
          <w:szCs w:val="24"/>
          <w:highlight w:val="none"/>
        </w:rPr>
        <w:t>一、项目基本情况</w:t>
      </w:r>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p>
    <w:p w14:paraId="5C0D6385">
      <w:pPr>
        <w:tabs>
          <w:tab w:val="left" w:pos="6982"/>
        </w:tabs>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项目编号：</w:t>
      </w:r>
      <w:r>
        <w:rPr>
          <w:rFonts w:hint="eastAsia" w:asciiTheme="minorEastAsia" w:hAnsiTheme="minorEastAsia" w:eastAsiaTheme="minorEastAsia"/>
          <w:color w:val="auto"/>
          <w:szCs w:val="21"/>
          <w:highlight w:val="none"/>
          <w:lang w:eastAsia="zh-CN"/>
        </w:rPr>
        <w:t>KMZC2025-C3-01859-YNYG-0024</w:t>
      </w:r>
      <w:r>
        <w:rPr>
          <w:rFonts w:hint="eastAsia" w:asciiTheme="minorEastAsia" w:hAnsiTheme="minorEastAsia" w:eastAsiaTheme="minorEastAsia"/>
          <w:color w:val="auto"/>
          <w:szCs w:val="21"/>
          <w:highlight w:val="none"/>
        </w:rPr>
        <w:tab/>
      </w:r>
    </w:p>
    <w:p w14:paraId="08AFD7FF">
      <w:pPr>
        <w:spacing w:line="360" w:lineRule="auto"/>
        <w:ind w:firstLine="420" w:firstLineChars="200"/>
        <w:rPr>
          <w:rFonts w:hint="eastAsia"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rPr>
        <w:t>项目名称：</w:t>
      </w:r>
      <w:r>
        <w:rPr>
          <w:rFonts w:hint="eastAsia" w:asciiTheme="minorEastAsia" w:hAnsiTheme="minorEastAsia" w:eastAsiaTheme="minorEastAsia"/>
          <w:color w:val="auto"/>
          <w:szCs w:val="21"/>
          <w:highlight w:val="none"/>
          <w:lang w:eastAsia="zh-CN"/>
        </w:rPr>
        <w:t>滇池底泥处理处置与城市固废协同治理与循环利用应用示范项目监理服务</w:t>
      </w:r>
    </w:p>
    <w:p w14:paraId="5CFE185E">
      <w:pPr>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采购方式：竞争性磋商</w:t>
      </w:r>
    </w:p>
    <w:p w14:paraId="1AF9B9F9">
      <w:pPr>
        <w:spacing w:line="360" w:lineRule="auto"/>
        <w:ind w:firstLine="420" w:firstLineChars="200"/>
        <w:rPr>
          <w:rFonts w:hint="default"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rPr>
        <w:t>预算金额（万元）：</w:t>
      </w:r>
      <w:r>
        <w:rPr>
          <w:rFonts w:hint="eastAsia" w:asciiTheme="minorEastAsia" w:hAnsiTheme="minorEastAsia" w:eastAsiaTheme="minorEastAsia"/>
          <w:color w:val="auto"/>
          <w:szCs w:val="21"/>
          <w:highlight w:val="none"/>
          <w:lang w:val="en-US" w:eastAsia="zh-CN"/>
        </w:rPr>
        <w:t>26.60</w:t>
      </w:r>
    </w:p>
    <w:p w14:paraId="7960478A">
      <w:pPr>
        <w:spacing w:line="360" w:lineRule="auto"/>
        <w:ind w:firstLine="420" w:firstLineChars="200"/>
        <w:rPr>
          <w:rFonts w:hint="default"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rPr>
        <w:t>最高限价（万元）：</w:t>
      </w:r>
      <w:r>
        <w:rPr>
          <w:rFonts w:hint="eastAsia" w:asciiTheme="minorEastAsia" w:hAnsiTheme="minorEastAsia" w:eastAsiaTheme="minorEastAsia"/>
          <w:color w:val="auto"/>
          <w:szCs w:val="21"/>
          <w:highlight w:val="none"/>
          <w:lang w:val="en-US" w:eastAsia="zh-CN"/>
        </w:rPr>
        <w:t>26.6</w:t>
      </w:r>
      <w:r>
        <w:rPr>
          <w:rFonts w:hint="eastAsia" w:asciiTheme="minorEastAsia" w:hAnsiTheme="minorEastAsia" w:eastAsiaTheme="minorEastAsia"/>
          <w:color w:val="auto"/>
          <w:szCs w:val="21"/>
          <w:highlight w:val="none"/>
        </w:rPr>
        <w:t>0</w:t>
      </w:r>
    </w:p>
    <w:p w14:paraId="515D5C48">
      <w:pPr>
        <w:spacing w:line="360" w:lineRule="auto"/>
        <w:ind w:firstLine="420" w:firstLineChars="200"/>
        <w:rPr>
          <w:rFonts w:hint="eastAsia"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rPr>
        <w:t>采购需求：</w:t>
      </w:r>
      <w:r>
        <w:rPr>
          <w:rFonts w:hint="eastAsia" w:asciiTheme="minorEastAsia" w:hAnsiTheme="minorEastAsia" w:eastAsiaTheme="minorEastAsia"/>
          <w:color w:val="auto"/>
          <w:szCs w:val="21"/>
          <w:highlight w:val="none"/>
          <w:lang w:eastAsia="zh-CN"/>
        </w:rPr>
        <w:t>完成项目的全过程</w:t>
      </w:r>
      <w:r>
        <w:rPr>
          <w:rFonts w:hint="eastAsia" w:asciiTheme="minorEastAsia" w:hAnsiTheme="minorEastAsia" w:eastAsiaTheme="minorEastAsia"/>
          <w:color w:val="auto"/>
          <w:szCs w:val="21"/>
          <w:highlight w:val="none"/>
          <w:lang w:val="en-US" w:eastAsia="zh-CN"/>
        </w:rPr>
        <w:t>监理</w:t>
      </w:r>
      <w:r>
        <w:rPr>
          <w:rFonts w:hint="eastAsia" w:asciiTheme="minorEastAsia" w:hAnsiTheme="minorEastAsia" w:eastAsiaTheme="minorEastAsia"/>
          <w:color w:val="auto"/>
          <w:szCs w:val="21"/>
          <w:highlight w:val="none"/>
          <w:lang w:eastAsia="zh-CN"/>
        </w:rPr>
        <w:t>服务，具体工作内容及要求以采购人实际委托的为准。（具体内容及要求详见采购文件第五章“采购需求”）。</w:t>
      </w:r>
    </w:p>
    <w:p w14:paraId="05AA07C2">
      <w:pPr>
        <w:spacing w:line="360" w:lineRule="auto"/>
        <w:ind w:firstLine="420" w:firstLineChars="200"/>
        <w:rPr>
          <w:rFonts w:hint="eastAsia"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val="en-US" w:eastAsia="zh-CN"/>
        </w:rPr>
        <w:t>服务</w:t>
      </w:r>
      <w:r>
        <w:rPr>
          <w:rFonts w:hint="eastAsia" w:asciiTheme="minorEastAsia" w:hAnsiTheme="minorEastAsia" w:eastAsiaTheme="minorEastAsia"/>
          <w:color w:val="auto"/>
          <w:szCs w:val="21"/>
          <w:highlight w:val="none"/>
        </w:rPr>
        <w:t>期限：</w:t>
      </w:r>
      <w:r>
        <w:rPr>
          <w:rFonts w:hint="eastAsia" w:ascii="宋体" w:hAnsi="宋体" w:eastAsia="宋体" w:cs="宋体"/>
          <w:color w:val="auto"/>
          <w:highlight w:val="none"/>
          <w:lang w:eastAsia="zh-CN"/>
        </w:rPr>
        <w:t>自合同签订之日起至项目验收合格</w:t>
      </w:r>
      <w:r>
        <w:rPr>
          <w:rFonts w:hint="eastAsia" w:ascii="宋体" w:hAnsi="宋体" w:eastAsia="宋体" w:cs="宋体"/>
          <w:color w:val="auto"/>
          <w:highlight w:val="none"/>
        </w:rPr>
        <w:t>。</w:t>
      </w:r>
    </w:p>
    <w:p w14:paraId="66F84988">
      <w:pPr>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本项目（否）接受联合体投标。</w:t>
      </w:r>
    </w:p>
    <w:p w14:paraId="5E29DF1D">
      <w:pPr>
        <w:spacing w:line="360" w:lineRule="auto"/>
        <w:rPr>
          <w:rFonts w:hint="eastAsia" w:asciiTheme="minorEastAsia" w:hAnsiTheme="minorEastAsia" w:eastAsiaTheme="minorEastAsia"/>
          <w:b/>
          <w:bCs/>
          <w:color w:val="auto"/>
          <w:sz w:val="24"/>
          <w:szCs w:val="24"/>
          <w:highlight w:val="none"/>
        </w:rPr>
      </w:pPr>
      <w:bookmarkStart w:id="23" w:name="_Toc109809290"/>
      <w:bookmarkStart w:id="24" w:name="_Toc28359013"/>
      <w:bookmarkStart w:id="25" w:name="_Toc69678407"/>
      <w:bookmarkStart w:id="26" w:name="_Toc98864989"/>
      <w:bookmarkStart w:id="27" w:name="_Toc35393630"/>
      <w:bookmarkStart w:id="28" w:name="_Toc35393799"/>
      <w:bookmarkStart w:id="29" w:name="_Toc45791326"/>
      <w:bookmarkStart w:id="30" w:name="_Toc87543796"/>
      <w:bookmarkStart w:id="31" w:name="_Toc84356230"/>
      <w:bookmarkStart w:id="32" w:name="_Toc45976873"/>
      <w:bookmarkStart w:id="33" w:name="_Toc83753870"/>
      <w:bookmarkStart w:id="34" w:name="_Toc98033912"/>
      <w:bookmarkStart w:id="35" w:name="_Toc28359090"/>
      <w:bookmarkStart w:id="36" w:name="_Toc87538347"/>
      <w:bookmarkStart w:id="37" w:name="_Toc53412194"/>
      <w:r>
        <w:rPr>
          <w:rFonts w:hint="eastAsia" w:asciiTheme="minorEastAsia" w:hAnsiTheme="minorEastAsia" w:eastAsiaTheme="minorEastAsia"/>
          <w:b/>
          <w:bCs/>
          <w:color w:val="auto"/>
          <w:sz w:val="24"/>
          <w:szCs w:val="24"/>
          <w:highlight w:val="none"/>
        </w:rPr>
        <w:t>二、申请人的资格要求</w:t>
      </w:r>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p w14:paraId="6B87C82D">
      <w:pPr>
        <w:spacing w:line="360" w:lineRule="auto"/>
        <w:ind w:left="105" w:leftChars="50" w:right="105" w:rightChars="50" w:firstLine="420" w:firstLineChars="200"/>
        <w:rPr>
          <w:rFonts w:hint="eastAsia" w:asciiTheme="minorEastAsia" w:hAnsiTheme="minorEastAsia" w:eastAsiaTheme="minorEastAsia"/>
          <w:color w:val="auto"/>
          <w:szCs w:val="21"/>
          <w:highlight w:val="none"/>
        </w:rPr>
      </w:pPr>
      <w:bookmarkStart w:id="38" w:name="_Hlk109738198"/>
      <w:bookmarkStart w:id="39" w:name="_Toc28359091"/>
      <w:bookmarkStart w:id="40" w:name="_Toc28359014"/>
      <w:r>
        <w:rPr>
          <w:rFonts w:hint="eastAsia" w:asciiTheme="minorEastAsia" w:hAnsiTheme="minorEastAsia" w:eastAsiaTheme="minorEastAsia"/>
          <w:color w:val="auto"/>
          <w:szCs w:val="21"/>
          <w:highlight w:val="none"/>
        </w:rPr>
        <w:t>1.满足《中华人民共和国政府采购法》第二十二条规定。</w:t>
      </w:r>
    </w:p>
    <w:bookmarkEnd w:id="38"/>
    <w:p w14:paraId="214F09A3">
      <w:pPr>
        <w:spacing w:line="360" w:lineRule="auto"/>
        <w:ind w:left="105" w:leftChars="50" w:right="105" w:rightChars="50" w:firstLine="211" w:firstLineChars="100"/>
        <w:rPr>
          <w:rFonts w:hint="eastAsia" w:asciiTheme="minorEastAsia" w:hAnsiTheme="minorEastAsia" w:eastAsiaTheme="minorEastAsia"/>
          <w:color w:val="auto"/>
          <w:szCs w:val="21"/>
          <w:highlight w:val="none"/>
        </w:rPr>
      </w:pPr>
      <w:bookmarkStart w:id="41" w:name="_Toc35393631"/>
      <w:bookmarkStart w:id="42" w:name="_Toc35393800"/>
      <w:bookmarkStart w:id="43" w:name="_Toc84356231"/>
      <w:bookmarkStart w:id="44" w:name="_Toc98033913"/>
      <w:bookmarkStart w:id="45" w:name="_Toc45976874"/>
      <w:bookmarkStart w:id="46" w:name="_Toc69678408"/>
      <w:bookmarkStart w:id="47" w:name="_Toc98864990"/>
      <w:bookmarkStart w:id="48" w:name="_Toc45791327"/>
      <w:bookmarkStart w:id="49" w:name="_Toc83753871"/>
      <w:bookmarkStart w:id="50" w:name="_Toc87543797"/>
      <w:bookmarkStart w:id="51" w:name="_Toc87538348"/>
      <w:bookmarkStart w:id="52" w:name="_Toc109809291"/>
      <w:bookmarkStart w:id="53" w:name="_Toc53412195"/>
      <w:r>
        <w:rPr>
          <w:rFonts w:hint="eastAsia" w:asciiTheme="minorEastAsia" w:hAnsiTheme="minorEastAsia" w:eastAsiaTheme="minorEastAsia"/>
          <w:b/>
          <w:bCs/>
          <w:color w:val="auto"/>
          <w:szCs w:val="21"/>
          <w:highlight w:val="none"/>
        </w:rPr>
        <w:t>（1）具有独立承担民事责任的能力。</w:t>
      </w:r>
      <w:r>
        <w:rPr>
          <w:rFonts w:hint="eastAsia" w:asciiTheme="minorEastAsia" w:hAnsiTheme="minorEastAsia" w:eastAsiaTheme="minorEastAsia"/>
          <w:color w:val="auto"/>
          <w:szCs w:val="21"/>
          <w:highlight w:val="none"/>
        </w:rPr>
        <w:t>[提供有效的营业执照或事业单位法人证书或其他类似的法定证明文件]</w:t>
      </w:r>
    </w:p>
    <w:p w14:paraId="7B96C3A6">
      <w:pPr>
        <w:spacing w:line="360" w:lineRule="auto"/>
        <w:ind w:left="105" w:leftChars="50" w:right="105" w:rightChars="50" w:firstLine="211" w:firstLineChars="100"/>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（2）具有良好的商业信誉和健全的财务会计制度。</w:t>
      </w:r>
      <w:r>
        <w:rPr>
          <w:rFonts w:hint="eastAsia"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lang w:val="en-US" w:eastAsia="zh-CN"/>
        </w:rPr>
        <w:t>①供应商未被列入“信用中国”网站（www.creditchina.gov.cn）失信被执行人、重大税收违法失信主体及中国政府采购网（www.ccgp.gov.cn）“政府采购严重违法失信行为信息记录”。（评审前采购人或采购代理机构将通过相关网站查询，并留存网站查询结果截图或打印件，提供给磋商小组）；②</w:t>
      </w:r>
      <w:r>
        <w:rPr>
          <w:rFonts w:hint="eastAsia" w:asciiTheme="minorEastAsia" w:hAnsiTheme="minorEastAsia" w:eastAsiaTheme="minorEastAsia"/>
          <w:color w:val="auto"/>
          <w:szCs w:val="21"/>
          <w:highlight w:val="none"/>
          <w:lang w:eastAsia="zh-CN"/>
        </w:rPr>
        <w:t>需提供2023年度或2024年度的财务报表，其中：企业至少包括资产负债表、现金流量表、利润表（损益表）；非企业机构根据实际情况提供相关财务报表。若成立时间不足一年，可以提供其它能反映财务状况的会计报表资料或基本开户银行出具的资信证明。</w:t>
      </w:r>
      <w:r>
        <w:rPr>
          <w:rFonts w:hint="eastAsia" w:asciiTheme="minorEastAsia" w:hAnsiTheme="minorEastAsia" w:eastAsiaTheme="minorEastAsia"/>
          <w:color w:val="auto"/>
          <w:szCs w:val="21"/>
          <w:highlight w:val="none"/>
        </w:rPr>
        <w:t>]</w:t>
      </w:r>
    </w:p>
    <w:p w14:paraId="552CD0C9">
      <w:pPr>
        <w:spacing w:line="360" w:lineRule="auto"/>
        <w:ind w:left="105" w:leftChars="50" w:right="105" w:rightChars="50" w:firstLine="211" w:firstLineChars="100"/>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（3）具有履行合同所必需的设备和专业技术能力。</w:t>
      </w:r>
      <w:r>
        <w:rPr>
          <w:rFonts w:hint="eastAsia" w:asciiTheme="minorEastAsia" w:hAnsiTheme="minorEastAsia" w:eastAsiaTheme="minorEastAsia"/>
          <w:color w:val="auto"/>
          <w:szCs w:val="21"/>
          <w:highlight w:val="none"/>
        </w:rPr>
        <w:t>[提供书面承诺]</w:t>
      </w:r>
    </w:p>
    <w:p w14:paraId="05059D3A">
      <w:pPr>
        <w:spacing w:line="360" w:lineRule="auto"/>
        <w:ind w:left="105" w:leftChars="50" w:right="105" w:rightChars="50" w:firstLine="211" w:firstLineChars="100"/>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（4）有依法缴纳税收和社会保障资金的良好记录。</w:t>
      </w:r>
      <w:r>
        <w:rPr>
          <w:rFonts w:hint="eastAsia" w:asciiTheme="minorEastAsia" w:hAnsiTheme="minorEastAsia" w:eastAsiaTheme="minorEastAsia"/>
          <w:color w:val="auto"/>
          <w:szCs w:val="21"/>
          <w:highlight w:val="none"/>
        </w:rPr>
        <w:t>[①提供2024年7月至提交响应文件截止之日任意3个月的税务局税收通用缴款书或银行电子缴税（费）凭证或税务局出具纳税情况的相关证明；依法免税的，提供依法免税的相关证明文件；</w:t>
      </w:r>
      <w:r>
        <w:rPr>
          <w:color w:val="auto"/>
          <w:highlight w:val="none"/>
        </w:rPr>
        <w:t>若为新成立的公司，无法按上述要求提供依法缴纳税收证明材料的，按实际缴纳月份提供或出具书面说明。</w:t>
      </w:r>
      <w:r>
        <w:rPr>
          <w:rFonts w:hint="eastAsia" w:asciiTheme="minorEastAsia" w:hAnsiTheme="minorEastAsia" w:eastAsiaTheme="minorEastAsia"/>
          <w:color w:val="auto"/>
          <w:szCs w:val="21"/>
          <w:highlight w:val="none"/>
        </w:rPr>
        <w:t>②提供2024年7月至提交响应文件截止之日任意3个月的社会保险费缴款书或银行电子缴费凭证或社保管理部门出具的有效的缴款证明；依法免缴的，提供依法免缴的相关证明文件；若为新成立的公司，提供成立至今的社会保险费缴款书或银行电子缴费凭证或社保管理部门出具的有效的缴款证明，成立时间不足</w:t>
      </w:r>
      <w:r>
        <w:rPr>
          <w:rFonts w:asciiTheme="minorEastAsia" w:hAnsiTheme="minorEastAsia" w:eastAsiaTheme="minorEastAsia"/>
          <w:color w:val="auto"/>
          <w:szCs w:val="21"/>
          <w:highlight w:val="none"/>
        </w:rPr>
        <w:t>3</w:t>
      </w:r>
      <w:r>
        <w:rPr>
          <w:rFonts w:hint="eastAsia" w:asciiTheme="minorEastAsia" w:hAnsiTheme="minorEastAsia" w:eastAsiaTheme="minorEastAsia"/>
          <w:color w:val="auto"/>
          <w:szCs w:val="21"/>
          <w:highlight w:val="none"/>
        </w:rPr>
        <w:t>个月的，按实际缴纳月份提供或出具书面说明。③若为自然人参与磋商，则提供2024年7月至提交响应文件截止之日任意3个月的个人所得税完税证明和社会保险参保证明；未缴纳税收或社保的，附书面说明]</w:t>
      </w:r>
    </w:p>
    <w:p w14:paraId="1E9CF2C5">
      <w:pPr>
        <w:spacing w:line="360" w:lineRule="auto"/>
        <w:ind w:right="105" w:rightChars="50" w:firstLine="211" w:firstLineChars="100"/>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（5）参加政府采购活动前三年内，在经营活动中没有重大违法记录。</w:t>
      </w:r>
      <w:r>
        <w:rPr>
          <w:rFonts w:hint="eastAsia" w:asciiTheme="minorEastAsia" w:hAnsiTheme="minorEastAsia" w:eastAsiaTheme="minorEastAsia"/>
          <w:color w:val="auto"/>
          <w:szCs w:val="21"/>
          <w:highlight w:val="none"/>
        </w:rPr>
        <w:t>[重大违法记录，指供应商因违法经营受到刑事处罚或者责令停产停业、吊销许可证或者执照、较大数额罚款等行政处罚，提供书面声明]</w:t>
      </w:r>
    </w:p>
    <w:p w14:paraId="13044BC7">
      <w:pPr>
        <w:spacing w:line="360" w:lineRule="auto"/>
        <w:ind w:firstLine="211" w:firstLineChars="100"/>
        <w:rPr>
          <w:rFonts w:hint="eastAsia" w:asciiTheme="minorEastAsia" w:hAnsiTheme="minorEastAsia" w:eastAsiaTheme="minorEastAsia"/>
          <w:b w:val="0"/>
          <w:bCs w:val="0"/>
          <w:color w:val="auto"/>
          <w:szCs w:val="21"/>
          <w:highlight w:val="none"/>
        </w:rPr>
      </w:pPr>
      <w:r>
        <w:rPr>
          <w:rFonts w:hint="eastAsia" w:asciiTheme="minorEastAsia" w:hAnsiTheme="minorEastAsia" w:eastAsiaTheme="minorEastAsia"/>
          <w:b/>
          <w:bCs/>
          <w:color w:val="auto"/>
          <w:szCs w:val="21"/>
          <w:highlight w:val="none"/>
        </w:rPr>
        <w:t>（6）法律、行政法规规定的其他条件。</w:t>
      </w:r>
      <w:r>
        <w:rPr>
          <w:rFonts w:hint="eastAsia" w:asciiTheme="minorEastAsia" w:hAnsiTheme="minorEastAsia" w:eastAsiaTheme="minorEastAsia"/>
          <w:b w:val="0"/>
          <w:bCs w:val="0"/>
          <w:color w:val="auto"/>
          <w:szCs w:val="21"/>
          <w:highlight w:val="none"/>
        </w:rPr>
        <w:t>[</w:t>
      </w:r>
      <w:r>
        <w:rPr>
          <w:rFonts w:hint="eastAsia" w:asciiTheme="minorEastAsia" w:hAnsiTheme="minorEastAsia" w:eastAsiaTheme="minorEastAsia"/>
          <w:b w:val="0"/>
          <w:bCs w:val="0"/>
          <w:color w:val="auto"/>
          <w:szCs w:val="21"/>
          <w:highlight w:val="none"/>
          <w:lang w:val="en-US" w:eastAsia="zh-CN"/>
        </w:rPr>
        <w:t>①单位负责人为同一人或者存在直接控股、管理关系的不同投标人，不得参加同一合同项下的政府采购活动，提供书面承诺；②为采购项目提供整体设计、规范编制或者项目管理、监理、检测等服务的供应商，不得再参加该采购项目的其他采购活动，提供书面承诺</w:t>
      </w:r>
      <w:r>
        <w:rPr>
          <w:rFonts w:hint="eastAsia" w:asciiTheme="minorEastAsia" w:hAnsiTheme="minorEastAsia" w:eastAsiaTheme="minorEastAsia"/>
          <w:b w:val="0"/>
          <w:bCs w:val="0"/>
          <w:color w:val="auto"/>
          <w:szCs w:val="21"/>
          <w:highlight w:val="none"/>
        </w:rPr>
        <w:t>]</w:t>
      </w:r>
    </w:p>
    <w:p w14:paraId="62EA1000">
      <w:pPr>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2</w:t>
      </w:r>
      <w:r>
        <w:rPr>
          <w:rFonts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rPr>
        <w:t>落实政府采购政策需满足的资格要求：本项目非专门面向中小企业采购，根据《关于印发&lt;政府采购促进中小企业发展管理办法&gt;的通知》（财库〔2020〕46 号）的规定，对满足中小企业划型标准且在响应文件中提交了《中小企业声明函》的供应商，其中小型、微型企业的报价给予10%的价格扣除。残疾人福利性单位、监狱企业视同小型、微型企业，享受同等价格扣除。</w:t>
      </w:r>
    </w:p>
    <w:p w14:paraId="53BEBD17">
      <w:pPr>
        <w:spacing w:line="360" w:lineRule="auto"/>
        <w:ind w:firstLine="420" w:firstLineChars="200"/>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3.</w:t>
      </w:r>
      <w:r>
        <w:rPr>
          <w:rFonts w:hint="eastAsia" w:asciiTheme="minorEastAsia" w:hAnsiTheme="minorEastAsia" w:eastAsiaTheme="minorEastAsia"/>
          <w:color w:val="auto"/>
          <w:szCs w:val="21"/>
          <w:highlight w:val="none"/>
        </w:rPr>
        <w:t>本项目的</w:t>
      </w:r>
      <w:r>
        <w:rPr>
          <w:rFonts w:hint="eastAsia" w:asciiTheme="minorEastAsia" w:hAnsiTheme="minorEastAsia" w:eastAsiaTheme="minorEastAsia"/>
          <w:color w:val="auto"/>
          <w:szCs w:val="21"/>
          <w:highlight w:val="none"/>
        </w:rPr>
        <w:t>特定资格</w:t>
      </w:r>
      <w:r>
        <w:rPr>
          <w:rFonts w:hint="eastAsia" w:asciiTheme="minorEastAsia" w:hAnsiTheme="minorEastAsia" w:eastAsiaTheme="minorEastAsia"/>
          <w:color w:val="auto"/>
          <w:szCs w:val="21"/>
          <w:highlight w:val="none"/>
        </w:rPr>
        <w:t>要求：</w:t>
      </w:r>
      <w:r>
        <w:rPr>
          <w:rFonts w:hint="eastAsia" w:asciiTheme="minorEastAsia" w:hAnsiTheme="minorEastAsia" w:eastAsiaTheme="minorEastAsia"/>
          <w:color w:val="auto"/>
          <w:szCs w:val="21"/>
          <w:highlight w:val="none"/>
          <w:lang w:eastAsia="zh-CN"/>
        </w:rPr>
        <w:t>供应商须具有有效的建设行政主管部门颁发的工程监理综合资质或水利工程施工监理乙级及以上资质或</w:t>
      </w:r>
      <w:bookmarkStart w:id="1317" w:name="_GoBack"/>
      <w:r>
        <w:rPr>
          <w:rFonts w:hint="eastAsia" w:asciiTheme="minorEastAsia" w:hAnsiTheme="minorEastAsia" w:eastAsiaTheme="minorEastAsia"/>
          <w:color w:val="auto"/>
          <w:szCs w:val="21"/>
          <w:highlight w:val="none"/>
          <w:lang w:eastAsia="zh-CN"/>
        </w:rPr>
        <w:t>工程监理市政公用工程专业乙级及以上资质</w:t>
      </w:r>
      <w:bookmarkEnd w:id="1317"/>
      <w:r>
        <w:rPr>
          <w:rFonts w:hint="eastAsia" w:asciiTheme="minorEastAsia" w:hAnsiTheme="minorEastAsia" w:eastAsiaTheme="minorEastAsia"/>
          <w:color w:val="auto"/>
          <w:szCs w:val="21"/>
          <w:highlight w:val="none"/>
          <w:lang w:eastAsia="zh-CN"/>
        </w:rPr>
        <w:t>。</w:t>
      </w:r>
    </w:p>
    <w:p w14:paraId="6196E0C8">
      <w:pPr>
        <w:spacing w:line="360" w:lineRule="auto"/>
        <w:rPr>
          <w:rFonts w:hint="eastAsia" w:asciiTheme="minorEastAsia" w:hAnsiTheme="minorEastAsia" w:eastAsiaTheme="minorEastAsia"/>
          <w:b/>
          <w:bCs/>
          <w:color w:val="auto"/>
          <w:sz w:val="24"/>
          <w:szCs w:val="24"/>
          <w:highlight w:val="none"/>
        </w:rPr>
      </w:pPr>
      <w:r>
        <w:rPr>
          <w:rFonts w:hint="eastAsia" w:asciiTheme="minorEastAsia" w:hAnsiTheme="minorEastAsia" w:eastAsiaTheme="minorEastAsia"/>
          <w:b/>
          <w:bCs/>
          <w:color w:val="auto"/>
          <w:sz w:val="24"/>
          <w:szCs w:val="24"/>
          <w:highlight w:val="none"/>
        </w:rPr>
        <w:t>三、获取</w:t>
      </w:r>
      <w:bookmarkEnd w:id="39"/>
      <w:bookmarkEnd w:id="40"/>
      <w:bookmarkEnd w:id="41"/>
      <w:bookmarkEnd w:id="42"/>
      <w:r>
        <w:rPr>
          <w:rFonts w:hint="eastAsia" w:asciiTheme="minorEastAsia" w:hAnsiTheme="minorEastAsia" w:eastAsiaTheme="minorEastAsia"/>
          <w:b/>
          <w:bCs/>
          <w:color w:val="auto"/>
          <w:sz w:val="24"/>
          <w:szCs w:val="24"/>
          <w:highlight w:val="none"/>
        </w:rPr>
        <w:t>采购文件</w:t>
      </w:r>
      <w:bookmarkEnd w:id="43"/>
      <w:bookmarkEnd w:id="44"/>
      <w:bookmarkEnd w:id="45"/>
      <w:bookmarkEnd w:id="46"/>
      <w:bookmarkEnd w:id="47"/>
      <w:bookmarkEnd w:id="48"/>
      <w:bookmarkEnd w:id="49"/>
      <w:bookmarkEnd w:id="50"/>
      <w:bookmarkEnd w:id="51"/>
      <w:bookmarkEnd w:id="52"/>
      <w:bookmarkEnd w:id="53"/>
    </w:p>
    <w:p w14:paraId="743A5506">
      <w:pPr>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时间：</w:t>
      </w:r>
      <w:r>
        <w:rPr>
          <w:rFonts w:hint="eastAsia" w:asciiTheme="minorEastAsia" w:hAnsiTheme="minorEastAsia" w:eastAsiaTheme="minorEastAsia"/>
          <w:color w:val="auto"/>
          <w:szCs w:val="21"/>
          <w:highlight w:val="none"/>
          <w:u w:val="single"/>
          <w:lang w:val="en-US" w:eastAsia="zh-CN"/>
        </w:rPr>
        <w:t>2025年07月31日</w:t>
      </w:r>
      <w:r>
        <w:rPr>
          <w:rFonts w:hint="eastAsia" w:asciiTheme="minorEastAsia" w:hAnsiTheme="minorEastAsia" w:eastAsiaTheme="minorEastAsia"/>
          <w:color w:val="auto"/>
          <w:szCs w:val="21"/>
          <w:highlight w:val="none"/>
        </w:rPr>
        <w:t>06:00至</w:t>
      </w:r>
      <w:r>
        <w:rPr>
          <w:rFonts w:hint="eastAsia" w:asciiTheme="minorEastAsia" w:hAnsiTheme="minorEastAsia" w:eastAsiaTheme="minorEastAsia"/>
          <w:color w:val="auto"/>
          <w:szCs w:val="21"/>
          <w:highlight w:val="none"/>
          <w:u w:val="single"/>
          <w:lang w:val="en-US" w:eastAsia="zh-CN"/>
        </w:rPr>
        <w:t>2025年08月07日</w:t>
      </w:r>
      <w:r>
        <w:rPr>
          <w:rFonts w:asciiTheme="minorEastAsia" w:hAnsiTheme="minorEastAsia" w:eastAsiaTheme="minorEastAsia"/>
          <w:color w:val="auto"/>
          <w:szCs w:val="21"/>
          <w:highlight w:val="none"/>
        </w:rPr>
        <w:t>23</w:t>
      </w:r>
      <w:r>
        <w:rPr>
          <w:rFonts w:hint="eastAsia" w:asciiTheme="minorEastAsia" w:hAnsiTheme="minorEastAsia" w:eastAsiaTheme="minorEastAsia"/>
          <w:color w:val="auto"/>
          <w:szCs w:val="21"/>
          <w:highlight w:val="none"/>
        </w:rPr>
        <w:t>:</w:t>
      </w:r>
      <w:r>
        <w:rPr>
          <w:rFonts w:asciiTheme="minorEastAsia" w:hAnsiTheme="minorEastAsia" w:eastAsiaTheme="minorEastAsia"/>
          <w:color w:val="auto"/>
          <w:szCs w:val="21"/>
          <w:highlight w:val="none"/>
        </w:rPr>
        <w:t>59</w:t>
      </w:r>
      <w:r>
        <w:rPr>
          <w:rFonts w:hint="eastAsia" w:asciiTheme="minorEastAsia" w:hAnsiTheme="minorEastAsia" w:eastAsiaTheme="minorEastAsia"/>
          <w:color w:val="auto"/>
          <w:szCs w:val="21"/>
          <w:highlight w:val="none"/>
        </w:rPr>
        <w:t>，每天上午0</w:t>
      </w:r>
      <w:r>
        <w:rPr>
          <w:rFonts w:hint="eastAsia" w:asciiTheme="minorEastAsia" w:hAnsiTheme="minorEastAsia" w:eastAsiaTheme="minorEastAsia"/>
          <w:color w:val="auto"/>
          <w:szCs w:val="21"/>
          <w:highlight w:val="none"/>
          <w:lang w:val="en-US" w:eastAsia="zh-CN"/>
        </w:rPr>
        <w:t>6</w:t>
      </w:r>
      <w:r>
        <w:rPr>
          <w:rFonts w:hint="eastAsia" w:asciiTheme="minorEastAsia" w:hAnsiTheme="minorEastAsia" w:eastAsiaTheme="minorEastAsia"/>
          <w:color w:val="auto"/>
          <w:szCs w:val="21"/>
          <w:highlight w:val="none"/>
        </w:rPr>
        <w:t>:00至12:00，下午12:00至23:59（北京时间，法定节假日除外）</w:t>
      </w:r>
    </w:p>
    <w:p w14:paraId="7CDCCC2D">
      <w:pPr>
        <w:spacing w:line="360" w:lineRule="auto"/>
        <w:ind w:firstLine="420" w:firstLineChars="200"/>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地点：政府采购云平台（</w:t>
      </w:r>
      <w:r>
        <w:rPr>
          <w:rFonts w:hint="eastAsia" w:asciiTheme="minorEastAsia" w:hAnsiTheme="minorEastAsia" w:eastAsiaTheme="minorEastAsia"/>
          <w:color w:val="auto"/>
          <w:szCs w:val="21"/>
          <w:highlight w:val="none"/>
        </w:rPr>
        <w:t>网址：</w:t>
      </w:r>
      <w:r>
        <w:rPr>
          <w:rFonts w:asciiTheme="minorEastAsia" w:hAnsiTheme="minorEastAsia" w:eastAsiaTheme="minorEastAsia"/>
          <w:color w:val="auto"/>
          <w:szCs w:val="21"/>
          <w:highlight w:val="none"/>
        </w:rPr>
        <w:t>https://www.zcygov.cn/</w:t>
      </w:r>
      <w:r>
        <w:rPr>
          <w:rFonts w:hint="eastAsia" w:cs="宋体" w:asciiTheme="minorEastAsia" w:hAnsiTheme="minorEastAsia" w:eastAsiaTheme="minorEastAsia"/>
          <w:color w:val="auto"/>
          <w:szCs w:val="21"/>
          <w:highlight w:val="none"/>
        </w:rPr>
        <w:t>）</w:t>
      </w:r>
    </w:p>
    <w:p w14:paraId="1C1BCBC5">
      <w:pPr>
        <w:wordWrap w:val="0"/>
        <w:spacing w:line="360" w:lineRule="auto"/>
        <w:ind w:firstLine="420" w:firstLineChars="200"/>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方式：凡有意参与磋商者，须在政府采购云平台办理数字证书（CA），并在政府采购云平台绑定数字证书（CA）后线上获取采购文件及其它采购资料。CA申领链接：</w:t>
      </w:r>
      <w:r>
        <w:rPr>
          <w:rFonts w:ascii="宋体" w:hAnsi="宋体"/>
          <w:color w:val="auto"/>
          <w:highlight w:val="none"/>
        </w:rPr>
        <w:t>http://yzt.ynsmartcert.cn</w:t>
      </w:r>
      <w:r>
        <w:rPr>
          <w:rFonts w:hint="eastAsia" w:cs="宋体" w:asciiTheme="minorEastAsia" w:hAnsiTheme="minorEastAsia" w:eastAsiaTheme="minorEastAsia"/>
          <w:color w:val="auto"/>
          <w:szCs w:val="21"/>
          <w:highlight w:val="none"/>
        </w:rPr>
        <w:t>（客服热线：0871-67276028&lt;紧急可拨19988166369&gt;）或https://cap.yunnanca.net/login（客服热线：4006727666）；CA申领后需登陆政府采购云平台完成数字证书（CA）绑定才可以使用；若供应商之前已经注册并办理过企业数字证书（CA）的，可以直接绑定，无需重复办理。供应商在注册办理过程中若有疑问，可以拨打客服热线95763咨询。2</w:t>
      </w:r>
      <w:r>
        <w:rPr>
          <w:rFonts w:cs="宋体" w:asciiTheme="minorEastAsia" w:hAnsiTheme="minorEastAsia" w:eastAsiaTheme="minorEastAsia"/>
          <w:color w:val="auto"/>
          <w:szCs w:val="21"/>
          <w:highlight w:val="none"/>
        </w:rPr>
        <w:t>.</w:t>
      </w:r>
      <w:r>
        <w:rPr>
          <w:rFonts w:hint="eastAsia" w:cs="宋体" w:asciiTheme="minorEastAsia" w:hAnsiTheme="minorEastAsia" w:eastAsiaTheme="minorEastAsia"/>
          <w:color w:val="auto"/>
          <w:szCs w:val="21"/>
          <w:highlight w:val="none"/>
        </w:rPr>
        <w:t>供应商申领到企业数字证书（CA）后进入政府采购云平台（</w:t>
      </w:r>
      <w:r>
        <w:rPr>
          <w:rFonts w:hint="eastAsia" w:asciiTheme="minorEastAsia" w:hAnsiTheme="minorEastAsia" w:eastAsiaTheme="minorEastAsia"/>
          <w:color w:val="auto"/>
          <w:szCs w:val="21"/>
          <w:highlight w:val="none"/>
        </w:rPr>
        <w:t>网址：</w:t>
      </w:r>
      <w:r>
        <w:rPr>
          <w:rFonts w:asciiTheme="minorEastAsia" w:hAnsiTheme="minorEastAsia" w:eastAsiaTheme="minorEastAsia"/>
          <w:color w:val="auto"/>
          <w:szCs w:val="21"/>
          <w:highlight w:val="none"/>
        </w:rPr>
        <w:t>https://www.zcygov.cn/</w:t>
      </w:r>
      <w:r>
        <w:rPr>
          <w:rFonts w:hint="eastAsia" w:cs="宋体" w:asciiTheme="minorEastAsia" w:hAnsiTheme="minorEastAsia" w:eastAsiaTheme="minorEastAsia"/>
          <w:color w:val="auto"/>
          <w:szCs w:val="21"/>
          <w:highlight w:val="none"/>
        </w:rPr>
        <w:t>）并绑定企业数字证书（CA），</w:t>
      </w:r>
      <w:r>
        <w:rPr>
          <w:rFonts w:hint="eastAsia" w:asciiTheme="minorEastAsia" w:hAnsiTheme="minorEastAsia" w:eastAsiaTheme="minorEastAsia"/>
          <w:color w:val="auto"/>
          <w:szCs w:val="21"/>
          <w:highlight w:val="none"/>
        </w:rPr>
        <w:t>在</w:t>
      </w:r>
      <w:r>
        <w:rPr>
          <w:rFonts w:hint="eastAsia" w:cs="宋体" w:asciiTheme="minorEastAsia" w:hAnsiTheme="minorEastAsia" w:eastAsiaTheme="minorEastAsia"/>
          <w:color w:val="auto"/>
          <w:szCs w:val="21"/>
          <w:highlight w:val="none"/>
        </w:rPr>
        <w:t>网上获取采购文件及其它采购资料</w:t>
      </w:r>
      <w:r>
        <w:rPr>
          <w:rFonts w:hint="eastAsia" w:asciiTheme="minorEastAsia" w:hAnsiTheme="minorEastAsia" w:eastAsiaTheme="minorEastAsia"/>
          <w:color w:val="auto"/>
          <w:szCs w:val="21"/>
          <w:highlight w:val="none"/>
        </w:rPr>
        <w:t>（操作路径：登录“</w:t>
      </w:r>
      <w:r>
        <w:rPr>
          <w:rFonts w:hint="eastAsia" w:cs="宋体" w:asciiTheme="minorEastAsia" w:hAnsiTheme="minorEastAsia" w:eastAsiaTheme="minorEastAsia"/>
          <w:color w:val="auto"/>
          <w:szCs w:val="21"/>
          <w:highlight w:val="none"/>
        </w:rPr>
        <w:t>政府采购云平台</w:t>
      </w:r>
      <w:r>
        <w:rPr>
          <w:rFonts w:hint="eastAsia" w:asciiTheme="minorEastAsia" w:hAnsiTheme="minorEastAsia" w:eastAsiaTheme="minorEastAsia"/>
          <w:color w:val="auto"/>
          <w:szCs w:val="21"/>
          <w:highlight w:val="none"/>
        </w:rPr>
        <w:t>-项目采购-获取采购文件-找到本项目-点击“申请获取采购文件”），此为参与磋商的唯一途径。</w:t>
      </w:r>
    </w:p>
    <w:p w14:paraId="71650740">
      <w:pPr>
        <w:spacing w:line="360" w:lineRule="auto"/>
        <w:ind w:firstLine="420" w:firstLineChars="200"/>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售价（元）：</w:t>
      </w:r>
      <w:r>
        <w:rPr>
          <w:rFonts w:cs="宋体" w:asciiTheme="minorEastAsia" w:hAnsiTheme="minorEastAsia" w:eastAsiaTheme="minorEastAsia"/>
          <w:color w:val="auto"/>
          <w:szCs w:val="21"/>
          <w:highlight w:val="none"/>
        </w:rPr>
        <w:t>0</w:t>
      </w:r>
    </w:p>
    <w:p w14:paraId="4BD4156A">
      <w:pPr>
        <w:spacing w:line="360" w:lineRule="auto"/>
        <w:rPr>
          <w:rFonts w:hint="eastAsia" w:asciiTheme="minorEastAsia" w:hAnsiTheme="minorEastAsia" w:eastAsiaTheme="minorEastAsia"/>
          <w:b/>
          <w:bCs/>
          <w:color w:val="auto"/>
          <w:sz w:val="24"/>
          <w:szCs w:val="24"/>
          <w:highlight w:val="none"/>
        </w:rPr>
      </w:pPr>
      <w:bookmarkStart w:id="54" w:name="_Toc35393801"/>
      <w:bookmarkStart w:id="55" w:name="_Toc98033914"/>
      <w:bookmarkStart w:id="56" w:name="_Toc28359092"/>
      <w:bookmarkStart w:id="57" w:name="_Toc83753872"/>
      <w:bookmarkStart w:id="58" w:name="_Toc87538349"/>
      <w:bookmarkStart w:id="59" w:name="_Toc87543798"/>
      <w:bookmarkStart w:id="60" w:name="_Toc84356232"/>
      <w:bookmarkStart w:id="61" w:name="_Toc109809292"/>
      <w:bookmarkStart w:id="62" w:name="_Toc45791328"/>
      <w:bookmarkStart w:id="63" w:name="_Toc53412196"/>
      <w:bookmarkStart w:id="64" w:name="_Toc28359015"/>
      <w:bookmarkStart w:id="65" w:name="_Toc69678409"/>
      <w:bookmarkStart w:id="66" w:name="_Toc98864991"/>
      <w:bookmarkStart w:id="67" w:name="_Toc45976875"/>
      <w:bookmarkStart w:id="68" w:name="_Toc35393632"/>
      <w:r>
        <w:rPr>
          <w:rFonts w:hint="eastAsia" w:asciiTheme="minorEastAsia" w:hAnsiTheme="minorEastAsia" w:eastAsiaTheme="minorEastAsia"/>
          <w:b/>
          <w:bCs/>
          <w:color w:val="auto"/>
          <w:sz w:val="24"/>
          <w:szCs w:val="24"/>
          <w:highlight w:val="none"/>
        </w:rPr>
        <w:t>四、响应文件提交</w:t>
      </w:r>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p>
    <w:p w14:paraId="22466464">
      <w:pPr>
        <w:spacing w:line="360" w:lineRule="auto"/>
        <w:ind w:firstLine="420"/>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截止时间：</w:t>
      </w:r>
      <w:r>
        <w:rPr>
          <w:rFonts w:hint="eastAsia" w:asciiTheme="minorEastAsia" w:hAnsiTheme="minorEastAsia" w:eastAsiaTheme="minorEastAsia"/>
          <w:bCs/>
          <w:color w:val="auto"/>
          <w:szCs w:val="21"/>
          <w:highlight w:val="none"/>
        </w:rPr>
        <w:t>2025年</w:t>
      </w:r>
      <w:r>
        <w:rPr>
          <w:rFonts w:hint="eastAsia" w:asciiTheme="minorEastAsia" w:hAnsiTheme="minorEastAsia" w:eastAsiaTheme="minorEastAsia"/>
          <w:bCs/>
          <w:color w:val="auto"/>
          <w:szCs w:val="21"/>
          <w:highlight w:val="none"/>
          <w:lang w:val="en-US" w:eastAsia="zh-CN"/>
        </w:rPr>
        <w:t>08月13日</w:t>
      </w:r>
      <w:r>
        <w:rPr>
          <w:rFonts w:hint="eastAsia" w:asciiTheme="minorEastAsia" w:hAnsiTheme="minorEastAsia" w:eastAsiaTheme="minorEastAsia"/>
          <w:bCs/>
          <w:color w:val="auto"/>
          <w:szCs w:val="21"/>
          <w:highlight w:val="none"/>
        </w:rPr>
        <w:t>14:00</w:t>
      </w:r>
      <w:r>
        <w:rPr>
          <w:rFonts w:hint="eastAsia" w:asciiTheme="minorEastAsia" w:hAnsiTheme="minorEastAsia" w:eastAsiaTheme="minorEastAsia"/>
          <w:color w:val="auto"/>
          <w:szCs w:val="21"/>
          <w:highlight w:val="none"/>
        </w:rPr>
        <w:t>（北京时间）</w:t>
      </w:r>
    </w:p>
    <w:p w14:paraId="018624DA">
      <w:pPr>
        <w:spacing w:line="360" w:lineRule="auto"/>
        <w:ind w:firstLine="420"/>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地点：</w:t>
      </w:r>
      <w:r>
        <w:rPr>
          <w:rFonts w:hint="eastAsia" w:asciiTheme="minorEastAsia" w:hAnsiTheme="minorEastAsia" w:eastAsiaTheme="minorEastAsia"/>
          <w:color w:val="auto"/>
          <w:highlight w:val="none"/>
        </w:rPr>
        <w:t>政府采购云平台（</w:t>
      </w:r>
      <w:r>
        <w:rPr>
          <w:rFonts w:hint="eastAsia" w:cs="宋体" w:asciiTheme="minorEastAsia" w:hAnsiTheme="minorEastAsia" w:eastAsiaTheme="minorEastAsia"/>
          <w:color w:val="auto"/>
          <w:kern w:val="0"/>
          <w:szCs w:val="21"/>
          <w:highlight w:val="none"/>
        </w:rPr>
        <w:t>网址：https://www.zcygov.cn/</w:t>
      </w:r>
      <w:r>
        <w:rPr>
          <w:rFonts w:hint="eastAsia" w:asciiTheme="minorEastAsia" w:hAnsiTheme="minorEastAsia" w:eastAsiaTheme="minorEastAsia"/>
          <w:color w:val="auto"/>
          <w:highlight w:val="none"/>
        </w:rPr>
        <w:t>）</w:t>
      </w:r>
    </w:p>
    <w:p w14:paraId="12406E7A">
      <w:pPr>
        <w:spacing w:line="360" w:lineRule="auto"/>
        <w:rPr>
          <w:rFonts w:hint="eastAsia" w:asciiTheme="minorEastAsia" w:hAnsiTheme="minorEastAsia" w:eastAsiaTheme="minorEastAsia"/>
          <w:b/>
          <w:bCs/>
          <w:color w:val="auto"/>
          <w:sz w:val="24"/>
          <w:szCs w:val="24"/>
          <w:highlight w:val="none"/>
        </w:rPr>
      </w:pPr>
      <w:bookmarkStart w:id="69" w:name="_Toc28359016"/>
      <w:bookmarkStart w:id="70" w:name="_Toc45791329"/>
      <w:bookmarkStart w:id="71" w:name="_Toc98864992"/>
      <w:bookmarkStart w:id="72" w:name="_Toc109809293"/>
      <w:bookmarkStart w:id="73" w:name="_Toc98033915"/>
      <w:bookmarkStart w:id="74" w:name="_Toc84356233"/>
      <w:bookmarkStart w:id="75" w:name="_Toc35393802"/>
      <w:bookmarkStart w:id="76" w:name="_Toc87543799"/>
      <w:bookmarkStart w:id="77" w:name="_Toc83753873"/>
      <w:bookmarkStart w:id="78" w:name="_Toc87538350"/>
      <w:bookmarkStart w:id="79" w:name="_Toc69678410"/>
      <w:bookmarkStart w:id="80" w:name="_Toc45976876"/>
      <w:bookmarkStart w:id="81" w:name="_Toc53412197"/>
      <w:bookmarkStart w:id="82" w:name="_Toc35393633"/>
      <w:bookmarkStart w:id="83" w:name="_Toc28359093"/>
      <w:r>
        <w:rPr>
          <w:rFonts w:hint="eastAsia" w:asciiTheme="minorEastAsia" w:hAnsiTheme="minorEastAsia" w:eastAsiaTheme="minorEastAsia"/>
          <w:b/>
          <w:bCs/>
          <w:color w:val="auto"/>
          <w:sz w:val="24"/>
          <w:szCs w:val="24"/>
          <w:highlight w:val="none"/>
        </w:rPr>
        <w:t>五、开启</w:t>
      </w:r>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p>
    <w:p w14:paraId="4CDB0966">
      <w:pPr>
        <w:spacing w:line="360" w:lineRule="auto"/>
        <w:ind w:firstLine="420" w:firstLineChars="200"/>
        <w:rPr>
          <w:rFonts w:hint="eastAsia" w:asciiTheme="minorEastAsia" w:hAnsiTheme="minorEastAsia" w:eastAsiaTheme="minorEastAsia"/>
          <w:bCs/>
          <w:color w:val="auto"/>
          <w:szCs w:val="21"/>
          <w:highlight w:val="none"/>
          <w:u w:val="single"/>
        </w:rPr>
      </w:pPr>
      <w:r>
        <w:rPr>
          <w:rFonts w:hint="eastAsia" w:asciiTheme="minorEastAsia" w:hAnsiTheme="minorEastAsia" w:eastAsiaTheme="minorEastAsia"/>
          <w:color w:val="auto"/>
          <w:szCs w:val="21"/>
          <w:highlight w:val="none"/>
        </w:rPr>
        <w:t>时间：</w:t>
      </w:r>
      <w:r>
        <w:rPr>
          <w:rFonts w:hint="eastAsia" w:asciiTheme="minorEastAsia" w:hAnsiTheme="minorEastAsia" w:eastAsiaTheme="minorEastAsia"/>
          <w:color w:val="auto"/>
          <w:szCs w:val="21"/>
          <w:highlight w:val="none"/>
        </w:rPr>
        <w:t>2025年</w:t>
      </w:r>
      <w:r>
        <w:rPr>
          <w:rFonts w:hint="eastAsia" w:asciiTheme="minorEastAsia" w:hAnsiTheme="minorEastAsia" w:eastAsiaTheme="minorEastAsia"/>
          <w:color w:val="auto"/>
          <w:szCs w:val="21"/>
          <w:highlight w:val="none"/>
          <w:lang w:val="en-US" w:eastAsia="zh-CN"/>
        </w:rPr>
        <w:t>08月13日</w:t>
      </w:r>
      <w:r>
        <w:rPr>
          <w:rFonts w:hint="eastAsia" w:asciiTheme="minorEastAsia" w:hAnsiTheme="minorEastAsia" w:eastAsiaTheme="minorEastAsia"/>
          <w:color w:val="auto"/>
          <w:szCs w:val="21"/>
          <w:highlight w:val="none"/>
        </w:rPr>
        <w:t>14:00</w:t>
      </w:r>
      <w:r>
        <w:rPr>
          <w:rFonts w:hint="eastAsia" w:asciiTheme="minorEastAsia" w:hAnsiTheme="minorEastAsia" w:eastAsiaTheme="minorEastAsia"/>
          <w:color w:val="auto"/>
          <w:szCs w:val="21"/>
          <w:highlight w:val="none"/>
        </w:rPr>
        <w:t>（北京时间）</w:t>
      </w:r>
    </w:p>
    <w:p w14:paraId="0A04738C">
      <w:pPr>
        <w:spacing w:line="360" w:lineRule="auto"/>
        <w:ind w:firstLine="420" w:firstLineChars="200"/>
        <w:rPr>
          <w:rFonts w:hint="eastAsia" w:asciiTheme="minorEastAsia" w:hAnsiTheme="minorEastAsia" w:eastAsiaTheme="minorEastAsia"/>
          <w:color w:val="auto"/>
          <w:highlight w:val="none"/>
        </w:rPr>
      </w:pPr>
      <w:r>
        <w:rPr>
          <w:rFonts w:hint="eastAsia" w:asciiTheme="minorEastAsia" w:hAnsiTheme="minorEastAsia" w:eastAsiaTheme="minorEastAsia"/>
          <w:color w:val="auto"/>
          <w:szCs w:val="21"/>
          <w:highlight w:val="none"/>
        </w:rPr>
        <w:t>地点：云南省昆明市盘龙区白云路168号瑞鼎城B栋A15楼A1521</w:t>
      </w:r>
      <w:r>
        <w:rPr>
          <w:rFonts w:hint="eastAsia" w:asciiTheme="minorEastAsia" w:hAnsiTheme="minorEastAsia" w:eastAsiaTheme="minorEastAsia"/>
          <w:bCs/>
          <w:color w:val="auto"/>
          <w:szCs w:val="21"/>
          <w:highlight w:val="none"/>
        </w:rPr>
        <w:t>开标室</w:t>
      </w:r>
    </w:p>
    <w:p w14:paraId="67D189CA">
      <w:pPr>
        <w:spacing w:line="360" w:lineRule="auto"/>
        <w:rPr>
          <w:rFonts w:hint="eastAsia" w:asciiTheme="minorEastAsia" w:hAnsiTheme="minorEastAsia" w:eastAsiaTheme="minorEastAsia"/>
          <w:b/>
          <w:bCs/>
          <w:color w:val="auto"/>
          <w:sz w:val="24"/>
          <w:szCs w:val="24"/>
          <w:highlight w:val="none"/>
        </w:rPr>
      </w:pPr>
      <w:bookmarkStart w:id="84" w:name="_Toc45976877"/>
      <w:bookmarkStart w:id="85" w:name="_Toc28359017"/>
      <w:bookmarkStart w:id="86" w:name="_Toc28359094"/>
      <w:bookmarkStart w:id="87" w:name="_Toc35393634"/>
      <w:bookmarkStart w:id="88" w:name="_Toc45791330"/>
      <w:bookmarkStart w:id="89" w:name="_Toc35393803"/>
      <w:bookmarkStart w:id="90" w:name="_Toc69678411"/>
      <w:bookmarkStart w:id="91" w:name="_Toc87543800"/>
      <w:bookmarkStart w:id="92" w:name="_Toc98033916"/>
      <w:bookmarkStart w:id="93" w:name="_Toc87538351"/>
      <w:bookmarkStart w:id="94" w:name="_Toc84356234"/>
      <w:bookmarkStart w:id="95" w:name="_Toc83753874"/>
      <w:bookmarkStart w:id="96" w:name="_Toc109809294"/>
      <w:bookmarkStart w:id="97" w:name="_Toc98864993"/>
      <w:bookmarkStart w:id="98" w:name="_Toc53412198"/>
      <w:r>
        <w:rPr>
          <w:rFonts w:hint="eastAsia" w:asciiTheme="minorEastAsia" w:hAnsiTheme="minorEastAsia" w:eastAsiaTheme="minorEastAsia"/>
          <w:b/>
          <w:bCs/>
          <w:color w:val="auto"/>
          <w:sz w:val="24"/>
          <w:szCs w:val="24"/>
          <w:highlight w:val="none"/>
        </w:rPr>
        <w:t>六、</w:t>
      </w:r>
      <w:bookmarkEnd w:id="84"/>
      <w:bookmarkEnd w:id="85"/>
      <w:bookmarkEnd w:id="86"/>
      <w:bookmarkEnd w:id="87"/>
      <w:bookmarkEnd w:id="88"/>
      <w:bookmarkEnd w:id="89"/>
      <w:r>
        <w:rPr>
          <w:rFonts w:hint="eastAsia" w:asciiTheme="minorEastAsia" w:hAnsiTheme="minorEastAsia" w:eastAsiaTheme="minorEastAsia"/>
          <w:b/>
          <w:bCs/>
          <w:color w:val="auto"/>
          <w:sz w:val="24"/>
          <w:szCs w:val="24"/>
          <w:highlight w:val="none"/>
        </w:rPr>
        <w:t>公告期限</w:t>
      </w:r>
      <w:bookmarkEnd w:id="90"/>
      <w:bookmarkEnd w:id="91"/>
      <w:bookmarkEnd w:id="92"/>
      <w:bookmarkEnd w:id="93"/>
      <w:bookmarkEnd w:id="94"/>
      <w:bookmarkEnd w:id="95"/>
      <w:bookmarkEnd w:id="96"/>
      <w:bookmarkEnd w:id="97"/>
      <w:bookmarkEnd w:id="98"/>
    </w:p>
    <w:p w14:paraId="6C9FF29B">
      <w:pPr>
        <w:spacing w:line="360" w:lineRule="auto"/>
        <w:ind w:firstLine="420" w:firstLineChars="200"/>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自本公告发布之日起</w:t>
      </w:r>
      <w:r>
        <w:rPr>
          <w:rFonts w:hint="eastAsia" w:cs="宋体" w:asciiTheme="minorEastAsia" w:hAnsiTheme="minorEastAsia" w:eastAsiaTheme="minorEastAsia"/>
          <w:color w:val="auto"/>
          <w:kern w:val="0"/>
          <w:szCs w:val="21"/>
          <w:highlight w:val="none"/>
          <w:lang w:val="en-US" w:eastAsia="zh-CN"/>
        </w:rPr>
        <w:t>5</w:t>
      </w:r>
      <w:r>
        <w:rPr>
          <w:rFonts w:hint="eastAsia" w:cs="宋体" w:asciiTheme="minorEastAsia" w:hAnsiTheme="minorEastAsia" w:eastAsiaTheme="minorEastAsia"/>
          <w:color w:val="auto"/>
          <w:kern w:val="0"/>
          <w:szCs w:val="21"/>
          <w:highlight w:val="none"/>
        </w:rPr>
        <w:t>个工作日。</w:t>
      </w:r>
    </w:p>
    <w:p w14:paraId="4F2B178C">
      <w:pPr>
        <w:spacing w:line="360" w:lineRule="auto"/>
        <w:rPr>
          <w:rFonts w:hint="eastAsia" w:asciiTheme="minorEastAsia" w:hAnsiTheme="minorEastAsia" w:eastAsiaTheme="minorEastAsia"/>
          <w:b/>
          <w:bCs/>
          <w:color w:val="auto"/>
          <w:sz w:val="24"/>
          <w:szCs w:val="24"/>
          <w:highlight w:val="none"/>
        </w:rPr>
      </w:pPr>
      <w:bookmarkStart w:id="99" w:name="_Toc109809295"/>
      <w:bookmarkStart w:id="100" w:name="_Toc98033917"/>
      <w:bookmarkStart w:id="101" w:name="_Toc45791331"/>
      <w:bookmarkStart w:id="102" w:name="_Toc98864994"/>
      <w:bookmarkStart w:id="103" w:name="_Toc45976878"/>
      <w:bookmarkStart w:id="104" w:name="_Toc69678412"/>
      <w:bookmarkStart w:id="105" w:name="_Toc84356235"/>
      <w:bookmarkStart w:id="106" w:name="_Toc53412199"/>
      <w:bookmarkStart w:id="107" w:name="_Toc35393635"/>
      <w:bookmarkStart w:id="108" w:name="_Toc87538352"/>
      <w:bookmarkStart w:id="109" w:name="_Toc83753875"/>
      <w:bookmarkStart w:id="110" w:name="_Toc87543801"/>
      <w:bookmarkStart w:id="111" w:name="_Toc35393804"/>
      <w:r>
        <w:rPr>
          <w:rFonts w:hint="eastAsia" w:asciiTheme="minorEastAsia" w:hAnsiTheme="minorEastAsia" w:eastAsiaTheme="minorEastAsia"/>
          <w:b/>
          <w:bCs/>
          <w:color w:val="auto"/>
          <w:sz w:val="24"/>
          <w:szCs w:val="24"/>
          <w:highlight w:val="none"/>
        </w:rPr>
        <w:t>七、其他补充事宜</w:t>
      </w:r>
      <w:bookmarkEnd w:id="99"/>
      <w:bookmarkEnd w:id="100"/>
      <w:bookmarkEnd w:id="101"/>
      <w:bookmarkEnd w:id="102"/>
      <w:bookmarkEnd w:id="103"/>
      <w:bookmarkEnd w:id="104"/>
      <w:bookmarkEnd w:id="105"/>
      <w:bookmarkEnd w:id="106"/>
      <w:bookmarkEnd w:id="107"/>
      <w:bookmarkEnd w:id="108"/>
      <w:bookmarkEnd w:id="109"/>
      <w:bookmarkEnd w:id="110"/>
      <w:bookmarkEnd w:id="111"/>
    </w:p>
    <w:p w14:paraId="43333DC9">
      <w:pPr>
        <w:pStyle w:val="54"/>
        <w:spacing w:line="360" w:lineRule="auto"/>
        <w:ind w:firstLine="405" w:firstLineChars="193"/>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开标方式：网上开标</w:t>
      </w:r>
    </w:p>
    <w:p w14:paraId="1FD61F63">
      <w:pPr>
        <w:pStyle w:val="54"/>
        <w:spacing w:line="360" w:lineRule="auto"/>
        <w:ind w:firstLine="405" w:firstLineChars="193"/>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是否需要缴纳投标保证金：否</w:t>
      </w:r>
    </w:p>
    <w:p w14:paraId="747EEADC">
      <w:pPr>
        <w:pStyle w:val="14"/>
        <w:spacing w:line="360" w:lineRule="auto"/>
        <w:ind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其他：</w:t>
      </w:r>
    </w:p>
    <w:p w14:paraId="4404E837">
      <w:pPr>
        <w:pStyle w:val="14"/>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w:t>
      </w:r>
      <w:r>
        <w:rPr>
          <w:rFonts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rPr>
        <w:t>资金来源：财政拨款；出资比例：100%；资金落实情况：已落实。</w:t>
      </w:r>
    </w:p>
    <w:p w14:paraId="0B4D6E36">
      <w:pPr>
        <w:pStyle w:val="14"/>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2</w:t>
      </w:r>
      <w:r>
        <w:rPr>
          <w:rFonts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rPr>
        <w:t>资格审查方式：资格后审。</w:t>
      </w:r>
    </w:p>
    <w:p w14:paraId="3489B422">
      <w:pPr>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3</w:t>
      </w:r>
      <w:r>
        <w:rPr>
          <w:rFonts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lang w:eastAsia="zh-CN"/>
        </w:rPr>
        <w:t>服务地点：昆明市滇池高原湖泊研究院指定地点</w:t>
      </w:r>
      <w:r>
        <w:rPr>
          <w:rFonts w:hint="eastAsia" w:asciiTheme="minorEastAsia" w:hAnsiTheme="minorEastAsia" w:eastAsiaTheme="minorEastAsia"/>
          <w:color w:val="auto"/>
          <w:szCs w:val="21"/>
          <w:highlight w:val="none"/>
        </w:rPr>
        <w:t>。</w:t>
      </w:r>
    </w:p>
    <w:p w14:paraId="21D03DC4">
      <w:pPr>
        <w:pStyle w:val="14"/>
        <w:spacing w:line="360" w:lineRule="auto"/>
        <w:ind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4</w:t>
      </w:r>
      <w:r>
        <w:rPr>
          <w:rFonts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rPr>
        <w:t>服务周期：</w:t>
      </w:r>
      <w:r>
        <w:rPr>
          <w:rFonts w:hint="eastAsia" w:ascii="宋体" w:hAnsi="宋体" w:eastAsia="宋体" w:cs="宋体"/>
          <w:color w:val="auto"/>
          <w:highlight w:val="none"/>
          <w:lang w:eastAsia="zh-CN"/>
        </w:rPr>
        <w:t>自合同签订之日起至项目验收合格</w:t>
      </w:r>
      <w:r>
        <w:rPr>
          <w:rFonts w:hint="eastAsia" w:ascii="宋体" w:hAnsi="宋体" w:eastAsia="宋体" w:cs="宋体"/>
          <w:color w:val="auto"/>
          <w:highlight w:val="none"/>
        </w:rPr>
        <w:t>。</w:t>
      </w:r>
    </w:p>
    <w:p w14:paraId="4CDE51A2">
      <w:pPr>
        <w:pStyle w:val="14"/>
        <w:spacing w:line="360" w:lineRule="auto"/>
        <w:rPr>
          <w:rFonts w:hint="eastAsia" w:ascii="宋体" w:hAnsi="宋体" w:eastAsiaTheme="minorEastAsia"/>
          <w:color w:val="auto"/>
          <w:szCs w:val="21"/>
          <w:highlight w:val="none"/>
        </w:rPr>
      </w:pPr>
      <w:r>
        <w:rPr>
          <w:rFonts w:hint="eastAsia" w:asciiTheme="minorEastAsia" w:hAnsiTheme="minorEastAsia" w:eastAsiaTheme="minorEastAsia"/>
          <w:color w:val="auto"/>
          <w:szCs w:val="21"/>
          <w:highlight w:val="none"/>
        </w:rPr>
        <w:t>5</w:t>
      </w:r>
      <w:r>
        <w:rPr>
          <w:rFonts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rPr>
        <w:t>质量要求：</w:t>
      </w:r>
      <w:r>
        <w:rPr>
          <w:rFonts w:hint="eastAsia" w:ascii="宋体" w:hAnsi="宋体" w:eastAsia="宋体" w:cs="宋体"/>
          <w:color w:val="auto"/>
          <w:szCs w:val="21"/>
          <w:highlight w:val="none"/>
          <w:lang w:eastAsia="zh-CN"/>
        </w:rPr>
        <w:t>各阶段资料齐全，符合国家及行业现行的标准和规范。</w:t>
      </w:r>
    </w:p>
    <w:p w14:paraId="07EE8DFE">
      <w:pPr>
        <w:pStyle w:val="14"/>
        <w:spacing w:line="360" w:lineRule="auto"/>
        <w:rPr>
          <w:rFonts w:hint="eastAsia" w:ascii="宋体" w:hAnsi="宋体" w:cs="宋体"/>
          <w:color w:val="auto"/>
          <w:szCs w:val="21"/>
          <w:highlight w:val="none"/>
        </w:rPr>
      </w:pPr>
      <w:r>
        <w:rPr>
          <w:rFonts w:hint="eastAsia" w:ascii="宋体" w:hAnsi="宋体" w:cs="宋体"/>
          <w:color w:val="auto"/>
          <w:szCs w:val="21"/>
          <w:highlight w:val="none"/>
        </w:rPr>
        <w:t>6.</w:t>
      </w:r>
      <w:r>
        <w:rPr>
          <w:rFonts w:hint="eastAsia" w:asciiTheme="minorEastAsia" w:hAnsiTheme="minorEastAsia" w:eastAsiaTheme="minorEastAsia"/>
          <w:color w:val="auto"/>
          <w:szCs w:val="21"/>
          <w:highlight w:val="none"/>
        </w:rPr>
        <w:t>发布公告的媒介：云南省政府采购网（网址：</w:t>
      </w:r>
      <w:r>
        <w:rPr>
          <w:color w:val="auto"/>
          <w:highlight w:val="none"/>
        </w:rPr>
        <w:fldChar w:fldCharType="begin"/>
      </w:r>
      <w:r>
        <w:rPr>
          <w:color w:val="auto"/>
          <w:highlight w:val="none"/>
        </w:rPr>
        <w:instrText xml:space="preserve"> HYPERLINK "http://www.yngp.com/" </w:instrText>
      </w:r>
      <w:r>
        <w:rPr>
          <w:color w:val="auto"/>
          <w:highlight w:val="none"/>
        </w:rPr>
        <w:fldChar w:fldCharType="separate"/>
      </w:r>
      <w:r>
        <w:rPr>
          <w:rStyle w:val="62"/>
          <w:rFonts w:hint="eastAsia" w:asciiTheme="minorEastAsia" w:hAnsiTheme="minorEastAsia" w:eastAsiaTheme="minorEastAsia"/>
          <w:color w:val="auto"/>
          <w:szCs w:val="21"/>
          <w:highlight w:val="none"/>
          <w:u w:val="none"/>
        </w:rPr>
        <w:t>http://www.yngp.com/</w:t>
      </w:r>
      <w:r>
        <w:rPr>
          <w:rStyle w:val="62"/>
          <w:rFonts w:hint="eastAsia" w:asciiTheme="minorEastAsia" w:hAnsiTheme="minorEastAsia" w:eastAsiaTheme="minorEastAsia"/>
          <w:color w:val="auto"/>
          <w:szCs w:val="21"/>
          <w:highlight w:val="none"/>
          <w:u w:val="none"/>
        </w:rPr>
        <w:fldChar w:fldCharType="end"/>
      </w:r>
      <w:r>
        <w:rPr>
          <w:rFonts w:hint="eastAsia" w:asciiTheme="minorEastAsia" w:hAnsiTheme="minorEastAsia" w:eastAsiaTheme="minorEastAsia"/>
          <w:color w:val="auto"/>
          <w:szCs w:val="21"/>
          <w:highlight w:val="none"/>
        </w:rPr>
        <w:t>）。</w:t>
      </w:r>
    </w:p>
    <w:p w14:paraId="65CA1074">
      <w:pPr>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7.信誉要求：供应商未被列入“信用中国”网站（www.creditchina.gov.cn）失信被执行人、重大税收违法失信主体及中国政府采购网（www.ccgp.gov.cn）“政府采购严重违法失信行为信息记录”。（评审前采购人或采购代理机构将通过相关网站查询，并留存网站查询结果截图或打印件，提供给磋商小组）。</w:t>
      </w:r>
    </w:p>
    <w:p w14:paraId="13E6216A">
      <w:pPr>
        <w:spacing w:line="360" w:lineRule="auto"/>
        <w:ind w:firstLine="420" w:firstLineChars="200"/>
        <w:rPr>
          <w:color w:val="auto"/>
          <w:highlight w:val="none"/>
        </w:rPr>
      </w:pPr>
      <w:r>
        <w:rPr>
          <w:rFonts w:hint="eastAsia" w:asciiTheme="minorEastAsia" w:hAnsiTheme="minorEastAsia" w:eastAsiaTheme="minorEastAsia"/>
          <w:color w:val="auto"/>
          <w:szCs w:val="21"/>
          <w:highlight w:val="none"/>
        </w:rPr>
        <w:t>8.项目需要落实的政府采购政策：《政府采购促进中小企业发展管理办法》（财库〔2020〕46号）、《关于进一步加大政府采购支持中小企业力度的通知》（财库〔2022〕19号）、《财政部民政部中国残疾人联合会关于促进残疾人就业政府采购政策的通知》（财库〔2017〕141号）、《关于政府采购支持监狱企业发展有关问题的通知》(财库〔2014〕68号)。</w:t>
      </w:r>
    </w:p>
    <w:p w14:paraId="7E9C88DD">
      <w:pPr>
        <w:widowControl/>
        <w:wordWrap w:val="0"/>
        <w:spacing w:line="360" w:lineRule="auto"/>
        <w:ind w:firstLine="420" w:firstLineChars="200"/>
        <w:jc w:val="lef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highlight w:val="none"/>
        </w:rPr>
        <w:t>9</w:t>
      </w:r>
      <w:r>
        <w:rPr>
          <w:rFonts w:asciiTheme="minorEastAsia" w:hAnsiTheme="minorEastAsia" w:eastAsiaTheme="minorEastAsia"/>
          <w:color w:val="auto"/>
          <w:highlight w:val="none"/>
        </w:rPr>
        <w:t>.</w:t>
      </w:r>
      <w:r>
        <w:rPr>
          <w:rFonts w:hint="eastAsia" w:asciiTheme="minorEastAsia" w:hAnsiTheme="minorEastAsia" w:eastAsiaTheme="minorEastAsia"/>
          <w:color w:val="auto"/>
          <w:szCs w:val="21"/>
          <w:highlight w:val="none"/>
        </w:rPr>
        <w:t>响应文件的提交方式：凡有意参与磋商者，请自行前往政府采购云平台“客户端&amp;驱动下载”网页（网址：</w:t>
      </w:r>
      <w:r>
        <w:rPr>
          <w:rFonts w:asciiTheme="minorEastAsia" w:hAnsiTheme="minorEastAsia" w:eastAsiaTheme="minorEastAsia"/>
          <w:color w:val="auto"/>
          <w:szCs w:val="21"/>
          <w:highlight w:val="none"/>
        </w:rPr>
        <w:t>https://customer.zcygov.cn/CA-driver-download?utm=web-ca-front.3ddc8fbb.0.0.91c6cff0db1311ec8cfbc9f613d30204</w:t>
      </w:r>
      <w:r>
        <w:rPr>
          <w:rFonts w:hint="eastAsia" w:asciiTheme="minorEastAsia" w:hAnsiTheme="minorEastAsia" w:eastAsiaTheme="minorEastAsia"/>
          <w:color w:val="auto"/>
          <w:szCs w:val="21"/>
          <w:highlight w:val="none"/>
        </w:rPr>
        <w:t>）下载并安装“政采云投标客户端”。供应商按照采购文件和政府采购云平台（网址：https://www.zcygov.cn/）的要求编制、加密电子响应文件，响应文件在提交截止时间前未完成上传的，视为撤回响应文件。供应商在政府采购云平台提交电子版响应文件时，请填写参与远程开标活动经办人的联系方式。</w:t>
      </w:r>
    </w:p>
    <w:p w14:paraId="563B90AD">
      <w:pPr>
        <w:spacing w:line="360" w:lineRule="auto"/>
        <w:ind w:firstLine="420" w:firstLineChars="200"/>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10.响应文件的解密方式：在线解密。供应商须提前在自有场地配置有音视频通话（带摄像头及话筒的电脑）功能的相应设备及稳定网络的环境下，并按政府采购云平台开标大厅中的提示完成响应文件的解密。</w:t>
      </w:r>
    </w:p>
    <w:p w14:paraId="462A2992">
      <w:pPr>
        <w:spacing w:line="360" w:lineRule="auto"/>
        <w:rPr>
          <w:rFonts w:hint="eastAsia" w:asciiTheme="minorEastAsia" w:hAnsiTheme="minorEastAsia" w:eastAsiaTheme="minorEastAsia"/>
          <w:b/>
          <w:bCs/>
          <w:color w:val="auto"/>
          <w:sz w:val="24"/>
          <w:szCs w:val="24"/>
          <w:highlight w:val="none"/>
        </w:rPr>
      </w:pPr>
      <w:bookmarkStart w:id="112" w:name="_Toc98864995"/>
      <w:bookmarkStart w:id="113" w:name="_Toc35393805"/>
      <w:bookmarkStart w:id="114" w:name="_Toc83753876"/>
      <w:bookmarkStart w:id="115" w:name="_Toc84356236"/>
      <w:bookmarkStart w:id="116" w:name="_Toc28359095"/>
      <w:bookmarkStart w:id="117" w:name="_Toc87538353"/>
      <w:bookmarkStart w:id="118" w:name="_Toc98033918"/>
      <w:bookmarkStart w:id="119" w:name="_Toc45791335"/>
      <w:bookmarkStart w:id="120" w:name="_Toc69678413"/>
      <w:bookmarkStart w:id="121" w:name="_Toc109809296"/>
      <w:bookmarkStart w:id="122" w:name="_Toc45976881"/>
      <w:bookmarkStart w:id="123" w:name="_Toc87543802"/>
      <w:bookmarkStart w:id="124" w:name="_Toc53412200"/>
      <w:bookmarkStart w:id="125" w:name="_Toc28359018"/>
      <w:bookmarkStart w:id="126" w:name="_Toc35393636"/>
      <w:r>
        <w:rPr>
          <w:rFonts w:hint="eastAsia" w:asciiTheme="minorEastAsia" w:hAnsiTheme="minorEastAsia" w:eastAsiaTheme="minorEastAsia"/>
          <w:b/>
          <w:bCs/>
          <w:color w:val="auto"/>
          <w:sz w:val="24"/>
          <w:szCs w:val="24"/>
          <w:highlight w:val="none"/>
        </w:rPr>
        <w:t>八、凡对本次采购提出询问，请按</w:t>
      </w:r>
      <w:r>
        <w:rPr>
          <w:rFonts w:asciiTheme="minorEastAsia" w:hAnsiTheme="minorEastAsia" w:eastAsiaTheme="minorEastAsia"/>
          <w:b/>
          <w:bCs/>
          <w:color w:val="auto"/>
          <w:sz w:val="24"/>
          <w:szCs w:val="24"/>
          <w:highlight w:val="none"/>
        </w:rPr>
        <w:t>以下方式</w:t>
      </w:r>
      <w:r>
        <w:rPr>
          <w:rFonts w:hint="eastAsia" w:asciiTheme="minorEastAsia" w:hAnsiTheme="minorEastAsia" w:eastAsiaTheme="minorEastAsia"/>
          <w:b/>
          <w:bCs/>
          <w:color w:val="auto"/>
          <w:sz w:val="24"/>
          <w:szCs w:val="24"/>
          <w:highlight w:val="none"/>
        </w:rPr>
        <w:t>联系。</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p>
    <w:bookmarkEnd w:id="2"/>
    <w:bookmarkEnd w:id="5"/>
    <w:bookmarkEnd w:id="7"/>
    <w:p w14:paraId="5A898F05">
      <w:pPr>
        <w:spacing w:line="360" w:lineRule="auto"/>
        <w:ind w:firstLine="420" w:firstLineChars="200"/>
        <w:rPr>
          <w:rFonts w:hint="eastAsia" w:cs="宋体" w:asciiTheme="minorEastAsia" w:hAnsiTheme="minorEastAsia" w:eastAsiaTheme="minorEastAsia"/>
          <w:color w:val="auto"/>
          <w:szCs w:val="21"/>
          <w:highlight w:val="none"/>
        </w:rPr>
      </w:pPr>
      <w:bookmarkStart w:id="127" w:name="_Toc45900508"/>
      <w:bookmarkStart w:id="128" w:name="_Toc35393637"/>
      <w:bookmarkStart w:id="129" w:name="_Toc35393806"/>
      <w:bookmarkStart w:id="130" w:name="_Toc45452726"/>
      <w:bookmarkStart w:id="131" w:name="_Toc28359019"/>
      <w:bookmarkStart w:id="132" w:name="_Toc28359096"/>
      <w:bookmarkStart w:id="133" w:name="_Toc37603101"/>
      <w:bookmarkStart w:id="134" w:name="_Toc42204978"/>
      <w:r>
        <w:rPr>
          <w:rFonts w:hint="eastAsia" w:asciiTheme="minorEastAsia" w:hAnsiTheme="minorEastAsia" w:eastAsiaTheme="minorEastAsia"/>
          <w:color w:val="auto"/>
          <w:szCs w:val="21"/>
          <w:highlight w:val="none"/>
        </w:rPr>
        <w:t>1.采购人信息</w:t>
      </w:r>
      <w:bookmarkEnd w:id="127"/>
      <w:bookmarkEnd w:id="128"/>
      <w:bookmarkEnd w:id="129"/>
      <w:bookmarkEnd w:id="130"/>
      <w:bookmarkEnd w:id="131"/>
      <w:bookmarkEnd w:id="132"/>
    </w:p>
    <w:p w14:paraId="6A408982">
      <w:pPr>
        <w:spacing w:line="360" w:lineRule="auto"/>
        <w:ind w:firstLine="420" w:firstLineChars="200"/>
        <w:jc w:val="left"/>
        <w:rPr>
          <w:rFonts w:hint="eastAsia"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rPr>
        <w:t>名    称：</w:t>
      </w:r>
      <w:r>
        <w:rPr>
          <w:rFonts w:hint="eastAsia" w:asciiTheme="minorEastAsia" w:hAnsiTheme="minorEastAsia" w:eastAsiaTheme="minorEastAsia"/>
          <w:color w:val="auto"/>
          <w:szCs w:val="21"/>
          <w:highlight w:val="none"/>
          <w:lang w:eastAsia="zh-CN"/>
        </w:rPr>
        <w:t>昆明市滇池高原湖泊研究院</w:t>
      </w:r>
    </w:p>
    <w:p w14:paraId="48E82022">
      <w:pPr>
        <w:spacing w:line="360" w:lineRule="auto"/>
        <w:ind w:firstLine="420" w:firstLineChars="200"/>
        <w:jc w:val="left"/>
        <w:rPr>
          <w:rFonts w:hint="eastAsia"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rPr>
        <w:t>地    址：</w:t>
      </w:r>
      <w:r>
        <w:rPr>
          <w:rFonts w:hint="eastAsia" w:cs="宋体" w:asciiTheme="minorEastAsia" w:hAnsiTheme="minorEastAsia" w:eastAsiaTheme="minorEastAsia"/>
          <w:color w:val="auto"/>
          <w:szCs w:val="21"/>
          <w:highlight w:val="none"/>
          <w:lang w:eastAsia="zh-CN"/>
        </w:rPr>
        <w:t>昆明市滇池国家旅游度假区湖滨路3号</w:t>
      </w:r>
    </w:p>
    <w:p w14:paraId="0C25A560">
      <w:pPr>
        <w:spacing w:line="360" w:lineRule="auto"/>
        <w:ind w:firstLine="420" w:firstLineChars="200"/>
        <w:jc w:val="lef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联系方式：王工（0871-64619026）</w:t>
      </w:r>
    </w:p>
    <w:p w14:paraId="1B46125E">
      <w:pPr>
        <w:spacing w:line="360" w:lineRule="auto"/>
        <w:rPr>
          <w:rFonts w:hint="eastAsia" w:asciiTheme="minorEastAsia" w:hAnsiTheme="minorEastAsia" w:eastAsiaTheme="minorEastAsia"/>
          <w:color w:val="auto"/>
          <w:highlight w:val="none"/>
        </w:rPr>
      </w:pPr>
    </w:p>
    <w:p w14:paraId="6A3B665B">
      <w:pPr>
        <w:spacing w:line="360" w:lineRule="auto"/>
        <w:ind w:firstLine="420" w:firstLineChars="200"/>
        <w:rPr>
          <w:rFonts w:hint="eastAsia" w:asciiTheme="minorEastAsia" w:hAnsiTheme="minorEastAsia" w:eastAsiaTheme="minorEastAsia"/>
          <w:color w:val="auto"/>
          <w:szCs w:val="21"/>
          <w:highlight w:val="none"/>
        </w:rPr>
      </w:pPr>
      <w:bookmarkStart w:id="135" w:name="_Toc45900509"/>
      <w:bookmarkStart w:id="136" w:name="_Toc28359097"/>
      <w:bookmarkStart w:id="137" w:name="_Toc35393638"/>
      <w:bookmarkStart w:id="138" w:name="_Toc45452727"/>
      <w:bookmarkStart w:id="139" w:name="_Toc35393807"/>
      <w:bookmarkStart w:id="140" w:name="_Toc28359020"/>
      <w:r>
        <w:rPr>
          <w:rFonts w:hint="eastAsia" w:asciiTheme="minorEastAsia" w:hAnsiTheme="minorEastAsia" w:eastAsiaTheme="minorEastAsia"/>
          <w:color w:val="auto"/>
          <w:szCs w:val="21"/>
          <w:highlight w:val="none"/>
        </w:rPr>
        <w:t>2.采购代理机构信息</w:t>
      </w:r>
      <w:bookmarkEnd w:id="135"/>
      <w:bookmarkEnd w:id="136"/>
      <w:bookmarkEnd w:id="137"/>
      <w:bookmarkEnd w:id="138"/>
      <w:bookmarkEnd w:id="139"/>
      <w:bookmarkEnd w:id="140"/>
    </w:p>
    <w:p w14:paraId="03D29278">
      <w:pPr>
        <w:spacing w:line="360" w:lineRule="auto"/>
        <w:ind w:firstLine="420" w:firstLineChars="200"/>
        <w:rPr>
          <w:rFonts w:hint="eastAsia"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rPr>
        <w:t>名    称：</w:t>
      </w:r>
      <w:r>
        <w:rPr>
          <w:rFonts w:hint="eastAsia" w:asciiTheme="minorEastAsia" w:hAnsiTheme="minorEastAsia" w:eastAsiaTheme="minorEastAsia"/>
          <w:color w:val="auto"/>
          <w:szCs w:val="21"/>
          <w:highlight w:val="none"/>
          <w:lang w:eastAsia="zh-CN"/>
        </w:rPr>
        <w:t>云南燕国工程咨询有限公司</w:t>
      </w:r>
    </w:p>
    <w:p w14:paraId="4049BE2A">
      <w:pPr>
        <w:spacing w:line="360" w:lineRule="auto"/>
        <w:ind w:firstLine="420" w:firstLineChars="200"/>
        <w:rPr>
          <w:rFonts w:hint="eastAsia"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rPr>
        <w:t>地　　址：</w:t>
      </w:r>
      <w:r>
        <w:rPr>
          <w:rFonts w:hint="eastAsia" w:asciiTheme="minorEastAsia" w:hAnsiTheme="minorEastAsia" w:eastAsiaTheme="minorEastAsia"/>
          <w:color w:val="auto"/>
          <w:szCs w:val="21"/>
          <w:highlight w:val="none"/>
          <w:lang w:eastAsia="zh-CN"/>
        </w:rPr>
        <w:t>云南省昆明市盘龙区白云路168号瑞鼎城B栋A15楼A1521室</w:t>
      </w:r>
    </w:p>
    <w:p w14:paraId="6811306A">
      <w:pPr>
        <w:spacing w:line="360" w:lineRule="auto"/>
        <w:ind w:firstLine="420" w:firstLineChars="200"/>
        <w:rPr>
          <w:rFonts w:hint="eastAsia"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rPr>
        <w:t>联系方式：</w:t>
      </w:r>
      <w:r>
        <w:rPr>
          <w:rFonts w:hint="eastAsia" w:asciiTheme="minorEastAsia" w:hAnsiTheme="minorEastAsia" w:eastAsiaTheme="minorEastAsia"/>
          <w:color w:val="auto"/>
          <w:szCs w:val="21"/>
          <w:highlight w:val="none"/>
          <w:lang w:eastAsia="zh-CN"/>
        </w:rPr>
        <w:t>18988445786/0871-63335201</w:t>
      </w:r>
    </w:p>
    <w:p w14:paraId="767B4692">
      <w:pPr>
        <w:spacing w:line="360" w:lineRule="auto"/>
        <w:rPr>
          <w:rFonts w:hint="eastAsia" w:asciiTheme="minorEastAsia" w:hAnsiTheme="minorEastAsia" w:eastAsiaTheme="minorEastAsia"/>
          <w:color w:val="auto"/>
          <w:highlight w:val="none"/>
        </w:rPr>
      </w:pPr>
    </w:p>
    <w:p w14:paraId="724F36BD">
      <w:pPr>
        <w:spacing w:line="360" w:lineRule="auto"/>
        <w:ind w:firstLine="420" w:firstLineChars="200"/>
        <w:rPr>
          <w:rFonts w:hint="eastAsia" w:asciiTheme="minorEastAsia" w:hAnsiTheme="minorEastAsia" w:eastAsiaTheme="minorEastAsia"/>
          <w:color w:val="auto"/>
          <w:szCs w:val="21"/>
          <w:highlight w:val="none"/>
        </w:rPr>
      </w:pPr>
      <w:bookmarkStart w:id="141" w:name="_Toc28359021"/>
      <w:bookmarkStart w:id="142" w:name="_Toc28359098"/>
      <w:bookmarkStart w:id="143" w:name="_Toc35393639"/>
      <w:bookmarkStart w:id="144" w:name="_Toc35393808"/>
      <w:bookmarkStart w:id="145" w:name="_Toc45452728"/>
      <w:bookmarkStart w:id="146" w:name="_Toc45900510"/>
      <w:r>
        <w:rPr>
          <w:rFonts w:hint="eastAsia" w:asciiTheme="minorEastAsia" w:hAnsiTheme="minorEastAsia" w:eastAsiaTheme="minorEastAsia"/>
          <w:color w:val="auto"/>
          <w:szCs w:val="21"/>
          <w:highlight w:val="none"/>
        </w:rPr>
        <w:t>3.项目联系</w:t>
      </w:r>
      <w:r>
        <w:rPr>
          <w:rFonts w:asciiTheme="minorEastAsia" w:hAnsiTheme="minorEastAsia" w:eastAsiaTheme="minorEastAsia"/>
          <w:color w:val="auto"/>
          <w:szCs w:val="21"/>
          <w:highlight w:val="none"/>
        </w:rPr>
        <w:t>方式</w:t>
      </w:r>
      <w:bookmarkEnd w:id="141"/>
      <w:bookmarkEnd w:id="142"/>
      <w:bookmarkEnd w:id="143"/>
      <w:bookmarkEnd w:id="144"/>
      <w:bookmarkEnd w:id="145"/>
      <w:bookmarkEnd w:id="146"/>
    </w:p>
    <w:p w14:paraId="63F3D97C">
      <w:pPr>
        <w:pStyle w:val="28"/>
        <w:spacing w:line="360" w:lineRule="auto"/>
        <w:ind w:firstLine="420" w:firstLineChars="200"/>
        <w:rPr>
          <w:rFonts w:hint="eastAsia"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rPr>
        <w:t>项目联系人：</w:t>
      </w:r>
      <w:r>
        <w:rPr>
          <w:rFonts w:hint="eastAsia" w:hAnsi="宋体" w:cs="宋体" w:eastAsiaTheme="minorEastAsia"/>
          <w:color w:val="auto"/>
          <w:szCs w:val="21"/>
          <w:highlight w:val="none"/>
          <w:lang w:val="en-US" w:eastAsia="zh-CN"/>
        </w:rPr>
        <w:t>黄丽</w:t>
      </w:r>
    </w:p>
    <w:p w14:paraId="1CEB4862">
      <w:pPr>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电　  话：</w:t>
      </w:r>
      <w:r>
        <w:rPr>
          <w:rFonts w:hint="eastAsia" w:asciiTheme="minorEastAsia" w:hAnsiTheme="minorEastAsia" w:eastAsiaTheme="minorEastAsia"/>
          <w:color w:val="auto"/>
          <w:szCs w:val="21"/>
          <w:highlight w:val="none"/>
          <w:lang w:val="en-US" w:eastAsia="zh-CN"/>
        </w:rPr>
        <w:t>18988445786/0871-63335201</w:t>
      </w:r>
      <w:r>
        <w:rPr>
          <w:rFonts w:asciiTheme="minorEastAsia" w:hAnsiTheme="minorEastAsia" w:eastAsiaTheme="minorEastAsia"/>
          <w:color w:val="auto"/>
          <w:szCs w:val="21"/>
          <w:highlight w:val="none"/>
        </w:rPr>
        <w:br w:type="page"/>
      </w:r>
    </w:p>
    <w:p w14:paraId="0944A561">
      <w:pPr>
        <w:spacing w:line="360" w:lineRule="auto"/>
        <w:jc w:val="center"/>
        <w:outlineLvl w:val="0"/>
        <w:rPr>
          <w:rFonts w:hint="eastAsia" w:asciiTheme="minorEastAsia" w:hAnsiTheme="minorEastAsia" w:eastAsiaTheme="minorEastAsia"/>
          <w:b/>
          <w:bCs/>
          <w:color w:val="auto"/>
          <w:sz w:val="32"/>
          <w:szCs w:val="32"/>
          <w:highlight w:val="none"/>
        </w:rPr>
      </w:pPr>
      <w:bookmarkStart w:id="147" w:name="_Toc158233412"/>
      <w:r>
        <w:rPr>
          <w:rFonts w:hint="eastAsia" w:asciiTheme="minorEastAsia" w:hAnsiTheme="minorEastAsia" w:eastAsiaTheme="minorEastAsia"/>
          <w:b/>
          <w:bCs/>
          <w:color w:val="auto"/>
          <w:sz w:val="32"/>
          <w:szCs w:val="32"/>
          <w:highlight w:val="none"/>
        </w:rPr>
        <w:t>第二章 供应商须知</w:t>
      </w:r>
      <w:bookmarkEnd w:id="133"/>
      <w:bookmarkEnd w:id="134"/>
      <w:bookmarkEnd w:id="147"/>
    </w:p>
    <w:p w14:paraId="2989428C">
      <w:pPr>
        <w:pStyle w:val="4"/>
        <w:spacing w:line="360" w:lineRule="auto"/>
        <w:rPr>
          <w:rFonts w:hint="eastAsia" w:asciiTheme="minorEastAsia" w:hAnsiTheme="minorEastAsia" w:eastAsiaTheme="minorEastAsia"/>
          <w:color w:val="auto"/>
          <w:szCs w:val="28"/>
          <w:highlight w:val="none"/>
        </w:rPr>
      </w:pPr>
      <w:bookmarkStart w:id="148" w:name="_Toc132362632"/>
      <w:bookmarkStart w:id="149" w:name="_Toc158233413"/>
      <w:r>
        <w:rPr>
          <w:rFonts w:hint="eastAsia" w:asciiTheme="minorEastAsia" w:hAnsiTheme="minorEastAsia" w:eastAsiaTheme="minorEastAsia"/>
          <w:color w:val="auto"/>
          <w:szCs w:val="28"/>
          <w:highlight w:val="none"/>
        </w:rPr>
        <w:t>一、供应商须知前附表</w:t>
      </w:r>
      <w:bookmarkEnd w:id="148"/>
      <w:bookmarkEnd w:id="149"/>
    </w:p>
    <w:tbl>
      <w:tblPr>
        <w:tblStyle w:val="55"/>
        <w:tblW w:w="9067" w:type="dxa"/>
        <w:jc w:val="center"/>
        <w:tblLayout w:type="fixed"/>
        <w:tblCellMar>
          <w:top w:w="0" w:type="dxa"/>
          <w:left w:w="0" w:type="dxa"/>
          <w:bottom w:w="0" w:type="dxa"/>
          <w:right w:w="0" w:type="dxa"/>
        </w:tblCellMar>
      </w:tblPr>
      <w:tblGrid>
        <w:gridCol w:w="840"/>
        <w:gridCol w:w="2264"/>
        <w:gridCol w:w="5963"/>
      </w:tblGrid>
      <w:tr w14:paraId="27C122AF">
        <w:tblPrEx>
          <w:tblCellMar>
            <w:top w:w="0" w:type="dxa"/>
            <w:left w:w="0" w:type="dxa"/>
            <w:bottom w:w="0" w:type="dxa"/>
            <w:right w:w="0" w:type="dxa"/>
          </w:tblCellMar>
        </w:tblPrEx>
        <w:trPr>
          <w:trHeight w:val="489" w:hRule="atLeast"/>
          <w:jc w:val="center"/>
        </w:trPr>
        <w:tc>
          <w:tcPr>
            <w:tcW w:w="840" w:type="dxa"/>
            <w:tcBorders>
              <w:top w:val="single" w:color="auto" w:sz="4" w:space="0"/>
              <w:left w:val="single" w:color="auto" w:sz="4" w:space="0"/>
              <w:bottom w:val="single" w:color="auto" w:sz="4" w:space="0"/>
              <w:right w:val="single" w:color="auto" w:sz="4" w:space="0"/>
            </w:tcBorders>
            <w:vAlign w:val="center"/>
          </w:tcPr>
          <w:p w14:paraId="11CAB334">
            <w:pPr>
              <w:autoSpaceDE w:val="0"/>
              <w:autoSpaceDN w:val="0"/>
              <w:spacing w:before="60" w:after="60"/>
              <w:contextualSpacing/>
              <w:jc w:val="center"/>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条款号</w:t>
            </w:r>
          </w:p>
        </w:tc>
        <w:tc>
          <w:tcPr>
            <w:tcW w:w="2264" w:type="dxa"/>
            <w:tcBorders>
              <w:top w:val="single" w:color="auto" w:sz="4" w:space="0"/>
              <w:left w:val="single" w:color="auto" w:sz="4" w:space="0"/>
              <w:bottom w:val="single" w:color="auto" w:sz="4" w:space="0"/>
              <w:right w:val="single" w:color="auto" w:sz="4" w:space="0"/>
            </w:tcBorders>
            <w:vAlign w:val="center"/>
          </w:tcPr>
          <w:p w14:paraId="28498A2A">
            <w:pPr>
              <w:wordWrap w:val="0"/>
              <w:autoSpaceDE w:val="0"/>
              <w:autoSpaceDN w:val="0"/>
              <w:spacing w:before="60" w:after="60"/>
              <w:contextualSpacing/>
              <w:jc w:val="center"/>
              <w:rPr>
                <w:rFonts w:hint="eastAsia"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条款名称</w:t>
            </w:r>
          </w:p>
        </w:tc>
        <w:tc>
          <w:tcPr>
            <w:tcW w:w="5963" w:type="dxa"/>
            <w:tcBorders>
              <w:top w:val="single" w:color="auto" w:sz="4" w:space="0"/>
              <w:left w:val="single" w:color="auto" w:sz="4" w:space="0"/>
              <w:bottom w:val="single" w:color="auto" w:sz="4" w:space="0"/>
              <w:right w:val="single" w:color="auto" w:sz="4" w:space="0"/>
            </w:tcBorders>
            <w:vAlign w:val="center"/>
          </w:tcPr>
          <w:p w14:paraId="2846308C">
            <w:pPr>
              <w:wordWrap w:val="0"/>
              <w:autoSpaceDE w:val="0"/>
              <w:autoSpaceDN w:val="0"/>
              <w:spacing w:before="60" w:after="60"/>
              <w:ind w:left="-15" w:leftChars="-7" w:firstLine="15" w:firstLineChars="7"/>
              <w:contextualSpacing/>
              <w:jc w:val="center"/>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编列内容</w:t>
            </w:r>
          </w:p>
        </w:tc>
      </w:tr>
      <w:tr w14:paraId="2E4A0268">
        <w:tblPrEx>
          <w:tblCellMar>
            <w:top w:w="0" w:type="dxa"/>
            <w:left w:w="0" w:type="dxa"/>
            <w:bottom w:w="0" w:type="dxa"/>
            <w:right w:w="0" w:type="dxa"/>
          </w:tblCellMar>
        </w:tblPrEx>
        <w:trPr>
          <w:trHeight w:val="567" w:hRule="atLeast"/>
          <w:jc w:val="center"/>
        </w:trPr>
        <w:tc>
          <w:tcPr>
            <w:tcW w:w="840" w:type="dxa"/>
            <w:tcBorders>
              <w:top w:val="single" w:color="auto" w:sz="4" w:space="0"/>
              <w:left w:val="single" w:color="auto" w:sz="4" w:space="0"/>
              <w:bottom w:val="single" w:color="auto" w:sz="4" w:space="0"/>
              <w:right w:val="single" w:color="auto" w:sz="4" w:space="0"/>
            </w:tcBorders>
            <w:vAlign w:val="center"/>
          </w:tcPr>
          <w:p w14:paraId="375C536A">
            <w:pPr>
              <w:wordWrap w:val="0"/>
              <w:autoSpaceDE w:val="0"/>
              <w:autoSpaceDN w:val="0"/>
              <w:spacing w:line="360" w:lineRule="auto"/>
              <w:contextualSpacing/>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1.1.2</w:t>
            </w:r>
          </w:p>
        </w:tc>
        <w:tc>
          <w:tcPr>
            <w:tcW w:w="2264" w:type="dxa"/>
            <w:tcBorders>
              <w:top w:val="single" w:color="auto" w:sz="4" w:space="0"/>
              <w:left w:val="single" w:color="auto" w:sz="4" w:space="0"/>
              <w:bottom w:val="single" w:color="auto" w:sz="4" w:space="0"/>
              <w:right w:val="single" w:color="auto" w:sz="4" w:space="0"/>
            </w:tcBorders>
            <w:vAlign w:val="center"/>
          </w:tcPr>
          <w:p w14:paraId="6BF8DA0E">
            <w:pPr>
              <w:wordWrap w:val="0"/>
              <w:autoSpaceDE w:val="0"/>
              <w:autoSpaceDN w:val="0"/>
              <w:spacing w:line="360" w:lineRule="auto"/>
              <w:contextualSpacing/>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采购人</w:t>
            </w:r>
          </w:p>
        </w:tc>
        <w:tc>
          <w:tcPr>
            <w:tcW w:w="5963" w:type="dxa"/>
            <w:tcBorders>
              <w:top w:val="single" w:color="auto" w:sz="4" w:space="0"/>
              <w:left w:val="single" w:color="auto" w:sz="4" w:space="0"/>
              <w:bottom w:val="single" w:color="auto" w:sz="4" w:space="0"/>
              <w:right w:val="single" w:color="auto" w:sz="4" w:space="0"/>
            </w:tcBorders>
          </w:tcPr>
          <w:p w14:paraId="44D22F0A">
            <w:pPr>
              <w:spacing w:before="156" w:beforeLines="50" w:line="360" w:lineRule="auto"/>
              <w:ind w:left="105" w:leftChars="50"/>
              <w:rPr>
                <w:rFonts w:hint="eastAsia" w:asciiTheme="minorEastAsia" w:hAnsiTheme="minorEastAsia" w:eastAsiaTheme="minorEastAsia"/>
                <w:color w:val="auto"/>
                <w:szCs w:val="21"/>
                <w:highlight w:val="none"/>
                <w:lang w:eastAsia="zh-CN"/>
              </w:rPr>
            </w:pPr>
            <w:bookmarkStart w:id="150" w:name="_Hlk75780510"/>
            <w:r>
              <w:rPr>
                <w:rFonts w:hint="eastAsia" w:cs="宋体" w:asciiTheme="minorEastAsia" w:hAnsiTheme="minorEastAsia" w:eastAsiaTheme="minorEastAsia"/>
                <w:color w:val="auto"/>
                <w:szCs w:val="21"/>
                <w:highlight w:val="none"/>
              </w:rPr>
              <w:t>单位名称：</w:t>
            </w:r>
            <w:r>
              <w:rPr>
                <w:rFonts w:hint="eastAsia" w:cs="宋体" w:asciiTheme="minorEastAsia" w:hAnsiTheme="minorEastAsia" w:eastAsiaTheme="minorEastAsia"/>
                <w:color w:val="auto"/>
                <w:szCs w:val="21"/>
                <w:highlight w:val="none"/>
                <w:lang w:eastAsia="zh-CN"/>
              </w:rPr>
              <w:t>昆明市滇池高原湖泊研究院</w:t>
            </w:r>
          </w:p>
          <w:p w14:paraId="4E637876">
            <w:pPr>
              <w:spacing w:line="360" w:lineRule="auto"/>
              <w:ind w:left="105" w:leftChars="50"/>
              <w:rPr>
                <w:rFonts w:hint="eastAsia"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rPr>
              <w:t>单位地址：</w:t>
            </w:r>
            <w:r>
              <w:rPr>
                <w:rFonts w:hint="eastAsia" w:cs="宋体" w:asciiTheme="minorEastAsia" w:hAnsiTheme="minorEastAsia" w:eastAsiaTheme="minorEastAsia"/>
                <w:color w:val="auto"/>
                <w:szCs w:val="21"/>
                <w:highlight w:val="none"/>
                <w:lang w:eastAsia="zh-CN"/>
              </w:rPr>
              <w:t>昆明市滇池国家旅游度假区湖滨路3号</w:t>
            </w:r>
          </w:p>
          <w:p w14:paraId="59111AEF">
            <w:pPr>
              <w:spacing w:line="360" w:lineRule="auto"/>
              <w:ind w:left="105" w:leftChars="5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联 系 人：王工</w:t>
            </w:r>
          </w:p>
          <w:p w14:paraId="00433B63">
            <w:pPr>
              <w:spacing w:line="360" w:lineRule="auto"/>
              <w:ind w:left="105" w:leftChars="5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联系电话：</w:t>
            </w:r>
            <w:bookmarkEnd w:id="150"/>
            <w:r>
              <w:rPr>
                <w:rFonts w:hint="eastAsia" w:asciiTheme="minorEastAsia" w:hAnsiTheme="minorEastAsia" w:eastAsiaTheme="minorEastAsia"/>
                <w:color w:val="auto"/>
                <w:szCs w:val="21"/>
                <w:highlight w:val="none"/>
              </w:rPr>
              <w:t>0871-64619026</w:t>
            </w:r>
          </w:p>
        </w:tc>
      </w:tr>
      <w:tr w14:paraId="1703727D">
        <w:tblPrEx>
          <w:tblCellMar>
            <w:top w:w="0" w:type="dxa"/>
            <w:left w:w="0" w:type="dxa"/>
            <w:bottom w:w="0" w:type="dxa"/>
            <w:right w:w="0" w:type="dxa"/>
          </w:tblCellMar>
        </w:tblPrEx>
        <w:trPr>
          <w:trHeight w:val="567" w:hRule="atLeast"/>
          <w:jc w:val="center"/>
        </w:trPr>
        <w:tc>
          <w:tcPr>
            <w:tcW w:w="840" w:type="dxa"/>
            <w:tcBorders>
              <w:top w:val="single" w:color="auto" w:sz="4" w:space="0"/>
              <w:left w:val="single" w:color="auto" w:sz="4" w:space="0"/>
              <w:bottom w:val="single" w:color="auto" w:sz="4" w:space="0"/>
              <w:right w:val="single" w:color="auto" w:sz="4" w:space="0"/>
            </w:tcBorders>
            <w:vAlign w:val="center"/>
          </w:tcPr>
          <w:p w14:paraId="684B2786">
            <w:pPr>
              <w:spacing w:before="156" w:beforeLines="50" w:line="360" w:lineRule="auto"/>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1.1.3</w:t>
            </w:r>
          </w:p>
        </w:tc>
        <w:tc>
          <w:tcPr>
            <w:tcW w:w="2264" w:type="dxa"/>
            <w:tcBorders>
              <w:top w:val="single" w:color="auto" w:sz="4" w:space="0"/>
              <w:left w:val="single" w:color="auto" w:sz="4" w:space="0"/>
              <w:bottom w:val="single" w:color="auto" w:sz="4" w:space="0"/>
              <w:right w:val="single" w:color="auto" w:sz="4" w:space="0"/>
            </w:tcBorders>
            <w:vAlign w:val="center"/>
          </w:tcPr>
          <w:p w14:paraId="26381C71">
            <w:pPr>
              <w:spacing w:before="156" w:beforeLines="50" w:line="360" w:lineRule="auto"/>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采购代理机构</w:t>
            </w:r>
          </w:p>
        </w:tc>
        <w:tc>
          <w:tcPr>
            <w:tcW w:w="5963" w:type="dxa"/>
            <w:tcBorders>
              <w:top w:val="single" w:color="auto" w:sz="4" w:space="0"/>
              <w:left w:val="single" w:color="auto" w:sz="4" w:space="0"/>
              <w:bottom w:val="single" w:color="auto" w:sz="4" w:space="0"/>
              <w:right w:val="single" w:color="auto" w:sz="4" w:space="0"/>
            </w:tcBorders>
          </w:tcPr>
          <w:p w14:paraId="51A7EFF2">
            <w:pPr>
              <w:spacing w:before="156" w:beforeLines="50" w:line="360" w:lineRule="auto"/>
              <w:ind w:left="105" w:leftChars="50"/>
              <w:rPr>
                <w:rFonts w:hint="eastAsia" w:asciiTheme="minorEastAsia" w:hAnsiTheme="minorEastAsia" w:eastAsiaTheme="minorEastAsia"/>
                <w:color w:val="auto"/>
                <w:szCs w:val="21"/>
                <w:highlight w:val="none"/>
                <w:lang w:eastAsia="zh-CN"/>
              </w:rPr>
            </w:pPr>
            <w:r>
              <w:rPr>
                <w:rFonts w:hint="eastAsia" w:cs="宋体" w:asciiTheme="minorEastAsia" w:hAnsiTheme="minorEastAsia" w:eastAsiaTheme="minorEastAsia"/>
                <w:color w:val="auto"/>
                <w:szCs w:val="21"/>
                <w:highlight w:val="none"/>
              </w:rPr>
              <w:t>单位名称：</w:t>
            </w:r>
            <w:r>
              <w:rPr>
                <w:rFonts w:hint="eastAsia" w:cs="宋体" w:asciiTheme="minorEastAsia" w:hAnsiTheme="minorEastAsia" w:eastAsiaTheme="minorEastAsia"/>
                <w:color w:val="auto"/>
                <w:szCs w:val="21"/>
                <w:highlight w:val="none"/>
                <w:lang w:eastAsia="zh-CN"/>
              </w:rPr>
              <w:t>云南燕国工程咨询有限公司</w:t>
            </w:r>
          </w:p>
          <w:p w14:paraId="32ACE909">
            <w:pPr>
              <w:spacing w:line="360" w:lineRule="auto"/>
              <w:ind w:left="105" w:leftChars="50"/>
              <w:rPr>
                <w:rFonts w:hint="eastAsia"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rPr>
              <w:t>单位地址：</w:t>
            </w:r>
            <w:r>
              <w:rPr>
                <w:rFonts w:hint="eastAsia" w:asciiTheme="minorEastAsia" w:hAnsiTheme="minorEastAsia" w:eastAsiaTheme="minorEastAsia"/>
                <w:color w:val="auto"/>
                <w:szCs w:val="21"/>
                <w:highlight w:val="none"/>
                <w:lang w:eastAsia="zh-CN"/>
              </w:rPr>
              <w:t>云南省昆明市盘龙区白云路168号瑞鼎城B栋A15楼A1521室</w:t>
            </w:r>
          </w:p>
          <w:p w14:paraId="2E74DB1B">
            <w:pPr>
              <w:spacing w:line="360" w:lineRule="auto"/>
              <w:ind w:left="105" w:leftChars="50"/>
              <w:rPr>
                <w:rFonts w:hint="eastAsia"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rPr>
              <w:t>联 系 人：</w:t>
            </w:r>
            <w:r>
              <w:rPr>
                <w:rFonts w:hint="eastAsia" w:hAnsi="宋体" w:cs="宋体" w:eastAsiaTheme="minorEastAsia"/>
                <w:color w:val="auto"/>
                <w:szCs w:val="21"/>
                <w:highlight w:val="none"/>
                <w:lang w:val="en-US" w:eastAsia="zh-CN"/>
              </w:rPr>
              <w:t>黄丽</w:t>
            </w:r>
          </w:p>
          <w:p w14:paraId="540676AB">
            <w:pPr>
              <w:spacing w:line="360" w:lineRule="auto"/>
              <w:ind w:left="105" w:leftChars="50"/>
              <w:rPr>
                <w:rFonts w:hint="default"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rPr>
              <w:t>联系电话：</w:t>
            </w:r>
            <w:r>
              <w:rPr>
                <w:rFonts w:hint="eastAsia" w:asciiTheme="minorEastAsia" w:hAnsiTheme="minorEastAsia" w:eastAsiaTheme="minorEastAsia"/>
                <w:color w:val="auto"/>
                <w:szCs w:val="21"/>
                <w:highlight w:val="none"/>
                <w:lang w:val="en-US" w:eastAsia="zh-CN"/>
              </w:rPr>
              <w:t>18988445786/0871-63335201</w:t>
            </w:r>
          </w:p>
        </w:tc>
      </w:tr>
      <w:tr w14:paraId="769FC907">
        <w:tblPrEx>
          <w:tblCellMar>
            <w:top w:w="0" w:type="dxa"/>
            <w:left w:w="0" w:type="dxa"/>
            <w:bottom w:w="0" w:type="dxa"/>
            <w:right w:w="0" w:type="dxa"/>
          </w:tblCellMar>
        </w:tblPrEx>
        <w:trPr>
          <w:trHeight w:val="411" w:hRule="atLeast"/>
          <w:jc w:val="center"/>
        </w:trPr>
        <w:tc>
          <w:tcPr>
            <w:tcW w:w="840" w:type="dxa"/>
            <w:tcBorders>
              <w:top w:val="single" w:color="auto" w:sz="4" w:space="0"/>
              <w:left w:val="single" w:color="auto" w:sz="4" w:space="0"/>
              <w:bottom w:val="single" w:color="auto" w:sz="4" w:space="0"/>
              <w:right w:val="single" w:color="auto" w:sz="4" w:space="0"/>
            </w:tcBorders>
            <w:vAlign w:val="center"/>
          </w:tcPr>
          <w:p w14:paraId="7A4BDC41">
            <w:pPr>
              <w:spacing w:before="156" w:beforeLines="50" w:line="360" w:lineRule="auto"/>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w:t>
            </w:r>
            <w:r>
              <w:rPr>
                <w:rFonts w:asciiTheme="minorEastAsia" w:hAnsiTheme="minorEastAsia" w:eastAsiaTheme="minorEastAsia"/>
                <w:color w:val="auto"/>
                <w:szCs w:val="21"/>
                <w:highlight w:val="none"/>
              </w:rPr>
              <w:t>1</w:t>
            </w:r>
            <w:r>
              <w:rPr>
                <w:rFonts w:hint="eastAsia" w:asciiTheme="minorEastAsia" w:hAnsiTheme="minorEastAsia" w:eastAsiaTheme="minorEastAsia"/>
                <w:color w:val="auto"/>
                <w:szCs w:val="21"/>
                <w:highlight w:val="none"/>
              </w:rPr>
              <w:t>.</w:t>
            </w:r>
            <w:r>
              <w:rPr>
                <w:rFonts w:asciiTheme="minorEastAsia" w:hAnsiTheme="minorEastAsia" w:eastAsiaTheme="minorEastAsia"/>
                <w:color w:val="auto"/>
                <w:szCs w:val="21"/>
                <w:highlight w:val="none"/>
              </w:rPr>
              <w:t>4</w:t>
            </w:r>
          </w:p>
        </w:tc>
        <w:tc>
          <w:tcPr>
            <w:tcW w:w="2264" w:type="dxa"/>
            <w:tcBorders>
              <w:top w:val="single" w:color="auto" w:sz="4" w:space="0"/>
              <w:left w:val="single" w:color="auto" w:sz="4" w:space="0"/>
              <w:bottom w:val="single" w:color="auto" w:sz="4" w:space="0"/>
              <w:right w:val="single" w:color="auto" w:sz="4" w:space="0"/>
            </w:tcBorders>
            <w:vAlign w:val="center"/>
          </w:tcPr>
          <w:p w14:paraId="4B4DA851">
            <w:pPr>
              <w:spacing w:before="156" w:beforeLines="50" w:line="360" w:lineRule="auto"/>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项目名称</w:t>
            </w:r>
          </w:p>
        </w:tc>
        <w:tc>
          <w:tcPr>
            <w:tcW w:w="5963" w:type="dxa"/>
            <w:tcBorders>
              <w:top w:val="single" w:color="auto" w:sz="4" w:space="0"/>
              <w:left w:val="single" w:color="auto" w:sz="4" w:space="0"/>
              <w:bottom w:val="single" w:color="auto" w:sz="4" w:space="0"/>
              <w:right w:val="single" w:color="auto" w:sz="4" w:space="0"/>
            </w:tcBorders>
            <w:vAlign w:val="center"/>
          </w:tcPr>
          <w:p w14:paraId="7D3F0B41">
            <w:pPr>
              <w:spacing w:before="156" w:beforeLines="50" w:line="360" w:lineRule="auto"/>
              <w:ind w:left="105" w:leftChars="50" w:right="105" w:rightChars="50"/>
              <w:rPr>
                <w:rFonts w:hint="eastAsia"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滇池底泥处理处置与城市固废协同治理与循环利用应用示范项目监理服务</w:t>
            </w:r>
          </w:p>
        </w:tc>
      </w:tr>
      <w:tr w14:paraId="05A097A5">
        <w:tblPrEx>
          <w:tblCellMar>
            <w:top w:w="0" w:type="dxa"/>
            <w:left w:w="0" w:type="dxa"/>
            <w:bottom w:w="0" w:type="dxa"/>
            <w:right w:w="0" w:type="dxa"/>
          </w:tblCellMar>
        </w:tblPrEx>
        <w:trPr>
          <w:trHeight w:val="433" w:hRule="atLeast"/>
          <w:jc w:val="center"/>
        </w:trPr>
        <w:tc>
          <w:tcPr>
            <w:tcW w:w="840" w:type="dxa"/>
            <w:tcBorders>
              <w:top w:val="single" w:color="auto" w:sz="4" w:space="0"/>
              <w:left w:val="single" w:color="auto" w:sz="4" w:space="0"/>
              <w:bottom w:val="single" w:color="auto" w:sz="4" w:space="0"/>
              <w:right w:val="single" w:color="auto" w:sz="4" w:space="0"/>
            </w:tcBorders>
            <w:vAlign w:val="center"/>
          </w:tcPr>
          <w:p w14:paraId="6AEFFAAA">
            <w:pPr>
              <w:spacing w:before="156" w:beforeLines="50" w:line="360" w:lineRule="auto"/>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w:t>
            </w:r>
            <w:r>
              <w:rPr>
                <w:rFonts w:asciiTheme="minorEastAsia" w:hAnsiTheme="minorEastAsia" w:eastAsiaTheme="minorEastAsia"/>
                <w:color w:val="auto"/>
                <w:szCs w:val="21"/>
                <w:highlight w:val="none"/>
              </w:rPr>
              <w:t>.1.5</w:t>
            </w:r>
          </w:p>
        </w:tc>
        <w:tc>
          <w:tcPr>
            <w:tcW w:w="2264" w:type="dxa"/>
            <w:tcBorders>
              <w:top w:val="single" w:color="auto" w:sz="4" w:space="0"/>
              <w:left w:val="single" w:color="auto" w:sz="4" w:space="0"/>
              <w:bottom w:val="single" w:color="auto" w:sz="4" w:space="0"/>
              <w:right w:val="single" w:color="auto" w:sz="4" w:space="0"/>
            </w:tcBorders>
            <w:vAlign w:val="center"/>
          </w:tcPr>
          <w:p w14:paraId="137045F8">
            <w:pPr>
              <w:spacing w:before="156" w:beforeLines="50" w:line="360" w:lineRule="auto"/>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服务地点</w:t>
            </w:r>
          </w:p>
        </w:tc>
        <w:tc>
          <w:tcPr>
            <w:tcW w:w="5963" w:type="dxa"/>
            <w:tcBorders>
              <w:top w:val="single" w:color="auto" w:sz="4" w:space="0"/>
              <w:left w:val="single" w:color="auto" w:sz="4" w:space="0"/>
              <w:bottom w:val="single" w:color="auto" w:sz="4" w:space="0"/>
              <w:right w:val="single" w:color="auto" w:sz="4" w:space="0"/>
            </w:tcBorders>
            <w:vAlign w:val="center"/>
          </w:tcPr>
          <w:p w14:paraId="5538F876">
            <w:pPr>
              <w:spacing w:before="156" w:beforeLines="50" w:line="360" w:lineRule="auto"/>
              <w:ind w:left="105" w:leftChars="5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eastAsia="zh-CN"/>
              </w:rPr>
              <w:t>昆明市滇池高原湖泊研究院指定地点</w:t>
            </w:r>
            <w:r>
              <w:rPr>
                <w:rFonts w:hint="eastAsia" w:asciiTheme="minorEastAsia" w:hAnsiTheme="minorEastAsia" w:eastAsiaTheme="minorEastAsia"/>
                <w:color w:val="auto"/>
                <w:szCs w:val="21"/>
                <w:highlight w:val="none"/>
              </w:rPr>
              <w:t>。</w:t>
            </w:r>
          </w:p>
        </w:tc>
      </w:tr>
      <w:tr w14:paraId="203A89D2">
        <w:tblPrEx>
          <w:tblCellMar>
            <w:top w:w="0" w:type="dxa"/>
            <w:left w:w="0" w:type="dxa"/>
            <w:bottom w:w="0" w:type="dxa"/>
            <w:right w:w="0" w:type="dxa"/>
          </w:tblCellMar>
        </w:tblPrEx>
        <w:trPr>
          <w:trHeight w:val="397" w:hRule="atLeast"/>
          <w:jc w:val="center"/>
        </w:trPr>
        <w:tc>
          <w:tcPr>
            <w:tcW w:w="840" w:type="dxa"/>
            <w:tcBorders>
              <w:top w:val="single" w:color="auto" w:sz="4" w:space="0"/>
              <w:left w:val="single" w:color="auto" w:sz="4" w:space="0"/>
              <w:bottom w:val="single" w:color="auto" w:sz="4" w:space="0"/>
              <w:right w:val="single" w:color="auto" w:sz="4" w:space="0"/>
            </w:tcBorders>
            <w:vAlign w:val="center"/>
          </w:tcPr>
          <w:p w14:paraId="7CE64112">
            <w:pPr>
              <w:spacing w:before="156" w:beforeLines="50" w:line="360" w:lineRule="auto"/>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1.2.1</w:t>
            </w:r>
          </w:p>
        </w:tc>
        <w:tc>
          <w:tcPr>
            <w:tcW w:w="2264" w:type="dxa"/>
            <w:tcBorders>
              <w:top w:val="single" w:color="auto" w:sz="4" w:space="0"/>
              <w:left w:val="single" w:color="auto" w:sz="4" w:space="0"/>
              <w:bottom w:val="single" w:color="auto" w:sz="4" w:space="0"/>
              <w:right w:val="single" w:color="auto" w:sz="4" w:space="0"/>
            </w:tcBorders>
            <w:vAlign w:val="center"/>
          </w:tcPr>
          <w:p w14:paraId="285B4F38">
            <w:pPr>
              <w:spacing w:before="156" w:beforeLines="50" w:line="360" w:lineRule="auto"/>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资金来源</w:t>
            </w:r>
          </w:p>
        </w:tc>
        <w:tc>
          <w:tcPr>
            <w:tcW w:w="5963" w:type="dxa"/>
            <w:tcBorders>
              <w:top w:val="single" w:color="auto" w:sz="4" w:space="0"/>
              <w:left w:val="single" w:color="auto" w:sz="4" w:space="0"/>
              <w:bottom w:val="single" w:color="auto" w:sz="4" w:space="0"/>
              <w:right w:val="single" w:color="auto" w:sz="4" w:space="0"/>
            </w:tcBorders>
            <w:vAlign w:val="center"/>
          </w:tcPr>
          <w:p w14:paraId="51FADE9A">
            <w:pPr>
              <w:spacing w:before="156" w:beforeLines="50" w:line="360" w:lineRule="auto"/>
              <w:ind w:left="105" w:leftChars="5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财政拨款。</w:t>
            </w:r>
          </w:p>
        </w:tc>
      </w:tr>
      <w:tr w14:paraId="45ACFC2F">
        <w:tblPrEx>
          <w:tblCellMar>
            <w:top w:w="0" w:type="dxa"/>
            <w:left w:w="0" w:type="dxa"/>
            <w:bottom w:w="0" w:type="dxa"/>
            <w:right w:w="0" w:type="dxa"/>
          </w:tblCellMar>
        </w:tblPrEx>
        <w:trPr>
          <w:trHeight w:val="416" w:hRule="atLeast"/>
          <w:jc w:val="center"/>
        </w:trPr>
        <w:tc>
          <w:tcPr>
            <w:tcW w:w="840" w:type="dxa"/>
            <w:tcBorders>
              <w:top w:val="single" w:color="auto" w:sz="4" w:space="0"/>
              <w:left w:val="single" w:color="auto" w:sz="4" w:space="0"/>
              <w:bottom w:val="single" w:color="auto" w:sz="4" w:space="0"/>
              <w:right w:val="single" w:color="auto" w:sz="4" w:space="0"/>
            </w:tcBorders>
            <w:vAlign w:val="center"/>
          </w:tcPr>
          <w:p w14:paraId="00C608E5">
            <w:pPr>
              <w:spacing w:before="156" w:beforeLines="50" w:line="360" w:lineRule="auto"/>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1.2.2</w:t>
            </w:r>
          </w:p>
        </w:tc>
        <w:tc>
          <w:tcPr>
            <w:tcW w:w="2264" w:type="dxa"/>
            <w:tcBorders>
              <w:top w:val="single" w:color="auto" w:sz="4" w:space="0"/>
              <w:left w:val="single" w:color="auto" w:sz="4" w:space="0"/>
              <w:bottom w:val="single" w:color="auto" w:sz="4" w:space="0"/>
              <w:right w:val="single" w:color="auto" w:sz="4" w:space="0"/>
            </w:tcBorders>
            <w:vAlign w:val="center"/>
          </w:tcPr>
          <w:p w14:paraId="484FF73B">
            <w:pPr>
              <w:spacing w:before="156" w:beforeLines="50" w:line="360" w:lineRule="auto"/>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出资比例</w:t>
            </w:r>
          </w:p>
        </w:tc>
        <w:tc>
          <w:tcPr>
            <w:tcW w:w="5963" w:type="dxa"/>
            <w:tcBorders>
              <w:top w:val="single" w:color="auto" w:sz="4" w:space="0"/>
              <w:left w:val="single" w:color="auto" w:sz="4" w:space="0"/>
              <w:bottom w:val="single" w:color="auto" w:sz="4" w:space="0"/>
              <w:right w:val="single" w:color="auto" w:sz="4" w:space="0"/>
            </w:tcBorders>
            <w:vAlign w:val="center"/>
          </w:tcPr>
          <w:p w14:paraId="3ECC7B8F">
            <w:pPr>
              <w:spacing w:before="156" w:beforeLines="50" w:line="360" w:lineRule="auto"/>
              <w:ind w:left="105" w:leftChars="5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100%。</w:t>
            </w:r>
          </w:p>
        </w:tc>
      </w:tr>
      <w:tr w14:paraId="2551A22E">
        <w:tblPrEx>
          <w:tblCellMar>
            <w:top w:w="0" w:type="dxa"/>
            <w:left w:w="0" w:type="dxa"/>
            <w:bottom w:w="0" w:type="dxa"/>
            <w:right w:w="0" w:type="dxa"/>
          </w:tblCellMar>
        </w:tblPrEx>
        <w:trPr>
          <w:trHeight w:val="422" w:hRule="atLeast"/>
          <w:jc w:val="center"/>
        </w:trPr>
        <w:tc>
          <w:tcPr>
            <w:tcW w:w="840" w:type="dxa"/>
            <w:tcBorders>
              <w:top w:val="single" w:color="auto" w:sz="4" w:space="0"/>
              <w:left w:val="single" w:color="auto" w:sz="4" w:space="0"/>
              <w:bottom w:val="single" w:color="auto" w:sz="4" w:space="0"/>
              <w:right w:val="single" w:color="auto" w:sz="4" w:space="0"/>
            </w:tcBorders>
            <w:vAlign w:val="center"/>
          </w:tcPr>
          <w:p w14:paraId="18536BBF">
            <w:pPr>
              <w:spacing w:before="156" w:beforeLines="50" w:line="360" w:lineRule="auto"/>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1.2.3</w:t>
            </w:r>
          </w:p>
        </w:tc>
        <w:tc>
          <w:tcPr>
            <w:tcW w:w="2264" w:type="dxa"/>
            <w:tcBorders>
              <w:top w:val="single" w:color="auto" w:sz="4" w:space="0"/>
              <w:left w:val="single" w:color="auto" w:sz="4" w:space="0"/>
              <w:bottom w:val="single" w:color="auto" w:sz="4" w:space="0"/>
              <w:right w:val="single" w:color="auto" w:sz="4" w:space="0"/>
            </w:tcBorders>
            <w:vAlign w:val="center"/>
          </w:tcPr>
          <w:p w14:paraId="53593B9A">
            <w:pPr>
              <w:spacing w:before="156" w:beforeLines="50" w:line="360" w:lineRule="auto"/>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资金落实情况</w:t>
            </w:r>
          </w:p>
        </w:tc>
        <w:tc>
          <w:tcPr>
            <w:tcW w:w="5963" w:type="dxa"/>
            <w:tcBorders>
              <w:top w:val="single" w:color="auto" w:sz="4" w:space="0"/>
              <w:left w:val="single" w:color="auto" w:sz="4" w:space="0"/>
              <w:bottom w:val="single" w:color="auto" w:sz="4" w:space="0"/>
              <w:right w:val="single" w:color="auto" w:sz="4" w:space="0"/>
            </w:tcBorders>
            <w:vAlign w:val="center"/>
          </w:tcPr>
          <w:p w14:paraId="21506C26">
            <w:pPr>
              <w:spacing w:before="156" w:beforeLines="50" w:line="360" w:lineRule="auto"/>
              <w:ind w:left="105" w:leftChars="5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已落实。</w:t>
            </w:r>
          </w:p>
        </w:tc>
      </w:tr>
      <w:tr w14:paraId="4C670AE8">
        <w:tblPrEx>
          <w:tblCellMar>
            <w:top w:w="0" w:type="dxa"/>
            <w:left w:w="0" w:type="dxa"/>
            <w:bottom w:w="0" w:type="dxa"/>
            <w:right w:w="0" w:type="dxa"/>
          </w:tblCellMar>
        </w:tblPrEx>
        <w:trPr>
          <w:trHeight w:val="58" w:hRule="atLeast"/>
          <w:jc w:val="center"/>
        </w:trPr>
        <w:tc>
          <w:tcPr>
            <w:tcW w:w="840" w:type="dxa"/>
            <w:tcBorders>
              <w:top w:val="single" w:color="auto" w:sz="4" w:space="0"/>
              <w:left w:val="single" w:color="auto" w:sz="4" w:space="0"/>
              <w:bottom w:val="single" w:color="auto" w:sz="4" w:space="0"/>
              <w:right w:val="single" w:color="auto" w:sz="4" w:space="0"/>
            </w:tcBorders>
            <w:vAlign w:val="center"/>
          </w:tcPr>
          <w:p w14:paraId="47C79747">
            <w:pPr>
              <w:spacing w:before="156" w:beforeLines="50" w:line="360" w:lineRule="auto"/>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1.3.1</w:t>
            </w:r>
          </w:p>
        </w:tc>
        <w:tc>
          <w:tcPr>
            <w:tcW w:w="2264" w:type="dxa"/>
            <w:tcBorders>
              <w:top w:val="single" w:color="auto" w:sz="4" w:space="0"/>
              <w:left w:val="single" w:color="auto" w:sz="4" w:space="0"/>
              <w:bottom w:val="single" w:color="auto" w:sz="4" w:space="0"/>
              <w:right w:val="single" w:color="auto" w:sz="4" w:space="0"/>
            </w:tcBorders>
            <w:vAlign w:val="center"/>
          </w:tcPr>
          <w:p w14:paraId="4F034D18">
            <w:pPr>
              <w:spacing w:before="156" w:beforeLines="50" w:line="360" w:lineRule="auto"/>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采购内容</w:t>
            </w:r>
          </w:p>
        </w:tc>
        <w:tc>
          <w:tcPr>
            <w:tcW w:w="5963" w:type="dxa"/>
            <w:tcBorders>
              <w:top w:val="single" w:color="auto" w:sz="4" w:space="0"/>
              <w:left w:val="single" w:color="auto" w:sz="4" w:space="0"/>
              <w:bottom w:val="single" w:color="auto" w:sz="4" w:space="0"/>
              <w:right w:val="single" w:color="auto" w:sz="4" w:space="0"/>
            </w:tcBorders>
            <w:vAlign w:val="center"/>
          </w:tcPr>
          <w:p w14:paraId="7CD355EE">
            <w:pPr>
              <w:spacing w:line="360" w:lineRule="auto"/>
              <w:ind w:left="105" w:leftChars="50" w:right="105" w:rightChars="50"/>
              <w:rPr>
                <w:rFonts w:hint="eastAsia"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完成项目的全过程</w:t>
            </w:r>
            <w:r>
              <w:rPr>
                <w:rFonts w:hint="eastAsia" w:asciiTheme="minorEastAsia" w:hAnsiTheme="minorEastAsia" w:eastAsiaTheme="minorEastAsia"/>
                <w:color w:val="auto"/>
                <w:szCs w:val="21"/>
                <w:highlight w:val="none"/>
                <w:lang w:val="en-US" w:eastAsia="zh-CN"/>
              </w:rPr>
              <w:t>监理</w:t>
            </w:r>
            <w:r>
              <w:rPr>
                <w:rFonts w:hint="eastAsia" w:asciiTheme="minorEastAsia" w:hAnsiTheme="minorEastAsia" w:eastAsiaTheme="minorEastAsia"/>
                <w:color w:val="auto"/>
                <w:szCs w:val="21"/>
                <w:highlight w:val="none"/>
                <w:lang w:eastAsia="zh-CN"/>
              </w:rPr>
              <w:t>服务，具体工作内容及要求以采购人实际委托的为准。（具体内容及要求详见采购文件第五章“采购需求”）。</w:t>
            </w:r>
          </w:p>
        </w:tc>
      </w:tr>
      <w:tr w14:paraId="34D8B848">
        <w:tblPrEx>
          <w:tblCellMar>
            <w:top w:w="0" w:type="dxa"/>
            <w:left w:w="0" w:type="dxa"/>
            <w:bottom w:w="0" w:type="dxa"/>
            <w:right w:w="0" w:type="dxa"/>
          </w:tblCellMar>
        </w:tblPrEx>
        <w:trPr>
          <w:trHeight w:val="315" w:hRule="atLeast"/>
          <w:jc w:val="center"/>
        </w:trPr>
        <w:tc>
          <w:tcPr>
            <w:tcW w:w="840" w:type="dxa"/>
            <w:tcBorders>
              <w:top w:val="single" w:color="auto" w:sz="4" w:space="0"/>
              <w:left w:val="single" w:color="auto" w:sz="4" w:space="0"/>
              <w:bottom w:val="single" w:color="auto" w:sz="4" w:space="0"/>
              <w:right w:val="single" w:color="auto" w:sz="4" w:space="0"/>
            </w:tcBorders>
            <w:vAlign w:val="center"/>
          </w:tcPr>
          <w:p w14:paraId="281A478A">
            <w:pPr>
              <w:spacing w:before="156" w:beforeLines="50" w:line="360" w:lineRule="auto"/>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1.3.</w:t>
            </w:r>
            <w:r>
              <w:rPr>
                <w:rFonts w:asciiTheme="minorEastAsia" w:hAnsiTheme="minorEastAsia" w:eastAsiaTheme="minorEastAsia"/>
                <w:color w:val="auto"/>
                <w:szCs w:val="21"/>
                <w:highlight w:val="none"/>
              </w:rPr>
              <w:t>2</w:t>
            </w:r>
          </w:p>
        </w:tc>
        <w:tc>
          <w:tcPr>
            <w:tcW w:w="2264" w:type="dxa"/>
            <w:tcBorders>
              <w:top w:val="single" w:color="auto" w:sz="4" w:space="0"/>
              <w:left w:val="single" w:color="auto" w:sz="4" w:space="0"/>
              <w:bottom w:val="single" w:color="auto" w:sz="4" w:space="0"/>
              <w:right w:val="single" w:color="auto" w:sz="4" w:space="0"/>
            </w:tcBorders>
            <w:vAlign w:val="center"/>
          </w:tcPr>
          <w:p w14:paraId="13374A22">
            <w:pPr>
              <w:pStyle w:val="148"/>
              <w:spacing w:before="156" w:beforeLines="50" w:line="360" w:lineRule="auto"/>
              <w:jc w:val="center"/>
              <w:rPr>
                <w:rFonts w:hint="eastAsia" w:asciiTheme="minorEastAsia" w:hAnsiTheme="minorEastAsia" w:eastAsiaTheme="minorEastAsia"/>
                <w:color w:val="auto"/>
                <w:kern w:val="2"/>
                <w:sz w:val="21"/>
                <w:szCs w:val="21"/>
                <w:highlight w:val="none"/>
              </w:rPr>
            </w:pPr>
            <w:r>
              <w:rPr>
                <w:rFonts w:hint="eastAsia" w:asciiTheme="minorEastAsia" w:hAnsiTheme="minorEastAsia" w:eastAsiaTheme="minorEastAsia"/>
                <w:color w:val="auto"/>
                <w:kern w:val="2"/>
                <w:sz w:val="21"/>
                <w:szCs w:val="21"/>
                <w:highlight w:val="none"/>
              </w:rPr>
              <w:t>服务周期</w:t>
            </w:r>
          </w:p>
        </w:tc>
        <w:tc>
          <w:tcPr>
            <w:tcW w:w="5963" w:type="dxa"/>
            <w:tcBorders>
              <w:top w:val="single" w:color="auto" w:sz="4" w:space="0"/>
              <w:left w:val="single" w:color="auto" w:sz="4" w:space="0"/>
              <w:bottom w:val="single" w:color="auto" w:sz="4" w:space="0"/>
              <w:right w:val="single" w:color="auto" w:sz="4" w:space="0"/>
            </w:tcBorders>
            <w:vAlign w:val="center"/>
          </w:tcPr>
          <w:p w14:paraId="4B23BB64">
            <w:pPr>
              <w:spacing w:before="156" w:beforeLines="50" w:line="360" w:lineRule="auto"/>
              <w:ind w:left="105" w:leftChars="50" w:right="105" w:rightChars="50"/>
              <w:rPr>
                <w:rFonts w:hint="eastAsia" w:asciiTheme="minorEastAsia" w:hAnsiTheme="minorEastAsia" w:eastAsiaTheme="minorEastAsia"/>
                <w:color w:val="auto"/>
                <w:szCs w:val="21"/>
                <w:highlight w:val="none"/>
                <w:lang w:eastAsia="zh-CN"/>
              </w:rPr>
            </w:pPr>
            <w:r>
              <w:rPr>
                <w:rFonts w:hint="eastAsia" w:ascii="宋体" w:hAnsi="宋体" w:eastAsia="宋体" w:cs="宋体"/>
                <w:color w:val="auto"/>
                <w:highlight w:val="none"/>
                <w:lang w:eastAsia="zh-CN"/>
              </w:rPr>
              <w:t>自合同签订之日起至项目验收合格</w:t>
            </w:r>
            <w:r>
              <w:rPr>
                <w:rFonts w:hint="eastAsia" w:ascii="宋体" w:hAnsi="宋体" w:eastAsia="宋体" w:cs="宋体"/>
                <w:color w:val="auto"/>
                <w:highlight w:val="none"/>
              </w:rPr>
              <w:t>。</w:t>
            </w:r>
          </w:p>
        </w:tc>
      </w:tr>
      <w:tr w14:paraId="4B73C035">
        <w:tblPrEx>
          <w:tblCellMar>
            <w:top w:w="0" w:type="dxa"/>
            <w:left w:w="0" w:type="dxa"/>
            <w:bottom w:w="0" w:type="dxa"/>
            <w:right w:w="0" w:type="dxa"/>
          </w:tblCellMar>
        </w:tblPrEx>
        <w:trPr>
          <w:trHeight w:val="274" w:hRule="atLeast"/>
          <w:jc w:val="center"/>
        </w:trPr>
        <w:tc>
          <w:tcPr>
            <w:tcW w:w="840" w:type="dxa"/>
            <w:tcBorders>
              <w:top w:val="single" w:color="auto" w:sz="4" w:space="0"/>
              <w:left w:val="single" w:color="auto" w:sz="4" w:space="0"/>
              <w:bottom w:val="single" w:color="auto" w:sz="4" w:space="0"/>
              <w:right w:val="single" w:color="auto" w:sz="4" w:space="0"/>
            </w:tcBorders>
            <w:vAlign w:val="center"/>
          </w:tcPr>
          <w:p w14:paraId="79226A89">
            <w:pPr>
              <w:spacing w:before="156" w:beforeLines="50" w:line="360" w:lineRule="auto"/>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1.3.</w:t>
            </w:r>
            <w:r>
              <w:rPr>
                <w:rFonts w:asciiTheme="minorEastAsia" w:hAnsiTheme="minorEastAsia" w:eastAsiaTheme="minorEastAsia"/>
                <w:color w:val="auto"/>
                <w:szCs w:val="21"/>
                <w:highlight w:val="none"/>
              </w:rPr>
              <w:t>3</w:t>
            </w:r>
          </w:p>
        </w:tc>
        <w:tc>
          <w:tcPr>
            <w:tcW w:w="2264" w:type="dxa"/>
            <w:tcBorders>
              <w:top w:val="single" w:color="auto" w:sz="4" w:space="0"/>
              <w:left w:val="single" w:color="auto" w:sz="4" w:space="0"/>
              <w:bottom w:val="single" w:color="auto" w:sz="4" w:space="0"/>
              <w:right w:val="single" w:color="auto" w:sz="4" w:space="0"/>
            </w:tcBorders>
            <w:vAlign w:val="center"/>
          </w:tcPr>
          <w:p w14:paraId="385DF571">
            <w:pPr>
              <w:spacing w:before="156" w:beforeLines="50" w:line="360" w:lineRule="auto"/>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质量要求</w:t>
            </w:r>
          </w:p>
        </w:tc>
        <w:tc>
          <w:tcPr>
            <w:tcW w:w="5963" w:type="dxa"/>
            <w:tcBorders>
              <w:top w:val="single" w:color="auto" w:sz="4" w:space="0"/>
              <w:left w:val="single" w:color="auto" w:sz="4" w:space="0"/>
              <w:bottom w:val="single" w:color="auto" w:sz="4" w:space="0"/>
              <w:right w:val="single" w:color="auto" w:sz="4" w:space="0"/>
            </w:tcBorders>
            <w:vAlign w:val="center"/>
          </w:tcPr>
          <w:p w14:paraId="079DCAA5">
            <w:pPr>
              <w:pStyle w:val="14"/>
              <w:spacing w:before="156" w:beforeLines="50" w:line="360" w:lineRule="auto"/>
              <w:ind w:left="105" w:leftChars="50" w:right="105" w:rightChars="50" w:firstLine="0"/>
              <w:rPr>
                <w:rFonts w:hint="eastAsia" w:ascii="宋体" w:hAnsi="宋体" w:cs="宋体"/>
                <w:color w:val="auto"/>
                <w:szCs w:val="21"/>
                <w:highlight w:val="none"/>
              </w:rPr>
            </w:pPr>
            <w:r>
              <w:rPr>
                <w:rFonts w:hint="eastAsia" w:ascii="宋体" w:hAnsi="宋体" w:eastAsia="宋体" w:cs="宋体"/>
                <w:color w:val="auto"/>
                <w:szCs w:val="21"/>
                <w:highlight w:val="none"/>
                <w:lang w:eastAsia="zh-CN"/>
              </w:rPr>
              <w:t>各阶段资料齐全，符合国家及行业现行的标准和规范。</w:t>
            </w:r>
          </w:p>
        </w:tc>
      </w:tr>
      <w:tr w14:paraId="3BA9EA39">
        <w:tblPrEx>
          <w:tblCellMar>
            <w:top w:w="0" w:type="dxa"/>
            <w:left w:w="0" w:type="dxa"/>
            <w:bottom w:w="0" w:type="dxa"/>
            <w:right w:w="0" w:type="dxa"/>
          </w:tblCellMar>
        </w:tblPrEx>
        <w:trPr>
          <w:trHeight w:val="469" w:hRule="atLeast"/>
          <w:jc w:val="center"/>
        </w:trPr>
        <w:tc>
          <w:tcPr>
            <w:tcW w:w="840" w:type="dxa"/>
            <w:tcBorders>
              <w:top w:val="single" w:color="auto" w:sz="4" w:space="0"/>
              <w:left w:val="single" w:color="auto" w:sz="4" w:space="0"/>
              <w:bottom w:val="single" w:color="auto" w:sz="4" w:space="0"/>
              <w:right w:val="single" w:color="auto" w:sz="4" w:space="0"/>
            </w:tcBorders>
            <w:vAlign w:val="center"/>
          </w:tcPr>
          <w:p w14:paraId="32A187CC">
            <w:pPr>
              <w:spacing w:before="156" w:beforeLines="50" w:line="360" w:lineRule="auto"/>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1.3.</w:t>
            </w:r>
            <w:r>
              <w:rPr>
                <w:rFonts w:asciiTheme="minorEastAsia" w:hAnsiTheme="minorEastAsia" w:eastAsiaTheme="minorEastAsia"/>
                <w:color w:val="auto"/>
                <w:szCs w:val="21"/>
                <w:highlight w:val="none"/>
              </w:rPr>
              <w:t>4</w:t>
            </w:r>
          </w:p>
        </w:tc>
        <w:tc>
          <w:tcPr>
            <w:tcW w:w="2264" w:type="dxa"/>
            <w:tcBorders>
              <w:top w:val="single" w:color="auto" w:sz="4" w:space="0"/>
              <w:left w:val="single" w:color="auto" w:sz="4" w:space="0"/>
              <w:bottom w:val="single" w:color="auto" w:sz="4" w:space="0"/>
              <w:right w:val="single" w:color="auto" w:sz="4" w:space="0"/>
            </w:tcBorders>
            <w:vAlign w:val="center"/>
          </w:tcPr>
          <w:p w14:paraId="79E36F14">
            <w:pPr>
              <w:spacing w:before="156" w:beforeLines="50" w:line="360" w:lineRule="auto"/>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包件划分</w:t>
            </w:r>
          </w:p>
        </w:tc>
        <w:tc>
          <w:tcPr>
            <w:tcW w:w="5963" w:type="dxa"/>
            <w:tcBorders>
              <w:top w:val="single" w:color="auto" w:sz="4" w:space="0"/>
              <w:left w:val="single" w:color="auto" w:sz="4" w:space="0"/>
              <w:bottom w:val="single" w:color="auto" w:sz="4" w:space="0"/>
              <w:right w:val="single" w:color="auto" w:sz="4" w:space="0"/>
            </w:tcBorders>
            <w:vAlign w:val="center"/>
          </w:tcPr>
          <w:p w14:paraId="25294788">
            <w:pPr>
              <w:spacing w:before="156" w:beforeLines="50" w:line="360" w:lineRule="auto"/>
              <w:ind w:left="105" w:leftChars="5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本项目不划分包件。</w:t>
            </w:r>
          </w:p>
        </w:tc>
      </w:tr>
      <w:tr w14:paraId="25B9070F">
        <w:tblPrEx>
          <w:tblCellMar>
            <w:top w:w="0" w:type="dxa"/>
            <w:left w:w="0" w:type="dxa"/>
            <w:bottom w:w="0" w:type="dxa"/>
            <w:right w:w="0" w:type="dxa"/>
          </w:tblCellMar>
        </w:tblPrEx>
        <w:trPr>
          <w:trHeight w:val="274" w:hRule="atLeast"/>
          <w:jc w:val="center"/>
        </w:trPr>
        <w:tc>
          <w:tcPr>
            <w:tcW w:w="840" w:type="dxa"/>
            <w:tcBorders>
              <w:top w:val="single" w:color="auto" w:sz="4" w:space="0"/>
              <w:left w:val="single" w:color="auto" w:sz="4" w:space="0"/>
              <w:bottom w:val="single" w:color="auto" w:sz="4" w:space="0"/>
              <w:right w:val="single" w:color="auto" w:sz="4" w:space="0"/>
            </w:tcBorders>
            <w:vAlign w:val="center"/>
          </w:tcPr>
          <w:p w14:paraId="008B60EE">
            <w:pPr>
              <w:wordWrap w:val="0"/>
              <w:autoSpaceDE w:val="0"/>
              <w:autoSpaceDN w:val="0"/>
              <w:spacing w:after="100" w:afterAutospacing="1" w:line="360" w:lineRule="auto"/>
              <w:contextualSpacing/>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1.4.1</w:t>
            </w:r>
          </w:p>
        </w:tc>
        <w:tc>
          <w:tcPr>
            <w:tcW w:w="2264" w:type="dxa"/>
            <w:tcBorders>
              <w:top w:val="single" w:color="auto" w:sz="4" w:space="0"/>
              <w:left w:val="single" w:color="auto" w:sz="4" w:space="0"/>
              <w:bottom w:val="single" w:color="auto" w:sz="4" w:space="0"/>
              <w:right w:val="single" w:color="auto" w:sz="4" w:space="0"/>
            </w:tcBorders>
            <w:vAlign w:val="center"/>
          </w:tcPr>
          <w:p w14:paraId="7E12443A">
            <w:pPr>
              <w:autoSpaceDE w:val="0"/>
              <w:autoSpaceDN w:val="0"/>
              <w:spacing w:after="100" w:afterAutospacing="1" w:line="360" w:lineRule="auto"/>
              <w:ind w:left="105" w:leftChars="50" w:right="105" w:rightChars="50"/>
              <w:contextualSpacing/>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供应商资格要求</w:t>
            </w:r>
          </w:p>
        </w:tc>
        <w:tc>
          <w:tcPr>
            <w:tcW w:w="5963" w:type="dxa"/>
            <w:tcBorders>
              <w:top w:val="single" w:color="auto" w:sz="4" w:space="0"/>
              <w:left w:val="single" w:color="auto" w:sz="4" w:space="0"/>
              <w:bottom w:val="single" w:color="auto" w:sz="4" w:space="0"/>
              <w:right w:val="single" w:color="auto" w:sz="4" w:space="0"/>
            </w:tcBorders>
            <w:vAlign w:val="center"/>
          </w:tcPr>
          <w:p w14:paraId="1DD06700">
            <w:pPr>
              <w:spacing w:before="156" w:beforeLines="50" w:line="360" w:lineRule="auto"/>
              <w:ind w:left="105" w:leftChars="50" w:right="105" w:rightChars="5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1.供应商须按照《中华人民共和国政府采购法实施条例》第十七条的要求提供满足《中华人民共和国政府采购法》第二十二条规定的相关材料：</w:t>
            </w:r>
          </w:p>
          <w:p w14:paraId="05AF69BA">
            <w:pPr>
              <w:spacing w:line="360" w:lineRule="auto"/>
              <w:ind w:left="105" w:leftChars="50" w:right="105" w:rightChars="50"/>
              <w:rPr>
                <w:rFonts w:hint="eastAsia" w:ascii="宋体" w:hAnsi="宋体" w:cs="宋体"/>
                <w:bCs/>
                <w:color w:val="auto"/>
                <w:highlight w:val="none"/>
              </w:rPr>
            </w:pPr>
            <w:r>
              <w:rPr>
                <w:rFonts w:hint="eastAsia" w:ascii="宋体" w:hAnsi="宋体" w:cs="宋体"/>
                <w:bCs/>
                <w:color w:val="auto"/>
                <w:highlight w:val="none"/>
              </w:rPr>
              <w:t>（1）具有独立承担民事责任的能力。[提供有效的营业执照或事业单位法人证书或其他类似的法定证明文件]</w:t>
            </w:r>
          </w:p>
          <w:p w14:paraId="7F717E95">
            <w:pPr>
              <w:spacing w:line="360" w:lineRule="auto"/>
              <w:ind w:left="105" w:leftChars="50" w:right="105" w:rightChars="50"/>
              <w:rPr>
                <w:rFonts w:hint="eastAsia" w:ascii="宋体" w:hAnsi="宋体" w:cs="宋体"/>
                <w:bCs/>
                <w:color w:val="auto"/>
                <w:highlight w:val="none"/>
              </w:rPr>
            </w:pPr>
            <w:r>
              <w:rPr>
                <w:rFonts w:hint="eastAsia" w:ascii="宋体" w:hAnsi="宋体" w:cs="宋体"/>
                <w:bCs/>
                <w:color w:val="auto"/>
                <w:highlight w:val="none"/>
              </w:rPr>
              <w:t>（2）具有良好的商业信誉和健全的财务会计制度。[①供应商未被列入“信用中国”网站（www.creditchina.gov.cn）失信被执行人、重大税收违法失信主体及中国政府采购网（www.ccgp.gov.cn）“政府采购严重违法失信行为信息记录”。（评审前采购人或采购代理机构将通过相关网站查询，并留存网站查询结果截图或打印件，提供给磋商小组）；②需提供2023年度或2024年度的财务报表，其中：企业至少包括资产负债表、现金流量表、利润表（损益表）；非企业机构根据实际情况提供相关财务报表。若成立时间不足一年，可以提供其它能反映财务状况的会计报表资料或基本开户银行出具的资信证明。]</w:t>
            </w:r>
          </w:p>
          <w:p w14:paraId="5FB401B7">
            <w:pPr>
              <w:spacing w:line="360" w:lineRule="auto"/>
              <w:ind w:left="105" w:leftChars="50" w:right="105" w:rightChars="50"/>
              <w:rPr>
                <w:rFonts w:hint="eastAsia" w:ascii="宋体" w:hAnsi="宋体" w:cs="宋体"/>
                <w:bCs/>
                <w:color w:val="auto"/>
                <w:highlight w:val="none"/>
              </w:rPr>
            </w:pPr>
            <w:r>
              <w:rPr>
                <w:rFonts w:hint="eastAsia" w:ascii="宋体" w:hAnsi="宋体" w:cs="宋体"/>
                <w:bCs/>
                <w:color w:val="auto"/>
                <w:highlight w:val="none"/>
              </w:rPr>
              <w:t>（3）具有履行合同所必需的设备和专业技术能力。[提供书面承诺]</w:t>
            </w:r>
          </w:p>
          <w:p w14:paraId="32ABB906">
            <w:pPr>
              <w:spacing w:line="360" w:lineRule="auto"/>
              <w:ind w:left="105" w:leftChars="50" w:right="105" w:rightChars="50"/>
              <w:rPr>
                <w:rFonts w:hint="eastAsia" w:ascii="宋体" w:hAnsi="宋体" w:cs="宋体"/>
                <w:bCs/>
                <w:color w:val="auto"/>
                <w:highlight w:val="none"/>
              </w:rPr>
            </w:pPr>
            <w:r>
              <w:rPr>
                <w:rFonts w:hint="eastAsia" w:ascii="宋体" w:hAnsi="宋体" w:cs="宋体"/>
                <w:bCs/>
                <w:color w:val="auto"/>
                <w:highlight w:val="none"/>
              </w:rPr>
              <w:t>（4）有依法缴纳税收和社会保障资金的良好记录。[①提供2024年7月至提交响应文件截止之日任意3个月的税务局税收通用缴款书或银行电子缴税（费）凭证或税务局出具纳税情况的相关证明；依法免税的，提供依法免税的相关证明文件；若为新成立的公司，无法按上述要求提供依法缴纳税收证明材料的，按实际缴纳月份提供或出具书面说明。②提供2024年7月至提交响应文件截止之日任意3个月的社会保险费缴款书或银行电子缴费凭证或社保管理部门出具的有效的缴款证明；依法免缴的，提供依法免缴的相关证明文件；若为新成立的公司，提供成立至今的社会保险费缴款书或银行电子缴费凭证或社保管理部门出具的有效的缴款证明，成立时间不足3个月的，按实际缴纳月份提供或出具书面说明。③若为自然人参与磋商，则提供2024年7月至提交响应文件截止之日任意3个月的个人所得税完税证明和社会保险参保证明；未缴纳税收或社保的，附书面说明]</w:t>
            </w:r>
          </w:p>
          <w:p w14:paraId="03AAE5EF">
            <w:pPr>
              <w:spacing w:line="360" w:lineRule="auto"/>
              <w:ind w:left="105" w:leftChars="50" w:right="105" w:rightChars="50"/>
              <w:rPr>
                <w:rFonts w:hint="eastAsia" w:ascii="宋体" w:hAnsi="宋体" w:cs="宋体"/>
                <w:bCs/>
                <w:color w:val="auto"/>
                <w:highlight w:val="none"/>
              </w:rPr>
            </w:pPr>
            <w:r>
              <w:rPr>
                <w:rFonts w:hint="eastAsia" w:ascii="宋体" w:hAnsi="宋体" w:cs="宋体"/>
                <w:bCs/>
                <w:color w:val="auto"/>
                <w:highlight w:val="none"/>
              </w:rPr>
              <w:t>（5）参加政府采购活动前三年内，在经营活动中没有重大违法记录。[重大违法记录，指供应商因违法经营受到刑事处罚或者责令停产停业、吊销许可证或者执照、较大数额罚款等行政处罚，提供书面声明]</w:t>
            </w:r>
          </w:p>
          <w:p w14:paraId="64510C38">
            <w:pPr>
              <w:spacing w:line="360" w:lineRule="auto"/>
              <w:ind w:left="105" w:leftChars="50" w:right="105" w:rightChars="50"/>
              <w:rPr>
                <w:rFonts w:hint="eastAsia" w:ascii="宋体" w:hAnsi="宋体" w:cs="宋体"/>
                <w:bCs/>
                <w:color w:val="auto"/>
                <w:highlight w:val="none"/>
              </w:rPr>
            </w:pPr>
            <w:r>
              <w:rPr>
                <w:rFonts w:hint="eastAsia" w:ascii="宋体" w:hAnsi="宋体" w:cs="宋体"/>
                <w:bCs/>
                <w:color w:val="auto"/>
                <w:highlight w:val="none"/>
              </w:rPr>
              <w:t>（6）法律、行政法规规定的其他条件。[①单位负责人为同一人或者存在直接控股、管理关系的不同投标人，不得参加同一合同项下的政府采购活动，提供书面承诺；②为采购项目提供整体设计、规范编制或者项目管理、监理、检测等服务的供应商，不得再参加该采购项目的其他采购活动，提供书面承诺]</w:t>
            </w:r>
          </w:p>
          <w:p w14:paraId="09F9CDD5">
            <w:pPr>
              <w:spacing w:line="360" w:lineRule="auto"/>
              <w:ind w:left="105" w:leftChars="50" w:right="105" w:rightChars="50"/>
              <w:rPr>
                <w:rFonts w:hint="eastAsia" w:ascii="宋体" w:hAnsi="宋体" w:cs="宋体"/>
                <w:bCs/>
                <w:color w:val="auto"/>
                <w:highlight w:val="none"/>
              </w:rPr>
            </w:pPr>
            <w:r>
              <w:rPr>
                <w:rFonts w:hint="eastAsia" w:ascii="宋体" w:hAnsi="宋体" w:cs="宋体"/>
                <w:bCs/>
                <w:color w:val="auto"/>
                <w:highlight w:val="none"/>
              </w:rPr>
              <w:t>2.落实政府采购政策需满足的资格要求：本项目非专门面向中小企业采购，根据《关于印发&lt;政府采购促进中小企业发展管理办法&gt;的通知》（财库〔2020〕46 号）的规定，对满足中小企业划型标准且在响应文件中提交了《中小企业声明函》的供应商，其中小型、微型企业的报价给予10%的价格扣除。残疾人福利性单位、监狱企业视同小型、微型企业，享受同等价格扣除。</w:t>
            </w:r>
          </w:p>
          <w:p w14:paraId="44D58044">
            <w:pPr>
              <w:spacing w:line="360" w:lineRule="auto"/>
              <w:ind w:left="105" w:leftChars="50" w:right="105" w:rightChars="50"/>
              <w:rPr>
                <w:rFonts w:hint="eastAsia" w:ascii="宋体" w:hAnsi="宋体" w:cs="宋体"/>
                <w:bCs/>
                <w:color w:val="auto"/>
                <w:highlight w:val="none"/>
              </w:rPr>
            </w:pPr>
            <w:r>
              <w:rPr>
                <w:rFonts w:hint="eastAsia" w:ascii="宋体" w:hAnsi="宋体" w:cs="宋体"/>
                <w:bCs/>
                <w:color w:val="auto"/>
                <w:highlight w:val="none"/>
              </w:rPr>
              <w:t>3.本项目的</w:t>
            </w:r>
            <w:r>
              <w:rPr>
                <w:rFonts w:hint="eastAsia" w:ascii="宋体" w:hAnsi="宋体" w:cs="宋体"/>
                <w:bCs/>
                <w:color w:val="auto"/>
                <w:highlight w:val="none"/>
              </w:rPr>
              <w:t>特定资格</w:t>
            </w:r>
            <w:r>
              <w:rPr>
                <w:rFonts w:hint="eastAsia" w:ascii="宋体" w:hAnsi="宋体" w:cs="宋体"/>
                <w:bCs/>
                <w:color w:val="auto"/>
                <w:highlight w:val="none"/>
              </w:rPr>
              <w:t>要求：</w:t>
            </w:r>
            <w:r>
              <w:rPr>
                <w:rFonts w:hint="eastAsia" w:ascii="宋体" w:hAnsi="宋体" w:cs="宋体"/>
                <w:bCs/>
                <w:color w:val="auto"/>
                <w:highlight w:val="none"/>
                <w:lang w:eastAsia="zh-CN"/>
              </w:rPr>
              <w:t>供应商须具有有效的建设行政主管部门颁发的工程监理综合资质或水利工程施工监理乙级及以上资质或工程监理市政公用工程专业乙级及以上资质。</w:t>
            </w:r>
          </w:p>
        </w:tc>
      </w:tr>
      <w:tr w14:paraId="1CF11379">
        <w:tblPrEx>
          <w:tblCellMar>
            <w:top w:w="0" w:type="dxa"/>
            <w:left w:w="0" w:type="dxa"/>
            <w:bottom w:w="0" w:type="dxa"/>
            <w:right w:w="0" w:type="dxa"/>
          </w:tblCellMar>
        </w:tblPrEx>
        <w:trPr>
          <w:trHeight w:val="567" w:hRule="atLeast"/>
          <w:jc w:val="center"/>
        </w:trPr>
        <w:tc>
          <w:tcPr>
            <w:tcW w:w="840" w:type="dxa"/>
            <w:tcBorders>
              <w:top w:val="single" w:color="auto" w:sz="4" w:space="0"/>
              <w:left w:val="single" w:color="auto" w:sz="4" w:space="0"/>
              <w:bottom w:val="single" w:color="auto" w:sz="4" w:space="0"/>
              <w:right w:val="single" w:color="auto" w:sz="4" w:space="0"/>
            </w:tcBorders>
            <w:vAlign w:val="center"/>
          </w:tcPr>
          <w:p w14:paraId="46508EA2">
            <w:pPr>
              <w:wordWrap w:val="0"/>
              <w:autoSpaceDE w:val="0"/>
              <w:autoSpaceDN w:val="0"/>
              <w:spacing w:before="60" w:after="60" w:line="360" w:lineRule="auto"/>
              <w:contextualSpacing/>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1.4.2</w:t>
            </w:r>
          </w:p>
        </w:tc>
        <w:tc>
          <w:tcPr>
            <w:tcW w:w="2264" w:type="dxa"/>
            <w:tcBorders>
              <w:top w:val="single" w:color="auto" w:sz="4" w:space="0"/>
              <w:left w:val="single" w:color="auto" w:sz="4" w:space="0"/>
              <w:bottom w:val="single" w:color="auto" w:sz="4" w:space="0"/>
              <w:right w:val="single" w:color="auto" w:sz="4" w:space="0"/>
            </w:tcBorders>
            <w:vAlign w:val="center"/>
          </w:tcPr>
          <w:p w14:paraId="1B7CC1EF">
            <w:pPr>
              <w:wordWrap w:val="0"/>
              <w:autoSpaceDE w:val="0"/>
              <w:autoSpaceDN w:val="0"/>
              <w:spacing w:before="60" w:after="60" w:line="360" w:lineRule="auto"/>
              <w:contextualSpacing/>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其它内容</w:t>
            </w:r>
          </w:p>
        </w:tc>
        <w:tc>
          <w:tcPr>
            <w:tcW w:w="5963" w:type="dxa"/>
            <w:tcBorders>
              <w:top w:val="single" w:color="auto" w:sz="4" w:space="0"/>
              <w:left w:val="single" w:color="auto" w:sz="4" w:space="0"/>
              <w:bottom w:val="single" w:color="auto" w:sz="4" w:space="0"/>
              <w:right w:val="single" w:color="auto" w:sz="4" w:space="0"/>
            </w:tcBorders>
            <w:vAlign w:val="center"/>
          </w:tcPr>
          <w:p w14:paraId="1C28A294">
            <w:pPr>
              <w:pStyle w:val="14"/>
              <w:wordWrap w:val="0"/>
              <w:topLinePunct/>
              <w:spacing w:before="156" w:beforeLines="50" w:line="360" w:lineRule="auto"/>
              <w:ind w:left="105" w:leftChars="50" w:right="105" w:rightChars="50" w:firstLine="0"/>
              <w:rPr>
                <w:rFonts w:hint="eastAsia" w:ascii="宋体" w:hAnsi="宋体" w:cs="宋体"/>
                <w:color w:val="auto"/>
                <w:szCs w:val="21"/>
                <w:highlight w:val="none"/>
              </w:rPr>
            </w:pPr>
            <w:r>
              <w:rPr>
                <w:rFonts w:hint="eastAsia" w:asciiTheme="minorEastAsia" w:hAnsiTheme="minorEastAsia" w:eastAsiaTheme="minorEastAsia"/>
                <w:color w:val="auto"/>
                <w:szCs w:val="21"/>
                <w:highlight w:val="none"/>
              </w:rPr>
              <w:t>1.发布公告的媒介：云南省政府采购网（网址：</w:t>
            </w:r>
            <w:r>
              <w:rPr>
                <w:color w:val="auto"/>
                <w:highlight w:val="none"/>
              </w:rPr>
              <w:fldChar w:fldCharType="begin"/>
            </w:r>
            <w:r>
              <w:rPr>
                <w:color w:val="auto"/>
                <w:highlight w:val="none"/>
              </w:rPr>
              <w:instrText xml:space="preserve"> HYPERLINK "http://www.yngp.com/" </w:instrText>
            </w:r>
            <w:r>
              <w:rPr>
                <w:color w:val="auto"/>
                <w:highlight w:val="none"/>
              </w:rPr>
              <w:fldChar w:fldCharType="separate"/>
            </w:r>
            <w:r>
              <w:rPr>
                <w:rStyle w:val="62"/>
                <w:rFonts w:hint="eastAsia" w:asciiTheme="minorEastAsia" w:hAnsiTheme="minorEastAsia" w:eastAsiaTheme="minorEastAsia"/>
                <w:color w:val="auto"/>
                <w:szCs w:val="21"/>
                <w:highlight w:val="none"/>
                <w:u w:val="none"/>
              </w:rPr>
              <w:t>http://www.yngp.com/</w:t>
            </w:r>
            <w:r>
              <w:rPr>
                <w:rStyle w:val="62"/>
                <w:rFonts w:hint="eastAsia" w:asciiTheme="minorEastAsia" w:hAnsiTheme="minorEastAsia" w:eastAsiaTheme="minorEastAsia"/>
                <w:color w:val="auto"/>
                <w:szCs w:val="21"/>
                <w:highlight w:val="none"/>
                <w:u w:val="none"/>
              </w:rPr>
              <w:fldChar w:fldCharType="end"/>
            </w:r>
            <w:r>
              <w:rPr>
                <w:rFonts w:hint="eastAsia" w:asciiTheme="minorEastAsia" w:hAnsiTheme="minorEastAsia" w:eastAsiaTheme="minorEastAsia"/>
                <w:color w:val="auto"/>
                <w:szCs w:val="21"/>
                <w:highlight w:val="none"/>
              </w:rPr>
              <w:t>）。</w:t>
            </w:r>
          </w:p>
          <w:p w14:paraId="5DF1B672">
            <w:pPr>
              <w:wordWrap w:val="0"/>
              <w:topLinePunct/>
              <w:spacing w:line="360" w:lineRule="auto"/>
              <w:ind w:left="105" w:leftChars="50" w:right="105" w:rightChars="50"/>
              <w:rPr>
                <w:color w:val="auto"/>
                <w:highlight w:val="none"/>
              </w:rPr>
            </w:pPr>
            <w:r>
              <w:rPr>
                <w:rFonts w:hint="eastAsia" w:asciiTheme="minorEastAsia" w:hAnsiTheme="minorEastAsia" w:eastAsiaTheme="minorEastAsia"/>
                <w:color w:val="auto"/>
                <w:szCs w:val="21"/>
                <w:highlight w:val="none"/>
              </w:rPr>
              <w:t>2</w:t>
            </w:r>
            <w:r>
              <w:rPr>
                <w:rFonts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rPr>
              <w:t>信誉要求：供应商未被列入“信用中国”网站（www.creditchina.gov.cn）失信被执行人、重大税收违法失信主体及中国政府采购网（www.ccgp.gov.cn）“政府采购严重违法失信行为信息记录”。（评审前采购人或采购代理机构将通过相关网站查询，并留存网站查询结果截图或打印件，提供给磋商小组）。</w:t>
            </w:r>
          </w:p>
        </w:tc>
      </w:tr>
      <w:tr w14:paraId="2A99874A">
        <w:tblPrEx>
          <w:tblCellMar>
            <w:top w:w="0" w:type="dxa"/>
            <w:left w:w="0" w:type="dxa"/>
            <w:bottom w:w="0" w:type="dxa"/>
            <w:right w:w="0" w:type="dxa"/>
          </w:tblCellMar>
        </w:tblPrEx>
        <w:trPr>
          <w:trHeight w:val="416" w:hRule="atLeast"/>
          <w:jc w:val="center"/>
        </w:trPr>
        <w:tc>
          <w:tcPr>
            <w:tcW w:w="840" w:type="dxa"/>
            <w:tcBorders>
              <w:top w:val="single" w:color="auto" w:sz="4" w:space="0"/>
              <w:left w:val="single" w:color="auto" w:sz="4" w:space="0"/>
              <w:bottom w:val="single" w:color="auto" w:sz="4" w:space="0"/>
              <w:right w:val="single" w:color="auto" w:sz="4" w:space="0"/>
            </w:tcBorders>
            <w:vAlign w:val="center"/>
          </w:tcPr>
          <w:p w14:paraId="6784DD8D">
            <w:pPr>
              <w:spacing w:line="360" w:lineRule="auto"/>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1.4.3</w:t>
            </w:r>
          </w:p>
        </w:tc>
        <w:tc>
          <w:tcPr>
            <w:tcW w:w="2264" w:type="dxa"/>
            <w:tcBorders>
              <w:top w:val="single" w:color="auto" w:sz="4" w:space="0"/>
              <w:left w:val="single" w:color="auto" w:sz="4" w:space="0"/>
              <w:bottom w:val="single" w:color="auto" w:sz="4" w:space="0"/>
              <w:right w:val="single" w:color="auto" w:sz="4" w:space="0"/>
            </w:tcBorders>
            <w:vAlign w:val="center"/>
          </w:tcPr>
          <w:p w14:paraId="6F3446D5">
            <w:pPr>
              <w:spacing w:before="156" w:beforeLines="50" w:line="360" w:lineRule="auto"/>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是否接受联</w:t>
            </w:r>
          </w:p>
          <w:p w14:paraId="438E46B3">
            <w:pPr>
              <w:spacing w:line="360" w:lineRule="auto"/>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合体投标</w:t>
            </w:r>
          </w:p>
        </w:tc>
        <w:tc>
          <w:tcPr>
            <w:tcW w:w="5963" w:type="dxa"/>
            <w:tcBorders>
              <w:top w:val="single" w:color="auto" w:sz="4" w:space="0"/>
              <w:left w:val="single" w:color="auto" w:sz="4" w:space="0"/>
              <w:bottom w:val="single" w:color="auto" w:sz="4" w:space="0"/>
              <w:right w:val="single" w:color="auto" w:sz="4" w:space="0"/>
            </w:tcBorders>
            <w:vAlign w:val="center"/>
          </w:tcPr>
          <w:p w14:paraId="443B1B77">
            <w:pPr>
              <w:spacing w:before="156" w:beforeLines="50" w:line="360" w:lineRule="auto"/>
              <w:ind w:left="105" w:leftChars="50" w:right="105" w:rightChars="50"/>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本项目</w:t>
            </w:r>
            <w:r>
              <w:rPr>
                <w:rFonts w:hint="eastAsia" w:asciiTheme="minorEastAsia" w:hAnsiTheme="minorEastAsia" w:eastAsiaTheme="minorEastAsia"/>
                <w:color w:val="auto"/>
                <w:szCs w:val="21"/>
                <w:highlight w:val="none"/>
              </w:rPr>
              <w:t>不</w:t>
            </w:r>
            <w:r>
              <w:rPr>
                <w:rFonts w:asciiTheme="minorEastAsia" w:hAnsiTheme="minorEastAsia" w:eastAsiaTheme="minorEastAsia"/>
                <w:color w:val="auto"/>
                <w:szCs w:val="21"/>
                <w:highlight w:val="none"/>
              </w:rPr>
              <w:t>接受联合体投标。</w:t>
            </w:r>
          </w:p>
        </w:tc>
      </w:tr>
      <w:tr w14:paraId="486046ED">
        <w:tblPrEx>
          <w:tblCellMar>
            <w:top w:w="0" w:type="dxa"/>
            <w:left w:w="0" w:type="dxa"/>
            <w:bottom w:w="0" w:type="dxa"/>
            <w:right w:w="0" w:type="dxa"/>
          </w:tblCellMar>
        </w:tblPrEx>
        <w:trPr>
          <w:trHeight w:val="567" w:hRule="atLeast"/>
          <w:jc w:val="center"/>
        </w:trPr>
        <w:tc>
          <w:tcPr>
            <w:tcW w:w="840" w:type="dxa"/>
            <w:tcBorders>
              <w:top w:val="single" w:color="auto" w:sz="4" w:space="0"/>
              <w:left w:val="single" w:color="auto" w:sz="4" w:space="0"/>
              <w:bottom w:val="single" w:color="auto" w:sz="4" w:space="0"/>
              <w:right w:val="single" w:color="auto" w:sz="4" w:space="0"/>
            </w:tcBorders>
            <w:vAlign w:val="center"/>
          </w:tcPr>
          <w:p w14:paraId="5EE7DA4D">
            <w:pPr>
              <w:wordWrap w:val="0"/>
              <w:autoSpaceDE w:val="0"/>
              <w:autoSpaceDN w:val="0"/>
              <w:spacing w:before="60" w:after="60" w:line="360" w:lineRule="auto"/>
              <w:contextualSpacing/>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1.5</w:t>
            </w:r>
          </w:p>
        </w:tc>
        <w:tc>
          <w:tcPr>
            <w:tcW w:w="2264" w:type="dxa"/>
            <w:tcBorders>
              <w:top w:val="single" w:color="auto" w:sz="4" w:space="0"/>
              <w:left w:val="single" w:color="auto" w:sz="4" w:space="0"/>
              <w:bottom w:val="single" w:color="auto" w:sz="4" w:space="0"/>
              <w:right w:val="single" w:color="auto" w:sz="4" w:space="0"/>
            </w:tcBorders>
            <w:vAlign w:val="center"/>
          </w:tcPr>
          <w:p w14:paraId="7FAEB38E">
            <w:pPr>
              <w:wordWrap w:val="0"/>
              <w:autoSpaceDE w:val="0"/>
              <w:autoSpaceDN w:val="0"/>
              <w:spacing w:before="60" w:after="60" w:line="360" w:lineRule="auto"/>
              <w:contextualSpacing/>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费用承担</w:t>
            </w:r>
          </w:p>
        </w:tc>
        <w:tc>
          <w:tcPr>
            <w:tcW w:w="5963" w:type="dxa"/>
            <w:tcBorders>
              <w:top w:val="single" w:color="auto" w:sz="4" w:space="0"/>
              <w:left w:val="single" w:color="auto" w:sz="4" w:space="0"/>
              <w:bottom w:val="single" w:color="auto" w:sz="4" w:space="0"/>
              <w:right w:val="single" w:color="auto" w:sz="4" w:space="0"/>
            </w:tcBorders>
            <w:vAlign w:val="center"/>
          </w:tcPr>
          <w:p w14:paraId="0300E858">
            <w:pPr>
              <w:spacing w:before="156" w:beforeLines="50" w:line="360" w:lineRule="auto"/>
              <w:ind w:left="105" w:leftChars="50" w:right="105" w:rightChars="50"/>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1.供应商准备和参加本项目竞争性磋商活动发生的费用自理。</w:t>
            </w:r>
          </w:p>
          <w:p w14:paraId="70FC357F">
            <w:pPr>
              <w:spacing w:line="360" w:lineRule="auto"/>
              <w:ind w:left="105" w:leftChars="50" w:right="105" w:rightChars="50"/>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2</w:t>
            </w:r>
            <w:r>
              <w:rPr>
                <w:rFonts w:hint="eastAsia" w:cs="宋体" w:asciiTheme="minorEastAsia" w:hAnsiTheme="minorEastAsia" w:eastAsiaTheme="minorEastAsia"/>
                <w:color w:val="auto"/>
                <w:szCs w:val="21"/>
                <w:highlight w:val="none"/>
              </w:rPr>
              <w:t>.采购代理服务费：</w:t>
            </w:r>
            <w:r>
              <w:rPr>
                <w:rFonts w:hint="eastAsia" w:ascii="宋体" w:hAnsi="宋体"/>
                <w:color w:val="auto"/>
                <w:szCs w:val="21"/>
                <w:highlight w:val="none"/>
              </w:rPr>
              <w:t>依据《云南省建设工程招标代理服务收费参考意见〉的通知》（云建招协〔2024〕58号）的规定按服务类计算，以成交人的成交价为计算基数，按计算出来的总额下浮24%进行收取</w:t>
            </w:r>
            <w:r>
              <w:rPr>
                <w:rFonts w:hint="eastAsia" w:cs="宋体" w:asciiTheme="minorEastAsia" w:hAnsiTheme="minorEastAsia" w:eastAsiaTheme="minorEastAsia"/>
                <w:color w:val="auto"/>
                <w:szCs w:val="21"/>
                <w:highlight w:val="none"/>
              </w:rPr>
              <w:t>。</w:t>
            </w:r>
            <w:r>
              <w:rPr>
                <w:rFonts w:hint="eastAsia" w:ascii="宋体" w:hAnsi="宋体"/>
                <w:color w:val="auto"/>
                <w:szCs w:val="21"/>
                <w:highlight w:val="none"/>
              </w:rPr>
              <w:t>采购代理服务费由成交供应商在接到成交通知书前向采购代理机构一次性付清。</w:t>
            </w:r>
          </w:p>
          <w:p w14:paraId="116BE91C">
            <w:pPr>
              <w:spacing w:line="360" w:lineRule="auto"/>
              <w:ind w:left="105" w:leftChars="50"/>
              <w:rPr>
                <w:rFonts w:hint="eastAsia" w:cs="宋体" w:asciiTheme="minorEastAsia" w:hAnsiTheme="minorEastAsia" w:eastAsiaTheme="minorEastAsia"/>
                <w:b/>
                <w:bCs/>
                <w:color w:val="auto"/>
                <w:szCs w:val="21"/>
                <w:highlight w:val="none"/>
                <w:lang w:eastAsia="zh-CN"/>
              </w:rPr>
            </w:pPr>
            <w:r>
              <w:rPr>
                <w:rFonts w:hint="eastAsia" w:cs="宋体" w:asciiTheme="minorEastAsia" w:hAnsiTheme="minorEastAsia" w:eastAsiaTheme="minorEastAsia"/>
                <w:b/>
                <w:bCs/>
                <w:color w:val="auto"/>
                <w:szCs w:val="21"/>
                <w:highlight w:val="none"/>
              </w:rPr>
              <w:t>账户名称：</w:t>
            </w:r>
            <w:r>
              <w:rPr>
                <w:rFonts w:hint="eastAsia" w:cs="宋体" w:asciiTheme="minorEastAsia" w:hAnsiTheme="minorEastAsia" w:eastAsiaTheme="minorEastAsia"/>
                <w:b/>
                <w:bCs/>
                <w:color w:val="auto"/>
                <w:szCs w:val="21"/>
                <w:highlight w:val="none"/>
                <w:lang w:eastAsia="zh-CN"/>
              </w:rPr>
              <w:t>云南燕国工程咨询有限公司</w:t>
            </w:r>
          </w:p>
          <w:p w14:paraId="73DA94C3">
            <w:pPr>
              <w:spacing w:line="360" w:lineRule="auto"/>
              <w:ind w:left="105" w:leftChars="50"/>
              <w:rPr>
                <w:rFonts w:hint="eastAsia"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开户银行：富滇银行股份有限公司昆明岔街支行</w:t>
            </w:r>
          </w:p>
          <w:p w14:paraId="2389E285">
            <w:pPr>
              <w:spacing w:line="360" w:lineRule="auto"/>
              <w:ind w:left="105" w:leftChars="50"/>
              <w:rPr>
                <w:rFonts w:hint="eastAsia"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账 </w:t>
            </w:r>
            <w:r>
              <w:rPr>
                <w:rFonts w:cs="宋体" w:asciiTheme="minorEastAsia" w:hAnsiTheme="minorEastAsia" w:eastAsiaTheme="minorEastAsia"/>
                <w:b/>
                <w:bCs/>
                <w:color w:val="auto"/>
                <w:szCs w:val="21"/>
                <w:highlight w:val="none"/>
              </w:rPr>
              <w:t xml:space="preserve">   </w:t>
            </w:r>
            <w:r>
              <w:rPr>
                <w:rFonts w:hint="eastAsia" w:cs="宋体" w:asciiTheme="minorEastAsia" w:hAnsiTheme="minorEastAsia" w:eastAsiaTheme="minorEastAsia"/>
                <w:b/>
                <w:bCs/>
                <w:color w:val="auto"/>
                <w:szCs w:val="21"/>
                <w:highlight w:val="none"/>
              </w:rPr>
              <w:t>号：120871905010000003586</w:t>
            </w:r>
          </w:p>
          <w:p w14:paraId="7BC3CE85">
            <w:pPr>
              <w:spacing w:line="360" w:lineRule="auto"/>
              <w:ind w:left="105" w:leftChars="50"/>
              <w:rPr>
                <w:rFonts w:hint="eastAsia" w:cs="宋体" w:asciiTheme="minorEastAsia" w:hAnsiTheme="minorEastAsia" w:eastAsiaTheme="minorEastAsia"/>
                <w:b/>
                <w:bCs/>
                <w:color w:val="auto"/>
                <w:szCs w:val="21"/>
                <w:highlight w:val="none"/>
                <w:lang w:eastAsia="zh-CN"/>
              </w:rPr>
            </w:pPr>
            <w:r>
              <w:rPr>
                <w:rFonts w:hint="eastAsia" w:cs="宋体" w:asciiTheme="minorEastAsia" w:hAnsiTheme="minorEastAsia" w:eastAsiaTheme="minorEastAsia"/>
                <w:b/>
                <w:bCs/>
                <w:color w:val="auto"/>
                <w:szCs w:val="21"/>
                <w:highlight w:val="none"/>
              </w:rPr>
              <w:t>联系电话：</w:t>
            </w:r>
            <w:r>
              <w:rPr>
                <w:rFonts w:hint="eastAsia" w:cs="宋体" w:asciiTheme="minorEastAsia" w:hAnsiTheme="minorEastAsia" w:eastAsiaTheme="minorEastAsia"/>
                <w:b/>
                <w:bCs/>
                <w:color w:val="auto"/>
                <w:szCs w:val="21"/>
                <w:highlight w:val="none"/>
                <w:lang w:eastAsia="zh-CN"/>
              </w:rPr>
              <w:t>18988445786/0871-63335201</w:t>
            </w:r>
          </w:p>
          <w:p w14:paraId="21D6CC17">
            <w:pPr>
              <w:spacing w:line="360" w:lineRule="auto"/>
              <w:ind w:left="105" w:leftChars="50" w:right="105" w:rightChars="50"/>
              <w:rPr>
                <w:color w:val="auto"/>
                <w:highlight w:val="none"/>
              </w:rPr>
            </w:pPr>
            <w:r>
              <w:rPr>
                <w:rFonts w:hint="eastAsia" w:cs="宋体" w:asciiTheme="minorEastAsia" w:hAnsiTheme="minorEastAsia" w:eastAsiaTheme="minorEastAsia"/>
                <w:color w:val="auto"/>
                <w:szCs w:val="21"/>
                <w:highlight w:val="none"/>
              </w:rPr>
              <w:t>注：付款时，在摘要栏中写明项目名称。</w:t>
            </w:r>
          </w:p>
        </w:tc>
      </w:tr>
      <w:tr w14:paraId="513FF5AF">
        <w:tblPrEx>
          <w:tblCellMar>
            <w:top w:w="0" w:type="dxa"/>
            <w:left w:w="0" w:type="dxa"/>
            <w:bottom w:w="0" w:type="dxa"/>
            <w:right w:w="0" w:type="dxa"/>
          </w:tblCellMar>
        </w:tblPrEx>
        <w:trPr>
          <w:trHeight w:val="416" w:hRule="atLeast"/>
          <w:jc w:val="center"/>
        </w:trPr>
        <w:tc>
          <w:tcPr>
            <w:tcW w:w="840" w:type="dxa"/>
            <w:tcBorders>
              <w:top w:val="single" w:color="auto" w:sz="4" w:space="0"/>
              <w:left w:val="single" w:color="auto" w:sz="4" w:space="0"/>
              <w:bottom w:val="single" w:color="auto" w:sz="4" w:space="0"/>
              <w:right w:val="single" w:color="auto" w:sz="4" w:space="0"/>
            </w:tcBorders>
            <w:vAlign w:val="center"/>
          </w:tcPr>
          <w:p w14:paraId="308DD142">
            <w:pPr>
              <w:spacing w:before="156" w:beforeLines="50" w:line="360" w:lineRule="auto"/>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w:t>
            </w:r>
            <w:r>
              <w:rPr>
                <w:rFonts w:asciiTheme="minorEastAsia" w:hAnsiTheme="minorEastAsia" w:eastAsiaTheme="minorEastAsia"/>
                <w:color w:val="auto"/>
                <w:szCs w:val="21"/>
                <w:highlight w:val="none"/>
              </w:rPr>
              <w:t>.9</w:t>
            </w:r>
          </w:p>
        </w:tc>
        <w:tc>
          <w:tcPr>
            <w:tcW w:w="2264" w:type="dxa"/>
            <w:tcBorders>
              <w:top w:val="single" w:color="auto" w:sz="4" w:space="0"/>
              <w:left w:val="single" w:color="auto" w:sz="4" w:space="0"/>
              <w:bottom w:val="single" w:color="auto" w:sz="4" w:space="0"/>
              <w:right w:val="single" w:color="auto" w:sz="4" w:space="0"/>
            </w:tcBorders>
            <w:vAlign w:val="center"/>
          </w:tcPr>
          <w:p w14:paraId="4BA19EAD">
            <w:pPr>
              <w:spacing w:before="156" w:beforeLines="50" w:line="360" w:lineRule="auto"/>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踏勘现场</w:t>
            </w:r>
          </w:p>
        </w:tc>
        <w:tc>
          <w:tcPr>
            <w:tcW w:w="5963" w:type="dxa"/>
            <w:tcBorders>
              <w:top w:val="single" w:color="auto" w:sz="4" w:space="0"/>
              <w:left w:val="single" w:color="auto" w:sz="4" w:space="0"/>
              <w:bottom w:val="single" w:color="auto" w:sz="4" w:space="0"/>
              <w:right w:val="single" w:color="auto" w:sz="4" w:space="0"/>
            </w:tcBorders>
            <w:vAlign w:val="center"/>
          </w:tcPr>
          <w:p w14:paraId="12513A8D">
            <w:pPr>
              <w:spacing w:before="156" w:beforeLines="50" w:line="360" w:lineRule="auto"/>
              <w:ind w:left="105" w:leftChars="5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不组织。</w:t>
            </w:r>
          </w:p>
        </w:tc>
      </w:tr>
      <w:tr w14:paraId="537E4215">
        <w:tblPrEx>
          <w:tblCellMar>
            <w:top w:w="0" w:type="dxa"/>
            <w:left w:w="0" w:type="dxa"/>
            <w:bottom w:w="0" w:type="dxa"/>
            <w:right w:w="0" w:type="dxa"/>
          </w:tblCellMar>
        </w:tblPrEx>
        <w:trPr>
          <w:trHeight w:val="132" w:hRule="atLeast"/>
          <w:jc w:val="center"/>
        </w:trPr>
        <w:tc>
          <w:tcPr>
            <w:tcW w:w="840" w:type="dxa"/>
            <w:tcBorders>
              <w:top w:val="single" w:color="auto" w:sz="4" w:space="0"/>
              <w:left w:val="single" w:color="auto" w:sz="4" w:space="0"/>
              <w:bottom w:val="single" w:color="auto" w:sz="4" w:space="0"/>
              <w:right w:val="single" w:color="auto" w:sz="4" w:space="0"/>
            </w:tcBorders>
            <w:vAlign w:val="center"/>
          </w:tcPr>
          <w:p w14:paraId="1DC118D6">
            <w:pPr>
              <w:wordWrap w:val="0"/>
              <w:autoSpaceDE w:val="0"/>
              <w:autoSpaceDN w:val="0"/>
              <w:spacing w:before="60" w:after="60" w:line="360" w:lineRule="auto"/>
              <w:contextualSpacing/>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1.10.2</w:t>
            </w:r>
          </w:p>
        </w:tc>
        <w:tc>
          <w:tcPr>
            <w:tcW w:w="2264" w:type="dxa"/>
            <w:tcBorders>
              <w:top w:val="single" w:color="auto" w:sz="4" w:space="0"/>
              <w:left w:val="single" w:color="auto" w:sz="4" w:space="0"/>
              <w:bottom w:val="single" w:color="auto" w:sz="4" w:space="0"/>
              <w:right w:val="single" w:color="auto" w:sz="4" w:space="0"/>
            </w:tcBorders>
            <w:vAlign w:val="center"/>
          </w:tcPr>
          <w:p w14:paraId="13E2908D">
            <w:pPr>
              <w:spacing w:line="360" w:lineRule="auto"/>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供应商的询问及</w:t>
            </w:r>
          </w:p>
          <w:p w14:paraId="75D03DA6">
            <w:pPr>
              <w:spacing w:line="360" w:lineRule="auto"/>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答复的规定</w:t>
            </w:r>
          </w:p>
        </w:tc>
        <w:tc>
          <w:tcPr>
            <w:tcW w:w="5963" w:type="dxa"/>
            <w:tcBorders>
              <w:top w:val="single" w:color="auto" w:sz="4" w:space="0"/>
              <w:left w:val="single" w:color="auto" w:sz="4" w:space="0"/>
              <w:bottom w:val="single" w:color="auto" w:sz="4" w:space="0"/>
              <w:right w:val="single" w:color="auto" w:sz="4" w:space="0"/>
            </w:tcBorders>
            <w:vAlign w:val="center"/>
          </w:tcPr>
          <w:p w14:paraId="50D9EDA2">
            <w:pPr>
              <w:pStyle w:val="139"/>
              <w:wordWrap w:val="0"/>
              <w:spacing w:before="156" w:beforeLines="50" w:line="360" w:lineRule="auto"/>
              <w:ind w:left="105" w:leftChars="50" w:right="105" w:rightChars="5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供应商可以向采购人或采购代理机构提出询问或者凭企业数字证书（CA）登录政府采购云平台，通过在线方式提出询问，采购人或者采购代理机构在接到询问后的3个工作日内对供应商依法提出的询问作出答复，但答复的内容不涉及商业秘密。</w:t>
            </w:r>
          </w:p>
        </w:tc>
      </w:tr>
      <w:tr w14:paraId="2FA09F64">
        <w:tblPrEx>
          <w:tblCellMar>
            <w:top w:w="0" w:type="dxa"/>
            <w:left w:w="0" w:type="dxa"/>
            <w:bottom w:w="0" w:type="dxa"/>
            <w:right w:w="0" w:type="dxa"/>
          </w:tblCellMar>
        </w:tblPrEx>
        <w:trPr>
          <w:trHeight w:val="274" w:hRule="atLeast"/>
          <w:jc w:val="center"/>
        </w:trPr>
        <w:tc>
          <w:tcPr>
            <w:tcW w:w="840" w:type="dxa"/>
            <w:tcBorders>
              <w:top w:val="single" w:color="auto" w:sz="4" w:space="0"/>
              <w:left w:val="single" w:color="auto" w:sz="4" w:space="0"/>
              <w:bottom w:val="single" w:color="auto" w:sz="4" w:space="0"/>
              <w:right w:val="single" w:color="auto" w:sz="4" w:space="0"/>
            </w:tcBorders>
            <w:vAlign w:val="center"/>
          </w:tcPr>
          <w:p w14:paraId="2DB9FE7D">
            <w:pPr>
              <w:wordWrap w:val="0"/>
              <w:autoSpaceDE w:val="0"/>
              <w:autoSpaceDN w:val="0"/>
              <w:spacing w:line="360" w:lineRule="auto"/>
              <w:contextualSpacing/>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1.10.3</w:t>
            </w:r>
          </w:p>
        </w:tc>
        <w:tc>
          <w:tcPr>
            <w:tcW w:w="2264" w:type="dxa"/>
            <w:tcBorders>
              <w:top w:val="single" w:color="auto" w:sz="4" w:space="0"/>
              <w:left w:val="single" w:color="auto" w:sz="4" w:space="0"/>
              <w:bottom w:val="single" w:color="auto" w:sz="4" w:space="0"/>
              <w:right w:val="single" w:color="auto" w:sz="4" w:space="0"/>
            </w:tcBorders>
            <w:vAlign w:val="center"/>
          </w:tcPr>
          <w:p w14:paraId="5364D99A">
            <w:pPr>
              <w:spacing w:before="156" w:beforeLines="50" w:line="360" w:lineRule="auto"/>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采购人澄清的</w:t>
            </w:r>
          </w:p>
          <w:p w14:paraId="5EFCBAC4">
            <w:pPr>
              <w:spacing w:line="360" w:lineRule="auto"/>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时间和方法</w:t>
            </w:r>
          </w:p>
        </w:tc>
        <w:tc>
          <w:tcPr>
            <w:tcW w:w="5963" w:type="dxa"/>
            <w:tcBorders>
              <w:top w:val="single" w:color="auto" w:sz="4" w:space="0"/>
              <w:left w:val="single" w:color="auto" w:sz="4" w:space="0"/>
              <w:bottom w:val="single" w:color="auto" w:sz="4" w:space="0"/>
              <w:right w:val="single" w:color="auto" w:sz="4" w:space="0"/>
            </w:tcBorders>
            <w:vAlign w:val="center"/>
          </w:tcPr>
          <w:p w14:paraId="2095D888">
            <w:pPr>
              <w:pStyle w:val="139"/>
              <w:spacing w:before="156" w:beforeLines="50" w:line="360" w:lineRule="auto"/>
              <w:ind w:left="105" w:leftChars="50" w:right="105" w:rightChars="5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提交响应文件截止时间前，采购人、采购代理机构可以对已发出的采购文件进行必要的澄清，澄清的内容作为采购文件的组成部分，并具有约束力。澄清的内容可能影响采购文件编制的，采购人、采购代理机构应在提交响应文件截止时间5日前，在政府采购云平台通知所有获取采购文件的供应商，但不指明澄清问题的来源。不足5日的，应当顺延提交响应文件截止时间。</w:t>
            </w:r>
          </w:p>
        </w:tc>
      </w:tr>
      <w:tr w14:paraId="3D860D59">
        <w:tblPrEx>
          <w:tblCellMar>
            <w:top w:w="0" w:type="dxa"/>
            <w:left w:w="0" w:type="dxa"/>
            <w:bottom w:w="0" w:type="dxa"/>
            <w:right w:w="0" w:type="dxa"/>
          </w:tblCellMar>
        </w:tblPrEx>
        <w:trPr>
          <w:trHeight w:val="422" w:hRule="atLeast"/>
          <w:jc w:val="center"/>
        </w:trPr>
        <w:tc>
          <w:tcPr>
            <w:tcW w:w="840" w:type="dxa"/>
            <w:tcBorders>
              <w:top w:val="single" w:color="auto" w:sz="4" w:space="0"/>
              <w:left w:val="single" w:color="auto" w:sz="4" w:space="0"/>
              <w:bottom w:val="single" w:color="auto" w:sz="4" w:space="0"/>
              <w:right w:val="single" w:color="auto" w:sz="4" w:space="0"/>
            </w:tcBorders>
            <w:vAlign w:val="center"/>
          </w:tcPr>
          <w:p w14:paraId="400F8BD5">
            <w:pPr>
              <w:spacing w:before="156" w:beforeLines="50" w:line="360" w:lineRule="auto"/>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1.11</w:t>
            </w:r>
          </w:p>
        </w:tc>
        <w:tc>
          <w:tcPr>
            <w:tcW w:w="2264" w:type="dxa"/>
            <w:tcBorders>
              <w:top w:val="single" w:color="auto" w:sz="4" w:space="0"/>
              <w:left w:val="single" w:color="auto" w:sz="4" w:space="0"/>
              <w:bottom w:val="single" w:color="auto" w:sz="4" w:space="0"/>
              <w:right w:val="single" w:color="auto" w:sz="4" w:space="0"/>
            </w:tcBorders>
            <w:vAlign w:val="center"/>
          </w:tcPr>
          <w:p w14:paraId="2F742F50">
            <w:pPr>
              <w:spacing w:before="156" w:beforeLines="50" w:line="360" w:lineRule="auto"/>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分包</w:t>
            </w:r>
          </w:p>
        </w:tc>
        <w:tc>
          <w:tcPr>
            <w:tcW w:w="5963" w:type="dxa"/>
            <w:tcBorders>
              <w:top w:val="single" w:color="auto" w:sz="4" w:space="0"/>
              <w:left w:val="single" w:color="auto" w:sz="4" w:space="0"/>
              <w:bottom w:val="single" w:color="auto" w:sz="4" w:space="0"/>
              <w:right w:val="single" w:color="auto" w:sz="4" w:space="0"/>
            </w:tcBorders>
            <w:vAlign w:val="center"/>
          </w:tcPr>
          <w:p w14:paraId="1747EE1A">
            <w:pPr>
              <w:pStyle w:val="139"/>
              <w:spacing w:before="156" w:beforeLines="50" w:line="360" w:lineRule="auto"/>
              <w:ind w:left="105" w:leftChars="5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不允许。</w:t>
            </w:r>
          </w:p>
        </w:tc>
      </w:tr>
      <w:tr w14:paraId="65719874">
        <w:tblPrEx>
          <w:tblCellMar>
            <w:top w:w="0" w:type="dxa"/>
            <w:left w:w="0" w:type="dxa"/>
            <w:bottom w:w="0" w:type="dxa"/>
            <w:right w:w="0" w:type="dxa"/>
          </w:tblCellMar>
        </w:tblPrEx>
        <w:trPr>
          <w:trHeight w:val="413" w:hRule="atLeast"/>
          <w:jc w:val="center"/>
        </w:trPr>
        <w:tc>
          <w:tcPr>
            <w:tcW w:w="840" w:type="dxa"/>
            <w:tcBorders>
              <w:top w:val="single" w:color="auto" w:sz="4" w:space="0"/>
              <w:left w:val="single" w:color="auto" w:sz="4" w:space="0"/>
              <w:bottom w:val="single" w:color="auto" w:sz="4" w:space="0"/>
              <w:right w:val="single" w:color="auto" w:sz="4" w:space="0"/>
            </w:tcBorders>
            <w:vAlign w:val="center"/>
          </w:tcPr>
          <w:p w14:paraId="5ABAE81F">
            <w:pPr>
              <w:spacing w:before="156" w:beforeLines="50" w:line="360" w:lineRule="auto"/>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1.12</w:t>
            </w:r>
          </w:p>
        </w:tc>
        <w:tc>
          <w:tcPr>
            <w:tcW w:w="2264" w:type="dxa"/>
            <w:tcBorders>
              <w:top w:val="single" w:color="auto" w:sz="4" w:space="0"/>
              <w:left w:val="single" w:color="auto" w:sz="4" w:space="0"/>
              <w:bottom w:val="single" w:color="auto" w:sz="4" w:space="0"/>
              <w:right w:val="single" w:color="auto" w:sz="4" w:space="0"/>
            </w:tcBorders>
            <w:vAlign w:val="center"/>
          </w:tcPr>
          <w:p w14:paraId="4F67D077">
            <w:pPr>
              <w:spacing w:before="156" w:beforeLines="50" w:line="360" w:lineRule="auto"/>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偏离</w:t>
            </w:r>
          </w:p>
        </w:tc>
        <w:tc>
          <w:tcPr>
            <w:tcW w:w="5963" w:type="dxa"/>
            <w:tcBorders>
              <w:top w:val="single" w:color="auto" w:sz="4" w:space="0"/>
              <w:left w:val="single" w:color="auto" w:sz="4" w:space="0"/>
              <w:bottom w:val="single" w:color="auto" w:sz="4" w:space="0"/>
              <w:right w:val="single" w:color="auto" w:sz="4" w:space="0"/>
            </w:tcBorders>
            <w:vAlign w:val="center"/>
          </w:tcPr>
          <w:p w14:paraId="5CB551F3">
            <w:pPr>
              <w:pStyle w:val="139"/>
              <w:spacing w:line="360" w:lineRule="auto"/>
              <w:ind w:left="105" w:leftChars="50" w:right="105" w:rightChars="50"/>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允许。</w:t>
            </w:r>
          </w:p>
          <w:p w14:paraId="3315C69F">
            <w:pPr>
              <w:pStyle w:val="139"/>
              <w:spacing w:line="360" w:lineRule="auto"/>
              <w:ind w:left="105" w:leftChars="50" w:right="105" w:rightChars="50"/>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kern w:val="0"/>
                <w:szCs w:val="21"/>
                <w:highlight w:val="none"/>
              </w:rPr>
              <w:t>本项目允许偏离的内容指：供应商可以在响应文件中提供优于采购文件要求的偏离。不允许负偏离，否则响应文件按否决处理。</w:t>
            </w:r>
          </w:p>
        </w:tc>
      </w:tr>
      <w:tr w14:paraId="418BF7ED">
        <w:tblPrEx>
          <w:tblCellMar>
            <w:top w:w="0" w:type="dxa"/>
            <w:left w:w="0" w:type="dxa"/>
            <w:bottom w:w="0" w:type="dxa"/>
            <w:right w:w="0" w:type="dxa"/>
          </w:tblCellMar>
        </w:tblPrEx>
        <w:trPr>
          <w:trHeight w:val="416" w:hRule="atLeast"/>
          <w:jc w:val="center"/>
        </w:trPr>
        <w:tc>
          <w:tcPr>
            <w:tcW w:w="840" w:type="dxa"/>
            <w:tcBorders>
              <w:top w:val="single" w:color="auto" w:sz="4" w:space="0"/>
              <w:left w:val="single" w:color="auto" w:sz="4" w:space="0"/>
              <w:bottom w:val="single" w:color="auto" w:sz="4" w:space="0"/>
              <w:right w:val="single" w:color="auto" w:sz="4" w:space="0"/>
            </w:tcBorders>
            <w:vAlign w:val="center"/>
          </w:tcPr>
          <w:p w14:paraId="51F27A0C">
            <w:pPr>
              <w:spacing w:before="156" w:beforeLines="50" w:line="360" w:lineRule="auto"/>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2.2.1</w:t>
            </w:r>
          </w:p>
        </w:tc>
        <w:tc>
          <w:tcPr>
            <w:tcW w:w="2264" w:type="dxa"/>
            <w:tcBorders>
              <w:top w:val="single" w:color="auto" w:sz="4" w:space="0"/>
              <w:left w:val="single" w:color="auto" w:sz="4" w:space="0"/>
              <w:bottom w:val="single" w:color="auto" w:sz="4" w:space="0"/>
              <w:right w:val="single" w:color="auto" w:sz="4" w:space="0"/>
            </w:tcBorders>
            <w:vAlign w:val="center"/>
          </w:tcPr>
          <w:p w14:paraId="5E410B61">
            <w:pPr>
              <w:spacing w:before="156" w:beforeLines="50" w:line="360" w:lineRule="auto"/>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供应商要求澄清采购文件的截止时间和方法</w:t>
            </w:r>
          </w:p>
        </w:tc>
        <w:tc>
          <w:tcPr>
            <w:tcW w:w="5963" w:type="dxa"/>
            <w:tcBorders>
              <w:top w:val="single" w:color="auto" w:sz="4" w:space="0"/>
              <w:left w:val="single" w:color="auto" w:sz="4" w:space="0"/>
              <w:bottom w:val="single" w:color="auto" w:sz="4" w:space="0"/>
              <w:right w:val="single" w:color="auto" w:sz="4" w:space="0"/>
            </w:tcBorders>
            <w:vAlign w:val="center"/>
          </w:tcPr>
          <w:p w14:paraId="005E6D19">
            <w:pPr>
              <w:pStyle w:val="139"/>
              <w:spacing w:before="156" w:beforeLines="50" w:line="360" w:lineRule="auto"/>
              <w:ind w:left="105" w:leftChars="50" w:right="105" w:rightChars="50"/>
              <w:rPr>
                <w:rFonts w:hint="eastAsia" w:cs="宋体"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同1.10.2的时间要求。供应商应仔细阅读和检查采购文件的全部内容，如发现缺页或附件不全，应及时向采购人提出，以便补齐。如有疑问，应在第1.10.2条规定的时间前，要求采购人或采购代理机构对采购文件予以澄清。</w:t>
            </w:r>
          </w:p>
        </w:tc>
      </w:tr>
      <w:tr w14:paraId="6F4559D5">
        <w:tblPrEx>
          <w:tblCellMar>
            <w:top w:w="0" w:type="dxa"/>
            <w:left w:w="0" w:type="dxa"/>
            <w:bottom w:w="0" w:type="dxa"/>
            <w:right w:w="0" w:type="dxa"/>
          </w:tblCellMar>
        </w:tblPrEx>
        <w:trPr>
          <w:trHeight w:val="498" w:hRule="atLeast"/>
          <w:jc w:val="center"/>
        </w:trPr>
        <w:tc>
          <w:tcPr>
            <w:tcW w:w="840" w:type="dxa"/>
            <w:tcBorders>
              <w:top w:val="single" w:color="auto" w:sz="4" w:space="0"/>
              <w:left w:val="single" w:color="auto" w:sz="4" w:space="0"/>
              <w:bottom w:val="single" w:color="auto" w:sz="4" w:space="0"/>
              <w:right w:val="single" w:color="auto" w:sz="4" w:space="0"/>
            </w:tcBorders>
            <w:vAlign w:val="center"/>
          </w:tcPr>
          <w:p w14:paraId="31B32082">
            <w:pPr>
              <w:spacing w:before="156" w:beforeLines="50" w:line="360" w:lineRule="auto"/>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2.2.2</w:t>
            </w:r>
          </w:p>
        </w:tc>
        <w:tc>
          <w:tcPr>
            <w:tcW w:w="2264" w:type="dxa"/>
            <w:tcBorders>
              <w:top w:val="single" w:color="auto" w:sz="4" w:space="0"/>
              <w:left w:val="single" w:color="auto" w:sz="4" w:space="0"/>
              <w:bottom w:val="single" w:color="auto" w:sz="4" w:space="0"/>
              <w:right w:val="single" w:color="auto" w:sz="4" w:space="0"/>
            </w:tcBorders>
            <w:vAlign w:val="center"/>
          </w:tcPr>
          <w:p w14:paraId="3FF2E22F">
            <w:pPr>
              <w:spacing w:before="156" w:beforeLines="50" w:line="360" w:lineRule="auto"/>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提交响应文件的</w:t>
            </w:r>
          </w:p>
          <w:p w14:paraId="63DBFF70">
            <w:pPr>
              <w:spacing w:line="360" w:lineRule="auto"/>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截止时间</w:t>
            </w:r>
          </w:p>
        </w:tc>
        <w:tc>
          <w:tcPr>
            <w:tcW w:w="5963" w:type="dxa"/>
            <w:tcBorders>
              <w:top w:val="single" w:color="auto" w:sz="4" w:space="0"/>
              <w:left w:val="single" w:color="auto" w:sz="4" w:space="0"/>
              <w:bottom w:val="single" w:color="auto" w:sz="4" w:space="0"/>
              <w:right w:val="single" w:color="auto" w:sz="4" w:space="0"/>
            </w:tcBorders>
            <w:vAlign w:val="center"/>
          </w:tcPr>
          <w:p w14:paraId="09E347C7">
            <w:pPr>
              <w:pStyle w:val="139"/>
              <w:spacing w:before="156" w:beforeLines="50" w:line="360" w:lineRule="auto"/>
              <w:ind w:left="105" w:leftChars="50"/>
              <w:rPr>
                <w:rFonts w:hint="eastAsia" w:cs="宋体"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同竞争性磋商公告中的“响应文件提交的截止时间”。</w:t>
            </w:r>
          </w:p>
        </w:tc>
      </w:tr>
      <w:tr w14:paraId="6E605743">
        <w:tblPrEx>
          <w:tblCellMar>
            <w:top w:w="0" w:type="dxa"/>
            <w:left w:w="0" w:type="dxa"/>
            <w:bottom w:w="0" w:type="dxa"/>
            <w:right w:w="0" w:type="dxa"/>
          </w:tblCellMar>
        </w:tblPrEx>
        <w:trPr>
          <w:trHeight w:val="567" w:hRule="atLeast"/>
          <w:jc w:val="center"/>
        </w:trPr>
        <w:tc>
          <w:tcPr>
            <w:tcW w:w="840" w:type="dxa"/>
            <w:tcBorders>
              <w:top w:val="single" w:color="auto" w:sz="4" w:space="0"/>
              <w:left w:val="single" w:color="auto" w:sz="4" w:space="0"/>
              <w:bottom w:val="single" w:color="auto" w:sz="4" w:space="0"/>
              <w:right w:val="single" w:color="auto" w:sz="4" w:space="0"/>
            </w:tcBorders>
            <w:vAlign w:val="center"/>
          </w:tcPr>
          <w:p w14:paraId="52943797">
            <w:pPr>
              <w:spacing w:before="156" w:beforeLines="50" w:line="360" w:lineRule="auto"/>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2.2.3</w:t>
            </w:r>
          </w:p>
        </w:tc>
        <w:tc>
          <w:tcPr>
            <w:tcW w:w="2264" w:type="dxa"/>
            <w:tcBorders>
              <w:top w:val="single" w:color="auto" w:sz="4" w:space="0"/>
              <w:left w:val="single" w:color="auto" w:sz="4" w:space="0"/>
              <w:bottom w:val="single" w:color="auto" w:sz="4" w:space="0"/>
              <w:right w:val="single" w:color="auto" w:sz="4" w:space="0"/>
            </w:tcBorders>
            <w:vAlign w:val="center"/>
          </w:tcPr>
          <w:p w14:paraId="1B257566">
            <w:pPr>
              <w:spacing w:before="156" w:beforeLines="50" w:line="360" w:lineRule="auto"/>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供应商确认收到采购</w:t>
            </w:r>
          </w:p>
          <w:p w14:paraId="07157FDB">
            <w:pPr>
              <w:spacing w:line="360" w:lineRule="auto"/>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文件澄清的时间</w:t>
            </w:r>
          </w:p>
        </w:tc>
        <w:tc>
          <w:tcPr>
            <w:tcW w:w="5963" w:type="dxa"/>
            <w:tcBorders>
              <w:top w:val="single" w:color="auto" w:sz="4" w:space="0"/>
              <w:left w:val="single" w:color="auto" w:sz="4" w:space="0"/>
              <w:bottom w:val="single" w:color="auto" w:sz="4" w:space="0"/>
              <w:right w:val="single" w:color="auto" w:sz="4" w:space="0"/>
            </w:tcBorders>
            <w:vAlign w:val="center"/>
          </w:tcPr>
          <w:p w14:paraId="5ED6B811">
            <w:pPr>
              <w:wordWrap w:val="0"/>
              <w:autoSpaceDE w:val="0"/>
              <w:autoSpaceDN w:val="0"/>
              <w:spacing w:line="360" w:lineRule="auto"/>
              <w:ind w:left="105" w:leftChars="50"/>
              <w:contextualSpacing/>
              <w:rPr>
                <w:rFonts w:hint="eastAsia" w:cs="宋体"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收到当天。</w:t>
            </w:r>
          </w:p>
        </w:tc>
      </w:tr>
      <w:tr w14:paraId="385BEE91">
        <w:tblPrEx>
          <w:tblCellMar>
            <w:top w:w="0" w:type="dxa"/>
            <w:left w:w="0" w:type="dxa"/>
            <w:bottom w:w="0" w:type="dxa"/>
            <w:right w:w="0" w:type="dxa"/>
          </w:tblCellMar>
        </w:tblPrEx>
        <w:trPr>
          <w:trHeight w:val="567" w:hRule="atLeast"/>
          <w:jc w:val="center"/>
        </w:trPr>
        <w:tc>
          <w:tcPr>
            <w:tcW w:w="840" w:type="dxa"/>
            <w:tcBorders>
              <w:top w:val="single" w:color="auto" w:sz="4" w:space="0"/>
              <w:left w:val="single" w:color="auto" w:sz="4" w:space="0"/>
              <w:bottom w:val="single" w:color="auto" w:sz="4" w:space="0"/>
              <w:right w:val="single" w:color="auto" w:sz="4" w:space="0"/>
            </w:tcBorders>
            <w:vAlign w:val="center"/>
          </w:tcPr>
          <w:p w14:paraId="0100A58C">
            <w:pPr>
              <w:spacing w:before="156" w:beforeLines="50" w:line="360" w:lineRule="auto"/>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3.2.1</w:t>
            </w:r>
          </w:p>
        </w:tc>
        <w:tc>
          <w:tcPr>
            <w:tcW w:w="2264" w:type="dxa"/>
            <w:tcBorders>
              <w:top w:val="single" w:color="auto" w:sz="4" w:space="0"/>
              <w:left w:val="single" w:color="auto" w:sz="4" w:space="0"/>
              <w:bottom w:val="single" w:color="auto" w:sz="4" w:space="0"/>
              <w:right w:val="single" w:color="auto" w:sz="4" w:space="0"/>
            </w:tcBorders>
            <w:vAlign w:val="center"/>
          </w:tcPr>
          <w:p w14:paraId="10DB973F">
            <w:pPr>
              <w:spacing w:before="156" w:beforeLines="50" w:line="360" w:lineRule="auto"/>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最高磋商限价</w:t>
            </w:r>
          </w:p>
        </w:tc>
        <w:tc>
          <w:tcPr>
            <w:tcW w:w="5963" w:type="dxa"/>
            <w:tcBorders>
              <w:top w:val="single" w:color="auto" w:sz="4" w:space="0"/>
              <w:left w:val="single" w:color="auto" w:sz="4" w:space="0"/>
              <w:bottom w:val="single" w:color="auto" w:sz="4" w:space="0"/>
              <w:right w:val="single" w:color="auto" w:sz="4" w:space="0"/>
            </w:tcBorders>
            <w:vAlign w:val="center"/>
          </w:tcPr>
          <w:p w14:paraId="534605E2">
            <w:pPr>
              <w:spacing w:before="156" w:beforeLines="50" w:line="360" w:lineRule="auto"/>
              <w:ind w:left="105" w:leftChars="50" w:right="105" w:rightChars="50"/>
              <w:jc w:val="left"/>
              <w:rPr>
                <w:rFonts w:hint="eastAsia" w:ascii="宋体" w:hAnsi="宋体"/>
                <w:b/>
                <w:color w:val="auto"/>
                <w:szCs w:val="21"/>
                <w:highlight w:val="none"/>
              </w:rPr>
            </w:pPr>
            <w:r>
              <w:rPr>
                <w:rFonts w:hint="eastAsia" w:asciiTheme="minorEastAsia" w:hAnsiTheme="minorEastAsia" w:eastAsiaTheme="minorEastAsia"/>
                <w:b/>
                <w:bCs/>
                <w:color w:val="auto"/>
                <w:szCs w:val="21"/>
                <w:highlight w:val="none"/>
              </w:rPr>
              <w:t>本项目的最高磋商限价为：</w:t>
            </w:r>
            <w:r>
              <w:rPr>
                <w:rFonts w:hint="eastAsia" w:ascii="宋体" w:hAnsi="宋体"/>
                <w:b/>
                <w:color w:val="auto"/>
                <w:szCs w:val="21"/>
                <w:highlight w:val="none"/>
              </w:rPr>
              <w:t>¥</w:t>
            </w:r>
            <w:r>
              <w:rPr>
                <w:rFonts w:hint="eastAsia" w:ascii="宋体" w:hAnsi="宋体"/>
                <w:b/>
                <w:color w:val="auto"/>
                <w:szCs w:val="21"/>
                <w:highlight w:val="none"/>
                <w:lang w:val="en-US" w:eastAsia="zh-CN"/>
              </w:rPr>
              <w:t>266000</w:t>
            </w:r>
            <w:r>
              <w:rPr>
                <w:rFonts w:hint="eastAsia" w:ascii="宋体" w:hAnsi="宋体"/>
                <w:b/>
                <w:color w:val="auto"/>
                <w:szCs w:val="21"/>
                <w:highlight w:val="none"/>
              </w:rPr>
              <w:t>.00元（大写：</w:t>
            </w:r>
            <w:r>
              <w:rPr>
                <w:rFonts w:hint="eastAsia" w:ascii="宋体" w:hAnsi="宋体"/>
                <w:b/>
                <w:color w:val="auto"/>
                <w:szCs w:val="21"/>
                <w:highlight w:val="none"/>
                <w:lang w:val="en-US" w:eastAsia="zh-CN"/>
              </w:rPr>
              <w:t>贰拾陆万陆仟元整</w:t>
            </w:r>
            <w:r>
              <w:rPr>
                <w:rFonts w:hint="eastAsia" w:ascii="宋体" w:hAnsi="宋体"/>
                <w:b/>
                <w:color w:val="auto"/>
                <w:szCs w:val="21"/>
                <w:highlight w:val="none"/>
              </w:rPr>
              <w:t>）。</w:t>
            </w:r>
          </w:p>
          <w:p w14:paraId="405C84B5">
            <w:pPr>
              <w:wordWrap w:val="0"/>
              <w:autoSpaceDE w:val="0"/>
              <w:autoSpaceDN w:val="0"/>
              <w:spacing w:line="360" w:lineRule="auto"/>
              <w:ind w:left="105" w:leftChars="50" w:right="105" w:rightChars="50"/>
              <w:contextualSpacing/>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注：供应商的磋商报价不得高于以上的最高磋商限价，否则其响应文件作否决处理。</w:t>
            </w:r>
          </w:p>
        </w:tc>
      </w:tr>
      <w:tr w14:paraId="2DDE7E19">
        <w:tblPrEx>
          <w:tblCellMar>
            <w:top w:w="0" w:type="dxa"/>
            <w:left w:w="0" w:type="dxa"/>
            <w:bottom w:w="0" w:type="dxa"/>
            <w:right w:w="0" w:type="dxa"/>
          </w:tblCellMar>
        </w:tblPrEx>
        <w:trPr>
          <w:trHeight w:val="132" w:hRule="atLeast"/>
          <w:jc w:val="center"/>
        </w:trPr>
        <w:tc>
          <w:tcPr>
            <w:tcW w:w="840" w:type="dxa"/>
            <w:tcBorders>
              <w:top w:val="single" w:color="auto" w:sz="4" w:space="0"/>
              <w:left w:val="single" w:color="auto" w:sz="4" w:space="0"/>
              <w:bottom w:val="single" w:color="auto" w:sz="4" w:space="0"/>
              <w:right w:val="single" w:color="auto" w:sz="4" w:space="0"/>
            </w:tcBorders>
            <w:vAlign w:val="center"/>
          </w:tcPr>
          <w:p w14:paraId="39DC1036">
            <w:pPr>
              <w:wordWrap w:val="0"/>
              <w:autoSpaceDE w:val="0"/>
              <w:autoSpaceDN w:val="0"/>
              <w:spacing w:before="60" w:after="60"/>
              <w:contextualSpacing/>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3.2.2</w:t>
            </w:r>
          </w:p>
        </w:tc>
        <w:tc>
          <w:tcPr>
            <w:tcW w:w="2264" w:type="dxa"/>
            <w:tcBorders>
              <w:top w:val="single" w:color="auto" w:sz="4" w:space="0"/>
              <w:left w:val="single" w:color="auto" w:sz="4" w:space="0"/>
              <w:bottom w:val="single" w:color="auto" w:sz="4" w:space="0"/>
              <w:right w:val="single" w:color="auto" w:sz="4" w:space="0"/>
            </w:tcBorders>
            <w:vAlign w:val="center"/>
          </w:tcPr>
          <w:p w14:paraId="4A66B1CC">
            <w:pPr>
              <w:autoSpaceDE w:val="0"/>
              <w:autoSpaceDN w:val="0"/>
              <w:spacing w:after="60"/>
              <w:contextualSpacing/>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报价方式</w:t>
            </w:r>
          </w:p>
        </w:tc>
        <w:tc>
          <w:tcPr>
            <w:tcW w:w="5963" w:type="dxa"/>
            <w:tcBorders>
              <w:top w:val="single" w:color="auto" w:sz="4" w:space="0"/>
              <w:left w:val="single" w:color="auto" w:sz="4" w:space="0"/>
              <w:bottom w:val="single" w:color="auto" w:sz="4" w:space="0"/>
              <w:right w:val="single" w:color="auto" w:sz="4" w:space="0"/>
            </w:tcBorders>
            <w:vAlign w:val="center"/>
          </w:tcPr>
          <w:p w14:paraId="60BFB234">
            <w:pPr>
              <w:spacing w:before="156" w:beforeLines="50" w:line="360" w:lineRule="auto"/>
              <w:ind w:left="105" w:leftChars="50" w:right="105" w:rightChars="50"/>
              <w:rPr>
                <w:color w:val="auto"/>
                <w:szCs w:val="21"/>
                <w:highlight w:val="none"/>
              </w:rPr>
            </w:pPr>
            <w:r>
              <w:rPr>
                <w:rFonts w:hint="eastAsia"/>
                <w:color w:val="auto"/>
                <w:szCs w:val="21"/>
                <w:highlight w:val="none"/>
              </w:rPr>
              <w:t>本项目采用</w:t>
            </w:r>
            <w:r>
              <w:rPr>
                <w:rFonts w:hint="eastAsia"/>
                <w:b/>
                <w:bCs/>
                <w:color w:val="auto"/>
                <w:szCs w:val="21"/>
                <w:highlight w:val="none"/>
                <w:u w:val="single"/>
              </w:rPr>
              <w:t>总价包干</w:t>
            </w:r>
            <w:r>
              <w:rPr>
                <w:rFonts w:hint="eastAsia"/>
                <w:color w:val="auto"/>
                <w:szCs w:val="21"/>
                <w:highlight w:val="none"/>
              </w:rPr>
              <w:t>的方式进行报价</w:t>
            </w:r>
            <w:r>
              <w:rPr>
                <w:rFonts w:hint="eastAsia" w:ascii="宋体" w:hAnsi="宋体"/>
                <w:color w:val="auto"/>
                <w:szCs w:val="21"/>
                <w:highlight w:val="none"/>
              </w:rPr>
              <w:t>。</w:t>
            </w:r>
          </w:p>
          <w:p w14:paraId="35245F97">
            <w:pPr>
              <w:pStyle w:val="21"/>
              <w:spacing w:line="360" w:lineRule="auto"/>
              <w:ind w:left="105" w:leftChars="50" w:right="105" w:rightChars="50"/>
              <w:rPr>
                <w:rFonts w:hint="eastAsia"/>
                <w:color w:val="auto"/>
                <w:sz w:val="21"/>
                <w:szCs w:val="21"/>
                <w:highlight w:val="none"/>
              </w:rPr>
            </w:pPr>
            <w:r>
              <w:rPr>
                <w:rFonts w:hint="eastAsia"/>
                <w:color w:val="auto"/>
                <w:sz w:val="21"/>
                <w:szCs w:val="21"/>
                <w:highlight w:val="none"/>
              </w:rPr>
              <w:t>注：（1）磋商报价应符合国内行情并能保证供应商完成履行合同所需的全部工作，包括完成该项目的监理服务费、差旅费、住宿费、伙食费、利润、必要的保险费用、各项税金及项目实施等的全部费用。合同一旦签订，此合同价格在合同执行期间将不因工作量的变化而调整；</w:t>
            </w:r>
          </w:p>
          <w:p w14:paraId="4F73F082">
            <w:pPr>
              <w:spacing w:line="360" w:lineRule="auto"/>
              <w:ind w:left="105" w:leftChars="50" w:right="105" w:rightChars="50" w:firstLine="420" w:firstLineChars="200"/>
              <w:rPr>
                <w:color w:val="auto"/>
                <w:highlight w:val="none"/>
              </w:rPr>
            </w:pPr>
            <w:r>
              <w:rPr>
                <w:rFonts w:hint="eastAsia" w:ascii="宋体" w:hAnsi="宋体"/>
                <w:color w:val="auto"/>
                <w:szCs w:val="21"/>
                <w:highlight w:val="none"/>
              </w:rPr>
              <w:t>（2）任何有选择的报价将不予接受，本次采购只允许供应商只有一个有效的磋商报价。在响应文件中，供应商投报两个或多个方案或有两个或多个磋商报价，又未书面声明其中哪一个有效的，响应文件按否决处理。</w:t>
            </w:r>
          </w:p>
        </w:tc>
      </w:tr>
      <w:tr w14:paraId="74BA8B42">
        <w:tblPrEx>
          <w:tblCellMar>
            <w:top w:w="0" w:type="dxa"/>
            <w:left w:w="0" w:type="dxa"/>
            <w:bottom w:w="0" w:type="dxa"/>
            <w:right w:w="0" w:type="dxa"/>
          </w:tblCellMar>
        </w:tblPrEx>
        <w:trPr>
          <w:trHeight w:val="416" w:hRule="atLeast"/>
          <w:jc w:val="center"/>
        </w:trPr>
        <w:tc>
          <w:tcPr>
            <w:tcW w:w="840" w:type="dxa"/>
            <w:tcBorders>
              <w:top w:val="single" w:color="auto" w:sz="4" w:space="0"/>
              <w:left w:val="single" w:color="auto" w:sz="4" w:space="0"/>
              <w:bottom w:val="single" w:color="auto" w:sz="4" w:space="0"/>
              <w:right w:val="single" w:color="auto" w:sz="4" w:space="0"/>
            </w:tcBorders>
            <w:vAlign w:val="center"/>
          </w:tcPr>
          <w:p w14:paraId="4B985AE0">
            <w:pPr>
              <w:spacing w:before="156" w:beforeLines="50" w:line="360" w:lineRule="auto"/>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3</w:t>
            </w:r>
            <w:r>
              <w:rPr>
                <w:rFonts w:asciiTheme="minorEastAsia" w:hAnsiTheme="minorEastAsia" w:eastAsiaTheme="minorEastAsia"/>
                <w:color w:val="auto"/>
                <w:szCs w:val="21"/>
                <w:highlight w:val="none"/>
              </w:rPr>
              <w:t>.2.</w:t>
            </w:r>
            <w:r>
              <w:rPr>
                <w:rFonts w:hint="eastAsia" w:asciiTheme="minorEastAsia" w:hAnsiTheme="minorEastAsia" w:eastAsiaTheme="minorEastAsia"/>
                <w:color w:val="auto"/>
                <w:szCs w:val="21"/>
                <w:highlight w:val="none"/>
              </w:rPr>
              <w:t>3</w:t>
            </w:r>
          </w:p>
        </w:tc>
        <w:tc>
          <w:tcPr>
            <w:tcW w:w="2264" w:type="dxa"/>
            <w:tcBorders>
              <w:top w:val="single" w:color="auto" w:sz="4" w:space="0"/>
              <w:left w:val="single" w:color="auto" w:sz="4" w:space="0"/>
              <w:bottom w:val="single" w:color="auto" w:sz="4" w:space="0"/>
              <w:right w:val="single" w:color="auto" w:sz="4" w:space="0"/>
            </w:tcBorders>
            <w:vAlign w:val="center"/>
          </w:tcPr>
          <w:p w14:paraId="2EE31C64">
            <w:pPr>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结算方式</w:t>
            </w:r>
          </w:p>
        </w:tc>
        <w:tc>
          <w:tcPr>
            <w:tcW w:w="5963" w:type="dxa"/>
            <w:tcBorders>
              <w:top w:val="single" w:color="auto" w:sz="4" w:space="0"/>
              <w:left w:val="single" w:color="auto" w:sz="4" w:space="0"/>
              <w:bottom w:val="single" w:color="auto" w:sz="4" w:space="0"/>
              <w:right w:val="single" w:color="auto" w:sz="4" w:space="0"/>
            </w:tcBorders>
            <w:vAlign w:val="center"/>
          </w:tcPr>
          <w:p w14:paraId="59C4FA13">
            <w:pPr>
              <w:adjustRightInd w:val="0"/>
              <w:spacing w:line="360" w:lineRule="auto"/>
              <w:ind w:left="105" w:leftChars="50" w:right="105" w:rightChars="50"/>
              <w:textAlignment w:val="baseline"/>
              <w:rPr>
                <w:rFonts w:hint="eastAsia" w:ascii="宋体" w:hAnsi="宋体"/>
                <w:color w:val="auto"/>
                <w:szCs w:val="21"/>
                <w:highlight w:val="none"/>
              </w:rPr>
            </w:pPr>
            <w:r>
              <w:rPr>
                <w:rFonts w:hint="eastAsia"/>
                <w:color w:val="auto"/>
                <w:szCs w:val="21"/>
                <w:highlight w:val="none"/>
              </w:rPr>
              <w:t>结算时，按照成交供应商的成交价进行结算，合同履行期间，采购人不再支付其它任何费用。</w:t>
            </w:r>
          </w:p>
        </w:tc>
      </w:tr>
      <w:tr w14:paraId="574883C1">
        <w:tblPrEx>
          <w:tblCellMar>
            <w:top w:w="0" w:type="dxa"/>
            <w:left w:w="0" w:type="dxa"/>
            <w:bottom w:w="0" w:type="dxa"/>
            <w:right w:w="0" w:type="dxa"/>
          </w:tblCellMar>
        </w:tblPrEx>
        <w:trPr>
          <w:trHeight w:val="416" w:hRule="atLeast"/>
          <w:jc w:val="center"/>
        </w:trPr>
        <w:tc>
          <w:tcPr>
            <w:tcW w:w="840" w:type="dxa"/>
            <w:tcBorders>
              <w:top w:val="single" w:color="auto" w:sz="4" w:space="0"/>
              <w:left w:val="single" w:color="auto" w:sz="4" w:space="0"/>
              <w:bottom w:val="single" w:color="auto" w:sz="4" w:space="0"/>
              <w:right w:val="single" w:color="auto" w:sz="4" w:space="0"/>
            </w:tcBorders>
            <w:vAlign w:val="center"/>
          </w:tcPr>
          <w:p w14:paraId="337D5372">
            <w:pPr>
              <w:spacing w:before="156" w:beforeLines="50" w:line="360" w:lineRule="auto"/>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3</w:t>
            </w:r>
            <w:r>
              <w:rPr>
                <w:rFonts w:asciiTheme="minorEastAsia" w:hAnsiTheme="minorEastAsia" w:eastAsiaTheme="minorEastAsia"/>
                <w:color w:val="auto"/>
                <w:szCs w:val="21"/>
                <w:highlight w:val="none"/>
              </w:rPr>
              <w:t>.2.</w:t>
            </w:r>
            <w:r>
              <w:rPr>
                <w:rFonts w:hint="eastAsia" w:asciiTheme="minorEastAsia" w:hAnsiTheme="minorEastAsia" w:eastAsiaTheme="minorEastAsia"/>
                <w:color w:val="auto"/>
                <w:szCs w:val="21"/>
                <w:highlight w:val="none"/>
              </w:rPr>
              <w:t>4</w:t>
            </w:r>
          </w:p>
        </w:tc>
        <w:tc>
          <w:tcPr>
            <w:tcW w:w="2264" w:type="dxa"/>
            <w:tcBorders>
              <w:top w:val="single" w:color="auto" w:sz="4" w:space="0"/>
              <w:left w:val="single" w:color="auto" w:sz="4" w:space="0"/>
              <w:bottom w:val="single" w:color="auto" w:sz="4" w:space="0"/>
              <w:right w:val="single" w:color="auto" w:sz="4" w:space="0"/>
            </w:tcBorders>
            <w:vAlign w:val="center"/>
          </w:tcPr>
          <w:p w14:paraId="69F7089D">
            <w:pPr>
              <w:jc w:val="center"/>
              <w:rPr>
                <w:rFonts w:hint="eastAsia" w:asciiTheme="minorEastAsia" w:hAnsiTheme="minorEastAsia" w:eastAsiaTheme="minorEastAsia"/>
                <w:color w:val="auto"/>
                <w:szCs w:val="21"/>
                <w:highlight w:val="none"/>
              </w:rPr>
            </w:pPr>
            <w:r>
              <w:rPr>
                <w:rFonts w:hint="eastAsia" w:ascii="宋体" w:hAnsi="宋体"/>
                <w:color w:val="auto"/>
                <w:szCs w:val="21"/>
                <w:highlight w:val="none"/>
              </w:rPr>
              <w:t>二次报价</w:t>
            </w:r>
          </w:p>
        </w:tc>
        <w:tc>
          <w:tcPr>
            <w:tcW w:w="5963" w:type="dxa"/>
            <w:tcBorders>
              <w:top w:val="single" w:color="auto" w:sz="4" w:space="0"/>
              <w:left w:val="single" w:color="auto" w:sz="4" w:space="0"/>
              <w:bottom w:val="single" w:color="auto" w:sz="4" w:space="0"/>
              <w:right w:val="single" w:color="auto" w:sz="4" w:space="0"/>
            </w:tcBorders>
            <w:vAlign w:val="center"/>
          </w:tcPr>
          <w:p w14:paraId="451264D3">
            <w:pPr>
              <w:spacing w:before="156" w:beforeLines="50" w:line="360" w:lineRule="auto"/>
              <w:ind w:left="105" w:leftChars="50" w:right="105" w:rightChars="50"/>
              <w:jc w:val="lef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w:t>
            </w:r>
            <w:r>
              <w:rPr>
                <w:rFonts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rPr>
              <w:t>通过资格审查、符合性评审的供应商，获得二次报价（最终报价）的机会。</w:t>
            </w:r>
          </w:p>
          <w:p w14:paraId="6DB2BACE">
            <w:pPr>
              <w:spacing w:line="360" w:lineRule="auto"/>
              <w:ind w:left="105" w:leftChars="50" w:right="105" w:rightChars="50"/>
              <w:jc w:val="lef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2</w:t>
            </w:r>
            <w:r>
              <w:rPr>
                <w:rFonts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rPr>
              <w:t>磋商小组在政府采购云平台上发起二次报价后，供应商从政府采购云平台上下载附件《二次报价表》，按照格式在规定的时间内进行填报并上传。</w:t>
            </w:r>
          </w:p>
          <w:p w14:paraId="7CB56DF6">
            <w:pPr>
              <w:pStyle w:val="21"/>
              <w:spacing w:line="360" w:lineRule="auto"/>
              <w:ind w:left="105" w:leftChars="50" w:right="105" w:rightChars="50"/>
              <w:rPr>
                <w:rFonts w:hint="eastAsia" w:asciiTheme="minorEastAsia" w:hAnsiTheme="minorEastAsia" w:eastAsiaTheme="minorEastAsia"/>
                <w:bCs w:val="0"/>
                <w:color w:val="auto"/>
                <w:sz w:val="21"/>
                <w:szCs w:val="21"/>
                <w:highlight w:val="none"/>
              </w:rPr>
            </w:pPr>
            <w:r>
              <w:rPr>
                <w:b/>
                <w:color w:val="auto"/>
                <w:sz w:val="21"/>
                <w:szCs w:val="21"/>
                <w:highlight w:val="none"/>
              </w:rPr>
              <w:t>注：请供应商务必在规定的时间内进行二次报价</w:t>
            </w:r>
            <w:r>
              <w:rPr>
                <w:rFonts w:hint="eastAsia"/>
                <w:b/>
                <w:color w:val="auto"/>
                <w:sz w:val="21"/>
                <w:szCs w:val="21"/>
                <w:highlight w:val="none"/>
              </w:rPr>
              <w:t>并</w:t>
            </w:r>
            <w:r>
              <w:rPr>
                <w:b/>
                <w:color w:val="auto"/>
                <w:sz w:val="21"/>
                <w:szCs w:val="21"/>
                <w:highlight w:val="none"/>
              </w:rPr>
              <w:t>上传经电子签章后的《二次报价表》，同时保持通讯工具畅通。若供应商未在规定的时间内进行二次报价或联系不上的，</w:t>
            </w:r>
            <w:r>
              <w:rPr>
                <w:rFonts w:hint="eastAsia"/>
                <w:b/>
                <w:color w:val="auto"/>
                <w:sz w:val="21"/>
                <w:szCs w:val="21"/>
                <w:highlight w:val="none"/>
              </w:rPr>
              <w:t>磋商</w:t>
            </w:r>
            <w:r>
              <w:rPr>
                <w:b/>
                <w:color w:val="auto"/>
                <w:sz w:val="21"/>
                <w:szCs w:val="21"/>
                <w:highlight w:val="none"/>
              </w:rPr>
              <w:t>小组将视为其放弃二次报价，并将其响应文件中的</w:t>
            </w:r>
            <w:r>
              <w:rPr>
                <w:rFonts w:hint="eastAsia"/>
                <w:b/>
                <w:color w:val="auto"/>
                <w:sz w:val="21"/>
                <w:szCs w:val="21"/>
                <w:highlight w:val="none"/>
              </w:rPr>
              <w:t>磋商</w:t>
            </w:r>
            <w:r>
              <w:rPr>
                <w:b/>
                <w:color w:val="auto"/>
                <w:sz w:val="21"/>
                <w:szCs w:val="21"/>
                <w:highlight w:val="none"/>
              </w:rPr>
              <w:t>报价作为其最后报价参与评审。</w:t>
            </w:r>
            <w:r>
              <w:rPr>
                <w:rFonts w:hint="eastAsia"/>
                <w:b/>
                <w:color w:val="auto"/>
                <w:sz w:val="21"/>
                <w:szCs w:val="21"/>
                <w:highlight w:val="none"/>
              </w:rPr>
              <w:t>若因供应商自身原因导致出现以上情况的，供应商自行承担评审结果，与采购人和采购代理机构无关。</w:t>
            </w:r>
          </w:p>
        </w:tc>
      </w:tr>
      <w:tr w14:paraId="67523B1D">
        <w:tblPrEx>
          <w:tblCellMar>
            <w:top w:w="0" w:type="dxa"/>
            <w:left w:w="0" w:type="dxa"/>
            <w:bottom w:w="0" w:type="dxa"/>
            <w:right w:w="0" w:type="dxa"/>
          </w:tblCellMar>
        </w:tblPrEx>
        <w:trPr>
          <w:trHeight w:val="462" w:hRule="atLeast"/>
          <w:jc w:val="center"/>
        </w:trPr>
        <w:tc>
          <w:tcPr>
            <w:tcW w:w="840" w:type="dxa"/>
            <w:tcBorders>
              <w:top w:val="single" w:color="auto" w:sz="4" w:space="0"/>
              <w:left w:val="single" w:color="auto" w:sz="4" w:space="0"/>
              <w:bottom w:val="single" w:color="auto" w:sz="4" w:space="0"/>
              <w:right w:val="single" w:color="auto" w:sz="4" w:space="0"/>
            </w:tcBorders>
            <w:vAlign w:val="center"/>
          </w:tcPr>
          <w:p w14:paraId="13F37A07">
            <w:pPr>
              <w:spacing w:before="156" w:beforeLines="50" w:line="360" w:lineRule="auto"/>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3.3.1</w:t>
            </w:r>
          </w:p>
        </w:tc>
        <w:tc>
          <w:tcPr>
            <w:tcW w:w="2264" w:type="dxa"/>
            <w:tcBorders>
              <w:top w:val="single" w:color="auto" w:sz="4" w:space="0"/>
              <w:left w:val="single" w:color="auto" w:sz="4" w:space="0"/>
              <w:bottom w:val="single" w:color="auto" w:sz="4" w:space="0"/>
              <w:right w:val="single" w:color="auto" w:sz="4" w:space="0"/>
            </w:tcBorders>
            <w:vAlign w:val="center"/>
          </w:tcPr>
          <w:p w14:paraId="7E9D1C21">
            <w:pPr>
              <w:spacing w:before="156" w:beforeLines="50" w:line="360" w:lineRule="auto"/>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磋商有效期</w:t>
            </w:r>
          </w:p>
        </w:tc>
        <w:tc>
          <w:tcPr>
            <w:tcW w:w="5963" w:type="dxa"/>
            <w:tcBorders>
              <w:top w:val="single" w:color="auto" w:sz="4" w:space="0"/>
              <w:left w:val="single" w:color="auto" w:sz="4" w:space="0"/>
              <w:bottom w:val="single" w:color="auto" w:sz="4" w:space="0"/>
              <w:right w:val="single" w:color="auto" w:sz="4" w:space="0"/>
            </w:tcBorders>
            <w:vAlign w:val="center"/>
          </w:tcPr>
          <w:p w14:paraId="6C4D2A07">
            <w:pPr>
              <w:spacing w:before="156" w:beforeLines="50" w:line="360" w:lineRule="auto"/>
              <w:ind w:left="105" w:leftChars="50"/>
              <w:jc w:val="lef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val="en-US" w:eastAsia="zh-CN"/>
              </w:rPr>
              <w:t>9</w:t>
            </w:r>
            <w:r>
              <w:rPr>
                <w:rFonts w:asciiTheme="minorEastAsia" w:hAnsiTheme="minorEastAsia" w:eastAsiaTheme="minorEastAsia"/>
                <w:color w:val="auto"/>
                <w:szCs w:val="21"/>
                <w:highlight w:val="none"/>
              </w:rPr>
              <w:t>0</w:t>
            </w:r>
            <w:r>
              <w:rPr>
                <w:rFonts w:hint="eastAsia" w:asciiTheme="minorEastAsia" w:hAnsiTheme="minorEastAsia" w:eastAsiaTheme="minorEastAsia"/>
                <w:color w:val="auto"/>
                <w:szCs w:val="21"/>
                <w:highlight w:val="none"/>
              </w:rPr>
              <w:t>日历天（从提交响应文件截止之日算起）。</w:t>
            </w:r>
          </w:p>
        </w:tc>
      </w:tr>
      <w:tr w14:paraId="72455728">
        <w:tblPrEx>
          <w:tblCellMar>
            <w:top w:w="0" w:type="dxa"/>
            <w:left w:w="0" w:type="dxa"/>
            <w:bottom w:w="0" w:type="dxa"/>
            <w:right w:w="0" w:type="dxa"/>
          </w:tblCellMar>
        </w:tblPrEx>
        <w:trPr>
          <w:trHeight w:val="274" w:hRule="atLeast"/>
          <w:jc w:val="center"/>
        </w:trPr>
        <w:tc>
          <w:tcPr>
            <w:tcW w:w="840" w:type="dxa"/>
            <w:tcBorders>
              <w:top w:val="single" w:color="auto" w:sz="4" w:space="0"/>
              <w:left w:val="single" w:color="auto" w:sz="4" w:space="0"/>
              <w:bottom w:val="single" w:color="auto" w:sz="4" w:space="0"/>
              <w:right w:val="single" w:color="auto" w:sz="4" w:space="0"/>
            </w:tcBorders>
            <w:vAlign w:val="center"/>
          </w:tcPr>
          <w:p w14:paraId="58B2A904">
            <w:pPr>
              <w:spacing w:before="156" w:beforeLines="50" w:line="360" w:lineRule="auto"/>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3.4</w:t>
            </w:r>
            <w:r>
              <w:rPr>
                <w:rFonts w:asciiTheme="minorEastAsia" w:hAnsiTheme="minorEastAsia" w:eastAsiaTheme="minorEastAsia"/>
                <w:color w:val="auto"/>
                <w:szCs w:val="21"/>
                <w:highlight w:val="none"/>
              </w:rPr>
              <w:t>.1</w:t>
            </w:r>
          </w:p>
        </w:tc>
        <w:tc>
          <w:tcPr>
            <w:tcW w:w="2264" w:type="dxa"/>
            <w:tcBorders>
              <w:top w:val="single" w:color="auto" w:sz="4" w:space="0"/>
              <w:left w:val="single" w:color="auto" w:sz="4" w:space="0"/>
              <w:bottom w:val="single" w:color="auto" w:sz="4" w:space="0"/>
              <w:right w:val="single" w:color="auto" w:sz="4" w:space="0"/>
            </w:tcBorders>
            <w:vAlign w:val="center"/>
          </w:tcPr>
          <w:p w14:paraId="590AE45B">
            <w:pPr>
              <w:pStyle w:val="28"/>
              <w:spacing w:before="156" w:beforeLines="50" w:line="360" w:lineRule="auto"/>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磋商保证金</w:t>
            </w:r>
          </w:p>
        </w:tc>
        <w:tc>
          <w:tcPr>
            <w:tcW w:w="5963" w:type="dxa"/>
            <w:tcBorders>
              <w:top w:val="single" w:color="auto" w:sz="4" w:space="0"/>
              <w:left w:val="single" w:color="auto" w:sz="4" w:space="0"/>
              <w:bottom w:val="single" w:color="auto" w:sz="4" w:space="0"/>
              <w:right w:val="single" w:color="auto" w:sz="4" w:space="0"/>
            </w:tcBorders>
            <w:vAlign w:val="center"/>
          </w:tcPr>
          <w:p w14:paraId="11E75219">
            <w:pPr>
              <w:spacing w:before="156" w:beforeLines="50" w:line="360" w:lineRule="auto"/>
              <w:ind w:left="105" w:leftChars="50" w:right="105" w:rightChars="5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本项目不要求供应商提交磋商保证金。</w:t>
            </w:r>
          </w:p>
        </w:tc>
      </w:tr>
      <w:tr w14:paraId="613B2161">
        <w:tblPrEx>
          <w:tblCellMar>
            <w:top w:w="0" w:type="dxa"/>
            <w:left w:w="0" w:type="dxa"/>
            <w:bottom w:w="0" w:type="dxa"/>
            <w:right w:w="0" w:type="dxa"/>
          </w:tblCellMar>
        </w:tblPrEx>
        <w:trPr>
          <w:trHeight w:val="567" w:hRule="atLeast"/>
          <w:jc w:val="center"/>
        </w:trPr>
        <w:tc>
          <w:tcPr>
            <w:tcW w:w="840" w:type="dxa"/>
            <w:tcBorders>
              <w:top w:val="single" w:color="auto" w:sz="4" w:space="0"/>
              <w:left w:val="single" w:color="auto" w:sz="4" w:space="0"/>
              <w:bottom w:val="single" w:color="auto" w:sz="4" w:space="0"/>
              <w:right w:val="single" w:color="auto" w:sz="4" w:space="0"/>
            </w:tcBorders>
            <w:vAlign w:val="center"/>
          </w:tcPr>
          <w:p w14:paraId="692D7DB5">
            <w:pPr>
              <w:wordWrap w:val="0"/>
              <w:autoSpaceDE w:val="0"/>
              <w:autoSpaceDN w:val="0"/>
              <w:spacing w:before="60" w:after="60" w:line="360" w:lineRule="auto"/>
              <w:contextualSpacing/>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3.5.1</w:t>
            </w:r>
          </w:p>
        </w:tc>
        <w:tc>
          <w:tcPr>
            <w:tcW w:w="2264" w:type="dxa"/>
            <w:tcBorders>
              <w:top w:val="single" w:color="auto" w:sz="4" w:space="0"/>
              <w:left w:val="single" w:color="auto" w:sz="4" w:space="0"/>
              <w:bottom w:val="single" w:color="auto" w:sz="4" w:space="0"/>
              <w:right w:val="single" w:color="auto" w:sz="4" w:space="0"/>
            </w:tcBorders>
            <w:vAlign w:val="center"/>
          </w:tcPr>
          <w:p w14:paraId="113C836A">
            <w:pPr>
              <w:spacing w:before="156" w:beforeLines="50" w:line="360" w:lineRule="auto"/>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近年财务状况的</w:t>
            </w:r>
          </w:p>
          <w:p w14:paraId="598A3A3F">
            <w:pPr>
              <w:spacing w:line="360" w:lineRule="auto"/>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年份要求</w:t>
            </w:r>
          </w:p>
        </w:tc>
        <w:tc>
          <w:tcPr>
            <w:tcW w:w="5963" w:type="dxa"/>
            <w:tcBorders>
              <w:top w:val="single" w:color="auto" w:sz="4" w:space="0"/>
              <w:left w:val="single" w:color="auto" w:sz="4" w:space="0"/>
              <w:bottom w:val="single" w:color="auto" w:sz="4" w:space="0"/>
              <w:right w:val="single" w:color="auto" w:sz="4" w:space="0"/>
            </w:tcBorders>
            <w:vAlign w:val="center"/>
          </w:tcPr>
          <w:p w14:paraId="26E95A54">
            <w:pPr>
              <w:wordWrap w:val="0"/>
              <w:autoSpaceDE w:val="0"/>
              <w:autoSpaceDN w:val="0"/>
              <w:ind w:left="105" w:leftChars="50" w:firstLine="14" w:firstLineChars="7"/>
              <w:contextualSpacing/>
              <w:rPr>
                <w:rFonts w:hint="eastAsia"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2023年度或2024年度。</w:t>
            </w:r>
          </w:p>
        </w:tc>
      </w:tr>
      <w:tr w14:paraId="15FE3178">
        <w:tblPrEx>
          <w:tblCellMar>
            <w:top w:w="0" w:type="dxa"/>
            <w:left w:w="0" w:type="dxa"/>
            <w:bottom w:w="0" w:type="dxa"/>
            <w:right w:w="0" w:type="dxa"/>
          </w:tblCellMar>
        </w:tblPrEx>
        <w:trPr>
          <w:trHeight w:val="274" w:hRule="atLeast"/>
          <w:jc w:val="center"/>
        </w:trPr>
        <w:tc>
          <w:tcPr>
            <w:tcW w:w="840" w:type="dxa"/>
            <w:tcBorders>
              <w:top w:val="single" w:color="auto" w:sz="4" w:space="0"/>
              <w:left w:val="single" w:color="auto" w:sz="4" w:space="0"/>
              <w:bottom w:val="single" w:color="auto" w:sz="4" w:space="0"/>
              <w:right w:val="single" w:color="auto" w:sz="4" w:space="0"/>
            </w:tcBorders>
            <w:vAlign w:val="center"/>
          </w:tcPr>
          <w:p w14:paraId="347C706A">
            <w:pPr>
              <w:wordWrap w:val="0"/>
              <w:autoSpaceDE w:val="0"/>
              <w:autoSpaceDN w:val="0"/>
              <w:spacing w:before="60" w:after="60" w:line="360" w:lineRule="auto"/>
              <w:contextualSpacing/>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3.5.2</w:t>
            </w:r>
          </w:p>
        </w:tc>
        <w:tc>
          <w:tcPr>
            <w:tcW w:w="2264" w:type="dxa"/>
            <w:tcBorders>
              <w:top w:val="single" w:color="auto" w:sz="4" w:space="0"/>
              <w:left w:val="single" w:color="auto" w:sz="4" w:space="0"/>
              <w:bottom w:val="single" w:color="auto" w:sz="4" w:space="0"/>
              <w:right w:val="single" w:color="auto" w:sz="4" w:space="0"/>
            </w:tcBorders>
            <w:vAlign w:val="center"/>
          </w:tcPr>
          <w:p w14:paraId="24F154BF">
            <w:pPr>
              <w:spacing w:before="156" w:beforeLines="50" w:line="360" w:lineRule="auto"/>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没有重大违法记录的</w:t>
            </w:r>
          </w:p>
          <w:p w14:paraId="594CECBE">
            <w:pPr>
              <w:spacing w:line="360" w:lineRule="auto"/>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年份要求</w:t>
            </w:r>
          </w:p>
        </w:tc>
        <w:tc>
          <w:tcPr>
            <w:tcW w:w="5963" w:type="dxa"/>
            <w:tcBorders>
              <w:top w:val="single" w:color="auto" w:sz="4" w:space="0"/>
              <w:left w:val="single" w:color="auto" w:sz="4" w:space="0"/>
              <w:bottom w:val="single" w:color="auto" w:sz="4" w:space="0"/>
              <w:right w:val="single" w:color="auto" w:sz="4" w:space="0"/>
            </w:tcBorders>
            <w:vAlign w:val="center"/>
          </w:tcPr>
          <w:p w14:paraId="77230831">
            <w:pPr>
              <w:pStyle w:val="19"/>
              <w:ind w:left="105" w:leftChars="50"/>
              <w:rPr>
                <w:rFonts w:hint="eastAsia" w:asciiTheme="minorEastAsia" w:hAnsiTheme="minorEastAsia" w:eastAsiaTheme="minorEastAsia"/>
                <w:color w:val="auto"/>
                <w:szCs w:val="21"/>
                <w:highlight w:val="none"/>
              </w:rPr>
            </w:pPr>
            <w:r>
              <w:rPr>
                <w:rFonts w:hint="eastAsia"/>
                <w:color w:val="auto"/>
                <w:highlight w:val="none"/>
              </w:rPr>
              <w:t>响应文件提交截止之日前三年内。</w:t>
            </w:r>
          </w:p>
        </w:tc>
      </w:tr>
      <w:tr w14:paraId="5B8E1573">
        <w:tblPrEx>
          <w:tblCellMar>
            <w:top w:w="0" w:type="dxa"/>
            <w:left w:w="0" w:type="dxa"/>
            <w:bottom w:w="0" w:type="dxa"/>
            <w:right w:w="0" w:type="dxa"/>
          </w:tblCellMar>
        </w:tblPrEx>
        <w:trPr>
          <w:trHeight w:val="567" w:hRule="atLeast"/>
          <w:jc w:val="center"/>
        </w:trPr>
        <w:tc>
          <w:tcPr>
            <w:tcW w:w="840" w:type="dxa"/>
            <w:tcBorders>
              <w:top w:val="single" w:color="auto" w:sz="4" w:space="0"/>
              <w:left w:val="single" w:color="auto" w:sz="4" w:space="0"/>
              <w:bottom w:val="single" w:color="auto" w:sz="4" w:space="0"/>
              <w:right w:val="single" w:color="auto" w:sz="4" w:space="0"/>
            </w:tcBorders>
            <w:vAlign w:val="center"/>
          </w:tcPr>
          <w:p w14:paraId="53BC9133">
            <w:pPr>
              <w:spacing w:before="156" w:beforeLines="50" w:line="360" w:lineRule="auto"/>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3.7.1</w:t>
            </w:r>
          </w:p>
        </w:tc>
        <w:tc>
          <w:tcPr>
            <w:tcW w:w="2264" w:type="dxa"/>
            <w:tcBorders>
              <w:top w:val="single" w:color="auto" w:sz="4" w:space="0"/>
              <w:left w:val="single" w:color="auto" w:sz="4" w:space="0"/>
              <w:bottom w:val="single" w:color="auto" w:sz="4" w:space="0"/>
              <w:right w:val="single" w:color="auto" w:sz="4" w:space="0"/>
            </w:tcBorders>
            <w:vAlign w:val="center"/>
          </w:tcPr>
          <w:p w14:paraId="041B2BBF">
            <w:pPr>
              <w:spacing w:before="156" w:beforeLines="50" w:line="360" w:lineRule="auto"/>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响应文件的格式</w:t>
            </w:r>
          </w:p>
        </w:tc>
        <w:tc>
          <w:tcPr>
            <w:tcW w:w="5963" w:type="dxa"/>
            <w:tcBorders>
              <w:top w:val="single" w:color="auto" w:sz="4" w:space="0"/>
              <w:left w:val="single" w:color="auto" w:sz="4" w:space="0"/>
              <w:bottom w:val="single" w:color="auto" w:sz="4" w:space="0"/>
              <w:right w:val="single" w:color="auto" w:sz="4" w:space="0"/>
            </w:tcBorders>
            <w:vAlign w:val="center"/>
          </w:tcPr>
          <w:p w14:paraId="2169E62D">
            <w:pPr>
              <w:spacing w:before="156" w:beforeLines="50" w:line="360" w:lineRule="auto"/>
              <w:ind w:left="105" w:leftChars="50" w:right="105" w:rightChars="5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1.响应文件全部采用电子文档，必须使用政府采购云平台下载的政采云电子投标客户端制作，并进行电子签章及加密后上传至政府采购云平台。编制要求见《电子投标文件编制要求》。</w:t>
            </w:r>
          </w:p>
          <w:p w14:paraId="76B01121">
            <w:pPr>
              <w:spacing w:line="360" w:lineRule="auto"/>
              <w:ind w:left="105" w:leftChars="50" w:right="105" w:rightChars="5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2</w:t>
            </w:r>
            <w:r>
              <w:rPr>
                <w:rFonts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rPr>
              <w:t>如供应商提交的响应文件不符合以上要求的或开标时无法读取导入或解密的，其响应文件将不予受理。</w:t>
            </w:r>
          </w:p>
        </w:tc>
      </w:tr>
      <w:tr w14:paraId="65D7AF0C">
        <w:tblPrEx>
          <w:tblCellMar>
            <w:top w:w="0" w:type="dxa"/>
            <w:left w:w="0" w:type="dxa"/>
            <w:bottom w:w="0" w:type="dxa"/>
            <w:right w:w="0" w:type="dxa"/>
          </w:tblCellMar>
        </w:tblPrEx>
        <w:trPr>
          <w:trHeight w:val="567" w:hRule="atLeast"/>
          <w:jc w:val="center"/>
        </w:trPr>
        <w:tc>
          <w:tcPr>
            <w:tcW w:w="840" w:type="dxa"/>
            <w:tcBorders>
              <w:top w:val="single" w:color="auto" w:sz="4" w:space="0"/>
              <w:left w:val="single" w:color="auto" w:sz="4" w:space="0"/>
              <w:bottom w:val="single" w:color="auto" w:sz="4" w:space="0"/>
              <w:right w:val="single" w:color="auto" w:sz="4" w:space="0"/>
            </w:tcBorders>
            <w:vAlign w:val="center"/>
          </w:tcPr>
          <w:p w14:paraId="74D9BD5B">
            <w:pPr>
              <w:spacing w:before="156" w:beforeLines="50" w:line="360" w:lineRule="auto"/>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3.7.3</w:t>
            </w:r>
          </w:p>
        </w:tc>
        <w:tc>
          <w:tcPr>
            <w:tcW w:w="2264" w:type="dxa"/>
            <w:tcBorders>
              <w:top w:val="single" w:color="auto" w:sz="4" w:space="0"/>
              <w:left w:val="single" w:color="auto" w:sz="4" w:space="0"/>
              <w:bottom w:val="single" w:color="auto" w:sz="4" w:space="0"/>
              <w:right w:val="single" w:color="auto" w:sz="4" w:space="0"/>
            </w:tcBorders>
            <w:vAlign w:val="center"/>
          </w:tcPr>
          <w:p w14:paraId="6042516E">
            <w:pPr>
              <w:spacing w:before="156" w:beforeLines="50" w:line="360" w:lineRule="auto"/>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响应文件的签署</w:t>
            </w:r>
          </w:p>
        </w:tc>
        <w:tc>
          <w:tcPr>
            <w:tcW w:w="5963" w:type="dxa"/>
            <w:tcBorders>
              <w:top w:val="single" w:color="auto" w:sz="4" w:space="0"/>
              <w:left w:val="single" w:color="auto" w:sz="4" w:space="0"/>
              <w:bottom w:val="single" w:color="auto" w:sz="4" w:space="0"/>
              <w:right w:val="single" w:color="auto" w:sz="4" w:space="0"/>
            </w:tcBorders>
          </w:tcPr>
          <w:p w14:paraId="6B3ACF16">
            <w:pPr>
              <w:spacing w:before="156" w:beforeLines="50" w:line="360" w:lineRule="auto"/>
              <w:ind w:left="105" w:leftChars="50" w:right="105" w:rightChars="50"/>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按照第四章“响应文件格式”的要求，采用单位和个人数字证书电子签章，需要企业、法定代表人电子签章。在需要电子签章的地方进行电子签章，无需逐页电子签章。</w:t>
            </w:r>
          </w:p>
          <w:p w14:paraId="4A276EEF">
            <w:pPr>
              <w:spacing w:line="360" w:lineRule="auto"/>
              <w:ind w:left="105" w:leftChars="50" w:right="105" w:rightChars="5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注：响应文件格式中的《中小企业声明函》、《残疾人福利性单位声明函》，非此类单位的供应商，无需进行填写及电子签章。</w:t>
            </w:r>
          </w:p>
        </w:tc>
      </w:tr>
      <w:tr w14:paraId="59E46655">
        <w:tblPrEx>
          <w:tblCellMar>
            <w:top w:w="0" w:type="dxa"/>
            <w:left w:w="0" w:type="dxa"/>
            <w:bottom w:w="0" w:type="dxa"/>
            <w:right w:w="0" w:type="dxa"/>
          </w:tblCellMar>
        </w:tblPrEx>
        <w:trPr>
          <w:trHeight w:val="411" w:hRule="atLeast"/>
          <w:jc w:val="center"/>
        </w:trPr>
        <w:tc>
          <w:tcPr>
            <w:tcW w:w="840" w:type="dxa"/>
            <w:tcBorders>
              <w:top w:val="single" w:color="auto" w:sz="4" w:space="0"/>
              <w:left w:val="single" w:color="auto" w:sz="4" w:space="0"/>
              <w:bottom w:val="single" w:color="auto" w:sz="4" w:space="0"/>
              <w:right w:val="single" w:color="auto" w:sz="4" w:space="0"/>
            </w:tcBorders>
            <w:vAlign w:val="center"/>
          </w:tcPr>
          <w:p w14:paraId="1E63529A">
            <w:pPr>
              <w:jc w:val="center"/>
              <w:rPr>
                <w:rFonts w:hint="eastAsia" w:ascii="宋体" w:hAnsi="宋体"/>
                <w:color w:val="auto"/>
                <w:highlight w:val="none"/>
              </w:rPr>
            </w:pPr>
            <w:r>
              <w:rPr>
                <w:rFonts w:ascii="宋体" w:hAnsi="宋体"/>
                <w:color w:val="auto"/>
                <w:highlight w:val="none"/>
              </w:rPr>
              <w:t>4.1.1</w:t>
            </w:r>
          </w:p>
        </w:tc>
        <w:tc>
          <w:tcPr>
            <w:tcW w:w="2264" w:type="dxa"/>
            <w:tcBorders>
              <w:top w:val="single" w:color="auto" w:sz="4" w:space="0"/>
              <w:left w:val="single" w:color="auto" w:sz="4" w:space="0"/>
              <w:bottom w:val="single" w:color="auto" w:sz="4" w:space="0"/>
              <w:right w:val="single" w:color="auto" w:sz="4" w:space="0"/>
            </w:tcBorders>
            <w:vAlign w:val="center"/>
          </w:tcPr>
          <w:p w14:paraId="63649F5B">
            <w:pPr>
              <w:spacing w:before="156" w:beforeLines="50" w:line="360" w:lineRule="auto"/>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响应文件的加密</w:t>
            </w:r>
          </w:p>
        </w:tc>
        <w:tc>
          <w:tcPr>
            <w:tcW w:w="5963" w:type="dxa"/>
            <w:tcBorders>
              <w:top w:val="single" w:color="auto" w:sz="4" w:space="0"/>
              <w:left w:val="single" w:color="auto" w:sz="4" w:space="0"/>
              <w:bottom w:val="single" w:color="auto" w:sz="4" w:space="0"/>
              <w:right w:val="single" w:color="auto" w:sz="4" w:space="0"/>
            </w:tcBorders>
          </w:tcPr>
          <w:p w14:paraId="264255DA">
            <w:pPr>
              <w:spacing w:before="156" w:beforeLines="50" w:line="360" w:lineRule="auto"/>
              <w:ind w:left="105" w:leftChars="50"/>
              <w:jc w:val="lef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网上提交的响应</w:t>
            </w:r>
            <w:r>
              <w:rPr>
                <w:rFonts w:asciiTheme="minorEastAsia" w:hAnsiTheme="minorEastAsia" w:eastAsiaTheme="minorEastAsia"/>
                <w:color w:val="auto"/>
                <w:szCs w:val="21"/>
                <w:highlight w:val="none"/>
              </w:rPr>
              <w:t>文件应</w:t>
            </w:r>
            <w:r>
              <w:rPr>
                <w:rFonts w:hint="eastAsia" w:asciiTheme="minorEastAsia" w:hAnsiTheme="minorEastAsia" w:eastAsiaTheme="minorEastAsia"/>
                <w:color w:val="auto"/>
                <w:szCs w:val="21"/>
                <w:highlight w:val="none"/>
              </w:rPr>
              <w:t>使用</w:t>
            </w:r>
            <w:r>
              <w:rPr>
                <w:rFonts w:asciiTheme="minorEastAsia" w:hAnsiTheme="minorEastAsia" w:eastAsiaTheme="minorEastAsia"/>
                <w:color w:val="auto"/>
                <w:szCs w:val="21"/>
                <w:highlight w:val="none"/>
              </w:rPr>
              <w:t>数</w:t>
            </w:r>
            <w:r>
              <w:rPr>
                <w:rFonts w:hint="eastAsia" w:asciiTheme="minorEastAsia" w:hAnsiTheme="minorEastAsia" w:eastAsiaTheme="minorEastAsia"/>
                <w:color w:val="auto"/>
                <w:szCs w:val="21"/>
                <w:highlight w:val="none"/>
              </w:rPr>
              <w:t>字</w:t>
            </w:r>
            <w:r>
              <w:rPr>
                <w:rFonts w:asciiTheme="minorEastAsia" w:hAnsiTheme="minorEastAsia" w:eastAsiaTheme="minorEastAsia"/>
                <w:color w:val="auto"/>
                <w:szCs w:val="21"/>
                <w:highlight w:val="none"/>
              </w:rPr>
              <w:t>证书</w:t>
            </w:r>
            <w:r>
              <w:rPr>
                <w:rFonts w:hint="eastAsia" w:asciiTheme="minorEastAsia" w:hAnsiTheme="minorEastAsia" w:eastAsiaTheme="minorEastAsia"/>
                <w:color w:val="auto"/>
                <w:szCs w:val="21"/>
                <w:highlight w:val="none"/>
              </w:rPr>
              <w:t>（CA）进行加密。</w:t>
            </w:r>
          </w:p>
        </w:tc>
      </w:tr>
      <w:tr w14:paraId="157412F7">
        <w:tblPrEx>
          <w:tblCellMar>
            <w:top w:w="0" w:type="dxa"/>
            <w:left w:w="0" w:type="dxa"/>
            <w:bottom w:w="0" w:type="dxa"/>
            <w:right w:w="0" w:type="dxa"/>
          </w:tblCellMar>
        </w:tblPrEx>
        <w:trPr>
          <w:trHeight w:val="132" w:hRule="atLeast"/>
          <w:jc w:val="center"/>
        </w:trPr>
        <w:tc>
          <w:tcPr>
            <w:tcW w:w="840" w:type="dxa"/>
            <w:tcBorders>
              <w:top w:val="single" w:color="auto" w:sz="4" w:space="0"/>
              <w:left w:val="single" w:color="auto" w:sz="4" w:space="0"/>
              <w:bottom w:val="single" w:color="auto" w:sz="4" w:space="0"/>
              <w:right w:val="single" w:color="auto" w:sz="4" w:space="0"/>
            </w:tcBorders>
            <w:vAlign w:val="center"/>
          </w:tcPr>
          <w:p w14:paraId="2A36B86D">
            <w:pPr>
              <w:wordWrap w:val="0"/>
              <w:autoSpaceDE w:val="0"/>
              <w:autoSpaceDN w:val="0"/>
              <w:spacing w:before="60" w:after="60" w:line="360" w:lineRule="auto"/>
              <w:contextualSpacing/>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4.2.1</w:t>
            </w:r>
          </w:p>
        </w:tc>
        <w:tc>
          <w:tcPr>
            <w:tcW w:w="2264" w:type="dxa"/>
            <w:tcBorders>
              <w:top w:val="single" w:color="auto" w:sz="4" w:space="0"/>
              <w:left w:val="single" w:color="auto" w:sz="4" w:space="0"/>
              <w:bottom w:val="single" w:color="auto" w:sz="4" w:space="0"/>
              <w:right w:val="single" w:color="auto" w:sz="4" w:space="0"/>
            </w:tcBorders>
            <w:vAlign w:val="center"/>
          </w:tcPr>
          <w:p w14:paraId="104DF682">
            <w:pPr>
              <w:wordWrap w:val="0"/>
              <w:autoSpaceDE w:val="0"/>
              <w:autoSpaceDN w:val="0"/>
              <w:spacing w:before="120" w:after="60" w:line="360" w:lineRule="auto"/>
              <w:contextualSpacing/>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响应文件的提交</w:t>
            </w:r>
          </w:p>
        </w:tc>
        <w:tc>
          <w:tcPr>
            <w:tcW w:w="5963" w:type="dxa"/>
            <w:tcBorders>
              <w:top w:val="single" w:color="auto" w:sz="4" w:space="0"/>
              <w:left w:val="single" w:color="auto" w:sz="4" w:space="0"/>
              <w:bottom w:val="single" w:color="auto" w:sz="4" w:space="0"/>
              <w:right w:val="single" w:color="auto" w:sz="4" w:space="0"/>
            </w:tcBorders>
          </w:tcPr>
          <w:p w14:paraId="19F68297">
            <w:pPr>
              <w:widowControl/>
              <w:wordWrap w:val="0"/>
              <w:spacing w:before="156" w:beforeLines="50" w:line="360" w:lineRule="auto"/>
              <w:ind w:left="105" w:leftChars="50" w:right="105" w:rightChars="50"/>
              <w:jc w:val="lef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凡有意参与磋商者，请自行前往政府采购云平台“客户端&amp;驱动下载”网页（网址：https://customer.zcygov.cn/CA-driver-download?utm=web-ca-front.3ddc8fbb.0.0.91c6cff0db1311ec8cfbc9f613d30204）下载并安装“政采云投标客户端”。供应商按照采购文件和政府采购云平台的要求编制、加密电子响应文件，响应文件在提交截止时间前未完成上传的，视为撤回响应文件。供应商在政府采购云平台提交电子版响应文件时，请填写参与远程开标活动经办人的联系方式。</w:t>
            </w:r>
          </w:p>
          <w:p w14:paraId="20FC9886">
            <w:pPr>
              <w:widowControl/>
              <w:wordWrap w:val="0"/>
              <w:spacing w:line="360" w:lineRule="auto"/>
              <w:ind w:left="105" w:leftChars="50" w:right="105" w:rightChars="50"/>
              <w:jc w:val="left"/>
              <w:rPr>
                <w:rFonts w:hint="eastAsia" w:asciiTheme="minorEastAsia" w:hAnsiTheme="minorEastAsia" w:eastAsiaTheme="minorEastAsia"/>
                <w:color w:val="auto"/>
                <w:szCs w:val="21"/>
                <w:highlight w:val="none"/>
              </w:rPr>
            </w:pPr>
            <w:r>
              <w:rPr>
                <w:rFonts w:hint="eastAsia" w:asciiTheme="minorEastAsia" w:hAnsiTheme="minorEastAsia" w:eastAsiaTheme="minorEastAsia"/>
                <w:bCs/>
                <w:color w:val="auto"/>
                <w:szCs w:val="21"/>
                <w:highlight w:val="none"/>
              </w:rPr>
              <w:t>注：供应商应在响应文件提交截止时间前完成电子响应文件的上传、提交，响应文件提交截止时间前可以补充、修改或者撤回电子响应文件。补充或者修改响应文件的，应当先行撤回原文件，补充、修改后重新上传、递交。响应文件提交截止时间前未完成上传、递交的，视为撤回响应文件。响应文件提交截止时间以后上传提交的，视为无效。</w:t>
            </w:r>
          </w:p>
        </w:tc>
      </w:tr>
      <w:tr w14:paraId="28CBB0F9">
        <w:tblPrEx>
          <w:tblCellMar>
            <w:top w:w="0" w:type="dxa"/>
            <w:left w:w="0" w:type="dxa"/>
            <w:bottom w:w="0" w:type="dxa"/>
            <w:right w:w="0" w:type="dxa"/>
          </w:tblCellMar>
        </w:tblPrEx>
        <w:trPr>
          <w:trHeight w:val="567" w:hRule="atLeast"/>
          <w:jc w:val="center"/>
        </w:trPr>
        <w:tc>
          <w:tcPr>
            <w:tcW w:w="840" w:type="dxa"/>
            <w:tcBorders>
              <w:top w:val="single" w:color="auto" w:sz="4" w:space="0"/>
              <w:left w:val="single" w:color="auto" w:sz="4" w:space="0"/>
              <w:bottom w:val="single" w:color="auto" w:sz="4" w:space="0"/>
              <w:right w:val="single" w:color="auto" w:sz="4" w:space="0"/>
            </w:tcBorders>
            <w:vAlign w:val="center"/>
          </w:tcPr>
          <w:p w14:paraId="21084FBF">
            <w:pPr>
              <w:spacing w:before="156" w:beforeLines="50" w:line="360" w:lineRule="auto"/>
              <w:jc w:val="center"/>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4.2.2</w:t>
            </w:r>
          </w:p>
        </w:tc>
        <w:tc>
          <w:tcPr>
            <w:tcW w:w="2264" w:type="dxa"/>
            <w:tcBorders>
              <w:top w:val="single" w:color="auto" w:sz="4" w:space="0"/>
              <w:left w:val="single" w:color="auto" w:sz="4" w:space="0"/>
              <w:bottom w:val="single" w:color="auto" w:sz="4" w:space="0"/>
              <w:right w:val="single" w:color="auto" w:sz="4" w:space="0"/>
            </w:tcBorders>
            <w:vAlign w:val="center"/>
          </w:tcPr>
          <w:p w14:paraId="56E806D6">
            <w:pPr>
              <w:spacing w:before="156" w:beforeLines="50" w:line="360" w:lineRule="auto"/>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是否退还响应文件</w:t>
            </w:r>
          </w:p>
        </w:tc>
        <w:tc>
          <w:tcPr>
            <w:tcW w:w="5963" w:type="dxa"/>
            <w:tcBorders>
              <w:top w:val="single" w:color="auto" w:sz="4" w:space="0"/>
              <w:left w:val="single" w:color="auto" w:sz="4" w:space="0"/>
              <w:bottom w:val="single" w:color="auto" w:sz="4" w:space="0"/>
              <w:right w:val="single" w:color="auto" w:sz="4" w:space="0"/>
            </w:tcBorders>
            <w:vAlign w:val="center"/>
          </w:tcPr>
          <w:p w14:paraId="1E5B1F47">
            <w:pPr>
              <w:spacing w:before="156" w:beforeLines="50" w:line="360" w:lineRule="auto"/>
              <w:ind w:firstLine="105" w:firstLineChars="5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否。</w:t>
            </w:r>
          </w:p>
        </w:tc>
      </w:tr>
      <w:tr w14:paraId="3813A3B0">
        <w:tblPrEx>
          <w:tblCellMar>
            <w:top w:w="0" w:type="dxa"/>
            <w:left w:w="0" w:type="dxa"/>
            <w:bottom w:w="0" w:type="dxa"/>
            <w:right w:w="0" w:type="dxa"/>
          </w:tblCellMar>
        </w:tblPrEx>
        <w:trPr>
          <w:trHeight w:val="58" w:hRule="atLeast"/>
          <w:jc w:val="center"/>
        </w:trPr>
        <w:tc>
          <w:tcPr>
            <w:tcW w:w="840" w:type="dxa"/>
            <w:tcBorders>
              <w:top w:val="single" w:color="auto" w:sz="4" w:space="0"/>
              <w:left w:val="single" w:color="auto" w:sz="4" w:space="0"/>
              <w:bottom w:val="single" w:color="auto" w:sz="4" w:space="0"/>
              <w:right w:val="single" w:color="auto" w:sz="4" w:space="0"/>
            </w:tcBorders>
            <w:vAlign w:val="center"/>
          </w:tcPr>
          <w:p w14:paraId="2951138E">
            <w:pPr>
              <w:spacing w:before="156" w:beforeLines="50" w:line="360" w:lineRule="auto"/>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5.1</w:t>
            </w:r>
          </w:p>
        </w:tc>
        <w:tc>
          <w:tcPr>
            <w:tcW w:w="2264" w:type="dxa"/>
            <w:tcBorders>
              <w:top w:val="single" w:color="auto" w:sz="4" w:space="0"/>
              <w:left w:val="single" w:color="auto" w:sz="4" w:space="0"/>
              <w:bottom w:val="single" w:color="auto" w:sz="4" w:space="0"/>
              <w:right w:val="single" w:color="auto" w:sz="4" w:space="0"/>
            </w:tcBorders>
            <w:vAlign w:val="center"/>
          </w:tcPr>
          <w:p w14:paraId="2667F2EC">
            <w:pPr>
              <w:spacing w:before="156" w:beforeLines="50" w:line="360" w:lineRule="auto"/>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开标时间和地点</w:t>
            </w:r>
          </w:p>
        </w:tc>
        <w:tc>
          <w:tcPr>
            <w:tcW w:w="5963" w:type="dxa"/>
            <w:tcBorders>
              <w:top w:val="single" w:color="auto" w:sz="4" w:space="0"/>
              <w:left w:val="single" w:color="auto" w:sz="4" w:space="0"/>
              <w:bottom w:val="single" w:color="auto" w:sz="4" w:space="0"/>
              <w:right w:val="single" w:color="auto" w:sz="4" w:space="0"/>
            </w:tcBorders>
          </w:tcPr>
          <w:p w14:paraId="7CDF1462">
            <w:pPr>
              <w:spacing w:before="156" w:beforeLines="50" w:line="360" w:lineRule="auto"/>
              <w:ind w:left="105" w:leftChars="50" w:right="105" w:rightChars="5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开标时间：同提交响应文件的截止时间；</w:t>
            </w:r>
          </w:p>
          <w:p w14:paraId="151DECD7">
            <w:pPr>
              <w:autoSpaceDE w:val="0"/>
              <w:autoSpaceDN w:val="0"/>
              <w:spacing w:before="60" w:after="60" w:line="360" w:lineRule="auto"/>
              <w:ind w:left="105" w:leftChars="50" w:right="105" w:rightChars="50" w:firstLine="14" w:firstLineChars="7"/>
              <w:contextualSpacing/>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开标地点：政府采购云平台（网址：https://www.zcygov.cn/）。</w:t>
            </w:r>
          </w:p>
        </w:tc>
      </w:tr>
      <w:tr w14:paraId="3E1FEED0">
        <w:tblPrEx>
          <w:tblCellMar>
            <w:top w:w="0" w:type="dxa"/>
            <w:left w:w="0" w:type="dxa"/>
            <w:bottom w:w="0" w:type="dxa"/>
            <w:right w:w="0" w:type="dxa"/>
          </w:tblCellMar>
        </w:tblPrEx>
        <w:trPr>
          <w:trHeight w:val="274" w:hRule="atLeast"/>
          <w:jc w:val="center"/>
        </w:trPr>
        <w:tc>
          <w:tcPr>
            <w:tcW w:w="840" w:type="dxa"/>
            <w:tcBorders>
              <w:top w:val="single" w:color="auto" w:sz="4" w:space="0"/>
              <w:left w:val="single" w:color="auto" w:sz="4" w:space="0"/>
              <w:bottom w:val="single" w:color="auto" w:sz="4" w:space="0"/>
              <w:right w:val="single" w:color="auto" w:sz="4" w:space="0"/>
            </w:tcBorders>
            <w:vAlign w:val="center"/>
          </w:tcPr>
          <w:p w14:paraId="647B5786">
            <w:pPr>
              <w:wordWrap w:val="0"/>
              <w:autoSpaceDE w:val="0"/>
              <w:autoSpaceDN w:val="0"/>
              <w:spacing w:before="60" w:after="60" w:line="360" w:lineRule="auto"/>
              <w:contextualSpacing/>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5.2</w:t>
            </w:r>
          </w:p>
        </w:tc>
        <w:tc>
          <w:tcPr>
            <w:tcW w:w="2264" w:type="dxa"/>
            <w:tcBorders>
              <w:top w:val="single" w:color="auto" w:sz="4" w:space="0"/>
              <w:left w:val="single" w:color="auto" w:sz="4" w:space="0"/>
              <w:bottom w:val="single" w:color="auto" w:sz="4" w:space="0"/>
              <w:right w:val="single" w:color="auto" w:sz="4" w:space="0"/>
            </w:tcBorders>
            <w:vAlign w:val="center"/>
          </w:tcPr>
          <w:p w14:paraId="6AD99F8C">
            <w:pPr>
              <w:wordWrap w:val="0"/>
              <w:autoSpaceDE w:val="0"/>
              <w:autoSpaceDN w:val="0"/>
              <w:spacing w:before="60" w:after="60" w:line="360" w:lineRule="auto"/>
              <w:contextualSpacing/>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开标程序</w:t>
            </w:r>
          </w:p>
        </w:tc>
        <w:tc>
          <w:tcPr>
            <w:tcW w:w="5963" w:type="dxa"/>
            <w:tcBorders>
              <w:top w:val="single" w:color="auto" w:sz="4" w:space="0"/>
              <w:left w:val="single" w:color="auto" w:sz="4" w:space="0"/>
              <w:bottom w:val="single" w:color="auto" w:sz="4" w:space="0"/>
              <w:right w:val="single" w:color="auto" w:sz="4" w:space="0"/>
            </w:tcBorders>
          </w:tcPr>
          <w:p w14:paraId="39CA9EF8">
            <w:pPr>
              <w:spacing w:before="156" w:beforeLines="50" w:line="360" w:lineRule="auto"/>
              <w:ind w:left="105" w:leftChars="50" w:right="105" w:rightChars="50"/>
              <w:jc w:val="lef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本项目的开标程序：至响应文件提交截止时间止，采购代理机构的工作人员登录进入政府采购云平台，按照政府采购云平台的操作流程完成开标程序。</w:t>
            </w:r>
            <w:r>
              <w:rPr>
                <w:rFonts w:asciiTheme="minorEastAsia" w:hAnsiTheme="minorEastAsia" w:eastAsiaTheme="minorEastAsia"/>
                <w:color w:val="auto"/>
                <w:szCs w:val="21"/>
                <w:highlight w:val="none"/>
              </w:rPr>
              <w:t xml:space="preserve">                                                                                                                   </w:t>
            </w:r>
          </w:p>
          <w:p w14:paraId="2D415328">
            <w:pPr>
              <w:spacing w:line="360" w:lineRule="auto"/>
              <w:ind w:left="105" w:leftChars="50" w:right="105" w:rightChars="50"/>
              <w:jc w:val="lef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注：因供应商原因造成响应文件未解密的，视为撤销其响应文件。</w:t>
            </w:r>
          </w:p>
        </w:tc>
      </w:tr>
      <w:tr w14:paraId="02B917CA">
        <w:tblPrEx>
          <w:tblCellMar>
            <w:top w:w="0" w:type="dxa"/>
            <w:left w:w="0" w:type="dxa"/>
            <w:bottom w:w="0" w:type="dxa"/>
            <w:right w:w="0" w:type="dxa"/>
          </w:tblCellMar>
        </w:tblPrEx>
        <w:trPr>
          <w:trHeight w:val="274" w:hRule="atLeast"/>
          <w:jc w:val="center"/>
        </w:trPr>
        <w:tc>
          <w:tcPr>
            <w:tcW w:w="840" w:type="dxa"/>
            <w:tcBorders>
              <w:top w:val="single" w:color="auto" w:sz="4" w:space="0"/>
              <w:left w:val="single" w:color="auto" w:sz="4" w:space="0"/>
              <w:bottom w:val="single" w:color="auto" w:sz="4" w:space="0"/>
              <w:right w:val="single" w:color="auto" w:sz="4" w:space="0"/>
            </w:tcBorders>
            <w:vAlign w:val="center"/>
          </w:tcPr>
          <w:p w14:paraId="6A196DC3">
            <w:pPr>
              <w:spacing w:before="156" w:beforeLines="50" w:line="360" w:lineRule="auto"/>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5.3</w:t>
            </w:r>
          </w:p>
        </w:tc>
        <w:tc>
          <w:tcPr>
            <w:tcW w:w="2264" w:type="dxa"/>
            <w:tcBorders>
              <w:top w:val="single" w:color="auto" w:sz="4" w:space="0"/>
              <w:left w:val="single" w:color="auto" w:sz="4" w:space="0"/>
              <w:bottom w:val="single" w:color="auto" w:sz="4" w:space="0"/>
              <w:right w:val="single" w:color="auto" w:sz="4" w:space="0"/>
            </w:tcBorders>
            <w:vAlign w:val="center"/>
          </w:tcPr>
          <w:p w14:paraId="6C94C7A0">
            <w:pPr>
              <w:spacing w:before="156" w:beforeLines="50" w:line="360" w:lineRule="auto"/>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响应文件的解密方式</w:t>
            </w:r>
          </w:p>
        </w:tc>
        <w:tc>
          <w:tcPr>
            <w:tcW w:w="5963" w:type="dxa"/>
            <w:tcBorders>
              <w:top w:val="single" w:color="auto" w:sz="4" w:space="0"/>
              <w:left w:val="single" w:color="auto" w:sz="4" w:space="0"/>
              <w:bottom w:val="single" w:color="auto" w:sz="4" w:space="0"/>
              <w:right w:val="single" w:color="auto" w:sz="4" w:space="0"/>
            </w:tcBorders>
          </w:tcPr>
          <w:p w14:paraId="22BB33A5">
            <w:pPr>
              <w:spacing w:before="156" w:beforeLines="50" w:line="360" w:lineRule="auto"/>
              <w:ind w:left="105" w:leftChars="50" w:right="105" w:rightChars="50"/>
              <w:jc w:val="left"/>
              <w:rPr>
                <w:rFonts w:hint="eastAsia" w:asciiTheme="minorEastAsia" w:hAnsiTheme="minorEastAsia" w:eastAsiaTheme="minorEastAsia"/>
                <w:color w:val="auto"/>
                <w:szCs w:val="21"/>
                <w:highlight w:val="none"/>
              </w:rPr>
            </w:pPr>
            <w:r>
              <w:rPr>
                <w:rFonts w:hint="eastAsia" w:asciiTheme="minorEastAsia" w:hAnsiTheme="minorEastAsia" w:eastAsiaTheme="minorEastAsia"/>
                <w:bCs/>
                <w:color w:val="auto"/>
                <w:szCs w:val="21"/>
                <w:highlight w:val="none"/>
              </w:rPr>
              <w:t>在线解密。供应商须提前在自有场地配置有音视频通话（带摄像头及话筒的电脑）功能的相应设备及稳定网络的环境下，并按政府采购云平台开标大厅中的提示完成采购活动</w:t>
            </w:r>
            <w:r>
              <w:rPr>
                <w:rFonts w:hint="eastAsia" w:asciiTheme="minorEastAsia" w:hAnsiTheme="minorEastAsia" w:eastAsiaTheme="minorEastAsia"/>
                <w:bCs/>
                <w:snapToGrid w:val="0"/>
                <w:color w:val="auto"/>
                <w:szCs w:val="21"/>
                <w:highlight w:val="none"/>
              </w:rPr>
              <w:t>。</w:t>
            </w:r>
          </w:p>
        </w:tc>
      </w:tr>
      <w:tr w14:paraId="3CCB287D">
        <w:tblPrEx>
          <w:tblCellMar>
            <w:top w:w="0" w:type="dxa"/>
            <w:left w:w="0" w:type="dxa"/>
            <w:bottom w:w="0" w:type="dxa"/>
            <w:right w:w="0" w:type="dxa"/>
          </w:tblCellMar>
        </w:tblPrEx>
        <w:trPr>
          <w:trHeight w:val="274" w:hRule="atLeast"/>
          <w:jc w:val="center"/>
        </w:trPr>
        <w:tc>
          <w:tcPr>
            <w:tcW w:w="840" w:type="dxa"/>
            <w:tcBorders>
              <w:top w:val="single" w:color="auto" w:sz="4" w:space="0"/>
              <w:left w:val="single" w:color="auto" w:sz="4" w:space="0"/>
              <w:bottom w:val="single" w:color="auto" w:sz="4" w:space="0"/>
              <w:right w:val="single" w:color="auto" w:sz="4" w:space="0"/>
            </w:tcBorders>
            <w:vAlign w:val="center"/>
          </w:tcPr>
          <w:p w14:paraId="11D24181">
            <w:pPr>
              <w:spacing w:before="156" w:beforeLines="50" w:line="360" w:lineRule="auto"/>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6.1.1</w:t>
            </w:r>
          </w:p>
        </w:tc>
        <w:tc>
          <w:tcPr>
            <w:tcW w:w="2264" w:type="dxa"/>
            <w:tcBorders>
              <w:top w:val="single" w:color="auto" w:sz="4" w:space="0"/>
              <w:left w:val="single" w:color="auto" w:sz="4" w:space="0"/>
              <w:bottom w:val="single" w:color="auto" w:sz="4" w:space="0"/>
              <w:right w:val="single" w:color="auto" w:sz="4" w:space="0"/>
            </w:tcBorders>
            <w:vAlign w:val="center"/>
          </w:tcPr>
          <w:p w14:paraId="4A27B048">
            <w:pPr>
              <w:spacing w:before="156" w:beforeLines="50" w:line="360" w:lineRule="auto"/>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磋商小组</w:t>
            </w:r>
            <w:r>
              <w:rPr>
                <w:rFonts w:asciiTheme="minorEastAsia" w:hAnsiTheme="minorEastAsia" w:eastAsiaTheme="minorEastAsia"/>
                <w:color w:val="auto"/>
                <w:szCs w:val="21"/>
                <w:highlight w:val="none"/>
              </w:rPr>
              <w:t>的组建</w:t>
            </w:r>
          </w:p>
        </w:tc>
        <w:tc>
          <w:tcPr>
            <w:tcW w:w="5963" w:type="dxa"/>
            <w:tcBorders>
              <w:top w:val="single" w:color="auto" w:sz="4" w:space="0"/>
              <w:left w:val="single" w:color="auto" w:sz="4" w:space="0"/>
              <w:bottom w:val="single" w:color="auto" w:sz="4" w:space="0"/>
              <w:right w:val="single" w:color="auto" w:sz="4" w:space="0"/>
            </w:tcBorders>
            <w:vAlign w:val="center"/>
          </w:tcPr>
          <w:p w14:paraId="6FA29065">
            <w:pPr>
              <w:wordWrap w:val="0"/>
              <w:spacing w:before="156" w:beforeLines="50" w:line="360" w:lineRule="auto"/>
              <w:ind w:left="105" w:leftChars="5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磋商小组</w:t>
            </w:r>
            <w:r>
              <w:rPr>
                <w:rFonts w:asciiTheme="minorEastAsia" w:hAnsiTheme="minorEastAsia" w:eastAsiaTheme="minorEastAsia"/>
                <w:color w:val="auto"/>
                <w:szCs w:val="21"/>
                <w:highlight w:val="none"/>
              </w:rPr>
              <w:t>人数：</w:t>
            </w:r>
            <w:r>
              <w:rPr>
                <w:rFonts w:hint="eastAsia" w:asciiTheme="minorEastAsia" w:hAnsiTheme="minorEastAsia" w:eastAsiaTheme="minorEastAsia"/>
                <w:color w:val="auto"/>
                <w:szCs w:val="21"/>
                <w:highlight w:val="none"/>
                <w:lang w:val="en-US" w:eastAsia="zh-CN"/>
              </w:rPr>
              <w:t>3</w:t>
            </w:r>
            <w:r>
              <w:rPr>
                <w:rFonts w:asciiTheme="minorEastAsia" w:hAnsiTheme="minorEastAsia" w:eastAsiaTheme="minorEastAsia"/>
                <w:color w:val="auto"/>
                <w:szCs w:val="21"/>
                <w:highlight w:val="none"/>
              </w:rPr>
              <w:t>人</w:t>
            </w:r>
            <w:r>
              <w:rPr>
                <w:rFonts w:hint="eastAsia" w:asciiTheme="minorEastAsia" w:hAnsiTheme="minorEastAsia" w:eastAsiaTheme="minorEastAsia"/>
                <w:color w:val="auto"/>
                <w:szCs w:val="21"/>
                <w:highlight w:val="none"/>
              </w:rPr>
              <w:t>及</w:t>
            </w:r>
            <w:r>
              <w:rPr>
                <w:rFonts w:asciiTheme="minorEastAsia" w:hAnsiTheme="minorEastAsia" w:eastAsiaTheme="minorEastAsia"/>
                <w:color w:val="auto"/>
                <w:szCs w:val="21"/>
                <w:highlight w:val="none"/>
              </w:rPr>
              <w:t>以上单数。</w:t>
            </w:r>
          </w:p>
          <w:p w14:paraId="4A8A7584">
            <w:pPr>
              <w:wordWrap w:val="0"/>
              <w:spacing w:line="360" w:lineRule="auto"/>
              <w:ind w:left="105" w:leftChars="50" w:right="105" w:rightChars="5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评审成员</w:t>
            </w:r>
            <w:r>
              <w:rPr>
                <w:rFonts w:asciiTheme="minorEastAsia" w:hAnsiTheme="minorEastAsia" w:eastAsiaTheme="minorEastAsia"/>
                <w:color w:val="auto"/>
                <w:szCs w:val="21"/>
                <w:highlight w:val="none"/>
              </w:rPr>
              <w:t>确定方式：</w:t>
            </w:r>
            <w:r>
              <w:rPr>
                <w:rFonts w:hint="eastAsia" w:asciiTheme="minorEastAsia" w:hAnsiTheme="minorEastAsia" w:eastAsiaTheme="minorEastAsia"/>
                <w:color w:val="auto"/>
                <w:szCs w:val="21"/>
                <w:highlight w:val="none"/>
              </w:rPr>
              <w:t>由采购人代表和从“云南省政府采购评审专家库”中随机抽取的技术、经济方面的专家组成</w:t>
            </w:r>
            <w:r>
              <w:rPr>
                <w:rFonts w:asciiTheme="minorEastAsia" w:hAnsiTheme="minorEastAsia" w:eastAsiaTheme="minorEastAsia"/>
                <w:color w:val="auto"/>
                <w:szCs w:val="21"/>
                <w:highlight w:val="none"/>
              </w:rPr>
              <w:t>。</w:t>
            </w:r>
          </w:p>
        </w:tc>
      </w:tr>
      <w:tr w14:paraId="098E69D0">
        <w:tblPrEx>
          <w:tblCellMar>
            <w:top w:w="0" w:type="dxa"/>
            <w:left w:w="0" w:type="dxa"/>
            <w:bottom w:w="0" w:type="dxa"/>
            <w:right w:w="0" w:type="dxa"/>
          </w:tblCellMar>
        </w:tblPrEx>
        <w:trPr>
          <w:trHeight w:val="274" w:hRule="atLeast"/>
          <w:jc w:val="center"/>
        </w:trPr>
        <w:tc>
          <w:tcPr>
            <w:tcW w:w="840" w:type="dxa"/>
            <w:tcBorders>
              <w:top w:val="single" w:color="auto" w:sz="4" w:space="0"/>
              <w:left w:val="single" w:color="auto" w:sz="4" w:space="0"/>
              <w:bottom w:val="single" w:color="auto" w:sz="4" w:space="0"/>
              <w:right w:val="single" w:color="auto" w:sz="4" w:space="0"/>
            </w:tcBorders>
            <w:vAlign w:val="center"/>
          </w:tcPr>
          <w:p w14:paraId="58DD0D97">
            <w:pPr>
              <w:jc w:val="center"/>
              <w:rPr>
                <w:rFonts w:hint="eastAsia" w:ascii="宋体" w:hAnsi="宋体"/>
                <w:color w:val="auto"/>
                <w:highlight w:val="none"/>
              </w:rPr>
            </w:pPr>
            <w:r>
              <w:rPr>
                <w:rFonts w:hint="eastAsia" w:ascii="宋体" w:hAnsi="宋体"/>
                <w:color w:val="auto"/>
                <w:highlight w:val="none"/>
              </w:rPr>
              <w:t>7.1</w:t>
            </w:r>
          </w:p>
        </w:tc>
        <w:tc>
          <w:tcPr>
            <w:tcW w:w="2264" w:type="dxa"/>
            <w:tcBorders>
              <w:top w:val="single" w:color="auto" w:sz="4" w:space="0"/>
              <w:left w:val="single" w:color="auto" w:sz="4" w:space="0"/>
              <w:bottom w:val="single" w:color="auto" w:sz="4" w:space="0"/>
              <w:right w:val="single" w:color="auto" w:sz="4" w:space="0"/>
            </w:tcBorders>
            <w:vAlign w:val="center"/>
          </w:tcPr>
          <w:p w14:paraId="335F2CF4">
            <w:pPr>
              <w:spacing w:before="156" w:beforeLines="50" w:line="360" w:lineRule="auto"/>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是否授权磋商小组</w:t>
            </w:r>
          </w:p>
          <w:p w14:paraId="654C50F9">
            <w:pPr>
              <w:spacing w:line="360" w:lineRule="auto"/>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确定成交供应商</w:t>
            </w:r>
          </w:p>
        </w:tc>
        <w:tc>
          <w:tcPr>
            <w:tcW w:w="5963" w:type="dxa"/>
            <w:tcBorders>
              <w:top w:val="single" w:color="auto" w:sz="4" w:space="0"/>
              <w:left w:val="single" w:color="auto" w:sz="4" w:space="0"/>
              <w:bottom w:val="single" w:color="auto" w:sz="4" w:space="0"/>
              <w:right w:val="single" w:color="auto" w:sz="4" w:space="0"/>
            </w:tcBorders>
            <w:vAlign w:val="center"/>
          </w:tcPr>
          <w:p w14:paraId="3BCB5379">
            <w:pPr>
              <w:spacing w:before="156" w:beforeLines="50" w:line="360" w:lineRule="auto"/>
              <w:ind w:left="105" w:leftChars="50" w:right="105" w:rightChars="5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否。</w:t>
            </w:r>
          </w:p>
          <w:p w14:paraId="024E1BD5">
            <w:pPr>
              <w:spacing w:line="360" w:lineRule="auto"/>
              <w:ind w:left="105" w:leftChars="50" w:right="105" w:rightChars="5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由磋商小组根据第六章“评审办法”的相关规定推荐1～3名成交候选人，采购人根据磋商小组的推荐顺序确定成交供应商。</w:t>
            </w:r>
          </w:p>
        </w:tc>
      </w:tr>
      <w:tr w14:paraId="3768C8E3">
        <w:tblPrEx>
          <w:tblCellMar>
            <w:top w:w="0" w:type="dxa"/>
            <w:left w:w="0" w:type="dxa"/>
            <w:bottom w:w="0" w:type="dxa"/>
            <w:right w:w="0" w:type="dxa"/>
          </w:tblCellMar>
        </w:tblPrEx>
        <w:trPr>
          <w:trHeight w:val="422" w:hRule="atLeast"/>
          <w:jc w:val="center"/>
        </w:trPr>
        <w:tc>
          <w:tcPr>
            <w:tcW w:w="840" w:type="dxa"/>
            <w:tcBorders>
              <w:top w:val="single" w:color="auto" w:sz="4" w:space="0"/>
              <w:left w:val="single" w:color="auto" w:sz="4" w:space="0"/>
              <w:bottom w:val="single" w:color="auto" w:sz="4" w:space="0"/>
              <w:right w:val="single" w:color="auto" w:sz="4" w:space="0"/>
            </w:tcBorders>
            <w:vAlign w:val="center"/>
          </w:tcPr>
          <w:p w14:paraId="377E0338">
            <w:pPr>
              <w:spacing w:before="156" w:beforeLines="50" w:line="360" w:lineRule="auto"/>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7.3</w:t>
            </w:r>
          </w:p>
        </w:tc>
        <w:tc>
          <w:tcPr>
            <w:tcW w:w="2264" w:type="dxa"/>
            <w:tcBorders>
              <w:top w:val="single" w:color="auto" w:sz="4" w:space="0"/>
              <w:left w:val="single" w:color="auto" w:sz="4" w:space="0"/>
              <w:bottom w:val="single" w:color="auto" w:sz="4" w:space="0"/>
              <w:right w:val="single" w:color="auto" w:sz="4" w:space="0"/>
            </w:tcBorders>
            <w:vAlign w:val="center"/>
          </w:tcPr>
          <w:p w14:paraId="784E3DB8">
            <w:pPr>
              <w:spacing w:before="156" w:beforeLines="50" w:line="360" w:lineRule="auto"/>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履约担保</w:t>
            </w:r>
          </w:p>
        </w:tc>
        <w:tc>
          <w:tcPr>
            <w:tcW w:w="5963" w:type="dxa"/>
            <w:tcBorders>
              <w:top w:val="single" w:color="auto" w:sz="4" w:space="0"/>
              <w:left w:val="single" w:color="auto" w:sz="4" w:space="0"/>
              <w:bottom w:val="single" w:color="auto" w:sz="4" w:space="0"/>
              <w:right w:val="single" w:color="auto" w:sz="4" w:space="0"/>
            </w:tcBorders>
            <w:vAlign w:val="center"/>
          </w:tcPr>
          <w:p w14:paraId="6CA2AA36">
            <w:pPr>
              <w:spacing w:before="156" w:beforeLines="50" w:line="360" w:lineRule="auto"/>
              <w:ind w:left="105" w:leftChars="50" w:right="105" w:rightChars="5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本项目不要求提交履约担保。</w:t>
            </w:r>
          </w:p>
        </w:tc>
      </w:tr>
      <w:tr w14:paraId="037F0157">
        <w:tblPrEx>
          <w:tblCellMar>
            <w:top w:w="0" w:type="dxa"/>
            <w:left w:w="0" w:type="dxa"/>
            <w:bottom w:w="0" w:type="dxa"/>
            <w:right w:w="0" w:type="dxa"/>
          </w:tblCellMar>
        </w:tblPrEx>
        <w:trPr>
          <w:trHeight w:val="448" w:hRule="atLeast"/>
          <w:jc w:val="center"/>
        </w:trPr>
        <w:tc>
          <w:tcPr>
            <w:tcW w:w="9067" w:type="dxa"/>
            <w:gridSpan w:val="3"/>
            <w:tcBorders>
              <w:top w:val="single" w:color="auto" w:sz="4" w:space="0"/>
              <w:left w:val="single" w:color="auto" w:sz="4" w:space="0"/>
              <w:bottom w:val="single" w:color="auto" w:sz="4" w:space="0"/>
              <w:right w:val="single" w:color="auto" w:sz="4" w:space="0"/>
            </w:tcBorders>
            <w:vAlign w:val="center"/>
          </w:tcPr>
          <w:p w14:paraId="49EF7C43">
            <w:pPr>
              <w:spacing w:before="156" w:beforeLines="50" w:line="360" w:lineRule="auto"/>
              <w:jc w:val="center"/>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10.需要补充的其他内容</w:t>
            </w:r>
          </w:p>
        </w:tc>
      </w:tr>
      <w:tr w14:paraId="697DC292">
        <w:tblPrEx>
          <w:tblCellMar>
            <w:top w:w="0" w:type="dxa"/>
            <w:left w:w="0" w:type="dxa"/>
            <w:bottom w:w="0" w:type="dxa"/>
            <w:right w:w="0" w:type="dxa"/>
          </w:tblCellMar>
        </w:tblPrEx>
        <w:trPr>
          <w:trHeight w:val="274" w:hRule="atLeast"/>
          <w:jc w:val="center"/>
        </w:trPr>
        <w:tc>
          <w:tcPr>
            <w:tcW w:w="9067" w:type="dxa"/>
            <w:gridSpan w:val="3"/>
            <w:tcBorders>
              <w:top w:val="single" w:color="auto" w:sz="4" w:space="0"/>
              <w:left w:val="single" w:color="auto" w:sz="4" w:space="0"/>
              <w:bottom w:val="single" w:color="auto" w:sz="4" w:space="0"/>
              <w:right w:val="single" w:color="auto" w:sz="4" w:space="0"/>
            </w:tcBorders>
            <w:vAlign w:val="center"/>
          </w:tcPr>
          <w:p w14:paraId="3A6328C5">
            <w:pPr>
              <w:spacing w:before="156" w:beforeLines="50" w:line="360" w:lineRule="auto"/>
              <w:ind w:left="105" w:leftChars="50" w:right="105" w:rightChars="5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1.供应商</w:t>
            </w:r>
            <w:r>
              <w:rPr>
                <w:rFonts w:asciiTheme="minorEastAsia" w:hAnsiTheme="minorEastAsia" w:eastAsiaTheme="minorEastAsia"/>
                <w:color w:val="auto"/>
                <w:szCs w:val="21"/>
                <w:highlight w:val="none"/>
              </w:rPr>
              <w:t>的</w:t>
            </w:r>
            <w:r>
              <w:rPr>
                <w:rFonts w:hint="eastAsia" w:asciiTheme="minorEastAsia" w:hAnsiTheme="minorEastAsia" w:eastAsiaTheme="minorEastAsia"/>
                <w:color w:val="auto"/>
                <w:szCs w:val="21"/>
                <w:highlight w:val="none"/>
              </w:rPr>
              <w:t>响应文件</w:t>
            </w:r>
            <w:r>
              <w:rPr>
                <w:rFonts w:asciiTheme="minorEastAsia" w:hAnsiTheme="minorEastAsia" w:eastAsiaTheme="minorEastAsia"/>
                <w:color w:val="auto"/>
                <w:szCs w:val="21"/>
                <w:highlight w:val="none"/>
              </w:rPr>
              <w:t>必须是在接受</w:t>
            </w:r>
            <w:r>
              <w:rPr>
                <w:rFonts w:hint="eastAsia" w:asciiTheme="minorEastAsia" w:hAnsiTheme="minorEastAsia" w:eastAsiaTheme="minorEastAsia"/>
                <w:color w:val="auto"/>
                <w:szCs w:val="21"/>
                <w:highlight w:val="none"/>
              </w:rPr>
              <w:t>采购</w:t>
            </w:r>
            <w:r>
              <w:rPr>
                <w:rFonts w:asciiTheme="minorEastAsia" w:hAnsiTheme="minorEastAsia" w:eastAsiaTheme="minorEastAsia"/>
                <w:color w:val="auto"/>
                <w:szCs w:val="21"/>
                <w:highlight w:val="none"/>
              </w:rPr>
              <w:t>人</w:t>
            </w:r>
            <w:r>
              <w:rPr>
                <w:rFonts w:hint="eastAsia" w:asciiTheme="minorEastAsia" w:hAnsiTheme="minorEastAsia" w:eastAsiaTheme="minorEastAsia"/>
                <w:color w:val="auto"/>
                <w:szCs w:val="21"/>
                <w:highlight w:val="none"/>
              </w:rPr>
              <w:t>的</w:t>
            </w:r>
            <w:r>
              <w:rPr>
                <w:rFonts w:hint="eastAsia" w:asciiTheme="minorEastAsia" w:hAnsiTheme="minorEastAsia" w:eastAsiaTheme="minorEastAsia"/>
                <w:snapToGrid w:val="0"/>
                <w:color w:val="auto"/>
                <w:kern w:val="0"/>
                <w:szCs w:val="21"/>
                <w:highlight w:val="none"/>
              </w:rPr>
              <w:t>采购文件（</w:t>
            </w:r>
            <w:r>
              <w:rPr>
                <w:rFonts w:asciiTheme="minorEastAsia" w:hAnsiTheme="minorEastAsia" w:eastAsiaTheme="minorEastAsia"/>
                <w:color w:val="auto"/>
                <w:szCs w:val="21"/>
                <w:highlight w:val="none"/>
              </w:rPr>
              <w:t>含合同条款等）的基础上作出的承诺，若</w:t>
            </w:r>
            <w:r>
              <w:rPr>
                <w:rFonts w:hint="eastAsia" w:asciiTheme="minorEastAsia" w:hAnsiTheme="minorEastAsia" w:eastAsiaTheme="minorEastAsia"/>
                <w:color w:val="auto"/>
                <w:szCs w:val="21"/>
                <w:highlight w:val="none"/>
              </w:rPr>
              <w:t>成交供应商</w:t>
            </w:r>
            <w:r>
              <w:rPr>
                <w:rFonts w:asciiTheme="minorEastAsia" w:hAnsiTheme="minorEastAsia" w:eastAsiaTheme="minorEastAsia"/>
                <w:color w:val="auto"/>
                <w:szCs w:val="21"/>
                <w:highlight w:val="none"/>
              </w:rPr>
              <w:t>对</w:t>
            </w:r>
            <w:r>
              <w:rPr>
                <w:rFonts w:hint="eastAsia" w:asciiTheme="minorEastAsia" w:hAnsiTheme="minorEastAsia" w:eastAsiaTheme="minorEastAsia"/>
                <w:snapToGrid w:val="0"/>
                <w:color w:val="auto"/>
                <w:kern w:val="0"/>
                <w:szCs w:val="21"/>
                <w:highlight w:val="none"/>
              </w:rPr>
              <w:t>采购文件</w:t>
            </w:r>
            <w:r>
              <w:rPr>
                <w:rFonts w:asciiTheme="minorEastAsia" w:hAnsiTheme="minorEastAsia" w:eastAsiaTheme="minorEastAsia"/>
                <w:color w:val="auto"/>
                <w:szCs w:val="21"/>
                <w:highlight w:val="none"/>
              </w:rPr>
              <w:t>（含合同条款等）提出修改要求，</w:t>
            </w:r>
            <w:r>
              <w:rPr>
                <w:rFonts w:hint="eastAsia" w:asciiTheme="minorEastAsia" w:hAnsiTheme="minorEastAsia" w:eastAsiaTheme="minorEastAsia"/>
                <w:color w:val="auto"/>
                <w:szCs w:val="21"/>
                <w:highlight w:val="none"/>
              </w:rPr>
              <w:t>采购</w:t>
            </w:r>
            <w:r>
              <w:rPr>
                <w:rFonts w:asciiTheme="minorEastAsia" w:hAnsiTheme="minorEastAsia" w:eastAsiaTheme="minorEastAsia"/>
                <w:color w:val="auto"/>
                <w:szCs w:val="21"/>
                <w:highlight w:val="none"/>
              </w:rPr>
              <w:t>人可视为其不响应</w:t>
            </w:r>
            <w:r>
              <w:rPr>
                <w:rFonts w:hint="eastAsia" w:asciiTheme="minorEastAsia" w:hAnsiTheme="minorEastAsia" w:eastAsiaTheme="minorEastAsia"/>
                <w:snapToGrid w:val="0"/>
                <w:color w:val="auto"/>
                <w:kern w:val="0"/>
                <w:szCs w:val="21"/>
                <w:highlight w:val="none"/>
              </w:rPr>
              <w:t>采购文件</w:t>
            </w:r>
            <w:r>
              <w:rPr>
                <w:rFonts w:asciiTheme="minorEastAsia" w:hAnsiTheme="minorEastAsia" w:eastAsiaTheme="minorEastAsia"/>
                <w:color w:val="auto"/>
                <w:szCs w:val="21"/>
                <w:highlight w:val="none"/>
              </w:rPr>
              <w:t>的实质性条款，取消其</w:t>
            </w:r>
            <w:r>
              <w:rPr>
                <w:rFonts w:hint="eastAsia" w:asciiTheme="minorEastAsia" w:hAnsiTheme="minorEastAsia" w:eastAsiaTheme="minorEastAsia"/>
                <w:color w:val="auto"/>
                <w:szCs w:val="21"/>
                <w:highlight w:val="none"/>
              </w:rPr>
              <w:t>成交</w:t>
            </w:r>
            <w:r>
              <w:rPr>
                <w:rFonts w:asciiTheme="minorEastAsia" w:hAnsiTheme="minorEastAsia" w:eastAsiaTheme="minorEastAsia"/>
                <w:color w:val="auto"/>
                <w:szCs w:val="21"/>
                <w:highlight w:val="none"/>
              </w:rPr>
              <w:t>资格。</w:t>
            </w:r>
          </w:p>
          <w:p w14:paraId="091FCFF5">
            <w:pPr>
              <w:spacing w:line="360" w:lineRule="auto"/>
              <w:ind w:left="105" w:leftChars="50" w:right="105" w:rightChars="5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2.成交供应商</w:t>
            </w:r>
            <w:r>
              <w:rPr>
                <w:rFonts w:hint="eastAsia" w:asciiTheme="minorEastAsia" w:hAnsiTheme="minorEastAsia" w:eastAsiaTheme="minorEastAsia"/>
                <w:bCs/>
                <w:color w:val="auto"/>
                <w:szCs w:val="21"/>
                <w:highlight w:val="none"/>
              </w:rPr>
              <w:t>无故</w:t>
            </w:r>
            <w:r>
              <w:rPr>
                <w:rFonts w:asciiTheme="minorEastAsia" w:hAnsiTheme="minorEastAsia" w:eastAsiaTheme="minorEastAsia"/>
                <w:color w:val="auto"/>
                <w:szCs w:val="21"/>
                <w:highlight w:val="none"/>
              </w:rPr>
              <w:t>不与</w:t>
            </w:r>
            <w:r>
              <w:rPr>
                <w:rFonts w:hint="eastAsia" w:asciiTheme="minorEastAsia" w:hAnsiTheme="minorEastAsia" w:eastAsiaTheme="minorEastAsia"/>
                <w:color w:val="auto"/>
                <w:szCs w:val="21"/>
                <w:highlight w:val="none"/>
              </w:rPr>
              <w:t>采购人</w:t>
            </w:r>
            <w:r>
              <w:rPr>
                <w:rFonts w:asciiTheme="minorEastAsia" w:hAnsiTheme="minorEastAsia" w:eastAsiaTheme="minorEastAsia"/>
                <w:color w:val="auto"/>
                <w:szCs w:val="21"/>
                <w:highlight w:val="none"/>
              </w:rPr>
              <w:t>签订合同的，或在合同签订中无故要求变更</w:t>
            </w:r>
            <w:r>
              <w:rPr>
                <w:rFonts w:hint="eastAsia" w:asciiTheme="minorEastAsia" w:hAnsiTheme="minorEastAsia" w:eastAsiaTheme="minorEastAsia"/>
                <w:color w:val="auto"/>
                <w:szCs w:val="21"/>
                <w:highlight w:val="none"/>
              </w:rPr>
              <w:t>承诺或报价</w:t>
            </w:r>
            <w:r>
              <w:rPr>
                <w:rFonts w:asciiTheme="minorEastAsia" w:hAnsiTheme="minorEastAsia" w:eastAsiaTheme="minorEastAsia"/>
                <w:color w:val="auto"/>
                <w:szCs w:val="21"/>
                <w:highlight w:val="none"/>
              </w:rPr>
              <w:t>的，</w:t>
            </w:r>
            <w:r>
              <w:rPr>
                <w:rFonts w:hint="eastAsia" w:asciiTheme="minorEastAsia" w:hAnsiTheme="minorEastAsia" w:eastAsiaTheme="minorEastAsia"/>
                <w:color w:val="auto"/>
                <w:szCs w:val="21"/>
                <w:highlight w:val="none"/>
              </w:rPr>
              <w:t>采购</w:t>
            </w:r>
            <w:r>
              <w:rPr>
                <w:rFonts w:asciiTheme="minorEastAsia" w:hAnsiTheme="minorEastAsia" w:eastAsiaTheme="minorEastAsia"/>
                <w:color w:val="auto"/>
                <w:szCs w:val="21"/>
                <w:highlight w:val="none"/>
              </w:rPr>
              <w:t>人</w:t>
            </w:r>
            <w:r>
              <w:rPr>
                <w:rFonts w:hint="eastAsia" w:asciiTheme="minorEastAsia" w:hAnsiTheme="minorEastAsia" w:eastAsiaTheme="minorEastAsia"/>
                <w:color w:val="auto"/>
                <w:szCs w:val="21"/>
                <w:highlight w:val="none"/>
              </w:rPr>
              <w:t>将</w:t>
            </w:r>
            <w:r>
              <w:rPr>
                <w:rFonts w:asciiTheme="minorEastAsia" w:hAnsiTheme="minorEastAsia" w:eastAsiaTheme="minorEastAsia"/>
                <w:color w:val="auto"/>
                <w:szCs w:val="21"/>
                <w:highlight w:val="none"/>
              </w:rPr>
              <w:t>取消其</w:t>
            </w:r>
            <w:r>
              <w:rPr>
                <w:rFonts w:hint="eastAsia" w:asciiTheme="minorEastAsia" w:hAnsiTheme="minorEastAsia" w:eastAsiaTheme="minorEastAsia"/>
                <w:color w:val="auto"/>
                <w:szCs w:val="21"/>
                <w:highlight w:val="none"/>
              </w:rPr>
              <w:t>成交</w:t>
            </w:r>
            <w:r>
              <w:rPr>
                <w:rFonts w:asciiTheme="minorEastAsia" w:hAnsiTheme="minorEastAsia" w:eastAsiaTheme="minorEastAsia"/>
                <w:color w:val="auto"/>
                <w:szCs w:val="21"/>
                <w:highlight w:val="none"/>
              </w:rPr>
              <w:t>资格</w:t>
            </w:r>
            <w:r>
              <w:rPr>
                <w:rFonts w:hint="eastAsia" w:asciiTheme="minorEastAsia" w:hAnsiTheme="minorEastAsia" w:eastAsiaTheme="minorEastAsia"/>
                <w:color w:val="auto"/>
                <w:szCs w:val="21"/>
                <w:highlight w:val="none"/>
              </w:rPr>
              <w:t>，并且上报采购监督管理</w:t>
            </w:r>
            <w:r>
              <w:rPr>
                <w:rFonts w:asciiTheme="minorEastAsia" w:hAnsiTheme="minorEastAsia" w:eastAsiaTheme="minorEastAsia"/>
                <w:color w:val="auto"/>
                <w:szCs w:val="21"/>
                <w:highlight w:val="none"/>
              </w:rPr>
              <w:t>部门给予</w:t>
            </w:r>
            <w:r>
              <w:rPr>
                <w:rFonts w:hint="eastAsia" w:asciiTheme="minorEastAsia" w:hAnsiTheme="minorEastAsia" w:eastAsiaTheme="minorEastAsia"/>
                <w:color w:val="auto"/>
                <w:szCs w:val="21"/>
                <w:highlight w:val="none"/>
              </w:rPr>
              <w:t>其</w:t>
            </w:r>
            <w:r>
              <w:rPr>
                <w:rFonts w:asciiTheme="minorEastAsia" w:hAnsiTheme="minorEastAsia" w:eastAsiaTheme="minorEastAsia"/>
                <w:color w:val="auto"/>
                <w:szCs w:val="21"/>
                <w:highlight w:val="none"/>
              </w:rPr>
              <w:t>不良市场行为记录。</w:t>
            </w:r>
          </w:p>
          <w:p w14:paraId="24799AEF">
            <w:pPr>
              <w:spacing w:line="360" w:lineRule="auto"/>
              <w:ind w:left="105" w:leftChars="50" w:right="105" w:rightChars="50"/>
              <w:rPr>
                <w:rFonts w:hint="eastAsia" w:asciiTheme="minorEastAsia" w:hAnsiTheme="minorEastAsia" w:eastAsiaTheme="minorEastAsia"/>
                <w:color w:val="auto"/>
                <w:szCs w:val="21"/>
                <w:highlight w:val="none"/>
              </w:rPr>
            </w:pPr>
            <w:r>
              <w:rPr>
                <w:rFonts w:asciiTheme="minorEastAsia" w:hAnsiTheme="minorEastAsia" w:eastAsiaTheme="minorEastAsia"/>
                <w:bCs/>
                <w:color w:val="auto"/>
                <w:szCs w:val="21"/>
                <w:highlight w:val="none"/>
              </w:rPr>
              <w:t>3</w:t>
            </w:r>
            <w:r>
              <w:rPr>
                <w:rFonts w:hint="eastAsia" w:asciiTheme="minorEastAsia" w:hAnsiTheme="minorEastAsia" w:eastAsiaTheme="minorEastAsia"/>
                <w:bCs/>
                <w:color w:val="auto"/>
                <w:szCs w:val="21"/>
                <w:highlight w:val="none"/>
              </w:rPr>
              <w:t>.</w:t>
            </w:r>
            <w:r>
              <w:rPr>
                <w:rFonts w:hint="eastAsia" w:asciiTheme="minorEastAsia" w:hAnsiTheme="minorEastAsia" w:eastAsiaTheme="minorEastAsia"/>
                <w:color w:val="auto"/>
                <w:szCs w:val="21"/>
                <w:highlight w:val="none"/>
              </w:rPr>
              <w:t>根据《政府采购促进中小企业发展管理办法》（财库〔2020〕46号）和《关于进一步加大政府采购支持中小企业力度的通知》（财库〔20</w:t>
            </w:r>
            <w:r>
              <w:rPr>
                <w:rFonts w:asciiTheme="minorEastAsia" w:hAnsiTheme="minorEastAsia" w:eastAsiaTheme="minorEastAsia"/>
                <w:color w:val="auto"/>
                <w:szCs w:val="21"/>
                <w:highlight w:val="none"/>
              </w:rPr>
              <w:t>22</w:t>
            </w:r>
            <w:r>
              <w:rPr>
                <w:rFonts w:hint="eastAsia" w:asciiTheme="minorEastAsia" w:hAnsiTheme="minorEastAsia" w:eastAsiaTheme="minorEastAsia"/>
                <w:color w:val="auto"/>
                <w:szCs w:val="21"/>
                <w:highlight w:val="none"/>
              </w:rPr>
              <w:t>〕</w:t>
            </w:r>
            <w:r>
              <w:rPr>
                <w:rFonts w:asciiTheme="minorEastAsia" w:hAnsiTheme="minorEastAsia" w:eastAsiaTheme="minorEastAsia"/>
                <w:color w:val="auto"/>
                <w:szCs w:val="21"/>
                <w:highlight w:val="none"/>
              </w:rPr>
              <w:t>19</w:t>
            </w:r>
            <w:r>
              <w:rPr>
                <w:rFonts w:hint="eastAsia" w:asciiTheme="minorEastAsia" w:hAnsiTheme="minorEastAsia" w:eastAsiaTheme="minorEastAsia"/>
                <w:color w:val="auto"/>
                <w:szCs w:val="21"/>
                <w:highlight w:val="none"/>
              </w:rPr>
              <w:t>号）第十二条规定：</w:t>
            </w:r>
          </w:p>
          <w:p w14:paraId="68398DC0">
            <w:pPr>
              <w:spacing w:line="360" w:lineRule="auto"/>
              <w:ind w:left="105" w:leftChars="50" w:right="105" w:rightChars="5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（1）依据《办法》规定享受扶持政策获得政府采购合同的，小微企业不得将合同分包给大中型企业，中型企业不得将合同分包给大型企业。若成交供应商违反以上规定，则依法承担相关责任。</w:t>
            </w:r>
          </w:p>
          <w:p w14:paraId="02FFF12B">
            <w:pPr>
              <w:spacing w:line="360" w:lineRule="auto"/>
              <w:ind w:left="105" w:leftChars="50" w:right="105" w:rightChars="5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2）对具备享受扶持政策的中小企业，在资金支付期限上的优惠措施为：根据《保障中小企业款项支付条例》（中华人民共和国国务院令第728号）第八条规定，服务期结束之日起30日内支付款项；合同另有约定的，付款期限最长不超过60日。</w:t>
            </w:r>
          </w:p>
          <w:p w14:paraId="2FD3C01C">
            <w:pPr>
              <w:spacing w:line="360" w:lineRule="auto"/>
              <w:ind w:left="105" w:leftChars="50" w:right="105" w:rightChars="5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r>
              <w:rPr>
                <w:rFonts w:asciiTheme="minorEastAsia" w:hAnsiTheme="minorEastAsia" w:eastAsiaTheme="minorEastAsia"/>
                <w:color w:val="auto"/>
                <w:szCs w:val="21"/>
                <w:highlight w:val="none"/>
              </w:rPr>
              <w:t>3</w:t>
            </w:r>
            <w:r>
              <w:rPr>
                <w:rFonts w:hint="eastAsia" w:asciiTheme="minorEastAsia" w:hAnsiTheme="minorEastAsia" w:eastAsiaTheme="minorEastAsia"/>
                <w:color w:val="auto"/>
                <w:szCs w:val="21"/>
                <w:highlight w:val="none"/>
              </w:rPr>
              <w:t>）根据《统计上大中小微型企业划分办法（2017）》规定，本项目所属行业为：</w:t>
            </w:r>
            <w:r>
              <w:rPr>
                <w:rFonts w:hint="eastAsia" w:asciiTheme="minorEastAsia" w:hAnsiTheme="minorEastAsia" w:eastAsiaTheme="minorEastAsia"/>
                <w:b/>
                <w:bCs/>
                <w:color w:val="auto"/>
                <w:szCs w:val="21"/>
                <w:highlight w:val="none"/>
              </w:rPr>
              <w:t>“</w:t>
            </w:r>
            <w:r>
              <w:rPr>
                <w:rFonts w:hint="eastAsia" w:asciiTheme="minorEastAsia" w:hAnsiTheme="minorEastAsia" w:eastAsiaTheme="minorEastAsia"/>
                <w:b/>
                <w:bCs/>
                <w:color w:val="auto"/>
                <w:szCs w:val="21"/>
                <w:highlight w:val="none"/>
                <w:u w:val="single"/>
              </w:rPr>
              <w:t>其他未列明行业</w:t>
            </w:r>
            <w:r>
              <w:rPr>
                <w:rFonts w:hint="eastAsia" w:asciiTheme="minorEastAsia" w:hAnsiTheme="minorEastAsia" w:eastAsiaTheme="minorEastAsia"/>
                <w:b/>
                <w:bCs/>
                <w:color w:val="auto"/>
                <w:szCs w:val="21"/>
                <w:highlight w:val="none"/>
              </w:rPr>
              <w:t>”</w:t>
            </w:r>
            <w:r>
              <w:rPr>
                <w:rFonts w:hint="eastAsia" w:asciiTheme="minorEastAsia" w:hAnsiTheme="minorEastAsia" w:eastAsiaTheme="minorEastAsia"/>
                <w:color w:val="auto"/>
                <w:szCs w:val="21"/>
                <w:highlight w:val="none"/>
              </w:rPr>
              <w:t>。</w:t>
            </w:r>
          </w:p>
          <w:p w14:paraId="2FC15095">
            <w:pPr>
              <w:spacing w:line="360" w:lineRule="auto"/>
              <w:ind w:right="105" w:rightChars="50"/>
              <w:rPr>
                <w:rFonts w:hint="eastAsia"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w:t>
            </w:r>
            <w:r>
              <w:rPr>
                <w:rFonts w:hint="eastAsia" w:asciiTheme="minorEastAsia" w:hAnsiTheme="minorEastAsia" w:eastAsiaTheme="minorEastAsia"/>
                <w:color w:val="auto"/>
                <w:szCs w:val="21"/>
                <w:highlight w:val="none"/>
                <w:lang w:val="en-US" w:eastAsia="zh-CN"/>
              </w:rPr>
              <w:t>4</w:t>
            </w:r>
            <w:r>
              <w:rPr>
                <w:rFonts w:hint="eastAsia" w:asciiTheme="minorEastAsia" w:hAnsiTheme="minorEastAsia" w:eastAsiaTheme="minorEastAsia"/>
                <w:color w:val="auto"/>
                <w:szCs w:val="21"/>
                <w:highlight w:val="none"/>
                <w:lang w:eastAsia="zh-CN"/>
              </w:rPr>
              <w:t>）追加合同金额</w:t>
            </w:r>
            <w:r>
              <w:rPr>
                <w:rFonts w:hint="eastAsia" w:asciiTheme="minorEastAsia" w:hAnsiTheme="minorEastAsia" w:eastAsiaTheme="minorEastAsia"/>
                <w:color w:val="auto"/>
                <w:szCs w:val="21"/>
                <w:highlight w:val="none"/>
                <w:lang w:val="en-US" w:eastAsia="zh-CN"/>
              </w:rPr>
              <w:t>:</w:t>
            </w:r>
            <w:r>
              <w:rPr>
                <w:rFonts w:hint="eastAsia" w:asciiTheme="minorEastAsia" w:hAnsiTheme="minorEastAsia" w:eastAsiaTheme="minorEastAsia"/>
                <w:color w:val="auto"/>
                <w:szCs w:val="21"/>
                <w:highlight w:val="none"/>
                <w:lang w:eastAsia="zh-CN"/>
              </w:rPr>
              <w:t>政府采购合同履行中,采购人需追加与合同标的相同的服务的,在不改变合同其他条款的前提下，可以与成交供应商签订补充合同,但所有补充合同的采购金额变更不得超过原合同采购金额的10%，其中金额增加需办理合同追加手续。</w:t>
            </w:r>
          </w:p>
        </w:tc>
      </w:tr>
    </w:tbl>
    <w:p w14:paraId="194993DB">
      <w:pPr>
        <w:rPr>
          <w:rFonts w:hint="eastAsia" w:asciiTheme="minorEastAsia" w:hAnsiTheme="minorEastAsia" w:eastAsiaTheme="minorEastAsia"/>
          <w:color w:val="auto"/>
          <w:szCs w:val="28"/>
          <w:highlight w:val="none"/>
        </w:rPr>
      </w:pPr>
      <w:bookmarkStart w:id="151" w:name="_Toc132362633"/>
      <w:bookmarkStart w:id="152" w:name="_Toc158233414"/>
      <w:r>
        <w:rPr>
          <w:rFonts w:hint="eastAsia" w:asciiTheme="minorEastAsia" w:hAnsiTheme="minorEastAsia" w:eastAsiaTheme="minorEastAsia"/>
          <w:color w:val="auto"/>
          <w:szCs w:val="28"/>
          <w:highlight w:val="none"/>
        </w:rPr>
        <w:br w:type="page"/>
      </w:r>
    </w:p>
    <w:p w14:paraId="189E4810">
      <w:pPr>
        <w:pStyle w:val="4"/>
        <w:spacing w:before="156" w:beforeLines="50" w:line="360" w:lineRule="auto"/>
        <w:rPr>
          <w:rFonts w:hint="eastAsia" w:asciiTheme="minorEastAsia" w:hAnsiTheme="minorEastAsia" w:eastAsiaTheme="minorEastAsia"/>
          <w:color w:val="auto"/>
          <w:szCs w:val="28"/>
          <w:highlight w:val="none"/>
        </w:rPr>
      </w:pPr>
      <w:r>
        <w:rPr>
          <w:rFonts w:hint="eastAsia" w:asciiTheme="minorEastAsia" w:hAnsiTheme="minorEastAsia" w:eastAsiaTheme="minorEastAsia"/>
          <w:color w:val="auto"/>
          <w:szCs w:val="28"/>
          <w:highlight w:val="none"/>
        </w:rPr>
        <w:t>二、供应商须知正文部分</w:t>
      </w:r>
      <w:bookmarkEnd w:id="151"/>
      <w:bookmarkEnd w:id="152"/>
    </w:p>
    <w:p w14:paraId="0B3F4C4E">
      <w:pPr>
        <w:spacing w:line="360" w:lineRule="auto"/>
        <w:jc w:val="center"/>
        <w:outlineLvl w:val="2"/>
        <w:rPr>
          <w:rFonts w:hint="eastAsia" w:asciiTheme="minorEastAsia" w:hAnsiTheme="minorEastAsia" w:eastAsiaTheme="minorEastAsia"/>
          <w:b/>
          <w:bCs/>
          <w:color w:val="auto"/>
          <w:sz w:val="28"/>
          <w:szCs w:val="28"/>
          <w:highlight w:val="none"/>
        </w:rPr>
      </w:pPr>
      <w:bookmarkStart w:id="153" w:name="_Toc110405120"/>
      <w:bookmarkStart w:id="154" w:name="_Toc42267618"/>
      <w:bookmarkStart w:id="155" w:name="_Toc98033920"/>
      <w:bookmarkStart w:id="156" w:name="_Toc87543804"/>
      <w:bookmarkStart w:id="157" w:name="_Toc98864997"/>
      <w:bookmarkStart w:id="158" w:name="_Toc42204979"/>
      <w:bookmarkStart w:id="159" w:name="_Toc45791340"/>
      <w:bookmarkStart w:id="160" w:name="_Toc45976886"/>
      <w:bookmarkStart w:id="161" w:name="_Toc83753878"/>
      <w:bookmarkStart w:id="162" w:name="_Toc116583986"/>
      <w:bookmarkStart w:id="163" w:name="_Toc87538355"/>
      <w:bookmarkStart w:id="164" w:name="_Toc108"/>
      <w:bookmarkStart w:id="165" w:name="_Toc109809298"/>
      <w:bookmarkStart w:id="166" w:name="_Toc84356238"/>
      <w:r>
        <w:rPr>
          <w:rFonts w:hint="eastAsia" w:asciiTheme="minorEastAsia" w:hAnsiTheme="minorEastAsia" w:eastAsiaTheme="minorEastAsia"/>
          <w:b/>
          <w:bCs/>
          <w:color w:val="auto"/>
          <w:sz w:val="28"/>
          <w:szCs w:val="28"/>
          <w:highlight w:val="none"/>
        </w:rPr>
        <w:t>1.总则</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p>
    <w:p w14:paraId="165F128C">
      <w:pPr>
        <w:spacing w:line="360" w:lineRule="auto"/>
        <w:outlineLvl w:val="3"/>
        <w:rPr>
          <w:rFonts w:hint="eastAsia" w:ascii="宋体" w:hAnsi="宋体"/>
          <w:b/>
          <w:bCs/>
          <w:color w:val="auto"/>
          <w:sz w:val="24"/>
          <w:szCs w:val="24"/>
          <w:highlight w:val="none"/>
        </w:rPr>
      </w:pPr>
      <w:bookmarkStart w:id="167" w:name="_Toc42267619"/>
      <w:bookmarkStart w:id="168" w:name="_Toc87543805"/>
      <w:bookmarkStart w:id="169" w:name="_Toc84356239"/>
      <w:bookmarkStart w:id="170" w:name="_Toc116583987"/>
      <w:bookmarkStart w:id="171" w:name="_Toc42204980"/>
      <w:bookmarkStart w:id="172" w:name="_Toc83753879"/>
      <w:bookmarkStart w:id="173" w:name="_Toc109809299"/>
      <w:bookmarkStart w:id="174" w:name="_Toc110405121"/>
      <w:bookmarkStart w:id="175" w:name="_Toc81330926"/>
      <w:bookmarkStart w:id="176" w:name="_Toc69678416"/>
      <w:bookmarkStart w:id="177" w:name="_Toc45791341"/>
      <w:bookmarkStart w:id="178" w:name="_Toc98033921"/>
      <w:bookmarkStart w:id="179" w:name="_Toc75783518"/>
      <w:bookmarkStart w:id="180" w:name="_Toc53412203"/>
      <w:bookmarkStart w:id="181" w:name="_Toc45976887"/>
      <w:bookmarkStart w:id="182" w:name="_Toc87538356"/>
      <w:bookmarkStart w:id="183" w:name="_Toc98864998"/>
      <w:bookmarkStart w:id="184" w:name="_Toc13886"/>
      <w:r>
        <w:rPr>
          <w:rFonts w:hint="eastAsia" w:ascii="宋体" w:hAnsi="宋体"/>
          <w:b/>
          <w:bCs/>
          <w:color w:val="auto"/>
          <w:sz w:val="24"/>
          <w:szCs w:val="24"/>
          <w:highlight w:val="none"/>
        </w:rPr>
        <w:t>1.1项目概况</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p>
    <w:p w14:paraId="58573FE7">
      <w:pPr>
        <w:adjustRightInd w:val="0"/>
        <w:snapToGrid w:val="0"/>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8"/>
          <w:highlight w:val="none"/>
        </w:rPr>
        <w:t>1.1.1</w:t>
      </w:r>
      <w:r>
        <w:rPr>
          <w:rFonts w:hint="eastAsia" w:asciiTheme="minorEastAsia" w:hAnsiTheme="minorEastAsia" w:eastAsiaTheme="minorEastAsia"/>
          <w:color w:val="auto"/>
          <w:szCs w:val="21"/>
          <w:highlight w:val="none"/>
        </w:rPr>
        <w:t>根据《中华人民共和国政府采购法》、《中华人民共和国政府采购法实施条例》（国务院令第658号）、《关于印发&lt;政府采购竞争性磋商采购方式管理暂行办法&gt;的通知》（财库〔2014〕214号）等相关法律法规的规定</w:t>
      </w:r>
      <w:r>
        <w:rPr>
          <w:rFonts w:asciiTheme="minorEastAsia" w:hAnsiTheme="minorEastAsia" w:eastAsiaTheme="minorEastAsia"/>
          <w:color w:val="auto"/>
          <w:szCs w:val="21"/>
          <w:highlight w:val="none"/>
        </w:rPr>
        <w:t>，本项目已具备</w:t>
      </w:r>
      <w:r>
        <w:rPr>
          <w:rFonts w:hint="eastAsia" w:asciiTheme="minorEastAsia" w:hAnsiTheme="minorEastAsia" w:eastAsiaTheme="minorEastAsia"/>
          <w:color w:val="auto"/>
          <w:szCs w:val="21"/>
          <w:highlight w:val="none"/>
        </w:rPr>
        <w:t>采购</w:t>
      </w:r>
      <w:r>
        <w:rPr>
          <w:rFonts w:asciiTheme="minorEastAsia" w:hAnsiTheme="minorEastAsia" w:eastAsiaTheme="minorEastAsia"/>
          <w:color w:val="auto"/>
          <w:szCs w:val="21"/>
          <w:highlight w:val="none"/>
        </w:rPr>
        <w:t>条件，现对本</w:t>
      </w:r>
      <w:r>
        <w:rPr>
          <w:rFonts w:hint="eastAsia" w:asciiTheme="minorEastAsia" w:hAnsiTheme="minorEastAsia" w:eastAsiaTheme="minorEastAsia"/>
          <w:color w:val="auto"/>
          <w:szCs w:val="21"/>
          <w:highlight w:val="none"/>
        </w:rPr>
        <w:t>项目</w:t>
      </w:r>
      <w:r>
        <w:rPr>
          <w:rFonts w:asciiTheme="minorEastAsia" w:hAnsiTheme="minorEastAsia" w:eastAsiaTheme="minorEastAsia"/>
          <w:color w:val="auto"/>
          <w:szCs w:val="21"/>
          <w:highlight w:val="none"/>
        </w:rPr>
        <w:t>进行</w:t>
      </w:r>
      <w:r>
        <w:rPr>
          <w:rFonts w:hint="eastAsia" w:asciiTheme="minorEastAsia" w:hAnsiTheme="minorEastAsia" w:eastAsiaTheme="minorEastAsia"/>
          <w:color w:val="auto"/>
          <w:szCs w:val="21"/>
          <w:highlight w:val="none"/>
        </w:rPr>
        <w:t>竞争性磋商采购</w:t>
      </w:r>
      <w:r>
        <w:rPr>
          <w:rFonts w:asciiTheme="minorEastAsia" w:hAnsiTheme="minorEastAsia" w:eastAsiaTheme="minorEastAsia"/>
          <w:color w:val="auto"/>
          <w:szCs w:val="21"/>
          <w:highlight w:val="none"/>
        </w:rPr>
        <w:t>。</w:t>
      </w:r>
    </w:p>
    <w:p w14:paraId="263B5FDB">
      <w:pPr>
        <w:adjustRightInd w:val="0"/>
        <w:snapToGrid w:val="0"/>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1.1.2采购人名称：详见供应商须知前附表。</w:t>
      </w:r>
    </w:p>
    <w:p w14:paraId="4ED90D5B">
      <w:pPr>
        <w:adjustRightInd w:val="0"/>
        <w:snapToGrid w:val="0"/>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1.1.3采购代理机构名称：详见供应商须知前附表。</w:t>
      </w:r>
    </w:p>
    <w:p w14:paraId="77E229C2">
      <w:pPr>
        <w:adjustRightInd w:val="0"/>
        <w:snapToGrid w:val="0"/>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1.1.</w:t>
      </w:r>
      <w:r>
        <w:rPr>
          <w:rFonts w:asciiTheme="minorEastAsia" w:hAnsiTheme="minorEastAsia" w:eastAsiaTheme="minorEastAsia"/>
          <w:color w:val="auto"/>
          <w:szCs w:val="21"/>
          <w:highlight w:val="none"/>
        </w:rPr>
        <w:t>4</w:t>
      </w:r>
      <w:r>
        <w:rPr>
          <w:rFonts w:hint="eastAsia" w:asciiTheme="minorEastAsia" w:hAnsiTheme="minorEastAsia" w:eastAsiaTheme="minorEastAsia"/>
          <w:color w:val="auto"/>
          <w:szCs w:val="21"/>
          <w:highlight w:val="none"/>
        </w:rPr>
        <w:t>项目名称：详见供应商须知前附表。</w:t>
      </w:r>
    </w:p>
    <w:p w14:paraId="3A68DF2E">
      <w:pPr>
        <w:adjustRightInd w:val="0"/>
        <w:snapToGrid w:val="0"/>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w:t>
      </w:r>
      <w:r>
        <w:rPr>
          <w:rFonts w:asciiTheme="minorEastAsia" w:hAnsiTheme="minorEastAsia" w:eastAsiaTheme="minorEastAsia"/>
          <w:color w:val="auto"/>
          <w:szCs w:val="21"/>
          <w:highlight w:val="none"/>
        </w:rPr>
        <w:t>.1.5</w:t>
      </w:r>
      <w:r>
        <w:rPr>
          <w:rFonts w:hint="eastAsia" w:asciiTheme="minorEastAsia" w:hAnsiTheme="minorEastAsia" w:eastAsiaTheme="minorEastAsia"/>
          <w:color w:val="auto"/>
          <w:szCs w:val="21"/>
          <w:highlight w:val="none"/>
        </w:rPr>
        <w:t>服务地点：详见供应商须知前附表。</w:t>
      </w:r>
    </w:p>
    <w:p w14:paraId="6446AA2C">
      <w:pPr>
        <w:spacing w:line="360" w:lineRule="auto"/>
        <w:outlineLvl w:val="3"/>
        <w:rPr>
          <w:rFonts w:hint="eastAsia" w:ascii="宋体" w:hAnsi="宋体"/>
          <w:b/>
          <w:bCs/>
          <w:color w:val="auto"/>
          <w:sz w:val="24"/>
          <w:szCs w:val="24"/>
          <w:highlight w:val="none"/>
        </w:rPr>
      </w:pPr>
      <w:bookmarkStart w:id="185" w:name="_Toc110405122"/>
      <w:bookmarkStart w:id="186" w:name="_Toc75783519"/>
      <w:bookmarkStart w:id="187" w:name="_Toc25268"/>
      <w:bookmarkStart w:id="188" w:name="_Toc84356240"/>
      <w:bookmarkStart w:id="189" w:name="_Toc83753880"/>
      <w:bookmarkStart w:id="190" w:name="_Toc98033922"/>
      <w:bookmarkStart w:id="191" w:name="_Toc42267620"/>
      <w:bookmarkStart w:id="192" w:name="_Toc87538357"/>
      <w:bookmarkStart w:id="193" w:name="_Toc87543806"/>
      <w:bookmarkStart w:id="194" w:name="_Toc116583988"/>
      <w:bookmarkStart w:id="195" w:name="_Toc81330927"/>
      <w:bookmarkStart w:id="196" w:name="_Toc45976888"/>
      <w:bookmarkStart w:id="197" w:name="_Toc45791342"/>
      <w:bookmarkStart w:id="198" w:name="_Toc69678417"/>
      <w:bookmarkStart w:id="199" w:name="_Toc109809300"/>
      <w:bookmarkStart w:id="200" w:name="_Toc53412204"/>
      <w:bookmarkStart w:id="201" w:name="_Toc42204981"/>
      <w:bookmarkStart w:id="202" w:name="_Toc98864999"/>
      <w:r>
        <w:rPr>
          <w:rFonts w:hint="eastAsia" w:ascii="宋体" w:hAnsi="宋体"/>
          <w:b/>
          <w:bCs/>
          <w:color w:val="auto"/>
          <w:sz w:val="24"/>
          <w:szCs w:val="24"/>
          <w:highlight w:val="none"/>
        </w:rPr>
        <w:t>1.2 资金来源、出资比例和资金落实情况</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14:paraId="05FB383F">
      <w:pPr>
        <w:adjustRightInd w:val="0"/>
        <w:snapToGrid w:val="0"/>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1.2.1资金来源：详见供应商须知前附表。</w:t>
      </w:r>
    </w:p>
    <w:p w14:paraId="11A98FB2">
      <w:pPr>
        <w:adjustRightInd w:val="0"/>
        <w:snapToGrid w:val="0"/>
        <w:spacing w:line="360" w:lineRule="auto"/>
        <w:ind w:firstLine="420" w:firstLineChars="200"/>
        <w:rPr>
          <w:rFonts w:hint="eastAsia" w:asciiTheme="minorEastAsia" w:hAnsiTheme="minorEastAsia" w:eastAsiaTheme="minorEastAsia"/>
          <w:bCs/>
          <w:color w:val="auto"/>
          <w:szCs w:val="21"/>
          <w:highlight w:val="none"/>
        </w:rPr>
      </w:pPr>
      <w:r>
        <w:rPr>
          <w:rFonts w:hint="eastAsia" w:asciiTheme="minorEastAsia" w:hAnsiTheme="minorEastAsia" w:eastAsiaTheme="minorEastAsia"/>
          <w:color w:val="auto"/>
          <w:szCs w:val="21"/>
          <w:highlight w:val="none"/>
        </w:rPr>
        <w:t>1.2.2</w:t>
      </w:r>
      <w:r>
        <w:rPr>
          <w:rFonts w:hint="eastAsia" w:asciiTheme="minorEastAsia" w:hAnsiTheme="minorEastAsia" w:eastAsiaTheme="minorEastAsia"/>
          <w:bCs/>
          <w:color w:val="auto"/>
          <w:szCs w:val="21"/>
          <w:highlight w:val="none"/>
        </w:rPr>
        <w:t>出资比例：</w:t>
      </w:r>
      <w:r>
        <w:rPr>
          <w:rFonts w:hint="eastAsia" w:asciiTheme="minorEastAsia" w:hAnsiTheme="minorEastAsia" w:eastAsiaTheme="minorEastAsia"/>
          <w:color w:val="auto"/>
          <w:szCs w:val="21"/>
          <w:highlight w:val="none"/>
        </w:rPr>
        <w:t>详见供应商须知前附表。</w:t>
      </w:r>
    </w:p>
    <w:p w14:paraId="30FA6C18">
      <w:pPr>
        <w:adjustRightInd w:val="0"/>
        <w:snapToGrid w:val="0"/>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bCs/>
          <w:color w:val="auto"/>
          <w:szCs w:val="21"/>
          <w:highlight w:val="none"/>
        </w:rPr>
        <w:t>1.2.3</w:t>
      </w:r>
      <w:r>
        <w:rPr>
          <w:rFonts w:hint="eastAsia" w:asciiTheme="minorEastAsia" w:hAnsiTheme="minorEastAsia" w:eastAsiaTheme="minorEastAsia"/>
          <w:color w:val="auto"/>
          <w:szCs w:val="21"/>
          <w:highlight w:val="none"/>
        </w:rPr>
        <w:t>资金落实情况：详见供应商须知前附表。</w:t>
      </w:r>
    </w:p>
    <w:p w14:paraId="121192B0">
      <w:pPr>
        <w:spacing w:line="360" w:lineRule="auto"/>
        <w:outlineLvl w:val="3"/>
        <w:rPr>
          <w:rFonts w:hint="eastAsia" w:ascii="宋体" w:hAnsi="宋体"/>
          <w:b/>
          <w:bCs/>
          <w:color w:val="auto"/>
          <w:sz w:val="24"/>
          <w:szCs w:val="24"/>
          <w:highlight w:val="none"/>
        </w:rPr>
      </w:pPr>
      <w:bookmarkStart w:id="203" w:name="_Toc83753881"/>
      <w:bookmarkStart w:id="204" w:name="_Toc87538358"/>
      <w:bookmarkStart w:id="205" w:name="_Toc109809301"/>
      <w:bookmarkStart w:id="206" w:name="_Toc45791343"/>
      <w:bookmarkStart w:id="207" w:name="_Toc45976889"/>
      <w:bookmarkStart w:id="208" w:name="_Toc42204982"/>
      <w:bookmarkStart w:id="209" w:name="_Toc27136"/>
      <w:bookmarkStart w:id="210" w:name="_Toc87543807"/>
      <w:bookmarkStart w:id="211" w:name="_Toc98865000"/>
      <w:bookmarkStart w:id="212" w:name="_Toc110405123"/>
      <w:bookmarkStart w:id="213" w:name="_Toc81330928"/>
      <w:bookmarkStart w:id="214" w:name="_Toc42267621"/>
      <w:bookmarkStart w:id="215" w:name="_Toc53412205"/>
      <w:bookmarkStart w:id="216" w:name="_Toc98033923"/>
      <w:bookmarkStart w:id="217" w:name="_Toc84356241"/>
      <w:bookmarkStart w:id="218" w:name="_Toc75783520"/>
      <w:bookmarkStart w:id="219" w:name="_Toc69678418"/>
      <w:bookmarkStart w:id="220" w:name="_Toc116583989"/>
      <w:r>
        <w:rPr>
          <w:rFonts w:hint="eastAsia" w:ascii="宋体" w:hAnsi="宋体"/>
          <w:b/>
          <w:bCs/>
          <w:color w:val="auto"/>
          <w:sz w:val="24"/>
          <w:szCs w:val="24"/>
          <w:highlight w:val="none"/>
        </w:rPr>
        <w:t>1.3 采购内容、服务周期、质量</w:t>
      </w:r>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r>
        <w:rPr>
          <w:rFonts w:hint="eastAsia" w:ascii="宋体" w:hAnsi="宋体"/>
          <w:b/>
          <w:bCs/>
          <w:color w:val="auto"/>
          <w:sz w:val="24"/>
          <w:szCs w:val="24"/>
          <w:highlight w:val="none"/>
        </w:rPr>
        <w:t>要求</w:t>
      </w:r>
      <w:bookmarkEnd w:id="220"/>
      <w:r>
        <w:rPr>
          <w:rFonts w:hint="eastAsia" w:ascii="宋体" w:hAnsi="宋体"/>
          <w:b/>
          <w:bCs/>
          <w:color w:val="auto"/>
          <w:sz w:val="24"/>
          <w:szCs w:val="24"/>
          <w:highlight w:val="none"/>
        </w:rPr>
        <w:t>、包件划分</w:t>
      </w:r>
    </w:p>
    <w:p w14:paraId="473525BB">
      <w:pPr>
        <w:adjustRightInd w:val="0"/>
        <w:snapToGrid w:val="0"/>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1.3.1采购内容</w:t>
      </w:r>
      <w:r>
        <w:rPr>
          <w:rFonts w:hint="eastAsia" w:cs="宋体" w:asciiTheme="minorEastAsia" w:hAnsiTheme="minorEastAsia" w:eastAsiaTheme="minorEastAsia"/>
          <w:color w:val="auto"/>
          <w:kern w:val="0"/>
          <w:szCs w:val="21"/>
          <w:highlight w:val="none"/>
        </w:rPr>
        <w:t>：</w:t>
      </w:r>
      <w:r>
        <w:rPr>
          <w:rFonts w:hint="eastAsia" w:asciiTheme="minorEastAsia" w:hAnsiTheme="minorEastAsia" w:eastAsiaTheme="minorEastAsia"/>
          <w:color w:val="auto"/>
          <w:szCs w:val="21"/>
          <w:highlight w:val="none"/>
        </w:rPr>
        <w:t>详见供应商须知前附表。</w:t>
      </w:r>
    </w:p>
    <w:p w14:paraId="5CF54ED3">
      <w:pPr>
        <w:adjustRightInd w:val="0"/>
        <w:snapToGrid w:val="0"/>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1.3.</w:t>
      </w:r>
      <w:r>
        <w:rPr>
          <w:rFonts w:asciiTheme="minorEastAsia" w:hAnsiTheme="minorEastAsia" w:eastAsiaTheme="minorEastAsia"/>
          <w:color w:val="auto"/>
          <w:szCs w:val="21"/>
          <w:highlight w:val="none"/>
        </w:rPr>
        <w:t>2</w:t>
      </w:r>
      <w:r>
        <w:rPr>
          <w:rFonts w:hint="eastAsia" w:asciiTheme="minorEastAsia" w:hAnsiTheme="minorEastAsia" w:eastAsiaTheme="minorEastAsia"/>
          <w:color w:val="auto"/>
          <w:szCs w:val="21"/>
          <w:highlight w:val="none"/>
        </w:rPr>
        <w:t>服务周期：详见供应商须知前附表。</w:t>
      </w:r>
    </w:p>
    <w:p w14:paraId="49DDD0F7">
      <w:pPr>
        <w:adjustRightInd w:val="0"/>
        <w:snapToGrid w:val="0"/>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w:t>
      </w:r>
      <w:bookmarkStart w:id="221" w:name="OLE_LINK1"/>
      <w:bookmarkStart w:id="222" w:name="OLE_LINK2"/>
      <w:r>
        <w:rPr>
          <w:rFonts w:hint="eastAsia" w:asciiTheme="minorEastAsia" w:hAnsiTheme="minorEastAsia" w:eastAsiaTheme="minorEastAsia"/>
          <w:color w:val="auto"/>
          <w:szCs w:val="21"/>
          <w:highlight w:val="none"/>
        </w:rPr>
        <w:t>3.</w:t>
      </w:r>
      <w:r>
        <w:rPr>
          <w:rFonts w:asciiTheme="minorEastAsia" w:hAnsiTheme="minorEastAsia" w:eastAsiaTheme="minorEastAsia"/>
          <w:color w:val="auto"/>
          <w:szCs w:val="21"/>
          <w:highlight w:val="none"/>
        </w:rPr>
        <w:t>3</w:t>
      </w:r>
      <w:r>
        <w:rPr>
          <w:rFonts w:hint="eastAsia" w:asciiTheme="minorEastAsia" w:hAnsiTheme="minorEastAsia" w:eastAsiaTheme="minorEastAsia"/>
          <w:color w:val="auto"/>
          <w:szCs w:val="21"/>
          <w:highlight w:val="none"/>
        </w:rPr>
        <w:t>质量要求：</w:t>
      </w:r>
      <w:bookmarkEnd w:id="221"/>
      <w:bookmarkEnd w:id="222"/>
      <w:r>
        <w:rPr>
          <w:rFonts w:hint="eastAsia" w:asciiTheme="minorEastAsia" w:hAnsiTheme="minorEastAsia" w:eastAsiaTheme="minorEastAsia"/>
          <w:color w:val="auto"/>
          <w:szCs w:val="21"/>
          <w:highlight w:val="none"/>
        </w:rPr>
        <w:t>详见供应商须知前附表。</w:t>
      </w:r>
    </w:p>
    <w:p w14:paraId="5DA6652D">
      <w:pPr>
        <w:adjustRightInd w:val="0"/>
        <w:snapToGrid w:val="0"/>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1.3.4包件划分：详见供应商须知前附表。</w:t>
      </w:r>
      <w:bookmarkStart w:id="223" w:name="_Toc98865001"/>
      <w:bookmarkStart w:id="224" w:name="_Toc53412206"/>
      <w:bookmarkStart w:id="225" w:name="_Toc110405124"/>
      <w:bookmarkStart w:id="226" w:name="_Toc84356242"/>
      <w:bookmarkStart w:id="227" w:name="_Toc87543808"/>
      <w:bookmarkStart w:id="228" w:name="_Toc69678419"/>
      <w:bookmarkStart w:id="229" w:name="_Toc75783521"/>
      <w:bookmarkStart w:id="230" w:name="_Toc116583990"/>
      <w:bookmarkStart w:id="231" w:name="_Toc98033924"/>
      <w:bookmarkStart w:id="232" w:name="_Toc83753882"/>
      <w:bookmarkStart w:id="233" w:name="_Toc45791344"/>
      <w:bookmarkStart w:id="234" w:name="_Toc109809302"/>
      <w:bookmarkStart w:id="235" w:name="_Toc81330929"/>
      <w:bookmarkStart w:id="236" w:name="_Toc87538359"/>
      <w:bookmarkStart w:id="237" w:name="_Toc42204983"/>
      <w:bookmarkStart w:id="238" w:name="_Toc45976890"/>
      <w:bookmarkStart w:id="239" w:name="_Toc42267622"/>
      <w:bookmarkStart w:id="240" w:name="_Toc2751"/>
    </w:p>
    <w:p w14:paraId="53845A32">
      <w:pPr>
        <w:spacing w:line="360" w:lineRule="auto"/>
        <w:outlineLvl w:val="3"/>
        <w:rPr>
          <w:rFonts w:hint="eastAsia" w:ascii="宋体" w:hAnsi="宋体"/>
          <w:b/>
          <w:bCs/>
          <w:color w:val="auto"/>
          <w:sz w:val="24"/>
          <w:szCs w:val="24"/>
          <w:highlight w:val="none"/>
        </w:rPr>
      </w:pPr>
      <w:r>
        <w:rPr>
          <w:rFonts w:hint="eastAsia" w:ascii="宋体" w:hAnsi="宋体"/>
          <w:b/>
          <w:bCs/>
          <w:color w:val="auto"/>
          <w:sz w:val="24"/>
          <w:szCs w:val="24"/>
          <w:highlight w:val="none"/>
        </w:rPr>
        <w:t>1.4 供应商资格要求</w:t>
      </w:r>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p>
    <w:p w14:paraId="17850AC1">
      <w:pPr>
        <w:autoSpaceDE w:val="0"/>
        <w:autoSpaceDN w:val="0"/>
        <w:adjustRightInd w:val="0"/>
        <w:snapToGrid w:val="0"/>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1.4.1 供应商资格要求：详见供应商须知前附表。</w:t>
      </w:r>
    </w:p>
    <w:p w14:paraId="65FA58BD">
      <w:pPr>
        <w:autoSpaceDE w:val="0"/>
        <w:autoSpaceDN w:val="0"/>
        <w:adjustRightInd w:val="0"/>
        <w:snapToGrid w:val="0"/>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1.4.2 其它内容：详见供应商须知前附表。</w:t>
      </w:r>
    </w:p>
    <w:p w14:paraId="502B4791">
      <w:pPr>
        <w:autoSpaceDE w:val="0"/>
        <w:autoSpaceDN w:val="0"/>
        <w:adjustRightInd w:val="0"/>
        <w:snapToGrid w:val="0"/>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1.4.3 是否接受联合体投标：详见供应商须知前附表。</w:t>
      </w:r>
    </w:p>
    <w:p w14:paraId="276557A6">
      <w:pPr>
        <w:tabs>
          <w:tab w:val="left" w:pos="900"/>
        </w:tabs>
        <w:autoSpaceDE w:val="0"/>
        <w:autoSpaceDN w:val="0"/>
        <w:adjustRightInd w:val="0"/>
        <w:snapToGrid w:val="0"/>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1.4.4 供应商不得存在下列情形之一：</w:t>
      </w:r>
    </w:p>
    <w:p w14:paraId="75E04A34">
      <w:pPr>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（1）被责令停业的；</w:t>
      </w:r>
    </w:p>
    <w:p w14:paraId="388B90FF">
      <w:pPr>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（2）被暂停或取消磋商资格的；</w:t>
      </w:r>
    </w:p>
    <w:p w14:paraId="5D4653E3">
      <w:pPr>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（3）财产被接管或冻结的；</w:t>
      </w:r>
    </w:p>
    <w:p w14:paraId="6E0D0FB7">
      <w:pPr>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（4）在最近三年内有骗取成交或严重违约或重大质量问题的；</w:t>
      </w:r>
    </w:p>
    <w:p w14:paraId="0620E109">
      <w:pPr>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（5）提供虚假材料谋取成交的；</w:t>
      </w:r>
    </w:p>
    <w:p w14:paraId="3665CBFE">
      <w:pPr>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（6）采取不正当手段诋毁、排挤其他供应商的；</w:t>
      </w:r>
    </w:p>
    <w:p w14:paraId="7A4FB22D">
      <w:pPr>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（7）与采购人、其他供应商或者采购代理机构恶意串通的；</w:t>
      </w:r>
    </w:p>
    <w:p w14:paraId="5E735F8F">
      <w:pPr>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（8）向采购人、采购代理机构行贿或者提供其他不正当利益的；</w:t>
      </w:r>
    </w:p>
    <w:p w14:paraId="0B25CA7E">
      <w:pPr>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（9）在招标采购过程中与采购人进行协商报价的；</w:t>
      </w:r>
    </w:p>
    <w:p w14:paraId="43D5F992">
      <w:pPr>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（10）拒绝有关部门监督检查或者提供虚假情况的。</w:t>
      </w:r>
    </w:p>
    <w:p w14:paraId="02D43FEB">
      <w:pPr>
        <w:tabs>
          <w:tab w:val="left" w:pos="900"/>
        </w:tabs>
        <w:autoSpaceDE w:val="0"/>
        <w:autoSpaceDN w:val="0"/>
        <w:adjustRightInd w:val="0"/>
        <w:snapToGrid w:val="0"/>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供应商有第（5）至（9）项情形之一的，成交无效。 </w:t>
      </w:r>
    </w:p>
    <w:p w14:paraId="23A4C0BD">
      <w:pPr>
        <w:spacing w:line="360" w:lineRule="auto"/>
        <w:outlineLvl w:val="3"/>
        <w:rPr>
          <w:rFonts w:hint="eastAsia" w:ascii="宋体" w:hAnsi="宋体"/>
          <w:b/>
          <w:bCs/>
          <w:color w:val="auto"/>
          <w:sz w:val="24"/>
          <w:szCs w:val="24"/>
          <w:highlight w:val="none"/>
        </w:rPr>
      </w:pPr>
      <w:bookmarkStart w:id="241" w:name="_Toc116583991"/>
      <w:bookmarkStart w:id="242" w:name="_Toc87543809"/>
      <w:bookmarkStart w:id="243" w:name="_Toc11916"/>
      <w:bookmarkStart w:id="244" w:name="_Toc45791345"/>
      <w:bookmarkStart w:id="245" w:name="_Toc98033925"/>
      <w:bookmarkStart w:id="246" w:name="_Toc42204984"/>
      <w:bookmarkStart w:id="247" w:name="_Toc75783522"/>
      <w:bookmarkStart w:id="248" w:name="_Toc53412207"/>
      <w:bookmarkStart w:id="249" w:name="_Toc110405125"/>
      <w:bookmarkStart w:id="250" w:name="_Toc42267623"/>
      <w:bookmarkStart w:id="251" w:name="_Toc45976891"/>
      <w:bookmarkStart w:id="252" w:name="_Toc69678420"/>
      <w:bookmarkStart w:id="253" w:name="_Toc81330930"/>
      <w:bookmarkStart w:id="254" w:name="_Toc84356243"/>
      <w:bookmarkStart w:id="255" w:name="_Toc83753883"/>
      <w:bookmarkStart w:id="256" w:name="_Toc109809303"/>
      <w:bookmarkStart w:id="257" w:name="_Toc98865002"/>
      <w:bookmarkStart w:id="258" w:name="_Toc87538360"/>
      <w:r>
        <w:rPr>
          <w:rFonts w:hint="eastAsia" w:ascii="宋体" w:hAnsi="宋体"/>
          <w:b/>
          <w:bCs/>
          <w:color w:val="auto"/>
          <w:sz w:val="24"/>
          <w:szCs w:val="24"/>
          <w:highlight w:val="none"/>
        </w:rPr>
        <w:t>1.5 费用承担</w:t>
      </w:r>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p>
    <w:p w14:paraId="0282C624">
      <w:pPr>
        <w:adjustRightInd w:val="0"/>
        <w:snapToGrid w:val="0"/>
        <w:spacing w:line="360" w:lineRule="auto"/>
        <w:ind w:firstLine="420" w:firstLineChars="200"/>
        <w:rPr>
          <w:rFonts w:hint="eastAsia" w:asciiTheme="minorEastAsia" w:hAnsiTheme="minorEastAsia" w:eastAsiaTheme="minorEastAsia"/>
          <w:color w:val="auto"/>
          <w:szCs w:val="21"/>
          <w:highlight w:val="none"/>
        </w:rPr>
      </w:pPr>
      <w:bookmarkStart w:id="259" w:name="_Toc53412208"/>
      <w:bookmarkStart w:id="260" w:name="_Toc42204985"/>
      <w:bookmarkStart w:id="261" w:name="_Toc45976892"/>
      <w:bookmarkStart w:id="262" w:name="_Toc42267624"/>
      <w:bookmarkStart w:id="263" w:name="_Toc45791346"/>
      <w:r>
        <w:rPr>
          <w:rFonts w:hint="eastAsia" w:asciiTheme="minorEastAsia" w:hAnsiTheme="minorEastAsia" w:eastAsiaTheme="minorEastAsia"/>
          <w:color w:val="auto"/>
          <w:szCs w:val="21"/>
          <w:highlight w:val="none"/>
        </w:rPr>
        <w:t>详见供应商须知前附表。</w:t>
      </w:r>
    </w:p>
    <w:p w14:paraId="6DF81563">
      <w:pPr>
        <w:spacing w:line="360" w:lineRule="auto"/>
        <w:outlineLvl w:val="3"/>
        <w:rPr>
          <w:rFonts w:hint="eastAsia" w:ascii="宋体" w:hAnsi="宋体"/>
          <w:b/>
          <w:bCs/>
          <w:color w:val="auto"/>
          <w:sz w:val="24"/>
          <w:szCs w:val="24"/>
          <w:highlight w:val="none"/>
        </w:rPr>
      </w:pPr>
      <w:bookmarkStart w:id="264" w:name="_Toc83753884"/>
      <w:bookmarkStart w:id="265" w:name="_Toc116583992"/>
      <w:bookmarkStart w:id="266" w:name="_Toc98033926"/>
      <w:bookmarkStart w:id="267" w:name="_Toc109809304"/>
      <w:bookmarkStart w:id="268" w:name="_Toc29495"/>
      <w:bookmarkStart w:id="269" w:name="_Toc87543810"/>
      <w:bookmarkStart w:id="270" w:name="_Toc69678421"/>
      <w:bookmarkStart w:id="271" w:name="_Toc81330931"/>
      <w:bookmarkStart w:id="272" w:name="_Toc98865003"/>
      <w:bookmarkStart w:id="273" w:name="_Toc87538361"/>
      <w:bookmarkStart w:id="274" w:name="_Toc75783523"/>
      <w:bookmarkStart w:id="275" w:name="_Toc110405126"/>
      <w:bookmarkStart w:id="276" w:name="_Toc84356244"/>
      <w:r>
        <w:rPr>
          <w:rFonts w:hint="eastAsia" w:ascii="宋体" w:hAnsi="宋体"/>
          <w:b/>
          <w:bCs/>
          <w:color w:val="auto"/>
          <w:sz w:val="24"/>
          <w:szCs w:val="24"/>
          <w:highlight w:val="none"/>
        </w:rPr>
        <w:t>1.6 保密</w:t>
      </w:r>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p w14:paraId="61596DA7">
      <w:pPr>
        <w:adjustRightInd w:val="0"/>
        <w:snapToGrid w:val="0"/>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参与竞争性磋商的各方应对</w:t>
      </w:r>
      <w:r>
        <w:rPr>
          <w:rFonts w:hint="eastAsia" w:asciiTheme="minorEastAsia" w:hAnsiTheme="minorEastAsia" w:eastAsiaTheme="minorEastAsia"/>
          <w:snapToGrid w:val="0"/>
          <w:color w:val="auto"/>
          <w:kern w:val="0"/>
          <w:szCs w:val="21"/>
          <w:highlight w:val="none"/>
        </w:rPr>
        <w:t>采购文件</w:t>
      </w:r>
      <w:r>
        <w:rPr>
          <w:rFonts w:hint="eastAsia" w:asciiTheme="minorEastAsia" w:hAnsiTheme="minorEastAsia" w:eastAsiaTheme="minorEastAsia"/>
          <w:color w:val="auto"/>
          <w:szCs w:val="21"/>
          <w:highlight w:val="none"/>
        </w:rPr>
        <w:t>和响应文件中的商业、技术等秘密保密，违者应对由此造成的后果承担法律责任。</w:t>
      </w:r>
    </w:p>
    <w:p w14:paraId="3ED085CC">
      <w:pPr>
        <w:spacing w:line="360" w:lineRule="auto"/>
        <w:outlineLvl w:val="3"/>
        <w:rPr>
          <w:rFonts w:hint="eastAsia" w:ascii="宋体" w:hAnsi="宋体"/>
          <w:b/>
          <w:bCs/>
          <w:color w:val="auto"/>
          <w:sz w:val="24"/>
          <w:szCs w:val="24"/>
          <w:highlight w:val="none"/>
        </w:rPr>
      </w:pPr>
      <w:bookmarkStart w:id="277" w:name="_Toc75783524"/>
      <w:bookmarkStart w:id="278" w:name="_Toc81330932"/>
      <w:bookmarkStart w:id="279" w:name="_Toc45976893"/>
      <w:bookmarkStart w:id="280" w:name="_Toc109809305"/>
      <w:bookmarkStart w:id="281" w:name="_Toc69678422"/>
      <w:bookmarkStart w:id="282" w:name="_Toc87543811"/>
      <w:bookmarkStart w:id="283" w:name="_Toc53412209"/>
      <w:bookmarkStart w:id="284" w:name="_Toc98033927"/>
      <w:bookmarkStart w:id="285" w:name="_Toc116583993"/>
      <w:bookmarkStart w:id="286" w:name="_Toc83753885"/>
      <w:bookmarkStart w:id="287" w:name="_Toc98865004"/>
      <w:bookmarkStart w:id="288" w:name="_Toc42267625"/>
      <w:bookmarkStart w:id="289" w:name="_Toc42204986"/>
      <w:bookmarkStart w:id="290" w:name="_Toc45791347"/>
      <w:bookmarkStart w:id="291" w:name="_Toc110405127"/>
      <w:bookmarkStart w:id="292" w:name="_Toc3702"/>
      <w:bookmarkStart w:id="293" w:name="_Toc87538362"/>
      <w:bookmarkStart w:id="294" w:name="_Toc84356245"/>
      <w:r>
        <w:rPr>
          <w:rFonts w:hint="eastAsia" w:ascii="宋体" w:hAnsi="宋体"/>
          <w:b/>
          <w:bCs/>
          <w:color w:val="auto"/>
          <w:sz w:val="24"/>
          <w:szCs w:val="24"/>
          <w:highlight w:val="none"/>
        </w:rPr>
        <w:t>1.7 语言文字</w:t>
      </w:r>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p>
    <w:p w14:paraId="60A9ACB0">
      <w:pPr>
        <w:adjustRightInd w:val="0"/>
        <w:snapToGrid w:val="0"/>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除专用术语外，与竞争性磋商有关的语言均使用中文。必要时专用术语应附有中文注释。</w:t>
      </w:r>
    </w:p>
    <w:p w14:paraId="6852C403">
      <w:pPr>
        <w:spacing w:line="360" w:lineRule="auto"/>
        <w:outlineLvl w:val="3"/>
        <w:rPr>
          <w:rFonts w:hint="eastAsia" w:ascii="宋体" w:hAnsi="宋体"/>
          <w:b/>
          <w:bCs/>
          <w:color w:val="auto"/>
          <w:sz w:val="24"/>
          <w:szCs w:val="24"/>
          <w:highlight w:val="none"/>
        </w:rPr>
      </w:pPr>
      <w:bookmarkStart w:id="295" w:name="_Toc75783525"/>
      <w:bookmarkStart w:id="296" w:name="_Toc69678423"/>
      <w:bookmarkStart w:id="297" w:name="_Toc109809306"/>
      <w:bookmarkStart w:id="298" w:name="_Toc110405128"/>
      <w:bookmarkStart w:id="299" w:name="_Toc87543812"/>
      <w:bookmarkStart w:id="300" w:name="_Toc81330933"/>
      <w:bookmarkStart w:id="301" w:name="_Toc116583994"/>
      <w:bookmarkStart w:id="302" w:name="_Toc42204987"/>
      <w:bookmarkStart w:id="303" w:name="_Toc42267626"/>
      <w:bookmarkStart w:id="304" w:name="_Toc45976894"/>
      <w:bookmarkStart w:id="305" w:name="_Toc45791348"/>
      <w:bookmarkStart w:id="306" w:name="_Toc98865005"/>
      <w:bookmarkStart w:id="307" w:name="_Toc21668"/>
      <w:bookmarkStart w:id="308" w:name="_Toc98033928"/>
      <w:bookmarkStart w:id="309" w:name="_Toc53412210"/>
      <w:bookmarkStart w:id="310" w:name="_Toc84356246"/>
      <w:bookmarkStart w:id="311" w:name="_Toc87538363"/>
      <w:bookmarkStart w:id="312" w:name="_Toc83753886"/>
      <w:r>
        <w:rPr>
          <w:rFonts w:hint="eastAsia" w:ascii="宋体" w:hAnsi="宋体"/>
          <w:b/>
          <w:bCs/>
          <w:color w:val="auto"/>
          <w:sz w:val="24"/>
          <w:szCs w:val="24"/>
          <w:highlight w:val="none"/>
        </w:rPr>
        <w:t>1.8 计量单位</w:t>
      </w:r>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p>
    <w:p w14:paraId="4A368C65">
      <w:pPr>
        <w:adjustRightInd w:val="0"/>
        <w:snapToGrid w:val="0"/>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所有计量均采用中华人民共和国法定计量单位。</w:t>
      </w:r>
    </w:p>
    <w:p w14:paraId="29B4C859">
      <w:pPr>
        <w:spacing w:line="360" w:lineRule="auto"/>
        <w:outlineLvl w:val="3"/>
        <w:rPr>
          <w:rFonts w:hint="eastAsia" w:ascii="宋体" w:hAnsi="宋体"/>
          <w:b/>
          <w:bCs/>
          <w:color w:val="auto"/>
          <w:sz w:val="24"/>
          <w:szCs w:val="24"/>
          <w:highlight w:val="none"/>
        </w:rPr>
      </w:pPr>
      <w:bookmarkStart w:id="313" w:name="_Toc75783526"/>
      <w:bookmarkStart w:id="314" w:name="_Toc69678424"/>
      <w:bookmarkStart w:id="315" w:name="_Toc53412211"/>
      <w:bookmarkStart w:id="316" w:name="_Toc83753887"/>
      <w:bookmarkStart w:id="317" w:name="_Toc42267627"/>
      <w:bookmarkStart w:id="318" w:name="_Toc98033929"/>
      <w:bookmarkStart w:id="319" w:name="_Toc42204988"/>
      <w:bookmarkStart w:id="320" w:name="_Toc45976895"/>
      <w:bookmarkStart w:id="321" w:name="_Toc32582"/>
      <w:bookmarkStart w:id="322" w:name="_Toc84356247"/>
      <w:bookmarkStart w:id="323" w:name="_Toc98865006"/>
      <w:bookmarkStart w:id="324" w:name="_Toc87543813"/>
      <w:bookmarkStart w:id="325" w:name="_Toc109809307"/>
      <w:bookmarkStart w:id="326" w:name="_Toc110405129"/>
      <w:bookmarkStart w:id="327" w:name="_Toc45791349"/>
      <w:bookmarkStart w:id="328" w:name="_Toc116583995"/>
      <w:bookmarkStart w:id="329" w:name="_Toc87538364"/>
      <w:bookmarkStart w:id="330" w:name="_Toc81330934"/>
      <w:r>
        <w:rPr>
          <w:rFonts w:hint="eastAsia" w:ascii="宋体" w:hAnsi="宋体"/>
          <w:b/>
          <w:bCs/>
          <w:color w:val="auto"/>
          <w:sz w:val="24"/>
          <w:szCs w:val="24"/>
          <w:highlight w:val="none"/>
        </w:rPr>
        <w:t>1.9 踏勘现场</w:t>
      </w:r>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p>
    <w:p w14:paraId="1776C704">
      <w:pPr>
        <w:spacing w:line="360" w:lineRule="auto"/>
        <w:ind w:firstLine="420" w:firstLineChars="200"/>
        <w:rPr>
          <w:rFonts w:hint="eastAsia" w:cs="宋体"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详见供应商须知前附表</w:t>
      </w:r>
      <w:r>
        <w:rPr>
          <w:rFonts w:hint="eastAsia" w:cs="宋体" w:asciiTheme="minorEastAsia" w:hAnsiTheme="minorEastAsia" w:eastAsiaTheme="minorEastAsia"/>
          <w:color w:val="auto"/>
          <w:szCs w:val="21"/>
          <w:highlight w:val="none"/>
        </w:rPr>
        <w:t>。</w:t>
      </w:r>
    </w:p>
    <w:p w14:paraId="42BD9F46">
      <w:pPr>
        <w:spacing w:line="360" w:lineRule="auto"/>
        <w:outlineLvl w:val="3"/>
        <w:rPr>
          <w:rFonts w:hint="eastAsia" w:ascii="宋体" w:hAnsi="宋体"/>
          <w:b/>
          <w:bCs/>
          <w:color w:val="auto"/>
          <w:sz w:val="24"/>
          <w:szCs w:val="24"/>
          <w:highlight w:val="none"/>
        </w:rPr>
      </w:pPr>
      <w:bookmarkStart w:id="331" w:name="_Toc83753888"/>
      <w:bookmarkStart w:id="332" w:name="_Toc110405130"/>
      <w:bookmarkStart w:id="333" w:name="_Toc75783527"/>
      <w:bookmarkStart w:id="334" w:name="_Toc42267628"/>
      <w:bookmarkStart w:id="335" w:name="_Toc116583996"/>
      <w:bookmarkStart w:id="336" w:name="_Toc98033930"/>
      <w:bookmarkStart w:id="337" w:name="_Toc81330935"/>
      <w:bookmarkStart w:id="338" w:name="_Toc45976896"/>
      <w:bookmarkStart w:id="339" w:name="_Toc30991"/>
      <w:bookmarkStart w:id="340" w:name="_Toc84356248"/>
      <w:bookmarkStart w:id="341" w:name="_Toc45791350"/>
      <w:bookmarkStart w:id="342" w:name="_Toc109809308"/>
      <w:bookmarkStart w:id="343" w:name="_Toc42204989"/>
      <w:bookmarkStart w:id="344" w:name="_Toc69678425"/>
      <w:bookmarkStart w:id="345" w:name="_Toc53412212"/>
      <w:bookmarkStart w:id="346" w:name="_Toc87538365"/>
      <w:bookmarkStart w:id="347" w:name="_Toc98865007"/>
      <w:bookmarkStart w:id="348" w:name="_Toc87543814"/>
      <w:r>
        <w:rPr>
          <w:rFonts w:hint="eastAsia" w:ascii="宋体" w:hAnsi="宋体"/>
          <w:b/>
          <w:bCs/>
          <w:color w:val="auto"/>
          <w:sz w:val="24"/>
          <w:szCs w:val="24"/>
          <w:highlight w:val="none"/>
        </w:rPr>
        <w:t>1.10 磋商预备会</w:t>
      </w:r>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p>
    <w:p w14:paraId="7F940A75">
      <w:pPr>
        <w:adjustRightInd w:val="0"/>
        <w:snapToGrid w:val="0"/>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1.10.1本次磋商不组织磋商预备会。</w:t>
      </w:r>
    </w:p>
    <w:p w14:paraId="6D621606">
      <w:pPr>
        <w:adjustRightInd w:val="0"/>
        <w:snapToGrid w:val="0"/>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1.10.2供应商的询问及答复的规定：详见供应商须知前附表。</w:t>
      </w:r>
    </w:p>
    <w:p w14:paraId="66F3D731">
      <w:pPr>
        <w:adjustRightInd w:val="0"/>
        <w:snapToGrid w:val="0"/>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1.10.3采购人澄清的时间和方法：详见供应商须知前附表。</w:t>
      </w:r>
    </w:p>
    <w:p w14:paraId="33936C1C">
      <w:pPr>
        <w:spacing w:line="360" w:lineRule="auto"/>
        <w:outlineLvl w:val="3"/>
        <w:rPr>
          <w:rFonts w:hint="eastAsia" w:ascii="宋体" w:hAnsi="宋体"/>
          <w:b/>
          <w:bCs/>
          <w:color w:val="auto"/>
          <w:sz w:val="24"/>
          <w:szCs w:val="24"/>
          <w:highlight w:val="none"/>
        </w:rPr>
      </w:pPr>
      <w:bookmarkStart w:id="349" w:name="_Toc45976897"/>
      <w:bookmarkStart w:id="350" w:name="_Toc87543815"/>
      <w:bookmarkStart w:id="351" w:name="_Toc87538366"/>
      <w:bookmarkStart w:id="352" w:name="_Toc45791351"/>
      <w:bookmarkStart w:id="353" w:name="_Toc116583997"/>
      <w:bookmarkStart w:id="354" w:name="_Toc110405131"/>
      <w:bookmarkStart w:id="355" w:name="_Toc42267629"/>
      <w:bookmarkStart w:id="356" w:name="_Toc83753889"/>
      <w:bookmarkStart w:id="357" w:name="_Toc84356249"/>
      <w:bookmarkStart w:id="358" w:name="_Toc98033931"/>
      <w:bookmarkStart w:id="359" w:name="_Toc98865008"/>
      <w:bookmarkStart w:id="360" w:name="_Toc53412213"/>
      <w:bookmarkStart w:id="361" w:name="_Toc75783528"/>
      <w:bookmarkStart w:id="362" w:name="_Toc109809309"/>
      <w:bookmarkStart w:id="363" w:name="_Toc81330936"/>
      <w:bookmarkStart w:id="364" w:name="_Toc2836"/>
      <w:bookmarkStart w:id="365" w:name="_Toc69678426"/>
      <w:bookmarkStart w:id="366" w:name="_Toc42204990"/>
      <w:r>
        <w:rPr>
          <w:rFonts w:hint="eastAsia" w:ascii="宋体" w:hAnsi="宋体"/>
          <w:b/>
          <w:bCs/>
          <w:color w:val="auto"/>
          <w:sz w:val="24"/>
          <w:szCs w:val="24"/>
          <w:highlight w:val="none"/>
        </w:rPr>
        <w:t>1.11 分包</w:t>
      </w:r>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p>
    <w:p w14:paraId="39A74AEF">
      <w:pPr>
        <w:adjustRightInd w:val="0"/>
        <w:snapToGrid w:val="0"/>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详见供应商须知前附表。</w:t>
      </w:r>
    </w:p>
    <w:p w14:paraId="61F287B7">
      <w:pPr>
        <w:spacing w:line="360" w:lineRule="auto"/>
        <w:outlineLvl w:val="3"/>
        <w:rPr>
          <w:rFonts w:hint="eastAsia" w:ascii="宋体" w:hAnsi="宋体"/>
          <w:b/>
          <w:bCs/>
          <w:color w:val="auto"/>
          <w:sz w:val="24"/>
          <w:szCs w:val="24"/>
          <w:highlight w:val="none"/>
        </w:rPr>
      </w:pPr>
      <w:bookmarkStart w:id="367" w:name="_Toc69678427"/>
      <w:bookmarkStart w:id="368" w:name="_Toc98033932"/>
      <w:bookmarkStart w:id="369" w:name="_Toc83753890"/>
      <w:bookmarkStart w:id="370" w:name="_Toc109809310"/>
      <w:bookmarkStart w:id="371" w:name="_Toc87538367"/>
      <w:bookmarkStart w:id="372" w:name="_Toc116583998"/>
      <w:bookmarkStart w:id="373" w:name="_Toc42204991"/>
      <w:bookmarkStart w:id="374" w:name="_Toc45976898"/>
      <w:bookmarkStart w:id="375" w:name="_Toc110405132"/>
      <w:bookmarkStart w:id="376" w:name="_Toc98865009"/>
      <w:bookmarkStart w:id="377" w:name="_Toc45791352"/>
      <w:bookmarkStart w:id="378" w:name="_Toc84356250"/>
      <w:bookmarkStart w:id="379" w:name="_Toc81330937"/>
      <w:bookmarkStart w:id="380" w:name="_Toc42267630"/>
      <w:bookmarkStart w:id="381" w:name="_Toc75783529"/>
      <w:bookmarkStart w:id="382" w:name="_Toc20888"/>
      <w:bookmarkStart w:id="383" w:name="_Toc53412214"/>
      <w:bookmarkStart w:id="384" w:name="_Toc87543816"/>
      <w:r>
        <w:rPr>
          <w:rFonts w:hint="eastAsia" w:ascii="宋体" w:hAnsi="宋体"/>
          <w:b/>
          <w:bCs/>
          <w:color w:val="auto"/>
          <w:sz w:val="24"/>
          <w:szCs w:val="24"/>
          <w:highlight w:val="none"/>
        </w:rPr>
        <w:t>1.12 偏离</w:t>
      </w:r>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p>
    <w:p w14:paraId="304D6FF7">
      <w:pPr>
        <w:adjustRightInd w:val="0"/>
        <w:snapToGrid w:val="0"/>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详见供应商须知前附表。</w:t>
      </w:r>
    </w:p>
    <w:p w14:paraId="25CD3392">
      <w:pPr>
        <w:spacing w:line="360" w:lineRule="auto"/>
        <w:jc w:val="center"/>
        <w:outlineLvl w:val="2"/>
        <w:rPr>
          <w:rFonts w:hint="eastAsia" w:asciiTheme="minorEastAsia" w:hAnsiTheme="minorEastAsia" w:eastAsiaTheme="minorEastAsia"/>
          <w:b/>
          <w:bCs/>
          <w:color w:val="auto"/>
          <w:sz w:val="28"/>
          <w:szCs w:val="28"/>
          <w:highlight w:val="none"/>
        </w:rPr>
      </w:pPr>
      <w:bookmarkStart w:id="385" w:name="_Toc87538368"/>
      <w:bookmarkStart w:id="386" w:name="_Toc98033933"/>
      <w:bookmarkStart w:id="387" w:name="_Toc45976899"/>
      <w:bookmarkStart w:id="388" w:name="_Toc45791353"/>
      <w:bookmarkStart w:id="389" w:name="_Toc83753891"/>
      <w:bookmarkStart w:id="390" w:name="_Toc87543817"/>
      <w:bookmarkStart w:id="391" w:name="_Toc42267631"/>
      <w:bookmarkStart w:id="392" w:name="_Toc42204992"/>
      <w:bookmarkStart w:id="393" w:name="_Toc84356251"/>
      <w:bookmarkStart w:id="394" w:name="_Toc116583999"/>
      <w:bookmarkStart w:id="395" w:name="_Toc110405133"/>
      <w:bookmarkStart w:id="396" w:name="_Toc22595"/>
      <w:bookmarkStart w:id="397" w:name="_Toc98865010"/>
      <w:bookmarkStart w:id="398" w:name="_Toc109809311"/>
      <w:r>
        <w:rPr>
          <w:rFonts w:hint="eastAsia" w:asciiTheme="minorEastAsia" w:hAnsiTheme="minorEastAsia" w:eastAsiaTheme="minorEastAsia"/>
          <w:b/>
          <w:bCs/>
          <w:color w:val="auto"/>
          <w:sz w:val="28"/>
          <w:szCs w:val="28"/>
          <w:highlight w:val="none"/>
        </w:rPr>
        <w:t>2.</w:t>
      </w:r>
      <w:bookmarkEnd w:id="385"/>
      <w:bookmarkEnd w:id="386"/>
      <w:bookmarkEnd w:id="387"/>
      <w:bookmarkEnd w:id="388"/>
      <w:bookmarkEnd w:id="389"/>
      <w:bookmarkEnd w:id="390"/>
      <w:bookmarkEnd w:id="391"/>
      <w:bookmarkEnd w:id="392"/>
      <w:bookmarkEnd w:id="393"/>
      <w:r>
        <w:rPr>
          <w:rFonts w:hint="eastAsia" w:asciiTheme="minorEastAsia" w:hAnsiTheme="minorEastAsia" w:eastAsiaTheme="minorEastAsia"/>
          <w:b/>
          <w:bCs/>
          <w:color w:val="auto"/>
          <w:sz w:val="28"/>
          <w:szCs w:val="28"/>
          <w:highlight w:val="none"/>
        </w:rPr>
        <w:t>采购文件</w:t>
      </w:r>
      <w:bookmarkEnd w:id="394"/>
      <w:bookmarkEnd w:id="395"/>
      <w:bookmarkEnd w:id="396"/>
      <w:bookmarkEnd w:id="397"/>
      <w:bookmarkEnd w:id="398"/>
    </w:p>
    <w:p w14:paraId="4C401D8A">
      <w:pPr>
        <w:spacing w:line="360" w:lineRule="auto"/>
        <w:outlineLvl w:val="3"/>
        <w:rPr>
          <w:rFonts w:hint="eastAsia" w:ascii="宋体" w:hAnsi="宋体"/>
          <w:b/>
          <w:bCs/>
          <w:color w:val="auto"/>
          <w:sz w:val="24"/>
          <w:szCs w:val="24"/>
          <w:highlight w:val="none"/>
        </w:rPr>
      </w:pPr>
      <w:bookmarkStart w:id="399" w:name="_Toc87543818"/>
      <w:bookmarkStart w:id="400" w:name="_Toc81330939"/>
      <w:bookmarkStart w:id="401" w:name="_Toc98033934"/>
      <w:bookmarkStart w:id="402" w:name="_Toc98865011"/>
      <w:bookmarkStart w:id="403" w:name="_Toc45976900"/>
      <w:bookmarkStart w:id="404" w:name="_Toc1486"/>
      <w:bookmarkStart w:id="405" w:name="_Toc42204993"/>
      <w:bookmarkStart w:id="406" w:name="_Toc42267632"/>
      <w:bookmarkStart w:id="407" w:name="_Toc110405134"/>
      <w:bookmarkStart w:id="408" w:name="_Toc109809312"/>
      <w:bookmarkStart w:id="409" w:name="_Toc84356252"/>
      <w:bookmarkStart w:id="410" w:name="_Toc69678429"/>
      <w:bookmarkStart w:id="411" w:name="_Toc75783531"/>
      <w:bookmarkStart w:id="412" w:name="_Toc87538369"/>
      <w:bookmarkStart w:id="413" w:name="_Toc45791354"/>
      <w:bookmarkStart w:id="414" w:name="_Toc53412216"/>
      <w:bookmarkStart w:id="415" w:name="_Toc83753892"/>
      <w:bookmarkStart w:id="416" w:name="_Toc116584000"/>
      <w:r>
        <w:rPr>
          <w:rFonts w:hint="eastAsia" w:ascii="宋体" w:hAnsi="宋体"/>
          <w:b/>
          <w:bCs/>
          <w:color w:val="auto"/>
          <w:sz w:val="24"/>
          <w:szCs w:val="24"/>
          <w:highlight w:val="none"/>
        </w:rPr>
        <w:t>2.1采购文件的构成</w:t>
      </w:r>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p>
    <w:p w14:paraId="52BA0522">
      <w:pPr>
        <w:adjustRightInd w:val="0"/>
        <w:snapToGrid w:val="0"/>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采购文件包括以下内容：</w:t>
      </w:r>
    </w:p>
    <w:p w14:paraId="4563C690">
      <w:pPr>
        <w:adjustRightInd w:val="0"/>
        <w:snapToGrid w:val="0"/>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第一章 竞争性磋商公告</w:t>
      </w:r>
    </w:p>
    <w:p w14:paraId="1FC55AA8">
      <w:pPr>
        <w:adjustRightInd w:val="0"/>
        <w:snapToGrid w:val="0"/>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第二章 供应商须知</w:t>
      </w:r>
    </w:p>
    <w:p w14:paraId="7133986C">
      <w:pPr>
        <w:adjustRightInd w:val="0"/>
        <w:snapToGrid w:val="0"/>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第三章 合同条款及格式</w:t>
      </w:r>
    </w:p>
    <w:p w14:paraId="636B6CAE">
      <w:pPr>
        <w:adjustRightInd w:val="0"/>
        <w:snapToGrid w:val="0"/>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第四章 响应文件格式</w:t>
      </w:r>
    </w:p>
    <w:p w14:paraId="2B353C62">
      <w:pPr>
        <w:adjustRightInd w:val="0"/>
        <w:snapToGrid w:val="0"/>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第五章 采购需求</w:t>
      </w:r>
    </w:p>
    <w:p w14:paraId="345A4808">
      <w:pPr>
        <w:adjustRightInd w:val="0"/>
        <w:snapToGrid w:val="0"/>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第六章 评审办法（综合评分法）</w:t>
      </w:r>
    </w:p>
    <w:p w14:paraId="068A18E0">
      <w:pPr>
        <w:spacing w:line="360" w:lineRule="auto"/>
        <w:ind w:firstLine="420" w:firstLineChars="200"/>
        <w:jc w:val="left"/>
        <w:rPr>
          <w:rFonts w:hint="eastAsia" w:asciiTheme="minorEastAsia" w:hAnsiTheme="minorEastAsia" w:eastAsiaTheme="minorEastAsia"/>
          <w:color w:val="auto"/>
          <w:szCs w:val="28"/>
          <w:highlight w:val="none"/>
        </w:rPr>
      </w:pPr>
      <w:r>
        <w:rPr>
          <w:rFonts w:hint="eastAsia" w:asciiTheme="minorEastAsia" w:hAnsiTheme="minorEastAsia" w:eastAsiaTheme="minorEastAsia"/>
          <w:color w:val="auto"/>
          <w:szCs w:val="28"/>
          <w:highlight w:val="none"/>
        </w:rPr>
        <w:t>2.1.1构成采购文件的其他文件：根据本章第1.10款、第2.2 款和第2.3 款采购人对</w:t>
      </w:r>
      <w:r>
        <w:rPr>
          <w:rFonts w:hint="eastAsia" w:asciiTheme="minorEastAsia" w:hAnsiTheme="minorEastAsia" w:eastAsiaTheme="minorEastAsia"/>
          <w:snapToGrid w:val="0"/>
          <w:color w:val="auto"/>
          <w:kern w:val="0"/>
          <w:szCs w:val="21"/>
          <w:highlight w:val="none"/>
        </w:rPr>
        <w:t>采购文件</w:t>
      </w:r>
      <w:r>
        <w:rPr>
          <w:rFonts w:hint="eastAsia" w:asciiTheme="minorEastAsia" w:hAnsiTheme="minorEastAsia" w:eastAsiaTheme="minorEastAsia"/>
          <w:color w:val="auto"/>
          <w:szCs w:val="28"/>
          <w:highlight w:val="none"/>
        </w:rPr>
        <w:t>所作的澄清、修改，构成采购文件的组成部分。</w:t>
      </w:r>
    </w:p>
    <w:p w14:paraId="7AE9052A">
      <w:pPr>
        <w:adjustRightInd w:val="0"/>
        <w:snapToGrid w:val="0"/>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2.1.2磋商过程中可能实质性变动的内容：在磋商过程中，磋商小组可以根据</w:t>
      </w:r>
      <w:r>
        <w:rPr>
          <w:rFonts w:hint="eastAsia" w:asciiTheme="minorEastAsia" w:hAnsiTheme="minorEastAsia" w:eastAsiaTheme="minorEastAsia"/>
          <w:snapToGrid w:val="0"/>
          <w:color w:val="auto"/>
          <w:kern w:val="0"/>
          <w:szCs w:val="21"/>
          <w:highlight w:val="none"/>
        </w:rPr>
        <w:t>采购文件</w:t>
      </w:r>
      <w:r>
        <w:rPr>
          <w:rFonts w:hint="eastAsia" w:asciiTheme="minorEastAsia" w:hAnsiTheme="minorEastAsia" w:eastAsiaTheme="minorEastAsia"/>
          <w:color w:val="auto"/>
          <w:szCs w:val="21"/>
          <w:highlight w:val="none"/>
        </w:rPr>
        <w:t>和磋商情况实质性变动采购需求中的技术要求、质量标准以及合同条款，但不得变动</w:t>
      </w:r>
      <w:r>
        <w:rPr>
          <w:rFonts w:hint="eastAsia" w:asciiTheme="minorEastAsia" w:hAnsiTheme="minorEastAsia" w:eastAsiaTheme="minorEastAsia"/>
          <w:snapToGrid w:val="0"/>
          <w:color w:val="auto"/>
          <w:kern w:val="0"/>
          <w:szCs w:val="21"/>
          <w:highlight w:val="none"/>
        </w:rPr>
        <w:t>采购文件</w:t>
      </w:r>
      <w:r>
        <w:rPr>
          <w:rFonts w:hint="eastAsia" w:asciiTheme="minorEastAsia" w:hAnsiTheme="minorEastAsia" w:eastAsiaTheme="minorEastAsia"/>
          <w:color w:val="auto"/>
          <w:szCs w:val="21"/>
          <w:highlight w:val="none"/>
        </w:rPr>
        <w:t>中的其他内容。实质性变动的内容，须经采购人代表确认。</w:t>
      </w:r>
    </w:p>
    <w:p w14:paraId="58781A83">
      <w:pPr>
        <w:spacing w:line="360" w:lineRule="auto"/>
        <w:outlineLvl w:val="3"/>
        <w:rPr>
          <w:rFonts w:hint="eastAsia" w:ascii="宋体" w:hAnsi="宋体"/>
          <w:b/>
          <w:bCs/>
          <w:color w:val="auto"/>
          <w:sz w:val="24"/>
          <w:szCs w:val="24"/>
          <w:highlight w:val="none"/>
        </w:rPr>
      </w:pPr>
      <w:bookmarkStart w:id="417" w:name="_Toc53412217"/>
      <w:bookmarkStart w:id="418" w:name="_Toc98033935"/>
      <w:bookmarkStart w:id="419" w:name="_Toc109809313"/>
      <w:bookmarkStart w:id="420" w:name="_Toc87543819"/>
      <w:bookmarkStart w:id="421" w:name="_Toc2038"/>
      <w:bookmarkStart w:id="422" w:name="_Toc75783532"/>
      <w:bookmarkStart w:id="423" w:name="_Toc42204994"/>
      <w:bookmarkStart w:id="424" w:name="_Toc87538370"/>
      <w:bookmarkStart w:id="425" w:name="_Toc42267633"/>
      <w:bookmarkStart w:id="426" w:name="_Toc81330940"/>
      <w:bookmarkStart w:id="427" w:name="_Toc45791355"/>
      <w:bookmarkStart w:id="428" w:name="_Toc116584001"/>
      <w:bookmarkStart w:id="429" w:name="_Toc83753893"/>
      <w:bookmarkStart w:id="430" w:name="_Toc110405135"/>
      <w:bookmarkStart w:id="431" w:name="_Toc84356253"/>
      <w:bookmarkStart w:id="432" w:name="_Toc98865012"/>
      <w:bookmarkStart w:id="433" w:name="_Toc45976901"/>
      <w:bookmarkStart w:id="434" w:name="_Toc69678430"/>
      <w:r>
        <w:rPr>
          <w:rFonts w:hint="eastAsia" w:ascii="宋体" w:hAnsi="宋体"/>
          <w:b/>
          <w:bCs/>
          <w:color w:val="auto"/>
          <w:sz w:val="24"/>
          <w:szCs w:val="24"/>
          <w:highlight w:val="none"/>
        </w:rPr>
        <w:t>2.2采购文件的澄清</w:t>
      </w:r>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14:paraId="129DEFFB">
      <w:pPr>
        <w:adjustRightInd w:val="0"/>
        <w:snapToGrid w:val="0"/>
        <w:spacing w:line="360" w:lineRule="auto"/>
        <w:ind w:firstLine="420" w:firstLineChars="200"/>
        <w:jc w:val="lef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2.2.1供应商要求澄清采购文件的截止时间和方法：同1.10.2的时间要求。供应商应仔细阅读和检查采购文件的全部内容，如发现缺页或附件不全，应及时向采购人提出，以便补齐。如有疑问，应在供应商须知前附表规定的时间前，要求采购人对采购文件予以澄清。</w:t>
      </w:r>
    </w:p>
    <w:p w14:paraId="500C223C">
      <w:pPr>
        <w:adjustRightInd w:val="0"/>
        <w:snapToGrid w:val="0"/>
        <w:spacing w:line="360" w:lineRule="auto"/>
        <w:ind w:firstLine="420" w:firstLineChars="200"/>
        <w:jc w:val="lef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2.2.2提交响应文件的截止时间：详见供应商须知前附表。</w:t>
      </w:r>
    </w:p>
    <w:p w14:paraId="7C8A3E85">
      <w:pPr>
        <w:adjustRightInd w:val="0"/>
        <w:snapToGrid w:val="0"/>
        <w:spacing w:line="360" w:lineRule="auto"/>
        <w:ind w:firstLine="420" w:firstLineChars="200"/>
        <w:jc w:val="lef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2.2.3供应商确认收到</w:t>
      </w:r>
      <w:r>
        <w:rPr>
          <w:rFonts w:hint="eastAsia" w:asciiTheme="minorEastAsia" w:hAnsiTheme="minorEastAsia" w:eastAsiaTheme="minorEastAsia"/>
          <w:snapToGrid w:val="0"/>
          <w:color w:val="auto"/>
          <w:kern w:val="0"/>
          <w:szCs w:val="21"/>
          <w:highlight w:val="none"/>
        </w:rPr>
        <w:t>采购文件</w:t>
      </w:r>
      <w:r>
        <w:rPr>
          <w:rFonts w:hint="eastAsia" w:asciiTheme="minorEastAsia" w:hAnsiTheme="minorEastAsia" w:eastAsiaTheme="minorEastAsia"/>
          <w:color w:val="auto"/>
          <w:szCs w:val="21"/>
          <w:highlight w:val="none"/>
        </w:rPr>
        <w:t>澄清的时间：详</w:t>
      </w:r>
      <w:r>
        <w:rPr>
          <w:rFonts w:hint="eastAsia" w:asciiTheme="minorEastAsia" w:hAnsiTheme="minorEastAsia" w:eastAsiaTheme="minorEastAsia"/>
          <w:color w:val="auto"/>
          <w:szCs w:val="28"/>
          <w:highlight w:val="none"/>
        </w:rPr>
        <w:t>见供应商须知前附表。</w:t>
      </w:r>
    </w:p>
    <w:p w14:paraId="5E8D75A4">
      <w:pPr>
        <w:spacing w:line="360" w:lineRule="auto"/>
        <w:outlineLvl w:val="3"/>
        <w:rPr>
          <w:rFonts w:hint="eastAsia" w:ascii="宋体" w:hAnsi="宋体"/>
          <w:b/>
          <w:bCs/>
          <w:color w:val="auto"/>
          <w:sz w:val="24"/>
          <w:szCs w:val="24"/>
          <w:highlight w:val="none"/>
        </w:rPr>
      </w:pPr>
      <w:bookmarkStart w:id="435" w:name="_Toc98865013"/>
      <w:bookmarkStart w:id="436" w:name="_Toc13012"/>
      <w:bookmarkStart w:id="437" w:name="_Toc110405136"/>
      <w:bookmarkStart w:id="438" w:name="_Toc116584002"/>
      <w:bookmarkStart w:id="439" w:name="_Toc109809314"/>
      <w:bookmarkStart w:id="440" w:name="_Toc98033936"/>
      <w:bookmarkStart w:id="441" w:name="_Toc75783533"/>
      <w:bookmarkStart w:id="442" w:name="_Toc53412218"/>
      <w:bookmarkStart w:id="443" w:name="_Toc69678431"/>
      <w:bookmarkStart w:id="444" w:name="_Toc87538371"/>
      <w:bookmarkStart w:id="445" w:name="_Toc45791356"/>
      <w:bookmarkStart w:id="446" w:name="_Toc81330941"/>
      <w:bookmarkStart w:id="447" w:name="_Toc42267634"/>
      <w:bookmarkStart w:id="448" w:name="_Toc87543820"/>
      <w:bookmarkStart w:id="449" w:name="_Toc84356254"/>
      <w:bookmarkStart w:id="450" w:name="_Toc45976902"/>
      <w:bookmarkStart w:id="451" w:name="_Toc83753894"/>
      <w:bookmarkStart w:id="452" w:name="_Toc42204995"/>
      <w:r>
        <w:rPr>
          <w:rFonts w:hint="eastAsia" w:ascii="宋体" w:hAnsi="宋体"/>
          <w:b/>
          <w:bCs/>
          <w:color w:val="auto"/>
          <w:sz w:val="24"/>
          <w:szCs w:val="24"/>
          <w:highlight w:val="none"/>
        </w:rPr>
        <w:t>2.3采购文件的修改</w:t>
      </w:r>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p>
    <w:p w14:paraId="73E70232">
      <w:pPr>
        <w:adjustRightInd w:val="0"/>
        <w:snapToGrid w:val="0"/>
        <w:spacing w:line="360" w:lineRule="auto"/>
        <w:ind w:firstLine="420" w:firstLineChars="200"/>
        <w:jc w:val="left"/>
        <w:rPr>
          <w:rFonts w:hint="eastAsia" w:asciiTheme="minorEastAsia" w:hAnsiTheme="minorEastAsia" w:eastAsiaTheme="minorEastAsia"/>
          <w:color w:val="auto"/>
          <w:szCs w:val="21"/>
          <w:highlight w:val="none"/>
        </w:rPr>
      </w:pPr>
      <w:bookmarkStart w:id="453" w:name="_Toc381796409"/>
      <w:bookmarkStart w:id="454" w:name="_Toc292983019"/>
      <w:r>
        <w:rPr>
          <w:rFonts w:hint="eastAsia" w:asciiTheme="minorEastAsia" w:hAnsiTheme="minorEastAsia" w:eastAsiaTheme="minorEastAsia"/>
          <w:color w:val="auto"/>
          <w:szCs w:val="21"/>
          <w:highlight w:val="none"/>
        </w:rPr>
        <w:t>2.3.1</w:t>
      </w:r>
      <w:r>
        <w:rPr>
          <w:rFonts w:hint="eastAsia" w:asciiTheme="minorEastAsia" w:hAnsiTheme="minorEastAsia" w:eastAsiaTheme="minorEastAsia"/>
          <w:color w:val="auto"/>
          <w:highlight w:val="none"/>
        </w:rPr>
        <w:t>提交响应文件截止时间前，采购人、采购代理机构可以对已发出的采购文件进行必要的澄清，澄清的内容作为采购文件的组成部分</w:t>
      </w:r>
      <w:r>
        <w:rPr>
          <w:rFonts w:hint="eastAsia" w:asciiTheme="minorEastAsia" w:hAnsiTheme="minorEastAsia" w:eastAsiaTheme="minorEastAsia"/>
          <w:color w:val="auto"/>
          <w:szCs w:val="21"/>
          <w:highlight w:val="none"/>
        </w:rPr>
        <w:t>并具有约束力。</w:t>
      </w:r>
      <w:r>
        <w:rPr>
          <w:rFonts w:hint="eastAsia" w:asciiTheme="minorEastAsia" w:hAnsiTheme="minorEastAsia" w:eastAsiaTheme="minorEastAsia"/>
          <w:color w:val="auto"/>
          <w:highlight w:val="none"/>
        </w:rPr>
        <w:t>澄清的内容可能影响采购文件编制的，采购人、采购代理机构应在提交响应文件截止时间5日前，在政府采购云平台通知所有获取采购文件的供应商，但不指明澄清问题的来源。不足5日的，应当顺延提交响应文件截止时间。</w:t>
      </w:r>
    </w:p>
    <w:p w14:paraId="004C2E68">
      <w:pPr>
        <w:adjustRightInd w:val="0"/>
        <w:snapToGrid w:val="0"/>
        <w:spacing w:line="360" w:lineRule="auto"/>
        <w:ind w:firstLine="420" w:firstLineChars="200"/>
        <w:jc w:val="lef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2.3.2供应商应在响应文件提交截止时间前随时查看有关该项目采购文件的答疑、补遗内容。否则，由此引起的损失由供应商自负。</w:t>
      </w:r>
    </w:p>
    <w:p w14:paraId="059CF12D">
      <w:pPr>
        <w:adjustRightInd w:val="0"/>
        <w:snapToGrid w:val="0"/>
        <w:spacing w:line="360" w:lineRule="auto"/>
        <w:ind w:firstLine="420" w:firstLineChars="200"/>
        <w:jc w:val="lef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2.3.3采购文件、采购文件澄清、采购文件修改文件内容均以网上发布的为准，当采购文件、采购文件澄清、采购文件修改文件内容相互矛盾时，以最后发出的为准</w:t>
      </w:r>
      <w:r>
        <w:rPr>
          <w:rFonts w:asciiTheme="minorEastAsia" w:hAnsiTheme="minorEastAsia" w:eastAsiaTheme="minorEastAsia"/>
          <w:color w:val="auto"/>
          <w:szCs w:val="21"/>
          <w:highlight w:val="none"/>
        </w:rPr>
        <w:t>。</w:t>
      </w:r>
    </w:p>
    <w:p w14:paraId="70DCF0F6">
      <w:pPr>
        <w:spacing w:line="360" w:lineRule="auto"/>
        <w:jc w:val="center"/>
        <w:outlineLvl w:val="2"/>
        <w:rPr>
          <w:rFonts w:hint="eastAsia" w:asciiTheme="minorEastAsia" w:hAnsiTheme="minorEastAsia" w:eastAsiaTheme="minorEastAsia"/>
          <w:b/>
          <w:bCs/>
          <w:color w:val="auto"/>
          <w:sz w:val="28"/>
          <w:szCs w:val="28"/>
          <w:highlight w:val="none"/>
        </w:rPr>
      </w:pPr>
      <w:bookmarkStart w:id="455" w:name="_Toc83753895"/>
      <w:bookmarkStart w:id="456" w:name="_Toc42204996"/>
      <w:bookmarkStart w:id="457" w:name="_Toc109809315"/>
      <w:bookmarkStart w:id="458" w:name="_Toc98033937"/>
      <w:bookmarkStart w:id="459" w:name="_Toc45791357"/>
      <w:bookmarkStart w:id="460" w:name="_Toc84356255"/>
      <w:bookmarkStart w:id="461" w:name="_Toc26920"/>
      <w:bookmarkStart w:id="462" w:name="_Toc116584003"/>
      <w:bookmarkStart w:id="463" w:name="_Toc87538372"/>
      <w:bookmarkStart w:id="464" w:name="_Toc87543821"/>
      <w:bookmarkStart w:id="465" w:name="_Toc110405137"/>
      <w:bookmarkStart w:id="466" w:name="_Toc98865014"/>
      <w:bookmarkStart w:id="467" w:name="_Toc42267635"/>
      <w:bookmarkStart w:id="468" w:name="_Toc45976903"/>
      <w:bookmarkStart w:id="469" w:name="_Toc37603104"/>
      <w:r>
        <w:rPr>
          <w:rFonts w:hint="eastAsia" w:asciiTheme="minorEastAsia" w:hAnsiTheme="minorEastAsia" w:eastAsiaTheme="minorEastAsia"/>
          <w:b/>
          <w:bCs/>
          <w:color w:val="auto"/>
          <w:sz w:val="28"/>
          <w:szCs w:val="28"/>
          <w:highlight w:val="none"/>
        </w:rPr>
        <w:t>3.响应文件</w:t>
      </w:r>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p>
    <w:p w14:paraId="6714FC9F">
      <w:pPr>
        <w:spacing w:line="360" w:lineRule="auto"/>
        <w:outlineLvl w:val="3"/>
        <w:rPr>
          <w:rFonts w:hint="eastAsia" w:ascii="宋体" w:hAnsi="宋体"/>
          <w:b/>
          <w:bCs/>
          <w:color w:val="auto"/>
          <w:sz w:val="24"/>
          <w:szCs w:val="24"/>
          <w:highlight w:val="none"/>
        </w:rPr>
      </w:pPr>
      <w:bookmarkStart w:id="470" w:name="_Toc116584004"/>
      <w:bookmarkStart w:id="471" w:name="_Toc98865015"/>
      <w:bookmarkStart w:id="472" w:name="_Toc69678433"/>
      <w:bookmarkStart w:id="473" w:name="_Toc109809316"/>
      <w:bookmarkStart w:id="474" w:name="_Toc84356256"/>
      <w:bookmarkStart w:id="475" w:name="_Toc45976904"/>
      <w:bookmarkStart w:id="476" w:name="_Toc145"/>
      <w:bookmarkStart w:id="477" w:name="_Toc110405138"/>
      <w:bookmarkStart w:id="478" w:name="_Toc42204997"/>
      <w:bookmarkStart w:id="479" w:name="_Toc98033938"/>
      <w:bookmarkStart w:id="480" w:name="_Toc42267636"/>
      <w:bookmarkStart w:id="481" w:name="_Toc75783535"/>
      <w:bookmarkStart w:id="482" w:name="_Toc81330943"/>
      <w:bookmarkStart w:id="483" w:name="_Toc87543822"/>
      <w:bookmarkStart w:id="484" w:name="_Toc53412220"/>
      <w:bookmarkStart w:id="485" w:name="_Toc45791358"/>
      <w:bookmarkStart w:id="486" w:name="_Toc87538373"/>
      <w:bookmarkStart w:id="487" w:name="_Toc83753896"/>
      <w:r>
        <w:rPr>
          <w:rFonts w:hint="eastAsia" w:ascii="宋体" w:hAnsi="宋体"/>
          <w:b/>
          <w:bCs/>
          <w:color w:val="auto"/>
          <w:sz w:val="24"/>
          <w:szCs w:val="24"/>
          <w:highlight w:val="none"/>
        </w:rPr>
        <w:t>3.1 响应文件的组成</w:t>
      </w:r>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p>
    <w:p w14:paraId="2B2C3EFF">
      <w:pPr>
        <w:pStyle w:val="14"/>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详见第四章“响应文件格式”部分。</w:t>
      </w:r>
    </w:p>
    <w:p w14:paraId="5B79914E">
      <w:pPr>
        <w:spacing w:line="360" w:lineRule="auto"/>
        <w:outlineLvl w:val="3"/>
        <w:rPr>
          <w:rFonts w:hint="eastAsia" w:ascii="宋体" w:hAnsi="宋体"/>
          <w:b/>
          <w:bCs/>
          <w:color w:val="auto"/>
          <w:sz w:val="24"/>
          <w:szCs w:val="24"/>
          <w:highlight w:val="none"/>
        </w:rPr>
      </w:pPr>
      <w:bookmarkStart w:id="488" w:name="_Toc81330944"/>
      <w:bookmarkStart w:id="489" w:name="_Toc11669"/>
      <w:bookmarkStart w:id="490" w:name="_Toc87538374"/>
      <w:bookmarkStart w:id="491" w:name="_Toc110405139"/>
      <w:bookmarkStart w:id="492" w:name="_Toc116584005"/>
      <w:bookmarkStart w:id="493" w:name="_Toc109809317"/>
      <w:bookmarkStart w:id="494" w:name="_Toc45791359"/>
      <w:bookmarkStart w:id="495" w:name="_Toc87543823"/>
      <w:bookmarkStart w:id="496" w:name="_Toc98033939"/>
      <w:bookmarkStart w:id="497" w:name="_Toc98865016"/>
      <w:bookmarkStart w:id="498" w:name="_Toc75783536"/>
      <w:bookmarkStart w:id="499" w:name="_Toc42267637"/>
      <w:bookmarkStart w:id="500" w:name="_Toc69678434"/>
      <w:bookmarkStart w:id="501" w:name="_Toc83753897"/>
      <w:bookmarkStart w:id="502" w:name="_Toc42204998"/>
      <w:bookmarkStart w:id="503" w:name="_Toc84356257"/>
      <w:bookmarkStart w:id="504" w:name="_Toc45976905"/>
      <w:bookmarkStart w:id="505" w:name="_Toc53412221"/>
      <w:r>
        <w:rPr>
          <w:rFonts w:hint="eastAsia" w:ascii="宋体" w:hAnsi="宋体"/>
          <w:b/>
          <w:bCs/>
          <w:color w:val="auto"/>
          <w:sz w:val="24"/>
          <w:szCs w:val="24"/>
          <w:highlight w:val="none"/>
        </w:rPr>
        <w:t>3.2 磋商报价</w:t>
      </w:r>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p>
    <w:p w14:paraId="61C840EA">
      <w:pPr>
        <w:adjustRightInd w:val="0"/>
        <w:snapToGrid w:val="0"/>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3.2.</w:t>
      </w:r>
      <w:r>
        <w:rPr>
          <w:rFonts w:asciiTheme="minorEastAsia" w:hAnsiTheme="minorEastAsia" w:eastAsiaTheme="minorEastAsia"/>
          <w:color w:val="auto"/>
          <w:szCs w:val="21"/>
          <w:highlight w:val="none"/>
        </w:rPr>
        <w:t>1</w:t>
      </w:r>
      <w:r>
        <w:rPr>
          <w:rFonts w:hint="eastAsia" w:asciiTheme="minorEastAsia" w:hAnsiTheme="minorEastAsia" w:eastAsiaTheme="minorEastAsia"/>
          <w:color w:val="auto"/>
          <w:szCs w:val="21"/>
          <w:highlight w:val="none"/>
        </w:rPr>
        <w:t>最高磋商限价：详见供应商须知前附表。</w:t>
      </w:r>
    </w:p>
    <w:p w14:paraId="5A6F3A35">
      <w:pPr>
        <w:adjustRightInd w:val="0"/>
        <w:snapToGrid w:val="0"/>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3.2.</w:t>
      </w:r>
      <w:r>
        <w:rPr>
          <w:rFonts w:asciiTheme="minorEastAsia" w:hAnsiTheme="minorEastAsia" w:eastAsiaTheme="minorEastAsia"/>
          <w:color w:val="auto"/>
          <w:szCs w:val="21"/>
          <w:highlight w:val="none"/>
        </w:rPr>
        <w:t>2</w:t>
      </w:r>
      <w:r>
        <w:rPr>
          <w:rFonts w:hint="eastAsia" w:asciiTheme="minorEastAsia" w:hAnsiTheme="minorEastAsia" w:eastAsiaTheme="minorEastAsia"/>
          <w:color w:val="auto"/>
          <w:szCs w:val="21"/>
          <w:highlight w:val="none"/>
        </w:rPr>
        <w:t>报价方式：详见供应商须知前附表。</w:t>
      </w:r>
    </w:p>
    <w:p w14:paraId="7818DDFD">
      <w:pPr>
        <w:adjustRightInd w:val="0"/>
        <w:snapToGrid w:val="0"/>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3.2.3结算方式：详见供应商须知前附表。</w:t>
      </w:r>
    </w:p>
    <w:p w14:paraId="6D0931D6">
      <w:pPr>
        <w:adjustRightInd w:val="0"/>
        <w:snapToGrid w:val="0"/>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3.2.4二次报价：详见供应商须知前附表。</w:t>
      </w:r>
    </w:p>
    <w:p w14:paraId="14C9D38F">
      <w:pPr>
        <w:adjustRightInd w:val="0"/>
        <w:snapToGrid w:val="0"/>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3.2.5任何有选择的报价将不予接受，本次竞争性磋商只允许供应商只有一个有效的报价。在响应文件中，供应商投报两个或多个方案或有两个或多个报价，又未书面声明其中哪一个有效的，其响应文件按否决处理。</w:t>
      </w:r>
    </w:p>
    <w:p w14:paraId="1DC5CF52">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3.2.6通过资格审查、符合性审查的供应商将进行二次报价，二次报价或二次报价依据政策扣除后的价格为供应商的评审价，供应商的二次报价是响应文件的有效组成部分。</w:t>
      </w:r>
    </w:p>
    <w:p w14:paraId="48AF435F">
      <w:pPr>
        <w:spacing w:line="360" w:lineRule="auto"/>
        <w:outlineLvl w:val="3"/>
        <w:rPr>
          <w:rFonts w:hint="eastAsia" w:ascii="宋体" w:hAnsi="宋体"/>
          <w:b/>
          <w:bCs/>
          <w:color w:val="auto"/>
          <w:sz w:val="24"/>
          <w:szCs w:val="24"/>
          <w:highlight w:val="none"/>
        </w:rPr>
      </w:pPr>
      <w:bookmarkStart w:id="506" w:name="_Toc81330945"/>
      <w:bookmarkStart w:id="507" w:name="_Toc69678435"/>
      <w:bookmarkStart w:id="508" w:name="_Toc110405140"/>
      <w:bookmarkStart w:id="509" w:name="_Toc53412222"/>
      <w:bookmarkStart w:id="510" w:name="_Toc45791360"/>
      <w:bookmarkStart w:id="511" w:name="_Toc42204999"/>
      <w:bookmarkStart w:id="512" w:name="_Toc87538375"/>
      <w:bookmarkStart w:id="513" w:name="_Toc84356258"/>
      <w:bookmarkStart w:id="514" w:name="_Toc42267638"/>
      <w:bookmarkStart w:id="515" w:name="_Toc45976906"/>
      <w:bookmarkStart w:id="516" w:name="_Toc9599"/>
      <w:bookmarkStart w:id="517" w:name="_Toc98865017"/>
      <w:bookmarkStart w:id="518" w:name="_Toc75783537"/>
      <w:bookmarkStart w:id="519" w:name="_Toc116584006"/>
      <w:bookmarkStart w:id="520" w:name="_Toc83753898"/>
      <w:bookmarkStart w:id="521" w:name="_Toc87543824"/>
      <w:bookmarkStart w:id="522" w:name="_Toc109809318"/>
      <w:bookmarkStart w:id="523" w:name="_Toc98033940"/>
      <w:r>
        <w:rPr>
          <w:rFonts w:hint="eastAsia" w:ascii="宋体" w:hAnsi="宋体"/>
          <w:b/>
          <w:bCs/>
          <w:color w:val="auto"/>
          <w:sz w:val="24"/>
          <w:szCs w:val="24"/>
          <w:highlight w:val="none"/>
        </w:rPr>
        <w:t>3.3 磋商有效期</w:t>
      </w:r>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p>
    <w:p w14:paraId="06B87167">
      <w:pPr>
        <w:spacing w:line="360" w:lineRule="auto"/>
        <w:ind w:firstLine="420" w:firstLineChars="200"/>
        <w:jc w:val="left"/>
        <w:rPr>
          <w:rFonts w:hint="eastAsia" w:asciiTheme="minorEastAsia" w:hAnsiTheme="minorEastAsia" w:eastAsiaTheme="minorEastAsia"/>
          <w:color w:val="auto"/>
          <w:szCs w:val="28"/>
          <w:highlight w:val="none"/>
        </w:rPr>
      </w:pPr>
      <w:r>
        <w:rPr>
          <w:rFonts w:hint="eastAsia" w:asciiTheme="minorEastAsia" w:hAnsiTheme="minorEastAsia" w:eastAsiaTheme="minorEastAsia"/>
          <w:color w:val="auto"/>
          <w:szCs w:val="28"/>
          <w:highlight w:val="none"/>
        </w:rPr>
        <w:t>3.3.1在供应商须知前附表规定的</w:t>
      </w:r>
      <w:r>
        <w:rPr>
          <w:rFonts w:hint="eastAsia" w:asciiTheme="minorEastAsia" w:hAnsiTheme="minorEastAsia" w:eastAsiaTheme="minorEastAsia"/>
          <w:color w:val="auto"/>
          <w:szCs w:val="24"/>
          <w:highlight w:val="none"/>
        </w:rPr>
        <w:t>磋商</w:t>
      </w:r>
      <w:r>
        <w:rPr>
          <w:rFonts w:hint="eastAsia" w:asciiTheme="minorEastAsia" w:hAnsiTheme="minorEastAsia" w:eastAsiaTheme="minorEastAsia"/>
          <w:color w:val="auto"/>
          <w:szCs w:val="28"/>
          <w:highlight w:val="none"/>
        </w:rPr>
        <w:t>有效期内，供应商不得要求撤销或修改其响应文件。</w:t>
      </w:r>
    </w:p>
    <w:p w14:paraId="6CE32062">
      <w:pPr>
        <w:adjustRightInd w:val="0"/>
        <w:snapToGrid w:val="0"/>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8"/>
          <w:highlight w:val="none"/>
        </w:rPr>
        <w:t>3.3.2出现特殊情况需要延长</w:t>
      </w:r>
      <w:r>
        <w:rPr>
          <w:rFonts w:hint="eastAsia" w:asciiTheme="minorEastAsia" w:hAnsiTheme="minorEastAsia" w:eastAsiaTheme="minorEastAsia"/>
          <w:color w:val="auto"/>
          <w:szCs w:val="24"/>
          <w:highlight w:val="none"/>
        </w:rPr>
        <w:t>磋商</w:t>
      </w:r>
      <w:r>
        <w:rPr>
          <w:rFonts w:hint="eastAsia" w:asciiTheme="minorEastAsia" w:hAnsiTheme="minorEastAsia" w:eastAsiaTheme="minorEastAsia"/>
          <w:color w:val="auto"/>
          <w:szCs w:val="28"/>
          <w:highlight w:val="none"/>
        </w:rPr>
        <w:t>有效期的，采购人将通知所有供应商延长</w:t>
      </w:r>
      <w:r>
        <w:rPr>
          <w:rFonts w:hint="eastAsia" w:asciiTheme="minorEastAsia" w:hAnsiTheme="minorEastAsia" w:eastAsiaTheme="minorEastAsia"/>
          <w:color w:val="auto"/>
          <w:szCs w:val="24"/>
          <w:highlight w:val="none"/>
        </w:rPr>
        <w:t>磋商</w:t>
      </w:r>
      <w:r>
        <w:rPr>
          <w:rFonts w:hint="eastAsia" w:asciiTheme="minorEastAsia" w:hAnsiTheme="minorEastAsia" w:eastAsiaTheme="minorEastAsia"/>
          <w:color w:val="auto"/>
          <w:szCs w:val="28"/>
          <w:highlight w:val="none"/>
        </w:rPr>
        <w:t>有效期。供应商同意延长的，不得要求或被允许修改或撤销其响应文件；供应商拒绝延长的，其</w:t>
      </w:r>
      <w:r>
        <w:rPr>
          <w:rFonts w:hint="eastAsia" w:asciiTheme="minorEastAsia" w:hAnsiTheme="minorEastAsia" w:eastAsiaTheme="minorEastAsia"/>
          <w:color w:val="auto"/>
          <w:szCs w:val="24"/>
          <w:highlight w:val="none"/>
        </w:rPr>
        <w:t>磋商</w:t>
      </w:r>
      <w:r>
        <w:rPr>
          <w:rFonts w:hint="eastAsia" w:asciiTheme="minorEastAsia" w:hAnsiTheme="minorEastAsia" w:eastAsiaTheme="minorEastAsia"/>
          <w:color w:val="auto"/>
          <w:szCs w:val="28"/>
          <w:highlight w:val="none"/>
        </w:rPr>
        <w:t>失效。</w:t>
      </w:r>
    </w:p>
    <w:p w14:paraId="605E30A2">
      <w:pPr>
        <w:spacing w:line="360" w:lineRule="auto"/>
        <w:outlineLvl w:val="3"/>
        <w:rPr>
          <w:rFonts w:hint="eastAsia" w:ascii="宋体" w:hAnsi="宋体"/>
          <w:b/>
          <w:bCs/>
          <w:color w:val="auto"/>
          <w:sz w:val="24"/>
          <w:szCs w:val="24"/>
          <w:highlight w:val="none"/>
        </w:rPr>
      </w:pPr>
      <w:bookmarkStart w:id="524" w:name="_Toc110405141"/>
      <w:bookmarkStart w:id="525" w:name="_Toc87538376"/>
      <w:bookmarkStart w:id="526" w:name="_Toc75783538"/>
      <w:bookmarkStart w:id="527" w:name="_Toc109809319"/>
      <w:bookmarkStart w:id="528" w:name="_Toc87543825"/>
      <w:bookmarkStart w:id="529" w:name="_Toc81330946"/>
      <w:bookmarkStart w:id="530" w:name="_Toc42267639"/>
      <w:bookmarkStart w:id="531" w:name="_Toc45791361"/>
      <w:bookmarkStart w:id="532" w:name="_Toc69678436"/>
      <w:bookmarkStart w:id="533" w:name="_Toc45976907"/>
      <w:bookmarkStart w:id="534" w:name="_Toc30417"/>
      <w:bookmarkStart w:id="535" w:name="_Toc98033941"/>
      <w:bookmarkStart w:id="536" w:name="_Toc84356259"/>
      <w:bookmarkStart w:id="537" w:name="_Toc42205000"/>
      <w:bookmarkStart w:id="538" w:name="_Toc83753899"/>
      <w:bookmarkStart w:id="539" w:name="_Toc116584007"/>
      <w:bookmarkStart w:id="540" w:name="_Toc98865018"/>
      <w:bookmarkStart w:id="541" w:name="_Toc53412223"/>
      <w:r>
        <w:rPr>
          <w:rFonts w:hint="eastAsia" w:ascii="宋体" w:hAnsi="宋体"/>
          <w:b/>
          <w:bCs/>
          <w:color w:val="auto"/>
          <w:sz w:val="24"/>
          <w:szCs w:val="24"/>
          <w:highlight w:val="none"/>
        </w:rPr>
        <w:t>3.4 磋商保证金</w:t>
      </w:r>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p>
    <w:p w14:paraId="187C9963">
      <w:pPr>
        <w:adjustRightInd w:val="0"/>
        <w:snapToGrid w:val="0"/>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本项目不要求供应商提交磋商保证金。</w:t>
      </w:r>
    </w:p>
    <w:p w14:paraId="7F1518F8">
      <w:pPr>
        <w:spacing w:line="360" w:lineRule="auto"/>
        <w:outlineLvl w:val="3"/>
        <w:rPr>
          <w:rFonts w:hint="eastAsia" w:ascii="宋体" w:hAnsi="宋体"/>
          <w:b/>
          <w:bCs/>
          <w:color w:val="auto"/>
          <w:sz w:val="24"/>
          <w:szCs w:val="24"/>
          <w:highlight w:val="none"/>
        </w:rPr>
      </w:pPr>
      <w:bookmarkStart w:id="542" w:name="_Toc42267640"/>
      <w:bookmarkStart w:id="543" w:name="_Toc109809320"/>
      <w:bookmarkStart w:id="544" w:name="_Toc42205001"/>
      <w:bookmarkStart w:id="545" w:name="_Toc116584008"/>
      <w:bookmarkStart w:id="546" w:name="_Toc84356260"/>
      <w:bookmarkStart w:id="547" w:name="_Toc69678437"/>
      <w:bookmarkStart w:id="548" w:name="_Toc98865019"/>
      <w:bookmarkStart w:id="549" w:name="_Toc53412224"/>
      <w:bookmarkStart w:id="550" w:name="_Toc83753900"/>
      <w:bookmarkStart w:id="551" w:name="_Toc98033942"/>
      <w:bookmarkStart w:id="552" w:name="_Toc75783539"/>
      <w:bookmarkStart w:id="553" w:name="_Toc81330947"/>
      <w:bookmarkStart w:id="554" w:name="_Toc45791362"/>
      <w:bookmarkStart w:id="555" w:name="_Toc87543826"/>
      <w:bookmarkStart w:id="556" w:name="_Toc110405142"/>
      <w:bookmarkStart w:id="557" w:name="_Toc45976908"/>
      <w:bookmarkStart w:id="558" w:name="_Toc87538377"/>
      <w:bookmarkStart w:id="559" w:name="_Toc30166"/>
      <w:r>
        <w:rPr>
          <w:rFonts w:hint="eastAsia" w:ascii="宋体" w:hAnsi="宋体"/>
          <w:b/>
          <w:bCs/>
          <w:color w:val="auto"/>
          <w:sz w:val="24"/>
          <w:szCs w:val="24"/>
          <w:highlight w:val="none"/>
        </w:rPr>
        <w:t>3.5 资格审查资料</w:t>
      </w:r>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p>
    <w:p w14:paraId="676BD029">
      <w:pPr>
        <w:adjustRightInd w:val="0"/>
        <w:snapToGrid w:val="0"/>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3.5.1近年财务状况的年份要求：详见供应商须知前附表。</w:t>
      </w:r>
    </w:p>
    <w:p w14:paraId="2E1DAEA8">
      <w:pPr>
        <w:adjustRightInd w:val="0"/>
        <w:snapToGrid w:val="0"/>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3.5.2没有重大违法记录的年份要求：详见供应商须知前附表。</w:t>
      </w:r>
    </w:p>
    <w:p w14:paraId="43C21CE0">
      <w:pPr>
        <w:spacing w:line="360" w:lineRule="auto"/>
        <w:ind w:firstLine="420" w:firstLineChars="200"/>
        <w:rPr>
          <w:rFonts w:hint="eastAsia"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3.5.3其他资格审查资料：详见</w:t>
      </w:r>
      <w:r>
        <w:rPr>
          <w:rFonts w:hint="eastAsia" w:asciiTheme="minorEastAsia" w:hAnsiTheme="minorEastAsia" w:eastAsiaTheme="minorEastAsia"/>
          <w:color w:val="auto"/>
          <w:szCs w:val="21"/>
          <w:highlight w:val="none"/>
        </w:rPr>
        <w:t>第四章</w:t>
      </w:r>
      <w:r>
        <w:rPr>
          <w:rFonts w:hint="eastAsia" w:cs="宋体" w:asciiTheme="minorEastAsia" w:hAnsiTheme="minorEastAsia" w:eastAsiaTheme="minorEastAsia"/>
          <w:color w:val="auto"/>
          <w:szCs w:val="21"/>
          <w:highlight w:val="none"/>
        </w:rPr>
        <w:t>“响应文件格式”资格文件中的内容。</w:t>
      </w:r>
    </w:p>
    <w:p w14:paraId="08DA9FE9">
      <w:pPr>
        <w:spacing w:line="360" w:lineRule="auto"/>
        <w:outlineLvl w:val="3"/>
        <w:rPr>
          <w:rFonts w:hint="eastAsia" w:ascii="宋体" w:hAnsi="宋体"/>
          <w:b/>
          <w:bCs/>
          <w:color w:val="auto"/>
          <w:sz w:val="24"/>
          <w:szCs w:val="24"/>
          <w:highlight w:val="none"/>
        </w:rPr>
      </w:pPr>
      <w:bookmarkStart w:id="560" w:name="_Toc84356261"/>
      <w:bookmarkStart w:id="561" w:name="_Toc81330948"/>
      <w:bookmarkStart w:id="562" w:name="_Toc83753901"/>
      <w:bookmarkStart w:id="563" w:name="_Toc42267641"/>
      <w:bookmarkStart w:id="564" w:name="_Toc98865020"/>
      <w:bookmarkStart w:id="565" w:name="_Toc45976909"/>
      <w:bookmarkStart w:id="566" w:name="_Toc42205002"/>
      <w:bookmarkStart w:id="567" w:name="_Toc116584009"/>
      <w:bookmarkStart w:id="568" w:name="_Toc69678438"/>
      <w:bookmarkStart w:id="569" w:name="_Toc75783540"/>
      <w:bookmarkStart w:id="570" w:name="_Toc45791363"/>
      <w:bookmarkStart w:id="571" w:name="_Toc110405143"/>
      <w:bookmarkStart w:id="572" w:name="_Toc87543827"/>
      <w:bookmarkStart w:id="573" w:name="_Toc1352"/>
      <w:bookmarkStart w:id="574" w:name="_Toc53412225"/>
      <w:bookmarkStart w:id="575" w:name="_Toc98033943"/>
      <w:bookmarkStart w:id="576" w:name="_Toc109809321"/>
      <w:bookmarkStart w:id="577" w:name="_Toc87538378"/>
      <w:r>
        <w:rPr>
          <w:rFonts w:hint="eastAsia" w:ascii="宋体" w:hAnsi="宋体"/>
          <w:b/>
          <w:bCs/>
          <w:color w:val="auto"/>
          <w:sz w:val="24"/>
          <w:szCs w:val="24"/>
          <w:highlight w:val="none"/>
        </w:rPr>
        <w:t>3.6 备选磋商方案</w:t>
      </w:r>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p>
    <w:p w14:paraId="46355BA7">
      <w:pPr>
        <w:adjustRightInd w:val="0"/>
        <w:snapToGrid w:val="0"/>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除供应商须知前附表另有规定外，供应商不得</w:t>
      </w:r>
      <w:r>
        <w:rPr>
          <w:rFonts w:hint="eastAsia" w:asciiTheme="minorEastAsia" w:hAnsiTheme="minorEastAsia" w:eastAsiaTheme="minorEastAsia"/>
          <w:color w:val="auto"/>
          <w:szCs w:val="28"/>
          <w:highlight w:val="none"/>
        </w:rPr>
        <w:t>提交</w:t>
      </w:r>
      <w:r>
        <w:rPr>
          <w:rFonts w:hint="eastAsia" w:asciiTheme="minorEastAsia" w:hAnsiTheme="minorEastAsia" w:eastAsiaTheme="minorEastAsia"/>
          <w:color w:val="auto"/>
          <w:szCs w:val="21"/>
          <w:highlight w:val="none"/>
        </w:rPr>
        <w:t>备选磋商方案。允许供应商</w:t>
      </w:r>
      <w:r>
        <w:rPr>
          <w:rFonts w:hint="eastAsia" w:asciiTheme="minorEastAsia" w:hAnsiTheme="minorEastAsia" w:eastAsiaTheme="minorEastAsia"/>
          <w:color w:val="auto"/>
          <w:szCs w:val="28"/>
          <w:highlight w:val="none"/>
        </w:rPr>
        <w:t>提交</w:t>
      </w:r>
      <w:r>
        <w:rPr>
          <w:rFonts w:hint="eastAsia" w:asciiTheme="minorEastAsia" w:hAnsiTheme="minorEastAsia" w:eastAsiaTheme="minorEastAsia"/>
          <w:color w:val="auto"/>
          <w:szCs w:val="21"/>
          <w:highlight w:val="none"/>
        </w:rPr>
        <w:t>备选磋商方案的，只有成交供应商所</w:t>
      </w:r>
      <w:r>
        <w:rPr>
          <w:rFonts w:hint="eastAsia" w:asciiTheme="minorEastAsia" w:hAnsiTheme="minorEastAsia" w:eastAsiaTheme="minorEastAsia"/>
          <w:color w:val="auto"/>
          <w:szCs w:val="28"/>
          <w:highlight w:val="none"/>
        </w:rPr>
        <w:t>提交</w:t>
      </w:r>
      <w:r>
        <w:rPr>
          <w:rFonts w:hint="eastAsia" w:asciiTheme="minorEastAsia" w:hAnsiTheme="minorEastAsia" w:eastAsiaTheme="minorEastAsia"/>
          <w:color w:val="auto"/>
          <w:szCs w:val="21"/>
          <w:highlight w:val="none"/>
        </w:rPr>
        <w:t>的备选磋商方案方可予以考虑。磋商小组认为成交供应商的备选磋商方案优于其按照采购文件要求编制的磋商方案的，采购人可以接受该备选磋商方案。</w:t>
      </w:r>
    </w:p>
    <w:p w14:paraId="0809DD61">
      <w:pPr>
        <w:spacing w:line="360" w:lineRule="auto"/>
        <w:outlineLvl w:val="3"/>
        <w:rPr>
          <w:rFonts w:hint="eastAsia" w:ascii="宋体" w:hAnsi="宋体"/>
          <w:b/>
          <w:bCs/>
          <w:color w:val="auto"/>
          <w:sz w:val="24"/>
          <w:szCs w:val="24"/>
          <w:highlight w:val="none"/>
        </w:rPr>
      </w:pPr>
      <w:bookmarkStart w:id="578" w:name="_Toc75783541"/>
      <w:bookmarkStart w:id="579" w:name="_Toc16675"/>
      <w:bookmarkStart w:id="580" w:name="_Toc42205003"/>
      <w:bookmarkStart w:id="581" w:name="_Toc81330949"/>
      <w:bookmarkStart w:id="582" w:name="_Toc45791364"/>
      <w:bookmarkStart w:id="583" w:name="_Toc53412226"/>
      <w:bookmarkStart w:id="584" w:name="_Toc98033944"/>
      <w:bookmarkStart w:id="585" w:name="_Toc87543828"/>
      <w:bookmarkStart w:id="586" w:name="_Toc116584010"/>
      <w:bookmarkStart w:id="587" w:name="_Toc45976910"/>
      <w:bookmarkStart w:id="588" w:name="_Toc69678439"/>
      <w:bookmarkStart w:id="589" w:name="_Toc83753902"/>
      <w:bookmarkStart w:id="590" w:name="_Toc87538379"/>
      <w:bookmarkStart w:id="591" w:name="_Toc98865021"/>
      <w:bookmarkStart w:id="592" w:name="_Toc42267642"/>
      <w:bookmarkStart w:id="593" w:name="_Toc84356262"/>
      <w:bookmarkStart w:id="594" w:name="_Toc109809322"/>
      <w:bookmarkStart w:id="595" w:name="_Toc110405144"/>
      <w:r>
        <w:rPr>
          <w:rFonts w:hint="eastAsia" w:ascii="宋体" w:hAnsi="宋体"/>
          <w:b/>
          <w:bCs/>
          <w:color w:val="auto"/>
          <w:sz w:val="24"/>
          <w:szCs w:val="24"/>
          <w:highlight w:val="none"/>
        </w:rPr>
        <w:t>3.7 响应文件的编制</w:t>
      </w:r>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p>
    <w:p w14:paraId="7D7E7F31">
      <w:pPr>
        <w:adjustRightInd w:val="0"/>
        <w:snapToGrid w:val="0"/>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3.7.1响应</w:t>
      </w:r>
      <w:r>
        <w:rPr>
          <w:rFonts w:asciiTheme="minorEastAsia" w:hAnsiTheme="minorEastAsia" w:eastAsiaTheme="minorEastAsia"/>
          <w:color w:val="auto"/>
          <w:szCs w:val="21"/>
          <w:highlight w:val="none"/>
        </w:rPr>
        <w:t>文件</w:t>
      </w:r>
      <w:r>
        <w:rPr>
          <w:rFonts w:hint="eastAsia" w:asciiTheme="minorEastAsia" w:hAnsiTheme="minorEastAsia" w:eastAsiaTheme="minorEastAsia"/>
          <w:color w:val="auto"/>
          <w:szCs w:val="21"/>
          <w:highlight w:val="none"/>
        </w:rPr>
        <w:t>的</w:t>
      </w:r>
      <w:r>
        <w:rPr>
          <w:rFonts w:asciiTheme="minorEastAsia" w:hAnsiTheme="minorEastAsia" w:eastAsiaTheme="minorEastAsia"/>
          <w:color w:val="auto"/>
          <w:szCs w:val="21"/>
          <w:highlight w:val="none"/>
        </w:rPr>
        <w:t>格式：详</w:t>
      </w:r>
      <w:r>
        <w:rPr>
          <w:rFonts w:hint="eastAsia" w:asciiTheme="minorEastAsia" w:hAnsiTheme="minorEastAsia" w:eastAsiaTheme="minorEastAsia"/>
          <w:color w:val="auto"/>
          <w:szCs w:val="21"/>
          <w:highlight w:val="none"/>
        </w:rPr>
        <w:t>见供应商须知前附表。</w:t>
      </w:r>
    </w:p>
    <w:p w14:paraId="78E27A67">
      <w:pPr>
        <w:adjustRightInd w:val="0"/>
        <w:snapToGrid w:val="0"/>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3.7.2响应文件应当对采购文件中有关采购内容、服务周期、磋商有效期、质量要求等实质性内容作出响应。</w:t>
      </w:r>
    </w:p>
    <w:p w14:paraId="237EA826">
      <w:pPr>
        <w:adjustRightInd w:val="0"/>
        <w:snapToGrid w:val="0"/>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3.7.3响应文件的签署：</w:t>
      </w:r>
      <w:r>
        <w:rPr>
          <w:rFonts w:hint="eastAsia" w:asciiTheme="minorEastAsia" w:hAnsiTheme="minorEastAsia" w:eastAsiaTheme="minorEastAsia"/>
          <w:color w:val="auto"/>
          <w:highlight w:val="none"/>
        </w:rPr>
        <w:t>见供应商须知前附表。</w:t>
      </w:r>
    </w:p>
    <w:p w14:paraId="4D056E7B">
      <w:pPr>
        <w:spacing w:line="360" w:lineRule="auto"/>
        <w:jc w:val="center"/>
        <w:outlineLvl w:val="2"/>
        <w:rPr>
          <w:rFonts w:hint="eastAsia" w:asciiTheme="minorEastAsia" w:hAnsiTheme="minorEastAsia" w:eastAsiaTheme="minorEastAsia"/>
          <w:b/>
          <w:bCs/>
          <w:color w:val="auto"/>
          <w:sz w:val="28"/>
          <w:szCs w:val="28"/>
          <w:highlight w:val="none"/>
        </w:rPr>
      </w:pPr>
      <w:bookmarkStart w:id="596" w:name="_Toc45976911"/>
      <w:bookmarkStart w:id="597" w:name="_Toc98033945"/>
      <w:bookmarkStart w:id="598" w:name="_Toc45791365"/>
      <w:bookmarkStart w:id="599" w:name="_Toc109809323"/>
      <w:bookmarkStart w:id="600" w:name="_Toc42205004"/>
      <w:bookmarkStart w:id="601" w:name="_Toc37603105"/>
      <w:bookmarkStart w:id="602" w:name="_Toc110405145"/>
      <w:bookmarkStart w:id="603" w:name="_Toc98865022"/>
      <w:bookmarkStart w:id="604" w:name="_Toc381796410"/>
      <w:bookmarkStart w:id="605" w:name="_Toc84356263"/>
      <w:bookmarkStart w:id="606" w:name="_Toc87543829"/>
      <w:bookmarkStart w:id="607" w:name="_Toc83753903"/>
      <w:bookmarkStart w:id="608" w:name="_Toc24563"/>
      <w:bookmarkStart w:id="609" w:name="_Toc42267643"/>
      <w:bookmarkStart w:id="610" w:name="_Toc292983020"/>
      <w:bookmarkStart w:id="611" w:name="_Toc87538380"/>
      <w:bookmarkStart w:id="612" w:name="_Toc116584011"/>
      <w:r>
        <w:rPr>
          <w:rFonts w:hint="eastAsia" w:asciiTheme="minorEastAsia" w:hAnsiTheme="minorEastAsia" w:eastAsiaTheme="minorEastAsia"/>
          <w:b/>
          <w:bCs/>
          <w:color w:val="auto"/>
          <w:sz w:val="28"/>
          <w:szCs w:val="28"/>
          <w:highlight w:val="none"/>
        </w:rPr>
        <w:t>4.响应文件的</w:t>
      </w:r>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r>
        <w:rPr>
          <w:rFonts w:hint="eastAsia" w:asciiTheme="minorEastAsia" w:hAnsiTheme="minorEastAsia" w:eastAsiaTheme="minorEastAsia"/>
          <w:b/>
          <w:bCs/>
          <w:color w:val="auto"/>
          <w:sz w:val="28"/>
          <w:szCs w:val="28"/>
          <w:highlight w:val="none"/>
        </w:rPr>
        <w:t>提交</w:t>
      </w:r>
      <w:bookmarkEnd w:id="612"/>
    </w:p>
    <w:p w14:paraId="646C32C2">
      <w:pPr>
        <w:spacing w:line="360" w:lineRule="auto"/>
        <w:outlineLvl w:val="3"/>
        <w:rPr>
          <w:rFonts w:hint="eastAsia" w:ascii="宋体" w:hAnsi="宋体"/>
          <w:b/>
          <w:bCs/>
          <w:color w:val="auto"/>
          <w:sz w:val="24"/>
          <w:szCs w:val="24"/>
          <w:highlight w:val="none"/>
        </w:rPr>
      </w:pPr>
      <w:bookmarkStart w:id="613" w:name="_Toc87543830"/>
      <w:bookmarkStart w:id="614" w:name="_Toc84356264"/>
      <w:bookmarkStart w:id="615" w:name="_Toc69678441"/>
      <w:bookmarkStart w:id="616" w:name="_Toc45976912"/>
      <w:bookmarkStart w:id="617" w:name="_Toc53412228"/>
      <w:bookmarkStart w:id="618" w:name="_Toc110405146"/>
      <w:bookmarkStart w:id="619" w:name="_Toc98865023"/>
      <w:bookmarkStart w:id="620" w:name="_Toc87538381"/>
      <w:bookmarkStart w:id="621" w:name="_Toc98033946"/>
      <w:bookmarkStart w:id="622" w:name="_Toc42267644"/>
      <w:bookmarkStart w:id="623" w:name="_Toc81330951"/>
      <w:bookmarkStart w:id="624" w:name="_Toc83753904"/>
      <w:bookmarkStart w:id="625" w:name="_Toc6542"/>
      <w:bookmarkStart w:id="626" w:name="_Toc45791366"/>
      <w:bookmarkStart w:id="627" w:name="_Toc42205005"/>
      <w:bookmarkStart w:id="628" w:name="_Toc109809324"/>
      <w:bookmarkStart w:id="629" w:name="_Toc116584012"/>
      <w:bookmarkStart w:id="630" w:name="_Toc75783543"/>
      <w:r>
        <w:rPr>
          <w:rFonts w:hint="eastAsia" w:ascii="宋体" w:hAnsi="宋体"/>
          <w:b/>
          <w:bCs/>
          <w:color w:val="auto"/>
          <w:sz w:val="24"/>
          <w:szCs w:val="24"/>
          <w:highlight w:val="none"/>
        </w:rPr>
        <w:t>4.1响应文件的</w:t>
      </w:r>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r>
        <w:rPr>
          <w:rFonts w:hint="eastAsia" w:ascii="宋体" w:hAnsi="宋体"/>
          <w:b/>
          <w:bCs/>
          <w:color w:val="auto"/>
          <w:sz w:val="24"/>
          <w:szCs w:val="24"/>
          <w:highlight w:val="none"/>
        </w:rPr>
        <w:t>加密</w:t>
      </w:r>
    </w:p>
    <w:p w14:paraId="25E420A8">
      <w:pPr>
        <w:spacing w:line="360" w:lineRule="auto"/>
        <w:ind w:firstLine="420" w:firstLineChars="200"/>
        <w:jc w:val="left"/>
        <w:rPr>
          <w:rFonts w:hint="eastAsia" w:asciiTheme="minorEastAsia" w:hAnsiTheme="minorEastAsia" w:eastAsiaTheme="minorEastAsia"/>
          <w:color w:val="auto"/>
          <w:szCs w:val="28"/>
          <w:highlight w:val="none"/>
        </w:rPr>
      </w:pPr>
      <w:bookmarkStart w:id="631" w:name="_Toc87543831"/>
      <w:bookmarkStart w:id="632" w:name="_Toc45791367"/>
      <w:bookmarkStart w:id="633" w:name="_Toc84356265"/>
      <w:bookmarkStart w:id="634" w:name="_Toc75783544"/>
      <w:bookmarkStart w:id="635" w:name="_Toc83753905"/>
      <w:bookmarkStart w:id="636" w:name="_Toc87538382"/>
      <w:bookmarkStart w:id="637" w:name="_Toc109809325"/>
      <w:bookmarkStart w:id="638" w:name="_Toc17162"/>
      <w:bookmarkStart w:id="639" w:name="_Toc42205006"/>
      <w:bookmarkStart w:id="640" w:name="_Toc53412229"/>
      <w:bookmarkStart w:id="641" w:name="_Toc98033947"/>
      <w:bookmarkStart w:id="642" w:name="_Toc45976913"/>
      <w:bookmarkStart w:id="643" w:name="_Toc42267645"/>
      <w:bookmarkStart w:id="644" w:name="_Toc98865024"/>
      <w:bookmarkStart w:id="645" w:name="_Toc81330952"/>
      <w:bookmarkStart w:id="646" w:name="_Toc110405147"/>
      <w:bookmarkStart w:id="647" w:name="_Toc69678442"/>
      <w:r>
        <w:rPr>
          <w:rFonts w:hint="eastAsia" w:asciiTheme="minorEastAsia" w:hAnsiTheme="minorEastAsia" w:eastAsiaTheme="minorEastAsia"/>
          <w:color w:val="auto"/>
          <w:szCs w:val="28"/>
          <w:highlight w:val="none"/>
        </w:rPr>
        <w:t>4.1.1响应文件的加密：见供应商须知前附表。</w:t>
      </w:r>
    </w:p>
    <w:p w14:paraId="3BC5A140">
      <w:pPr>
        <w:spacing w:line="360" w:lineRule="auto"/>
        <w:ind w:firstLine="420" w:firstLineChars="200"/>
        <w:jc w:val="left"/>
        <w:rPr>
          <w:rFonts w:hint="eastAsia" w:asciiTheme="minorEastAsia" w:hAnsiTheme="minorEastAsia" w:eastAsiaTheme="minorEastAsia"/>
          <w:color w:val="auto"/>
          <w:szCs w:val="28"/>
          <w:highlight w:val="none"/>
        </w:rPr>
      </w:pPr>
      <w:r>
        <w:rPr>
          <w:rFonts w:hint="eastAsia" w:asciiTheme="minorEastAsia" w:hAnsiTheme="minorEastAsia" w:eastAsiaTheme="minorEastAsia"/>
          <w:color w:val="auto"/>
          <w:szCs w:val="28"/>
          <w:highlight w:val="none"/>
        </w:rPr>
        <w:t>4.1.2未按本章第4.1.1项要求加密的响应文件，采购人不予受理。</w:t>
      </w:r>
    </w:p>
    <w:p w14:paraId="27C7F463">
      <w:pPr>
        <w:spacing w:line="360" w:lineRule="auto"/>
        <w:outlineLvl w:val="3"/>
        <w:rPr>
          <w:rFonts w:hint="eastAsia" w:ascii="宋体" w:hAnsi="宋体"/>
          <w:b/>
          <w:bCs/>
          <w:color w:val="auto"/>
          <w:sz w:val="24"/>
          <w:szCs w:val="24"/>
          <w:highlight w:val="none"/>
        </w:rPr>
      </w:pPr>
      <w:bookmarkStart w:id="648" w:name="_Toc116584013"/>
      <w:r>
        <w:rPr>
          <w:rFonts w:hint="eastAsia" w:ascii="宋体" w:hAnsi="宋体"/>
          <w:b/>
          <w:bCs/>
          <w:color w:val="auto"/>
          <w:sz w:val="24"/>
          <w:szCs w:val="24"/>
          <w:highlight w:val="none"/>
        </w:rPr>
        <w:t>4.2 响应文件的</w:t>
      </w:r>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r>
        <w:rPr>
          <w:rFonts w:hint="eastAsia" w:ascii="宋体" w:hAnsi="宋体"/>
          <w:b/>
          <w:bCs/>
          <w:color w:val="auto"/>
          <w:sz w:val="24"/>
          <w:szCs w:val="24"/>
          <w:highlight w:val="none"/>
        </w:rPr>
        <w:t>提交</w:t>
      </w:r>
      <w:bookmarkEnd w:id="648"/>
    </w:p>
    <w:p w14:paraId="3CF72F2A">
      <w:pPr>
        <w:spacing w:line="360" w:lineRule="auto"/>
        <w:ind w:firstLine="420" w:firstLineChars="200"/>
        <w:jc w:val="left"/>
        <w:rPr>
          <w:rFonts w:hint="eastAsia" w:asciiTheme="minorEastAsia" w:hAnsiTheme="minorEastAsia" w:eastAsiaTheme="minorEastAsia"/>
          <w:color w:val="auto"/>
          <w:szCs w:val="28"/>
          <w:highlight w:val="none"/>
        </w:rPr>
      </w:pPr>
      <w:bookmarkStart w:id="649" w:name="_Toc84356266"/>
      <w:bookmarkStart w:id="650" w:name="_Toc75783545"/>
      <w:bookmarkStart w:id="651" w:name="_Toc42205007"/>
      <w:bookmarkStart w:id="652" w:name="_Toc87538383"/>
      <w:bookmarkStart w:id="653" w:name="_Toc110405148"/>
      <w:bookmarkStart w:id="654" w:name="_Toc42267646"/>
      <w:bookmarkStart w:id="655" w:name="_Toc98033948"/>
      <w:bookmarkStart w:id="656" w:name="_Toc83753906"/>
      <w:bookmarkStart w:id="657" w:name="_Toc87543832"/>
      <w:bookmarkStart w:id="658" w:name="_Toc14942"/>
      <w:bookmarkStart w:id="659" w:name="_Toc53412230"/>
      <w:bookmarkStart w:id="660" w:name="_Toc109809326"/>
      <w:bookmarkStart w:id="661" w:name="_Toc69678443"/>
      <w:bookmarkStart w:id="662" w:name="_Toc45976914"/>
      <w:bookmarkStart w:id="663" w:name="_Toc98865025"/>
      <w:bookmarkStart w:id="664" w:name="_Toc45791368"/>
      <w:bookmarkStart w:id="665" w:name="_Toc81330953"/>
      <w:r>
        <w:rPr>
          <w:rFonts w:hint="eastAsia" w:asciiTheme="minorEastAsia" w:hAnsiTheme="minorEastAsia" w:eastAsiaTheme="minorEastAsia"/>
          <w:color w:val="auto"/>
          <w:szCs w:val="28"/>
          <w:highlight w:val="none"/>
        </w:rPr>
        <w:t>4.2.</w:t>
      </w:r>
      <w:r>
        <w:rPr>
          <w:rFonts w:asciiTheme="minorEastAsia" w:hAnsiTheme="minorEastAsia" w:eastAsiaTheme="minorEastAsia"/>
          <w:color w:val="auto"/>
          <w:szCs w:val="28"/>
          <w:highlight w:val="none"/>
        </w:rPr>
        <w:t>1</w:t>
      </w:r>
      <w:r>
        <w:rPr>
          <w:rFonts w:hint="eastAsia" w:asciiTheme="minorEastAsia" w:hAnsiTheme="minorEastAsia" w:eastAsiaTheme="minorEastAsia"/>
          <w:color w:val="auto"/>
          <w:szCs w:val="28"/>
          <w:highlight w:val="none"/>
        </w:rPr>
        <w:t>响应文件的提交：见供应商须知前附表。</w:t>
      </w:r>
    </w:p>
    <w:p w14:paraId="71D936BF">
      <w:pPr>
        <w:spacing w:line="360" w:lineRule="auto"/>
        <w:ind w:firstLine="420" w:firstLineChars="200"/>
        <w:jc w:val="left"/>
        <w:rPr>
          <w:rFonts w:hint="eastAsia" w:asciiTheme="minorEastAsia" w:hAnsiTheme="minorEastAsia" w:eastAsiaTheme="minorEastAsia"/>
          <w:color w:val="auto"/>
          <w:szCs w:val="28"/>
          <w:highlight w:val="none"/>
        </w:rPr>
      </w:pPr>
      <w:r>
        <w:rPr>
          <w:rFonts w:hint="eastAsia" w:asciiTheme="minorEastAsia" w:hAnsiTheme="minorEastAsia" w:eastAsiaTheme="minorEastAsia"/>
          <w:color w:val="auto"/>
          <w:szCs w:val="28"/>
          <w:highlight w:val="none"/>
        </w:rPr>
        <w:t>4.2.</w:t>
      </w:r>
      <w:r>
        <w:rPr>
          <w:rFonts w:asciiTheme="minorEastAsia" w:hAnsiTheme="minorEastAsia" w:eastAsiaTheme="minorEastAsia"/>
          <w:color w:val="auto"/>
          <w:szCs w:val="28"/>
          <w:highlight w:val="none"/>
        </w:rPr>
        <w:t>2</w:t>
      </w:r>
      <w:r>
        <w:rPr>
          <w:rFonts w:hint="eastAsia" w:asciiTheme="minorEastAsia" w:hAnsiTheme="minorEastAsia" w:eastAsiaTheme="minorEastAsia"/>
          <w:color w:val="auto"/>
          <w:szCs w:val="28"/>
          <w:highlight w:val="none"/>
        </w:rPr>
        <w:t>除供应商须知前附表另有规定外，供应商所提交的响应文件不予退还。</w:t>
      </w:r>
    </w:p>
    <w:p w14:paraId="35162B15">
      <w:pPr>
        <w:spacing w:line="360" w:lineRule="auto"/>
        <w:outlineLvl w:val="3"/>
        <w:rPr>
          <w:rFonts w:hint="eastAsia" w:ascii="宋体" w:hAnsi="宋体"/>
          <w:b/>
          <w:bCs/>
          <w:color w:val="auto"/>
          <w:sz w:val="24"/>
          <w:szCs w:val="24"/>
          <w:highlight w:val="none"/>
        </w:rPr>
      </w:pPr>
      <w:bookmarkStart w:id="666" w:name="_Toc116584014"/>
      <w:r>
        <w:rPr>
          <w:rFonts w:hint="eastAsia" w:ascii="宋体" w:hAnsi="宋体"/>
          <w:b/>
          <w:bCs/>
          <w:color w:val="auto"/>
          <w:sz w:val="24"/>
          <w:szCs w:val="24"/>
          <w:highlight w:val="none"/>
        </w:rPr>
        <w:t>4.3响应文件修改和撤回</w:t>
      </w:r>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p>
    <w:p w14:paraId="2E7F9B79">
      <w:pPr>
        <w:spacing w:line="360" w:lineRule="auto"/>
        <w:ind w:firstLine="420" w:firstLineChars="200"/>
        <w:jc w:val="left"/>
        <w:rPr>
          <w:rFonts w:hint="eastAsia" w:asciiTheme="minorEastAsia" w:hAnsiTheme="minorEastAsia" w:eastAsiaTheme="minorEastAsia"/>
          <w:color w:val="auto"/>
          <w:szCs w:val="28"/>
          <w:highlight w:val="none"/>
        </w:rPr>
      </w:pPr>
      <w:r>
        <w:rPr>
          <w:rFonts w:hint="eastAsia" w:asciiTheme="minorEastAsia" w:hAnsiTheme="minorEastAsia" w:eastAsiaTheme="minorEastAsia"/>
          <w:color w:val="auto"/>
          <w:szCs w:val="28"/>
          <w:highlight w:val="none"/>
        </w:rPr>
        <w:t>4.3.1在本章第2.2.2项规定的</w:t>
      </w:r>
      <w:r>
        <w:rPr>
          <w:rFonts w:hint="eastAsia" w:asciiTheme="minorEastAsia" w:hAnsiTheme="minorEastAsia" w:eastAsiaTheme="minorEastAsia"/>
          <w:color w:val="auto"/>
          <w:szCs w:val="21"/>
          <w:highlight w:val="none"/>
        </w:rPr>
        <w:t>响应文件提交截止时间</w:t>
      </w:r>
      <w:r>
        <w:rPr>
          <w:rFonts w:hint="eastAsia" w:asciiTheme="minorEastAsia" w:hAnsiTheme="minorEastAsia" w:eastAsiaTheme="minorEastAsia"/>
          <w:color w:val="auto"/>
          <w:szCs w:val="28"/>
          <w:highlight w:val="none"/>
        </w:rPr>
        <w:t>前，供应商可以修改或撤回已在网上提交的响应文件，无需通知采购人和采购代理机构。</w:t>
      </w:r>
    </w:p>
    <w:p w14:paraId="707C3870">
      <w:pPr>
        <w:spacing w:line="360" w:lineRule="auto"/>
        <w:ind w:firstLine="420" w:firstLineChars="200"/>
        <w:jc w:val="left"/>
        <w:rPr>
          <w:rFonts w:hint="eastAsia" w:asciiTheme="minorEastAsia" w:hAnsiTheme="minorEastAsia" w:eastAsiaTheme="minorEastAsia"/>
          <w:color w:val="auto"/>
          <w:szCs w:val="28"/>
          <w:highlight w:val="none"/>
        </w:rPr>
      </w:pPr>
      <w:r>
        <w:rPr>
          <w:rFonts w:hint="eastAsia" w:asciiTheme="minorEastAsia" w:hAnsiTheme="minorEastAsia" w:eastAsiaTheme="minorEastAsia"/>
          <w:color w:val="auto"/>
          <w:szCs w:val="28"/>
          <w:highlight w:val="none"/>
        </w:rPr>
        <w:t>4.3.2</w:t>
      </w:r>
      <w:r>
        <w:rPr>
          <w:color w:val="auto"/>
          <w:highlight w:val="none"/>
        </w:rPr>
        <w:t>修改的</w:t>
      </w:r>
      <w:r>
        <w:rPr>
          <w:rFonts w:hint="eastAsia"/>
          <w:color w:val="auto"/>
          <w:highlight w:val="none"/>
        </w:rPr>
        <w:t>响应</w:t>
      </w:r>
      <w:r>
        <w:rPr>
          <w:color w:val="auto"/>
          <w:highlight w:val="none"/>
        </w:rPr>
        <w:t>文件应按照规定进行编制、加密和递交。</w:t>
      </w:r>
    </w:p>
    <w:p w14:paraId="688E0577">
      <w:pPr>
        <w:spacing w:line="360" w:lineRule="auto"/>
        <w:jc w:val="center"/>
        <w:outlineLvl w:val="2"/>
        <w:rPr>
          <w:rFonts w:hint="eastAsia" w:asciiTheme="minorEastAsia" w:hAnsiTheme="minorEastAsia" w:eastAsiaTheme="minorEastAsia"/>
          <w:b/>
          <w:bCs/>
          <w:color w:val="auto"/>
          <w:sz w:val="28"/>
          <w:szCs w:val="28"/>
          <w:highlight w:val="none"/>
        </w:rPr>
      </w:pPr>
      <w:bookmarkStart w:id="667" w:name="_Toc98033949"/>
      <w:bookmarkStart w:id="668" w:name="_Toc87543833"/>
      <w:bookmarkStart w:id="669" w:name="_Toc42267647"/>
      <w:bookmarkStart w:id="670" w:name="_Toc42205008"/>
      <w:bookmarkStart w:id="671" w:name="_Toc45791369"/>
      <w:bookmarkStart w:id="672" w:name="_Toc87538384"/>
      <w:bookmarkStart w:id="673" w:name="_Toc45976915"/>
      <w:bookmarkStart w:id="674" w:name="_Toc116584015"/>
      <w:bookmarkStart w:id="675" w:name="_Toc37603106"/>
      <w:bookmarkStart w:id="676" w:name="_Toc83753907"/>
      <w:bookmarkStart w:id="677" w:name="_Toc109809327"/>
      <w:bookmarkStart w:id="678" w:name="_Toc98865026"/>
      <w:bookmarkStart w:id="679" w:name="_Toc381796411"/>
      <w:bookmarkStart w:id="680" w:name="_Toc292983021"/>
      <w:bookmarkStart w:id="681" w:name="_Toc84356267"/>
      <w:bookmarkStart w:id="682" w:name="_Toc110405149"/>
      <w:bookmarkStart w:id="683" w:name="_Toc21759"/>
      <w:r>
        <w:rPr>
          <w:rFonts w:hint="eastAsia" w:asciiTheme="minorEastAsia" w:hAnsiTheme="minorEastAsia" w:eastAsiaTheme="minorEastAsia"/>
          <w:b/>
          <w:bCs/>
          <w:color w:val="auto"/>
          <w:sz w:val="28"/>
          <w:szCs w:val="28"/>
          <w:highlight w:val="none"/>
        </w:rPr>
        <w:t>5.开标</w:t>
      </w:r>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p>
    <w:p w14:paraId="2B748BE9">
      <w:pPr>
        <w:spacing w:line="360" w:lineRule="auto"/>
        <w:outlineLvl w:val="3"/>
        <w:rPr>
          <w:rFonts w:hint="eastAsia" w:ascii="宋体" w:hAnsi="宋体"/>
          <w:b/>
          <w:bCs/>
          <w:color w:val="auto"/>
          <w:sz w:val="24"/>
          <w:szCs w:val="24"/>
          <w:highlight w:val="none"/>
        </w:rPr>
      </w:pPr>
      <w:bookmarkStart w:id="684" w:name="_Toc45791370"/>
      <w:bookmarkStart w:id="685" w:name="_Toc98033950"/>
      <w:bookmarkStart w:id="686" w:name="_Toc109809328"/>
      <w:bookmarkStart w:id="687" w:name="_Toc45976916"/>
      <w:bookmarkStart w:id="688" w:name="_Toc81330955"/>
      <w:bookmarkStart w:id="689" w:name="_Toc83753908"/>
      <w:bookmarkStart w:id="690" w:name="_Toc12148"/>
      <w:bookmarkStart w:id="691" w:name="_Toc75783547"/>
      <w:bookmarkStart w:id="692" w:name="_Toc110405150"/>
      <w:bookmarkStart w:id="693" w:name="_Toc87538385"/>
      <w:bookmarkStart w:id="694" w:name="_Toc98865027"/>
      <w:bookmarkStart w:id="695" w:name="_Toc42205009"/>
      <w:bookmarkStart w:id="696" w:name="_Toc53412232"/>
      <w:bookmarkStart w:id="697" w:name="_Toc84356268"/>
      <w:bookmarkStart w:id="698" w:name="_Toc87543834"/>
      <w:bookmarkStart w:id="699" w:name="_Toc69678445"/>
      <w:bookmarkStart w:id="700" w:name="_Toc42267648"/>
      <w:bookmarkStart w:id="701" w:name="_Toc116584016"/>
      <w:r>
        <w:rPr>
          <w:rFonts w:hint="eastAsia" w:ascii="宋体" w:hAnsi="宋体"/>
          <w:b/>
          <w:bCs/>
          <w:color w:val="auto"/>
          <w:sz w:val="24"/>
          <w:szCs w:val="24"/>
          <w:highlight w:val="none"/>
        </w:rPr>
        <w:t>5.1</w:t>
      </w:r>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r>
        <w:rPr>
          <w:rFonts w:hint="eastAsia" w:ascii="宋体" w:hAnsi="宋体"/>
          <w:b/>
          <w:bCs/>
          <w:color w:val="auto"/>
          <w:sz w:val="24"/>
          <w:szCs w:val="24"/>
          <w:highlight w:val="none"/>
        </w:rPr>
        <w:t>开标时间和地点</w:t>
      </w:r>
      <w:bookmarkEnd w:id="701"/>
    </w:p>
    <w:p w14:paraId="31282FC7">
      <w:pPr>
        <w:spacing w:line="360" w:lineRule="auto"/>
        <w:ind w:firstLine="420" w:firstLineChars="200"/>
        <w:jc w:val="left"/>
        <w:rPr>
          <w:rFonts w:hint="eastAsia" w:asciiTheme="minorEastAsia" w:hAnsiTheme="minorEastAsia" w:eastAsiaTheme="minorEastAsia"/>
          <w:color w:val="auto"/>
          <w:szCs w:val="28"/>
          <w:highlight w:val="none"/>
        </w:rPr>
      </w:pPr>
      <w:bookmarkStart w:id="702" w:name="_Toc87543835"/>
      <w:bookmarkStart w:id="703" w:name="_Toc45976917"/>
      <w:bookmarkStart w:id="704" w:name="_Toc98865028"/>
      <w:bookmarkStart w:id="705" w:name="_Toc110405151"/>
      <w:bookmarkStart w:id="706" w:name="_Toc53412233"/>
      <w:bookmarkStart w:id="707" w:name="_Toc69678446"/>
      <w:bookmarkStart w:id="708" w:name="_Toc109809329"/>
      <w:bookmarkStart w:id="709" w:name="_Toc98033951"/>
      <w:bookmarkStart w:id="710" w:name="_Toc84356269"/>
      <w:bookmarkStart w:id="711" w:name="_Toc23677"/>
      <w:bookmarkStart w:id="712" w:name="_Toc75783548"/>
      <w:bookmarkStart w:id="713" w:name="_Toc81330956"/>
      <w:bookmarkStart w:id="714" w:name="_Toc87538386"/>
      <w:bookmarkStart w:id="715" w:name="_Toc42205010"/>
      <w:bookmarkStart w:id="716" w:name="_Toc45791371"/>
      <w:bookmarkStart w:id="717" w:name="_Toc83753909"/>
      <w:bookmarkStart w:id="718" w:name="_Toc42267649"/>
      <w:r>
        <w:rPr>
          <w:rFonts w:hint="eastAsia" w:asciiTheme="minorEastAsia" w:hAnsiTheme="minorEastAsia" w:eastAsiaTheme="minorEastAsia"/>
          <w:color w:val="auto"/>
          <w:szCs w:val="28"/>
          <w:highlight w:val="none"/>
        </w:rPr>
        <w:t>详见供应商须知前附表。</w:t>
      </w:r>
    </w:p>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p w14:paraId="6DBDBFBB">
      <w:pPr>
        <w:spacing w:line="360" w:lineRule="auto"/>
        <w:outlineLvl w:val="3"/>
        <w:rPr>
          <w:rFonts w:hint="eastAsia" w:ascii="宋体" w:hAnsi="宋体"/>
          <w:b/>
          <w:bCs/>
          <w:color w:val="auto"/>
          <w:sz w:val="24"/>
          <w:szCs w:val="24"/>
          <w:highlight w:val="none"/>
        </w:rPr>
      </w:pPr>
      <w:bookmarkStart w:id="719" w:name="_Toc84356270"/>
      <w:bookmarkStart w:id="720" w:name="_Toc116584017"/>
      <w:bookmarkStart w:id="721" w:name="_Toc11738"/>
      <w:bookmarkStart w:id="722" w:name="_Toc98865029"/>
      <w:bookmarkStart w:id="723" w:name="_Toc75783549"/>
      <w:bookmarkStart w:id="724" w:name="_Toc42267650"/>
      <w:bookmarkStart w:id="725" w:name="_Toc87538387"/>
      <w:bookmarkStart w:id="726" w:name="_Toc42205011"/>
      <w:bookmarkStart w:id="727" w:name="_Toc45791372"/>
      <w:bookmarkStart w:id="728" w:name="_Toc87543836"/>
      <w:bookmarkStart w:id="729" w:name="_Toc81330957"/>
      <w:bookmarkStart w:id="730" w:name="_Toc109809330"/>
      <w:bookmarkStart w:id="731" w:name="_Toc45976918"/>
      <w:bookmarkStart w:id="732" w:name="_Toc69678447"/>
      <w:bookmarkStart w:id="733" w:name="_Toc83753910"/>
      <w:bookmarkStart w:id="734" w:name="_Toc110405152"/>
      <w:bookmarkStart w:id="735" w:name="_Toc98033952"/>
      <w:bookmarkStart w:id="736" w:name="_Toc53412234"/>
      <w:r>
        <w:rPr>
          <w:rFonts w:hint="eastAsia" w:ascii="宋体" w:hAnsi="宋体"/>
          <w:b/>
          <w:bCs/>
          <w:color w:val="auto"/>
          <w:sz w:val="24"/>
          <w:szCs w:val="24"/>
          <w:highlight w:val="none"/>
        </w:rPr>
        <w:t>5.2</w:t>
      </w:r>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Start w:id="737" w:name="_Toc116584018"/>
      <w:bookmarkStart w:id="738" w:name="_Toc87538388"/>
      <w:bookmarkStart w:id="739" w:name="_Toc42267651"/>
      <w:bookmarkStart w:id="740" w:name="_Toc84356271"/>
      <w:bookmarkStart w:id="741" w:name="_Toc98865030"/>
      <w:bookmarkStart w:id="742" w:name="_Toc18249"/>
      <w:bookmarkStart w:id="743" w:name="_Toc69678448"/>
      <w:bookmarkStart w:id="744" w:name="_Toc81330958"/>
      <w:bookmarkStart w:id="745" w:name="_Toc53412235"/>
      <w:bookmarkStart w:id="746" w:name="_Toc45976919"/>
      <w:bookmarkStart w:id="747" w:name="_Toc42205012"/>
      <w:bookmarkStart w:id="748" w:name="_Toc110405153"/>
      <w:bookmarkStart w:id="749" w:name="_Toc83753911"/>
      <w:bookmarkStart w:id="750" w:name="_Toc98033953"/>
      <w:bookmarkStart w:id="751" w:name="_Toc45791373"/>
      <w:bookmarkStart w:id="752" w:name="_Toc109809331"/>
      <w:bookmarkStart w:id="753" w:name="_Toc87543837"/>
      <w:bookmarkStart w:id="754" w:name="_Toc75783550"/>
      <w:r>
        <w:rPr>
          <w:rFonts w:hint="eastAsia" w:ascii="宋体" w:hAnsi="宋体"/>
          <w:b/>
          <w:bCs/>
          <w:color w:val="auto"/>
          <w:sz w:val="24"/>
          <w:szCs w:val="24"/>
          <w:highlight w:val="none"/>
        </w:rPr>
        <w:t xml:space="preserve"> 开标程序</w:t>
      </w:r>
    </w:p>
    <w:p w14:paraId="23714BFE">
      <w:pPr>
        <w:spacing w:line="360" w:lineRule="auto"/>
        <w:ind w:firstLine="420" w:firstLineChars="200"/>
        <w:jc w:val="left"/>
        <w:rPr>
          <w:rFonts w:hint="eastAsia" w:asciiTheme="minorEastAsia" w:hAnsiTheme="minorEastAsia" w:eastAsiaTheme="minorEastAsia"/>
          <w:color w:val="auto"/>
          <w:szCs w:val="28"/>
          <w:highlight w:val="none"/>
        </w:rPr>
      </w:pPr>
      <w:r>
        <w:rPr>
          <w:rFonts w:hint="eastAsia" w:asciiTheme="minorEastAsia" w:hAnsiTheme="minorEastAsia" w:eastAsiaTheme="minorEastAsia"/>
          <w:color w:val="auto"/>
          <w:szCs w:val="28"/>
          <w:highlight w:val="none"/>
        </w:rPr>
        <w:t>详见供应商须知前附表。</w:t>
      </w:r>
    </w:p>
    <w:p w14:paraId="4C7D07D8">
      <w:pPr>
        <w:spacing w:line="360" w:lineRule="auto"/>
        <w:outlineLvl w:val="3"/>
        <w:rPr>
          <w:rFonts w:hint="eastAsia" w:ascii="宋体" w:hAnsi="宋体"/>
          <w:b/>
          <w:bCs/>
          <w:color w:val="auto"/>
          <w:sz w:val="24"/>
          <w:szCs w:val="24"/>
          <w:highlight w:val="none"/>
        </w:rPr>
      </w:pPr>
      <w:r>
        <w:rPr>
          <w:rFonts w:hint="eastAsia" w:ascii="宋体" w:hAnsi="宋体"/>
          <w:b/>
          <w:bCs/>
          <w:color w:val="auto"/>
          <w:sz w:val="24"/>
          <w:szCs w:val="24"/>
          <w:highlight w:val="none"/>
        </w:rPr>
        <w:t>5.3响应文件的解密方式</w:t>
      </w:r>
      <w:bookmarkEnd w:id="737"/>
    </w:p>
    <w:p w14:paraId="73A2C8A0">
      <w:pPr>
        <w:spacing w:line="360" w:lineRule="auto"/>
        <w:ind w:firstLine="420" w:firstLineChars="200"/>
        <w:jc w:val="left"/>
        <w:rPr>
          <w:rFonts w:hint="eastAsia" w:asciiTheme="minorEastAsia" w:hAnsiTheme="minorEastAsia" w:eastAsiaTheme="minorEastAsia"/>
          <w:color w:val="auto"/>
          <w:szCs w:val="28"/>
          <w:highlight w:val="none"/>
        </w:rPr>
      </w:pPr>
      <w:r>
        <w:rPr>
          <w:rFonts w:hint="eastAsia" w:asciiTheme="minorEastAsia" w:hAnsiTheme="minorEastAsia" w:eastAsiaTheme="minorEastAsia"/>
          <w:color w:val="auto"/>
          <w:szCs w:val="28"/>
          <w:highlight w:val="none"/>
        </w:rPr>
        <w:t>详见供应商须知前附表。</w:t>
      </w:r>
    </w:p>
    <w:p w14:paraId="46F79630">
      <w:pPr>
        <w:spacing w:line="360" w:lineRule="auto"/>
        <w:outlineLvl w:val="3"/>
        <w:rPr>
          <w:rFonts w:hint="eastAsia" w:ascii="宋体" w:hAnsi="宋体"/>
          <w:b/>
          <w:bCs/>
          <w:color w:val="auto"/>
          <w:sz w:val="24"/>
          <w:szCs w:val="24"/>
          <w:highlight w:val="none"/>
        </w:rPr>
      </w:pPr>
      <w:bookmarkStart w:id="755" w:name="_Toc116584019"/>
      <w:r>
        <w:rPr>
          <w:rFonts w:hint="eastAsia" w:ascii="宋体" w:hAnsi="宋体"/>
          <w:b/>
          <w:bCs/>
          <w:color w:val="auto"/>
          <w:sz w:val="24"/>
          <w:szCs w:val="24"/>
          <w:highlight w:val="none"/>
        </w:rPr>
        <w:t>5.4响应文件有下列情形之一的，采购人不予受理</w:t>
      </w:r>
      <w:bookmarkEnd w:id="755"/>
    </w:p>
    <w:p w14:paraId="23499737">
      <w:pPr>
        <w:spacing w:line="360" w:lineRule="auto"/>
        <w:ind w:firstLine="420" w:firstLineChars="200"/>
        <w:jc w:val="left"/>
        <w:rPr>
          <w:rFonts w:hint="eastAsia" w:asciiTheme="minorEastAsia" w:hAnsiTheme="minorEastAsia" w:eastAsiaTheme="minorEastAsia"/>
          <w:color w:val="auto"/>
          <w:szCs w:val="28"/>
          <w:highlight w:val="none"/>
        </w:rPr>
      </w:pPr>
      <w:r>
        <w:rPr>
          <w:rFonts w:hint="eastAsia" w:asciiTheme="minorEastAsia" w:hAnsiTheme="minorEastAsia" w:eastAsiaTheme="minorEastAsia"/>
          <w:color w:val="auto"/>
          <w:szCs w:val="28"/>
          <w:highlight w:val="none"/>
        </w:rPr>
        <w:t>5.4.1在2.2.2项规定的</w:t>
      </w:r>
      <w:r>
        <w:rPr>
          <w:rFonts w:hint="eastAsia" w:asciiTheme="minorEastAsia" w:hAnsiTheme="minorEastAsia" w:eastAsiaTheme="minorEastAsia"/>
          <w:color w:val="auto"/>
          <w:szCs w:val="21"/>
          <w:highlight w:val="none"/>
        </w:rPr>
        <w:t>响应文件提交截止时间</w:t>
      </w:r>
      <w:r>
        <w:rPr>
          <w:rFonts w:hint="eastAsia" w:asciiTheme="minorEastAsia" w:hAnsiTheme="minorEastAsia" w:eastAsiaTheme="minorEastAsia"/>
          <w:color w:val="auto"/>
          <w:szCs w:val="28"/>
          <w:highlight w:val="none"/>
        </w:rPr>
        <w:t>以后上传或未成功上传响应文件的。</w:t>
      </w:r>
    </w:p>
    <w:p w14:paraId="593AE269">
      <w:pPr>
        <w:spacing w:line="360" w:lineRule="auto"/>
        <w:ind w:firstLine="420" w:firstLineChars="200"/>
        <w:jc w:val="left"/>
        <w:rPr>
          <w:rFonts w:hint="eastAsia" w:asciiTheme="minorEastAsia" w:hAnsiTheme="minorEastAsia" w:eastAsiaTheme="minorEastAsia"/>
          <w:color w:val="auto"/>
          <w:szCs w:val="28"/>
          <w:highlight w:val="none"/>
        </w:rPr>
      </w:pPr>
      <w:r>
        <w:rPr>
          <w:rFonts w:hint="eastAsia" w:asciiTheme="minorEastAsia" w:hAnsiTheme="minorEastAsia" w:eastAsiaTheme="minorEastAsia"/>
          <w:color w:val="auto"/>
          <w:szCs w:val="28"/>
          <w:highlight w:val="none"/>
        </w:rPr>
        <w:t>5.4.2供应商提交的电子响应文件格式不符合3.7.1项要求或无法读取导入的。</w:t>
      </w:r>
    </w:p>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p w14:paraId="430CB049">
      <w:pPr>
        <w:spacing w:line="360" w:lineRule="auto"/>
        <w:jc w:val="center"/>
        <w:outlineLvl w:val="2"/>
        <w:rPr>
          <w:rFonts w:hint="eastAsia" w:asciiTheme="minorEastAsia" w:hAnsiTheme="minorEastAsia" w:eastAsiaTheme="minorEastAsia"/>
          <w:b/>
          <w:bCs/>
          <w:color w:val="auto"/>
          <w:sz w:val="28"/>
          <w:szCs w:val="28"/>
          <w:highlight w:val="none"/>
        </w:rPr>
      </w:pPr>
      <w:bookmarkStart w:id="756" w:name="_Toc109809332"/>
      <w:bookmarkStart w:id="757" w:name="_Toc87543838"/>
      <w:bookmarkStart w:id="758" w:name="_Toc116584021"/>
      <w:bookmarkStart w:id="759" w:name="_Toc110405154"/>
      <w:bookmarkStart w:id="760" w:name="_Toc42267652"/>
      <w:bookmarkStart w:id="761" w:name="_Toc19868"/>
      <w:bookmarkStart w:id="762" w:name="_Toc45976920"/>
      <w:bookmarkStart w:id="763" w:name="_Toc84356272"/>
      <w:bookmarkStart w:id="764" w:name="_Toc98033954"/>
      <w:bookmarkStart w:id="765" w:name="_Toc42205013"/>
      <w:bookmarkStart w:id="766" w:name="_Toc45791374"/>
      <w:bookmarkStart w:id="767" w:name="_Toc87538389"/>
      <w:bookmarkStart w:id="768" w:name="_Toc83753912"/>
      <w:bookmarkStart w:id="769" w:name="_Toc98865031"/>
      <w:r>
        <w:rPr>
          <w:rFonts w:hint="eastAsia" w:asciiTheme="minorEastAsia" w:hAnsiTheme="minorEastAsia" w:eastAsiaTheme="minorEastAsia"/>
          <w:b/>
          <w:bCs/>
          <w:color w:val="auto"/>
          <w:sz w:val="28"/>
          <w:szCs w:val="28"/>
          <w:highlight w:val="none"/>
        </w:rPr>
        <w:t>6.评审</w:t>
      </w:r>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p>
    <w:p w14:paraId="58D3A7B3">
      <w:pPr>
        <w:spacing w:line="360" w:lineRule="auto"/>
        <w:outlineLvl w:val="3"/>
        <w:rPr>
          <w:rFonts w:hint="eastAsia" w:ascii="宋体" w:hAnsi="宋体"/>
          <w:b/>
          <w:bCs/>
          <w:color w:val="auto"/>
          <w:sz w:val="24"/>
          <w:szCs w:val="24"/>
          <w:highlight w:val="none"/>
        </w:rPr>
      </w:pPr>
      <w:bookmarkStart w:id="770" w:name="_Toc110405155"/>
      <w:bookmarkStart w:id="771" w:name="_Toc42205014"/>
      <w:bookmarkStart w:id="772" w:name="_Toc116584022"/>
      <w:bookmarkStart w:id="773" w:name="_Toc83753913"/>
      <w:bookmarkStart w:id="774" w:name="_Toc4399"/>
      <w:bookmarkStart w:id="775" w:name="_Toc84356273"/>
      <w:bookmarkStart w:id="776" w:name="_Toc42267653"/>
      <w:bookmarkStart w:id="777" w:name="_Toc87538390"/>
      <w:bookmarkStart w:id="778" w:name="_Toc75783552"/>
      <w:bookmarkStart w:id="779" w:name="_Toc109809333"/>
      <w:bookmarkStart w:id="780" w:name="_Toc98865032"/>
      <w:bookmarkStart w:id="781" w:name="_Toc45791375"/>
      <w:bookmarkStart w:id="782" w:name="_Toc98033955"/>
      <w:bookmarkStart w:id="783" w:name="_Toc53412237"/>
      <w:bookmarkStart w:id="784" w:name="_Toc45976921"/>
      <w:bookmarkStart w:id="785" w:name="_Toc69678450"/>
      <w:bookmarkStart w:id="786" w:name="_Toc87543839"/>
      <w:bookmarkStart w:id="787" w:name="_Toc81330960"/>
      <w:r>
        <w:rPr>
          <w:rFonts w:hint="eastAsia" w:ascii="宋体" w:hAnsi="宋体"/>
          <w:b/>
          <w:bCs/>
          <w:color w:val="auto"/>
          <w:sz w:val="24"/>
          <w:szCs w:val="24"/>
          <w:highlight w:val="none"/>
        </w:rPr>
        <w:t>6.1 磋商小组</w:t>
      </w:r>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p>
    <w:p w14:paraId="4AD56D4C">
      <w:pPr>
        <w:adjustRightInd w:val="0"/>
        <w:snapToGrid w:val="0"/>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8"/>
          <w:highlight w:val="none"/>
        </w:rPr>
        <w:t>6.1.1本项目的评审工作由采购人依法组建的磋商小组负责。磋商小组</w:t>
      </w:r>
      <w:r>
        <w:rPr>
          <w:rFonts w:asciiTheme="minorEastAsia" w:hAnsiTheme="minorEastAsia" w:eastAsiaTheme="minorEastAsia"/>
          <w:color w:val="auto"/>
          <w:szCs w:val="21"/>
          <w:highlight w:val="none"/>
        </w:rPr>
        <w:t>由</w:t>
      </w:r>
      <w:r>
        <w:rPr>
          <w:rFonts w:hint="eastAsia" w:asciiTheme="minorEastAsia" w:hAnsiTheme="minorEastAsia" w:eastAsiaTheme="minorEastAsia"/>
          <w:color w:val="auto"/>
          <w:szCs w:val="28"/>
          <w:highlight w:val="none"/>
        </w:rPr>
        <w:t>采购人代表及</w:t>
      </w:r>
      <w:r>
        <w:rPr>
          <w:rFonts w:asciiTheme="minorEastAsia" w:hAnsiTheme="minorEastAsia" w:eastAsiaTheme="minorEastAsia"/>
          <w:color w:val="auto"/>
          <w:szCs w:val="21"/>
          <w:highlight w:val="none"/>
        </w:rPr>
        <w:t>有关技术、经济等方面的</w:t>
      </w:r>
      <w:r>
        <w:rPr>
          <w:rFonts w:hint="eastAsia" w:asciiTheme="minorEastAsia" w:hAnsiTheme="minorEastAsia" w:eastAsiaTheme="minorEastAsia"/>
          <w:color w:val="auto"/>
          <w:szCs w:val="21"/>
          <w:highlight w:val="none"/>
        </w:rPr>
        <w:t>人员</w:t>
      </w:r>
      <w:r>
        <w:rPr>
          <w:rFonts w:asciiTheme="minorEastAsia" w:hAnsiTheme="minorEastAsia" w:eastAsiaTheme="minorEastAsia"/>
          <w:color w:val="auto"/>
          <w:szCs w:val="21"/>
          <w:highlight w:val="none"/>
        </w:rPr>
        <w:t>组成。</w:t>
      </w:r>
      <w:r>
        <w:rPr>
          <w:rFonts w:hint="eastAsia" w:asciiTheme="minorEastAsia" w:hAnsiTheme="minorEastAsia" w:eastAsiaTheme="minorEastAsia"/>
          <w:color w:val="auto"/>
          <w:szCs w:val="28"/>
          <w:highlight w:val="none"/>
        </w:rPr>
        <w:t>磋商小组</w:t>
      </w:r>
      <w:r>
        <w:rPr>
          <w:rFonts w:asciiTheme="minorEastAsia" w:hAnsiTheme="minorEastAsia" w:eastAsiaTheme="minorEastAsia"/>
          <w:color w:val="auto"/>
          <w:szCs w:val="21"/>
          <w:highlight w:val="none"/>
        </w:rPr>
        <w:t>成员人数以及技术、经济等方面</w:t>
      </w:r>
      <w:r>
        <w:rPr>
          <w:rFonts w:hint="eastAsia" w:asciiTheme="minorEastAsia" w:hAnsiTheme="minorEastAsia" w:eastAsiaTheme="minorEastAsia"/>
          <w:color w:val="auto"/>
          <w:szCs w:val="21"/>
          <w:highlight w:val="none"/>
        </w:rPr>
        <w:t>人员</w:t>
      </w:r>
      <w:r>
        <w:rPr>
          <w:rFonts w:asciiTheme="minorEastAsia" w:hAnsiTheme="minorEastAsia" w:eastAsiaTheme="minorEastAsia"/>
          <w:color w:val="auto"/>
          <w:szCs w:val="21"/>
          <w:highlight w:val="none"/>
        </w:rPr>
        <w:t>的确定方式详见供应商须知前附表。</w:t>
      </w:r>
    </w:p>
    <w:p w14:paraId="78CECC54">
      <w:pPr>
        <w:adjustRightInd w:val="0"/>
        <w:snapToGrid w:val="0"/>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6.1.2</w:t>
      </w:r>
      <w:r>
        <w:rPr>
          <w:rFonts w:hint="eastAsia" w:asciiTheme="minorEastAsia" w:hAnsiTheme="minorEastAsia" w:eastAsiaTheme="minorEastAsia"/>
          <w:color w:val="auto"/>
          <w:szCs w:val="28"/>
          <w:highlight w:val="none"/>
        </w:rPr>
        <w:t>磋商小组</w:t>
      </w:r>
      <w:r>
        <w:rPr>
          <w:rFonts w:asciiTheme="minorEastAsia" w:hAnsiTheme="minorEastAsia" w:eastAsiaTheme="minorEastAsia"/>
          <w:color w:val="auto"/>
          <w:szCs w:val="21"/>
          <w:highlight w:val="none"/>
        </w:rPr>
        <w:t>成员有下列情形之一的，应当回避：</w:t>
      </w:r>
    </w:p>
    <w:p w14:paraId="3081BCE9">
      <w:pPr>
        <w:adjustRightInd w:val="0"/>
        <w:snapToGrid w:val="0"/>
        <w:spacing w:line="360" w:lineRule="auto"/>
        <w:ind w:firstLine="420" w:firstLineChars="200"/>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（1）采购人或供应商的主要负责人的近亲属；</w:t>
      </w:r>
    </w:p>
    <w:p w14:paraId="7C38FD00">
      <w:pPr>
        <w:adjustRightInd w:val="0"/>
        <w:snapToGrid w:val="0"/>
        <w:spacing w:line="360" w:lineRule="auto"/>
        <w:ind w:firstLine="420" w:firstLineChars="200"/>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（2）项目主管部门或者行政监督部门的人员；</w:t>
      </w:r>
    </w:p>
    <w:p w14:paraId="314ED858">
      <w:pPr>
        <w:adjustRightInd w:val="0"/>
        <w:snapToGrid w:val="0"/>
        <w:spacing w:line="360" w:lineRule="auto"/>
        <w:ind w:firstLine="420" w:firstLineChars="200"/>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（3）与供应商有经济利益关系，可能影响对磋商公正评审的；</w:t>
      </w:r>
    </w:p>
    <w:p w14:paraId="38CE7ED0">
      <w:pPr>
        <w:adjustRightInd w:val="0"/>
        <w:snapToGrid w:val="0"/>
        <w:spacing w:line="360" w:lineRule="auto"/>
        <w:ind w:firstLine="420" w:firstLineChars="200"/>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（4）曾因在招标、评</w:t>
      </w:r>
      <w:r>
        <w:rPr>
          <w:rFonts w:hint="eastAsia" w:asciiTheme="minorEastAsia" w:hAnsiTheme="minorEastAsia" w:eastAsiaTheme="minorEastAsia"/>
          <w:color w:val="auto"/>
          <w:szCs w:val="21"/>
          <w:highlight w:val="none"/>
        </w:rPr>
        <w:t>标</w:t>
      </w:r>
      <w:r>
        <w:rPr>
          <w:rFonts w:asciiTheme="minorEastAsia" w:hAnsiTheme="minorEastAsia" w:eastAsiaTheme="minorEastAsia"/>
          <w:color w:val="auto"/>
          <w:szCs w:val="21"/>
          <w:highlight w:val="none"/>
        </w:rPr>
        <w:t>以及其他与招标</w:t>
      </w:r>
      <w:r>
        <w:rPr>
          <w:rFonts w:hint="eastAsia" w:asciiTheme="minorEastAsia" w:hAnsiTheme="minorEastAsia" w:eastAsiaTheme="minorEastAsia"/>
          <w:color w:val="auto"/>
          <w:szCs w:val="21"/>
          <w:highlight w:val="none"/>
        </w:rPr>
        <w:t>投标</w:t>
      </w:r>
      <w:r>
        <w:rPr>
          <w:rFonts w:asciiTheme="minorEastAsia" w:hAnsiTheme="minorEastAsia" w:eastAsiaTheme="minorEastAsia"/>
          <w:color w:val="auto"/>
          <w:szCs w:val="21"/>
          <w:highlight w:val="none"/>
        </w:rPr>
        <w:t>有关活动中从事违法行为而受过行政处罚或刑事处罚的。</w:t>
      </w:r>
    </w:p>
    <w:p w14:paraId="64E3B90B">
      <w:pPr>
        <w:spacing w:line="360" w:lineRule="auto"/>
        <w:outlineLvl w:val="3"/>
        <w:rPr>
          <w:rFonts w:hint="eastAsia" w:ascii="宋体" w:hAnsi="宋体"/>
          <w:b/>
          <w:bCs/>
          <w:color w:val="auto"/>
          <w:sz w:val="24"/>
          <w:szCs w:val="24"/>
          <w:highlight w:val="none"/>
        </w:rPr>
      </w:pPr>
      <w:bookmarkStart w:id="788" w:name="_Toc53412238"/>
      <w:bookmarkStart w:id="789" w:name="_Toc116584023"/>
      <w:bookmarkStart w:id="790" w:name="_Toc109809334"/>
      <w:bookmarkStart w:id="791" w:name="_Toc45791376"/>
      <w:bookmarkStart w:id="792" w:name="_Toc87538391"/>
      <w:bookmarkStart w:id="793" w:name="_Toc6014"/>
      <w:bookmarkStart w:id="794" w:name="_Toc81330961"/>
      <w:bookmarkStart w:id="795" w:name="_Toc45976922"/>
      <w:bookmarkStart w:id="796" w:name="_Toc87543840"/>
      <w:bookmarkStart w:id="797" w:name="_Toc42205015"/>
      <w:bookmarkStart w:id="798" w:name="_Toc110405156"/>
      <w:bookmarkStart w:id="799" w:name="_Toc98033956"/>
      <w:bookmarkStart w:id="800" w:name="_Toc75783553"/>
      <w:bookmarkStart w:id="801" w:name="_Toc42267654"/>
      <w:bookmarkStart w:id="802" w:name="_Toc83753914"/>
      <w:bookmarkStart w:id="803" w:name="_Toc69678451"/>
      <w:bookmarkStart w:id="804" w:name="_Toc84356274"/>
      <w:bookmarkStart w:id="805" w:name="_Toc98865033"/>
      <w:r>
        <w:rPr>
          <w:rFonts w:hint="eastAsia" w:ascii="宋体" w:hAnsi="宋体"/>
          <w:b/>
          <w:bCs/>
          <w:color w:val="auto"/>
          <w:sz w:val="24"/>
          <w:szCs w:val="24"/>
          <w:highlight w:val="none"/>
        </w:rPr>
        <w:t>6.2 评审原则</w:t>
      </w:r>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p>
    <w:p w14:paraId="0F3EBFC7">
      <w:pPr>
        <w:adjustRightInd w:val="0"/>
        <w:snapToGrid w:val="0"/>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评审活动应遵循公平、公正、科学和择优的原则。</w:t>
      </w:r>
    </w:p>
    <w:p w14:paraId="754FF488">
      <w:pPr>
        <w:spacing w:line="360" w:lineRule="auto"/>
        <w:outlineLvl w:val="3"/>
        <w:rPr>
          <w:rFonts w:hint="eastAsia" w:ascii="宋体" w:hAnsi="宋体"/>
          <w:b/>
          <w:bCs/>
          <w:color w:val="auto"/>
          <w:sz w:val="24"/>
          <w:szCs w:val="24"/>
          <w:highlight w:val="none"/>
        </w:rPr>
      </w:pPr>
      <w:bookmarkStart w:id="806" w:name="_Toc98033957"/>
      <w:bookmarkStart w:id="807" w:name="_Toc81330962"/>
      <w:bookmarkStart w:id="808" w:name="_Toc42267655"/>
      <w:bookmarkStart w:id="809" w:name="_Toc42205016"/>
      <w:bookmarkStart w:id="810" w:name="_Toc45976923"/>
      <w:bookmarkStart w:id="811" w:name="_Toc110405157"/>
      <w:bookmarkStart w:id="812" w:name="_Toc53412239"/>
      <w:bookmarkStart w:id="813" w:name="_Toc69678452"/>
      <w:bookmarkStart w:id="814" w:name="_Toc75783554"/>
      <w:bookmarkStart w:id="815" w:name="_Toc109809335"/>
      <w:bookmarkStart w:id="816" w:name="_Toc98865034"/>
      <w:bookmarkStart w:id="817" w:name="_Toc21353"/>
      <w:bookmarkStart w:id="818" w:name="_Toc84356275"/>
      <w:bookmarkStart w:id="819" w:name="_Toc116584024"/>
      <w:bookmarkStart w:id="820" w:name="_Toc87538392"/>
      <w:bookmarkStart w:id="821" w:name="_Toc45791377"/>
      <w:bookmarkStart w:id="822" w:name="_Toc83753915"/>
      <w:bookmarkStart w:id="823" w:name="_Toc87543841"/>
      <w:r>
        <w:rPr>
          <w:rFonts w:hint="eastAsia" w:ascii="宋体" w:hAnsi="宋体"/>
          <w:b/>
          <w:bCs/>
          <w:color w:val="auto"/>
          <w:sz w:val="24"/>
          <w:szCs w:val="24"/>
          <w:highlight w:val="none"/>
        </w:rPr>
        <w:t>6.3 评审</w:t>
      </w:r>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p>
    <w:p w14:paraId="1764EAF0">
      <w:pPr>
        <w:adjustRightInd w:val="0"/>
        <w:snapToGrid w:val="0"/>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磋商小组按照第六章“评审办法”规定的方法、评审因素、标准和程序对响应文件进行评审，第六章“评审办法”没有规定的方法、评审因素和标准，不得作为评审依据。</w:t>
      </w:r>
    </w:p>
    <w:p w14:paraId="1595B176">
      <w:pPr>
        <w:spacing w:line="360" w:lineRule="auto"/>
        <w:jc w:val="center"/>
        <w:outlineLvl w:val="2"/>
        <w:rPr>
          <w:rFonts w:hint="eastAsia" w:asciiTheme="minorEastAsia" w:hAnsiTheme="minorEastAsia" w:eastAsiaTheme="minorEastAsia"/>
          <w:b/>
          <w:bCs/>
          <w:color w:val="auto"/>
          <w:sz w:val="28"/>
          <w:szCs w:val="28"/>
          <w:highlight w:val="none"/>
        </w:rPr>
      </w:pPr>
      <w:bookmarkStart w:id="824" w:name="_Toc42205017"/>
      <w:bookmarkStart w:id="825" w:name="_Toc98865035"/>
      <w:bookmarkStart w:id="826" w:name="_Toc109809336"/>
      <w:bookmarkStart w:id="827" w:name="_Toc37603107"/>
      <w:bookmarkStart w:id="828" w:name="_Toc292983022"/>
      <w:bookmarkStart w:id="829" w:name="_Toc45976924"/>
      <w:bookmarkStart w:id="830" w:name="_Toc110405158"/>
      <w:bookmarkStart w:id="831" w:name="_Toc45791378"/>
      <w:bookmarkStart w:id="832" w:name="_Toc84356276"/>
      <w:bookmarkStart w:id="833" w:name="_Toc87538393"/>
      <w:bookmarkStart w:id="834" w:name="_Toc83753916"/>
      <w:bookmarkStart w:id="835" w:name="_Toc87543842"/>
      <w:bookmarkStart w:id="836" w:name="_Toc98033958"/>
      <w:bookmarkStart w:id="837" w:name="_Toc381796412"/>
      <w:bookmarkStart w:id="838" w:name="_Toc11599"/>
      <w:bookmarkStart w:id="839" w:name="_Toc116584025"/>
      <w:bookmarkStart w:id="840" w:name="_Toc42267656"/>
      <w:r>
        <w:rPr>
          <w:rFonts w:hint="eastAsia" w:asciiTheme="minorEastAsia" w:hAnsiTheme="minorEastAsia" w:eastAsiaTheme="minorEastAsia"/>
          <w:b/>
          <w:bCs/>
          <w:color w:val="auto"/>
          <w:sz w:val="28"/>
          <w:szCs w:val="28"/>
          <w:highlight w:val="none"/>
        </w:rPr>
        <w:t>7.合同授予</w:t>
      </w:r>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p>
    <w:p w14:paraId="2AC5BF28">
      <w:pPr>
        <w:spacing w:line="360" w:lineRule="auto"/>
        <w:outlineLvl w:val="3"/>
        <w:rPr>
          <w:rFonts w:hint="eastAsia" w:ascii="宋体" w:hAnsi="宋体"/>
          <w:b/>
          <w:bCs/>
          <w:color w:val="auto"/>
          <w:sz w:val="24"/>
          <w:szCs w:val="24"/>
          <w:highlight w:val="none"/>
        </w:rPr>
      </w:pPr>
      <w:bookmarkStart w:id="841" w:name="_Toc70503243"/>
      <w:bookmarkStart w:id="842" w:name="_Toc18460"/>
      <w:bookmarkStart w:id="843" w:name="_Toc45452769"/>
      <w:bookmarkStart w:id="844" w:name="_Toc42205018"/>
      <w:bookmarkStart w:id="845" w:name="_Toc50559278"/>
      <w:bookmarkStart w:id="846" w:name="_Toc98033959"/>
      <w:bookmarkStart w:id="847" w:name="_Toc52091975"/>
      <w:bookmarkStart w:id="848" w:name="_Toc45900551"/>
      <w:bookmarkStart w:id="849" w:name="_Toc110405159"/>
      <w:bookmarkStart w:id="850" w:name="_Toc98865036"/>
      <w:bookmarkStart w:id="851" w:name="_Toc42267657"/>
      <w:bookmarkStart w:id="852" w:name="_Toc87543843"/>
      <w:bookmarkStart w:id="853" w:name="_Toc79967649"/>
      <w:bookmarkStart w:id="854" w:name="_Toc48639300"/>
      <w:bookmarkStart w:id="855" w:name="_Toc79968010"/>
      <w:bookmarkStart w:id="856" w:name="_Toc109809337"/>
      <w:bookmarkStart w:id="857" w:name="_Toc116584026"/>
      <w:bookmarkStart w:id="858" w:name="_Toc124133181"/>
      <w:bookmarkStart w:id="859" w:name="_Toc81660933"/>
      <w:bookmarkStart w:id="860" w:name="_Toc45900555"/>
      <w:bookmarkStart w:id="861" w:name="_Toc45452773"/>
      <w:bookmarkStart w:id="862" w:name="_Toc50559282"/>
      <w:bookmarkStart w:id="863" w:name="_Toc81661145"/>
      <w:bookmarkStart w:id="864" w:name="_Toc81660839"/>
      <w:bookmarkStart w:id="865" w:name="_Toc45791383"/>
      <w:bookmarkStart w:id="866" w:name="_Toc45976929"/>
      <w:bookmarkStart w:id="867" w:name="_Toc42205022"/>
      <w:bookmarkStart w:id="868" w:name="_Toc42267661"/>
      <w:bookmarkStart w:id="869" w:name="_Toc84356280"/>
      <w:bookmarkStart w:id="870" w:name="_Toc87538397"/>
      <w:bookmarkStart w:id="871" w:name="_Toc83753920"/>
      <w:r>
        <w:rPr>
          <w:rFonts w:hint="eastAsia" w:ascii="宋体" w:hAnsi="宋体"/>
          <w:b/>
          <w:bCs/>
          <w:color w:val="auto"/>
          <w:sz w:val="24"/>
          <w:szCs w:val="24"/>
          <w:highlight w:val="none"/>
        </w:rPr>
        <w:t>7.1定标方式</w:t>
      </w:r>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p>
    <w:p w14:paraId="7F431959">
      <w:pPr>
        <w:adjustRightInd w:val="0"/>
        <w:snapToGrid w:val="0"/>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除供应商须知前附表规定磋商小组直接确定成交供应商外，采购人依据磋商小组推荐的成交候选人顺序确定成交供应商，磋商小组推荐的成交候选人的人数见供应商须知前附表。</w:t>
      </w:r>
    </w:p>
    <w:bookmarkEnd w:id="858"/>
    <w:p w14:paraId="4C3077E6">
      <w:pPr>
        <w:spacing w:line="360" w:lineRule="auto"/>
        <w:outlineLvl w:val="3"/>
        <w:rPr>
          <w:rFonts w:hint="eastAsia" w:ascii="宋体" w:hAnsi="宋体"/>
          <w:b/>
          <w:bCs/>
          <w:color w:val="auto"/>
          <w:sz w:val="24"/>
          <w:szCs w:val="24"/>
          <w:highlight w:val="none"/>
        </w:rPr>
      </w:pPr>
      <w:bookmarkStart w:id="872" w:name="_Toc42267658"/>
      <w:bookmarkStart w:id="873" w:name="_Toc52091976"/>
      <w:bookmarkStart w:id="874" w:name="_Toc45452770"/>
      <w:bookmarkStart w:id="875" w:name="_Toc70503244"/>
      <w:bookmarkStart w:id="876" w:name="_Toc50559279"/>
      <w:bookmarkStart w:id="877" w:name="_Toc45900552"/>
      <w:bookmarkStart w:id="878" w:name="_Toc48639301"/>
      <w:bookmarkStart w:id="879" w:name="_Toc42205019"/>
      <w:bookmarkStart w:id="880" w:name="_Toc116584027"/>
      <w:bookmarkStart w:id="881" w:name="_Toc79967650"/>
      <w:bookmarkStart w:id="882" w:name="_Toc79968011"/>
      <w:bookmarkStart w:id="883" w:name="_Toc87543844"/>
      <w:bookmarkStart w:id="884" w:name="_Toc98865037"/>
      <w:bookmarkStart w:id="885" w:name="_Toc18918"/>
      <w:bookmarkStart w:id="886" w:name="_Toc110405160"/>
      <w:bookmarkStart w:id="887" w:name="_Toc109809338"/>
      <w:bookmarkStart w:id="888" w:name="_Toc98033960"/>
      <w:r>
        <w:rPr>
          <w:rFonts w:hint="eastAsia" w:ascii="宋体" w:hAnsi="宋体"/>
          <w:b/>
          <w:bCs/>
          <w:color w:val="auto"/>
          <w:sz w:val="24"/>
          <w:szCs w:val="24"/>
          <w:highlight w:val="none"/>
        </w:rPr>
        <w:t>7.2成交</w:t>
      </w:r>
      <w:bookmarkEnd w:id="872"/>
      <w:bookmarkEnd w:id="873"/>
      <w:bookmarkEnd w:id="874"/>
      <w:bookmarkEnd w:id="875"/>
      <w:bookmarkEnd w:id="876"/>
      <w:bookmarkEnd w:id="877"/>
      <w:bookmarkEnd w:id="878"/>
      <w:bookmarkEnd w:id="879"/>
      <w:r>
        <w:rPr>
          <w:rFonts w:hint="eastAsia" w:ascii="宋体" w:hAnsi="宋体"/>
          <w:b/>
          <w:bCs/>
          <w:color w:val="auto"/>
          <w:sz w:val="24"/>
          <w:szCs w:val="24"/>
          <w:highlight w:val="none"/>
        </w:rPr>
        <w:t>结果</w:t>
      </w:r>
      <w:bookmarkEnd w:id="880"/>
      <w:bookmarkEnd w:id="881"/>
      <w:bookmarkEnd w:id="882"/>
      <w:bookmarkEnd w:id="883"/>
      <w:bookmarkEnd w:id="884"/>
      <w:bookmarkEnd w:id="885"/>
      <w:bookmarkEnd w:id="886"/>
      <w:bookmarkEnd w:id="887"/>
      <w:bookmarkEnd w:id="888"/>
    </w:p>
    <w:p w14:paraId="7A748319">
      <w:pPr>
        <w:adjustRightInd w:val="0"/>
        <w:snapToGrid w:val="0"/>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7.2.1采购代理机构应当在评审结束后2个工作日内将评审报告送采购人确认。</w:t>
      </w:r>
    </w:p>
    <w:p w14:paraId="62D66066">
      <w:pPr>
        <w:adjustRightInd w:val="0"/>
        <w:snapToGrid w:val="0"/>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7.2.2采购人应当在收到评审报告后5个工作日内，按照评审报告中推荐的成交候选人顺序确定成交供应商。</w:t>
      </w:r>
    </w:p>
    <w:p w14:paraId="553D0EE2">
      <w:pPr>
        <w:adjustRightInd w:val="0"/>
        <w:snapToGrid w:val="0"/>
        <w:spacing w:line="360" w:lineRule="auto"/>
        <w:ind w:firstLine="420" w:firstLineChars="200"/>
        <w:rPr>
          <w:rFonts w:hint="eastAsia" w:asciiTheme="minorEastAsia" w:hAnsiTheme="minorEastAsia" w:eastAsiaTheme="minorEastAsia"/>
          <w:color w:val="auto"/>
          <w:szCs w:val="28"/>
          <w:highlight w:val="none"/>
        </w:rPr>
      </w:pPr>
      <w:r>
        <w:rPr>
          <w:rFonts w:hint="eastAsia" w:asciiTheme="minorEastAsia" w:hAnsiTheme="minorEastAsia" w:eastAsiaTheme="minorEastAsia"/>
          <w:color w:val="auto"/>
          <w:szCs w:val="21"/>
          <w:highlight w:val="none"/>
        </w:rPr>
        <w:t>7.2.3采购代理机构应当自成交供应商确定之日起2个工作日内，</w:t>
      </w:r>
      <w:r>
        <w:rPr>
          <w:rFonts w:hint="eastAsia" w:cs="宋体" w:asciiTheme="minorEastAsia" w:hAnsiTheme="minorEastAsia" w:eastAsiaTheme="minorEastAsia"/>
          <w:snapToGrid w:val="0"/>
          <w:color w:val="auto"/>
          <w:kern w:val="0"/>
          <w:szCs w:val="21"/>
          <w:highlight w:val="none"/>
        </w:rPr>
        <w:t>在省级以上财政部门指定的政府采购信息发布媒体上公告成交结果，同时向成交供应商发出成交通知书</w:t>
      </w:r>
      <w:r>
        <w:rPr>
          <w:rFonts w:hint="eastAsia" w:asciiTheme="minorEastAsia" w:hAnsiTheme="minorEastAsia" w:eastAsiaTheme="minorEastAsia"/>
          <w:color w:val="auto"/>
          <w:szCs w:val="21"/>
          <w:highlight w:val="none"/>
        </w:rPr>
        <w:t>。</w:t>
      </w:r>
    </w:p>
    <w:p w14:paraId="2270C82C">
      <w:pPr>
        <w:spacing w:line="360" w:lineRule="auto"/>
        <w:outlineLvl w:val="3"/>
        <w:rPr>
          <w:rFonts w:hint="eastAsia" w:ascii="宋体" w:hAnsi="宋体"/>
          <w:b/>
          <w:bCs/>
          <w:color w:val="auto"/>
          <w:sz w:val="24"/>
          <w:szCs w:val="24"/>
          <w:highlight w:val="none"/>
        </w:rPr>
      </w:pPr>
      <w:bookmarkStart w:id="889" w:name="_Toc98033961"/>
      <w:bookmarkStart w:id="890" w:name="_Toc98865038"/>
      <w:bookmarkStart w:id="891" w:name="_Toc48639302"/>
      <w:bookmarkStart w:id="892" w:name="_Toc116584028"/>
      <w:bookmarkStart w:id="893" w:name="_Toc109809339"/>
      <w:bookmarkStart w:id="894" w:name="_Toc70503245"/>
      <w:bookmarkStart w:id="895" w:name="_Toc79968012"/>
      <w:bookmarkStart w:id="896" w:name="_Toc110405161"/>
      <w:bookmarkStart w:id="897" w:name="_Toc42205020"/>
      <w:bookmarkStart w:id="898" w:name="_Toc42267659"/>
      <w:bookmarkStart w:id="899" w:name="_Toc52091977"/>
      <w:bookmarkStart w:id="900" w:name="_Toc45900553"/>
      <w:bookmarkStart w:id="901" w:name="_Toc10977"/>
      <w:bookmarkStart w:id="902" w:name="_Toc79967651"/>
      <w:bookmarkStart w:id="903" w:name="_Toc50559280"/>
      <w:bookmarkStart w:id="904" w:name="_Toc87543845"/>
      <w:bookmarkStart w:id="905" w:name="_Toc45452771"/>
      <w:r>
        <w:rPr>
          <w:rFonts w:hint="eastAsia" w:ascii="宋体" w:hAnsi="宋体"/>
          <w:b/>
          <w:bCs/>
          <w:color w:val="auto"/>
          <w:sz w:val="24"/>
          <w:szCs w:val="24"/>
          <w:highlight w:val="none"/>
        </w:rPr>
        <w:t>7.3履约担保</w:t>
      </w:r>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p>
    <w:p w14:paraId="5BBC122E">
      <w:pPr>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7.3.1成交供应商与采购人签订合同前应当按照供应商须知前附表规定的金额、担保形式向采购人提交履约担保。</w:t>
      </w:r>
    </w:p>
    <w:p w14:paraId="59125284">
      <w:pPr>
        <w:adjustRightInd w:val="0"/>
        <w:snapToGrid w:val="0"/>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7.3.2成交供应商不能按照供应商须知前附表要求提交履约担保的，视为放弃成交资格，并且采购人上报政府采购监督管理部门。</w:t>
      </w:r>
    </w:p>
    <w:p w14:paraId="2EF469B2">
      <w:pPr>
        <w:spacing w:line="360" w:lineRule="auto"/>
        <w:outlineLvl w:val="3"/>
        <w:rPr>
          <w:rFonts w:hint="eastAsia" w:ascii="宋体" w:hAnsi="宋体"/>
          <w:b/>
          <w:bCs/>
          <w:color w:val="auto"/>
          <w:sz w:val="24"/>
          <w:szCs w:val="24"/>
          <w:highlight w:val="none"/>
        </w:rPr>
      </w:pPr>
      <w:bookmarkStart w:id="906" w:name="_Toc42205021"/>
      <w:bookmarkStart w:id="907" w:name="_Toc48639303"/>
      <w:bookmarkStart w:id="908" w:name="_Toc70503246"/>
      <w:bookmarkStart w:id="909" w:name="_Toc110405162"/>
      <w:bookmarkStart w:id="910" w:name="_Toc45900554"/>
      <w:bookmarkStart w:id="911" w:name="_Toc50559281"/>
      <w:bookmarkStart w:id="912" w:name="_Toc116584029"/>
      <w:bookmarkStart w:id="913" w:name="_Toc32278"/>
      <w:bookmarkStart w:id="914" w:name="_Toc124133182"/>
      <w:bookmarkStart w:id="915" w:name="_Toc45452772"/>
      <w:bookmarkStart w:id="916" w:name="_Toc42267660"/>
      <w:bookmarkStart w:id="917" w:name="_Toc79967652"/>
      <w:bookmarkStart w:id="918" w:name="_Toc98033962"/>
      <w:bookmarkStart w:id="919" w:name="_Toc87543846"/>
      <w:bookmarkStart w:id="920" w:name="_Toc109809340"/>
      <w:bookmarkStart w:id="921" w:name="_Toc79968013"/>
      <w:bookmarkStart w:id="922" w:name="_Toc98865039"/>
      <w:bookmarkStart w:id="923" w:name="_Toc52091978"/>
      <w:r>
        <w:rPr>
          <w:rFonts w:hint="eastAsia" w:ascii="宋体" w:hAnsi="宋体"/>
          <w:b/>
          <w:bCs/>
          <w:color w:val="auto"/>
          <w:sz w:val="24"/>
          <w:szCs w:val="24"/>
          <w:highlight w:val="none"/>
        </w:rPr>
        <w:t>7.4签订合同</w:t>
      </w:r>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p>
    <w:p w14:paraId="7187A009">
      <w:pPr>
        <w:adjustRightInd w:val="0"/>
        <w:snapToGrid w:val="0"/>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7.4.1采购人和成交供应商应当自成交通知书发出之日起30天内，根据采购文件和成交供应商的响应文件订立书面合同。成交供应商无正当理由拒签合同的，采购人取消其成交资格；给采购人造成损失的，还应当赔偿损失。</w:t>
      </w:r>
    </w:p>
    <w:p w14:paraId="7B137952">
      <w:pPr>
        <w:adjustRightInd w:val="0"/>
        <w:snapToGrid w:val="0"/>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7.4.2发出成交通知书后，采购人无正当理由拒签合同，给成交供应商造成损失的，还应当赔偿损失。</w:t>
      </w:r>
    </w:p>
    <w:bookmarkEnd w:id="859"/>
    <w:bookmarkEnd w:id="860"/>
    <w:bookmarkEnd w:id="861"/>
    <w:bookmarkEnd w:id="862"/>
    <w:bookmarkEnd w:id="863"/>
    <w:bookmarkEnd w:id="864"/>
    <w:p w14:paraId="352228F7">
      <w:pPr>
        <w:spacing w:line="360" w:lineRule="auto"/>
        <w:jc w:val="center"/>
        <w:outlineLvl w:val="2"/>
        <w:rPr>
          <w:rFonts w:hint="eastAsia" w:asciiTheme="minorEastAsia" w:hAnsiTheme="minorEastAsia" w:eastAsiaTheme="minorEastAsia"/>
          <w:b/>
          <w:bCs/>
          <w:color w:val="auto"/>
          <w:sz w:val="28"/>
          <w:szCs w:val="28"/>
          <w:highlight w:val="none"/>
        </w:rPr>
      </w:pPr>
      <w:bookmarkStart w:id="924" w:name="_Toc87543847"/>
      <w:bookmarkStart w:id="925" w:name="_Toc116584030"/>
      <w:bookmarkStart w:id="926" w:name="_Toc98865040"/>
      <w:bookmarkStart w:id="927" w:name="_Toc98033963"/>
      <w:bookmarkStart w:id="928" w:name="_Toc109809341"/>
      <w:bookmarkStart w:id="929" w:name="_Toc26229"/>
      <w:bookmarkStart w:id="930" w:name="_Toc110405163"/>
      <w:r>
        <w:rPr>
          <w:rFonts w:hint="eastAsia" w:asciiTheme="minorEastAsia" w:hAnsiTheme="minorEastAsia" w:eastAsiaTheme="minorEastAsia"/>
          <w:b/>
          <w:bCs/>
          <w:color w:val="auto"/>
          <w:sz w:val="28"/>
          <w:szCs w:val="28"/>
          <w:highlight w:val="none"/>
        </w:rPr>
        <w:t>8.重新</w:t>
      </w:r>
      <w:bookmarkEnd w:id="865"/>
      <w:bookmarkEnd w:id="866"/>
      <w:bookmarkEnd w:id="867"/>
      <w:bookmarkEnd w:id="868"/>
      <w:r>
        <w:rPr>
          <w:rFonts w:hint="eastAsia" w:asciiTheme="minorEastAsia" w:hAnsiTheme="minorEastAsia" w:eastAsiaTheme="minorEastAsia"/>
          <w:b/>
          <w:bCs/>
          <w:color w:val="auto"/>
          <w:sz w:val="28"/>
          <w:szCs w:val="28"/>
          <w:highlight w:val="none"/>
        </w:rPr>
        <w:t>采购</w:t>
      </w:r>
      <w:bookmarkEnd w:id="869"/>
      <w:bookmarkEnd w:id="870"/>
      <w:bookmarkEnd w:id="871"/>
      <w:bookmarkEnd w:id="924"/>
      <w:bookmarkEnd w:id="925"/>
      <w:bookmarkEnd w:id="926"/>
      <w:bookmarkEnd w:id="927"/>
      <w:bookmarkEnd w:id="928"/>
      <w:bookmarkEnd w:id="929"/>
      <w:bookmarkEnd w:id="930"/>
    </w:p>
    <w:p w14:paraId="7A8A4E0A">
      <w:pPr>
        <w:spacing w:line="360" w:lineRule="auto"/>
        <w:outlineLvl w:val="3"/>
        <w:rPr>
          <w:rFonts w:hint="eastAsia" w:ascii="宋体" w:hAnsi="宋体"/>
          <w:b/>
          <w:bCs/>
          <w:color w:val="auto"/>
          <w:sz w:val="24"/>
          <w:szCs w:val="24"/>
          <w:highlight w:val="none"/>
        </w:rPr>
      </w:pPr>
      <w:bookmarkStart w:id="931" w:name="_Toc116584031"/>
      <w:bookmarkStart w:id="932" w:name="_Toc87543848"/>
      <w:bookmarkStart w:id="933" w:name="_Toc98865041"/>
      <w:bookmarkStart w:id="934" w:name="_Toc31249"/>
      <w:bookmarkStart w:id="935" w:name="_Toc110405164"/>
      <w:bookmarkStart w:id="936" w:name="_Toc109809342"/>
      <w:bookmarkStart w:id="937" w:name="_Toc98033964"/>
      <w:r>
        <w:rPr>
          <w:rFonts w:hint="eastAsia" w:ascii="宋体" w:hAnsi="宋体"/>
          <w:b/>
          <w:bCs/>
          <w:color w:val="auto"/>
          <w:sz w:val="24"/>
          <w:szCs w:val="24"/>
          <w:highlight w:val="none"/>
        </w:rPr>
        <w:t>8</w:t>
      </w:r>
      <w:r>
        <w:rPr>
          <w:rFonts w:ascii="宋体" w:hAnsi="宋体"/>
          <w:b/>
          <w:bCs/>
          <w:color w:val="auto"/>
          <w:sz w:val="24"/>
          <w:szCs w:val="24"/>
          <w:highlight w:val="none"/>
        </w:rPr>
        <w:t>.1</w:t>
      </w:r>
      <w:r>
        <w:rPr>
          <w:rFonts w:hint="eastAsia" w:ascii="宋体" w:hAnsi="宋体"/>
          <w:b/>
          <w:bCs/>
          <w:color w:val="auto"/>
          <w:sz w:val="24"/>
          <w:szCs w:val="24"/>
          <w:highlight w:val="none"/>
        </w:rPr>
        <w:t>有下列情形之一的，采购人将重新采购</w:t>
      </w:r>
      <w:bookmarkEnd w:id="931"/>
      <w:bookmarkEnd w:id="932"/>
      <w:bookmarkEnd w:id="933"/>
      <w:bookmarkEnd w:id="934"/>
      <w:bookmarkEnd w:id="935"/>
      <w:bookmarkEnd w:id="936"/>
      <w:bookmarkEnd w:id="937"/>
    </w:p>
    <w:p w14:paraId="26E0CC52">
      <w:pPr>
        <w:adjustRightInd w:val="0"/>
        <w:snapToGrid w:val="0"/>
        <w:spacing w:line="360" w:lineRule="auto"/>
        <w:ind w:firstLine="420" w:firstLineChars="200"/>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8.1.1响应文件</w:t>
      </w:r>
      <w:r>
        <w:rPr>
          <w:rFonts w:hint="eastAsia" w:asciiTheme="minorEastAsia" w:hAnsiTheme="minorEastAsia" w:eastAsiaTheme="minorEastAsia"/>
          <w:color w:val="auto"/>
          <w:highlight w:val="none"/>
        </w:rPr>
        <w:t>提交</w:t>
      </w:r>
      <w:r>
        <w:rPr>
          <w:rFonts w:asciiTheme="minorEastAsia" w:hAnsiTheme="minorEastAsia" w:eastAsiaTheme="minorEastAsia"/>
          <w:color w:val="auto"/>
          <w:highlight w:val="none"/>
        </w:rPr>
        <w:t>截止时间止，提交响应文件的供应商少于3个的，采购人</w:t>
      </w:r>
      <w:r>
        <w:rPr>
          <w:rFonts w:hint="eastAsia" w:asciiTheme="minorEastAsia" w:hAnsiTheme="minorEastAsia" w:eastAsiaTheme="minorEastAsia"/>
          <w:color w:val="auto"/>
          <w:highlight w:val="none"/>
        </w:rPr>
        <w:t>将</w:t>
      </w:r>
      <w:r>
        <w:rPr>
          <w:rFonts w:asciiTheme="minorEastAsia" w:hAnsiTheme="minorEastAsia" w:eastAsiaTheme="minorEastAsia"/>
          <w:color w:val="auto"/>
          <w:highlight w:val="none"/>
        </w:rPr>
        <w:t>依法重新采购。</w:t>
      </w:r>
    </w:p>
    <w:p w14:paraId="190B34D7">
      <w:pPr>
        <w:adjustRightInd w:val="0"/>
        <w:snapToGrid w:val="0"/>
        <w:spacing w:line="360" w:lineRule="auto"/>
        <w:ind w:firstLine="420" w:firstLineChars="200"/>
        <w:rPr>
          <w:rFonts w:hint="eastAsia" w:asciiTheme="minorEastAsia" w:hAnsiTheme="minorEastAsia" w:eastAsiaTheme="minorEastAsia"/>
          <w:color w:val="auto"/>
          <w:szCs w:val="21"/>
          <w:highlight w:val="none"/>
        </w:rPr>
      </w:pPr>
      <w:r>
        <w:rPr>
          <w:rFonts w:asciiTheme="minorEastAsia" w:hAnsiTheme="minorEastAsia" w:eastAsiaTheme="minorEastAsia"/>
          <w:color w:val="auto"/>
          <w:highlight w:val="none"/>
        </w:rPr>
        <w:t>8.1.2根据《财政部关于政府采购竞争性磋商采购方式管理暂行办法有关问题的补充通知》（财库〔2015〕124号）的规定，采用竞争性磋商采购方式采购的政府购买服务项目（含政府和社会资本合作项目），在采购过程中符合要求的供应商只有2家的，竞争性磋商采购活动可以继续进行。采购过程中符合要求的供应商只有1家的，采购人或者采购代理机构应当终止竞争性磋商活动，发布项目终止公告并说明原因，重新开展采购活动</w:t>
      </w:r>
      <w:r>
        <w:rPr>
          <w:rFonts w:hint="eastAsia" w:asciiTheme="minorEastAsia" w:hAnsiTheme="minorEastAsia" w:eastAsiaTheme="minorEastAsia"/>
          <w:color w:val="auto"/>
          <w:szCs w:val="21"/>
          <w:highlight w:val="none"/>
        </w:rPr>
        <w:t>。</w:t>
      </w:r>
    </w:p>
    <w:p w14:paraId="5DF6E7C8">
      <w:pPr>
        <w:spacing w:line="360" w:lineRule="auto"/>
        <w:jc w:val="center"/>
        <w:outlineLvl w:val="2"/>
        <w:rPr>
          <w:rFonts w:hint="eastAsia" w:asciiTheme="minorEastAsia" w:hAnsiTheme="minorEastAsia" w:eastAsiaTheme="minorEastAsia"/>
          <w:b/>
          <w:bCs/>
          <w:color w:val="auto"/>
          <w:sz w:val="28"/>
          <w:szCs w:val="28"/>
          <w:highlight w:val="none"/>
        </w:rPr>
      </w:pPr>
      <w:bookmarkStart w:id="938" w:name="_Toc116584032"/>
      <w:bookmarkStart w:id="939" w:name="_Toc45976930"/>
      <w:bookmarkStart w:id="940" w:name="_Toc42205023"/>
      <w:bookmarkStart w:id="941" w:name="_Toc110405165"/>
      <w:bookmarkStart w:id="942" w:name="_Toc98033965"/>
      <w:bookmarkStart w:id="943" w:name="_Toc16641"/>
      <w:bookmarkStart w:id="944" w:name="_Toc87538398"/>
      <w:bookmarkStart w:id="945" w:name="_Toc42267662"/>
      <w:bookmarkStart w:id="946" w:name="_Toc87543849"/>
      <w:bookmarkStart w:id="947" w:name="_Toc45791384"/>
      <w:bookmarkStart w:id="948" w:name="_Toc84356281"/>
      <w:bookmarkStart w:id="949" w:name="_Toc83753921"/>
      <w:bookmarkStart w:id="950" w:name="_Toc98865042"/>
      <w:bookmarkStart w:id="951" w:name="_Toc109809343"/>
      <w:r>
        <w:rPr>
          <w:rFonts w:hint="eastAsia" w:asciiTheme="minorEastAsia" w:hAnsiTheme="minorEastAsia" w:eastAsiaTheme="minorEastAsia"/>
          <w:b/>
          <w:bCs/>
          <w:color w:val="auto"/>
          <w:sz w:val="28"/>
          <w:szCs w:val="28"/>
          <w:highlight w:val="none"/>
        </w:rPr>
        <w:t>9.纪律和监督</w:t>
      </w:r>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p>
    <w:p w14:paraId="6426CF07">
      <w:pPr>
        <w:spacing w:line="360" w:lineRule="auto"/>
        <w:outlineLvl w:val="3"/>
        <w:rPr>
          <w:rFonts w:hint="eastAsia" w:ascii="宋体" w:hAnsi="宋体"/>
          <w:b/>
          <w:bCs/>
          <w:color w:val="auto"/>
          <w:sz w:val="24"/>
          <w:szCs w:val="24"/>
          <w:highlight w:val="none"/>
        </w:rPr>
      </w:pPr>
      <w:bookmarkStart w:id="952" w:name="_Toc87543850"/>
      <w:bookmarkStart w:id="953" w:name="_Toc98865043"/>
      <w:bookmarkStart w:id="954" w:name="_Toc42267663"/>
      <w:bookmarkStart w:id="955" w:name="_Toc116584033"/>
      <w:bookmarkStart w:id="956" w:name="_Toc28437"/>
      <w:bookmarkStart w:id="957" w:name="_Toc45791385"/>
      <w:bookmarkStart w:id="958" w:name="_Toc42205024"/>
      <w:bookmarkStart w:id="959" w:name="_Toc53412247"/>
      <w:bookmarkStart w:id="960" w:name="_Toc45976931"/>
      <w:bookmarkStart w:id="961" w:name="_Toc110405166"/>
      <w:bookmarkStart w:id="962" w:name="_Toc98033966"/>
      <w:bookmarkStart w:id="963" w:name="_Toc69678460"/>
      <w:bookmarkStart w:id="964" w:name="_Toc83753922"/>
      <w:bookmarkStart w:id="965" w:name="_Toc81330970"/>
      <w:bookmarkStart w:id="966" w:name="_Toc75783562"/>
      <w:bookmarkStart w:id="967" w:name="_Toc109809344"/>
      <w:bookmarkStart w:id="968" w:name="_Toc84356282"/>
      <w:bookmarkStart w:id="969" w:name="_Toc87538399"/>
      <w:r>
        <w:rPr>
          <w:rFonts w:hint="eastAsia" w:ascii="宋体" w:hAnsi="宋体"/>
          <w:b/>
          <w:bCs/>
          <w:color w:val="auto"/>
          <w:sz w:val="24"/>
          <w:szCs w:val="24"/>
          <w:highlight w:val="none"/>
        </w:rPr>
        <w:t>9.1 对采购人的纪律要求</w:t>
      </w:r>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p>
    <w:p w14:paraId="3FE1248C">
      <w:pPr>
        <w:adjustRightInd w:val="0"/>
        <w:snapToGrid w:val="0"/>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采购人不得泄漏采购活动中应当保密的情况和资料，不得与供应商串通损害国家利益、社会公共利益或者他人合法权益。</w:t>
      </w:r>
    </w:p>
    <w:p w14:paraId="3B43E301">
      <w:pPr>
        <w:spacing w:line="360" w:lineRule="auto"/>
        <w:outlineLvl w:val="3"/>
        <w:rPr>
          <w:rFonts w:hint="eastAsia" w:ascii="宋体" w:hAnsi="宋体"/>
          <w:b/>
          <w:bCs/>
          <w:color w:val="auto"/>
          <w:sz w:val="24"/>
          <w:szCs w:val="24"/>
          <w:highlight w:val="none"/>
        </w:rPr>
      </w:pPr>
      <w:bookmarkStart w:id="970" w:name="_Toc87543851"/>
      <w:bookmarkStart w:id="971" w:name="_Toc84356283"/>
      <w:bookmarkStart w:id="972" w:name="_Toc98865044"/>
      <w:bookmarkStart w:id="973" w:name="_Toc42205025"/>
      <w:bookmarkStart w:id="974" w:name="_Toc69678461"/>
      <w:bookmarkStart w:id="975" w:name="_Toc109809345"/>
      <w:bookmarkStart w:id="976" w:name="_Toc45791386"/>
      <w:bookmarkStart w:id="977" w:name="_Toc42267664"/>
      <w:bookmarkStart w:id="978" w:name="_Toc45976932"/>
      <w:bookmarkStart w:id="979" w:name="_Toc116584034"/>
      <w:bookmarkStart w:id="980" w:name="_Toc75783563"/>
      <w:bookmarkStart w:id="981" w:name="_Toc110405167"/>
      <w:bookmarkStart w:id="982" w:name="_Toc928"/>
      <w:bookmarkStart w:id="983" w:name="_Toc81330971"/>
      <w:bookmarkStart w:id="984" w:name="_Toc83753923"/>
      <w:bookmarkStart w:id="985" w:name="_Toc87538400"/>
      <w:bookmarkStart w:id="986" w:name="_Toc98033967"/>
      <w:bookmarkStart w:id="987" w:name="_Toc53412248"/>
      <w:r>
        <w:rPr>
          <w:rFonts w:hint="eastAsia" w:ascii="宋体" w:hAnsi="宋体"/>
          <w:b/>
          <w:bCs/>
          <w:color w:val="auto"/>
          <w:sz w:val="24"/>
          <w:szCs w:val="24"/>
          <w:highlight w:val="none"/>
        </w:rPr>
        <w:t>9.2 对供应商的纪律要求</w:t>
      </w:r>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p>
    <w:p w14:paraId="36687687">
      <w:pPr>
        <w:adjustRightInd w:val="0"/>
        <w:snapToGrid w:val="0"/>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供应商不得相互串通磋商或者与采购人串通磋商，不得向采购人或者磋商小组成员行贿谋取成交，不得以他人名义磋商或者以其他方式弄虚作假骗取成交；供应商不得以任何方式干扰、影响评审工作。</w:t>
      </w:r>
    </w:p>
    <w:p w14:paraId="6097F8BA">
      <w:pPr>
        <w:spacing w:line="360" w:lineRule="auto"/>
        <w:outlineLvl w:val="3"/>
        <w:rPr>
          <w:rFonts w:hint="eastAsia" w:ascii="宋体" w:hAnsi="宋体"/>
          <w:b/>
          <w:bCs/>
          <w:color w:val="auto"/>
          <w:sz w:val="24"/>
          <w:szCs w:val="24"/>
          <w:highlight w:val="none"/>
        </w:rPr>
      </w:pPr>
      <w:bookmarkStart w:id="988" w:name="_Toc42267665"/>
      <w:bookmarkStart w:id="989" w:name="_Toc75783564"/>
      <w:bookmarkStart w:id="990" w:name="_Toc110405168"/>
      <w:bookmarkStart w:id="991" w:name="_Toc116584035"/>
      <w:bookmarkStart w:id="992" w:name="_Toc87538401"/>
      <w:bookmarkStart w:id="993" w:name="_Toc83753924"/>
      <w:bookmarkStart w:id="994" w:name="_Toc45976933"/>
      <w:bookmarkStart w:id="995" w:name="_Toc109809346"/>
      <w:bookmarkStart w:id="996" w:name="_Toc69678462"/>
      <w:bookmarkStart w:id="997" w:name="_Toc84356284"/>
      <w:bookmarkStart w:id="998" w:name="_Toc45791387"/>
      <w:bookmarkStart w:id="999" w:name="_Toc81330972"/>
      <w:bookmarkStart w:id="1000" w:name="_Toc42205026"/>
      <w:bookmarkStart w:id="1001" w:name="_Toc13146"/>
      <w:bookmarkStart w:id="1002" w:name="_Toc98865045"/>
      <w:bookmarkStart w:id="1003" w:name="_Toc53412249"/>
      <w:bookmarkStart w:id="1004" w:name="_Toc98033968"/>
      <w:bookmarkStart w:id="1005" w:name="_Toc87543852"/>
      <w:r>
        <w:rPr>
          <w:rFonts w:hint="eastAsia" w:ascii="宋体" w:hAnsi="宋体"/>
          <w:b/>
          <w:bCs/>
          <w:color w:val="auto"/>
          <w:sz w:val="24"/>
          <w:szCs w:val="24"/>
          <w:highlight w:val="none"/>
        </w:rPr>
        <w:t>9.3 对磋商小组成员的纪律要求</w:t>
      </w:r>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p>
    <w:p w14:paraId="412DCFB0">
      <w:pPr>
        <w:adjustRightInd w:val="0"/>
        <w:snapToGrid w:val="0"/>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磋商小组成员不得收受他人的财物或者其他好处，不得向他人透漏对响应文件的评审和比较、成交候选人的推荐情况以及评审有关的其他情况。在评审活动中，磋商小组成员不得擅离职守，影响评审程序正常进行，不得使用第六章“评审办法”没有规定的评审因素和标准进行评审。</w:t>
      </w:r>
    </w:p>
    <w:p w14:paraId="15855DCB">
      <w:pPr>
        <w:spacing w:line="360" w:lineRule="auto"/>
        <w:outlineLvl w:val="3"/>
        <w:rPr>
          <w:rFonts w:hint="eastAsia" w:ascii="宋体" w:hAnsi="宋体"/>
          <w:b/>
          <w:bCs/>
          <w:color w:val="auto"/>
          <w:sz w:val="24"/>
          <w:szCs w:val="24"/>
          <w:highlight w:val="none"/>
        </w:rPr>
      </w:pPr>
      <w:bookmarkStart w:id="1006" w:name="_Toc42267666"/>
      <w:bookmarkStart w:id="1007" w:name="_Toc45791388"/>
      <w:bookmarkStart w:id="1008" w:name="_Toc116584036"/>
      <w:bookmarkStart w:id="1009" w:name="_Toc81330973"/>
      <w:bookmarkStart w:id="1010" w:name="_Toc53412250"/>
      <w:bookmarkStart w:id="1011" w:name="_Toc98033969"/>
      <w:bookmarkStart w:id="1012" w:name="_Toc45976934"/>
      <w:bookmarkStart w:id="1013" w:name="_Toc84356285"/>
      <w:bookmarkStart w:id="1014" w:name="_Toc83753925"/>
      <w:bookmarkStart w:id="1015" w:name="_Toc42205027"/>
      <w:bookmarkStart w:id="1016" w:name="_Toc87543853"/>
      <w:bookmarkStart w:id="1017" w:name="_Toc75783565"/>
      <w:bookmarkStart w:id="1018" w:name="_Toc110405169"/>
      <w:bookmarkStart w:id="1019" w:name="_Toc16136"/>
      <w:bookmarkStart w:id="1020" w:name="_Toc98865046"/>
      <w:bookmarkStart w:id="1021" w:name="_Toc109809347"/>
      <w:bookmarkStart w:id="1022" w:name="_Toc87538402"/>
      <w:bookmarkStart w:id="1023" w:name="_Toc69678463"/>
      <w:r>
        <w:rPr>
          <w:rFonts w:hint="eastAsia" w:ascii="宋体" w:hAnsi="宋体"/>
          <w:b/>
          <w:bCs/>
          <w:color w:val="auto"/>
          <w:sz w:val="24"/>
          <w:szCs w:val="24"/>
          <w:highlight w:val="none"/>
        </w:rPr>
        <w:t>9.4 对与评审活动有关的工作人员的纪律要求</w:t>
      </w:r>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p>
    <w:p w14:paraId="386BF9D5">
      <w:pPr>
        <w:adjustRightInd w:val="0"/>
        <w:snapToGrid w:val="0"/>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与评审活动有关的工作人员不得收受他人的财物或者其他好处，不得向他人透漏对响应文件的评审和比较、成交候选人的推荐情况以及评审有关的其他情况。在评审活动中，与评审活动有关的工作人员不得擅离职守，影响评审程序正常进行。</w:t>
      </w:r>
    </w:p>
    <w:p w14:paraId="215C25FD">
      <w:pPr>
        <w:spacing w:line="360" w:lineRule="auto"/>
        <w:outlineLvl w:val="3"/>
        <w:rPr>
          <w:rFonts w:hint="eastAsia" w:ascii="宋体" w:hAnsi="宋体"/>
          <w:b/>
          <w:bCs/>
          <w:color w:val="auto"/>
          <w:sz w:val="24"/>
          <w:szCs w:val="24"/>
          <w:highlight w:val="none"/>
        </w:rPr>
      </w:pPr>
      <w:bookmarkStart w:id="1024" w:name="_Toc116584037"/>
      <w:r>
        <w:rPr>
          <w:rFonts w:hint="eastAsia" w:ascii="宋体" w:hAnsi="宋体"/>
          <w:b/>
          <w:bCs/>
          <w:color w:val="auto"/>
          <w:sz w:val="24"/>
          <w:szCs w:val="24"/>
          <w:highlight w:val="none"/>
        </w:rPr>
        <w:t>9</w:t>
      </w:r>
      <w:r>
        <w:rPr>
          <w:rFonts w:ascii="宋体" w:hAnsi="宋体"/>
          <w:b/>
          <w:bCs/>
          <w:color w:val="auto"/>
          <w:sz w:val="24"/>
          <w:szCs w:val="24"/>
          <w:highlight w:val="none"/>
        </w:rPr>
        <w:t>.5</w:t>
      </w:r>
      <w:r>
        <w:rPr>
          <w:rFonts w:hint="eastAsia" w:ascii="宋体" w:hAnsi="宋体"/>
          <w:b/>
          <w:bCs/>
          <w:color w:val="auto"/>
          <w:sz w:val="24"/>
          <w:szCs w:val="24"/>
          <w:highlight w:val="none"/>
        </w:rPr>
        <w:t>质疑</w:t>
      </w:r>
      <w:bookmarkEnd w:id="1024"/>
    </w:p>
    <w:p w14:paraId="672A2AEE">
      <w:pPr>
        <w:adjustRightInd w:val="0"/>
        <w:snapToGrid w:val="0"/>
        <w:spacing w:line="360" w:lineRule="auto"/>
        <w:ind w:firstLine="420" w:firstLineChars="200"/>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9.5.1</w:t>
      </w:r>
      <w:r>
        <w:rPr>
          <w:rFonts w:hint="eastAsia" w:asciiTheme="minorEastAsia" w:hAnsiTheme="minorEastAsia" w:eastAsiaTheme="minorEastAsia"/>
          <w:color w:val="auto"/>
          <w:szCs w:val="21"/>
          <w:highlight w:val="none"/>
        </w:rPr>
        <w:t>供应商认为采购文件、采购过程和成交结果使自己的权益受到损害的，应当在知道或者应知其权益受到损害之日起7个工作日内，登录政府采购云平台向采购人或采购代理机构在线提起质疑。质疑内容不得含有虚假、恶意成分。当事人对自己提出的主张，有责任提供证据，提出质疑时应同时提交相关证据材料和注明事实的确切来源。</w:t>
      </w:r>
    </w:p>
    <w:p w14:paraId="57BDEC5D">
      <w:pPr>
        <w:adjustRightInd w:val="0"/>
        <w:snapToGrid w:val="0"/>
        <w:spacing w:line="360" w:lineRule="auto"/>
        <w:ind w:firstLine="420" w:firstLineChars="200"/>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9.5.2</w:t>
      </w:r>
      <w:r>
        <w:rPr>
          <w:rFonts w:hint="eastAsia" w:asciiTheme="minorEastAsia" w:hAnsiTheme="minorEastAsia" w:eastAsiaTheme="minorEastAsia"/>
          <w:color w:val="auto"/>
          <w:szCs w:val="21"/>
          <w:highlight w:val="none"/>
        </w:rPr>
        <w:t>供应商应知其权益受到损害之日，是指：</w:t>
      </w:r>
    </w:p>
    <w:p w14:paraId="2C2187F3">
      <w:pPr>
        <w:adjustRightInd w:val="0"/>
        <w:snapToGrid w:val="0"/>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（1）对可以质疑的竞争性磋商提出质疑的，为供应商获取采购文件之日；</w:t>
      </w:r>
    </w:p>
    <w:p w14:paraId="1D6938CA">
      <w:pPr>
        <w:adjustRightInd w:val="0"/>
        <w:snapToGrid w:val="0"/>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（2）对采购过程提出质疑的，为各采购程序环节结束之日；</w:t>
      </w:r>
    </w:p>
    <w:p w14:paraId="68B46A1B">
      <w:pPr>
        <w:adjustRightInd w:val="0"/>
        <w:snapToGrid w:val="0"/>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（3）对成交结果提出质疑的，为成交结果公告期限届满之日。</w:t>
      </w:r>
    </w:p>
    <w:p w14:paraId="6C578E02">
      <w:pPr>
        <w:adjustRightInd w:val="0"/>
        <w:snapToGrid w:val="0"/>
        <w:spacing w:line="360" w:lineRule="auto"/>
        <w:ind w:firstLine="420" w:firstLineChars="200"/>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9.5.</w:t>
      </w:r>
      <w:r>
        <w:rPr>
          <w:rFonts w:hint="eastAsia" w:asciiTheme="minorEastAsia" w:hAnsiTheme="minorEastAsia" w:eastAsiaTheme="minorEastAsia"/>
          <w:color w:val="auto"/>
          <w:szCs w:val="21"/>
          <w:highlight w:val="none"/>
        </w:rPr>
        <w:t>3采购人、采购代理机构应在收到供应商的质疑后7个工作日内作出答复，但答复的内容不涉及商业秘密。</w:t>
      </w:r>
    </w:p>
    <w:p w14:paraId="75EFDAC2">
      <w:pPr>
        <w:adjustRightInd w:val="0"/>
        <w:snapToGrid w:val="0"/>
        <w:spacing w:line="360" w:lineRule="auto"/>
        <w:ind w:firstLine="420" w:firstLineChars="200"/>
        <w:rPr>
          <w:rFonts w:hint="eastAsia" w:cs="宋体"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9.5.</w:t>
      </w:r>
      <w:r>
        <w:rPr>
          <w:rFonts w:hint="eastAsia" w:asciiTheme="minorEastAsia" w:hAnsiTheme="minorEastAsia" w:eastAsiaTheme="minorEastAsia"/>
          <w:color w:val="auto"/>
          <w:szCs w:val="21"/>
          <w:highlight w:val="none"/>
        </w:rPr>
        <w:t>4参与政府采购活动的供应商对评审过程或者结果提出质疑的，采购人或采购代理机构可以组织原磋商小组协助处理质疑事项，并依据磋商小组出具的意见进行答复。质疑答复导致成交结果改变的，采购人或采购代理机构应当将相关情况报财政部门备案。</w:t>
      </w:r>
    </w:p>
    <w:p w14:paraId="0DA84462">
      <w:pPr>
        <w:spacing w:line="360" w:lineRule="auto"/>
        <w:outlineLvl w:val="3"/>
        <w:rPr>
          <w:rFonts w:hint="eastAsia" w:ascii="宋体" w:hAnsi="宋体"/>
          <w:b/>
          <w:bCs/>
          <w:color w:val="auto"/>
          <w:sz w:val="24"/>
          <w:szCs w:val="24"/>
          <w:highlight w:val="none"/>
        </w:rPr>
      </w:pPr>
      <w:bookmarkStart w:id="1025" w:name="_Toc116584038"/>
      <w:r>
        <w:rPr>
          <w:rFonts w:ascii="宋体" w:hAnsi="宋体"/>
          <w:b/>
          <w:bCs/>
          <w:color w:val="auto"/>
          <w:sz w:val="24"/>
          <w:szCs w:val="24"/>
          <w:highlight w:val="none"/>
        </w:rPr>
        <w:t>9.6</w:t>
      </w:r>
      <w:r>
        <w:rPr>
          <w:rFonts w:hint="eastAsia" w:ascii="宋体" w:hAnsi="宋体"/>
          <w:b/>
          <w:bCs/>
          <w:color w:val="auto"/>
          <w:sz w:val="24"/>
          <w:szCs w:val="24"/>
          <w:highlight w:val="none"/>
        </w:rPr>
        <w:t>投诉</w:t>
      </w:r>
      <w:bookmarkEnd w:id="1025"/>
    </w:p>
    <w:p w14:paraId="0B54197B">
      <w:pPr>
        <w:adjustRightInd w:val="0"/>
        <w:snapToGrid w:val="0"/>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投诉必须首先经过质疑程序。质疑人对采购人、采购代理机构的答复不满意或采购人、采购代理机构未在规定的时间内做出答复的，可以在答复期满后1</w:t>
      </w:r>
      <w:r>
        <w:rPr>
          <w:rFonts w:asciiTheme="minorEastAsia" w:hAnsiTheme="minorEastAsia" w:eastAsiaTheme="minorEastAsia"/>
          <w:color w:val="auto"/>
          <w:szCs w:val="21"/>
          <w:highlight w:val="none"/>
        </w:rPr>
        <w:t>5</w:t>
      </w:r>
      <w:r>
        <w:rPr>
          <w:rFonts w:hint="eastAsia" w:asciiTheme="minorEastAsia" w:hAnsiTheme="minorEastAsia" w:eastAsiaTheme="minorEastAsia"/>
          <w:color w:val="auto"/>
          <w:szCs w:val="21"/>
          <w:highlight w:val="none"/>
        </w:rPr>
        <w:t>个工作日内书面向财政部门提起投诉。</w:t>
      </w:r>
    </w:p>
    <w:p w14:paraId="346227CD">
      <w:pPr>
        <w:spacing w:line="360" w:lineRule="auto"/>
        <w:jc w:val="center"/>
        <w:outlineLvl w:val="2"/>
        <w:rPr>
          <w:rFonts w:hint="eastAsia" w:asciiTheme="minorEastAsia" w:hAnsiTheme="minorEastAsia" w:eastAsiaTheme="minorEastAsia"/>
          <w:b/>
          <w:bCs/>
          <w:color w:val="auto"/>
          <w:sz w:val="28"/>
          <w:szCs w:val="28"/>
          <w:highlight w:val="none"/>
        </w:rPr>
      </w:pPr>
      <w:bookmarkStart w:id="1026" w:name="_Toc98033971"/>
      <w:bookmarkStart w:id="1027" w:name="_Toc109809349"/>
      <w:bookmarkStart w:id="1028" w:name="_Toc18346"/>
      <w:bookmarkStart w:id="1029" w:name="_Toc87538404"/>
      <w:bookmarkStart w:id="1030" w:name="_Toc42267668"/>
      <w:bookmarkStart w:id="1031" w:name="_Toc110405172"/>
      <w:bookmarkStart w:id="1032" w:name="_Toc45976936"/>
      <w:bookmarkStart w:id="1033" w:name="_Toc45791390"/>
      <w:bookmarkStart w:id="1034" w:name="_Toc98865048"/>
      <w:bookmarkStart w:id="1035" w:name="_Toc116584039"/>
      <w:bookmarkStart w:id="1036" w:name="_Toc87543855"/>
      <w:bookmarkStart w:id="1037" w:name="_Toc84356287"/>
      <w:bookmarkStart w:id="1038" w:name="_Toc42205029"/>
      <w:bookmarkStart w:id="1039" w:name="_Toc83753927"/>
      <w:r>
        <w:rPr>
          <w:rFonts w:hint="eastAsia" w:asciiTheme="minorEastAsia" w:hAnsiTheme="minorEastAsia" w:eastAsiaTheme="minorEastAsia"/>
          <w:b/>
          <w:bCs/>
          <w:color w:val="auto"/>
          <w:sz w:val="28"/>
          <w:szCs w:val="28"/>
          <w:highlight w:val="none"/>
        </w:rPr>
        <w:t>10.需要补充的其他内容</w:t>
      </w:r>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p>
    <w:p w14:paraId="349DAC14">
      <w:pPr>
        <w:adjustRightInd w:val="0"/>
        <w:snapToGrid w:val="0"/>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需要补充的其他内容：详</w:t>
      </w:r>
      <w:r>
        <w:rPr>
          <w:rFonts w:asciiTheme="minorEastAsia" w:hAnsiTheme="minorEastAsia" w:eastAsiaTheme="minorEastAsia"/>
          <w:color w:val="auto"/>
          <w:szCs w:val="21"/>
          <w:highlight w:val="none"/>
        </w:rPr>
        <w:t>见</w:t>
      </w:r>
      <w:r>
        <w:rPr>
          <w:rFonts w:hint="eastAsia" w:asciiTheme="minorEastAsia" w:hAnsiTheme="minorEastAsia" w:eastAsiaTheme="minorEastAsia"/>
          <w:color w:val="auto"/>
          <w:szCs w:val="21"/>
          <w:highlight w:val="none"/>
        </w:rPr>
        <w:t>供应商须知前附表。</w:t>
      </w:r>
      <w:bookmarkStart w:id="1040" w:name="_Toc37603108"/>
      <w:bookmarkStart w:id="1041" w:name="_Toc292983024"/>
      <w:bookmarkStart w:id="1042" w:name="_Toc42205030"/>
      <w:bookmarkStart w:id="1043" w:name="_Toc29357076"/>
      <w:r>
        <w:rPr>
          <w:rFonts w:asciiTheme="minorEastAsia" w:hAnsiTheme="minorEastAsia" w:eastAsiaTheme="minorEastAsia"/>
          <w:color w:val="auto"/>
          <w:szCs w:val="21"/>
          <w:highlight w:val="none"/>
        </w:rPr>
        <w:br w:type="page"/>
      </w:r>
    </w:p>
    <w:p w14:paraId="1FDF557B">
      <w:pPr>
        <w:autoSpaceDE w:val="0"/>
        <w:autoSpaceDN w:val="0"/>
        <w:adjustRightInd w:val="0"/>
        <w:spacing w:line="360" w:lineRule="auto"/>
        <w:jc w:val="left"/>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附件：电子投标文件编制要求</w:t>
      </w:r>
    </w:p>
    <w:p w14:paraId="55DF1DD5">
      <w:pPr>
        <w:autoSpaceDE w:val="0"/>
        <w:autoSpaceDN w:val="0"/>
        <w:adjustRightInd w:val="0"/>
        <w:spacing w:line="360" w:lineRule="auto"/>
        <w:jc w:val="center"/>
        <w:rPr>
          <w:rFonts w:hint="eastAsia" w:cs="黑体" w:asciiTheme="minorEastAsia" w:hAnsiTheme="minorEastAsia" w:eastAsiaTheme="minorEastAsia"/>
          <w:color w:val="auto"/>
          <w:kern w:val="0"/>
          <w:sz w:val="32"/>
          <w:szCs w:val="32"/>
          <w:highlight w:val="none"/>
        </w:rPr>
      </w:pPr>
      <w:r>
        <w:rPr>
          <w:rFonts w:hint="eastAsia" w:cs="黑体" w:asciiTheme="minorEastAsia" w:hAnsiTheme="minorEastAsia" w:eastAsiaTheme="minorEastAsia"/>
          <w:color w:val="auto"/>
          <w:kern w:val="0"/>
          <w:sz w:val="32"/>
          <w:szCs w:val="32"/>
          <w:highlight w:val="none"/>
        </w:rPr>
        <w:t>电子投标文件编制要求</w:t>
      </w:r>
    </w:p>
    <w:p w14:paraId="6B885F86">
      <w:pPr>
        <w:autoSpaceDE w:val="0"/>
        <w:autoSpaceDN w:val="0"/>
        <w:adjustRightInd w:val="0"/>
        <w:spacing w:line="360" w:lineRule="auto"/>
        <w:ind w:firstLine="420" w:firstLineChars="200"/>
        <w:jc w:val="left"/>
        <w:rPr>
          <w:rFonts w:hint="eastAsia" w:cs="宋体" w:asciiTheme="minorEastAsia" w:hAnsiTheme="minorEastAsia" w:eastAsiaTheme="minorEastAsia"/>
          <w:color w:val="auto"/>
          <w:kern w:val="0"/>
          <w:szCs w:val="21"/>
          <w:highlight w:val="none"/>
        </w:rPr>
      </w:pPr>
      <w:r>
        <w:rPr>
          <w:rFonts w:cs="宋体" w:asciiTheme="minorEastAsia" w:hAnsiTheme="minorEastAsia" w:eastAsiaTheme="minorEastAsia"/>
          <w:color w:val="auto"/>
          <w:kern w:val="0"/>
          <w:szCs w:val="21"/>
          <w:highlight w:val="none"/>
        </w:rPr>
        <w:t>1</w:t>
      </w:r>
      <w:r>
        <w:rPr>
          <w:rFonts w:hint="eastAsia" w:cs="宋体" w:asciiTheme="minorEastAsia" w:hAnsiTheme="minorEastAsia" w:eastAsiaTheme="minorEastAsia"/>
          <w:color w:val="auto"/>
          <w:kern w:val="0"/>
          <w:szCs w:val="21"/>
          <w:highlight w:val="none"/>
        </w:rPr>
        <w:t>.电子投标文件的制作应使用“政采云投标客户端”，供应商下载“政采云投标客户端”，通过“政采云投标客户端”编制并生成加密的投标文件。</w:t>
      </w:r>
    </w:p>
    <w:p w14:paraId="69C58E24">
      <w:pPr>
        <w:autoSpaceDE w:val="0"/>
        <w:autoSpaceDN w:val="0"/>
        <w:adjustRightInd w:val="0"/>
        <w:spacing w:line="360" w:lineRule="auto"/>
        <w:ind w:firstLine="420" w:firstLineChars="200"/>
        <w:jc w:val="left"/>
        <w:rPr>
          <w:rFonts w:hint="eastAsia" w:cs="宋体" w:asciiTheme="minorEastAsia" w:hAnsiTheme="minorEastAsia" w:eastAsiaTheme="minorEastAsia"/>
          <w:color w:val="auto"/>
          <w:kern w:val="0"/>
          <w:szCs w:val="21"/>
          <w:highlight w:val="none"/>
        </w:rPr>
      </w:pPr>
      <w:r>
        <w:rPr>
          <w:rFonts w:cs="宋体" w:asciiTheme="minorEastAsia" w:hAnsiTheme="minorEastAsia" w:eastAsiaTheme="minorEastAsia"/>
          <w:color w:val="auto"/>
          <w:kern w:val="0"/>
          <w:szCs w:val="21"/>
          <w:highlight w:val="none"/>
        </w:rPr>
        <w:t>2</w:t>
      </w:r>
      <w:r>
        <w:rPr>
          <w:rFonts w:hint="eastAsia" w:cs="宋体" w:asciiTheme="minorEastAsia" w:hAnsiTheme="minorEastAsia" w:eastAsiaTheme="minorEastAsia"/>
          <w:color w:val="auto"/>
          <w:kern w:val="0"/>
          <w:szCs w:val="21"/>
          <w:highlight w:val="none"/>
        </w:rPr>
        <w:t>.“政采云投标客户端”提供数字证书（</w:t>
      </w:r>
      <w:r>
        <w:rPr>
          <w:rFonts w:cs="宋体" w:asciiTheme="minorEastAsia" w:hAnsiTheme="minorEastAsia" w:eastAsiaTheme="minorEastAsia"/>
          <w:color w:val="auto"/>
          <w:kern w:val="0"/>
          <w:szCs w:val="21"/>
          <w:highlight w:val="none"/>
        </w:rPr>
        <w:t>CA</w:t>
      </w:r>
      <w:r>
        <w:rPr>
          <w:rFonts w:hint="eastAsia" w:cs="宋体" w:asciiTheme="minorEastAsia" w:hAnsiTheme="minorEastAsia" w:eastAsiaTheme="minorEastAsia"/>
          <w:color w:val="auto"/>
          <w:kern w:val="0"/>
          <w:szCs w:val="21"/>
          <w:highlight w:val="none"/>
        </w:rPr>
        <w:t>）对投标文件进行加密功能。投标人对网上递交的投标文件应加密。如果供应商使用某个数字证书（</w:t>
      </w:r>
      <w:r>
        <w:rPr>
          <w:rFonts w:cs="宋体" w:asciiTheme="minorEastAsia" w:hAnsiTheme="minorEastAsia" w:eastAsiaTheme="minorEastAsia"/>
          <w:color w:val="auto"/>
          <w:kern w:val="0"/>
          <w:szCs w:val="21"/>
          <w:highlight w:val="none"/>
        </w:rPr>
        <w:t>CA</w:t>
      </w:r>
      <w:r>
        <w:rPr>
          <w:rFonts w:hint="eastAsia" w:cs="宋体" w:asciiTheme="minorEastAsia" w:hAnsiTheme="minorEastAsia" w:eastAsiaTheme="minorEastAsia"/>
          <w:color w:val="auto"/>
          <w:kern w:val="0"/>
          <w:szCs w:val="21"/>
          <w:highlight w:val="none"/>
        </w:rPr>
        <w:t>）对投标文件进行了数字证书（</w:t>
      </w:r>
      <w:r>
        <w:rPr>
          <w:rFonts w:cs="宋体" w:asciiTheme="minorEastAsia" w:hAnsiTheme="minorEastAsia" w:eastAsiaTheme="minorEastAsia"/>
          <w:color w:val="auto"/>
          <w:kern w:val="0"/>
          <w:szCs w:val="21"/>
          <w:highlight w:val="none"/>
        </w:rPr>
        <w:t>CA</w:t>
      </w:r>
      <w:r>
        <w:rPr>
          <w:rFonts w:hint="eastAsia" w:cs="宋体" w:asciiTheme="minorEastAsia" w:hAnsiTheme="minorEastAsia" w:eastAsiaTheme="minorEastAsia"/>
          <w:color w:val="auto"/>
          <w:kern w:val="0"/>
          <w:szCs w:val="21"/>
          <w:highlight w:val="none"/>
        </w:rPr>
        <w:t>）加密，需要在开标时使用该数字证书（</w:t>
      </w:r>
      <w:r>
        <w:rPr>
          <w:rFonts w:cs="宋体" w:asciiTheme="minorEastAsia" w:hAnsiTheme="minorEastAsia" w:eastAsiaTheme="minorEastAsia"/>
          <w:color w:val="auto"/>
          <w:kern w:val="0"/>
          <w:szCs w:val="21"/>
          <w:highlight w:val="none"/>
        </w:rPr>
        <w:t>CA</w:t>
      </w:r>
      <w:r>
        <w:rPr>
          <w:rFonts w:hint="eastAsia" w:cs="宋体" w:asciiTheme="minorEastAsia" w:hAnsiTheme="minorEastAsia" w:eastAsiaTheme="minorEastAsia"/>
          <w:color w:val="auto"/>
          <w:kern w:val="0"/>
          <w:szCs w:val="21"/>
          <w:highlight w:val="none"/>
        </w:rPr>
        <w:t>）进行解密，才能读取或导入投标文件，因供应商原因造成投标文件未解密的，视为撤回其投标文件。</w:t>
      </w:r>
    </w:p>
    <w:p w14:paraId="5AEADBA9">
      <w:pPr>
        <w:autoSpaceDE w:val="0"/>
        <w:autoSpaceDN w:val="0"/>
        <w:adjustRightInd w:val="0"/>
        <w:spacing w:line="360" w:lineRule="auto"/>
        <w:ind w:firstLine="420" w:firstLineChars="200"/>
        <w:jc w:val="left"/>
        <w:rPr>
          <w:rFonts w:hint="eastAsia" w:cs="宋体" w:asciiTheme="minorEastAsia" w:hAnsiTheme="minorEastAsia" w:eastAsiaTheme="minorEastAsia"/>
          <w:color w:val="auto"/>
          <w:kern w:val="0"/>
          <w:szCs w:val="21"/>
          <w:highlight w:val="none"/>
        </w:rPr>
      </w:pPr>
      <w:r>
        <w:rPr>
          <w:rFonts w:cs="宋体" w:asciiTheme="minorEastAsia" w:hAnsiTheme="minorEastAsia" w:eastAsiaTheme="minorEastAsia"/>
          <w:color w:val="auto"/>
          <w:kern w:val="0"/>
          <w:szCs w:val="21"/>
          <w:highlight w:val="none"/>
        </w:rPr>
        <w:t>3</w:t>
      </w:r>
      <w:r>
        <w:rPr>
          <w:rFonts w:hint="eastAsia" w:cs="宋体" w:asciiTheme="minorEastAsia" w:hAnsiTheme="minorEastAsia" w:eastAsiaTheme="minorEastAsia"/>
          <w:color w:val="auto"/>
          <w:kern w:val="0"/>
          <w:szCs w:val="21"/>
          <w:highlight w:val="none"/>
        </w:rPr>
        <w:t>.网上递交投标文件应根据采购文件要求，在投标截止时间前将电子投标文件通过政府采购云平台（网址:https://www.zcygov.cn/）上传至对应的项目，系统自动生成投标回执，以表明上传成功。</w:t>
      </w:r>
    </w:p>
    <w:p w14:paraId="7EF9C166">
      <w:pPr>
        <w:wordWrap w:val="0"/>
        <w:autoSpaceDE w:val="0"/>
        <w:autoSpaceDN w:val="0"/>
        <w:adjustRightInd w:val="0"/>
        <w:spacing w:line="360" w:lineRule="auto"/>
        <w:ind w:firstLine="420" w:firstLineChars="200"/>
        <w:jc w:val="left"/>
        <w:rPr>
          <w:rFonts w:hint="eastAsia" w:cs="宋体" w:asciiTheme="minorEastAsia" w:hAnsiTheme="minorEastAsia" w:eastAsiaTheme="minorEastAsia"/>
          <w:color w:val="auto"/>
          <w:kern w:val="0"/>
          <w:szCs w:val="21"/>
          <w:highlight w:val="none"/>
        </w:rPr>
      </w:pPr>
      <w:r>
        <w:rPr>
          <w:rFonts w:cs="宋体" w:asciiTheme="minorEastAsia" w:hAnsiTheme="minorEastAsia" w:eastAsiaTheme="minorEastAsia"/>
          <w:color w:val="auto"/>
          <w:kern w:val="0"/>
          <w:szCs w:val="21"/>
          <w:highlight w:val="none"/>
        </w:rPr>
        <w:t>4</w:t>
      </w:r>
      <w:r>
        <w:rPr>
          <w:rFonts w:hint="eastAsia" w:cs="宋体" w:asciiTheme="minorEastAsia" w:hAnsiTheme="minorEastAsia" w:eastAsiaTheme="minorEastAsia"/>
          <w:color w:val="auto"/>
          <w:kern w:val="0"/>
          <w:szCs w:val="21"/>
          <w:highlight w:val="none"/>
        </w:rPr>
        <w:t>.该投标文件制作要求如果与采购文件规定不一致，以此投标文件制作要求为准。“政采云投标客户端”及</w:t>
      </w:r>
      <w:r>
        <w:rPr>
          <w:rFonts w:cs="宋体" w:asciiTheme="minorEastAsia" w:hAnsiTheme="minorEastAsia" w:eastAsiaTheme="minorEastAsia"/>
          <w:color w:val="auto"/>
          <w:kern w:val="0"/>
          <w:szCs w:val="21"/>
          <w:highlight w:val="none"/>
        </w:rPr>
        <w:t xml:space="preserve">CA </w:t>
      </w:r>
      <w:r>
        <w:rPr>
          <w:rFonts w:hint="eastAsia" w:cs="宋体" w:asciiTheme="minorEastAsia" w:hAnsiTheme="minorEastAsia" w:eastAsiaTheme="minorEastAsia"/>
          <w:color w:val="auto"/>
          <w:kern w:val="0"/>
          <w:szCs w:val="21"/>
          <w:highlight w:val="none"/>
        </w:rPr>
        <w:t>驱动下载网址：</w:t>
      </w:r>
      <w:r>
        <w:rPr>
          <w:color w:val="auto"/>
          <w:highlight w:val="none"/>
        </w:rPr>
        <w:fldChar w:fldCharType="begin"/>
      </w:r>
      <w:r>
        <w:rPr>
          <w:color w:val="auto"/>
          <w:highlight w:val="none"/>
        </w:rPr>
        <w:instrText xml:space="preserve"> HYPERLINK "https://customer.zcygov.cn/CA-driver-download?utm=web-ca-front.3ddc8fbb.0.0.91c6cff0db1311ec8cfbc9f613d30204" </w:instrText>
      </w:r>
      <w:r>
        <w:rPr>
          <w:color w:val="auto"/>
          <w:highlight w:val="none"/>
        </w:rPr>
        <w:fldChar w:fldCharType="separate"/>
      </w:r>
      <w:r>
        <w:rPr>
          <w:rStyle w:val="62"/>
          <w:rFonts w:cs="宋体" w:asciiTheme="minorEastAsia" w:hAnsiTheme="minorEastAsia" w:eastAsiaTheme="minorEastAsia"/>
          <w:color w:val="auto"/>
          <w:kern w:val="0"/>
          <w:szCs w:val="21"/>
          <w:highlight w:val="none"/>
          <w:u w:val="none"/>
        </w:rPr>
        <w:t>https://customer.zcygov.cn/CA-driver-download?utm=web-ca-front.3ddc8fbb.0.0.91c6cff0db1311ec8cfbc9f613d30204</w:t>
      </w:r>
      <w:r>
        <w:rPr>
          <w:rStyle w:val="62"/>
          <w:rFonts w:cs="宋体" w:asciiTheme="minorEastAsia" w:hAnsiTheme="minorEastAsia" w:eastAsiaTheme="minorEastAsia"/>
          <w:color w:val="auto"/>
          <w:kern w:val="0"/>
          <w:szCs w:val="21"/>
          <w:highlight w:val="none"/>
          <w:u w:val="none"/>
        </w:rPr>
        <w:fldChar w:fldCharType="end"/>
      </w:r>
      <w:r>
        <w:rPr>
          <w:rFonts w:hint="eastAsia" w:cs="宋体" w:asciiTheme="minorEastAsia" w:hAnsiTheme="minorEastAsia" w:eastAsiaTheme="minorEastAsia"/>
          <w:color w:val="auto"/>
          <w:kern w:val="0"/>
          <w:szCs w:val="21"/>
          <w:highlight w:val="none"/>
        </w:rPr>
        <w:t>。</w:t>
      </w:r>
    </w:p>
    <w:p w14:paraId="4E7D728B">
      <w:pPr>
        <w:widowControl/>
        <w:wordWrap w:val="0"/>
        <w:jc w:val="left"/>
        <w:rPr>
          <w:rFonts w:hint="eastAsia" w:asciiTheme="minorEastAsia" w:hAnsiTheme="minorEastAsia" w:eastAsiaTheme="minorEastAsia"/>
          <w:b/>
          <w:bCs/>
          <w:color w:val="auto"/>
          <w:sz w:val="32"/>
          <w:szCs w:val="32"/>
          <w:highlight w:val="none"/>
        </w:rPr>
      </w:pPr>
      <w:r>
        <w:rPr>
          <w:rFonts w:asciiTheme="minorEastAsia" w:hAnsiTheme="minorEastAsia" w:eastAsiaTheme="minorEastAsia"/>
          <w:b/>
          <w:bCs/>
          <w:color w:val="auto"/>
          <w:sz w:val="32"/>
          <w:szCs w:val="32"/>
          <w:highlight w:val="none"/>
        </w:rPr>
        <w:br w:type="page"/>
      </w:r>
    </w:p>
    <w:p w14:paraId="3DA02E84">
      <w:pPr>
        <w:spacing w:line="360" w:lineRule="auto"/>
        <w:jc w:val="center"/>
        <w:outlineLvl w:val="0"/>
        <w:rPr>
          <w:rFonts w:hint="eastAsia" w:ascii="宋体" w:hAnsi="宋体"/>
          <w:b/>
          <w:bCs/>
          <w:color w:val="auto"/>
          <w:sz w:val="32"/>
          <w:szCs w:val="32"/>
          <w:highlight w:val="none"/>
        </w:rPr>
      </w:pPr>
      <w:bookmarkStart w:id="1044" w:name="_Toc45642883"/>
      <w:bookmarkStart w:id="1045" w:name="_Toc92312802"/>
      <w:bookmarkStart w:id="1046" w:name="_Toc158233415"/>
      <w:bookmarkStart w:id="1047" w:name="_Toc132362638"/>
      <w:r>
        <w:rPr>
          <w:rFonts w:ascii="宋体" w:hAnsi="宋体"/>
          <w:b/>
          <w:bCs/>
          <w:color w:val="auto"/>
          <w:sz w:val="32"/>
          <w:szCs w:val="32"/>
          <w:highlight w:val="none"/>
        </w:rPr>
        <w:t>第</w:t>
      </w:r>
      <w:r>
        <w:rPr>
          <w:rFonts w:hint="eastAsia" w:ascii="宋体" w:hAnsi="宋体"/>
          <w:b/>
          <w:bCs/>
          <w:color w:val="auto"/>
          <w:sz w:val="32"/>
          <w:szCs w:val="32"/>
          <w:highlight w:val="none"/>
        </w:rPr>
        <w:t>三</w:t>
      </w:r>
      <w:r>
        <w:rPr>
          <w:rFonts w:ascii="宋体" w:hAnsi="宋体"/>
          <w:b/>
          <w:bCs/>
          <w:color w:val="auto"/>
          <w:sz w:val="32"/>
          <w:szCs w:val="32"/>
          <w:highlight w:val="none"/>
        </w:rPr>
        <w:t>章 合同条款</w:t>
      </w:r>
      <w:r>
        <w:rPr>
          <w:rFonts w:hint="eastAsia" w:ascii="宋体" w:hAnsi="宋体"/>
          <w:b/>
          <w:bCs/>
          <w:color w:val="auto"/>
          <w:sz w:val="32"/>
          <w:szCs w:val="32"/>
          <w:highlight w:val="none"/>
        </w:rPr>
        <w:t>及格式</w:t>
      </w:r>
      <w:bookmarkEnd w:id="1044"/>
      <w:bookmarkEnd w:id="1045"/>
      <w:bookmarkEnd w:id="1046"/>
    </w:p>
    <w:p w14:paraId="452546A2">
      <w:pPr>
        <w:widowControl/>
        <w:spacing w:before="156" w:beforeLines="50" w:after="156" w:afterLines="50" w:line="360" w:lineRule="auto"/>
        <w:ind w:firstLine="482"/>
        <w:jc w:val="center"/>
        <w:rPr>
          <w:rFonts w:hint="eastAsia" w:ascii="宋体" w:hAnsi="宋体" w:cs="宋体"/>
          <w:b/>
          <w:bCs/>
          <w:color w:val="auto"/>
          <w:kern w:val="0"/>
          <w:sz w:val="24"/>
          <w:szCs w:val="24"/>
          <w:highlight w:val="none"/>
        </w:rPr>
      </w:pPr>
      <w:r>
        <w:rPr>
          <w:rFonts w:ascii="宋体" w:hAnsi="宋体" w:cs="宋体"/>
          <w:b/>
          <w:bCs/>
          <w:color w:val="auto"/>
          <w:kern w:val="0"/>
          <w:sz w:val="24"/>
          <w:szCs w:val="24"/>
          <w:highlight w:val="none"/>
        </w:rPr>
        <w:t>（合同以最终签订</w:t>
      </w:r>
      <w:r>
        <w:rPr>
          <w:rFonts w:hint="eastAsia" w:ascii="宋体" w:hAnsi="宋体" w:cs="宋体"/>
          <w:b/>
          <w:bCs/>
          <w:color w:val="auto"/>
          <w:kern w:val="0"/>
          <w:sz w:val="24"/>
          <w:szCs w:val="24"/>
          <w:highlight w:val="none"/>
        </w:rPr>
        <w:t>的</w:t>
      </w:r>
      <w:r>
        <w:rPr>
          <w:rFonts w:ascii="宋体" w:hAnsi="宋体" w:cs="宋体"/>
          <w:b/>
          <w:bCs/>
          <w:color w:val="auto"/>
          <w:kern w:val="0"/>
          <w:sz w:val="24"/>
          <w:szCs w:val="24"/>
          <w:highlight w:val="none"/>
        </w:rPr>
        <w:t>版本为准）</w:t>
      </w:r>
    </w:p>
    <w:bookmarkEnd w:id="1040"/>
    <w:bookmarkEnd w:id="1041"/>
    <w:bookmarkEnd w:id="1042"/>
    <w:bookmarkEnd w:id="1043"/>
    <w:bookmarkEnd w:id="1047"/>
    <w:p w14:paraId="2FE2F7C2">
      <w:pPr>
        <w:rPr>
          <w:rFonts w:hint="eastAsia" w:ascii="宋体" w:hAnsi="宋体" w:eastAsia="宋体" w:cs="宋体"/>
          <w:color w:val="auto"/>
          <w:highlight w:val="none"/>
        </w:rPr>
      </w:pPr>
      <w:bookmarkStart w:id="1048" w:name="_Toc158233416"/>
      <w:bookmarkStart w:id="1049" w:name="_Toc92312811"/>
      <w:bookmarkStart w:id="1050" w:name="_Toc140508239"/>
      <w:bookmarkStart w:id="1051" w:name="_Toc24540"/>
      <w:bookmarkStart w:id="1052" w:name="_Toc29357077"/>
      <w:bookmarkStart w:id="1053" w:name="_Toc42205043"/>
      <w:bookmarkStart w:id="1054" w:name="_Toc37603115"/>
    </w:p>
    <w:p w14:paraId="12151F8D">
      <w:pPr>
        <w:pStyle w:val="4"/>
        <w:numPr>
          <w:ilvl w:val="0"/>
          <w:numId w:val="0"/>
        </w:numPr>
        <w:tabs>
          <w:tab w:val="left" w:pos="1021"/>
        </w:tabs>
        <w:ind w:left="708" w:firstLine="0"/>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合同条款前附表</w:t>
      </w:r>
    </w:p>
    <w:tbl>
      <w:tblPr>
        <w:tblStyle w:val="5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7"/>
        <w:gridCol w:w="7980"/>
      </w:tblGrid>
      <w:tr w14:paraId="100A8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49" w:hRule="atLeast"/>
        </w:trPr>
        <w:tc>
          <w:tcPr>
            <w:tcW w:w="667" w:type="dxa"/>
            <w:noWrap w:val="0"/>
            <w:vAlign w:val="center"/>
          </w:tcPr>
          <w:p w14:paraId="45806E03">
            <w:pPr>
              <w:pStyle w:val="28"/>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7980" w:type="dxa"/>
            <w:noWrap w:val="0"/>
            <w:vAlign w:val="center"/>
          </w:tcPr>
          <w:p w14:paraId="6D43E472">
            <w:pPr>
              <w:pStyle w:val="28"/>
              <w:ind w:firstLine="211" w:firstLineChars="10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内      容</w:t>
            </w:r>
          </w:p>
        </w:tc>
      </w:tr>
      <w:tr w14:paraId="6F677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2" w:hRule="atLeast"/>
        </w:trPr>
        <w:tc>
          <w:tcPr>
            <w:tcW w:w="667" w:type="dxa"/>
            <w:noWrap w:val="0"/>
            <w:vAlign w:val="center"/>
          </w:tcPr>
          <w:p w14:paraId="528B8905">
            <w:pPr>
              <w:pStyle w:val="28"/>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7980" w:type="dxa"/>
            <w:noWrap w:val="0"/>
            <w:vAlign w:val="center"/>
          </w:tcPr>
          <w:p w14:paraId="17940ED1">
            <w:pPr>
              <w:pStyle w:val="19"/>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服务期限：</w:t>
            </w:r>
            <w:r>
              <w:rPr>
                <w:rFonts w:hint="eastAsia" w:ascii="宋体" w:hAnsi="宋体" w:eastAsia="宋体" w:cs="宋体"/>
                <w:color w:val="auto"/>
                <w:highlight w:val="none"/>
                <w:lang w:eastAsia="zh-CN"/>
              </w:rPr>
              <w:t>自合同签订之日起至项目验收合格</w:t>
            </w:r>
            <w:r>
              <w:rPr>
                <w:rFonts w:hint="eastAsia" w:ascii="宋体" w:hAnsi="宋体" w:eastAsia="宋体" w:cs="宋体"/>
                <w:color w:val="auto"/>
                <w:highlight w:val="none"/>
              </w:rPr>
              <w:t>。</w:t>
            </w:r>
          </w:p>
          <w:p w14:paraId="5E38C60A">
            <w:pPr>
              <w:widowControl/>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服务地点：</w:t>
            </w:r>
            <w:r>
              <w:rPr>
                <w:rFonts w:hint="eastAsia" w:ascii="宋体" w:hAnsi="宋体" w:eastAsia="宋体" w:cs="宋体"/>
                <w:color w:val="auto"/>
                <w:highlight w:val="none"/>
                <w:lang w:eastAsia="zh-CN"/>
              </w:rPr>
              <w:t>昆明市滇池高原湖泊研究院</w:t>
            </w:r>
            <w:r>
              <w:rPr>
                <w:rFonts w:hint="eastAsia" w:ascii="宋体" w:hAnsi="宋体" w:eastAsia="宋体" w:cs="宋体"/>
                <w:color w:val="auto"/>
                <w:highlight w:val="none"/>
              </w:rPr>
              <w:t>指定地点。</w:t>
            </w:r>
          </w:p>
          <w:p w14:paraId="1673BD35">
            <w:pPr>
              <w:pStyle w:val="28"/>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质量要求：各阶段资料齐全，符合国家及行业现行的标准和规范。</w:t>
            </w:r>
          </w:p>
          <w:p w14:paraId="137F0C7F">
            <w:pPr>
              <w:spacing w:line="360" w:lineRule="auto"/>
              <w:rPr>
                <w:rFonts w:hint="eastAsia" w:ascii="宋体" w:hAnsi="宋体" w:eastAsia="宋体" w:cs="宋体"/>
                <w:color w:val="auto"/>
                <w:highlight w:val="none"/>
              </w:rPr>
            </w:pPr>
            <w:r>
              <w:rPr>
                <w:rFonts w:hint="eastAsia" w:ascii="宋体" w:hAnsi="宋体" w:cs="宋体"/>
                <w:b/>
                <w:bCs/>
                <w:color w:val="auto"/>
                <w:highlight w:val="none"/>
                <w:lang w:val="en-US" w:eastAsia="zh-CN"/>
              </w:rPr>
              <w:t>委托</w:t>
            </w:r>
            <w:r>
              <w:rPr>
                <w:rFonts w:hint="eastAsia" w:ascii="宋体" w:hAnsi="宋体" w:eastAsia="宋体" w:cs="宋体"/>
                <w:b/>
                <w:bCs/>
                <w:color w:val="auto"/>
                <w:highlight w:val="none"/>
              </w:rPr>
              <w:t>人在项目实施过程中可根据项目具体情况保留对以上</w:t>
            </w:r>
            <w:r>
              <w:rPr>
                <w:rFonts w:hint="eastAsia" w:ascii="宋体" w:hAnsi="宋体" w:eastAsia="宋体" w:cs="宋体"/>
                <w:b/>
                <w:bCs/>
                <w:color w:val="auto"/>
                <w:highlight w:val="none"/>
                <w:lang w:eastAsia="zh-CN"/>
              </w:rPr>
              <w:t>项目</w:t>
            </w:r>
            <w:r>
              <w:rPr>
                <w:rFonts w:hint="eastAsia" w:ascii="宋体" w:hAnsi="宋体" w:eastAsia="宋体" w:cs="宋体"/>
                <w:b/>
                <w:bCs/>
                <w:color w:val="auto"/>
                <w:highlight w:val="none"/>
              </w:rPr>
              <w:t>内容调整的权利，承包人需配合</w:t>
            </w:r>
            <w:r>
              <w:rPr>
                <w:rFonts w:hint="eastAsia" w:ascii="宋体" w:hAnsi="宋体" w:cs="宋体"/>
                <w:b/>
                <w:bCs/>
                <w:color w:val="auto"/>
                <w:highlight w:val="none"/>
                <w:lang w:val="en-US" w:eastAsia="zh-CN"/>
              </w:rPr>
              <w:t>委托</w:t>
            </w:r>
            <w:r>
              <w:rPr>
                <w:rFonts w:hint="eastAsia" w:ascii="宋体" w:hAnsi="宋体" w:eastAsia="宋体" w:cs="宋体"/>
                <w:b/>
                <w:bCs/>
                <w:color w:val="auto"/>
                <w:highlight w:val="none"/>
              </w:rPr>
              <w:t>人工作且不得以此作为索赔、调整中标</w:t>
            </w:r>
            <w:r>
              <w:rPr>
                <w:rFonts w:hint="eastAsia" w:ascii="宋体" w:hAnsi="宋体" w:eastAsia="宋体" w:cs="宋体"/>
                <w:b/>
                <w:bCs/>
                <w:color w:val="auto"/>
                <w:highlight w:val="none"/>
                <w:lang w:val="en-US" w:eastAsia="zh-CN"/>
              </w:rPr>
              <w:t>价</w:t>
            </w:r>
            <w:r>
              <w:rPr>
                <w:rFonts w:hint="eastAsia" w:ascii="宋体" w:hAnsi="宋体" w:eastAsia="宋体" w:cs="宋体"/>
                <w:b/>
                <w:bCs/>
                <w:color w:val="auto"/>
                <w:highlight w:val="none"/>
              </w:rPr>
              <w:t>的理由。</w:t>
            </w:r>
          </w:p>
        </w:tc>
      </w:tr>
      <w:tr w14:paraId="13519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2" w:hRule="atLeast"/>
        </w:trPr>
        <w:tc>
          <w:tcPr>
            <w:tcW w:w="667" w:type="dxa"/>
            <w:noWrap w:val="0"/>
            <w:vAlign w:val="center"/>
          </w:tcPr>
          <w:p w14:paraId="577706CA">
            <w:pPr>
              <w:pStyle w:val="28"/>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7980" w:type="dxa"/>
            <w:noWrap w:val="0"/>
            <w:vAlign w:val="center"/>
          </w:tcPr>
          <w:p w14:paraId="4E4FD7E3">
            <w:pPr>
              <w:pStyle w:val="28"/>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付款方式：</w:t>
            </w:r>
            <w:r>
              <w:rPr>
                <w:rFonts w:hint="eastAsia" w:ascii="宋体" w:hAnsi="宋体" w:eastAsia="宋体" w:cs="宋体"/>
                <w:color w:val="auto"/>
                <w:szCs w:val="21"/>
                <w:highlight w:val="none"/>
              </w:rPr>
              <w:t>合同生效后根据资金到位情况及时支付合同价款的20%，后续视项目进度与资金到位情况适时申请进度款，支付金额不得超过实施部分的90%，剩余部分待审计完成后一次性支付。</w:t>
            </w:r>
          </w:p>
        </w:tc>
      </w:tr>
      <w:tr w14:paraId="10A20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4" w:hRule="atLeast"/>
        </w:trPr>
        <w:tc>
          <w:tcPr>
            <w:tcW w:w="667" w:type="dxa"/>
            <w:noWrap w:val="0"/>
            <w:vAlign w:val="center"/>
          </w:tcPr>
          <w:p w14:paraId="52861F4C">
            <w:pPr>
              <w:pStyle w:val="28"/>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7980" w:type="dxa"/>
            <w:noWrap w:val="0"/>
            <w:vAlign w:val="center"/>
          </w:tcPr>
          <w:p w14:paraId="5270C8E3">
            <w:pPr>
              <w:pStyle w:val="28"/>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违约责任</w:t>
            </w:r>
          </w:p>
          <w:p w14:paraId="53A194DD">
            <w:pPr>
              <w:pStyle w:val="28"/>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监理人的违约责任</w:t>
            </w:r>
          </w:p>
          <w:p w14:paraId="7783F0BC">
            <w:pPr>
              <w:pStyle w:val="28"/>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①</w:t>
            </w:r>
            <w:r>
              <w:rPr>
                <w:rFonts w:hint="eastAsia" w:ascii="宋体" w:hAnsi="宋体" w:eastAsia="宋体" w:cs="宋体"/>
                <w:color w:val="auto"/>
                <w:highlight w:val="none"/>
              </w:rPr>
              <w:t>因监理人违反本合同约定给委托人造成损失的，监理人应当赔偿委托人损失。监理人赔偿金额按下列方法确定：赔偿金＝直接经济损失×正常工作酬金÷</w:t>
            </w:r>
            <w:r>
              <w:rPr>
                <w:rFonts w:hint="eastAsia" w:ascii="宋体" w:hAnsi="宋体" w:eastAsia="宋体" w:cs="宋体"/>
                <w:color w:val="auto"/>
                <w:highlight w:val="none"/>
                <w:lang w:eastAsia="zh-CN"/>
              </w:rPr>
              <w:t>项目</w:t>
            </w:r>
            <w:r>
              <w:rPr>
                <w:rFonts w:hint="eastAsia" w:ascii="宋体" w:hAnsi="宋体" w:eastAsia="宋体" w:cs="宋体"/>
                <w:color w:val="auto"/>
                <w:highlight w:val="none"/>
              </w:rPr>
              <w:t>概算投资额</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赔偿金额</w:t>
            </w:r>
            <w:r>
              <w:rPr>
                <w:rFonts w:hint="eastAsia" w:ascii="宋体" w:hAnsi="宋体" w:eastAsia="宋体" w:cs="宋体"/>
                <w:color w:val="auto"/>
                <w:highlight w:val="none"/>
                <w:lang w:eastAsia="zh-CN"/>
              </w:rPr>
              <w:t>不得超过本监理项目的预算金额）</w:t>
            </w:r>
            <w:r>
              <w:rPr>
                <w:rFonts w:hint="eastAsia" w:ascii="宋体" w:hAnsi="宋体" w:eastAsia="宋体" w:cs="宋体"/>
                <w:color w:val="auto"/>
                <w:highlight w:val="none"/>
              </w:rPr>
              <w:t>；</w:t>
            </w:r>
          </w:p>
          <w:p w14:paraId="483A6AAF">
            <w:pPr>
              <w:pStyle w:val="28"/>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②</w:t>
            </w:r>
            <w:r>
              <w:rPr>
                <w:rFonts w:hint="eastAsia" w:ascii="宋体" w:hAnsi="宋体" w:eastAsia="宋体" w:cs="宋体"/>
                <w:color w:val="auto"/>
                <w:highlight w:val="none"/>
              </w:rPr>
              <w:t>委托人发现需要旁站监理的部位施工时没有监理在场或缺岗时间超过</w:t>
            </w:r>
            <w:r>
              <w:rPr>
                <w:rFonts w:hint="eastAsia" w:ascii="宋体" w:hAnsi="宋体" w:eastAsia="宋体" w:cs="宋体"/>
                <w:color w:val="auto"/>
                <w:highlight w:val="none"/>
                <w:u w:val="single"/>
                <w:lang w:val="en-US" w:eastAsia="zh-CN"/>
              </w:rPr>
              <w:t>48</w:t>
            </w:r>
            <w:r>
              <w:rPr>
                <w:rFonts w:hint="eastAsia" w:ascii="宋体" w:hAnsi="宋体" w:eastAsia="宋体" w:cs="宋体"/>
                <w:color w:val="auto"/>
                <w:highlight w:val="none"/>
              </w:rPr>
              <w:t>小时，监理人支付违约金</w:t>
            </w:r>
            <w:r>
              <w:rPr>
                <w:rFonts w:hint="eastAsia" w:ascii="宋体" w:hAnsi="宋体" w:eastAsia="宋体" w:cs="宋体"/>
                <w:color w:val="auto"/>
                <w:highlight w:val="none"/>
                <w:u w:val="single"/>
                <w:lang w:val="en-US" w:eastAsia="zh-CN"/>
              </w:rPr>
              <w:t>500.00</w:t>
            </w:r>
            <w:r>
              <w:rPr>
                <w:rFonts w:hint="eastAsia" w:ascii="宋体" w:hAnsi="宋体" w:eastAsia="宋体" w:cs="宋体"/>
                <w:color w:val="auto"/>
                <w:highlight w:val="none"/>
              </w:rPr>
              <w:t>元/次，最高不超过合同金额的10%。</w:t>
            </w:r>
          </w:p>
          <w:p w14:paraId="0331A852">
            <w:pPr>
              <w:pStyle w:val="28"/>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③</w:t>
            </w:r>
            <w:r>
              <w:rPr>
                <w:rFonts w:hint="eastAsia" w:ascii="宋体" w:hAnsi="宋体" w:eastAsia="宋体" w:cs="宋体"/>
                <w:color w:val="auto"/>
                <w:highlight w:val="none"/>
              </w:rPr>
              <w:t>委托人发现质量、安全问题而监理人未及时发现时，监理人支付违约金</w:t>
            </w:r>
            <w:r>
              <w:rPr>
                <w:rFonts w:hint="eastAsia" w:ascii="宋体" w:hAnsi="宋体" w:eastAsia="宋体" w:cs="宋体"/>
                <w:color w:val="auto"/>
                <w:highlight w:val="none"/>
                <w:u w:val="single"/>
                <w:lang w:val="en-US" w:eastAsia="zh-CN"/>
              </w:rPr>
              <w:t>2000.00</w:t>
            </w:r>
            <w:r>
              <w:rPr>
                <w:rFonts w:hint="eastAsia" w:ascii="宋体" w:hAnsi="宋体" w:eastAsia="宋体" w:cs="宋体"/>
                <w:color w:val="auto"/>
                <w:highlight w:val="none"/>
              </w:rPr>
              <w:t>元/次，发现重大质量、安全问题时，按照经济评估结果的</w:t>
            </w:r>
            <w:r>
              <w:rPr>
                <w:rFonts w:hint="eastAsia" w:ascii="宋体" w:hAnsi="宋体" w:eastAsia="宋体" w:cs="宋体"/>
                <w:color w:val="auto"/>
                <w:highlight w:val="none"/>
                <w:u w:val="single"/>
                <w:lang w:val="en-US" w:eastAsia="zh-CN"/>
              </w:rPr>
              <w:t>3</w:t>
            </w:r>
            <w:r>
              <w:rPr>
                <w:rFonts w:hint="eastAsia" w:ascii="宋体" w:hAnsi="宋体" w:eastAsia="宋体" w:cs="宋体"/>
                <w:color w:val="auto"/>
                <w:highlight w:val="none"/>
              </w:rPr>
              <w:t>倍进行补偿，负担对此问题处理发生的所有费用。各专业监理对</w:t>
            </w:r>
            <w:r>
              <w:rPr>
                <w:rFonts w:hint="eastAsia" w:ascii="宋体" w:hAnsi="宋体" w:eastAsia="宋体" w:cs="宋体"/>
                <w:color w:val="auto"/>
                <w:highlight w:val="none"/>
                <w:lang w:val="en-US" w:eastAsia="zh-CN"/>
              </w:rPr>
              <w:t>项目执行</w:t>
            </w:r>
            <w:r>
              <w:rPr>
                <w:rFonts w:hint="eastAsia" w:ascii="宋体" w:hAnsi="宋体" w:eastAsia="宋体" w:cs="宋体"/>
                <w:color w:val="auto"/>
                <w:highlight w:val="none"/>
              </w:rPr>
              <w:t>过程中所采取的监理巡视不得少于规定频次，对不及时处理所发现问题而造成损失的支付违约金</w:t>
            </w:r>
            <w:r>
              <w:rPr>
                <w:rFonts w:hint="eastAsia" w:ascii="宋体" w:hAnsi="宋体" w:eastAsia="宋体" w:cs="宋体"/>
                <w:color w:val="auto"/>
                <w:highlight w:val="none"/>
                <w:u w:val="single"/>
                <w:lang w:val="en-US" w:eastAsia="zh-CN"/>
              </w:rPr>
              <w:t>2000.00元/</w:t>
            </w:r>
            <w:r>
              <w:rPr>
                <w:rFonts w:hint="eastAsia" w:ascii="宋体" w:hAnsi="宋体" w:eastAsia="宋体" w:cs="宋体"/>
                <w:color w:val="auto"/>
                <w:highlight w:val="none"/>
              </w:rPr>
              <w:t>人·次</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并承担损失，最高不超过合同金额。</w:t>
            </w:r>
          </w:p>
          <w:p w14:paraId="03B02E89">
            <w:pPr>
              <w:pStyle w:val="28"/>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委托人的违约责任</w:t>
            </w:r>
          </w:p>
          <w:p w14:paraId="6E86ECC9">
            <w:pPr>
              <w:pStyle w:val="28"/>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委托人逾期付款利息按下列方法确定：</w:t>
            </w:r>
          </w:p>
          <w:p w14:paraId="094088C9">
            <w:pPr>
              <w:pStyle w:val="28"/>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①</w:t>
            </w:r>
            <w:r>
              <w:rPr>
                <w:rFonts w:hint="eastAsia" w:ascii="宋体" w:hAnsi="宋体" w:eastAsia="宋体" w:cs="宋体"/>
                <w:color w:val="auto"/>
                <w:highlight w:val="none"/>
              </w:rPr>
              <w:t>委托人逾期</w:t>
            </w:r>
            <w:r>
              <w:rPr>
                <w:rFonts w:hint="eastAsia" w:ascii="宋体" w:hAnsi="宋体" w:eastAsia="宋体" w:cs="宋体"/>
                <w:color w:val="auto"/>
                <w:highlight w:val="none"/>
                <w:u w:val="single"/>
                <w:lang w:val="en-US" w:eastAsia="zh-CN"/>
              </w:rPr>
              <w:t>30</w:t>
            </w:r>
            <w:r>
              <w:rPr>
                <w:rFonts w:hint="eastAsia" w:ascii="宋体" w:hAnsi="宋体" w:eastAsia="宋体" w:cs="宋体"/>
                <w:color w:val="auto"/>
                <w:highlight w:val="none"/>
              </w:rPr>
              <w:t>天内支付监理人酬金，不支付监理人相关利息；</w:t>
            </w:r>
          </w:p>
          <w:p w14:paraId="532A32FE">
            <w:pPr>
              <w:pStyle w:val="28"/>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②</w:t>
            </w:r>
            <w:r>
              <w:rPr>
                <w:rFonts w:hint="eastAsia" w:ascii="宋体" w:hAnsi="宋体" w:eastAsia="宋体" w:cs="宋体"/>
                <w:color w:val="auto"/>
                <w:highlight w:val="none"/>
              </w:rPr>
              <w:t>委托人逾期</w:t>
            </w:r>
            <w:r>
              <w:rPr>
                <w:rFonts w:hint="eastAsia" w:ascii="宋体" w:hAnsi="宋体" w:eastAsia="宋体" w:cs="宋体"/>
                <w:color w:val="auto"/>
                <w:highlight w:val="none"/>
                <w:u w:val="single"/>
                <w:lang w:val="en-US" w:eastAsia="zh-CN"/>
              </w:rPr>
              <w:t>30</w:t>
            </w:r>
            <w:r>
              <w:rPr>
                <w:rFonts w:hint="eastAsia" w:ascii="宋体" w:hAnsi="宋体" w:eastAsia="宋体" w:cs="宋体"/>
                <w:color w:val="auto"/>
                <w:highlight w:val="none"/>
              </w:rPr>
              <w:t>天及以上天数，按以下方式支付支付监理人利息：</w:t>
            </w:r>
          </w:p>
          <w:p w14:paraId="2B18E634">
            <w:pPr>
              <w:pStyle w:val="28"/>
              <w:spacing w:line="360" w:lineRule="auto"/>
              <w:rPr>
                <w:rFonts w:hint="eastAsia" w:ascii="宋体" w:hAnsi="宋体" w:eastAsia="宋体" w:cs="宋体"/>
                <w:bCs/>
                <w:color w:val="auto"/>
                <w:szCs w:val="21"/>
                <w:highlight w:val="none"/>
              </w:rPr>
            </w:pPr>
            <w:r>
              <w:rPr>
                <w:rFonts w:hint="eastAsia" w:ascii="宋体" w:hAnsi="宋体" w:eastAsia="宋体" w:cs="宋体"/>
                <w:color w:val="auto"/>
                <w:highlight w:val="none"/>
              </w:rPr>
              <w:t>逾期付款利息＝当期应付款总额×银行同期贷款利率×（拖延支付天数-</w:t>
            </w:r>
            <w:r>
              <w:rPr>
                <w:rFonts w:hint="eastAsia" w:ascii="宋体" w:hAnsi="宋体" w:eastAsia="宋体" w:cs="宋体"/>
                <w:color w:val="auto"/>
                <w:highlight w:val="none"/>
                <w:u w:val="single"/>
                <w:lang w:val="en-US" w:eastAsia="zh-CN"/>
              </w:rPr>
              <w:t>30）</w:t>
            </w:r>
            <w:r>
              <w:rPr>
                <w:rFonts w:hint="eastAsia" w:ascii="宋体" w:hAnsi="宋体" w:eastAsia="宋体" w:cs="宋体"/>
                <w:color w:val="auto"/>
                <w:highlight w:val="none"/>
                <w:u w:val="none"/>
                <w:lang w:eastAsia="zh-CN"/>
              </w:rPr>
              <w:t>；</w:t>
            </w:r>
          </w:p>
        </w:tc>
      </w:tr>
    </w:tbl>
    <w:p w14:paraId="551602E4">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3D546A8A">
      <w:pPr>
        <w:spacing w:line="360" w:lineRule="auto"/>
        <w:jc w:val="center"/>
        <w:rPr>
          <w:rFonts w:hint="eastAsia" w:ascii="宋体" w:hAnsi="宋体" w:eastAsia="宋体" w:cs="宋体"/>
          <w:b/>
          <w:bCs/>
          <w:color w:val="auto"/>
          <w:sz w:val="48"/>
          <w:szCs w:val="48"/>
          <w:highlight w:val="none"/>
        </w:rPr>
      </w:pPr>
    </w:p>
    <w:p w14:paraId="2775F396">
      <w:pPr>
        <w:spacing w:line="360" w:lineRule="auto"/>
        <w:jc w:val="center"/>
        <w:rPr>
          <w:rFonts w:hint="eastAsia"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t>委托监理合同</w:t>
      </w:r>
    </w:p>
    <w:p w14:paraId="00BB513A">
      <w:pPr>
        <w:spacing w:line="360" w:lineRule="auto"/>
        <w:jc w:val="center"/>
        <w:rPr>
          <w:rFonts w:hint="eastAsia" w:ascii="宋体" w:hAnsi="宋体" w:eastAsia="宋体" w:cs="宋体"/>
          <w:b/>
          <w:bCs/>
          <w:color w:val="auto"/>
          <w:sz w:val="48"/>
          <w:szCs w:val="48"/>
          <w:highlight w:val="none"/>
        </w:rPr>
      </w:pPr>
    </w:p>
    <w:p w14:paraId="292A2AF4">
      <w:pPr>
        <w:spacing w:line="360" w:lineRule="auto"/>
        <w:jc w:val="center"/>
        <w:rPr>
          <w:rFonts w:hint="eastAsia" w:ascii="宋体" w:hAnsi="宋体" w:eastAsia="宋体" w:cs="宋体"/>
          <w:b/>
          <w:bCs/>
          <w:color w:val="auto"/>
          <w:sz w:val="48"/>
          <w:szCs w:val="48"/>
          <w:highlight w:val="none"/>
        </w:rPr>
      </w:pPr>
    </w:p>
    <w:p w14:paraId="33DD0BB5">
      <w:pPr>
        <w:spacing w:line="360" w:lineRule="auto"/>
        <w:jc w:val="center"/>
        <w:rPr>
          <w:rFonts w:hint="eastAsia" w:ascii="宋体" w:hAnsi="宋体" w:eastAsia="宋体" w:cs="宋体"/>
          <w:b/>
          <w:bCs/>
          <w:color w:val="auto"/>
          <w:sz w:val="48"/>
          <w:szCs w:val="48"/>
          <w:highlight w:val="none"/>
        </w:rPr>
      </w:pPr>
    </w:p>
    <w:p w14:paraId="03EA31B9">
      <w:pPr>
        <w:spacing w:line="360" w:lineRule="auto"/>
        <w:jc w:val="center"/>
        <w:rPr>
          <w:rFonts w:hint="eastAsia" w:ascii="宋体" w:hAnsi="宋体" w:eastAsia="宋体" w:cs="宋体"/>
          <w:b/>
          <w:bCs/>
          <w:color w:val="auto"/>
          <w:sz w:val="48"/>
          <w:szCs w:val="48"/>
          <w:highlight w:val="none"/>
        </w:rPr>
      </w:pPr>
    </w:p>
    <w:p w14:paraId="1FB361A8">
      <w:pPr>
        <w:spacing w:line="360" w:lineRule="auto"/>
        <w:jc w:val="center"/>
        <w:rPr>
          <w:rFonts w:hint="eastAsia" w:ascii="宋体" w:hAnsi="宋体" w:eastAsia="宋体" w:cs="宋体"/>
          <w:b/>
          <w:bCs/>
          <w:color w:val="auto"/>
          <w:sz w:val="48"/>
          <w:szCs w:val="48"/>
          <w:highlight w:val="none"/>
        </w:rPr>
      </w:pPr>
    </w:p>
    <w:p w14:paraId="1E0B3F55">
      <w:pPr>
        <w:spacing w:line="360" w:lineRule="auto"/>
        <w:ind w:firstLine="2520" w:firstLineChars="1200"/>
        <w:jc w:val="both"/>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甲 方：</w:t>
      </w:r>
      <w:r>
        <w:rPr>
          <w:rFonts w:hint="eastAsia" w:ascii="宋体" w:hAnsi="宋体" w:eastAsia="宋体" w:cs="宋体"/>
          <w:bCs/>
          <w:i w:val="0"/>
          <w:iCs/>
          <w:color w:val="auto"/>
          <w:sz w:val="21"/>
          <w:szCs w:val="21"/>
          <w:highlight w:val="none"/>
          <w:u w:val="single"/>
          <w:lang w:val="en-US" w:eastAsia="zh-CN"/>
        </w:rPr>
        <w:t xml:space="preserve">  </w:t>
      </w:r>
      <w:r>
        <w:rPr>
          <w:rFonts w:hint="eastAsia" w:ascii="宋体" w:hAnsi="宋体" w:eastAsia="宋体" w:cs="宋体"/>
          <w:bCs/>
          <w:i/>
          <w:color w:val="auto"/>
          <w:sz w:val="21"/>
          <w:szCs w:val="21"/>
          <w:highlight w:val="none"/>
          <w:u w:val="single"/>
          <w:lang w:val="en-US" w:eastAsia="zh-CN"/>
        </w:rPr>
        <w:t xml:space="preserve">                   </w:t>
      </w:r>
    </w:p>
    <w:p w14:paraId="248EB111">
      <w:pPr>
        <w:spacing w:line="360" w:lineRule="auto"/>
        <w:jc w:val="both"/>
        <w:rPr>
          <w:rFonts w:hint="eastAsia" w:ascii="宋体" w:hAnsi="宋体" w:eastAsia="宋体" w:cs="宋体"/>
          <w:bCs/>
          <w:color w:val="auto"/>
          <w:sz w:val="21"/>
          <w:szCs w:val="21"/>
          <w:highlight w:val="none"/>
        </w:rPr>
      </w:pPr>
    </w:p>
    <w:p w14:paraId="74CABD21">
      <w:pPr>
        <w:spacing w:line="360" w:lineRule="auto"/>
        <w:ind w:firstLine="2520" w:firstLineChars="1200"/>
        <w:jc w:val="both"/>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乙 方：</w:t>
      </w:r>
      <w:r>
        <w:rPr>
          <w:rFonts w:hint="eastAsia" w:ascii="宋体" w:hAnsi="宋体" w:eastAsia="宋体" w:cs="宋体"/>
          <w:bCs/>
          <w:i w:val="0"/>
          <w:iCs/>
          <w:color w:val="auto"/>
          <w:sz w:val="21"/>
          <w:szCs w:val="21"/>
          <w:highlight w:val="none"/>
          <w:u w:val="single"/>
          <w:lang w:val="en-US" w:eastAsia="zh-CN"/>
        </w:rPr>
        <w:t xml:space="preserve">  </w:t>
      </w:r>
      <w:r>
        <w:rPr>
          <w:rFonts w:hint="eastAsia" w:ascii="宋体" w:hAnsi="宋体" w:eastAsia="宋体" w:cs="宋体"/>
          <w:bCs/>
          <w:i/>
          <w:color w:val="auto"/>
          <w:sz w:val="21"/>
          <w:szCs w:val="21"/>
          <w:highlight w:val="none"/>
          <w:u w:val="single"/>
          <w:lang w:val="en-US" w:eastAsia="zh-CN"/>
        </w:rPr>
        <w:t xml:space="preserve">                   </w:t>
      </w:r>
    </w:p>
    <w:p w14:paraId="466CB8B5">
      <w:pPr>
        <w:spacing w:line="360" w:lineRule="auto"/>
        <w:ind w:firstLine="2520" w:firstLineChars="1200"/>
        <w:jc w:val="both"/>
        <w:rPr>
          <w:rFonts w:hint="eastAsia" w:ascii="宋体" w:hAnsi="宋体" w:eastAsia="宋体" w:cs="宋体"/>
          <w:bCs/>
          <w:color w:val="auto"/>
          <w:sz w:val="21"/>
          <w:szCs w:val="21"/>
          <w:highlight w:val="none"/>
        </w:rPr>
      </w:pPr>
    </w:p>
    <w:p w14:paraId="527036DB">
      <w:pPr>
        <w:spacing w:line="360" w:lineRule="auto"/>
        <w:ind w:firstLine="2520" w:firstLineChars="1200"/>
        <w:jc w:val="both"/>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签订日期：</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rPr>
        <w:t>年</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rPr>
        <w:t>月</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rPr>
        <w:t>日</w:t>
      </w:r>
    </w:p>
    <w:p w14:paraId="0DF21177">
      <w:pPr>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32"/>
          <w:szCs w:val="32"/>
          <w:highlight w:val="none"/>
        </w:rPr>
        <w:br w:type="page"/>
      </w:r>
      <w:r>
        <w:rPr>
          <w:rFonts w:hint="eastAsia" w:ascii="宋体" w:hAnsi="宋体" w:eastAsia="宋体" w:cs="宋体"/>
          <w:b/>
          <w:bCs/>
          <w:color w:val="auto"/>
          <w:sz w:val="32"/>
          <w:szCs w:val="32"/>
          <w:highlight w:val="none"/>
        </w:rPr>
        <w:t>第一部分</w:t>
      </w:r>
      <w:r>
        <w:rPr>
          <w:rFonts w:hint="eastAsia" w:ascii="宋体" w:hAnsi="宋体" w:eastAsia="宋体" w:cs="宋体"/>
          <w:color w:val="auto"/>
          <w:sz w:val="24"/>
          <w:szCs w:val="24"/>
          <w:highlight w:val="none"/>
        </w:rPr>
        <w:t>　</w:t>
      </w:r>
      <w:r>
        <w:rPr>
          <w:rFonts w:hint="eastAsia" w:ascii="宋体" w:hAnsi="宋体" w:eastAsia="宋体" w:cs="宋体"/>
          <w:b/>
          <w:bCs/>
          <w:color w:val="auto"/>
          <w:sz w:val="32"/>
          <w:szCs w:val="32"/>
          <w:highlight w:val="none"/>
        </w:rPr>
        <w:t>合同</w:t>
      </w:r>
      <w:r>
        <w:rPr>
          <w:rFonts w:hint="eastAsia" w:ascii="宋体" w:hAnsi="宋体" w:eastAsia="宋体" w:cs="宋体"/>
          <w:b/>
          <w:bCs/>
          <w:color w:val="auto"/>
          <w:sz w:val="32"/>
          <w:szCs w:val="32"/>
          <w:highlight w:val="none"/>
          <w:lang w:eastAsia="zh-CN"/>
        </w:rPr>
        <w:t>协议书</w:t>
      </w:r>
    </w:p>
    <w:p w14:paraId="6D0BBD70">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4"/>
          <w:szCs w:val="24"/>
          <w:highlight w:val="none"/>
        </w:rPr>
        <w:t>　　</w:t>
      </w:r>
      <w:r>
        <w:rPr>
          <w:rFonts w:hint="eastAsia" w:ascii="宋体" w:hAnsi="宋体" w:eastAsia="宋体" w:cs="宋体"/>
          <w:color w:val="auto"/>
          <w:sz w:val="21"/>
          <w:szCs w:val="21"/>
          <w:highlight w:val="none"/>
        </w:rPr>
        <w:t>委托人与监理人经双方协商一致，签订本合同。</w:t>
      </w:r>
    </w:p>
    <w:p w14:paraId="1869A8E7">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一、委托人委托监理人监理的</w:t>
      </w:r>
      <w:r>
        <w:rPr>
          <w:rFonts w:hint="eastAsia" w:ascii="宋体" w:hAnsi="宋体" w:eastAsia="宋体" w:cs="宋体"/>
          <w:color w:val="auto"/>
          <w:sz w:val="21"/>
          <w:szCs w:val="21"/>
          <w:highlight w:val="none"/>
          <w:lang w:eastAsia="zh-CN"/>
        </w:rPr>
        <w:t>项目</w:t>
      </w:r>
      <w:r>
        <w:rPr>
          <w:rFonts w:hint="eastAsia" w:ascii="宋体" w:hAnsi="宋体" w:eastAsia="宋体" w:cs="宋体"/>
          <w:color w:val="auto"/>
          <w:sz w:val="21"/>
          <w:szCs w:val="21"/>
          <w:highlight w:val="none"/>
        </w:rPr>
        <w:t>（以下简称本</w:t>
      </w:r>
      <w:r>
        <w:rPr>
          <w:rFonts w:hint="eastAsia" w:ascii="宋体" w:hAnsi="宋体" w:eastAsia="宋体" w:cs="宋体"/>
          <w:color w:val="auto"/>
          <w:sz w:val="21"/>
          <w:szCs w:val="21"/>
          <w:highlight w:val="none"/>
          <w:lang w:eastAsia="zh-CN"/>
        </w:rPr>
        <w:t>项目</w:t>
      </w:r>
      <w:r>
        <w:rPr>
          <w:rFonts w:hint="eastAsia" w:ascii="宋体" w:hAnsi="宋体" w:eastAsia="宋体" w:cs="宋体"/>
          <w:color w:val="auto"/>
          <w:sz w:val="21"/>
          <w:szCs w:val="21"/>
          <w:highlight w:val="none"/>
        </w:rPr>
        <w:t>）概况如下：</w:t>
      </w:r>
    </w:p>
    <w:p w14:paraId="437ABDB3">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r>
        <w:rPr>
          <w:rFonts w:hint="eastAsia" w:ascii="宋体" w:hAnsi="宋体" w:eastAsia="宋体" w:cs="宋体"/>
          <w:color w:val="auto"/>
          <w:sz w:val="21"/>
          <w:szCs w:val="21"/>
          <w:highlight w:val="none"/>
          <w:lang w:val="en-US" w:eastAsia="zh-CN"/>
        </w:rPr>
        <w:t xml:space="preserve">  项目</w:t>
      </w:r>
      <w:r>
        <w:rPr>
          <w:rFonts w:hint="eastAsia" w:ascii="宋体" w:hAnsi="宋体" w:eastAsia="宋体" w:cs="宋体"/>
          <w:color w:val="auto"/>
          <w:sz w:val="21"/>
          <w:szCs w:val="21"/>
          <w:highlight w:val="none"/>
        </w:rPr>
        <w:t>名称：</w:t>
      </w:r>
    </w:p>
    <w:p w14:paraId="464E23C4">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r>
        <w:rPr>
          <w:rFonts w:hint="eastAsia" w:ascii="宋体" w:hAnsi="宋体" w:eastAsia="宋体" w:cs="宋体"/>
          <w:color w:val="auto"/>
          <w:sz w:val="21"/>
          <w:szCs w:val="21"/>
          <w:highlight w:val="none"/>
          <w:lang w:val="en-US" w:eastAsia="zh-CN"/>
        </w:rPr>
        <w:t xml:space="preserve">  项目</w:t>
      </w:r>
      <w:r>
        <w:rPr>
          <w:rFonts w:hint="eastAsia" w:ascii="宋体" w:hAnsi="宋体" w:eastAsia="宋体" w:cs="宋体"/>
          <w:color w:val="auto"/>
          <w:sz w:val="21"/>
          <w:szCs w:val="21"/>
          <w:highlight w:val="none"/>
        </w:rPr>
        <w:t>地点：</w:t>
      </w:r>
    </w:p>
    <w:p w14:paraId="28AFDEBE">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r>
        <w:rPr>
          <w:rFonts w:hint="eastAsia" w:ascii="宋体" w:hAnsi="宋体" w:eastAsia="宋体" w:cs="宋体"/>
          <w:color w:val="auto"/>
          <w:sz w:val="21"/>
          <w:szCs w:val="21"/>
          <w:highlight w:val="none"/>
          <w:lang w:val="en-US" w:eastAsia="zh-CN"/>
        </w:rPr>
        <w:t xml:space="preserve">  项目</w:t>
      </w:r>
      <w:r>
        <w:rPr>
          <w:rFonts w:hint="eastAsia" w:ascii="宋体" w:hAnsi="宋体" w:eastAsia="宋体" w:cs="宋体"/>
          <w:color w:val="auto"/>
          <w:sz w:val="21"/>
          <w:szCs w:val="21"/>
          <w:highlight w:val="none"/>
        </w:rPr>
        <w:t>规模：</w:t>
      </w:r>
    </w:p>
    <w:p w14:paraId="0BA48083">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总投资：</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元；本监理服务（估算）：</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元；</w:t>
      </w:r>
    </w:p>
    <w:p w14:paraId="333E0012">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二、合同中有的有关词语含义与本合同第二部分《标准条件》中赋予它们的定义相同。</w:t>
      </w:r>
    </w:p>
    <w:p w14:paraId="7D97D358">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三、下列文件均为本合同的组成部分：</w:t>
      </w:r>
    </w:p>
    <w:p w14:paraId="2F150C99">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①</w:t>
      </w:r>
      <w:r>
        <w:rPr>
          <w:rFonts w:hint="eastAsia" w:ascii="宋体" w:hAnsi="宋体" w:eastAsia="宋体" w:cs="宋体"/>
          <w:color w:val="auto"/>
          <w:sz w:val="21"/>
          <w:szCs w:val="21"/>
          <w:highlight w:val="none"/>
          <w:lang w:eastAsia="zh-CN"/>
        </w:rPr>
        <w:t>响应文件</w:t>
      </w:r>
      <w:r>
        <w:rPr>
          <w:rFonts w:hint="eastAsia" w:ascii="宋体" w:hAnsi="宋体" w:eastAsia="宋体" w:cs="宋体"/>
          <w:color w:val="auto"/>
          <w:sz w:val="21"/>
          <w:szCs w:val="21"/>
          <w:highlight w:val="none"/>
        </w:rPr>
        <w:t>或</w:t>
      </w:r>
      <w:r>
        <w:rPr>
          <w:rFonts w:hint="eastAsia" w:ascii="宋体" w:hAnsi="宋体" w:eastAsia="宋体" w:cs="宋体"/>
          <w:color w:val="auto"/>
          <w:sz w:val="21"/>
          <w:szCs w:val="21"/>
          <w:highlight w:val="none"/>
          <w:lang w:eastAsia="zh-CN"/>
        </w:rPr>
        <w:t>成交</w:t>
      </w:r>
      <w:r>
        <w:rPr>
          <w:rFonts w:hint="eastAsia" w:ascii="宋体" w:hAnsi="宋体" w:eastAsia="宋体" w:cs="宋体"/>
          <w:color w:val="auto"/>
          <w:sz w:val="21"/>
          <w:szCs w:val="21"/>
          <w:highlight w:val="none"/>
        </w:rPr>
        <w:t>通知书；</w:t>
      </w:r>
    </w:p>
    <w:p w14:paraId="6DBD68FF">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②本合同标准条件；</w:t>
      </w:r>
    </w:p>
    <w:p w14:paraId="1C73C1A2">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③本合同专用条件；</w:t>
      </w:r>
    </w:p>
    <w:p w14:paraId="4820334E">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④在实施过程中双方共同签署的补充与修正文件。</w:t>
      </w:r>
    </w:p>
    <w:p w14:paraId="7758D690">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四、监理人向委托人承诺，按照本合同的规定，承担本合同专用条件中议定范围内的监理业务。</w:t>
      </w:r>
    </w:p>
    <w:p w14:paraId="3AA0E911">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五、合同生效后根据资金到位情况及时支付合同价款的20%，后续视项目进度与资金到位情况适时申请进度款，支付金额不得超过实施部分的90%，剩余部分待审计完成后一次性支付。</w:t>
      </w:r>
    </w:p>
    <w:p w14:paraId="690CD07C">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本合同自</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日开始实施，至</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日完成。</w:t>
      </w:r>
    </w:p>
    <w:p w14:paraId="78018268">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本合同一式</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u w:val="single"/>
          <w:lang w:val="en-US" w:eastAsia="zh-CN"/>
        </w:rPr>
        <w:t xml:space="preserve">捌 </w:t>
      </w:r>
      <w:r>
        <w:rPr>
          <w:rFonts w:hint="eastAsia" w:ascii="宋体" w:hAnsi="宋体" w:eastAsia="宋体" w:cs="宋体"/>
          <w:color w:val="auto"/>
          <w:sz w:val="21"/>
          <w:szCs w:val="21"/>
          <w:highlight w:val="none"/>
        </w:rPr>
        <w:t>份，具有同等法律效力，双方各执</w:t>
      </w:r>
      <w:r>
        <w:rPr>
          <w:rFonts w:hint="eastAsia" w:ascii="宋体" w:hAnsi="宋体" w:eastAsia="宋体" w:cs="宋体"/>
          <w:color w:val="auto"/>
          <w:sz w:val="21"/>
          <w:szCs w:val="21"/>
          <w:highlight w:val="none"/>
          <w:u w:val="single"/>
          <w:lang w:val="en-US" w:eastAsia="zh-CN"/>
        </w:rPr>
        <w:t>肆</w:t>
      </w:r>
      <w:r>
        <w:rPr>
          <w:rFonts w:hint="eastAsia" w:ascii="宋体" w:hAnsi="宋体" w:eastAsia="宋体" w:cs="宋体"/>
          <w:color w:val="auto"/>
          <w:sz w:val="21"/>
          <w:szCs w:val="21"/>
          <w:highlight w:val="none"/>
        </w:rPr>
        <w:t>份。</w:t>
      </w:r>
    </w:p>
    <w:p w14:paraId="09189DE7">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委托人：（签章）</w:t>
      </w:r>
      <w:r>
        <w:rPr>
          <w:rFonts w:hint="eastAsia" w:ascii="宋体" w:hAnsi="宋体" w:eastAsia="宋体" w:cs="宋体"/>
          <w:color w:val="auto"/>
          <w:sz w:val="21"/>
          <w:szCs w:val="21"/>
          <w:highlight w:val="none"/>
          <w:lang w:val="en-US" w:eastAsia="zh-CN"/>
        </w:rPr>
        <w:t xml:space="preserve">                          监理人：（签章）</w:t>
      </w:r>
    </w:p>
    <w:p w14:paraId="426E4033">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住所：</w:t>
      </w:r>
      <w:r>
        <w:rPr>
          <w:rFonts w:hint="eastAsia" w:ascii="宋体" w:hAnsi="宋体" w:eastAsia="宋体" w:cs="宋体"/>
          <w:color w:val="auto"/>
          <w:sz w:val="21"/>
          <w:szCs w:val="21"/>
          <w:highlight w:val="none"/>
          <w:lang w:val="en-US" w:eastAsia="zh-CN"/>
        </w:rPr>
        <w:t xml:space="preserve">                                   住所：</w:t>
      </w:r>
    </w:p>
    <w:p w14:paraId="0265CFD4">
      <w:pPr>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　　法定代表人：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签章</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 xml:space="preserve">                      法定代表人：（签章）</w:t>
      </w:r>
    </w:p>
    <w:p w14:paraId="19DAAD0B">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开户银行：</w:t>
      </w:r>
      <w:r>
        <w:rPr>
          <w:rFonts w:hint="eastAsia" w:ascii="宋体" w:hAnsi="宋体" w:eastAsia="宋体" w:cs="宋体"/>
          <w:color w:val="auto"/>
          <w:sz w:val="21"/>
          <w:szCs w:val="21"/>
          <w:highlight w:val="none"/>
          <w:lang w:val="en-US" w:eastAsia="zh-CN"/>
        </w:rPr>
        <w:t xml:space="preserve">                               开户银行：</w:t>
      </w:r>
    </w:p>
    <w:p w14:paraId="16E5C2B1">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账号：</w:t>
      </w:r>
      <w:r>
        <w:rPr>
          <w:rFonts w:hint="eastAsia" w:ascii="宋体" w:hAnsi="宋体" w:eastAsia="宋体" w:cs="宋体"/>
          <w:color w:val="auto"/>
          <w:sz w:val="21"/>
          <w:szCs w:val="21"/>
          <w:highlight w:val="none"/>
          <w:lang w:val="en-US" w:eastAsia="zh-CN"/>
        </w:rPr>
        <w:t xml:space="preserve">                                   账号：</w:t>
      </w:r>
    </w:p>
    <w:p w14:paraId="5D547AD8">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邮编：</w:t>
      </w:r>
      <w:r>
        <w:rPr>
          <w:rFonts w:hint="eastAsia" w:ascii="宋体" w:hAnsi="宋体" w:eastAsia="宋体" w:cs="宋体"/>
          <w:color w:val="auto"/>
          <w:sz w:val="21"/>
          <w:szCs w:val="21"/>
          <w:highlight w:val="none"/>
          <w:lang w:val="en-US" w:eastAsia="zh-CN"/>
        </w:rPr>
        <w:t xml:space="preserve">                                   邮编：</w:t>
      </w:r>
    </w:p>
    <w:p w14:paraId="539BB4DD">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电话：</w:t>
      </w:r>
      <w:r>
        <w:rPr>
          <w:rFonts w:hint="eastAsia" w:ascii="宋体" w:hAnsi="宋体" w:eastAsia="宋体" w:cs="宋体"/>
          <w:color w:val="auto"/>
          <w:sz w:val="21"/>
          <w:szCs w:val="21"/>
          <w:highlight w:val="none"/>
          <w:lang w:val="en-US" w:eastAsia="zh-CN"/>
        </w:rPr>
        <w:t xml:space="preserve">                                   电话：</w:t>
      </w:r>
    </w:p>
    <w:p w14:paraId="4FEE6CF1">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p w14:paraId="5315DCA3">
      <w:pPr>
        <w:spacing w:line="360" w:lineRule="auto"/>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本合同签订于：</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日</w:t>
      </w:r>
    </w:p>
    <w:p w14:paraId="347E21DA">
      <w:pPr>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b/>
          <w:bCs/>
          <w:iCs/>
          <w:color w:val="auto"/>
          <w:sz w:val="21"/>
          <w:szCs w:val="21"/>
          <w:highlight w:val="none"/>
        </w:rPr>
        <w:br w:type="page"/>
      </w:r>
      <w:r>
        <w:rPr>
          <w:rFonts w:hint="eastAsia" w:ascii="宋体" w:hAnsi="宋体" w:eastAsia="宋体" w:cs="宋体"/>
          <w:b/>
          <w:bCs/>
          <w:color w:val="auto"/>
          <w:sz w:val="32"/>
          <w:szCs w:val="32"/>
          <w:highlight w:val="none"/>
        </w:rPr>
        <w:t>第二部分</w:t>
      </w:r>
      <w:r>
        <w:rPr>
          <w:rFonts w:hint="eastAsia" w:ascii="宋体" w:hAnsi="宋体" w:eastAsia="宋体" w:cs="宋体"/>
          <w:b/>
          <w:bCs/>
          <w:color w:val="auto"/>
          <w:sz w:val="32"/>
          <w:szCs w:val="32"/>
          <w:highlight w:val="none"/>
          <w:lang w:val="en-US" w:eastAsia="zh-CN"/>
        </w:rPr>
        <w:t xml:space="preserve">  通用条款</w:t>
      </w:r>
    </w:p>
    <w:p w14:paraId="66CD6A29">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 定义与解释</w:t>
      </w:r>
    </w:p>
    <w:p w14:paraId="4C95D8E4">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 定义</w:t>
      </w:r>
    </w:p>
    <w:p w14:paraId="057B7067">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除根据上下文另有其意义外，组成本合同的全部文件中的下列名词和用语应具有本款所赋予的含义：</w:t>
      </w:r>
    </w:p>
    <w:p w14:paraId="79797A43">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 “</w:t>
      </w:r>
      <w:r>
        <w:rPr>
          <w:rFonts w:hint="eastAsia" w:ascii="宋体" w:hAnsi="宋体" w:eastAsia="宋体" w:cs="宋体"/>
          <w:color w:val="auto"/>
          <w:sz w:val="21"/>
          <w:szCs w:val="21"/>
          <w:highlight w:val="none"/>
          <w:lang w:eastAsia="zh-CN"/>
        </w:rPr>
        <w:t>项目</w:t>
      </w:r>
      <w:r>
        <w:rPr>
          <w:rFonts w:hint="eastAsia" w:ascii="宋体" w:hAnsi="宋体" w:eastAsia="宋体" w:cs="宋体"/>
          <w:color w:val="auto"/>
          <w:sz w:val="21"/>
          <w:szCs w:val="21"/>
          <w:highlight w:val="none"/>
        </w:rPr>
        <w:t>”是指按照本合同约定实施监理与相关服务的建设</w:t>
      </w:r>
      <w:r>
        <w:rPr>
          <w:rFonts w:hint="eastAsia" w:ascii="宋体" w:hAnsi="宋体" w:eastAsia="宋体" w:cs="宋体"/>
          <w:color w:val="auto"/>
          <w:sz w:val="21"/>
          <w:szCs w:val="21"/>
          <w:highlight w:val="none"/>
          <w:lang w:eastAsia="zh-CN"/>
        </w:rPr>
        <w:t>项目</w:t>
      </w:r>
      <w:r>
        <w:rPr>
          <w:rFonts w:hint="eastAsia" w:ascii="宋体" w:hAnsi="宋体" w:eastAsia="宋体" w:cs="宋体"/>
          <w:color w:val="auto"/>
          <w:sz w:val="21"/>
          <w:szCs w:val="21"/>
          <w:highlight w:val="none"/>
        </w:rPr>
        <w:t>。</w:t>
      </w:r>
    </w:p>
    <w:p w14:paraId="53FC780D">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 “委托人”是指本合同中委托监理与相关服务的一方，及其合法的继承人或受让人。</w:t>
      </w:r>
    </w:p>
    <w:p w14:paraId="5AF32028">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 “监理人”是指本合同中提供监理与相关服务的一方，及其合法的继承人。</w:t>
      </w:r>
    </w:p>
    <w:p w14:paraId="400018FE">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1.1.4 “承包人”是指在</w:t>
      </w:r>
      <w:r>
        <w:rPr>
          <w:rFonts w:hint="eastAsia" w:ascii="宋体" w:hAnsi="宋体" w:eastAsia="宋体" w:cs="宋体"/>
          <w:color w:val="auto"/>
          <w:sz w:val="21"/>
          <w:szCs w:val="21"/>
          <w:highlight w:val="none"/>
          <w:lang w:eastAsia="zh-CN"/>
        </w:rPr>
        <w:t>项目</w:t>
      </w:r>
      <w:r>
        <w:rPr>
          <w:rFonts w:hint="eastAsia" w:ascii="宋体" w:hAnsi="宋体" w:eastAsia="宋体" w:cs="宋体"/>
          <w:color w:val="auto"/>
          <w:sz w:val="21"/>
          <w:szCs w:val="21"/>
          <w:highlight w:val="none"/>
        </w:rPr>
        <w:t>范围内与委托人签订勘察、设计、施工等有关合同的当事人，及其合法的继承人。</w:t>
      </w:r>
    </w:p>
    <w:p w14:paraId="3A94DA41">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1.1.5 “监理”是指监理人受委托人的委托 ，依照法律法规、</w:t>
      </w:r>
      <w:r>
        <w:rPr>
          <w:rFonts w:hint="eastAsia" w:ascii="宋体" w:hAnsi="宋体" w:eastAsia="宋体" w:cs="宋体"/>
          <w:color w:val="auto"/>
          <w:sz w:val="21"/>
          <w:szCs w:val="21"/>
          <w:highlight w:val="none"/>
          <w:lang w:eastAsia="zh-CN"/>
        </w:rPr>
        <w:t>项目</w:t>
      </w:r>
      <w:r>
        <w:rPr>
          <w:rFonts w:hint="eastAsia" w:ascii="宋体" w:hAnsi="宋体" w:eastAsia="宋体" w:cs="宋体"/>
          <w:color w:val="auto"/>
          <w:sz w:val="21"/>
          <w:szCs w:val="21"/>
          <w:highlight w:val="none"/>
        </w:rPr>
        <w:t>建设标准、勘察设计文件及合同，在施工阶段对建设</w:t>
      </w:r>
      <w:r>
        <w:rPr>
          <w:rFonts w:hint="eastAsia" w:ascii="宋体" w:hAnsi="宋体" w:eastAsia="宋体" w:cs="宋体"/>
          <w:color w:val="auto"/>
          <w:sz w:val="21"/>
          <w:szCs w:val="21"/>
          <w:highlight w:val="none"/>
          <w:lang w:eastAsia="zh-CN"/>
        </w:rPr>
        <w:t>项目</w:t>
      </w:r>
      <w:r>
        <w:rPr>
          <w:rFonts w:hint="eastAsia" w:ascii="宋体" w:hAnsi="宋体" w:eastAsia="宋体" w:cs="宋体"/>
          <w:color w:val="auto"/>
          <w:sz w:val="21"/>
          <w:szCs w:val="21"/>
          <w:highlight w:val="none"/>
        </w:rPr>
        <w:t>质量、进度、造价进行控制，对合同、信息进行管理，对</w:t>
      </w:r>
      <w:r>
        <w:rPr>
          <w:rFonts w:hint="eastAsia" w:ascii="宋体" w:hAnsi="宋体" w:eastAsia="宋体" w:cs="宋体"/>
          <w:color w:val="auto"/>
          <w:sz w:val="21"/>
          <w:szCs w:val="21"/>
          <w:highlight w:val="none"/>
          <w:lang w:eastAsia="zh-CN"/>
        </w:rPr>
        <w:t>项目</w:t>
      </w:r>
      <w:r>
        <w:rPr>
          <w:rFonts w:hint="eastAsia" w:ascii="宋体" w:hAnsi="宋体" w:eastAsia="宋体" w:cs="宋体"/>
          <w:color w:val="auto"/>
          <w:sz w:val="21"/>
          <w:szCs w:val="21"/>
          <w:highlight w:val="none"/>
        </w:rPr>
        <w:t>建设相关方的关系进行协调，并履行建设</w:t>
      </w:r>
      <w:r>
        <w:rPr>
          <w:rFonts w:hint="eastAsia" w:ascii="宋体" w:hAnsi="宋体" w:eastAsia="宋体" w:cs="宋体"/>
          <w:color w:val="auto"/>
          <w:sz w:val="21"/>
          <w:szCs w:val="21"/>
          <w:highlight w:val="none"/>
          <w:lang w:eastAsia="zh-CN"/>
        </w:rPr>
        <w:t>项目</w:t>
      </w:r>
      <w:r>
        <w:rPr>
          <w:rFonts w:hint="eastAsia" w:ascii="宋体" w:hAnsi="宋体" w:eastAsia="宋体" w:cs="宋体"/>
          <w:color w:val="auto"/>
          <w:sz w:val="21"/>
          <w:szCs w:val="21"/>
          <w:highlight w:val="none"/>
        </w:rPr>
        <w:t>安全生产管理法定职责的服务活动。</w:t>
      </w:r>
    </w:p>
    <w:p w14:paraId="0C56927A">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1.1.6 “相关服务”是指监理人受委托人的委托 ，按照本合同约定，在勘察、设计、保修等阶段提供的服务活动。</w:t>
      </w:r>
    </w:p>
    <w:p w14:paraId="73955A89">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1.1.7 “正常工作”指本合同订立时通用条件和专用条件中约定的监理人的工作。</w:t>
      </w:r>
    </w:p>
    <w:p w14:paraId="454DC10F">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1.1.8 “附加工作”是指本合同约定的正常工作以外监理人的工作。</w:t>
      </w:r>
    </w:p>
    <w:p w14:paraId="45A79A16">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1.1.9 “项目监理机构”是指监理人派驻</w:t>
      </w:r>
      <w:r>
        <w:rPr>
          <w:rFonts w:hint="eastAsia" w:ascii="宋体" w:hAnsi="宋体" w:eastAsia="宋体" w:cs="宋体"/>
          <w:color w:val="auto"/>
          <w:sz w:val="21"/>
          <w:szCs w:val="21"/>
          <w:highlight w:val="none"/>
          <w:lang w:eastAsia="zh-CN"/>
        </w:rPr>
        <w:t>项目</w:t>
      </w:r>
      <w:r>
        <w:rPr>
          <w:rFonts w:hint="eastAsia" w:ascii="宋体" w:hAnsi="宋体" w:eastAsia="宋体" w:cs="宋体"/>
          <w:color w:val="auto"/>
          <w:sz w:val="21"/>
          <w:szCs w:val="21"/>
          <w:highlight w:val="none"/>
        </w:rPr>
        <w:t>负责履行本合同的组织机构。</w:t>
      </w:r>
    </w:p>
    <w:p w14:paraId="5C720308">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1.1.10 “总监理</w:t>
      </w:r>
      <w:r>
        <w:rPr>
          <w:rFonts w:hint="eastAsia" w:ascii="宋体" w:hAnsi="宋体" w:eastAsia="宋体" w:cs="宋体"/>
          <w:color w:val="auto"/>
          <w:sz w:val="21"/>
          <w:szCs w:val="21"/>
          <w:highlight w:val="none"/>
          <w:lang w:val="en-US" w:eastAsia="zh-CN"/>
        </w:rPr>
        <w:t>工程</w:t>
      </w:r>
      <w:r>
        <w:rPr>
          <w:rFonts w:hint="eastAsia" w:ascii="宋体" w:hAnsi="宋体" w:eastAsia="宋体" w:cs="宋体"/>
          <w:color w:val="auto"/>
          <w:sz w:val="21"/>
          <w:szCs w:val="21"/>
          <w:highlight w:val="none"/>
        </w:rPr>
        <w:t>师”是指由监理人的法定代表人书面授权，全面负责履行本合同、主持项目监理机构工作的注册监理</w:t>
      </w:r>
      <w:r>
        <w:rPr>
          <w:rFonts w:hint="eastAsia" w:ascii="宋体" w:hAnsi="宋体" w:eastAsia="宋体" w:cs="宋体"/>
          <w:color w:val="auto"/>
          <w:sz w:val="21"/>
          <w:szCs w:val="21"/>
          <w:highlight w:val="none"/>
          <w:lang w:val="en-US" w:eastAsia="zh-CN"/>
        </w:rPr>
        <w:t>工程</w:t>
      </w:r>
      <w:r>
        <w:rPr>
          <w:rFonts w:hint="eastAsia" w:ascii="宋体" w:hAnsi="宋体" w:eastAsia="宋体" w:cs="宋体"/>
          <w:color w:val="auto"/>
          <w:sz w:val="21"/>
          <w:szCs w:val="21"/>
          <w:highlight w:val="none"/>
        </w:rPr>
        <w:t>师。</w:t>
      </w:r>
    </w:p>
    <w:p w14:paraId="4962EAB1">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1.1.11 “酬金”是指监理人履行本合同义务，委托人按照本合同约定给付监理人的金额。</w:t>
      </w:r>
    </w:p>
    <w:p w14:paraId="4C54563D">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1.1.12 “正常工作酬金”是指监理人完成正常工作，委托人应给付监理人并在协议书中载明的签约酬金额。</w:t>
      </w:r>
    </w:p>
    <w:p w14:paraId="1C3CC127">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1.1.13 “附加工作酬金”是指监理人完成附加工作，委托人应给付监理人的金额。</w:t>
      </w:r>
    </w:p>
    <w:p w14:paraId="1235E112">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1.1.14 “一方”是指委托人或监理人；“双方”是指委托人和监理人；“第三方”是指除委托人和监理人以外的有关方。</w:t>
      </w:r>
    </w:p>
    <w:p w14:paraId="7E680BFE">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1.1.15 “书面形式”是指合同书、信件和数据电文（包括电报、电传、传真、电子数据交换和电子邮件）等可以有形地表现所载内容的形式。</w:t>
      </w:r>
    </w:p>
    <w:p w14:paraId="7C5EE512">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1.1.16 “天”是指第一天零时至第二天零时的时间。</w:t>
      </w:r>
    </w:p>
    <w:p w14:paraId="75B7B0C5">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1.1.17“月”是指按公历从一个月中任何一天开始的一个公历月时间。</w:t>
      </w:r>
    </w:p>
    <w:p w14:paraId="68797DEA">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1.1.18 “不可抗力”是指委托人和监理人在订立本合同时不可预见，在</w:t>
      </w:r>
      <w:r>
        <w:rPr>
          <w:rFonts w:hint="eastAsia" w:ascii="宋体" w:hAnsi="宋体" w:eastAsia="宋体" w:cs="宋体"/>
          <w:color w:val="auto"/>
          <w:sz w:val="21"/>
          <w:szCs w:val="21"/>
          <w:highlight w:val="none"/>
          <w:lang w:eastAsia="zh-CN"/>
        </w:rPr>
        <w:t>项目</w:t>
      </w:r>
      <w:r>
        <w:rPr>
          <w:rFonts w:hint="eastAsia" w:ascii="宋体" w:hAnsi="宋体" w:eastAsia="宋体" w:cs="宋体"/>
          <w:color w:val="auto"/>
          <w:sz w:val="21"/>
          <w:szCs w:val="21"/>
          <w:highlight w:val="none"/>
        </w:rPr>
        <w:t>施工过程中不可避免发生并不能克服的自然灾害和社会性突发事件，如地震、海啸、瘟疫、水灾、骚乱、暴动、战争和专用条件约定的其他情形。</w:t>
      </w:r>
    </w:p>
    <w:p w14:paraId="27602A1B">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 解释</w:t>
      </w:r>
    </w:p>
    <w:p w14:paraId="61A25F4E">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1.2.1本合同使用中文书写、解释和说明。如专用条件约定使用两种及以上语言文字时，应以中文为准。</w:t>
      </w:r>
    </w:p>
    <w:p w14:paraId="2FC86137">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1.2.2 组成本合同的下列文件彼此应能相互解释、互为说明。除专用条件另有约定外，本合同文件的解释顺序如下：</w:t>
      </w:r>
    </w:p>
    <w:p w14:paraId="6F5E3AAC">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（1）协议书；</w:t>
      </w:r>
    </w:p>
    <w:p w14:paraId="6E418303">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成交通知书</w:t>
      </w:r>
      <w:r>
        <w:rPr>
          <w:rFonts w:hint="eastAsia" w:ascii="宋体" w:hAnsi="宋体" w:eastAsia="宋体" w:cs="宋体"/>
          <w:color w:val="auto"/>
          <w:sz w:val="21"/>
          <w:szCs w:val="21"/>
          <w:highlight w:val="none"/>
        </w:rPr>
        <w:t>或委托书；</w:t>
      </w:r>
    </w:p>
    <w:p w14:paraId="046CE4CD">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（3）专用条件及附录A、附录B；</w:t>
      </w:r>
    </w:p>
    <w:p w14:paraId="219863BF">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（4）通用条件；</w:t>
      </w:r>
    </w:p>
    <w:p w14:paraId="1FCAA66E">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（5）响应文件或监理与相关服务建议书。</w:t>
      </w:r>
    </w:p>
    <w:p w14:paraId="182D17DF">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双方签订的补充协议与其他文件发生矛盾或歧义时，属于同一类内容的文件，应以最新签署的为准。</w:t>
      </w:r>
    </w:p>
    <w:p w14:paraId="24FB14FE">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 监理人的义务</w:t>
      </w:r>
    </w:p>
    <w:p w14:paraId="5FFEC78D">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 监理的范围和工作内容</w:t>
      </w:r>
    </w:p>
    <w:p w14:paraId="7D1A47AF">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2.1.1 监理范围在专用条件中约定。</w:t>
      </w:r>
    </w:p>
    <w:p w14:paraId="6367BE0E">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2.1.2 除专用条件另有约定外，监理工作内容包括：</w:t>
      </w:r>
    </w:p>
    <w:p w14:paraId="50A55E97">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（1）收到工程设计文件后编制监理规划，并在第一次项目工作例会7天前报委托人。根据有关规定和监理工作需要，编制监理实施细则；</w:t>
      </w:r>
    </w:p>
    <w:p w14:paraId="5D9A2C56">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（2）熟悉项目工作内容及工程设计文件，并参加由委托人主持的图纸会审和设计交底会议；</w:t>
      </w:r>
    </w:p>
    <w:p w14:paraId="4BEE5C58">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（3）参加由委托人主持的第一次项目工作会；主持每半月一次的监理例会并根据项目需要主持或参加专题会议；</w:t>
      </w:r>
    </w:p>
    <w:p w14:paraId="443E3C66">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（4）审查承包人提交的工作方案与工程建设强制性标准的符合性；</w:t>
      </w:r>
    </w:p>
    <w:p w14:paraId="2CFE9AE6">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（5）检查承包人工程质量、安全生产管理制度及组织机构和人员资格； </w:t>
      </w:r>
    </w:p>
    <w:p w14:paraId="4A973210">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（6）检查承包人专职安全生产管理人员的配备情况；</w:t>
      </w:r>
    </w:p>
    <w:p w14:paraId="7C0A79E3">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（7）审查承包人提交的项目实施进度计划，核查承包人对项目实施进度计划的调整；</w:t>
      </w:r>
    </w:p>
    <w:p w14:paraId="3CAB6C4B">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（8）检查承包人的试验室；</w:t>
      </w:r>
    </w:p>
    <w:p w14:paraId="444CC3B1">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（9）审核分包人资质条件；</w:t>
      </w:r>
    </w:p>
    <w:p w14:paraId="4A70366E">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（10）审查工程开工条件，对条件具备的签发开工令；</w:t>
      </w:r>
    </w:p>
    <w:p w14:paraId="5CDE62EB">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（11）审核承包人提交的工程款支付申请，签发或出具进度款支付证书，并报委托人审核、批准；</w:t>
      </w:r>
    </w:p>
    <w:p w14:paraId="62715F5A">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（12）在巡视、旁站和检验过程中，发现质量、安全存在事故隐患的，要求承包人整改并报委托人；</w:t>
      </w:r>
    </w:p>
    <w:p w14:paraId="184961A2">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（13）经委托人同意，签发暂停令和复工令；</w:t>
      </w:r>
    </w:p>
    <w:p w14:paraId="77CEC4E7">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（14）审查承包人提交的采用新材料、新工艺、新技术、新设备的论证材料及相关验收标准；</w:t>
      </w:r>
    </w:p>
    <w:p w14:paraId="3A165F43">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（15）审查承包人提交的变更申请，协调处理项目进度调整、费用索赔、合同争议等事项；</w:t>
      </w:r>
    </w:p>
    <w:p w14:paraId="1CFC4ECA">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（16）审查承包人提交的接替验收申请，编写质量评估报告；</w:t>
      </w:r>
    </w:p>
    <w:p w14:paraId="134928E6">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（17）参加项目验收，签署验收意见；</w:t>
      </w:r>
    </w:p>
    <w:p w14:paraId="764884CC">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（18）审查承包人提交的结算申请并报委托人；</w:t>
      </w:r>
    </w:p>
    <w:p w14:paraId="63335D15">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（19）编制、整理监理归档文件并报委托人。</w:t>
      </w:r>
    </w:p>
    <w:p w14:paraId="732CDFAE">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2.1.3 相关服务的范围和内容在附录A中约定。</w:t>
      </w:r>
    </w:p>
    <w:p w14:paraId="1E741BB3">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 监理与相关服务依据</w:t>
      </w:r>
    </w:p>
    <w:p w14:paraId="05F75BD8">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2.2.1 监理依据包括：</w:t>
      </w:r>
    </w:p>
    <w:p w14:paraId="61D154E7">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（1）适用的法律、行政法规及部门规章；</w:t>
      </w:r>
    </w:p>
    <w:p w14:paraId="5E7C041E">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（2）与</w:t>
      </w:r>
      <w:r>
        <w:rPr>
          <w:rFonts w:hint="eastAsia" w:ascii="宋体" w:hAnsi="宋体" w:eastAsia="宋体" w:cs="宋体"/>
          <w:color w:val="auto"/>
          <w:sz w:val="21"/>
          <w:szCs w:val="21"/>
          <w:highlight w:val="none"/>
          <w:lang w:eastAsia="zh-CN"/>
        </w:rPr>
        <w:t>项目</w:t>
      </w:r>
      <w:r>
        <w:rPr>
          <w:rFonts w:hint="eastAsia" w:ascii="宋体" w:hAnsi="宋体" w:eastAsia="宋体" w:cs="宋体"/>
          <w:color w:val="auto"/>
          <w:sz w:val="21"/>
          <w:szCs w:val="21"/>
          <w:highlight w:val="none"/>
        </w:rPr>
        <w:t>有关的标准；</w:t>
      </w:r>
    </w:p>
    <w:p w14:paraId="512EE86B">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eastAsia="zh-CN"/>
        </w:rPr>
        <w:t>项目</w:t>
      </w:r>
      <w:r>
        <w:rPr>
          <w:rFonts w:hint="eastAsia" w:ascii="宋体" w:hAnsi="宋体" w:eastAsia="宋体" w:cs="宋体"/>
          <w:color w:val="auto"/>
          <w:sz w:val="21"/>
          <w:szCs w:val="21"/>
          <w:highlight w:val="none"/>
        </w:rPr>
        <w:t>设计及有关文件；</w:t>
      </w:r>
    </w:p>
    <w:p w14:paraId="1F4A1E05">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（4）本合同及委托人与第三方签订的与</w:t>
      </w:r>
      <w:r>
        <w:rPr>
          <w:rFonts w:hint="eastAsia" w:ascii="宋体" w:hAnsi="宋体" w:eastAsia="宋体" w:cs="宋体"/>
          <w:color w:val="auto"/>
          <w:sz w:val="21"/>
          <w:szCs w:val="21"/>
          <w:highlight w:val="none"/>
          <w:lang w:eastAsia="zh-CN"/>
        </w:rPr>
        <w:t>项目</w:t>
      </w:r>
      <w:r>
        <w:rPr>
          <w:rFonts w:hint="eastAsia" w:ascii="宋体" w:hAnsi="宋体" w:eastAsia="宋体" w:cs="宋体"/>
          <w:color w:val="auto"/>
          <w:sz w:val="21"/>
          <w:szCs w:val="21"/>
          <w:highlight w:val="none"/>
        </w:rPr>
        <w:t>实施有关的其他合同。</w:t>
      </w:r>
    </w:p>
    <w:p w14:paraId="094EE75F">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双方根据</w:t>
      </w:r>
      <w:r>
        <w:rPr>
          <w:rFonts w:hint="eastAsia" w:ascii="宋体" w:hAnsi="宋体" w:eastAsia="宋体" w:cs="宋体"/>
          <w:color w:val="auto"/>
          <w:sz w:val="21"/>
          <w:szCs w:val="21"/>
          <w:highlight w:val="none"/>
          <w:lang w:eastAsia="zh-CN"/>
        </w:rPr>
        <w:t>项目</w:t>
      </w:r>
      <w:r>
        <w:rPr>
          <w:rFonts w:hint="eastAsia" w:ascii="宋体" w:hAnsi="宋体" w:eastAsia="宋体" w:cs="宋体"/>
          <w:color w:val="auto"/>
          <w:sz w:val="21"/>
          <w:szCs w:val="21"/>
          <w:highlight w:val="none"/>
        </w:rPr>
        <w:t>的行业和地域特点，在专用条件中具体约定监理依据。</w:t>
      </w:r>
    </w:p>
    <w:p w14:paraId="24C8A408">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2.2.2 相关服务依据在专用条件中约定。</w:t>
      </w:r>
    </w:p>
    <w:p w14:paraId="330053D9">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 项目监理机构和人员</w:t>
      </w:r>
    </w:p>
    <w:p w14:paraId="77A3E314">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2.3.1 监理人应组建满足工作需要的项目监理机构，配备必要的检测设备。项目监理机构的主要人员应具有相应的资格条件。</w:t>
      </w:r>
    </w:p>
    <w:p w14:paraId="1C1DA082">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2.3.2本合同履行过程中，总监理</w:t>
      </w:r>
      <w:r>
        <w:rPr>
          <w:rFonts w:hint="eastAsia" w:ascii="宋体" w:hAnsi="宋体" w:eastAsia="宋体" w:cs="宋体"/>
          <w:color w:val="auto"/>
          <w:sz w:val="21"/>
          <w:szCs w:val="21"/>
          <w:highlight w:val="none"/>
          <w:lang w:val="en-US" w:eastAsia="zh-CN"/>
        </w:rPr>
        <w:t>工程</w:t>
      </w:r>
      <w:r>
        <w:rPr>
          <w:rFonts w:hint="eastAsia" w:ascii="宋体" w:hAnsi="宋体" w:eastAsia="宋体" w:cs="宋体"/>
          <w:color w:val="auto"/>
          <w:sz w:val="21"/>
          <w:szCs w:val="21"/>
          <w:highlight w:val="none"/>
        </w:rPr>
        <w:t>师及重要岗位监理人员应保持相对稳定，以保证监理工作正常进行。</w:t>
      </w:r>
    </w:p>
    <w:p w14:paraId="734CD7BB">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2.3.3监理人可根据</w:t>
      </w:r>
      <w:r>
        <w:rPr>
          <w:rFonts w:hint="eastAsia" w:ascii="宋体" w:hAnsi="宋体" w:eastAsia="宋体" w:cs="宋体"/>
          <w:color w:val="auto"/>
          <w:sz w:val="21"/>
          <w:szCs w:val="21"/>
          <w:highlight w:val="none"/>
          <w:lang w:eastAsia="zh-CN"/>
        </w:rPr>
        <w:t>项目</w:t>
      </w:r>
      <w:r>
        <w:rPr>
          <w:rFonts w:hint="eastAsia" w:ascii="宋体" w:hAnsi="宋体" w:eastAsia="宋体" w:cs="宋体"/>
          <w:color w:val="auto"/>
          <w:sz w:val="21"/>
          <w:szCs w:val="21"/>
          <w:highlight w:val="none"/>
        </w:rPr>
        <w:t>进展和工作需要调整项目监理机构人员。监理人更换总监理</w:t>
      </w:r>
      <w:r>
        <w:rPr>
          <w:rFonts w:hint="eastAsia" w:ascii="宋体" w:hAnsi="宋体" w:eastAsia="宋体" w:cs="宋体"/>
          <w:color w:val="auto"/>
          <w:sz w:val="21"/>
          <w:szCs w:val="21"/>
          <w:highlight w:val="none"/>
          <w:lang w:val="en-US" w:eastAsia="zh-CN"/>
        </w:rPr>
        <w:t>工程</w:t>
      </w:r>
      <w:r>
        <w:rPr>
          <w:rFonts w:hint="eastAsia" w:ascii="宋体" w:hAnsi="宋体" w:eastAsia="宋体" w:cs="宋体"/>
          <w:color w:val="auto"/>
          <w:sz w:val="21"/>
          <w:szCs w:val="21"/>
          <w:highlight w:val="none"/>
        </w:rPr>
        <w:t>师时，应提前7天向委托人书面报告，经委托人同意后方可更换；监理人更换项目其他监理人员，应以相当资格与能力的人员替换，并通知委托人。</w:t>
      </w:r>
    </w:p>
    <w:p w14:paraId="2121973D">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2.3.4 监理人应及时更换有下列情形之一的监理人员：</w:t>
      </w:r>
    </w:p>
    <w:p w14:paraId="6F54FCBC">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（1）严重过失行为的；</w:t>
      </w:r>
    </w:p>
    <w:p w14:paraId="46945AC6">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（2）有违法行为不能履行职责的；</w:t>
      </w:r>
    </w:p>
    <w:p w14:paraId="2143FB88">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（3）涉嫌犯罪的；</w:t>
      </w:r>
    </w:p>
    <w:p w14:paraId="1DAAC01A">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（4）不能胜任岗位职责的；</w:t>
      </w:r>
    </w:p>
    <w:p w14:paraId="0C817105">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（5）严重违反职业道德的；</w:t>
      </w:r>
    </w:p>
    <w:p w14:paraId="37EC1836">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（6）专用条件约定的其他情形。</w:t>
      </w:r>
    </w:p>
    <w:p w14:paraId="2D267340">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2.3.5 委托人可要求监理人更换不能胜任本职工作的项目监理机构人员。</w:t>
      </w:r>
    </w:p>
    <w:p w14:paraId="4F1D86C6">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 履行职责</w:t>
      </w:r>
    </w:p>
    <w:p w14:paraId="2F24F464">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监理人应遵循职业道德准则和行为规范，严格按照法律法规、</w:t>
      </w:r>
      <w:r>
        <w:rPr>
          <w:rFonts w:hint="eastAsia" w:ascii="宋体" w:hAnsi="宋体" w:eastAsia="宋体" w:cs="宋体"/>
          <w:color w:val="auto"/>
          <w:sz w:val="21"/>
          <w:szCs w:val="21"/>
          <w:highlight w:val="none"/>
          <w:lang w:eastAsia="zh-CN"/>
        </w:rPr>
        <w:t>项目</w:t>
      </w:r>
      <w:r>
        <w:rPr>
          <w:rFonts w:hint="eastAsia" w:ascii="宋体" w:hAnsi="宋体" w:eastAsia="宋体" w:cs="宋体"/>
          <w:color w:val="auto"/>
          <w:sz w:val="21"/>
          <w:szCs w:val="21"/>
          <w:highlight w:val="none"/>
        </w:rPr>
        <w:t>建设有关标准及本合同履行职责。</w:t>
      </w:r>
    </w:p>
    <w:p w14:paraId="42EC51FD">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2.4.1 在监理与相关服务范围内，委托人和承包人提出的意见和要求，监理人应及时提出处置意见。当委托人与承包人之间发生合同争议时，监理人应协助委托人、承包人协商解决。</w:t>
      </w:r>
    </w:p>
    <w:p w14:paraId="1D25A57E">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2.4.2 当委托人与承包人之间的合同争议提交仲裁机构仲裁或人民法院审理时，监理人应提供必要的证明资料。</w:t>
      </w:r>
    </w:p>
    <w:p w14:paraId="1963041F">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2.4.3 监理人应在专用条件约定的授权范围内，处理委托人与承包人所签订合同的变更事宜。如果变更超过授权范围，应以书面形式报委托人批准。</w:t>
      </w:r>
    </w:p>
    <w:p w14:paraId="6247F47D">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在紧急情况下，为了保护财产和人身安全，监理人所发出的指令未能事先报委托人批准时，应在发出指令后的24小时内以书面形式报委托人。</w:t>
      </w:r>
    </w:p>
    <w:p w14:paraId="0FB26EA2">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2.4.4 除专用条件另有约定外，监理人发现承包人的人员不能胜任本职工作的，有权要求承包人予以调换。</w:t>
      </w:r>
    </w:p>
    <w:p w14:paraId="6AB2A51B">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 提交报告</w:t>
      </w:r>
    </w:p>
    <w:p w14:paraId="6EEA0C13">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监理人应按专用条件约定的种类、时间和份数向委托人提交监理与相关服务的报告。</w:t>
      </w:r>
    </w:p>
    <w:p w14:paraId="016FF775">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 文件资料</w:t>
      </w:r>
    </w:p>
    <w:p w14:paraId="34E7CC77">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在本合同履行期内，监理人应在现场保留工作</w:t>
      </w:r>
      <w:r>
        <w:rPr>
          <w:rFonts w:hint="eastAsia" w:ascii="宋体" w:hAnsi="宋体" w:eastAsia="宋体" w:cs="宋体"/>
          <w:color w:val="auto"/>
          <w:sz w:val="21"/>
          <w:szCs w:val="21"/>
          <w:highlight w:val="none"/>
          <w:lang w:val="en-US" w:eastAsia="zh-CN"/>
        </w:rPr>
        <w:t>图片、视频及</w:t>
      </w:r>
      <w:r>
        <w:rPr>
          <w:rFonts w:hint="eastAsia" w:ascii="宋体" w:hAnsi="宋体" w:eastAsia="宋体" w:cs="宋体"/>
          <w:color w:val="auto"/>
          <w:sz w:val="21"/>
          <w:szCs w:val="21"/>
          <w:highlight w:val="none"/>
        </w:rPr>
        <w:t>所用的图纸、报告及记录监理工作的相关文件。</w:t>
      </w:r>
      <w:r>
        <w:rPr>
          <w:rFonts w:hint="eastAsia" w:ascii="宋体" w:hAnsi="宋体" w:eastAsia="宋体" w:cs="宋体"/>
          <w:color w:val="auto"/>
          <w:sz w:val="21"/>
          <w:szCs w:val="21"/>
          <w:highlight w:val="none"/>
          <w:lang w:val="en-US" w:eastAsia="zh-CN"/>
        </w:rPr>
        <w:t>项目结题</w:t>
      </w:r>
      <w:r>
        <w:rPr>
          <w:rFonts w:hint="eastAsia" w:ascii="宋体" w:hAnsi="宋体" w:eastAsia="宋体" w:cs="宋体"/>
          <w:color w:val="auto"/>
          <w:sz w:val="21"/>
          <w:szCs w:val="21"/>
          <w:highlight w:val="none"/>
        </w:rPr>
        <w:t>后，应当按照档案管理规定将监理有关文件归档。</w:t>
      </w:r>
    </w:p>
    <w:p w14:paraId="5D0027EF">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 使用委托人的财产</w:t>
      </w:r>
    </w:p>
    <w:p w14:paraId="10264EE4">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理人无偿使用附录B中由委托人派遣的人员和提供的房屋、资料、设备。除专用条件另有约定外，委托人提供的房屋、设备属于委托人的财产，监理人应妥善使用和保管，在本合同终止时将这些房屋、设备的清单提交委托人，并按专用条件约定的时间和方式移交。</w:t>
      </w:r>
    </w:p>
    <w:p w14:paraId="022CFF73">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3．委托人的义务</w:t>
      </w:r>
    </w:p>
    <w:p w14:paraId="05306478">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 告知</w:t>
      </w:r>
    </w:p>
    <w:p w14:paraId="489F34AC">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委托人应在委托人与承包人签订的合同中明确监理人、总监理</w:t>
      </w:r>
      <w:r>
        <w:rPr>
          <w:rFonts w:hint="eastAsia" w:ascii="宋体" w:hAnsi="宋体" w:eastAsia="宋体" w:cs="宋体"/>
          <w:color w:val="auto"/>
          <w:sz w:val="21"/>
          <w:szCs w:val="21"/>
          <w:highlight w:val="none"/>
          <w:lang w:val="en-US" w:eastAsia="zh-CN"/>
        </w:rPr>
        <w:t>工程</w:t>
      </w:r>
      <w:r>
        <w:rPr>
          <w:rFonts w:hint="eastAsia" w:ascii="宋体" w:hAnsi="宋体" w:eastAsia="宋体" w:cs="宋体"/>
          <w:color w:val="auto"/>
          <w:sz w:val="21"/>
          <w:szCs w:val="21"/>
          <w:highlight w:val="none"/>
        </w:rPr>
        <w:t>师和授予项目监理机构的权限。如有变更，应及时通知承包人。</w:t>
      </w:r>
    </w:p>
    <w:p w14:paraId="6ECD48BF">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 提供资料</w:t>
      </w:r>
    </w:p>
    <w:p w14:paraId="54ABFE26">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委托人应按照附录B约定，无偿向监理人提供</w:t>
      </w:r>
      <w:r>
        <w:rPr>
          <w:rFonts w:hint="eastAsia" w:ascii="宋体" w:hAnsi="宋体" w:eastAsia="宋体" w:cs="宋体"/>
          <w:color w:val="auto"/>
          <w:sz w:val="21"/>
          <w:szCs w:val="21"/>
          <w:highlight w:val="none"/>
          <w:lang w:eastAsia="zh-CN"/>
        </w:rPr>
        <w:t>项目</w:t>
      </w:r>
      <w:r>
        <w:rPr>
          <w:rFonts w:hint="eastAsia" w:ascii="宋体" w:hAnsi="宋体" w:eastAsia="宋体" w:cs="宋体"/>
          <w:color w:val="auto"/>
          <w:sz w:val="21"/>
          <w:szCs w:val="21"/>
          <w:highlight w:val="none"/>
        </w:rPr>
        <w:t>有关的资料。在本合同履行过程中，委托人应及时向监理人提供最新的与</w:t>
      </w:r>
      <w:r>
        <w:rPr>
          <w:rFonts w:hint="eastAsia" w:ascii="宋体" w:hAnsi="宋体" w:eastAsia="宋体" w:cs="宋体"/>
          <w:color w:val="auto"/>
          <w:sz w:val="21"/>
          <w:szCs w:val="21"/>
          <w:highlight w:val="none"/>
          <w:lang w:eastAsia="zh-CN"/>
        </w:rPr>
        <w:t>项目</w:t>
      </w:r>
      <w:r>
        <w:rPr>
          <w:rFonts w:hint="eastAsia" w:ascii="宋体" w:hAnsi="宋体" w:eastAsia="宋体" w:cs="宋体"/>
          <w:color w:val="auto"/>
          <w:sz w:val="21"/>
          <w:szCs w:val="21"/>
          <w:highlight w:val="none"/>
        </w:rPr>
        <w:t>有关的资料。</w:t>
      </w:r>
    </w:p>
    <w:p w14:paraId="00744599">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 提供工作条件</w:t>
      </w:r>
    </w:p>
    <w:p w14:paraId="51F83D1A">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委托人应为监理人完成监理与相关服务提供必要的条件。</w:t>
      </w:r>
    </w:p>
    <w:p w14:paraId="1D898941">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3.3.1 委托人应按照附录B约定，派遣相应的人员，提供房屋，供监理人无偿使用。</w:t>
      </w:r>
    </w:p>
    <w:p w14:paraId="250B892B">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3.3.2 委托人应负责协调</w:t>
      </w:r>
      <w:r>
        <w:rPr>
          <w:rFonts w:hint="eastAsia" w:ascii="宋体" w:hAnsi="宋体" w:eastAsia="宋体" w:cs="宋体"/>
          <w:color w:val="auto"/>
          <w:sz w:val="21"/>
          <w:szCs w:val="21"/>
          <w:highlight w:val="none"/>
          <w:lang w:val="en-US" w:eastAsia="zh-CN"/>
        </w:rPr>
        <w:t>项目推进和执行</w:t>
      </w:r>
      <w:r>
        <w:rPr>
          <w:rFonts w:hint="eastAsia" w:ascii="宋体" w:hAnsi="宋体" w:eastAsia="宋体" w:cs="宋体"/>
          <w:color w:val="auto"/>
          <w:sz w:val="21"/>
          <w:szCs w:val="21"/>
          <w:highlight w:val="none"/>
        </w:rPr>
        <w:t>中所有外部关系，为监理人履行本合同提供必要的外部条件。</w:t>
      </w:r>
    </w:p>
    <w:p w14:paraId="72B7BB71">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 委托人代表</w:t>
      </w:r>
    </w:p>
    <w:p w14:paraId="2ABAB7A6">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委托人应授权一名熟悉</w:t>
      </w:r>
      <w:r>
        <w:rPr>
          <w:rFonts w:hint="eastAsia" w:ascii="宋体" w:hAnsi="宋体" w:eastAsia="宋体" w:cs="宋体"/>
          <w:color w:val="auto"/>
          <w:sz w:val="21"/>
          <w:szCs w:val="21"/>
          <w:highlight w:val="none"/>
          <w:lang w:eastAsia="zh-CN"/>
        </w:rPr>
        <w:t>项目</w:t>
      </w:r>
      <w:r>
        <w:rPr>
          <w:rFonts w:hint="eastAsia" w:ascii="宋体" w:hAnsi="宋体" w:eastAsia="宋体" w:cs="宋体"/>
          <w:color w:val="auto"/>
          <w:sz w:val="21"/>
          <w:szCs w:val="21"/>
          <w:highlight w:val="none"/>
        </w:rPr>
        <w:t>情况的代表，负责与监理人联系。委托人应在双方签订本合同后7天内，将委托人代表的姓名和职责书面告知监理人。当委托人更换委托人代表时，应提前7天通知监理人。</w:t>
      </w:r>
    </w:p>
    <w:p w14:paraId="5636C5A8">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 委托人意见或要求</w:t>
      </w:r>
    </w:p>
    <w:p w14:paraId="7D593B27">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在本合同约定的监理与相关服务工作范围内，委托人对承包人的任何意见或要求应通知监理人，由监理人向承包人发出相应指令。</w:t>
      </w:r>
    </w:p>
    <w:p w14:paraId="0AFE673E">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3.6 答复</w:t>
      </w:r>
    </w:p>
    <w:p w14:paraId="71EC55CF">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委托人应在专用条件约定的时间内，对监理人以书面形式提交并要求作出决定的事宜，给予书面答复。逾期未答复的，视为委托人认可。</w:t>
      </w:r>
    </w:p>
    <w:p w14:paraId="1A0B1CCB">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 支付</w:t>
      </w:r>
    </w:p>
    <w:p w14:paraId="5161F34D">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委托人应按本合同约定，向监理人支付酬金。</w:t>
      </w:r>
    </w:p>
    <w:p w14:paraId="4F9281E8">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4. 违约责任</w:t>
      </w:r>
    </w:p>
    <w:p w14:paraId="46F152B8">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 监理人的违约责任</w:t>
      </w:r>
    </w:p>
    <w:p w14:paraId="78451E4F">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监理人未履行本合同义务的，应承担相应的责任。</w:t>
      </w:r>
    </w:p>
    <w:p w14:paraId="76909498">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4.1.1 因监理人违反本合同约定给委托人造成损失的，监理人应当赔偿委托人损失。赔偿金额的确定方法在专用条件中约定。监理人承担部分赔偿责任的，其承担赔偿金额由双方协商确定。</w:t>
      </w:r>
    </w:p>
    <w:p w14:paraId="562F0D2A">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4.1.2 监理人向委托人的索赔不成立时，监理人应赔偿委托人由此发生的费用。</w:t>
      </w:r>
    </w:p>
    <w:p w14:paraId="305986F6">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 委托人的违约责任</w:t>
      </w:r>
    </w:p>
    <w:p w14:paraId="6790A883">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委托人未履行本合同义务的，应承担相应的责任。</w:t>
      </w:r>
    </w:p>
    <w:p w14:paraId="2FCA3513">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4.2.1 委托人违反本合同约定造成监理人损失的，委托人应予以赔偿。</w:t>
      </w:r>
    </w:p>
    <w:p w14:paraId="6E2191A7">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4.2.2 委托人向监理人的索赔不成立时，应赔偿监理人由此引起的费用。</w:t>
      </w:r>
    </w:p>
    <w:p w14:paraId="5B2F373B">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 除外责任</w:t>
      </w:r>
    </w:p>
    <w:p w14:paraId="3AD24B6E">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因非监理人的原因，且监理人无过错，发生</w:t>
      </w:r>
      <w:r>
        <w:rPr>
          <w:rFonts w:hint="eastAsia" w:ascii="宋体" w:hAnsi="宋体" w:eastAsia="宋体" w:cs="宋体"/>
          <w:color w:val="auto"/>
          <w:sz w:val="21"/>
          <w:szCs w:val="21"/>
          <w:highlight w:val="none"/>
          <w:lang w:eastAsia="zh-CN"/>
        </w:rPr>
        <w:t>项目</w:t>
      </w:r>
      <w:r>
        <w:rPr>
          <w:rFonts w:hint="eastAsia" w:ascii="宋体" w:hAnsi="宋体" w:eastAsia="宋体" w:cs="宋体"/>
          <w:color w:val="auto"/>
          <w:sz w:val="21"/>
          <w:szCs w:val="21"/>
          <w:highlight w:val="none"/>
        </w:rPr>
        <w:t>质量事故、安全事故、工期延误等造成的损失，监理人不承担赔偿责任。</w:t>
      </w:r>
    </w:p>
    <w:p w14:paraId="49560FED">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因不可抗力导致本合同全部或部分不能履行时，双方各自承担其因此而造成的损失、损害。</w:t>
      </w:r>
    </w:p>
    <w:p w14:paraId="61F0B400">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5. 支付</w:t>
      </w:r>
    </w:p>
    <w:p w14:paraId="74A4405D">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 支付货币</w:t>
      </w:r>
    </w:p>
    <w:p w14:paraId="22C23853">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除专用条件另有约定外，酬金均以人民币支付。涉及外币支付的，所采用的货币种类、比例和汇率在专用条件中约定。</w:t>
      </w:r>
    </w:p>
    <w:p w14:paraId="59E532E3">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 支付申请</w:t>
      </w:r>
    </w:p>
    <w:p w14:paraId="2A672E0B">
      <w:pPr>
        <w:keepNext w:val="0"/>
        <w:keepLines w:val="0"/>
        <w:pageBreakBefore w:val="0"/>
        <w:widowControl w:val="0"/>
        <w:kinsoku/>
        <w:wordWrap/>
        <w:overflowPunct/>
        <w:topLinePunct w:val="0"/>
        <w:autoSpaceDE/>
        <w:autoSpaceDN/>
        <w:bidi w:val="0"/>
        <w:adjustRightInd/>
        <w:snapToGrid/>
        <w:spacing w:line="460" w:lineRule="exact"/>
        <w:ind w:firstLine="210" w:firstLineChars="1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监理人应在本合同约定的每次应付款时间的7天前，向委托人提交支付申请书。支付申请书应当说明当期应付款总额，并列出当期应支付的款项及其金额。</w:t>
      </w:r>
    </w:p>
    <w:p w14:paraId="019F55AB">
      <w:pPr>
        <w:keepNext w:val="0"/>
        <w:keepLines w:val="0"/>
        <w:pageBreakBefore w:val="0"/>
        <w:widowControl w:val="0"/>
        <w:kinsoku/>
        <w:wordWrap/>
        <w:overflowPunct/>
        <w:topLinePunct w:val="0"/>
        <w:autoSpaceDE/>
        <w:autoSpaceDN/>
        <w:bidi w:val="0"/>
        <w:adjustRightInd/>
        <w:snapToGrid/>
        <w:spacing w:line="460" w:lineRule="exact"/>
        <w:ind w:firstLine="210" w:firstLineChars="1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合同生效后</w:t>
      </w:r>
      <w:r>
        <w:rPr>
          <w:rFonts w:hint="eastAsia" w:ascii="宋体" w:hAnsi="宋体" w:eastAsia="宋体" w:cs="宋体"/>
          <w:color w:val="auto"/>
          <w:sz w:val="21"/>
          <w:szCs w:val="21"/>
          <w:highlight w:val="none"/>
          <w:lang w:val="en-US" w:eastAsia="zh-CN"/>
        </w:rPr>
        <w:t>30天内支付</w:t>
      </w:r>
      <w:r>
        <w:rPr>
          <w:rFonts w:hint="eastAsia" w:ascii="宋体" w:hAnsi="宋体" w:eastAsia="宋体" w:cs="宋体"/>
          <w:color w:val="auto"/>
          <w:sz w:val="21"/>
          <w:szCs w:val="21"/>
          <w:highlight w:val="none"/>
          <w:lang w:eastAsia="zh-CN"/>
        </w:rPr>
        <w:t>合同价款的</w:t>
      </w:r>
      <w:r>
        <w:rPr>
          <w:rFonts w:hint="eastAsia" w:ascii="宋体" w:hAnsi="宋体" w:eastAsia="宋体" w:cs="宋体"/>
          <w:color w:val="auto"/>
          <w:sz w:val="21"/>
          <w:szCs w:val="21"/>
          <w:highlight w:val="none"/>
          <w:lang w:val="en-US" w:eastAsia="zh-CN"/>
        </w:rPr>
        <w:t>20%，后续视项目进度适时申请进度款，支付金额不得超过实施部分的90%，剩余部分待审计完成后一次性支付</w:t>
      </w:r>
      <w:r>
        <w:rPr>
          <w:rFonts w:hint="eastAsia" w:ascii="宋体" w:hAnsi="宋体" w:eastAsia="宋体" w:cs="宋体"/>
          <w:color w:val="auto"/>
          <w:sz w:val="21"/>
          <w:szCs w:val="21"/>
          <w:highlight w:val="none"/>
          <w:lang w:eastAsia="zh-CN"/>
        </w:rPr>
        <w:t>。</w:t>
      </w:r>
    </w:p>
    <w:p w14:paraId="4AD2A922">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5.3 支付酬金</w:t>
      </w:r>
    </w:p>
    <w:p w14:paraId="231D6BD9">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支付的酬金包括正常工作酬金、附加工作酬金、合理化建议奖励金额及费用。</w:t>
      </w:r>
    </w:p>
    <w:p w14:paraId="6AE4CA0E">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5.4 有争议部分的付款</w:t>
      </w:r>
    </w:p>
    <w:p w14:paraId="3BA11F6D">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委托人对监理人提交的支付申请书有异议时，应当在收到监理人提交的支付申请书后7天内，以书面形式向监理人发出异议通知。无异议部分的款项应按期支付，有异议部分的款项按第7条约定办理。</w:t>
      </w:r>
    </w:p>
    <w:p w14:paraId="72968824">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6. 合同生效、变更、暂停、解除与终止</w:t>
      </w:r>
    </w:p>
    <w:p w14:paraId="527F6F87">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6.1生效</w:t>
      </w:r>
    </w:p>
    <w:p w14:paraId="3347023F">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除法律另有规定或者专用条件另有约定外，委托人和监理人的法定代表人或其授权代理人在协议书上签字并盖单位章后本合同生效。</w:t>
      </w:r>
    </w:p>
    <w:p w14:paraId="762CD936">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6.2变更</w:t>
      </w:r>
    </w:p>
    <w:p w14:paraId="7FD87163">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6.2.1 任何一方提出变更请求时，双方经协商一致后可进行变更。</w:t>
      </w:r>
    </w:p>
    <w:p w14:paraId="09105F9E">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6.2.2除不可抗力外，因非监理人原因导致监理人履行合同期限延长、内容增加时，监理人应当将此情况与可能产生的影响及时通知委托人。增加的监理工作时间、工作内容应视为附加工作。附加工作酬金的确定方法在专用条件中约定。</w:t>
      </w:r>
    </w:p>
    <w:p w14:paraId="40F43BAF">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6.2.3合同生效后，如果实际情况发生变化使得监理人不能完成全部或部分工作时，监理人应立即通知委托人。除不可抗力外，其善后工作以及恢复服务的准备工作应为附加工作，附加工作酬金的确定方法在专用条件中约定。监理人用于恢复服务的准备时间不应超过28天。</w:t>
      </w:r>
    </w:p>
    <w:p w14:paraId="71335B67">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6.2.4合同签订后，遇有与</w:t>
      </w:r>
      <w:r>
        <w:rPr>
          <w:rFonts w:hint="eastAsia" w:ascii="宋体" w:hAnsi="宋体" w:eastAsia="宋体" w:cs="宋体"/>
          <w:color w:val="auto"/>
          <w:sz w:val="21"/>
          <w:szCs w:val="21"/>
          <w:highlight w:val="none"/>
          <w:lang w:eastAsia="zh-CN"/>
        </w:rPr>
        <w:t>项目</w:t>
      </w:r>
      <w:r>
        <w:rPr>
          <w:rFonts w:hint="eastAsia" w:ascii="宋体" w:hAnsi="宋体" w:eastAsia="宋体" w:cs="宋体"/>
          <w:color w:val="auto"/>
          <w:sz w:val="21"/>
          <w:szCs w:val="21"/>
          <w:highlight w:val="none"/>
        </w:rPr>
        <w:t>相关的法律法规、标准颁布或修订的，双方应遵照执行。由此引起监理与相关服务的范围、时间、酬金变化的，双方应通过协商进行相应调整。</w:t>
      </w:r>
    </w:p>
    <w:p w14:paraId="450961A1">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6.2.5 因非监理人原因造成</w:t>
      </w:r>
      <w:r>
        <w:rPr>
          <w:rFonts w:hint="eastAsia" w:ascii="宋体" w:hAnsi="宋体" w:eastAsia="宋体" w:cs="宋体"/>
          <w:color w:val="auto"/>
          <w:sz w:val="21"/>
          <w:szCs w:val="21"/>
          <w:highlight w:val="none"/>
          <w:lang w:val="en-US" w:eastAsia="zh-CN"/>
        </w:rPr>
        <w:t>项目经费</w:t>
      </w:r>
      <w:r>
        <w:rPr>
          <w:rFonts w:hint="eastAsia" w:ascii="宋体" w:hAnsi="宋体" w:eastAsia="宋体" w:cs="宋体"/>
          <w:color w:val="auto"/>
          <w:sz w:val="21"/>
          <w:szCs w:val="21"/>
          <w:highlight w:val="none"/>
        </w:rPr>
        <w:t>增加时，正常工作酬金应作相应调整。调整方法在专用条件中约定。</w:t>
      </w:r>
    </w:p>
    <w:p w14:paraId="756A1FE2">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6.2.6 因</w:t>
      </w:r>
      <w:r>
        <w:rPr>
          <w:rFonts w:hint="eastAsia" w:ascii="宋体" w:hAnsi="宋体" w:eastAsia="宋体" w:cs="宋体"/>
          <w:color w:val="auto"/>
          <w:sz w:val="21"/>
          <w:szCs w:val="21"/>
          <w:highlight w:val="none"/>
          <w:lang w:eastAsia="zh-CN"/>
        </w:rPr>
        <w:t>项目</w:t>
      </w:r>
      <w:r>
        <w:rPr>
          <w:rFonts w:hint="eastAsia" w:ascii="宋体" w:hAnsi="宋体" w:eastAsia="宋体" w:cs="宋体"/>
          <w:color w:val="auto"/>
          <w:sz w:val="21"/>
          <w:szCs w:val="21"/>
          <w:highlight w:val="none"/>
        </w:rPr>
        <w:t>规模、监理范围的变化导致监理人的正常工作量减少时，正常工作酬金应作相应调整。调整方法在专用条件中约定。</w:t>
      </w:r>
    </w:p>
    <w:p w14:paraId="17AB335E">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6.3 暂停与解除</w:t>
      </w:r>
    </w:p>
    <w:p w14:paraId="7E99E442">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除双方协商一致可以解除本合同外，当一方无正当理由未履行本合同约定的义务时，另一方可以根据本合同约定暂停履行本合同直至解除本合同。</w:t>
      </w:r>
    </w:p>
    <w:p w14:paraId="46062881">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6.3.1 在本合同有效期内，由于双方无法预见和控制的原因导致本合同全部或部分无法继续履行或继续履行已无意义，经双方协商一致，可以解除本合同或监理人的部分义务。在解除之前，监理人应作出合理安排，使开支减至最小。</w:t>
      </w:r>
    </w:p>
    <w:p w14:paraId="33F3CF93">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因解除本合同或解除监理人的部分义务导致监理人遭受的损失，除依法可以免除责任的情况外，应由委托人予以补偿，补偿金额由双方协商确定。</w:t>
      </w:r>
    </w:p>
    <w:p w14:paraId="1B657216">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解除本合同的协议必须采取书面形式，协议未达成之前，本合同仍然有效。</w:t>
      </w:r>
    </w:p>
    <w:p w14:paraId="00A14A76">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6.3.2 在本合同有效期内，因非监理人的原因导致</w:t>
      </w:r>
      <w:r>
        <w:rPr>
          <w:rFonts w:hint="eastAsia" w:ascii="宋体" w:hAnsi="宋体" w:eastAsia="宋体" w:cs="宋体"/>
          <w:color w:val="auto"/>
          <w:sz w:val="21"/>
          <w:szCs w:val="21"/>
          <w:highlight w:val="none"/>
          <w:lang w:val="en-US" w:eastAsia="zh-CN"/>
        </w:rPr>
        <w:t>项目</w:t>
      </w:r>
      <w:r>
        <w:rPr>
          <w:rFonts w:hint="eastAsia" w:ascii="宋体" w:hAnsi="宋体" w:eastAsia="宋体" w:cs="宋体"/>
          <w:color w:val="auto"/>
          <w:sz w:val="21"/>
          <w:szCs w:val="21"/>
          <w:highlight w:val="none"/>
        </w:rPr>
        <w:t>全部或部分暂停，委托人可通知监理人要求暂停全部或部分工作。监理人应立即安排停止工作，并将开支减至最小。除不可抗力外，由此导致监理人遭受的损失应由委托人予以补偿。</w:t>
      </w:r>
    </w:p>
    <w:p w14:paraId="6623886D">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暂停部分监理与相关服务时间超过182天，监理人可发出解除本合同约定的该部分义务的通知；暂停全部工作时间超过182天，监理人可发出解除本合同的通知，本合同自通知到达委托人时解除。委托人应将监理与相关服务的酬金支付至本合同解除日，且应承担第4.2款约定的责任。</w:t>
      </w:r>
    </w:p>
    <w:p w14:paraId="6719A55B">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6.3.3 当监理人无正当理由未履行本合同约定的义务时，委托人应通知监理人限期改正。若委托人在监理人接到通知后的7天内未收到监理人书面形式的合理解释，则可在7天内发出解除本合同的通知，自通知到达监理人时本合同解除。委托人应将监理与相关服务的酬金支付至限期改正通知到达监理人之日，但监理人应承担第4.1款约定的责任。</w:t>
      </w:r>
    </w:p>
    <w:p w14:paraId="418B2F89">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6.3.4 监理人在专用条件5.3中约定的支付之日起28天后仍未收到委托人按本合同约定应付的款项，可向委托人发出催付通知。委托人接到通知14天后仍未支付或未提出监理人可以接受的延期支付安排，监理人可向委托人发出暂停工作的通知并可自行暂停全部或部分工作。暂停工作后14天内监理人仍未获得委托人应付酬金或委托人的合理答复，监理人可向委托人发出解除本合同的通知，自通知到达委托人时本合同解除。委托人应承担第4.2.3款约定的责任。</w:t>
      </w:r>
    </w:p>
    <w:p w14:paraId="58AE5CDD">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6.3.5 因不可抗力致使本合同部分或全部不能履行时，一方应立即通知另一方，可暂停或解除本合同。</w:t>
      </w:r>
    </w:p>
    <w:p w14:paraId="4BC4274A">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6.3.6 本合同解除后，本合同约定的有关结算、清理、争议解决方式的条件仍然有效。</w:t>
      </w:r>
    </w:p>
    <w:p w14:paraId="76F344A8">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6.4 终止</w:t>
      </w:r>
    </w:p>
    <w:p w14:paraId="45CE4F1C">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以下条件全部满足时，本合同即告终止：</w:t>
      </w:r>
    </w:p>
    <w:p w14:paraId="401FEDBF">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（1）监理人完成本合同约定的全部工作；</w:t>
      </w:r>
    </w:p>
    <w:p w14:paraId="6F02ACA8">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（2）委托人与监理人结清并支付全部酬金。</w:t>
      </w:r>
    </w:p>
    <w:p w14:paraId="212587D6">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7. 争议解决</w:t>
      </w:r>
    </w:p>
    <w:p w14:paraId="0889D5A9">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7.1协商</w:t>
      </w:r>
    </w:p>
    <w:p w14:paraId="66C6C26A">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双方应本着诚信原则协商解决彼此间的争议。</w:t>
      </w:r>
    </w:p>
    <w:p w14:paraId="487F7FB4">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7.2调解</w:t>
      </w:r>
    </w:p>
    <w:p w14:paraId="09CD59D6">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如果双方不能在14天内或双方商定的其他时间内解决本合同争议，可以将其提交给专用条件约定的或事后达成协议的调解人进行调解。</w:t>
      </w:r>
    </w:p>
    <w:p w14:paraId="10DE3CD3">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7.3仲裁或诉讼</w:t>
      </w:r>
    </w:p>
    <w:p w14:paraId="03F583FA">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双方均有权不经调解直接向专用条件约定的仲裁机构申请仲裁或</w:t>
      </w:r>
      <w:r>
        <w:rPr>
          <w:rFonts w:hint="eastAsia" w:ascii="宋体" w:hAnsi="宋体" w:eastAsia="宋体" w:cs="宋体"/>
          <w:color w:val="auto"/>
          <w:sz w:val="21"/>
          <w:szCs w:val="21"/>
          <w:highlight w:val="none"/>
          <w:lang w:val="en-US" w:eastAsia="zh-CN"/>
        </w:rPr>
        <w:t>项目所在地</w:t>
      </w:r>
      <w:r>
        <w:rPr>
          <w:rFonts w:hint="eastAsia" w:ascii="宋体" w:hAnsi="宋体" w:eastAsia="宋体" w:cs="宋体"/>
          <w:color w:val="auto"/>
          <w:sz w:val="21"/>
          <w:szCs w:val="21"/>
          <w:highlight w:val="none"/>
        </w:rPr>
        <w:t>人民法院提起诉讼。</w:t>
      </w:r>
    </w:p>
    <w:p w14:paraId="2002A529">
      <w:pPr>
        <w:pStyle w:val="410"/>
        <w:ind w:firstLine="211"/>
        <w:rPr>
          <w:rFonts w:hint="eastAsia" w:ascii="宋体" w:hAnsi="宋体" w:eastAsia="宋体" w:cs="宋体"/>
          <w:b/>
          <w:bCs/>
          <w:snapToGrid w:val="0"/>
          <w:color w:val="auto"/>
          <w:kern w:val="21"/>
          <w:sz w:val="32"/>
          <w:szCs w:val="32"/>
          <w:highlight w:val="none"/>
          <w:lang w:val="en-US" w:eastAsia="zh-CN" w:bidi="ar-SA"/>
        </w:rPr>
      </w:pPr>
      <w:bookmarkStart w:id="1055" w:name="_Toc405548444"/>
      <w:r>
        <w:rPr>
          <w:rFonts w:hint="eastAsia" w:ascii="宋体" w:hAnsi="宋体" w:eastAsia="宋体" w:cs="宋体"/>
          <w:b/>
          <w:bCs/>
          <w:snapToGrid w:val="0"/>
          <w:color w:val="auto"/>
          <w:kern w:val="21"/>
          <w:sz w:val="32"/>
          <w:szCs w:val="32"/>
          <w:highlight w:val="none"/>
          <w:lang w:val="en-US" w:eastAsia="zh-CN" w:bidi="ar-SA"/>
        </w:rPr>
        <w:br w:type="page"/>
      </w:r>
      <w:r>
        <w:rPr>
          <w:rFonts w:hint="eastAsia" w:ascii="宋体" w:hAnsi="宋体" w:eastAsia="宋体" w:cs="宋体"/>
          <w:b/>
          <w:bCs/>
          <w:snapToGrid w:val="0"/>
          <w:color w:val="auto"/>
          <w:kern w:val="21"/>
          <w:sz w:val="32"/>
          <w:szCs w:val="32"/>
          <w:highlight w:val="none"/>
          <w:lang w:val="en-US" w:eastAsia="zh-CN" w:bidi="ar-SA"/>
        </w:rPr>
        <w:t>第三部分  专用条件</w:t>
      </w:r>
      <w:bookmarkEnd w:id="1055"/>
    </w:p>
    <w:p w14:paraId="31B16274">
      <w:pPr>
        <w:spacing w:line="360" w:lineRule="auto"/>
        <w:rPr>
          <w:rFonts w:hint="eastAsia" w:ascii="宋体" w:hAnsi="宋体" w:eastAsia="宋体" w:cs="宋体"/>
          <w:b/>
          <w:bCs/>
          <w:color w:val="auto"/>
          <w:sz w:val="21"/>
          <w:szCs w:val="21"/>
          <w:highlight w:val="none"/>
        </w:rPr>
      </w:pPr>
      <w:bookmarkStart w:id="1056" w:name="_Toc405548445"/>
      <w:r>
        <w:rPr>
          <w:rFonts w:hint="eastAsia" w:ascii="宋体" w:hAnsi="宋体" w:eastAsia="宋体" w:cs="宋体"/>
          <w:b/>
          <w:bCs/>
          <w:color w:val="auto"/>
          <w:sz w:val="21"/>
          <w:szCs w:val="21"/>
          <w:highlight w:val="none"/>
        </w:rPr>
        <w:t>1. 定义与解释</w:t>
      </w:r>
      <w:bookmarkEnd w:id="1056"/>
    </w:p>
    <w:p w14:paraId="5471FCD2">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  解释</w:t>
      </w:r>
    </w:p>
    <w:p w14:paraId="53027C8C">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1.2.2 约定本合同文件的解释顺序为：</w:t>
      </w:r>
    </w:p>
    <w:p w14:paraId="4F63F16C">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协议书；</w:t>
      </w:r>
    </w:p>
    <w:p w14:paraId="2657B259">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成交通知书</w:t>
      </w:r>
      <w:r>
        <w:rPr>
          <w:rFonts w:hint="eastAsia" w:ascii="宋体" w:hAnsi="宋体" w:eastAsia="宋体" w:cs="宋体"/>
          <w:color w:val="auto"/>
          <w:sz w:val="21"/>
          <w:szCs w:val="21"/>
          <w:highlight w:val="none"/>
        </w:rPr>
        <w:t>；</w:t>
      </w:r>
    </w:p>
    <w:p w14:paraId="591FA9F9">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专用条件及附录A、附录B;</w:t>
      </w:r>
    </w:p>
    <w:p w14:paraId="5EA0D34F">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通用条件；</w:t>
      </w:r>
    </w:p>
    <w:p w14:paraId="6F524A89">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响应文件。</w:t>
      </w:r>
    </w:p>
    <w:p w14:paraId="2CB669CD">
      <w:pPr>
        <w:spacing w:line="360" w:lineRule="auto"/>
        <w:rPr>
          <w:rFonts w:hint="eastAsia" w:ascii="宋体" w:hAnsi="宋体" w:eastAsia="宋体" w:cs="宋体"/>
          <w:b/>
          <w:bCs/>
          <w:color w:val="auto"/>
          <w:sz w:val="21"/>
          <w:szCs w:val="21"/>
          <w:highlight w:val="none"/>
        </w:rPr>
      </w:pPr>
      <w:bookmarkStart w:id="1057" w:name="_Toc405548446"/>
      <w:r>
        <w:rPr>
          <w:rFonts w:hint="eastAsia" w:ascii="宋体" w:hAnsi="宋体" w:eastAsia="宋体" w:cs="宋体"/>
          <w:b/>
          <w:bCs/>
          <w:color w:val="auto"/>
          <w:sz w:val="21"/>
          <w:szCs w:val="21"/>
          <w:highlight w:val="none"/>
        </w:rPr>
        <w:t>2. 监理人义务</w:t>
      </w:r>
      <w:bookmarkEnd w:id="1057"/>
    </w:p>
    <w:p w14:paraId="3B0A4884">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 监理的范围和内容</w:t>
      </w:r>
    </w:p>
    <w:p w14:paraId="5B60A217">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2.1.1 监理范围包括：</w:t>
      </w:r>
      <w:r>
        <w:rPr>
          <w:rFonts w:hint="eastAsia" w:ascii="宋体" w:hAnsi="宋体" w:eastAsia="宋体" w:cs="宋体"/>
          <w:color w:val="auto"/>
          <w:sz w:val="21"/>
          <w:szCs w:val="21"/>
          <w:highlight w:val="none"/>
          <w:lang w:val="en-US" w:eastAsia="zh-CN"/>
        </w:rPr>
        <w:t xml:space="preserve">                                                         </w:t>
      </w:r>
    </w:p>
    <w:p w14:paraId="4911EB8A">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none"/>
        </w:rPr>
        <w:t>具体内容根据合同履行过程中采购人的实际需求提供本项目的监理服务</w:t>
      </w:r>
      <w:r>
        <w:rPr>
          <w:rFonts w:hint="eastAsia" w:ascii="宋体" w:hAnsi="宋体" w:eastAsia="宋体" w:cs="宋体"/>
          <w:color w:val="auto"/>
          <w:sz w:val="21"/>
          <w:szCs w:val="21"/>
          <w:highlight w:val="none"/>
        </w:rPr>
        <w:t>。</w:t>
      </w:r>
    </w:p>
    <w:p w14:paraId="4504AFA8">
      <w:pPr>
        <w:pStyle w:val="146"/>
        <w:adjustRightInd w:val="0"/>
        <w:snapToGrid w:val="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2.1.2 监理工作内容在通用条件约定的内容基础上，还应从</w:t>
      </w:r>
      <w:r>
        <w:rPr>
          <w:rFonts w:hint="eastAsia" w:ascii="宋体" w:hAnsi="宋体" w:eastAsia="宋体" w:cs="宋体"/>
          <w:color w:val="auto"/>
          <w:sz w:val="21"/>
          <w:szCs w:val="21"/>
          <w:highlight w:val="none"/>
          <w:lang w:eastAsia="zh-CN"/>
        </w:rPr>
        <w:t>以</w:t>
      </w:r>
      <w:r>
        <w:rPr>
          <w:rFonts w:hint="eastAsia" w:ascii="宋体" w:hAnsi="宋体" w:eastAsia="宋体" w:cs="宋体"/>
          <w:color w:val="auto"/>
          <w:sz w:val="21"/>
          <w:szCs w:val="21"/>
          <w:highlight w:val="none"/>
        </w:rPr>
        <w:t>下方面开展工作：</w:t>
      </w:r>
    </w:p>
    <w:p w14:paraId="1785E0F3">
      <w:pPr>
        <w:pStyle w:val="146"/>
        <w:keepNext w:val="0"/>
        <w:keepLines w:val="0"/>
        <w:pageBreakBefore w:val="0"/>
        <w:widowControl w:val="0"/>
        <w:kinsoku/>
        <w:wordWrap/>
        <w:overflowPunct/>
        <w:topLinePunct w:val="0"/>
        <w:autoSpaceDE/>
        <w:autoSpaceDN/>
        <w:bidi w:val="0"/>
        <w:adjustRightInd w:val="0"/>
        <w:snapToGrid w:val="0"/>
        <w:spacing w:line="480" w:lineRule="exac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none"/>
        </w:rPr>
        <w:t xml:space="preserve"> </w:t>
      </w:r>
      <w:r>
        <w:rPr>
          <w:rFonts w:hint="eastAsia" w:ascii="宋体" w:hAnsi="宋体" w:eastAsia="宋体" w:cs="宋体"/>
          <w:color w:val="auto"/>
          <w:sz w:val="21"/>
          <w:szCs w:val="21"/>
          <w:highlight w:val="none"/>
          <w:u w:val="none"/>
          <w:lang w:val="en-US" w:eastAsia="zh-CN"/>
        </w:rPr>
        <w:t xml:space="preserve">  对“滇池底泥处理处置与城市固废协同治理与循环利用应用示范”项目开展全过程监理服务。包括但不限于：监理合同范围内的质量、进度、投资控制、变更控制、安全文明管理、合同管理、资料管理和组织协调（三控三管一协调），对现场材料报验、样品采集与处理的监督，研究工作的进度等进行跟踪管理。</w:t>
      </w:r>
    </w:p>
    <w:p w14:paraId="72E6DDE0">
      <w:pPr>
        <w:pStyle w:val="146"/>
        <w:adjustRightInd w:val="0"/>
        <w:snapToGrid w:val="0"/>
        <w:spacing w:line="480" w:lineRule="exact"/>
        <w:rPr>
          <w:rFonts w:hint="eastAsia" w:ascii="宋体" w:hAnsi="宋体" w:eastAsia="宋体" w:cs="宋体"/>
          <w:b/>
          <w:bCs/>
          <w:color w:val="auto"/>
          <w:sz w:val="21"/>
          <w:szCs w:val="21"/>
          <w:highlight w:val="none"/>
          <w:u w:val="none"/>
        </w:rPr>
      </w:pPr>
      <w:r>
        <w:rPr>
          <w:rFonts w:hint="eastAsia" w:ascii="宋体" w:hAnsi="宋体" w:eastAsia="宋体" w:cs="宋体"/>
          <w:b/>
          <w:bCs/>
          <w:color w:val="auto"/>
          <w:sz w:val="21"/>
          <w:szCs w:val="21"/>
          <w:highlight w:val="none"/>
          <w:u w:val="none"/>
        </w:rPr>
        <w:t>（二）施工阶段的投资控制</w:t>
      </w:r>
    </w:p>
    <w:p w14:paraId="213788B2">
      <w:pPr>
        <w:pStyle w:val="146"/>
        <w:adjustRightInd w:val="0"/>
        <w:snapToGrid w:val="0"/>
        <w:spacing w:line="480" w:lineRule="exac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  （1）每</w:t>
      </w:r>
      <w:r>
        <w:rPr>
          <w:rFonts w:hint="eastAsia" w:ascii="宋体" w:hAnsi="宋体" w:eastAsia="宋体" w:cs="宋体"/>
          <w:color w:val="auto"/>
          <w:sz w:val="21"/>
          <w:szCs w:val="21"/>
          <w:highlight w:val="none"/>
          <w:u w:val="single"/>
          <w:lang w:val="en-US" w:eastAsia="zh-CN"/>
        </w:rPr>
        <w:t>（月、周）</w:t>
      </w:r>
      <w:r>
        <w:rPr>
          <w:rFonts w:hint="eastAsia" w:ascii="宋体" w:hAnsi="宋体" w:eastAsia="宋体" w:cs="宋体"/>
          <w:color w:val="auto"/>
          <w:sz w:val="21"/>
          <w:szCs w:val="21"/>
          <w:highlight w:val="none"/>
          <w:u w:val="none"/>
        </w:rPr>
        <w:t>进行实际完成量与计划完成量的比较，发现偏差的及时报告委托人，并按委托人要求提供各种报表；</w:t>
      </w:r>
    </w:p>
    <w:p w14:paraId="3E6DD0C8">
      <w:pPr>
        <w:pStyle w:val="146"/>
        <w:adjustRightInd w:val="0"/>
        <w:snapToGrid w:val="0"/>
        <w:spacing w:line="480" w:lineRule="exac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  （2）每</w:t>
      </w:r>
      <w:r>
        <w:rPr>
          <w:rFonts w:hint="eastAsia" w:ascii="宋体" w:hAnsi="宋体" w:eastAsia="宋体" w:cs="宋体"/>
          <w:color w:val="auto"/>
          <w:sz w:val="21"/>
          <w:szCs w:val="21"/>
          <w:highlight w:val="none"/>
          <w:u w:val="single"/>
          <w:lang w:val="en-US" w:eastAsia="zh-CN"/>
        </w:rPr>
        <w:t>（月、周）</w:t>
      </w:r>
      <w:r>
        <w:rPr>
          <w:rFonts w:hint="eastAsia" w:ascii="宋体" w:hAnsi="宋体" w:eastAsia="宋体" w:cs="宋体"/>
          <w:color w:val="auto"/>
          <w:sz w:val="21"/>
          <w:szCs w:val="21"/>
          <w:highlight w:val="none"/>
          <w:u w:val="none"/>
        </w:rPr>
        <w:t>负责审查施工过程中施工单位提交的</w:t>
      </w:r>
      <w:r>
        <w:rPr>
          <w:rFonts w:hint="eastAsia" w:ascii="宋体" w:hAnsi="宋体" w:eastAsia="宋体" w:cs="宋体"/>
          <w:color w:val="auto"/>
          <w:sz w:val="21"/>
          <w:szCs w:val="21"/>
          <w:highlight w:val="none"/>
          <w:u w:val="none"/>
          <w:lang w:eastAsia="zh-CN"/>
        </w:rPr>
        <w:t>项目</w:t>
      </w:r>
      <w:r>
        <w:rPr>
          <w:rFonts w:hint="eastAsia" w:ascii="宋体" w:hAnsi="宋体" w:eastAsia="宋体" w:cs="宋体"/>
          <w:color w:val="auto"/>
          <w:sz w:val="21"/>
          <w:szCs w:val="21"/>
          <w:highlight w:val="none"/>
          <w:u w:val="none"/>
        </w:rPr>
        <w:t>款支付申请、</w:t>
      </w:r>
      <w:r>
        <w:rPr>
          <w:rFonts w:hint="eastAsia" w:ascii="宋体" w:hAnsi="宋体" w:eastAsia="宋体" w:cs="宋体"/>
          <w:color w:val="auto"/>
          <w:sz w:val="21"/>
          <w:szCs w:val="21"/>
          <w:highlight w:val="none"/>
          <w:u w:val="none"/>
          <w:lang w:eastAsia="zh-CN"/>
        </w:rPr>
        <w:t>项目</w:t>
      </w:r>
      <w:r>
        <w:rPr>
          <w:rFonts w:hint="eastAsia" w:ascii="宋体" w:hAnsi="宋体" w:eastAsia="宋体" w:cs="宋体"/>
          <w:color w:val="auto"/>
          <w:sz w:val="21"/>
          <w:szCs w:val="21"/>
          <w:highlight w:val="none"/>
          <w:u w:val="none"/>
        </w:rPr>
        <w:t>计量，并提出审查意见后报委托人审批；</w:t>
      </w:r>
    </w:p>
    <w:p w14:paraId="3EF8FCCA">
      <w:pPr>
        <w:pStyle w:val="146"/>
        <w:adjustRightInd w:val="0"/>
        <w:snapToGrid w:val="0"/>
        <w:spacing w:line="480" w:lineRule="exac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  （3）审核</w:t>
      </w:r>
      <w:r>
        <w:rPr>
          <w:rFonts w:hint="eastAsia" w:ascii="宋体" w:hAnsi="宋体" w:eastAsia="宋体" w:cs="宋体"/>
          <w:color w:val="auto"/>
          <w:sz w:val="21"/>
          <w:szCs w:val="21"/>
          <w:highlight w:val="none"/>
          <w:u w:val="none"/>
          <w:lang w:eastAsia="zh-CN"/>
        </w:rPr>
        <w:t>项目</w:t>
      </w:r>
      <w:r>
        <w:rPr>
          <w:rFonts w:hint="eastAsia" w:ascii="宋体" w:hAnsi="宋体" w:eastAsia="宋体" w:cs="宋体"/>
          <w:color w:val="auto"/>
          <w:sz w:val="21"/>
          <w:szCs w:val="21"/>
          <w:highlight w:val="none"/>
          <w:u w:val="none"/>
        </w:rPr>
        <w:t>范围内的洽商签证、设计变更及施工过程中施工图外发生的设计变更、洽商及各种签证。此项工作应在收到施工单位申请后的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rPr>
        <w:t>日内完成，并在每月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rPr>
        <w:t>日前将与承包商核定的费用上报委托人确认；</w:t>
      </w:r>
    </w:p>
    <w:p w14:paraId="22447393">
      <w:pPr>
        <w:pStyle w:val="146"/>
        <w:adjustRightInd w:val="0"/>
        <w:snapToGrid w:val="0"/>
        <w:spacing w:line="480" w:lineRule="exac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  （4）审核其它付款申请单；</w:t>
      </w:r>
    </w:p>
    <w:p w14:paraId="5995F742">
      <w:pPr>
        <w:pStyle w:val="146"/>
        <w:adjustRightInd w:val="0"/>
        <w:snapToGrid w:val="0"/>
        <w:spacing w:line="480" w:lineRule="exac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  （5）审核及处理各项施工索赔中与资金有关的事宜；</w:t>
      </w:r>
    </w:p>
    <w:p w14:paraId="176619A3">
      <w:pPr>
        <w:pStyle w:val="146"/>
        <w:adjustRightInd w:val="0"/>
        <w:snapToGrid w:val="0"/>
        <w:spacing w:line="480" w:lineRule="exac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  （6）根据合同要求，结合监理情况，审查施工单位申报的结算书并向委托人提交审查意见。</w:t>
      </w:r>
    </w:p>
    <w:p w14:paraId="6958E582">
      <w:pPr>
        <w:pStyle w:val="146"/>
        <w:adjustRightInd w:val="0"/>
        <w:snapToGrid w:val="0"/>
        <w:spacing w:line="480" w:lineRule="exact"/>
        <w:rPr>
          <w:rFonts w:hint="eastAsia" w:ascii="宋体" w:hAnsi="宋体" w:eastAsia="宋体" w:cs="宋体"/>
          <w:color w:val="auto"/>
          <w:sz w:val="21"/>
          <w:szCs w:val="21"/>
          <w:highlight w:val="none"/>
          <w:u w:val="none"/>
        </w:rPr>
      </w:pPr>
      <w:r>
        <w:rPr>
          <w:rFonts w:hint="eastAsia" w:ascii="宋体" w:hAnsi="宋体" w:eastAsia="宋体" w:cs="宋体"/>
          <w:b/>
          <w:bCs/>
          <w:color w:val="auto"/>
          <w:sz w:val="21"/>
          <w:szCs w:val="21"/>
          <w:highlight w:val="none"/>
          <w:u w:val="none"/>
        </w:rPr>
        <w:t>（三）施工阶段的进度</w:t>
      </w:r>
      <w:r>
        <w:rPr>
          <w:rFonts w:hint="eastAsia" w:ascii="宋体" w:hAnsi="宋体" w:eastAsia="宋体" w:cs="宋体"/>
          <w:b/>
          <w:bCs/>
          <w:color w:val="auto"/>
          <w:sz w:val="21"/>
          <w:szCs w:val="21"/>
          <w:highlight w:val="none"/>
          <w:u w:val="none"/>
          <w:lang w:eastAsia="zh-CN"/>
        </w:rPr>
        <w:t>质量</w:t>
      </w:r>
      <w:r>
        <w:rPr>
          <w:rFonts w:hint="eastAsia" w:ascii="宋体" w:hAnsi="宋体" w:eastAsia="宋体" w:cs="宋体"/>
          <w:b/>
          <w:bCs/>
          <w:color w:val="auto"/>
          <w:sz w:val="21"/>
          <w:szCs w:val="21"/>
          <w:highlight w:val="none"/>
          <w:u w:val="none"/>
        </w:rPr>
        <w:t>控制</w:t>
      </w:r>
    </w:p>
    <w:p w14:paraId="0C388EE9">
      <w:pPr>
        <w:pStyle w:val="146"/>
        <w:adjustRightInd w:val="0"/>
        <w:snapToGrid w:val="0"/>
        <w:spacing w:line="480" w:lineRule="exac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  （1）根据委托人及各相关合同要求，审查施工单位报送的总进度控制计划、阶段性进度计划、材料设备采购计划，提出审查意见报送委托人；</w:t>
      </w:r>
    </w:p>
    <w:p w14:paraId="650B96AF">
      <w:pPr>
        <w:pStyle w:val="146"/>
        <w:adjustRightInd w:val="0"/>
        <w:snapToGrid w:val="0"/>
        <w:spacing w:line="480" w:lineRule="exac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  （2）根据施工总进度计划，审查施工单位提交的年、季、月、周进度计划并监督、控制其执行，必要时对上述计划提出调整建议和必要的指示。</w:t>
      </w:r>
    </w:p>
    <w:p w14:paraId="663D9F22">
      <w:pPr>
        <w:pStyle w:val="146"/>
        <w:adjustRightInd w:val="0"/>
        <w:snapToGrid w:val="0"/>
        <w:spacing w:line="480" w:lineRule="exac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  （3）对承包商报送的工、料、机动态月报进行分析，找出影响进度原因，提出纠正措施和指令。</w:t>
      </w:r>
    </w:p>
    <w:p w14:paraId="0914615F">
      <w:pPr>
        <w:pStyle w:val="146"/>
        <w:adjustRightInd w:val="0"/>
        <w:snapToGrid w:val="0"/>
        <w:spacing w:line="480" w:lineRule="exac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  （4）审核委托人、承包商的材料、设备采购计划，提出有关建议和补救措施，并发布有关指令。</w:t>
      </w:r>
    </w:p>
    <w:p w14:paraId="16629F2D">
      <w:pPr>
        <w:pStyle w:val="146"/>
        <w:adjustRightInd w:val="0"/>
        <w:snapToGrid w:val="0"/>
        <w:spacing w:line="480" w:lineRule="exac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  （5）及时分析进度障碍，调整总控制进度计划，上报委托人，并提出补救措施，发布相应指令。</w:t>
      </w:r>
    </w:p>
    <w:p w14:paraId="748430F3">
      <w:pPr>
        <w:pStyle w:val="146"/>
        <w:adjustRightInd w:val="0"/>
        <w:snapToGrid w:val="0"/>
        <w:spacing w:line="480" w:lineRule="exact"/>
        <w:rPr>
          <w:rFonts w:hint="eastAsia" w:ascii="宋体" w:hAnsi="宋体" w:eastAsia="宋体" w:cs="宋体"/>
          <w:color w:val="auto"/>
          <w:sz w:val="21"/>
          <w:szCs w:val="21"/>
          <w:highlight w:val="none"/>
          <w:u w:val="none"/>
        </w:rPr>
      </w:pPr>
      <w:r>
        <w:rPr>
          <w:rFonts w:hint="eastAsia" w:ascii="宋体" w:hAnsi="宋体" w:eastAsia="宋体" w:cs="宋体"/>
          <w:b/>
          <w:bCs/>
          <w:color w:val="auto"/>
          <w:sz w:val="21"/>
          <w:szCs w:val="21"/>
          <w:highlight w:val="none"/>
          <w:u w:val="none"/>
        </w:rPr>
        <w:t>（四）施工阶段的合同管理</w:t>
      </w:r>
    </w:p>
    <w:p w14:paraId="26723C33">
      <w:pPr>
        <w:pStyle w:val="146"/>
        <w:adjustRightInd w:val="0"/>
        <w:snapToGrid w:val="0"/>
        <w:spacing w:line="480" w:lineRule="exac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  （1）进行</w:t>
      </w:r>
      <w:r>
        <w:rPr>
          <w:rFonts w:hint="eastAsia" w:ascii="宋体" w:hAnsi="宋体" w:eastAsia="宋体" w:cs="宋体"/>
          <w:color w:val="auto"/>
          <w:sz w:val="21"/>
          <w:szCs w:val="21"/>
          <w:highlight w:val="none"/>
          <w:u w:val="none"/>
          <w:lang w:eastAsia="zh-CN"/>
        </w:rPr>
        <w:t>项目</w:t>
      </w:r>
      <w:r>
        <w:rPr>
          <w:rFonts w:hint="eastAsia" w:ascii="宋体" w:hAnsi="宋体" w:eastAsia="宋体" w:cs="宋体"/>
          <w:color w:val="auto"/>
          <w:sz w:val="21"/>
          <w:szCs w:val="21"/>
          <w:highlight w:val="none"/>
          <w:u w:val="none"/>
        </w:rPr>
        <w:t>合同的跟踪管理并定期提供合同管理的各种报告。</w:t>
      </w:r>
    </w:p>
    <w:p w14:paraId="05BFCE58">
      <w:pPr>
        <w:pStyle w:val="146"/>
        <w:adjustRightInd w:val="0"/>
        <w:snapToGrid w:val="0"/>
        <w:spacing w:line="480" w:lineRule="exac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  （2）负责计算、审核各项索赔金额，提供处理意见，并协助委托人处理合同纠纷。</w:t>
      </w:r>
    </w:p>
    <w:p w14:paraId="65022BA4">
      <w:pPr>
        <w:pStyle w:val="146"/>
        <w:adjustRightInd w:val="0"/>
        <w:snapToGrid w:val="0"/>
        <w:spacing w:line="480" w:lineRule="exact"/>
        <w:rPr>
          <w:rFonts w:hint="eastAsia" w:ascii="宋体" w:hAnsi="宋体" w:eastAsia="宋体" w:cs="宋体"/>
          <w:color w:val="auto"/>
          <w:sz w:val="21"/>
          <w:szCs w:val="21"/>
          <w:highlight w:val="none"/>
          <w:u w:val="none"/>
        </w:rPr>
      </w:pPr>
      <w:r>
        <w:rPr>
          <w:rFonts w:hint="eastAsia" w:ascii="宋体" w:hAnsi="宋体" w:eastAsia="宋体" w:cs="宋体"/>
          <w:b/>
          <w:bCs/>
          <w:color w:val="auto"/>
          <w:sz w:val="21"/>
          <w:szCs w:val="21"/>
          <w:highlight w:val="none"/>
          <w:u w:val="none"/>
        </w:rPr>
        <w:t>（五）施工阶段的信息管理</w:t>
      </w:r>
    </w:p>
    <w:p w14:paraId="6246AF4A">
      <w:pPr>
        <w:pStyle w:val="146"/>
        <w:adjustRightInd w:val="0"/>
        <w:snapToGrid w:val="0"/>
        <w:spacing w:line="480" w:lineRule="exac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  （1）进行各种</w:t>
      </w:r>
      <w:r>
        <w:rPr>
          <w:rFonts w:hint="eastAsia" w:ascii="宋体" w:hAnsi="宋体" w:eastAsia="宋体" w:cs="宋体"/>
          <w:color w:val="auto"/>
          <w:sz w:val="21"/>
          <w:szCs w:val="21"/>
          <w:highlight w:val="none"/>
          <w:u w:val="none"/>
          <w:lang w:eastAsia="zh-CN"/>
        </w:rPr>
        <w:t>项目</w:t>
      </w:r>
      <w:r>
        <w:rPr>
          <w:rFonts w:hint="eastAsia" w:ascii="宋体" w:hAnsi="宋体" w:eastAsia="宋体" w:cs="宋体"/>
          <w:color w:val="auto"/>
          <w:sz w:val="21"/>
          <w:szCs w:val="21"/>
          <w:highlight w:val="none"/>
          <w:u w:val="none"/>
        </w:rPr>
        <w:t>信息的收集、整理、存档。</w:t>
      </w:r>
    </w:p>
    <w:p w14:paraId="7ED43D49">
      <w:pPr>
        <w:pStyle w:val="146"/>
        <w:adjustRightInd w:val="0"/>
        <w:snapToGrid w:val="0"/>
        <w:spacing w:line="480" w:lineRule="exac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  （2）定期提供各类</w:t>
      </w:r>
      <w:r>
        <w:rPr>
          <w:rFonts w:hint="eastAsia" w:ascii="宋体" w:hAnsi="宋体" w:eastAsia="宋体" w:cs="宋体"/>
          <w:color w:val="auto"/>
          <w:sz w:val="21"/>
          <w:szCs w:val="21"/>
          <w:highlight w:val="none"/>
          <w:u w:val="none"/>
          <w:lang w:eastAsia="zh-CN"/>
        </w:rPr>
        <w:t>项目</w:t>
      </w:r>
      <w:r>
        <w:rPr>
          <w:rFonts w:hint="eastAsia" w:ascii="宋体" w:hAnsi="宋体" w:eastAsia="宋体" w:cs="宋体"/>
          <w:color w:val="auto"/>
          <w:sz w:val="21"/>
          <w:szCs w:val="21"/>
          <w:highlight w:val="none"/>
          <w:u w:val="none"/>
        </w:rPr>
        <w:t>项目管理报表。</w:t>
      </w:r>
    </w:p>
    <w:p w14:paraId="2B06778E">
      <w:pPr>
        <w:pStyle w:val="146"/>
        <w:adjustRightInd w:val="0"/>
        <w:snapToGrid w:val="0"/>
        <w:spacing w:line="480" w:lineRule="exac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  （3）建立</w:t>
      </w:r>
      <w:r>
        <w:rPr>
          <w:rFonts w:hint="eastAsia" w:ascii="宋体" w:hAnsi="宋体" w:eastAsia="宋体" w:cs="宋体"/>
          <w:color w:val="auto"/>
          <w:sz w:val="21"/>
          <w:szCs w:val="21"/>
          <w:highlight w:val="none"/>
          <w:u w:val="none"/>
          <w:lang w:eastAsia="zh-CN"/>
        </w:rPr>
        <w:t>项目</w:t>
      </w:r>
      <w:r>
        <w:rPr>
          <w:rFonts w:hint="eastAsia" w:ascii="宋体" w:hAnsi="宋体" w:eastAsia="宋体" w:cs="宋体"/>
          <w:color w:val="auto"/>
          <w:sz w:val="21"/>
          <w:szCs w:val="21"/>
          <w:highlight w:val="none"/>
          <w:u w:val="none"/>
        </w:rPr>
        <w:t>会议制度。</w:t>
      </w:r>
    </w:p>
    <w:p w14:paraId="2C3099B0">
      <w:pPr>
        <w:pStyle w:val="146"/>
        <w:adjustRightInd w:val="0"/>
        <w:snapToGrid w:val="0"/>
        <w:spacing w:line="480" w:lineRule="exact"/>
        <w:rPr>
          <w:rFonts w:hint="eastAsia" w:ascii="宋体" w:hAnsi="宋体" w:eastAsia="宋体" w:cs="宋体"/>
          <w:b/>
          <w:bCs/>
          <w:color w:val="auto"/>
          <w:sz w:val="21"/>
          <w:szCs w:val="21"/>
          <w:highlight w:val="none"/>
          <w:u w:val="none"/>
        </w:rPr>
      </w:pPr>
      <w:r>
        <w:rPr>
          <w:rFonts w:hint="eastAsia" w:ascii="宋体" w:hAnsi="宋体" w:eastAsia="宋体" w:cs="宋体"/>
          <w:color w:val="auto"/>
          <w:sz w:val="21"/>
          <w:szCs w:val="21"/>
          <w:highlight w:val="none"/>
          <w:u w:val="none"/>
        </w:rPr>
        <w:t xml:space="preserve">  （4）督促各施工单位整理</w:t>
      </w:r>
      <w:r>
        <w:rPr>
          <w:rFonts w:hint="eastAsia" w:ascii="宋体" w:hAnsi="宋体" w:eastAsia="宋体" w:cs="宋体"/>
          <w:color w:val="auto"/>
          <w:sz w:val="21"/>
          <w:szCs w:val="21"/>
          <w:highlight w:val="none"/>
          <w:u w:val="none"/>
          <w:lang w:eastAsia="zh-CN"/>
        </w:rPr>
        <w:t>项目</w:t>
      </w:r>
      <w:r>
        <w:rPr>
          <w:rFonts w:hint="eastAsia" w:ascii="宋体" w:hAnsi="宋体" w:eastAsia="宋体" w:cs="宋体"/>
          <w:color w:val="auto"/>
          <w:sz w:val="21"/>
          <w:szCs w:val="21"/>
          <w:highlight w:val="none"/>
          <w:u w:val="none"/>
        </w:rPr>
        <w:t>技术资料。</w:t>
      </w:r>
    </w:p>
    <w:p w14:paraId="3E6CD461">
      <w:pPr>
        <w:pStyle w:val="146"/>
        <w:adjustRightInd w:val="0"/>
        <w:snapToGrid w:val="0"/>
        <w:spacing w:line="480" w:lineRule="exact"/>
        <w:rPr>
          <w:rFonts w:hint="eastAsia" w:ascii="宋体" w:hAnsi="宋体" w:eastAsia="宋体" w:cs="宋体"/>
          <w:color w:val="auto"/>
          <w:sz w:val="21"/>
          <w:szCs w:val="21"/>
          <w:highlight w:val="none"/>
          <w:u w:val="none"/>
        </w:rPr>
      </w:pPr>
      <w:r>
        <w:rPr>
          <w:rFonts w:hint="eastAsia" w:ascii="宋体" w:hAnsi="宋体" w:eastAsia="宋体" w:cs="宋体"/>
          <w:b/>
          <w:bCs/>
          <w:color w:val="auto"/>
          <w:sz w:val="21"/>
          <w:szCs w:val="21"/>
          <w:highlight w:val="none"/>
          <w:u w:val="none"/>
        </w:rPr>
        <w:t>（六）施工阶段的组织与协调</w:t>
      </w:r>
    </w:p>
    <w:p w14:paraId="02770DBF">
      <w:pPr>
        <w:pStyle w:val="146"/>
        <w:adjustRightInd w:val="0"/>
        <w:snapToGrid w:val="0"/>
        <w:spacing w:line="480" w:lineRule="exac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  （1）检查施工许可等手续的办理情况，向委托人提交检查报告。</w:t>
      </w:r>
    </w:p>
    <w:p w14:paraId="7AA2CDCE">
      <w:pPr>
        <w:pStyle w:val="146"/>
        <w:adjustRightInd w:val="0"/>
        <w:snapToGrid w:val="0"/>
        <w:spacing w:line="480" w:lineRule="exac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  （2）审查</w:t>
      </w:r>
      <w:r>
        <w:rPr>
          <w:rFonts w:hint="eastAsia" w:ascii="宋体" w:hAnsi="宋体" w:eastAsia="宋体" w:cs="宋体"/>
          <w:color w:val="auto"/>
          <w:sz w:val="21"/>
          <w:szCs w:val="21"/>
          <w:highlight w:val="none"/>
          <w:u w:val="none"/>
          <w:lang w:eastAsia="zh-CN"/>
        </w:rPr>
        <w:t>项目</w:t>
      </w:r>
      <w:r>
        <w:rPr>
          <w:rFonts w:hint="eastAsia" w:ascii="宋体" w:hAnsi="宋体" w:eastAsia="宋体" w:cs="宋体"/>
          <w:color w:val="auto"/>
          <w:sz w:val="21"/>
          <w:szCs w:val="21"/>
          <w:highlight w:val="none"/>
          <w:u w:val="none"/>
        </w:rPr>
        <w:t>开工条件，检查施工前的各项准备工作。</w:t>
      </w:r>
    </w:p>
    <w:p w14:paraId="55CF19A5">
      <w:pPr>
        <w:pStyle w:val="146"/>
        <w:adjustRightInd w:val="0"/>
        <w:snapToGrid w:val="0"/>
        <w:spacing w:line="480" w:lineRule="exac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  （3）复核和审查施工单位、专业分包单位以及材料、设备、构配件等供应单位的资格。</w:t>
      </w:r>
    </w:p>
    <w:p w14:paraId="1610FCC7">
      <w:pPr>
        <w:pStyle w:val="146"/>
        <w:adjustRightInd w:val="0"/>
        <w:snapToGrid w:val="0"/>
        <w:spacing w:line="480" w:lineRule="exac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  （4）组织、协调委托人与施工单位之间的关系。</w:t>
      </w:r>
    </w:p>
    <w:p w14:paraId="3160EE30">
      <w:pPr>
        <w:pStyle w:val="146"/>
        <w:adjustRightInd w:val="0"/>
        <w:snapToGrid w:val="0"/>
        <w:spacing w:line="480" w:lineRule="exact"/>
        <w:rPr>
          <w:rFonts w:hint="eastAsia" w:ascii="宋体" w:hAnsi="宋体" w:eastAsia="宋体" w:cs="宋体"/>
          <w:b/>
          <w:bCs/>
          <w:color w:val="auto"/>
          <w:sz w:val="21"/>
          <w:szCs w:val="21"/>
          <w:highlight w:val="none"/>
          <w:u w:val="none"/>
        </w:rPr>
      </w:pPr>
      <w:r>
        <w:rPr>
          <w:rFonts w:hint="eastAsia" w:ascii="宋体" w:hAnsi="宋体" w:eastAsia="宋体" w:cs="宋体"/>
          <w:b/>
          <w:bCs/>
          <w:color w:val="auto"/>
          <w:sz w:val="21"/>
          <w:szCs w:val="21"/>
          <w:highlight w:val="none"/>
          <w:u w:val="none"/>
        </w:rPr>
        <w:t>（七）施工阶段的风险管理</w:t>
      </w:r>
    </w:p>
    <w:p w14:paraId="05E5109B">
      <w:pPr>
        <w:pStyle w:val="146"/>
        <w:adjustRightInd w:val="0"/>
        <w:snapToGrid w:val="0"/>
        <w:spacing w:line="480" w:lineRule="exac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  （1）制订风险管理策略。</w:t>
      </w:r>
    </w:p>
    <w:p w14:paraId="479B5500">
      <w:pPr>
        <w:pStyle w:val="146"/>
        <w:adjustRightInd w:val="0"/>
        <w:snapToGrid w:val="0"/>
        <w:spacing w:line="480" w:lineRule="exac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  （2）在合同中采取有利的反索赔方案。</w:t>
      </w:r>
    </w:p>
    <w:p w14:paraId="33EFF35F">
      <w:pPr>
        <w:pStyle w:val="146"/>
        <w:adjustRightInd w:val="0"/>
        <w:snapToGrid w:val="0"/>
        <w:spacing w:line="480" w:lineRule="exac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none"/>
        </w:rPr>
        <w:t>（3）制订合理的</w:t>
      </w:r>
      <w:r>
        <w:rPr>
          <w:rFonts w:hint="eastAsia" w:ascii="宋体" w:hAnsi="宋体" w:eastAsia="宋体" w:cs="宋体"/>
          <w:color w:val="auto"/>
          <w:sz w:val="21"/>
          <w:szCs w:val="21"/>
          <w:highlight w:val="none"/>
          <w:u w:val="none"/>
          <w:lang w:eastAsia="zh-CN"/>
        </w:rPr>
        <w:t>项目</w:t>
      </w:r>
      <w:r>
        <w:rPr>
          <w:rFonts w:hint="eastAsia" w:ascii="宋体" w:hAnsi="宋体" w:eastAsia="宋体" w:cs="宋体"/>
          <w:color w:val="auto"/>
          <w:sz w:val="21"/>
          <w:szCs w:val="21"/>
          <w:highlight w:val="none"/>
          <w:u w:val="none"/>
        </w:rPr>
        <w:t>保险投保方案。</w:t>
      </w:r>
    </w:p>
    <w:p w14:paraId="0D727868">
      <w:pPr>
        <w:pStyle w:val="146"/>
        <w:adjustRightInd w:val="0"/>
        <w:snapToGrid w:val="0"/>
        <w:spacing w:line="480" w:lineRule="exac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  （4）</w:t>
      </w:r>
      <w:r>
        <w:rPr>
          <w:rFonts w:hint="eastAsia" w:ascii="宋体" w:hAnsi="宋体" w:eastAsia="宋体" w:cs="宋体"/>
          <w:color w:val="auto"/>
          <w:sz w:val="21"/>
          <w:szCs w:val="21"/>
          <w:highlight w:val="none"/>
          <w:u w:val="none"/>
          <w:lang w:eastAsia="zh-CN"/>
        </w:rPr>
        <w:t>项目</w:t>
      </w:r>
      <w:r>
        <w:rPr>
          <w:rFonts w:hint="eastAsia" w:ascii="宋体" w:hAnsi="宋体" w:eastAsia="宋体" w:cs="宋体"/>
          <w:color w:val="auto"/>
          <w:sz w:val="21"/>
          <w:szCs w:val="21"/>
          <w:highlight w:val="none"/>
          <w:u w:val="none"/>
        </w:rPr>
        <w:t>变更管理。</w:t>
      </w:r>
    </w:p>
    <w:p w14:paraId="31FB0B32">
      <w:pPr>
        <w:pStyle w:val="146"/>
        <w:adjustRightInd w:val="0"/>
        <w:snapToGrid w:val="0"/>
        <w:spacing w:line="480" w:lineRule="exac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  （5）协助处理索赔及反索赔事宜。</w:t>
      </w:r>
    </w:p>
    <w:p w14:paraId="6B365659">
      <w:pPr>
        <w:pStyle w:val="146"/>
        <w:adjustRightInd w:val="0"/>
        <w:snapToGrid w:val="0"/>
        <w:spacing w:line="480" w:lineRule="exac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  （6）协助处理与保险有关的事宜。</w:t>
      </w:r>
    </w:p>
    <w:p w14:paraId="6AB6C91A">
      <w:pPr>
        <w:pStyle w:val="146"/>
        <w:adjustRightInd w:val="0"/>
        <w:snapToGrid w:val="0"/>
        <w:spacing w:line="480" w:lineRule="exact"/>
        <w:rPr>
          <w:rFonts w:hint="eastAsia" w:ascii="宋体" w:hAnsi="宋体" w:eastAsia="宋体" w:cs="宋体"/>
          <w:b/>
          <w:bCs/>
          <w:color w:val="auto"/>
          <w:sz w:val="21"/>
          <w:szCs w:val="21"/>
          <w:highlight w:val="none"/>
          <w:u w:val="none"/>
        </w:rPr>
      </w:pPr>
      <w:r>
        <w:rPr>
          <w:rFonts w:hint="eastAsia" w:ascii="宋体" w:hAnsi="宋体" w:eastAsia="宋体" w:cs="宋体"/>
          <w:b/>
          <w:bCs/>
          <w:color w:val="auto"/>
          <w:sz w:val="21"/>
          <w:szCs w:val="21"/>
          <w:highlight w:val="none"/>
          <w:u w:val="none"/>
        </w:rPr>
        <w:t>（八）施工阶段的现场安全文明管理</w:t>
      </w:r>
    </w:p>
    <w:p w14:paraId="2C8E6CF3">
      <w:pPr>
        <w:pStyle w:val="146"/>
        <w:adjustRightInd w:val="0"/>
        <w:snapToGrid w:val="0"/>
        <w:spacing w:line="480" w:lineRule="exac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  （1）审核施工安全专项方案、督促施工单位落实安全保证体系。</w:t>
      </w:r>
    </w:p>
    <w:p w14:paraId="2EB67C55">
      <w:pPr>
        <w:pStyle w:val="146"/>
        <w:adjustRightInd w:val="0"/>
        <w:snapToGrid w:val="0"/>
        <w:spacing w:line="480" w:lineRule="exac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  （2）督促施工单位履行施工安全、文明保障义务。</w:t>
      </w:r>
    </w:p>
    <w:p w14:paraId="353F1E8C">
      <w:pPr>
        <w:pStyle w:val="146"/>
        <w:adjustRightInd w:val="0"/>
        <w:snapToGrid w:val="0"/>
        <w:spacing w:line="480" w:lineRule="exac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  （3）组织工地安全检查。</w:t>
      </w:r>
    </w:p>
    <w:p w14:paraId="40966839">
      <w:pPr>
        <w:pStyle w:val="146"/>
        <w:adjustRightInd w:val="0"/>
        <w:snapToGrid w:val="0"/>
        <w:spacing w:line="480" w:lineRule="exac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  （4）制订项目委托人方的应急措施。</w:t>
      </w:r>
    </w:p>
    <w:p w14:paraId="2F22966B">
      <w:pPr>
        <w:pStyle w:val="146"/>
        <w:adjustRightInd w:val="0"/>
        <w:snapToGrid w:val="0"/>
        <w:spacing w:line="480" w:lineRule="exac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  （5）协助处理安全事故。</w:t>
      </w:r>
    </w:p>
    <w:p w14:paraId="35776300">
      <w:pPr>
        <w:pStyle w:val="146"/>
        <w:adjustRightInd w:val="0"/>
        <w:snapToGrid w:val="0"/>
        <w:spacing w:line="480" w:lineRule="exac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  （6）组织工地卫生及文明施工检查。</w:t>
      </w:r>
    </w:p>
    <w:p w14:paraId="7DF8DB12">
      <w:pPr>
        <w:pStyle w:val="146"/>
        <w:adjustRightInd w:val="0"/>
        <w:snapToGrid w:val="0"/>
        <w:spacing w:line="480" w:lineRule="exac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  （7）协调处理工地的各种纠纷。</w:t>
      </w:r>
    </w:p>
    <w:p w14:paraId="12186F30">
      <w:pPr>
        <w:pStyle w:val="146"/>
        <w:adjustRightInd w:val="0"/>
        <w:snapToGrid w:val="0"/>
        <w:spacing w:line="480" w:lineRule="exac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  （8）组织落实工地的保卫及产品保护工作。</w:t>
      </w:r>
    </w:p>
    <w:p w14:paraId="13CAEB57">
      <w:pPr>
        <w:pStyle w:val="146"/>
        <w:adjustRightInd w:val="0"/>
        <w:snapToGrid w:val="0"/>
        <w:spacing w:line="480" w:lineRule="exac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2.2 监理与相关服务依据：</w:t>
      </w:r>
    </w:p>
    <w:p w14:paraId="1AFF6294">
      <w:pPr>
        <w:pStyle w:val="146"/>
        <w:adjustRightInd w:val="0"/>
        <w:snapToGrid w:val="0"/>
        <w:spacing w:line="480" w:lineRule="exac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  2.2.1 除通用条件约定依据外，监理依据还包括：</w:t>
      </w:r>
    </w:p>
    <w:p w14:paraId="4F46CF7F">
      <w:pPr>
        <w:pStyle w:val="146"/>
        <w:adjustRightInd w:val="0"/>
        <w:snapToGrid w:val="0"/>
        <w:spacing w:line="480" w:lineRule="exac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  （5）经批准的建设计划、规划、施工许可证及其他有关文件；</w:t>
      </w:r>
    </w:p>
    <w:p w14:paraId="791DE63E">
      <w:pPr>
        <w:pStyle w:val="146"/>
        <w:adjustRightInd w:val="0"/>
        <w:snapToGrid w:val="0"/>
        <w:spacing w:line="480" w:lineRule="exac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  （6）</w:t>
      </w:r>
      <w:r>
        <w:rPr>
          <w:rFonts w:hint="eastAsia" w:ascii="宋体" w:hAnsi="宋体" w:eastAsia="宋体" w:cs="宋体"/>
          <w:color w:val="auto"/>
          <w:sz w:val="21"/>
          <w:szCs w:val="21"/>
          <w:highlight w:val="none"/>
          <w:u w:val="none"/>
          <w:lang w:val="en-US" w:eastAsia="zh-CN"/>
        </w:rPr>
        <w:t>竞争性磋商文件</w:t>
      </w:r>
      <w:r>
        <w:rPr>
          <w:rFonts w:hint="eastAsia" w:ascii="宋体" w:hAnsi="宋体" w:eastAsia="宋体" w:cs="宋体"/>
          <w:color w:val="auto"/>
          <w:sz w:val="21"/>
          <w:szCs w:val="21"/>
          <w:highlight w:val="none"/>
          <w:u w:val="none"/>
        </w:rPr>
        <w:t>和</w:t>
      </w:r>
      <w:r>
        <w:rPr>
          <w:rFonts w:hint="eastAsia" w:ascii="宋体" w:hAnsi="宋体" w:eastAsia="宋体" w:cs="宋体"/>
          <w:color w:val="auto"/>
          <w:sz w:val="21"/>
          <w:szCs w:val="21"/>
          <w:highlight w:val="none"/>
          <w:u w:val="none"/>
          <w:lang w:val="en-US" w:eastAsia="zh-CN"/>
        </w:rPr>
        <w:t>响应文件</w:t>
      </w:r>
      <w:r>
        <w:rPr>
          <w:rFonts w:hint="eastAsia" w:ascii="宋体" w:hAnsi="宋体" w:eastAsia="宋体" w:cs="宋体"/>
          <w:color w:val="auto"/>
          <w:sz w:val="21"/>
          <w:szCs w:val="21"/>
          <w:highlight w:val="none"/>
          <w:u w:val="none"/>
        </w:rPr>
        <w:t>、监理合同、监理承诺；</w:t>
      </w:r>
    </w:p>
    <w:p w14:paraId="70E10AB6">
      <w:pPr>
        <w:pStyle w:val="146"/>
        <w:adjustRightInd w:val="0"/>
        <w:snapToGrid w:val="0"/>
        <w:spacing w:line="480" w:lineRule="exac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  （7）委托人有关施工管理办法、规定；</w:t>
      </w:r>
    </w:p>
    <w:p w14:paraId="0056F15F">
      <w:pPr>
        <w:pStyle w:val="146"/>
        <w:adjustRightInd w:val="0"/>
        <w:snapToGrid w:val="0"/>
        <w:spacing w:line="480" w:lineRule="exac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  （8）设备厂家提供的图纸及技术说明书；</w:t>
      </w:r>
    </w:p>
    <w:p w14:paraId="1F1671A3">
      <w:pPr>
        <w:pStyle w:val="146"/>
        <w:adjustRightInd w:val="0"/>
        <w:snapToGrid w:val="0"/>
        <w:spacing w:line="480" w:lineRule="exac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  （9）相关的国际标准及法规。</w:t>
      </w:r>
    </w:p>
    <w:p w14:paraId="3628D8B1">
      <w:pPr>
        <w:pStyle w:val="146"/>
        <w:adjustRightInd w:val="0"/>
        <w:snapToGrid w:val="0"/>
        <w:spacing w:line="480" w:lineRule="exac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  2.2.2 相关服务依据包括：</w:t>
      </w:r>
    </w:p>
    <w:p w14:paraId="6D207F3B">
      <w:pPr>
        <w:pStyle w:val="146"/>
        <w:adjustRightInd w:val="0"/>
        <w:snapToGrid w:val="0"/>
        <w:spacing w:line="480" w:lineRule="exac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   （1）</w:t>
      </w:r>
      <w:r>
        <w:rPr>
          <w:rFonts w:hint="eastAsia" w:ascii="宋体" w:hAnsi="宋体" w:eastAsia="宋体" w:cs="宋体"/>
          <w:color w:val="auto"/>
          <w:sz w:val="21"/>
          <w:szCs w:val="21"/>
          <w:highlight w:val="none"/>
          <w:u w:val="none"/>
          <w:lang w:val="en-US" w:eastAsia="zh-CN"/>
        </w:rPr>
        <w:t>竞争性磋商文件</w:t>
      </w:r>
      <w:r>
        <w:rPr>
          <w:rFonts w:hint="eastAsia" w:ascii="宋体" w:hAnsi="宋体" w:eastAsia="宋体" w:cs="宋体"/>
          <w:color w:val="auto"/>
          <w:sz w:val="21"/>
          <w:szCs w:val="21"/>
          <w:highlight w:val="none"/>
          <w:u w:val="none"/>
        </w:rPr>
        <w:t>的具体要求；</w:t>
      </w:r>
    </w:p>
    <w:p w14:paraId="26BC20FB">
      <w:pPr>
        <w:pStyle w:val="146"/>
        <w:adjustRightInd w:val="0"/>
        <w:snapToGrid w:val="0"/>
        <w:spacing w:line="480" w:lineRule="exac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   （2）监理</w:t>
      </w:r>
      <w:r>
        <w:rPr>
          <w:rFonts w:hint="eastAsia" w:ascii="宋体" w:hAnsi="宋体" w:eastAsia="宋体" w:cs="宋体"/>
          <w:color w:val="auto"/>
          <w:sz w:val="21"/>
          <w:szCs w:val="21"/>
          <w:highlight w:val="none"/>
          <w:u w:val="none"/>
          <w:lang w:val="en-US" w:eastAsia="zh-CN"/>
        </w:rPr>
        <w:t>响应文件</w:t>
      </w:r>
      <w:r>
        <w:rPr>
          <w:rFonts w:hint="eastAsia" w:ascii="宋体" w:hAnsi="宋体" w:eastAsia="宋体" w:cs="宋体"/>
          <w:color w:val="auto"/>
          <w:sz w:val="21"/>
          <w:szCs w:val="21"/>
          <w:highlight w:val="none"/>
          <w:u w:val="none"/>
        </w:rPr>
        <w:t>的具体响应；</w:t>
      </w:r>
    </w:p>
    <w:p w14:paraId="23F2A427">
      <w:pPr>
        <w:pStyle w:val="146"/>
        <w:adjustRightInd w:val="0"/>
        <w:snapToGrid w:val="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none"/>
        </w:rPr>
        <w:t xml:space="preserve">   （3）项目本身的具体特点和要求 。</w:t>
      </w:r>
    </w:p>
    <w:p w14:paraId="4D907DF2">
      <w:pPr>
        <w:pStyle w:val="146"/>
        <w:adjustRightInd w:val="0"/>
        <w:snapToGrid w:val="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2.3项目监理机构和人员</w:t>
      </w:r>
    </w:p>
    <w:p w14:paraId="1C7F331A">
      <w:pPr>
        <w:pStyle w:val="146"/>
        <w:adjustRightInd w:val="0"/>
        <w:snapToGrid w:val="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2.3.1项目监理机构人员的组成：</w:t>
      </w:r>
    </w:p>
    <w:p w14:paraId="5ED13044">
      <w:pPr>
        <w:pStyle w:val="146"/>
        <w:adjustRightInd w:val="0"/>
        <w:snapToGrid w:val="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一、监理人的人员配置：</w:t>
      </w:r>
    </w:p>
    <w:p w14:paraId="34B15CE1">
      <w:pPr>
        <w:pStyle w:val="146"/>
        <w:adjustRightInd w:val="0"/>
        <w:snapToGrid w:val="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（1）施工期：</w:t>
      </w:r>
    </w:p>
    <w:p w14:paraId="6B668F4C">
      <w:pPr>
        <w:pStyle w:val="146"/>
        <w:adjustRightInd w:val="0"/>
        <w:snapToGrid w:val="0"/>
        <w:spacing w:line="480" w:lineRule="exact"/>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rPr>
        <w:t xml:space="preserve">         A、 本项目总监理</w:t>
      </w:r>
      <w:r>
        <w:rPr>
          <w:rFonts w:hint="eastAsia" w:ascii="宋体" w:hAnsi="宋体" w:eastAsia="宋体" w:cs="宋体"/>
          <w:color w:val="auto"/>
          <w:sz w:val="21"/>
          <w:szCs w:val="21"/>
          <w:highlight w:val="none"/>
          <w:lang w:val="en-US" w:eastAsia="zh-CN"/>
        </w:rPr>
        <w:t>工程</w:t>
      </w:r>
      <w:r>
        <w:rPr>
          <w:rFonts w:hint="eastAsia" w:ascii="宋体" w:hAnsi="宋体" w:eastAsia="宋体" w:cs="宋体"/>
          <w:color w:val="auto"/>
          <w:sz w:val="21"/>
          <w:szCs w:val="21"/>
          <w:highlight w:val="none"/>
        </w:rPr>
        <w:t>师</w:t>
      </w:r>
      <w:r>
        <w:rPr>
          <w:rFonts w:hint="eastAsia" w:ascii="宋体" w:hAnsi="宋体" w:eastAsia="宋体" w:cs="宋体"/>
          <w:color w:val="auto"/>
          <w:sz w:val="21"/>
          <w:szCs w:val="21"/>
          <w:highlight w:val="none"/>
          <w:lang w:eastAsia="zh-CN"/>
        </w:rPr>
        <w:t>姓名</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身</w:t>
      </w:r>
      <w:r>
        <w:rPr>
          <w:rFonts w:hint="eastAsia" w:ascii="宋体" w:hAnsi="宋体" w:eastAsia="宋体" w:cs="宋体"/>
          <w:color w:val="auto"/>
          <w:sz w:val="21"/>
          <w:szCs w:val="21"/>
          <w:highlight w:val="none"/>
          <w:lang w:eastAsia="zh-CN"/>
        </w:rPr>
        <w:t>份证号：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w:t>
      </w:r>
    </w:p>
    <w:p w14:paraId="135D0E24">
      <w:pPr>
        <w:pStyle w:val="146"/>
        <w:adjustRightInd w:val="0"/>
        <w:snapToGrid w:val="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B、 其他项目专业监理</w:t>
      </w:r>
      <w:r>
        <w:rPr>
          <w:rFonts w:hint="eastAsia" w:ascii="宋体" w:hAnsi="宋体" w:eastAsia="宋体" w:cs="宋体"/>
          <w:color w:val="auto"/>
          <w:sz w:val="21"/>
          <w:szCs w:val="21"/>
          <w:highlight w:val="none"/>
          <w:lang w:val="en-US" w:eastAsia="zh-CN"/>
        </w:rPr>
        <w:t>工程</w:t>
      </w:r>
      <w:r>
        <w:rPr>
          <w:rFonts w:hint="eastAsia" w:ascii="宋体" w:hAnsi="宋体" w:eastAsia="宋体" w:cs="宋体"/>
          <w:color w:val="auto"/>
          <w:sz w:val="21"/>
          <w:szCs w:val="21"/>
          <w:highlight w:val="none"/>
        </w:rPr>
        <w:t>师和监理员配置必须达到响应文件中的最低人员安排，能满足项目监理的实施。</w:t>
      </w:r>
    </w:p>
    <w:p w14:paraId="5D0A6068">
      <w:pPr>
        <w:pStyle w:val="146"/>
        <w:adjustRightInd w:val="0"/>
        <w:snapToGrid w:val="0"/>
        <w:spacing w:line="48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所有监理人员根据项目进度和工作需要分阶段到岗。</w:t>
      </w:r>
    </w:p>
    <w:p w14:paraId="6D7AE942">
      <w:pPr>
        <w:pStyle w:val="146"/>
        <w:adjustRightInd w:val="0"/>
        <w:snapToGrid w:val="0"/>
        <w:spacing w:line="480" w:lineRule="exact"/>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rPr>
        <w:t xml:space="preserve">      二、项目监理机构设备情况：</w:t>
      </w:r>
      <w:r>
        <w:rPr>
          <w:rFonts w:hint="eastAsia" w:ascii="宋体" w:hAnsi="宋体" w:eastAsia="宋体" w:cs="宋体"/>
          <w:color w:val="auto"/>
          <w:sz w:val="21"/>
          <w:szCs w:val="21"/>
          <w:highlight w:val="none"/>
          <w:u w:val="single"/>
        </w:rPr>
        <w:t>按照响应文件要求</w:t>
      </w:r>
      <w:r>
        <w:rPr>
          <w:rFonts w:hint="eastAsia" w:ascii="宋体" w:hAnsi="宋体" w:eastAsia="宋体" w:cs="宋体"/>
          <w:color w:val="auto"/>
          <w:sz w:val="21"/>
          <w:szCs w:val="21"/>
          <w:highlight w:val="none"/>
          <w:u w:val="none"/>
          <w:lang w:eastAsia="zh-CN"/>
        </w:rPr>
        <w:t>；</w:t>
      </w:r>
    </w:p>
    <w:p w14:paraId="3F472B93">
      <w:pPr>
        <w:pStyle w:val="146"/>
        <w:adjustRightInd w:val="0"/>
        <w:snapToGrid w:val="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2.3.2因监理人调整和更换项目监理机构人员造成项目施工进度滞后或监理工作混乱的情况，委托人可根据事件造成的后果对监理人进行处罚。</w:t>
      </w:r>
    </w:p>
    <w:p w14:paraId="785A9939">
      <w:pPr>
        <w:pStyle w:val="146"/>
        <w:adjustRightInd w:val="0"/>
        <w:snapToGrid w:val="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 履行职责</w:t>
      </w:r>
    </w:p>
    <w:p w14:paraId="4CCAF671">
      <w:pPr>
        <w:pStyle w:val="146"/>
        <w:adjustRightInd w:val="0"/>
        <w:snapToGrid w:val="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 对监理人的授权范围：                     </w:t>
      </w:r>
    </w:p>
    <w:p w14:paraId="774F1C8B">
      <w:pPr>
        <w:pStyle w:val="146"/>
        <w:adjustRightInd w:val="0"/>
        <w:snapToGrid w:val="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在涉及</w:t>
      </w:r>
      <w:r>
        <w:rPr>
          <w:rFonts w:hint="eastAsia" w:ascii="宋体" w:hAnsi="宋体" w:eastAsia="宋体" w:cs="宋体"/>
          <w:color w:val="auto"/>
          <w:sz w:val="21"/>
          <w:szCs w:val="21"/>
          <w:highlight w:val="none"/>
          <w:lang w:eastAsia="zh-CN"/>
        </w:rPr>
        <w:t>项目</w:t>
      </w:r>
      <w:r>
        <w:rPr>
          <w:rFonts w:hint="eastAsia" w:ascii="宋体" w:hAnsi="宋体" w:eastAsia="宋体" w:cs="宋体"/>
          <w:color w:val="auto"/>
          <w:sz w:val="21"/>
          <w:szCs w:val="21"/>
          <w:highlight w:val="none"/>
        </w:rPr>
        <w:t>延期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天内和（或）金额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万元内的变更，监理人不需请示委托人即可向承包人发布变更通知。</w:t>
      </w:r>
    </w:p>
    <w:p w14:paraId="6D2651A6">
      <w:pPr>
        <w:pStyle w:val="146"/>
        <w:adjustRightInd w:val="0"/>
        <w:snapToGrid w:val="0"/>
        <w:spacing w:line="480" w:lineRule="exac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rPr>
        <w:t>2.4.2 监理人有权要求承包人调换其人员的限制条件：</w:t>
      </w:r>
      <w:r>
        <w:rPr>
          <w:rFonts w:hint="eastAsia" w:ascii="宋体" w:hAnsi="宋体" w:eastAsia="宋体" w:cs="宋体"/>
          <w:color w:val="auto"/>
          <w:sz w:val="21"/>
          <w:szCs w:val="21"/>
          <w:highlight w:val="none"/>
          <w:u w:val="none"/>
        </w:rPr>
        <w:t xml:space="preserve">监理人将调换承包人相关人员原因以书面报告形式上报委托人，委托人对此进行书面回复后，监理人按回复意见进行处理。  </w:t>
      </w:r>
    </w:p>
    <w:p w14:paraId="24992297">
      <w:pPr>
        <w:pStyle w:val="146"/>
        <w:adjustRightInd w:val="0"/>
        <w:snapToGrid w:val="0"/>
        <w:spacing w:line="480" w:lineRule="exac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2.5 提交报告 </w:t>
      </w:r>
    </w:p>
    <w:p w14:paraId="3370A4B5">
      <w:pPr>
        <w:pStyle w:val="146"/>
        <w:adjustRightInd w:val="0"/>
        <w:snapToGrid w:val="0"/>
        <w:spacing w:line="480" w:lineRule="exact"/>
        <w:ind w:firstLine="525"/>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监理人应提交报告的种类(包括监理规划、监理月报及约定的专项报告)、时间和份数：                                 </w:t>
      </w:r>
    </w:p>
    <w:p w14:paraId="0C402D98">
      <w:pPr>
        <w:pStyle w:val="146"/>
        <w:adjustRightInd w:val="0"/>
        <w:snapToGrid w:val="0"/>
        <w:spacing w:line="480" w:lineRule="exact"/>
        <w:ind w:firstLine="525"/>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（1）按通用条件约定时间上报监理规划，份数为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rPr>
        <w:t>份；</w:t>
      </w:r>
    </w:p>
    <w:p w14:paraId="7E676D06">
      <w:pPr>
        <w:pStyle w:val="146"/>
        <w:adjustRightInd w:val="0"/>
        <w:snapToGrid w:val="0"/>
        <w:spacing w:line="480" w:lineRule="exact"/>
        <w:ind w:firstLine="525"/>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（2）监理月报表在每月25日前提交，份数为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rPr>
        <w:t>份；</w:t>
      </w:r>
    </w:p>
    <w:p w14:paraId="61B0150F">
      <w:pPr>
        <w:pStyle w:val="146"/>
        <w:adjustRightInd w:val="0"/>
        <w:snapToGrid w:val="0"/>
        <w:spacing w:line="480" w:lineRule="exact"/>
        <w:ind w:firstLine="525"/>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（3）监理周报表在每周周五提交，份数为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rPr>
        <w:t>份；</w:t>
      </w:r>
    </w:p>
    <w:p w14:paraId="60801681">
      <w:pPr>
        <w:pStyle w:val="146"/>
        <w:adjustRightInd w:val="0"/>
        <w:snapToGrid w:val="0"/>
        <w:spacing w:line="480" w:lineRule="exact"/>
        <w:ind w:firstLine="525"/>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（4）专项报告按委托人要求的具体时间提交；</w:t>
      </w:r>
    </w:p>
    <w:p w14:paraId="08864046">
      <w:pPr>
        <w:pStyle w:val="146"/>
        <w:adjustRightInd w:val="0"/>
        <w:snapToGrid w:val="0"/>
        <w:spacing w:line="480" w:lineRule="exact"/>
        <w:ind w:firstLine="525"/>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（5）</w:t>
      </w:r>
      <w:r>
        <w:rPr>
          <w:rFonts w:hint="eastAsia" w:ascii="宋体" w:hAnsi="宋体" w:eastAsia="宋体" w:cs="宋体"/>
          <w:color w:val="auto"/>
          <w:sz w:val="21"/>
          <w:szCs w:val="21"/>
          <w:highlight w:val="none"/>
          <w:u w:val="none"/>
          <w:lang w:eastAsia="zh-CN"/>
        </w:rPr>
        <w:t>项目</w:t>
      </w:r>
      <w:r>
        <w:rPr>
          <w:rFonts w:hint="eastAsia" w:ascii="宋体" w:hAnsi="宋体" w:eastAsia="宋体" w:cs="宋体"/>
          <w:color w:val="auto"/>
          <w:sz w:val="21"/>
          <w:szCs w:val="21"/>
          <w:highlight w:val="none"/>
          <w:u w:val="none"/>
        </w:rPr>
        <w:t>竣工后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rPr>
        <w:t>日内向委托人出具</w:t>
      </w:r>
      <w:r>
        <w:rPr>
          <w:rFonts w:hint="eastAsia" w:ascii="宋体" w:hAnsi="宋体" w:eastAsia="宋体" w:cs="宋体"/>
          <w:color w:val="auto"/>
          <w:sz w:val="21"/>
          <w:szCs w:val="21"/>
          <w:highlight w:val="none"/>
          <w:u w:val="none"/>
          <w:lang w:eastAsia="zh-CN"/>
        </w:rPr>
        <w:t>项目</w:t>
      </w:r>
      <w:r>
        <w:rPr>
          <w:rFonts w:hint="eastAsia" w:ascii="宋体" w:hAnsi="宋体" w:eastAsia="宋体" w:cs="宋体"/>
          <w:color w:val="auto"/>
          <w:sz w:val="21"/>
          <w:szCs w:val="21"/>
          <w:highlight w:val="none"/>
          <w:u w:val="none"/>
        </w:rPr>
        <w:t>监理工作总结报告。</w:t>
      </w:r>
    </w:p>
    <w:p w14:paraId="45A2464F">
      <w:pPr>
        <w:pStyle w:val="146"/>
        <w:adjustRightInd w:val="0"/>
        <w:snapToGrid w:val="0"/>
        <w:spacing w:line="480" w:lineRule="exact"/>
        <w:rPr>
          <w:rFonts w:hint="eastAsia" w:ascii="宋体" w:hAnsi="宋体" w:eastAsia="宋体" w:cs="宋体"/>
          <w:color w:val="auto"/>
          <w:sz w:val="21"/>
          <w:szCs w:val="21"/>
          <w:highlight w:val="none"/>
          <w:u w:val="none"/>
        </w:rPr>
      </w:pPr>
      <w:bookmarkStart w:id="1058" w:name="_Toc405548447"/>
      <w:r>
        <w:rPr>
          <w:rFonts w:hint="eastAsia" w:ascii="宋体" w:hAnsi="宋体" w:eastAsia="宋体" w:cs="宋体"/>
          <w:b w:val="0"/>
          <w:bCs w:val="0"/>
          <w:color w:val="auto"/>
          <w:sz w:val="21"/>
          <w:szCs w:val="21"/>
          <w:highlight w:val="none"/>
          <w:u w:val="none"/>
        </w:rPr>
        <w:t>3. 委托人义务</w:t>
      </w:r>
      <w:bookmarkEnd w:id="1058"/>
      <w:r>
        <w:rPr>
          <w:rFonts w:hint="eastAsia" w:ascii="宋体" w:hAnsi="宋体" w:eastAsia="宋体" w:cs="宋体"/>
          <w:b w:val="0"/>
          <w:bCs w:val="0"/>
          <w:color w:val="auto"/>
          <w:sz w:val="21"/>
          <w:szCs w:val="21"/>
          <w:highlight w:val="none"/>
          <w:u w:val="none"/>
        </w:rPr>
        <w:t xml:space="preserve"> </w:t>
      </w:r>
      <w:r>
        <w:rPr>
          <w:rFonts w:hint="eastAsia" w:ascii="宋体" w:hAnsi="宋体" w:eastAsia="宋体" w:cs="宋体"/>
          <w:color w:val="auto"/>
          <w:sz w:val="21"/>
          <w:szCs w:val="21"/>
          <w:highlight w:val="none"/>
          <w:u w:val="none"/>
        </w:rPr>
        <w:t xml:space="preserve"> </w:t>
      </w:r>
    </w:p>
    <w:p w14:paraId="04FF9AB2">
      <w:pPr>
        <w:pStyle w:val="146"/>
        <w:adjustRightInd w:val="0"/>
        <w:snapToGrid w:val="0"/>
        <w:spacing w:line="480" w:lineRule="exac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  3.1 委托人代表</w:t>
      </w:r>
    </w:p>
    <w:p w14:paraId="53F9A748">
      <w:pPr>
        <w:pStyle w:val="146"/>
        <w:adjustRightInd w:val="0"/>
        <w:snapToGrid w:val="0"/>
        <w:spacing w:line="480" w:lineRule="exact"/>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委托人代表为：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80FDD5D">
      <w:pPr>
        <w:pStyle w:val="146"/>
        <w:adjustRightInd w:val="0"/>
        <w:snapToGrid w:val="0"/>
        <w:spacing w:line="480" w:lineRule="exact"/>
        <w:ind w:firstLine="205" w:firstLineChars="9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 答复</w:t>
      </w:r>
    </w:p>
    <w:p w14:paraId="7FBE535F">
      <w:pPr>
        <w:pStyle w:val="146"/>
        <w:adjustRightInd w:val="0"/>
        <w:snapToGrid w:val="0"/>
        <w:spacing w:line="48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委托人同意在</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天内，对监理人书面提交并要求做出决定的事宜给予书面答复。</w:t>
      </w:r>
    </w:p>
    <w:p w14:paraId="668A37CE">
      <w:pPr>
        <w:pStyle w:val="146"/>
        <w:adjustRightInd w:val="0"/>
        <w:snapToGrid w:val="0"/>
        <w:spacing w:line="480" w:lineRule="exact"/>
        <w:ind w:firstLine="205" w:firstLineChars="9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 委托人根据现场实际情况，为监理方提供一定的办公条件。</w:t>
      </w:r>
    </w:p>
    <w:p w14:paraId="7221B350">
      <w:pPr>
        <w:pStyle w:val="146"/>
        <w:adjustRightInd w:val="0"/>
        <w:snapToGrid w:val="0"/>
        <w:spacing w:line="480" w:lineRule="exact"/>
        <w:rPr>
          <w:rFonts w:hint="eastAsia" w:ascii="宋体" w:hAnsi="宋体" w:eastAsia="宋体" w:cs="宋体"/>
          <w:b w:val="0"/>
          <w:bCs w:val="0"/>
          <w:color w:val="auto"/>
          <w:sz w:val="21"/>
          <w:szCs w:val="21"/>
          <w:highlight w:val="none"/>
          <w:u w:val="none"/>
        </w:rPr>
      </w:pPr>
      <w:bookmarkStart w:id="1059" w:name="_Toc405548448"/>
      <w:r>
        <w:rPr>
          <w:rFonts w:hint="eastAsia" w:ascii="宋体" w:hAnsi="宋体" w:eastAsia="宋体" w:cs="宋体"/>
          <w:b w:val="0"/>
          <w:bCs w:val="0"/>
          <w:color w:val="auto"/>
          <w:sz w:val="21"/>
          <w:szCs w:val="21"/>
          <w:highlight w:val="none"/>
          <w:u w:val="none"/>
        </w:rPr>
        <w:t>4. 违约责任</w:t>
      </w:r>
      <w:bookmarkEnd w:id="1059"/>
    </w:p>
    <w:p w14:paraId="24B46F1B">
      <w:pPr>
        <w:pStyle w:val="146"/>
        <w:adjustRightInd w:val="0"/>
        <w:snapToGrid w:val="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none"/>
        </w:rPr>
        <w:t>4.1 监理人的违约</w:t>
      </w:r>
      <w:r>
        <w:rPr>
          <w:rFonts w:hint="eastAsia" w:ascii="宋体" w:hAnsi="宋体" w:eastAsia="宋体" w:cs="宋体"/>
          <w:color w:val="auto"/>
          <w:sz w:val="21"/>
          <w:szCs w:val="21"/>
          <w:highlight w:val="none"/>
        </w:rPr>
        <w:t>责任</w:t>
      </w:r>
    </w:p>
    <w:p w14:paraId="3265B53F">
      <w:pPr>
        <w:pStyle w:val="146"/>
        <w:adjustRightInd w:val="0"/>
        <w:snapToGrid w:val="0"/>
        <w:spacing w:line="48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4.1.1因监理人违反本合同约定给委托人造成损失的，监理人应当赔偿委托人损失。监理人赔偿金额按下列方法确定：赔偿金＝直接经济损失×正常工作酬金÷</w:t>
      </w:r>
      <w:r>
        <w:rPr>
          <w:rFonts w:hint="eastAsia" w:ascii="宋体" w:hAnsi="宋体" w:eastAsia="宋体" w:cs="宋体"/>
          <w:color w:val="auto"/>
          <w:sz w:val="21"/>
          <w:szCs w:val="21"/>
          <w:highlight w:val="none"/>
          <w:lang w:eastAsia="zh-CN"/>
        </w:rPr>
        <w:t>项目合同金额</w:t>
      </w:r>
      <w:r>
        <w:rPr>
          <w:rFonts w:hint="eastAsia" w:ascii="宋体" w:hAnsi="宋体" w:eastAsia="宋体" w:cs="宋体"/>
          <w:color w:val="auto"/>
          <w:sz w:val="21"/>
          <w:szCs w:val="21"/>
          <w:highlight w:val="none"/>
        </w:rPr>
        <w:t>；</w:t>
      </w:r>
    </w:p>
    <w:p w14:paraId="5077F074">
      <w:pPr>
        <w:pStyle w:val="146"/>
        <w:adjustRightInd w:val="0"/>
        <w:snapToGrid w:val="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4.1.2委托人发现需要旁站监理的部位施工时没有监理在场或缺岗时间超过</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48</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小时，监理人支付违约金</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500</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元/次</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不超过合同金额的10%</w:t>
      </w:r>
      <w:r>
        <w:rPr>
          <w:rFonts w:hint="eastAsia" w:ascii="宋体" w:hAnsi="宋体" w:eastAsia="宋体" w:cs="宋体"/>
          <w:color w:val="auto"/>
          <w:sz w:val="21"/>
          <w:szCs w:val="21"/>
          <w:highlight w:val="none"/>
        </w:rPr>
        <w:t>。</w:t>
      </w:r>
    </w:p>
    <w:p w14:paraId="612A780B">
      <w:pPr>
        <w:pStyle w:val="146"/>
        <w:adjustRightInd w:val="0"/>
        <w:snapToGrid w:val="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4.1.3委托人发现质量、安全问题而监理人未及时发现时，监理人支付违约金</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2000</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元/次，发现重大质量、安全问题时，按照经济评估结果的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3</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倍进行补偿，负担对此问题处理发生的所有费用。</w:t>
      </w:r>
    </w:p>
    <w:p w14:paraId="68371032">
      <w:pPr>
        <w:pStyle w:val="146"/>
        <w:adjustRightInd w:val="0"/>
        <w:snapToGrid w:val="0"/>
        <w:spacing w:line="48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4.1.4各专业监理对施工过程中所采取的监理巡视不得少于规定频次，对不及时处理所发现问题而造成损失的每人次支付违约金</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2000</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元</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并承担损失</w:t>
      </w:r>
      <w:r>
        <w:rPr>
          <w:rFonts w:hint="eastAsia" w:ascii="宋体" w:hAnsi="宋体" w:eastAsia="宋体" w:cs="宋体"/>
          <w:color w:val="auto"/>
          <w:sz w:val="21"/>
          <w:szCs w:val="21"/>
          <w:highlight w:val="none"/>
          <w:lang w:eastAsia="zh-CN"/>
        </w:rPr>
        <w:t>，</w:t>
      </w:r>
      <w:r>
        <w:rPr>
          <w:rFonts w:hint="eastAsia" w:ascii="宋体" w:hAnsi="宋体" w:eastAsia="宋体" w:cs="宋体"/>
          <w:sz w:val="21"/>
          <w:szCs w:val="21"/>
          <w:highlight w:val="none"/>
          <w:lang w:eastAsia="zh-CN"/>
        </w:rPr>
        <w:t>最高不超过合同金额</w:t>
      </w:r>
      <w:r>
        <w:rPr>
          <w:rFonts w:hint="eastAsia" w:ascii="宋体" w:hAnsi="宋体" w:eastAsia="宋体" w:cs="宋体"/>
          <w:color w:val="auto"/>
          <w:sz w:val="21"/>
          <w:szCs w:val="21"/>
          <w:highlight w:val="none"/>
        </w:rPr>
        <w:t>。</w:t>
      </w:r>
    </w:p>
    <w:p w14:paraId="0DAF6EED">
      <w:pPr>
        <w:pStyle w:val="146"/>
        <w:snapToGrid w:val="0"/>
        <w:spacing w:line="480" w:lineRule="exact"/>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 委托人的违约责任</w:t>
      </w:r>
    </w:p>
    <w:p w14:paraId="1989ED8E">
      <w:pPr>
        <w:pStyle w:val="146"/>
        <w:spacing w:line="48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4.2.1 委托人逾期付款利息按下列方法确定：</w:t>
      </w:r>
    </w:p>
    <w:p w14:paraId="712DB5FF">
      <w:pPr>
        <w:pStyle w:val="146"/>
        <w:numPr>
          <w:ilvl w:val="0"/>
          <w:numId w:val="2"/>
        </w:numPr>
        <w:spacing w:line="480" w:lineRule="exact"/>
        <w:ind w:firstLine="420" w:firstLineChars="200"/>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委托人逾期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30</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rPr>
        <w:t>天内支付监理人酬金，不支付监理人相关利息；</w:t>
      </w:r>
    </w:p>
    <w:p w14:paraId="1A82448D">
      <w:pPr>
        <w:pStyle w:val="146"/>
        <w:numPr>
          <w:ilvl w:val="0"/>
          <w:numId w:val="2"/>
        </w:numPr>
        <w:spacing w:line="480" w:lineRule="exact"/>
        <w:ind w:firstLine="420" w:firstLineChars="200"/>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委托人逾期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30</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rPr>
        <w:t>天及以上天数，按以下方式支付支付监理人利息：</w:t>
      </w:r>
    </w:p>
    <w:p w14:paraId="1FB27177">
      <w:pPr>
        <w:pStyle w:val="146"/>
        <w:spacing w:line="48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逾期付款利息＝当期应付款总额×银行同期贷款利率×（拖延支付天数-</w:t>
      </w:r>
      <w:r>
        <w:rPr>
          <w:rFonts w:hint="eastAsia" w:ascii="宋体" w:hAnsi="宋体" w:eastAsia="宋体" w:cs="宋体"/>
          <w:color w:val="auto"/>
          <w:sz w:val="21"/>
          <w:szCs w:val="21"/>
          <w:highlight w:val="none"/>
          <w:lang w:val="en-US" w:eastAsia="zh-CN"/>
        </w:rPr>
        <w:t>30</w:t>
      </w:r>
      <w:r>
        <w:rPr>
          <w:rFonts w:hint="eastAsia" w:ascii="宋体" w:hAnsi="宋体" w:eastAsia="宋体" w:cs="宋体"/>
          <w:color w:val="auto"/>
          <w:sz w:val="21"/>
          <w:szCs w:val="21"/>
          <w:highlight w:val="none"/>
        </w:rPr>
        <w:t>）</w:t>
      </w:r>
    </w:p>
    <w:p w14:paraId="42F4745B">
      <w:pPr>
        <w:pStyle w:val="146"/>
        <w:snapToGrid w:val="0"/>
        <w:spacing w:line="480" w:lineRule="exact"/>
        <w:ind w:firstLine="210" w:firstLineChars="100"/>
        <w:rPr>
          <w:rFonts w:hint="eastAsia" w:ascii="宋体" w:hAnsi="宋体" w:eastAsia="宋体" w:cs="宋体"/>
          <w:color w:val="auto"/>
          <w:sz w:val="21"/>
          <w:szCs w:val="21"/>
          <w:highlight w:val="none"/>
        </w:rPr>
      </w:pPr>
      <w:bookmarkStart w:id="1060" w:name="_Toc405548449"/>
      <w:r>
        <w:rPr>
          <w:rFonts w:hint="eastAsia" w:ascii="宋体" w:hAnsi="宋体" w:eastAsia="宋体" w:cs="宋体"/>
          <w:color w:val="auto"/>
          <w:sz w:val="21"/>
          <w:szCs w:val="21"/>
          <w:highlight w:val="none"/>
        </w:rPr>
        <w:t>5. 支付</w:t>
      </w:r>
      <w:bookmarkEnd w:id="1060"/>
    </w:p>
    <w:p w14:paraId="7A147F8F">
      <w:pPr>
        <w:pStyle w:val="146"/>
        <w:snapToGrid w:val="0"/>
        <w:spacing w:line="480" w:lineRule="exact"/>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5.2 支付申请：</w:t>
      </w:r>
      <w:r>
        <w:rPr>
          <w:rFonts w:hint="eastAsia" w:ascii="宋体" w:hAnsi="宋体" w:eastAsia="宋体" w:cs="宋体"/>
          <w:color w:val="auto"/>
          <w:sz w:val="21"/>
          <w:szCs w:val="21"/>
          <w:highlight w:val="none"/>
          <w:u w:val="none"/>
        </w:rPr>
        <w:t>监理人应按照委托人要求的支付申请书格式，并准备相关附件材料后进行监理酬金的划拨工作。</w:t>
      </w:r>
    </w:p>
    <w:p w14:paraId="605DE556">
      <w:pPr>
        <w:pStyle w:val="146"/>
        <w:snapToGrid w:val="0"/>
        <w:spacing w:line="480" w:lineRule="exact"/>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5.3 支付酬金</w:t>
      </w:r>
    </w:p>
    <w:p w14:paraId="467D360C">
      <w:pPr>
        <w:pStyle w:val="146"/>
        <w:snapToGrid w:val="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5.3.1本</w:t>
      </w:r>
      <w:r>
        <w:rPr>
          <w:rFonts w:hint="eastAsia" w:ascii="宋体" w:hAnsi="宋体" w:eastAsia="宋体" w:cs="宋体"/>
          <w:color w:val="auto"/>
          <w:sz w:val="21"/>
          <w:szCs w:val="21"/>
          <w:highlight w:val="none"/>
          <w:lang w:eastAsia="zh-CN"/>
        </w:rPr>
        <w:t>项目</w:t>
      </w:r>
      <w:r>
        <w:rPr>
          <w:rFonts w:hint="eastAsia" w:ascii="宋体" w:hAnsi="宋体" w:eastAsia="宋体" w:cs="宋体"/>
          <w:color w:val="auto"/>
          <w:sz w:val="21"/>
          <w:szCs w:val="21"/>
          <w:highlight w:val="none"/>
        </w:rPr>
        <w:t>监理酬金</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元。</w:t>
      </w:r>
    </w:p>
    <w:p w14:paraId="03D7C942">
      <w:pPr>
        <w:pStyle w:val="146"/>
        <w:snapToGrid w:val="0"/>
        <w:spacing w:line="48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5.3.2施工期监理酬金的支付：合同生效后根据资金到位情况及时支付合同价款的20%，后续视项目进度与资金到位情况适时申请进度款，支付金额不得超过实施部分的90%，剩余部分待审计完成后一次性支付。</w:t>
      </w:r>
    </w:p>
    <w:p w14:paraId="3743E340">
      <w:pPr>
        <w:pStyle w:val="146"/>
        <w:snapToGrid w:val="0"/>
        <w:spacing w:line="480" w:lineRule="exact"/>
        <w:ind w:firstLine="210" w:firstLineChars="100"/>
        <w:rPr>
          <w:rFonts w:hint="eastAsia" w:ascii="宋体" w:hAnsi="宋体" w:eastAsia="宋体" w:cs="宋体"/>
          <w:color w:val="auto"/>
          <w:sz w:val="21"/>
          <w:szCs w:val="21"/>
          <w:highlight w:val="none"/>
        </w:rPr>
      </w:pPr>
      <w:bookmarkStart w:id="1061" w:name="_Toc405548450"/>
      <w:r>
        <w:rPr>
          <w:rFonts w:hint="eastAsia" w:ascii="宋体" w:hAnsi="宋体" w:eastAsia="宋体" w:cs="宋体"/>
          <w:color w:val="auto"/>
          <w:sz w:val="21"/>
          <w:szCs w:val="21"/>
          <w:highlight w:val="none"/>
        </w:rPr>
        <w:t>6. 合同生效、变更、暂停、解除与终止</w:t>
      </w:r>
      <w:bookmarkEnd w:id="1061"/>
    </w:p>
    <w:p w14:paraId="5B9D5E34">
      <w:pPr>
        <w:pStyle w:val="146"/>
        <w:snapToGrid w:val="0"/>
        <w:spacing w:line="480" w:lineRule="exact"/>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 生效</w:t>
      </w:r>
    </w:p>
    <w:p w14:paraId="7AD443C8">
      <w:pPr>
        <w:pStyle w:val="146"/>
        <w:adjustRightInd w:val="0"/>
        <w:snapToGrid w:val="0"/>
        <w:spacing w:line="48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本合同生效条件：</w:t>
      </w:r>
      <w:r>
        <w:rPr>
          <w:rFonts w:hint="eastAsia" w:ascii="宋体" w:hAnsi="宋体" w:eastAsia="宋体" w:cs="宋体"/>
          <w:color w:val="auto"/>
          <w:sz w:val="21"/>
          <w:szCs w:val="21"/>
          <w:highlight w:val="none"/>
          <w:u w:val="single"/>
        </w:rPr>
        <w:t xml:space="preserve">   双方签字盖章后生效   </w:t>
      </w:r>
      <w:r>
        <w:rPr>
          <w:rFonts w:hint="eastAsia" w:ascii="宋体" w:hAnsi="宋体" w:eastAsia="宋体" w:cs="宋体"/>
          <w:color w:val="auto"/>
          <w:sz w:val="21"/>
          <w:szCs w:val="21"/>
          <w:highlight w:val="none"/>
        </w:rPr>
        <w:t>。</w:t>
      </w:r>
    </w:p>
    <w:p w14:paraId="608B478B">
      <w:pPr>
        <w:pStyle w:val="146"/>
        <w:snapToGrid w:val="0"/>
        <w:spacing w:line="480" w:lineRule="exact"/>
        <w:ind w:firstLine="210" w:firstLineChars="100"/>
        <w:rPr>
          <w:rFonts w:hint="eastAsia" w:ascii="宋体" w:hAnsi="宋体" w:eastAsia="宋体" w:cs="宋体"/>
          <w:color w:val="auto"/>
          <w:sz w:val="21"/>
          <w:szCs w:val="21"/>
          <w:highlight w:val="none"/>
        </w:rPr>
      </w:pPr>
      <w:bookmarkStart w:id="1062" w:name="_Toc405548451"/>
      <w:r>
        <w:rPr>
          <w:rFonts w:hint="eastAsia" w:ascii="宋体" w:hAnsi="宋体" w:eastAsia="宋体" w:cs="宋体"/>
          <w:color w:val="auto"/>
          <w:sz w:val="21"/>
          <w:szCs w:val="21"/>
          <w:highlight w:val="none"/>
        </w:rPr>
        <w:t>7. 争议解决</w:t>
      </w:r>
      <w:bookmarkEnd w:id="1062"/>
    </w:p>
    <w:p w14:paraId="024374EC">
      <w:pPr>
        <w:pStyle w:val="146"/>
        <w:snapToGrid w:val="0"/>
        <w:spacing w:line="480" w:lineRule="exact"/>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 调解</w:t>
      </w:r>
    </w:p>
    <w:p w14:paraId="072DDEA9">
      <w:pPr>
        <w:pStyle w:val="146"/>
        <w:snapToGrid w:val="0"/>
        <w:spacing w:line="480" w:lineRule="exact"/>
        <w:ind w:firstLine="411" w:firstLineChars="19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本合同争议进行调解时，可提交</w:t>
      </w:r>
      <w:r>
        <w:rPr>
          <w:rFonts w:hint="eastAsia" w:ascii="宋体" w:hAnsi="宋体" w:eastAsia="宋体" w:cs="宋体"/>
          <w:color w:val="auto"/>
          <w:sz w:val="21"/>
          <w:szCs w:val="21"/>
          <w:highlight w:val="none"/>
          <w:u w:val="single"/>
        </w:rPr>
        <w:t>《合同调解申请》</w:t>
      </w:r>
      <w:r>
        <w:rPr>
          <w:rFonts w:hint="eastAsia" w:ascii="宋体" w:hAnsi="宋体" w:eastAsia="宋体" w:cs="宋体"/>
          <w:color w:val="auto"/>
          <w:sz w:val="21"/>
          <w:szCs w:val="21"/>
          <w:highlight w:val="none"/>
        </w:rPr>
        <w:t>进行调解。</w:t>
      </w:r>
    </w:p>
    <w:p w14:paraId="19024F16">
      <w:pPr>
        <w:pStyle w:val="146"/>
        <w:snapToGrid w:val="0"/>
        <w:spacing w:line="480" w:lineRule="exact"/>
        <w:ind w:firstLine="205" w:firstLineChars="9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 </w:t>
      </w:r>
      <w:r>
        <w:rPr>
          <w:rFonts w:hint="eastAsia" w:ascii="宋体" w:hAnsi="宋体" w:eastAsia="宋体" w:cs="宋体"/>
          <w:bCs/>
          <w:color w:val="auto"/>
          <w:sz w:val="21"/>
          <w:szCs w:val="21"/>
          <w:highlight w:val="none"/>
        </w:rPr>
        <w:t>仲裁或诉讼</w:t>
      </w:r>
    </w:p>
    <w:p w14:paraId="3632F2AE">
      <w:pPr>
        <w:pStyle w:val="146"/>
        <w:adjustRightInd w:val="0"/>
        <w:snapToGrid w:val="0"/>
        <w:spacing w:line="48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合同争议的最终解决方式为下列第</w:t>
      </w:r>
      <w:r>
        <w:rPr>
          <w:rFonts w:hint="eastAsia" w:ascii="宋体" w:hAnsi="宋体" w:eastAsia="宋体" w:cs="宋体"/>
          <w:color w:val="auto"/>
          <w:sz w:val="21"/>
          <w:szCs w:val="21"/>
          <w:highlight w:val="none"/>
          <w:u w:val="none"/>
        </w:rPr>
        <w:t>2</w:t>
      </w:r>
      <w:r>
        <w:rPr>
          <w:rFonts w:hint="eastAsia" w:ascii="宋体" w:hAnsi="宋体" w:eastAsia="宋体" w:cs="宋体"/>
          <w:color w:val="auto"/>
          <w:sz w:val="21"/>
          <w:szCs w:val="21"/>
          <w:highlight w:val="none"/>
        </w:rPr>
        <w:t>种方式：</w:t>
      </w:r>
    </w:p>
    <w:p w14:paraId="259C4ADA">
      <w:pPr>
        <w:pStyle w:val="146"/>
        <w:snapToGrid w:val="0"/>
        <w:spacing w:line="480" w:lineRule="exact"/>
        <w:rPr>
          <w:rFonts w:hint="eastAsia" w:ascii="宋体" w:hAnsi="宋体" w:eastAsia="宋体" w:cs="宋体"/>
          <w:color w:val="auto"/>
          <w:sz w:val="21"/>
          <w:szCs w:val="21"/>
          <w:highlight w:val="none"/>
        </w:rPr>
      </w:pPr>
      <w:bookmarkStart w:id="1063" w:name="_Toc405548453"/>
      <w:r>
        <w:rPr>
          <w:rFonts w:hint="eastAsia" w:ascii="宋体" w:hAnsi="宋体" w:eastAsia="宋体" w:cs="宋体"/>
          <w:color w:val="auto"/>
          <w:sz w:val="21"/>
          <w:szCs w:val="21"/>
          <w:highlight w:val="none"/>
          <w:lang w:val="en-US"/>
        </w:rPr>
        <w:t>8</w:t>
      </w:r>
      <w:r>
        <w:rPr>
          <w:rFonts w:hint="eastAsia" w:ascii="宋体" w:hAnsi="宋体" w:eastAsia="宋体" w:cs="宋体"/>
          <w:color w:val="auto"/>
          <w:sz w:val="21"/>
          <w:szCs w:val="21"/>
          <w:highlight w:val="none"/>
        </w:rPr>
        <w:t>. 补充条款</w:t>
      </w:r>
      <w:bookmarkEnd w:id="1063"/>
    </w:p>
    <w:p w14:paraId="0B8DAF23">
      <w:pPr>
        <w:pStyle w:val="146"/>
        <w:snapToGrid w:val="0"/>
        <w:spacing w:line="360" w:lineRule="auto"/>
        <w:ind w:firstLine="411" w:firstLineChars="196"/>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rPr>
        <w:t xml:space="preserve">  （1）委托人</w:t>
      </w:r>
      <w:r>
        <w:rPr>
          <w:rFonts w:hint="eastAsia" w:ascii="宋体" w:hAnsi="宋体" w:eastAsia="宋体" w:cs="宋体"/>
          <w:color w:val="auto"/>
          <w:sz w:val="21"/>
          <w:szCs w:val="21"/>
          <w:highlight w:val="none"/>
          <w:u w:val="none"/>
        </w:rPr>
        <w:t>对监理人员的管理和处罚：</w:t>
      </w:r>
    </w:p>
    <w:p w14:paraId="5804FAD8">
      <w:pPr>
        <w:pStyle w:val="146"/>
        <w:adjustRightInd w:val="0"/>
        <w:snapToGrid w:val="0"/>
        <w:spacing w:before="156" w:beforeLines="50" w:after="156" w:afterLines="50" w:line="360" w:lineRule="auto"/>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     A、未经委托人同意，项目监理机构人员被任意更换，委托人按每次每人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rPr>
        <w:t>元扣减监理人酬金；</w:t>
      </w:r>
    </w:p>
    <w:p w14:paraId="34EB9AF3">
      <w:pPr>
        <w:pStyle w:val="146"/>
        <w:adjustRightInd w:val="0"/>
        <w:snapToGrid w:val="0"/>
        <w:spacing w:before="156" w:beforeLines="50" w:after="156" w:afterLines="50" w:line="360" w:lineRule="auto"/>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none"/>
        </w:rPr>
        <w:t>B、总监理</w:t>
      </w:r>
      <w:r>
        <w:rPr>
          <w:rFonts w:hint="eastAsia" w:ascii="宋体" w:hAnsi="宋体" w:eastAsia="宋体" w:cs="宋体"/>
          <w:color w:val="auto"/>
          <w:sz w:val="21"/>
          <w:szCs w:val="21"/>
          <w:highlight w:val="none"/>
          <w:u w:val="none"/>
          <w:lang w:val="en-US" w:eastAsia="zh-CN"/>
        </w:rPr>
        <w:t>工程</w:t>
      </w:r>
      <w:r>
        <w:rPr>
          <w:rFonts w:hint="eastAsia" w:ascii="宋体" w:hAnsi="宋体" w:eastAsia="宋体" w:cs="宋体"/>
          <w:color w:val="auto"/>
          <w:sz w:val="21"/>
          <w:szCs w:val="21"/>
          <w:highlight w:val="none"/>
          <w:u w:val="none"/>
        </w:rPr>
        <w:t>师一周超过二天不在岗，按每周每次</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rPr>
        <w:t>元扣减监理人酬金；</w:t>
      </w:r>
    </w:p>
    <w:p w14:paraId="34806CC1">
      <w:pPr>
        <w:pStyle w:val="146"/>
        <w:adjustRightInd w:val="0"/>
        <w:snapToGrid w:val="0"/>
        <w:spacing w:before="156" w:beforeLines="50" w:after="156" w:afterLines="50" w:line="360" w:lineRule="auto"/>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     C、各专业监理一周超过二天不在岗，按每周每次</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rPr>
        <w:t>元扣减监理人酬金；</w:t>
      </w:r>
    </w:p>
    <w:p w14:paraId="4CB81612">
      <w:pPr>
        <w:pStyle w:val="146"/>
        <w:adjustRightInd w:val="0"/>
        <w:snapToGrid w:val="0"/>
        <w:spacing w:before="156" w:beforeLines="50" w:after="156" w:afterLines="50" w:line="360" w:lineRule="auto"/>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  （2）质量保修金的退还：                 </w:t>
      </w:r>
    </w:p>
    <w:p w14:paraId="15C5ED3C">
      <w:pPr>
        <w:pStyle w:val="146"/>
        <w:adjustRightInd w:val="0"/>
        <w:snapToGrid w:val="0"/>
        <w:spacing w:before="156" w:beforeLines="50" w:after="156" w:afterLines="50" w:line="360" w:lineRule="auto"/>
        <w:rPr>
          <w:rFonts w:hint="eastAsia" w:ascii="宋体" w:hAnsi="宋体" w:eastAsia="宋体" w:cs="宋体"/>
          <w:color w:val="auto"/>
          <w:sz w:val="21"/>
          <w:szCs w:val="21"/>
          <w:highlight w:val="none"/>
          <w:u w:val="none"/>
          <w:lang w:eastAsia="zh-CN"/>
        </w:rPr>
      </w:pPr>
      <w:r>
        <w:rPr>
          <w:rFonts w:hint="eastAsia" w:ascii="宋体" w:hAnsi="宋体" w:eastAsia="宋体" w:cs="宋体"/>
          <w:color w:val="auto"/>
          <w:sz w:val="21"/>
          <w:szCs w:val="21"/>
          <w:highlight w:val="none"/>
          <w:u w:val="none"/>
        </w:rPr>
        <w:t xml:space="preserve">  （3）监理酬金为监理服务费用的全部和唯一来源，监理人不得在合同实施</w:t>
      </w:r>
      <w:r>
        <w:rPr>
          <w:rFonts w:hint="eastAsia" w:ascii="宋体" w:hAnsi="宋体" w:eastAsia="宋体" w:cs="宋体"/>
          <w:color w:val="auto"/>
          <w:sz w:val="21"/>
          <w:szCs w:val="21"/>
          <w:highlight w:val="none"/>
          <w:u w:val="none"/>
          <w:lang w:eastAsia="zh-CN"/>
        </w:rPr>
        <w:t>项目</w:t>
      </w:r>
      <w:r>
        <w:rPr>
          <w:rFonts w:hint="eastAsia" w:ascii="宋体" w:hAnsi="宋体" w:eastAsia="宋体" w:cs="宋体"/>
          <w:color w:val="auto"/>
          <w:sz w:val="21"/>
          <w:szCs w:val="21"/>
          <w:highlight w:val="none"/>
          <w:u w:val="none"/>
        </w:rPr>
        <w:t>中，收受其他任何费用、回扣或佣金</w:t>
      </w:r>
      <w:r>
        <w:rPr>
          <w:rFonts w:hint="eastAsia" w:ascii="宋体" w:hAnsi="宋体" w:eastAsia="宋体" w:cs="宋体"/>
          <w:color w:val="auto"/>
          <w:sz w:val="21"/>
          <w:szCs w:val="21"/>
          <w:highlight w:val="none"/>
          <w:u w:val="none"/>
          <w:lang w:eastAsia="zh-CN"/>
        </w:rPr>
        <w:t>。</w:t>
      </w:r>
    </w:p>
    <w:p w14:paraId="7194790C">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iCs/>
          <w:szCs w:val="21"/>
          <w:highlight w:val="none"/>
        </w:rPr>
      </w:pPr>
      <w:r>
        <w:rPr>
          <w:rFonts w:hint="eastAsia" w:ascii="宋体" w:hAnsi="宋体" w:eastAsia="宋体" w:cs="宋体"/>
          <w:color w:val="auto"/>
          <w:sz w:val="21"/>
          <w:szCs w:val="21"/>
          <w:highlight w:val="none"/>
        </w:rPr>
        <w:t>A-4 其他（专业技术咨询、外部协调工作等）：</w:t>
      </w:r>
      <w:r>
        <w:rPr>
          <w:rFonts w:hint="eastAsia" w:ascii="宋体" w:hAnsi="宋体" w:eastAsia="宋体" w:cs="宋体"/>
          <w:color w:val="auto"/>
          <w:sz w:val="21"/>
          <w:szCs w:val="21"/>
          <w:highlight w:val="none"/>
          <w:u w:val="single"/>
        </w:rPr>
        <w:t>双方具体协商确定</w:t>
      </w:r>
      <w:r>
        <w:rPr>
          <w:rFonts w:hint="eastAsia" w:ascii="宋体" w:hAnsi="宋体" w:eastAsia="宋体" w:cs="宋体"/>
          <w:color w:val="auto"/>
          <w:sz w:val="21"/>
          <w:szCs w:val="21"/>
          <w:highlight w:val="none"/>
          <w:u w:val="none"/>
          <w:lang w:eastAsia="zh-CN"/>
        </w:rPr>
        <w:t>。</w:t>
      </w:r>
    </w:p>
    <w:p w14:paraId="3D26E13C">
      <w:pPr>
        <w:rPr>
          <w:rFonts w:hint="eastAsia" w:asciiTheme="minorEastAsia" w:hAnsiTheme="minorEastAsia" w:eastAsiaTheme="minorEastAsia"/>
          <w:b/>
          <w:bCs/>
          <w:color w:val="auto"/>
          <w:sz w:val="32"/>
          <w:szCs w:val="32"/>
          <w:highlight w:val="none"/>
        </w:rPr>
      </w:pPr>
      <w:r>
        <w:rPr>
          <w:rFonts w:hint="eastAsia" w:asciiTheme="minorEastAsia" w:hAnsiTheme="minorEastAsia" w:eastAsiaTheme="minorEastAsia"/>
          <w:b/>
          <w:bCs/>
          <w:color w:val="auto"/>
          <w:sz w:val="32"/>
          <w:szCs w:val="32"/>
          <w:highlight w:val="none"/>
        </w:rPr>
        <w:br w:type="page"/>
      </w:r>
    </w:p>
    <w:p w14:paraId="28B6A100">
      <w:pPr>
        <w:spacing w:line="360" w:lineRule="auto"/>
        <w:jc w:val="center"/>
        <w:outlineLvl w:val="0"/>
        <w:rPr>
          <w:rFonts w:hint="eastAsia" w:asciiTheme="minorEastAsia" w:hAnsiTheme="minorEastAsia" w:eastAsiaTheme="minorEastAsia"/>
          <w:b/>
          <w:bCs/>
          <w:color w:val="auto"/>
          <w:sz w:val="32"/>
          <w:szCs w:val="32"/>
          <w:highlight w:val="none"/>
        </w:rPr>
      </w:pPr>
      <w:r>
        <w:rPr>
          <w:rFonts w:hint="eastAsia" w:asciiTheme="minorEastAsia" w:hAnsiTheme="minorEastAsia" w:eastAsiaTheme="minorEastAsia"/>
          <w:b/>
          <w:bCs/>
          <w:color w:val="auto"/>
          <w:sz w:val="32"/>
          <w:szCs w:val="32"/>
          <w:highlight w:val="none"/>
        </w:rPr>
        <w:t>第四章 响应文件格式</w:t>
      </w:r>
      <w:bookmarkEnd w:id="1048"/>
    </w:p>
    <w:p w14:paraId="014B52F2">
      <w:pPr>
        <w:spacing w:line="360" w:lineRule="auto"/>
        <w:jc w:val="center"/>
        <w:rPr>
          <w:rFonts w:hint="eastAsia" w:asciiTheme="minorEastAsia" w:hAnsiTheme="minorEastAsia" w:eastAsiaTheme="minorEastAsia"/>
          <w:color w:val="auto"/>
          <w:sz w:val="24"/>
          <w:szCs w:val="24"/>
          <w:highlight w:val="none"/>
          <w:lang w:eastAsia="zh-CN"/>
        </w:rPr>
      </w:pPr>
      <w:bookmarkStart w:id="1064" w:name="_Toc381796416"/>
      <w:bookmarkStart w:id="1065" w:name="_Toc292983027"/>
      <w:bookmarkStart w:id="1066" w:name="_Hlk521082080"/>
      <w:bookmarkStart w:id="1067" w:name="_Toc292983029"/>
      <w:bookmarkStart w:id="1068" w:name="_Toc14337"/>
      <w:bookmarkStart w:id="1069" w:name="_Toc265766858"/>
      <w:bookmarkStart w:id="1070" w:name="_Toc84356306"/>
      <w:bookmarkStart w:id="1071" w:name="_Toc381796417"/>
      <w:bookmarkStart w:id="1072" w:name="_Toc42205044"/>
      <w:bookmarkStart w:id="1073" w:name="_Toc186354393"/>
      <w:bookmarkStart w:id="1074" w:name="_Toc37603116"/>
      <w:r>
        <w:rPr>
          <w:rFonts w:hint="eastAsia" w:asciiTheme="minorEastAsia" w:hAnsiTheme="minorEastAsia" w:eastAsiaTheme="minorEastAsia"/>
          <w:b/>
          <w:bCs/>
          <w:color w:val="auto"/>
          <w:sz w:val="40"/>
          <w:szCs w:val="40"/>
          <w:highlight w:val="none"/>
          <w:lang w:eastAsia="zh-CN"/>
        </w:rPr>
        <w:t>滇池底泥处理处置与城市固废协同治理与循环利用应用示范项目监理服务</w:t>
      </w:r>
    </w:p>
    <w:p w14:paraId="41B9CE81">
      <w:pPr>
        <w:spacing w:line="360" w:lineRule="auto"/>
        <w:jc w:val="center"/>
        <w:rPr>
          <w:rFonts w:hint="eastAsia" w:asciiTheme="minorEastAsia" w:hAnsiTheme="minorEastAsia" w:eastAsiaTheme="minorEastAsia"/>
          <w:color w:val="auto"/>
          <w:sz w:val="24"/>
          <w:szCs w:val="24"/>
          <w:highlight w:val="none"/>
        </w:rPr>
      </w:pPr>
    </w:p>
    <w:p w14:paraId="1033F45F">
      <w:pPr>
        <w:spacing w:line="360" w:lineRule="auto"/>
        <w:jc w:val="center"/>
        <w:rPr>
          <w:rFonts w:hint="eastAsia" w:asciiTheme="minorEastAsia" w:hAnsiTheme="minorEastAsia" w:eastAsiaTheme="minorEastAsia"/>
          <w:color w:val="auto"/>
          <w:sz w:val="24"/>
          <w:szCs w:val="24"/>
          <w:highlight w:val="none"/>
        </w:rPr>
      </w:pPr>
    </w:p>
    <w:p w14:paraId="3432A6B8">
      <w:pPr>
        <w:spacing w:line="360" w:lineRule="auto"/>
        <w:jc w:val="center"/>
        <w:rPr>
          <w:rFonts w:hint="eastAsia" w:asciiTheme="minorEastAsia" w:hAnsiTheme="minorEastAsia" w:eastAsiaTheme="minorEastAsia"/>
          <w:color w:val="auto"/>
          <w:sz w:val="24"/>
          <w:szCs w:val="24"/>
          <w:highlight w:val="none"/>
        </w:rPr>
      </w:pPr>
    </w:p>
    <w:p w14:paraId="1632C241">
      <w:pPr>
        <w:spacing w:line="360" w:lineRule="auto"/>
        <w:jc w:val="center"/>
        <w:rPr>
          <w:rFonts w:asciiTheme="minorEastAsia" w:hAnsiTheme="minorEastAsia" w:eastAsiaTheme="minorEastAsia"/>
          <w:color w:val="auto"/>
          <w:sz w:val="24"/>
          <w:szCs w:val="24"/>
          <w:highlight w:val="none"/>
        </w:rPr>
      </w:pPr>
    </w:p>
    <w:p w14:paraId="27870288">
      <w:pPr>
        <w:spacing w:line="360" w:lineRule="auto"/>
        <w:jc w:val="center"/>
        <w:rPr>
          <w:rFonts w:asciiTheme="minorEastAsia" w:hAnsiTheme="minorEastAsia" w:eastAsiaTheme="minorEastAsia"/>
          <w:color w:val="auto"/>
          <w:sz w:val="24"/>
          <w:szCs w:val="24"/>
          <w:highlight w:val="none"/>
        </w:rPr>
      </w:pPr>
    </w:p>
    <w:p w14:paraId="3452F02F">
      <w:pPr>
        <w:spacing w:line="360" w:lineRule="auto"/>
        <w:jc w:val="center"/>
        <w:rPr>
          <w:rFonts w:hint="eastAsia" w:asciiTheme="minorEastAsia" w:hAnsiTheme="minorEastAsia" w:eastAsiaTheme="minorEastAsia"/>
          <w:color w:val="auto"/>
          <w:sz w:val="24"/>
          <w:szCs w:val="24"/>
          <w:highlight w:val="none"/>
        </w:rPr>
      </w:pPr>
    </w:p>
    <w:p w14:paraId="6CD51A3B">
      <w:pPr>
        <w:spacing w:line="360" w:lineRule="auto"/>
        <w:jc w:val="center"/>
        <w:rPr>
          <w:rFonts w:hint="eastAsia" w:asciiTheme="minorEastAsia" w:hAnsiTheme="minorEastAsia" w:eastAsiaTheme="minorEastAsia"/>
          <w:color w:val="auto"/>
          <w:sz w:val="24"/>
          <w:szCs w:val="24"/>
          <w:highlight w:val="none"/>
        </w:rPr>
      </w:pPr>
    </w:p>
    <w:p w14:paraId="465C3D7F">
      <w:pPr>
        <w:pStyle w:val="28"/>
        <w:jc w:val="center"/>
        <w:rPr>
          <w:rFonts w:hint="eastAsia" w:asciiTheme="minorEastAsia" w:hAnsiTheme="minorEastAsia" w:eastAsiaTheme="minorEastAsia"/>
          <w:b/>
          <w:bCs/>
          <w:color w:val="auto"/>
          <w:sz w:val="72"/>
          <w:szCs w:val="72"/>
          <w:highlight w:val="none"/>
        </w:rPr>
      </w:pPr>
      <w:r>
        <w:rPr>
          <w:rFonts w:hint="eastAsia" w:asciiTheme="minorEastAsia" w:hAnsiTheme="minorEastAsia" w:eastAsiaTheme="minorEastAsia"/>
          <w:b/>
          <w:bCs/>
          <w:color w:val="auto"/>
          <w:sz w:val="72"/>
          <w:szCs w:val="72"/>
          <w:highlight w:val="none"/>
        </w:rPr>
        <w:t>响 应 文 件</w:t>
      </w:r>
    </w:p>
    <w:p w14:paraId="5BB018E9">
      <w:pPr>
        <w:spacing w:before="120" w:beforeLines="50" w:line="360" w:lineRule="auto"/>
        <w:jc w:val="center"/>
        <w:rPr>
          <w:rFonts w:hint="eastAsia" w:asciiTheme="minorEastAsia" w:hAnsiTheme="minorEastAsia" w:eastAsiaTheme="minorEastAsia"/>
          <w:b/>
          <w:color w:val="auto"/>
          <w:sz w:val="32"/>
          <w:szCs w:val="32"/>
          <w:highlight w:val="none"/>
          <w:lang w:eastAsia="zh-CN"/>
        </w:rPr>
      </w:pPr>
      <w:r>
        <w:rPr>
          <w:rFonts w:hint="eastAsia" w:asciiTheme="minorEastAsia" w:hAnsiTheme="minorEastAsia" w:eastAsiaTheme="minorEastAsia"/>
          <w:b/>
          <w:color w:val="auto"/>
          <w:sz w:val="32"/>
          <w:szCs w:val="32"/>
          <w:highlight w:val="none"/>
        </w:rPr>
        <w:t>项目编号：</w:t>
      </w:r>
      <w:r>
        <w:rPr>
          <w:rFonts w:hint="eastAsia" w:asciiTheme="minorEastAsia" w:hAnsiTheme="minorEastAsia" w:eastAsiaTheme="minorEastAsia"/>
          <w:b/>
          <w:color w:val="auto"/>
          <w:sz w:val="32"/>
          <w:szCs w:val="32"/>
          <w:highlight w:val="none"/>
          <w:lang w:eastAsia="zh-CN"/>
        </w:rPr>
        <w:t>KMZC2025-C3-01859-YNYG-0024</w:t>
      </w:r>
    </w:p>
    <w:p w14:paraId="0DB89271">
      <w:pPr>
        <w:spacing w:line="360" w:lineRule="auto"/>
        <w:jc w:val="center"/>
        <w:rPr>
          <w:rFonts w:hint="eastAsia" w:asciiTheme="minorEastAsia" w:hAnsiTheme="minorEastAsia" w:eastAsiaTheme="minorEastAsia"/>
          <w:color w:val="auto"/>
          <w:sz w:val="24"/>
          <w:highlight w:val="none"/>
        </w:rPr>
      </w:pPr>
    </w:p>
    <w:p w14:paraId="7CD6ACD3">
      <w:pPr>
        <w:spacing w:line="360" w:lineRule="auto"/>
        <w:jc w:val="center"/>
        <w:rPr>
          <w:rFonts w:hint="eastAsia" w:asciiTheme="minorEastAsia" w:hAnsiTheme="minorEastAsia" w:eastAsiaTheme="minorEastAsia"/>
          <w:color w:val="auto"/>
          <w:sz w:val="24"/>
          <w:highlight w:val="none"/>
        </w:rPr>
      </w:pPr>
    </w:p>
    <w:p w14:paraId="52B10832">
      <w:pPr>
        <w:spacing w:line="360" w:lineRule="auto"/>
        <w:jc w:val="center"/>
        <w:rPr>
          <w:rFonts w:hint="eastAsia" w:asciiTheme="minorEastAsia" w:hAnsiTheme="minorEastAsia" w:eastAsiaTheme="minorEastAsia"/>
          <w:color w:val="auto"/>
          <w:sz w:val="24"/>
          <w:highlight w:val="none"/>
        </w:rPr>
      </w:pPr>
    </w:p>
    <w:p w14:paraId="6C945594">
      <w:pPr>
        <w:spacing w:line="360" w:lineRule="auto"/>
        <w:jc w:val="center"/>
        <w:rPr>
          <w:rFonts w:hint="eastAsia" w:asciiTheme="minorEastAsia" w:hAnsiTheme="minorEastAsia" w:eastAsiaTheme="minorEastAsia"/>
          <w:color w:val="auto"/>
          <w:sz w:val="24"/>
          <w:highlight w:val="none"/>
        </w:rPr>
      </w:pPr>
    </w:p>
    <w:p w14:paraId="11A412CB">
      <w:pPr>
        <w:spacing w:line="360" w:lineRule="auto"/>
        <w:jc w:val="center"/>
        <w:rPr>
          <w:rFonts w:hint="eastAsia" w:asciiTheme="minorEastAsia" w:hAnsiTheme="minorEastAsia" w:eastAsiaTheme="minorEastAsia"/>
          <w:color w:val="auto"/>
          <w:sz w:val="24"/>
          <w:highlight w:val="none"/>
        </w:rPr>
      </w:pPr>
    </w:p>
    <w:p w14:paraId="5E71AB51">
      <w:pPr>
        <w:spacing w:line="360" w:lineRule="auto"/>
        <w:rPr>
          <w:rFonts w:hint="eastAsia" w:asciiTheme="minorEastAsia" w:hAnsiTheme="minorEastAsia" w:eastAsiaTheme="minorEastAsia"/>
          <w:color w:val="auto"/>
          <w:sz w:val="24"/>
          <w:highlight w:val="none"/>
        </w:rPr>
      </w:pPr>
    </w:p>
    <w:p w14:paraId="49C63DC2">
      <w:pPr>
        <w:spacing w:line="360" w:lineRule="auto"/>
        <w:rPr>
          <w:rFonts w:hint="eastAsia" w:asciiTheme="minorEastAsia" w:hAnsiTheme="minorEastAsia" w:eastAsiaTheme="minorEastAsia"/>
          <w:color w:val="auto"/>
          <w:sz w:val="24"/>
          <w:highlight w:val="none"/>
        </w:rPr>
      </w:pPr>
    </w:p>
    <w:p w14:paraId="553C1491">
      <w:pPr>
        <w:spacing w:line="360" w:lineRule="auto"/>
        <w:rPr>
          <w:rFonts w:hint="eastAsia" w:asciiTheme="minorEastAsia" w:hAnsiTheme="minorEastAsia" w:eastAsiaTheme="minorEastAsia"/>
          <w:color w:val="auto"/>
          <w:sz w:val="24"/>
          <w:highlight w:val="none"/>
        </w:rPr>
      </w:pPr>
    </w:p>
    <w:p w14:paraId="7CEDD763">
      <w:pPr>
        <w:spacing w:line="360" w:lineRule="auto"/>
        <w:ind w:firstLine="993" w:firstLineChars="309"/>
        <w:jc w:val="left"/>
        <w:rPr>
          <w:rFonts w:hint="eastAsia" w:asciiTheme="minorEastAsia" w:hAnsiTheme="minorEastAsia" w:eastAsiaTheme="minorEastAsia"/>
          <w:b/>
          <w:bCs/>
          <w:color w:val="auto"/>
          <w:sz w:val="32"/>
          <w:szCs w:val="32"/>
          <w:highlight w:val="none"/>
        </w:rPr>
      </w:pPr>
      <w:r>
        <w:rPr>
          <w:rFonts w:hint="eastAsia" w:asciiTheme="minorEastAsia" w:hAnsiTheme="minorEastAsia" w:eastAsiaTheme="minorEastAsia"/>
          <w:b/>
          <w:bCs/>
          <w:color w:val="auto"/>
          <w:sz w:val="32"/>
          <w:szCs w:val="32"/>
          <w:highlight w:val="none"/>
        </w:rPr>
        <w:t>供应商</w:t>
      </w:r>
      <w:r>
        <w:rPr>
          <w:rFonts w:asciiTheme="minorEastAsia" w:hAnsiTheme="minorEastAsia" w:eastAsiaTheme="minorEastAsia"/>
          <w:b/>
          <w:bCs/>
          <w:color w:val="auto"/>
          <w:sz w:val="32"/>
          <w:szCs w:val="32"/>
          <w:highlight w:val="none"/>
        </w:rPr>
        <w:t>（</w:t>
      </w:r>
      <w:r>
        <w:rPr>
          <w:rFonts w:hint="eastAsia" w:asciiTheme="minorEastAsia" w:hAnsiTheme="minorEastAsia" w:eastAsiaTheme="minorEastAsia"/>
          <w:b/>
          <w:bCs/>
          <w:color w:val="auto"/>
          <w:sz w:val="32"/>
          <w:szCs w:val="32"/>
          <w:highlight w:val="none"/>
        </w:rPr>
        <w:t>电子签章</w:t>
      </w:r>
      <w:r>
        <w:rPr>
          <w:rFonts w:asciiTheme="minorEastAsia" w:hAnsiTheme="minorEastAsia" w:eastAsiaTheme="minorEastAsia"/>
          <w:b/>
          <w:bCs/>
          <w:color w:val="auto"/>
          <w:sz w:val="32"/>
          <w:szCs w:val="32"/>
          <w:highlight w:val="none"/>
        </w:rPr>
        <w:t>）：</w:t>
      </w:r>
      <w:r>
        <w:rPr>
          <w:rFonts w:asciiTheme="minorEastAsia" w:hAnsiTheme="minorEastAsia" w:eastAsiaTheme="minorEastAsia"/>
          <w:b/>
          <w:bCs/>
          <w:color w:val="auto"/>
          <w:sz w:val="32"/>
          <w:szCs w:val="32"/>
          <w:highlight w:val="none"/>
          <w:u w:val="single"/>
        </w:rPr>
        <w:t xml:space="preserve">               </w:t>
      </w:r>
      <w:r>
        <w:rPr>
          <w:rFonts w:hint="eastAsia" w:asciiTheme="minorEastAsia" w:hAnsiTheme="minorEastAsia" w:eastAsiaTheme="minorEastAsia"/>
          <w:b/>
          <w:bCs/>
          <w:color w:val="auto"/>
          <w:sz w:val="32"/>
          <w:szCs w:val="32"/>
          <w:highlight w:val="none"/>
          <w:u w:val="single"/>
        </w:rPr>
        <w:t xml:space="preserve">    </w:t>
      </w:r>
      <w:r>
        <w:rPr>
          <w:rFonts w:asciiTheme="minorEastAsia" w:hAnsiTheme="minorEastAsia" w:eastAsiaTheme="minorEastAsia"/>
          <w:b/>
          <w:bCs/>
          <w:color w:val="auto"/>
          <w:sz w:val="32"/>
          <w:szCs w:val="32"/>
          <w:highlight w:val="none"/>
          <w:u w:val="single"/>
        </w:rPr>
        <w:t xml:space="preserve"> </w:t>
      </w:r>
    </w:p>
    <w:p w14:paraId="4B6CF391">
      <w:pPr>
        <w:spacing w:line="360" w:lineRule="auto"/>
        <w:ind w:firstLine="957" w:firstLineChars="298"/>
        <w:jc w:val="left"/>
        <w:rPr>
          <w:rFonts w:hint="eastAsia" w:asciiTheme="minorEastAsia" w:hAnsiTheme="minorEastAsia" w:eastAsiaTheme="minorEastAsia"/>
          <w:b/>
          <w:bCs/>
          <w:color w:val="auto"/>
          <w:sz w:val="32"/>
          <w:szCs w:val="32"/>
          <w:highlight w:val="none"/>
        </w:rPr>
      </w:pPr>
      <w:r>
        <w:rPr>
          <w:rFonts w:asciiTheme="minorEastAsia" w:hAnsiTheme="minorEastAsia" w:eastAsiaTheme="minorEastAsia"/>
          <w:b/>
          <w:bCs/>
          <w:color w:val="auto"/>
          <w:sz w:val="32"/>
          <w:szCs w:val="32"/>
          <w:highlight w:val="none"/>
        </w:rPr>
        <w:t>法定代表人</w:t>
      </w:r>
      <w:r>
        <w:rPr>
          <w:rFonts w:hint="eastAsia" w:asciiTheme="minorEastAsia" w:hAnsiTheme="minorEastAsia" w:eastAsiaTheme="minorEastAsia"/>
          <w:b/>
          <w:bCs/>
          <w:color w:val="auto"/>
          <w:sz w:val="32"/>
          <w:szCs w:val="32"/>
          <w:highlight w:val="none"/>
        </w:rPr>
        <w:t>（电子签章）</w:t>
      </w:r>
      <w:r>
        <w:rPr>
          <w:rFonts w:asciiTheme="minorEastAsia" w:hAnsiTheme="minorEastAsia" w:eastAsiaTheme="minorEastAsia"/>
          <w:b/>
          <w:bCs/>
          <w:color w:val="auto"/>
          <w:sz w:val="32"/>
          <w:szCs w:val="32"/>
          <w:highlight w:val="none"/>
        </w:rPr>
        <w:t>：</w:t>
      </w:r>
      <w:r>
        <w:rPr>
          <w:rFonts w:asciiTheme="minorEastAsia" w:hAnsiTheme="minorEastAsia" w:eastAsiaTheme="minorEastAsia"/>
          <w:b/>
          <w:bCs/>
          <w:color w:val="auto"/>
          <w:sz w:val="32"/>
          <w:szCs w:val="32"/>
          <w:highlight w:val="none"/>
          <w:u w:val="single"/>
        </w:rPr>
        <w:t xml:space="preserve">    </w:t>
      </w:r>
      <w:r>
        <w:rPr>
          <w:rFonts w:hint="eastAsia" w:asciiTheme="minorEastAsia" w:hAnsiTheme="minorEastAsia" w:eastAsiaTheme="minorEastAsia"/>
          <w:b/>
          <w:bCs/>
          <w:color w:val="auto"/>
          <w:sz w:val="32"/>
          <w:szCs w:val="32"/>
          <w:highlight w:val="none"/>
          <w:u w:val="single"/>
        </w:rPr>
        <w:t xml:space="preserve"> </w:t>
      </w:r>
      <w:r>
        <w:rPr>
          <w:rFonts w:asciiTheme="minorEastAsia" w:hAnsiTheme="minorEastAsia" w:eastAsiaTheme="minorEastAsia"/>
          <w:b/>
          <w:bCs/>
          <w:color w:val="auto"/>
          <w:sz w:val="32"/>
          <w:szCs w:val="32"/>
          <w:highlight w:val="none"/>
          <w:u w:val="single"/>
        </w:rPr>
        <w:t xml:space="preserve">     </w:t>
      </w:r>
      <w:r>
        <w:rPr>
          <w:rFonts w:hint="eastAsia" w:asciiTheme="minorEastAsia" w:hAnsiTheme="minorEastAsia" w:eastAsiaTheme="minorEastAsia"/>
          <w:b/>
          <w:bCs/>
          <w:color w:val="auto"/>
          <w:sz w:val="32"/>
          <w:szCs w:val="32"/>
          <w:highlight w:val="none"/>
          <w:u w:val="single"/>
        </w:rPr>
        <w:t xml:space="preserve">      </w:t>
      </w:r>
    </w:p>
    <w:p w14:paraId="2DC8CC3B">
      <w:pPr>
        <w:spacing w:line="360" w:lineRule="auto"/>
        <w:ind w:firstLine="2731" w:firstLineChars="850"/>
        <w:jc w:val="left"/>
        <w:rPr>
          <w:rFonts w:hint="eastAsia" w:asciiTheme="minorEastAsia" w:hAnsiTheme="minorEastAsia" w:eastAsiaTheme="minorEastAsia"/>
          <w:b/>
          <w:bCs/>
          <w:color w:val="auto"/>
          <w:sz w:val="32"/>
          <w:szCs w:val="32"/>
          <w:highlight w:val="none"/>
        </w:rPr>
      </w:pPr>
      <w:r>
        <w:rPr>
          <w:rFonts w:asciiTheme="minorEastAsia" w:hAnsiTheme="minorEastAsia" w:eastAsiaTheme="minorEastAsia"/>
          <w:b/>
          <w:bCs/>
          <w:color w:val="auto"/>
          <w:sz w:val="32"/>
          <w:szCs w:val="32"/>
          <w:highlight w:val="none"/>
          <w:u w:val="single"/>
        </w:rPr>
        <w:t xml:space="preserve">        </w:t>
      </w:r>
      <w:r>
        <w:rPr>
          <w:rFonts w:asciiTheme="minorEastAsia" w:hAnsiTheme="minorEastAsia" w:eastAsiaTheme="minorEastAsia"/>
          <w:b/>
          <w:bCs/>
          <w:color w:val="auto"/>
          <w:sz w:val="32"/>
          <w:szCs w:val="32"/>
          <w:highlight w:val="none"/>
        </w:rPr>
        <w:t>年</w:t>
      </w:r>
      <w:r>
        <w:rPr>
          <w:rFonts w:asciiTheme="minorEastAsia" w:hAnsiTheme="minorEastAsia" w:eastAsiaTheme="minorEastAsia"/>
          <w:b/>
          <w:bCs/>
          <w:color w:val="auto"/>
          <w:sz w:val="32"/>
          <w:szCs w:val="32"/>
          <w:highlight w:val="none"/>
          <w:u w:val="single"/>
        </w:rPr>
        <w:t xml:space="preserve">     </w:t>
      </w:r>
      <w:r>
        <w:rPr>
          <w:rFonts w:asciiTheme="minorEastAsia" w:hAnsiTheme="minorEastAsia" w:eastAsiaTheme="minorEastAsia"/>
          <w:b/>
          <w:bCs/>
          <w:color w:val="auto"/>
          <w:sz w:val="32"/>
          <w:szCs w:val="32"/>
          <w:highlight w:val="none"/>
        </w:rPr>
        <w:t>月</w:t>
      </w:r>
      <w:r>
        <w:rPr>
          <w:rFonts w:asciiTheme="minorEastAsia" w:hAnsiTheme="minorEastAsia" w:eastAsiaTheme="minorEastAsia"/>
          <w:b/>
          <w:bCs/>
          <w:color w:val="auto"/>
          <w:sz w:val="32"/>
          <w:szCs w:val="32"/>
          <w:highlight w:val="none"/>
          <w:u w:val="single"/>
        </w:rPr>
        <w:t xml:space="preserve">     </w:t>
      </w:r>
      <w:r>
        <w:rPr>
          <w:rFonts w:asciiTheme="minorEastAsia" w:hAnsiTheme="minorEastAsia" w:eastAsiaTheme="minorEastAsia"/>
          <w:b/>
          <w:bCs/>
          <w:color w:val="auto"/>
          <w:sz w:val="32"/>
          <w:szCs w:val="32"/>
          <w:highlight w:val="none"/>
        </w:rPr>
        <w:t>日</w:t>
      </w:r>
      <w:bookmarkEnd w:id="1064"/>
      <w:bookmarkEnd w:id="1065"/>
      <w:bookmarkEnd w:id="1066"/>
      <w:r>
        <w:rPr>
          <w:rFonts w:asciiTheme="minorEastAsia" w:hAnsiTheme="minorEastAsia" w:eastAsiaTheme="minorEastAsia"/>
          <w:b/>
          <w:color w:val="auto"/>
          <w:kern w:val="0"/>
          <w:sz w:val="32"/>
          <w:szCs w:val="32"/>
          <w:highlight w:val="none"/>
        </w:rPr>
        <w:br w:type="page"/>
      </w:r>
    </w:p>
    <w:p w14:paraId="0B4FC303">
      <w:pPr>
        <w:spacing w:line="360" w:lineRule="auto"/>
        <w:jc w:val="center"/>
        <w:outlineLvl w:val="1"/>
        <w:rPr>
          <w:rFonts w:hint="eastAsia" w:asciiTheme="minorEastAsia" w:hAnsiTheme="minorEastAsia" w:eastAsiaTheme="minorEastAsia"/>
          <w:b/>
          <w:color w:val="auto"/>
          <w:sz w:val="30"/>
          <w:szCs w:val="30"/>
          <w:highlight w:val="none"/>
        </w:rPr>
      </w:pPr>
      <w:bookmarkStart w:id="1075" w:name="_Toc128658855"/>
      <w:bookmarkStart w:id="1076" w:name="_Toc158233417"/>
      <w:r>
        <w:rPr>
          <w:rFonts w:hint="eastAsia" w:asciiTheme="minorEastAsia" w:hAnsiTheme="minorEastAsia" w:eastAsiaTheme="minorEastAsia"/>
          <w:b/>
          <w:color w:val="auto"/>
          <w:sz w:val="30"/>
          <w:szCs w:val="30"/>
          <w:highlight w:val="none"/>
        </w:rPr>
        <w:t>一、资格文件</w:t>
      </w:r>
      <w:bookmarkEnd w:id="1075"/>
      <w:bookmarkEnd w:id="1076"/>
    </w:p>
    <w:p w14:paraId="0DF8F9D3">
      <w:pPr>
        <w:spacing w:line="360" w:lineRule="auto"/>
        <w:jc w:val="center"/>
        <w:outlineLvl w:val="2"/>
        <w:rPr>
          <w:rFonts w:hint="eastAsia" w:asciiTheme="minorEastAsia" w:hAnsiTheme="minorEastAsia" w:eastAsiaTheme="minorEastAsia"/>
          <w:b/>
          <w:color w:val="auto"/>
          <w:sz w:val="28"/>
          <w:szCs w:val="28"/>
          <w:highlight w:val="none"/>
        </w:rPr>
      </w:pPr>
      <w:bookmarkStart w:id="1077" w:name="_Toc110405198"/>
      <w:bookmarkStart w:id="1078" w:name="_Toc116584064"/>
      <w:bookmarkStart w:id="1079" w:name="_Toc81331001"/>
      <w:bookmarkStart w:id="1080" w:name="_Toc69678483"/>
      <w:bookmarkStart w:id="1081" w:name="_Toc109809379"/>
      <w:bookmarkStart w:id="1082" w:name="_Toc3350"/>
      <w:bookmarkStart w:id="1083" w:name="_Toc45976960"/>
      <w:bookmarkStart w:id="1084" w:name="_Toc98865068"/>
      <w:bookmarkStart w:id="1085" w:name="_Toc53412271"/>
      <w:bookmarkStart w:id="1086" w:name="_Toc42205046"/>
      <w:bookmarkStart w:id="1087" w:name="_Toc75783586"/>
      <w:bookmarkStart w:id="1088" w:name="_Toc265766862"/>
      <w:bookmarkStart w:id="1089" w:name="_Toc292983033"/>
      <w:r>
        <w:rPr>
          <w:rFonts w:hint="eastAsia" w:asciiTheme="minorEastAsia" w:hAnsiTheme="minorEastAsia" w:eastAsiaTheme="minorEastAsia"/>
          <w:b/>
          <w:color w:val="auto"/>
          <w:sz w:val="28"/>
          <w:szCs w:val="28"/>
          <w:highlight w:val="none"/>
        </w:rPr>
        <w:t>（一）</w:t>
      </w:r>
      <w:bookmarkEnd w:id="1077"/>
      <w:bookmarkEnd w:id="1078"/>
      <w:bookmarkEnd w:id="1079"/>
      <w:bookmarkEnd w:id="1080"/>
      <w:bookmarkEnd w:id="1081"/>
      <w:bookmarkEnd w:id="1082"/>
      <w:bookmarkEnd w:id="1083"/>
      <w:bookmarkEnd w:id="1084"/>
      <w:bookmarkEnd w:id="1085"/>
      <w:bookmarkEnd w:id="1086"/>
      <w:bookmarkEnd w:id="1087"/>
      <w:r>
        <w:rPr>
          <w:rFonts w:hint="eastAsia" w:asciiTheme="minorEastAsia" w:hAnsiTheme="minorEastAsia" w:eastAsiaTheme="minorEastAsia"/>
          <w:b/>
          <w:color w:val="auto"/>
          <w:sz w:val="28"/>
          <w:szCs w:val="28"/>
          <w:highlight w:val="none"/>
        </w:rPr>
        <w:t>具有独立承担民事责任的能力</w:t>
      </w:r>
    </w:p>
    <w:p w14:paraId="65B7D103">
      <w:pPr>
        <w:wordWrap w:val="0"/>
        <w:topLinePunct/>
        <w:spacing w:before="120" w:beforeLines="50" w:line="360" w:lineRule="auto"/>
        <w:ind w:firstLine="420"/>
        <w:jc w:val="left"/>
        <w:rPr>
          <w:rFonts w:hint="eastAsia" w:asciiTheme="minorEastAsia" w:hAnsiTheme="minorEastAsia" w:eastAsiaTheme="minorEastAsia"/>
          <w:color w:val="auto"/>
          <w:highlight w:val="none"/>
        </w:rPr>
        <w:sectPr>
          <w:headerReference r:id="rId7" w:type="first"/>
          <w:footerReference r:id="rId9" w:type="first"/>
          <w:footerReference r:id="rId8" w:type="default"/>
          <w:pgSz w:w="11906" w:h="16838"/>
          <w:pgMar w:top="1440" w:right="1474" w:bottom="1440" w:left="1474" w:header="851" w:footer="1247" w:gutter="0"/>
          <w:cols w:space="720" w:num="1"/>
          <w:docGrid w:linePitch="312" w:charSpace="0"/>
        </w:sectPr>
      </w:pPr>
      <w:r>
        <w:rPr>
          <w:rFonts w:hint="eastAsia" w:asciiTheme="minorEastAsia" w:hAnsiTheme="minorEastAsia" w:eastAsiaTheme="minorEastAsia"/>
          <w:color w:val="auto"/>
          <w:highlight w:val="none"/>
        </w:rPr>
        <w:t>注：提供有效的营业执照（副本）或事业单位法人证书（副本）或其他类似的法定证明文件的原件扫描件。</w:t>
      </w:r>
    </w:p>
    <w:bookmarkEnd w:id="1088"/>
    <w:bookmarkEnd w:id="1089"/>
    <w:p w14:paraId="1BF60231">
      <w:pPr>
        <w:spacing w:line="360" w:lineRule="auto"/>
        <w:jc w:val="center"/>
        <w:outlineLvl w:val="2"/>
        <w:rPr>
          <w:rFonts w:hint="eastAsia" w:asciiTheme="minorEastAsia" w:hAnsiTheme="minorEastAsia" w:eastAsiaTheme="minorEastAsia"/>
          <w:b/>
          <w:color w:val="auto"/>
          <w:sz w:val="28"/>
          <w:szCs w:val="28"/>
          <w:highlight w:val="none"/>
        </w:rPr>
      </w:pPr>
      <w:bookmarkStart w:id="1090" w:name="_Toc81331002"/>
      <w:bookmarkStart w:id="1091" w:name="_Toc45976961"/>
      <w:bookmarkStart w:id="1092" w:name="_Toc69678484"/>
      <w:bookmarkStart w:id="1093" w:name="_Toc53412272"/>
      <w:bookmarkStart w:id="1094" w:name="_Toc75783587"/>
      <w:bookmarkStart w:id="1095" w:name="_Toc109809380"/>
      <w:bookmarkStart w:id="1096" w:name="_Toc116584065"/>
      <w:bookmarkStart w:id="1097" w:name="_Toc11887"/>
      <w:bookmarkStart w:id="1098" w:name="_Toc110405199"/>
      <w:bookmarkStart w:id="1099" w:name="_Toc98865069"/>
      <w:bookmarkStart w:id="1100" w:name="_Toc42205047"/>
      <w:r>
        <w:rPr>
          <w:rFonts w:hint="eastAsia" w:asciiTheme="minorEastAsia" w:hAnsiTheme="minorEastAsia" w:eastAsiaTheme="minorEastAsia"/>
          <w:b/>
          <w:color w:val="auto"/>
          <w:sz w:val="28"/>
          <w:szCs w:val="28"/>
          <w:highlight w:val="none"/>
        </w:rPr>
        <w:t>（二）</w:t>
      </w:r>
      <w:bookmarkEnd w:id="1090"/>
      <w:bookmarkEnd w:id="1091"/>
      <w:bookmarkEnd w:id="1092"/>
      <w:bookmarkEnd w:id="1093"/>
      <w:bookmarkEnd w:id="1094"/>
      <w:bookmarkEnd w:id="1095"/>
      <w:bookmarkEnd w:id="1096"/>
      <w:bookmarkEnd w:id="1097"/>
      <w:bookmarkEnd w:id="1098"/>
      <w:bookmarkEnd w:id="1099"/>
      <w:bookmarkEnd w:id="1100"/>
      <w:r>
        <w:rPr>
          <w:rFonts w:hint="eastAsia" w:asciiTheme="minorEastAsia" w:hAnsiTheme="minorEastAsia" w:eastAsiaTheme="minorEastAsia"/>
          <w:b/>
          <w:color w:val="auto"/>
          <w:sz w:val="28"/>
          <w:szCs w:val="28"/>
          <w:highlight w:val="none"/>
        </w:rPr>
        <w:t>具有良好的商业信誉和健全的财务会计制度</w:t>
      </w:r>
    </w:p>
    <w:p w14:paraId="47BECD4B">
      <w:pPr>
        <w:spacing w:line="360" w:lineRule="auto"/>
        <w:ind w:firstLine="420"/>
        <w:jc w:val="left"/>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注：①供应商未被列入“信用中国”网站（www.creditchina.gov.cn）失信被执行人、重大税收违法失信主体及中国政府采购网（www.ccgp.gov.cn）“政府采购严重违法失信行为信息记录”。（评审前采购人或采购代理机构将通过相关网站查询，并留存网站查询结果截图或打印件，提供给磋商小组）；②需提供2023年度或2024年度的财务报表，其中：企业至少包括资产负债表、现金流量表、利润表（损益表）；非企业机构根据实际情况提供相关财务报表。若成立时间不足一年，可以提供其它能反映财务状况的会计报表资料或基本开户银行出具的资信证明。</w:t>
      </w:r>
    </w:p>
    <w:p w14:paraId="7DD698A0">
      <w:pPr>
        <w:widowControl/>
        <w:jc w:val="left"/>
        <w:rPr>
          <w:rFonts w:hint="eastAsia" w:asciiTheme="minorEastAsia" w:hAnsiTheme="minorEastAsia" w:eastAsiaTheme="minorEastAsia"/>
          <w:b/>
          <w:color w:val="auto"/>
          <w:sz w:val="28"/>
          <w:szCs w:val="28"/>
          <w:highlight w:val="none"/>
        </w:rPr>
      </w:pPr>
      <w:bookmarkStart w:id="1101" w:name="_Toc42205048"/>
      <w:bookmarkStart w:id="1102" w:name="_Toc110405200"/>
      <w:bookmarkStart w:id="1103" w:name="_Toc53412273"/>
      <w:bookmarkStart w:id="1104" w:name="_Toc98865070"/>
      <w:bookmarkStart w:id="1105" w:name="_Toc21738"/>
      <w:bookmarkStart w:id="1106" w:name="_Toc81331003"/>
      <w:bookmarkStart w:id="1107" w:name="_Toc522397136"/>
      <w:bookmarkStart w:id="1108" w:name="_Toc109809381"/>
      <w:bookmarkStart w:id="1109" w:name="_Toc116584066"/>
      <w:bookmarkStart w:id="1110" w:name="_Toc69678485"/>
      <w:bookmarkStart w:id="1111" w:name="_Toc45976962"/>
      <w:bookmarkStart w:id="1112" w:name="_Toc75783588"/>
      <w:bookmarkStart w:id="1113" w:name="_Toc494495988"/>
      <w:bookmarkStart w:id="1114" w:name="_Toc517710844"/>
      <w:bookmarkStart w:id="1115" w:name="_Toc518141928"/>
      <w:r>
        <w:rPr>
          <w:rFonts w:asciiTheme="minorEastAsia" w:hAnsiTheme="minorEastAsia" w:eastAsiaTheme="minorEastAsia"/>
          <w:b/>
          <w:color w:val="auto"/>
          <w:sz w:val="28"/>
          <w:szCs w:val="28"/>
          <w:highlight w:val="none"/>
        </w:rPr>
        <w:br w:type="page"/>
      </w:r>
    </w:p>
    <w:p w14:paraId="2CAA1EEC">
      <w:pPr>
        <w:spacing w:line="360" w:lineRule="auto"/>
        <w:jc w:val="center"/>
        <w:outlineLvl w:val="2"/>
        <w:rPr>
          <w:rFonts w:hint="eastAsia" w:asciiTheme="minorEastAsia" w:hAnsiTheme="minorEastAsia" w:eastAsiaTheme="minorEastAsia"/>
          <w:b/>
          <w:color w:val="auto"/>
          <w:sz w:val="28"/>
          <w:szCs w:val="28"/>
          <w:highlight w:val="none"/>
        </w:rPr>
      </w:pPr>
      <w:r>
        <w:rPr>
          <w:rFonts w:hint="eastAsia" w:asciiTheme="minorEastAsia" w:hAnsiTheme="minorEastAsia" w:eastAsiaTheme="minorEastAsia"/>
          <w:b/>
          <w:color w:val="auto"/>
          <w:sz w:val="28"/>
          <w:szCs w:val="28"/>
          <w:highlight w:val="none"/>
        </w:rPr>
        <w:t>（三）具有履行合同所必需的设备和专业技术能力</w:t>
      </w:r>
      <w:bookmarkEnd w:id="1101"/>
      <w:bookmarkEnd w:id="1102"/>
      <w:bookmarkEnd w:id="1103"/>
      <w:bookmarkEnd w:id="1104"/>
      <w:bookmarkEnd w:id="1105"/>
      <w:bookmarkEnd w:id="1106"/>
      <w:bookmarkEnd w:id="1107"/>
      <w:bookmarkEnd w:id="1108"/>
      <w:bookmarkEnd w:id="1109"/>
      <w:bookmarkEnd w:id="1110"/>
      <w:bookmarkEnd w:id="1111"/>
      <w:bookmarkEnd w:id="1112"/>
    </w:p>
    <w:p w14:paraId="157113B0">
      <w:pPr>
        <w:spacing w:line="360" w:lineRule="auto"/>
        <w:jc w:val="center"/>
        <w:rPr>
          <w:rFonts w:hint="eastAsia" w:asciiTheme="minorEastAsia" w:hAnsiTheme="minorEastAsia" w:eastAsiaTheme="minorEastAsia"/>
          <w:color w:val="auto"/>
          <w:highlight w:val="none"/>
        </w:rPr>
      </w:pPr>
      <w:bookmarkStart w:id="1116" w:name="_Hlk6220935"/>
      <w:r>
        <w:rPr>
          <w:rFonts w:hint="eastAsia" w:asciiTheme="minorEastAsia" w:hAnsiTheme="minorEastAsia" w:eastAsiaTheme="minorEastAsia"/>
          <w:color w:val="auto"/>
          <w:highlight w:val="none"/>
        </w:rPr>
        <w:t>注：提供书面承诺，格式自拟。</w:t>
      </w:r>
    </w:p>
    <w:bookmarkEnd w:id="1116"/>
    <w:p w14:paraId="2E0CF326">
      <w:pPr>
        <w:widowControl/>
        <w:jc w:val="left"/>
        <w:rPr>
          <w:rFonts w:hint="eastAsia" w:asciiTheme="minorEastAsia" w:hAnsiTheme="minorEastAsia" w:eastAsiaTheme="minorEastAsia"/>
          <w:b/>
          <w:color w:val="auto"/>
          <w:sz w:val="28"/>
          <w:szCs w:val="28"/>
          <w:highlight w:val="none"/>
        </w:rPr>
      </w:pPr>
      <w:bookmarkStart w:id="1117" w:name="_Toc69678486"/>
      <w:bookmarkStart w:id="1118" w:name="_Toc75783589"/>
      <w:bookmarkStart w:id="1119" w:name="_Toc522397137"/>
      <w:bookmarkStart w:id="1120" w:name="_Toc98865071"/>
      <w:bookmarkStart w:id="1121" w:name="_Toc110405201"/>
      <w:bookmarkStart w:id="1122" w:name="_Toc8980"/>
      <w:bookmarkStart w:id="1123" w:name="_Toc45976963"/>
      <w:bookmarkStart w:id="1124" w:name="_Toc42205049"/>
      <w:bookmarkStart w:id="1125" w:name="_Toc116584067"/>
      <w:bookmarkStart w:id="1126" w:name="_Toc53412274"/>
      <w:bookmarkStart w:id="1127" w:name="_Toc109809382"/>
      <w:bookmarkStart w:id="1128" w:name="_Toc81331004"/>
      <w:r>
        <w:rPr>
          <w:rFonts w:asciiTheme="minorEastAsia" w:hAnsiTheme="minorEastAsia" w:eastAsiaTheme="minorEastAsia"/>
          <w:b/>
          <w:color w:val="auto"/>
          <w:sz w:val="28"/>
          <w:szCs w:val="28"/>
          <w:highlight w:val="none"/>
        </w:rPr>
        <w:br w:type="page"/>
      </w:r>
    </w:p>
    <w:p w14:paraId="41D8B2B9">
      <w:pPr>
        <w:spacing w:line="360" w:lineRule="auto"/>
        <w:jc w:val="center"/>
        <w:outlineLvl w:val="2"/>
        <w:rPr>
          <w:rFonts w:hint="eastAsia" w:asciiTheme="minorEastAsia" w:hAnsiTheme="minorEastAsia" w:eastAsiaTheme="minorEastAsia"/>
          <w:b/>
          <w:color w:val="auto"/>
          <w:sz w:val="28"/>
          <w:szCs w:val="28"/>
          <w:highlight w:val="none"/>
        </w:rPr>
      </w:pPr>
      <w:r>
        <w:rPr>
          <w:rFonts w:hint="eastAsia" w:asciiTheme="minorEastAsia" w:hAnsiTheme="minorEastAsia" w:eastAsiaTheme="minorEastAsia"/>
          <w:b/>
          <w:color w:val="auto"/>
          <w:sz w:val="28"/>
          <w:szCs w:val="28"/>
          <w:highlight w:val="none"/>
        </w:rPr>
        <w:t>（四）有依法缴纳税收和社会保障资金的良好记录</w:t>
      </w:r>
      <w:bookmarkEnd w:id="1117"/>
      <w:bookmarkEnd w:id="1118"/>
      <w:bookmarkEnd w:id="1119"/>
      <w:bookmarkEnd w:id="1120"/>
      <w:bookmarkEnd w:id="1121"/>
      <w:bookmarkEnd w:id="1122"/>
      <w:bookmarkEnd w:id="1123"/>
      <w:bookmarkEnd w:id="1124"/>
      <w:bookmarkEnd w:id="1125"/>
      <w:bookmarkEnd w:id="1126"/>
      <w:bookmarkEnd w:id="1127"/>
      <w:bookmarkEnd w:id="1128"/>
    </w:p>
    <w:p w14:paraId="314D4CB5">
      <w:pPr>
        <w:tabs>
          <w:tab w:val="left" w:pos="851"/>
        </w:tabs>
        <w:spacing w:line="360" w:lineRule="auto"/>
        <w:ind w:firstLine="420" w:firstLineChars="200"/>
        <w:jc w:val="left"/>
        <w:rPr>
          <w:rFonts w:hint="eastAsia" w:asciiTheme="minorEastAsia" w:hAnsiTheme="minorEastAsia" w:eastAsiaTheme="minorEastAsia"/>
          <w:color w:val="auto"/>
          <w:szCs w:val="21"/>
          <w:highlight w:val="none"/>
        </w:rPr>
      </w:pPr>
      <w:bookmarkStart w:id="1129" w:name="_Toc75783590"/>
      <w:bookmarkStart w:id="1130" w:name="_Toc69678487"/>
      <w:bookmarkStart w:id="1131" w:name="_Toc42205050"/>
      <w:bookmarkStart w:id="1132" w:name="_Toc522397138"/>
      <w:bookmarkStart w:id="1133" w:name="_Toc81331005"/>
      <w:bookmarkStart w:id="1134" w:name="_Toc45976964"/>
      <w:bookmarkStart w:id="1135" w:name="_Toc53412275"/>
      <w:r>
        <w:rPr>
          <w:rFonts w:hint="eastAsia" w:asciiTheme="minorEastAsia" w:hAnsiTheme="minorEastAsia" w:eastAsiaTheme="minorEastAsia"/>
          <w:color w:val="auto"/>
          <w:highlight w:val="none"/>
        </w:rPr>
        <w:t>注：</w:t>
      </w:r>
      <w:r>
        <w:rPr>
          <w:rFonts w:hint="eastAsia" w:asciiTheme="minorEastAsia" w:hAnsiTheme="minorEastAsia" w:eastAsiaTheme="minorEastAsia"/>
          <w:color w:val="auto"/>
          <w:szCs w:val="21"/>
          <w:highlight w:val="none"/>
        </w:rPr>
        <w:t>（1）提供</w:t>
      </w:r>
      <w:r>
        <w:rPr>
          <w:rFonts w:hint="eastAsia" w:ascii="宋体" w:hAnsi="宋体" w:eastAsiaTheme="minorEastAsia"/>
          <w:color w:val="auto"/>
          <w:szCs w:val="21"/>
          <w:highlight w:val="none"/>
        </w:rPr>
        <w:t>2024年7月</w:t>
      </w:r>
      <w:r>
        <w:rPr>
          <w:rFonts w:hint="eastAsia" w:ascii="宋体" w:hAnsi="宋体"/>
          <w:color w:val="auto"/>
          <w:szCs w:val="21"/>
          <w:highlight w:val="none"/>
        </w:rPr>
        <w:t>至提交响应文件截止之日任意3个月</w:t>
      </w:r>
      <w:r>
        <w:rPr>
          <w:rFonts w:hint="eastAsia" w:asciiTheme="minorEastAsia" w:hAnsiTheme="minorEastAsia" w:eastAsiaTheme="minorEastAsia"/>
          <w:color w:val="auto"/>
          <w:szCs w:val="21"/>
          <w:highlight w:val="none"/>
        </w:rPr>
        <w:t>的税务局税收通用缴款书或银行电子缴税（费）凭证或税务局出具纳税情况的相关证明</w:t>
      </w:r>
      <w:r>
        <w:rPr>
          <w:rFonts w:hint="eastAsia" w:asciiTheme="minorEastAsia" w:hAnsiTheme="minorEastAsia" w:eastAsiaTheme="minorEastAsia"/>
          <w:color w:val="auto"/>
          <w:highlight w:val="none"/>
        </w:rPr>
        <w:t>的原件扫描件</w:t>
      </w:r>
      <w:r>
        <w:rPr>
          <w:rFonts w:hint="eastAsia" w:asciiTheme="minorEastAsia" w:hAnsiTheme="minorEastAsia" w:eastAsiaTheme="minorEastAsia"/>
          <w:color w:val="auto"/>
          <w:szCs w:val="21"/>
          <w:highlight w:val="none"/>
        </w:rPr>
        <w:t>；依法免税的，提供依法免税的相关证明文件</w:t>
      </w:r>
      <w:r>
        <w:rPr>
          <w:rFonts w:hint="eastAsia" w:asciiTheme="minorEastAsia" w:hAnsiTheme="minorEastAsia" w:eastAsiaTheme="minorEastAsia"/>
          <w:color w:val="auto"/>
          <w:highlight w:val="none"/>
        </w:rPr>
        <w:t>的原件扫描件</w:t>
      </w:r>
      <w:r>
        <w:rPr>
          <w:rFonts w:hint="eastAsia" w:asciiTheme="minorEastAsia" w:hAnsiTheme="minorEastAsia" w:eastAsiaTheme="minorEastAsia"/>
          <w:color w:val="auto"/>
          <w:szCs w:val="21"/>
          <w:highlight w:val="none"/>
        </w:rPr>
        <w:t>；</w:t>
      </w:r>
      <w:r>
        <w:rPr>
          <w:color w:val="auto"/>
          <w:highlight w:val="none"/>
        </w:rPr>
        <w:t>若为新成立的公司，无法按上述要求提供依法缴纳税收证明材料的，按实际缴纳月份提供或出具书面说明</w:t>
      </w:r>
      <w:r>
        <w:rPr>
          <w:rFonts w:hint="eastAsia" w:asciiTheme="minorEastAsia" w:hAnsiTheme="minorEastAsia" w:eastAsiaTheme="minorEastAsia"/>
          <w:color w:val="auto"/>
          <w:highlight w:val="none"/>
        </w:rPr>
        <w:t>的原件扫描件</w:t>
      </w:r>
      <w:r>
        <w:rPr>
          <w:rFonts w:hint="eastAsia" w:asciiTheme="minorEastAsia" w:hAnsiTheme="minorEastAsia" w:eastAsiaTheme="minorEastAsia"/>
          <w:color w:val="auto"/>
          <w:szCs w:val="21"/>
          <w:highlight w:val="none"/>
        </w:rPr>
        <w:t>。</w:t>
      </w:r>
    </w:p>
    <w:p w14:paraId="7D848C00">
      <w:pPr>
        <w:tabs>
          <w:tab w:val="left" w:pos="851"/>
        </w:tabs>
        <w:spacing w:line="360" w:lineRule="auto"/>
        <w:ind w:firstLine="840" w:firstLineChars="400"/>
        <w:jc w:val="lef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（2）提供</w:t>
      </w:r>
      <w:r>
        <w:rPr>
          <w:rFonts w:hint="eastAsia" w:ascii="宋体" w:hAnsi="宋体" w:eastAsiaTheme="minorEastAsia"/>
          <w:color w:val="auto"/>
          <w:szCs w:val="21"/>
          <w:highlight w:val="none"/>
        </w:rPr>
        <w:t>2024年7月</w:t>
      </w:r>
      <w:r>
        <w:rPr>
          <w:rFonts w:hint="eastAsia" w:ascii="宋体" w:hAnsi="宋体"/>
          <w:color w:val="auto"/>
          <w:szCs w:val="21"/>
          <w:highlight w:val="none"/>
        </w:rPr>
        <w:t>至提交响应文件截止之日任意3个月</w:t>
      </w:r>
      <w:r>
        <w:rPr>
          <w:rFonts w:hint="eastAsia" w:asciiTheme="minorEastAsia" w:hAnsiTheme="minorEastAsia" w:eastAsiaTheme="minorEastAsia"/>
          <w:color w:val="auto"/>
          <w:szCs w:val="21"/>
          <w:highlight w:val="none"/>
        </w:rPr>
        <w:t>的社会保险费缴款书或银行电子缴费凭证或社保管理部门出具的有效的缴款证明</w:t>
      </w:r>
      <w:r>
        <w:rPr>
          <w:rFonts w:hint="eastAsia" w:asciiTheme="minorEastAsia" w:hAnsiTheme="minorEastAsia" w:eastAsiaTheme="minorEastAsia"/>
          <w:color w:val="auto"/>
          <w:highlight w:val="none"/>
        </w:rPr>
        <w:t>的原件扫描件</w:t>
      </w:r>
      <w:r>
        <w:rPr>
          <w:rFonts w:hint="eastAsia" w:asciiTheme="minorEastAsia" w:hAnsiTheme="minorEastAsia" w:eastAsiaTheme="minorEastAsia"/>
          <w:color w:val="auto"/>
          <w:szCs w:val="21"/>
          <w:highlight w:val="none"/>
        </w:rPr>
        <w:t>；依法免缴的，提供依法免缴的相关证明文件</w:t>
      </w:r>
      <w:r>
        <w:rPr>
          <w:rFonts w:hint="eastAsia" w:asciiTheme="minorEastAsia" w:hAnsiTheme="minorEastAsia" w:eastAsiaTheme="minorEastAsia"/>
          <w:color w:val="auto"/>
          <w:highlight w:val="none"/>
        </w:rPr>
        <w:t>的原件扫描件</w:t>
      </w:r>
      <w:r>
        <w:rPr>
          <w:rFonts w:hint="eastAsia" w:asciiTheme="minorEastAsia" w:hAnsiTheme="minorEastAsia" w:eastAsiaTheme="minorEastAsia"/>
          <w:color w:val="auto"/>
          <w:szCs w:val="21"/>
          <w:highlight w:val="none"/>
        </w:rPr>
        <w:t>；</w:t>
      </w:r>
      <w:r>
        <w:rPr>
          <w:rFonts w:hint="eastAsia" w:asciiTheme="minorEastAsia" w:hAnsiTheme="minorEastAsia" w:eastAsiaTheme="minorEastAsia"/>
          <w:color w:val="auto"/>
          <w:highlight w:val="none"/>
        </w:rPr>
        <w:t>若为新成立的公司，提供成立至今的社会保险费缴款书或银行电子缴费凭证或社保管理部门出具的有效的缴款证明的原件扫描件，成立时间不足</w:t>
      </w:r>
      <w:r>
        <w:rPr>
          <w:rFonts w:asciiTheme="minorEastAsia" w:hAnsiTheme="minorEastAsia" w:eastAsiaTheme="minorEastAsia"/>
          <w:color w:val="auto"/>
          <w:highlight w:val="none"/>
        </w:rPr>
        <w:t>3</w:t>
      </w:r>
      <w:r>
        <w:rPr>
          <w:rFonts w:hint="eastAsia" w:asciiTheme="minorEastAsia" w:hAnsiTheme="minorEastAsia" w:eastAsiaTheme="minorEastAsia"/>
          <w:color w:val="auto"/>
          <w:highlight w:val="none"/>
        </w:rPr>
        <w:t>个月的，按实际缴纳月份提供或出具书面说明的原件扫描件。</w:t>
      </w:r>
    </w:p>
    <w:p w14:paraId="60FBCA71">
      <w:pPr>
        <w:tabs>
          <w:tab w:val="left" w:pos="709"/>
        </w:tabs>
        <w:spacing w:line="360" w:lineRule="auto"/>
        <w:ind w:firstLine="840" w:firstLineChars="400"/>
        <w:jc w:val="lef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（3）若为自然人参与磋商，则提供</w:t>
      </w:r>
      <w:r>
        <w:rPr>
          <w:rFonts w:hint="eastAsia" w:ascii="宋体" w:hAnsi="宋体" w:eastAsiaTheme="minorEastAsia"/>
          <w:color w:val="auto"/>
          <w:szCs w:val="21"/>
          <w:highlight w:val="none"/>
        </w:rPr>
        <w:t>2024年7月</w:t>
      </w:r>
      <w:r>
        <w:rPr>
          <w:rFonts w:hint="eastAsia" w:ascii="宋体" w:hAnsi="宋体"/>
          <w:color w:val="auto"/>
          <w:szCs w:val="21"/>
          <w:highlight w:val="none"/>
        </w:rPr>
        <w:t>至提交响应文件截止之日任意3个月</w:t>
      </w:r>
      <w:r>
        <w:rPr>
          <w:rFonts w:hint="eastAsia" w:asciiTheme="minorEastAsia" w:hAnsiTheme="minorEastAsia" w:eastAsiaTheme="minorEastAsia"/>
          <w:color w:val="auto"/>
          <w:szCs w:val="21"/>
          <w:highlight w:val="none"/>
        </w:rPr>
        <w:t>的个人所得税完税证明和社会保险参保证明</w:t>
      </w:r>
      <w:r>
        <w:rPr>
          <w:rFonts w:hint="eastAsia" w:asciiTheme="minorEastAsia" w:hAnsiTheme="minorEastAsia" w:eastAsiaTheme="minorEastAsia"/>
          <w:color w:val="auto"/>
          <w:highlight w:val="none"/>
        </w:rPr>
        <w:t>的原件扫描件</w:t>
      </w:r>
      <w:r>
        <w:rPr>
          <w:rFonts w:hint="eastAsia" w:asciiTheme="minorEastAsia" w:hAnsiTheme="minorEastAsia" w:eastAsiaTheme="minorEastAsia"/>
          <w:color w:val="auto"/>
          <w:szCs w:val="21"/>
          <w:highlight w:val="none"/>
        </w:rPr>
        <w:t>；未缴纳税收或社保的，提供书面说明</w:t>
      </w:r>
      <w:r>
        <w:rPr>
          <w:rFonts w:hint="eastAsia" w:asciiTheme="minorEastAsia" w:hAnsiTheme="minorEastAsia" w:eastAsiaTheme="minorEastAsia"/>
          <w:color w:val="auto"/>
          <w:highlight w:val="none"/>
        </w:rPr>
        <w:t>的原件扫描件</w:t>
      </w:r>
      <w:r>
        <w:rPr>
          <w:rFonts w:hint="eastAsia" w:asciiTheme="minorEastAsia" w:hAnsiTheme="minorEastAsia" w:eastAsiaTheme="minorEastAsia"/>
          <w:color w:val="auto"/>
          <w:szCs w:val="21"/>
          <w:highlight w:val="none"/>
        </w:rPr>
        <w:t>。</w:t>
      </w:r>
    </w:p>
    <w:p w14:paraId="3692475D">
      <w:pPr>
        <w:tabs>
          <w:tab w:val="left" w:pos="709"/>
        </w:tabs>
        <w:spacing w:line="360" w:lineRule="auto"/>
        <w:ind w:firstLine="1124" w:firstLineChars="400"/>
        <w:jc w:val="left"/>
        <w:rPr>
          <w:rFonts w:hint="eastAsia" w:asciiTheme="minorEastAsia" w:hAnsiTheme="minorEastAsia" w:eastAsiaTheme="minorEastAsia"/>
          <w:b/>
          <w:color w:val="auto"/>
          <w:sz w:val="28"/>
          <w:szCs w:val="28"/>
          <w:highlight w:val="none"/>
        </w:rPr>
      </w:pPr>
      <w:r>
        <w:rPr>
          <w:rFonts w:asciiTheme="minorEastAsia" w:hAnsiTheme="minorEastAsia" w:eastAsiaTheme="minorEastAsia"/>
          <w:b/>
          <w:color w:val="auto"/>
          <w:sz w:val="28"/>
          <w:szCs w:val="28"/>
          <w:highlight w:val="none"/>
        </w:rPr>
        <w:br w:type="page"/>
      </w:r>
    </w:p>
    <w:p w14:paraId="24C88D5C">
      <w:pPr>
        <w:spacing w:line="360" w:lineRule="auto"/>
        <w:jc w:val="center"/>
        <w:outlineLvl w:val="2"/>
        <w:rPr>
          <w:rFonts w:hint="eastAsia" w:asciiTheme="minorEastAsia" w:hAnsiTheme="minorEastAsia" w:eastAsiaTheme="minorEastAsia"/>
          <w:b/>
          <w:color w:val="auto"/>
          <w:sz w:val="28"/>
          <w:szCs w:val="28"/>
          <w:highlight w:val="none"/>
        </w:rPr>
      </w:pPr>
      <w:bookmarkStart w:id="1136" w:name="_Toc109809383"/>
      <w:bookmarkStart w:id="1137" w:name="_Toc98865072"/>
      <w:bookmarkStart w:id="1138" w:name="_Toc116584068"/>
      <w:bookmarkStart w:id="1139" w:name="_Toc4146"/>
      <w:bookmarkStart w:id="1140" w:name="_Toc110405202"/>
      <w:r>
        <w:rPr>
          <w:rFonts w:hint="eastAsia" w:asciiTheme="minorEastAsia" w:hAnsiTheme="minorEastAsia" w:eastAsiaTheme="minorEastAsia"/>
          <w:b/>
          <w:color w:val="auto"/>
          <w:sz w:val="28"/>
          <w:szCs w:val="28"/>
          <w:highlight w:val="none"/>
        </w:rPr>
        <w:t>（五）参加政府采购活动前三年内，在经营活动中没有重大违法记录</w:t>
      </w:r>
    </w:p>
    <w:p w14:paraId="3CE3BC58">
      <w:pPr>
        <w:spacing w:line="360" w:lineRule="auto"/>
        <w:jc w:val="center"/>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注：提供书面声明，格式自拟。</w:t>
      </w:r>
    </w:p>
    <w:p w14:paraId="46C3B15D">
      <w:pPr>
        <w:widowControl/>
        <w:jc w:val="left"/>
        <w:rPr>
          <w:rFonts w:hint="eastAsia" w:asciiTheme="minorEastAsia" w:hAnsiTheme="minorEastAsia" w:eastAsiaTheme="minorEastAsia"/>
          <w:color w:val="auto"/>
          <w:highlight w:val="none"/>
        </w:rPr>
      </w:pPr>
      <w:r>
        <w:rPr>
          <w:rFonts w:asciiTheme="minorEastAsia" w:hAnsiTheme="minorEastAsia" w:eastAsiaTheme="minorEastAsia"/>
          <w:b/>
          <w:color w:val="auto"/>
          <w:sz w:val="28"/>
          <w:szCs w:val="28"/>
          <w:highlight w:val="none"/>
        </w:rPr>
        <w:br w:type="page"/>
      </w:r>
    </w:p>
    <w:bookmarkEnd w:id="1113"/>
    <w:bookmarkEnd w:id="1114"/>
    <w:bookmarkEnd w:id="1115"/>
    <w:bookmarkEnd w:id="1129"/>
    <w:bookmarkEnd w:id="1130"/>
    <w:bookmarkEnd w:id="1131"/>
    <w:bookmarkEnd w:id="1132"/>
    <w:bookmarkEnd w:id="1133"/>
    <w:bookmarkEnd w:id="1134"/>
    <w:bookmarkEnd w:id="1135"/>
    <w:bookmarkEnd w:id="1136"/>
    <w:bookmarkEnd w:id="1137"/>
    <w:bookmarkEnd w:id="1138"/>
    <w:bookmarkEnd w:id="1139"/>
    <w:bookmarkEnd w:id="1140"/>
    <w:p w14:paraId="14FE9559">
      <w:pPr>
        <w:spacing w:line="360" w:lineRule="auto"/>
        <w:jc w:val="center"/>
        <w:outlineLvl w:val="2"/>
        <w:rPr>
          <w:rFonts w:hint="eastAsia" w:asciiTheme="minorEastAsia" w:hAnsiTheme="minorEastAsia" w:eastAsiaTheme="minorEastAsia"/>
          <w:b/>
          <w:color w:val="auto"/>
          <w:sz w:val="28"/>
          <w:szCs w:val="28"/>
          <w:highlight w:val="none"/>
        </w:rPr>
      </w:pPr>
      <w:bookmarkStart w:id="1141" w:name="_Toc128658856"/>
      <w:bookmarkStart w:id="1142" w:name="_Toc158233418"/>
      <w:bookmarkStart w:id="1143" w:name="_Toc103586124"/>
      <w:bookmarkStart w:id="1144" w:name="_Toc21376"/>
      <w:bookmarkStart w:id="1145" w:name="_Toc42205066"/>
      <w:bookmarkStart w:id="1146" w:name="_Toc37603119"/>
      <w:r>
        <w:rPr>
          <w:rFonts w:hint="eastAsia" w:asciiTheme="minorEastAsia" w:hAnsiTheme="minorEastAsia" w:eastAsiaTheme="minorEastAsia"/>
          <w:b/>
          <w:color w:val="auto"/>
          <w:sz w:val="28"/>
          <w:szCs w:val="28"/>
          <w:highlight w:val="none"/>
          <w:lang w:eastAsia="zh-CN"/>
        </w:rPr>
        <w:t>（</w:t>
      </w:r>
      <w:r>
        <w:rPr>
          <w:rFonts w:hint="eastAsia" w:asciiTheme="minorEastAsia" w:hAnsiTheme="minorEastAsia" w:eastAsiaTheme="minorEastAsia"/>
          <w:b/>
          <w:color w:val="auto"/>
          <w:sz w:val="28"/>
          <w:szCs w:val="28"/>
          <w:highlight w:val="none"/>
          <w:lang w:val="en-US" w:eastAsia="zh-CN"/>
        </w:rPr>
        <w:t>六</w:t>
      </w:r>
      <w:r>
        <w:rPr>
          <w:rFonts w:hint="eastAsia" w:asciiTheme="minorEastAsia" w:hAnsiTheme="minorEastAsia" w:eastAsiaTheme="minorEastAsia"/>
          <w:b/>
          <w:color w:val="auto"/>
          <w:sz w:val="28"/>
          <w:szCs w:val="28"/>
          <w:highlight w:val="none"/>
          <w:lang w:eastAsia="zh-CN"/>
        </w:rPr>
        <w:t>）</w:t>
      </w:r>
      <w:r>
        <w:rPr>
          <w:rFonts w:hint="eastAsia" w:asciiTheme="minorEastAsia" w:hAnsiTheme="minorEastAsia" w:eastAsiaTheme="minorEastAsia"/>
          <w:b/>
          <w:color w:val="auto"/>
          <w:sz w:val="28"/>
          <w:szCs w:val="28"/>
          <w:highlight w:val="none"/>
        </w:rPr>
        <w:t>法律、行政法规规定的其他条件。</w:t>
      </w:r>
    </w:p>
    <w:p w14:paraId="6020BBBD">
      <w:pPr>
        <w:widowControl/>
        <w:jc w:val="left"/>
        <w:rPr>
          <w:rFonts w:hint="eastAsia" w:asciiTheme="minorEastAsia" w:hAnsiTheme="minorEastAsia" w:eastAsiaTheme="minorEastAsia"/>
          <w:b w:val="0"/>
          <w:bCs w:val="0"/>
          <w:color w:val="auto"/>
          <w:szCs w:val="21"/>
          <w:highlight w:val="none"/>
          <w:lang w:val="en-US" w:eastAsia="zh-CN"/>
        </w:rPr>
      </w:pPr>
      <w:r>
        <w:rPr>
          <w:rFonts w:hint="eastAsia" w:asciiTheme="minorEastAsia" w:hAnsiTheme="minorEastAsia" w:eastAsiaTheme="minorEastAsia"/>
          <w:b w:val="0"/>
          <w:bCs w:val="0"/>
          <w:color w:val="auto"/>
          <w:szCs w:val="21"/>
          <w:highlight w:val="none"/>
          <w:lang w:val="en-US" w:eastAsia="zh-CN"/>
        </w:rPr>
        <w:t>①单位负责人为同一人或者存在直接控股、管理关系的不同投标人，不得参加同一合同项下的政府采购活动，提供书面承诺；②为采购项目提供整体设计、规范编制或者项目管理、监理、检测等服务的供应商，不得再参加该采购项目的其他采购活动，提供书面承诺；</w:t>
      </w:r>
    </w:p>
    <w:p w14:paraId="09D62FAE">
      <w:pPr>
        <w:widowControl/>
        <w:jc w:val="center"/>
        <w:rPr>
          <w:rFonts w:hint="eastAsia" w:asciiTheme="minorEastAsia" w:hAnsiTheme="minorEastAsia" w:eastAsiaTheme="minorEastAsia"/>
          <w:color w:val="auto"/>
          <w:highlight w:val="none"/>
        </w:rPr>
      </w:pPr>
    </w:p>
    <w:p w14:paraId="6D681F7C">
      <w:pPr>
        <w:widowControl/>
        <w:jc w:val="center"/>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注：提供书面</w:t>
      </w:r>
      <w:r>
        <w:rPr>
          <w:rFonts w:hint="eastAsia" w:asciiTheme="minorEastAsia" w:hAnsiTheme="minorEastAsia" w:eastAsiaTheme="minorEastAsia"/>
          <w:color w:val="auto"/>
          <w:highlight w:val="none"/>
          <w:lang w:val="en-US" w:eastAsia="zh-CN"/>
        </w:rPr>
        <w:t>承诺</w:t>
      </w:r>
      <w:r>
        <w:rPr>
          <w:rFonts w:hint="eastAsia" w:asciiTheme="minorEastAsia" w:hAnsiTheme="minorEastAsia" w:eastAsiaTheme="minorEastAsia"/>
          <w:color w:val="auto"/>
          <w:highlight w:val="none"/>
        </w:rPr>
        <w:t>，格式自拟。</w:t>
      </w:r>
    </w:p>
    <w:p w14:paraId="1DA17859">
      <w:pPr>
        <w:rPr>
          <w:rFonts w:hint="eastAsia" w:asciiTheme="minorEastAsia" w:hAnsiTheme="minorEastAsia" w:eastAsiaTheme="minorEastAsia"/>
          <w:b/>
          <w:color w:val="auto"/>
          <w:sz w:val="30"/>
          <w:szCs w:val="30"/>
          <w:highlight w:val="none"/>
        </w:rPr>
      </w:pPr>
      <w:r>
        <w:rPr>
          <w:rFonts w:hint="eastAsia" w:asciiTheme="minorEastAsia" w:hAnsiTheme="minorEastAsia" w:eastAsiaTheme="minorEastAsia"/>
          <w:b/>
          <w:color w:val="auto"/>
          <w:sz w:val="30"/>
          <w:szCs w:val="30"/>
          <w:highlight w:val="none"/>
        </w:rPr>
        <w:br w:type="page"/>
      </w:r>
    </w:p>
    <w:p w14:paraId="36229739">
      <w:pPr>
        <w:spacing w:line="360" w:lineRule="auto"/>
        <w:jc w:val="center"/>
        <w:outlineLvl w:val="1"/>
        <w:rPr>
          <w:rFonts w:hint="eastAsia" w:asciiTheme="minorEastAsia" w:hAnsiTheme="minorEastAsia" w:eastAsiaTheme="minorEastAsia"/>
          <w:b/>
          <w:color w:val="auto"/>
          <w:sz w:val="30"/>
          <w:szCs w:val="30"/>
          <w:highlight w:val="none"/>
        </w:rPr>
      </w:pPr>
      <w:r>
        <w:rPr>
          <w:rFonts w:hint="eastAsia" w:asciiTheme="minorEastAsia" w:hAnsiTheme="minorEastAsia" w:eastAsiaTheme="minorEastAsia"/>
          <w:b/>
          <w:color w:val="auto"/>
          <w:sz w:val="30"/>
          <w:szCs w:val="30"/>
          <w:highlight w:val="none"/>
        </w:rPr>
        <w:t>二、商务报价文件</w:t>
      </w:r>
      <w:bookmarkEnd w:id="1141"/>
      <w:bookmarkEnd w:id="1142"/>
    </w:p>
    <w:p w14:paraId="68102ED6">
      <w:pPr>
        <w:spacing w:line="360" w:lineRule="auto"/>
        <w:jc w:val="center"/>
        <w:outlineLvl w:val="2"/>
        <w:rPr>
          <w:rFonts w:hint="eastAsia" w:asciiTheme="minorEastAsia" w:hAnsiTheme="minorEastAsia" w:eastAsiaTheme="minorEastAsia"/>
          <w:b/>
          <w:color w:val="auto"/>
          <w:sz w:val="28"/>
          <w:szCs w:val="28"/>
          <w:highlight w:val="none"/>
        </w:rPr>
      </w:pPr>
      <w:bookmarkStart w:id="1147" w:name="_Toc116584073"/>
      <w:r>
        <w:rPr>
          <w:rFonts w:hint="eastAsia" w:asciiTheme="minorEastAsia" w:hAnsiTheme="minorEastAsia" w:eastAsiaTheme="minorEastAsia"/>
          <w:b/>
          <w:color w:val="auto"/>
          <w:sz w:val="28"/>
          <w:szCs w:val="28"/>
          <w:highlight w:val="none"/>
        </w:rPr>
        <w:t>（一）磋商</w:t>
      </w:r>
      <w:r>
        <w:rPr>
          <w:rFonts w:asciiTheme="minorEastAsia" w:hAnsiTheme="minorEastAsia" w:eastAsiaTheme="minorEastAsia"/>
          <w:b/>
          <w:color w:val="auto"/>
          <w:sz w:val="28"/>
          <w:szCs w:val="28"/>
          <w:highlight w:val="none"/>
        </w:rPr>
        <w:t>函</w:t>
      </w:r>
      <w:bookmarkEnd w:id="1147"/>
    </w:p>
    <w:p w14:paraId="4FE1AC5F">
      <w:pP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致：</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u w:val="single"/>
        </w:rPr>
        <w:t>（采购人名称）</w:t>
      </w:r>
    </w:p>
    <w:p w14:paraId="1F9E902E">
      <w:pPr>
        <w:wordWrap w:val="0"/>
        <w:spacing w:line="360" w:lineRule="auto"/>
        <w:ind w:firstLine="420" w:firstLineChars="200"/>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1</w:t>
      </w:r>
      <w:r>
        <w:rPr>
          <w:rFonts w:hint="eastAsia" w:asciiTheme="minorEastAsia" w:hAnsiTheme="minorEastAsia" w:eastAsiaTheme="minorEastAsia"/>
          <w:color w:val="auto"/>
          <w:szCs w:val="21"/>
          <w:highlight w:val="none"/>
        </w:rPr>
        <w:t>.根据你方采购项目编号为</w:t>
      </w:r>
      <w:r>
        <w:rPr>
          <w:rFonts w:hint="eastAsia" w:asciiTheme="minorEastAsia" w:hAnsiTheme="minorEastAsia" w:eastAsiaTheme="minorEastAsia"/>
          <w:color w:val="auto"/>
          <w:szCs w:val="21"/>
          <w:highlight w:val="none"/>
          <w:u w:val="single"/>
        </w:rPr>
        <w:t xml:space="preserve">  （项目编号）  </w:t>
      </w:r>
      <w:r>
        <w:rPr>
          <w:rFonts w:hint="eastAsia" w:asciiTheme="minorEastAsia" w:hAnsiTheme="minorEastAsia" w:eastAsiaTheme="minorEastAsia"/>
          <w:color w:val="auto"/>
          <w:szCs w:val="21"/>
          <w:highlight w:val="none"/>
        </w:rPr>
        <w:t>的</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u w:val="single"/>
        </w:rPr>
        <w:t xml:space="preserve"> （项目名称） </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采购文件，遵照《中华人民共和国政府采购法》、《中华人民共和国政府采购法实施条例》等相关法律法规的规定，经研究上述采购文件的供应商须知及采购需求后，</w:t>
      </w:r>
      <w:r>
        <w:rPr>
          <w:rFonts w:hint="eastAsia" w:asciiTheme="minorEastAsia" w:hAnsiTheme="minorEastAsia" w:eastAsiaTheme="minorEastAsia"/>
          <w:snapToGrid w:val="0"/>
          <w:color w:val="auto"/>
          <w:kern w:val="0"/>
          <w:szCs w:val="21"/>
          <w:highlight w:val="none"/>
        </w:rPr>
        <w:t>我方愿意按照“报价一览表”中的报价</w:t>
      </w:r>
      <w:r>
        <w:rPr>
          <w:rFonts w:hint="eastAsia" w:asciiTheme="minorEastAsia" w:hAnsiTheme="minorEastAsia" w:eastAsiaTheme="minorEastAsia"/>
          <w:color w:val="auto"/>
          <w:highlight w:val="none"/>
        </w:rPr>
        <w:t>参与本项目的竞争性磋商活动。</w:t>
      </w:r>
    </w:p>
    <w:p w14:paraId="210DFC1F">
      <w:pPr>
        <w:wordWrap w:val="0"/>
        <w:spacing w:line="360" w:lineRule="auto"/>
        <w:ind w:firstLine="420" w:firstLineChars="200"/>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2</w:t>
      </w:r>
      <w:r>
        <w:rPr>
          <w:rFonts w:hint="eastAsia" w:asciiTheme="minorEastAsia" w:hAnsiTheme="minorEastAsia" w:eastAsiaTheme="minorEastAsia"/>
          <w:color w:val="auto"/>
          <w:szCs w:val="21"/>
          <w:highlight w:val="none"/>
        </w:rPr>
        <w:t>.我方承诺我方所提交的响应文件在采购文件第二章“供应商须知”前附表第3</w:t>
      </w:r>
      <w:r>
        <w:rPr>
          <w:rFonts w:asciiTheme="minorEastAsia" w:hAnsiTheme="minorEastAsia" w:eastAsiaTheme="minorEastAsia"/>
          <w:color w:val="auto"/>
          <w:szCs w:val="21"/>
          <w:highlight w:val="none"/>
        </w:rPr>
        <w:t>.3.1</w:t>
      </w:r>
      <w:r>
        <w:rPr>
          <w:rFonts w:hint="eastAsia" w:asciiTheme="minorEastAsia" w:hAnsiTheme="minorEastAsia" w:eastAsiaTheme="minorEastAsia"/>
          <w:color w:val="auto"/>
          <w:szCs w:val="21"/>
          <w:highlight w:val="none"/>
        </w:rPr>
        <w:t>项规定的磋商有效期内有效。</w:t>
      </w:r>
    </w:p>
    <w:p w14:paraId="308DE8B6">
      <w:pPr>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3.</w:t>
      </w:r>
      <w:r>
        <w:rPr>
          <w:rFonts w:asciiTheme="minorEastAsia" w:hAnsiTheme="minorEastAsia" w:eastAsiaTheme="minorEastAsia"/>
          <w:color w:val="auto"/>
          <w:szCs w:val="21"/>
          <w:highlight w:val="none"/>
        </w:rPr>
        <w:t>如我方</w:t>
      </w:r>
      <w:r>
        <w:rPr>
          <w:rFonts w:hint="eastAsia" w:asciiTheme="minorEastAsia" w:hAnsiTheme="minorEastAsia" w:eastAsiaTheme="minorEastAsia"/>
          <w:color w:val="auto"/>
          <w:szCs w:val="21"/>
          <w:highlight w:val="none"/>
        </w:rPr>
        <w:t>成交</w:t>
      </w:r>
      <w:r>
        <w:rPr>
          <w:rFonts w:asciiTheme="minorEastAsia" w:hAnsiTheme="minorEastAsia" w:eastAsiaTheme="minorEastAsia"/>
          <w:color w:val="auto"/>
          <w:szCs w:val="21"/>
          <w:highlight w:val="none"/>
        </w:rPr>
        <w:t>：</w:t>
      </w:r>
    </w:p>
    <w:p w14:paraId="4F25517A">
      <w:pPr>
        <w:spacing w:line="360" w:lineRule="auto"/>
        <w:ind w:firstLine="420" w:firstLineChars="200"/>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（1）我方承诺在收到</w:t>
      </w:r>
      <w:r>
        <w:rPr>
          <w:rFonts w:hint="eastAsia" w:asciiTheme="minorEastAsia" w:hAnsiTheme="minorEastAsia" w:eastAsiaTheme="minorEastAsia"/>
          <w:color w:val="auto"/>
          <w:szCs w:val="21"/>
          <w:highlight w:val="none"/>
        </w:rPr>
        <w:t>成交通知书</w:t>
      </w:r>
      <w:r>
        <w:rPr>
          <w:rFonts w:asciiTheme="minorEastAsia" w:hAnsiTheme="minorEastAsia" w:eastAsiaTheme="minorEastAsia"/>
          <w:color w:val="auto"/>
          <w:szCs w:val="21"/>
          <w:highlight w:val="none"/>
        </w:rPr>
        <w:t>后，在</w:t>
      </w:r>
      <w:r>
        <w:rPr>
          <w:rFonts w:hint="eastAsia" w:asciiTheme="minorEastAsia" w:hAnsiTheme="minorEastAsia" w:eastAsiaTheme="minorEastAsia"/>
          <w:color w:val="auto"/>
          <w:szCs w:val="21"/>
          <w:highlight w:val="none"/>
        </w:rPr>
        <w:t>成交通知书</w:t>
      </w:r>
      <w:r>
        <w:rPr>
          <w:rFonts w:asciiTheme="minorEastAsia" w:hAnsiTheme="minorEastAsia" w:eastAsiaTheme="minorEastAsia"/>
          <w:color w:val="auto"/>
          <w:szCs w:val="21"/>
          <w:highlight w:val="none"/>
        </w:rPr>
        <w:t>规定的期限内与你方签订合同</w:t>
      </w:r>
      <w:r>
        <w:rPr>
          <w:rFonts w:hint="eastAsia" w:asciiTheme="minorEastAsia" w:hAnsiTheme="minorEastAsia" w:eastAsiaTheme="minorEastAsia"/>
          <w:color w:val="auto"/>
          <w:szCs w:val="21"/>
          <w:highlight w:val="none"/>
        </w:rPr>
        <w:t>；</w:t>
      </w:r>
    </w:p>
    <w:p w14:paraId="65B39A79">
      <w:pPr>
        <w:spacing w:line="360" w:lineRule="auto"/>
        <w:ind w:firstLine="420" w:firstLineChars="200"/>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rPr>
        <w:t>2</w:t>
      </w:r>
      <w:r>
        <w:rPr>
          <w:rFonts w:asciiTheme="minorEastAsia" w:hAnsiTheme="minorEastAsia" w:eastAsiaTheme="minorEastAsia"/>
          <w:color w:val="auto"/>
          <w:szCs w:val="21"/>
          <w:highlight w:val="none"/>
        </w:rPr>
        <w:t>）我方承诺在合同约定的</w:t>
      </w:r>
      <w:r>
        <w:rPr>
          <w:rFonts w:hint="eastAsia" w:asciiTheme="minorEastAsia" w:hAnsiTheme="minorEastAsia" w:eastAsiaTheme="minorEastAsia"/>
          <w:color w:val="auto"/>
          <w:szCs w:val="21"/>
          <w:highlight w:val="none"/>
        </w:rPr>
        <w:t>服务周期</w:t>
      </w:r>
      <w:r>
        <w:rPr>
          <w:rFonts w:asciiTheme="minorEastAsia" w:hAnsiTheme="minorEastAsia" w:eastAsiaTheme="minorEastAsia"/>
          <w:color w:val="auto"/>
          <w:szCs w:val="21"/>
          <w:highlight w:val="none"/>
        </w:rPr>
        <w:t>内</w:t>
      </w:r>
      <w:r>
        <w:rPr>
          <w:rFonts w:hint="eastAsia" w:asciiTheme="minorEastAsia" w:hAnsiTheme="minorEastAsia" w:eastAsiaTheme="minorEastAsia"/>
          <w:color w:val="auto"/>
          <w:szCs w:val="21"/>
          <w:highlight w:val="none"/>
        </w:rPr>
        <w:t>按你方要求</w:t>
      </w:r>
      <w:r>
        <w:rPr>
          <w:rFonts w:asciiTheme="minorEastAsia" w:hAnsiTheme="minorEastAsia" w:eastAsiaTheme="minorEastAsia"/>
          <w:color w:val="auto"/>
          <w:szCs w:val="21"/>
          <w:highlight w:val="none"/>
        </w:rPr>
        <w:t>完</w:t>
      </w:r>
      <w:r>
        <w:rPr>
          <w:rFonts w:hint="eastAsia" w:asciiTheme="minorEastAsia" w:hAnsiTheme="minorEastAsia" w:eastAsiaTheme="minorEastAsia"/>
          <w:color w:val="auto"/>
          <w:szCs w:val="21"/>
          <w:highlight w:val="none"/>
        </w:rPr>
        <w:t>所有服务工作</w:t>
      </w:r>
      <w:r>
        <w:rPr>
          <w:rFonts w:asciiTheme="minorEastAsia" w:hAnsiTheme="minorEastAsia" w:eastAsiaTheme="minorEastAsia"/>
          <w:color w:val="auto"/>
          <w:szCs w:val="21"/>
          <w:highlight w:val="none"/>
        </w:rPr>
        <w:t>。</w:t>
      </w:r>
    </w:p>
    <w:p w14:paraId="3639F60A">
      <w:pPr>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4.</w:t>
      </w:r>
      <w:r>
        <w:rPr>
          <w:rFonts w:asciiTheme="minorEastAsia" w:hAnsiTheme="minorEastAsia" w:eastAsiaTheme="minorEastAsia"/>
          <w:color w:val="auto"/>
          <w:szCs w:val="21"/>
          <w:highlight w:val="none"/>
        </w:rPr>
        <w:t>我方在此声明，所</w:t>
      </w:r>
      <w:r>
        <w:rPr>
          <w:rFonts w:hint="eastAsia" w:asciiTheme="minorEastAsia" w:hAnsiTheme="minorEastAsia" w:eastAsiaTheme="minorEastAsia"/>
          <w:color w:val="auto"/>
          <w:szCs w:val="21"/>
          <w:highlight w:val="none"/>
        </w:rPr>
        <w:t>提</w:t>
      </w:r>
      <w:r>
        <w:rPr>
          <w:rFonts w:asciiTheme="minorEastAsia" w:hAnsiTheme="minorEastAsia" w:eastAsiaTheme="minorEastAsia"/>
          <w:color w:val="auto"/>
          <w:szCs w:val="21"/>
          <w:highlight w:val="none"/>
        </w:rPr>
        <w:t>交的</w:t>
      </w:r>
      <w:r>
        <w:rPr>
          <w:rFonts w:hint="eastAsia" w:asciiTheme="minorEastAsia" w:hAnsiTheme="minorEastAsia" w:eastAsiaTheme="minorEastAsia"/>
          <w:color w:val="auto"/>
          <w:szCs w:val="21"/>
          <w:highlight w:val="none"/>
        </w:rPr>
        <w:t>响应</w:t>
      </w:r>
      <w:r>
        <w:rPr>
          <w:rFonts w:asciiTheme="minorEastAsia" w:hAnsiTheme="minorEastAsia" w:eastAsiaTheme="minorEastAsia"/>
          <w:color w:val="auto"/>
          <w:szCs w:val="21"/>
          <w:highlight w:val="none"/>
        </w:rPr>
        <w:t>文件及有关资料内容完整、真实和准确。</w:t>
      </w:r>
    </w:p>
    <w:p w14:paraId="68A0AE8E">
      <w:pPr>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5.在合同协议书正式签署生效之前，本磋商函连同你方的成交通知书将构成我们双方之间共同遵守的文件，对双方具有约束力。</w:t>
      </w:r>
    </w:p>
    <w:p w14:paraId="77555E04">
      <w:pPr>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6.</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rPr>
        <w:t>（其他补充说明）。</w:t>
      </w:r>
    </w:p>
    <w:p w14:paraId="2104B6E4">
      <w:pPr>
        <w:autoSpaceDE w:val="0"/>
        <w:autoSpaceDN w:val="0"/>
        <w:adjustRightInd w:val="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p>
    <w:p w14:paraId="4CE910FC">
      <w:pPr>
        <w:autoSpaceDE w:val="0"/>
        <w:autoSpaceDN w:val="0"/>
        <w:adjustRightInd w:val="0"/>
        <w:spacing w:line="360" w:lineRule="auto"/>
        <w:rPr>
          <w:rFonts w:hint="eastAsia" w:asciiTheme="minorEastAsia" w:hAnsiTheme="minorEastAsia" w:eastAsiaTheme="minorEastAsia"/>
          <w:color w:val="auto"/>
          <w:szCs w:val="21"/>
          <w:highlight w:val="none"/>
        </w:rPr>
      </w:pPr>
    </w:p>
    <w:p w14:paraId="243D6A51">
      <w:pPr>
        <w:autoSpaceDE w:val="0"/>
        <w:autoSpaceDN w:val="0"/>
        <w:adjustRightInd w:val="0"/>
        <w:spacing w:line="480" w:lineRule="auto"/>
        <w:rPr>
          <w:rFonts w:hint="eastAsia" w:asciiTheme="minorEastAsia" w:hAnsiTheme="minorEastAsia" w:eastAsiaTheme="minorEastAsia"/>
          <w:color w:val="auto"/>
          <w:szCs w:val="21"/>
          <w:highlight w:val="none"/>
        </w:rPr>
      </w:pPr>
    </w:p>
    <w:p w14:paraId="632465F0">
      <w:pPr>
        <w:autoSpaceDE w:val="0"/>
        <w:autoSpaceDN w:val="0"/>
        <w:adjustRightInd w:val="0"/>
        <w:spacing w:line="360" w:lineRule="auto"/>
        <w:ind w:firstLine="5040" w:firstLineChars="2400"/>
        <w:jc w:val="left"/>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供应商：</w:t>
      </w:r>
      <w:r>
        <w:rPr>
          <w:rFonts w:hint="eastAsia" w:asciiTheme="minorEastAsia" w:hAnsiTheme="minorEastAsia" w:eastAsiaTheme="minorEastAsia"/>
          <w:bCs/>
          <w:color w:val="auto"/>
          <w:szCs w:val="21"/>
          <w:highlight w:val="none"/>
          <w:u w:val="single"/>
        </w:rPr>
        <w:t xml:space="preserve">        </w:t>
      </w:r>
      <w:r>
        <w:rPr>
          <w:rFonts w:asciiTheme="minorEastAsia" w:hAnsiTheme="minorEastAsia" w:eastAsiaTheme="minorEastAsia"/>
          <w:bCs/>
          <w:color w:val="auto"/>
          <w:szCs w:val="21"/>
          <w:highlight w:val="none"/>
          <w:u w:val="single"/>
        </w:rPr>
        <w:t xml:space="preserve">   </w:t>
      </w:r>
      <w:r>
        <w:rPr>
          <w:rFonts w:hint="eastAsia" w:asciiTheme="minorEastAsia" w:hAnsiTheme="minorEastAsia" w:eastAsiaTheme="minorEastAsia"/>
          <w:bCs/>
          <w:color w:val="auto"/>
          <w:szCs w:val="21"/>
          <w:highlight w:val="none"/>
          <w:u w:val="single"/>
        </w:rPr>
        <w:t xml:space="preserve"> （</w:t>
      </w:r>
      <w:r>
        <w:rPr>
          <w:rFonts w:hint="eastAsia" w:asciiTheme="minorEastAsia" w:hAnsiTheme="minorEastAsia" w:eastAsiaTheme="minorEastAsia"/>
          <w:color w:val="auto"/>
          <w:szCs w:val="21"/>
          <w:highlight w:val="none"/>
          <w:u w:val="single"/>
        </w:rPr>
        <w:t>电子签章</w:t>
      </w:r>
      <w:r>
        <w:rPr>
          <w:rFonts w:hint="eastAsia" w:asciiTheme="minorEastAsia" w:hAnsiTheme="minorEastAsia" w:eastAsiaTheme="minorEastAsia"/>
          <w:bCs/>
          <w:color w:val="auto"/>
          <w:szCs w:val="21"/>
          <w:highlight w:val="none"/>
          <w:u w:val="single"/>
        </w:rPr>
        <w:t>）</w:t>
      </w:r>
    </w:p>
    <w:p w14:paraId="06679117">
      <w:pPr>
        <w:autoSpaceDE w:val="0"/>
        <w:autoSpaceDN w:val="0"/>
        <w:adjustRightInd w:val="0"/>
        <w:spacing w:line="360" w:lineRule="auto"/>
        <w:ind w:firstLine="5040" w:firstLineChars="2400"/>
        <w:jc w:val="left"/>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法定代表人：</w:t>
      </w:r>
      <w:r>
        <w:rPr>
          <w:rFonts w:hint="eastAsia" w:asciiTheme="minorEastAsia" w:hAnsiTheme="minorEastAsia" w:eastAsiaTheme="minorEastAsia"/>
          <w:bCs/>
          <w:color w:val="auto"/>
          <w:szCs w:val="21"/>
          <w:highlight w:val="none"/>
          <w:u w:val="single"/>
        </w:rPr>
        <w:t xml:space="preserve">   </w:t>
      </w:r>
      <w:r>
        <w:rPr>
          <w:rFonts w:asciiTheme="minorEastAsia" w:hAnsiTheme="minorEastAsia" w:eastAsiaTheme="minorEastAsia"/>
          <w:bCs/>
          <w:color w:val="auto"/>
          <w:szCs w:val="21"/>
          <w:highlight w:val="none"/>
          <w:u w:val="single"/>
        </w:rPr>
        <w:t xml:space="preserve">   </w:t>
      </w:r>
      <w:r>
        <w:rPr>
          <w:rFonts w:hint="eastAsia" w:asciiTheme="minorEastAsia" w:hAnsiTheme="minorEastAsia" w:eastAsiaTheme="minorEastAsia"/>
          <w:bCs/>
          <w:color w:val="auto"/>
          <w:szCs w:val="21"/>
          <w:highlight w:val="none"/>
          <w:u w:val="single"/>
        </w:rPr>
        <w:t xml:space="preserve">   (电子签章)</w:t>
      </w:r>
      <w:r>
        <w:rPr>
          <w:rFonts w:asciiTheme="minorEastAsia" w:hAnsiTheme="minorEastAsia" w:eastAsiaTheme="minorEastAsia"/>
          <w:bCs/>
          <w:color w:val="auto"/>
          <w:szCs w:val="21"/>
          <w:highlight w:val="none"/>
          <w:u w:val="single"/>
        </w:rPr>
        <w:t xml:space="preserve"> </w:t>
      </w:r>
    </w:p>
    <w:p w14:paraId="4E35DE38">
      <w:pPr>
        <w:autoSpaceDE w:val="0"/>
        <w:autoSpaceDN w:val="0"/>
        <w:adjustRightInd w:val="0"/>
        <w:spacing w:line="360" w:lineRule="auto"/>
        <w:ind w:firstLine="5040" w:firstLineChars="2400"/>
        <w:jc w:val="left"/>
        <w:rPr>
          <w:rFonts w:hint="eastAsia" w:asciiTheme="minorEastAsia" w:hAnsiTheme="minorEastAsia" w:eastAsiaTheme="minorEastAsia"/>
          <w:bCs/>
          <w:color w:val="auto"/>
          <w:szCs w:val="21"/>
          <w:highlight w:val="none"/>
          <w:u w:val="single"/>
        </w:rPr>
      </w:pPr>
      <w:r>
        <w:rPr>
          <w:rFonts w:hint="eastAsia" w:asciiTheme="minorEastAsia" w:hAnsiTheme="minorEastAsia" w:eastAsiaTheme="minorEastAsia"/>
          <w:bCs/>
          <w:color w:val="auto"/>
          <w:szCs w:val="21"/>
          <w:highlight w:val="none"/>
        </w:rPr>
        <w:t>地址：</w:t>
      </w:r>
      <w:r>
        <w:rPr>
          <w:rFonts w:hint="eastAsia" w:asciiTheme="minorEastAsia" w:hAnsiTheme="minorEastAsia" w:eastAsiaTheme="minorEastAsia"/>
          <w:bCs/>
          <w:color w:val="auto"/>
          <w:szCs w:val="21"/>
          <w:highlight w:val="none"/>
          <w:u w:val="single"/>
        </w:rPr>
        <w:t xml:space="preserve">                       </w:t>
      </w:r>
      <w:r>
        <w:rPr>
          <w:rFonts w:asciiTheme="minorEastAsia" w:hAnsiTheme="minorEastAsia" w:eastAsiaTheme="minorEastAsia"/>
          <w:bCs/>
          <w:color w:val="auto"/>
          <w:szCs w:val="21"/>
          <w:highlight w:val="none"/>
          <w:u w:val="single"/>
        </w:rPr>
        <w:t xml:space="preserve">   </w:t>
      </w:r>
    </w:p>
    <w:p w14:paraId="039AF366">
      <w:pPr>
        <w:autoSpaceDE w:val="0"/>
        <w:autoSpaceDN w:val="0"/>
        <w:adjustRightInd w:val="0"/>
        <w:spacing w:line="360" w:lineRule="auto"/>
        <w:ind w:firstLine="5040" w:firstLineChars="2400"/>
        <w:jc w:val="left"/>
        <w:rPr>
          <w:rFonts w:hint="eastAsia" w:asciiTheme="minorEastAsia" w:hAnsiTheme="minorEastAsia" w:eastAsiaTheme="minorEastAsia"/>
          <w:bCs/>
          <w:color w:val="auto"/>
          <w:szCs w:val="21"/>
          <w:highlight w:val="none"/>
          <w:u w:val="single"/>
        </w:rPr>
      </w:pPr>
      <w:r>
        <w:rPr>
          <w:rFonts w:hint="eastAsia" w:asciiTheme="minorEastAsia" w:hAnsiTheme="minorEastAsia" w:eastAsiaTheme="minorEastAsia"/>
          <w:bCs/>
          <w:color w:val="auto"/>
          <w:szCs w:val="21"/>
          <w:highlight w:val="none"/>
        </w:rPr>
        <w:t>电话：</w:t>
      </w:r>
      <w:r>
        <w:rPr>
          <w:rFonts w:hint="eastAsia" w:asciiTheme="minorEastAsia" w:hAnsiTheme="minorEastAsia" w:eastAsiaTheme="minorEastAsia"/>
          <w:bCs/>
          <w:color w:val="auto"/>
          <w:szCs w:val="21"/>
          <w:highlight w:val="none"/>
          <w:u w:val="single"/>
        </w:rPr>
        <w:t xml:space="preserve">                     </w:t>
      </w:r>
      <w:r>
        <w:rPr>
          <w:rFonts w:asciiTheme="minorEastAsia" w:hAnsiTheme="minorEastAsia" w:eastAsiaTheme="minorEastAsia"/>
          <w:bCs/>
          <w:color w:val="auto"/>
          <w:szCs w:val="21"/>
          <w:highlight w:val="none"/>
          <w:u w:val="single"/>
        </w:rPr>
        <w:t xml:space="preserve"> </w:t>
      </w:r>
      <w:r>
        <w:rPr>
          <w:rFonts w:hint="eastAsia" w:asciiTheme="minorEastAsia" w:hAnsiTheme="minorEastAsia" w:eastAsiaTheme="minorEastAsia"/>
          <w:bCs/>
          <w:color w:val="auto"/>
          <w:szCs w:val="21"/>
          <w:highlight w:val="none"/>
          <w:u w:val="single"/>
        </w:rPr>
        <w:t xml:space="preserve"> </w:t>
      </w:r>
      <w:r>
        <w:rPr>
          <w:rFonts w:asciiTheme="minorEastAsia" w:hAnsiTheme="minorEastAsia" w:eastAsiaTheme="minorEastAsia"/>
          <w:bCs/>
          <w:color w:val="auto"/>
          <w:szCs w:val="21"/>
          <w:highlight w:val="none"/>
          <w:u w:val="single"/>
        </w:rPr>
        <w:t xml:space="preserve">   </w:t>
      </w:r>
    </w:p>
    <w:p w14:paraId="6A78367E">
      <w:pPr>
        <w:autoSpaceDE w:val="0"/>
        <w:autoSpaceDN w:val="0"/>
        <w:adjustRightInd w:val="0"/>
        <w:spacing w:line="360" w:lineRule="auto"/>
        <w:ind w:firstLine="5040" w:firstLineChars="2400"/>
        <w:jc w:val="left"/>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日期：</w:t>
      </w:r>
      <w:r>
        <w:rPr>
          <w:rFonts w:hint="eastAsia" w:asciiTheme="minorEastAsia" w:hAnsiTheme="minorEastAsia" w:eastAsiaTheme="minorEastAsia"/>
          <w:bCs/>
          <w:color w:val="auto"/>
          <w:szCs w:val="21"/>
          <w:highlight w:val="none"/>
          <w:u w:val="single"/>
        </w:rPr>
        <w:t xml:space="preserve">      </w:t>
      </w:r>
      <w:r>
        <w:rPr>
          <w:rFonts w:hint="eastAsia" w:asciiTheme="minorEastAsia" w:hAnsiTheme="minorEastAsia" w:eastAsiaTheme="minorEastAsia"/>
          <w:bCs/>
          <w:color w:val="auto"/>
          <w:szCs w:val="21"/>
          <w:highlight w:val="none"/>
        </w:rPr>
        <w:t>年</w:t>
      </w:r>
      <w:r>
        <w:rPr>
          <w:rFonts w:hint="eastAsia" w:asciiTheme="minorEastAsia" w:hAnsiTheme="minorEastAsia" w:eastAsiaTheme="minorEastAsia"/>
          <w:bCs/>
          <w:color w:val="auto"/>
          <w:szCs w:val="21"/>
          <w:highlight w:val="none"/>
          <w:u w:val="single"/>
        </w:rPr>
        <w:t xml:space="preserve">     </w:t>
      </w:r>
      <w:r>
        <w:rPr>
          <w:rFonts w:hint="eastAsia" w:asciiTheme="minorEastAsia" w:hAnsiTheme="minorEastAsia" w:eastAsiaTheme="minorEastAsia"/>
          <w:bCs/>
          <w:color w:val="auto"/>
          <w:szCs w:val="21"/>
          <w:highlight w:val="none"/>
        </w:rPr>
        <w:t>月</w:t>
      </w:r>
      <w:r>
        <w:rPr>
          <w:rFonts w:hint="eastAsia" w:asciiTheme="minorEastAsia" w:hAnsiTheme="minorEastAsia" w:eastAsiaTheme="minorEastAsia"/>
          <w:bCs/>
          <w:color w:val="auto"/>
          <w:szCs w:val="21"/>
          <w:highlight w:val="none"/>
          <w:u w:val="single"/>
        </w:rPr>
        <w:t xml:space="preserve">      </w:t>
      </w:r>
      <w:r>
        <w:rPr>
          <w:rFonts w:hint="eastAsia" w:asciiTheme="minorEastAsia" w:hAnsiTheme="minorEastAsia" w:eastAsiaTheme="minorEastAsia"/>
          <w:bCs/>
          <w:color w:val="auto"/>
          <w:szCs w:val="21"/>
          <w:highlight w:val="none"/>
        </w:rPr>
        <w:t>日</w:t>
      </w:r>
    </w:p>
    <w:p w14:paraId="20CF6095">
      <w:pPr>
        <w:autoSpaceDE w:val="0"/>
        <w:autoSpaceDN w:val="0"/>
        <w:adjustRightInd w:val="0"/>
        <w:spacing w:line="360" w:lineRule="auto"/>
        <w:ind w:firstLine="4305" w:firstLineChars="2050"/>
        <w:rPr>
          <w:rFonts w:hint="eastAsia" w:asciiTheme="minorEastAsia" w:hAnsiTheme="minorEastAsia" w:eastAsiaTheme="minorEastAsia"/>
          <w:color w:val="auto"/>
          <w:szCs w:val="21"/>
          <w:highlight w:val="none"/>
        </w:rPr>
      </w:pPr>
    </w:p>
    <w:p w14:paraId="4EB901AE">
      <w:pPr>
        <w:spacing w:line="360" w:lineRule="auto"/>
        <w:rPr>
          <w:rFonts w:hint="eastAsia" w:asciiTheme="minorEastAsia" w:hAnsiTheme="minorEastAsia" w:eastAsiaTheme="minorEastAsia"/>
          <w:color w:val="auto"/>
          <w:highlight w:val="none"/>
        </w:rPr>
      </w:pPr>
    </w:p>
    <w:p w14:paraId="2A8249FA">
      <w:pPr>
        <w:spacing w:line="360" w:lineRule="auto"/>
        <w:rPr>
          <w:rFonts w:hint="eastAsia" w:asciiTheme="minorEastAsia" w:hAnsiTheme="minorEastAsia" w:eastAsiaTheme="minorEastAsia"/>
          <w:color w:val="auto"/>
          <w:highlight w:val="none"/>
        </w:rPr>
      </w:pPr>
    </w:p>
    <w:p w14:paraId="635CC686">
      <w:pPr>
        <w:spacing w:line="360" w:lineRule="auto"/>
        <w:rPr>
          <w:rFonts w:hint="eastAsia" w:asciiTheme="minorEastAsia" w:hAnsiTheme="minorEastAsia" w:eastAsiaTheme="minorEastAsia"/>
          <w:color w:val="auto"/>
          <w:highlight w:val="none"/>
        </w:rPr>
      </w:pPr>
    </w:p>
    <w:p w14:paraId="7938E030">
      <w:pPr>
        <w:spacing w:line="360" w:lineRule="auto"/>
        <w:rPr>
          <w:rFonts w:hint="eastAsia" w:asciiTheme="minorEastAsia" w:hAnsiTheme="minorEastAsia" w:eastAsiaTheme="minorEastAsia"/>
          <w:color w:val="auto"/>
          <w:highlight w:val="none"/>
        </w:rPr>
      </w:pPr>
    </w:p>
    <w:p w14:paraId="15FD85A7">
      <w:pPr>
        <w:widowControl/>
        <w:jc w:val="left"/>
        <w:rPr>
          <w:rFonts w:hint="eastAsia" w:asciiTheme="minorEastAsia" w:hAnsiTheme="minorEastAsia" w:eastAsiaTheme="minorEastAsia"/>
          <w:b/>
          <w:color w:val="auto"/>
          <w:sz w:val="28"/>
          <w:szCs w:val="28"/>
          <w:highlight w:val="none"/>
        </w:rPr>
      </w:pPr>
      <w:bookmarkStart w:id="1148" w:name="_Toc116584074"/>
    </w:p>
    <w:p w14:paraId="39FD2705">
      <w:pPr>
        <w:widowControl/>
        <w:jc w:val="left"/>
        <w:rPr>
          <w:rFonts w:hint="eastAsia" w:asciiTheme="minorEastAsia" w:hAnsiTheme="minorEastAsia" w:eastAsiaTheme="minorEastAsia"/>
          <w:b/>
          <w:color w:val="auto"/>
          <w:sz w:val="28"/>
          <w:szCs w:val="28"/>
          <w:highlight w:val="none"/>
        </w:rPr>
      </w:pPr>
      <w:r>
        <w:rPr>
          <w:rFonts w:asciiTheme="minorEastAsia" w:hAnsiTheme="minorEastAsia" w:eastAsiaTheme="minorEastAsia"/>
          <w:b/>
          <w:color w:val="auto"/>
          <w:sz w:val="28"/>
          <w:szCs w:val="28"/>
          <w:highlight w:val="none"/>
        </w:rPr>
        <w:br w:type="page"/>
      </w:r>
    </w:p>
    <w:p w14:paraId="3FCEAC01">
      <w:pPr>
        <w:spacing w:line="360" w:lineRule="auto"/>
        <w:jc w:val="center"/>
        <w:outlineLvl w:val="2"/>
        <w:rPr>
          <w:rFonts w:hint="eastAsia" w:asciiTheme="minorEastAsia" w:hAnsiTheme="minorEastAsia" w:eastAsiaTheme="minorEastAsia"/>
          <w:b/>
          <w:color w:val="auto"/>
          <w:sz w:val="28"/>
          <w:szCs w:val="28"/>
          <w:highlight w:val="none"/>
        </w:rPr>
      </w:pPr>
      <w:r>
        <w:rPr>
          <w:rFonts w:hint="eastAsia" w:asciiTheme="minorEastAsia" w:hAnsiTheme="minorEastAsia" w:eastAsiaTheme="minorEastAsia"/>
          <w:b/>
          <w:color w:val="auto"/>
          <w:sz w:val="28"/>
          <w:szCs w:val="28"/>
          <w:highlight w:val="none"/>
        </w:rPr>
        <w:t>（二）</w:t>
      </w:r>
      <w:r>
        <w:rPr>
          <w:rFonts w:asciiTheme="minorEastAsia" w:hAnsiTheme="minorEastAsia" w:eastAsiaTheme="minorEastAsia"/>
          <w:b/>
          <w:color w:val="auto"/>
          <w:sz w:val="28"/>
          <w:szCs w:val="28"/>
          <w:highlight w:val="none"/>
        </w:rPr>
        <w:t>法定代表人身份证明</w:t>
      </w:r>
      <w:bookmarkEnd w:id="1148"/>
      <w:r>
        <w:rPr>
          <w:rFonts w:hint="eastAsia" w:asciiTheme="minorEastAsia" w:hAnsiTheme="minorEastAsia" w:eastAsiaTheme="minorEastAsia"/>
          <w:b/>
          <w:color w:val="auto"/>
          <w:sz w:val="28"/>
          <w:szCs w:val="28"/>
          <w:highlight w:val="none"/>
        </w:rPr>
        <w:t>及授权委托书</w:t>
      </w:r>
    </w:p>
    <w:p w14:paraId="76A97D40">
      <w:pPr>
        <w:spacing w:line="360" w:lineRule="auto"/>
        <w:jc w:val="center"/>
        <w:outlineLvl w:val="3"/>
        <w:rPr>
          <w:rFonts w:hint="eastAsia" w:asciiTheme="minorEastAsia" w:hAnsiTheme="minorEastAsia" w:eastAsiaTheme="minorEastAsia"/>
          <w:b/>
          <w:color w:val="auto"/>
          <w:sz w:val="28"/>
          <w:szCs w:val="28"/>
          <w:highlight w:val="none"/>
        </w:rPr>
      </w:pPr>
      <w:r>
        <w:rPr>
          <w:rFonts w:hint="eastAsia" w:asciiTheme="minorEastAsia" w:hAnsiTheme="minorEastAsia" w:eastAsiaTheme="minorEastAsia"/>
          <w:b/>
          <w:color w:val="auto"/>
          <w:sz w:val="28"/>
          <w:szCs w:val="28"/>
          <w:highlight w:val="none"/>
        </w:rPr>
        <w:t>1、</w:t>
      </w:r>
      <w:r>
        <w:rPr>
          <w:rFonts w:asciiTheme="minorEastAsia" w:hAnsiTheme="minorEastAsia" w:eastAsiaTheme="minorEastAsia"/>
          <w:b/>
          <w:color w:val="auto"/>
          <w:sz w:val="28"/>
          <w:szCs w:val="28"/>
          <w:highlight w:val="none"/>
        </w:rPr>
        <w:t>法定代表人身份证明</w:t>
      </w:r>
    </w:p>
    <w:p w14:paraId="5F36E6C0">
      <w:pPr>
        <w:spacing w:line="360" w:lineRule="auto"/>
        <w:rPr>
          <w:rFonts w:hint="eastAsia" w:asciiTheme="minorEastAsia" w:hAnsiTheme="minorEastAsia" w:eastAsiaTheme="minorEastAsia"/>
          <w:color w:val="auto"/>
          <w:highlight w:val="none"/>
        </w:rPr>
      </w:pPr>
    </w:p>
    <w:p w14:paraId="583F402C">
      <w:pPr>
        <w:spacing w:line="360" w:lineRule="auto"/>
        <w:ind w:firstLine="539" w:firstLineChars="257"/>
        <w:rPr>
          <w:rFonts w:hint="eastAsia"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供应商：</w:t>
      </w:r>
      <w:r>
        <w:rPr>
          <w:rFonts w:hint="eastAsia" w:cs="仿宋_GB2312" w:asciiTheme="minorEastAsia" w:hAnsiTheme="minorEastAsia" w:eastAsiaTheme="minorEastAsia"/>
          <w:color w:val="auto"/>
          <w:szCs w:val="21"/>
          <w:highlight w:val="none"/>
          <w:u w:val="single"/>
        </w:rPr>
        <w:t xml:space="preserve">                                           </w:t>
      </w:r>
    </w:p>
    <w:p w14:paraId="0D8DAB75">
      <w:pPr>
        <w:spacing w:line="360" w:lineRule="auto"/>
        <w:ind w:firstLine="539" w:firstLineChars="257"/>
        <w:rPr>
          <w:rFonts w:hint="eastAsia" w:cs="仿宋_GB2312" w:asciiTheme="minorEastAsia" w:hAnsiTheme="minorEastAsia" w:eastAsiaTheme="minorEastAsia"/>
          <w:color w:val="auto"/>
          <w:szCs w:val="21"/>
          <w:highlight w:val="none"/>
          <w:u w:val="single"/>
        </w:rPr>
      </w:pPr>
      <w:r>
        <w:rPr>
          <w:rFonts w:hint="eastAsia" w:cs="仿宋_GB2312" w:asciiTheme="minorEastAsia" w:hAnsiTheme="minorEastAsia" w:eastAsiaTheme="minorEastAsia"/>
          <w:color w:val="auto"/>
          <w:szCs w:val="21"/>
          <w:highlight w:val="none"/>
        </w:rPr>
        <w:t>单位性质：</w:t>
      </w:r>
      <w:r>
        <w:rPr>
          <w:rFonts w:hint="eastAsia" w:cs="仿宋_GB2312" w:asciiTheme="minorEastAsia" w:hAnsiTheme="minorEastAsia" w:eastAsiaTheme="minorEastAsia"/>
          <w:color w:val="auto"/>
          <w:szCs w:val="21"/>
          <w:highlight w:val="none"/>
          <w:u w:val="single"/>
        </w:rPr>
        <w:t xml:space="preserve">                                         </w:t>
      </w:r>
    </w:p>
    <w:p w14:paraId="0EF76852">
      <w:pPr>
        <w:spacing w:line="360" w:lineRule="auto"/>
        <w:ind w:firstLine="539" w:firstLineChars="257"/>
        <w:rPr>
          <w:rFonts w:hint="eastAsia"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地    址：</w:t>
      </w:r>
      <w:r>
        <w:rPr>
          <w:rFonts w:hint="eastAsia" w:cs="仿宋_GB2312" w:asciiTheme="minorEastAsia" w:hAnsiTheme="minorEastAsia" w:eastAsiaTheme="minorEastAsia"/>
          <w:color w:val="auto"/>
          <w:szCs w:val="21"/>
          <w:highlight w:val="none"/>
          <w:u w:val="single"/>
        </w:rPr>
        <w:t xml:space="preserve">                                         </w:t>
      </w:r>
    </w:p>
    <w:p w14:paraId="4469C9D6">
      <w:pPr>
        <w:spacing w:line="360" w:lineRule="auto"/>
        <w:ind w:firstLine="539" w:firstLineChars="257"/>
        <w:rPr>
          <w:rFonts w:hint="eastAsia"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成立时间：</w:t>
      </w:r>
      <w:r>
        <w:rPr>
          <w:rFonts w:hint="eastAsia" w:cs="仿宋_GB2312" w:asciiTheme="minorEastAsia" w:hAnsiTheme="minorEastAsia" w:eastAsiaTheme="minorEastAsia"/>
          <w:color w:val="auto"/>
          <w:szCs w:val="21"/>
          <w:highlight w:val="none"/>
          <w:u w:val="single"/>
        </w:rPr>
        <w:t xml:space="preserve">          </w:t>
      </w:r>
      <w:r>
        <w:rPr>
          <w:rFonts w:hint="eastAsia" w:cs="仿宋_GB2312" w:asciiTheme="minorEastAsia" w:hAnsiTheme="minorEastAsia" w:eastAsiaTheme="minorEastAsia"/>
          <w:color w:val="auto"/>
          <w:szCs w:val="21"/>
          <w:highlight w:val="none"/>
        </w:rPr>
        <w:t>年</w:t>
      </w:r>
      <w:r>
        <w:rPr>
          <w:rFonts w:hint="eastAsia" w:cs="仿宋_GB2312" w:asciiTheme="minorEastAsia" w:hAnsiTheme="minorEastAsia" w:eastAsiaTheme="minorEastAsia"/>
          <w:color w:val="auto"/>
          <w:szCs w:val="21"/>
          <w:highlight w:val="none"/>
          <w:u w:val="single"/>
        </w:rPr>
        <w:t xml:space="preserve">          </w:t>
      </w:r>
      <w:r>
        <w:rPr>
          <w:rFonts w:hint="eastAsia" w:cs="仿宋_GB2312" w:asciiTheme="minorEastAsia" w:hAnsiTheme="minorEastAsia" w:eastAsiaTheme="minorEastAsia"/>
          <w:color w:val="auto"/>
          <w:szCs w:val="21"/>
          <w:highlight w:val="none"/>
        </w:rPr>
        <w:t>月</w:t>
      </w:r>
      <w:r>
        <w:rPr>
          <w:rFonts w:hint="eastAsia" w:cs="仿宋_GB2312" w:asciiTheme="minorEastAsia" w:hAnsiTheme="minorEastAsia" w:eastAsiaTheme="minorEastAsia"/>
          <w:color w:val="auto"/>
          <w:szCs w:val="21"/>
          <w:highlight w:val="none"/>
          <w:u w:val="single"/>
        </w:rPr>
        <w:t xml:space="preserve">          </w:t>
      </w:r>
      <w:r>
        <w:rPr>
          <w:rFonts w:hint="eastAsia" w:cs="仿宋_GB2312" w:asciiTheme="minorEastAsia" w:hAnsiTheme="minorEastAsia" w:eastAsiaTheme="minorEastAsia"/>
          <w:color w:val="auto"/>
          <w:szCs w:val="21"/>
          <w:highlight w:val="none"/>
        </w:rPr>
        <w:t>日</w:t>
      </w:r>
    </w:p>
    <w:p w14:paraId="2970EB7D">
      <w:pPr>
        <w:spacing w:line="360" w:lineRule="auto"/>
        <w:ind w:firstLine="539" w:firstLineChars="257"/>
        <w:rPr>
          <w:rFonts w:hint="eastAsia"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经营期限：</w:t>
      </w:r>
      <w:r>
        <w:rPr>
          <w:rFonts w:hint="eastAsia" w:cs="仿宋_GB2312" w:asciiTheme="minorEastAsia" w:hAnsiTheme="minorEastAsia" w:eastAsiaTheme="minorEastAsia"/>
          <w:color w:val="auto"/>
          <w:szCs w:val="21"/>
          <w:highlight w:val="none"/>
          <w:u w:val="single"/>
        </w:rPr>
        <w:t xml:space="preserve">                                         </w:t>
      </w:r>
    </w:p>
    <w:p w14:paraId="6C06DE98">
      <w:pPr>
        <w:spacing w:line="360" w:lineRule="auto"/>
        <w:ind w:firstLine="539" w:firstLineChars="257"/>
        <w:rPr>
          <w:rFonts w:hint="eastAsia"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姓    名：</w:t>
      </w:r>
      <w:r>
        <w:rPr>
          <w:rFonts w:hint="eastAsia" w:cs="仿宋_GB2312" w:asciiTheme="minorEastAsia" w:hAnsiTheme="minorEastAsia" w:eastAsiaTheme="minorEastAsia"/>
          <w:color w:val="auto"/>
          <w:szCs w:val="21"/>
          <w:highlight w:val="none"/>
          <w:u w:val="single"/>
        </w:rPr>
        <w:t xml:space="preserve">                </w:t>
      </w:r>
      <w:r>
        <w:rPr>
          <w:rFonts w:hint="eastAsia" w:cs="仿宋_GB2312" w:asciiTheme="minorEastAsia" w:hAnsiTheme="minorEastAsia" w:eastAsiaTheme="minorEastAsia"/>
          <w:color w:val="auto"/>
          <w:szCs w:val="21"/>
          <w:highlight w:val="none"/>
        </w:rPr>
        <w:t xml:space="preserve">    性    别：</w:t>
      </w:r>
      <w:r>
        <w:rPr>
          <w:rFonts w:hint="eastAsia" w:cs="仿宋_GB2312" w:asciiTheme="minorEastAsia" w:hAnsiTheme="minorEastAsia" w:eastAsiaTheme="minorEastAsia"/>
          <w:color w:val="auto"/>
          <w:szCs w:val="21"/>
          <w:highlight w:val="none"/>
          <w:u w:val="single"/>
        </w:rPr>
        <w:t xml:space="preserve">           </w:t>
      </w:r>
    </w:p>
    <w:p w14:paraId="5E96524C">
      <w:pPr>
        <w:spacing w:line="360" w:lineRule="auto"/>
        <w:ind w:firstLine="539" w:firstLineChars="257"/>
        <w:rPr>
          <w:rFonts w:hint="eastAsia"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年    龄：</w:t>
      </w:r>
      <w:r>
        <w:rPr>
          <w:rFonts w:hint="eastAsia" w:cs="仿宋_GB2312" w:asciiTheme="minorEastAsia" w:hAnsiTheme="minorEastAsia" w:eastAsiaTheme="minorEastAsia"/>
          <w:color w:val="auto"/>
          <w:szCs w:val="21"/>
          <w:highlight w:val="none"/>
          <w:u w:val="single"/>
        </w:rPr>
        <w:t xml:space="preserve">                </w:t>
      </w:r>
      <w:r>
        <w:rPr>
          <w:rFonts w:hint="eastAsia" w:cs="仿宋_GB2312" w:asciiTheme="minorEastAsia" w:hAnsiTheme="minorEastAsia" w:eastAsiaTheme="minorEastAsia"/>
          <w:color w:val="auto"/>
          <w:szCs w:val="21"/>
          <w:highlight w:val="none"/>
        </w:rPr>
        <w:t xml:space="preserve">    职    务：</w:t>
      </w:r>
      <w:r>
        <w:rPr>
          <w:rFonts w:hint="eastAsia" w:cs="仿宋_GB2312" w:asciiTheme="minorEastAsia" w:hAnsiTheme="minorEastAsia" w:eastAsiaTheme="minorEastAsia"/>
          <w:color w:val="auto"/>
          <w:szCs w:val="21"/>
          <w:highlight w:val="none"/>
          <w:u w:val="single"/>
        </w:rPr>
        <w:t xml:space="preserve">           </w:t>
      </w:r>
    </w:p>
    <w:p w14:paraId="47E008CC">
      <w:pPr>
        <w:spacing w:line="360" w:lineRule="auto"/>
        <w:ind w:firstLine="539" w:firstLineChars="257"/>
        <w:rPr>
          <w:rFonts w:hint="eastAsia"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系</w:t>
      </w:r>
      <w:r>
        <w:rPr>
          <w:rFonts w:hint="eastAsia" w:cs="仿宋_GB2312" w:asciiTheme="minorEastAsia" w:hAnsiTheme="minorEastAsia" w:eastAsiaTheme="minorEastAsia"/>
          <w:color w:val="auto"/>
          <w:szCs w:val="21"/>
          <w:highlight w:val="none"/>
          <w:u w:val="single"/>
        </w:rPr>
        <w:t xml:space="preserve">                           </w:t>
      </w:r>
      <w:r>
        <w:rPr>
          <w:rFonts w:hint="eastAsia" w:cs="仿宋_GB2312" w:asciiTheme="minorEastAsia" w:hAnsiTheme="minorEastAsia" w:eastAsiaTheme="minorEastAsia"/>
          <w:color w:val="auto"/>
          <w:szCs w:val="21"/>
          <w:highlight w:val="none"/>
        </w:rPr>
        <w:t>（供应商）的法定代表人。</w:t>
      </w:r>
    </w:p>
    <w:p w14:paraId="78BE561E">
      <w:pPr>
        <w:autoSpaceDE w:val="0"/>
        <w:autoSpaceDN w:val="0"/>
        <w:adjustRightInd w:val="0"/>
        <w:spacing w:line="360" w:lineRule="auto"/>
        <w:ind w:firstLine="420"/>
        <w:jc w:val="center"/>
        <w:rPr>
          <w:rFonts w:hint="eastAsia" w:asciiTheme="minorEastAsia" w:hAnsiTheme="minorEastAsia" w:eastAsiaTheme="minorEastAsia"/>
          <w:color w:val="auto"/>
          <w:szCs w:val="21"/>
          <w:highlight w:val="none"/>
        </w:rPr>
      </w:pPr>
    </w:p>
    <w:p w14:paraId="38FABF33">
      <w:pPr>
        <w:spacing w:line="360" w:lineRule="auto"/>
        <w:ind w:firstLine="539" w:firstLineChars="257"/>
        <w:rPr>
          <w:rFonts w:hint="eastAsia"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特此证明。</w:t>
      </w:r>
    </w:p>
    <w:p w14:paraId="0685DC93">
      <w:pPr>
        <w:autoSpaceDE w:val="0"/>
        <w:autoSpaceDN w:val="0"/>
        <w:adjustRightInd w:val="0"/>
        <w:spacing w:line="360" w:lineRule="auto"/>
        <w:jc w:val="center"/>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附：法定代表人身份证的原件扫描件。</w:t>
      </w:r>
    </w:p>
    <w:p w14:paraId="586BAD19">
      <w:pPr>
        <w:spacing w:line="360" w:lineRule="auto"/>
        <w:rPr>
          <w:rFonts w:hint="eastAsia" w:cs="仿宋_GB2312" w:asciiTheme="minorEastAsia" w:hAnsiTheme="minorEastAsia" w:eastAsiaTheme="minorEastAsia"/>
          <w:color w:val="auto"/>
          <w:szCs w:val="21"/>
          <w:highlight w:val="none"/>
        </w:rPr>
      </w:pPr>
    </w:p>
    <w:p w14:paraId="35DC6CAD">
      <w:pPr>
        <w:spacing w:line="360" w:lineRule="auto"/>
        <w:rPr>
          <w:rFonts w:hint="eastAsia" w:cs="仿宋_GB2312" w:asciiTheme="minorEastAsia" w:hAnsiTheme="minorEastAsia" w:eastAsiaTheme="minorEastAsia"/>
          <w:color w:val="auto"/>
          <w:szCs w:val="21"/>
          <w:highlight w:val="none"/>
        </w:rPr>
      </w:pPr>
    </w:p>
    <w:p w14:paraId="64420575">
      <w:pPr>
        <w:spacing w:line="360" w:lineRule="auto"/>
        <w:rPr>
          <w:rFonts w:hint="eastAsia" w:cs="仿宋_GB2312" w:asciiTheme="minorEastAsia" w:hAnsiTheme="minorEastAsia" w:eastAsiaTheme="minorEastAsia"/>
          <w:color w:val="auto"/>
          <w:szCs w:val="21"/>
          <w:highlight w:val="none"/>
        </w:rPr>
      </w:pPr>
    </w:p>
    <w:p w14:paraId="53D846D3">
      <w:pPr>
        <w:spacing w:line="360" w:lineRule="auto"/>
        <w:rPr>
          <w:rFonts w:hint="eastAsia" w:cs="仿宋_GB2312" w:asciiTheme="minorEastAsia" w:hAnsiTheme="minorEastAsia" w:eastAsiaTheme="minorEastAsia"/>
          <w:color w:val="auto"/>
          <w:szCs w:val="21"/>
          <w:highlight w:val="none"/>
        </w:rPr>
      </w:pPr>
    </w:p>
    <w:p w14:paraId="2B21E704">
      <w:pPr>
        <w:spacing w:line="360" w:lineRule="auto"/>
        <w:rPr>
          <w:rFonts w:hint="eastAsia" w:cs="仿宋_GB2312" w:asciiTheme="minorEastAsia" w:hAnsiTheme="minorEastAsia" w:eastAsiaTheme="minorEastAsia"/>
          <w:color w:val="auto"/>
          <w:szCs w:val="21"/>
          <w:highlight w:val="none"/>
        </w:rPr>
      </w:pPr>
    </w:p>
    <w:p w14:paraId="4EA8608A">
      <w:pPr>
        <w:spacing w:line="360" w:lineRule="auto"/>
        <w:rPr>
          <w:rFonts w:hint="eastAsia" w:cs="仿宋_GB2312" w:asciiTheme="minorEastAsia" w:hAnsiTheme="minorEastAsia" w:eastAsiaTheme="minorEastAsia"/>
          <w:color w:val="auto"/>
          <w:szCs w:val="21"/>
          <w:highlight w:val="none"/>
        </w:rPr>
      </w:pPr>
    </w:p>
    <w:p w14:paraId="2C8C710A">
      <w:pPr>
        <w:spacing w:line="360" w:lineRule="auto"/>
        <w:rPr>
          <w:rFonts w:hint="eastAsia" w:cs="仿宋_GB2312" w:asciiTheme="minorEastAsia" w:hAnsiTheme="minorEastAsia" w:eastAsiaTheme="minorEastAsia"/>
          <w:color w:val="auto"/>
          <w:szCs w:val="21"/>
          <w:highlight w:val="none"/>
        </w:rPr>
      </w:pPr>
    </w:p>
    <w:p w14:paraId="22D95D7C">
      <w:pPr>
        <w:spacing w:line="360" w:lineRule="auto"/>
        <w:rPr>
          <w:rFonts w:hint="eastAsia" w:cs="仿宋_GB2312" w:asciiTheme="minorEastAsia" w:hAnsiTheme="minorEastAsia" w:eastAsiaTheme="minorEastAsia"/>
          <w:color w:val="auto"/>
          <w:szCs w:val="21"/>
          <w:highlight w:val="none"/>
        </w:rPr>
      </w:pPr>
    </w:p>
    <w:p w14:paraId="07E41127">
      <w:pPr>
        <w:spacing w:line="360" w:lineRule="auto"/>
        <w:rPr>
          <w:rFonts w:hint="eastAsia" w:cs="仿宋_GB2312" w:asciiTheme="minorEastAsia" w:hAnsiTheme="minorEastAsia" w:eastAsiaTheme="minorEastAsia"/>
          <w:color w:val="auto"/>
          <w:szCs w:val="21"/>
          <w:highlight w:val="none"/>
        </w:rPr>
      </w:pPr>
    </w:p>
    <w:p w14:paraId="5372B3FF">
      <w:pPr>
        <w:wordWrap w:val="0"/>
        <w:spacing w:line="360" w:lineRule="auto"/>
        <w:ind w:right="105"/>
        <w:jc w:val="right"/>
        <w:rPr>
          <w:rFonts w:hint="eastAsia" w:cs="仿宋_GB2312" w:asciiTheme="minorEastAsia" w:hAnsiTheme="minorEastAsia" w:eastAsiaTheme="minorEastAsia"/>
          <w:color w:val="auto"/>
          <w:szCs w:val="21"/>
          <w:highlight w:val="none"/>
        </w:rPr>
      </w:pPr>
    </w:p>
    <w:p w14:paraId="72702BA1">
      <w:pPr>
        <w:spacing w:line="360" w:lineRule="auto"/>
        <w:ind w:right="105"/>
        <w:jc w:val="right"/>
        <w:rPr>
          <w:rFonts w:hint="eastAsia" w:cs="仿宋_GB2312" w:asciiTheme="minorEastAsia" w:hAnsiTheme="minorEastAsia" w:eastAsiaTheme="minorEastAsia"/>
          <w:color w:val="auto"/>
          <w:szCs w:val="21"/>
          <w:highlight w:val="none"/>
        </w:rPr>
      </w:pPr>
    </w:p>
    <w:p w14:paraId="5446B234">
      <w:pPr>
        <w:spacing w:line="360" w:lineRule="auto"/>
        <w:ind w:right="105"/>
        <w:jc w:val="left"/>
        <w:rPr>
          <w:rFonts w:hint="eastAsia" w:cs="仿宋_GB2312" w:asciiTheme="minorEastAsia" w:hAnsiTheme="minorEastAsia" w:eastAsiaTheme="minorEastAsia"/>
          <w:color w:val="auto"/>
          <w:szCs w:val="21"/>
          <w:highlight w:val="none"/>
        </w:rPr>
      </w:pPr>
    </w:p>
    <w:p w14:paraId="372F5254">
      <w:pPr>
        <w:spacing w:line="360" w:lineRule="auto"/>
        <w:ind w:right="169"/>
        <w:jc w:val="left"/>
        <w:rPr>
          <w:rFonts w:hint="eastAsia" w:cs="仿宋_GB2312" w:asciiTheme="minorEastAsia" w:hAnsiTheme="minorEastAsia" w:eastAsiaTheme="minorEastAsia"/>
          <w:color w:val="auto"/>
          <w:szCs w:val="21"/>
          <w:highlight w:val="none"/>
          <w:u w:val="single"/>
        </w:rPr>
      </w:pPr>
      <w:r>
        <w:rPr>
          <w:rFonts w:hint="eastAsia" w:cs="仿宋_GB2312" w:asciiTheme="minorEastAsia" w:hAnsiTheme="minorEastAsia" w:eastAsiaTheme="minorEastAsia"/>
          <w:color w:val="auto"/>
          <w:szCs w:val="21"/>
          <w:highlight w:val="none"/>
        </w:rPr>
        <w:t xml:space="preserve">                                                </w:t>
      </w:r>
      <w:r>
        <w:rPr>
          <w:rFonts w:cs="仿宋_GB2312" w:asciiTheme="minorEastAsia" w:hAnsiTheme="minorEastAsia" w:eastAsiaTheme="minorEastAsia"/>
          <w:color w:val="auto"/>
          <w:szCs w:val="21"/>
          <w:highlight w:val="none"/>
        </w:rPr>
        <w:t xml:space="preserve">  </w:t>
      </w:r>
      <w:r>
        <w:rPr>
          <w:rFonts w:hint="eastAsia" w:cs="仿宋_GB2312" w:asciiTheme="minorEastAsia" w:hAnsiTheme="minorEastAsia" w:eastAsiaTheme="minorEastAsia"/>
          <w:color w:val="auto"/>
          <w:szCs w:val="21"/>
          <w:highlight w:val="none"/>
        </w:rPr>
        <w:t>供应商：</w:t>
      </w:r>
      <w:r>
        <w:rPr>
          <w:rFonts w:hint="eastAsia" w:cs="仿宋_GB2312"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u w:val="single"/>
        </w:rPr>
        <w:t>电子签章</w:t>
      </w:r>
      <w:r>
        <w:rPr>
          <w:rFonts w:hint="eastAsia" w:cs="仿宋_GB2312" w:asciiTheme="minorEastAsia" w:hAnsiTheme="minorEastAsia" w:eastAsiaTheme="minorEastAsia"/>
          <w:color w:val="auto"/>
          <w:szCs w:val="21"/>
          <w:highlight w:val="none"/>
          <w:u w:val="single"/>
        </w:rPr>
        <w:t>）</w:t>
      </w:r>
    </w:p>
    <w:p w14:paraId="2D762766">
      <w:pPr>
        <w:spacing w:before="60" w:after="60" w:line="360" w:lineRule="auto"/>
        <w:ind w:right="420" w:firstLine="5250" w:firstLineChars="25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日 期：</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年</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月</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日</w:t>
      </w:r>
    </w:p>
    <w:p w14:paraId="28D24774">
      <w:pPr>
        <w:spacing w:line="360" w:lineRule="auto"/>
        <w:ind w:firstLine="358" w:firstLineChars="170"/>
        <w:rPr>
          <w:rFonts w:hint="eastAsia" w:cs="宋体" w:asciiTheme="minorEastAsia" w:hAnsiTheme="minorEastAsia" w:eastAsiaTheme="minorEastAsia"/>
          <w:b/>
          <w:color w:val="auto"/>
          <w:szCs w:val="21"/>
          <w:highlight w:val="none"/>
        </w:rPr>
      </w:pPr>
    </w:p>
    <w:p w14:paraId="260BE6FD">
      <w:pPr>
        <w:widowControl/>
        <w:spacing w:line="360" w:lineRule="auto"/>
        <w:jc w:val="left"/>
        <w:rPr>
          <w:rFonts w:hint="eastAsia" w:cs="仿宋_GB2312" w:asciiTheme="minorEastAsia" w:hAnsiTheme="minorEastAsia" w:eastAsiaTheme="minorEastAsia"/>
          <w:color w:val="auto"/>
          <w:szCs w:val="21"/>
          <w:highlight w:val="none"/>
        </w:rPr>
      </w:pPr>
    </w:p>
    <w:p w14:paraId="61219000">
      <w:pPr>
        <w:spacing w:line="360" w:lineRule="auto"/>
        <w:jc w:val="center"/>
        <w:outlineLvl w:val="2"/>
        <w:rPr>
          <w:rFonts w:hint="eastAsia" w:asciiTheme="minorEastAsia" w:hAnsiTheme="minorEastAsia" w:eastAsiaTheme="minorEastAsia"/>
          <w:b/>
          <w:color w:val="auto"/>
          <w:sz w:val="28"/>
          <w:szCs w:val="28"/>
          <w:highlight w:val="none"/>
        </w:rPr>
        <w:sectPr>
          <w:headerReference r:id="rId10" w:type="first"/>
          <w:footerReference r:id="rId11" w:type="first"/>
          <w:pgSz w:w="11906" w:h="16838"/>
          <w:pgMar w:top="1440" w:right="1474" w:bottom="1440" w:left="1474" w:header="851" w:footer="851" w:gutter="0"/>
          <w:cols w:space="720" w:num="1"/>
          <w:docGrid w:linePitch="312" w:charSpace="0"/>
        </w:sectPr>
      </w:pPr>
    </w:p>
    <w:p w14:paraId="433FB7A3">
      <w:pPr>
        <w:spacing w:line="360" w:lineRule="auto"/>
        <w:jc w:val="center"/>
        <w:outlineLvl w:val="3"/>
        <w:rPr>
          <w:rFonts w:hint="eastAsia" w:asciiTheme="minorEastAsia" w:hAnsiTheme="minorEastAsia" w:eastAsiaTheme="minorEastAsia"/>
          <w:b/>
          <w:color w:val="auto"/>
          <w:sz w:val="28"/>
          <w:szCs w:val="28"/>
          <w:highlight w:val="none"/>
        </w:rPr>
      </w:pPr>
      <w:bookmarkStart w:id="1149" w:name="_Toc116584075"/>
      <w:r>
        <w:rPr>
          <w:rFonts w:hint="eastAsia" w:asciiTheme="minorEastAsia" w:hAnsiTheme="minorEastAsia" w:eastAsiaTheme="minorEastAsia"/>
          <w:b/>
          <w:color w:val="auto"/>
          <w:sz w:val="28"/>
          <w:szCs w:val="28"/>
          <w:highlight w:val="none"/>
        </w:rPr>
        <w:t>2、</w:t>
      </w:r>
      <w:r>
        <w:rPr>
          <w:rFonts w:asciiTheme="minorEastAsia" w:hAnsiTheme="minorEastAsia" w:eastAsiaTheme="minorEastAsia"/>
          <w:b/>
          <w:color w:val="auto"/>
          <w:sz w:val="28"/>
          <w:szCs w:val="28"/>
          <w:highlight w:val="none"/>
        </w:rPr>
        <w:t>授权委托书</w:t>
      </w:r>
      <w:bookmarkEnd w:id="1149"/>
    </w:p>
    <w:p w14:paraId="7E74AFEB">
      <w:pPr>
        <w:spacing w:line="360" w:lineRule="auto"/>
        <w:rPr>
          <w:rFonts w:hint="eastAsia" w:asciiTheme="minorEastAsia" w:hAnsiTheme="minorEastAsia" w:eastAsiaTheme="minorEastAsia"/>
          <w:color w:val="auto"/>
          <w:highlight w:val="none"/>
        </w:rPr>
      </w:pPr>
    </w:p>
    <w:p w14:paraId="5D8DC40E">
      <w:pPr>
        <w:spacing w:line="360" w:lineRule="auto"/>
        <w:ind w:firstLine="420" w:firstLineChars="200"/>
        <w:rPr>
          <w:rFonts w:hint="eastAsia"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本人</w:t>
      </w:r>
      <w:r>
        <w:rPr>
          <w:rFonts w:hint="eastAsia" w:cs="仿宋_GB2312" w:asciiTheme="minorEastAsia" w:hAnsiTheme="minorEastAsia" w:eastAsiaTheme="minorEastAsia"/>
          <w:color w:val="auto"/>
          <w:szCs w:val="21"/>
          <w:highlight w:val="none"/>
          <w:u w:val="single"/>
        </w:rPr>
        <w:t xml:space="preserve">    </w:t>
      </w:r>
      <w:r>
        <w:rPr>
          <w:rFonts w:cs="仿宋_GB2312" w:asciiTheme="minorEastAsia" w:hAnsiTheme="minorEastAsia" w:eastAsiaTheme="minorEastAsia"/>
          <w:color w:val="auto"/>
          <w:szCs w:val="21"/>
          <w:highlight w:val="none"/>
          <w:u w:val="single"/>
        </w:rPr>
        <w:t xml:space="preserve"> </w:t>
      </w:r>
      <w:r>
        <w:rPr>
          <w:rFonts w:hint="eastAsia" w:cs="仿宋_GB2312" w:asciiTheme="minorEastAsia" w:hAnsiTheme="minorEastAsia" w:eastAsiaTheme="minorEastAsia"/>
          <w:color w:val="auto"/>
          <w:szCs w:val="21"/>
          <w:highlight w:val="none"/>
        </w:rPr>
        <w:t>（姓名）系</w:t>
      </w:r>
      <w:r>
        <w:rPr>
          <w:rFonts w:hint="eastAsia" w:cs="仿宋_GB2312" w:asciiTheme="minorEastAsia" w:hAnsiTheme="minorEastAsia" w:eastAsiaTheme="minorEastAsia"/>
          <w:color w:val="auto"/>
          <w:szCs w:val="21"/>
          <w:highlight w:val="none"/>
          <w:u w:val="single"/>
        </w:rPr>
        <w:t xml:space="preserve">     </w:t>
      </w:r>
      <w:r>
        <w:rPr>
          <w:rFonts w:cs="仿宋_GB2312" w:asciiTheme="minorEastAsia" w:hAnsiTheme="minorEastAsia" w:eastAsiaTheme="minorEastAsia"/>
          <w:color w:val="auto"/>
          <w:szCs w:val="21"/>
          <w:highlight w:val="none"/>
          <w:u w:val="single"/>
        </w:rPr>
        <w:t xml:space="preserve">        </w:t>
      </w:r>
      <w:r>
        <w:rPr>
          <w:rFonts w:hint="eastAsia" w:cs="仿宋_GB2312" w:asciiTheme="minorEastAsia" w:hAnsiTheme="minorEastAsia" w:eastAsiaTheme="minorEastAsia"/>
          <w:color w:val="auto"/>
          <w:szCs w:val="21"/>
          <w:highlight w:val="none"/>
        </w:rPr>
        <w:t>（供应商名称）的法定代表人，现委托</w:t>
      </w:r>
      <w:r>
        <w:rPr>
          <w:rFonts w:hint="eastAsia" w:cs="仿宋_GB2312" w:asciiTheme="minorEastAsia" w:hAnsiTheme="minorEastAsia" w:eastAsiaTheme="minorEastAsia"/>
          <w:color w:val="auto"/>
          <w:szCs w:val="21"/>
          <w:highlight w:val="none"/>
          <w:u w:val="single"/>
        </w:rPr>
        <w:t xml:space="preserve">       </w:t>
      </w:r>
      <w:r>
        <w:rPr>
          <w:rFonts w:hint="eastAsia" w:cs="仿宋_GB2312" w:asciiTheme="minorEastAsia" w:hAnsiTheme="minorEastAsia" w:eastAsiaTheme="minorEastAsia"/>
          <w:color w:val="auto"/>
          <w:szCs w:val="21"/>
          <w:highlight w:val="none"/>
        </w:rPr>
        <w:t>（姓名）为我方代理人。代理人根据授权，以我方名义签署、澄清、说明、补正、</w:t>
      </w:r>
      <w:r>
        <w:rPr>
          <w:rFonts w:hint="eastAsia" w:asciiTheme="minorEastAsia" w:hAnsiTheme="minorEastAsia" w:eastAsiaTheme="minorEastAsia"/>
          <w:color w:val="auto"/>
          <w:szCs w:val="28"/>
          <w:highlight w:val="none"/>
        </w:rPr>
        <w:t>提交</w:t>
      </w:r>
      <w:r>
        <w:rPr>
          <w:rFonts w:hint="eastAsia" w:cs="仿宋_GB2312" w:asciiTheme="minorEastAsia" w:hAnsiTheme="minorEastAsia" w:eastAsiaTheme="minorEastAsia"/>
          <w:color w:val="auto"/>
          <w:szCs w:val="21"/>
          <w:highlight w:val="none"/>
        </w:rPr>
        <w:t>、撤回、修改</w:t>
      </w:r>
      <w:r>
        <w:rPr>
          <w:rFonts w:hint="eastAsia" w:cs="仿宋_GB2312" w:asciiTheme="minorEastAsia" w:hAnsiTheme="minorEastAsia" w:eastAsiaTheme="minorEastAsia"/>
          <w:color w:val="auto"/>
          <w:szCs w:val="21"/>
          <w:highlight w:val="none"/>
          <w:u w:val="single"/>
        </w:rPr>
        <w:t xml:space="preserve">（项目名称） </w:t>
      </w:r>
      <w:r>
        <w:rPr>
          <w:rFonts w:hint="eastAsia" w:cs="仿宋_GB2312" w:asciiTheme="minorEastAsia" w:hAnsiTheme="minorEastAsia" w:eastAsiaTheme="minorEastAsia"/>
          <w:color w:val="auto"/>
          <w:szCs w:val="21"/>
          <w:highlight w:val="none"/>
        </w:rPr>
        <w:t>的响应文件，其法律后果由我方承担。</w:t>
      </w:r>
    </w:p>
    <w:p w14:paraId="22A72654">
      <w:pPr>
        <w:spacing w:line="360" w:lineRule="auto"/>
        <w:ind w:firstLine="420" w:firstLineChars="200"/>
        <w:rPr>
          <w:rFonts w:hint="eastAsia"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委托期限：</w:t>
      </w:r>
      <w:r>
        <w:rPr>
          <w:rFonts w:hint="eastAsia" w:cs="仿宋_GB2312" w:asciiTheme="minorEastAsia" w:hAnsiTheme="minorEastAsia" w:eastAsiaTheme="minorEastAsia"/>
          <w:color w:val="auto"/>
          <w:szCs w:val="21"/>
          <w:highlight w:val="none"/>
          <w:u w:val="single"/>
        </w:rPr>
        <w:t xml:space="preserve">                         </w:t>
      </w:r>
      <w:r>
        <w:rPr>
          <w:rFonts w:hint="eastAsia" w:cs="仿宋_GB2312" w:asciiTheme="minorEastAsia" w:hAnsiTheme="minorEastAsia" w:eastAsiaTheme="minorEastAsia"/>
          <w:color w:val="auto"/>
          <w:szCs w:val="21"/>
          <w:highlight w:val="none"/>
        </w:rPr>
        <w:t>。</w:t>
      </w:r>
    </w:p>
    <w:p w14:paraId="017624CF">
      <w:pPr>
        <w:spacing w:line="360" w:lineRule="auto"/>
        <w:ind w:firstLine="420" w:firstLineChars="200"/>
        <w:rPr>
          <w:rFonts w:hint="eastAsia"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代理人无转委托权。</w:t>
      </w:r>
    </w:p>
    <w:p w14:paraId="2C6EC6D5">
      <w:pPr>
        <w:autoSpaceDE w:val="0"/>
        <w:autoSpaceDN w:val="0"/>
        <w:adjustRightInd w:val="0"/>
        <w:spacing w:line="360" w:lineRule="auto"/>
        <w:rPr>
          <w:rFonts w:hint="eastAsia"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 xml:space="preserve">        </w:t>
      </w:r>
    </w:p>
    <w:p w14:paraId="30CEA49C">
      <w:pPr>
        <w:autoSpaceDE w:val="0"/>
        <w:autoSpaceDN w:val="0"/>
        <w:adjustRightInd w:val="0"/>
        <w:spacing w:line="360" w:lineRule="auto"/>
        <w:jc w:val="center"/>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附：委托代理人身份证的原件扫描件。</w:t>
      </w:r>
    </w:p>
    <w:p w14:paraId="028DC1BD">
      <w:pPr>
        <w:spacing w:line="360" w:lineRule="auto"/>
        <w:ind w:firstLine="420" w:firstLineChars="200"/>
        <w:rPr>
          <w:rFonts w:hint="eastAsia" w:cs="仿宋_GB2312" w:asciiTheme="minorEastAsia" w:hAnsiTheme="minorEastAsia" w:eastAsiaTheme="minorEastAsia"/>
          <w:color w:val="auto"/>
          <w:szCs w:val="21"/>
          <w:highlight w:val="none"/>
        </w:rPr>
      </w:pPr>
    </w:p>
    <w:p w14:paraId="134E2F51">
      <w:pPr>
        <w:spacing w:line="360" w:lineRule="auto"/>
        <w:ind w:firstLine="420" w:firstLineChars="200"/>
        <w:rPr>
          <w:rFonts w:hint="eastAsia" w:cs="仿宋_GB2312" w:asciiTheme="minorEastAsia" w:hAnsiTheme="minorEastAsia" w:eastAsiaTheme="minorEastAsia"/>
          <w:color w:val="auto"/>
          <w:szCs w:val="21"/>
          <w:highlight w:val="none"/>
        </w:rPr>
      </w:pPr>
    </w:p>
    <w:p w14:paraId="3979E260">
      <w:pPr>
        <w:spacing w:line="360" w:lineRule="auto"/>
        <w:ind w:firstLine="420" w:firstLineChars="200"/>
        <w:rPr>
          <w:rFonts w:hint="eastAsia" w:cs="仿宋_GB2312" w:asciiTheme="minorEastAsia" w:hAnsiTheme="minorEastAsia" w:eastAsiaTheme="minorEastAsia"/>
          <w:color w:val="auto"/>
          <w:szCs w:val="21"/>
          <w:highlight w:val="none"/>
        </w:rPr>
      </w:pPr>
    </w:p>
    <w:p w14:paraId="13EE4898">
      <w:pPr>
        <w:spacing w:line="360" w:lineRule="auto"/>
        <w:rPr>
          <w:rFonts w:hint="eastAsia" w:cs="仿宋_GB2312" w:asciiTheme="minorEastAsia" w:hAnsiTheme="minorEastAsia" w:eastAsiaTheme="minorEastAsia"/>
          <w:color w:val="auto"/>
          <w:szCs w:val="21"/>
          <w:highlight w:val="none"/>
        </w:rPr>
      </w:pPr>
    </w:p>
    <w:p w14:paraId="3763A492">
      <w:pPr>
        <w:spacing w:line="360" w:lineRule="auto"/>
        <w:ind w:firstLine="420" w:firstLineChars="200"/>
        <w:rPr>
          <w:rFonts w:hint="eastAsia" w:cs="仿宋_GB2312" w:asciiTheme="minorEastAsia" w:hAnsiTheme="minorEastAsia" w:eastAsiaTheme="minorEastAsia"/>
          <w:color w:val="auto"/>
          <w:szCs w:val="21"/>
          <w:highlight w:val="none"/>
        </w:rPr>
      </w:pPr>
    </w:p>
    <w:p w14:paraId="04AD351B">
      <w:pPr>
        <w:spacing w:line="360" w:lineRule="auto"/>
        <w:ind w:firstLine="539" w:firstLineChars="257"/>
        <w:rPr>
          <w:rFonts w:hint="eastAsia" w:cs="仿宋_GB2312" w:asciiTheme="minorEastAsia" w:hAnsiTheme="minorEastAsia" w:eastAsiaTheme="minorEastAsia"/>
          <w:color w:val="auto"/>
          <w:szCs w:val="21"/>
          <w:highlight w:val="none"/>
        </w:rPr>
      </w:pPr>
    </w:p>
    <w:p w14:paraId="03DB0BE7">
      <w:pPr>
        <w:spacing w:line="360" w:lineRule="auto"/>
        <w:ind w:firstLine="539" w:firstLineChars="257"/>
        <w:rPr>
          <w:rFonts w:hint="eastAsia" w:cs="仿宋_GB2312" w:asciiTheme="minorEastAsia" w:hAnsiTheme="minorEastAsia" w:eastAsiaTheme="minorEastAsia"/>
          <w:color w:val="auto"/>
          <w:szCs w:val="21"/>
          <w:highlight w:val="none"/>
        </w:rPr>
      </w:pPr>
    </w:p>
    <w:p w14:paraId="05644E26">
      <w:pPr>
        <w:spacing w:line="360" w:lineRule="auto"/>
        <w:ind w:firstLine="539" w:firstLineChars="257"/>
        <w:rPr>
          <w:rFonts w:hint="eastAsia" w:cs="仿宋_GB2312" w:asciiTheme="minorEastAsia" w:hAnsiTheme="minorEastAsia" w:eastAsiaTheme="minorEastAsia"/>
          <w:color w:val="auto"/>
          <w:szCs w:val="21"/>
          <w:highlight w:val="none"/>
        </w:rPr>
      </w:pPr>
    </w:p>
    <w:p w14:paraId="7416C83D">
      <w:pPr>
        <w:spacing w:line="360" w:lineRule="auto"/>
        <w:ind w:firstLine="539" w:firstLineChars="257"/>
        <w:rPr>
          <w:rFonts w:hint="eastAsia" w:cs="仿宋_GB2312" w:asciiTheme="minorEastAsia" w:hAnsiTheme="minorEastAsia" w:eastAsiaTheme="minorEastAsia"/>
          <w:color w:val="auto"/>
          <w:szCs w:val="21"/>
          <w:highlight w:val="none"/>
        </w:rPr>
      </w:pPr>
    </w:p>
    <w:p w14:paraId="290CD475">
      <w:pPr>
        <w:spacing w:line="360" w:lineRule="auto"/>
        <w:ind w:right="420" w:firstLine="4095" w:firstLineChars="1950"/>
        <w:jc w:val="left"/>
        <w:rPr>
          <w:rFonts w:hint="eastAsia"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供应商：</w:t>
      </w:r>
      <w:r>
        <w:rPr>
          <w:rFonts w:hint="eastAsia" w:cs="仿宋_GB2312"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u w:val="single"/>
        </w:rPr>
        <w:t>电子签章</w:t>
      </w:r>
      <w:r>
        <w:rPr>
          <w:rFonts w:hint="eastAsia" w:cs="仿宋_GB2312" w:asciiTheme="minorEastAsia" w:hAnsiTheme="minorEastAsia" w:eastAsiaTheme="minorEastAsia"/>
          <w:color w:val="auto"/>
          <w:szCs w:val="21"/>
          <w:highlight w:val="none"/>
          <w:u w:val="single"/>
        </w:rPr>
        <w:t>）</w:t>
      </w:r>
    </w:p>
    <w:p w14:paraId="6C3F4F90">
      <w:pPr>
        <w:wordWrap w:val="0"/>
        <w:spacing w:line="360" w:lineRule="auto"/>
        <w:ind w:right="420" w:firstLine="4095" w:firstLineChars="1950"/>
        <w:jc w:val="left"/>
        <w:rPr>
          <w:rFonts w:hint="eastAsia" w:cs="仿宋_GB2312" w:asciiTheme="minorEastAsia" w:hAnsiTheme="minorEastAsia" w:eastAsiaTheme="minorEastAsia"/>
          <w:color w:val="auto"/>
          <w:szCs w:val="21"/>
          <w:highlight w:val="none"/>
          <w:u w:val="single"/>
        </w:rPr>
      </w:pPr>
      <w:r>
        <w:rPr>
          <w:rFonts w:hint="eastAsia" w:cs="仿宋_GB2312" w:asciiTheme="minorEastAsia" w:hAnsiTheme="minorEastAsia" w:eastAsiaTheme="minorEastAsia"/>
          <w:color w:val="auto"/>
          <w:szCs w:val="21"/>
          <w:highlight w:val="none"/>
        </w:rPr>
        <w:t>法定代表人：</w:t>
      </w:r>
      <w:r>
        <w:rPr>
          <w:rFonts w:hint="eastAsia" w:cs="仿宋_GB2312" w:asciiTheme="minorEastAsia" w:hAnsiTheme="minorEastAsia" w:eastAsiaTheme="minorEastAsia"/>
          <w:color w:val="auto"/>
          <w:szCs w:val="21"/>
          <w:highlight w:val="none"/>
          <w:u w:val="single"/>
        </w:rPr>
        <w:t xml:space="preserve">           </w:t>
      </w:r>
      <w:r>
        <w:rPr>
          <w:rFonts w:cs="仿宋_GB2312" w:asciiTheme="minorEastAsia" w:hAnsiTheme="minorEastAsia" w:eastAsiaTheme="minorEastAsia"/>
          <w:color w:val="auto"/>
          <w:szCs w:val="21"/>
          <w:highlight w:val="none"/>
          <w:u w:val="single"/>
        </w:rPr>
        <w:t xml:space="preserve">  </w:t>
      </w:r>
      <w:r>
        <w:rPr>
          <w:rFonts w:hint="eastAsia" w:cs="仿宋_GB2312" w:asciiTheme="minorEastAsia" w:hAnsiTheme="minorEastAsia" w:eastAsiaTheme="minorEastAsia"/>
          <w:color w:val="auto"/>
          <w:szCs w:val="21"/>
          <w:highlight w:val="none"/>
          <w:u w:val="single"/>
        </w:rPr>
        <w:t>（</w:t>
      </w:r>
      <w:r>
        <w:rPr>
          <w:rFonts w:hint="eastAsia" w:asciiTheme="minorEastAsia" w:hAnsiTheme="minorEastAsia" w:eastAsiaTheme="minorEastAsia"/>
          <w:color w:val="auto"/>
          <w:szCs w:val="21"/>
          <w:highlight w:val="none"/>
          <w:u w:val="single"/>
        </w:rPr>
        <w:t>电子签章</w:t>
      </w:r>
      <w:r>
        <w:rPr>
          <w:rFonts w:hint="eastAsia" w:cs="仿宋_GB2312" w:asciiTheme="minorEastAsia" w:hAnsiTheme="minorEastAsia" w:eastAsiaTheme="minorEastAsia"/>
          <w:color w:val="auto"/>
          <w:szCs w:val="21"/>
          <w:highlight w:val="none"/>
          <w:u w:val="single"/>
        </w:rPr>
        <w:t>）</w:t>
      </w:r>
    </w:p>
    <w:p w14:paraId="53DC36F4">
      <w:pPr>
        <w:wordWrap w:val="0"/>
        <w:spacing w:line="360" w:lineRule="auto"/>
        <w:ind w:right="464" w:firstLine="4095" w:firstLineChars="1950"/>
        <w:jc w:val="left"/>
        <w:rPr>
          <w:rFonts w:hint="eastAsia"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身份证号码：</w:t>
      </w:r>
      <w:r>
        <w:rPr>
          <w:rFonts w:hint="eastAsia" w:cs="仿宋_GB2312" w:asciiTheme="minorEastAsia" w:hAnsiTheme="minorEastAsia" w:eastAsiaTheme="minorEastAsia"/>
          <w:color w:val="auto"/>
          <w:szCs w:val="21"/>
          <w:highlight w:val="none"/>
          <w:u w:val="single"/>
        </w:rPr>
        <w:t xml:space="preserve">                         </w:t>
      </w:r>
    </w:p>
    <w:p w14:paraId="4235215B">
      <w:pPr>
        <w:wordWrap w:val="0"/>
        <w:spacing w:line="360" w:lineRule="auto"/>
        <w:ind w:right="420" w:firstLine="4095" w:firstLineChars="1950"/>
        <w:jc w:val="left"/>
        <w:rPr>
          <w:rFonts w:hint="eastAsia"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授权委托人：</w:t>
      </w:r>
      <w:r>
        <w:rPr>
          <w:rFonts w:hint="eastAsia" w:cs="仿宋_GB2312" w:asciiTheme="minorEastAsia" w:hAnsiTheme="minorEastAsia" w:eastAsiaTheme="minorEastAsia"/>
          <w:color w:val="auto"/>
          <w:szCs w:val="21"/>
          <w:highlight w:val="none"/>
          <w:u w:val="single"/>
        </w:rPr>
        <w:t xml:space="preserve">                 </w:t>
      </w:r>
      <w:r>
        <w:rPr>
          <w:rFonts w:cs="仿宋_GB2312" w:asciiTheme="minorEastAsia" w:hAnsiTheme="minorEastAsia" w:eastAsiaTheme="minorEastAsia"/>
          <w:color w:val="auto"/>
          <w:szCs w:val="21"/>
          <w:highlight w:val="none"/>
          <w:u w:val="single"/>
        </w:rPr>
        <w:t xml:space="preserve">        </w:t>
      </w:r>
    </w:p>
    <w:p w14:paraId="0B4D7D6C">
      <w:pPr>
        <w:wordWrap w:val="0"/>
        <w:spacing w:line="360" w:lineRule="auto"/>
        <w:ind w:right="464" w:firstLine="4095" w:firstLineChars="1950"/>
        <w:jc w:val="left"/>
        <w:rPr>
          <w:rFonts w:hint="eastAsia" w:cs="仿宋_GB2312" w:asciiTheme="minorEastAsia" w:hAnsiTheme="minorEastAsia" w:eastAsiaTheme="minorEastAsia"/>
          <w:color w:val="auto"/>
          <w:szCs w:val="21"/>
          <w:highlight w:val="none"/>
          <w:u w:val="single"/>
        </w:rPr>
      </w:pPr>
      <w:r>
        <w:rPr>
          <w:rFonts w:hint="eastAsia" w:cs="仿宋_GB2312" w:asciiTheme="minorEastAsia" w:hAnsiTheme="minorEastAsia" w:eastAsiaTheme="minorEastAsia"/>
          <w:color w:val="auto"/>
          <w:szCs w:val="21"/>
          <w:highlight w:val="none"/>
        </w:rPr>
        <w:t>身份证号码：</w:t>
      </w:r>
      <w:r>
        <w:rPr>
          <w:rFonts w:hint="eastAsia" w:cs="仿宋_GB2312" w:asciiTheme="minorEastAsia" w:hAnsiTheme="minorEastAsia" w:eastAsiaTheme="minorEastAsia"/>
          <w:color w:val="auto"/>
          <w:szCs w:val="21"/>
          <w:highlight w:val="none"/>
          <w:u w:val="single"/>
        </w:rPr>
        <w:t xml:space="preserve">                         </w:t>
      </w:r>
    </w:p>
    <w:p w14:paraId="36D15826">
      <w:pPr>
        <w:wordWrap w:val="0"/>
        <w:spacing w:line="360" w:lineRule="auto"/>
        <w:ind w:right="464" w:firstLine="4095" w:firstLineChars="1950"/>
        <w:jc w:val="left"/>
        <w:rPr>
          <w:rFonts w:hint="eastAsia" w:cs="仿宋_GB2312"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日 期：</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年</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月</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日</w:t>
      </w:r>
    </w:p>
    <w:p w14:paraId="182F8153">
      <w:pPr>
        <w:spacing w:before="60" w:after="60" w:line="360" w:lineRule="auto"/>
        <w:ind w:right="840"/>
        <w:jc w:val="center"/>
        <w:rPr>
          <w:rFonts w:hint="eastAsia" w:asciiTheme="minorEastAsia" w:hAnsiTheme="minorEastAsia" w:eastAsiaTheme="minorEastAsia"/>
          <w:color w:val="auto"/>
          <w:szCs w:val="21"/>
          <w:highlight w:val="none"/>
        </w:rPr>
      </w:pPr>
    </w:p>
    <w:p w14:paraId="7181069F">
      <w:pPr>
        <w:spacing w:line="360" w:lineRule="auto"/>
        <w:ind w:right="420"/>
        <w:rPr>
          <w:rFonts w:hint="eastAsia" w:cs="仿宋_GB2312" w:asciiTheme="minorEastAsia" w:hAnsiTheme="minorEastAsia" w:eastAsiaTheme="minorEastAsia"/>
          <w:b/>
          <w:color w:val="auto"/>
          <w:szCs w:val="21"/>
          <w:highlight w:val="none"/>
        </w:rPr>
      </w:pPr>
    </w:p>
    <w:p w14:paraId="7DE7E7D0">
      <w:pPr>
        <w:spacing w:line="360" w:lineRule="auto"/>
        <w:ind w:right="420" w:firstLine="422" w:firstLineChars="200"/>
        <w:rPr>
          <w:rFonts w:hint="eastAsia" w:cs="仿宋_GB2312" w:asciiTheme="minorEastAsia" w:hAnsiTheme="minorEastAsia" w:eastAsiaTheme="minorEastAsia"/>
          <w:b/>
          <w:bCs/>
          <w:color w:val="auto"/>
          <w:szCs w:val="21"/>
          <w:highlight w:val="none"/>
        </w:rPr>
      </w:pPr>
      <w:r>
        <w:rPr>
          <w:rFonts w:hint="eastAsia" w:cs="仿宋_GB2312" w:asciiTheme="minorEastAsia" w:hAnsiTheme="minorEastAsia" w:eastAsiaTheme="minorEastAsia"/>
          <w:b/>
          <w:bCs/>
          <w:color w:val="auto"/>
          <w:szCs w:val="21"/>
          <w:highlight w:val="none"/>
        </w:rPr>
        <w:t>注：1.如供应商由法定代表人亲自签署响应文件并参与相关活动，则不需要办理授权；如有被授权的代理人签署上述文件，则必须按本格式规定填报并提交授权书，否则被授权的代理人将不被认可。</w:t>
      </w:r>
    </w:p>
    <w:p w14:paraId="44B4FFB0">
      <w:pPr>
        <w:spacing w:line="360" w:lineRule="auto"/>
        <w:ind w:right="420" w:firstLine="738" w:firstLineChars="350"/>
        <w:rPr>
          <w:rFonts w:hint="eastAsia" w:cs="仿宋_GB2312" w:asciiTheme="minorEastAsia" w:hAnsiTheme="minorEastAsia" w:eastAsiaTheme="minorEastAsia"/>
          <w:b/>
          <w:bCs/>
          <w:color w:val="auto"/>
          <w:szCs w:val="21"/>
          <w:highlight w:val="none"/>
        </w:rPr>
      </w:pPr>
      <w:r>
        <w:rPr>
          <w:rFonts w:hint="eastAsia" w:cs="仿宋_GB2312" w:asciiTheme="minorEastAsia" w:hAnsiTheme="minorEastAsia" w:eastAsiaTheme="minorEastAsia"/>
          <w:b/>
          <w:bCs/>
          <w:color w:val="auto"/>
          <w:szCs w:val="21"/>
          <w:highlight w:val="none"/>
        </w:rPr>
        <w:t>2.本授权委托书配合法定代表人身份证明使用方可生效。</w:t>
      </w:r>
    </w:p>
    <w:p w14:paraId="486599C5">
      <w:pPr>
        <w:pStyle w:val="14"/>
        <w:spacing w:line="360" w:lineRule="auto"/>
        <w:rPr>
          <w:rFonts w:hint="eastAsia" w:asciiTheme="minorEastAsia" w:hAnsiTheme="minorEastAsia" w:eastAsiaTheme="minorEastAsia"/>
          <w:color w:val="auto"/>
          <w:highlight w:val="none"/>
        </w:rPr>
        <w:sectPr>
          <w:pgSz w:w="11906" w:h="16838"/>
          <w:pgMar w:top="1440" w:right="1474" w:bottom="1440" w:left="1474" w:header="851" w:footer="851" w:gutter="0"/>
          <w:cols w:space="720" w:num="1"/>
          <w:docGrid w:linePitch="312" w:charSpace="0"/>
        </w:sectPr>
      </w:pPr>
    </w:p>
    <w:p w14:paraId="1D599A50">
      <w:pPr>
        <w:spacing w:line="360" w:lineRule="auto"/>
        <w:jc w:val="center"/>
        <w:outlineLvl w:val="2"/>
        <w:rPr>
          <w:rFonts w:hint="eastAsia" w:asciiTheme="minorEastAsia" w:hAnsiTheme="minorEastAsia" w:eastAsiaTheme="minorEastAsia"/>
          <w:b/>
          <w:color w:val="auto"/>
          <w:sz w:val="28"/>
          <w:szCs w:val="28"/>
          <w:highlight w:val="none"/>
        </w:rPr>
      </w:pPr>
      <w:bookmarkStart w:id="1150" w:name="_Toc116584077"/>
      <w:r>
        <w:rPr>
          <w:rFonts w:hint="eastAsia" w:asciiTheme="minorEastAsia" w:hAnsiTheme="minorEastAsia" w:eastAsiaTheme="minorEastAsia"/>
          <w:b/>
          <w:color w:val="auto"/>
          <w:sz w:val="28"/>
          <w:szCs w:val="28"/>
          <w:highlight w:val="none"/>
        </w:rPr>
        <w:t>（三）供应商承诺</w:t>
      </w:r>
      <w:r>
        <w:rPr>
          <w:rFonts w:asciiTheme="minorEastAsia" w:hAnsiTheme="minorEastAsia" w:eastAsiaTheme="minorEastAsia"/>
          <w:b/>
          <w:color w:val="auto"/>
          <w:sz w:val="28"/>
          <w:szCs w:val="28"/>
          <w:highlight w:val="none"/>
        </w:rPr>
        <w:t>书</w:t>
      </w:r>
      <w:bookmarkEnd w:id="1150"/>
    </w:p>
    <w:p w14:paraId="1181B905">
      <w:pPr>
        <w:pStyle w:val="137"/>
        <w:spacing w:line="360" w:lineRule="auto"/>
        <w:rPr>
          <w:rFonts w:hint="eastAsia" w:asciiTheme="minorEastAsia" w:hAnsiTheme="minorEastAsia" w:eastAsiaTheme="minorEastAsia"/>
          <w:color w:val="auto"/>
          <w:highlight w:val="none"/>
          <w:lang w:val="zh-CN"/>
        </w:rPr>
      </w:pPr>
    </w:p>
    <w:p w14:paraId="38A3B302">
      <w:pPr>
        <w:pStyle w:val="137"/>
        <w:spacing w:line="360" w:lineRule="auto"/>
        <w:ind w:firstLine="420" w:firstLineChars="200"/>
        <w:rPr>
          <w:rFonts w:hint="eastAsia" w:asciiTheme="minorEastAsia" w:hAnsiTheme="minorEastAsia" w:eastAsiaTheme="minorEastAsia"/>
          <w:color w:val="auto"/>
          <w:highlight w:val="none"/>
          <w:lang w:val="zh-CN"/>
        </w:rPr>
      </w:pPr>
      <w:r>
        <w:rPr>
          <w:rFonts w:hint="eastAsia" w:asciiTheme="minorEastAsia" w:hAnsiTheme="minorEastAsia" w:eastAsiaTheme="minorEastAsia"/>
          <w:color w:val="auto"/>
          <w:highlight w:val="none"/>
          <w:lang w:val="zh-CN"/>
        </w:rPr>
        <w:t>我方</w:t>
      </w:r>
      <w:r>
        <w:rPr>
          <w:rFonts w:hint="eastAsia" w:cs="宋体" w:asciiTheme="minorEastAsia" w:hAnsiTheme="minorEastAsia" w:eastAsiaTheme="minorEastAsia"/>
          <w:color w:val="auto"/>
          <w:szCs w:val="21"/>
          <w:highlight w:val="none"/>
          <w:u w:val="single"/>
        </w:rPr>
        <w:t xml:space="preserve">   （供应商名称）   </w:t>
      </w:r>
      <w:r>
        <w:rPr>
          <w:rFonts w:hint="eastAsia" w:asciiTheme="minorEastAsia" w:hAnsiTheme="minorEastAsia" w:eastAsiaTheme="minorEastAsia"/>
          <w:color w:val="auto"/>
          <w:highlight w:val="none"/>
          <w:lang w:val="zh-CN"/>
        </w:rPr>
        <w:t>参与</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highlight w:val="none"/>
          <w:u w:val="single"/>
          <w:lang w:val="zh-CN"/>
        </w:rPr>
        <w:t xml:space="preserve">项目名称） </w:t>
      </w:r>
      <w:r>
        <w:rPr>
          <w:rFonts w:asciiTheme="minorEastAsia" w:hAnsiTheme="minorEastAsia" w:eastAsiaTheme="minorEastAsia"/>
          <w:color w:val="auto"/>
          <w:highlight w:val="none"/>
          <w:u w:val="single"/>
          <w:lang w:val="zh-CN"/>
        </w:rPr>
        <w:t xml:space="preserve">  </w:t>
      </w:r>
      <w:r>
        <w:rPr>
          <w:rFonts w:hint="eastAsia" w:asciiTheme="minorEastAsia" w:hAnsiTheme="minorEastAsia" w:eastAsiaTheme="minorEastAsia"/>
          <w:color w:val="auto"/>
          <w:highlight w:val="none"/>
          <w:lang w:val="zh-CN"/>
        </w:rPr>
        <w:t>的竞争性磋商，现作如下承诺：</w:t>
      </w:r>
    </w:p>
    <w:p w14:paraId="7B17246C">
      <w:pPr>
        <w:pStyle w:val="137"/>
        <w:spacing w:line="360" w:lineRule="auto"/>
        <w:ind w:firstLine="420" w:firstLineChars="200"/>
        <w:rPr>
          <w:rFonts w:hint="eastAsia" w:asciiTheme="minorEastAsia" w:hAnsiTheme="minorEastAsia" w:eastAsiaTheme="minorEastAsia"/>
          <w:color w:val="auto"/>
          <w:highlight w:val="none"/>
          <w:lang w:val="zh-CN"/>
        </w:rPr>
      </w:pPr>
      <w:r>
        <w:rPr>
          <w:rFonts w:hint="eastAsia" w:asciiTheme="minorEastAsia" w:hAnsiTheme="minorEastAsia" w:eastAsiaTheme="minorEastAsia"/>
          <w:color w:val="auto"/>
          <w:highlight w:val="none"/>
          <w:lang w:val="zh-CN"/>
        </w:rPr>
        <w:t>1.我方参与此次磋商活动所提交的所有资料都是合法、真实、有效的。</w:t>
      </w:r>
    </w:p>
    <w:p w14:paraId="41DD3520">
      <w:pPr>
        <w:pStyle w:val="137"/>
        <w:spacing w:line="360" w:lineRule="auto"/>
        <w:ind w:firstLine="420" w:firstLineChars="200"/>
        <w:rPr>
          <w:rFonts w:hint="eastAsia" w:asciiTheme="minorEastAsia" w:hAnsiTheme="minorEastAsia" w:eastAsiaTheme="minorEastAsia"/>
          <w:color w:val="auto"/>
          <w:highlight w:val="none"/>
          <w:lang w:val="zh-CN"/>
        </w:rPr>
      </w:pPr>
      <w:r>
        <w:rPr>
          <w:rFonts w:hint="eastAsia" w:asciiTheme="minorEastAsia" w:hAnsiTheme="minorEastAsia" w:eastAsiaTheme="minorEastAsia"/>
          <w:color w:val="auto"/>
          <w:highlight w:val="none"/>
          <w:lang w:val="zh-CN"/>
        </w:rPr>
        <w:t>2.不与其他</w:t>
      </w:r>
      <w:r>
        <w:rPr>
          <w:rFonts w:hint="eastAsia" w:asciiTheme="minorEastAsia" w:hAnsiTheme="minorEastAsia" w:eastAsiaTheme="minorEastAsia"/>
          <w:bCs/>
          <w:color w:val="auto"/>
          <w:szCs w:val="21"/>
          <w:highlight w:val="none"/>
        </w:rPr>
        <w:t>供应商</w:t>
      </w:r>
      <w:r>
        <w:rPr>
          <w:rFonts w:hint="eastAsia" w:asciiTheme="minorEastAsia" w:hAnsiTheme="minorEastAsia" w:eastAsiaTheme="minorEastAsia"/>
          <w:color w:val="auto"/>
          <w:highlight w:val="none"/>
          <w:lang w:val="zh-CN"/>
        </w:rPr>
        <w:t>串通磋商、围标，依法、依规公平竞争，不损害采购人或其他供应商的合法权益。</w:t>
      </w:r>
    </w:p>
    <w:p w14:paraId="5E4BEA0F">
      <w:pPr>
        <w:pStyle w:val="137"/>
        <w:spacing w:line="360" w:lineRule="auto"/>
        <w:ind w:firstLine="420" w:firstLineChars="200"/>
        <w:rPr>
          <w:rFonts w:hint="eastAsia" w:asciiTheme="minorEastAsia" w:hAnsiTheme="minorEastAsia" w:eastAsiaTheme="minorEastAsia"/>
          <w:color w:val="auto"/>
          <w:highlight w:val="none"/>
          <w:lang w:val="zh-CN"/>
        </w:rPr>
      </w:pPr>
      <w:r>
        <w:rPr>
          <w:rFonts w:hint="eastAsia" w:asciiTheme="minorEastAsia" w:hAnsiTheme="minorEastAsia" w:eastAsiaTheme="minorEastAsia"/>
          <w:color w:val="auto"/>
          <w:highlight w:val="none"/>
          <w:lang w:val="zh-CN"/>
        </w:rPr>
        <w:t>3.不转让、出租、出借资质证书、人员岗位证书，不以法律、法规禁止的方式磋商。</w:t>
      </w:r>
    </w:p>
    <w:p w14:paraId="215F2EB2">
      <w:pPr>
        <w:pStyle w:val="137"/>
        <w:spacing w:line="360" w:lineRule="auto"/>
        <w:ind w:firstLine="420" w:firstLineChars="200"/>
        <w:rPr>
          <w:rFonts w:hint="eastAsia" w:asciiTheme="minorEastAsia" w:hAnsiTheme="minorEastAsia" w:eastAsiaTheme="minorEastAsia"/>
          <w:color w:val="auto"/>
          <w:highlight w:val="none"/>
          <w:lang w:val="zh-CN"/>
        </w:rPr>
      </w:pPr>
      <w:r>
        <w:rPr>
          <w:rFonts w:hint="eastAsia" w:asciiTheme="minorEastAsia" w:hAnsiTheme="minorEastAsia" w:eastAsiaTheme="minorEastAsia"/>
          <w:color w:val="auto"/>
          <w:highlight w:val="none"/>
          <w:lang w:val="zh-CN"/>
        </w:rPr>
        <w:t>4.不与采购人或采购代理机构串通磋商，不损害国家利益、社会公共利益或其他当事人的合法权益。</w:t>
      </w:r>
    </w:p>
    <w:p w14:paraId="5B8F360F">
      <w:pPr>
        <w:pStyle w:val="137"/>
        <w:spacing w:line="360" w:lineRule="auto"/>
        <w:ind w:firstLine="420" w:firstLineChars="200"/>
        <w:rPr>
          <w:rFonts w:hint="eastAsia" w:asciiTheme="minorEastAsia" w:hAnsiTheme="minorEastAsia" w:eastAsiaTheme="minorEastAsia"/>
          <w:color w:val="auto"/>
          <w:highlight w:val="none"/>
          <w:lang w:val="zh-CN"/>
        </w:rPr>
      </w:pPr>
      <w:r>
        <w:rPr>
          <w:rFonts w:hint="eastAsia" w:asciiTheme="minorEastAsia" w:hAnsiTheme="minorEastAsia" w:eastAsiaTheme="minorEastAsia"/>
          <w:color w:val="auto"/>
          <w:highlight w:val="none"/>
          <w:lang w:val="zh-CN"/>
        </w:rPr>
        <w:t>5.不向采购人、磋商小组成员、监督人员行贿。</w:t>
      </w:r>
    </w:p>
    <w:p w14:paraId="2019BDA9">
      <w:pPr>
        <w:pStyle w:val="137"/>
        <w:spacing w:line="360" w:lineRule="auto"/>
        <w:ind w:firstLine="420" w:firstLineChars="200"/>
        <w:rPr>
          <w:rFonts w:hint="eastAsia" w:asciiTheme="minorEastAsia" w:hAnsiTheme="minorEastAsia" w:eastAsiaTheme="minorEastAsia"/>
          <w:color w:val="auto"/>
          <w:highlight w:val="none"/>
          <w:lang w:val="zh-CN"/>
        </w:rPr>
      </w:pPr>
      <w:r>
        <w:rPr>
          <w:rFonts w:hint="eastAsia" w:asciiTheme="minorEastAsia" w:hAnsiTheme="minorEastAsia" w:eastAsiaTheme="minorEastAsia"/>
          <w:color w:val="auto"/>
          <w:highlight w:val="none"/>
          <w:lang w:val="zh-CN"/>
        </w:rPr>
        <w:t>6.不扰乱交易活动正常秩序。</w:t>
      </w:r>
    </w:p>
    <w:p w14:paraId="168DB891">
      <w:pPr>
        <w:pStyle w:val="137"/>
        <w:spacing w:line="360" w:lineRule="auto"/>
        <w:ind w:firstLine="420" w:firstLineChars="200"/>
        <w:rPr>
          <w:rFonts w:hint="eastAsia" w:asciiTheme="minorEastAsia" w:hAnsiTheme="minorEastAsia" w:eastAsiaTheme="minorEastAsia"/>
          <w:color w:val="auto"/>
          <w:highlight w:val="none"/>
          <w:lang w:val="zh-CN"/>
        </w:rPr>
      </w:pPr>
      <w:r>
        <w:rPr>
          <w:rFonts w:hint="eastAsia" w:asciiTheme="minorEastAsia" w:hAnsiTheme="minorEastAsia" w:eastAsiaTheme="minorEastAsia"/>
          <w:color w:val="auto"/>
          <w:highlight w:val="none"/>
          <w:lang w:val="zh-CN"/>
        </w:rPr>
        <w:t>7.不进行虚假恶意投诉。</w:t>
      </w:r>
    </w:p>
    <w:p w14:paraId="55EE40AE">
      <w:pPr>
        <w:pStyle w:val="137"/>
        <w:spacing w:line="360" w:lineRule="auto"/>
        <w:ind w:firstLine="420" w:firstLineChars="200"/>
        <w:rPr>
          <w:rFonts w:hint="eastAsia" w:asciiTheme="minorEastAsia" w:hAnsiTheme="minorEastAsia" w:eastAsiaTheme="minorEastAsia"/>
          <w:color w:val="auto"/>
          <w:highlight w:val="none"/>
          <w:lang w:val="zh-CN"/>
        </w:rPr>
      </w:pPr>
      <w:r>
        <w:rPr>
          <w:rFonts w:hint="eastAsia" w:asciiTheme="minorEastAsia" w:hAnsiTheme="minorEastAsia" w:eastAsiaTheme="minorEastAsia"/>
          <w:color w:val="auto"/>
          <w:highlight w:val="none"/>
          <w:lang w:val="zh-CN"/>
        </w:rPr>
        <w:t>8.因违反法律、法规或相关规定被查处的，不干预案件查处。</w:t>
      </w:r>
    </w:p>
    <w:p w14:paraId="30344148">
      <w:pPr>
        <w:pStyle w:val="137"/>
        <w:spacing w:line="360" w:lineRule="auto"/>
        <w:ind w:firstLine="420" w:firstLineChars="200"/>
        <w:rPr>
          <w:rFonts w:hint="eastAsia" w:asciiTheme="minorEastAsia" w:hAnsiTheme="minorEastAsia" w:eastAsiaTheme="minorEastAsia"/>
          <w:color w:val="auto"/>
          <w:highlight w:val="none"/>
          <w:lang w:val="zh-CN"/>
        </w:rPr>
      </w:pPr>
      <w:r>
        <w:rPr>
          <w:rFonts w:hint="eastAsia" w:asciiTheme="minorEastAsia" w:hAnsiTheme="minorEastAsia" w:eastAsiaTheme="minorEastAsia"/>
          <w:color w:val="auto"/>
          <w:highlight w:val="none"/>
          <w:lang w:val="zh-CN"/>
        </w:rPr>
        <w:t>如出现违法、违规或不良行为，甘愿接受监督管理部门、纪检监察机关或司法机关调查处理。违法、违规或不良行为事实成立的，承担相关责任。给采购人造成损失的，依法承担赔偿责任。</w:t>
      </w:r>
    </w:p>
    <w:p w14:paraId="5FB93A7A">
      <w:pPr>
        <w:pStyle w:val="137"/>
        <w:spacing w:line="360" w:lineRule="auto"/>
        <w:ind w:firstLine="420" w:firstLineChars="200"/>
        <w:rPr>
          <w:rFonts w:hint="eastAsia" w:asciiTheme="minorEastAsia" w:hAnsiTheme="minorEastAsia" w:eastAsiaTheme="minorEastAsia"/>
          <w:color w:val="auto"/>
          <w:highlight w:val="none"/>
          <w:lang w:val="zh-CN"/>
        </w:rPr>
      </w:pPr>
    </w:p>
    <w:p w14:paraId="6005338F">
      <w:pPr>
        <w:pStyle w:val="137"/>
        <w:spacing w:line="360" w:lineRule="auto"/>
        <w:ind w:firstLine="420" w:firstLineChars="200"/>
        <w:rPr>
          <w:rFonts w:hint="eastAsia" w:asciiTheme="minorEastAsia" w:hAnsiTheme="minorEastAsia" w:eastAsiaTheme="minorEastAsia"/>
          <w:color w:val="auto"/>
          <w:highlight w:val="none"/>
          <w:lang w:val="zh-CN"/>
        </w:rPr>
      </w:pPr>
    </w:p>
    <w:p w14:paraId="4297DB9A">
      <w:pPr>
        <w:pStyle w:val="137"/>
        <w:spacing w:line="360" w:lineRule="auto"/>
        <w:rPr>
          <w:rFonts w:hint="eastAsia" w:asciiTheme="minorEastAsia" w:hAnsiTheme="minorEastAsia" w:eastAsiaTheme="minorEastAsia"/>
          <w:color w:val="auto"/>
          <w:highlight w:val="none"/>
          <w:lang w:val="zh-CN"/>
        </w:rPr>
      </w:pPr>
    </w:p>
    <w:p w14:paraId="56D076F0">
      <w:pPr>
        <w:autoSpaceDE w:val="0"/>
        <w:autoSpaceDN w:val="0"/>
        <w:adjustRightInd w:val="0"/>
        <w:spacing w:line="480" w:lineRule="auto"/>
        <w:ind w:firstLine="5040" w:firstLineChars="2400"/>
        <w:jc w:val="left"/>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供应商：</w:t>
      </w:r>
      <w:r>
        <w:rPr>
          <w:rFonts w:hint="eastAsia" w:asciiTheme="minorEastAsia" w:hAnsiTheme="minorEastAsia" w:eastAsiaTheme="minorEastAsia"/>
          <w:bCs/>
          <w:color w:val="auto"/>
          <w:szCs w:val="21"/>
          <w:highlight w:val="none"/>
          <w:u w:val="single"/>
        </w:rPr>
        <w:t xml:space="preserve">        </w:t>
      </w:r>
      <w:r>
        <w:rPr>
          <w:rFonts w:asciiTheme="minorEastAsia" w:hAnsiTheme="minorEastAsia" w:eastAsiaTheme="minorEastAsia"/>
          <w:bCs/>
          <w:color w:val="auto"/>
          <w:szCs w:val="21"/>
          <w:highlight w:val="none"/>
          <w:u w:val="single"/>
        </w:rPr>
        <w:t xml:space="preserve">  </w:t>
      </w:r>
      <w:r>
        <w:rPr>
          <w:rFonts w:hint="eastAsia" w:asciiTheme="minorEastAsia" w:hAnsiTheme="minorEastAsia" w:eastAsiaTheme="minorEastAsia"/>
          <w:bCs/>
          <w:color w:val="auto"/>
          <w:szCs w:val="21"/>
          <w:highlight w:val="none"/>
          <w:u w:val="single"/>
        </w:rPr>
        <w:t xml:space="preserve"> （</w:t>
      </w:r>
      <w:r>
        <w:rPr>
          <w:rFonts w:hint="eastAsia" w:asciiTheme="minorEastAsia" w:hAnsiTheme="minorEastAsia" w:eastAsiaTheme="minorEastAsia"/>
          <w:color w:val="auto"/>
          <w:szCs w:val="21"/>
          <w:highlight w:val="none"/>
          <w:u w:val="single"/>
        </w:rPr>
        <w:t>电子签章</w:t>
      </w:r>
      <w:r>
        <w:rPr>
          <w:rFonts w:hint="eastAsia" w:asciiTheme="minorEastAsia" w:hAnsiTheme="minorEastAsia" w:eastAsiaTheme="minorEastAsia"/>
          <w:bCs/>
          <w:color w:val="auto"/>
          <w:szCs w:val="21"/>
          <w:highlight w:val="none"/>
          <w:u w:val="single"/>
        </w:rPr>
        <w:t>）</w:t>
      </w:r>
    </w:p>
    <w:p w14:paraId="166FC6C8">
      <w:pPr>
        <w:autoSpaceDE w:val="0"/>
        <w:autoSpaceDN w:val="0"/>
        <w:adjustRightInd w:val="0"/>
        <w:spacing w:line="480" w:lineRule="auto"/>
        <w:ind w:firstLine="5040" w:firstLineChars="2400"/>
        <w:jc w:val="left"/>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法定代表人：</w:t>
      </w:r>
      <w:r>
        <w:rPr>
          <w:rFonts w:hint="eastAsia" w:asciiTheme="minorEastAsia" w:hAnsiTheme="minorEastAsia" w:eastAsiaTheme="minorEastAsia"/>
          <w:bCs/>
          <w:color w:val="auto"/>
          <w:szCs w:val="21"/>
          <w:highlight w:val="none"/>
          <w:u w:val="single"/>
        </w:rPr>
        <w:t xml:space="preserve">     </w:t>
      </w:r>
      <w:r>
        <w:rPr>
          <w:rFonts w:asciiTheme="minorEastAsia" w:hAnsiTheme="minorEastAsia" w:eastAsiaTheme="minorEastAsia"/>
          <w:bCs/>
          <w:color w:val="auto"/>
          <w:szCs w:val="21"/>
          <w:highlight w:val="none"/>
          <w:u w:val="single"/>
        </w:rPr>
        <w:t xml:space="preserve">  </w:t>
      </w:r>
      <w:r>
        <w:rPr>
          <w:rFonts w:hint="eastAsia" w:asciiTheme="minorEastAsia" w:hAnsiTheme="minorEastAsia" w:eastAsiaTheme="minorEastAsia"/>
          <w:bCs/>
          <w:color w:val="auto"/>
          <w:szCs w:val="21"/>
          <w:highlight w:val="none"/>
          <w:u w:val="single"/>
        </w:rPr>
        <w:t xml:space="preserve"> (电子签章)</w:t>
      </w:r>
      <w:r>
        <w:rPr>
          <w:rFonts w:asciiTheme="minorEastAsia" w:hAnsiTheme="minorEastAsia" w:eastAsiaTheme="minorEastAsia"/>
          <w:bCs/>
          <w:color w:val="auto"/>
          <w:szCs w:val="21"/>
          <w:highlight w:val="none"/>
          <w:u w:val="single"/>
        </w:rPr>
        <w:t xml:space="preserve"> </w:t>
      </w:r>
    </w:p>
    <w:p w14:paraId="59ACE5BA">
      <w:pPr>
        <w:autoSpaceDE w:val="0"/>
        <w:autoSpaceDN w:val="0"/>
        <w:adjustRightInd w:val="0"/>
        <w:spacing w:line="480" w:lineRule="auto"/>
        <w:ind w:firstLine="5040" w:firstLineChars="2400"/>
        <w:jc w:val="left"/>
        <w:rPr>
          <w:rFonts w:hint="eastAsia" w:asciiTheme="minorEastAsia" w:hAnsiTheme="minorEastAsia" w:eastAsiaTheme="minorEastAsia"/>
          <w:bCs/>
          <w:color w:val="auto"/>
          <w:szCs w:val="21"/>
          <w:highlight w:val="none"/>
        </w:rPr>
        <w:sectPr>
          <w:pgSz w:w="11906" w:h="16838"/>
          <w:pgMar w:top="1440" w:right="1474" w:bottom="1440" w:left="1474" w:header="851" w:footer="851" w:gutter="0"/>
          <w:cols w:space="720" w:num="1"/>
          <w:docGrid w:linePitch="312" w:charSpace="0"/>
        </w:sectPr>
      </w:pPr>
      <w:r>
        <w:rPr>
          <w:rFonts w:hint="eastAsia" w:asciiTheme="minorEastAsia" w:hAnsiTheme="minorEastAsia" w:eastAsiaTheme="minorEastAsia"/>
          <w:bCs/>
          <w:color w:val="auto"/>
          <w:szCs w:val="21"/>
          <w:highlight w:val="none"/>
        </w:rPr>
        <w:t>日期：</w:t>
      </w:r>
      <w:r>
        <w:rPr>
          <w:rFonts w:hint="eastAsia" w:asciiTheme="minorEastAsia" w:hAnsiTheme="minorEastAsia" w:eastAsiaTheme="minorEastAsia"/>
          <w:bCs/>
          <w:color w:val="auto"/>
          <w:szCs w:val="21"/>
          <w:highlight w:val="none"/>
          <w:u w:val="single"/>
        </w:rPr>
        <w:t xml:space="preserve">      </w:t>
      </w:r>
      <w:r>
        <w:rPr>
          <w:rFonts w:hint="eastAsia" w:asciiTheme="minorEastAsia" w:hAnsiTheme="minorEastAsia" w:eastAsiaTheme="minorEastAsia"/>
          <w:bCs/>
          <w:color w:val="auto"/>
          <w:szCs w:val="21"/>
          <w:highlight w:val="none"/>
        </w:rPr>
        <w:t>年</w:t>
      </w:r>
      <w:r>
        <w:rPr>
          <w:rFonts w:hint="eastAsia" w:asciiTheme="minorEastAsia" w:hAnsiTheme="minorEastAsia" w:eastAsiaTheme="minorEastAsia"/>
          <w:bCs/>
          <w:color w:val="auto"/>
          <w:szCs w:val="21"/>
          <w:highlight w:val="none"/>
          <w:u w:val="single"/>
        </w:rPr>
        <w:t xml:space="preserve">     </w:t>
      </w:r>
      <w:r>
        <w:rPr>
          <w:rFonts w:hint="eastAsia" w:asciiTheme="minorEastAsia" w:hAnsiTheme="minorEastAsia" w:eastAsiaTheme="minorEastAsia"/>
          <w:bCs/>
          <w:color w:val="auto"/>
          <w:szCs w:val="21"/>
          <w:highlight w:val="none"/>
        </w:rPr>
        <w:t>月</w:t>
      </w:r>
      <w:r>
        <w:rPr>
          <w:rFonts w:hint="eastAsia" w:asciiTheme="minorEastAsia" w:hAnsiTheme="minorEastAsia" w:eastAsiaTheme="minorEastAsia"/>
          <w:bCs/>
          <w:color w:val="auto"/>
          <w:szCs w:val="21"/>
          <w:highlight w:val="none"/>
          <w:u w:val="single"/>
        </w:rPr>
        <w:t xml:space="preserve">      </w:t>
      </w:r>
      <w:r>
        <w:rPr>
          <w:rFonts w:hint="eastAsia" w:asciiTheme="minorEastAsia" w:hAnsiTheme="minorEastAsia" w:eastAsiaTheme="minorEastAsia"/>
          <w:bCs/>
          <w:color w:val="auto"/>
          <w:szCs w:val="21"/>
          <w:highlight w:val="none"/>
        </w:rPr>
        <w:t>日</w:t>
      </w:r>
    </w:p>
    <w:bookmarkEnd w:id="1143"/>
    <w:bookmarkEnd w:id="1144"/>
    <w:p w14:paraId="2E2743B6">
      <w:pPr>
        <w:spacing w:line="360" w:lineRule="auto"/>
        <w:jc w:val="center"/>
        <w:outlineLvl w:val="2"/>
        <w:rPr>
          <w:rFonts w:hint="eastAsia" w:asciiTheme="minorEastAsia" w:hAnsiTheme="minorEastAsia" w:eastAsiaTheme="minorEastAsia"/>
          <w:b/>
          <w:color w:val="auto"/>
          <w:sz w:val="28"/>
          <w:szCs w:val="28"/>
          <w:highlight w:val="none"/>
        </w:rPr>
      </w:pPr>
      <w:bookmarkStart w:id="1151" w:name="_Toc65244969"/>
      <w:bookmarkStart w:id="1152" w:name="_Toc103579236"/>
      <w:bookmarkStart w:id="1153" w:name="_Toc103586119"/>
      <w:bookmarkStart w:id="1154" w:name="_Toc77683060"/>
      <w:bookmarkStart w:id="1155" w:name="_Toc91516421"/>
      <w:bookmarkStart w:id="1156" w:name="_Toc56502683"/>
      <w:bookmarkStart w:id="1157" w:name="_Toc110405209"/>
      <w:bookmarkStart w:id="1158" w:name="_Toc89820110"/>
      <w:bookmarkStart w:id="1159" w:name="_Toc45976970"/>
      <w:bookmarkStart w:id="1160" w:name="_Toc103586010"/>
      <w:bookmarkStart w:id="1161" w:name="_Toc116584080"/>
      <w:bookmarkStart w:id="1162" w:name="_Toc20609"/>
      <w:bookmarkStart w:id="1163" w:name="_Toc109809397"/>
      <w:r>
        <w:rPr>
          <w:rFonts w:hint="eastAsia" w:asciiTheme="minorEastAsia" w:hAnsiTheme="minorEastAsia" w:eastAsiaTheme="minorEastAsia"/>
          <w:b/>
          <w:color w:val="auto"/>
          <w:sz w:val="28"/>
          <w:szCs w:val="28"/>
          <w:highlight w:val="none"/>
        </w:rPr>
        <w:t>（四）</w:t>
      </w:r>
      <w:bookmarkEnd w:id="1151"/>
      <w:bookmarkEnd w:id="1152"/>
      <w:bookmarkEnd w:id="1153"/>
      <w:bookmarkEnd w:id="1154"/>
      <w:bookmarkEnd w:id="1155"/>
      <w:bookmarkEnd w:id="1156"/>
      <w:bookmarkEnd w:id="1157"/>
      <w:bookmarkEnd w:id="1158"/>
      <w:bookmarkEnd w:id="1159"/>
      <w:bookmarkEnd w:id="1160"/>
      <w:bookmarkStart w:id="1164" w:name="_Toc516246160"/>
      <w:bookmarkStart w:id="1165" w:name="_Toc513923170"/>
      <w:bookmarkStart w:id="1166" w:name="_Toc330828144"/>
      <w:bookmarkStart w:id="1167" w:name="_Toc364244845"/>
      <w:bookmarkStart w:id="1168" w:name="_Toc419473139"/>
      <w:r>
        <w:rPr>
          <w:rFonts w:hint="eastAsia" w:asciiTheme="minorEastAsia" w:hAnsiTheme="minorEastAsia" w:eastAsiaTheme="minorEastAsia"/>
          <w:b/>
          <w:color w:val="auto"/>
          <w:sz w:val="28"/>
          <w:szCs w:val="28"/>
          <w:highlight w:val="none"/>
        </w:rPr>
        <w:t>磋商报价</w:t>
      </w:r>
      <w:bookmarkEnd w:id="1161"/>
      <w:bookmarkEnd w:id="1162"/>
      <w:bookmarkEnd w:id="1164"/>
      <w:bookmarkEnd w:id="1165"/>
    </w:p>
    <w:p w14:paraId="335D6F04">
      <w:pPr>
        <w:spacing w:line="360" w:lineRule="auto"/>
        <w:jc w:val="center"/>
        <w:outlineLvl w:val="3"/>
        <w:rPr>
          <w:rFonts w:hint="eastAsia" w:asciiTheme="minorEastAsia" w:hAnsiTheme="minorEastAsia" w:eastAsiaTheme="minorEastAsia"/>
          <w:b/>
          <w:color w:val="auto"/>
          <w:sz w:val="28"/>
          <w:szCs w:val="28"/>
          <w:highlight w:val="none"/>
        </w:rPr>
      </w:pPr>
      <w:r>
        <w:rPr>
          <w:rFonts w:hint="eastAsia" w:asciiTheme="minorEastAsia" w:hAnsiTheme="minorEastAsia" w:eastAsiaTheme="minorEastAsia"/>
          <w:b/>
          <w:color w:val="auto"/>
          <w:sz w:val="28"/>
          <w:szCs w:val="28"/>
          <w:highlight w:val="none"/>
        </w:rPr>
        <w:t>1、报价一览表</w:t>
      </w:r>
    </w:p>
    <w:bookmarkEnd w:id="1166"/>
    <w:bookmarkEnd w:id="1167"/>
    <w:bookmarkEnd w:id="1168"/>
    <w:tbl>
      <w:tblPr>
        <w:tblStyle w:val="55"/>
        <w:tblW w:w="90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0"/>
        <w:gridCol w:w="7037"/>
      </w:tblGrid>
      <w:tr w14:paraId="0645C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7" w:hRule="atLeast"/>
          <w:jc w:val="center"/>
        </w:trPr>
        <w:tc>
          <w:tcPr>
            <w:tcW w:w="1980" w:type="dxa"/>
            <w:vAlign w:val="center"/>
          </w:tcPr>
          <w:p w14:paraId="2278B463">
            <w:pPr>
              <w:spacing w:before="120" w:after="120"/>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供应商名称</w:t>
            </w:r>
          </w:p>
        </w:tc>
        <w:tc>
          <w:tcPr>
            <w:tcW w:w="7037" w:type="dxa"/>
            <w:vAlign w:val="center"/>
          </w:tcPr>
          <w:p w14:paraId="0BACFBD5">
            <w:pPr>
              <w:wordWrap w:val="0"/>
              <w:rPr>
                <w:rFonts w:hint="eastAsia" w:asciiTheme="minorEastAsia" w:hAnsiTheme="minorEastAsia" w:eastAsiaTheme="minorEastAsia"/>
                <w:color w:val="auto"/>
                <w:szCs w:val="21"/>
                <w:highlight w:val="none"/>
              </w:rPr>
            </w:pPr>
          </w:p>
        </w:tc>
      </w:tr>
      <w:tr w14:paraId="334C2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7" w:hRule="atLeast"/>
          <w:jc w:val="center"/>
        </w:trPr>
        <w:tc>
          <w:tcPr>
            <w:tcW w:w="1980" w:type="dxa"/>
            <w:vAlign w:val="center"/>
          </w:tcPr>
          <w:p w14:paraId="3D05D29B">
            <w:pPr>
              <w:spacing w:before="120" w:after="120"/>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磋商报价</w:t>
            </w:r>
          </w:p>
        </w:tc>
        <w:tc>
          <w:tcPr>
            <w:tcW w:w="7037" w:type="dxa"/>
            <w:vAlign w:val="center"/>
          </w:tcPr>
          <w:p w14:paraId="236D4DBE">
            <w:pPr>
              <w:spacing w:before="120" w:beforeLines="50" w:line="360" w:lineRule="auto"/>
              <w:rPr>
                <w:rFonts w:hint="eastAsia" w:asciiTheme="minorEastAsia" w:hAnsiTheme="minorEastAsia" w:eastAsiaTheme="minorEastAsia"/>
                <w:color w:val="auto"/>
                <w:szCs w:val="21"/>
                <w:highlight w:val="none"/>
              </w:rPr>
            </w:pPr>
            <w:r>
              <w:rPr>
                <w:rFonts w:hint="eastAsia" w:ascii="宋体" w:hAnsi="宋体"/>
                <w:color w:val="auto"/>
                <w:szCs w:val="21"/>
                <w:highlight w:val="none"/>
              </w:rPr>
              <w:t>小写：¥</w:t>
            </w:r>
            <w:r>
              <w:rPr>
                <w:rFonts w:hint="eastAsia" w:ascii="宋体" w:hAnsi="宋体"/>
                <w:color w:val="auto"/>
                <w:szCs w:val="21"/>
                <w:highlight w:val="none"/>
                <w:u w:val="single"/>
              </w:rPr>
              <w:t xml:space="preserve">            </w:t>
            </w:r>
            <w:r>
              <w:rPr>
                <w:rFonts w:hint="eastAsia" w:ascii="宋体" w:hAnsi="宋体"/>
                <w:color w:val="auto"/>
                <w:szCs w:val="21"/>
                <w:highlight w:val="none"/>
              </w:rPr>
              <w:t>；大写：</w:t>
            </w:r>
            <w:r>
              <w:rPr>
                <w:rFonts w:hint="eastAsia" w:ascii="宋体" w:hAnsi="宋体"/>
                <w:color w:val="auto"/>
                <w:szCs w:val="21"/>
                <w:highlight w:val="none"/>
                <w:u w:val="single"/>
              </w:rPr>
              <w:t xml:space="preserve">            </w:t>
            </w:r>
            <w:r>
              <w:rPr>
                <w:rFonts w:hint="eastAsia" w:ascii="宋体" w:hAnsi="宋体"/>
                <w:color w:val="auto"/>
                <w:szCs w:val="21"/>
                <w:highlight w:val="none"/>
              </w:rPr>
              <w:t>。</w:t>
            </w:r>
          </w:p>
        </w:tc>
      </w:tr>
      <w:tr w14:paraId="49A73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7" w:hRule="atLeast"/>
          <w:jc w:val="center"/>
        </w:trPr>
        <w:tc>
          <w:tcPr>
            <w:tcW w:w="1980" w:type="dxa"/>
            <w:vAlign w:val="center"/>
          </w:tcPr>
          <w:p w14:paraId="0B52F0A8">
            <w:pPr>
              <w:spacing w:before="120" w:beforeLines="50" w:line="360" w:lineRule="auto"/>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说明</w:t>
            </w:r>
          </w:p>
        </w:tc>
        <w:tc>
          <w:tcPr>
            <w:tcW w:w="7037" w:type="dxa"/>
            <w:vAlign w:val="center"/>
          </w:tcPr>
          <w:p w14:paraId="07E725F1">
            <w:pPr>
              <w:spacing w:before="120" w:beforeLines="50" w:line="360" w:lineRule="auto"/>
              <w:jc w:val="left"/>
              <w:rPr>
                <w:rFonts w:hint="eastAsia" w:asciiTheme="minorEastAsia" w:hAnsiTheme="minorEastAsia" w:eastAsiaTheme="minorEastAsia"/>
                <w:color w:val="auto"/>
                <w:szCs w:val="21"/>
                <w:highlight w:val="none"/>
              </w:rPr>
            </w:pPr>
          </w:p>
        </w:tc>
      </w:tr>
      <w:tr w14:paraId="64FDB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7" w:hRule="atLeast"/>
          <w:jc w:val="center"/>
        </w:trPr>
        <w:tc>
          <w:tcPr>
            <w:tcW w:w="9017" w:type="dxa"/>
            <w:gridSpan w:val="2"/>
            <w:vAlign w:val="center"/>
          </w:tcPr>
          <w:p w14:paraId="2F18C9AD">
            <w:pPr>
              <w:spacing w:before="120" w:after="12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供应商（电子签章）：</w:t>
            </w:r>
          </w:p>
        </w:tc>
      </w:tr>
      <w:tr w14:paraId="3C7FD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8" w:hRule="atLeast"/>
          <w:jc w:val="center"/>
        </w:trPr>
        <w:tc>
          <w:tcPr>
            <w:tcW w:w="9017" w:type="dxa"/>
            <w:gridSpan w:val="2"/>
            <w:vAlign w:val="bottom"/>
          </w:tcPr>
          <w:p w14:paraId="748DB25C">
            <w:pPr>
              <w:spacing w:before="120" w:after="120"/>
              <w:ind w:right="48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法定代表人（电子签章）：</w:t>
            </w:r>
          </w:p>
          <w:p w14:paraId="7B007498">
            <w:pPr>
              <w:spacing w:before="120" w:after="120"/>
              <w:jc w:val="right"/>
              <w:rPr>
                <w:rFonts w:hint="eastAsia" w:asciiTheme="minorEastAsia" w:hAnsiTheme="minorEastAsia" w:eastAsiaTheme="minorEastAsia"/>
                <w:color w:val="auto"/>
                <w:szCs w:val="21"/>
                <w:highlight w:val="none"/>
              </w:rPr>
            </w:pPr>
          </w:p>
          <w:p w14:paraId="5B85F11D">
            <w:pPr>
              <w:spacing w:before="120" w:after="120"/>
              <w:jc w:val="righ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日 期：    年    月    日</w:t>
            </w:r>
          </w:p>
        </w:tc>
      </w:tr>
    </w:tbl>
    <w:p w14:paraId="0F47703C">
      <w:pPr>
        <w:widowControl/>
        <w:spacing w:line="360" w:lineRule="auto"/>
        <w:jc w:val="left"/>
        <w:rPr>
          <w:rFonts w:hint="eastAsia" w:asciiTheme="minorEastAsia" w:hAnsiTheme="minorEastAsia" w:eastAsiaTheme="minorEastAsia"/>
          <w:b/>
          <w:color w:val="auto"/>
          <w:sz w:val="28"/>
          <w:szCs w:val="28"/>
          <w:highlight w:val="none"/>
        </w:rPr>
      </w:pPr>
      <w:r>
        <w:rPr>
          <w:rFonts w:asciiTheme="minorEastAsia" w:hAnsiTheme="minorEastAsia" w:eastAsiaTheme="minorEastAsia"/>
          <w:b/>
          <w:color w:val="auto"/>
          <w:sz w:val="28"/>
          <w:szCs w:val="28"/>
          <w:highlight w:val="none"/>
        </w:rPr>
        <w:br w:type="page"/>
      </w:r>
    </w:p>
    <w:bookmarkEnd w:id="1163"/>
    <w:p w14:paraId="42A96E03">
      <w:pPr>
        <w:spacing w:line="360" w:lineRule="auto"/>
        <w:jc w:val="center"/>
        <w:outlineLvl w:val="3"/>
        <w:rPr>
          <w:rFonts w:hint="eastAsia" w:asciiTheme="minorEastAsia" w:hAnsiTheme="minorEastAsia" w:eastAsiaTheme="minorEastAsia"/>
          <w:b/>
          <w:color w:val="auto"/>
          <w:sz w:val="28"/>
          <w:szCs w:val="28"/>
          <w:highlight w:val="none"/>
        </w:rPr>
      </w:pPr>
      <w:bookmarkStart w:id="1169" w:name="_Toc53412279"/>
      <w:bookmarkStart w:id="1170" w:name="_Toc110405210"/>
      <w:bookmarkStart w:id="1171" w:name="_Toc42205063"/>
      <w:bookmarkStart w:id="1172" w:name="_Toc69678492"/>
      <w:bookmarkStart w:id="1173" w:name="_Toc116584081"/>
      <w:bookmarkStart w:id="1174" w:name="_Toc98865076"/>
      <w:bookmarkStart w:id="1175" w:name="_Toc45976971"/>
      <w:bookmarkStart w:id="1176" w:name="_Toc8736138"/>
      <w:bookmarkStart w:id="1177" w:name="_Toc109809390"/>
      <w:bookmarkStart w:id="1178" w:name="_Toc81331010"/>
      <w:bookmarkStart w:id="1179" w:name="_Toc75783595"/>
      <w:bookmarkStart w:id="1180" w:name="_Toc29512"/>
      <w:bookmarkStart w:id="1181" w:name="_Toc31603098"/>
      <w:bookmarkStart w:id="1182" w:name="_Toc38173197"/>
      <w:r>
        <w:rPr>
          <w:rFonts w:asciiTheme="minorEastAsia" w:hAnsiTheme="minorEastAsia" w:eastAsiaTheme="minorEastAsia"/>
          <w:b/>
          <w:color w:val="auto"/>
          <w:sz w:val="28"/>
          <w:szCs w:val="28"/>
          <w:highlight w:val="none"/>
        </w:rPr>
        <w:t>2</w:t>
      </w:r>
      <w:r>
        <w:rPr>
          <w:rFonts w:hint="eastAsia" w:asciiTheme="minorEastAsia" w:hAnsiTheme="minorEastAsia" w:eastAsiaTheme="minorEastAsia"/>
          <w:b/>
          <w:color w:val="auto"/>
          <w:sz w:val="28"/>
          <w:szCs w:val="28"/>
          <w:highlight w:val="none"/>
        </w:rPr>
        <w:t>、中小企业声明函</w:t>
      </w:r>
      <w:bookmarkEnd w:id="1169"/>
      <w:bookmarkEnd w:id="1170"/>
      <w:bookmarkEnd w:id="1171"/>
      <w:bookmarkEnd w:id="1172"/>
      <w:bookmarkEnd w:id="1173"/>
      <w:bookmarkEnd w:id="1174"/>
      <w:bookmarkEnd w:id="1175"/>
      <w:bookmarkEnd w:id="1176"/>
      <w:bookmarkEnd w:id="1177"/>
      <w:bookmarkEnd w:id="1178"/>
      <w:bookmarkEnd w:id="1179"/>
      <w:bookmarkEnd w:id="1180"/>
    </w:p>
    <w:p w14:paraId="78EE361D">
      <w:pPr>
        <w:spacing w:line="360" w:lineRule="auto"/>
        <w:ind w:firstLine="444" w:firstLineChars="200"/>
        <w:rPr>
          <w:rFonts w:hint="eastAsia" w:asciiTheme="minorEastAsia" w:hAnsiTheme="minorEastAsia" w:eastAsiaTheme="minorEastAsia"/>
          <w:color w:val="auto"/>
          <w:spacing w:val="6"/>
          <w:szCs w:val="21"/>
          <w:highlight w:val="none"/>
        </w:rPr>
      </w:pPr>
      <w:bookmarkStart w:id="1183" w:name="_Toc75783596"/>
      <w:bookmarkStart w:id="1184" w:name="_Toc53412280"/>
      <w:bookmarkStart w:id="1185" w:name="_Toc81331011"/>
      <w:bookmarkStart w:id="1186" w:name="_Toc42205064"/>
      <w:bookmarkStart w:id="1187" w:name="_Toc69678493"/>
      <w:bookmarkStart w:id="1188" w:name="_Toc45976972"/>
      <w:r>
        <w:rPr>
          <w:rFonts w:hint="eastAsia" w:asciiTheme="minorEastAsia" w:hAnsiTheme="minorEastAsia" w:eastAsiaTheme="minorEastAsia"/>
          <w:color w:val="auto"/>
          <w:spacing w:val="6"/>
          <w:szCs w:val="21"/>
          <w:highlight w:val="none"/>
        </w:rPr>
        <w:t>本公司郑重声明，根据《政府采购促进中小企业发展管理办法》（财库﹝2020﹞46 号）的规定，本公司参加</w:t>
      </w:r>
      <w:r>
        <w:rPr>
          <w:rFonts w:hint="eastAsia" w:asciiTheme="minorEastAsia" w:hAnsiTheme="minorEastAsia" w:eastAsiaTheme="minorEastAsia"/>
          <w:color w:val="auto"/>
          <w:spacing w:val="6"/>
          <w:szCs w:val="21"/>
          <w:highlight w:val="none"/>
          <w:u w:val="single"/>
        </w:rPr>
        <w:t xml:space="preserve"> （单位名称） </w:t>
      </w:r>
      <w:r>
        <w:rPr>
          <w:rFonts w:hint="eastAsia" w:asciiTheme="minorEastAsia" w:hAnsiTheme="minorEastAsia" w:eastAsiaTheme="minorEastAsia"/>
          <w:color w:val="auto"/>
          <w:spacing w:val="6"/>
          <w:szCs w:val="21"/>
          <w:highlight w:val="none"/>
        </w:rPr>
        <w:t>的</w:t>
      </w:r>
      <w:r>
        <w:rPr>
          <w:rFonts w:hint="eastAsia" w:asciiTheme="minorEastAsia" w:hAnsiTheme="minorEastAsia" w:eastAsiaTheme="minorEastAsia"/>
          <w:color w:val="auto"/>
          <w:spacing w:val="6"/>
          <w:szCs w:val="21"/>
          <w:highlight w:val="none"/>
          <w:u w:val="single"/>
        </w:rPr>
        <w:t>（项目名称）</w:t>
      </w:r>
      <w:r>
        <w:rPr>
          <w:rFonts w:hint="eastAsia" w:asciiTheme="minorEastAsia" w:hAnsiTheme="minorEastAsia" w:eastAsiaTheme="minorEastAsia"/>
          <w:color w:val="auto"/>
          <w:spacing w:val="6"/>
          <w:szCs w:val="21"/>
          <w:highlight w:val="none"/>
        </w:rPr>
        <w:t>采购活动，服务全部由符合政策要求的中小企业承接。企业的具体情况如下：</w:t>
      </w:r>
    </w:p>
    <w:p w14:paraId="659EEC3F">
      <w:pPr>
        <w:spacing w:line="360" w:lineRule="auto"/>
        <w:ind w:firstLine="444" w:firstLineChars="200"/>
        <w:rPr>
          <w:rFonts w:hint="eastAsia" w:asciiTheme="minorEastAsia" w:hAnsiTheme="minorEastAsia" w:eastAsiaTheme="minorEastAsia"/>
          <w:color w:val="auto"/>
          <w:spacing w:val="6"/>
          <w:szCs w:val="21"/>
          <w:highlight w:val="none"/>
        </w:rPr>
      </w:pPr>
      <w:r>
        <w:rPr>
          <w:rFonts w:hint="eastAsia" w:asciiTheme="minorEastAsia" w:hAnsiTheme="minorEastAsia" w:eastAsiaTheme="minorEastAsia"/>
          <w:color w:val="auto"/>
          <w:spacing w:val="6"/>
          <w:szCs w:val="21"/>
          <w:highlight w:val="none"/>
          <w:u w:val="single"/>
        </w:rPr>
        <w:t>（项目名称）</w:t>
      </w:r>
      <w:r>
        <w:rPr>
          <w:rFonts w:hint="eastAsia" w:asciiTheme="minorEastAsia" w:hAnsiTheme="minorEastAsia" w:eastAsiaTheme="minorEastAsia"/>
          <w:color w:val="auto"/>
          <w:spacing w:val="6"/>
          <w:szCs w:val="21"/>
          <w:highlight w:val="none"/>
        </w:rPr>
        <w:t>，属于</w:t>
      </w:r>
      <w:bookmarkStart w:id="1189" w:name="_Hlk101911819"/>
      <w:r>
        <w:rPr>
          <w:rFonts w:hint="eastAsia" w:asciiTheme="minorEastAsia" w:hAnsiTheme="minorEastAsia" w:eastAsiaTheme="minorEastAsia"/>
          <w:color w:val="auto"/>
          <w:spacing w:val="6"/>
          <w:szCs w:val="21"/>
          <w:highlight w:val="none"/>
          <w:u w:val="single"/>
        </w:rPr>
        <w:t>（采购文件中明确的所属行业）</w:t>
      </w:r>
      <w:bookmarkEnd w:id="1189"/>
      <w:r>
        <w:rPr>
          <w:rFonts w:hint="eastAsia" w:asciiTheme="minorEastAsia" w:hAnsiTheme="minorEastAsia" w:eastAsiaTheme="minorEastAsia"/>
          <w:color w:val="auto"/>
          <w:spacing w:val="6"/>
          <w:szCs w:val="21"/>
          <w:highlight w:val="none"/>
        </w:rPr>
        <w:t>；承接企业为</w:t>
      </w:r>
      <w:r>
        <w:rPr>
          <w:rFonts w:hint="eastAsia" w:asciiTheme="minorEastAsia" w:hAnsiTheme="minorEastAsia" w:eastAsiaTheme="minorEastAsia"/>
          <w:color w:val="auto"/>
          <w:spacing w:val="6"/>
          <w:szCs w:val="21"/>
          <w:highlight w:val="none"/>
          <w:u w:val="single"/>
        </w:rPr>
        <w:t>（企业名称）</w:t>
      </w:r>
      <w:r>
        <w:rPr>
          <w:rFonts w:hint="eastAsia" w:asciiTheme="minorEastAsia" w:hAnsiTheme="minorEastAsia" w:eastAsiaTheme="minorEastAsia"/>
          <w:color w:val="auto"/>
          <w:spacing w:val="6"/>
          <w:szCs w:val="21"/>
          <w:highlight w:val="none"/>
        </w:rPr>
        <w:t>，从业人员</w:t>
      </w:r>
      <w:r>
        <w:rPr>
          <w:rFonts w:hint="eastAsia" w:asciiTheme="minorEastAsia" w:hAnsiTheme="minorEastAsia" w:eastAsiaTheme="minorEastAsia"/>
          <w:color w:val="auto"/>
          <w:spacing w:val="6"/>
          <w:szCs w:val="21"/>
          <w:highlight w:val="none"/>
          <w:u w:val="single"/>
        </w:rPr>
        <w:t>     </w:t>
      </w:r>
      <w:r>
        <w:rPr>
          <w:rFonts w:hint="eastAsia" w:asciiTheme="minorEastAsia" w:hAnsiTheme="minorEastAsia" w:eastAsiaTheme="minorEastAsia"/>
          <w:color w:val="auto"/>
          <w:spacing w:val="6"/>
          <w:szCs w:val="21"/>
          <w:highlight w:val="none"/>
        </w:rPr>
        <w:t>人，营业收入为</w:t>
      </w:r>
      <w:r>
        <w:rPr>
          <w:rFonts w:hint="eastAsia" w:asciiTheme="minorEastAsia" w:hAnsiTheme="minorEastAsia" w:eastAsiaTheme="minorEastAsia"/>
          <w:color w:val="auto"/>
          <w:spacing w:val="6"/>
          <w:szCs w:val="21"/>
          <w:highlight w:val="none"/>
          <w:u w:val="single"/>
        </w:rPr>
        <w:t>     </w:t>
      </w:r>
      <w:r>
        <w:rPr>
          <w:rFonts w:hint="eastAsia" w:asciiTheme="minorEastAsia" w:hAnsiTheme="minorEastAsia" w:eastAsiaTheme="minorEastAsia"/>
          <w:color w:val="auto"/>
          <w:spacing w:val="6"/>
          <w:szCs w:val="21"/>
          <w:highlight w:val="none"/>
        </w:rPr>
        <w:t>万元，资产总额为</w:t>
      </w:r>
      <w:r>
        <w:rPr>
          <w:rFonts w:hint="eastAsia" w:asciiTheme="minorEastAsia" w:hAnsiTheme="minorEastAsia" w:eastAsiaTheme="minorEastAsia"/>
          <w:color w:val="auto"/>
          <w:spacing w:val="6"/>
          <w:szCs w:val="21"/>
          <w:highlight w:val="none"/>
          <w:u w:val="single"/>
        </w:rPr>
        <w:t>     </w:t>
      </w:r>
      <w:r>
        <w:rPr>
          <w:rFonts w:hint="eastAsia" w:asciiTheme="minorEastAsia" w:hAnsiTheme="minorEastAsia" w:eastAsiaTheme="minorEastAsia"/>
          <w:color w:val="auto"/>
          <w:spacing w:val="6"/>
          <w:szCs w:val="21"/>
          <w:highlight w:val="none"/>
        </w:rPr>
        <w:t>万元，属于</w:t>
      </w:r>
      <w:r>
        <w:rPr>
          <w:rFonts w:hint="eastAsia" w:asciiTheme="minorEastAsia" w:hAnsiTheme="minorEastAsia" w:eastAsiaTheme="minorEastAsia"/>
          <w:color w:val="auto"/>
          <w:spacing w:val="6"/>
          <w:szCs w:val="21"/>
          <w:highlight w:val="none"/>
          <w:u w:val="single"/>
        </w:rPr>
        <w:t>（中型企业、小型企业、微型企业）</w:t>
      </w:r>
      <w:r>
        <w:rPr>
          <w:rFonts w:hint="eastAsia" w:asciiTheme="minorEastAsia" w:hAnsiTheme="minorEastAsia" w:eastAsiaTheme="minorEastAsia"/>
          <w:color w:val="auto"/>
          <w:spacing w:val="6"/>
          <w:szCs w:val="21"/>
          <w:highlight w:val="none"/>
        </w:rPr>
        <w:t>。</w:t>
      </w:r>
    </w:p>
    <w:p w14:paraId="1CDA1484">
      <w:pPr>
        <w:spacing w:line="360" w:lineRule="auto"/>
        <w:ind w:firstLine="444" w:firstLineChars="200"/>
        <w:rPr>
          <w:rFonts w:hint="eastAsia" w:asciiTheme="minorEastAsia" w:hAnsiTheme="minorEastAsia" w:eastAsiaTheme="minorEastAsia"/>
          <w:color w:val="auto"/>
          <w:spacing w:val="6"/>
          <w:szCs w:val="21"/>
          <w:highlight w:val="none"/>
        </w:rPr>
      </w:pPr>
    </w:p>
    <w:p w14:paraId="7551C771">
      <w:pPr>
        <w:spacing w:line="360" w:lineRule="auto"/>
        <w:ind w:firstLine="444" w:firstLineChars="200"/>
        <w:rPr>
          <w:rFonts w:hint="eastAsia" w:asciiTheme="minorEastAsia" w:hAnsiTheme="minorEastAsia" w:eastAsiaTheme="minorEastAsia"/>
          <w:color w:val="auto"/>
          <w:spacing w:val="6"/>
          <w:szCs w:val="21"/>
          <w:highlight w:val="none"/>
        </w:rPr>
      </w:pPr>
      <w:r>
        <w:rPr>
          <w:rFonts w:hint="eastAsia" w:asciiTheme="minorEastAsia" w:hAnsiTheme="minorEastAsia" w:eastAsiaTheme="minorEastAsia"/>
          <w:color w:val="auto"/>
          <w:spacing w:val="6"/>
          <w:szCs w:val="21"/>
          <w:highlight w:val="none"/>
        </w:rPr>
        <w:t>本公司不属于大企业的分支机构，不存在控股股东为大企业的情形，也不存在与大企业的负责人为同一人的情形。</w:t>
      </w:r>
    </w:p>
    <w:p w14:paraId="5D5D42CB">
      <w:pPr>
        <w:spacing w:line="360" w:lineRule="auto"/>
        <w:ind w:firstLine="444" w:firstLineChars="200"/>
        <w:rPr>
          <w:rFonts w:hint="eastAsia" w:asciiTheme="minorEastAsia" w:hAnsiTheme="minorEastAsia" w:eastAsiaTheme="minorEastAsia"/>
          <w:color w:val="auto"/>
          <w:spacing w:val="6"/>
          <w:szCs w:val="21"/>
          <w:highlight w:val="none"/>
        </w:rPr>
      </w:pPr>
      <w:r>
        <w:rPr>
          <w:rFonts w:hint="eastAsia" w:asciiTheme="minorEastAsia" w:hAnsiTheme="minorEastAsia" w:eastAsiaTheme="minorEastAsia"/>
          <w:color w:val="auto"/>
          <w:spacing w:val="6"/>
          <w:szCs w:val="21"/>
          <w:highlight w:val="none"/>
        </w:rPr>
        <w:t>本企业对上述声明内容的真实性负责。如有虚假，将依法承担相应责任。</w:t>
      </w:r>
    </w:p>
    <w:p w14:paraId="5DD8529E">
      <w:pPr>
        <w:widowControl/>
        <w:spacing w:line="360" w:lineRule="auto"/>
        <w:jc w:val="left"/>
        <w:rPr>
          <w:rFonts w:hint="eastAsia" w:asciiTheme="minorEastAsia" w:hAnsiTheme="minorEastAsia" w:eastAsiaTheme="minorEastAsia"/>
          <w:color w:val="auto"/>
          <w:spacing w:val="6"/>
          <w:szCs w:val="21"/>
          <w:highlight w:val="none"/>
        </w:rPr>
      </w:pPr>
    </w:p>
    <w:p w14:paraId="4EE64E51">
      <w:pPr>
        <w:widowControl/>
        <w:spacing w:line="360" w:lineRule="auto"/>
        <w:jc w:val="left"/>
        <w:rPr>
          <w:rFonts w:hint="eastAsia" w:asciiTheme="minorEastAsia" w:hAnsiTheme="minorEastAsia" w:eastAsiaTheme="minorEastAsia"/>
          <w:color w:val="auto"/>
          <w:spacing w:val="6"/>
          <w:szCs w:val="21"/>
          <w:highlight w:val="none"/>
        </w:rPr>
      </w:pPr>
    </w:p>
    <w:p w14:paraId="745747DF">
      <w:pPr>
        <w:widowControl/>
        <w:spacing w:line="360" w:lineRule="auto"/>
        <w:jc w:val="left"/>
        <w:rPr>
          <w:rFonts w:hint="eastAsia" w:asciiTheme="minorEastAsia" w:hAnsiTheme="minorEastAsia" w:eastAsiaTheme="minorEastAsia"/>
          <w:color w:val="auto"/>
          <w:spacing w:val="6"/>
          <w:szCs w:val="21"/>
          <w:highlight w:val="none"/>
        </w:rPr>
      </w:pPr>
    </w:p>
    <w:p w14:paraId="536D3D08">
      <w:pPr>
        <w:widowControl/>
        <w:spacing w:line="360" w:lineRule="auto"/>
        <w:jc w:val="left"/>
        <w:rPr>
          <w:rFonts w:hint="eastAsia" w:asciiTheme="minorEastAsia" w:hAnsiTheme="minorEastAsia" w:eastAsiaTheme="minorEastAsia"/>
          <w:color w:val="auto"/>
          <w:spacing w:val="6"/>
          <w:szCs w:val="21"/>
          <w:highlight w:val="none"/>
        </w:rPr>
      </w:pPr>
    </w:p>
    <w:p w14:paraId="20CB4209">
      <w:pPr>
        <w:spacing w:line="480" w:lineRule="auto"/>
        <w:ind w:right="252" w:rightChars="120" w:firstLine="6090" w:firstLineChars="2900"/>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企业名称（电子签章）：</w:t>
      </w:r>
    </w:p>
    <w:p w14:paraId="30B11CDA">
      <w:pPr>
        <w:spacing w:line="480" w:lineRule="auto"/>
        <w:ind w:right="252" w:rightChars="120" w:firstLine="6090" w:firstLineChars="2900"/>
        <w:rPr>
          <w:rFonts w:hint="eastAsia" w:cs="仿宋_GB2312"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日 期：</w:t>
      </w:r>
    </w:p>
    <w:p w14:paraId="15AC98E9">
      <w:pPr>
        <w:spacing w:line="360" w:lineRule="auto"/>
        <w:ind w:right="252" w:rightChars="120" w:firstLine="6510" w:firstLineChars="3100"/>
        <w:rPr>
          <w:rFonts w:hint="eastAsia" w:cs="仿宋_GB2312" w:asciiTheme="minorEastAsia" w:hAnsiTheme="minorEastAsia" w:eastAsiaTheme="minorEastAsia"/>
          <w:color w:val="auto"/>
          <w:szCs w:val="21"/>
          <w:highlight w:val="none"/>
        </w:rPr>
      </w:pPr>
    </w:p>
    <w:p w14:paraId="1972E196">
      <w:pPr>
        <w:spacing w:line="360" w:lineRule="auto"/>
        <w:ind w:right="252" w:rightChars="120" w:firstLine="6510" w:firstLineChars="3100"/>
        <w:rPr>
          <w:rFonts w:hint="eastAsia" w:cs="仿宋_GB2312" w:asciiTheme="minorEastAsia" w:hAnsiTheme="minorEastAsia" w:eastAsiaTheme="minorEastAsia"/>
          <w:color w:val="auto"/>
          <w:szCs w:val="21"/>
          <w:highlight w:val="none"/>
        </w:rPr>
      </w:pPr>
    </w:p>
    <w:p w14:paraId="67450125">
      <w:pPr>
        <w:spacing w:line="360" w:lineRule="auto"/>
        <w:ind w:right="252" w:rightChars="120" w:firstLine="6510" w:firstLineChars="3100"/>
        <w:rPr>
          <w:rFonts w:hint="eastAsia" w:cs="仿宋_GB2312" w:asciiTheme="minorEastAsia" w:hAnsiTheme="minorEastAsia" w:eastAsiaTheme="minorEastAsia"/>
          <w:color w:val="auto"/>
          <w:szCs w:val="21"/>
          <w:highlight w:val="none"/>
        </w:rPr>
      </w:pPr>
    </w:p>
    <w:p w14:paraId="5D49D77C">
      <w:pPr>
        <w:spacing w:line="360" w:lineRule="auto"/>
        <w:ind w:right="252" w:rightChars="120" w:firstLine="422" w:firstLineChars="200"/>
        <w:rPr>
          <w:rFonts w:hint="eastAsia" w:cs="仿宋_GB2312" w:asciiTheme="minorEastAsia" w:hAnsiTheme="minorEastAsia" w:eastAsiaTheme="minorEastAsia"/>
          <w:b/>
          <w:bCs/>
          <w:color w:val="auto"/>
          <w:szCs w:val="21"/>
          <w:highlight w:val="none"/>
        </w:rPr>
      </w:pPr>
      <w:r>
        <w:rPr>
          <w:rFonts w:hint="eastAsia" w:cs="仿宋_GB2312" w:asciiTheme="minorEastAsia" w:hAnsiTheme="minorEastAsia" w:eastAsiaTheme="minorEastAsia"/>
          <w:b/>
          <w:bCs/>
          <w:color w:val="auto"/>
          <w:szCs w:val="21"/>
          <w:highlight w:val="none"/>
        </w:rPr>
        <w:t>注：1.从业人员、营业收入、资产总额填报上一年度数据，无上一年度数据的新成立企业可不填报；</w:t>
      </w:r>
    </w:p>
    <w:p w14:paraId="74DC913A">
      <w:pPr>
        <w:spacing w:line="360" w:lineRule="auto"/>
        <w:ind w:right="252" w:rightChars="120" w:firstLine="842" w:firstLineChars="378"/>
        <w:rPr>
          <w:rFonts w:hint="eastAsia" w:cs="仿宋_GB2312" w:asciiTheme="minorEastAsia" w:hAnsiTheme="minorEastAsia" w:eastAsiaTheme="minorEastAsia"/>
          <w:b/>
          <w:bCs/>
          <w:color w:val="auto"/>
          <w:szCs w:val="21"/>
          <w:highlight w:val="none"/>
        </w:rPr>
      </w:pPr>
      <w:r>
        <w:rPr>
          <w:rFonts w:asciiTheme="minorEastAsia" w:hAnsiTheme="minorEastAsia" w:eastAsiaTheme="minorEastAsia"/>
          <w:b/>
          <w:bCs/>
          <w:color w:val="auto"/>
          <w:spacing w:val="6"/>
          <w:szCs w:val="21"/>
          <w:highlight w:val="none"/>
        </w:rPr>
        <w:t>2</w:t>
      </w:r>
      <w:r>
        <w:rPr>
          <w:rFonts w:hint="eastAsia" w:asciiTheme="minorEastAsia" w:hAnsiTheme="minorEastAsia" w:eastAsiaTheme="minorEastAsia"/>
          <w:b/>
          <w:bCs/>
          <w:color w:val="auto"/>
          <w:spacing w:val="6"/>
          <w:szCs w:val="21"/>
          <w:highlight w:val="none"/>
        </w:rPr>
        <w:t>.供应商若为中小企业，须按以上要求完整的填写《中小企业声明函》；如不完整或有空缺，则磋商报价不予扣除；</w:t>
      </w:r>
    </w:p>
    <w:p w14:paraId="4CBC4E76">
      <w:pPr>
        <w:spacing w:line="360" w:lineRule="auto"/>
        <w:ind w:firstLine="843" w:firstLineChars="400"/>
        <w:rPr>
          <w:rFonts w:hint="eastAsia" w:asciiTheme="minorEastAsia" w:hAnsiTheme="minorEastAsia" w:eastAsiaTheme="minorEastAsia"/>
          <w:b/>
          <w:bCs/>
          <w:color w:val="auto"/>
          <w:spacing w:val="6"/>
          <w:szCs w:val="21"/>
          <w:highlight w:val="none"/>
        </w:rPr>
      </w:pPr>
      <w:r>
        <w:rPr>
          <w:rFonts w:cs="仿宋_GB2312" w:asciiTheme="minorEastAsia" w:hAnsiTheme="minorEastAsia" w:eastAsiaTheme="minorEastAsia"/>
          <w:b/>
          <w:bCs/>
          <w:color w:val="auto"/>
          <w:szCs w:val="21"/>
          <w:highlight w:val="none"/>
        </w:rPr>
        <w:t>3</w:t>
      </w:r>
      <w:r>
        <w:rPr>
          <w:rFonts w:hint="eastAsia" w:cs="仿宋_GB2312" w:asciiTheme="minorEastAsia" w:hAnsiTheme="minorEastAsia" w:eastAsiaTheme="minorEastAsia"/>
          <w:b/>
          <w:bCs/>
          <w:color w:val="auto"/>
          <w:szCs w:val="21"/>
          <w:highlight w:val="none"/>
        </w:rPr>
        <w:t>.若</w:t>
      </w:r>
      <w:r>
        <w:rPr>
          <w:rFonts w:hint="eastAsia" w:asciiTheme="minorEastAsia" w:hAnsiTheme="minorEastAsia" w:eastAsiaTheme="minorEastAsia"/>
          <w:b/>
          <w:bCs/>
          <w:color w:val="auto"/>
          <w:spacing w:val="6"/>
          <w:szCs w:val="21"/>
          <w:highlight w:val="none"/>
        </w:rPr>
        <w:t>供应商</w:t>
      </w:r>
      <w:r>
        <w:rPr>
          <w:rFonts w:hint="eastAsia" w:cs="仿宋_GB2312" w:asciiTheme="minorEastAsia" w:hAnsiTheme="minorEastAsia" w:eastAsiaTheme="minorEastAsia"/>
          <w:b/>
          <w:bCs/>
          <w:color w:val="auto"/>
          <w:szCs w:val="21"/>
          <w:highlight w:val="none"/>
        </w:rPr>
        <w:t>为</w:t>
      </w:r>
      <w:r>
        <w:rPr>
          <w:rFonts w:hint="eastAsia" w:asciiTheme="minorEastAsia" w:hAnsiTheme="minorEastAsia" w:eastAsiaTheme="minorEastAsia"/>
          <w:b/>
          <w:bCs/>
          <w:color w:val="auto"/>
          <w:spacing w:val="6"/>
          <w:szCs w:val="21"/>
          <w:highlight w:val="none"/>
        </w:rPr>
        <w:t>符合政策要求的中小企业，即可填报声明；否则，可不填报及签章。</w:t>
      </w:r>
      <w:r>
        <w:rPr>
          <w:rFonts w:cs="仿宋_GB2312" w:asciiTheme="minorEastAsia" w:hAnsiTheme="minorEastAsia" w:eastAsiaTheme="minorEastAsia"/>
          <w:color w:val="auto"/>
          <w:szCs w:val="21"/>
          <w:highlight w:val="none"/>
        </w:rPr>
        <w:br w:type="page"/>
      </w:r>
    </w:p>
    <w:p w14:paraId="6F1AF063">
      <w:pPr>
        <w:spacing w:line="360" w:lineRule="auto"/>
        <w:jc w:val="center"/>
        <w:outlineLvl w:val="3"/>
        <w:rPr>
          <w:rFonts w:hint="eastAsia" w:asciiTheme="minorEastAsia" w:hAnsiTheme="minorEastAsia" w:eastAsiaTheme="minorEastAsia"/>
          <w:b/>
          <w:color w:val="auto"/>
          <w:sz w:val="28"/>
          <w:szCs w:val="28"/>
          <w:highlight w:val="none"/>
        </w:rPr>
      </w:pPr>
      <w:bookmarkStart w:id="1190" w:name="_Toc110405211"/>
      <w:bookmarkStart w:id="1191" w:name="_Toc3268"/>
      <w:bookmarkStart w:id="1192" w:name="_Toc116584082"/>
      <w:bookmarkStart w:id="1193" w:name="_Toc98865077"/>
      <w:bookmarkStart w:id="1194" w:name="_Toc109809391"/>
      <w:r>
        <w:rPr>
          <w:rFonts w:asciiTheme="minorEastAsia" w:hAnsiTheme="minorEastAsia" w:eastAsiaTheme="minorEastAsia"/>
          <w:b/>
          <w:color w:val="auto"/>
          <w:sz w:val="28"/>
          <w:szCs w:val="28"/>
          <w:highlight w:val="none"/>
        </w:rPr>
        <w:t>3</w:t>
      </w:r>
      <w:r>
        <w:rPr>
          <w:rFonts w:hint="eastAsia" w:asciiTheme="minorEastAsia" w:hAnsiTheme="minorEastAsia" w:eastAsiaTheme="minorEastAsia"/>
          <w:b/>
          <w:color w:val="auto"/>
          <w:sz w:val="28"/>
          <w:szCs w:val="28"/>
          <w:highlight w:val="none"/>
        </w:rPr>
        <w:t>、残疾人福利性单位声明函</w:t>
      </w:r>
      <w:bookmarkEnd w:id="1183"/>
      <w:bookmarkEnd w:id="1184"/>
      <w:bookmarkEnd w:id="1185"/>
      <w:bookmarkEnd w:id="1186"/>
      <w:bookmarkEnd w:id="1187"/>
      <w:bookmarkEnd w:id="1188"/>
      <w:bookmarkEnd w:id="1190"/>
      <w:bookmarkEnd w:id="1191"/>
      <w:bookmarkEnd w:id="1192"/>
      <w:bookmarkEnd w:id="1193"/>
      <w:bookmarkEnd w:id="1194"/>
    </w:p>
    <w:p w14:paraId="7784F8E7">
      <w:pPr>
        <w:spacing w:line="360" w:lineRule="auto"/>
        <w:ind w:firstLine="444" w:firstLineChars="200"/>
        <w:rPr>
          <w:rFonts w:hint="eastAsia" w:asciiTheme="minorEastAsia" w:hAnsiTheme="minorEastAsia" w:eastAsiaTheme="minorEastAsia"/>
          <w:color w:val="auto"/>
          <w:spacing w:val="6"/>
          <w:szCs w:val="21"/>
          <w:highlight w:val="none"/>
        </w:rPr>
      </w:pPr>
      <w:r>
        <w:rPr>
          <w:rFonts w:hint="eastAsia" w:asciiTheme="minorEastAsia" w:hAnsiTheme="minorEastAsia" w:eastAsiaTheme="minorEastAsia"/>
          <w:color w:val="auto"/>
          <w:spacing w:val="6"/>
          <w:szCs w:val="21"/>
          <w:highlight w:val="none"/>
        </w:rPr>
        <w:t>本单位郑重声明，根据《财政部 民政部 中国残疾人联合会关于促进残疾人就业政府采购政策的通知》（财库</w:t>
      </w:r>
      <w:r>
        <w:rPr>
          <w:rFonts w:hint="eastAsia" w:asciiTheme="minorEastAsia" w:hAnsiTheme="minorEastAsia" w:eastAsiaTheme="minorEastAsia"/>
          <w:color w:val="auto"/>
          <w:szCs w:val="21"/>
          <w:highlight w:val="none"/>
        </w:rPr>
        <w:t>〔2017〕 141</w:t>
      </w:r>
      <w:r>
        <w:rPr>
          <w:rFonts w:hint="eastAsia" w:asciiTheme="minorEastAsia" w:hAnsiTheme="minorEastAsia" w:eastAsiaTheme="minorEastAsia"/>
          <w:color w:val="auto"/>
          <w:spacing w:val="6"/>
          <w:szCs w:val="21"/>
          <w:highlight w:val="none"/>
        </w:rPr>
        <w:t>号）的规定，本单位为符合条件的残疾人福利性单位，且本单位参加</w:t>
      </w:r>
      <w:r>
        <w:rPr>
          <w:rFonts w:hint="eastAsia" w:asciiTheme="minorEastAsia" w:hAnsiTheme="minorEastAsia" w:eastAsiaTheme="minorEastAsia"/>
          <w:color w:val="auto"/>
          <w:spacing w:val="6"/>
          <w:szCs w:val="21"/>
          <w:highlight w:val="none"/>
          <w:u w:val="single"/>
        </w:rPr>
        <w:t xml:space="preserve">               </w:t>
      </w:r>
      <w:r>
        <w:rPr>
          <w:rFonts w:hint="eastAsia" w:asciiTheme="minorEastAsia" w:hAnsiTheme="minorEastAsia" w:eastAsiaTheme="minorEastAsia"/>
          <w:color w:val="auto"/>
          <w:spacing w:val="6"/>
          <w:szCs w:val="21"/>
          <w:highlight w:val="none"/>
        </w:rPr>
        <w:t>单位的</w:t>
      </w:r>
      <w:r>
        <w:rPr>
          <w:rFonts w:hint="eastAsia" w:asciiTheme="minorEastAsia" w:hAnsiTheme="minorEastAsia" w:eastAsiaTheme="minorEastAsia"/>
          <w:color w:val="auto"/>
          <w:spacing w:val="6"/>
          <w:szCs w:val="21"/>
          <w:highlight w:val="none"/>
          <w:u w:val="single"/>
        </w:rPr>
        <w:t xml:space="preserve">                      </w:t>
      </w:r>
      <w:r>
        <w:rPr>
          <w:rFonts w:hint="eastAsia" w:asciiTheme="minorEastAsia" w:hAnsiTheme="minorEastAsia" w:eastAsiaTheme="minorEastAsia"/>
          <w:color w:val="auto"/>
          <w:spacing w:val="6"/>
          <w:szCs w:val="21"/>
          <w:highlight w:val="none"/>
        </w:rPr>
        <w:t>项目采购活动提供服务。</w:t>
      </w:r>
    </w:p>
    <w:p w14:paraId="434DA855">
      <w:pPr>
        <w:spacing w:line="360" w:lineRule="auto"/>
        <w:ind w:firstLine="444" w:firstLineChars="200"/>
        <w:rPr>
          <w:rFonts w:hint="eastAsia" w:asciiTheme="minorEastAsia" w:hAnsiTheme="minorEastAsia" w:eastAsiaTheme="minorEastAsia"/>
          <w:color w:val="auto"/>
          <w:spacing w:val="6"/>
          <w:szCs w:val="21"/>
          <w:highlight w:val="none"/>
        </w:rPr>
      </w:pPr>
      <w:r>
        <w:rPr>
          <w:rFonts w:hint="eastAsia" w:asciiTheme="minorEastAsia" w:hAnsiTheme="minorEastAsia" w:eastAsiaTheme="minorEastAsia"/>
          <w:color w:val="auto"/>
          <w:spacing w:val="6"/>
          <w:szCs w:val="21"/>
          <w:highlight w:val="none"/>
        </w:rPr>
        <w:t>本单位对上述声明的真实性负责。如有虚假，将依法承担相应责任。</w:t>
      </w:r>
    </w:p>
    <w:p w14:paraId="153FACCF">
      <w:pPr>
        <w:spacing w:line="360" w:lineRule="auto"/>
        <w:ind w:firstLine="444" w:firstLineChars="200"/>
        <w:rPr>
          <w:rFonts w:hint="eastAsia" w:asciiTheme="minorEastAsia" w:hAnsiTheme="minorEastAsia" w:eastAsiaTheme="minorEastAsia"/>
          <w:color w:val="auto"/>
          <w:spacing w:val="6"/>
          <w:szCs w:val="21"/>
          <w:highlight w:val="none"/>
        </w:rPr>
      </w:pPr>
    </w:p>
    <w:p w14:paraId="46D53234">
      <w:pPr>
        <w:spacing w:line="360" w:lineRule="auto"/>
        <w:jc w:val="left"/>
        <w:rPr>
          <w:rFonts w:hint="eastAsia" w:asciiTheme="minorEastAsia" w:hAnsiTheme="minorEastAsia" w:eastAsiaTheme="minorEastAsia"/>
          <w:color w:val="auto"/>
          <w:spacing w:val="6"/>
          <w:szCs w:val="21"/>
          <w:highlight w:val="none"/>
        </w:rPr>
      </w:pPr>
    </w:p>
    <w:p w14:paraId="7BF3C6C9">
      <w:pPr>
        <w:spacing w:line="360" w:lineRule="auto"/>
        <w:jc w:val="left"/>
        <w:rPr>
          <w:rFonts w:hint="eastAsia" w:asciiTheme="minorEastAsia" w:hAnsiTheme="minorEastAsia" w:eastAsiaTheme="minorEastAsia"/>
          <w:color w:val="auto"/>
          <w:spacing w:val="6"/>
          <w:szCs w:val="21"/>
          <w:highlight w:val="none"/>
        </w:rPr>
      </w:pPr>
    </w:p>
    <w:p w14:paraId="521DFB50">
      <w:pPr>
        <w:spacing w:line="360" w:lineRule="auto"/>
        <w:jc w:val="left"/>
        <w:rPr>
          <w:rFonts w:hint="eastAsia" w:asciiTheme="minorEastAsia" w:hAnsiTheme="minorEastAsia" w:eastAsiaTheme="minorEastAsia"/>
          <w:color w:val="auto"/>
          <w:spacing w:val="6"/>
          <w:szCs w:val="21"/>
          <w:highlight w:val="none"/>
        </w:rPr>
      </w:pPr>
    </w:p>
    <w:p w14:paraId="633F1449">
      <w:pPr>
        <w:autoSpaceDE w:val="0"/>
        <w:autoSpaceDN w:val="0"/>
        <w:adjustRightInd w:val="0"/>
        <w:spacing w:line="480" w:lineRule="auto"/>
        <w:ind w:firstLine="6405" w:firstLineChars="3050"/>
        <w:jc w:val="lef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企业名称（电子签章）：</w:t>
      </w:r>
    </w:p>
    <w:p w14:paraId="05FA27C3">
      <w:pPr>
        <w:autoSpaceDE w:val="0"/>
        <w:autoSpaceDN w:val="0"/>
        <w:adjustRightInd w:val="0"/>
        <w:spacing w:line="480" w:lineRule="auto"/>
        <w:ind w:firstLine="6405" w:firstLineChars="3050"/>
        <w:jc w:val="lef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日 期：</w:t>
      </w:r>
    </w:p>
    <w:p w14:paraId="68D42540">
      <w:pPr>
        <w:spacing w:line="360" w:lineRule="auto"/>
        <w:ind w:right="252" w:rightChars="120" w:firstLine="6510" w:firstLineChars="3100"/>
        <w:jc w:val="left"/>
        <w:rPr>
          <w:rFonts w:hint="eastAsia" w:cs="仿宋_GB2312" w:asciiTheme="minorEastAsia" w:hAnsiTheme="minorEastAsia" w:eastAsiaTheme="minorEastAsia"/>
          <w:color w:val="auto"/>
          <w:szCs w:val="21"/>
          <w:highlight w:val="none"/>
        </w:rPr>
      </w:pPr>
    </w:p>
    <w:p w14:paraId="2DA5F80B">
      <w:pPr>
        <w:spacing w:line="360" w:lineRule="auto"/>
        <w:ind w:right="252" w:rightChars="120" w:firstLine="6510" w:firstLineChars="3100"/>
        <w:jc w:val="left"/>
        <w:rPr>
          <w:rFonts w:hint="eastAsia" w:cs="仿宋_GB2312" w:asciiTheme="minorEastAsia" w:hAnsiTheme="minorEastAsia" w:eastAsiaTheme="minorEastAsia"/>
          <w:color w:val="auto"/>
          <w:szCs w:val="21"/>
          <w:highlight w:val="none"/>
        </w:rPr>
      </w:pPr>
    </w:p>
    <w:p w14:paraId="53299822">
      <w:pPr>
        <w:spacing w:line="360" w:lineRule="auto"/>
        <w:ind w:firstLine="422" w:firstLineChars="200"/>
        <w:jc w:val="left"/>
        <w:rPr>
          <w:rFonts w:hint="eastAsia" w:asciiTheme="minorEastAsia" w:hAnsiTheme="minorEastAsia" w:eastAsiaTheme="minorEastAsia"/>
          <w:b/>
          <w:bCs/>
          <w:color w:val="auto"/>
          <w:spacing w:val="6"/>
          <w:szCs w:val="21"/>
          <w:highlight w:val="none"/>
        </w:rPr>
      </w:pPr>
      <w:r>
        <w:rPr>
          <w:rFonts w:hint="eastAsia" w:cs="仿宋_GB2312" w:asciiTheme="minorEastAsia" w:hAnsiTheme="minorEastAsia" w:eastAsiaTheme="minorEastAsia"/>
          <w:b/>
          <w:bCs/>
          <w:color w:val="auto"/>
          <w:szCs w:val="21"/>
          <w:highlight w:val="none"/>
        </w:rPr>
        <w:t>注：若提供服务的企业为</w:t>
      </w:r>
      <w:r>
        <w:rPr>
          <w:rFonts w:hint="eastAsia" w:asciiTheme="minorEastAsia" w:hAnsiTheme="minorEastAsia" w:eastAsiaTheme="minorEastAsia"/>
          <w:b/>
          <w:bCs/>
          <w:color w:val="auto"/>
          <w:spacing w:val="6"/>
          <w:szCs w:val="21"/>
          <w:highlight w:val="none"/>
        </w:rPr>
        <w:t>符合政策要求的残疾人福利性单位，即可填报声明；否则，可不填报及签章。</w:t>
      </w:r>
    </w:p>
    <w:p w14:paraId="7DBE3DE5">
      <w:pPr>
        <w:spacing w:line="360" w:lineRule="auto"/>
        <w:ind w:right="252" w:rightChars="120" w:firstLine="6510" w:firstLineChars="3100"/>
        <w:jc w:val="left"/>
        <w:rPr>
          <w:rFonts w:hint="eastAsia" w:cs="仿宋_GB2312" w:asciiTheme="minorEastAsia" w:hAnsiTheme="minorEastAsia" w:eastAsiaTheme="minorEastAsia"/>
          <w:color w:val="auto"/>
          <w:szCs w:val="21"/>
          <w:highlight w:val="none"/>
        </w:rPr>
      </w:pPr>
    </w:p>
    <w:p w14:paraId="06596977">
      <w:pPr>
        <w:spacing w:line="360" w:lineRule="auto"/>
        <w:ind w:right="252" w:rightChars="120" w:firstLine="6510" w:firstLineChars="3100"/>
        <w:jc w:val="left"/>
        <w:rPr>
          <w:rFonts w:hint="eastAsia" w:cs="仿宋_GB2312" w:asciiTheme="minorEastAsia" w:hAnsiTheme="minorEastAsia" w:eastAsiaTheme="minorEastAsia"/>
          <w:color w:val="auto"/>
          <w:szCs w:val="21"/>
          <w:highlight w:val="none"/>
        </w:rPr>
      </w:pPr>
    </w:p>
    <w:p w14:paraId="2F2FA3AB">
      <w:pPr>
        <w:spacing w:line="360" w:lineRule="auto"/>
        <w:ind w:right="252" w:rightChars="120" w:firstLine="6510" w:firstLineChars="3100"/>
        <w:jc w:val="left"/>
        <w:rPr>
          <w:rFonts w:hint="eastAsia" w:cs="仿宋_GB2312" w:asciiTheme="minorEastAsia" w:hAnsiTheme="minorEastAsia" w:eastAsiaTheme="minorEastAsia"/>
          <w:color w:val="auto"/>
          <w:szCs w:val="21"/>
          <w:highlight w:val="none"/>
        </w:rPr>
      </w:pPr>
    </w:p>
    <w:p w14:paraId="51A69BC1">
      <w:pPr>
        <w:spacing w:line="360" w:lineRule="auto"/>
        <w:ind w:right="252" w:rightChars="120" w:firstLine="6510" w:firstLineChars="3100"/>
        <w:jc w:val="left"/>
        <w:rPr>
          <w:rFonts w:hint="eastAsia" w:cs="仿宋_GB2312" w:asciiTheme="minorEastAsia" w:hAnsiTheme="minorEastAsia" w:eastAsiaTheme="minorEastAsia"/>
          <w:color w:val="auto"/>
          <w:szCs w:val="21"/>
          <w:highlight w:val="none"/>
        </w:rPr>
      </w:pPr>
    </w:p>
    <w:p w14:paraId="7FB223A2">
      <w:pPr>
        <w:spacing w:line="360" w:lineRule="auto"/>
        <w:ind w:right="252" w:rightChars="120" w:firstLine="6510" w:firstLineChars="3100"/>
        <w:jc w:val="left"/>
        <w:rPr>
          <w:rFonts w:hint="eastAsia" w:cs="仿宋_GB2312" w:asciiTheme="minorEastAsia" w:hAnsiTheme="minorEastAsia" w:eastAsiaTheme="minorEastAsia"/>
          <w:color w:val="auto"/>
          <w:szCs w:val="21"/>
          <w:highlight w:val="none"/>
        </w:rPr>
      </w:pPr>
    </w:p>
    <w:p w14:paraId="700E0CF6">
      <w:pPr>
        <w:spacing w:line="360" w:lineRule="auto"/>
        <w:ind w:right="252" w:rightChars="120" w:firstLine="6510" w:firstLineChars="3100"/>
        <w:jc w:val="left"/>
        <w:rPr>
          <w:rFonts w:hint="eastAsia" w:cs="仿宋_GB2312" w:asciiTheme="minorEastAsia" w:hAnsiTheme="minorEastAsia" w:eastAsiaTheme="minorEastAsia"/>
          <w:color w:val="auto"/>
          <w:szCs w:val="21"/>
          <w:highlight w:val="none"/>
        </w:rPr>
      </w:pPr>
    </w:p>
    <w:p w14:paraId="6614372B">
      <w:pPr>
        <w:spacing w:line="360" w:lineRule="auto"/>
        <w:ind w:right="252" w:rightChars="120" w:firstLine="6510" w:firstLineChars="3100"/>
        <w:jc w:val="left"/>
        <w:rPr>
          <w:rFonts w:hint="eastAsia" w:cs="仿宋_GB2312" w:asciiTheme="minorEastAsia" w:hAnsiTheme="minorEastAsia" w:eastAsiaTheme="minorEastAsia"/>
          <w:color w:val="auto"/>
          <w:szCs w:val="21"/>
          <w:highlight w:val="none"/>
        </w:rPr>
      </w:pPr>
    </w:p>
    <w:p w14:paraId="30956BED">
      <w:pPr>
        <w:spacing w:line="360" w:lineRule="auto"/>
        <w:ind w:right="252" w:rightChars="120" w:firstLine="6510" w:firstLineChars="3100"/>
        <w:jc w:val="left"/>
        <w:rPr>
          <w:rFonts w:hint="eastAsia" w:cs="仿宋_GB2312" w:asciiTheme="minorEastAsia" w:hAnsiTheme="minorEastAsia" w:eastAsiaTheme="minorEastAsia"/>
          <w:color w:val="auto"/>
          <w:szCs w:val="21"/>
          <w:highlight w:val="none"/>
        </w:rPr>
      </w:pPr>
    </w:p>
    <w:p w14:paraId="6F5A2DE0">
      <w:pPr>
        <w:spacing w:line="360" w:lineRule="auto"/>
        <w:ind w:right="252" w:rightChars="120" w:firstLine="6510" w:firstLineChars="3100"/>
        <w:jc w:val="left"/>
        <w:rPr>
          <w:rFonts w:hint="eastAsia" w:cs="仿宋_GB2312" w:asciiTheme="minorEastAsia" w:hAnsiTheme="minorEastAsia" w:eastAsiaTheme="minorEastAsia"/>
          <w:color w:val="auto"/>
          <w:szCs w:val="21"/>
          <w:highlight w:val="none"/>
        </w:rPr>
      </w:pPr>
    </w:p>
    <w:p w14:paraId="719ECEDA">
      <w:pPr>
        <w:spacing w:line="360" w:lineRule="auto"/>
        <w:ind w:right="252" w:rightChars="120" w:firstLine="6510" w:firstLineChars="3100"/>
        <w:jc w:val="left"/>
        <w:rPr>
          <w:rFonts w:hint="eastAsia" w:cs="仿宋_GB2312" w:asciiTheme="minorEastAsia" w:hAnsiTheme="minorEastAsia" w:eastAsiaTheme="minorEastAsia"/>
          <w:color w:val="auto"/>
          <w:szCs w:val="21"/>
          <w:highlight w:val="none"/>
        </w:rPr>
      </w:pPr>
    </w:p>
    <w:p w14:paraId="7472715C">
      <w:pPr>
        <w:spacing w:line="360" w:lineRule="auto"/>
        <w:ind w:right="252" w:rightChars="120" w:firstLine="6510" w:firstLineChars="3100"/>
        <w:jc w:val="left"/>
        <w:rPr>
          <w:rFonts w:hint="eastAsia" w:cs="仿宋_GB2312" w:asciiTheme="minorEastAsia" w:hAnsiTheme="minorEastAsia" w:eastAsiaTheme="minorEastAsia"/>
          <w:color w:val="auto"/>
          <w:szCs w:val="21"/>
          <w:highlight w:val="none"/>
        </w:rPr>
      </w:pPr>
    </w:p>
    <w:p w14:paraId="6573D37A">
      <w:pPr>
        <w:spacing w:line="360" w:lineRule="auto"/>
        <w:ind w:right="252" w:rightChars="120" w:firstLine="6510" w:firstLineChars="3100"/>
        <w:jc w:val="left"/>
        <w:rPr>
          <w:rFonts w:hint="eastAsia" w:cs="仿宋_GB2312" w:asciiTheme="minorEastAsia" w:hAnsiTheme="minorEastAsia" w:eastAsiaTheme="minorEastAsia"/>
          <w:color w:val="auto"/>
          <w:szCs w:val="21"/>
          <w:highlight w:val="none"/>
        </w:rPr>
      </w:pPr>
    </w:p>
    <w:p w14:paraId="2784CF4E">
      <w:pPr>
        <w:spacing w:line="360" w:lineRule="auto"/>
        <w:ind w:right="252" w:rightChars="120" w:firstLine="6510" w:firstLineChars="3100"/>
        <w:jc w:val="left"/>
        <w:rPr>
          <w:rFonts w:hint="eastAsia" w:cs="仿宋_GB2312" w:asciiTheme="minorEastAsia" w:hAnsiTheme="minorEastAsia" w:eastAsiaTheme="minorEastAsia"/>
          <w:color w:val="auto"/>
          <w:szCs w:val="21"/>
          <w:highlight w:val="none"/>
        </w:rPr>
      </w:pPr>
    </w:p>
    <w:p w14:paraId="717BE925">
      <w:pPr>
        <w:rPr>
          <w:rFonts w:asciiTheme="minorEastAsia" w:hAnsiTheme="minorEastAsia" w:eastAsiaTheme="minorEastAsia"/>
          <w:b/>
          <w:color w:val="auto"/>
          <w:sz w:val="28"/>
          <w:szCs w:val="28"/>
          <w:highlight w:val="none"/>
        </w:rPr>
      </w:pPr>
      <w:bookmarkStart w:id="1195" w:name="_Toc53412281"/>
      <w:bookmarkStart w:id="1196" w:name="_Toc116584083"/>
      <w:bookmarkStart w:id="1197" w:name="_Toc75783597"/>
      <w:bookmarkStart w:id="1198" w:name="_Toc109809392"/>
      <w:bookmarkStart w:id="1199" w:name="_Toc42205065"/>
      <w:bookmarkStart w:id="1200" w:name="_Toc45976973"/>
      <w:bookmarkStart w:id="1201" w:name="_Toc98865078"/>
      <w:bookmarkStart w:id="1202" w:name="_Toc81331012"/>
      <w:bookmarkStart w:id="1203" w:name="_Toc3402"/>
      <w:bookmarkStart w:id="1204" w:name="_Toc69678494"/>
      <w:bookmarkStart w:id="1205" w:name="_Toc110405212"/>
      <w:r>
        <w:rPr>
          <w:rFonts w:asciiTheme="minorEastAsia" w:hAnsiTheme="minorEastAsia" w:eastAsiaTheme="minorEastAsia"/>
          <w:b/>
          <w:color w:val="auto"/>
          <w:sz w:val="28"/>
          <w:szCs w:val="28"/>
          <w:highlight w:val="none"/>
        </w:rPr>
        <w:br w:type="page"/>
      </w:r>
    </w:p>
    <w:p w14:paraId="062E89EC">
      <w:pPr>
        <w:spacing w:line="360" w:lineRule="auto"/>
        <w:jc w:val="center"/>
        <w:outlineLvl w:val="3"/>
        <w:rPr>
          <w:rFonts w:hint="eastAsia" w:asciiTheme="minorEastAsia" w:hAnsiTheme="minorEastAsia" w:eastAsiaTheme="minorEastAsia"/>
          <w:b/>
          <w:color w:val="auto"/>
          <w:sz w:val="28"/>
          <w:szCs w:val="28"/>
          <w:highlight w:val="none"/>
        </w:rPr>
      </w:pPr>
      <w:r>
        <w:rPr>
          <w:rFonts w:asciiTheme="minorEastAsia" w:hAnsiTheme="minorEastAsia" w:eastAsiaTheme="minorEastAsia"/>
          <w:b/>
          <w:color w:val="auto"/>
          <w:sz w:val="28"/>
          <w:szCs w:val="28"/>
          <w:highlight w:val="none"/>
        </w:rPr>
        <w:t>4</w:t>
      </w:r>
      <w:r>
        <w:rPr>
          <w:rFonts w:hint="eastAsia" w:asciiTheme="minorEastAsia" w:hAnsiTheme="minorEastAsia" w:eastAsiaTheme="minorEastAsia"/>
          <w:b/>
          <w:color w:val="auto"/>
          <w:sz w:val="28"/>
          <w:szCs w:val="28"/>
          <w:highlight w:val="none"/>
        </w:rPr>
        <w:t>、监狱企业证明</w:t>
      </w:r>
      <w:bookmarkEnd w:id="1195"/>
      <w:bookmarkEnd w:id="1196"/>
      <w:bookmarkEnd w:id="1197"/>
      <w:bookmarkEnd w:id="1198"/>
      <w:bookmarkEnd w:id="1199"/>
      <w:bookmarkEnd w:id="1200"/>
      <w:bookmarkEnd w:id="1201"/>
      <w:bookmarkEnd w:id="1202"/>
      <w:bookmarkEnd w:id="1203"/>
      <w:bookmarkEnd w:id="1204"/>
      <w:bookmarkEnd w:id="1205"/>
    </w:p>
    <w:p w14:paraId="426DCF77">
      <w:pPr>
        <w:spacing w:line="360" w:lineRule="auto"/>
        <w:jc w:val="center"/>
        <w:rPr>
          <w:rFonts w:hint="eastAsia" w:asciiTheme="minorEastAsia" w:hAnsiTheme="minorEastAsia" w:eastAsiaTheme="minorEastAsia"/>
          <w:color w:val="auto"/>
          <w:highlight w:val="none"/>
          <w:lang w:val="zh-CN"/>
        </w:rPr>
      </w:pPr>
      <w:r>
        <w:rPr>
          <w:rFonts w:hint="eastAsia" w:asciiTheme="minorEastAsia" w:hAnsiTheme="minorEastAsia" w:eastAsiaTheme="minorEastAsia"/>
          <w:color w:val="auto"/>
          <w:highlight w:val="none"/>
        </w:rPr>
        <w:t>注：若供应商为监狱企业，须附监狱企业证明材料的原件扫描件。</w:t>
      </w:r>
    </w:p>
    <w:p w14:paraId="09BCF2EF">
      <w:pPr>
        <w:widowControl/>
        <w:jc w:val="left"/>
        <w:rPr>
          <w:rFonts w:hint="eastAsia" w:cs="仿宋_GB2312" w:asciiTheme="minorEastAsia" w:hAnsiTheme="minorEastAsia" w:eastAsiaTheme="minorEastAsia"/>
          <w:color w:val="auto"/>
          <w:szCs w:val="21"/>
          <w:highlight w:val="none"/>
        </w:rPr>
      </w:pPr>
      <w:bookmarkStart w:id="1206" w:name="_Toc55208569"/>
      <w:bookmarkStart w:id="1207" w:name="_Toc47961701"/>
      <w:bookmarkStart w:id="1208" w:name="_Toc51624610"/>
      <w:bookmarkStart w:id="1209" w:name="_Toc154093168"/>
      <w:bookmarkStart w:id="1210" w:name="_Toc51624758"/>
      <w:bookmarkStart w:id="1211" w:name="_Toc96446290"/>
      <w:bookmarkStart w:id="1212" w:name="_Toc49526433"/>
      <w:bookmarkStart w:id="1213" w:name="_Toc48588390"/>
      <w:bookmarkStart w:id="1214" w:name="_Toc101686605"/>
      <w:bookmarkStart w:id="1215" w:name="_Toc102126218"/>
      <w:r>
        <w:rPr>
          <w:rFonts w:cs="仿宋_GB2312" w:asciiTheme="minorEastAsia" w:hAnsiTheme="minorEastAsia" w:eastAsiaTheme="minorEastAsia"/>
          <w:b/>
          <w:color w:val="auto"/>
          <w:szCs w:val="21"/>
          <w:highlight w:val="none"/>
        </w:rPr>
        <w:br w:type="page"/>
      </w:r>
    </w:p>
    <w:bookmarkEnd w:id="1206"/>
    <w:bookmarkEnd w:id="1207"/>
    <w:bookmarkEnd w:id="1208"/>
    <w:bookmarkEnd w:id="1209"/>
    <w:bookmarkEnd w:id="1210"/>
    <w:bookmarkEnd w:id="1211"/>
    <w:bookmarkEnd w:id="1212"/>
    <w:bookmarkEnd w:id="1213"/>
    <w:bookmarkEnd w:id="1214"/>
    <w:bookmarkEnd w:id="1215"/>
    <w:p w14:paraId="30C0611D">
      <w:pPr>
        <w:spacing w:line="360" w:lineRule="auto"/>
        <w:jc w:val="center"/>
        <w:outlineLvl w:val="2"/>
        <w:rPr>
          <w:rFonts w:hint="eastAsia" w:asciiTheme="minorEastAsia" w:hAnsiTheme="minorEastAsia" w:eastAsiaTheme="minorEastAsia"/>
          <w:b/>
          <w:color w:val="auto"/>
          <w:sz w:val="28"/>
          <w:szCs w:val="28"/>
          <w:highlight w:val="none"/>
        </w:rPr>
      </w:pPr>
      <w:r>
        <w:rPr>
          <w:rFonts w:hint="eastAsia" w:asciiTheme="minorEastAsia" w:hAnsiTheme="minorEastAsia" w:eastAsiaTheme="minorEastAsia"/>
          <w:b/>
          <w:color w:val="auto"/>
          <w:sz w:val="28"/>
          <w:szCs w:val="28"/>
          <w:highlight w:val="none"/>
        </w:rPr>
        <w:t>（五）其他</w:t>
      </w:r>
    </w:p>
    <w:tbl>
      <w:tblPr>
        <w:tblStyle w:val="55"/>
        <w:tblW w:w="89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758"/>
        <w:gridCol w:w="3828"/>
        <w:gridCol w:w="1804"/>
        <w:gridCol w:w="851"/>
      </w:tblGrid>
      <w:tr w14:paraId="53F94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blHeader/>
          <w:jc w:val="center"/>
        </w:trPr>
        <w:tc>
          <w:tcPr>
            <w:tcW w:w="675" w:type="dxa"/>
            <w:tcBorders>
              <w:top w:val="single" w:color="auto" w:sz="12" w:space="0"/>
              <w:left w:val="single" w:color="auto" w:sz="12" w:space="0"/>
            </w:tcBorders>
            <w:vAlign w:val="center"/>
          </w:tcPr>
          <w:p w14:paraId="5F5A6867">
            <w:pPr>
              <w:spacing w:before="60" w:beforeLines="25" w:after="60" w:afterLines="25"/>
              <w:jc w:val="center"/>
              <w:rPr>
                <w:rFonts w:hint="eastAsia" w:ascii="宋体" w:hAnsi="宋体" w:cs="宋体"/>
                <w:b/>
                <w:color w:val="auto"/>
                <w:szCs w:val="21"/>
                <w:highlight w:val="none"/>
              </w:rPr>
            </w:pPr>
            <w:r>
              <w:rPr>
                <w:rFonts w:hint="eastAsia" w:ascii="宋体" w:hAnsi="宋体" w:cs="宋体"/>
                <w:b/>
                <w:color w:val="auto"/>
                <w:szCs w:val="21"/>
                <w:highlight w:val="none"/>
              </w:rPr>
              <w:t>序号</w:t>
            </w:r>
          </w:p>
        </w:tc>
        <w:tc>
          <w:tcPr>
            <w:tcW w:w="1758" w:type="dxa"/>
            <w:tcBorders>
              <w:top w:val="single" w:color="auto" w:sz="12" w:space="0"/>
            </w:tcBorders>
            <w:vAlign w:val="center"/>
          </w:tcPr>
          <w:p w14:paraId="2A643393">
            <w:pPr>
              <w:widowControl/>
              <w:spacing w:before="60" w:beforeLines="25" w:after="60" w:afterLines="25"/>
              <w:jc w:val="center"/>
              <w:rPr>
                <w:rFonts w:hint="eastAsia" w:ascii="宋体" w:hAnsi="宋体" w:cs="宋体"/>
                <w:b/>
                <w:color w:val="auto"/>
                <w:szCs w:val="21"/>
                <w:highlight w:val="none"/>
              </w:rPr>
            </w:pPr>
            <w:r>
              <w:rPr>
                <w:rFonts w:hint="eastAsia" w:ascii="宋体" w:hAnsi="宋体" w:cs="宋体"/>
                <w:b/>
                <w:color w:val="auto"/>
                <w:szCs w:val="21"/>
                <w:highlight w:val="none"/>
              </w:rPr>
              <w:t>符合性审查内容</w:t>
            </w:r>
          </w:p>
        </w:tc>
        <w:tc>
          <w:tcPr>
            <w:tcW w:w="3828" w:type="dxa"/>
            <w:tcBorders>
              <w:top w:val="single" w:color="auto" w:sz="12" w:space="0"/>
            </w:tcBorders>
            <w:vAlign w:val="center"/>
          </w:tcPr>
          <w:p w14:paraId="611B676A">
            <w:pPr>
              <w:widowControl/>
              <w:spacing w:before="60" w:beforeLines="25" w:after="60" w:afterLines="25"/>
              <w:jc w:val="center"/>
              <w:rPr>
                <w:rFonts w:hint="eastAsia" w:ascii="宋体" w:hAnsi="宋体" w:cs="宋体"/>
                <w:b/>
                <w:color w:val="auto"/>
                <w:szCs w:val="21"/>
                <w:highlight w:val="none"/>
              </w:rPr>
            </w:pPr>
            <w:r>
              <w:rPr>
                <w:rFonts w:hint="eastAsia" w:ascii="宋体" w:hAnsi="宋体" w:cs="宋体"/>
                <w:b/>
                <w:color w:val="auto"/>
                <w:szCs w:val="21"/>
                <w:highlight w:val="none"/>
              </w:rPr>
              <w:t>采购文件要求</w:t>
            </w:r>
          </w:p>
        </w:tc>
        <w:tc>
          <w:tcPr>
            <w:tcW w:w="1804" w:type="dxa"/>
            <w:tcBorders>
              <w:top w:val="single" w:color="auto" w:sz="12" w:space="0"/>
            </w:tcBorders>
            <w:vAlign w:val="center"/>
          </w:tcPr>
          <w:p w14:paraId="735B459D">
            <w:pPr>
              <w:spacing w:before="60" w:beforeLines="25" w:after="60" w:afterLines="25"/>
              <w:jc w:val="center"/>
              <w:rPr>
                <w:rFonts w:hint="eastAsia" w:ascii="宋体" w:hAnsi="宋体" w:cs="宋体"/>
                <w:b/>
                <w:color w:val="auto"/>
                <w:szCs w:val="21"/>
                <w:highlight w:val="none"/>
              </w:rPr>
            </w:pPr>
            <w:r>
              <w:rPr>
                <w:rFonts w:hint="eastAsia" w:ascii="宋体" w:hAnsi="宋体" w:cs="宋体"/>
                <w:b/>
                <w:color w:val="auto"/>
                <w:szCs w:val="21"/>
                <w:highlight w:val="none"/>
              </w:rPr>
              <w:t>供应商响应情况</w:t>
            </w:r>
          </w:p>
        </w:tc>
        <w:tc>
          <w:tcPr>
            <w:tcW w:w="851" w:type="dxa"/>
            <w:tcBorders>
              <w:top w:val="single" w:color="auto" w:sz="12" w:space="0"/>
              <w:right w:val="single" w:color="auto" w:sz="12" w:space="0"/>
            </w:tcBorders>
            <w:vAlign w:val="center"/>
          </w:tcPr>
          <w:p w14:paraId="0F8A9EC2">
            <w:pPr>
              <w:spacing w:before="60" w:beforeLines="25" w:after="60" w:afterLines="25"/>
              <w:jc w:val="center"/>
              <w:rPr>
                <w:rFonts w:hint="eastAsia" w:ascii="宋体" w:hAnsi="宋体" w:cs="宋体"/>
                <w:b/>
                <w:color w:val="auto"/>
                <w:szCs w:val="21"/>
                <w:highlight w:val="none"/>
              </w:rPr>
            </w:pPr>
            <w:r>
              <w:rPr>
                <w:rFonts w:hint="eastAsia" w:ascii="宋体" w:hAnsi="宋体" w:cs="宋体"/>
                <w:b/>
                <w:color w:val="auto"/>
                <w:szCs w:val="21"/>
                <w:highlight w:val="none"/>
              </w:rPr>
              <w:t>备注</w:t>
            </w:r>
          </w:p>
        </w:tc>
      </w:tr>
      <w:tr w14:paraId="4146C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675" w:type="dxa"/>
            <w:tcBorders>
              <w:left w:val="single" w:color="auto" w:sz="12" w:space="0"/>
            </w:tcBorders>
            <w:vAlign w:val="center"/>
          </w:tcPr>
          <w:p w14:paraId="1C81DA00">
            <w:pPr>
              <w:spacing w:before="60" w:beforeLines="25" w:after="60" w:afterLines="25"/>
              <w:jc w:val="center"/>
              <w:rPr>
                <w:rFonts w:hint="eastAsia" w:ascii="宋体" w:hAnsi="宋体" w:cs="宋体"/>
                <w:color w:val="auto"/>
                <w:szCs w:val="24"/>
                <w:highlight w:val="none"/>
              </w:rPr>
            </w:pPr>
            <w:r>
              <w:rPr>
                <w:rFonts w:hint="eastAsia" w:ascii="宋体" w:hAnsi="宋体" w:cs="宋体"/>
                <w:color w:val="auto"/>
                <w:szCs w:val="24"/>
                <w:highlight w:val="none"/>
              </w:rPr>
              <w:t>1</w:t>
            </w:r>
          </w:p>
        </w:tc>
        <w:tc>
          <w:tcPr>
            <w:tcW w:w="1758" w:type="dxa"/>
            <w:vAlign w:val="center"/>
          </w:tcPr>
          <w:p w14:paraId="3C94F237">
            <w:pPr>
              <w:spacing w:before="60" w:beforeLines="25" w:after="60" w:afterLines="25"/>
              <w:jc w:val="center"/>
              <w:rPr>
                <w:rFonts w:hint="eastAsia" w:ascii="宋体" w:hAnsi="宋体" w:cs="宋体"/>
                <w:color w:val="auto"/>
                <w:szCs w:val="24"/>
                <w:highlight w:val="none"/>
              </w:rPr>
            </w:pPr>
            <w:r>
              <w:rPr>
                <w:rFonts w:hint="eastAsia" w:ascii="宋体" w:hAnsi="宋体" w:cs="宋体"/>
                <w:color w:val="auto"/>
                <w:szCs w:val="24"/>
                <w:highlight w:val="none"/>
              </w:rPr>
              <w:t>磋商内容</w:t>
            </w:r>
          </w:p>
        </w:tc>
        <w:tc>
          <w:tcPr>
            <w:tcW w:w="3828" w:type="dxa"/>
            <w:vAlign w:val="center"/>
          </w:tcPr>
          <w:p w14:paraId="391CF502">
            <w:pPr>
              <w:spacing w:before="60" w:beforeLines="25" w:after="60" w:afterLines="25"/>
              <w:jc w:val="center"/>
              <w:rPr>
                <w:rFonts w:hint="eastAsia" w:ascii="宋体" w:hAnsi="宋体" w:cs="宋体"/>
                <w:color w:val="auto"/>
                <w:szCs w:val="24"/>
                <w:highlight w:val="none"/>
              </w:rPr>
            </w:pPr>
            <w:r>
              <w:rPr>
                <w:rFonts w:hint="eastAsia" w:ascii="宋体" w:hAnsi="宋体" w:cs="宋体"/>
                <w:color w:val="auto"/>
                <w:szCs w:val="24"/>
                <w:highlight w:val="none"/>
              </w:rPr>
              <w:t>符合“供应商须知前附表”第1.3.1项</w:t>
            </w:r>
          </w:p>
        </w:tc>
        <w:tc>
          <w:tcPr>
            <w:tcW w:w="1804" w:type="dxa"/>
            <w:vAlign w:val="center"/>
          </w:tcPr>
          <w:p w14:paraId="26F01D14">
            <w:pPr>
              <w:spacing w:line="340" w:lineRule="exact"/>
              <w:jc w:val="left"/>
              <w:rPr>
                <w:rFonts w:hint="eastAsia" w:ascii="宋体" w:hAnsi="宋体" w:cs="宋体"/>
                <w:color w:val="auto"/>
                <w:szCs w:val="24"/>
                <w:highlight w:val="none"/>
              </w:rPr>
            </w:pPr>
          </w:p>
        </w:tc>
        <w:tc>
          <w:tcPr>
            <w:tcW w:w="851" w:type="dxa"/>
            <w:tcBorders>
              <w:right w:val="single" w:color="auto" w:sz="12" w:space="0"/>
            </w:tcBorders>
            <w:vAlign w:val="center"/>
          </w:tcPr>
          <w:p w14:paraId="64984974">
            <w:pPr>
              <w:spacing w:line="340" w:lineRule="exact"/>
              <w:jc w:val="left"/>
              <w:rPr>
                <w:rFonts w:hint="eastAsia" w:ascii="宋体" w:hAnsi="宋体" w:cs="宋体"/>
                <w:color w:val="auto"/>
                <w:szCs w:val="24"/>
                <w:highlight w:val="none"/>
              </w:rPr>
            </w:pPr>
          </w:p>
        </w:tc>
      </w:tr>
      <w:tr w14:paraId="0A115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675" w:type="dxa"/>
            <w:tcBorders>
              <w:left w:val="single" w:color="auto" w:sz="12" w:space="0"/>
            </w:tcBorders>
            <w:vAlign w:val="center"/>
          </w:tcPr>
          <w:p w14:paraId="528E6D0B">
            <w:pPr>
              <w:spacing w:before="60" w:beforeLines="25" w:after="60" w:afterLines="25"/>
              <w:jc w:val="center"/>
              <w:rPr>
                <w:rFonts w:hint="eastAsia" w:ascii="宋体" w:hAnsi="宋体" w:cs="宋体"/>
                <w:color w:val="auto"/>
                <w:szCs w:val="24"/>
                <w:highlight w:val="none"/>
              </w:rPr>
            </w:pPr>
            <w:r>
              <w:rPr>
                <w:rFonts w:hint="eastAsia" w:ascii="宋体" w:hAnsi="宋体" w:cs="宋体"/>
                <w:color w:val="auto"/>
                <w:szCs w:val="24"/>
                <w:highlight w:val="none"/>
              </w:rPr>
              <w:t>2</w:t>
            </w:r>
          </w:p>
        </w:tc>
        <w:tc>
          <w:tcPr>
            <w:tcW w:w="1758" w:type="dxa"/>
            <w:vAlign w:val="center"/>
          </w:tcPr>
          <w:p w14:paraId="3CFA2B6B">
            <w:pPr>
              <w:spacing w:before="60" w:beforeLines="25" w:after="60" w:afterLines="25"/>
              <w:jc w:val="center"/>
              <w:rPr>
                <w:rFonts w:hint="eastAsia" w:ascii="宋体" w:hAnsi="宋体" w:cs="宋体"/>
                <w:color w:val="auto"/>
                <w:szCs w:val="24"/>
                <w:highlight w:val="none"/>
              </w:rPr>
            </w:pPr>
            <w:r>
              <w:rPr>
                <w:rFonts w:hint="eastAsia" w:asciiTheme="minorEastAsia" w:hAnsiTheme="minorEastAsia" w:eastAsiaTheme="minorEastAsia"/>
                <w:color w:val="auto"/>
                <w:highlight w:val="none"/>
              </w:rPr>
              <w:t>服务周期</w:t>
            </w:r>
          </w:p>
        </w:tc>
        <w:tc>
          <w:tcPr>
            <w:tcW w:w="3828" w:type="dxa"/>
            <w:vAlign w:val="center"/>
          </w:tcPr>
          <w:p w14:paraId="64607B57">
            <w:pPr>
              <w:spacing w:before="60" w:beforeLines="25" w:after="60" w:afterLines="25"/>
              <w:jc w:val="center"/>
              <w:rPr>
                <w:rFonts w:hint="eastAsia" w:ascii="宋体" w:hAnsi="宋体" w:cs="宋体"/>
                <w:color w:val="auto"/>
                <w:szCs w:val="24"/>
                <w:highlight w:val="none"/>
              </w:rPr>
            </w:pPr>
            <w:r>
              <w:rPr>
                <w:rFonts w:hint="eastAsia" w:ascii="宋体" w:hAnsi="宋体" w:cs="宋体"/>
                <w:color w:val="auto"/>
                <w:szCs w:val="24"/>
                <w:highlight w:val="none"/>
              </w:rPr>
              <w:t>符合</w:t>
            </w:r>
            <w:r>
              <w:rPr>
                <w:rFonts w:hint="eastAsia" w:asciiTheme="minorEastAsia" w:hAnsiTheme="minorEastAsia" w:eastAsiaTheme="minorEastAsia"/>
                <w:color w:val="auto"/>
                <w:highlight w:val="none"/>
              </w:rPr>
              <w:t>“供应商须知前附表”第1.3.2项</w:t>
            </w:r>
          </w:p>
        </w:tc>
        <w:tc>
          <w:tcPr>
            <w:tcW w:w="1804" w:type="dxa"/>
            <w:vAlign w:val="center"/>
          </w:tcPr>
          <w:p w14:paraId="64689FC8">
            <w:pPr>
              <w:spacing w:line="340" w:lineRule="exact"/>
              <w:jc w:val="left"/>
              <w:rPr>
                <w:rFonts w:hint="eastAsia" w:ascii="宋体" w:hAnsi="宋体" w:cs="宋体"/>
                <w:color w:val="auto"/>
                <w:sz w:val="29"/>
                <w:szCs w:val="32"/>
                <w:highlight w:val="none"/>
              </w:rPr>
            </w:pPr>
          </w:p>
        </w:tc>
        <w:tc>
          <w:tcPr>
            <w:tcW w:w="851" w:type="dxa"/>
            <w:tcBorders>
              <w:right w:val="single" w:color="auto" w:sz="12" w:space="0"/>
            </w:tcBorders>
            <w:vAlign w:val="center"/>
          </w:tcPr>
          <w:p w14:paraId="1CC69A12">
            <w:pPr>
              <w:spacing w:line="340" w:lineRule="exact"/>
              <w:jc w:val="left"/>
              <w:rPr>
                <w:rFonts w:hint="eastAsia" w:ascii="宋体" w:hAnsi="宋体" w:cs="宋体"/>
                <w:color w:val="auto"/>
                <w:szCs w:val="24"/>
                <w:highlight w:val="none"/>
              </w:rPr>
            </w:pPr>
          </w:p>
        </w:tc>
      </w:tr>
      <w:tr w14:paraId="779BB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675" w:type="dxa"/>
            <w:tcBorders>
              <w:left w:val="single" w:color="auto" w:sz="12" w:space="0"/>
            </w:tcBorders>
            <w:vAlign w:val="center"/>
          </w:tcPr>
          <w:p w14:paraId="55A6EBEB">
            <w:pPr>
              <w:spacing w:before="60" w:beforeLines="25" w:after="60" w:afterLines="25"/>
              <w:jc w:val="center"/>
              <w:rPr>
                <w:rFonts w:hint="eastAsia" w:ascii="宋体" w:hAnsi="宋体" w:cs="宋体"/>
                <w:color w:val="auto"/>
                <w:szCs w:val="24"/>
                <w:highlight w:val="none"/>
              </w:rPr>
            </w:pPr>
            <w:r>
              <w:rPr>
                <w:rFonts w:hint="eastAsia" w:ascii="宋体" w:hAnsi="宋体" w:cs="宋体"/>
                <w:color w:val="auto"/>
                <w:szCs w:val="24"/>
                <w:highlight w:val="none"/>
              </w:rPr>
              <w:t>3</w:t>
            </w:r>
          </w:p>
        </w:tc>
        <w:tc>
          <w:tcPr>
            <w:tcW w:w="1758" w:type="dxa"/>
            <w:vAlign w:val="center"/>
          </w:tcPr>
          <w:p w14:paraId="7FB57B72">
            <w:pPr>
              <w:spacing w:before="60" w:beforeLines="25" w:after="60" w:afterLines="25"/>
              <w:jc w:val="center"/>
              <w:rPr>
                <w:rFonts w:hint="eastAsia" w:ascii="宋体" w:hAnsi="宋体" w:cs="宋体"/>
                <w:color w:val="auto"/>
                <w:szCs w:val="24"/>
                <w:highlight w:val="none"/>
              </w:rPr>
            </w:pPr>
            <w:r>
              <w:rPr>
                <w:rFonts w:hint="eastAsia" w:asciiTheme="minorEastAsia" w:hAnsiTheme="minorEastAsia" w:eastAsiaTheme="minorEastAsia"/>
                <w:color w:val="auto"/>
                <w:highlight w:val="none"/>
              </w:rPr>
              <w:t>质量标准</w:t>
            </w:r>
          </w:p>
        </w:tc>
        <w:tc>
          <w:tcPr>
            <w:tcW w:w="3828" w:type="dxa"/>
            <w:vAlign w:val="center"/>
          </w:tcPr>
          <w:p w14:paraId="704DC5E3">
            <w:pPr>
              <w:spacing w:before="60" w:beforeLines="25" w:after="60" w:afterLines="25"/>
              <w:jc w:val="center"/>
              <w:rPr>
                <w:rFonts w:hint="eastAsia" w:ascii="宋体" w:hAnsi="宋体" w:cs="宋体"/>
                <w:color w:val="auto"/>
                <w:szCs w:val="24"/>
                <w:highlight w:val="none"/>
              </w:rPr>
            </w:pPr>
            <w:r>
              <w:rPr>
                <w:rFonts w:hint="eastAsia" w:ascii="宋体" w:hAnsi="宋体" w:cs="宋体"/>
                <w:color w:val="auto"/>
                <w:szCs w:val="24"/>
                <w:highlight w:val="none"/>
              </w:rPr>
              <w:t>符合</w:t>
            </w:r>
            <w:r>
              <w:rPr>
                <w:rFonts w:hint="eastAsia" w:asciiTheme="minorEastAsia" w:hAnsiTheme="minorEastAsia" w:eastAsiaTheme="minorEastAsia"/>
                <w:color w:val="auto"/>
                <w:highlight w:val="none"/>
              </w:rPr>
              <w:t>“供应商须知前附表”第1.3.3项</w:t>
            </w:r>
          </w:p>
        </w:tc>
        <w:tc>
          <w:tcPr>
            <w:tcW w:w="1804" w:type="dxa"/>
            <w:vAlign w:val="center"/>
          </w:tcPr>
          <w:p w14:paraId="72AD90DE">
            <w:pPr>
              <w:spacing w:line="340" w:lineRule="exact"/>
              <w:jc w:val="left"/>
              <w:rPr>
                <w:rFonts w:hint="eastAsia" w:ascii="宋体" w:hAnsi="宋体" w:cs="宋体"/>
                <w:color w:val="auto"/>
                <w:sz w:val="29"/>
                <w:szCs w:val="32"/>
                <w:highlight w:val="none"/>
              </w:rPr>
            </w:pPr>
          </w:p>
        </w:tc>
        <w:tc>
          <w:tcPr>
            <w:tcW w:w="851" w:type="dxa"/>
            <w:tcBorders>
              <w:right w:val="single" w:color="auto" w:sz="12" w:space="0"/>
            </w:tcBorders>
            <w:vAlign w:val="center"/>
          </w:tcPr>
          <w:p w14:paraId="079B9B26">
            <w:pPr>
              <w:spacing w:line="340" w:lineRule="exact"/>
              <w:jc w:val="left"/>
              <w:rPr>
                <w:rFonts w:hint="eastAsia" w:ascii="宋体" w:hAnsi="宋体" w:cs="宋体"/>
                <w:color w:val="auto"/>
                <w:szCs w:val="24"/>
                <w:highlight w:val="none"/>
              </w:rPr>
            </w:pPr>
          </w:p>
        </w:tc>
      </w:tr>
      <w:tr w14:paraId="59AAA9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675" w:type="dxa"/>
            <w:tcBorders>
              <w:left w:val="single" w:color="auto" w:sz="12" w:space="0"/>
            </w:tcBorders>
            <w:vAlign w:val="center"/>
          </w:tcPr>
          <w:p w14:paraId="2BA4FCBA">
            <w:pPr>
              <w:spacing w:before="60" w:beforeLines="25" w:after="60" w:afterLines="25"/>
              <w:jc w:val="center"/>
              <w:rPr>
                <w:rFonts w:hint="eastAsia" w:ascii="宋体" w:hAnsi="宋体" w:cs="宋体"/>
                <w:color w:val="auto"/>
                <w:szCs w:val="24"/>
                <w:highlight w:val="none"/>
              </w:rPr>
            </w:pPr>
            <w:r>
              <w:rPr>
                <w:rFonts w:hint="eastAsia" w:ascii="宋体" w:hAnsi="宋体" w:cs="宋体"/>
                <w:color w:val="auto"/>
                <w:szCs w:val="24"/>
                <w:highlight w:val="none"/>
              </w:rPr>
              <w:t>4</w:t>
            </w:r>
          </w:p>
        </w:tc>
        <w:tc>
          <w:tcPr>
            <w:tcW w:w="1758" w:type="dxa"/>
            <w:vAlign w:val="center"/>
          </w:tcPr>
          <w:p w14:paraId="73802EEE">
            <w:pPr>
              <w:spacing w:before="60" w:beforeLines="25" w:after="60" w:afterLines="25"/>
              <w:jc w:val="center"/>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联合体投标</w:t>
            </w:r>
          </w:p>
        </w:tc>
        <w:tc>
          <w:tcPr>
            <w:tcW w:w="3828" w:type="dxa"/>
            <w:vAlign w:val="center"/>
          </w:tcPr>
          <w:p w14:paraId="1795459E">
            <w:pPr>
              <w:spacing w:before="60" w:beforeLines="25" w:after="60" w:afterLines="25"/>
              <w:jc w:val="center"/>
              <w:rPr>
                <w:rFonts w:hint="eastAsia" w:ascii="宋体" w:hAnsi="宋体" w:cs="宋体"/>
                <w:color w:val="auto"/>
                <w:szCs w:val="24"/>
                <w:highlight w:val="none"/>
              </w:rPr>
            </w:pPr>
            <w:r>
              <w:rPr>
                <w:rFonts w:hint="eastAsia" w:ascii="宋体" w:hAnsi="宋体" w:cs="宋体"/>
                <w:color w:val="auto"/>
                <w:szCs w:val="24"/>
                <w:highlight w:val="none"/>
              </w:rPr>
              <w:t>符合</w:t>
            </w:r>
            <w:r>
              <w:rPr>
                <w:rFonts w:hint="eastAsia" w:asciiTheme="minorEastAsia" w:hAnsiTheme="minorEastAsia" w:eastAsiaTheme="minorEastAsia"/>
                <w:color w:val="auto"/>
                <w:highlight w:val="none"/>
              </w:rPr>
              <w:t>“供应商须知前附表”第1.4.3项</w:t>
            </w:r>
          </w:p>
        </w:tc>
        <w:tc>
          <w:tcPr>
            <w:tcW w:w="1804" w:type="dxa"/>
            <w:vAlign w:val="center"/>
          </w:tcPr>
          <w:p w14:paraId="549C7A44">
            <w:pPr>
              <w:spacing w:line="340" w:lineRule="exact"/>
              <w:jc w:val="left"/>
              <w:rPr>
                <w:rFonts w:hint="eastAsia" w:ascii="宋体" w:hAnsi="宋体" w:cs="宋体"/>
                <w:color w:val="auto"/>
                <w:sz w:val="29"/>
                <w:szCs w:val="32"/>
                <w:highlight w:val="none"/>
              </w:rPr>
            </w:pPr>
          </w:p>
        </w:tc>
        <w:tc>
          <w:tcPr>
            <w:tcW w:w="851" w:type="dxa"/>
            <w:tcBorders>
              <w:right w:val="single" w:color="auto" w:sz="12" w:space="0"/>
            </w:tcBorders>
            <w:vAlign w:val="center"/>
          </w:tcPr>
          <w:p w14:paraId="120B6191">
            <w:pPr>
              <w:spacing w:line="340" w:lineRule="exact"/>
              <w:jc w:val="left"/>
              <w:rPr>
                <w:rFonts w:hint="eastAsia" w:ascii="宋体" w:hAnsi="宋体" w:cs="宋体"/>
                <w:color w:val="auto"/>
                <w:szCs w:val="24"/>
                <w:highlight w:val="none"/>
              </w:rPr>
            </w:pPr>
          </w:p>
        </w:tc>
      </w:tr>
      <w:tr w14:paraId="4278E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675" w:type="dxa"/>
            <w:tcBorders>
              <w:left w:val="single" w:color="auto" w:sz="12" w:space="0"/>
            </w:tcBorders>
            <w:vAlign w:val="center"/>
          </w:tcPr>
          <w:p w14:paraId="03358BB0">
            <w:pPr>
              <w:spacing w:before="60" w:beforeLines="25" w:after="60" w:afterLines="25"/>
              <w:jc w:val="center"/>
              <w:rPr>
                <w:rFonts w:hint="eastAsia" w:ascii="宋体" w:hAnsi="宋体" w:cs="宋体"/>
                <w:color w:val="auto"/>
                <w:szCs w:val="24"/>
                <w:highlight w:val="none"/>
              </w:rPr>
            </w:pPr>
            <w:r>
              <w:rPr>
                <w:rFonts w:ascii="宋体" w:hAnsi="宋体" w:cs="宋体"/>
                <w:color w:val="auto"/>
                <w:szCs w:val="24"/>
                <w:highlight w:val="none"/>
              </w:rPr>
              <w:t>5</w:t>
            </w:r>
          </w:p>
        </w:tc>
        <w:tc>
          <w:tcPr>
            <w:tcW w:w="1758" w:type="dxa"/>
            <w:vAlign w:val="center"/>
          </w:tcPr>
          <w:p w14:paraId="383C9FE7">
            <w:pPr>
              <w:spacing w:before="60" w:beforeLines="25" w:after="60" w:afterLines="25"/>
              <w:jc w:val="center"/>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分包</w:t>
            </w:r>
          </w:p>
        </w:tc>
        <w:tc>
          <w:tcPr>
            <w:tcW w:w="3828" w:type="dxa"/>
            <w:vAlign w:val="center"/>
          </w:tcPr>
          <w:p w14:paraId="08CF26E8">
            <w:pPr>
              <w:spacing w:before="60" w:beforeLines="25" w:after="60" w:afterLines="25"/>
              <w:jc w:val="center"/>
              <w:rPr>
                <w:rFonts w:hint="eastAsia" w:asciiTheme="minorEastAsia" w:hAnsiTheme="minorEastAsia" w:eastAsiaTheme="minorEastAsia"/>
                <w:color w:val="auto"/>
                <w:highlight w:val="none"/>
              </w:rPr>
            </w:pPr>
            <w:r>
              <w:rPr>
                <w:rFonts w:hint="eastAsia" w:ascii="宋体" w:hAnsi="宋体" w:cs="宋体"/>
                <w:color w:val="auto"/>
                <w:szCs w:val="24"/>
                <w:highlight w:val="none"/>
              </w:rPr>
              <w:t>符合“供应商须知前附表”第1.</w:t>
            </w:r>
            <w:r>
              <w:rPr>
                <w:rFonts w:ascii="宋体" w:hAnsi="宋体" w:cs="宋体"/>
                <w:color w:val="auto"/>
                <w:szCs w:val="24"/>
                <w:highlight w:val="none"/>
              </w:rPr>
              <w:t>11</w:t>
            </w:r>
            <w:r>
              <w:rPr>
                <w:rFonts w:hint="eastAsia" w:ascii="宋体" w:hAnsi="宋体" w:cs="宋体"/>
                <w:color w:val="auto"/>
                <w:szCs w:val="24"/>
                <w:highlight w:val="none"/>
              </w:rPr>
              <w:t>项</w:t>
            </w:r>
          </w:p>
        </w:tc>
        <w:tc>
          <w:tcPr>
            <w:tcW w:w="1804" w:type="dxa"/>
            <w:vAlign w:val="center"/>
          </w:tcPr>
          <w:p w14:paraId="0E144F6D">
            <w:pPr>
              <w:spacing w:line="340" w:lineRule="exact"/>
              <w:jc w:val="left"/>
              <w:rPr>
                <w:rFonts w:hint="eastAsia" w:ascii="宋体" w:hAnsi="宋体" w:cs="宋体"/>
                <w:color w:val="auto"/>
                <w:sz w:val="29"/>
                <w:szCs w:val="32"/>
                <w:highlight w:val="none"/>
              </w:rPr>
            </w:pPr>
          </w:p>
        </w:tc>
        <w:tc>
          <w:tcPr>
            <w:tcW w:w="851" w:type="dxa"/>
            <w:tcBorders>
              <w:right w:val="single" w:color="auto" w:sz="12" w:space="0"/>
            </w:tcBorders>
            <w:vAlign w:val="center"/>
          </w:tcPr>
          <w:p w14:paraId="3C37C477">
            <w:pPr>
              <w:spacing w:line="340" w:lineRule="exact"/>
              <w:jc w:val="left"/>
              <w:rPr>
                <w:rFonts w:hint="eastAsia" w:ascii="宋体" w:hAnsi="宋体" w:cs="宋体"/>
                <w:color w:val="auto"/>
                <w:szCs w:val="24"/>
                <w:highlight w:val="none"/>
              </w:rPr>
            </w:pPr>
          </w:p>
        </w:tc>
      </w:tr>
      <w:tr w14:paraId="68EDD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675" w:type="dxa"/>
            <w:tcBorders>
              <w:left w:val="single" w:color="auto" w:sz="12" w:space="0"/>
            </w:tcBorders>
            <w:vAlign w:val="center"/>
          </w:tcPr>
          <w:p w14:paraId="336C928C">
            <w:pPr>
              <w:spacing w:before="60" w:beforeLines="25" w:after="60" w:afterLines="25"/>
              <w:jc w:val="center"/>
              <w:rPr>
                <w:rFonts w:hint="eastAsia" w:ascii="宋体" w:hAnsi="宋体" w:cs="宋体"/>
                <w:color w:val="auto"/>
                <w:szCs w:val="24"/>
                <w:highlight w:val="none"/>
              </w:rPr>
            </w:pPr>
            <w:r>
              <w:rPr>
                <w:rFonts w:hint="eastAsia" w:ascii="宋体" w:hAnsi="宋体" w:cs="宋体"/>
                <w:color w:val="auto"/>
                <w:szCs w:val="24"/>
                <w:highlight w:val="none"/>
              </w:rPr>
              <w:t>6</w:t>
            </w:r>
          </w:p>
        </w:tc>
        <w:tc>
          <w:tcPr>
            <w:tcW w:w="1758" w:type="dxa"/>
            <w:vAlign w:val="center"/>
          </w:tcPr>
          <w:p w14:paraId="673ED6AE">
            <w:pPr>
              <w:spacing w:before="60" w:beforeLines="25" w:after="60" w:afterLines="25"/>
              <w:jc w:val="center"/>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偏离</w:t>
            </w:r>
          </w:p>
        </w:tc>
        <w:tc>
          <w:tcPr>
            <w:tcW w:w="3828" w:type="dxa"/>
            <w:vAlign w:val="center"/>
          </w:tcPr>
          <w:p w14:paraId="70BEB889">
            <w:pPr>
              <w:spacing w:before="60" w:beforeLines="25" w:after="60" w:afterLines="25"/>
              <w:jc w:val="center"/>
              <w:rPr>
                <w:rFonts w:hint="eastAsia" w:ascii="宋体" w:hAnsi="宋体" w:cs="宋体"/>
                <w:color w:val="auto"/>
                <w:szCs w:val="24"/>
                <w:highlight w:val="none"/>
              </w:rPr>
            </w:pPr>
            <w:r>
              <w:rPr>
                <w:rFonts w:hint="eastAsia" w:ascii="宋体" w:hAnsi="宋体" w:cs="宋体"/>
                <w:color w:val="auto"/>
                <w:szCs w:val="24"/>
                <w:highlight w:val="none"/>
              </w:rPr>
              <w:t>符合“供应商须知前附表”第1.</w:t>
            </w:r>
            <w:r>
              <w:rPr>
                <w:rFonts w:ascii="宋体" w:hAnsi="宋体" w:cs="宋体"/>
                <w:color w:val="auto"/>
                <w:szCs w:val="24"/>
                <w:highlight w:val="none"/>
              </w:rPr>
              <w:t>12</w:t>
            </w:r>
            <w:r>
              <w:rPr>
                <w:rFonts w:hint="eastAsia" w:ascii="宋体" w:hAnsi="宋体" w:cs="宋体"/>
                <w:color w:val="auto"/>
                <w:szCs w:val="24"/>
                <w:highlight w:val="none"/>
              </w:rPr>
              <w:t>项</w:t>
            </w:r>
          </w:p>
        </w:tc>
        <w:tc>
          <w:tcPr>
            <w:tcW w:w="1804" w:type="dxa"/>
            <w:vAlign w:val="center"/>
          </w:tcPr>
          <w:p w14:paraId="5FBA4C1D">
            <w:pPr>
              <w:spacing w:line="340" w:lineRule="exact"/>
              <w:jc w:val="left"/>
              <w:rPr>
                <w:rFonts w:hint="eastAsia" w:ascii="宋体" w:hAnsi="宋体" w:cs="宋体"/>
                <w:color w:val="auto"/>
                <w:sz w:val="29"/>
                <w:szCs w:val="32"/>
                <w:highlight w:val="none"/>
              </w:rPr>
            </w:pPr>
          </w:p>
        </w:tc>
        <w:tc>
          <w:tcPr>
            <w:tcW w:w="851" w:type="dxa"/>
            <w:tcBorders>
              <w:right w:val="single" w:color="auto" w:sz="12" w:space="0"/>
            </w:tcBorders>
            <w:vAlign w:val="center"/>
          </w:tcPr>
          <w:p w14:paraId="0906E78E">
            <w:pPr>
              <w:spacing w:line="340" w:lineRule="exact"/>
              <w:jc w:val="left"/>
              <w:rPr>
                <w:rFonts w:hint="eastAsia" w:ascii="宋体" w:hAnsi="宋体" w:cs="宋体"/>
                <w:color w:val="auto"/>
                <w:szCs w:val="24"/>
                <w:highlight w:val="none"/>
              </w:rPr>
            </w:pPr>
          </w:p>
        </w:tc>
      </w:tr>
      <w:tr w14:paraId="45C77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675" w:type="dxa"/>
            <w:tcBorders>
              <w:left w:val="single" w:color="auto" w:sz="12" w:space="0"/>
            </w:tcBorders>
            <w:vAlign w:val="center"/>
          </w:tcPr>
          <w:p w14:paraId="08947184">
            <w:pPr>
              <w:spacing w:before="60" w:beforeLines="25" w:after="60" w:afterLines="25"/>
              <w:jc w:val="center"/>
              <w:rPr>
                <w:rFonts w:hint="eastAsia" w:ascii="宋体" w:hAnsi="宋体" w:cs="宋体"/>
                <w:color w:val="auto"/>
                <w:szCs w:val="24"/>
                <w:highlight w:val="none"/>
              </w:rPr>
            </w:pPr>
            <w:r>
              <w:rPr>
                <w:rFonts w:hint="eastAsia" w:ascii="宋体" w:hAnsi="宋体" w:cs="宋体"/>
                <w:color w:val="auto"/>
                <w:szCs w:val="24"/>
                <w:highlight w:val="none"/>
              </w:rPr>
              <w:t>7</w:t>
            </w:r>
          </w:p>
        </w:tc>
        <w:tc>
          <w:tcPr>
            <w:tcW w:w="1758" w:type="dxa"/>
            <w:vAlign w:val="center"/>
          </w:tcPr>
          <w:p w14:paraId="41D3879B">
            <w:pPr>
              <w:spacing w:before="60" w:beforeLines="25" w:after="60" w:afterLines="25"/>
              <w:jc w:val="center"/>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磋商有效期</w:t>
            </w:r>
          </w:p>
        </w:tc>
        <w:tc>
          <w:tcPr>
            <w:tcW w:w="3828" w:type="dxa"/>
            <w:vAlign w:val="center"/>
          </w:tcPr>
          <w:p w14:paraId="6B06170E">
            <w:pPr>
              <w:spacing w:before="60" w:beforeLines="25" w:after="60" w:afterLines="25"/>
              <w:jc w:val="center"/>
              <w:rPr>
                <w:rFonts w:hint="eastAsia" w:ascii="宋体" w:hAnsi="宋体" w:cs="宋体"/>
                <w:color w:val="auto"/>
                <w:szCs w:val="24"/>
                <w:highlight w:val="none"/>
              </w:rPr>
            </w:pPr>
            <w:r>
              <w:rPr>
                <w:rFonts w:hint="eastAsia" w:ascii="宋体" w:hAnsi="宋体" w:cs="宋体"/>
                <w:color w:val="auto"/>
                <w:szCs w:val="24"/>
                <w:highlight w:val="none"/>
              </w:rPr>
              <w:t>符合“供应商须知前附表”第</w:t>
            </w:r>
            <w:r>
              <w:rPr>
                <w:rFonts w:ascii="宋体" w:hAnsi="宋体" w:cs="宋体"/>
                <w:color w:val="auto"/>
                <w:szCs w:val="24"/>
                <w:highlight w:val="none"/>
              </w:rPr>
              <w:t>3.3.1</w:t>
            </w:r>
            <w:r>
              <w:rPr>
                <w:rFonts w:hint="eastAsia" w:ascii="宋体" w:hAnsi="宋体" w:cs="宋体"/>
                <w:color w:val="auto"/>
                <w:szCs w:val="24"/>
                <w:highlight w:val="none"/>
              </w:rPr>
              <w:t>项</w:t>
            </w:r>
          </w:p>
        </w:tc>
        <w:tc>
          <w:tcPr>
            <w:tcW w:w="1804" w:type="dxa"/>
            <w:vAlign w:val="center"/>
          </w:tcPr>
          <w:p w14:paraId="63AF5471">
            <w:pPr>
              <w:spacing w:line="340" w:lineRule="exact"/>
              <w:jc w:val="left"/>
              <w:rPr>
                <w:rFonts w:hint="eastAsia" w:ascii="宋体" w:hAnsi="宋体" w:cs="宋体"/>
                <w:color w:val="auto"/>
                <w:sz w:val="29"/>
                <w:szCs w:val="32"/>
                <w:highlight w:val="none"/>
              </w:rPr>
            </w:pPr>
          </w:p>
        </w:tc>
        <w:tc>
          <w:tcPr>
            <w:tcW w:w="851" w:type="dxa"/>
            <w:tcBorders>
              <w:right w:val="single" w:color="auto" w:sz="12" w:space="0"/>
            </w:tcBorders>
            <w:vAlign w:val="center"/>
          </w:tcPr>
          <w:p w14:paraId="584763AB">
            <w:pPr>
              <w:spacing w:line="340" w:lineRule="exact"/>
              <w:jc w:val="left"/>
              <w:rPr>
                <w:rFonts w:hint="eastAsia" w:ascii="宋体" w:hAnsi="宋体" w:cs="宋体"/>
                <w:color w:val="auto"/>
                <w:szCs w:val="24"/>
                <w:highlight w:val="none"/>
              </w:rPr>
            </w:pPr>
          </w:p>
        </w:tc>
      </w:tr>
    </w:tbl>
    <w:p w14:paraId="0F4DFEA8">
      <w:pPr>
        <w:autoSpaceDE w:val="0"/>
        <w:autoSpaceDN w:val="0"/>
        <w:adjustRightInd w:val="0"/>
        <w:spacing w:before="120" w:beforeLines="50" w:line="360" w:lineRule="auto"/>
        <w:ind w:firstLine="420" w:firstLineChars="200"/>
        <w:jc w:val="left"/>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注：供应商在编制响应文件时，须根据采购文件的要求，在以上表格的“供应商响应情况”一栏中填写响应情况或做出说明。若供应商所填写的响应情况不符合采购文件的相关要求或存在负偏离的，其响应文件作否决处理。</w:t>
      </w:r>
    </w:p>
    <w:p w14:paraId="3E2F19B2">
      <w:pPr>
        <w:autoSpaceDE w:val="0"/>
        <w:autoSpaceDN w:val="0"/>
        <w:adjustRightInd w:val="0"/>
        <w:spacing w:line="480" w:lineRule="auto"/>
        <w:jc w:val="left"/>
        <w:rPr>
          <w:rFonts w:hint="eastAsia" w:asciiTheme="minorEastAsia" w:hAnsiTheme="minorEastAsia" w:eastAsiaTheme="minorEastAsia"/>
          <w:bCs/>
          <w:color w:val="auto"/>
          <w:szCs w:val="21"/>
          <w:highlight w:val="none"/>
        </w:rPr>
      </w:pPr>
    </w:p>
    <w:p w14:paraId="2FF99104">
      <w:pPr>
        <w:autoSpaceDE w:val="0"/>
        <w:autoSpaceDN w:val="0"/>
        <w:adjustRightInd w:val="0"/>
        <w:spacing w:line="480" w:lineRule="auto"/>
        <w:jc w:val="left"/>
        <w:rPr>
          <w:rFonts w:hint="eastAsia" w:asciiTheme="minorEastAsia" w:hAnsiTheme="minorEastAsia" w:eastAsiaTheme="minorEastAsia"/>
          <w:bCs/>
          <w:color w:val="auto"/>
          <w:szCs w:val="21"/>
          <w:highlight w:val="none"/>
        </w:rPr>
      </w:pPr>
    </w:p>
    <w:p w14:paraId="143D07A5">
      <w:pPr>
        <w:autoSpaceDE w:val="0"/>
        <w:autoSpaceDN w:val="0"/>
        <w:adjustRightInd w:val="0"/>
        <w:spacing w:line="480" w:lineRule="auto"/>
        <w:jc w:val="left"/>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供应商：</w:t>
      </w:r>
      <w:r>
        <w:rPr>
          <w:rFonts w:hint="eastAsia" w:asciiTheme="minorEastAsia" w:hAnsiTheme="minorEastAsia" w:eastAsiaTheme="minorEastAsia"/>
          <w:bCs/>
          <w:color w:val="auto"/>
          <w:szCs w:val="21"/>
          <w:highlight w:val="none"/>
          <w:u w:val="single"/>
        </w:rPr>
        <w:t xml:space="preserve">          </w:t>
      </w:r>
      <w:r>
        <w:rPr>
          <w:rFonts w:asciiTheme="minorEastAsia" w:hAnsiTheme="minorEastAsia" w:eastAsiaTheme="minorEastAsia"/>
          <w:bCs/>
          <w:color w:val="auto"/>
          <w:szCs w:val="21"/>
          <w:highlight w:val="none"/>
          <w:u w:val="single"/>
        </w:rPr>
        <w:t xml:space="preserve">     </w:t>
      </w:r>
      <w:r>
        <w:rPr>
          <w:rFonts w:hint="eastAsia" w:asciiTheme="minorEastAsia" w:hAnsiTheme="minorEastAsia" w:eastAsiaTheme="minorEastAsia"/>
          <w:bCs/>
          <w:color w:val="auto"/>
          <w:szCs w:val="21"/>
          <w:highlight w:val="none"/>
          <w:u w:val="single"/>
        </w:rPr>
        <w:t>（</w:t>
      </w:r>
      <w:r>
        <w:rPr>
          <w:rFonts w:hint="eastAsia" w:asciiTheme="minorEastAsia" w:hAnsiTheme="minorEastAsia" w:eastAsiaTheme="minorEastAsia"/>
          <w:color w:val="auto"/>
          <w:szCs w:val="21"/>
          <w:highlight w:val="none"/>
          <w:u w:val="single"/>
        </w:rPr>
        <w:t>电子签章</w:t>
      </w:r>
      <w:r>
        <w:rPr>
          <w:rFonts w:hint="eastAsia" w:asciiTheme="minorEastAsia" w:hAnsiTheme="minorEastAsia" w:eastAsiaTheme="minorEastAsia"/>
          <w:bCs/>
          <w:color w:val="auto"/>
          <w:szCs w:val="21"/>
          <w:highlight w:val="none"/>
          <w:u w:val="single"/>
        </w:rPr>
        <w:t>）</w:t>
      </w:r>
    </w:p>
    <w:p w14:paraId="045AF978">
      <w:pPr>
        <w:autoSpaceDE w:val="0"/>
        <w:autoSpaceDN w:val="0"/>
        <w:adjustRightInd w:val="0"/>
        <w:spacing w:line="480" w:lineRule="auto"/>
        <w:jc w:val="left"/>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法定代表人：</w:t>
      </w:r>
      <w:r>
        <w:rPr>
          <w:rFonts w:hint="eastAsia" w:asciiTheme="minorEastAsia" w:hAnsiTheme="minorEastAsia" w:eastAsiaTheme="minorEastAsia"/>
          <w:bCs/>
          <w:color w:val="auto"/>
          <w:szCs w:val="21"/>
          <w:highlight w:val="none"/>
          <w:u w:val="single"/>
        </w:rPr>
        <w:t xml:space="preserve">     </w:t>
      </w:r>
      <w:r>
        <w:rPr>
          <w:rFonts w:asciiTheme="minorEastAsia" w:hAnsiTheme="minorEastAsia" w:eastAsiaTheme="minorEastAsia"/>
          <w:bCs/>
          <w:color w:val="auto"/>
          <w:szCs w:val="21"/>
          <w:highlight w:val="none"/>
          <w:u w:val="single"/>
        </w:rPr>
        <w:t xml:space="preserve">    </w:t>
      </w:r>
      <w:r>
        <w:rPr>
          <w:rFonts w:hint="eastAsia" w:asciiTheme="minorEastAsia" w:hAnsiTheme="minorEastAsia" w:eastAsiaTheme="minorEastAsia"/>
          <w:bCs/>
          <w:color w:val="auto"/>
          <w:szCs w:val="21"/>
          <w:highlight w:val="none"/>
          <w:u w:val="single"/>
        </w:rPr>
        <w:t xml:space="preserve">   (电子签章)</w:t>
      </w:r>
      <w:r>
        <w:rPr>
          <w:rFonts w:asciiTheme="minorEastAsia" w:hAnsiTheme="minorEastAsia" w:eastAsiaTheme="minorEastAsia"/>
          <w:bCs/>
          <w:color w:val="auto"/>
          <w:szCs w:val="21"/>
          <w:highlight w:val="none"/>
          <w:u w:val="single"/>
        </w:rPr>
        <w:t xml:space="preserve"> </w:t>
      </w:r>
    </w:p>
    <w:p w14:paraId="312130BC">
      <w:pPr>
        <w:autoSpaceDE w:val="0"/>
        <w:autoSpaceDN w:val="0"/>
        <w:adjustRightInd w:val="0"/>
        <w:spacing w:line="480" w:lineRule="auto"/>
        <w:jc w:val="left"/>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日期：</w:t>
      </w:r>
      <w:r>
        <w:rPr>
          <w:rFonts w:hint="eastAsia" w:asciiTheme="minorEastAsia" w:hAnsiTheme="minorEastAsia" w:eastAsiaTheme="minorEastAsia"/>
          <w:bCs/>
          <w:color w:val="auto"/>
          <w:szCs w:val="21"/>
          <w:highlight w:val="none"/>
          <w:u w:val="single"/>
        </w:rPr>
        <w:t xml:space="preserve">      </w:t>
      </w:r>
      <w:r>
        <w:rPr>
          <w:rFonts w:hint="eastAsia" w:asciiTheme="minorEastAsia" w:hAnsiTheme="minorEastAsia" w:eastAsiaTheme="minorEastAsia"/>
          <w:bCs/>
          <w:color w:val="auto"/>
          <w:szCs w:val="21"/>
          <w:highlight w:val="none"/>
        </w:rPr>
        <w:t>年</w:t>
      </w:r>
      <w:r>
        <w:rPr>
          <w:rFonts w:hint="eastAsia" w:asciiTheme="minorEastAsia" w:hAnsiTheme="minorEastAsia" w:eastAsiaTheme="minorEastAsia"/>
          <w:bCs/>
          <w:color w:val="auto"/>
          <w:szCs w:val="21"/>
          <w:highlight w:val="none"/>
          <w:u w:val="single"/>
        </w:rPr>
        <w:t xml:space="preserve">     </w:t>
      </w:r>
      <w:r>
        <w:rPr>
          <w:rFonts w:hint="eastAsia" w:asciiTheme="minorEastAsia" w:hAnsiTheme="minorEastAsia" w:eastAsiaTheme="minorEastAsia"/>
          <w:bCs/>
          <w:color w:val="auto"/>
          <w:szCs w:val="21"/>
          <w:highlight w:val="none"/>
        </w:rPr>
        <w:t>月</w:t>
      </w:r>
      <w:r>
        <w:rPr>
          <w:rFonts w:hint="eastAsia" w:asciiTheme="minorEastAsia" w:hAnsiTheme="minorEastAsia" w:eastAsiaTheme="minorEastAsia"/>
          <w:bCs/>
          <w:color w:val="auto"/>
          <w:szCs w:val="21"/>
          <w:highlight w:val="none"/>
          <w:u w:val="single"/>
        </w:rPr>
        <w:t xml:space="preserve">      </w:t>
      </w:r>
      <w:r>
        <w:rPr>
          <w:rFonts w:hint="eastAsia" w:asciiTheme="minorEastAsia" w:hAnsiTheme="minorEastAsia" w:eastAsiaTheme="minorEastAsia"/>
          <w:bCs/>
          <w:color w:val="auto"/>
          <w:szCs w:val="21"/>
          <w:highlight w:val="none"/>
        </w:rPr>
        <w:t>日</w:t>
      </w:r>
    </w:p>
    <w:p w14:paraId="6157625A">
      <w:pPr>
        <w:widowControl/>
        <w:jc w:val="left"/>
        <w:rPr>
          <w:rFonts w:hint="eastAsia" w:asciiTheme="minorEastAsia" w:hAnsiTheme="minorEastAsia" w:eastAsiaTheme="minorEastAsia"/>
          <w:b/>
          <w:color w:val="auto"/>
          <w:sz w:val="28"/>
          <w:szCs w:val="28"/>
          <w:highlight w:val="none"/>
        </w:rPr>
      </w:pPr>
    </w:p>
    <w:p w14:paraId="70651087">
      <w:pPr>
        <w:spacing w:line="360" w:lineRule="auto"/>
        <w:ind w:right="252" w:rightChars="120"/>
        <w:rPr>
          <w:rFonts w:hint="eastAsia" w:cs="仿宋_GB2312" w:asciiTheme="minorEastAsia" w:hAnsiTheme="minorEastAsia" w:eastAsiaTheme="minorEastAsia"/>
          <w:color w:val="auto"/>
          <w:szCs w:val="21"/>
          <w:highlight w:val="none"/>
        </w:rPr>
      </w:pPr>
    </w:p>
    <w:bookmarkEnd w:id="1181"/>
    <w:bookmarkEnd w:id="1182"/>
    <w:p w14:paraId="7037F237">
      <w:pPr>
        <w:widowControl/>
        <w:spacing w:line="360" w:lineRule="auto"/>
        <w:jc w:val="left"/>
        <w:rPr>
          <w:rFonts w:hint="eastAsia" w:asciiTheme="minorEastAsia" w:hAnsiTheme="minorEastAsia" w:eastAsiaTheme="minorEastAsia"/>
          <w:b/>
          <w:color w:val="auto"/>
          <w:sz w:val="30"/>
          <w:szCs w:val="30"/>
          <w:highlight w:val="none"/>
        </w:rPr>
      </w:pPr>
      <w:r>
        <w:rPr>
          <w:rFonts w:asciiTheme="minorEastAsia" w:hAnsiTheme="minorEastAsia" w:eastAsiaTheme="minorEastAsia"/>
          <w:b/>
          <w:color w:val="auto"/>
          <w:sz w:val="30"/>
          <w:szCs w:val="30"/>
          <w:highlight w:val="none"/>
        </w:rPr>
        <w:br w:type="page"/>
      </w:r>
    </w:p>
    <w:p w14:paraId="2D542CD4">
      <w:pPr>
        <w:autoSpaceDE w:val="0"/>
        <w:autoSpaceDN w:val="0"/>
        <w:adjustRightInd w:val="0"/>
        <w:spacing w:after="120" w:afterLines="50" w:line="360" w:lineRule="auto"/>
        <w:jc w:val="center"/>
        <w:rPr>
          <w:rFonts w:hint="eastAsia" w:ascii="宋体" w:hAnsi="宋体"/>
          <w:b/>
          <w:bCs/>
          <w:color w:val="auto"/>
          <w:sz w:val="30"/>
          <w:szCs w:val="30"/>
          <w:highlight w:val="none"/>
        </w:rPr>
      </w:pPr>
      <w:bookmarkStart w:id="1216" w:name="_Toc28025"/>
      <w:bookmarkStart w:id="1217" w:name="_Toc128658857"/>
      <w:r>
        <w:rPr>
          <w:rFonts w:hint="eastAsia" w:ascii="宋体" w:hAnsi="宋体"/>
          <w:b/>
          <w:bCs/>
          <w:color w:val="auto"/>
          <w:sz w:val="30"/>
          <w:szCs w:val="30"/>
          <w:highlight w:val="none"/>
        </w:rPr>
        <w:t>二次报价表（模版）</w:t>
      </w:r>
    </w:p>
    <w:tbl>
      <w:tblPr>
        <w:tblStyle w:val="55"/>
        <w:tblW w:w="90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30"/>
        <w:gridCol w:w="6226"/>
      </w:tblGrid>
      <w:tr w14:paraId="05B59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jc w:val="center"/>
        </w:trPr>
        <w:tc>
          <w:tcPr>
            <w:tcW w:w="2830" w:type="dxa"/>
            <w:vAlign w:val="center"/>
          </w:tcPr>
          <w:p w14:paraId="11489CCE">
            <w:pPr>
              <w:spacing w:before="120" w:after="120"/>
              <w:jc w:val="center"/>
              <w:rPr>
                <w:rFonts w:hint="eastAsia" w:ascii="宋体" w:hAnsi="宋体"/>
                <w:color w:val="auto"/>
                <w:szCs w:val="21"/>
                <w:highlight w:val="none"/>
              </w:rPr>
            </w:pPr>
            <w:r>
              <w:rPr>
                <w:rFonts w:hint="eastAsia" w:ascii="宋体" w:hAnsi="宋体"/>
                <w:color w:val="auto"/>
                <w:szCs w:val="21"/>
                <w:highlight w:val="none"/>
              </w:rPr>
              <w:t>项目名称</w:t>
            </w:r>
          </w:p>
        </w:tc>
        <w:tc>
          <w:tcPr>
            <w:tcW w:w="6226" w:type="dxa"/>
            <w:vAlign w:val="center"/>
          </w:tcPr>
          <w:p w14:paraId="29B451DF">
            <w:pPr>
              <w:spacing w:before="120" w:after="120"/>
              <w:jc w:val="center"/>
              <w:rPr>
                <w:rFonts w:hint="eastAsia" w:ascii="宋体" w:hAnsi="宋体"/>
                <w:color w:val="auto"/>
                <w:szCs w:val="21"/>
                <w:highlight w:val="none"/>
              </w:rPr>
            </w:pPr>
          </w:p>
        </w:tc>
      </w:tr>
      <w:tr w14:paraId="6588F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jc w:val="center"/>
        </w:trPr>
        <w:tc>
          <w:tcPr>
            <w:tcW w:w="2830" w:type="dxa"/>
            <w:vAlign w:val="center"/>
          </w:tcPr>
          <w:p w14:paraId="21D47F27">
            <w:pPr>
              <w:spacing w:before="120" w:after="120"/>
              <w:jc w:val="center"/>
              <w:rPr>
                <w:rFonts w:hint="eastAsia" w:ascii="宋体" w:hAnsi="宋体"/>
                <w:color w:val="auto"/>
                <w:szCs w:val="21"/>
                <w:highlight w:val="none"/>
              </w:rPr>
            </w:pPr>
            <w:r>
              <w:rPr>
                <w:rFonts w:hint="eastAsia" w:ascii="宋体" w:hAnsi="宋体"/>
                <w:color w:val="auto"/>
                <w:szCs w:val="21"/>
                <w:highlight w:val="none"/>
              </w:rPr>
              <w:t>供应商名称</w:t>
            </w:r>
          </w:p>
        </w:tc>
        <w:tc>
          <w:tcPr>
            <w:tcW w:w="6226" w:type="dxa"/>
            <w:vAlign w:val="center"/>
          </w:tcPr>
          <w:p w14:paraId="701EB815">
            <w:pPr>
              <w:spacing w:before="120" w:after="120"/>
              <w:jc w:val="center"/>
              <w:rPr>
                <w:rFonts w:hint="eastAsia" w:ascii="宋体" w:hAnsi="宋体"/>
                <w:color w:val="auto"/>
                <w:szCs w:val="21"/>
                <w:highlight w:val="none"/>
              </w:rPr>
            </w:pPr>
          </w:p>
        </w:tc>
      </w:tr>
      <w:tr w14:paraId="63EF4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6" w:hRule="atLeast"/>
          <w:jc w:val="center"/>
        </w:trPr>
        <w:tc>
          <w:tcPr>
            <w:tcW w:w="2830" w:type="dxa"/>
            <w:vAlign w:val="center"/>
          </w:tcPr>
          <w:p w14:paraId="519E9BA6">
            <w:pPr>
              <w:spacing w:before="120" w:after="120"/>
              <w:jc w:val="center"/>
              <w:rPr>
                <w:rFonts w:hint="eastAsia" w:ascii="宋体" w:hAnsi="宋体"/>
                <w:color w:val="auto"/>
                <w:szCs w:val="21"/>
                <w:highlight w:val="none"/>
              </w:rPr>
            </w:pPr>
            <w:r>
              <w:rPr>
                <w:rFonts w:hint="eastAsia" w:ascii="宋体" w:hAnsi="宋体" w:cs="宋体"/>
                <w:color w:val="auto"/>
                <w:szCs w:val="21"/>
                <w:highlight w:val="none"/>
              </w:rPr>
              <w:t>磋商</w:t>
            </w:r>
            <w:r>
              <w:rPr>
                <w:rFonts w:hint="eastAsia" w:ascii="宋体" w:hAnsi="宋体"/>
                <w:color w:val="auto"/>
                <w:szCs w:val="21"/>
                <w:highlight w:val="none"/>
              </w:rPr>
              <w:t>报价</w:t>
            </w:r>
          </w:p>
        </w:tc>
        <w:tc>
          <w:tcPr>
            <w:tcW w:w="6226" w:type="dxa"/>
            <w:vAlign w:val="center"/>
          </w:tcPr>
          <w:p w14:paraId="4CC6065F">
            <w:pPr>
              <w:spacing w:before="120" w:after="120"/>
              <w:rPr>
                <w:rFonts w:hint="eastAsia" w:ascii="宋体" w:hAnsi="宋体"/>
                <w:b/>
                <w:color w:val="auto"/>
                <w:szCs w:val="21"/>
                <w:highlight w:val="none"/>
              </w:rPr>
            </w:pPr>
            <w:r>
              <w:rPr>
                <w:rFonts w:hint="eastAsia" w:ascii="宋体" w:hAnsi="宋体"/>
                <w:color w:val="auto"/>
                <w:szCs w:val="21"/>
                <w:highlight w:val="none"/>
              </w:rPr>
              <w:t>小写：¥</w:t>
            </w:r>
            <w:r>
              <w:rPr>
                <w:rFonts w:hint="eastAsia" w:ascii="宋体" w:hAnsi="宋体"/>
                <w:color w:val="auto"/>
                <w:szCs w:val="21"/>
                <w:highlight w:val="none"/>
                <w:u w:val="single"/>
              </w:rPr>
              <w:t xml:space="preserve">            </w:t>
            </w:r>
            <w:r>
              <w:rPr>
                <w:rFonts w:hint="eastAsia" w:ascii="宋体" w:hAnsi="宋体"/>
                <w:color w:val="auto"/>
                <w:szCs w:val="21"/>
                <w:highlight w:val="none"/>
              </w:rPr>
              <w:t>；大写：</w:t>
            </w:r>
            <w:r>
              <w:rPr>
                <w:rFonts w:hint="eastAsia" w:ascii="宋体" w:hAnsi="宋体"/>
                <w:color w:val="auto"/>
                <w:szCs w:val="21"/>
                <w:highlight w:val="none"/>
                <w:u w:val="single"/>
              </w:rPr>
              <w:t xml:space="preserve">            </w:t>
            </w:r>
            <w:r>
              <w:rPr>
                <w:rFonts w:hint="eastAsia" w:ascii="宋体" w:hAnsi="宋体"/>
                <w:color w:val="auto"/>
                <w:szCs w:val="21"/>
                <w:highlight w:val="none"/>
              </w:rPr>
              <w:t>。</w:t>
            </w:r>
          </w:p>
        </w:tc>
      </w:tr>
      <w:tr w14:paraId="35908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2" w:hRule="atLeast"/>
          <w:jc w:val="center"/>
        </w:trPr>
        <w:tc>
          <w:tcPr>
            <w:tcW w:w="2830" w:type="dxa"/>
            <w:vAlign w:val="center"/>
          </w:tcPr>
          <w:p w14:paraId="6D7FBDF8">
            <w:pPr>
              <w:spacing w:before="120" w:after="120"/>
              <w:jc w:val="center"/>
              <w:rPr>
                <w:rFonts w:hint="eastAsia" w:ascii="宋体" w:hAnsi="宋体"/>
                <w:color w:val="auto"/>
                <w:szCs w:val="21"/>
                <w:highlight w:val="none"/>
              </w:rPr>
            </w:pPr>
            <w:r>
              <w:rPr>
                <w:rFonts w:hint="eastAsia" w:ascii="宋体" w:hAnsi="宋体"/>
                <w:color w:val="auto"/>
                <w:szCs w:val="21"/>
                <w:highlight w:val="none"/>
              </w:rPr>
              <w:t xml:space="preserve">说 </w:t>
            </w:r>
            <w:r>
              <w:rPr>
                <w:rFonts w:ascii="宋体" w:hAnsi="宋体"/>
                <w:color w:val="auto"/>
                <w:szCs w:val="21"/>
                <w:highlight w:val="none"/>
              </w:rPr>
              <w:t xml:space="preserve"> </w:t>
            </w:r>
            <w:r>
              <w:rPr>
                <w:rFonts w:hint="eastAsia" w:ascii="宋体" w:hAnsi="宋体"/>
                <w:color w:val="auto"/>
                <w:szCs w:val="21"/>
                <w:highlight w:val="none"/>
              </w:rPr>
              <w:t>明</w:t>
            </w:r>
          </w:p>
        </w:tc>
        <w:tc>
          <w:tcPr>
            <w:tcW w:w="6226" w:type="dxa"/>
            <w:vAlign w:val="center"/>
          </w:tcPr>
          <w:p w14:paraId="58A7B9D2">
            <w:pPr>
              <w:spacing w:before="120" w:after="120"/>
              <w:rPr>
                <w:rFonts w:hint="eastAsia" w:ascii="宋体" w:hAnsi="宋体"/>
                <w:color w:val="auto"/>
                <w:szCs w:val="21"/>
                <w:highlight w:val="none"/>
              </w:rPr>
            </w:pPr>
            <w:r>
              <w:rPr>
                <w:rFonts w:hint="eastAsia" w:ascii="宋体" w:hAnsi="宋体"/>
                <w:color w:val="auto"/>
                <w:szCs w:val="21"/>
                <w:highlight w:val="none"/>
              </w:rPr>
              <w:t xml:space="preserve">                                   </w:t>
            </w:r>
          </w:p>
        </w:tc>
      </w:tr>
      <w:tr w14:paraId="7317A1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8" w:hRule="atLeast"/>
          <w:jc w:val="center"/>
        </w:trPr>
        <w:tc>
          <w:tcPr>
            <w:tcW w:w="9056" w:type="dxa"/>
            <w:gridSpan w:val="2"/>
            <w:vAlign w:val="center"/>
          </w:tcPr>
          <w:p w14:paraId="04CACC98">
            <w:pPr>
              <w:spacing w:before="120" w:after="120"/>
              <w:jc w:val="center"/>
              <w:rPr>
                <w:rFonts w:hint="eastAsia" w:ascii="宋体" w:hAnsi="宋体"/>
                <w:b/>
                <w:bCs/>
                <w:color w:val="auto"/>
                <w:szCs w:val="21"/>
                <w:highlight w:val="none"/>
              </w:rPr>
            </w:pPr>
            <w:r>
              <w:rPr>
                <w:rFonts w:hint="eastAsia" w:ascii="宋体" w:hAnsi="宋体"/>
                <w:b/>
                <w:bCs/>
                <w:color w:val="auto"/>
                <w:szCs w:val="21"/>
                <w:highlight w:val="none"/>
              </w:rPr>
              <w:t>人民币大写标准字样：</w:t>
            </w:r>
            <w:r>
              <w:rPr>
                <w:rFonts w:hint="eastAsia" w:ascii="宋体" w:hAnsi="宋体" w:cs="宋体"/>
                <w:b/>
                <w:bCs/>
                <w:color w:val="auto"/>
                <w:szCs w:val="21"/>
                <w:highlight w:val="none"/>
              </w:rPr>
              <w:t>壹、贰、叁、肆、伍、陆、柒、捌、玖、拾、佰、仟、万</w:t>
            </w:r>
          </w:p>
        </w:tc>
      </w:tr>
    </w:tbl>
    <w:p w14:paraId="6C89AA7D">
      <w:pPr>
        <w:spacing w:line="360" w:lineRule="auto"/>
        <w:ind w:left="-105" w:leftChars="-50"/>
        <w:rPr>
          <w:rFonts w:hint="eastAsia" w:ascii="宋体" w:hAnsi="宋体" w:cs="仿宋_GB2312"/>
          <w:color w:val="auto"/>
          <w:sz w:val="24"/>
          <w:szCs w:val="22"/>
          <w:highlight w:val="none"/>
        </w:rPr>
      </w:pPr>
    </w:p>
    <w:p w14:paraId="785E5D8A">
      <w:pPr>
        <w:spacing w:line="360" w:lineRule="auto"/>
        <w:ind w:left="-105" w:leftChars="-50"/>
        <w:rPr>
          <w:rFonts w:hint="eastAsia" w:ascii="宋体" w:hAnsi="宋体" w:cs="仿宋_GB2312"/>
          <w:color w:val="auto"/>
          <w:sz w:val="24"/>
          <w:szCs w:val="22"/>
          <w:highlight w:val="none"/>
        </w:rPr>
      </w:pPr>
    </w:p>
    <w:p w14:paraId="57377922">
      <w:pPr>
        <w:spacing w:line="360" w:lineRule="auto"/>
        <w:ind w:left="-105" w:leftChars="-50"/>
        <w:rPr>
          <w:rFonts w:hint="eastAsia" w:ascii="宋体" w:hAnsi="宋体" w:cs="仿宋_GB2312"/>
          <w:color w:val="auto"/>
          <w:sz w:val="24"/>
          <w:szCs w:val="22"/>
          <w:highlight w:val="none"/>
        </w:rPr>
      </w:pPr>
    </w:p>
    <w:p w14:paraId="062EECE4">
      <w:pPr>
        <w:pStyle w:val="67"/>
        <w:rPr>
          <w:rFonts w:eastAsiaTheme="minorEastAsia"/>
          <w:color w:val="auto"/>
          <w:highlight w:val="none"/>
        </w:rPr>
      </w:pPr>
    </w:p>
    <w:p w14:paraId="51428AA5">
      <w:pPr>
        <w:autoSpaceDE w:val="0"/>
        <w:autoSpaceDN w:val="0"/>
        <w:adjustRightInd w:val="0"/>
        <w:spacing w:line="480" w:lineRule="auto"/>
        <w:jc w:val="left"/>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供应商：</w:t>
      </w:r>
      <w:r>
        <w:rPr>
          <w:rFonts w:hint="eastAsia" w:asciiTheme="minorEastAsia" w:hAnsiTheme="minorEastAsia" w:eastAsiaTheme="minorEastAsia"/>
          <w:bCs/>
          <w:color w:val="auto"/>
          <w:szCs w:val="21"/>
          <w:highlight w:val="none"/>
          <w:u w:val="single"/>
        </w:rPr>
        <w:t xml:space="preserve">          </w:t>
      </w:r>
      <w:r>
        <w:rPr>
          <w:rFonts w:asciiTheme="minorEastAsia" w:hAnsiTheme="minorEastAsia" w:eastAsiaTheme="minorEastAsia"/>
          <w:bCs/>
          <w:color w:val="auto"/>
          <w:szCs w:val="21"/>
          <w:highlight w:val="none"/>
          <w:u w:val="single"/>
        </w:rPr>
        <w:t xml:space="preserve">     </w:t>
      </w:r>
      <w:r>
        <w:rPr>
          <w:rFonts w:hint="eastAsia" w:asciiTheme="minorEastAsia" w:hAnsiTheme="minorEastAsia" w:eastAsiaTheme="minorEastAsia"/>
          <w:bCs/>
          <w:color w:val="auto"/>
          <w:szCs w:val="21"/>
          <w:highlight w:val="none"/>
          <w:u w:val="single"/>
        </w:rPr>
        <w:t>（</w:t>
      </w:r>
      <w:r>
        <w:rPr>
          <w:rFonts w:hint="eastAsia" w:asciiTheme="minorEastAsia" w:hAnsiTheme="minorEastAsia" w:eastAsiaTheme="minorEastAsia"/>
          <w:color w:val="auto"/>
          <w:szCs w:val="21"/>
          <w:highlight w:val="none"/>
          <w:u w:val="single"/>
        </w:rPr>
        <w:t>电子签章</w:t>
      </w:r>
      <w:r>
        <w:rPr>
          <w:rFonts w:hint="eastAsia" w:asciiTheme="minorEastAsia" w:hAnsiTheme="minorEastAsia" w:eastAsiaTheme="minorEastAsia"/>
          <w:bCs/>
          <w:color w:val="auto"/>
          <w:szCs w:val="21"/>
          <w:highlight w:val="none"/>
          <w:u w:val="single"/>
        </w:rPr>
        <w:t>）</w:t>
      </w:r>
    </w:p>
    <w:p w14:paraId="00CDAF0B">
      <w:pPr>
        <w:autoSpaceDE w:val="0"/>
        <w:autoSpaceDN w:val="0"/>
        <w:adjustRightInd w:val="0"/>
        <w:spacing w:line="480" w:lineRule="auto"/>
        <w:jc w:val="left"/>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法定代表人：</w:t>
      </w:r>
      <w:r>
        <w:rPr>
          <w:rFonts w:hint="eastAsia" w:asciiTheme="minorEastAsia" w:hAnsiTheme="minorEastAsia" w:eastAsiaTheme="minorEastAsia"/>
          <w:bCs/>
          <w:color w:val="auto"/>
          <w:szCs w:val="21"/>
          <w:highlight w:val="none"/>
          <w:u w:val="single"/>
        </w:rPr>
        <w:t xml:space="preserve">     </w:t>
      </w:r>
      <w:r>
        <w:rPr>
          <w:rFonts w:asciiTheme="minorEastAsia" w:hAnsiTheme="minorEastAsia" w:eastAsiaTheme="minorEastAsia"/>
          <w:bCs/>
          <w:color w:val="auto"/>
          <w:szCs w:val="21"/>
          <w:highlight w:val="none"/>
          <w:u w:val="single"/>
        </w:rPr>
        <w:t xml:space="preserve">    </w:t>
      </w:r>
      <w:r>
        <w:rPr>
          <w:rFonts w:hint="eastAsia" w:asciiTheme="minorEastAsia" w:hAnsiTheme="minorEastAsia" w:eastAsiaTheme="minorEastAsia"/>
          <w:bCs/>
          <w:color w:val="auto"/>
          <w:szCs w:val="21"/>
          <w:highlight w:val="none"/>
          <w:u w:val="single"/>
        </w:rPr>
        <w:t xml:space="preserve">   (电子签章)</w:t>
      </w:r>
      <w:r>
        <w:rPr>
          <w:rFonts w:asciiTheme="minorEastAsia" w:hAnsiTheme="minorEastAsia" w:eastAsiaTheme="minorEastAsia"/>
          <w:bCs/>
          <w:color w:val="auto"/>
          <w:szCs w:val="21"/>
          <w:highlight w:val="none"/>
          <w:u w:val="single"/>
        </w:rPr>
        <w:t xml:space="preserve"> </w:t>
      </w:r>
    </w:p>
    <w:p w14:paraId="6DC0D6F7">
      <w:pPr>
        <w:autoSpaceDE w:val="0"/>
        <w:autoSpaceDN w:val="0"/>
        <w:adjustRightInd w:val="0"/>
        <w:spacing w:line="480" w:lineRule="auto"/>
        <w:jc w:val="left"/>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日期：</w:t>
      </w:r>
      <w:r>
        <w:rPr>
          <w:rFonts w:hint="eastAsia" w:asciiTheme="minorEastAsia" w:hAnsiTheme="minorEastAsia" w:eastAsiaTheme="minorEastAsia"/>
          <w:bCs/>
          <w:color w:val="auto"/>
          <w:szCs w:val="21"/>
          <w:highlight w:val="none"/>
          <w:u w:val="single"/>
        </w:rPr>
        <w:t xml:space="preserve">      </w:t>
      </w:r>
      <w:r>
        <w:rPr>
          <w:rFonts w:hint="eastAsia" w:asciiTheme="minorEastAsia" w:hAnsiTheme="minorEastAsia" w:eastAsiaTheme="minorEastAsia"/>
          <w:bCs/>
          <w:color w:val="auto"/>
          <w:szCs w:val="21"/>
          <w:highlight w:val="none"/>
        </w:rPr>
        <w:t>年</w:t>
      </w:r>
      <w:r>
        <w:rPr>
          <w:rFonts w:hint="eastAsia" w:asciiTheme="minorEastAsia" w:hAnsiTheme="minorEastAsia" w:eastAsiaTheme="minorEastAsia"/>
          <w:bCs/>
          <w:color w:val="auto"/>
          <w:szCs w:val="21"/>
          <w:highlight w:val="none"/>
          <w:u w:val="single"/>
        </w:rPr>
        <w:t xml:space="preserve">     </w:t>
      </w:r>
      <w:r>
        <w:rPr>
          <w:rFonts w:hint="eastAsia" w:asciiTheme="minorEastAsia" w:hAnsiTheme="minorEastAsia" w:eastAsiaTheme="minorEastAsia"/>
          <w:bCs/>
          <w:color w:val="auto"/>
          <w:szCs w:val="21"/>
          <w:highlight w:val="none"/>
        </w:rPr>
        <w:t>月</w:t>
      </w:r>
      <w:r>
        <w:rPr>
          <w:rFonts w:hint="eastAsia" w:asciiTheme="minorEastAsia" w:hAnsiTheme="minorEastAsia" w:eastAsiaTheme="minorEastAsia"/>
          <w:bCs/>
          <w:color w:val="auto"/>
          <w:szCs w:val="21"/>
          <w:highlight w:val="none"/>
          <w:u w:val="single"/>
        </w:rPr>
        <w:t xml:space="preserve">      </w:t>
      </w:r>
      <w:r>
        <w:rPr>
          <w:rFonts w:hint="eastAsia" w:asciiTheme="minorEastAsia" w:hAnsiTheme="minorEastAsia" w:eastAsiaTheme="minorEastAsia"/>
          <w:bCs/>
          <w:color w:val="auto"/>
          <w:szCs w:val="21"/>
          <w:highlight w:val="none"/>
        </w:rPr>
        <w:t>日</w:t>
      </w:r>
    </w:p>
    <w:p w14:paraId="1A03B4C0">
      <w:pPr>
        <w:autoSpaceDE w:val="0"/>
        <w:autoSpaceDN w:val="0"/>
        <w:adjustRightInd w:val="0"/>
        <w:spacing w:line="360" w:lineRule="auto"/>
        <w:ind w:firstLine="422" w:firstLineChars="200"/>
        <w:jc w:val="left"/>
        <w:rPr>
          <w:rFonts w:hint="eastAsia" w:asciiTheme="minorEastAsia" w:hAnsiTheme="minorEastAsia" w:eastAsiaTheme="minorEastAsia"/>
          <w:b/>
          <w:color w:val="auto"/>
          <w:szCs w:val="21"/>
          <w:highlight w:val="none"/>
        </w:rPr>
      </w:pPr>
    </w:p>
    <w:p w14:paraId="1B39E1E0">
      <w:pPr>
        <w:pStyle w:val="67"/>
        <w:rPr>
          <w:rFonts w:eastAsiaTheme="minorEastAsia"/>
          <w:color w:val="auto"/>
          <w:highlight w:val="none"/>
        </w:rPr>
      </w:pPr>
    </w:p>
    <w:p w14:paraId="169B03BA">
      <w:pPr>
        <w:autoSpaceDE w:val="0"/>
        <w:autoSpaceDN w:val="0"/>
        <w:adjustRightInd w:val="0"/>
        <w:spacing w:line="360" w:lineRule="auto"/>
        <w:ind w:firstLine="422" w:firstLineChars="200"/>
        <w:jc w:val="left"/>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注：（1）磋商小组在政府采购云平台上发起二次报价后，供应商从政府采购云平台上下载附件《二次报价表》，按照格式在规定的时间内进行填报并上传。该《二次报价表》在提交响应文件时无需提供，仅作为二次报价的依据。</w:t>
      </w:r>
    </w:p>
    <w:p w14:paraId="53EAB6A2">
      <w:pPr>
        <w:autoSpaceDE w:val="0"/>
        <w:autoSpaceDN w:val="0"/>
        <w:adjustRightInd w:val="0"/>
        <w:spacing w:line="360" w:lineRule="auto"/>
        <w:ind w:firstLine="843" w:firstLineChars="400"/>
        <w:jc w:val="left"/>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highlight w:val="none"/>
        </w:rPr>
        <w:t>（2）</w:t>
      </w:r>
      <w:r>
        <w:rPr>
          <w:rFonts w:asciiTheme="minorEastAsia" w:hAnsiTheme="minorEastAsia" w:eastAsiaTheme="minorEastAsia"/>
          <w:b/>
          <w:bCs/>
          <w:color w:val="auto"/>
          <w:highlight w:val="none"/>
        </w:rPr>
        <w:t>请供应商务必在规定的时间内进行二次报价</w:t>
      </w:r>
      <w:r>
        <w:rPr>
          <w:rFonts w:hint="eastAsia" w:asciiTheme="minorEastAsia" w:hAnsiTheme="minorEastAsia" w:eastAsiaTheme="minorEastAsia"/>
          <w:b/>
          <w:bCs/>
          <w:color w:val="auto"/>
          <w:highlight w:val="none"/>
        </w:rPr>
        <w:t>并</w:t>
      </w:r>
      <w:r>
        <w:rPr>
          <w:rFonts w:asciiTheme="minorEastAsia" w:hAnsiTheme="minorEastAsia" w:eastAsiaTheme="minorEastAsia"/>
          <w:b/>
          <w:bCs/>
          <w:color w:val="auto"/>
          <w:highlight w:val="none"/>
        </w:rPr>
        <w:t>上传经电子签章后的《二次报价表》，同时保持通讯工具畅通。若供应商未在规定的时间内进行二次报价或联系不上的，</w:t>
      </w:r>
      <w:r>
        <w:rPr>
          <w:rFonts w:hint="eastAsia" w:asciiTheme="minorEastAsia" w:hAnsiTheme="minorEastAsia" w:eastAsiaTheme="minorEastAsia"/>
          <w:b/>
          <w:bCs/>
          <w:color w:val="auto"/>
          <w:highlight w:val="none"/>
        </w:rPr>
        <w:t>磋商</w:t>
      </w:r>
      <w:r>
        <w:rPr>
          <w:rFonts w:asciiTheme="minorEastAsia" w:hAnsiTheme="minorEastAsia" w:eastAsiaTheme="minorEastAsia"/>
          <w:b/>
          <w:bCs/>
          <w:color w:val="auto"/>
          <w:highlight w:val="none"/>
        </w:rPr>
        <w:t>小组将视为其放弃二次报价，并将其响应文件中的</w:t>
      </w:r>
      <w:r>
        <w:rPr>
          <w:rFonts w:hint="eastAsia" w:asciiTheme="minorEastAsia" w:hAnsiTheme="minorEastAsia" w:eastAsiaTheme="minorEastAsia"/>
          <w:b/>
          <w:bCs/>
          <w:color w:val="auto"/>
          <w:highlight w:val="none"/>
        </w:rPr>
        <w:t>磋商</w:t>
      </w:r>
      <w:r>
        <w:rPr>
          <w:rFonts w:asciiTheme="minorEastAsia" w:hAnsiTheme="minorEastAsia" w:eastAsiaTheme="minorEastAsia"/>
          <w:b/>
          <w:bCs/>
          <w:color w:val="auto"/>
          <w:highlight w:val="none"/>
        </w:rPr>
        <w:t>报价作为其最后报价参与评审。</w:t>
      </w:r>
      <w:r>
        <w:rPr>
          <w:rFonts w:hint="eastAsia" w:asciiTheme="minorEastAsia" w:hAnsiTheme="minorEastAsia" w:eastAsiaTheme="minorEastAsia"/>
          <w:b/>
          <w:bCs/>
          <w:color w:val="auto"/>
          <w:highlight w:val="none"/>
        </w:rPr>
        <w:t>若因供应商自身原因导致出现以上情况的，供应商自行承担评审结果，与采购人和采购代理机构无关。</w:t>
      </w:r>
    </w:p>
    <w:p w14:paraId="6E6D4A4D">
      <w:pPr>
        <w:rPr>
          <w:color w:val="auto"/>
          <w:highlight w:val="none"/>
        </w:rPr>
      </w:pPr>
    </w:p>
    <w:p w14:paraId="71C869ED">
      <w:pPr>
        <w:widowControl/>
        <w:jc w:val="left"/>
        <w:rPr>
          <w:b/>
          <w:color w:val="auto"/>
          <w:sz w:val="32"/>
          <w:szCs w:val="32"/>
          <w:highlight w:val="none"/>
        </w:rPr>
      </w:pPr>
      <w:r>
        <w:rPr>
          <w:b/>
          <w:color w:val="auto"/>
          <w:sz w:val="32"/>
          <w:szCs w:val="32"/>
          <w:highlight w:val="none"/>
        </w:rPr>
        <w:br w:type="page"/>
      </w:r>
    </w:p>
    <w:p w14:paraId="30948FFA">
      <w:pPr>
        <w:spacing w:line="360" w:lineRule="auto"/>
        <w:jc w:val="center"/>
        <w:outlineLvl w:val="1"/>
        <w:rPr>
          <w:rFonts w:hint="eastAsia" w:asciiTheme="minorEastAsia" w:hAnsiTheme="minorEastAsia" w:eastAsiaTheme="minorEastAsia"/>
          <w:b/>
          <w:color w:val="auto"/>
          <w:sz w:val="30"/>
          <w:szCs w:val="30"/>
          <w:highlight w:val="none"/>
        </w:rPr>
      </w:pPr>
      <w:bookmarkStart w:id="1218" w:name="_Toc158233419"/>
      <w:r>
        <w:rPr>
          <w:rFonts w:hint="eastAsia" w:asciiTheme="minorEastAsia" w:hAnsiTheme="minorEastAsia" w:eastAsiaTheme="minorEastAsia"/>
          <w:b/>
          <w:color w:val="auto"/>
          <w:sz w:val="30"/>
          <w:szCs w:val="30"/>
          <w:highlight w:val="none"/>
        </w:rPr>
        <w:t>三、技术</w:t>
      </w:r>
      <w:bookmarkEnd w:id="1145"/>
      <w:bookmarkEnd w:id="1146"/>
      <w:bookmarkEnd w:id="1216"/>
      <w:r>
        <w:rPr>
          <w:rFonts w:hint="eastAsia" w:asciiTheme="minorEastAsia" w:hAnsiTheme="minorEastAsia" w:eastAsiaTheme="minorEastAsia"/>
          <w:b/>
          <w:color w:val="auto"/>
          <w:sz w:val="30"/>
          <w:szCs w:val="30"/>
          <w:highlight w:val="none"/>
        </w:rPr>
        <w:t>文件</w:t>
      </w:r>
      <w:bookmarkEnd w:id="1217"/>
      <w:bookmarkEnd w:id="1218"/>
    </w:p>
    <w:p w14:paraId="4E642C6E">
      <w:pPr>
        <w:spacing w:line="360" w:lineRule="auto"/>
        <w:jc w:val="center"/>
        <w:outlineLvl w:val="2"/>
        <w:rPr>
          <w:rFonts w:hint="eastAsia" w:asciiTheme="minorEastAsia" w:hAnsiTheme="minorEastAsia" w:eastAsiaTheme="minorEastAsia"/>
          <w:b/>
          <w:color w:val="auto"/>
          <w:sz w:val="28"/>
          <w:szCs w:val="28"/>
          <w:highlight w:val="none"/>
        </w:rPr>
      </w:pPr>
      <w:r>
        <w:rPr>
          <w:rFonts w:hint="eastAsia" w:asciiTheme="minorEastAsia" w:hAnsiTheme="minorEastAsia" w:eastAsiaTheme="minorEastAsia"/>
          <w:b/>
          <w:color w:val="auto"/>
          <w:sz w:val="28"/>
          <w:szCs w:val="28"/>
          <w:highlight w:val="none"/>
        </w:rPr>
        <w:t>（一）</w:t>
      </w:r>
      <w:r>
        <w:rPr>
          <w:rFonts w:hint="eastAsia" w:asciiTheme="minorEastAsia" w:hAnsiTheme="minorEastAsia" w:eastAsiaTheme="minorEastAsia"/>
          <w:b/>
          <w:color w:val="auto"/>
          <w:sz w:val="28"/>
          <w:szCs w:val="28"/>
          <w:highlight w:val="none"/>
          <w:lang w:eastAsia="zh-CN"/>
        </w:rPr>
        <w:t>监理</w:t>
      </w:r>
      <w:r>
        <w:rPr>
          <w:rFonts w:hint="eastAsia" w:asciiTheme="minorEastAsia" w:hAnsiTheme="minorEastAsia" w:eastAsiaTheme="minorEastAsia"/>
          <w:b/>
          <w:color w:val="auto"/>
          <w:sz w:val="28"/>
          <w:szCs w:val="28"/>
          <w:highlight w:val="none"/>
        </w:rPr>
        <w:t>服务方案</w:t>
      </w:r>
    </w:p>
    <w:p w14:paraId="74096428">
      <w:pPr>
        <w:spacing w:line="360" w:lineRule="auto"/>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highlight w:val="none"/>
        </w:rPr>
        <w:t xml:space="preserve">      由供应商根据评审办法编制，格式自拟。</w:t>
      </w:r>
      <w:r>
        <w:rPr>
          <w:color w:val="auto"/>
          <w:szCs w:val="21"/>
          <w:highlight w:val="none"/>
        </w:rPr>
        <w:br w:type="page"/>
      </w:r>
    </w:p>
    <w:p w14:paraId="27543776">
      <w:pPr>
        <w:spacing w:line="360" w:lineRule="auto"/>
        <w:jc w:val="center"/>
        <w:outlineLvl w:val="2"/>
        <w:rPr>
          <w:rFonts w:hint="eastAsia" w:asciiTheme="minorEastAsia" w:hAnsiTheme="minorEastAsia" w:eastAsiaTheme="minorEastAsia"/>
          <w:b/>
          <w:color w:val="auto"/>
          <w:sz w:val="28"/>
          <w:szCs w:val="28"/>
          <w:highlight w:val="none"/>
        </w:rPr>
      </w:pPr>
      <w:r>
        <w:rPr>
          <w:rFonts w:hint="eastAsia" w:asciiTheme="minorEastAsia" w:hAnsiTheme="minorEastAsia" w:eastAsiaTheme="minorEastAsia"/>
          <w:b/>
          <w:color w:val="auto"/>
          <w:sz w:val="28"/>
          <w:szCs w:val="28"/>
          <w:highlight w:val="none"/>
        </w:rPr>
        <w:t>（二）质量承诺及保障措施</w:t>
      </w:r>
    </w:p>
    <w:p w14:paraId="64E0771E">
      <w:pPr>
        <w:spacing w:line="360" w:lineRule="auto"/>
        <w:jc w:val="center"/>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        由供应商根据评审办法编制，格式自拟。</w:t>
      </w:r>
    </w:p>
    <w:p w14:paraId="12469E28">
      <w:pPr>
        <w:widowControl/>
        <w:jc w:val="left"/>
        <w:rPr>
          <w:rFonts w:hint="eastAsia" w:ascii="宋体" w:hAnsi="宋体" w:cs="HiddenHorzOCR"/>
          <w:color w:val="auto"/>
          <w:kern w:val="0"/>
          <w:szCs w:val="21"/>
          <w:highlight w:val="none"/>
        </w:rPr>
      </w:pPr>
      <w:r>
        <w:rPr>
          <w:rFonts w:ascii="宋体" w:hAnsi="宋体" w:cs="HiddenHorzOCR"/>
          <w:color w:val="auto"/>
          <w:kern w:val="0"/>
          <w:szCs w:val="21"/>
          <w:highlight w:val="none"/>
        </w:rPr>
        <w:br w:type="page"/>
      </w:r>
    </w:p>
    <w:p w14:paraId="3A2E195B">
      <w:pPr>
        <w:spacing w:line="360" w:lineRule="auto"/>
        <w:jc w:val="center"/>
        <w:outlineLvl w:val="2"/>
        <w:rPr>
          <w:rFonts w:hint="eastAsia" w:asciiTheme="minorEastAsia" w:hAnsiTheme="minorEastAsia" w:eastAsiaTheme="minorEastAsia"/>
          <w:b/>
          <w:color w:val="auto"/>
          <w:sz w:val="28"/>
          <w:szCs w:val="28"/>
          <w:highlight w:val="none"/>
        </w:rPr>
      </w:pPr>
      <w:r>
        <w:rPr>
          <w:rFonts w:hint="eastAsia" w:asciiTheme="minorEastAsia" w:hAnsiTheme="minorEastAsia" w:eastAsiaTheme="minorEastAsia"/>
          <w:b/>
          <w:color w:val="auto"/>
          <w:sz w:val="28"/>
          <w:szCs w:val="28"/>
          <w:highlight w:val="none"/>
        </w:rPr>
        <w:t>（三）</w:t>
      </w:r>
      <w:r>
        <w:rPr>
          <w:rFonts w:hint="eastAsia" w:asciiTheme="minorEastAsia" w:hAnsiTheme="minorEastAsia" w:eastAsiaTheme="minorEastAsia"/>
          <w:b/>
          <w:color w:val="auto"/>
          <w:sz w:val="28"/>
          <w:szCs w:val="28"/>
          <w:highlight w:val="none"/>
          <w:lang w:val="en-US" w:eastAsia="zh-CN"/>
        </w:rPr>
        <w:t>监理实施进度计划</w:t>
      </w:r>
    </w:p>
    <w:p w14:paraId="158F9413">
      <w:pPr>
        <w:spacing w:line="360" w:lineRule="auto"/>
        <w:jc w:val="center"/>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由供应商根据评审办法编制，格式自拟。</w:t>
      </w:r>
    </w:p>
    <w:p w14:paraId="4030527A">
      <w:pPr>
        <w:widowControl/>
        <w:jc w:val="left"/>
        <w:rPr>
          <w:color w:val="auto"/>
          <w:highlight w:val="none"/>
        </w:rPr>
      </w:pPr>
      <w:r>
        <w:rPr>
          <w:color w:val="auto"/>
          <w:highlight w:val="none"/>
        </w:rPr>
        <w:br w:type="page"/>
      </w:r>
    </w:p>
    <w:bookmarkEnd w:id="1067"/>
    <w:bookmarkEnd w:id="1068"/>
    <w:bookmarkEnd w:id="1069"/>
    <w:bookmarkEnd w:id="1070"/>
    <w:bookmarkEnd w:id="1071"/>
    <w:bookmarkEnd w:id="1072"/>
    <w:bookmarkEnd w:id="1073"/>
    <w:bookmarkEnd w:id="1074"/>
    <w:p w14:paraId="18D8E74B">
      <w:pPr>
        <w:spacing w:line="360" w:lineRule="auto"/>
        <w:jc w:val="center"/>
        <w:outlineLvl w:val="2"/>
        <w:rPr>
          <w:rFonts w:hint="eastAsia" w:asciiTheme="minorEastAsia" w:hAnsiTheme="minorEastAsia" w:eastAsiaTheme="minorEastAsia"/>
          <w:b/>
          <w:color w:val="auto"/>
          <w:sz w:val="28"/>
          <w:szCs w:val="28"/>
          <w:highlight w:val="none"/>
        </w:rPr>
      </w:pPr>
      <w:r>
        <w:rPr>
          <w:rFonts w:hint="eastAsia" w:asciiTheme="minorEastAsia" w:hAnsiTheme="minorEastAsia" w:eastAsiaTheme="minorEastAsia"/>
          <w:b/>
          <w:color w:val="auto"/>
          <w:sz w:val="28"/>
          <w:szCs w:val="28"/>
          <w:highlight w:val="none"/>
        </w:rPr>
        <w:t>（四）保密措施、后续服务及违约承诺</w:t>
      </w:r>
    </w:p>
    <w:p w14:paraId="542DDAF9">
      <w:pPr>
        <w:spacing w:line="360" w:lineRule="auto"/>
        <w:jc w:val="center"/>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由供应商根据评审办法编制，格式自拟。</w:t>
      </w:r>
    </w:p>
    <w:p w14:paraId="7E365B2B">
      <w:pPr>
        <w:widowControl/>
        <w:jc w:val="left"/>
        <w:rPr>
          <w:color w:val="auto"/>
          <w:highlight w:val="none"/>
        </w:rPr>
      </w:pPr>
      <w:r>
        <w:rPr>
          <w:color w:val="auto"/>
          <w:highlight w:val="none"/>
        </w:rPr>
        <w:br w:type="page"/>
      </w:r>
    </w:p>
    <w:p w14:paraId="0654833A">
      <w:pPr>
        <w:spacing w:line="360" w:lineRule="auto"/>
        <w:jc w:val="center"/>
        <w:outlineLvl w:val="2"/>
        <w:rPr>
          <w:rFonts w:hint="eastAsia" w:ascii="宋体" w:hAnsi="宋体"/>
          <w:b/>
          <w:color w:val="auto"/>
          <w:sz w:val="28"/>
          <w:szCs w:val="28"/>
          <w:highlight w:val="none"/>
        </w:rPr>
      </w:pPr>
      <w:r>
        <w:rPr>
          <w:rFonts w:hint="eastAsia" w:asciiTheme="minorEastAsia" w:hAnsiTheme="minorEastAsia" w:eastAsiaTheme="minorEastAsia"/>
          <w:b/>
          <w:color w:val="auto"/>
          <w:sz w:val="28"/>
          <w:szCs w:val="28"/>
          <w:highlight w:val="none"/>
        </w:rPr>
        <w:t>（五）</w:t>
      </w:r>
      <w:r>
        <w:rPr>
          <w:rFonts w:hint="eastAsia" w:ascii="宋体" w:hAnsi="宋体"/>
          <w:b/>
          <w:color w:val="auto"/>
          <w:sz w:val="28"/>
          <w:szCs w:val="28"/>
          <w:highlight w:val="none"/>
        </w:rPr>
        <w:t>项目组人员配备情况表</w:t>
      </w:r>
    </w:p>
    <w:tbl>
      <w:tblPr>
        <w:tblStyle w:val="55"/>
        <w:tblW w:w="93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3"/>
        <w:gridCol w:w="831"/>
        <w:gridCol w:w="712"/>
        <w:gridCol w:w="713"/>
        <w:gridCol w:w="800"/>
        <w:gridCol w:w="1337"/>
        <w:gridCol w:w="1313"/>
        <w:gridCol w:w="1146"/>
        <w:gridCol w:w="1650"/>
      </w:tblGrid>
      <w:tr w14:paraId="24E38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jc w:val="center"/>
        </w:trPr>
        <w:tc>
          <w:tcPr>
            <w:tcW w:w="803" w:type="dxa"/>
            <w:vAlign w:val="center"/>
          </w:tcPr>
          <w:p w14:paraId="733AEC42">
            <w:pPr>
              <w:spacing w:line="360" w:lineRule="exact"/>
              <w:jc w:val="center"/>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831" w:type="dxa"/>
            <w:vAlign w:val="center"/>
          </w:tcPr>
          <w:p w14:paraId="368695EA">
            <w:pPr>
              <w:spacing w:line="360" w:lineRule="exact"/>
              <w:jc w:val="center"/>
              <w:rPr>
                <w:rFonts w:hint="eastAsia" w:ascii="宋体" w:hAnsi="宋体" w:cs="宋体"/>
                <w:color w:val="auto"/>
                <w:szCs w:val="21"/>
                <w:highlight w:val="none"/>
              </w:rPr>
            </w:pPr>
            <w:r>
              <w:rPr>
                <w:rFonts w:hint="eastAsia" w:ascii="宋体" w:hAnsi="宋体" w:cs="宋体"/>
                <w:color w:val="auto"/>
                <w:szCs w:val="21"/>
                <w:highlight w:val="none"/>
              </w:rPr>
              <w:t>姓名</w:t>
            </w:r>
          </w:p>
        </w:tc>
        <w:tc>
          <w:tcPr>
            <w:tcW w:w="712" w:type="dxa"/>
            <w:vAlign w:val="center"/>
          </w:tcPr>
          <w:p w14:paraId="64320840">
            <w:pPr>
              <w:spacing w:line="360" w:lineRule="exact"/>
              <w:jc w:val="center"/>
              <w:rPr>
                <w:rFonts w:hint="eastAsia" w:ascii="宋体" w:hAnsi="宋体" w:cs="宋体"/>
                <w:color w:val="auto"/>
                <w:szCs w:val="21"/>
                <w:highlight w:val="none"/>
              </w:rPr>
            </w:pPr>
            <w:r>
              <w:rPr>
                <w:rFonts w:hint="eastAsia" w:ascii="宋体" w:hAnsi="宋体" w:cs="宋体"/>
                <w:color w:val="auto"/>
                <w:szCs w:val="21"/>
                <w:highlight w:val="none"/>
              </w:rPr>
              <w:t>性别</w:t>
            </w:r>
          </w:p>
        </w:tc>
        <w:tc>
          <w:tcPr>
            <w:tcW w:w="713" w:type="dxa"/>
            <w:vAlign w:val="center"/>
          </w:tcPr>
          <w:p w14:paraId="6E735BB6">
            <w:pPr>
              <w:spacing w:line="360" w:lineRule="exact"/>
              <w:jc w:val="center"/>
              <w:rPr>
                <w:rFonts w:hint="eastAsia" w:ascii="宋体" w:hAnsi="宋体" w:cs="宋体"/>
                <w:color w:val="auto"/>
                <w:szCs w:val="21"/>
                <w:highlight w:val="none"/>
              </w:rPr>
            </w:pPr>
            <w:r>
              <w:rPr>
                <w:rFonts w:hint="eastAsia" w:ascii="宋体" w:hAnsi="宋体" w:cs="宋体"/>
                <w:color w:val="auto"/>
                <w:szCs w:val="21"/>
                <w:highlight w:val="none"/>
              </w:rPr>
              <w:t>学历</w:t>
            </w:r>
          </w:p>
        </w:tc>
        <w:tc>
          <w:tcPr>
            <w:tcW w:w="800" w:type="dxa"/>
            <w:vAlign w:val="center"/>
          </w:tcPr>
          <w:p w14:paraId="5A923480">
            <w:pPr>
              <w:spacing w:line="360" w:lineRule="exact"/>
              <w:jc w:val="center"/>
              <w:rPr>
                <w:rFonts w:hint="eastAsia" w:ascii="宋体" w:hAnsi="宋体" w:cs="宋体"/>
                <w:color w:val="auto"/>
                <w:szCs w:val="21"/>
                <w:highlight w:val="none"/>
              </w:rPr>
            </w:pPr>
            <w:r>
              <w:rPr>
                <w:rFonts w:hint="eastAsia" w:ascii="宋体" w:hAnsi="宋体" w:cs="宋体"/>
                <w:color w:val="auto"/>
                <w:szCs w:val="21"/>
                <w:highlight w:val="none"/>
              </w:rPr>
              <w:t>年龄</w:t>
            </w:r>
          </w:p>
        </w:tc>
        <w:tc>
          <w:tcPr>
            <w:tcW w:w="1337" w:type="dxa"/>
            <w:vAlign w:val="center"/>
          </w:tcPr>
          <w:p w14:paraId="35F4F52E">
            <w:pPr>
              <w:spacing w:line="360" w:lineRule="exact"/>
              <w:jc w:val="center"/>
              <w:rPr>
                <w:rFonts w:hint="eastAsia" w:ascii="宋体" w:hAnsi="宋体" w:cs="宋体"/>
                <w:color w:val="auto"/>
                <w:szCs w:val="21"/>
                <w:highlight w:val="none"/>
              </w:rPr>
            </w:pPr>
            <w:r>
              <w:rPr>
                <w:rFonts w:hint="eastAsia" w:ascii="宋体" w:hAnsi="宋体" w:cs="宋体"/>
                <w:color w:val="auto"/>
                <w:szCs w:val="21"/>
                <w:highlight w:val="none"/>
              </w:rPr>
              <w:t>职称专业</w:t>
            </w:r>
          </w:p>
        </w:tc>
        <w:tc>
          <w:tcPr>
            <w:tcW w:w="1313" w:type="dxa"/>
            <w:vAlign w:val="center"/>
          </w:tcPr>
          <w:p w14:paraId="116EC805">
            <w:pPr>
              <w:spacing w:line="360" w:lineRule="exact"/>
              <w:jc w:val="center"/>
              <w:rPr>
                <w:rFonts w:hint="eastAsia" w:ascii="宋体" w:hAnsi="宋体" w:cs="宋体"/>
                <w:color w:val="auto"/>
                <w:szCs w:val="21"/>
                <w:highlight w:val="none"/>
              </w:rPr>
            </w:pPr>
            <w:r>
              <w:rPr>
                <w:rFonts w:hint="eastAsia" w:ascii="宋体" w:hAnsi="宋体" w:cs="宋体"/>
                <w:color w:val="auto"/>
                <w:szCs w:val="21"/>
                <w:highlight w:val="none"/>
              </w:rPr>
              <w:t>职称</w:t>
            </w:r>
          </w:p>
        </w:tc>
        <w:tc>
          <w:tcPr>
            <w:tcW w:w="1146" w:type="dxa"/>
            <w:vAlign w:val="center"/>
          </w:tcPr>
          <w:p w14:paraId="61FC2747">
            <w:pPr>
              <w:spacing w:line="360" w:lineRule="exact"/>
              <w:jc w:val="center"/>
              <w:rPr>
                <w:rFonts w:hint="eastAsia" w:ascii="宋体" w:hAnsi="宋体" w:cs="宋体"/>
                <w:color w:val="auto"/>
                <w:szCs w:val="21"/>
                <w:highlight w:val="none"/>
              </w:rPr>
            </w:pPr>
            <w:r>
              <w:rPr>
                <w:rFonts w:hint="eastAsia" w:ascii="宋体" w:hAnsi="宋体" w:cs="宋体"/>
                <w:color w:val="auto"/>
                <w:szCs w:val="21"/>
                <w:highlight w:val="none"/>
              </w:rPr>
              <w:t>在本项目拟任职务</w:t>
            </w:r>
          </w:p>
        </w:tc>
        <w:tc>
          <w:tcPr>
            <w:tcW w:w="1650" w:type="dxa"/>
            <w:vAlign w:val="center"/>
          </w:tcPr>
          <w:p w14:paraId="217BC93A">
            <w:pPr>
              <w:spacing w:line="360" w:lineRule="exact"/>
              <w:jc w:val="center"/>
              <w:rPr>
                <w:rFonts w:hint="eastAsia" w:ascii="宋体" w:hAnsi="宋体" w:cs="宋体"/>
                <w:color w:val="auto"/>
                <w:szCs w:val="21"/>
                <w:highlight w:val="none"/>
              </w:rPr>
            </w:pPr>
            <w:r>
              <w:rPr>
                <w:rFonts w:hint="eastAsia" w:ascii="宋体" w:hAnsi="宋体" w:cs="宋体"/>
                <w:color w:val="auto"/>
                <w:szCs w:val="21"/>
                <w:highlight w:val="none"/>
              </w:rPr>
              <w:t>备注</w:t>
            </w:r>
          </w:p>
        </w:tc>
      </w:tr>
      <w:tr w14:paraId="6278E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jc w:val="center"/>
        </w:trPr>
        <w:tc>
          <w:tcPr>
            <w:tcW w:w="803" w:type="dxa"/>
            <w:vAlign w:val="center"/>
          </w:tcPr>
          <w:p w14:paraId="47EF7C82">
            <w:pPr>
              <w:rPr>
                <w:rFonts w:hint="eastAsia" w:ascii="宋体" w:hAnsi="宋体" w:cs="宋体"/>
                <w:color w:val="auto"/>
                <w:szCs w:val="21"/>
                <w:highlight w:val="none"/>
              </w:rPr>
            </w:pPr>
          </w:p>
        </w:tc>
        <w:tc>
          <w:tcPr>
            <w:tcW w:w="831" w:type="dxa"/>
            <w:vAlign w:val="center"/>
          </w:tcPr>
          <w:p w14:paraId="49885EF8">
            <w:pPr>
              <w:rPr>
                <w:rFonts w:hint="eastAsia" w:ascii="宋体" w:hAnsi="宋体" w:cs="宋体"/>
                <w:color w:val="auto"/>
                <w:szCs w:val="21"/>
                <w:highlight w:val="none"/>
              </w:rPr>
            </w:pPr>
          </w:p>
        </w:tc>
        <w:tc>
          <w:tcPr>
            <w:tcW w:w="712" w:type="dxa"/>
            <w:vAlign w:val="center"/>
          </w:tcPr>
          <w:p w14:paraId="0FB01E79">
            <w:pPr>
              <w:rPr>
                <w:rFonts w:hint="eastAsia" w:ascii="宋体" w:hAnsi="宋体" w:cs="宋体"/>
                <w:color w:val="auto"/>
                <w:szCs w:val="21"/>
                <w:highlight w:val="none"/>
              </w:rPr>
            </w:pPr>
          </w:p>
        </w:tc>
        <w:tc>
          <w:tcPr>
            <w:tcW w:w="713" w:type="dxa"/>
            <w:vAlign w:val="center"/>
          </w:tcPr>
          <w:p w14:paraId="728DBB48">
            <w:pPr>
              <w:rPr>
                <w:rFonts w:hint="eastAsia" w:ascii="宋体" w:hAnsi="宋体" w:cs="宋体"/>
                <w:color w:val="auto"/>
                <w:szCs w:val="21"/>
                <w:highlight w:val="none"/>
              </w:rPr>
            </w:pPr>
          </w:p>
        </w:tc>
        <w:tc>
          <w:tcPr>
            <w:tcW w:w="800" w:type="dxa"/>
            <w:vAlign w:val="center"/>
          </w:tcPr>
          <w:p w14:paraId="4256A341">
            <w:pPr>
              <w:rPr>
                <w:rFonts w:hint="eastAsia" w:ascii="宋体" w:hAnsi="宋体" w:cs="宋体"/>
                <w:color w:val="auto"/>
                <w:szCs w:val="21"/>
                <w:highlight w:val="none"/>
              </w:rPr>
            </w:pPr>
          </w:p>
        </w:tc>
        <w:tc>
          <w:tcPr>
            <w:tcW w:w="1337" w:type="dxa"/>
            <w:vAlign w:val="center"/>
          </w:tcPr>
          <w:p w14:paraId="10C1D640">
            <w:pPr>
              <w:rPr>
                <w:rFonts w:hint="eastAsia" w:ascii="宋体" w:hAnsi="宋体" w:cs="宋体"/>
                <w:color w:val="auto"/>
                <w:szCs w:val="21"/>
                <w:highlight w:val="none"/>
              </w:rPr>
            </w:pPr>
          </w:p>
        </w:tc>
        <w:tc>
          <w:tcPr>
            <w:tcW w:w="1313" w:type="dxa"/>
            <w:vAlign w:val="center"/>
          </w:tcPr>
          <w:p w14:paraId="7744FC5C">
            <w:pPr>
              <w:rPr>
                <w:rFonts w:hint="eastAsia" w:ascii="宋体" w:hAnsi="宋体" w:cs="宋体"/>
                <w:color w:val="auto"/>
                <w:szCs w:val="21"/>
                <w:highlight w:val="none"/>
              </w:rPr>
            </w:pPr>
          </w:p>
        </w:tc>
        <w:tc>
          <w:tcPr>
            <w:tcW w:w="1146" w:type="dxa"/>
            <w:vAlign w:val="center"/>
          </w:tcPr>
          <w:p w14:paraId="2C924E95">
            <w:pPr>
              <w:rPr>
                <w:rFonts w:hint="eastAsia" w:ascii="宋体" w:hAnsi="宋体" w:cs="宋体"/>
                <w:color w:val="auto"/>
                <w:szCs w:val="21"/>
                <w:highlight w:val="none"/>
              </w:rPr>
            </w:pPr>
          </w:p>
        </w:tc>
        <w:tc>
          <w:tcPr>
            <w:tcW w:w="1650" w:type="dxa"/>
            <w:vAlign w:val="center"/>
          </w:tcPr>
          <w:p w14:paraId="03DD7908">
            <w:pPr>
              <w:rPr>
                <w:rFonts w:hint="eastAsia" w:ascii="宋体" w:hAnsi="宋体" w:cs="宋体"/>
                <w:color w:val="auto"/>
                <w:szCs w:val="21"/>
                <w:highlight w:val="none"/>
              </w:rPr>
            </w:pPr>
          </w:p>
        </w:tc>
      </w:tr>
      <w:tr w14:paraId="3E32A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jc w:val="center"/>
        </w:trPr>
        <w:tc>
          <w:tcPr>
            <w:tcW w:w="803" w:type="dxa"/>
            <w:vAlign w:val="center"/>
          </w:tcPr>
          <w:p w14:paraId="530EDE8E">
            <w:pPr>
              <w:rPr>
                <w:rFonts w:hint="eastAsia" w:ascii="宋体" w:hAnsi="宋体" w:cs="宋体"/>
                <w:color w:val="auto"/>
                <w:szCs w:val="21"/>
                <w:highlight w:val="none"/>
              </w:rPr>
            </w:pPr>
          </w:p>
        </w:tc>
        <w:tc>
          <w:tcPr>
            <w:tcW w:w="831" w:type="dxa"/>
            <w:vAlign w:val="center"/>
          </w:tcPr>
          <w:p w14:paraId="7C7CD1D6">
            <w:pPr>
              <w:rPr>
                <w:rFonts w:hint="eastAsia" w:ascii="宋体" w:hAnsi="宋体" w:cs="宋体"/>
                <w:color w:val="auto"/>
                <w:szCs w:val="21"/>
                <w:highlight w:val="none"/>
              </w:rPr>
            </w:pPr>
          </w:p>
        </w:tc>
        <w:tc>
          <w:tcPr>
            <w:tcW w:w="712" w:type="dxa"/>
            <w:vAlign w:val="center"/>
          </w:tcPr>
          <w:p w14:paraId="5B8B004B">
            <w:pPr>
              <w:rPr>
                <w:rFonts w:hint="eastAsia" w:ascii="宋体" w:hAnsi="宋体" w:cs="宋体"/>
                <w:color w:val="auto"/>
                <w:szCs w:val="21"/>
                <w:highlight w:val="none"/>
              </w:rPr>
            </w:pPr>
          </w:p>
        </w:tc>
        <w:tc>
          <w:tcPr>
            <w:tcW w:w="713" w:type="dxa"/>
            <w:vAlign w:val="center"/>
          </w:tcPr>
          <w:p w14:paraId="7E971954">
            <w:pPr>
              <w:rPr>
                <w:rFonts w:hint="eastAsia" w:ascii="宋体" w:hAnsi="宋体" w:cs="宋体"/>
                <w:color w:val="auto"/>
                <w:szCs w:val="21"/>
                <w:highlight w:val="none"/>
              </w:rPr>
            </w:pPr>
          </w:p>
        </w:tc>
        <w:tc>
          <w:tcPr>
            <w:tcW w:w="800" w:type="dxa"/>
            <w:vAlign w:val="center"/>
          </w:tcPr>
          <w:p w14:paraId="05B3B4CA">
            <w:pPr>
              <w:rPr>
                <w:rFonts w:hint="eastAsia" w:ascii="宋体" w:hAnsi="宋体" w:cs="宋体"/>
                <w:color w:val="auto"/>
                <w:szCs w:val="21"/>
                <w:highlight w:val="none"/>
              </w:rPr>
            </w:pPr>
          </w:p>
        </w:tc>
        <w:tc>
          <w:tcPr>
            <w:tcW w:w="1337" w:type="dxa"/>
            <w:vAlign w:val="center"/>
          </w:tcPr>
          <w:p w14:paraId="5A2B53DE">
            <w:pPr>
              <w:rPr>
                <w:rFonts w:hint="eastAsia" w:ascii="宋体" w:hAnsi="宋体" w:cs="宋体"/>
                <w:color w:val="auto"/>
                <w:szCs w:val="21"/>
                <w:highlight w:val="none"/>
              </w:rPr>
            </w:pPr>
          </w:p>
        </w:tc>
        <w:tc>
          <w:tcPr>
            <w:tcW w:w="1313" w:type="dxa"/>
            <w:vAlign w:val="center"/>
          </w:tcPr>
          <w:p w14:paraId="4B3D451D">
            <w:pPr>
              <w:rPr>
                <w:rFonts w:hint="eastAsia" w:ascii="宋体" w:hAnsi="宋体" w:cs="宋体"/>
                <w:color w:val="auto"/>
                <w:szCs w:val="21"/>
                <w:highlight w:val="none"/>
              </w:rPr>
            </w:pPr>
          </w:p>
        </w:tc>
        <w:tc>
          <w:tcPr>
            <w:tcW w:w="1146" w:type="dxa"/>
            <w:vAlign w:val="center"/>
          </w:tcPr>
          <w:p w14:paraId="08913EBB">
            <w:pPr>
              <w:rPr>
                <w:rFonts w:hint="eastAsia" w:ascii="宋体" w:hAnsi="宋体" w:cs="宋体"/>
                <w:color w:val="auto"/>
                <w:szCs w:val="21"/>
                <w:highlight w:val="none"/>
              </w:rPr>
            </w:pPr>
          </w:p>
        </w:tc>
        <w:tc>
          <w:tcPr>
            <w:tcW w:w="1650" w:type="dxa"/>
            <w:vAlign w:val="center"/>
          </w:tcPr>
          <w:p w14:paraId="47205391">
            <w:pPr>
              <w:rPr>
                <w:rFonts w:hint="eastAsia" w:ascii="宋体" w:hAnsi="宋体" w:cs="宋体"/>
                <w:color w:val="auto"/>
                <w:szCs w:val="21"/>
                <w:highlight w:val="none"/>
              </w:rPr>
            </w:pPr>
          </w:p>
        </w:tc>
      </w:tr>
      <w:tr w14:paraId="29B5E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jc w:val="center"/>
        </w:trPr>
        <w:tc>
          <w:tcPr>
            <w:tcW w:w="803" w:type="dxa"/>
            <w:vAlign w:val="center"/>
          </w:tcPr>
          <w:p w14:paraId="394B1FE8">
            <w:pPr>
              <w:rPr>
                <w:rFonts w:hint="eastAsia" w:ascii="宋体" w:hAnsi="宋体" w:cs="宋体"/>
                <w:color w:val="auto"/>
                <w:szCs w:val="21"/>
                <w:highlight w:val="none"/>
              </w:rPr>
            </w:pPr>
          </w:p>
        </w:tc>
        <w:tc>
          <w:tcPr>
            <w:tcW w:w="831" w:type="dxa"/>
            <w:vAlign w:val="center"/>
          </w:tcPr>
          <w:p w14:paraId="1213C733">
            <w:pPr>
              <w:rPr>
                <w:rFonts w:hint="eastAsia" w:ascii="宋体" w:hAnsi="宋体" w:cs="宋体"/>
                <w:color w:val="auto"/>
                <w:szCs w:val="21"/>
                <w:highlight w:val="none"/>
              </w:rPr>
            </w:pPr>
          </w:p>
        </w:tc>
        <w:tc>
          <w:tcPr>
            <w:tcW w:w="712" w:type="dxa"/>
            <w:vAlign w:val="center"/>
          </w:tcPr>
          <w:p w14:paraId="1BCDA0AF">
            <w:pPr>
              <w:rPr>
                <w:rFonts w:hint="eastAsia" w:ascii="宋体" w:hAnsi="宋体" w:cs="宋体"/>
                <w:color w:val="auto"/>
                <w:szCs w:val="21"/>
                <w:highlight w:val="none"/>
              </w:rPr>
            </w:pPr>
          </w:p>
        </w:tc>
        <w:tc>
          <w:tcPr>
            <w:tcW w:w="713" w:type="dxa"/>
            <w:vAlign w:val="center"/>
          </w:tcPr>
          <w:p w14:paraId="3A9A130B">
            <w:pPr>
              <w:rPr>
                <w:rFonts w:hint="eastAsia" w:ascii="宋体" w:hAnsi="宋体" w:cs="宋体"/>
                <w:color w:val="auto"/>
                <w:szCs w:val="21"/>
                <w:highlight w:val="none"/>
              </w:rPr>
            </w:pPr>
          </w:p>
        </w:tc>
        <w:tc>
          <w:tcPr>
            <w:tcW w:w="800" w:type="dxa"/>
            <w:vAlign w:val="center"/>
          </w:tcPr>
          <w:p w14:paraId="43D9730C">
            <w:pPr>
              <w:rPr>
                <w:rFonts w:hint="eastAsia" w:ascii="宋体" w:hAnsi="宋体" w:cs="宋体"/>
                <w:color w:val="auto"/>
                <w:szCs w:val="21"/>
                <w:highlight w:val="none"/>
              </w:rPr>
            </w:pPr>
          </w:p>
        </w:tc>
        <w:tc>
          <w:tcPr>
            <w:tcW w:w="1337" w:type="dxa"/>
            <w:vAlign w:val="center"/>
          </w:tcPr>
          <w:p w14:paraId="081F7C56">
            <w:pPr>
              <w:rPr>
                <w:rFonts w:hint="eastAsia" w:ascii="宋体" w:hAnsi="宋体" w:cs="宋体"/>
                <w:color w:val="auto"/>
                <w:szCs w:val="21"/>
                <w:highlight w:val="none"/>
              </w:rPr>
            </w:pPr>
          </w:p>
        </w:tc>
        <w:tc>
          <w:tcPr>
            <w:tcW w:w="1313" w:type="dxa"/>
            <w:vAlign w:val="center"/>
          </w:tcPr>
          <w:p w14:paraId="3AF1B513">
            <w:pPr>
              <w:rPr>
                <w:rFonts w:hint="eastAsia" w:ascii="宋体" w:hAnsi="宋体" w:cs="宋体"/>
                <w:color w:val="auto"/>
                <w:szCs w:val="21"/>
                <w:highlight w:val="none"/>
              </w:rPr>
            </w:pPr>
          </w:p>
        </w:tc>
        <w:tc>
          <w:tcPr>
            <w:tcW w:w="1146" w:type="dxa"/>
            <w:vAlign w:val="center"/>
          </w:tcPr>
          <w:p w14:paraId="65BC7ED4">
            <w:pPr>
              <w:rPr>
                <w:rFonts w:hint="eastAsia" w:ascii="宋体" w:hAnsi="宋体" w:cs="宋体"/>
                <w:color w:val="auto"/>
                <w:szCs w:val="21"/>
                <w:highlight w:val="none"/>
              </w:rPr>
            </w:pPr>
          </w:p>
        </w:tc>
        <w:tc>
          <w:tcPr>
            <w:tcW w:w="1650" w:type="dxa"/>
            <w:vAlign w:val="center"/>
          </w:tcPr>
          <w:p w14:paraId="0B5A7E8F">
            <w:pPr>
              <w:rPr>
                <w:rFonts w:hint="eastAsia" w:ascii="宋体" w:hAnsi="宋体" w:cs="宋体"/>
                <w:color w:val="auto"/>
                <w:szCs w:val="21"/>
                <w:highlight w:val="none"/>
              </w:rPr>
            </w:pPr>
          </w:p>
        </w:tc>
      </w:tr>
      <w:tr w14:paraId="0548D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jc w:val="center"/>
        </w:trPr>
        <w:tc>
          <w:tcPr>
            <w:tcW w:w="803" w:type="dxa"/>
            <w:vAlign w:val="center"/>
          </w:tcPr>
          <w:p w14:paraId="43004C52">
            <w:pPr>
              <w:rPr>
                <w:rFonts w:hint="eastAsia" w:ascii="宋体" w:hAnsi="宋体" w:cs="宋体"/>
                <w:color w:val="auto"/>
                <w:szCs w:val="21"/>
                <w:highlight w:val="none"/>
              </w:rPr>
            </w:pPr>
          </w:p>
        </w:tc>
        <w:tc>
          <w:tcPr>
            <w:tcW w:w="831" w:type="dxa"/>
            <w:vAlign w:val="center"/>
          </w:tcPr>
          <w:p w14:paraId="7D7CC16C">
            <w:pPr>
              <w:rPr>
                <w:rFonts w:hint="eastAsia" w:ascii="宋体" w:hAnsi="宋体" w:cs="宋体"/>
                <w:color w:val="auto"/>
                <w:szCs w:val="21"/>
                <w:highlight w:val="none"/>
              </w:rPr>
            </w:pPr>
          </w:p>
        </w:tc>
        <w:tc>
          <w:tcPr>
            <w:tcW w:w="712" w:type="dxa"/>
            <w:vAlign w:val="center"/>
          </w:tcPr>
          <w:p w14:paraId="3615520F">
            <w:pPr>
              <w:rPr>
                <w:rFonts w:hint="eastAsia" w:ascii="宋体" w:hAnsi="宋体" w:cs="宋体"/>
                <w:color w:val="auto"/>
                <w:szCs w:val="21"/>
                <w:highlight w:val="none"/>
              </w:rPr>
            </w:pPr>
          </w:p>
        </w:tc>
        <w:tc>
          <w:tcPr>
            <w:tcW w:w="713" w:type="dxa"/>
            <w:vAlign w:val="center"/>
          </w:tcPr>
          <w:p w14:paraId="6AF9CCCF">
            <w:pPr>
              <w:rPr>
                <w:rFonts w:hint="eastAsia" w:ascii="宋体" w:hAnsi="宋体" w:cs="宋体"/>
                <w:color w:val="auto"/>
                <w:szCs w:val="21"/>
                <w:highlight w:val="none"/>
              </w:rPr>
            </w:pPr>
          </w:p>
        </w:tc>
        <w:tc>
          <w:tcPr>
            <w:tcW w:w="800" w:type="dxa"/>
            <w:vAlign w:val="center"/>
          </w:tcPr>
          <w:p w14:paraId="0C33065B">
            <w:pPr>
              <w:rPr>
                <w:rFonts w:hint="eastAsia" w:ascii="宋体" w:hAnsi="宋体" w:cs="宋体"/>
                <w:color w:val="auto"/>
                <w:szCs w:val="21"/>
                <w:highlight w:val="none"/>
              </w:rPr>
            </w:pPr>
          </w:p>
        </w:tc>
        <w:tc>
          <w:tcPr>
            <w:tcW w:w="1337" w:type="dxa"/>
            <w:vAlign w:val="center"/>
          </w:tcPr>
          <w:p w14:paraId="1C878CEE">
            <w:pPr>
              <w:rPr>
                <w:rFonts w:hint="eastAsia" w:ascii="宋体" w:hAnsi="宋体" w:cs="宋体"/>
                <w:color w:val="auto"/>
                <w:szCs w:val="21"/>
                <w:highlight w:val="none"/>
              </w:rPr>
            </w:pPr>
          </w:p>
        </w:tc>
        <w:tc>
          <w:tcPr>
            <w:tcW w:w="1313" w:type="dxa"/>
            <w:vAlign w:val="center"/>
          </w:tcPr>
          <w:p w14:paraId="17363EF6">
            <w:pPr>
              <w:rPr>
                <w:rFonts w:hint="eastAsia" w:ascii="宋体" w:hAnsi="宋体" w:cs="宋体"/>
                <w:color w:val="auto"/>
                <w:szCs w:val="21"/>
                <w:highlight w:val="none"/>
              </w:rPr>
            </w:pPr>
          </w:p>
        </w:tc>
        <w:tc>
          <w:tcPr>
            <w:tcW w:w="1146" w:type="dxa"/>
            <w:vAlign w:val="center"/>
          </w:tcPr>
          <w:p w14:paraId="171A1533">
            <w:pPr>
              <w:rPr>
                <w:rFonts w:hint="eastAsia" w:ascii="宋体" w:hAnsi="宋体" w:cs="宋体"/>
                <w:color w:val="auto"/>
                <w:szCs w:val="21"/>
                <w:highlight w:val="none"/>
              </w:rPr>
            </w:pPr>
          </w:p>
        </w:tc>
        <w:tc>
          <w:tcPr>
            <w:tcW w:w="1650" w:type="dxa"/>
            <w:vAlign w:val="center"/>
          </w:tcPr>
          <w:p w14:paraId="5EABF0FC">
            <w:pPr>
              <w:rPr>
                <w:rFonts w:hint="eastAsia" w:ascii="宋体" w:hAnsi="宋体" w:cs="宋体"/>
                <w:color w:val="auto"/>
                <w:szCs w:val="21"/>
                <w:highlight w:val="none"/>
              </w:rPr>
            </w:pPr>
          </w:p>
        </w:tc>
      </w:tr>
      <w:tr w14:paraId="6A571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jc w:val="center"/>
        </w:trPr>
        <w:tc>
          <w:tcPr>
            <w:tcW w:w="803" w:type="dxa"/>
            <w:vAlign w:val="center"/>
          </w:tcPr>
          <w:p w14:paraId="5701895B">
            <w:pPr>
              <w:rPr>
                <w:rFonts w:hint="eastAsia" w:ascii="宋体" w:hAnsi="宋体" w:cs="宋体"/>
                <w:color w:val="auto"/>
                <w:szCs w:val="21"/>
                <w:highlight w:val="none"/>
              </w:rPr>
            </w:pPr>
          </w:p>
        </w:tc>
        <w:tc>
          <w:tcPr>
            <w:tcW w:w="831" w:type="dxa"/>
            <w:vAlign w:val="center"/>
          </w:tcPr>
          <w:p w14:paraId="70FF5AEC">
            <w:pPr>
              <w:rPr>
                <w:rFonts w:hint="eastAsia" w:ascii="宋体" w:hAnsi="宋体" w:cs="宋体"/>
                <w:color w:val="auto"/>
                <w:szCs w:val="21"/>
                <w:highlight w:val="none"/>
              </w:rPr>
            </w:pPr>
          </w:p>
        </w:tc>
        <w:tc>
          <w:tcPr>
            <w:tcW w:w="712" w:type="dxa"/>
            <w:vAlign w:val="center"/>
          </w:tcPr>
          <w:p w14:paraId="0F4FFB09">
            <w:pPr>
              <w:rPr>
                <w:rFonts w:hint="eastAsia" w:ascii="宋体" w:hAnsi="宋体" w:cs="宋体"/>
                <w:color w:val="auto"/>
                <w:szCs w:val="21"/>
                <w:highlight w:val="none"/>
              </w:rPr>
            </w:pPr>
          </w:p>
        </w:tc>
        <w:tc>
          <w:tcPr>
            <w:tcW w:w="713" w:type="dxa"/>
            <w:vAlign w:val="center"/>
          </w:tcPr>
          <w:p w14:paraId="0A5E3FF2">
            <w:pPr>
              <w:rPr>
                <w:rFonts w:hint="eastAsia" w:ascii="宋体" w:hAnsi="宋体" w:cs="宋体"/>
                <w:color w:val="auto"/>
                <w:szCs w:val="21"/>
                <w:highlight w:val="none"/>
              </w:rPr>
            </w:pPr>
          </w:p>
        </w:tc>
        <w:tc>
          <w:tcPr>
            <w:tcW w:w="800" w:type="dxa"/>
            <w:vAlign w:val="center"/>
          </w:tcPr>
          <w:p w14:paraId="5CC7D8D1">
            <w:pPr>
              <w:rPr>
                <w:rFonts w:hint="eastAsia" w:ascii="宋体" w:hAnsi="宋体" w:cs="宋体"/>
                <w:color w:val="auto"/>
                <w:szCs w:val="21"/>
                <w:highlight w:val="none"/>
              </w:rPr>
            </w:pPr>
          </w:p>
        </w:tc>
        <w:tc>
          <w:tcPr>
            <w:tcW w:w="1337" w:type="dxa"/>
            <w:vAlign w:val="center"/>
          </w:tcPr>
          <w:p w14:paraId="79D5A2B6">
            <w:pPr>
              <w:rPr>
                <w:rFonts w:hint="eastAsia" w:ascii="宋体" w:hAnsi="宋体" w:cs="宋体"/>
                <w:color w:val="auto"/>
                <w:szCs w:val="21"/>
                <w:highlight w:val="none"/>
              </w:rPr>
            </w:pPr>
          </w:p>
        </w:tc>
        <w:tc>
          <w:tcPr>
            <w:tcW w:w="1313" w:type="dxa"/>
            <w:vAlign w:val="center"/>
          </w:tcPr>
          <w:p w14:paraId="13D029B0">
            <w:pPr>
              <w:rPr>
                <w:rFonts w:hint="eastAsia" w:ascii="宋体" w:hAnsi="宋体" w:cs="宋体"/>
                <w:color w:val="auto"/>
                <w:szCs w:val="21"/>
                <w:highlight w:val="none"/>
              </w:rPr>
            </w:pPr>
          </w:p>
        </w:tc>
        <w:tc>
          <w:tcPr>
            <w:tcW w:w="1146" w:type="dxa"/>
            <w:vAlign w:val="center"/>
          </w:tcPr>
          <w:p w14:paraId="33DC0B4C">
            <w:pPr>
              <w:rPr>
                <w:rFonts w:hint="eastAsia" w:ascii="宋体" w:hAnsi="宋体" w:cs="宋体"/>
                <w:color w:val="auto"/>
                <w:szCs w:val="21"/>
                <w:highlight w:val="none"/>
              </w:rPr>
            </w:pPr>
          </w:p>
        </w:tc>
        <w:tc>
          <w:tcPr>
            <w:tcW w:w="1650" w:type="dxa"/>
            <w:vAlign w:val="center"/>
          </w:tcPr>
          <w:p w14:paraId="1BAA2B98">
            <w:pPr>
              <w:rPr>
                <w:rFonts w:hint="eastAsia" w:ascii="宋体" w:hAnsi="宋体" w:cs="宋体"/>
                <w:color w:val="auto"/>
                <w:szCs w:val="21"/>
                <w:highlight w:val="none"/>
              </w:rPr>
            </w:pPr>
          </w:p>
        </w:tc>
      </w:tr>
      <w:tr w14:paraId="01703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jc w:val="center"/>
        </w:trPr>
        <w:tc>
          <w:tcPr>
            <w:tcW w:w="803" w:type="dxa"/>
            <w:vAlign w:val="center"/>
          </w:tcPr>
          <w:p w14:paraId="2A08D8C5">
            <w:pPr>
              <w:rPr>
                <w:rFonts w:hint="eastAsia" w:ascii="宋体" w:hAnsi="宋体" w:cs="宋体"/>
                <w:color w:val="auto"/>
                <w:szCs w:val="21"/>
                <w:highlight w:val="none"/>
              </w:rPr>
            </w:pPr>
          </w:p>
        </w:tc>
        <w:tc>
          <w:tcPr>
            <w:tcW w:w="831" w:type="dxa"/>
            <w:vAlign w:val="center"/>
          </w:tcPr>
          <w:p w14:paraId="3070C43A">
            <w:pPr>
              <w:rPr>
                <w:rFonts w:hint="eastAsia" w:ascii="宋体" w:hAnsi="宋体" w:cs="宋体"/>
                <w:color w:val="auto"/>
                <w:szCs w:val="21"/>
                <w:highlight w:val="none"/>
              </w:rPr>
            </w:pPr>
          </w:p>
        </w:tc>
        <w:tc>
          <w:tcPr>
            <w:tcW w:w="712" w:type="dxa"/>
            <w:vAlign w:val="center"/>
          </w:tcPr>
          <w:p w14:paraId="7124A38F">
            <w:pPr>
              <w:rPr>
                <w:rFonts w:hint="eastAsia" w:ascii="宋体" w:hAnsi="宋体" w:cs="宋体"/>
                <w:color w:val="auto"/>
                <w:szCs w:val="21"/>
                <w:highlight w:val="none"/>
              </w:rPr>
            </w:pPr>
          </w:p>
        </w:tc>
        <w:tc>
          <w:tcPr>
            <w:tcW w:w="713" w:type="dxa"/>
            <w:vAlign w:val="center"/>
          </w:tcPr>
          <w:p w14:paraId="25A39186">
            <w:pPr>
              <w:rPr>
                <w:rFonts w:hint="eastAsia" w:ascii="宋体" w:hAnsi="宋体" w:cs="宋体"/>
                <w:color w:val="auto"/>
                <w:szCs w:val="21"/>
                <w:highlight w:val="none"/>
              </w:rPr>
            </w:pPr>
          </w:p>
        </w:tc>
        <w:tc>
          <w:tcPr>
            <w:tcW w:w="800" w:type="dxa"/>
            <w:vAlign w:val="center"/>
          </w:tcPr>
          <w:p w14:paraId="0F127CCD">
            <w:pPr>
              <w:rPr>
                <w:rFonts w:hint="eastAsia" w:ascii="宋体" w:hAnsi="宋体" w:cs="宋体"/>
                <w:color w:val="auto"/>
                <w:szCs w:val="21"/>
                <w:highlight w:val="none"/>
              </w:rPr>
            </w:pPr>
          </w:p>
        </w:tc>
        <w:tc>
          <w:tcPr>
            <w:tcW w:w="1337" w:type="dxa"/>
            <w:vAlign w:val="center"/>
          </w:tcPr>
          <w:p w14:paraId="534A8403">
            <w:pPr>
              <w:rPr>
                <w:rFonts w:hint="eastAsia" w:ascii="宋体" w:hAnsi="宋体" w:cs="宋体"/>
                <w:color w:val="auto"/>
                <w:szCs w:val="21"/>
                <w:highlight w:val="none"/>
              </w:rPr>
            </w:pPr>
          </w:p>
        </w:tc>
        <w:tc>
          <w:tcPr>
            <w:tcW w:w="1313" w:type="dxa"/>
            <w:vAlign w:val="center"/>
          </w:tcPr>
          <w:p w14:paraId="6CB74220">
            <w:pPr>
              <w:rPr>
                <w:rFonts w:hint="eastAsia" w:ascii="宋体" w:hAnsi="宋体" w:cs="宋体"/>
                <w:color w:val="auto"/>
                <w:szCs w:val="21"/>
                <w:highlight w:val="none"/>
              </w:rPr>
            </w:pPr>
          </w:p>
        </w:tc>
        <w:tc>
          <w:tcPr>
            <w:tcW w:w="1146" w:type="dxa"/>
            <w:vAlign w:val="center"/>
          </w:tcPr>
          <w:p w14:paraId="4D70BA10">
            <w:pPr>
              <w:rPr>
                <w:rFonts w:hint="eastAsia" w:ascii="宋体" w:hAnsi="宋体" w:cs="宋体"/>
                <w:color w:val="auto"/>
                <w:szCs w:val="21"/>
                <w:highlight w:val="none"/>
              </w:rPr>
            </w:pPr>
          </w:p>
        </w:tc>
        <w:tc>
          <w:tcPr>
            <w:tcW w:w="1650" w:type="dxa"/>
            <w:vAlign w:val="center"/>
          </w:tcPr>
          <w:p w14:paraId="789EDC23">
            <w:pPr>
              <w:rPr>
                <w:rFonts w:hint="eastAsia" w:ascii="宋体" w:hAnsi="宋体" w:cs="宋体"/>
                <w:color w:val="auto"/>
                <w:szCs w:val="21"/>
                <w:highlight w:val="none"/>
              </w:rPr>
            </w:pPr>
          </w:p>
        </w:tc>
      </w:tr>
    </w:tbl>
    <w:p w14:paraId="337867FE">
      <w:pPr>
        <w:spacing w:before="120" w:beforeLines="50" w:line="360" w:lineRule="auto"/>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注：1.</w:t>
      </w:r>
      <w:r>
        <w:rPr>
          <w:rFonts w:hint="eastAsia" w:ascii="宋体" w:hAnsi="宋体"/>
          <w:color w:val="auto"/>
          <w:szCs w:val="21"/>
          <w:highlight w:val="none"/>
        </w:rPr>
        <w:t>本表后应附拟派项目人员</w:t>
      </w:r>
      <w:r>
        <w:rPr>
          <w:rFonts w:hint="eastAsia" w:ascii="宋体" w:hAnsi="宋体"/>
          <w:color w:val="auto"/>
          <w:szCs w:val="21"/>
          <w:highlight w:val="none"/>
          <w:lang w:eastAsia="zh-CN"/>
        </w:rPr>
        <w:t>的</w:t>
      </w:r>
      <w:r>
        <w:rPr>
          <w:rFonts w:hint="eastAsia" w:ascii="宋体" w:hAnsi="宋体"/>
          <w:color w:val="auto"/>
          <w:szCs w:val="21"/>
          <w:highlight w:val="none"/>
        </w:rPr>
        <w:t>证明材料，证明材料为身份证、职业资格证</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如有</w:t>
      </w:r>
      <w:r>
        <w:rPr>
          <w:rFonts w:hint="eastAsia" w:ascii="宋体" w:hAnsi="宋体"/>
          <w:color w:val="auto"/>
          <w:szCs w:val="21"/>
          <w:highlight w:val="none"/>
          <w:lang w:eastAsia="zh-CN"/>
        </w:rPr>
        <w:t>）、</w:t>
      </w:r>
      <w:r>
        <w:rPr>
          <w:rFonts w:hint="eastAsia" w:ascii="宋体" w:hAnsi="宋体"/>
          <w:color w:val="auto"/>
          <w:szCs w:val="21"/>
          <w:highlight w:val="none"/>
        </w:rPr>
        <w:t>职称证</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如有</w:t>
      </w:r>
      <w:r>
        <w:rPr>
          <w:rFonts w:hint="eastAsia" w:ascii="宋体" w:hAnsi="宋体"/>
          <w:color w:val="auto"/>
          <w:szCs w:val="21"/>
          <w:highlight w:val="none"/>
          <w:lang w:eastAsia="zh-CN"/>
        </w:rPr>
        <w:t>）</w:t>
      </w:r>
      <w:r>
        <w:rPr>
          <w:rFonts w:hint="eastAsia" w:ascii="宋体" w:hAnsi="宋体"/>
          <w:color w:val="auto"/>
          <w:szCs w:val="21"/>
          <w:highlight w:val="none"/>
        </w:rPr>
        <w:t>、社保缴纳证明（供应商为事业单位的，可提供项目组成员在事业单位的有效证明文件或证件）。</w:t>
      </w:r>
    </w:p>
    <w:p w14:paraId="2D3A4FF2">
      <w:pPr>
        <w:spacing w:line="360" w:lineRule="auto"/>
        <w:ind w:firstLine="840" w:firstLineChars="400"/>
        <w:rPr>
          <w:rFonts w:hint="eastAsia" w:ascii="宋体" w:hAnsi="宋体" w:cs="宋体"/>
          <w:color w:val="auto"/>
          <w:szCs w:val="21"/>
          <w:highlight w:val="none"/>
        </w:rPr>
      </w:pPr>
      <w:r>
        <w:rPr>
          <w:rFonts w:hint="eastAsia" w:ascii="宋体" w:hAnsi="宋体" w:cs="宋体"/>
          <w:bCs/>
          <w:color w:val="auto"/>
          <w:szCs w:val="21"/>
          <w:highlight w:val="none"/>
        </w:rPr>
        <w:t>2.供应商可根据实际情况拓展本表，但不得改变格式。</w:t>
      </w:r>
    </w:p>
    <w:p w14:paraId="3119B422">
      <w:pPr>
        <w:spacing w:line="480" w:lineRule="auto"/>
        <w:rPr>
          <w:rFonts w:hint="eastAsia" w:ascii="宋体" w:hAnsi="宋体" w:cs="宋体"/>
          <w:color w:val="auto"/>
          <w:szCs w:val="21"/>
          <w:highlight w:val="none"/>
        </w:rPr>
      </w:pPr>
    </w:p>
    <w:p w14:paraId="42203F30">
      <w:pPr>
        <w:spacing w:line="480" w:lineRule="auto"/>
        <w:rPr>
          <w:rFonts w:hint="eastAsia" w:ascii="宋体" w:hAnsi="宋体" w:cs="宋体"/>
          <w:color w:val="auto"/>
          <w:szCs w:val="21"/>
          <w:highlight w:val="none"/>
        </w:rPr>
      </w:pPr>
    </w:p>
    <w:p w14:paraId="6A24EF2C">
      <w:pPr>
        <w:autoSpaceDE w:val="0"/>
        <w:autoSpaceDN w:val="0"/>
        <w:adjustRightInd w:val="0"/>
        <w:spacing w:line="480" w:lineRule="auto"/>
        <w:jc w:val="left"/>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供应商：</w:t>
      </w:r>
      <w:r>
        <w:rPr>
          <w:rFonts w:hint="eastAsia" w:asciiTheme="minorEastAsia" w:hAnsiTheme="minorEastAsia" w:eastAsiaTheme="minorEastAsia"/>
          <w:bCs/>
          <w:color w:val="auto"/>
          <w:szCs w:val="21"/>
          <w:highlight w:val="none"/>
          <w:u w:val="single"/>
        </w:rPr>
        <w:t xml:space="preserve">          </w:t>
      </w:r>
      <w:r>
        <w:rPr>
          <w:rFonts w:asciiTheme="minorEastAsia" w:hAnsiTheme="minorEastAsia" w:eastAsiaTheme="minorEastAsia"/>
          <w:bCs/>
          <w:color w:val="auto"/>
          <w:szCs w:val="21"/>
          <w:highlight w:val="none"/>
          <w:u w:val="single"/>
        </w:rPr>
        <w:t xml:space="preserve">     </w:t>
      </w:r>
      <w:r>
        <w:rPr>
          <w:rFonts w:hint="eastAsia" w:asciiTheme="minorEastAsia" w:hAnsiTheme="minorEastAsia" w:eastAsiaTheme="minorEastAsia"/>
          <w:bCs/>
          <w:color w:val="auto"/>
          <w:szCs w:val="21"/>
          <w:highlight w:val="none"/>
          <w:u w:val="single"/>
        </w:rPr>
        <w:t>（</w:t>
      </w:r>
      <w:r>
        <w:rPr>
          <w:rFonts w:hint="eastAsia" w:asciiTheme="minorEastAsia" w:hAnsiTheme="minorEastAsia" w:eastAsiaTheme="minorEastAsia"/>
          <w:color w:val="auto"/>
          <w:szCs w:val="21"/>
          <w:highlight w:val="none"/>
          <w:u w:val="single"/>
        </w:rPr>
        <w:t>电子签章</w:t>
      </w:r>
      <w:r>
        <w:rPr>
          <w:rFonts w:hint="eastAsia" w:asciiTheme="minorEastAsia" w:hAnsiTheme="minorEastAsia" w:eastAsiaTheme="minorEastAsia"/>
          <w:bCs/>
          <w:color w:val="auto"/>
          <w:szCs w:val="21"/>
          <w:highlight w:val="none"/>
          <w:u w:val="single"/>
        </w:rPr>
        <w:t>）</w:t>
      </w:r>
    </w:p>
    <w:p w14:paraId="25F869EA">
      <w:pPr>
        <w:autoSpaceDE w:val="0"/>
        <w:autoSpaceDN w:val="0"/>
        <w:adjustRightInd w:val="0"/>
        <w:spacing w:line="480" w:lineRule="auto"/>
        <w:jc w:val="left"/>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法定代表人：</w:t>
      </w:r>
      <w:r>
        <w:rPr>
          <w:rFonts w:hint="eastAsia" w:asciiTheme="minorEastAsia" w:hAnsiTheme="minorEastAsia" w:eastAsiaTheme="minorEastAsia"/>
          <w:bCs/>
          <w:color w:val="auto"/>
          <w:szCs w:val="21"/>
          <w:highlight w:val="none"/>
          <w:u w:val="single"/>
        </w:rPr>
        <w:t xml:space="preserve">     </w:t>
      </w:r>
      <w:r>
        <w:rPr>
          <w:rFonts w:asciiTheme="minorEastAsia" w:hAnsiTheme="minorEastAsia" w:eastAsiaTheme="minorEastAsia"/>
          <w:bCs/>
          <w:color w:val="auto"/>
          <w:szCs w:val="21"/>
          <w:highlight w:val="none"/>
          <w:u w:val="single"/>
        </w:rPr>
        <w:t xml:space="preserve">    </w:t>
      </w:r>
      <w:r>
        <w:rPr>
          <w:rFonts w:hint="eastAsia" w:asciiTheme="minorEastAsia" w:hAnsiTheme="minorEastAsia" w:eastAsiaTheme="minorEastAsia"/>
          <w:bCs/>
          <w:color w:val="auto"/>
          <w:szCs w:val="21"/>
          <w:highlight w:val="none"/>
          <w:u w:val="single"/>
        </w:rPr>
        <w:t xml:space="preserve">   (电子签章)</w:t>
      </w:r>
      <w:r>
        <w:rPr>
          <w:rFonts w:asciiTheme="minorEastAsia" w:hAnsiTheme="minorEastAsia" w:eastAsiaTheme="minorEastAsia"/>
          <w:bCs/>
          <w:color w:val="auto"/>
          <w:szCs w:val="21"/>
          <w:highlight w:val="none"/>
          <w:u w:val="single"/>
        </w:rPr>
        <w:t xml:space="preserve"> </w:t>
      </w:r>
    </w:p>
    <w:p w14:paraId="4604044F">
      <w:pPr>
        <w:autoSpaceDE w:val="0"/>
        <w:autoSpaceDN w:val="0"/>
        <w:adjustRightInd w:val="0"/>
        <w:spacing w:line="480" w:lineRule="auto"/>
        <w:jc w:val="left"/>
        <w:rPr>
          <w:rFonts w:hint="eastAsia" w:ascii="宋体" w:hAnsi="宋体"/>
          <w:bCs/>
          <w:color w:val="auto"/>
          <w:szCs w:val="21"/>
          <w:highlight w:val="none"/>
        </w:rPr>
      </w:pPr>
      <w:r>
        <w:rPr>
          <w:rFonts w:hint="eastAsia" w:asciiTheme="minorEastAsia" w:hAnsiTheme="minorEastAsia" w:eastAsiaTheme="minorEastAsia"/>
          <w:bCs/>
          <w:color w:val="auto"/>
          <w:szCs w:val="21"/>
          <w:highlight w:val="none"/>
        </w:rPr>
        <w:t>日期：</w:t>
      </w:r>
      <w:r>
        <w:rPr>
          <w:rFonts w:hint="eastAsia" w:asciiTheme="minorEastAsia" w:hAnsiTheme="minorEastAsia" w:eastAsiaTheme="minorEastAsia"/>
          <w:bCs/>
          <w:color w:val="auto"/>
          <w:szCs w:val="21"/>
          <w:highlight w:val="none"/>
          <w:u w:val="single"/>
        </w:rPr>
        <w:t xml:space="preserve">      </w:t>
      </w:r>
      <w:r>
        <w:rPr>
          <w:rFonts w:hint="eastAsia" w:asciiTheme="minorEastAsia" w:hAnsiTheme="minorEastAsia" w:eastAsiaTheme="minorEastAsia"/>
          <w:bCs/>
          <w:color w:val="auto"/>
          <w:szCs w:val="21"/>
          <w:highlight w:val="none"/>
        </w:rPr>
        <w:t>年</w:t>
      </w:r>
      <w:r>
        <w:rPr>
          <w:rFonts w:hint="eastAsia" w:asciiTheme="minorEastAsia" w:hAnsiTheme="minorEastAsia" w:eastAsiaTheme="minorEastAsia"/>
          <w:bCs/>
          <w:color w:val="auto"/>
          <w:szCs w:val="21"/>
          <w:highlight w:val="none"/>
          <w:u w:val="single"/>
        </w:rPr>
        <w:t xml:space="preserve">     </w:t>
      </w:r>
      <w:r>
        <w:rPr>
          <w:rFonts w:hint="eastAsia" w:asciiTheme="minorEastAsia" w:hAnsiTheme="minorEastAsia" w:eastAsiaTheme="minorEastAsia"/>
          <w:bCs/>
          <w:color w:val="auto"/>
          <w:szCs w:val="21"/>
          <w:highlight w:val="none"/>
        </w:rPr>
        <w:t>月</w:t>
      </w:r>
      <w:r>
        <w:rPr>
          <w:rFonts w:hint="eastAsia" w:asciiTheme="minorEastAsia" w:hAnsiTheme="minorEastAsia" w:eastAsiaTheme="minorEastAsia"/>
          <w:bCs/>
          <w:color w:val="auto"/>
          <w:szCs w:val="21"/>
          <w:highlight w:val="none"/>
          <w:u w:val="single"/>
        </w:rPr>
        <w:t xml:space="preserve">      </w:t>
      </w:r>
      <w:r>
        <w:rPr>
          <w:rFonts w:hint="eastAsia" w:asciiTheme="minorEastAsia" w:hAnsiTheme="minorEastAsia" w:eastAsiaTheme="minorEastAsia"/>
          <w:bCs/>
          <w:color w:val="auto"/>
          <w:szCs w:val="21"/>
          <w:highlight w:val="none"/>
        </w:rPr>
        <w:t>日</w:t>
      </w:r>
    </w:p>
    <w:p w14:paraId="23261D6C">
      <w:pPr>
        <w:spacing w:line="360" w:lineRule="auto"/>
        <w:jc w:val="center"/>
        <w:rPr>
          <w:rFonts w:hint="eastAsia" w:asciiTheme="minorEastAsia" w:hAnsiTheme="minorEastAsia" w:eastAsiaTheme="minorEastAsia"/>
          <w:color w:val="auto"/>
          <w:highlight w:val="none"/>
        </w:rPr>
      </w:pPr>
    </w:p>
    <w:p w14:paraId="1E3B5E5B">
      <w:pPr>
        <w:bidi w:val="0"/>
        <w:rPr>
          <w:rFonts w:hint="eastAsia"/>
          <w:highlight w:val="none"/>
        </w:rPr>
      </w:pPr>
      <w:r>
        <w:rPr>
          <w:rFonts w:hint="eastAsia"/>
          <w:highlight w:val="none"/>
        </w:rPr>
        <w:br w:type="page"/>
      </w:r>
      <w:bookmarkStart w:id="1219" w:name="_Toc158233420"/>
    </w:p>
    <w:p w14:paraId="0460C983">
      <w:pPr>
        <w:spacing w:line="360" w:lineRule="auto"/>
        <w:jc w:val="center"/>
        <w:outlineLvl w:val="2"/>
        <w:rPr>
          <w:rFonts w:hint="eastAsia" w:ascii="宋体" w:hAnsi="宋体"/>
          <w:b/>
          <w:color w:val="auto"/>
          <w:sz w:val="28"/>
          <w:szCs w:val="28"/>
          <w:highlight w:val="none"/>
        </w:rPr>
      </w:pPr>
      <w:r>
        <w:rPr>
          <w:rFonts w:hint="eastAsia" w:ascii="宋体" w:hAnsi="宋体"/>
          <w:b/>
          <w:color w:val="auto"/>
          <w:sz w:val="28"/>
          <w:szCs w:val="28"/>
          <w:highlight w:val="none"/>
          <w:lang w:eastAsia="zh-CN"/>
        </w:rPr>
        <w:t>（</w:t>
      </w:r>
      <w:r>
        <w:rPr>
          <w:rFonts w:hint="eastAsia" w:ascii="宋体" w:hAnsi="宋体"/>
          <w:b/>
          <w:color w:val="auto"/>
          <w:sz w:val="28"/>
          <w:szCs w:val="28"/>
          <w:highlight w:val="none"/>
          <w:lang w:val="en-US" w:eastAsia="zh-CN"/>
        </w:rPr>
        <w:t>六</w:t>
      </w:r>
      <w:r>
        <w:rPr>
          <w:rFonts w:hint="eastAsia" w:ascii="宋体" w:hAnsi="宋体"/>
          <w:b/>
          <w:color w:val="auto"/>
          <w:sz w:val="28"/>
          <w:szCs w:val="28"/>
          <w:highlight w:val="none"/>
          <w:lang w:eastAsia="zh-CN"/>
        </w:rPr>
        <w:t>）</w:t>
      </w:r>
      <w:r>
        <w:rPr>
          <w:rFonts w:hint="eastAsia" w:ascii="宋体" w:hAnsi="宋体"/>
          <w:b/>
          <w:color w:val="auto"/>
          <w:sz w:val="28"/>
          <w:szCs w:val="28"/>
          <w:highlight w:val="none"/>
        </w:rPr>
        <w:t>总监理</w:t>
      </w:r>
      <w:r>
        <w:rPr>
          <w:rFonts w:hint="eastAsia" w:ascii="宋体" w:hAnsi="宋体"/>
          <w:b/>
          <w:color w:val="auto"/>
          <w:sz w:val="28"/>
          <w:szCs w:val="28"/>
          <w:highlight w:val="none"/>
          <w:lang w:val="en-US" w:eastAsia="zh-CN"/>
        </w:rPr>
        <w:t>工程</w:t>
      </w:r>
      <w:r>
        <w:rPr>
          <w:rFonts w:hint="eastAsia" w:ascii="宋体" w:hAnsi="宋体"/>
          <w:b/>
          <w:color w:val="auto"/>
          <w:sz w:val="28"/>
          <w:szCs w:val="28"/>
          <w:highlight w:val="none"/>
        </w:rPr>
        <w:t>师类似项目业绩</w:t>
      </w:r>
    </w:p>
    <w:tbl>
      <w:tblPr>
        <w:tblStyle w:val="55"/>
        <w:tblW w:w="88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1"/>
        <w:gridCol w:w="2095"/>
        <w:gridCol w:w="1150"/>
        <w:gridCol w:w="1075"/>
        <w:gridCol w:w="800"/>
        <w:gridCol w:w="1900"/>
        <w:gridCol w:w="1025"/>
      </w:tblGrid>
      <w:tr w14:paraId="030CD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771" w:type="dxa"/>
            <w:noWrap w:val="0"/>
            <w:vAlign w:val="center"/>
          </w:tcPr>
          <w:p w14:paraId="2E2803F4">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序号</w:t>
            </w:r>
          </w:p>
        </w:tc>
        <w:tc>
          <w:tcPr>
            <w:tcW w:w="2095" w:type="dxa"/>
            <w:noWrap w:val="0"/>
            <w:vAlign w:val="center"/>
          </w:tcPr>
          <w:p w14:paraId="42B0FF63">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类似项目业绩名称</w:t>
            </w:r>
          </w:p>
        </w:tc>
        <w:tc>
          <w:tcPr>
            <w:tcW w:w="1150" w:type="dxa"/>
            <w:noWrap w:val="0"/>
            <w:vAlign w:val="center"/>
          </w:tcPr>
          <w:p w14:paraId="086D1723">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用户单位</w:t>
            </w:r>
          </w:p>
        </w:tc>
        <w:tc>
          <w:tcPr>
            <w:tcW w:w="1075" w:type="dxa"/>
            <w:noWrap w:val="0"/>
            <w:vAlign w:val="center"/>
          </w:tcPr>
          <w:p w14:paraId="3FD7CB31">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联系人</w:t>
            </w:r>
          </w:p>
        </w:tc>
        <w:tc>
          <w:tcPr>
            <w:tcW w:w="800" w:type="dxa"/>
            <w:noWrap w:val="0"/>
            <w:vAlign w:val="center"/>
          </w:tcPr>
          <w:p w14:paraId="45E2E7BA">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电话</w:t>
            </w:r>
          </w:p>
        </w:tc>
        <w:tc>
          <w:tcPr>
            <w:tcW w:w="1900" w:type="dxa"/>
            <w:noWrap w:val="0"/>
            <w:vAlign w:val="center"/>
          </w:tcPr>
          <w:p w14:paraId="546CC0A0">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32"/>
                <w:highlight w:val="none"/>
              </w:rPr>
              <w:t>合同金额（万元）</w:t>
            </w:r>
          </w:p>
        </w:tc>
        <w:tc>
          <w:tcPr>
            <w:tcW w:w="1025" w:type="dxa"/>
            <w:noWrap w:val="0"/>
            <w:vAlign w:val="center"/>
          </w:tcPr>
          <w:p w14:paraId="60EC61DB">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备注</w:t>
            </w:r>
          </w:p>
        </w:tc>
      </w:tr>
      <w:tr w14:paraId="200DB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771" w:type="dxa"/>
            <w:noWrap w:val="0"/>
            <w:vAlign w:val="top"/>
          </w:tcPr>
          <w:p w14:paraId="11FECE99">
            <w:pPr>
              <w:spacing w:line="360" w:lineRule="auto"/>
              <w:rPr>
                <w:rFonts w:hint="eastAsia" w:ascii="宋体" w:hAnsi="宋体" w:eastAsia="宋体" w:cs="宋体"/>
                <w:color w:val="auto"/>
                <w:szCs w:val="21"/>
                <w:highlight w:val="none"/>
              </w:rPr>
            </w:pPr>
          </w:p>
        </w:tc>
        <w:tc>
          <w:tcPr>
            <w:tcW w:w="2095" w:type="dxa"/>
            <w:noWrap w:val="0"/>
            <w:vAlign w:val="top"/>
          </w:tcPr>
          <w:p w14:paraId="739C4638">
            <w:pPr>
              <w:spacing w:line="360" w:lineRule="auto"/>
              <w:rPr>
                <w:rFonts w:hint="eastAsia" w:ascii="宋体" w:hAnsi="宋体" w:eastAsia="宋体" w:cs="宋体"/>
                <w:color w:val="auto"/>
                <w:szCs w:val="21"/>
                <w:highlight w:val="none"/>
              </w:rPr>
            </w:pPr>
          </w:p>
        </w:tc>
        <w:tc>
          <w:tcPr>
            <w:tcW w:w="1150" w:type="dxa"/>
            <w:noWrap w:val="0"/>
            <w:vAlign w:val="top"/>
          </w:tcPr>
          <w:p w14:paraId="22A00D62">
            <w:pPr>
              <w:spacing w:line="360" w:lineRule="auto"/>
              <w:rPr>
                <w:rFonts w:hint="eastAsia" w:ascii="宋体" w:hAnsi="宋体" w:eastAsia="宋体" w:cs="宋体"/>
                <w:color w:val="auto"/>
                <w:szCs w:val="21"/>
                <w:highlight w:val="none"/>
              </w:rPr>
            </w:pPr>
          </w:p>
        </w:tc>
        <w:tc>
          <w:tcPr>
            <w:tcW w:w="1075" w:type="dxa"/>
            <w:noWrap w:val="0"/>
            <w:vAlign w:val="top"/>
          </w:tcPr>
          <w:p w14:paraId="7A7060CB">
            <w:pPr>
              <w:spacing w:line="360" w:lineRule="auto"/>
              <w:rPr>
                <w:rFonts w:hint="eastAsia" w:ascii="宋体" w:hAnsi="宋体" w:eastAsia="宋体" w:cs="宋体"/>
                <w:color w:val="auto"/>
                <w:szCs w:val="21"/>
                <w:highlight w:val="none"/>
              </w:rPr>
            </w:pPr>
          </w:p>
        </w:tc>
        <w:tc>
          <w:tcPr>
            <w:tcW w:w="800" w:type="dxa"/>
            <w:noWrap w:val="0"/>
            <w:vAlign w:val="top"/>
          </w:tcPr>
          <w:p w14:paraId="78B7C2D3">
            <w:pPr>
              <w:spacing w:line="360" w:lineRule="auto"/>
              <w:rPr>
                <w:rFonts w:hint="eastAsia" w:ascii="宋体" w:hAnsi="宋体" w:eastAsia="宋体" w:cs="宋体"/>
                <w:color w:val="auto"/>
                <w:szCs w:val="21"/>
                <w:highlight w:val="none"/>
              </w:rPr>
            </w:pPr>
          </w:p>
        </w:tc>
        <w:tc>
          <w:tcPr>
            <w:tcW w:w="1900" w:type="dxa"/>
            <w:noWrap w:val="0"/>
            <w:vAlign w:val="top"/>
          </w:tcPr>
          <w:p w14:paraId="3AC54632">
            <w:pPr>
              <w:spacing w:line="360" w:lineRule="auto"/>
              <w:rPr>
                <w:rFonts w:hint="eastAsia" w:ascii="宋体" w:hAnsi="宋体" w:eastAsia="宋体" w:cs="宋体"/>
                <w:color w:val="auto"/>
                <w:szCs w:val="21"/>
                <w:highlight w:val="none"/>
              </w:rPr>
            </w:pPr>
          </w:p>
        </w:tc>
        <w:tc>
          <w:tcPr>
            <w:tcW w:w="1025" w:type="dxa"/>
            <w:noWrap w:val="0"/>
            <w:vAlign w:val="top"/>
          </w:tcPr>
          <w:p w14:paraId="0F0A54B8">
            <w:pPr>
              <w:spacing w:line="360" w:lineRule="auto"/>
              <w:rPr>
                <w:rFonts w:hint="eastAsia" w:ascii="宋体" w:hAnsi="宋体" w:eastAsia="宋体" w:cs="宋体"/>
                <w:color w:val="auto"/>
                <w:szCs w:val="21"/>
                <w:highlight w:val="none"/>
              </w:rPr>
            </w:pPr>
          </w:p>
        </w:tc>
      </w:tr>
      <w:tr w14:paraId="3DAE2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771" w:type="dxa"/>
            <w:noWrap w:val="0"/>
            <w:vAlign w:val="top"/>
          </w:tcPr>
          <w:p w14:paraId="45C23298">
            <w:pPr>
              <w:spacing w:line="360" w:lineRule="auto"/>
              <w:rPr>
                <w:rFonts w:hint="eastAsia" w:ascii="宋体" w:hAnsi="宋体" w:eastAsia="宋体" w:cs="宋体"/>
                <w:color w:val="auto"/>
                <w:szCs w:val="21"/>
                <w:highlight w:val="none"/>
              </w:rPr>
            </w:pPr>
          </w:p>
        </w:tc>
        <w:tc>
          <w:tcPr>
            <w:tcW w:w="2095" w:type="dxa"/>
            <w:noWrap w:val="0"/>
            <w:vAlign w:val="top"/>
          </w:tcPr>
          <w:p w14:paraId="7062E4B5">
            <w:pPr>
              <w:spacing w:line="360" w:lineRule="auto"/>
              <w:rPr>
                <w:rFonts w:hint="eastAsia" w:ascii="宋体" w:hAnsi="宋体" w:eastAsia="宋体" w:cs="宋体"/>
                <w:color w:val="auto"/>
                <w:szCs w:val="21"/>
                <w:highlight w:val="none"/>
              </w:rPr>
            </w:pPr>
          </w:p>
        </w:tc>
        <w:tc>
          <w:tcPr>
            <w:tcW w:w="1150" w:type="dxa"/>
            <w:noWrap w:val="0"/>
            <w:vAlign w:val="top"/>
          </w:tcPr>
          <w:p w14:paraId="1B52647F">
            <w:pPr>
              <w:spacing w:line="360" w:lineRule="auto"/>
              <w:rPr>
                <w:rFonts w:hint="eastAsia" w:ascii="宋体" w:hAnsi="宋体" w:eastAsia="宋体" w:cs="宋体"/>
                <w:color w:val="auto"/>
                <w:szCs w:val="21"/>
                <w:highlight w:val="none"/>
              </w:rPr>
            </w:pPr>
          </w:p>
        </w:tc>
        <w:tc>
          <w:tcPr>
            <w:tcW w:w="1075" w:type="dxa"/>
            <w:noWrap w:val="0"/>
            <w:vAlign w:val="top"/>
          </w:tcPr>
          <w:p w14:paraId="4E277EFF">
            <w:pPr>
              <w:spacing w:line="360" w:lineRule="auto"/>
              <w:rPr>
                <w:rFonts w:hint="eastAsia" w:ascii="宋体" w:hAnsi="宋体" w:eastAsia="宋体" w:cs="宋体"/>
                <w:color w:val="auto"/>
                <w:szCs w:val="21"/>
                <w:highlight w:val="none"/>
              </w:rPr>
            </w:pPr>
          </w:p>
        </w:tc>
        <w:tc>
          <w:tcPr>
            <w:tcW w:w="800" w:type="dxa"/>
            <w:noWrap w:val="0"/>
            <w:vAlign w:val="top"/>
          </w:tcPr>
          <w:p w14:paraId="0861DC57">
            <w:pPr>
              <w:spacing w:line="360" w:lineRule="auto"/>
              <w:rPr>
                <w:rFonts w:hint="eastAsia" w:ascii="宋体" w:hAnsi="宋体" w:eastAsia="宋体" w:cs="宋体"/>
                <w:color w:val="auto"/>
                <w:szCs w:val="21"/>
                <w:highlight w:val="none"/>
              </w:rPr>
            </w:pPr>
          </w:p>
        </w:tc>
        <w:tc>
          <w:tcPr>
            <w:tcW w:w="1900" w:type="dxa"/>
            <w:noWrap w:val="0"/>
            <w:vAlign w:val="top"/>
          </w:tcPr>
          <w:p w14:paraId="649ED612">
            <w:pPr>
              <w:spacing w:line="360" w:lineRule="auto"/>
              <w:rPr>
                <w:rFonts w:hint="eastAsia" w:ascii="宋体" w:hAnsi="宋体" w:eastAsia="宋体" w:cs="宋体"/>
                <w:color w:val="auto"/>
                <w:szCs w:val="21"/>
                <w:highlight w:val="none"/>
              </w:rPr>
            </w:pPr>
          </w:p>
        </w:tc>
        <w:tc>
          <w:tcPr>
            <w:tcW w:w="1025" w:type="dxa"/>
            <w:noWrap w:val="0"/>
            <w:vAlign w:val="top"/>
          </w:tcPr>
          <w:p w14:paraId="6075640C">
            <w:pPr>
              <w:spacing w:line="360" w:lineRule="auto"/>
              <w:rPr>
                <w:rFonts w:hint="eastAsia" w:ascii="宋体" w:hAnsi="宋体" w:eastAsia="宋体" w:cs="宋体"/>
                <w:color w:val="auto"/>
                <w:szCs w:val="21"/>
                <w:highlight w:val="none"/>
              </w:rPr>
            </w:pPr>
          </w:p>
        </w:tc>
      </w:tr>
      <w:tr w14:paraId="42C1B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771" w:type="dxa"/>
            <w:noWrap w:val="0"/>
            <w:vAlign w:val="top"/>
          </w:tcPr>
          <w:p w14:paraId="5D763EF2">
            <w:pPr>
              <w:spacing w:line="360" w:lineRule="auto"/>
              <w:rPr>
                <w:rFonts w:hint="eastAsia" w:ascii="宋体" w:hAnsi="宋体" w:eastAsia="宋体" w:cs="宋体"/>
                <w:color w:val="auto"/>
                <w:szCs w:val="21"/>
                <w:highlight w:val="none"/>
              </w:rPr>
            </w:pPr>
          </w:p>
        </w:tc>
        <w:tc>
          <w:tcPr>
            <w:tcW w:w="2095" w:type="dxa"/>
            <w:noWrap w:val="0"/>
            <w:vAlign w:val="top"/>
          </w:tcPr>
          <w:p w14:paraId="3F0BFBCB">
            <w:pPr>
              <w:spacing w:line="360" w:lineRule="auto"/>
              <w:rPr>
                <w:rFonts w:hint="eastAsia" w:ascii="宋体" w:hAnsi="宋体" w:eastAsia="宋体" w:cs="宋体"/>
                <w:color w:val="auto"/>
                <w:szCs w:val="21"/>
                <w:highlight w:val="none"/>
              </w:rPr>
            </w:pPr>
          </w:p>
        </w:tc>
        <w:tc>
          <w:tcPr>
            <w:tcW w:w="1150" w:type="dxa"/>
            <w:noWrap w:val="0"/>
            <w:vAlign w:val="top"/>
          </w:tcPr>
          <w:p w14:paraId="50BA0EBE">
            <w:pPr>
              <w:spacing w:line="360" w:lineRule="auto"/>
              <w:rPr>
                <w:rFonts w:hint="eastAsia" w:ascii="宋体" w:hAnsi="宋体" w:eastAsia="宋体" w:cs="宋体"/>
                <w:color w:val="auto"/>
                <w:szCs w:val="21"/>
                <w:highlight w:val="none"/>
              </w:rPr>
            </w:pPr>
          </w:p>
        </w:tc>
        <w:tc>
          <w:tcPr>
            <w:tcW w:w="1075" w:type="dxa"/>
            <w:noWrap w:val="0"/>
            <w:vAlign w:val="top"/>
          </w:tcPr>
          <w:p w14:paraId="76F29CD8">
            <w:pPr>
              <w:spacing w:line="360" w:lineRule="auto"/>
              <w:rPr>
                <w:rFonts w:hint="eastAsia" w:ascii="宋体" w:hAnsi="宋体" w:eastAsia="宋体" w:cs="宋体"/>
                <w:color w:val="auto"/>
                <w:szCs w:val="21"/>
                <w:highlight w:val="none"/>
              </w:rPr>
            </w:pPr>
          </w:p>
        </w:tc>
        <w:tc>
          <w:tcPr>
            <w:tcW w:w="800" w:type="dxa"/>
            <w:noWrap w:val="0"/>
            <w:vAlign w:val="top"/>
          </w:tcPr>
          <w:p w14:paraId="75BE946C">
            <w:pPr>
              <w:spacing w:line="360" w:lineRule="auto"/>
              <w:rPr>
                <w:rFonts w:hint="eastAsia" w:ascii="宋体" w:hAnsi="宋体" w:eastAsia="宋体" w:cs="宋体"/>
                <w:color w:val="auto"/>
                <w:szCs w:val="21"/>
                <w:highlight w:val="none"/>
              </w:rPr>
            </w:pPr>
          </w:p>
        </w:tc>
        <w:tc>
          <w:tcPr>
            <w:tcW w:w="1900" w:type="dxa"/>
            <w:noWrap w:val="0"/>
            <w:vAlign w:val="top"/>
          </w:tcPr>
          <w:p w14:paraId="3E4AD399">
            <w:pPr>
              <w:spacing w:line="360" w:lineRule="auto"/>
              <w:rPr>
                <w:rFonts w:hint="eastAsia" w:ascii="宋体" w:hAnsi="宋体" w:eastAsia="宋体" w:cs="宋体"/>
                <w:color w:val="auto"/>
                <w:szCs w:val="21"/>
                <w:highlight w:val="none"/>
              </w:rPr>
            </w:pPr>
          </w:p>
        </w:tc>
        <w:tc>
          <w:tcPr>
            <w:tcW w:w="1025" w:type="dxa"/>
            <w:noWrap w:val="0"/>
            <w:vAlign w:val="top"/>
          </w:tcPr>
          <w:p w14:paraId="01013A18">
            <w:pPr>
              <w:spacing w:line="360" w:lineRule="auto"/>
              <w:rPr>
                <w:rFonts w:hint="eastAsia" w:ascii="宋体" w:hAnsi="宋体" w:eastAsia="宋体" w:cs="宋体"/>
                <w:color w:val="auto"/>
                <w:szCs w:val="21"/>
                <w:highlight w:val="none"/>
              </w:rPr>
            </w:pPr>
          </w:p>
        </w:tc>
      </w:tr>
    </w:tbl>
    <w:p w14:paraId="54B0B0E6">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w:t>
      </w:r>
    </w:p>
    <w:p w14:paraId="4CEB25F8">
      <w:pPr>
        <w:numPr>
          <w:ilvl w:val="0"/>
          <w:numId w:val="3"/>
        </w:num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供应商可根据实际情况拓展本表。</w:t>
      </w:r>
    </w:p>
    <w:p w14:paraId="40DD6119">
      <w:pPr>
        <w:numPr>
          <w:ilvl w:val="0"/>
          <w:numId w:val="3"/>
        </w:num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须提供中标通知书或合同等相关证明材料，且能证明业绩工作内容</w:t>
      </w:r>
    </w:p>
    <w:p w14:paraId="29C5F0A4">
      <w:pPr>
        <w:spacing w:line="480" w:lineRule="auto"/>
        <w:rPr>
          <w:rFonts w:hint="eastAsia" w:ascii="宋体" w:hAnsi="宋体" w:cs="宋体"/>
          <w:color w:val="auto"/>
          <w:szCs w:val="21"/>
          <w:highlight w:val="none"/>
        </w:rPr>
      </w:pPr>
    </w:p>
    <w:p w14:paraId="6F508B9D">
      <w:pPr>
        <w:spacing w:line="480" w:lineRule="auto"/>
        <w:rPr>
          <w:rFonts w:hint="eastAsia" w:ascii="宋体" w:hAnsi="宋体" w:cs="宋体"/>
          <w:color w:val="auto"/>
          <w:szCs w:val="21"/>
          <w:highlight w:val="none"/>
        </w:rPr>
      </w:pPr>
    </w:p>
    <w:p w14:paraId="5E508743">
      <w:pPr>
        <w:spacing w:line="480" w:lineRule="auto"/>
        <w:rPr>
          <w:rFonts w:hint="eastAsia" w:ascii="宋体" w:hAnsi="宋体" w:cs="宋体"/>
          <w:color w:val="auto"/>
          <w:szCs w:val="21"/>
          <w:highlight w:val="none"/>
        </w:rPr>
      </w:pPr>
    </w:p>
    <w:p w14:paraId="21859E9D">
      <w:pPr>
        <w:spacing w:line="480" w:lineRule="auto"/>
        <w:rPr>
          <w:rFonts w:hint="eastAsia" w:ascii="宋体" w:hAnsi="宋体" w:cs="宋体"/>
          <w:color w:val="auto"/>
          <w:szCs w:val="21"/>
          <w:highlight w:val="none"/>
        </w:rPr>
      </w:pPr>
    </w:p>
    <w:p w14:paraId="1A4A954B">
      <w:pPr>
        <w:autoSpaceDE w:val="0"/>
        <w:autoSpaceDN w:val="0"/>
        <w:adjustRightInd w:val="0"/>
        <w:spacing w:line="480" w:lineRule="auto"/>
        <w:jc w:val="left"/>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供应商：</w:t>
      </w:r>
      <w:r>
        <w:rPr>
          <w:rFonts w:hint="eastAsia" w:asciiTheme="minorEastAsia" w:hAnsiTheme="minorEastAsia" w:eastAsiaTheme="minorEastAsia"/>
          <w:bCs/>
          <w:color w:val="auto"/>
          <w:szCs w:val="21"/>
          <w:highlight w:val="none"/>
          <w:u w:val="single"/>
        </w:rPr>
        <w:t xml:space="preserve">          </w:t>
      </w:r>
      <w:r>
        <w:rPr>
          <w:rFonts w:asciiTheme="minorEastAsia" w:hAnsiTheme="minorEastAsia" w:eastAsiaTheme="minorEastAsia"/>
          <w:bCs/>
          <w:color w:val="auto"/>
          <w:szCs w:val="21"/>
          <w:highlight w:val="none"/>
          <w:u w:val="single"/>
        </w:rPr>
        <w:t xml:space="preserve">     </w:t>
      </w:r>
      <w:r>
        <w:rPr>
          <w:rFonts w:hint="eastAsia" w:asciiTheme="minorEastAsia" w:hAnsiTheme="minorEastAsia" w:eastAsiaTheme="minorEastAsia"/>
          <w:bCs/>
          <w:color w:val="auto"/>
          <w:szCs w:val="21"/>
          <w:highlight w:val="none"/>
          <w:u w:val="single"/>
        </w:rPr>
        <w:t>（</w:t>
      </w:r>
      <w:r>
        <w:rPr>
          <w:rFonts w:hint="eastAsia" w:asciiTheme="minorEastAsia" w:hAnsiTheme="minorEastAsia" w:eastAsiaTheme="minorEastAsia"/>
          <w:color w:val="auto"/>
          <w:szCs w:val="21"/>
          <w:highlight w:val="none"/>
          <w:u w:val="single"/>
        </w:rPr>
        <w:t>电子签章</w:t>
      </w:r>
      <w:r>
        <w:rPr>
          <w:rFonts w:hint="eastAsia" w:asciiTheme="minorEastAsia" w:hAnsiTheme="minorEastAsia" w:eastAsiaTheme="minorEastAsia"/>
          <w:bCs/>
          <w:color w:val="auto"/>
          <w:szCs w:val="21"/>
          <w:highlight w:val="none"/>
          <w:u w:val="single"/>
        </w:rPr>
        <w:t>）</w:t>
      </w:r>
    </w:p>
    <w:p w14:paraId="59041AD6">
      <w:pPr>
        <w:autoSpaceDE w:val="0"/>
        <w:autoSpaceDN w:val="0"/>
        <w:adjustRightInd w:val="0"/>
        <w:spacing w:line="480" w:lineRule="auto"/>
        <w:jc w:val="left"/>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法定代表人：</w:t>
      </w:r>
      <w:r>
        <w:rPr>
          <w:rFonts w:hint="eastAsia" w:asciiTheme="minorEastAsia" w:hAnsiTheme="minorEastAsia" w:eastAsiaTheme="minorEastAsia"/>
          <w:bCs/>
          <w:color w:val="auto"/>
          <w:szCs w:val="21"/>
          <w:highlight w:val="none"/>
          <w:u w:val="single"/>
        </w:rPr>
        <w:t xml:space="preserve">     </w:t>
      </w:r>
      <w:r>
        <w:rPr>
          <w:rFonts w:asciiTheme="minorEastAsia" w:hAnsiTheme="minorEastAsia" w:eastAsiaTheme="minorEastAsia"/>
          <w:bCs/>
          <w:color w:val="auto"/>
          <w:szCs w:val="21"/>
          <w:highlight w:val="none"/>
          <w:u w:val="single"/>
        </w:rPr>
        <w:t xml:space="preserve">    </w:t>
      </w:r>
      <w:r>
        <w:rPr>
          <w:rFonts w:hint="eastAsia" w:asciiTheme="minorEastAsia" w:hAnsiTheme="minorEastAsia" w:eastAsiaTheme="minorEastAsia"/>
          <w:bCs/>
          <w:color w:val="auto"/>
          <w:szCs w:val="21"/>
          <w:highlight w:val="none"/>
          <w:u w:val="single"/>
        </w:rPr>
        <w:t xml:space="preserve">   (电子签章)</w:t>
      </w:r>
      <w:r>
        <w:rPr>
          <w:rFonts w:asciiTheme="minorEastAsia" w:hAnsiTheme="minorEastAsia" w:eastAsiaTheme="minorEastAsia"/>
          <w:bCs/>
          <w:color w:val="auto"/>
          <w:szCs w:val="21"/>
          <w:highlight w:val="none"/>
          <w:u w:val="single"/>
        </w:rPr>
        <w:t xml:space="preserve"> </w:t>
      </w:r>
    </w:p>
    <w:p w14:paraId="6500D796">
      <w:pPr>
        <w:autoSpaceDE w:val="0"/>
        <w:autoSpaceDN w:val="0"/>
        <w:adjustRightInd w:val="0"/>
        <w:spacing w:line="480" w:lineRule="auto"/>
        <w:jc w:val="left"/>
        <w:rPr>
          <w:rFonts w:hint="eastAsia" w:ascii="宋体" w:hAnsi="宋体"/>
          <w:bCs/>
          <w:color w:val="auto"/>
          <w:szCs w:val="21"/>
          <w:highlight w:val="none"/>
        </w:rPr>
      </w:pPr>
      <w:r>
        <w:rPr>
          <w:rFonts w:hint="eastAsia" w:asciiTheme="minorEastAsia" w:hAnsiTheme="minorEastAsia" w:eastAsiaTheme="minorEastAsia"/>
          <w:bCs/>
          <w:color w:val="auto"/>
          <w:szCs w:val="21"/>
          <w:highlight w:val="none"/>
        </w:rPr>
        <w:t>日期：</w:t>
      </w:r>
      <w:r>
        <w:rPr>
          <w:rFonts w:hint="eastAsia" w:asciiTheme="minorEastAsia" w:hAnsiTheme="minorEastAsia" w:eastAsiaTheme="minorEastAsia"/>
          <w:bCs/>
          <w:color w:val="auto"/>
          <w:szCs w:val="21"/>
          <w:highlight w:val="none"/>
          <w:u w:val="single"/>
        </w:rPr>
        <w:t xml:space="preserve">      </w:t>
      </w:r>
      <w:r>
        <w:rPr>
          <w:rFonts w:hint="eastAsia" w:asciiTheme="minorEastAsia" w:hAnsiTheme="minorEastAsia" w:eastAsiaTheme="minorEastAsia"/>
          <w:bCs/>
          <w:color w:val="auto"/>
          <w:szCs w:val="21"/>
          <w:highlight w:val="none"/>
        </w:rPr>
        <w:t>年</w:t>
      </w:r>
      <w:r>
        <w:rPr>
          <w:rFonts w:hint="eastAsia" w:asciiTheme="minorEastAsia" w:hAnsiTheme="minorEastAsia" w:eastAsiaTheme="minorEastAsia"/>
          <w:bCs/>
          <w:color w:val="auto"/>
          <w:szCs w:val="21"/>
          <w:highlight w:val="none"/>
          <w:u w:val="single"/>
        </w:rPr>
        <w:t xml:space="preserve">     </w:t>
      </w:r>
      <w:r>
        <w:rPr>
          <w:rFonts w:hint="eastAsia" w:asciiTheme="minorEastAsia" w:hAnsiTheme="minorEastAsia" w:eastAsiaTheme="minorEastAsia"/>
          <w:bCs/>
          <w:color w:val="auto"/>
          <w:szCs w:val="21"/>
          <w:highlight w:val="none"/>
        </w:rPr>
        <w:t>月</w:t>
      </w:r>
      <w:r>
        <w:rPr>
          <w:rFonts w:hint="eastAsia" w:asciiTheme="minorEastAsia" w:hAnsiTheme="minorEastAsia" w:eastAsiaTheme="minorEastAsia"/>
          <w:bCs/>
          <w:color w:val="auto"/>
          <w:szCs w:val="21"/>
          <w:highlight w:val="none"/>
          <w:u w:val="single"/>
        </w:rPr>
        <w:t xml:space="preserve">      </w:t>
      </w:r>
      <w:r>
        <w:rPr>
          <w:rFonts w:hint="eastAsia" w:asciiTheme="minorEastAsia" w:hAnsiTheme="minorEastAsia" w:eastAsiaTheme="minorEastAsia"/>
          <w:bCs/>
          <w:color w:val="auto"/>
          <w:szCs w:val="21"/>
          <w:highlight w:val="none"/>
        </w:rPr>
        <w:t>日</w:t>
      </w:r>
    </w:p>
    <w:p w14:paraId="0790608C">
      <w:pPr>
        <w:bidi w:val="0"/>
        <w:rPr>
          <w:rFonts w:hint="eastAsia"/>
          <w:highlight w:val="none"/>
        </w:rPr>
      </w:pPr>
      <w:r>
        <w:rPr>
          <w:rFonts w:hint="eastAsia"/>
          <w:highlight w:val="none"/>
        </w:rPr>
        <w:br w:type="page"/>
      </w:r>
    </w:p>
    <w:p w14:paraId="34E071A5">
      <w:pPr>
        <w:spacing w:line="360" w:lineRule="auto"/>
        <w:jc w:val="center"/>
        <w:outlineLvl w:val="2"/>
        <w:rPr>
          <w:rFonts w:hint="eastAsia" w:ascii="宋体" w:hAnsi="宋体"/>
          <w:b/>
          <w:color w:val="auto"/>
          <w:sz w:val="28"/>
          <w:szCs w:val="28"/>
          <w:highlight w:val="none"/>
        </w:rPr>
      </w:pPr>
      <w:r>
        <w:rPr>
          <w:rFonts w:hint="eastAsia" w:asciiTheme="minorEastAsia" w:hAnsiTheme="minorEastAsia" w:eastAsiaTheme="minorEastAsia"/>
          <w:b/>
          <w:color w:val="auto"/>
          <w:sz w:val="28"/>
          <w:szCs w:val="28"/>
          <w:highlight w:val="none"/>
        </w:rPr>
        <w:t>（</w:t>
      </w:r>
      <w:r>
        <w:rPr>
          <w:rFonts w:hint="eastAsia" w:asciiTheme="minorEastAsia" w:hAnsiTheme="minorEastAsia" w:eastAsiaTheme="minorEastAsia"/>
          <w:b/>
          <w:color w:val="auto"/>
          <w:sz w:val="28"/>
          <w:szCs w:val="28"/>
          <w:highlight w:val="none"/>
          <w:lang w:val="en-US" w:eastAsia="zh-CN"/>
        </w:rPr>
        <w:t>七</w:t>
      </w:r>
      <w:r>
        <w:rPr>
          <w:rFonts w:hint="eastAsia" w:asciiTheme="minorEastAsia" w:hAnsiTheme="minorEastAsia" w:eastAsiaTheme="minorEastAsia"/>
          <w:b/>
          <w:color w:val="auto"/>
          <w:sz w:val="28"/>
          <w:szCs w:val="28"/>
          <w:highlight w:val="none"/>
        </w:rPr>
        <w:t>）</w:t>
      </w:r>
      <w:r>
        <w:rPr>
          <w:rFonts w:hint="eastAsia" w:ascii="宋体" w:hAnsi="宋体"/>
          <w:b/>
          <w:color w:val="auto"/>
          <w:sz w:val="28"/>
          <w:szCs w:val="28"/>
          <w:highlight w:val="none"/>
        </w:rPr>
        <w:t>类似项目业绩</w:t>
      </w:r>
    </w:p>
    <w:tbl>
      <w:tblPr>
        <w:tblStyle w:val="55"/>
        <w:tblW w:w="88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1"/>
        <w:gridCol w:w="2095"/>
        <w:gridCol w:w="1150"/>
        <w:gridCol w:w="1075"/>
        <w:gridCol w:w="800"/>
        <w:gridCol w:w="1900"/>
        <w:gridCol w:w="1025"/>
      </w:tblGrid>
      <w:tr w14:paraId="0DC8C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771" w:type="dxa"/>
            <w:noWrap w:val="0"/>
            <w:vAlign w:val="center"/>
          </w:tcPr>
          <w:p w14:paraId="45FBDA3E">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序号</w:t>
            </w:r>
          </w:p>
        </w:tc>
        <w:tc>
          <w:tcPr>
            <w:tcW w:w="2095" w:type="dxa"/>
            <w:noWrap w:val="0"/>
            <w:vAlign w:val="center"/>
          </w:tcPr>
          <w:p w14:paraId="5F01F793">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类似项目业绩名称</w:t>
            </w:r>
          </w:p>
        </w:tc>
        <w:tc>
          <w:tcPr>
            <w:tcW w:w="1150" w:type="dxa"/>
            <w:noWrap w:val="0"/>
            <w:vAlign w:val="center"/>
          </w:tcPr>
          <w:p w14:paraId="7ACE96BC">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用户单位</w:t>
            </w:r>
          </w:p>
        </w:tc>
        <w:tc>
          <w:tcPr>
            <w:tcW w:w="1075" w:type="dxa"/>
            <w:noWrap w:val="0"/>
            <w:vAlign w:val="center"/>
          </w:tcPr>
          <w:p w14:paraId="0D5522ED">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联系人</w:t>
            </w:r>
          </w:p>
        </w:tc>
        <w:tc>
          <w:tcPr>
            <w:tcW w:w="800" w:type="dxa"/>
            <w:noWrap w:val="0"/>
            <w:vAlign w:val="center"/>
          </w:tcPr>
          <w:p w14:paraId="009F8E5C">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电话</w:t>
            </w:r>
          </w:p>
        </w:tc>
        <w:tc>
          <w:tcPr>
            <w:tcW w:w="1900" w:type="dxa"/>
            <w:noWrap w:val="0"/>
            <w:vAlign w:val="center"/>
          </w:tcPr>
          <w:p w14:paraId="35049614">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32"/>
                <w:highlight w:val="none"/>
              </w:rPr>
              <w:t>合同金额（万元）</w:t>
            </w:r>
          </w:p>
        </w:tc>
        <w:tc>
          <w:tcPr>
            <w:tcW w:w="1025" w:type="dxa"/>
            <w:noWrap w:val="0"/>
            <w:vAlign w:val="center"/>
          </w:tcPr>
          <w:p w14:paraId="3728D7C8">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备注</w:t>
            </w:r>
          </w:p>
        </w:tc>
      </w:tr>
      <w:tr w14:paraId="138A3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771" w:type="dxa"/>
            <w:noWrap w:val="0"/>
            <w:vAlign w:val="top"/>
          </w:tcPr>
          <w:p w14:paraId="7A4948C5">
            <w:pPr>
              <w:spacing w:line="360" w:lineRule="auto"/>
              <w:rPr>
                <w:rFonts w:hint="eastAsia" w:ascii="宋体" w:hAnsi="宋体" w:eastAsia="宋体" w:cs="宋体"/>
                <w:color w:val="auto"/>
                <w:szCs w:val="21"/>
                <w:highlight w:val="none"/>
              </w:rPr>
            </w:pPr>
          </w:p>
        </w:tc>
        <w:tc>
          <w:tcPr>
            <w:tcW w:w="2095" w:type="dxa"/>
            <w:noWrap w:val="0"/>
            <w:vAlign w:val="top"/>
          </w:tcPr>
          <w:p w14:paraId="6C5FB1A2">
            <w:pPr>
              <w:spacing w:line="360" w:lineRule="auto"/>
              <w:rPr>
                <w:rFonts w:hint="eastAsia" w:ascii="宋体" w:hAnsi="宋体" w:eastAsia="宋体" w:cs="宋体"/>
                <w:color w:val="auto"/>
                <w:szCs w:val="21"/>
                <w:highlight w:val="none"/>
              </w:rPr>
            </w:pPr>
          </w:p>
        </w:tc>
        <w:tc>
          <w:tcPr>
            <w:tcW w:w="1150" w:type="dxa"/>
            <w:noWrap w:val="0"/>
            <w:vAlign w:val="top"/>
          </w:tcPr>
          <w:p w14:paraId="2844DFFE">
            <w:pPr>
              <w:spacing w:line="360" w:lineRule="auto"/>
              <w:rPr>
                <w:rFonts w:hint="eastAsia" w:ascii="宋体" w:hAnsi="宋体" w:eastAsia="宋体" w:cs="宋体"/>
                <w:color w:val="auto"/>
                <w:szCs w:val="21"/>
                <w:highlight w:val="none"/>
              </w:rPr>
            </w:pPr>
          </w:p>
        </w:tc>
        <w:tc>
          <w:tcPr>
            <w:tcW w:w="1075" w:type="dxa"/>
            <w:noWrap w:val="0"/>
            <w:vAlign w:val="top"/>
          </w:tcPr>
          <w:p w14:paraId="34283F5F">
            <w:pPr>
              <w:spacing w:line="360" w:lineRule="auto"/>
              <w:rPr>
                <w:rFonts w:hint="eastAsia" w:ascii="宋体" w:hAnsi="宋体" w:eastAsia="宋体" w:cs="宋体"/>
                <w:color w:val="auto"/>
                <w:szCs w:val="21"/>
                <w:highlight w:val="none"/>
              </w:rPr>
            </w:pPr>
          </w:p>
        </w:tc>
        <w:tc>
          <w:tcPr>
            <w:tcW w:w="800" w:type="dxa"/>
            <w:noWrap w:val="0"/>
            <w:vAlign w:val="top"/>
          </w:tcPr>
          <w:p w14:paraId="5EBF12C7">
            <w:pPr>
              <w:spacing w:line="360" w:lineRule="auto"/>
              <w:rPr>
                <w:rFonts w:hint="eastAsia" w:ascii="宋体" w:hAnsi="宋体" w:eastAsia="宋体" w:cs="宋体"/>
                <w:color w:val="auto"/>
                <w:szCs w:val="21"/>
                <w:highlight w:val="none"/>
              </w:rPr>
            </w:pPr>
          </w:p>
        </w:tc>
        <w:tc>
          <w:tcPr>
            <w:tcW w:w="1900" w:type="dxa"/>
            <w:noWrap w:val="0"/>
            <w:vAlign w:val="top"/>
          </w:tcPr>
          <w:p w14:paraId="4C05E6F9">
            <w:pPr>
              <w:spacing w:line="360" w:lineRule="auto"/>
              <w:rPr>
                <w:rFonts w:hint="eastAsia" w:ascii="宋体" w:hAnsi="宋体" w:eastAsia="宋体" w:cs="宋体"/>
                <w:color w:val="auto"/>
                <w:szCs w:val="21"/>
                <w:highlight w:val="none"/>
              </w:rPr>
            </w:pPr>
          </w:p>
        </w:tc>
        <w:tc>
          <w:tcPr>
            <w:tcW w:w="1025" w:type="dxa"/>
            <w:noWrap w:val="0"/>
            <w:vAlign w:val="top"/>
          </w:tcPr>
          <w:p w14:paraId="748F500C">
            <w:pPr>
              <w:spacing w:line="360" w:lineRule="auto"/>
              <w:rPr>
                <w:rFonts w:hint="eastAsia" w:ascii="宋体" w:hAnsi="宋体" w:eastAsia="宋体" w:cs="宋体"/>
                <w:color w:val="auto"/>
                <w:szCs w:val="21"/>
                <w:highlight w:val="none"/>
              </w:rPr>
            </w:pPr>
          </w:p>
        </w:tc>
      </w:tr>
      <w:tr w14:paraId="770E5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771" w:type="dxa"/>
            <w:noWrap w:val="0"/>
            <w:vAlign w:val="top"/>
          </w:tcPr>
          <w:p w14:paraId="2CA9AC09">
            <w:pPr>
              <w:spacing w:line="360" w:lineRule="auto"/>
              <w:rPr>
                <w:rFonts w:hint="eastAsia" w:ascii="宋体" w:hAnsi="宋体" w:eastAsia="宋体" w:cs="宋体"/>
                <w:color w:val="auto"/>
                <w:szCs w:val="21"/>
                <w:highlight w:val="none"/>
              </w:rPr>
            </w:pPr>
          </w:p>
        </w:tc>
        <w:tc>
          <w:tcPr>
            <w:tcW w:w="2095" w:type="dxa"/>
            <w:noWrap w:val="0"/>
            <w:vAlign w:val="top"/>
          </w:tcPr>
          <w:p w14:paraId="48E80967">
            <w:pPr>
              <w:spacing w:line="360" w:lineRule="auto"/>
              <w:rPr>
                <w:rFonts w:hint="eastAsia" w:ascii="宋体" w:hAnsi="宋体" w:eastAsia="宋体" w:cs="宋体"/>
                <w:color w:val="auto"/>
                <w:szCs w:val="21"/>
                <w:highlight w:val="none"/>
              </w:rPr>
            </w:pPr>
          </w:p>
        </w:tc>
        <w:tc>
          <w:tcPr>
            <w:tcW w:w="1150" w:type="dxa"/>
            <w:noWrap w:val="0"/>
            <w:vAlign w:val="top"/>
          </w:tcPr>
          <w:p w14:paraId="1CFE4E16">
            <w:pPr>
              <w:spacing w:line="360" w:lineRule="auto"/>
              <w:rPr>
                <w:rFonts w:hint="eastAsia" w:ascii="宋体" w:hAnsi="宋体" w:eastAsia="宋体" w:cs="宋体"/>
                <w:color w:val="auto"/>
                <w:szCs w:val="21"/>
                <w:highlight w:val="none"/>
              </w:rPr>
            </w:pPr>
          </w:p>
        </w:tc>
        <w:tc>
          <w:tcPr>
            <w:tcW w:w="1075" w:type="dxa"/>
            <w:noWrap w:val="0"/>
            <w:vAlign w:val="top"/>
          </w:tcPr>
          <w:p w14:paraId="454C1019">
            <w:pPr>
              <w:spacing w:line="360" w:lineRule="auto"/>
              <w:rPr>
                <w:rFonts w:hint="eastAsia" w:ascii="宋体" w:hAnsi="宋体" w:eastAsia="宋体" w:cs="宋体"/>
                <w:color w:val="auto"/>
                <w:szCs w:val="21"/>
                <w:highlight w:val="none"/>
              </w:rPr>
            </w:pPr>
          </w:p>
        </w:tc>
        <w:tc>
          <w:tcPr>
            <w:tcW w:w="800" w:type="dxa"/>
            <w:noWrap w:val="0"/>
            <w:vAlign w:val="top"/>
          </w:tcPr>
          <w:p w14:paraId="3F5E2BCF">
            <w:pPr>
              <w:spacing w:line="360" w:lineRule="auto"/>
              <w:rPr>
                <w:rFonts w:hint="eastAsia" w:ascii="宋体" w:hAnsi="宋体" w:eastAsia="宋体" w:cs="宋体"/>
                <w:color w:val="auto"/>
                <w:szCs w:val="21"/>
                <w:highlight w:val="none"/>
              </w:rPr>
            </w:pPr>
          </w:p>
        </w:tc>
        <w:tc>
          <w:tcPr>
            <w:tcW w:w="1900" w:type="dxa"/>
            <w:noWrap w:val="0"/>
            <w:vAlign w:val="top"/>
          </w:tcPr>
          <w:p w14:paraId="73784923">
            <w:pPr>
              <w:spacing w:line="360" w:lineRule="auto"/>
              <w:rPr>
                <w:rFonts w:hint="eastAsia" w:ascii="宋体" w:hAnsi="宋体" w:eastAsia="宋体" w:cs="宋体"/>
                <w:color w:val="auto"/>
                <w:szCs w:val="21"/>
                <w:highlight w:val="none"/>
              </w:rPr>
            </w:pPr>
          </w:p>
        </w:tc>
        <w:tc>
          <w:tcPr>
            <w:tcW w:w="1025" w:type="dxa"/>
            <w:noWrap w:val="0"/>
            <w:vAlign w:val="top"/>
          </w:tcPr>
          <w:p w14:paraId="74218E1C">
            <w:pPr>
              <w:spacing w:line="360" w:lineRule="auto"/>
              <w:rPr>
                <w:rFonts w:hint="eastAsia" w:ascii="宋体" w:hAnsi="宋体" w:eastAsia="宋体" w:cs="宋体"/>
                <w:color w:val="auto"/>
                <w:szCs w:val="21"/>
                <w:highlight w:val="none"/>
              </w:rPr>
            </w:pPr>
          </w:p>
        </w:tc>
      </w:tr>
      <w:tr w14:paraId="7DC05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771" w:type="dxa"/>
            <w:noWrap w:val="0"/>
            <w:vAlign w:val="top"/>
          </w:tcPr>
          <w:p w14:paraId="73CFD19C">
            <w:pPr>
              <w:spacing w:line="360" w:lineRule="auto"/>
              <w:rPr>
                <w:rFonts w:hint="eastAsia" w:ascii="宋体" w:hAnsi="宋体" w:eastAsia="宋体" w:cs="宋体"/>
                <w:color w:val="auto"/>
                <w:szCs w:val="21"/>
                <w:highlight w:val="none"/>
              </w:rPr>
            </w:pPr>
          </w:p>
        </w:tc>
        <w:tc>
          <w:tcPr>
            <w:tcW w:w="2095" w:type="dxa"/>
            <w:noWrap w:val="0"/>
            <w:vAlign w:val="top"/>
          </w:tcPr>
          <w:p w14:paraId="0E884716">
            <w:pPr>
              <w:spacing w:line="360" w:lineRule="auto"/>
              <w:rPr>
                <w:rFonts w:hint="eastAsia" w:ascii="宋体" w:hAnsi="宋体" w:eastAsia="宋体" w:cs="宋体"/>
                <w:color w:val="auto"/>
                <w:szCs w:val="21"/>
                <w:highlight w:val="none"/>
              </w:rPr>
            </w:pPr>
          </w:p>
        </w:tc>
        <w:tc>
          <w:tcPr>
            <w:tcW w:w="1150" w:type="dxa"/>
            <w:noWrap w:val="0"/>
            <w:vAlign w:val="top"/>
          </w:tcPr>
          <w:p w14:paraId="65FE2D5E">
            <w:pPr>
              <w:spacing w:line="360" w:lineRule="auto"/>
              <w:rPr>
                <w:rFonts w:hint="eastAsia" w:ascii="宋体" w:hAnsi="宋体" w:eastAsia="宋体" w:cs="宋体"/>
                <w:color w:val="auto"/>
                <w:szCs w:val="21"/>
                <w:highlight w:val="none"/>
              </w:rPr>
            </w:pPr>
          </w:p>
        </w:tc>
        <w:tc>
          <w:tcPr>
            <w:tcW w:w="1075" w:type="dxa"/>
            <w:noWrap w:val="0"/>
            <w:vAlign w:val="top"/>
          </w:tcPr>
          <w:p w14:paraId="5BDF65C1">
            <w:pPr>
              <w:spacing w:line="360" w:lineRule="auto"/>
              <w:rPr>
                <w:rFonts w:hint="eastAsia" w:ascii="宋体" w:hAnsi="宋体" w:eastAsia="宋体" w:cs="宋体"/>
                <w:color w:val="auto"/>
                <w:szCs w:val="21"/>
                <w:highlight w:val="none"/>
              </w:rPr>
            </w:pPr>
          </w:p>
        </w:tc>
        <w:tc>
          <w:tcPr>
            <w:tcW w:w="800" w:type="dxa"/>
            <w:noWrap w:val="0"/>
            <w:vAlign w:val="top"/>
          </w:tcPr>
          <w:p w14:paraId="079B8969">
            <w:pPr>
              <w:spacing w:line="360" w:lineRule="auto"/>
              <w:rPr>
                <w:rFonts w:hint="eastAsia" w:ascii="宋体" w:hAnsi="宋体" w:eastAsia="宋体" w:cs="宋体"/>
                <w:color w:val="auto"/>
                <w:szCs w:val="21"/>
                <w:highlight w:val="none"/>
              </w:rPr>
            </w:pPr>
          </w:p>
        </w:tc>
        <w:tc>
          <w:tcPr>
            <w:tcW w:w="1900" w:type="dxa"/>
            <w:noWrap w:val="0"/>
            <w:vAlign w:val="top"/>
          </w:tcPr>
          <w:p w14:paraId="613676FF">
            <w:pPr>
              <w:spacing w:line="360" w:lineRule="auto"/>
              <w:rPr>
                <w:rFonts w:hint="eastAsia" w:ascii="宋体" w:hAnsi="宋体" w:eastAsia="宋体" w:cs="宋体"/>
                <w:color w:val="auto"/>
                <w:szCs w:val="21"/>
                <w:highlight w:val="none"/>
              </w:rPr>
            </w:pPr>
          </w:p>
        </w:tc>
        <w:tc>
          <w:tcPr>
            <w:tcW w:w="1025" w:type="dxa"/>
            <w:noWrap w:val="0"/>
            <w:vAlign w:val="top"/>
          </w:tcPr>
          <w:p w14:paraId="092E5880">
            <w:pPr>
              <w:spacing w:line="360" w:lineRule="auto"/>
              <w:rPr>
                <w:rFonts w:hint="eastAsia" w:ascii="宋体" w:hAnsi="宋体" w:eastAsia="宋体" w:cs="宋体"/>
                <w:color w:val="auto"/>
                <w:szCs w:val="21"/>
                <w:highlight w:val="none"/>
              </w:rPr>
            </w:pPr>
          </w:p>
        </w:tc>
      </w:tr>
    </w:tbl>
    <w:p w14:paraId="3EEA1D0C">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w:t>
      </w:r>
    </w:p>
    <w:p w14:paraId="032AF96B">
      <w:pPr>
        <w:numPr>
          <w:ilvl w:val="0"/>
          <w:numId w:val="3"/>
        </w:num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供应商可根据实际情况拓展本表。</w:t>
      </w:r>
    </w:p>
    <w:p w14:paraId="38C995B8">
      <w:pPr>
        <w:numPr>
          <w:ilvl w:val="0"/>
          <w:numId w:val="3"/>
        </w:num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须提供中标通知书或合同等相关证明材料，且能证明业绩工作内容</w:t>
      </w:r>
    </w:p>
    <w:p w14:paraId="595241F0">
      <w:pPr>
        <w:spacing w:line="480" w:lineRule="auto"/>
        <w:rPr>
          <w:rFonts w:hint="eastAsia" w:ascii="宋体" w:hAnsi="宋体" w:cs="宋体"/>
          <w:color w:val="auto"/>
          <w:szCs w:val="21"/>
          <w:highlight w:val="none"/>
        </w:rPr>
      </w:pPr>
    </w:p>
    <w:p w14:paraId="4AF473F6">
      <w:pPr>
        <w:spacing w:line="480" w:lineRule="auto"/>
        <w:rPr>
          <w:rFonts w:hint="eastAsia" w:ascii="宋体" w:hAnsi="宋体" w:cs="宋体"/>
          <w:color w:val="auto"/>
          <w:szCs w:val="21"/>
          <w:highlight w:val="none"/>
        </w:rPr>
      </w:pPr>
    </w:p>
    <w:p w14:paraId="3B51715D">
      <w:pPr>
        <w:spacing w:line="480" w:lineRule="auto"/>
        <w:rPr>
          <w:rFonts w:hint="eastAsia" w:ascii="宋体" w:hAnsi="宋体" w:cs="宋体"/>
          <w:color w:val="auto"/>
          <w:szCs w:val="21"/>
          <w:highlight w:val="none"/>
        </w:rPr>
      </w:pPr>
    </w:p>
    <w:p w14:paraId="46264A80">
      <w:pPr>
        <w:spacing w:line="480" w:lineRule="auto"/>
        <w:rPr>
          <w:rFonts w:hint="eastAsia" w:ascii="宋体" w:hAnsi="宋体" w:cs="宋体"/>
          <w:color w:val="auto"/>
          <w:szCs w:val="21"/>
          <w:highlight w:val="none"/>
        </w:rPr>
      </w:pPr>
    </w:p>
    <w:p w14:paraId="189AC999">
      <w:pPr>
        <w:autoSpaceDE w:val="0"/>
        <w:autoSpaceDN w:val="0"/>
        <w:adjustRightInd w:val="0"/>
        <w:spacing w:line="480" w:lineRule="auto"/>
        <w:jc w:val="left"/>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供应商：</w:t>
      </w:r>
      <w:r>
        <w:rPr>
          <w:rFonts w:hint="eastAsia" w:asciiTheme="minorEastAsia" w:hAnsiTheme="minorEastAsia" w:eastAsiaTheme="minorEastAsia"/>
          <w:bCs/>
          <w:color w:val="auto"/>
          <w:szCs w:val="21"/>
          <w:highlight w:val="none"/>
          <w:u w:val="single"/>
        </w:rPr>
        <w:t xml:space="preserve">          </w:t>
      </w:r>
      <w:r>
        <w:rPr>
          <w:rFonts w:asciiTheme="minorEastAsia" w:hAnsiTheme="minorEastAsia" w:eastAsiaTheme="minorEastAsia"/>
          <w:bCs/>
          <w:color w:val="auto"/>
          <w:szCs w:val="21"/>
          <w:highlight w:val="none"/>
          <w:u w:val="single"/>
        </w:rPr>
        <w:t xml:space="preserve">     </w:t>
      </w:r>
      <w:r>
        <w:rPr>
          <w:rFonts w:hint="eastAsia" w:asciiTheme="minorEastAsia" w:hAnsiTheme="minorEastAsia" w:eastAsiaTheme="minorEastAsia"/>
          <w:bCs/>
          <w:color w:val="auto"/>
          <w:szCs w:val="21"/>
          <w:highlight w:val="none"/>
          <w:u w:val="single"/>
        </w:rPr>
        <w:t>（</w:t>
      </w:r>
      <w:r>
        <w:rPr>
          <w:rFonts w:hint="eastAsia" w:asciiTheme="minorEastAsia" w:hAnsiTheme="minorEastAsia" w:eastAsiaTheme="minorEastAsia"/>
          <w:color w:val="auto"/>
          <w:szCs w:val="21"/>
          <w:highlight w:val="none"/>
          <w:u w:val="single"/>
        </w:rPr>
        <w:t>电子签章</w:t>
      </w:r>
      <w:r>
        <w:rPr>
          <w:rFonts w:hint="eastAsia" w:asciiTheme="minorEastAsia" w:hAnsiTheme="minorEastAsia" w:eastAsiaTheme="minorEastAsia"/>
          <w:bCs/>
          <w:color w:val="auto"/>
          <w:szCs w:val="21"/>
          <w:highlight w:val="none"/>
          <w:u w:val="single"/>
        </w:rPr>
        <w:t>）</w:t>
      </w:r>
    </w:p>
    <w:p w14:paraId="4DB1F38A">
      <w:pPr>
        <w:autoSpaceDE w:val="0"/>
        <w:autoSpaceDN w:val="0"/>
        <w:adjustRightInd w:val="0"/>
        <w:spacing w:line="480" w:lineRule="auto"/>
        <w:jc w:val="left"/>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法定代表人：</w:t>
      </w:r>
      <w:r>
        <w:rPr>
          <w:rFonts w:hint="eastAsia" w:asciiTheme="minorEastAsia" w:hAnsiTheme="minorEastAsia" w:eastAsiaTheme="minorEastAsia"/>
          <w:bCs/>
          <w:color w:val="auto"/>
          <w:szCs w:val="21"/>
          <w:highlight w:val="none"/>
          <w:u w:val="single"/>
        </w:rPr>
        <w:t xml:space="preserve">     </w:t>
      </w:r>
      <w:r>
        <w:rPr>
          <w:rFonts w:asciiTheme="minorEastAsia" w:hAnsiTheme="minorEastAsia" w:eastAsiaTheme="minorEastAsia"/>
          <w:bCs/>
          <w:color w:val="auto"/>
          <w:szCs w:val="21"/>
          <w:highlight w:val="none"/>
          <w:u w:val="single"/>
        </w:rPr>
        <w:t xml:space="preserve">    </w:t>
      </w:r>
      <w:r>
        <w:rPr>
          <w:rFonts w:hint="eastAsia" w:asciiTheme="minorEastAsia" w:hAnsiTheme="minorEastAsia" w:eastAsiaTheme="minorEastAsia"/>
          <w:bCs/>
          <w:color w:val="auto"/>
          <w:szCs w:val="21"/>
          <w:highlight w:val="none"/>
          <w:u w:val="single"/>
        </w:rPr>
        <w:t xml:space="preserve">   (电子签章)</w:t>
      </w:r>
      <w:r>
        <w:rPr>
          <w:rFonts w:asciiTheme="minorEastAsia" w:hAnsiTheme="minorEastAsia" w:eastAsiaTheme="minorEastAsia"/>
          <w:bCs/>
          <w:color w:val="auto"/>
          <w:szCs w:val="21"/>
          <w:highlight w:val="none"/>
          <w:u w:val="single"/>
        </w:rPr>
        <w:t xml:space="preserve"> </w:t>
      </w:r>
    </w:p>
    <w:p w14:paraId="0B871346">
      <w:pPr>
        <w:autoSpaceDE w:val="0"/>
        <w:autoSpaceDN w:val="0"/>
        <w:adjustRightInd w:val="0"/>
        <w:spacing w:line="480" w:lineRule="auto"/>
        <w:jc w:val="left"/>
        <w:rPr>
          <w:rFonts w:hint="eastAsia" w:ascii="宋体" w:hAnsi="宋体"/>
          <w:bCs/>
          <w:color w:val="auto"/>
          <w:szCs w:val="21"/>
          <w:highlight w:val="none"/>
        </w:rPr>
      </w:pPr>
      <w:r>
        <w:rPr>
          <w:rFonts w:hint="eastAsia" w:asciiTheme="minorEastAsia" w:hAnsiTheme="minorEastAsia" w:eastAsiaTheme="minorEastAsia"/>
          <w:bCs/>
          <w:color w:val="auto"/>
          <w:szCs w:val="21"/>
          <w:highlight w:val="none"/>
        </w:rPr>
        <w:t>日期：</w:t>
      </w:r>
      <w:r>
        <w:rPr>
          <w:rFonts w:hint="eastAsia" w:asciiTheme="minorEastAsia" w:hAnsiTheme="minorEastAsia" w:eastAsiaTheme="minorEastAsia"/>
          <w:bCs/>
          <w:color w:val="auto"/>
          <w:szCs w:val="21"/>
          <w:highlight w:val="none"/>
          <w:u w:val="single"/>
        </w:rPr>
        <w:t xml:space="preserve">      </w:t>
      </w:r>
      <w:r>
        <w:rPr>
          <w:rFonts w:hint="eastAsia" w:asciiTheme="minorEastAsia" w:hAnsiTheme="minorEastAsia" w:eastAsiaTheme="minorEastAsia"/>
          <w:bCs/>
          <w:color w:val="auto"/>
          <w:szCs w:val="21"/>
          <w:highlight w:val="none"/>
        </w:rPr>
        <w:t>年</w:t>
      </w:r>
      <w:r>
        <w:rPr>
          <w:rFonts w:hint="eastAsia" w:asciiTheme="minorEastAsia" w:hAnsiTheme="minorEastAsia" w:eastAsiaTheme="minorEastAsia"/>
          <w:bCs/>
          <w:color w:val="auto"/>
          <w:szCs w:val="21"/>
          <w:highlight w:val="none"/>
          <w:u w:val="single"/>
        </w:rPr>
        <w:t xml:space="preserve">     </w:t>
      </w:r>
      <w:r>
        <w:rPr>
          <w:rFonts w:hint="eastAsia" w:asciiTheme="minorEastAsia" w:hAnsiTheme="minorEastAsia" w:eastAsiaTheme="minorEastAsia"/>
          <w:bCs/>
          <w:color w:val="auto"/>
          <w:szCs w:val="21"/>
          <w:highlight w:val="none"/>
        </w:rPr>
        <w:t>月</w:t>
      </w:r>
      <w:r>
        <w:rPr>
          <w:rFonts w:hint="eastAsia" w:asciiTheme="minorEastAsia" w:hAnsiTheme="minorEastAsia" w:eastAsiaTheme="minorEastAsia"/>
          <w:bCs/>
          <w:color w:val="auto"/>
          <w:szCs w:val="21"/>
          <w:highlight w:val="none"/>
          <w:u w:val="single"/>
        </w:rPr>
        <w:t xml:space="preserve">      </w:t>
      </w:r>
      <w:r>
        <w:rPr>
          <w:rFonts w:hint="eastAsia" w:asciiTheme="minorEastAsia" w:hAnsiTheme="minorEastAsia" w:eastAsiaTheme="minorEastAsia"/>
          <w:bCs/>
          <w:color w:val="auto"/>
          <w:szCs w:val="21"/>
          <w:highlight w:val="none"/>
        </w:rPr>
        <w:t>日</w:t>
      </w:r>
    </w:p>
    <w:p w14:paraId="10320074">
      <w:pPr>
        <w:rPr>
          <w:rFonts w:hint="eastAsia" w:asciiTheme="minorEastAsia" w:hAnsiTheme="minorEastAsia" w:eastAsiaTheme="minorEastAsia"/>
          <w:b/>
          <w:bCs/>
          <w:color w:val="auto"/>
          <w:sz w:val="32"/>
          <w:szCs w:val="32"/>
          <w:highlight w:val="none"/>
        </w:rPr>
      </w:pPr>
      <w:r>
        <w:rPr>
          <w:rFonts w:hint="eastAsia" w:asciiTheme="minorEastAsia" w:hAnsiTheme="minorEastAsia" w:eastAsiaTheme="minorEastAsia"/>
          <w:b/>
          <w:bCs/>
          <w:color w:val="auto"/>
          <w:sz w:val="32"/>
          <w:szCs w:val="32"/>
          <w:highlight w:val="none"/>
        </w:rPr>
        <w:br w:type="page"/>
      </w:r>
    </w:p>
    <w:p w14:paraId="08438018">
      <w:pPr>
        <w:spacing w:line="360" w:lineRule="auto"/>
        <w:jc w:val="center"/>
        <w:outlineLvl w:val="0"/>
        <w:rPr>
          <w:rFonts w:hint="eastAsia" w:asciiTheme="minorEastAsia" w:hAnsiTheme="minorEastAsia" w:eastAsiaTheme="minorEastAsia"/>
          <w:b/>
          <w:bCs/>
          <w:color w:val="auto"/>
          <w:sz w:val="32"/>
          <w:szCs w:val="32"/>
          <w:highlight w:val="none"/>
        </w:rPr>
      </w:pPr>
      <w:r>
        <w:rPr>
          <w:rFonts w:hint="eastAsia" w:asciiTheme="minorEastAsia" w:hAnsiTheme="minorEastAsia" w:eastAsiaTheme="minorEastAsia"/>
          <w:b/>
          <w:bCs/>
          <w:color w:val="auto"/>
          <w:sz w:val="32"/>
          <w:szCs w:val="32"/>
          <w:highlight w:val="none"/>
        </w:rPr>
        <w:t xml:space="preserve">第五章 </w:t>
      </w:r>
      <w:bookmarkEnd w:id="1049"/>
      <w:bookmarkEnd w:id="1050"/>
      <w:r>
        <w:rPr>
          <w:rFonts w:hint="eastAsia" w:asciiTheme="minorEastAsia" w:hAnsiTheme="minorEastAsia" w:eastAsiaTheme="minorEastAsia"/>
          <w:b/>
          <w:bCs/>
          <w:color w:val="auto"/>
          <w:sz w:val="32"/>
          <w:szCs w:val="32"/>
          <w:highlight w:val="none"/>
        </w:rPr>
        <w:t>采购需求</w:t>
      </w:r>
      <w:bookmarkEnd w:id="1219"/>
    </w:p>
    <w:bookmarkEnd w:id="1051"/>
    <w:bookmarkEnd w:id="1052"/>
    <w:bookmarkEnd w:id="1053"/>
    <w:bookmarkEnd w:id="1054"/>
    <w:p w14:paraId="78FC365A">
      <w:pPr>
        <w:pageBreakBefore w:val="0"/>
        <w:kinsoku/>
        <w:overflowPunct/>
        <w:topLinePunct w:val="0"/>
        <w:bidi w:val="0"/>
        <w:spacing w:line="360" w:lineRule="auto"/>
        <w:ind w:left="201" w:leftChars="-38" w:hanging="281" w:hangingChars="100"/>
        <w:jc w:val="left"/>
        <w:rPr>
          <w:rFonts w:hint="eastAsia" w:ascii="宋体" w:hAnsi="宋体" w:eastAsia="宋体" w:cs="宋体"/>
          <w:b/>
          <w:color w:val="auto"/>
          <w:sz w:val="28"/>
          <w:szCs w:val="28"/>
          <w:highlight w:val="none"/>
          <w:lang w:val="en-US" w:eastAsia="zh-CN"/>
        </w:rPr>
      </w:pPr>
      <w:bookmarkStart w:id="1220" w:name="_Toc158233421"/>
      <w:r>
        <w:rPr>
          <w:rFonts w:hint="eastAsia" w:ascii="宋体" w:hAnsi="宋体" w:eastAsia="宋体" w:cs="宋体"/>
          <w:b/>
          <w:color w:val="auto"/>
          <w:sz w:val="28"/>
          <w:szCs w:val="28"/>
          <w:highlight w:val="none"/>
          <w:lang w:val="en-US" w:eastAsia="zh-CN"/>
        </w:rPr>
        <w:t>滇池底泥处理处置与城市固废协同治理与循环利用应用示范项目监理服务</w:t>
      </w:r>
    </w:p>
    <w:p w14:paraId="6AFC6FC9">
      <w:pPr>
        <w:pStyle w:val="307"/>
        <w:spacing w:line="360" w:lineRule="auto"/>
        <w:outlineLvl w:val="9"/>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一、服务范围及内容</w:t>
      </w:r>
    </w:p>
    <w:p w14:paraId="3A9C6602">
      <w:pPr>
        <w:pStyle w:val="307"/>
        <w:keepNext w:val="0"/>
        <w:keepLines w:val="0"/>
        <w:pageBreakBefore w:val="0"/>
        <w:widowControl w:val="0"/>
        <w:kinsoku/>
        <w:wordWrap/>
        <w:overflowPunct/>
        <w:topLinePunct w:val="0"/>
        <w:autoSpaceDE/>
        <w:autoSpaceDN/>
        <w:bidi w:val="0"/>
        <w:adjustRightInd/>
        <w:snapToGrid/>
        <w:spacing w:line="360" w:lineRule="auto"/>
        <w:ind w:firstLine="444" w:firstLineChars="200"/>
        <w:textAlignment w:val="auto"/>
        <w:outlineLvl w:val="9"/>
        <w:rPr>
          <w:rFonts w:hint="eastAsia" w:ascii="宋体" w:hAnsi="宋体" w:eastAsia="宋体" w:cs="宋体"/>
          <w:b w:val="0"/>
          <w:bCs/>
          <w:color w:val="auto"/>
          <w:kern w:val="2"/>
          <w:sz w:val="21"/>
          <w:szCs w:val="21"/>
          <w:highlight w:val="none"/>
          <w:lang w:val="en-US" w:eastAsia="zh-CN" w:bidi="ar-SA"/>
        </w:rPr>
      </w:pPr>
      <w:bookmarkStart w:id="1221" w:name="_Hlk67470830"/>
      <w:r>
        <w:rPr>
          <w:rFonts w:hint="eastAsia" w:ascii="宋体" w:hAnsi="宋体" w:eastAsia="宋体" w:cs="宋体"/>
          <w:b w:val="0"/>
          <w:bCs/>
          <w:color w:val="auto"/>
          <w:spacing w:val="6"/>
          <w:szCs w:val="21"/>
          <w:highlight w:val="none"/>
          <w:lang w:val="en-US" w:eastAsia="zh-CN"/>
        </w:rPr>
        <w:t>①</w:t>
      </w:r>
      <w:r>
        <w:rPr>
          <w:rFonts w:hint="eastAsia" w:ascii="宋体" w:hAnsi="宋体" w:eastAsia="宋体" w:cs="宋体"/>
          <w:b w:val="0"/>
          <w:bCs/>
          <w:color w:val="auto"/>
          <w:spacing w:val="6"/>
          <w:szCs w:val="21"/>
          <w:highlight w:val="none"/>
        </w:rPr>
        <w:t>服务范围</w:t>
      </w:r>
      <w:r>
        <w:rPr>
          <w:rFonts w:hint="eastAsia" w:ascii="宋体" w:hAnsi="宋体" w:eastAsia="宋体" w:cs="宋体"/>
          <w:b w:val="0"/>
          <w:bCs/>
          <w:color w:val="auto"/>
          <w:spacing w:val="6"/>
          <w:szCs w:val="21"/>
          <w:highlight w:val="none"/>
          <w:lang w:eastAsia="zh-CN"/>
        </w:rPr>
        <w:t>：</w:t>
      </w:r>
      <w:r>
        <w:rPr>
          <w:rFonts w:hint="eastAsia" w:ascii="宋体" w:hAnsi="宋体" w:cs="宋体"/>
          <w:b w:val="0"/>
          <w:bCs/>
          <w:color w:val="auto"/>
          <w:kern w:val="2"/>
          <w:sz w:val="21"/>
          <w:szCs w:val="21"/>
          <w:highlight w:val="none"/>
          <w:lang w:val="en-US" w:eastAsia="zh-CN" w:bidi="ar-SA"/>
        </w:rPr>
        <w:t>滇池底泥处理处置与城市固废协同治理与循环利用应用示范项目监理服务</w:t>
      </w:r>
      <w:r>
        <w:rPr>
          <w:rFonts w:hint="eastAsia" w:ascii="宋体" w:hAnsi="宋体" w:eastAsia="宋体" w:cs="宋体"/>
          <w:b w:val="0"/>
          <w:bCs/>
          <w:color w:val="auto"/>
          <w:kern w:val="2"/>
          <w:sz w:val="21"/>
          <w:szCs w:val="21"/>
          <w:highlight w:val="none"/>
          <w:lang w:val="en-US" w:eastAsia="zh-CN" w:bidi="ar-SA"/>
        </w:rPr>
        <w:t>。</w:t>
      </w:r>
    </w:p>
    <w:p w14:paraId="5906AD00">
      <w:pPr>
        <w:pStyle w:val="307"/>
        <w:keepNext w:val="0"/>
        <w:keepLines w:val="0"/>
        <w:pageBreakBefore w:val="0"/>
        <w:widowControl w:val="0"/>
        <w:kinsoku/>
        <w:wordWrap/>
        <w:overflowPunct/>
        <w:topLinePunct w:val="0"/>
        <w:autoSpaceDE/>
        <w:autoSpaceDN/>
        <w:bidi w:val="0"/>
        <w:adjustRightInd/>
        <w:snapToGrid/>
        <w:spacing w:line="360" w:lineRule="auto"/>
        <w:ind w:firstLine="444" w:firstLineChars="200"/>
        <w:textAlignment w:val="auto"/>
        <w:outlineLvl w:val="9"/>
        <w:rPr>
          <w:rFonts w:hint="eastAsia" w:ascii="宋体" w:hAnsi="宋体" w:eastAsia="宋体" w:cs="宋体"/>
          <w:b w:val="0"/>
          <w:bCs/>
          <w:color w:val="auto"/>
          <w:spacing w:val="6"/>
          <w:szCs w:val="21"/>
          <w:highlight w:val="none"/>
          <w:lang w:eastAsia="zh-CN"/>
        </w:rPr>
      </w:pPr>
      <w:r>
        <w:rPr>
          <w:rFonts w:hint="eastAsia" w:ascii="宋体" w:hAnsi="宋体" w:eastAsia="宋体" w:cs="宋体"/>
          <w:b w:val="0"/>
          <w:bCs/>
          <w:color w:val="auto"/>
          <w:spacing w:val="6"/>
          <w:szCs w:val="21"/>
          <w:highlight w:val="none"/>
          <w:lang w:val="en-US" w:eastAsia="zh-CN"/>
        </w:rPr>
        <w:t>②</w:t>
      </w:r>
      <w:r>
        <w:rPr>
          <w:rFonts w:hint="eastAsia" w:ascii="宋体" w:hAnsi="宋体" w:eastAsia="宋体" w:cs="宋体"/>
          <w:b w:val="0"/>
          <w:bCs/>
          <w:color w:val="auto"/>
          <w:spacing w:val="6"/>
          <w:szCs w:val="21"/>
          <w:highlight w:val="none"/>
        </w:rPr>
        <w:t>服务内容</w:t>
      </w:r>
      <w:r>
        <w:rPr>
          <w:rFonts w:hint="eastAsia" w:ascii="宋体" w:hAnsi="宋体" w:eastAsia="宋体" w:cs="宋体"/>
          <w:b w:val="0"/>
          <w:bCs/>
          <w:color w:val="auto"/>
          <w:spacing w:val="6"/>
          <w:szCs w:val="21"/>
          <w:highlight w:val="none"/>
          <w:lang w:eastAsia="zh-CN"/>
        </w:rPr>
        <w:t>：</w:t>
      </w:r>
      <w:r>
        <w:rPr>
          <w:rFonts w:hint="eastAsia" w:ascii="宋体" w:hAnsi="宋体" w:eastAsia="宋体" w:cs="宋体"/>
          <w:b w:val="0"/>
          <w:bCs/>
          <w:color w:val="auto"/>
          <w:spacing w:val="6"/>
          <w:szCs w:val="21"/>
          <w:highlight w:val="none"/>
          <w:lang w:val="en-US" w:eastAsia="zh-CN"/>
        </w:rPr>
        <w:t>对“滇池底泥处理处置与城市固废协同治理与循环利用应用示范”项目开展全过程监理服务。包括但不限于：</w:t>
      </w:r>
    </w:p>
    <w:p w14:paraId="4C1ABA6B">
      <w:pPr>
        <w:pStyle w:val="307"/>
        <w:keepNext w:val="0"/>
        <w:keepLines w:val="0"/>
        <w:pageBreakBefore w:val="0"/>
        <w:widowControl w:val="0"/>
        <w:kinsoku/>
        <w:wordWrap/>
        <w:overflowPunct/>
        <w:topLinePunct w:val="0"/>
        <w:autoSpaceDE/>
        <w:autoSpaceDN/>
        <w:bidi w:val="0"/>
        <w:adjustRightInd/>
        <w:snapToGrid/>
        <w:spacing w:line="360" w:lineRule="auto"/>
        <w:ind w:firstLine="444" w:firstLineChars="200"/>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val="0"/>
          <w:bCs/>
          <w:color w:val="auto"/>
          <w:spacing w:val="6"/>
          <w:szCs w:val="21"/>
          <w:highlight w:val="none"/>
          <w:lang w:val="en-US" w:eastAsia="zh-CN"/>
        </w:rPr>
        <w:t>监理合同范围内的质量、进度、投资控制、变更控制、安全文明管理、合同管理、资料管理和组织协调（三控三管一协调），对现场材料报验、样品采集与处理的监督，研究工作的进度等进行跟踪管理。</w:t>
      </w:r>
    </w:p>
    <w:p w14:paraId="4C2AF3AC">
      <w:pPr>
        <w:pStyle w:val="307"/>
        <w:spacing w:line="360" w:lineRule="auto"/>
        <w:outlineLvl w:val="9"/>
        <w:rPr>
          <w:rFonts w:hint="eastAsia" w:ascii="宋体" w:hAnsi="宋体" w:eastAsia="宋体" w:cs="宋体"/>
          <w:b/>
          <w:color w:val="auto"/>
          <w:szCs w:val="21"/>
          <w:highlight w:val="none"/>
          <w:lang w:val="en-US" w:eastAsia="zh-CN"/>
        </w:rPr>
      </w:pPr>
      <w:r>
        <w:rPr>
          <w:rFonts w:hint="eastAsia" w:ascii="宋体" w:hAnsi="宋体" w:cs="宋体"/>
          <w:b/>
          <w:color w:val="auto"/>
          <w:szCs w:val="21"/>
          <w:highlight w:val="none"/>
          <w:lang w:val="en-US" w:eastAsia="zh-CN"/>
        </w:rPr>
        <w:t>二</w:t>
      </w:r>
      <w:r>
        <w:rPr>
          <w:rFonts w:hint="eastAsia" w:ascii="宋体" w:hAnsi="宋体" w:eastAsia="宋体" w:cs="宋体"/>
          <w:b/>
          <w:color w:val="auto"/>
          <w:szCs w:val="21"/>
          <w:highlight w:val="none"/>
          <w:lang w:val="en-US" w:eastAsia="zh-CN"/>
        </w:rPr>
        <w:t>、服务期限</w:t>
      </w:r>
    </w:p>
    <w:p w14:paraId="39212795">
      <w:pPr>
        <w:pStyle w:val="307"/>
        <w:spacing w:line="360" w:lineRule="auto"/>
        <w:ind w:firstLine="420" w:firstLineChars="200"/>
        <w:outlineLvl w:val="9"/>
        <w:rPr>
          <w:rFonts w:hint="eastAsia" w:ascii="宋体" w:hAnsi="宋体" w:eastAsia="宋体" w:cs="宋体"/>
          <w:color w:val="auto"/>
          <w:spacing w:val="6"/>
          <w:szCs w:val="21"/>
          <w:highlight w:val="none"/>
          <w:lang w:eastAsia="zh-CN"/>
        </w:rPr>
      </w:pPr>
      <w:r>
        <w:rPr>
          <w:rFonts w:hint="eastAsia" w:ascii="宋体" w:hAnsi="宋体" w:eastAsia="宋体" w:cs="宋体"/>
          <w:color w:val="auto"/>
          <w:highlight w:val="none"/>
          <w:lang w:eastAsia="zh-CN"/>
        </w:rPr>
        <w:t>自合同签订之日起至项目验收合格</w:t>
      </w:r>
      <w:r>
        <w:rPr>
          <w:rFonts w:hint="eastAsia" w:ascii="宋体" w:hAnsi="宋体" w:eastAsia="宋体" w:cs="宋体"/>
          <w:color w:val="auto"/>
          <w:highlight w:val="none"/>
        </w:rPr>
        <w:t>。</w:t>
      </w:r>
    </w:p>
    <w:bookmarkEnd w:id="1221"/>
    <w:p w14:paraId="2831238D">
      <w:pPr>
        <w:pStyle w:val="307"/>
        <w:spacing w:line="360" w:lineRule="auto"/>
        <w:outlineLvl w:val="9"/>
        <w:rPr>
          <w:rFonts w:hint="eastAsia" w:ascii="宋体" w:hAnsi="宋体" w:eastAsia="宋体" w:cs="宋体"/>
          <w:b/>
          <w:bCs/>
          <w:color w:val="auto"/>
          <w:spacing w:val="6"/>
          <w:szCs w:val="21"/>
          <w:highlight w:val="none"/>
        </w:rPr>
      </w:pPr>
      <w:r>
        <w:rPr>
          <w:rFonts w:hint="eastAsia" w:ascii="宋体" w:hAnsi="宋体" w:eastAsia="宋体" w:cs="宋体"/>
          <w:b/>
          <w:bCs/>
          <w:color w:val="auto"/>
          <w:spacing w:val="6"/>
          <w:szCs w:val="21"/>
          <w:highlight w:val="none"/>
          <w:lang w:val="en-US" w:eastAsia="zh-CN"/>
        </w:rPr>
        <w:t>三</w:t>
      </w:r>
      <w:r>
        <w:rPr>
          <w:rFonts w:hint="eastAsia" w:ascii="宋体" w:hAnsi="宋体" w:eastAsia="宋体" w:cs="宋体"/>
          <w:b/>
          <w:bCs/>
          <w:color w:val="auto"/>
          <w:spacing w:val="6"/>
          <w:szCs w:val="21"/>
          <w:highlight w:val="none"/>
        </w:rPr>
        <w:t>、服务要求</w:t>
      </w:r>
    </w:p>
    <w:p w14:paraId="7ED410C4">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服务</w:t>
      </w:r>
      <w:r>
        <w:rPr>
          <w:rFonts w:hint="eastAsia" w:ascii="宋体" w:hAnsi="宋体" w:eastAsia="宋体" w:cs="宋体"/>
          <w:color w:val="auto"/>
          <w:szCs w:val="21"/>
          <w:highlight w:val="none"/>
        </w:rPr>
        <w:t>要求</w:t>
      </w:r>
      <w:r>
        <w:rPr>
          <w:rFonts w:hint="eastAsia" w:ascii="宋体" w:hAnsi="宋体" w:eastAsia="宋体" w:cs="宋体"/>
          <w:color w:val="auto"/>
          <w:szCs w:val="21"/>
          <w:highlight w:val="none"/>
          <w:lang w:eastAsia="zh-CN"/>
        </w:rPr>
        <w:t>：各阶段资料齐全，符合国家及行业现行的标准和规范。</w:t>
      </w:r>
    </w:p>
    <w:p w14:paraId="42205947">
      <w:pPr>
        <w:spacing w:line="360" w:lineRule="auto"/>
        <w:jc w:val="center"/>
        <w:outlineLvl w:val="9"/>
        <w:rPr>
          <w:rFonts w:hint="eastAsia" w:ascii="宋体" w:hAnsi="宋体" w:eastAsia="宋体" w:cs="宋体"/>
          <w:color w:val="auto"/>
          <w:szCs w:val="21"/>
          <w:highlight w:val="none"/>
          <w:lang w:eastAsia="zh-CN"/>
        </w:rPr>
      </w:pPr>
    </w:p>
    <w:p w14:paraId="0D6935B3">
      <w:pP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br w:type="page"/>
      </w:r>
    </w:p>
    <w:p w14:paraId="36EC539D">
      <w:pPr>
        <w:spacing w:line="360" w:lineRule="auto"/>
        <w:jc w:val="center"/>
        <w:outlineLvl w:val="0"/>
        <w:rPr>
          <w:rFonts w:hint="eastAsia" w:asciiTheme="minorEastAsia" w:hAnsiTheme="minorEastAsia" w:eastAsiaTheme="minorEastAsia"/>
          <w:b/>
          <w:bCs/>
          <w:color w:val="auto"/>
          <w:sz w:val="32"/>
          <w:szCs w:val="32"/>
          <w:highlight w:val="none"/>
        </w:rPr>
      </w:pPr>
      <w:r>
        <w:rPr>
          <w:rFonts w:hint="eastAsia" w:asciiTheme="minorEastAsia" w:hAnsiTheme="minorEastAsia" w:eastAsiaTheme="minorEastAsia"/>
          <w:b/>
          <w:bCs/>
          <w:color w:val="auto"/>
          <w:sz w:val="32"/>
          <w:szCs w:val="32"/>
          <w:highlight w:val="none"/>
        </w:rPr>
        <w:t>第六章 评审办法（综合评分法）</w:t>
      </w:r>
      <w:bookmarkEnd w:id="1220"/>
    </w:p>
    <w:p w14:paraId="235084E1">
      <w:pPr>
        <w:pStyle w:val="4"/>
        <w:spacing w:line="360" w:lineRule="auto"/>
        <w:rPr>
          <w:rFonts w:hint="eastAsia" w:asciiTheme="minorEastAsia" w:hAnsiTheme="minorEastAsia" w:eastAsiaTheme="minorEastAsia"/>
          <w:b w:val="0"/>
          <w:bCs/>
          <w:color w:val="auto"/>
          <w:szCs w:val="28"/>
          <w:highlight w:val="none"/>
        </w:rPr>
      </w:pPr>
      <w:bookmarkStart w:id="1222" w:name="_Toc447640828"/>
      <w:bookmarkStart w:id="1223" w:name="_Toc302769231"/>
      <w:bookmarkStart w:id="1224" w:name="_Toc110405174"/>
      <w:bookmarkStart w:id="1225" w:name="_Toc37603109"/>
      <w:bookmarkStart w:id="1226" w:name="_Toc42205031"/>
      <w:bookmarkStart w:id="1227" w:name="_Toc9290724"/>
      <w:bookmarkStart w:id="1228" w:name="_Toc388014371"/>
      <w:bookmarkStart w:id="1229" w:name="_Toc87543857"/>
      <w:bookmarkStart w:id="1230" w:name="_Toc84356289"/>
      <w:bookmarkStart w:id="1231" w:name="_Toc388013682"/>
      <w:bookmarkStart w:id="1232" w:name="_Toc158233422"/>
      <w:bookmarkStart w:id="1233" w:name="_Toc87538406"/>
      <w:bookmarkStart w:id="1234" w:name="_Toc388013369"/>
      <w:bookmarkStart w:id="1235" w:name="_Toc83753929"/>
      <w:r>
        <w:rPr>
          <w:rFonts w:hint="eastAsia" w:asciiTheme="minorEastAsia" w:hAnsiTheme="minorEastAsia" w:eastAsiaTheme="minorEastAsia"/>
          <w:b w:val="0"/>
          <w:bCs/>
          <w:color w:val="auto"/>
          <w:szCs w:val="28"/>
          <w:highlight w:val="none"/>
        </w:rPr>
        <w:t>一、评审办法</w:t>
      </w:r>
      <w:r>
        <w:rPr>
          <w:rFonts w:asciiTheme="minorEastAsia" w:hAnsiTheme="minorEastAsia" w:eastAsiaTheme="minorEastAsia"/>
          <w:b w:val="0"/>
          <w:bCs/>
          <w:color w:val="auto"/>
          <w:szCs w:val="28"/>
          <w:highlight w:val="none"/>
        </w:rPr>
        <w:t>前附表</w:t>
      </w:r>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p>
    <w:tbl>
      <w:tblPr>
        <w:tblStyle w:val="55"/>
        <w:tblW w:w="91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7"/>
        <w:gridCol w:w="1610"/>
        <w:gridCol w:w="2410"/>
        <w:gridCol w:w="3495"/>
        <w:gridCol w:w="700"/>
      </w:tblGrid>
      <w:tr w14:paraId="1CF7C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937" w:type="dxa"/>
            <w:vAlign w:val="center"/>
          </w:tcPr>
          <w:p w14:paraId="63067338">
            <w:pPr>
              <w:autoSpaceDE w:val="0"/>
              <w:autoSpaceDN w:val="0"/>
              <w:adjustRightInd w:val="0"/>
              <w:jc w:val="center"/>
              <w:rPr>
                <w:rFonts w:hint="eastAsia" w:cs="UPNQIO+ËÎÌå" w:asciiTheme="minorEastAsia" w:hAnsiTheme="minorEastAsia" w:eastAsiaTheme="minorEastAsia"/>
                <w:b/>
                <w:color w:val="auto"/>
                <w:spacing w:val="1"/>
                <w:kern w:val="0"/>
                <w:szCs w:val="21"/>
                <w:highlight w:val="none"/>
              </w:rPr>
            </w:pPr>
            <w:r>
              <w:rPr>
                <w:rFonts w:hint="eastAsia" w:cs="宋体" w:asciiTheme="minorEastAsia" w:hAnsiTheme="minorEastAsia" w:eastAsiaTheme="minorEastAsia"/>
                <w:b/>
                <w:color w:val="auto"/>
                <w:spacing w:val="1"/>
                <w:kern w:val="0"/>
                <w:szCs w:val="21"/>
                <w:highlight w:val="none"/>
              </w:rPr>
              <w:t>条款号</w:t>
            </w:r>
          </w:p>
        </w:tc>
        <w:tc>
          <w:tcPr>
            <w:tcW w:w="1610" w:type="dxa"/>
            <w:vAlign w:val="center"/>
          </w:tcPr>
          <w:p w14:paraId="097F1020">
            <w:pPr>
              <w:autoSpaceDE w:val="0"/>
              <w:autoSpaceDN w:val="0"/>
              <w:adjustRightInd w:val="0"/>
              <w:jc w:val="center"/>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评审因素</w:t>
            </w:r>
          </w:p>
        </w:tc>
        <w:tc>
          <w:tcPr>
            <w:tcW w:w="2410" w:type="dxa"/>
            <w:vAlign w:val="center"/>
          </w:tcPr>
          <w:p w14:paraId="6A9A5ADD">
            <w:pPr>
              <w:autoSpaceDE w:val="0"/>
              <w:autoSpaceDN w:val="0"/>
              <w:adjustRightInd w:val="0"/>
              <w:jc w:val="center"/>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评审内容</w:t>
            </w:r>
          </w:p>
        </w:tc>
        <w:tc>
          <w:tcPr>
            <w:tcW w:w="4195" w:type="dxa"/>
            <w:gridSpan w:val="2"/>
            <w:vAlign w:val="center"/>
          </w:tcPr>
          <w:p w14:paraId="3E9CB5D0">
            <w:pPr>
              <w:autoSpaceDE w:val="0"/>
              <w:autoSpaceDN w:val="0"/>
              <w:adjustRightInd w:val="0"/>
              <w:jc w:val="center"/>
              <w:rPr>
                <w:rFonts w:hint="eastAsia" w:asciiTheme="minorEastAsia" w:hAnsiTheme="minorEastAsia" w:eastAsiaTheme="minorEastAsia"/>
                <w:b/>
                <w:color w:val="auto"/>
                <w:szCs w:val="21"/>
                <w:highlight w:val="none"/>
              </w:rPr>
            </w:pPr>
            <w:r>
              <w:rPr>
                <w:rFonts w:cs="UPNQIO+ËÎÌå" w:asciiTheme="minorEastAsia" w:hAnsiTheme="minorEastAsia" w:eastAsiaTheme="minorEastAsia"/>
                <w:b/>
                <w:color w:val="auto"/>
                <w:spacing w:val="9"/>
                <w:szCs w:val="21"/>
                <w:highlight w:val="none"/>
              </w:rPr>
              <w:t>评审标准</w:t>
            </w:r>
          </w:p>
        </w:tc>
      </w:tr>
      <w:tr w14:paraId="42D76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37" w:type="dxa"/>
            <w:vMerge w:val="restart"/>
            <w:vAlign w:val="center"/>
          </w:tcPr>
          <w:p w14:paraId="693846F1">
            <w:pPr>
              <w:snapToGrid w:val="0"/>
              <w:spacing w:line="360" w:lineRule="auto"/>
              <w:jc w:val="center"/>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2.1.1</w:t>
            </w:r>
          </w:p>
        </w:tc>
        <w:tc>
          <w:tcPr>
            <w:tcW w:w="1610" w:type="dxa"/>
            <w:vMerge w:val="restart"/>
            <w:vAlign w:val="center"/>
          </w:tcPr>
          <w:p w14:paraId="2F066DDC">
            <w:pPr>
              <w:snapToGrid w:val="0"/>
              <w:spacing w:line="276" w:lineRule="auto"/>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资格审查</w:t>
            </w:r>
          </w:p>
          <w:p w14:paraId="24B15063">
            <w:pPr>
              <w:snapToGrid w:val="0"/>
              <w:spacing w:line="276" w:lineRule="auto"/>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标准</w:t>
            </w:r>
          </w:p>
        </w:tc>
        <w:tc>
          <w:tcPr>
            <w:tcW w:w="2410" w:type="dxa"/>
            <w:vAlign w:val="center"/>
          </w:tcPr>
          <w:p w14:paraId="4165BA09">
            <w:pPr>
              <w:spacing w:line="276"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具有独立承担民事责任的能力</w:t>
            </w:r>
          </w:p>
        </w:tc>
        <w:tc>
          <w:tcPr>
            <w:tcW w:w="4195" w:type="dxa"/>
            <w:gridSpan w:val="2"/>
            <w:vAlign w:val="center"/>
          </w:tcPr>
          <w:p w14:paraId="769EBD76">
            <w:pPr>
              <w:spacing w:line="276" w:lineRule="auto"/>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符合第二章“供应商须知</w:t>
            </w:r>
            <w:r>
              <w:rPr>
                <w:rFonts w:hint="eastAsia" w:asciiTheme="minorEastAsia" w:hAnsiTheme="minorEastAsia" w:eastAsiaTheme="minorEastAsia"/>
                <w:color w:val="auto"/>
                <w:szCs w:val="21"/>
                <w:highlight w:val="none"/>
              </w:rPr>
              <w:t>前附表</w:t>
            </w:r>
            <w:r>
              <w:rPr>
                <w:rFonts w:asciiTheme="minorEastAsia" w:hAnsiTheme="minorEastAsia" w:eastAsiaTheme="minorEastAsia"/>
                <w:color w:val="auto"/>
                <w:szCs w:val="21"/>
                <w:highlight w:val="none"/>
              </w:rPr>
              <w:t>”第</w:t>
            </w:r>
            <w:r>
              <w:rPr>
                <w:rFonts w:hint="eastAsia" w:asciiTheme="minorEastAsia" w:hAnsiTheme="minorEastAsia" w:eastAsiaTheme="minorEastAsia"/>
                <w:color w:val="auto"/>
                <w:szCs w:val="21"/>
                <w:highlight w:val="none"/>
              </w:rPr>
              <w:t>1.4.1</w:t>
            </w:r>
            <w:r>
              <w:rPr>
                <w:rFonts w:asciiTheme="minorEastAsia" w:hAnsiTheme="minorEastAsia" w:eastAsiaTheme="minorEastAsia"/>
                <w:color w:val="auto"/>
                <w:szCs w:val="21"/>
                <w:highlight w:val="none"/>
              </w:rPr>
              <w:t>项</w:t>
            </w:r>
            <w:r>
              <w:rPr>
                <w:rFonts w:hint="eastAsia" w:asciiTheme="minorEastAsia" w:hAnsiTheme="minorEastAsia" w:eastAsiaTheme="minorEastAsia"/>
                <w:color w:val="auto"/>
                <w:szCs w:val="21"/>
                <w:highlight w:val="none"/>
              </w:rPr>
              <w:t>规定</w:t>
            </w:r>
          </w:p>
        </w:tc>
      </w:tr>
      <w:tr w14:paraId="6EC27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 w:hRule="atLeast"/>
          <w:jc w:val="center"/>
        </w:trPr>
        <w:tc>
          <w:tcPr>
            <w:tcW w:w="937" w:type="dxa"/>
            <w:vMerge w:val="continue"/>
            <w:vAlign w:val="center"/>
          </w:tcPr>
          <w:p w14:paraId="5BD8CB02">
            <w:pPr>
              <w:snapToGrid w:val="0"/>
              <w:spacing w:line="360" w:lineRule="auto"/>
              <w:jc w:val="center"/>
              <w:rPr>
                <w:rFonts w:hint="eastAsia" w:asciiTheme="minorEastAsia" w:hAnsiTheme="minorEastAsia" w:eastAsiaTheme="minorEastAsia"/>
                <w:color w:val="auto"/>
                <w:szCs w:val="21"/>
                <w:highlight w:val="none"/>
              </w:rPr>
            </w:pPr>
          </w:p>
        </w:tc>
        <w:tc>
          <w:tcPr>
            <w:tcW w:w="1610" w:type="dxa"/>
            <w:vMerge w:val="continue"/>
            <w:vAlign w:val="center"/>
          </w:tcPr>
          <w:p w14:paraId="26F10077">
            <w:pPr>
              <w:snapToGrid w:val="0"/>
              <w:spacing w:line="276" w:lineRule="auto"/>
              <w:jc w:val="center"/>
              <w:rPr>
                <w:rFonts w:hint="eastAsia" w:asciiTheme="minorEastAsia" w:hAnsiTheme="minorEastAsia" w:eastAsiaTheme="minorEastAsia"/>
                <w:color w:val="auto"/>
                <w:szCs w:val="21"/>
                <w:highlight w:val="none"/>
              </w:rPr>
            </w:pPr>
          </w:p>
        </w:tc>
        <w:tc>
          <w:tcPr>
            <w:tcW w:w="2410" w:type="dxa"/>
            <w:vAlign w:val="center"/>
          </w:tcPr>
          <w:p w14:paraId="06ABAEEC">
            <w:pPr>
              <w:spacing w:line="276"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具有良好的商业信誉和健全的财务会计制度</w:t>
            </w:r>
          </w:p>
        </w:tc>
        <w:tc>
          <w:tcPr>
            <w:tcW w:w="4195" w:type="dxa"/>
            <w:gridSpan w:val="2"/>
            <w:vAlign w:val="center"/>
          </w:tcPr>
          <w:p w14:paraId="03625779">
            <w:pPr>
              <w:spacing w:line="276" w:lineRule="auto"/>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符合第二章“供应商须知</w:t>
            </w:r>
            <w:r>
              <w:rPr>
                <w:rFonts w:hint="eastAsia" w:asciiTheme="minorEastAsia" w:hAnsiTheme="minorEastAsia" w:eastAsiaTheme="minorEastAsia"/>
                <w:color w:val="auto"/>
                <w:szCs w:val="21"/>
                <w:highlight w:val="none"/>
              </w:rPr>
              <w:t>前附表</w:t>
            </w:r>
            <w:r>
              <w:rPr>
                <w:rFonts w:asciiTheme="minorEastAsia" w:hAnsiTheme="minorEastAsia" w:eastAsiaTheme="minorEastAsia"/>
                <w:color w:val="auto"/>
                <w:szCs w:val="21"/>
                <w:highlight w:val="none"/>
              </w:rPr>
              <w:t>”第</w:t>
            </w:r>
            <w:r>
              <w:rPr>
                <w:rFonts w:hint="eastAsia" w:asciiTheme="minorEastAsia" w:hAnsiTheme="minorEastAsia" w:eastAsiaTheme="minorEastAsia"/>
                <w:color w:val="auto"/>
                <w:szCs w:val="21"/>
                <w:highlight w:val="none"/>
              </w:rPr>
              <w:t>1.4.1</w:t>
            </w:r>
            <w:r>
              <w:rPr>
                <w:rFonts w:asciiTheme="minorEastAsia" w:hAnsiTheme="minorEastAsia" w:eastAsiaTheme="minorEastAsia"/>
                <w:color w:val="auto"/>
                <w:szCs w:val="21"/>
                <w:highlight w:val="none"/>
              </w:rPr>
              <w:t>项</w:t>
            </w:r>
            <w:r>
              <w:rPr>
                <w:rFonts w:hint="eastAsia" w:asciiTheme="minorEastAsia" w:hAnsiTheme="minorEastAsia" w:eastAsiaTheme="minorEastAsia"/>
                <w:color w:val="auto"/>
                <w:szCs w:val="21"/>
                <w:highlight w:val="none"/>
              </w:rPr>
              <w:t>规定</w:t>
            </w:r>
          </w:p>
        </w:tc>
      </w:tr>
      <w:tr w14:paraId="3C855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937" w:type="dxa"/>
            <w:vMerge w:val="continue"/>
            <w:vAlign w:val="center"/>
          </w:tcPr>
          <w:p w14:paraId="358B168C">
            <w:pPr>
              <w:snapToGrid w:val="0"/>
              <w:spacing w:line="360" w:lineRule="auto"/>
              <w:jc w:val="center"/>
              <w:rPr>
                <w:rFonts w:hint="eastAsia" w:asciiTheme="minorEastAsia" w:hAnsiTheme="minorEastAsia" w:eastAsiaTheme="minorEastAsia"/>
                <w:color w:val="auto"/>
                <w:szCs w:val="21"/>
                <w:highlight w:val="none"/>
              </w:rPr>
            </w:pPr>
          </w:p>
        </w:tc>
        <w:tc>
          <w:tcPr>
            <w:tcW w:w="1610" w:type="dxa"/>
            <w:vMerge w:val="continue"/>
            <w:vAlign w:val="center"/>
          </w:tcPr>
          <w:p w14:paraId="33ECCBCE">
            <w:pPr>
              <w:snapToGrid w:val="0"/>
              <w:spacing w:line="276" w:lineRule="auto"/>
              <w:jc w:val="center"/>
              <w:rPr>
                <w:rFonts w:hint="eastAsia" w:asciiTheme="minorEastAsia" w:hAnsiTheme="minorEastAsia" w:eastAsiaTheme="minorEastAsia"/>
                <w:color w:val="auto"/>
                <w:szCs w:val="21"/>
                <w:highlight w:val="none"/>
              </w:rPr>
            </w:pPr>
          </w:p>
        </w:tc>
        <w:tc>
          <w:tcPr>
            <w:tcW w:w="2410" w:type="dxa"/>
            <w:vAlign w:val="center"/>
          </w:tcPr>
          <w:p w14:paraId="1E537A99">
            <w:pPr>
              <w:spacing w:line="276"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履行合同所必需的设备和专业技术能力</w:t>
            </w:r>
          </w:p>
        </w:tc>
        <w:tc>
          <w:tcPr>
            <w:tcW w:w="4195" w:type="dxa"/>
            <w:gridSpan w:val="2"/>
            <w:vAlign w:val="center"/>
          </w:tcPr>
          <w:p w14:paraId="0393147B">
            <w:pPr>
              <w:spacing w:line="276" w:lineRule="auto"/>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符合第二章“供应商须知</w:t>
            </w:r>
            <w:r>
              <w:rPr>
                <w:rFonts w:hint="eastAsia" w:asciiTheme="minorEastAsia" w:hAnsiTheme="minorEastAsia" w:eastAsiaTheme="minorEastAsia"/>
                <w:color w:val="auto"/>
                <w:szCs w:val="21"/>
                <w:highlight w:val="none"/>
              </w:rPr>
              <w:t>前附表</w:t>
            </w:r>
            <w:r>
              <w:rPr>
                <w:rFonts w:asciiTheme="minorEastAsia" w:hAnsiTheme="minorEastAsia" w:eastAsiaTheme="minorEastAsia"/>
                <w:color w:val="auto"/>
                <w:szCs w:val="21"/>
                <w:highlight w:val="none"/>
              </w:rPr>
              <w:t>”第</w:t>
            </w:r>
            <w:r>
              <w:rPr>
                <w:rFonts w:hint="eastAsia" w:asciiTheme="minorEastAsia" w:hAnsiTheme="minorEastAsia" w:eastAsiaTheme="minorEastAsia"/>
                <w:color w:val="auto"/>
                <w:szCs w:val="21"/>
                <w:highlight w:val="none"/>
              </w:rPr>
              <w:t>1.4.1</w:t>
            </w:r>
            <w:r>
              <w:rPr>
                <w:rFonts w:asciiTheme="minorEastAsia" w:hAnsiTheme="minorEastAsia" w:eastAsiaTheme="minorEastAsia"/>
                <w:color w:val="auto"/>
                <w:szCs w:val="21"/>
                <w:highlight w:val="none"/>
              </w:rPr>
              <w:t>项</w:t>
            </w:r>
            <w:r>
              <w:rPr>
                <w:rFonts w:hint="eastAsia" w:asciiTheme="minorEastAsia" w:hAnsiTheme="minorEastAsia" w:eastAsiaTheme="minorEastAsia"/>
                <w:color w:val="auto"/>
                <w:szCs w:val="21"/>
                <w:highlight w:val="none"/>
              </w:rPr>
              <w:t>规定</w:t>
            </w:r>
          </w:p>
        </w:tc>
      </w:tr>
      <w:tr w14:paraId="139D9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 w:hRule="atLeast"/>
          <w:jc w:val="center"/>
        </w:trPr>
        <w:tc>
          <w:tcPr>
            <w:tcW w:w="937" w:type="dxa"/>
            <w:vMerge w:val="continue"/>
            <w:vAlign w:val="center"/>
          </w:tcPr>
          <w:p w14:paraId="6384F1E3">
            <w:pPr>
              <w:snapToGrid w:val="0"/>
              <w:spacing w:line="360" w:lineRule="auto"/>
              <w:jc w:val="center"/>
              <w:rPr>
                <w:rFonts w:hint="eastAsia" w:asciiTheme="minorEastAsia" w:hAnsiTheme="minorEastAsia" w:eastAsiaTheme="minorEastAsia"/>
                <w:color w:val="auto"/>
                <w:szCs w:val="21"/>
                <w:highlight w:val="none"/>
              </w:rPr>
            </w:pPr>
          </w:p>
        </w:tc>
        <w:tc>
          <w:tcPr>
            <w:tcW w:w="1610" w:type="dxa"/>
            <w:vMerge w:val="continue"/>
            <w:vAlign w:val="center"/>
          </w:tcPr>
          <w:p w14:paraId="7E406D53">
            <w:pPr>
              <w:snapToGrid w:val="0"/>
              <w:spacing w:line="276" w:lineRule="auto"/>
              <w:jc w:val="center"/>
              <w:rPr>
                <w:rFonts w:hint="eastAsia" w:asciiTheme="minorEastAsia" w:hAnsiTheme="minorEastAsia" w:eastAsiaTheme="minorEastAsia"/>
                <w:color w:val="auto"/>
                <w:szCs w:val="21"/>
                <w:highlight w:val="none"/>
              </w:rPr>
            </w:pPr>
          </w:p>
        </w:tc>
        <w:tc>
          <w:tcPr>
            <w:tcW w:w="2410" w:type="dxa"/>
            <w:vAlign w:val="center"/>
          </w:tcPr>
          <w:p w14:paraId="08AEFD85">
            <w:pPr>
              <w:spacing w:line="276"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有依法缴纳税收和社会保障资金的良好记录</w:t>
            </w:r>
          </w:p>
        </w:tc>
        <w:tc>
          <w:tcPr>
            <w:tcW w:w="4195" w:type="dxa"/>
            <w:gridSpan w:val="2"/>
            <w:vAlign w:val="center"/>
          </w:tcPr>
          <w:p w14:paraId="3C408E3D">
            <w:pPr>
              <w:spacing w:line="276" w:lineRule="auto"/>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符合第二章“供应商须知</w:t>
            </w:r>
            <w:r>
              <w:rPr>
                <w:rFonts w:hint="eastAsia" w:asciiTheme="minorEastAsia" w:hAnsiTheme="minorEastAsia" w:eastAsiaTheme="minorEastAsia"/>
                <w:color w:val="auto"/>
                <w:szCs w:val="21"/>
                <w:highlight w:val="none"/>
              </w:rPr>
              <w:t>前附表</w:t>
            </w:r>
            <w:r>
              <w:rPr>
                <w:rFonts w:asciiTheme="minorEastAsia" w:hAnsiTheme="minorEastAsia" w:eastAsiaTheme="minorEastAsia"/>
                <w:color w:val="auto"/>
                <w:szCs w:val="21"/>
                <w:highlight w:val="none"/>
              </w:rPr>
              <w:t>”第</w:t>
            </w:r>
            <w:r>
              <w:rPr>
                <w:rFonts w:hint="eastAsia" w:asciiTheme="minorEastAsia" w:hAnsiTheme="minorEastAsia" w:eastAsiaTheme="minorEastAsia"/>
                <w:color w:val="auto"/>
                <w:szCs w:val="21"/>
                <w:highlight w:val="none"/>
              </w:rPr>
              <w:t>1.4.1</w:t>
            </w:r>
            <w:r>
              <w:rPr>
                <w:rFonts w:asciiTheme="minorEastAsia" w:hAnsiTheme="minorEastAsia" w:eastAsiaTheme="minorEastAsia"/>
                <w:color w:val="auto"/>
                <w:szCs w:val="21"/>
                <w:highlight w:val="none"/>
              </w:rPr>
              <w:t>项</w:t>
            </w:r>
            <w:r>
              <w:rPr>
                <w:rFonts w:hint="eastAsia" w:asciiTheme="minorEastAsia" w:hAnsiTheme="minorEastAsia" w:eastAsiaTheme="minorEastAsia"/>
                <w:color w:val="auto"/>
                <w:szCs w:val="21"/>
                <w:highlight w:val="none"/>
              </w:rPr>
              <w:t>规定</w:t>
            </w:r>
          </w:p>
        </w:tc>
      </w:tr>
      <w:tr w14:paraId="7C19E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jc w:val="center"/>
        </w:trPr>
        <w:tc>
          <w:tcPr>
            <w:tcW w:w="937" w:type="dxa"/>
            <w:vMerge w:val="continue"/>
            <w:vAlign w:val="center"/>
          </w:tcPr>
          <w:p w14:paraId="20156C3C">
            <w:pPr>
              <w:snapToGrid w:val="0"/>
              <w:spacing w:line="360" w:lineRule="auto"/>
              <w:jc w:val="center"/>
              <w:rPr>
                <w:rFonts w:hint="eastAsia" w:asciiTheme="minorEastAsia" w:hAnsiTheme="minorEastAsia" w:eastAsiaTheme="minorEastAsia"/>
                <w:color w:val="auto"/>
                <w:szCs w:val="21"/>
                <w:highlight w:val="none"/>
              </w:rPr>
            </w:pPr>
          </w:p>
        </w:tc>
        <w:tc>
          <w:tcPr>
            <w:tcW w:w="1610" w:type="dxa"/>
            <w:vMerge w:val="continue"/>
            <w:vAlign w:val="center"/>
          </w:tcPr>
          <w:p w14:paraId="70E5F2E4">
            <w:pPr>
              <w:snapToGrid w:val="0"/>
              <w:spacing w:line="276" w:lineRule="auto"/>
              <w:jc w:val="center"/>
              <w:rPr>
                <w:rFonts w:hint="eastAsia" w:asciiTheme="minorEastAsia" w:hAnsiTheme="minorEastAsia" w:eastAsiaTheme="minorEastAsia"/>
                <w:color w:val="auto"/>
                <w:szCs w:val="21"/>
                <w:highlight w:val="none"/>
              </w:rPr>
            </w:pPr>
          </w:p>
        </w:tc>
        <w:tc>
          <w:tcPr>
            <w:tcW w:w="2410" w:type="dxa"/>
            <w:vAlign w:val="center"/>
          </w:tcPr>
          <w:p w14:paraId="40A3FE67">
            <w:pPr>
              <w:spacing w:line="276"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参加政府采购活动前三年内，在经营活动中没有重大违法记录</w:t>
            </w:r>
          </w:p>
        </w:tc>
        <w:tc>
          <w:tcPr>
            <w:tcW w:w="4195" w:type="dxa"/>
            <w:gridSpan w:val="2"/>
            <w:vAlign w:val="center"/>
          </w:tcPr>
          <w:p w14:paraId="6E638CB5">
            <w:pPr>
              <w:spacing w:line="276" w:lineRule="auto"/>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符合第二章“供应商须知</w:t>
            </w:r>
            <w:r>
              <w:rPr>
                <w:rFonts w:hint="eastAsia" w:asciiTheme="minorEastAsia" w:hAnsiTheme="minorEastAsia" w:eastAsiaTheme="minorEastAsia"/>
                <w:color w:val="auto"/>
                <w:szCs w:val="21"/>
                <w:highlight w:val="none"/>
              </w:rPr>
              <w:t>前附表</w:t>
            </w:r>
            <w:r>
              <w:rPr>
                <w:rFonts w:asciiTheme="minorEastAsia" w:hAnsiTheme="minorEastAsia" w:eastAsiaTheme="minorEastAsia"/>
                <w:color w:val="auto"/>
                <w:szCs w:val="21"/>
                <w:highlight w:val="none"/>
              </w:rPr>
              <w:t>”第</w:t>
            </w:r>
            <w:r>
              <w:rPr>
                <w:rFonts w:hint="eastAsia" w:asciiTheme="minorEastAsia" w:hAnsiTheme="minorEastAsia" w:eastAsiaTheme="minorEastAsia"/>
                <w:color w:val="auto"/>
                <w:szCs w:val="21"/>
                <w:highlight w:val="none"/>
              </w:rPr>
              <w:t>1.4.1</w:t>
            </w:r>
            <w:r>
              <w:rPr>
                <w:rFonts w:asciiTheme="minorEastAsia" w:hAnsiTheme="minorEastAsia" w:eastAsiaTheme="minorEastAsia"/>
                <w:color w:val="auto"/>
                <w:szCs w:val="21"/>
                <w:highlight w:val="none"/>
              </w:rPr>
              <w:t>项</w:t>
            </w:r>
            <w:r>
              <w:rPr>
                <w:rFonts w:hint="eastAsia" w:asciiTheme="minorEastAsia" w:hAnsiTheme="minorEastAsia" w:eastAsiaTheme="minorEastAsia"/>
                <w:color w:val="auto"/>
                <w:szCs w:val="21"/>
                <w:highlight w:val="none"/>
              </w:rPr>
              <w:t>规定</w:t>
            </w:r>
          </w:p>
        </w:tc>
      </w:tr>
      <w:tr w14:paraId="026AA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jc w:val="center"/>
        </w:trPr>
        <w:tc>
          <w:tcPr>
            <w:tcW w:w="937" w:type="dxa"/>
            <w:vMerge w:val="continue"/>
            <w:vAlign w:val="center"/>
          </w:tcPr>
          <w:p w14:paraId="6FD591A1">
            <w:pPr>
              <w:snapToGrid w:val="0"/>
              <w:spacing w:line="360" w:lineRule="auto"/>
              <w:jc w:val="center"/>
              <w:rPr>
                <w:rFonts w:hint="eastAsia" w:asciiTheme="minorEastAsia" w:hAnsiTheme="minorEastAsia" w:eastAsiaTheme="minorEastAsia"/>
                <w:color w:val="auto"/>
                <w:szCs w:val="21"/>
                <w:highlight w:val="none"/>
              </w:rPr>
            </w:pPr>
          </w:p>
        </w:tc>
        <w:tc>
          <w:tcPr>
            <w:tcW w:w="1610" w:type="dxa"/>
            <w:vMerge w:val="continue"/>
            <w:vAlign w:val="center"/>
          </w:tcPr>
          <w:p w14:paraId="4D0204AC">
            <w:pPr>
              <w:snapToGrid w:val="0"/>
              <w:spacing w:line="276" w:lineRule="auto"/>
              <w:jc w:val="center"/>
              <w:rPr>
                <w:rFonts w:hint="eastAsia" w:asciiTheme="minorEastAsia" w:hAnsiTheme="minorEastAsia" w:eastAsiaTheme="minorEastAsia"/>
                <w:color w:val="auto"/>
                <w:szCs w:val="21"/>
                <w:highlight w:val="none"/>
              </w:rPr>
            </w:pPr>
          </w:p>
        </w:tc>
        <w:tc>
          <w:tcPr>
            <w:tcW w:w="2410" w:type="dxa"/>
            <w:vAlign w:val="center"/>
          </w:tcPr>
          <w:p w14:paraId="62B03A01">
            <w:pPr>
              <w:spacing w:line="276" w:lineRule="auto"/>
              <w:rPr>
                <w:rFonts w:hint="eastAsia" w:asciiTheme="minorEastAsia" w:hAnsiTheme="minorEastAsia" w:eastAsiaTheme="minorEastAsia"/>
                <w:color w:val="auto"/>
                <w:szCs w:val="21"/>
                <w:highlight w:val="none"/>
              </w:rPr>
            </w:pPr>
            <w:r>
              <w:rPr>
                <w:rFonts w:hint="eastAsia" w:ascii="宋体" w:hAnsi="宋体" w:cs="宋体"/>
                <w:bCs/>
                <w:color w:val="auto"/>
                <w:highlight w:val="none"/>
              </w:rPr>
              <w:t>法律、行政法规规定的其他条件</w:t>
            </w:r>
          </w:p>
        </w:tc>
        <w:tc>
          <w:tcPr>
            <w:tcW w:w="4195" w:type="dxa"/>
            <w:gridSpan w:val="2"/>
            <w:vAlign w:val="center"/>
          </w:tcPr>
          <w:p w14:paraId="19C3741D">
            <w:pPr>
              <w:spacing w:line="276"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符合第二章“供应商须知</w:t>
            </w:r>
            <w:r>
              <w:rPr>
                <w:rFonts w:hint="eastAsia" w:asciiTheme="minorEastAsia" w:hAnsiTheme="minorEastAsia" w:eastAsiaTheme="minorEastAsia"/>
                <w:color w:val="auto"/>
                <w:szCs w:val="21"/>
                <w:highlight w:val="none"/>
              </w:rPr>
              <w:t>前附表</w:t>
            </w:r>
            <w:r>
              <w:rPr>
                <w:rFonts w:asciiTheme="minorEastAsia" w:hAnsiTheme="minorEastAsia" w:eastAsiaTheme="minorEastAsia"/>
                <w:color w:val="auto"/>
                <w:szCs w:val="21"/>
                <w:highlight w:val="none"/>
              </w:rPr>
              <w:t>”第</w:t>
            </w:r>
            <w:r>
              <w:rPr>
                <w:rFonts w:hint="eastAsia" w:asciiTheme="minorEastAsia" w:hAnsiTheme="minorEastAsia" w:eastAsiaTheme="minorEastAsia"/>
                <w:color w:val="auto"/>
                <w:szCs w:val="21"/>
                <w:highlight w:val="none"/>
              </w:rPr>
              <w:t>1.4.1</w:t>
            </w:r>
            <w:r>
              <w:rPr>
                <w:rFonts w:asciiTheme="minorEastAsia" w:hAnsiTheme="minorEastAsia" w:eastAsiaTheme="minorEastAsia"/>
                <w:color w:val="auto"/>
                <w:szCs w:val="21"/>
                <w:highlight w:val="none"/>
              </w:rPr>
              <w:t>项</w:t>
            </w:r>
            <w:r>
              <w:rPr>
                <w:rFonts w:hint="eastAsia" w:asciiTheme="minorEastAsia" w:hAnsiTheme="minorEastAsia" w:eastAsiaTheme="minorEastAsia"/>
                <w:color w:val="auto"/>
                <w:szCs w:val="21"/>
                <w:highlight w:val="none"/>
              </w:rPr>
              <w:t>规定</w:t>
            </w:r>
          </w:p>
        </w:tc>
      </w:tr>
      <w:tr w14:paraId="4A54A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jc w:val="center"/>
        </w:trPr>
        <w:tc>
          <w:tcPr>
            <w:tcW w:w="937" w:type="dxa"/>
            <w:vMerge w:val="continue"/>
            <w:vAlign w:val="center"/>
          </w:tcPr>
          <w:p w14:paraId="437789B9">
            <w:pPr>
              <w:snapToGrid w:val="0"/>
              <w:spacing w:line="360" w:lineRule="auto"/>
              <w:jc w:val="center"/>
              <w:rPr>
                <w:rFonts w:hint="eastAsia" w:asciiTheme="minorEastAsia" w:hAnsiTheme="minorEastAsia" w:eastAsiaTheme="minorEastAsia"/>
                <w:color w:val="auto"/>
                <w:szCs w:val="21"/>
                <w:highlight w:val="none"/>
              </w:rPr>
            </w:pPr>
          </w:p>
        </w:tc>
        <w:tc>
          <w:tcPr>
            <w:tcW w:w="1610" w:type="dxa"/>
            <w:vMerge w:val="continue"/>
            <w:vAlign w:val="center"/>
          </w:tcPr>
          <w:p w14:paraId="2F15A9C1">
            <w:pPr>
              <w:snapToGrid w:val="0"/>
              <w:spacing w:line="276" w:lineRule="auto"/>
              <w:jc w:val="center"/>
              <w:rPr>
                <w:rFonts w:hint="eastAsia" w:asciiTheme="minorEastAsia" w:hAnsiTheme="minorEastAsia" w:eastAsiaTheme="minorEastAsia"/>
                <w:color w:val="auto"/>
                <w:szCs w:val="21"/>
                <w:highlight w:val="none"/>
              </w:rPr>
            </w:pPr>
          </w:p>
        </w:tc>
        <w:tc>
          <w:tcPr>
            <w:tcW w:w="2410" w:type="dxa"/>
            <w:vAlign w:val="center"/>
          </w:tcPr>
          <w:p w14:paraId="12103025">
            <w:pPr>
              <w:spacing w:line="276"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落实政府采购政策需满足的资格要求</w:t>
            </w:r>
          </w:p>
        </w:tc>
        <w:tc>
          <w:tcPr>
            <w:tcW w:w="4195" w:type="dxa"/>
            <w:gridSpan w:val="2"/>
            <w:vAlign w:val="center"/>
          </w:tcPr>
          <w:p w14:paraId="089C588E">
            <w:pPr>
              <w:spacing w:line="276"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符合第二章“供应商须知</w:t>
            </w:r>
            <w:r>
              <w:rPr>
                <w:rFonts w:hint="eastAsia" w:asciiTheme="minorEastAsia" w:hAnsiTheme="minorEastAsia" w:eastAsiaTheme="minorEastAsia"/>
                <w:color w:val="auto"/>
                <w:szCs w:val="21"/>
                <w:highlight w:val="none"/>
              </w:rPr>
              <w:t>前附表</w:t>
            </w:r>
            <w:r>
              <w:rPr>
                <w:rFonts w:asciiTheme="minorEastAsia" w:hAnsiTheme="minorEastAsia" w:eastAsiaTheme="minorEastAsia"/>
                <w:color w:val="auto"/>
                <w:szCs w:val="21"/>
                <w:highlight w:val="none"/>
              </w:rPr>
              <w:t>”第</w:t>
            </w:r>
            <w:r>
              <w:rPr>
                <w:rFonts w:hint="eastAsia" w:asciiTheme="minorEastAsia" w:hAnsiTheme="minorEastAsia" w:eastAsiaTheme="minorEastAsia"/>
                <w:color w:val="auto"/>
                <w:szCs w:val="21"/>
                <w:highlight w:val="none"/>
              </w:rPr>
              <w:t>1.4.1</w:t>
            </w:r>
            <w:r>
              <w:rPr>
                <w:rFonts w:asciiTheme="minorEastAsia" w:hAnsiTheme="minorEastAsia" w:eastAsiaTheme="minorEastAsia"/>
                <w:color w:val="auto"/>
                <w:szCs w:val="21"/>
                <w:highlight w:val="none"/>
              </w:rPr>
              <w:t>项</w:t>
            </w:r>
            <w:r>
              <w:rPr>
                <w:rFonts w:hint="eastAsia" w:asciiTheme="minorEastAsia" w:hAnsiTheme="minorEastAsia" w:eastAsiaTheme="minorEastAsia"/>
                <w:color w:val="auto"/>
                <w:szCs w:val="21"/>
                <w:highlight w:val="none"/>
              </w:rPr>
              <w:t>规定</w:t>
            </w:r>
          </w:p>
        </w:tc>
      </w:tr>
      <w:tr w14:paraId="07C67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jc w:val="center"/>
        </w:trPr>
        <w:tc>
          <w:tcPr>
            <w:tcW w:w="937" w:type="dxa"/>
            <w:vMerge w:val="continue"/>
            <w:vAlign w:val="center"/>
          </w:tcPr>
          <w:p w14:paraId="18C4FFA7">
            <w:pPr>
              <w:snapToGrid w:val="0"/>
              <w:spacing w:line="360" w:lineRule="auto"/>
              <w:jc w:val="center"/>
              <w:rPr>
                <w:rFonts w:hint="eastAsia" w:asciiTheme="minorEastAsia" w:hAnsiTheme="minorEastAsia" w:eastAsiaTheme="minorEastAsia"/>
                <w:color w:val="auto"/>
                <w:szCs w:val="21"/>
                <w:highlight w:val="none"/>
              </w:rPr>
            </w:pPr>
          </w:p>
        </w:tc>
        <w:tc>
          <w:tcPr>
            <w:tcW w:w="1610" w:type="dxa"/>
            <w:vMerge w:val="continue"/>
            <w:vAlign w:val="center"/>
          </w:tcPr>
          <w:p w14:paraId="014DF113">
            <w:pPr>
              <w:snapToGrid w:val="0"/>
              <w:spacing w:line="276" w:lineRule="auto"/>
              <w:jc w:val="center"/>
              <w:rPr>
                <w:rFonts w:hint="eastAsia" w:asciiTheme="minorEastAsia" w:hAnsiTheme="minorEastAsia" w:eastAsiaTheme="minorEastAsia"/>
                <w:color w:val="auto"/>
                <w:szCs w:val="21"/>
                <w:highlight w:val="none"/>
              </w:rPr>
            </w:pPr>
          </w:p>
        </w:tc>
        <w:tc>
          <w:tcPr>
            <w:tcW w:w="2410" w:type="dxa"/>
            <w:vAlign w:val="center"/>
          </w:tcPr>
          <w:p w14:paraId="262616E8">
            <w:pPr>
              <w:spacing w:line="276"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本项目的特定资格要求</w:t>
            </w:r>
          </w:p>
        </w:tc>
        <w:tc>
          <w:tcPr>
            <w:tcW w:w="4195" w:type="dxa"/>
            <w:gridSpan w:val="2"/>
            <w:vAlign w:val="center"/>
          </w:tcPr>
          <w:p w14:paraId="1E49942E">
            <w:pPr>
              <w:spacing w:line="276" w:lineRule="auto"/>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符合第二章“供应商须知</w:t>
            </w:r>
            <w:r>
              <w:rPr>
                <w:rFonts w:hint="eastAsia" w:asciiTheme="minorEastAsia" w:hAnsiTheme="minorEastAsia" w:eastAsiaTheme="minorEastAsia"/>
                <w:color w:val="auto"/>
                <w:szCs w:val="21"/>
                <w:highlight w:val="none"/>
              </w:rPr>
              <w:t>前附表</w:t>
            </w:r>
            <w:r>
              <w:rPr>
                <w:rFonts w:asciiTheme="minorEastAsia" w:hAnsiTheme="minorEastAsia" w:eastAsiaTheme="minorEastAsia"/>
                <w:color w:val="auto"/>
                <w:szCs w:val="21"/>
                <w:highlight w:val="none"/>
              </w:rPr>
              <w:t>”第</w:t>
            </w:r>
            <w:r>
              <w:rPr>
                <w:rFonts w:hint="eastAsia" w:asciiTheme="minorEastAsia" w:hAnsiTheme="minorEastAsia" w:eastAsiaTheme="minorEastAsia"/>
                <w:color w:val="auto"/>
                <w:szCs w:val="21"/>
                <w:highlight w:val="none"/>
              </w:rPr>
              <w:t>1.4.1</w:t>
            </w:r>
            <w:r>
              <w:rPr>
                <w:rFonts w:asciiTheme="minorEastAsia" w:hAnsiTheme="minorEastAsia" w:eastAsiaTheme="minorEastAsia"/>
                <w:color w:val="auto"/>
                <w:szCs w:val="21"/>
                <w:highlight w:val="none"/>
              </w:rPr>
              <w:t>项</w:t>
            </w:r>
            <w:r>
              <w:rPr>
                <w:rFonts w:hint="eastAsia" w:asciiTheme="minorEastAsia" w:hAnsiTheme="minorEastAsia" w:eastAsiaTheme="minorEastAsia"/>
                <w:color w:val="auto"/>
                <w:szCs w:val="21"/>
                <w:highlight w:val="none"/>
              </w:rPr>
              <w:t>规定</w:t>
            </w:r>
          </w:p>
        </w:tc>
      </w:tr>
      <w:tr w14:paraId="0A77E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37" w:type="dxa"/>
            <w:vMerge w:val="restart"/>
            <w:vAlign w:val="center"/>
          </w:tcPr>
          <w:p w14:paraId="649567F3">
            <w:pPr>
              <w:snapToGrid w:val="0"/>
              <w:spacing w:line="360" w:lineRule="auto"/>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2.1.2</w:t>
            </w:r>
          </w:p>
        </w:tc>
        <w:tc>
          <w:tcPr>
            <w:tcW w:w="1610" w:type="dxa"/>
            <w:vMerge w:val="restart"/>
            <w:vAlign w:val="center"/>
          </w:tcPr>
          <w:p w14:paraId="52C1C8EE">
            <w:pPr>
              <w:snapToGrid w:val="0"/>
              <w:spacing w:line="276" w:lineRule="auto"/>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符合性审查</w:t>
            </w:r>
          </w:p>
          <w:p w14:paraId="6F4626FA">
            <w:pPr>
              <w:snapToGrid w:val="0"/>
              <w:spacing w:line="276" w:lineRule="auto"/>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标准</w:t>
            </w:r>
          </w:p>
        </w:tc>
        <w:tc>
          <w:tcPr>
            <w:tcW w:w="2410" w:type="dxa"/>
            <w:vAlign w:val="center"/>
          </w:tcPr>
          <w:p w14:paraId="715240D3">
            <w:pPr>
              <w:spacing w:line="276" w:lineRule="auto"/>
              <w:rPr>
                <w:rFonts w:hint="eastAsia"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rPr>
              <w:t>响应文件</w:t>
            </w:r>
            <w:r>
              <w:rPr>
                <w:rFonts w:hint="eastAsia" w:asciiTheme="minorEastAsia" w:hAnsiTheme="minorEastAsia" w:eastAsiaTheme="minorEastAsia"/>
                <w:color w:val="auto"/>
                <w:szCs w:val="21"/>
                <w:highlight w:val="none"/>
                <w:lang w:val="en-US" w:eastAsia="zh-CN"/>
              </w:rPr>
              <w:t>格式</w:t>
            </w:r>
          </w:p>
        </w:tc>
        <w:tc>
          <w:tcPr>
            <w:tcW w:w="4195" w:type="dxa"/>
            <w:gridSpan w:val="2"/>
            <w:vAlign w:val="center"/>
          </w:tcPr>
          <w:p w14:paraId="7B8DD02A">
            <w:pPr>
              <w:spacing w:line="276"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符合第四章“响应文件格式”的规定</w:t>
            </w:r>
          </w:p>
        </w:tc>
      </w:tr>
      <w:tr w14:paraId="60AD9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37" w:type="dxa"/>
            <w:vMerge w:val="continue"/>
            <w:vAlign w:val="center"/>
          </w:tcPr>
          <w:p w14:paraId="343F0333">
            <w:pPr>
              <w:snapToGrid w:val="0"/>
              <w:spacing w:line="360" w:lineRule="auto"/>
              <w:jc w:val="center"/>
              <w:rPr>
                <w:rFonts w:hint="eastAsia" w:asciiTheme="minorEastAsia" w:hAnsiTheme="minorEastAsia" w:eastAsiaTheme="minorEastAsia"/>
                <w:color w:val="auto"/>
                <w:szCs w:val="21"/>
                <w:highlight w:val="none"/>
              </w:rPr>
            </w:pPr>
          </w:p>
        </w:tc>
        <w:tc>
          <w:tcPr>
            <w:tcW w:w="1610" w:type="dxa"/>
            <w:vMerge w:val="continue"/>
            <w:vAlign w:val="center"/>
          </w:tcPr>
          <w:p w14:paraId="706A8FE5">
            <w:pPr>
              <w:snapToGrid w:val="0"/>
              <w:spacing w:line="276" w:lineRule="auto"/>
              <w:jc w:val="center"/>
              <w:rPr>
                <w:rFonts w:hint="eastAsia" w:asciiTheme="minorEastAsia" w:hAnsiTheme="minorEastAsia" w:eastAsiaTheme="minorEastAsia"/>
                <w:color w:val="auto"/>
                <w:szCs w:val="21"/>
                <w:highlight w:val="none"/>
              </w:rPr>
            </w:pPr>
          </w:p>
        </w:tc>
        <w:tc>
          <w:tcPr>
            <w:tcW w:w="2410" w:type="dxa"/>
            <w:vAlign w:val="center"/>
          </w:tcPr>
          <w:p w14:paraId="431F3243">
            <w:pPr>
              <w:spacing w:line="276"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磋商函</w:t>
            </w:r>
          </w:p>
        </w:tc>
        <w:tc>
          <w:tcPr>
            <w:tcW w:w="4195" w:type="dxa"/>
            <w:gridSpan w:val="2"/>
            <w:vAlign w:val="center"/>
          </w:tcPr>
          <w:p w14:paraId="1ED807BD">
            <w:pPr>
              <w:spacing w:line="276" w:lineRule="auto"/>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符合</w:t>
            </w:r>
            <w:r>
              <w:rPr>
                <w:rFonts w:hint="eastAsia" w:asciiTheme="minorEastAsia" w:hAnsiTheme="minorEastAsia" w:eastAsiaTheme="minorEastAsia"/>
                <w:color w:val="auto"/>
                <w:szCs w:val="21"/>
                <w:highlight w:val="none"/>
              </w:rPr>
              <w:t>第四章“响应</w:t>
            </w:r>
            <w:r>
              <w:rPr>
                <w:rFonts w:asciiTheme="minorEastAsia" w:hAnsiTheme="minorEastAsia" w:eastAsiaTheme="minorEastAsia"/>
                <w:color w:val="auto"/>
                <w:szCs w:val="21"/>
                <w:highlight w:val="none"/>
              </w:rPr>
              <w:t>文件</w:t>
            </w:r>
            <w:r>
              <w:rPr>
                <w:rFonts w:hint="eastAsia" w:asciiTheme="minorEastAsia" w:hAnsiTheme="minorEastAsia" w:eastAsiaTheme="minorEastAsia"/>
                <w:color w:val="auto"/>
                <w:szCs w:val="21"/>
                <w:highlight w:val="none"/>
              </w:rPr>
              <w:t>格式”中“商务报价文件”第（一）项规定</w:t>
            </w:r>
          </w:p>
        </w:tc>
      </w:tr>
      <w:tr w14:paraId="43EEF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37" w:type="dxa"/>
            <w:vMerge w:val="continue"/>
            <w:vAlign w:val="center"/>
          </w:tcPr>
          <w:p w14:paraId="7E9A1264">
            <w:pPr>
              <w:snapToGrid w:val="0"/>
              <w:spacing w:line="360" w:lineRule="auto"/>
              <w:jc w:val="center"/>
              <w:rPr>
                <w:rFonts w:hint="eastAsia" w:asciiTheme="minorEastAsia" w:hAnsiTheme="minorEastAsia" w:eastAsiaTheme="minorEastAsia"/>
                <w:color w:val="auto"/>
                <w:szCs w:val="21"/>
                <w:highlight w:val="none"/>
              </w:rPr>
            </w:pPr>
          </w:p>
        </w:tc>
        <w:tc>
          <w:tcPr>
            <w:tcW w:w="1610" w:type="dxa"/>
            <w:vMerge w:val="continue"/>
            <w:vAlign w:val="center"/>
          </w:tcPr>
          <w:p w14:paraId="77C0810F">
            <w:pPr>
              <w:snapToGrid w:val="0"/>
              <w:spacing w:line="276" w:lineRule="auto"/>
              <w:jc w:val="center"/>
              <w:rPr>
                <w:rFonts w:hint="eastAsia" w:asciiTheme="minorEastAsia" w:hAnsiTheme="minorEastAsia" w:eastAsiaTheme="minorEastAsia"/>
                <w:color w:val="auto"/>
                <w:szCs w:val="21"/>
                <w:highlight w:val="none"/>
              </w:rPr>
            </w:pPr>
          </w:p>
        </w:tc>
        <w:tc>
          <w:tcPr>
            <w:tcW w:w="2410" w:type="dxa"/>
            <w:vAlign w:val="center"/>
          </w:tcPr>
          <w:p w14:paraId="2F240AAC">
            <w:pPr>
              <w:spacing w:line="276"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法定代表人身份证明及授权委托书</w:t>
            </w:r>
          </w:p>
        </w:tc>
        <w:tc>
          <w:tcPr>
            <w:tcW w:w="4195" w:type="dxa"/>
            <w:gridSpan w:val="2"/>
            <w:vAlign w:val="center"/>
          </w:tcPr>
          <w:p w14:paraId="14BA2375">
            <w:pPr>
              <w:spacing w:line="276" w:lineRule="auto"/>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符合</w:t>
            </w:r>
            <w:r>
              <w:rPr>
                <w:rFonts w:hint="eastAsia" w:asciiTheme="minorEastAsia" w:hAnsiTheme="minorEastAsia" w:eastAsiaTheme="minorEastAsia"/>
                <w:color w:val="auto"/>
                <w:szCs w:val="21"/>
                <w:highlight w:val="none"/>
              </w:rPr>
              <w:t>第四章“响应</w:t>
            </w:r>
            <w:r>
              <w:rPr>
                <w:rFonts w:asciiTheme="minorEastAsia" w:hAnsiTheme="minorEastAsia" w:eastAsiaTheme="minorEastAsia"/>
                <w:color w:val="auto"/>
                <w:szCs w:val="21"/>
                <w:highlight w:val="none"/>
              </w:rPr>
              <w:t>文件</w:t>
            </w:r>
            <w:r>
              <w:rPr>
                <w:rFonts w:hint="eastAsia" w:asciiTheme="minorEastAsia" w:hAnsiTheme="minorEastAsia" w:eastAsiaTheme="minorEastAsia"/>
                <w:color w:val="auto"/>
                <w:szCs w:val="21"/>
                <w:highlight w:val="none"/>
              </w:rPr>
              <w:t>格式”中“商务报价文件”第（二）项规定，并且有效</w:t>
            </w:r>
          </w:p>
        </w:tc>
      </w:tr>
      <w:tr w14:paraId="0BA0B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jc w:val="center"/>
        </w:trPr>
        <w:tc>
          <w:tcPr>
            <w:tcW w:w="937" w:type="dxa"/>
            <w:vMerge w:val="continue"/>
            <w:vAlign w:val="center"/>
          </w:tcPr>
          <w:p w14:paraId="40A47C17">
            <w:pPr>
              <w:snapToGrid w:val="0"/>
              <w:spacing w:line="360" w:lineRule="auto"/>
              <w:jc w:val="center"/>
              <w:rPr>
                <w:rFonts w:hint="eastAsia" w:asciiTheme="minorEastAsia" w:hAnsiTheme="minorEastAsia" w:eastAsiaTheme="minorEastAsia"/>
                <w:color w:val="auto"/>
                <w:szCs w:val="21"/>
                <w:highlight w:val="none"/>
              </w:rPr>
            </w:pPr>
          </w:p>
        </w:tc>
        <w:tc>
          <w:tcPr>
            <w:tcW w:w="1610" w:type="dxa"/>
            <w:vMerge w:val="continue"/>
            <w:vAlign w:val="center"/>
          </w:tcPr>
          <w:p w14:paraId="01394BB0">
            <w:pPr>
              <w:snapToGrid w:val="0"/>
              <w:spacing w:line="276" w:lineRule="auto"/>
              <w:jc w:val="center"/>
              <w:rPr>
                <w:rFonts w:hint="eastAsia" w:asciiTheme="minorEastAsia" w:hAnsiTheme="minorEastAsia" w:eastAsiaTheme="minorEastAsia"/>
                <w:color w:val="auto"/>
                <w:szCs w:val="21"/>
                <w:highlight w:val="none"/>
              </w:rPr>
            </w:pPr>
          </w:p>
        </w:tc>
        <w:tc>
          <w:tcPr>
            <w:tcW w:w="2410" w:type="dxa"/>
            <w:vAlign w:val="center"/>
          </w:tcPr>
          <w:p w14:paraId="0E193D70">
            <w:pPr>
              <w:spacing w:line="276"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供应商承诺书</w:t>
            </w:r>
          </w:p>
        </w:tc>
        <w:tc>
          <w:tcPr>
            <w:tcW w:w="4195" w:type="dxa"/>
            <w:gridSpan w:val="2"/>
            <w:vAlign w:val="center"/>
          </w:tcPr>
          <w:p w14:paraId="7956A264">
            <w:pPr>
              <w:spacing w:line="276" w:lineRule="auto"/>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符合</w:t>
            </w:r>
            <w:r>
              <w:rPr>
                <w:rFonts w:hint="eastAsia" w:asciiTheme="minorEastAsia" w:hAnsiTheme="minorEastAsia" w:eastAsiaTheme="minorEastAsia"/>
                <w:color w:val="auto"/>
                <w:szCs w:val="21"/>
                <w:highlight w:val="none"/>
              </w:rPr>
              <w:t>第四章“响应</w:t>
            </w:r>
            <w:r>
              <w:rPr>
                <w:rFonts w:asciiTheme="minorEastAsia" w:hAnsiTheme="minorEastAsia" w:eastAsiaTheme="minorEastAsia"/>
                <w:color w:val="auto"/>
                <w:szCs w:val="21"/>
                <w:highlight w:val="none"/>
              </w:rPr>
              <w:t>文件</w:t>
            </w:r>
            <w:r>
              <w:rPr>
                <w:rFonts w:hint="eastAsia" w:asciiTheme="minorEastAsia" w:hAnsiTheme="minorEastAsia" w:eastAsiaTheme="minorEastAsia"/>
                <w:color w:val="auto"/>
                <w:szCs w:val="21"/>
                <w:highlight w:val="none"/>
              </w:rPr>
              <w:t>格式”中“商务报价文件”第（三）项规定</w:t>
            </w:r>
          </w:p>
        </w:tc>
      </w:tr>
      <w:tr w14:paraId="5B8FE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37" w:type="dxa"/>
            <w:vMerge w:val="continue"/>
            <w:vAlign w:val="center"/>
          </w:tcPr>
          <w:p w14:paraId="30AE2B28">
            <w:pPr>
              <w:snapToGrid w:val="0"/>
              <w:spacing w:line="360" w:lineRule="auto"/>
              <w:jc w:val="center"/>
              <w:rPr>
                <w:rFonts w:hint="eastAsia" w:asciiTheme="minorEastAsia" w:hAnsiTheme="minorEastAsia" w:eastAsiaTheme="minorEastAsia"/>
                <w:color w:val="auto"/>
                <w:szCs w:val="21"/>
                <w:highlight w:val="none"/>
              </w:rPr>
            </w:pPr>
          </w:p>
        </w:tc>
        <w:tc>
          <w:tcPr>
            <w:tcW w:w="1610" w:type="dxa"/>
            <w:vMerge w:val="continue"/>
            <w:vAlign w:val="center"/>
          </w:tcPr>
          <w:p w14:paraId="24BA7BF1">
            <w:pPr>
              <w:snapToGrid w:val="0"/>
              <w:spacing w:line="276" w:lineRule="auto"/>
              <w:jc w:val="center"/>
              <w:rPr>
                <w:rFonts w:hint="eastAsia" w:asciiTheme="minorEastAsia" w:hAnsiTheme="minorEastAsia" w:eastAsiaTheme="minorEastAsia"/>
                <w:color w:val="auto"/>
                <w:szCs w:val="21"/>
                <w:highlight w:val="none"/>
              </w:rPr>
            </w:pPr>
          </w:p>
        </w:tc>
        <w:tc>
          <w:tcPr>
            <w:tcW w:w="2410" w:type="dxa"/>
            <w:vAlign w:val="center"/>
          </w:tcPr>
          <w:p w14:paraId="2131A14C">
            <w:pPr>
              <w:spacing w:line="276"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磋商报价</w:t>
            </w:r>
          </w:p>
        </w:tc>
        <w:tc>
          <w:tcPr>
            <w:tcW w:w="4195" w:type="dxa"/>
            <w:gridSpan w:val="2"/>
            <w:vAlign w:val="center"/>
          </w:tcPr>
          <w:p w14:paraId="0805A4CC">
            <w:pPr>
              <w:spacing w:line="276"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符合第二章“供应商须知前附表”第3.2</w:t>
            </w:r>
            <w:r>
              <w:rPr>
                <w:rFonts w:asciiTheme="minorEastAsia" w:hAnsiTheme="minorEastAsia" w:eastAsiaTheme="minorEastAsia"/>
                <w:color w:val="auto"/>
                <w:szCs w:val="21"/>
                <w:highlight w:val="none"/>
              </w:rPr>
              <w:t>.1</w:t>
            </w:r>
            <w:r>
              <w:rPr>
                <w:rFonts w:hint="eastAsia" w:asciiTheme="minorEastAsia" w:hAnsiTheme="minorEastAsia" w:eastAsiaTheme="minorEastAsia"/>
                <w:color w:val="auto"/>
                <w:szCs w:val="21"/>
                <w:highlight w:val="none"/>
              </w:rPr>
              <w:t>项和第四章“响应</w:t>
            </w:r>
            <w:r>
              <w:rPr>
                <w:rFonts w:asciiTheme="minorEastAsia" w:hAnsiTheme="minorEastAsia" w:eastAsiaTheme="minorEastAsia"/>
                <w:color w:val="auto"/>
                <w:szCs w:val="21"/>
                <w:highlight w:val="none"/>
              </w:rPr>
              <w:t>文件</w:t>
            </w:r>
            <w:r>
              <w:rPr>
                <w:rFonts w:hint="eastAsia" w:asciiTheme="minorEastAsia" w:hAnsiTheme="minorEastAsia" w:eastAsiaTheme="minorEastAsia"/>
                <w:color w:val="auto"/>
                <w:szCs w:val="21"/>
                <w:highlight w:val="none"/>
              </w:rPr>
              <w:t>格式”中“商务报价文件”第（四）项规定</w:t>
            </w:r>
          </w:p>
        </w:tc>
      </w:tr>
      <w:tr w14:paraId="2B31C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37" w:type="dxa"/>
            <w:vMerge w:val="continue"/>
            <w:vAlign w:val="center"/>
          </w:tcPr>
          <w:p w14:paraId="3A4A4DC4">
            <w:pPr>
              <w:snapToGrid w:val="0"/>
              <w:spacing w:line="360" w:lineRule="auto"/>
              <w:jc w:val="center"/>
              <w:rPr>
                <w:rFonts w:hint="eastAsia" w:asciiTheme="minorEastAsia" w:hAnsiTheme="minorEastAsia" w:eastAsiaTheme="minorEastAsia"/>
                <w:color w:val="auto"/>
                <w:szCs w:val="21"/>
                <w:highlight w:val="none"/>
              </w:rPr>
            </w:pPr>
          </w:p>
        </w:tc>
        <w:tc>
          <w:tcPr>
            <w:tcW w:w="1610" w:type="dxa"/>
            <w:vMerge w:val="continue"/>
            <w:vAlign w:val="center"/>
          </w:tcPr>
          <w:p w14:paraId="4F962D3F">
            <w:pPr>
              <w:snapToGrid w:val="0"/>
              <w:spacing w:line="276" w:lineRule="auto"/>
              <w:jc w:val="center"/>
              <w:rPr>
                <w:rFonts w:hint="eastAsia" w:asciiTheme="minorEastAsia" w:hAnsiTheme="minorEastAsia" w:eastAsiaTheme="minorEastAsia"/>
                <w:color w:val="auto"/>
                <w:szCs w:val="21"/>
                <w:highlight w:val="none"/>
              </w:rPr>
            </w:pPr>
          </w:p>
        </w:tc>
        <w:tc>
          <w:tcPr>
            <w:tcW w:w="2410" w:type="dxa"/>
            <w:vAlign w:val="center"/>
          </w:tcPr>
          <w:p w14:paraId="4F52A9F2">
            <w:pPr>
              <w:spacing w:line="276"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其他</w:t>
            </w:r>
          </w:p>
        </w:tc>
        <w:tc>
          <w:tcPr>
            <w:tcW w:w="4195" w:type="dxa"/>
            <w:gridSpan w:val="2"/>
            <w:vAlign w:val="center"/>
          </w:tcPr>
          <w:p w14:paraId="314E7D82">
            <w:pPr>
              <w:spacing w:line="276"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不存在</w:t>
            </w:r>
            <w:r>
              <w:rPr>
                <w:rFonts w:asciiTheme="minorEastAsia" w:hAnsiTheme="minorEastAsia" w:eastAsiaTheme="minorEastAsia"/>
                <w:color w:val="auto"/>
                <w:szCs w:val="21"/>
                <w:highlight w:val="none"/>
              </w:rPr>
              <w:t>第</w:t>
            </w:r>
            <w:r>
              <w:rPr>
                <w:rFonts w:hint="eastAsia" w:asciiTheme="minorEastAsia" w:hAnsiTheme="minorEastAsia" w:eastAsiaTheme="minorEastAsia"/>
                <w:color w:val="auto"/>
                <w:szCs w:val="21"/>
                <w:highlight w:val="none"/>
              </w:rPr>
              <w:t>六</w:t>
            </w:r>
            <w:r>
              <w:rPr>
                <w:rFonts w:asciiTheme="minorEastAsia" w:hAnsiTheme="minorEastAsia" w:eastAsiaTheme="minorEastAsia"/>
                <w:color w:val="auto"/>
                <w:szCs w:val="21"/>
                <w:highlight w:val="none"/>
              </w:rPr>
              <w:t>章“</w:t>
            </w:r>
            <w:r>
              <w:rPr>
                <w:rFonts w:hint="eastAsia" w:asciiTheme="minorEastAsia" w:hAnsiTheme="minorEastAsia" w:eastAsiaTheme="minorEastAsia"/>
                <w:color w:val="auto"/>
                <w:szCs w:val="21"/>
                <w:highlight w:val="none"/>
              </w:rPr>
              <w:t>评审办法</w:t>
            </w:r>
            <w:r>
              <w:rPr>
                <w:rFonts w:asciiTheme="minorEastAsia" w:hAnsiTheme="minorEastAsia" w:eastAsiaTheme="minorEastAsia"/>
                <w:color w:val="auto"/>
                <w:szCs w:val="21"/>
                <w:highlight w:val="none"/>
              </w:rPr>
              <w:t>”附件B的</w:t>
            </w:r>
            <w:r>
              <w:rPr>
                <w:rFonts w:hint="eastAsia" w:asciiTheme="minorEastAsia" w:hAnsiTheme="minorEastAsia" w:eastAsiaTheme="minorEastAsia"/>
                <w:color w:val="auto"/>
                <w:szCs w:val="21"/>
                <w:highlight w:val="none"/>
              </w:rPr>
              <w:t>任何一种情形</w:t>
            </w:r>
          </w:p>
        </w:tc>
      </w:tr>
      <w:tr w14:paraId="3F487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937" w:type="dxa"/>
            <w:vAlign w:val="center"/>
          </w:tcPr>
          <w:p w14:paraId="2EBFBF10">
            <w:pPr>
              <w:snapToGrid w:val="0"/>
              <w:jc w:val="center"/>
              <w:rPr>
                <w:rFonts w:hint="eastAsia"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条款号</w:t>
            </w:r>
          </w:p>
        </w:tc>
        <w:tc>
          <w:tcPr>
            <w:tcW w:w="4020" w:type="dxa"/>
            <w:gridSpan w:val="2"/>
            <w:vAlign w:val="center"/>
          </w:tcPr>
          <w:p w14:paraId="0D11A32E">
            <w:pPr>
              <w:snapToGrid w:val="0"/>
              <w:jc w:val="center"/>
              <w:rPr>
                <w:rFonts w:hint="eastAsia"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条款内容</w:t>
            </w:r>
          </w:p>
        </w:tc>
        <w:tc>
          <w:tcPr>
            <w:tcW w:w="4195" w:type="dxa"/>
            <w:gridSpan w:val="2"/>
            <w:vAlign w:val="center"/>
          </w:tcPr>
          <w:p w14:paraId="78ADD16E">
            <w:pPr>
              <w:snapToGrid w:val="0"/>
              <w:jc w:val="center"/>
              <w:rPr>
                <w:rFonts w:hint="eastAsia"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编列内容</w:t>
            </w:r>
          </w:p>
        </w:tc>
      </w:tr>
      <w:tr w14:paraId="7CD8B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 w:hRule="atLeast"/>
          <w:jc w:val="center"/>
        </w:trPr>
        <w:tc>
          <w:tcPr>
            <w:tcW w:w="937" w:type="dxa"/>
            <w:vAlign w:val="center"/>
          </w:tcPr>
          <w:p w14:paraId="59531248">
            <w:pPr>
              <w:snapToGrid w:val="0"/>
              <w:spacing w:line="360" w:lineRule="auto"/>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2.</w:t>
            </w:r>
            <w:r>
              <w:rPr>
                <w:rFonts w:asciiTheme="minorEastAsia" w:hAnsiTheme="minorEastAsia" w:eastAsiaTheme="minorEastAsia"/>
                <w:color w:val="auto"/>
                <w:szCs w:val="21"/>
                <w:highlight w:val="none"/>
              </w:rPr>
              <w:t>2.</w:t>
            </w:r>
            <w:r>
              <w:rPr>
                <w:rFonts w:hint="eastAsia" w:asciiTheme="minorEastAsia" w:hAnsiTheme="minorEastAsia" w:eastAsiaTheme="minorEastAsia"/>
                <w:color w:val="auto"/>
                <w:szCs w:val="21"/>
                <w:highlight w:val="none"/>
              </w:rPr>
              <w:t>1</w:t>
            </w:r>
          </w:p>
        </w:tc>
        <w:tc>
          <w:tcPr>
            <w:tcW w:w="4020" w:type="dxa"/>
            <w:gridSpan w:val="2"/>
            <w:vAlign w:val="center"/>
          </w:tcPr>
          <w:p w14:paraId="62F12D9E">
            <w:pPr>
              <w:snapToGrid w:val="0"/>
              <w:spacing w:line="360" w:lineRule="auto"/>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分值构成</w:t>
            </w:r>
          </w:p>
          <w:p w14:paraId="597001F4">
            <w:pPr>
              <w:snapToGrid w:val="0"/>
              <w:spacing w:line="360" w:lineRule="auto"/>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（技术部分满分</w:t>
            </w:r>
            <w:r>
              <w:rPr>
                <w:rFonts w:asciiTheme="minorEastAsia" w:hAnsiTheme="minorEastAsia" w:eastAsiaTheme="minorEastAsia"/>
                <w:color w:val="auto"/>
                <w:szCs w:val="21"/>
                <w:highlight w:val="none"/>
              </w:rPr>
              <w:t>90</w:t>
            </w:r>
            <w:r>
              <w:rPr>
                <w:rFonts w:hint="eastAsia" w:asciiTheme="minorEastAsia" w:hAnsiTheme="minorEastAsia" w:eastAsiaTheme="minorEastAsia"/>
                <w:color w:val="auto"/>
                <w:szCs w:val="21"/>
                <w:highlight w:val="none"/>
              </w:rPr>
              <w:t>分；商务部分满分</w:t>
            </w:r>
            <w:r>
              <w:rPr>
                <w:rFonts w:asciiTheme="minorEastAsia" w:hAnsiTheme="minorEastAsia" w:eastAsiaTheme="minorEastAsia"/>
                <w:color w:val="auto"/>
                <w:szCs w:val="21"/>
                <w:highlight w:val="none"/>
              </w:rPr>
              <w:t>10</w:t>
            </w:r>
            <w:r>
              <w:rPr>
                <w:rFonts w:hint="eastAsia" w:asciiTheme="minorEastAsia" w:hAnsiTheme="minorEastAsia" w:eastAsiaTheme="minorEastAsia"/>
                <w:color w:val="auto"/>
                <w:szCs w:val="21"/>
                <w:highlight w:val="none"/>
              </w:rPr>
              <w:t>分。）</w:t>
            </w:r>
          </w:p>
        </w:tc>
        <w:tc>
          <w:tcPr>
            <w:tcW w:w="4195" w:type="dxa"/>
            <w:gridSpan w:val="2"/>
            <w:vAlign w:val="center"/>
          </w:tcPr>
          <w:p w14:paraId="3907DBA3">
            <w:pPr>
              <w:autoSpaceDE w:val="0"/>
              <w:autoSpaceDN w:val="0"/>
              <w:adjustRightInd w:val="0"/>
              <w:spacing w:before="120" w:beforeLines="50" w:line="360" w:lineRule="auto"/>
              <w:jc w:val="lef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供应商的综合得分计算公式：Z=J+S。</w:t>
            </w:r>
          </w:p>
          <w:p w14:paraId="7D81C890">
            <w:pPr>
              <w:autoSpaceDE w:val="0"/>
              <w:autoSpaceDN w:val="0"/>
              <w:adjustRightInd w:val="0"/>
              <w:spacing w:line="360" w:lineRule="auto"/>
              <w:jc w:val="lef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式中：Z为供应商的综合得分；</w:t>
            </w:r>
          </w:p>
          <w:p w14:paraId="76F84009">
            <w:pPr>
              <w:autoSpaceDE w:val="0"/>
              <w:autoSpaceDN w:val="0"/>
              <w:adjustRightInd w:val="0"/>
              <w:spacing w:line="360" w:lineRule="auto"/>
              <w:ind w:firstLine="630" w:firstLineChars="300"/>
              <w:jc w:val="lef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J为供应商的技术部分得分；</w:t>
            </w:r>
          </w:p>
          <w:p w14:paraId="2CBD7FB3">
            <w:pPr>
              <w:autoSpaceDE w:val="0"/>
              <w:autoSpaceDN w:val="0"/>
              <w:adjustRightInd w:val="0"/>
              <w:spacing w:line="360" w:lineRule="auto"/>
              <w:ind w:firstLine="630" w:firstLineChars="300"/>
              <w:jc w:val="lef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S为供应商的商务部分得分。</w:t>
            </w:r>
          </w:p>
        </w:tc>
      </w:tr>
      <w:tr w14:paraId="2A031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937" w:type="dxa"/>
            <w:vAlign w:val="center"/>
          </w:tcPr>
          <w:p w14:paraId="20ABF75D">
            <w:pPr>
              <w:snapToGrid w:val="0"/>
              <w:jc w:val="center"/>
              <w:rPr>
                <w:rFonts w:hint="eastAsia"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条款号</w:t>
            </w:r>
          </w:p>
        </w:tc>
        <w:tc>
          <w:tcPr>
            <w:tcW w:w="1610" w:type="dxa"/>
            <w:vAlign w:val="center"/>
          </w:tcPr>
          <w:p w14:paraId="003D6742">
            <w:pPr>
              <w:snapToGrid w:val="0"/>
              <w:jc w:val="center"/>
              <w:rPr>
                <w:rFonts w:hint="eastAsia" w:cs="宋体"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评审因素</w:t>
            </w:r>
          </w:p>
        </w:tc>
        <w:tc>
          <w:tcPr>
            <w:tcW w:w="5905" w:type="dxa"/>
            <w:gridSpan w:val="2"/>
            <w:vAlign w:val="center"/>
          </w:tcPr>
          <w:p w14:paraId="4EAEF27E">
            <w:pPr>
              <w:snapToGrid w:val="0"/>
              <w:jc w:val="center"/>
              <w:rPr>
                <w:rFonts w:hint="eastAsia" w:cs="宋体" w:asciiTheme="minorEastAsia" w:hAnsiTheme="minorEastAsia" w:eastAsiaTheme="minorEastAsia"/>
                <w:b/>
                <w:color w:val="auto"/>
                <w:szCs w:val="21"/>
                <w:highlight w:val="none"/>
              </w:rPr>
            </w:pPr>
            <w:r>
              <w:rPr>
                <w:rFonts w:hint="eastAsia" w:cs="宋体" w:asciiTheme="minorEastAsia" w:hAnsiTheme="minorEastAsia" w:eastAsiaTheme="minorEastAsia"/>
                <w:b/>
                <w:color w:val="auto"/>
                <w:szCs w:val="21"/>
                <w:highlight w:val="none"/>
              </w:rPr>
              <w:t>评审标准</w:t>
            </w:r>
          </w:p>
        </w:tc>
        <w:tc>
          <w:tcPr>
            <w:tcW w:w="700" w:type="dxa"/>
            <w:vAlign w:val="center"/>
          </w:tcPr>
          <w:p w14:paraId="2899A95D">
            <w:pPr>
              <w:snapToGrid w:val="0"/>
              <w:jc w:val="center"/>
              <w:rPr>
                <w:rFonts w:hint="eastAsia" w:cs="宋体"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满分</w:t>
            </w:r>
          </w:p>
        </w:tc>
      </w:tr>
      <w:tr w14:paraId="54839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937" w:type="dxa"/>
            <w:vMerge w:val="restart"/>
            <w:vAlign w:val="center"/>
          </w:tcPr>
          <w:p w14:paraId="52C813D8">
            <w:pPr>
              <w:spacing w:before="120" w:beforeLines="50" w:line="360" w:lineRule="auto"/>
              <w:jc w:val="center"/>
              <w:rPr>
                <w:rFonts w:hint="eastAsia" w:cs="仿宋" w:asciiTheme="minorEastAsia" w:hAnsiTheme="minorEastAsia" w:eastAsiaTheme="minorEastAsia"/>
                <w:bCs/>
                <w:color w:val="auto"/>
                <w:szCs w:val="21"/>
                <w:highlight w:val="none"/>
              </w:rPr>
            </w:pPr>
            <w:r>
              <w:rPr>
                <w:rFonts w:hint="eastAsia" w:cs="仿宋" w:asciiTheme="minorEastAsia" w:hAnsiTheme="minorEastAsia" w:eastAsiaTheme="minorEastAsia"/>
                <w:bCs/>
                <w:color w:val="auto"/>
                <w:szCs w:val="21"/>
                <w:highlight w:val="none"/>
              </w:rPr>
              <w:t>2</w:t>
            </w:r>
            <w:r>
              <w:rPr>
                <w:rFonts w:cs="仿宋" w:asciiTheme="minorEastAsia" w:hAnsiTheme="minorEastAsia" w:eastAsiaTheme="minorEastAsia"/>
                <w:bCs/>
                <w:color w:val="auto"/>
                <w:szCs w:val="21"/>
                <w:highlight w:val="none"/>
              </w:rPr>
              <w:t>.2.2</w:t>
            </w:r>
          </w:p>
        </w:tc>
        <w:tc>
          <w:tcPr>
            <w:tcW w:w="1610" w:type="dxa"/>
            <w:vMerge w:val="restart"/>
            <w:vAlign w:val="center"/>
          </w:tcPr>
          <w:p w14:paraId="60AE34CF">
            <w:pPr>
              <w:pStyle w:val="329"/>
              <w:spacing w:before="120" w:beforeLines="50" w:line="360" w:lineRule="auto"/>
              <w:jc w:val="center"/>
              <w:rPr>
                <w:rFonts w:hint="eastAsia" w:asciiTheme="minorEastAsia" w:hAnsiTheme="minorEastAsia" w:eastAsiaTheme="minorEastAsia"/>
                <w:color w:val="auto"/>
                <w:sz w:val="21"/>
                <w:szCs w:val="21"/>
                <w:highlight w:val="none"/>
                <w:lang w:eastAsia="zh-CN"/>
              </w:rPr>
            </w:pPr>
            <w:r>
              <w:rPr>
                <w:rFonts w:hint="eastAsia" w:asciiTheme="minorEastAsia" w:hAnsiTheme="minorEastAsia" w:eastAsiaTheme="minorEastAsia"/>
                <w:color w:val="auto"/>
                <w:sz w:val="21"/>
                <w:szCs w:val="21"/>
                <w:highlight w:val="none"/>
                <w:lang w:eastAsia="zh-CN"/>
              </w:rPr>
              <w:t>技术部分</w:t>
            </w:r>
          </w:p>
          <w:p w14:paraId="162CE642">
            <w:pPr>
              <w:pStyle w:val="329"/>
              <w:spacing w:before="0" w:line="360" w:lineRule="auto"/>
              <w:jc w:val="center"/>
              <w:rPr>
                <w:rFonts w:hint="eastAsia" w:asciiTheme="minorEastAsia" w:hAnsiTheme="minorEastAsia" w:eastAsiaTheme="minorEastAsia"/>
                <w:color w:val="auto"/>
                <w:sz w:val="21"/>
                <w:szCs w:val="21"/>
                <w:highlight w:val="none"/>
                <w:lang w:eastAsia="zh-CN"/>
              </w:rPr>
            </w:pPr>
            <w:r>
              <w:rPr>
                <w:rFonts w:hint="eastAsia" w:asciiTheme="minorEastAsia" w:hAnsiTheme="minorEastAsia" w:eastAsiaTheme="minorEastAsia"/>
                <w:color w:val="auto"/>
                <w:sz w:val="21"/>
                <w:szCs w:val="21"/>
                <w:highlight w:val="none"/>
                <w:lang w:eastAsia="zh-CN"/>
              </w:rPr>
              <w:t>评审标准</w:t>
            </w:r>
          </w:p>
          <w:p w14:paraId="538A2B85">
            <w:pPr>
              <w:pStyle w:val="329"/>
              <w:spacing w:before="0" w:line="360" w:lineRule="auto"/>
              <w:jc w:val="center"/>
              <w:rPr>
                <w:rFonts w:hint="eastAsia" w:asciiTheme="minorEastAsia" w:hAnsiTheme="minorEastAsia" w:eastAsiaTheme="minorEastAsia"/>
                <w:color w:val="auto"/>
                <w:sz w:val="21"/>
                <w:szCs w:val="21"/>
                <w:highlight w:val="none"/>
                <w:lang w:eastAsia="zh-CN"/>
              </w:rPr>
            </w:pPr>
            <w:r>
              <w:rPr>
                <w:rFonts w:hint="eastAsia" w:asciiTheme="minorEastAsia" w:hAnsiTheme="minorEastAsia" w:eastAsiaTheme="minorEastAsia"/>
                <w:color w:val="auto"/>
                <w:sz w:val="21"/>
                <w:szCs w:val="21"/>
                <w:highlight w:val="none"/>
                <w:lang w:eastAsia="zh-CN"/>
              </w:rPr>
              <w:t>（满分</w:t>
            </w:r>
            <w:r>
              <w:rPr>
                <w:rFonts w:asciiTheme="minorEastAsia" w:hAnsiTheme="minorEastAsia" w:eastAsiaTheme="minorEastAsia"/>
                <w:color w:val="auto"/>
                <w:sz w:val="21"/>
                <w:szCs w:val="21"/>
                <w:highlight w:val="none"/>
                <w:lang w:eastAsia="zh-CN"/>
              </w:rPr>
              <w:t>90</w:t>
            </w:r>
            <w:r>
              <w:rPr>
                <w:rFonts w:hint="eastAsia" w:asciiTheme="minorEastAsia" w:hAnsiTheme="minorEastAsia" w:eastAsiaTheme="minorEastAsia"/>
                <w:color w:val="auto"/>
                <w:sz w:val="21"/>
                <w:szCs w:val="21"/>
                <w:highlight w:val="none"/>
                <w:lang w:eastAsia="zh-CN"/>
              </w:rPr>
              <w:t>分）</w:t>
            </w:r>
          </w:p>
        </w:tc>
        <w:tc>
          <w:tcPr>
            <w:tcW w:w="5905" w:type="dxa"/>
            <w:gridSpan w:val="2"/>
            <w:vAlign w:val="center"/>
          </w:tcPr>
          <w:p w14:paraId="18E9A5EF">
            <w:pPr>
              <w:wordWrap w:val="0"/>
              <w:overflowPunct w:val="0"/>
              <w:spacing w:line="360" w:lineRule="auto"/>
              <w:rPr>
                <w:rFonts w:hint="eastAsia" w:cs="宋体" w:asciiTheme="minorEastAsia" w:hAnsiTheme="minorEastAsia" w:eastAsiaTheme="minorEastAsia"/>
                <w:b/>
                <w:bCs/>
                <w:color w:val="auto"/>
                <w:szCs w:val="21"/>
                <w:highlight w:val="none"/>
              </w:rPr>
            </w:pPr>
            <w:r>
              <w:rPr>
                <w:rFonts w:hint="eastAsia" w:ascii="宋体" w:hAnsi="宋体" w:eastAsia="宋体" w:cs="宋体"/>
                <w:b/>
                <w:bCs/>
                <w:color w:val="auto"/>
                <w:highlight w:val="none"/>
                <w:lang w:eastAsia="zh-CN"/>
              </w:rPr>
              <w:t>（</w:t>
            </w:r>
            <w:r>
              <w:rPr>
                <w:rFonts w:hint="eastAsia" w:ascii="宋体" w:hAnsi="宋体" w:eastAsia="宋体" w:cs="宋体"/>
                <w:b/>
                <w:bCs/>
                <w:color w:val="auto"/>
                <w:highlight w:val="none"/>
              </w:rPr>
              <w:t>1）</w:t>
            </w:r>
            <w:r>
              <w:rPr>
                <w:rFonts w:hint="eastAsia" w:ascii="宋体" w:hAnsi="宋体" w:cs="宋体"/>
                <w:b/>
                <w:bCs/>
                <w:color w:val="auto"/>
                <w:highlight w:val="none"/>
                <w:lang w:eastAsia="zh-CN"/>
              </w:rPr>
              <w:t>监理</w:t>
            </w:r>
            <w:r>
              <w:rPr>
                <w:rFonts w:hint="eastAsia" w:ascii="宋体" w:hAnsi="宋体" w:eastAsia="宋体" w:cs="宋体"/>
                <w:b/>
                <w:bCs/>
                <w:color w:val="auto"/>
                <w:highlight w:val="none"/>
              </w:rPr>
              <w:t>服务</w:t>
            </w:r>
            <w:r>
              <w:rPr>
                <w:rFonts w:hint="eastAsia" w:cs="宋体" w:asciiTheme="minorEastAsia" w:hAnsiTheme="minorEastAsia" w:eastAsiaTheme="minorEastAsia"/>
                <w:b/>
                <w:bCs/>
                <w:color w:val="auto"/>
                <w:szCs w:val="21"/>
                <w:highlight w:val="none"/>
              </w:rPr>
              <w:t>方案评审评分</w:t>
            </w:r>
            <w:r>
              <w:rPr>
                <w:rFonts w:hint="eastAsia" w:ascii="宋体" w:hAnsi="宋体" w:eastAsia="宋体" w:cs="宋体"/>
                <w:b/>
                <w:bCs/>
                <w:color w:val="auto"/>
                <w:highlight w:val="none"/>
              </w:rPr>
              <w:t>（满分</w:t>
            </w:r>
            <w:r>
              <w:rPr>
                <w:rFonts w:hint="eastAsia" w:ascii="宋体" w:hAnsi="宋体" w:cs="宋体"/>
                <w:b/>
                <w:bCs/>
                <w:color w:val="auto"/>
                <w:highlight w:val="none"/>
                <w:lang w:val="en-US" w:eastAsia="zh-CN"/>
              </w:rPr>
              <w:t>30</w:t>
            </w:r>
            <w:r>
              <w:rPr>
                <w:rFonts w:hint="eastAsia" w:ascii="宋体" w:hAnsi="宋体" w:eastAsia="宋体" w:cs="宋体"/>
                <w:b/>
                <w:bCs/>
                <w:color w:val="auto"/>
                <w:highlight w:val="none"/>
              </w:rPr>
              <w:t>分）</w:t>
            </w:r>
          </w:p>
          <w:p w14:paraId="2DAA53A6">
            <w:pPr>
              <w:adjustRightInd w:val="0"/>
              <w:spacing w:line="360" w:lineRule="auto"/>
              <w:rPr>
                <w:rFonts w:hint="eastAsia" w:ascii="宋体" w:hAnsi="宋体"/>
                <w:b/>
                <w:color w:val="auto"/>
                <w:szCs w:val="21"/>
                <w:highlight w:val="none"/>
              </w:rPr>
            </w:pPr>
            <w:r>
              <w:rPr>
                <w:rFonts w:hint="eastAsia" w:ascii="宋体" w:hAnsi="宋体"/>
                <w:b/>
                <w:color w:val="auto"/>
                <w:szCs w:val="21"/>
                <w:highlight w:val="none"/>
              </w:rPr>
              <w:t>根据供应商提供的</w:t>
            </w:r>
            <w:r>
              <w:rPr>
                <w:rFonts w:hint="eastAsia" w:ascii="宋体" w:hAnsi="宋体" w:cs="宋体"/>
                <w:b/>
                <w:bCs/>
                <w:color w:val="auto"/>
                <w:highlight w:val="none"/>
                <w:lang w:eastAsia="zh-CN"/>
              </w:rPr>
              <w:t>监理</w:t>
            </w:r>
            <w:r>
              <w:rPr>
                <w:rFonts w:hint="eastAsia" w:ascii="宋体" w:hAnsi="宋体" w:eastAsia="宋体" w:cs="宋体"/>
                <w:b/>
                <w:bCs/>
                <w:color w:val="auto"/>
                <w:highlight w:val="none"/>
              </w:rPr>
              <w:t>服务</w:t>
            </w:r>
            <w:r>
              <w:rPr>
                <w:rFonts w:hint="eastAsia" w:cs="宋体" w:asciiTheme="minorEastAsia" w:hAnsiTheme="minorEastAsia" w:eastAsiaTheme="minorEastAsia"/>
                <w:b/>
                <w:bCs/>
                <w:color w:val="auto"/>
                <w:szCs w:val="21"/>
                <w:highlight w:val="none"/>
              </w:rPr>
              <w:t>方案</w:t>
            </w:r>
            <w:r>
              <w:rPr>
                <w:rFonts w:hint="eastAsia" w:ascii="宋体" w:hAnsi="宋体"/>
                <w:b/>
                <w:color w:val="auto"/>
                <w:szCs w:val="21"/>
                <w:highlight w:val="none"/>
              </w:rPr>
              <w:t>整体情况进行评审评分（</w:t>
            </w:r>
            <w:r>
              <w:rPr>
                <w:rFonts w:hint="eastAsia" w:ascii="宋体" w:hAnsi="宋体"/>
                <w:b/>
                <w:bCs/>
                <w:color w:val="auto"/>
                <w:szCs w:val="21"/>
                <w:highlight w:val="none"/>
              </w:rPr>
              <w:t>①质量控制、</w:t>
            </w:r>
            <w:r>
              <w:rPr>
                <w:rFonts w:hint="eastAsia" w:ascii="宋体" w:hAnsi="宋体"/>
                <w:b/>
                <w:bCs/>
                <w:color w:val="auto"/>
                <w:szCs w:val="21"/>
                <w:highlight w:val="none"/>
                <w:lang w:val="en-US" w:eastAsia="zh-CN"/>
              </w:rPr>
              <w:t>②</w:t>
            </w:r>
            <w:r>
              <w:rPr>
                <w:rFonts w:hint="eastAsia" w:ascii="宋体" w:hAnsi="宋体"/>
                <w:b/>
                <w:bCs/>
                <w:color w:val="auto"/>
                <w:szCs w:val="21"/>
                <w:highlight w:val="none"/>
              </w:rPr>
              <w:t>进度控制、</w:t>
            </w:r>
            <w:r>
              <w:rPr>
                <w:rFonts w:hint="eastAsia" w:ascii="宋体" w:hAnsi="宋体"/>
                <w:b/>
                <w:bCs/>
                <w:color w:val="auto"/>
                <w:szCs w:val="21"/>
                <w:highlight w:val="none"/>
                <w:lang w:val="en-US" w:eastAsia="zh-CN"/>
              </w:rPr>
              <w:t>③</w:t>
            </w:r>
            <w:r>
              <w:rPr>
                <w:rFonts w:hint="eastAsia" w:ascii="宋体" w:hAnsi="宋体"/>
                <w:b/>
                <w:bCs/>
                <w:color w:val="auto"/>
                <w:szCs w:val="21"/>
                <w:highlight w:val="none"/>
              </w:rPr>
              <w:t>成本控制、</w:t>
            </w:r>
            <w:r>
              <w:rPr>
                <w:rFonts w:hint="eastAsia" w:ascii="宋体" w:hAnsi="宋体"/>
                <w:b/>
                <w:bCs/>
                <w:color w:val="auto"/>
                <w:szCs w:val="21"/>
                <w:highlight w:val="none"/>
                <w:lang w:val="en-US" w:eastAsia="zh-CN"/>
              </w:rPr>
              <w:t>④</w:t>
            </w:r>
            <w:r>
              <w:rPr>
                <w:rFonts w:hint="eastAsia" w:ascii="宋体" w:hAnsi="宋体"/>
                <w:b/>
                <w:bCs/>
                <w:color w:val="auto"/>
                <w:szCs w:val="21"/>
                <w:highlight w:val="none"/>
              </w:rPr>
              <w:t>变更控制、</w:t>
            </w:r>
            <w:r>
              <w:rPr>
                <w:rFonts w:hint="eastAsia" w:ascii="宋体" w:hAnsi="宋体"/>
                <w:b/>
                <w:bCs/>
                <w:color w:val="auto"/>
                <w:szCs w:val="21"/>
                <w:highlight w:val="none"/>
                <w:lang w:val="en-US" w:eastAsia="zh-CN"/>
              </w:rPr>
              <w:t>⑤</w:t>
            </w:r>
            <w:r>
              <w:rPr>
                <w:rFonts w:hint="eastAsia" w:ascii="宋体" w:hAnsi="宋体"/>
                <w:b/>
                <w:bCs/>
                <w:color w:val="auto"/>
                <w:szCs w:val="21"/>
                <w:highlight w:val="none"/>
              </w:rPr>
              <w:t>项目合同管理、</w:t>
            </w:r>
            <w:r>
              <w:rPr>
                <w:rFonts w:hint="eastAsia" w:ascii="宋体" w:hAnsi="宋体"/>
                <w:b/>
                <w:bCs/>
                <w:color w:val="auto"/>
                <w:szCs w:val="21"/>
                <w:highlight w:val="none"/>
                <w:lang w:val="en-US" w:eastAsia="zh-CN"/>
              </w:rPr>
              <w:t>⑥</w:t>
            </w:r>
            <w:r>
              <w:rPr>
                <w:rFonts w:hint="eastAsia" w:ascii="宋体" w:hAnsi="宋体"/>
                <w:b/>
                <w:bCs/>
                <w:color w:val="auto"/>
                <w:szCs w:val="21"/>
                <w:highlight w:val="none"/>
              </w:rPr>
              <w:t>信息管理/项目文档管理</w:t>
            </w:r>
            <w:r>
              <w:rPr>
                <w:rFonts w:hint="eastAsia" w:ascii="宋体" w:hAnsi="宋体"/>
                <w:b/>
                <w:color w:val="auto"/>
                <w:szCs w:val="21"/>
                <w:highlight w:val="none"/>
                <w:lang w:val="en-US" w:eastAsia="zh-CN"/>
              </w:rPr>
              <w:t>等</w:t>
            </w:r>
            <w:r>
              <w:rPr>
                <w:rFonts w:hint="eastAsia" w:ascii="宋体" w:hAnsi="宋体"/>
                <w:b/>
                <w:color w:val="auto"/>
                <w:szCs w:val="21"/>
                <w:highlight w:val="none"/>
              </w:rPr>
              <w:t>）。</w:t>
            </w:r>
          </w:p>
          <w:p w14:paraId="0B39512C">
            <w:pPr>
              <w:spacing w:line="360" w:lineRule="auto"/>
              <w:rPr>
                <w:rFonts w:hint="eastAsia" w:ascii="宋体" w:hAnsi="宋体"/>
                <w:b w:val="0"/>
                <w:bCs w:val="0"/>
                <w:color w:val="auto"/>
                <w:highlight w:val="none"/>
              </w:rPr>
            </w:pPr>
            <w:r>
              <w:rPr>
                <w:rFonts w:hint="eastAsia" w:ascii="宋体" w:hAnsi="宋体"/>
                <w:color w:val="auto"/>
                <w:highlight w:val="none"/>
              </w:rPr>
              <w:t>（</w:t>
            </w:r>
            <w:r>
              <w:rPr>
                <w:rFonts w:ascii="宋体" w:hAnsi="宋体"/>
                <w:b w:val="0"/>
                <w:bCs w:val="0"/>
                <w:color w:val="auto"/>
                <w:highlight w:val="none"/>
              </w:rPr>
              <w:t>1）</w:t>
            </w:r>
            <w:r>
              <w:rPr>
                <w:rFonts w:hint="eastAsia" w:ascii="宋体" w:hAnsi="宋体" w:eastAsia="宋体" w:cs="宋体"/>
                <w:b w:val="0"/>
                <w:bCs w:val="0"/>
                <w:color w:val="auto"/>
                <w:highlight w:val="none"/>
              </w:rPr>
              <w:t>服务</w:t>
            </w:r>
            <w:r>
              <w:rPr>
                <w:rFonts w:hint="eastAsia" w:ascii="宋体" w:hAnsi="宋体"/>
                <w:b w:val="0"/>
                <w:bCs w:val="0"/>
                <w:color w:val="auto"/>
                <w:highlight w:val="none"/>
              </w:rPr>
              <w:t>方案</w:t>
            </w:r>
            <w:r>
              <w:rPr>
                <w:rFonts w:hint="eastAsia"/>
                <w:b w:val="0"/>
                <w:bCs w:val="0"/>
                <w:color w:val="auto"/>
                <w:szCs w:val="21"/>
                <w:highlight w:val="none"/>
              </w:rPr>
              <w:t>内容齐全、完善、符合项目实际情况的</w:t>
            </w:r>
            <w:r>
              <w:rPr>
                <w:rFonts w:hint="eastAsia" w:ascii="宋体" w:hAnsi="宋体"/>
                <w:b w:val="0"/>
                <w:bCs w:val="0"/>
                <w:color w:val="auto"/>
                <w:highlight w:val="none"/>
              </w:rPr>
              <w:t>，得</w:t>
            </w:r>
            <w:r>
              <w:rPr>
                <w:rFonts w:hint="eastAsia" w:ascii="宋体" w:hAnsi="宋体"/>
                <w:b w:val="0"/>
                <w:bCs w:val="0"/>
                <w:color w:val="auto"/>
                <w:highlight w:val="none"/>
                <w:lang w:val="en-US" w:eastAsia="zh-CN"/>
              </w:rPr>
              <w:t>30</w:t>
            </w:r>
            <w:r>
              <w:rPr>
                <w:rFonts w:ascii="宋体" w:hAnsi="宋体"/>
                <w:b w:val="0"/>
                <w:bCs w:val="0"/>
                <w:color w:val="auto"/>
                <w:highlight w:val="none"/>
              </w:rPr>
              <w:t>分；</w:t>
            </w:r>
          </w:p>
          <w:p w14:paraId="2E0D356C">
            <w:pPr>
              <w:spacing w:line="360" w:lineRule="auto"/>
              <w:rPr>
                <w:rFonts w:hint="eastAsia" w:ascii="宋体" w:hAnsi="宋体"/>
                <w:b w:val="0"/>
                <w:bCs w:val="0"/>
                <w:color w:val="auto"/>
                <w:highlight w:val="none"/>
              </w:rPr>
            </w:pPr>
            <w:r>
              <w:rPr>
                <w:rFonts w:hint="eastAsia" w:ascii="宋体" w:hAnsi="宋体"/>
                <w:b w:val="0"/>
                <w:bCs w:val="0"/>
                <w:color w:val="auto"/>
                <w:highlight w:val="none"/>
              </w:rPr>
              <w:t>（</w:t>
            </w:r>
            <w:r>
              <w:rPr>
                <w:rFonts w:ascii="宋体" w:hAnsi="宋体"/>
                <w:b w:val="0"/>
                <w:bCs w:val="0"/>
                <w:color w:val="auto"/>
                <w:highlight w:val="none"/>
              </w:rPr>
              <w:t>2）</w:t>
            </w:r>
            <w:r>
              <w:rPr>
                <w:rFonts w:hint="eastAsia" w:ascii="宋体" w:hAnsi="宋体" w:eastAsia="宋体" w:cs="宋体"/>
                <w:b w:val="0"/>
                <w:bCs w:val="0"/>
                <w:color w:val="auto"/>
                <w:highlight w:val="none"/>
              </w:rPr>
              <w:t>服务</w:t>
            </w:r>
            <w:r>
              <w:rPr>
                <w:rFonts w:hint="eastAsia" w:ascii="宋体" w:hAnsi="宋体"/>
                <w:b w:val="0"/>
                <w:bCs w:val="0"/>
                <w:color w:val="auto"/>
                <w:highlight w:val="none"/>
              </w:rPr>
              <w:t>方案</w:t>
            </w:r>
            <w:r>
              <w:rPr>
                <w:rFonts w:hint="eastAsia" w:ascii="宋体" w:hAnsi="宋体"/>
                <w:b w:val="0"/>
                <w:bCs w:val="0"/>
                <w:color w:val="auto"/>
                <w:szCs w:val="21"/>
                <w:highlight w:val="none"/>
              </w:rPr>
              <w:t>内容中</w:t>
            </w:r>
            <w:r>
              <w:rPr>
                <w:rFonts w:hint="eastAsia" w:ascii="宋体" w:hAnsi="宋体" w:cs="宋体"/>
                <w:b w:val="0"/>
                <w:bCs w:val="0"/>
                <w:color w:val="auto"/>
                <w:szCs w:val="21"/>
                <w:highlight w:val="none"/>
              </w:rPr>
              <w:t>每</w:t>
            </w:r>
            <w:r>
              <w:rPr>
                <w:rFonts w:hint="eastAsia" w:hAnsi="宋体"/>
                <w:b w:val="0"/>
                <w:bCs w:val="0"/>
                <w:color w:val="auto"/>
                <w:kern w:val="0"/>
                <w:highlight w:val="none"/>
              </w:rPr>
              <w:t>缺失一项</w:t>
            </w:r>
            <w:r>
              <w:rPr>
                <w:rFonts w:hint="eastAsia" w:ascii="宋体" w:hAnsi="宋体"/>
                <w:b w:val="0"/>
                <w:bCs w:val="0"/>
                <w:color w:val="auto"/>
                <w:szCs w:val="21"/>
                <w:highlight w:val="none"/>
              </w:rPr>
              <w:t>的</w:t>
            </w:r>
            <w:r>
              <w:rPr>
                <w:rFonts w:hint="eastAsia" w:ascii="宋体" w:hAnsi="宋体"/>
                <w:b w:val="0"/>
                <w:bCs w:val="0"/>
                <w:color w:val="auto"/>
                <w:highlight w:val="none"/>
              </w:rPr>
              <w:t>，扣</w:t>
            </w:r>
            <w:r>
              <w:rPr>
                <w:rFonts w:hint="eastAsia" w:ascii="宋体" w:hAnsi="宋体"/>
                <w:b w:val="0"/>
                <w:bCs w:val="0"/>
                <w:color w:val="auto"/>
                <w:highlight w:val="none"/>
                <w:lang w:val="en-US" w:eastAsia="zh-CN"/>
              </w:rPr>
              <w:t>5</w:t>
            </w:r>
            <w:r>
              <w:rPr>
                <w:rFonts w:ascii="宋体" w:hAnsi="宋体"/>
                <w:b w:val="0"/>
                <w:bCs w:val="0"/>
                <w:color w:val="auto"/>
                <w:highlight w:val="none"/>
              </w:rPr>
              <w:t>分；</w:t>
            </w:r>
          </w:p>
          <w:p w14:paraId="2125A5C4">
            <w:pPr>
              <w:spacing w:line="360" w:lineRule="auto"/>
              <w:rPr>
                <w:rFonts w:hint="default" w:ascii="宋体" w:hAnsi="宋体" w:eastAsia="宋体"/>
                <w:b w:val="0"/>
                <w:bCs w:val="0"/>
                <w:color w:val="auto"/>
                <w:szCs w:val="21"/>
                <w:highlight w:val="none"/>
                <w:lang w:val="en-US" w:eastAsia="zh-CN"/>
              </w:rPr>
            </w:pPr>
            <w:r>
              <w:rPr>
                <w:rFonts w:hint="eastAsia" w:ascii="宋体" w:hAnsi="宋体"/>
                <w:b w:val="0"/>
                <w:bCs w:val="0"/>
                <w:color w:val="auto"/>
                <w:highlight w:val="none"/>
              </w:rPr>
              <w:t>（3）</w:t>
            </w:r>
            <w:r>
              <w:rPr>
                <w:rFonts w:hint="eastAsia" w:ascii="宋体" w:hAnsi="宋体" w:eastAsia="宋体" w:cs="宋体"/>
                <w:b w:val="0"/>
                <w:bCs w:val="0"/>
                <w:color w:val="auto"/>
                <w:highlight w:val="none"/>
              </w:rPr>
              <w:t>服务</w:t>
            </w:r>
            <w:r>
              <w:rPr>
                <w:rFonts w:hint="eastAsia" w:ascii="宋体" w:hAnsi="宋体"/>
                <w:b w:val="0"/>
                <w:bCs w:val="0"/>
                <w:color w:val="auto"/>
                <w:highlight w:val="none"/>
              </w:rPr>
              <w:t>方案内容中</w:t>
            </w:r>
            <w:r>
              <w:rPr>
                <w:rFonts w:hint="eastAsia" w:ascii="宋体" w:hAnsi="宋体"/>
                <w:b w:val="0"/>
                <w:bCs w:val="0"/>
                <w:color w:val="auto"/>
                <w:szCs w:val="21"/>
                <w:highlight w:val="none"/>
              </w:rPr>
              <w:t>每有一项不完善或不符合项目实际情况的，扣</w:t>
            </w:r>
            <w:r>
              <w:rPr>
                <w:rFonts w:hint="eastAsia" w:ascii="宋体" w:hAnsi="宋体"/>
                <w:b w:val="0"/>
                <w:bCs w:val="0"/>
                <w:color w:val="auto"/>
                <w:szCs w:val="21"/>
                <w:highlight w:val="none"/>
                <w:lang w:val="en-US" w:eastAsia="zh-CN"/>
              </w:rPr>
              <w:t>2</w:t>
            </w:r>
            <w:r>
              <w:rPr>
                <w:rFonts w:ascii="宋体" w:hAnsi="宋体"/>
                <w:b w:val="0"/>
                <w:bCs w:val="0"/>
                <w:color w:val="auto"/>
                <w:szCs w:val="21"/>
                <w:highlight w:val="none"/>
              </w:rPr>
              <w:t>分。</w:t>
            </w:r>
          </w:p>
        </w:tc>
        <w:tc>
          <w:tcPr>
            <w:tcW w:w="700" w:type="dxa"/>
            <w:vAlign w:val="center"/>
          </w:tcPr>
          <w:p w14:paraId="702C5D7D">
            <w:pPr>
              <w:spacing w:line="360" w:lineRule="auto"/>
              <w:rPr>
                <w:rFonts w:hint="eastAsia" w:ascii="宋体" w:hAnsi="宋体"/>
                <w:color w:val="auto"/>
                <w:highlight w:val="none"/>
              </w:rPr>
            </w:pPr>
          </w:p>
          <w:p w14:paraId="5F0B6DE3">
            <w:pPr>
              <w:spacing w:line="360" w:lineRule="auto"/>
              <w:rPr>
                <w:rFonts w:hint="eastAsia" w:ascii="宋体" w:hAnsi="宋体" w:cs="仿宋"/>
                <w:b/>
                <w:bCs/>
                <w:color w:val="auto"/>
                <w:szCs w:val="21"/>
                <w:highlight w:val="none"/>
              </w:rPr>
            </w:pPr>
            <w:r>
              <w:rPr>
                <w:rFonts w:hint="eastAsia" w:ascii="宋体" w:hAnsi="宋体"/>
                <w:color w:val="auto"/>
                <w:highlight w:val="none"/>
                <w:lang w:val="en-US" w:eastAsia="zh-CN"/>
              </w:rPr>
              <w:t>30</w:t>
            </w:r>
            <w:r>
              <w:rPr>
                <w:rFonts w:hint="eastAsia" w:ascii="宋体" w:hAnsi="宋体"/>
                <w:color w:val="auto"/>
                <w:highlight w:val="none"/>
              </w:rPr>
              <w:t>分</w:t>
            </w:r>
          </w:p>
        </w:tc>
      </w:tr>
      <w:tr w14:paraId="295AA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jc w:val="center"/>
        </w:trPr>
        <w:tc>
          <w:tcPr>
            <w:tcW w:w="937" w:type="dxa"/>
            <w:vMerge w:val="continue"/>
            <w:vAlign w:val="center"/>
          </w:tcPr>
          <w:p w14:paraId="56619085">
            <w:pPr>
              <w:spacing w:line="360" w:lineRule="auto"/>
              <w:jc w:val="center"/>
              <w:rPr>
                <w:rFonts w:hint="eastAsia" w:cs="仿宋" w:asciiTheme="minorEastAsia" w:hAnsiTheme="minorEastAsia" w:eastAsiaTheme="minorEastAsia"/>
                <w:bCs/>
                <w:color w:val="auto"/>
                <w:szCs w:val="21"/>
                <w:highlight w:val="none"/>
              </w:rPr>
            </w:pPr>
          </w:p>
        </w:tc>
        <w:tc>
          <w:tcPr>
            <w:tcW w:w="1610" w:type="dxa"/>
            <w:vMerge w:val="continue"/>
            <w:vAlign w:val="center"/>
          </w:tcPr>
          <w:p w14:paraId="77F21980">
            <w:pPr>
              <w:pStyle w:val="329"/>
              <w:spacing w:before="0" w:line="360" w:lineRule="auto"/>
              <w:ind w:left="131" w:right="9"/>
              <w:jc w:val="center"/>
              <w:rPr>
                <w:rFonts w:hint="eastAsia" w:asciiTheme="minorEastAsia" w:hAnsiTheme="minorEastAsia" w:eastAsiaTheme="minorEastAsia"/>
                <w:color w:val="auto"/>
                <w:sz w:val="21"/>
                <w:szCs w:val="21"/>
                <w:highlight w:val="none"/>
                <w:lang w:eastAsia="zh-CN"/>
              </w:rPr>
            </w:pPr>
          </w:p>
        </w:tc>
        <w:tc>
          <w:tcPr>
            <w:tcW w:w="5905" w:type="dxa"/>
            <w:gridSpan w:val="2"/>
            <w:vAlign w:val="center"/>
          </w:tcPr>
          <w:p w14:paraId="59B91FCA">
            <w:pPr>
              <w:wordWrap w:val="0"/>
              <w:overflowPunct w:val="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（2）质量承诺及保障措施审查评分（满分</w:t>
            </w:r>
            <w:r>
              <w:rPr>
                <w:rFonts w:hint="eastAsia" w:ascii="宋体" w:hAnsi="宋体" w:cs="宋体"/>
                <w:b/>
                <w:bCs/>
                <w:color w:val="auto"/>
                <w:highlight w:val="none"/>
                <w:lang w:val="en-US" w:eastAsia="zh-CN"/>
              </w:rPr>
              <w:t>15</w:t>
            </w:r>
            <w:r>
              <w:rPr>
                <w:rFonts w:hint="eastAsia" w:ascii="宋体" w:hAnsi="宋体" w:eastAsia="宋体" w:cs="宋体"/>
                <w:b/>
                <w:bCs/>
                <w:color w:val="auto"/>
                <w:highlight w:val="none"/>
              </w:rPr>
              <w:t>分）</w:t>
            </w:r>
          </w:p>
          <w:p w14:paraId="24E2CBC2">
            <w:pPr>
              <w:spacing w:line="360" w:lineRule="auto"/>
              <w:rPr>
                <w:rFonts w:hint="eastAsia"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根据供应商提供的成果质量保证措施及承诺整体情况进行评审评分（包括但不限于：</w:t>
            </w:r>
            <w:r>
              <w:rPr>
                <w:rFonts w:hint="eastAsia" w:cs="宋体" w:asciiTheme="minorEastAsia" w:hAnsiTheme="minorEastAsia" w:eastAsiaTheme="minorEastAsia"/>
                <w:b/>
                <w:bCs/>
                <w:color w:val="auto"/>
                <w:szCs w:val="21"/>
                <w:highlight w:val="none"/>
                <w:lang w:val="en-US" w:eastAsia="zh-CN"/>
              </w:rPr>
              <w:t>①</w:t>
            </w:r>
            <w:r>
              <w:rPr>
                <w:rFonts w:hint="eastAsia" w:cs="宋体" w:asciiTheme="minorEastAsia" w:hAnsiTheme="minorEastAsia" w:eastAsiaTheme="minorEastAsia"/>
                <w:b/>
                <w:bCs/>
                <w:color w:val="auto"/>
                <w:szCs w:val="21"/>
                <w:highlight w:val="none"/>
              </w:rPr>
              <w:t>质量保证体系</w:t>
            </w:r>
            <w:r>
              <w:rPr>
                <w:rFonts w:hint="eastAsia" w:cs="宋体" w:asciiTheme="minorEastAsia" w:hAnsiTheme="minorEastAsia" w:eastAsiaTheme="minorEastAsia"/>
                <w:b/>
                <w:bCs/>
                <w:color w:val="auto"/>
                <w:szCs w:val="21"/>
                <w:highlight w:val="none"/>
                <w:lang w:eastAsia="zh-CN"/>
              </w:rPr>
              <w:t>；</w:t>
            </w:r>
            <w:r>
              <w:rPr>
                <w:rFonts w:hint="eastAsia" w:cs="宋体" w:asciiTheme="minorEastAsia" w:hAnsiTheme="minorEastAsia" w:eastAsiaTheme="minorEastAsia"/>
                <w:b/>
                <w:bCs/>
                <w:color w:val="auto"/>
                <w:szCs w:val="21"/>
                <w:highlight w:val="none"/>
                <w:lang w:val="en-US" w:eastAsia="zh-CN"/>
              </w:rPr>
              <w:t>②</w:t>
            </w:r>
            <w:r>
              <w:rPr>
                <w:rFonts w:hint="eastAsia" w:cs="宋体" w:asciiTheme="minorEastAsia" w:hAnsiTheme="minorEastAsia" w:eastAsiaTheme="minorEastAsia"/>
                <w:b/>
                <w:bCs/>
                <w:color w:val="auto"/>
                <w:szCs w:val="21"/>
                <w:highlight w:val="none"/>
              </w:rPr>
              <w:t>成果质量控制措施</w:t>
            </w:r>
            <w:r>
              <w:rPr>
                <w:rFonts w:hint="eastAsia" w:cs="宋体" w:asciiTheme="minorEastAsia" w:hAnsiTheme="minorEastAsia" w:eastAsiaTheme="minorEastAsia"/>
                <w:b/>
                <w:bCs/>
                <w:color w:val="auto"/>
                <w:szCs w:val="21"/>
                <w:highlight w:val="none"/>
                <w:lang w:val="en-US" w:eastAsia="zh-CN"/>
              </w:rPr>
              <w:t>及保障</w:t>
            </w:r>
            <w:r>
              <w:rPr>
                <w:rFonts w:hint="eastAsia" w:cs="宋体" w:asciiTheme="minorEastAsia" w:hAnsiTheme="minorEastAsia" w:eastAsiaTheme="minorEastAsia"/>
                <w:b/>
                <w:bCs/>
                <w:color w:val="auto"/>
                <w:szCs w:val="21"/>
                <w:highlight w:val="none"/>
                <w:lang w:eastAsia="zh-CN"/>
              </w:rPr>
              <w:t>；</w:t>
            </w:r>
            <w:r>
              <w:rPr>
                <w:rFonts w:hint="eastAsia" w:cs="宋体" w:asciiTheme="minorEastAsia" w:hAnsiTheme="minorEastAsia" w:eastAsiaTheme="minorEastAsia"/>
                <w:b/>
                <w:bCs/>
                <w:color w:val="auto"/>
                <w:szCs w:val="21"/>
                <w:highlight w:val="none"/>
                <w:lang w:val="en-US" w:eastAsia="zh-CN"/>
              </w:rPr>
              <w:t>③</w:t>
            </w:r>
            <w:r>
              <w:rPr>
                <w:rFonts w:hint="eastAsia" w:cs="宋体" w:asciiTheme="minorEastAsia" w:hAnsiTheme="minorEastAsia" w:eastAsiaTheme="minorEastAsia"/>
                <w:b/>
                <w:bCs/>
                <w:color w:val="auto"/>
                <w:szCs w:val="21"/>
                <w:highlight w:val="none"/>
              </w:rPr>
              <w:t>违约责任承诺等）。</w:t>
            </w:r>
          </w:p>
          <w:p w14:paraId="513DFDFB">
            <w:pPr>
              <w:spacing w:line="360" w:lineRule="auto"/>
              <w:rPr>
                <w:rFonts w:hint="eastAsia" w:ascii="宋体" w:hAnsi="宋体"/>
                <w:color w:val="auto"/>
                <w:highlight w:val="none"/>
              </w:rPr>
            </w:pPr>
            <w:r>
              <w:rPr>
                <w:rFonts w:hint="eastAsia" w:ascii="宋体" w:hAnsi="宋体"/>
                <w:color w:val="auto"/>
                <w:highlight w:val="none"/>
              </w:rPr>
              <w:t>（1）质量保证体系和成果质量控制措施</w:t>
            </w:r>
            <w:r>
              <w:rPr>
                <w:rFonts w:hint="eastAsia" w:ascii="宋体" w:hAnsi="宋体" w:cs="宋体"/>
                <w:color w:val="auto"/>
                <w:szCs w:val="21"/>
                <w:highlight w:val="none"/>
              </w:rPr>
              <w:t>内容齐全</w:t>
            </w:r>
            <w:r>
              <w:rPr>
                <w:rFonts w:hint="eastAsia"/>
                <w:color w:val="auto"/>
                <w:szCs w:val="21"/>
                <w:highlight w:val="none"/>
              </w:rPr>
              <w:t>、完善、符合项目实际情况</w:t>
            </w:r>
            <w:r>
              <w:rPr>
                <w:rFonts w:hint="eastAsia" w:ascii="宋体" w:hAnsi="宋体" w:cs="宋体"/>
                <w:color w:val="auto"/>
                <w:szCs w:val="21"/>
                <w:highlight w:val="none"/>
              </w:rPr>
              <w:t>，并且有具体的成果承诺保障及违约责任承诺的，</w:t>
            </w:r>
            <w:r>
              <w:rPr>
                <w:rFonts w:hint="eastAsia" w:ascii="宋体" w:hAnsi="宋体"/>
                <w:color w:val="auto"/>
                <w:highlight w:val="none"/>
              </w:rPr>
              <w:t>得</w:t>
            </w:r>
            <w:r>
              <w:rPr>
                <w:rFonts w:hint="eastAsia" w:ascii="宋体" w:hAnsi="宋体"/>
                <w:color w:val="auto"/>
                <w:highlight w:val="none"/>
                <w:lang w:val="en-US" w:eastAsia="zh-CN"/>
              </w:rPr>
              <w:t>15</w:t>
            </w:r>
            <w:r>
              <w:rPr>
                <w:rFonts w:hint="eastAsia" w:ascii="宋体" w:hAnsi="宋体"/>
                <w:color w:val="auto"/>
                <w:highlight w:val="none"/>
              </w:rPr>
              <w:t>分；</w:t>
            </w:r>
          </w:p>
          <w:p w14:paraId="68B8D4D9">
            <w:pPr>
              <w:spacing w:line="360" w:lineRule="auto"/>
              <w:rPr>
                <w:rFonts w:hint="eastAsia" w:ascii="宋体" w:hAnsi="宋体" w:cs="宋体"/>
                <w:color w:val="auto"/>
                <w:szCs w:val="21"/>
                <w:highlight w:val="none"/>
              </w:rPr>
            </w:pPr>
            <w:r>
              <w:rPr>
                <w:rFonts w:hint="eastAsia" w:ascii="宋体" w:hAnsi="宋体"/>
                <w:color w:val="auto"/>
                <w:highlight w:val="none"/>
              </w:rPr>
              <w:t>（2）质量保证体系，成果质量控制措施，成果承诺保障及违约责任承诺</w:t>
            </w:r>
            <w:r>
              <w:rPr>
                <w:rFonts w:hint="eastAsia" w:ascii="宋体" w:hAnsi="宋体" w:cs="宋体"/>
                <w:color w:val="auto"/>
                <w:szCs w:val="21"/>
                <w:highlight w:val="none"/>
              </w:rPr>
              <w:t>内容中每</w:t>
            </w:r>
            <w:r>
              <w:rPr>
                <w:rFonts w:hint="eastAsia" w:hAnsi="宋体"/>
                <w:color w:val="auto"/>
                <w:kern w:val="0"/>
                <w:highlight w:val="none"/>
              </w:rPr>
              <w:t>缺失一项</w:t>
            </w:r>
            <w:r>
              <w:rPr>
                <w:rFonts w:hint="eastAsia" w:ascii="宋体" w:hAnsi="宋体" w:cs="宋体"/>
                <w:color w:val="auto"/>
                <w:szCs w:val="21"/>
                <w:highlight w:val="none"/>
              </w:rPr>
              <w:t>的，扣5分；</w:t>
            </w:r>
          </w:p>
          <w:p w14:paraId="433D15F8">
            <w:pPr>
              <w:spacing w:line="360" w:lineRule="auto"/>
              <w:rPr>
                <w:rFonts w:hint="eastAsia" w:cs="宋体" w:asciiTheme="minorEastAsia" w:hAnsiTheme="minorEastAsia" w:eastAsiaTheme="minorEastAsia"/>
                <w:b/>
                <w:bCs/>
                <w:color w:val="auto"/>
                <w:szCs w:val="21"/>
                <w:highlight w:val="none"/>
              </w:rPr>
            </w:pPr>
            <w:r>
              <w:rPr>
                <w:rFonts w:hint="eastAsia" w:ascii="宋体" w:hAnsi="宋体" w:cs="宋体"/>
                <w:color w:val="auto"/>
                <w:szCs w:val="21"/>
                <w:highlight w:val="none"/>
              </w:rPr>
              <w:t>（3）成果承诺保障及违约责任承诺不具体的，</w:t>
            </w:r>
            <w:r>
              <w:rPr>
                <w:rFonts w:hint="eastAsia" w:ascii="宋体" w:hAnsi="宋体"/>
                <w:color w:val="auto"/>
                <w:kern w:val="0"/>
                <w:highlight w:val="none"/>
              </w:rPr>
              <w:t>扣</w:t>
            </w:r>
            <w:r>
              <w:rPr>
                <w:rFonts w:hint="eastAsia" w:ascii="宋体" w:hAnsi="宋体"/>
                <w:color w:val="auto"/>
                <w:kern w:val="0"/>
                <w:highlight w:val="none"/>
                <w:lang w:val="en-US" w:eastAsia="zh-CN"/>
              </w:rPr>
              <w:t>3</w:t>
            </w:r>
            <w:r>
              <w:rPr>
                <w:rFonts w:hint="eastAsia" w:ascii="宋体" w:hAnsi="宋体"/>
                <w:color w:val="auto"/>
                <w:kern w:val="0"/>
                <w:highlight w:val="none"/>
              </w:rPr>
              <w:t>分；质量保证体系，成果质量控制措施</w:t>
            </w:r>
            <w:r>
              <w:rPr>
                <w:rFonts w:hint="eastAsia" w:ascii="宋体" w:hAnsi="宋体" w:cs="宋体"/>
                <w:color w:val="auto"/>
                <w:szCs w:val="21"/>
                <w:highlight w:val="none"/>
              </w:rPr>
              <w:t>每有一项不完善</w:t>
            </w:r>
            <w:r>
              <w:rPr>
                <w:rFonts w:hint="eastAsia" w:ascii="宋体" w:hAnsi="宋体"/>
                <w:color w:val="auto"/>
                <w:szCs w:val="21"/>
                <w:highlight w:val="none"/>
              </w:rPr>
              <w:t>或不符合项目实际情况</w:t>
            </w:r>
            <w:r>
              <w:rPr>
                <w:rFonts w:hint="eastAsia" w:ascii="宋体" w:hAnsi="宋体" w:cs="宋体"/>
                <w:color w:val="auto"/>
                <w:szCs w:val="21"/>
                <w:highlight w:val="none"/>
              </w:rPr>
              <w:t>的，扣2分。</w:t>
            </w:r>
          </w:p>
        </w:tc>
        <w:tc>
          <w:tcPr>
            <w:tcW w:w="700" w:type="dxa"/>
            <w:vAlign w:val="center"/>
          </w:tcPr>
          <w:p w14:paraId="2A5566EF">
            <w:pPr>
              <w:spacing w:line="360" w:lineRule="auto"/>
              <w:rPr>
                <w:rFonts w:hint="eastAsia" w:ascii="宋体" w:hAnsi="宋体"/>
                <w:color w:val="auto"/>
                <w:highlight w:val="none"/>
              </w:rPr>
            </w:pPr>
            <w:r>
              <w:rPr>
                <w:rFonts w:hint="eastAsia" w:ascii="宋体" w:hAnsi="宋体"/>
                <w:color w:val="auto"/>
                <w:highlight w:val="none"/>
                <w:lang w:val="en-US" w:eastAsia="zh-CN"/>
              </w:rPr>
              <w:t>15</w:t>
            </w:r>
            <w:r>
              <w:rPr>
                <w:rFonts w:hint="eastAsia" w:ascii="宋体" w:hAnsi="宋体"/>
                <w:color w:val="auto"/>
                <w:highlight w:val="none"/>
              </w:rPr>
              <w:t>分</w:t>
            </w:r>
          </w:p>
        </w:tc>
      </w:tr>
      <w:tr w14:paraId="406D6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jc w:val="center"/>
        </w:trPr>
        <w:tc>
          <w:tcPr>
            <w:tcW w:w="937" w:type="dxa"/>
            <w:vMerge w:val="continue"/>
            <w:vAlign w:val="center"/>
          </w:tcPr>
          <w:p w14:paraId="161DDDF2">
            <w:pPr>
              <w:spacing w:line="360" w:lineRule="auto"/>
              <w:jc w:val="center"/>
              <w:rPr>
                <w:rFonts w:hint="eastAsia" w:cs="仿宋" w:asciiTheme="minorEastAsia" w:hAnsiTheme="minorEastAsia" w:eastAsiaTheme="minorEastAsia"/>
                <w:bCs/>
                <w:color w:val="auto"/>
                <w:szCs w:val="21"/>
                <w:highlight w:val="none"/>
              </w:rPr>
            </w:pPr>
          </w:p>
        </w:tc>
        <w:tc>
          <w:tcPr>
            <w:tcW w:w="1610" w:type="dxa"/>
            <w:vMerge w:val="continue"/>
            <w:vAlign w:val="center"/>
          </w:tcPr>
          <w:p w14:paraId="12D840C4">
            <w:pPr>
              <w:pStyle w:val="329"/>
              <w:spacing w:before="0" w:line="360" w:lineRule="auto"/>
              <w:ind w:left="131" w:right="9"/>
              <w:jc w:val="center"/>
              <w:rPr>
                <w:rFonts w:hint="eastAsia" w:asciiTheme="minorEastAsia" w:hAnsiTheme="minorEastAsia" w:eastAsiaTheme="minorEastAsia"/>
                <w:color w:val="auto"/>
                <w:sz w:val="21"/>
                <w:szCs w:val="21"/>
                <w:highlight w:val="none"/>
                <w:lang w:eastAsia="zh-CN"/>
              </w:rPr>
            </w:pPr>
          </w:p>
        </w:tc>
        <w:tc>
          <w:tcPr>
            <w:tcW w:w="5905" w:type="dxa"/>
            <w:gridSpan w:val="2"/>
            <w:vAlign w:val="center"/>
          </w:tcPr>
          <w:p w14:paraId="38CD16EE">
            <w:pPr>
              <w:wordWrap w:val="0"/>
              <w:overflowPunct w:val="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（3）</w:t>
            </w:r>
            <w:r>
              <w:rPr>
                <w:rFonts w:hint="eastAsia" w:ascii="宋体" w:hAnsi="宋体" w:cs="宋体"/>
                <w:b/>
                <w:bCs/>
                <w:color w:val="auto"/>
                <w:highlight w:val="none"/>
                <w:lang w:val="en-US" w:eastAsia="zh-CN"/>
              </w:rPr>
              <w:t>监理实施进度计划</w:t>
            </w:r>
            <w:r>
              <w:rPr>
                <w:rFonts w:hint="eastAsia" w:ascii="宋体" w:hAnsi="宋体" w:eastAsia="宋体" w:cs="宋体"/>
                <w:b/>
                <w:bCs/>
                <w:color w:val="auto"/>
                <w:highlight w:val="none"/>
              </w:rPr>
              <w:t>审查评分（满分1</w:t>
            </w:r>
            <w:r>
              <w:rPr>
                <w:rFonts w:hint="eastAsia" w:ascii="宋体" w:hAnsi="宋体" w:cs="宋体"/>
                <w:b/>
                <w:bCs/>
                <w:color w:val="auto"/>
                <w:highlight w:val="none"/>
                <w:lang w:val="en-US" w:eastAsia="zh-CN"/>
              </w:rPr>
              <w:t>5</w:t>
            </w:r>
            <w:r>
              <w:rPr>
                <w:rFonts w:hint="eastAsia" w:ascii="宋体" w:hAnsi="宋体" w:eastAsia="宋体" w:cs="宋体"/>
                <w:b/>
                <w:bCs/>
                <w:color w:val="auto"/>
                <w:highlight w:val="none"/>
              </w:rPr>
              <w:t>分）</w:t>
            </w:r>
          </w:p>
          <w:p w14:paraId="618D6F9A">
            <w:pPr>
              <w:adjustRightInd w:val="0"/>
              <w:spacing w:line="360" w:lineRule="auto"/>
              <w:rPr>
                <w:rFonts w:hint="eastAsia" w:ascii="宋体" w:hAnsi="宋体" w:cs="宋体"/>
                <w:b/>
                <w:bCs/>
                <w:color w:val="auto"/>
                <w:szCs w:val="21"/>
                <w:highlight w:val="none"/>
              </w:rPr>
            </w:pPr>
            <w:r>
              <w:rPr>
                <w:rFonts w:hint="eastAsia" w:cs="宋体" w:asciiTheme="minorEastAsia" w:hAnsiTheme="minorEastAsia" w:eastAsiaTheme="minorEastAsia"/>
                <w:b/>
                <w:bCs/>
                <w:color w:val="auto"/>
                <w:szCs w:val="21"/>
                <w:highlight w:val="none"/>
              </w:rPr>
              <w:t>根据供应商</w:t>
            </w:r>
            <w:r>
              <w:rPr>
                <w:rFonts w:hint="eastAsia" w:ascii="宋体" w:hAnsi="宋体"/>
                <w:b/>
                <w:bCs/>
                <w:color w:val="auto"/>
                <w:highlight w:val="none"/>
              </w:rPr>
              <w:t>提供</w:t>
            </w:r>
            <w:r>
              <w:rPr>
                <w:rFonts w:hint="eastAsia" w:cs="宋体" w:asciiTheme="minorEastAsia" w:hAnsiTheme="minorEastAsia" w:eastAsiaTheme="minorEastAsia"/>
                <w:b/>
                <w:bCs/>
                <w:color w:val="auto"/>
                <w:szCs w:val="21"/>
                <w:highlight w:val="none"/>
              </w:rPr>
              <w:t>的</w:t>
            </w:r>
            <w:r>
              <w:rPr>
                <w:rFonts w:hint="eastAsia" w:ascii="宋体" w:hAnsi="宋体" w:cs="宋体"/>
                <w:b/>
                <w:bCs/>
                <w:color w:val="auto"/>
                <w:highlight w:val="none"/>
                <w:lang w:val="en-US" w:eastAsia="zh-CN"/>
              </w:rPr>
              <w:t>监理实施进度计划</w:t>
            </w:r>
            <w:r>
              <w:rPr>
                <w:rFonts w:hint="eastAsia" w:cs="宋体" w:asciiTheme="minorEastAsia" w:hAnsiTheme="minorEastAsia" w:eastAsiaTheme="minorEastAsia"/>
                <w:b/>
                <w:bCs/>
                <w:color w:val="auto"/>
                <w:szCs w:val="21"/>
                <w:highlight w:val="none"/>
              </w:rPr>
              <w:t>保证措施及承诺整体情况进行评审评分（包括但不限于：</w:t>
            </w:r>
            <w:r>
              <w:rPr>
                <w:rFonts w:hint="eastAsia" w:cs="宋体" w:asciiTheme="minorEastAsia" w:hAnsiTheme="minorEastAsia" w:eastAsiaTheme="minorEastAsia"/>
                <w:b/>
                <w:bCs/>
                <w:color w:val="auto"/>
                <w:szCs w:val="21"/>
                <w:highlight w:val="none"/>
                <w:lang w:val="en-US" w:eastAsia="zh-CN"/>
              </w:rPr>
              <w:t>①</w:t>
            </w:r>
            <w:r>
              <w:rPr>
                <w:rFonts w:hint="eastAsia" w:cs="宋体" w:asciiTheme="minorEastAsia" w:hAnsiTheme="minorEastAsia" w:eastAsiaTheme="minorEastAsia"/>
                <w:b/>
                <w:bCs/>
                <w:color w:val="auto"/>
                <w:szCs w:val="21"/>
                <w:highlight w:val="none"/>
              </w:rPr>
              <w:t>日常工作计划安排</w:t>
            </w:r>
            <w:r>
              <w:rPr>
                <w:rFonts w:hint="eastAsia" w:cs="宋体" w:asciiTheme="minorEastAsia" w:hAnsiTheme="minorEastAsia" w:eastAsiaTheme="minorEastAsia"/>
                <w:b/>
                <w:bCs/>
                <w:color w:val="auto"/>
                <w:szCs w:val="21"/>
                <w:highlight w:val="none"/>
                <w:lang w:eastAsia="zh-CN"/>
              </w:rPr>
              <w:t>；</w:t>
            </w:r>
            <w:r>
              <w:rPr>
                <w:rFonts w:hint="eastAsia" w:cs="宋体" w:asciiTheme="minorEastAsia" w:hAnsiTheme="minorEastAsia" w:eastAsiaTheme="minorEastAsia"/>
                <w:b/>
                <w:bCs/>
                <w:color w:val="auto"/>
                <w:szCs w:val="21"/>
                <w:highlight w:val="none"/>
                <w:lang w:val="en-US" w:eastAsia="zh-CN"/>
              </w:rPr>
              <w:t>②</w:t>
            </w:r>
            <w:r>
              <w:rPr>
                <w:rFonts w:hint="eastAsia" w:cs="宋体" w:asciiTheme="minorEastAsia" w:hAnsiTheme="minorEastAsia" w:eastAsiaTheme="minorEastAsia"/>
                <w:b/>
                <w:bCs/>
                <w:color w:val="auto"/>
                <w:szCs w:val="21"/>
                <w:highlight w:val="none"/>
              </w:rPr>
              <w:t>服务周期保证措施</w:t>
            </w:r>
            <w:r>
              <w:rPr>
                <w:rFonts w:hint="eastAsia" w:cs="宋体" w:asciiTheme="minorEastAsia" w:hAnsiTheme="minorEastAsia" w:eastAsiaTheme="minorEastAsia"/>
                <w:b/>
                <w:bCs/>
                <w:color w:val="auto"/>
                <w:szCs w:val="21"/>
                <w:highlight w:val="none"/>
                <w:lang w:eastAsia="zh-CN"/>
              </w:rPr>
              <w:t>；</w:t>
            </w:r>
            <w:r>
              <w:rPr>
                <w:rFonts w:hint="eastAsia" w:cs="宋体" w:asciiTheme="minorEastAsia" w:hAnsiTheme="minorEastAsia" w:eastAsiaTheme="minorEastAsia"/>
                <w:b/>
                <w:bCs/>
                <w:color w:val="auto"/>
                <w:szCs w:val="21"/>
                <w:highlight w:val="none"/>
                <w:lang w:val="en-US" w:eastAsia="zh-CN"/>
              </w:rPr>
              <w:t>③</w:t>
            </w:r>
            <w:r>
              <w:rPr>
                <w:rFonts w:hint="eastAsia" w:cs="宋体" w:asciiTheme="minorEastAsia" w:hAnsiTheme="minorEastAsia" w:eastAsiaTheme="minorEastAsia"/>
                <w:b/>
                <w:bCs/>
                <w:color w:val="auto"/>
                <w:szCs w:val="21"/>
                <w:highlight w:val="none"/>
              </w:rPr>
              <w:t>违约责任承</w:t>
            </w:r>
            <w:r>
              <w:rPr>
                <w:rFonts w:hint="eastAsia" w:ascii="宋体" w:hAnsi="宋体" w:cs="宋体"/>
                <w:b/>
                <w:bCs/>
                <w:color w:val="auto"/>
                <w:szCs w:val="21"/>
                <w:highlight w:val="none"/>
              </w:rPr>
              <w:t>诺等）。</w:t>
            </w:r>
          </w:p>
          <w:p w14:paraId="0944EEEC">
            <w:pPr>
              <w:spacing w:line="360" w:lineRule="auto"/>
              <w:rPr>
                <w:rFonts w:hint="eastAsia" w:ascii="宋体" w:hAnsi="宋体"/>
                <w:color w:val="auto"/>
                <w:highlight w:val="none"/>
              </w:rPr>
            </w:pPr>
            <w:r>
              <w:rPr>
                <w:rFonts w:hint="eastAsia" w:ascii="宋体" w:hAnsi="宋体" w:cs="宋体"/>
                <w:color w:val="auto"/>
                <w:szCs w:val="21"/>
                <w:highlight w:val="none"/>
              </w:rPr>
              <w:t>（1）</w:t>
            </w:r>
            <w:r>
              <w:rPr>
                <w:rFonts w:hint="eastAsia" w:ascii="宋体" w:hAnsi="宋体" w:cs="宋体"/>
                <w:color w:val="auto"/>
                <w:szCs w:val="21"/>
                <w:highlight w:val="none"/>
                <w:lang w:val="en-US" w:eastAsia="zh-CN"/>
              </w:rPr>
              <w:t>监理实施进度计划</w:t>
            </w:r>
            <w:r>
              <w:rPr>
                <w:rFonts w:hint="eastAsia" w:ascii="宋体" w:hAnsi="宋体" w:cs="宋体"/>
                <w:color w:val="auto"/>
                <w:szCs w:val="21"/>
                <w:highlight w:val="none"/>
              </w:rPr>
              <w:t>保证措施内容齐全</w:t>
            </w:r>
            <w:r>
              <w:rPr>
                <w:rFonts w:hint="eastAsia"/>
                <w:color w:val="auto"/>
                <w:szCs w:val="21"/>
                <w:highlight w:val="none"/>
              </w:rPr>
              <w:t>、完善、符合项目实际情况</w:t>
            </w:r>
            <w:r>
              <w:rPr>
                <w:rFonts w:hint="eastAsia" w:ascii="宋体" w:hAnsi="宋体"/>
                <w:color w:val="auto"/>
                <w:highlight w:val="none"/>
              </w:rPr>
              <w:t>，</w:t>
            </w:r>
            <w:r>
              <w:rPr>
                <w:rFonts w:hint="eastAsia" w:ascii="宋体" w:hAnsi="宋体" w:cs="宋体"/>
                <w:color w:val="auto"/>
                <w:szCs w:val="21"/>
                <w:highlight w:val="none"/>
              </w:rPr>
              <w:t>并且有具体的违约责任承诺的，</w:t>
            </w:r>
            <w:r>
              <w:rPr>
                <w:rFonts w:hint="eastAsia" w:ascii="宋体" w:hAnsi="宋体"/>
                <w:color w:val="auto"/>
                <w:highlight w:val="none"/>
              </w:rPr>
              <w:t>得</w:t>
            </w:r>
            <w:r>
              <w:rPr>
                <w:rFonts w:ascii="宋体" w:hAnsi="宋体"/>
                <w:color w:val="auto"/>
                <w:highlight w:val="none"/>
              </w:rPr>
              <w:t>15</w:t>
            </w:r>
            <w:r>
              <w:rPr>
                <w:rFonts w:hint="eastAsia" w:ascii="宋体" w:hAnsi="宋体"/>
                <w:color w:val="auto"/>
                <w:highlight w:val="none"/>
              </w:rPr>
              <w:t>分；</w:t>
            </w:r>
          </w:p>
          <w:p w14:paraId="7FCE552F">
            <w:pPr>
              <w:spacing w:line="360" w:lineRule="auto"/>
              <w:rPr>
                <w:rFonts w:hint="eastAsia" w:ascii="宋体" w:hAnsi="宋体" w:cs="宋体"/>
                <w:color w:val="auto"/>
                <w:szCs w:val="21"/>
                <w:highlight w:val="none"/>
              </w:rPr>
            </w:pPr>
            <w:r>
              <w:rPr>
                <w:rFonts w:hint="eastAsia" w:cs="宋体" w:asciiTheme="minorEastAsia" w:hAnsiTheme="minorEastAsia" w:eastAsiaTheme="minorEastAsia"/>
                <w:color w:val="auto"/>
                <w:szCs w:val="21"/>
                <w:highlight w:val="none"/>
              </w:rPr>
              <w:t>（2）日常工作计划安排、</w:t>
            </w:r>
            <w:r>
              <w:rPr>
                <w:rFonts w:hint="eastAsia" w:cs="宋体" w:asciiTheme="minorEastAsia" w:hAnsiTheme="minorEastAsia" w:eastAsiaTheme="minorEastAsia"/>
                <w:color w:val="auto"/>
                <w:szCs w:val="21"/>
                <w:highlight w:val="none"/>
                <w:lang w:val="en-US" w:eastAsia="zh-CN"/>
              </w:rPr>
              <w:t>监理实施进度计划</w:t>
            </w:r>
            <w:r>
              <w:rPr>
                <w:rFonts w:hint="eastAsia" w:cs="宋体" w:asciiTheme="minorEastAsia" w:hAnsiTheme="minorEastAsia" w:eastAsiaTheme="minorEastAsia"/>
                <w:color w:val="auto"/>
                <w:szCs w:val="21"/>
                <w:highlight w:val="none"/>
              </w:rPr>
              <w:t>保证措施和</w:t>
            </w:r>
            <w:r>
              <w:rPr>
                <w:rFonts w:hint="eastAsia" w:ascii="宋体" w:hAnsi="宋体" w:cs="宋体"/>
                <w:color w:val="auto"/>
                <w:szCs w:val="21"/>
                <w:highlight w:val="none"/>
              </w:rPr>
              <w:t>违约责任</w:t>
            </w:r>
            <w:r>
              <w:rPr>
                <w:rFonts w:hint="eastAsia" w:cs="宋体" w:asciiTheme="minorEastAsia" w:hAnsiTheme="minorEastAsia" w:eastAsiaTheme="minorEastAsia"/>
                <w:color w:val="auto"/>
                <w:szCs w:val="21"/>
                <w:highlight w:val="none"/>
              </w:rPr>
              <w:t>承诺</w:t>
            </w:r>
            <w:r>
              <w:rPr>
                <w:rFonts w:hint="eastAsia" w:ascii="宋体" w:hAnsi="宋体" w:cs="宋体"/>
                <w:color w:val="auto"/>
                <w:szCs w:val="21"/>
                <w:highlight w:val="none"/>
              </w:rPr>
              <w:t>内容中每</w:t>
            </w:r>
            <w:r>
              <w:rPr>
                <w:rFonts w:hint="eastAsia" w:hAnsi="宋体"/>
                <w:color w:val="auto"/>
                <w:kern w:val="0"/>
                <w:highlight w:val="none"/>
              </w:rPr>
              <w:t>缺失一项</w:t>
            </w:r>
            <w:r>
              <w:rPr>
                <w:rFonts w:hint="eastAsia" w:ascii="宋体" w:hAnsi="宋体" w:cs="宋体"/>
                <w:color w:val="auto"/>
                <w:szCs w:val="21"/>
                <w:highlight w:val="none"/>
              </w:rPr>
              <w:t>的，扣5分；</w:t>
            </w:r>
          </w:p>
          <w:p w14:paraId="21C2B549">
            <w:pPr>
              <w:spacing w:line="360" w:lineRule="auto"/>
              <w:rPr>
                <w:rFonts w:hint="eastAsia" w:cs="宋体" w:asciiTheme="minorEastAsia" w:hAnsiTheme="minorEastAsia" w:eastAsiaTheme="minorEastAsia"/>
                <w:color w:val="auto"/>
                <w:szCs w:val="21"/>
                <w:highlight w:val="none"/>
              </w:rPr>
            </w:pPr>
            <w:r>
              <w:rPr>
                <w:rFonts w:hint="eastAsia" w:ascii="宋体" w:hAnsi="宋体" w:cs="宋体"/>
                <w:color w:val="auto"/>
                <w:szCs w:val="21"/>
                <w:highlight w:val="none"/>
              </w:rPr>
              <w:t>（3）违约责任承诺不具体的，</w:t>
            </w:r>
            <w:r>
              <w:rPr>
                <w:rFonts w:hint="eastAsia" w:ascii="宋体" w:hAnsi="宋体"/>
                <w:color w:val="auto"/>
                <w:kern w:val="0"/>
                <w:highlight w:val="none"/>
              </w:rPr>
              <w:t>扣3分；日常工作计划安排、</w:t>
            </w:r>
            <w:r>
              <w:rPr>
                <w:rFonts w:hint="eastAsia" w:ascii="宋体" w:hAnsi="宋体"/>
                <w:color w:val="auto"/>
                <w:kern w:val="0"/>
                <w:highlight w:val="none"/>
                <w:lang w:val="en-US" w:eastAsia="zh-CN"/>
              </w:rPr>
              <w:t>监理实施进度计划</w:t>
            </w:r>
            <w:r>
              <w:rPr>
                <w:rFonts w:hint="eastAsia" w:ascii="宋体" w:hAnsi="宋体"/>
                <w:color w:val="auto"/>
                <w:kern w:val="0"/>
                <w:highlight w:val="none"/>
              </w:rPr>
              <w:t>保证措施</w:t>
            </w:r>
            <w:r>
              <w:rPr>
                <w:rFonts w:hint="eastAsia" w:ascii="宋体" w:hAnsi="宋体" w:cs="宋体"/>
                <w:color w:val="auto"/>
                <w:szCs w:val="21"/>
                <w:highlight w:val="none"/>
              </w:rPr>
              <w:t>每有一项不完善</w:t>
            </w:r>
            <w:r>
              <w:rPr>
                <w:rFonts w:hint="eastAsia" w:ascii="宋体" w:hAnsi="宋体"/>
                <w:color w:val="auto"/>
                <w:szCs w:val="21"/>
                <w:highlight w:val="none"/>
              </w:rPr>
              <w:t>或不符合项目实际情况</w:t>
            </w:r>
            <w:r>
              <w:rPr>
                <w:rFonts w:hint="eastAsia" w:ascii="宋体" w:hAnsi="宋体" w:cs="宋体"/>
                <w:color w:val="auto"/>
                <w:szCs w:val="21"/>
                <w:highlight w:val="none"/>
              </w:rPr>
              <w:t>的，扣2分。</w:t>
            </w:r>
          </w:p>
        </w:tc>
        <w:tc>
          <w:tcPr>
            <w:tcW w:w="700" w:type="dxa"/>
            <w:vAlign w:val="center"/>
          </w:tcPr>
          <w:p w14:paraId="30E79C8C">
            <w:pPr>
              <w:spacing w:line="360" w:lineRule="auto"/>
              <w:rPr>
                <w:rFonts w:hint="eastAsia" w:ascii="宋体" w:hAnsi="宋体"/>
                <w:color w:val="auto"/>
                <w:highlight w:val="none"/>
              </w:rPr>
            </w:pPr>
            <w:r>
              <w:rPr>
                <w:rFonts w:hint="eastAsia" w:ascii="宋体" w:hAnsi="宋体"/>
                <w:color w:val="auto"/>
                <w:highlight w:val="none"/>
              </w:rPr>
              <w:t>15分</w:t>
            </w:r>
          </w:p>
        </w:tc>
      </w:tr>
      <w:tr w14:paraId="6C473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jc w:val="center"/>
        </w:trPr>
        <w:tc>
          <w:tcPr>
            <w:tcW w:w="937" w:type="dxa"/>
            <w:vMerge w:val="continue"/>
            <w:vAlign w:val="center"/>
          </w:tcPr>
          <w:p w14:paraId="40E147E0">
            <w:pPr>
              <w:spacing w:line="360" w:lineRule="auto"/>
              <w:jc w:val="center"/>
              <w:rPr>
                <w:rFonts w:hint="eastAsia" w:cs="仿宋" w:asciiTheme="minorEastAsia" w:hAnsiTheme="minorEastAsia" w:eastAsiaTheme="minorEastAsia"/>
                <w:bCs/>
                <w:color w:val="auto"/>
                <w:szCs w:val="21"/>
                <w:highlight w:val="none"/>
              </w:rPr>
            </w:pPr>
          </w:p>
        </w:tc>
        <w:tc>
          <w:tcPr>
            <w:tcW w:w="1610" w:type="dxa"/>
            <w:vMerge w:val="continue"/>
            <w:vAlign w:val="center"/>
          </w:tcPr>
          <w:p w14:paraId="1D8F3E29">
            <w:pPr>
              <w:pStyle w:val="329"/>
              <w:spacing w:before="0" w:line="360" w:lineRule="auto"/>
              <w:ind w:left="131" w:right="9"/>
              <w:jc w:val="center"/>
              <w:rPr>
                <w:rFonts w:hint="eastAsia" w:asciiTheme="minorEastAsia" w:hAnsiTheme="minorEastAsia" w:eastAsiaTheme="minorEastAsia"/>
                <w:color w:val="auto"/>
                <w:sz w:val="21"/>
                <w:szCs w:val="21"/>
                <w:highlight w:val="none"/>
                <w:lang w:eastAsia="zh-CN"/>
              </w:rPr>
            </w:pPr>
          </w:p>
        </w:tc>
        <w:tc>
          <w:tcPr>
            <w:tcW w:w="5905" w:type="dxa"/>
            <w:gridSpan w:val="2"/>
            <w:vAlign w:val="center"/>
          </w:tcPr>
          <w:p w14:paraId="2C1434B2">
            <w:pPr>
              <w:spacing w:line="360" w:lineRule="auto"/>
              <w:rPr>
                <w:rFonts w:cs="宋体" w:asciiTheme="minorEastAsia" w:hAnsiTheme="minorEastAsia" w:eastAsiaTheme="minorEastAsia"/>
                <w:b/>
                <w:bCs/>
                <w:szCs w:val="21"/>
                <w:highlight w:val="none"/>
              </w:rPr>
            </w:pPr>
            <w:r>
              <w:rPr>
                <w:rFonts w:hint="eastAsia" w:cs="宋体" w:asciiTheme="minorEastAsia" w:hAnsiTheme="minorEastAsia" w:eastAsiaTheme="minorEastAsia"/>
                <w:b/>
                <w:bCs/>
                <w:szCs w:val="21"/>
                <w:highlight w:val="none"/>
                <w:lang w:eastAsia="zh-CN"/>
              </w:rPr>
              <w:t>（</w:t>
            </w:r>
            <w:r>
              <w:rPr>
                <w:rFonts w:hint="eastAsia" w:cs="宋体" w:asciiTheme="minorEastAsia" w:hAnsiTheme="minorEastAsia" w:eastAsiaTheme="minorEastAsia"/>
                <w:b/>
                <w:bCs/>
                <w:szCs w:val="21"/>
                <w:highlight w:val="none"/>
                <w:lang w:val="en-US" w:eastAsia="zh-CN"/>
              </w:rPr>
              <w:t>4</w:t>
            </w:r>
            <w:r>
              <w:rPr>
                <w:rFonts w:hint="eastAsia" w:cs="宋体" w:asciiTheme="minorEastAsia" w:hAnsiTheme="minorEastAsia" w:eastAsiaTheme="minorEastAsia"/>
                <w:b/>
                <w:bCs/>
                <w:szCs w:val="21"/>
                <w:highlight w:val="none"/>
                <w:lang w:eastAsia="zh-CN"/>
              </w:rPr>
              <w:t>）</w:t>
            </w:r>
            <w:r>
              <w:rPr>
                <w:rFonts w:hint="eastAsia" w:cs="宋体" w:asciiTheme="minorEastAsia" w:hAnsiTheme="minorEastAsia" w:eastAsiaTheme="minorEastAsia"/>
                <w:b/>
                <w:bCs/>
                <w:szCs w:val="21"/>
                <w:highlight w:val="none"/>
                <w:lang w:val="en-US" w:eastAsia="zh-CN"/>
              </w:rPr>
              <w:t>保密措施、后续服务及违约承诺审查评分（满分10分）</w:t>
            </w:r>
          </w:p>
          <w:p w14:paraId="01550179">
            <w:pPr>
              <w:adjustRightInd w:val="0"/>
              <w:spacing w:line="360" w:lineRule="auto"/>
              <w:rPr>
                <w:rFonts w:ascii="宋体" w:hAnsi="宋体" w:cs="宋体"/>
                <w:b/>
                <w:bCs/>
                <w:szCs w:val="21"/>
                <w:highlight w:val="none"/>
              </w:rPr>
            </w:pPr>
            <w:r>
              <w:rPr>
                <w:rFonts w:hint="eastAsia" w:cs="宋体" w:asciiTheme="minorEastAsia" w:hAnsiTheme="minorEastAsia" w:eastAsiaTheme="minorEastAsia"/>
                <w:b/>
                <w:bCs/>
                <w:szCs w:val="21"/>
                <w:highlight w:val="none"/>
              </w:rPr>
              <w:t>根据供应商</w:t>
            </w:r>
            <w:r>
              <w:rPr>
                <w:rFonts w:hint="eastAsia" w:ascii="宋体" w:hAnsi="宋体"/>
                <w:b/>
                <w:bCs/>
                <w:highlight w:val="none"/>
              </w:rPr>
              <w:t>提供</w:t>
            </w:r>
            <w:r>
              <w:rPr>
                <w:rFonts w:hint="eastAsia" w:cs="宋体" w:asciiTheme="minorEastAsia" w:hAnsiTheme="minorEastAsia" w:eastAsiaTheme="minorEastAsia"/>
                <w:b/>
                <w:bCs/>
                <w:szCs w:val="21"/>
                <w:highlight w:val="none"/>
              </w:rPr>
              <w:t>的</w:t>
            </w:r>
            <w:r>
              <w:rPr>
                <w:rFonts w:hint="eastAsia" w:cs="宋体" w:asciiTheme="minorEastAsia" w:hAnsiTheme="minorEastAsia" w:eastAsiaTheme="minorEastAsia"/>
                <w:b/>
                <w:bCs/>
                <w:szCs w:val="21"/>
                <w:highlight w:val="none"/>
                <w:lang w:val="en-US" w:eastAsia="zh-CN"/>
              </w:rPr>
              <w:t>保密措施及</w:t>
            </w:r>
            <w:r>
              <w:rPr>
                <w:rFonts w:hint="eastAsia" w:cs="宋体" w:asciiTheme="minorEastAsia" w:hAnsiTheme="minorEastAsia" w:eastAsiaTheme="minorEastAsia"/>
                <w:b/>
                <w:bCs/>
                <w:szCs w:val="21"/>
                <w:highlight w:val="none"/>
              </w:rPr>
              <w:t>后续服务工作安排及承诺整体情况进行评审评分（包括但不限于：</w:t>
            </w:r>
            <w:r>
              <w:rPr>
                <w:rFonts w:hint="eastAsia" w:cs="宋体" w:asciiTheme="minorEastAsia" w:hAnsiTheme="minorEastAsia" w:eastAsiaTheme="minorEastAsia"/>
                <w:b/>
                <w:bCs/>
                <w:szCs w:val="21"/>
                <w:highlight w:val="none"/>
                <w:lang w:val="en-US" w:eastAsia="zh-CN"/>
              </w:rPr>
              <w:t>①保密措施及</w:t>
            </w:r>
            <w:r>
              <w:rPr>
                <w:rFonts w:hint="eastAsia" w:cs="宋体" w:asciiTheme="minorEastAsia" w:hAnsiTheme="minorEastAsia" w:eastAsiaTheme="minorEastAsia"/>
                <w:b/>
                <w:bCs/>
                <w:szCs w:val="21"/>
                <w:highlight w:val="none"/>
              </w:rPr>
              <w:t>违约责任承</w:t>
            </w:r>
            <w:r>
              <w:rPr>
                <w:rFonts w:hint="eastAsia" w:ascii="宋体" w:hAnsi="宋体" w:cs="宋体"/>
                <w:b/>
                <w:bCs/>
                <w:szCs w:val="21"/>
                <w:highlight w:val="none"/>
              </w:rPr>
              <w:t>诺</w:t>
            </w:r>
            <w:r>
              <w:rPr>
                <w:rFonts w:hint="eastAsia" w:cs="宋体" w:asciiTheme="minorEastAsia" w:hAnsiTheme="minorEastAsia" w:eastAsiaTheme="minorEastAsia"/>
                <w:b/>
                <w:bCs/>
                <w:szCs w:val="21"/>
                <w:highlight w:val="none"/>
                <w:lang w:val="en-US" w:eastAsia="zh-CN"/>
              </w:rPr>
              <w:t>；②</w:t>
            </w:r>
            <w:r>
              <w:rPr>
                <w:rFonts w:hint="eastAsia" w:cs="宋体" w:asciiTheme="minorEastAsia" w:hAnsiTheme="minorEastAsia" w:eastAsiaTheme="minorEastAsia"/>
                <w:b/>
                <w:bCs/>
                <w:szCs w:val="21"/>
                <w:highlight w:val="none"/>
              </w:rPr>
              <w:t>后续服务工作安排</w:t>
            </w:r>
            <w:r>
              <w:rPr>
                <w:rFonts w:hint="eastAsia" w:ascii="宋体" w:hAnsi="宋体" w:cs="宋体"/>
                <w:b/>
                <w:bCs/>
                <w:szCs w:val="21"/>
                <w:highlight w:val="none"/>
              </w:rPr>
              <w:t>等）。</w:t>
            </w:r>
          </w:p>
          <w:p w14:paraId="35263A27">
            <w:pPr>
              <w:spacing w:line="360" w:lineRule="auto"/>
              <w:rPr>
                <w:rFonts w:cs="宋体" w:asciiTheme="minorEastAsia" w:hAnsiTheme="minorEastAsia" w:eastAsiaTheme="minorEastAsia"/>
                <w:szCs w:val="21"/>
                <w:highlight w:val="none"/>
              </w:rPr>
            </w:pPr>
            <w:r>
              <w:rPr>
                <w:rFonts w:hint="eastAsia" w:ascii="宋体" w:hAnsi="宋体" w:cs="宋体"/>
                <w:szCs w:val="21"/>
                <w:highlight w:val="none"/>
              </w:rPr>
              <w:t>（1）保密措施</w:t>
            </w:r>
            <w:r>
              <w:rPr>
                <w:rFonts w:hint="eastAsia" w:ascii="宋体" w:hAnsi="宋体" w:cs="宋体"/>
                <w:szCs w:val="21"/>
                <w:highlight w:val="none"/>
                <w:lang w:val="en-US" w:eastAsia="zh-CN"/>
              </w:rPr>
              <w:t>及</w:t>
            </w:r>
            <w:r>
              <w:rPr>
                <w:rFonts w:hint="eastAsia" w:ascii="宋体" w:hAnsi="宋体" w:cs="宋体"/>
                <w:szCs w:val="21"/>
                <w:highlight w:val="none"/>
              </w:rPr>
              <w:t>违约责任承诺、后续服务工作安排及承诺内容齐全</w:t>
            </w:r>
            <w:r>
              <w:rPr>
                <w:rFonts w:hint="eastAsia"/>
                <w:szCs w:val="21"/>
                <w:highlight w:val="none"/>
              </w:rPr>
              <w:t>、完善、符合项目实际情况</w:t>
            </w:r>
            <w:r>
              <w:rPr>
                <w:rFonts w:hint="eastAsia" w:ascii="宋体" w:hAnsi="宋体" w:cs="宋体"/>
                <w:szCs w:val="21"/>
                <w:highlight w:val="none"/>
              </w:rPr>
              <w:t>的</w:t>
            </w:r>
            <w:r>
              <w:rPr>
                <w:rFonts w:hint="eastAsia" w:ascii="宋体" w:hAnsi="宋体"/>
                <w:highlight w:val="none"/>
              </w:rPr>
              <w:t>，</w:t>
            </w:r>
            <w:r>
              <w:rPr>
                <w:rFonts w:hint="eastAsia" w:ascii="宋体" w:hAnsi="宋体" w:cs="宋体"/>
                <w:szCs w:val="21"/>
                <w:highlight w:val="none"/>
              </w:rPr>
              <w:t>得</w:t>
            </w:r>
            <w:r>
              <w:rPr>
                <w:rFonts w:hint="eastAsia" w:ascii="宋体" w:hAnsi="宋体" w:cs="宋体"/>
                <w:szCs w:val="21"/>
                <w:highlight w:val="none"/>
                <w:lang w:val="en-US" w:eastAsia="zh-CN"/>
              </w:rPr>
              <w:t>10</w:t>
            </w:r>
            <w:r>
              <w:rPr>
                <w:rFonts w:hint="eastAsia" w:ascii="宋体" w:hAnsi="宋体" w:cs="宋体"/>
                <w:szCs w:val="21"/>
                <w:highlight w:val="none"/>
              </w:rPr>
              <w:t>分</w:t>
            </w:r>
            <w:r>
              <w:rPr>
                <w:rFonts w:hint="eastAsia" w:cs="宋体" w:asciiTheme="minorEastAsia" w:hAnsiTheme="minorEastAsia" w:eastAsiaTheme="minorEastAsia"/>
                <w:szCs w:val="21"/>
                <w:highlight w:val="none"/>
              </w:rPr>
              <w:t>；</w:t>
            </w:r>
          </w:p>
          <w:p w14:paraId="05F77FF1">
            <w:pPr>
              <w:spacing w:line="360" w:lineRule="auto"/>
              <w:rPr>
                <w:rFonts w:hint="eastAsia" w:cs="宋体" w:asciiTheme="minorEastAsia" w:hAnsiTheme="minorEastAsia" w:eastAsiaTheme="minorEastAsia"/>
                <w:color w:val="auto"/>
                <w:szCs w:val="21"/>
                <w:highlight w:val="none"/>
              </w:rPr>
            </w:pPr>
            <w:r>
              <w:rPr>
                <w:rFonts w:hint="eastAsia" w:asciiTheme="minorEastAsia" w:hAnsiTheme="minorEastAsia" w:eastAsiaTheme="minorEastAsia"/>
                <w:szCs w:val="21"/>
                <w:highlight w:val="none"/>
              </w:rPr>
              <w:t>（2）保密措施</w:t>
            </w:r>
            <w:r>
              <w:rPr>
                <w:rFonts w:hint="eastAsia" w:asciiTheme="minorEastAsia" w:hAnsiTheme="minorEastAsia" w:eastAsiaTheme="minorEastAsia"/>
                <w:szCs w:val="21"/>
                <w:highlight w:val="none"/>
                <w:lang w:val="en-US" w:eastAsia="zh-CN"/>
              </w:rPr>
              <w:t>及</w:t>
            </w:r>
            <w:r>
              <w:rPr>
                <w:rFonts w:hint="eastAsia" w:asciiTheme="minorEastAsia" w:hAnsiTheme="minorEastAsia" w:eastAsiaTheme="minorEastAsia"/>
                <w:szCs w:val="21"/>
                <w:highlight w:val="none"/>
              </w:rPr>
              <w:t>违约责任承诺、后续服务工作安排及承诺</w:t>
            </w:r>
            <w:r>
              <w:rPr>
                <w:rFonts w:hint="eastAsia" w:ascii="宋体" w:hAnsi="宋体" w:cs="宋体"/>
                <w:szCs w:val="21"/>
                <w:highlight w:val="none"/>
              </w:rPr>
              <w:t>内容中每</w:t>
            </w:r>
            <w:r>
              <w:rPr>
                <w:rFonts w:hint="eastAsia" w:hAnsi="宋体"/>
                <w:kern w:val="0"/>
                <w:highlight w:val="none"/>
              </w:rPr>
              <w:t>缺失一项</w:t>
            </w:r>
            <w:r>
              <w:rPr>
                <w:rFonts w:hint="eastAsia" w:ascii="宋体" w:hAnsi="宋体" w:cs="宋体"/>
                <w:szCs w:val="21"/>
                <w:highlight w:val="none"/>
              </w:rPr>
              <w:t>的，扣</w:t>
            </w:r>
            <w:r>
              <w:rPr>
                <w:rFonts w:hint="eastAsia" w:ascii="宋体" w:hAnsi="宋体" w:cs="宋体"/>
                <w:szCs w:val="21"/>
                <w:highlight w:val="none"/>
                <w:lang w:val="en-US" w:eastAsia="zh-CN"/>
              </w:rPr>
              <w:t>5</w:t>
            </w:r>
            <w:r>
              <w:rPr>
                <w:rFonts w:hint="eastAsia" w:ascii="宋体" w:hAnsi="宋体" w:cs="宋体"/>
                <w:szCs w:val="21"/>
                <w:highlight w:val="none"/>
              </w:rPr>
              <w:t>分；违约责任承诺不具体的，</w:t>
            </w:r>
            <w:r>
              <w:rPr>
                <w:rFonts w:hint="eastAsia" w:ascii="宋体" w:hAnsi="宋体"/>
                <w:kern w:val="0"/>
                <w:highlight w:val="none"/>
              </w:rPr>
              <w:t>扣3分；</w:t>
            </w:r>
            <w:r>
              <w:rPr>
                <w:rFonts w:hint="eastAsia" w:ascii="宋体" w:hAnsi="宋体" w:cs="宋体"/>
                <w:szCs w:val="21"/>
                <w:highlight w:val="none"/>
              </w:rPr>
              <w:t>每有一项不完善</w:t>
            </w:r>
            <w:r>
              <w:rPr>
                <w:rFonts w:hint="eastAsia" w:ascii="宋体" w:hAnsi="宋体"/>
                <w:szCs w:val="21"/>
                <w:highlight w:val="none"/>
              </w:rPr>
              <w:t>或不符合项目实际情况</w:t>
            </w:r>
            <w:r>
              <w:rPr>
                <w:rFonts w:hint="eastAsia" w:ascii="宋体" w:hAnsi="宋体" w:cs="宋体"/>
                <w:szCs w:val="21"/>
                <w:highlight w:val="none"/>
              </w:rPr>
              <w:t>的，扣</w:t>
            </w:r>
            <w:r>
              <w:rPr>
                <w:rFonts w:hint="eastAsia" w:ascii="宋体" w:hAnsi="宋体" w:cs="宋体"/>
                <w:szCs w:val="21"/>
                <w:highlight w:val="none"/>
                <w:lang w:val="en-US" w:eastAsia="zh-CN"/>
              </w:rPr>
              <w:t>2</w:t>
            </w:r>
            <w:r>
              <w:rPr>
                <w:rFonts w:hint="eastAsia" w:ascii="宋体" w:hAnsi="宋体" w:cs="宋体"/>
                <w:szCs w:val="21"/>
                <w:highlight w:val="none"/>
              </w:rPr>
              <w:t>分。</w:t>
            </w:r>
          </w:p>
        </w:tc>
        <w:tc>
          <w:tcPr>
            <w:tcW w:w="700" w:type="dxa"/>
            <w:vAlign w:val="center"/>
          </w:tcPr>
          <w:p w14:paraId="3C9647A4">
            <w:pPr>
              <w:spacing w:line="360" w:lineRule="auto"/>
              <w:rPr>
                <w:rFonts w:hint="eastAsia" w:ascii="宋体" w:hAnsi="宋体"/>
                <w:color w:val="auto"/>
                <w:highlight w:val="none"/>
              </w:rPr>
            </w:pPr>
            <w:r>
              <w:rPr>
                <w:rFonts w:hint="eastAsia" w:ascii="宋体" w:hAnsi="宋体"/>
                <w:color w:val="auto"/>
                <w:highlight w:val="none"/>
                <w:lang w:val="en-US" w:eastAsia="zh-CN"/>
              </w:rPr>
              <w:t>10</w:t>
            </w:r>
            <w:r>
              <w:rPr>
                <w:rFonts w:hint="eastAsia" w:ascii="宋体" w:hAnsi="宋体"/>
                <w:color w:val="auto"/>
                <w:highlight w:val="none"/>
              </w:rPr>
              <w:t>分</w:t>
            </w:r>
          </w:p>
        </w:tc>
      </w:tr>
      <w:tr w14:paraId="59C0B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jc w:val="center"/>
        </w:trPr>
        <w:tc>
          <w:tcPr>
            <w:tcW w:w="937" w:type="dxa"/>
            <w:vMerge w:val="continue"/>
            <w:vAlign w:val="center"/>
          </w:tcPr>
          <w:p w14:paraId="486E4550">
            <w:pPr>
              <w:spacing w:line="360" w:lineRule="auto"/>
              <w:jc w:val="center"/>
              <w:rPr>
                <w:rFonts w:hint="eastAsia" w:cs="仿宋" w:asciiTheme="minorEastAsia" w:hAnsiTheme="minorEastAsia" w:eastAsiaTheme="minorEastAsia"/>
                <w:bCs/>
                <w:color w:val="auto"/>
                <w:szCs w:val="21"/>
                <w:highlight w:val="none"/>
              </w:rPr>
            </w:pPr>
          </w:p>
        </w:tc>
        <w:tc>
          <w:tcPr>
            <w:tcW w:w="1610" w:type="dxa"/>
            <w:vMerge w:val="continue"/>
            <w:vAlign w:val="center"/>
          </w:tcPr>
          <w:p w14:paraId="441E30D3">
            <w:pPr>
              <w:pStyle w:val="329"/>
              <w:spacing w:before="0" w:line="360" w:lineRule="auto"/>
              <w:ind w:left="131" w:right="9"/>
              <w:jc w:val="center"/>
              <w:rPr>
                <w:rFonts w:hint="eastAsia" w:asciiTheme="minorEastAsia" w:hAnsiTheme="minorEastAsia" w:eastAsiaTheme="minorEastAsia"/>
                <w:color w:val="auto"/>
                <w:sz w:val="21"/>
                <w:szCs w:val="21"/>
                <w:highlight w:val="none"/>
                <w:lang w:eastAsia="zh-CN"/>
              </w:rPr>
            </w:pPr>
          </w:p>
        </w:tc>
        <w:tc>
          <w:tcPr>
            <w:tcW w:w="5905" w:type="dxa"/>
            <w:gridSpan w:val="2"/>
            <w:vAlign w:val="center"/>
          </w:tcPr>
          <w:p w14:paraId="5F9832E0">
            <w:pP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w:t>
            </w:r>
            <w:r>
              <w:rPr>
                <w:rFonts w:hint="eastAsia" w:ascii="宋体" w:hAnsi="宋体" w:cs="宋体"/>
                <w:b/>
                <w:bCs/>
                <w:color w:val="auto"/>
                <w:highlight w:val="none"/>
                <w:lang w:val="en-US" w:eastAsia="zh-CN"/>
              </w:rPr>
              <w:t>5</w:t>
            </w:r>
            <w:r>
              <w:rPr>
                <w:rFonts w:hint="eastAsia" w:ascii="宋体" w:hAnsi="宋体" w:eastAsia="宋体" w:cs="宋体"/>
                <w:b/>
                <w:bCs/>
                <w:color w:val="auto"/>
                <w:highlight w:val="none"/>
              </w:rPr>
              <w:t>）</w:t>
            </w:r>
            <w:r>
              <w:rPr>
                <w:rFonts w:hint="eastAsia" w:ascii="宋体" w:hAnsi="宋体" w:cs="宋体"/>
                <w:b/>
                <w:bCs/>
                <w:color w:val="auto"/>
                <w:highlight w:val="none"/>
                <w:lang w:val="en-US" w:eastAsia="zh-CN"/>
              </w:rPr>
              <w:t>项目组</w:t>
            </w:r>
            <w:r>
              <w:rPr>
                <w:rFonts w:hint="eastAsia" w:ascii="宋体" w:hAnsi="宋体" w:eastAsia="宋体" w:cs="宋体"/>
                <w:b/>
                <w:bCs/>
                <w:color w:val="auto"/>
                <w:highlight w:val="none"/>
              </w:rPr>
              <w:t>人员配备评审评分（满分</w:t>
            </w:r>
            <w:r>
              <w:rPr>
                <w:rFonts w:hint="eastAsia" w:ascii="宋体" w:hAnsi="宋体" w:cs="宋体"/>
                <w:b/>
                <w:bCs/>
                <w:color w:val="auto"/>
                <w:highlight w:val="none"/>
                <w:lang w:val="en-US" w:eastAsia="zh-CN"/>
              </w:rPr>
              <w:t>15</w:t>
            </w:r>
            <w:r>
              <w:rPr>
                <w:rFonts w:hint="eastAsia" w:ascii="宋体" w:hAnsi="宋体" w:eastAsia="宋体" w:cs="宋体"/>
                <w:b/>
                <w:bCs/>
                <w:color w:val="auto"/>
                <w:highlight w:val="none"/>
              </w:rPr>
              <w:t>分）</w:t>
            </w:r>
          </w:p>
          <w:p w14:paraId="6A81A339">
            <w:pPr>
              <w:autoSpaceDE w:val="0"/>
              <w:autoSpaceDN w:val="0"/>
              <w:adjustRightInd w:val="0"/>
              <w:spacing w:line="360" w:lineRule="auto"/>
              <w:jc w:val="left"/>
              <w:rPr>
                <w:rFonts w:hint="eastAsia" w:ascii="宋体" w:hAnsi="宋体"/>
                <w:b/>
                <w:bCs/>
                <w:color w:val="auto"/>
                <w:szCs w:val="21"/>
                <w:highlight w:val="none"/>
                <w:lang w:eastAsia="zh-CN"/>
              </w:rPr>
            </w:pPr>
            <w:r>
              <w:rPr>
                <w:rFonts w:hint="eastAsia" w:ascii="宋体" w:hAnsi="宋体"/>
                <w:b/>
                <w:bCs/>
                <w:color w:val="auto"/>
                <w:szCs w:val="21"/>
                <w:highlight w:val="none"/>
                <w:lang w:eastAsia="zh-CN"/>
              </w:rPr>
              <w:t>①</w:t>
            </w:r>
            <w:r>
              <w:rPr>
                <w:rFonts w:hint="eastAsia" w:ascii="宋体" w:hAnsi="宋体"/>
                <w:b/>
                <w:bCs/>
                <w:color w:val="auto"/>
                <w:szCs w:val="21"/>
                <w:highlight w:val="none"/>
              </w:rPr>
              <w:t>项目总监理</w:t>
            </w:r>
            <w:r>
              <w:rPr>
                <w:rFonts w:hint="eastAsia" w:ascii="宋体" w:hAnsi="宋体"/>
                <w:b/>
                <w:bCs/>
                <w:color w:val="auto"/>
                <w:szCs w:val="21"/>
                <w:highlight w:val="none"/>
                <w:lang w:val="en-US" w:eastAsia="zh-CN"/>
              </w:rPr>
              <w:t>工程</w:t>
            </w:r>
            <w:r>
              <w:rPr>
                <w:rFonts w:hint="eastAsia" w:ascii="宋体" w:hAnsi="宋体"/>
                <w:b/>
                <w:bCs/>
                <w:color w:val="auto"/>
                <w:szCs w:val="21"/>
                <w:highlight w:val="none"/>
              </w:rPr>
              <w:t>师评审评分（满分</w:t>
            </w:r>
            <w:r>
              <w:rPr>
                <w:rFonts w:hint="eastAsia" w:ascii="宋体" w:hAnsi="宋体"/>
                <w:b/>
                <w:bCs/>
                <w:color w:val="auto"/>
                <w:szCs w:val="21"/>
                <w:highlight w:val="none"/>
                <w:lang w:val="en-US" w:eastAsia="zh-CN"/>
              </w:rPr>
              <w:t>4</w:t>
            </w:r>
            <w:r>
              <w:rPr>
                <w:rFonts w:hint="eastAsia" w:ascii="宋体" w:hAnsi="宋体"/>
                <w:b/>
                <w:bCs/>
                <w:color w:val="auto"/>
                <w:szCs w:val="21"/>
                <w:highlight w:val="none"/>
              </w:rPr>
              <w:t>分）</w:t>
            </w:r>
            <w:r>
              <w:rPr>
                <w:rFonts w:hint="eastAsia" w:ascii="宋体" w:hAnsi="宋体"/>
                <w:b/>
                <w:bCs/>
                <w:color w:val="auto"/>
                <w:szCs w:val="21"/>
                <w:highlight w:val="none"/>
                <w:lang w:eastAsia="zh-CN"/>
              </w:rPr>
              <w:t>：</w:t>
            </w:r>
          </w:p>
          <w:p w14:paraId="30A66C72">
            <w:pPr>
              <w:autoSpaceDE w:val="0"/>
              <w:autoSpaceDN w:val="0"/>
              <w:adjustRightInd w:val="0"/>
              <w:spacing w:line="360" w:lineRule="auto"/>
              <w:jc w:val="left"/>
              <w:rPr>
                <w:rFonts w:hint="eastAsia" w:ascii="宋体" w:hAnsi="宋体"/>
                <w:color w:val="auto"/>
                <w:szCs w:val="21"/>
                <w:highlight w:val="none"/>
              </w:rPr>
            </w:pPr>
            <w:r>
              <w:rPr>
                <w:rFonts w:hint="eastAsia" w:ascii="宋体" w:hAnsi="宋体"/>
                <w:color w:val="auto"/>
                <w:szCs w:val="21"/>
                <w:highlight w:val="none"/>
              </w:rPr>
              <w:t>项目总监理</w:t>
            </w:r>
            <w:r>
              <w:rPr>
                <w:rFonts w:hint="eastAsia" w:ascii="宋体" w:hAnsi="宋体"/>
                <w:color w:val="auto"/>
                <w:szCs w:val="21"/>
                <w:highlight w:val="none"/>
                <w:lang w:val="en-US" w:eastAsia="zh-CN"/>
              </w:rPr>
              <w:t>工程</w:t>
            </w:r>
            <w:r>
              <w:rPr>
                <w:rFonts w:hint="eastAsia" w:ascii="宋体" w:hAnsi="宋体"/>
                <w:color w:val="auto"/>
                <w:szCs w:val="21"/>
                <w:highlight w:val="none"/>
              </w:rPr>
              <w:t>师具有建筑</w:t>
            </w:r>
            <w:r>
              <w:rPr>
                <w:rFonts w:hint="eastAsia" w:ascii="宋体" w:hAnsi="宋体"/>
                <w:color w:val="auto"/>
                <w:szCs w:val="21"/>
                <w:highlight w:val="none"/>
                <w:lang w:val="en-US" w:eastAsia="zh-CN"/>
              </w:rPr>
              <w:t>、市政、水利</w:t>
            </w:r>
            <w:r>
              <w:rPr>
                <w:rFonts w:hint="eastAsia" w:ascii="宋体" w:hAnsi="宋体"/>
                <w:color w:val="auto"/>
                <w:szCs w:val="21"/>
                <w:highlight w:val="none"/>
              </w:rPr>
              <w:t>相关专业中级职称得</w:t>
            </w:r>
            <w:r>
              <w:rPr>
                <w:rFonts w:hint="eastAsia" w:ascii="宋体" w:hAnsi="宋体"/>
                <w:color w:val="auto"/>
                <w:szCs w:val="21"/>
                <w:highlight w:val="none"/>
                <w:lang w:val="en-US" w:eastAsia="zh-CN"/>
              </w:rPr>
              <w:t>2</w:t>
            </w:r>
            <w:r>
              <w:rPr>
                <w:rFonts w:hint="eastAsia" w:ascii="宋体" w:hAnsi="宋体"/>
                <w:color w:val="auto"/>
                <w:szCs w:val="21"/>
                <w:highlight w:val="none"/>
              </w:rPr>
              <w:t>分，具有建筑</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市政、水利</w:t>
            </w:r>
            <w:r>
              <w:rPr>
                <w:rFonts w:hint="eastAsia" w:ascii="宋体" w:hAnsi="宋体"/>
                <w:color w:val="auto"/>
                <w:szCs w:val="21"/>
                <w:highlight w:val="none"/>
              </w:rPr>
              <w:t>相关专业</w:t>
            </w:r>
            <w:r>
              <w:rPr>
                <w:rFonts w:hint="eastAsia" w:ascii="宋体" w:hAnsi="宋体"/>
                <w:color w:val="auto"/>
                <w:szCs w:val="21"/>
                <w:highlight w:val="none"/>
                <w:lang w:eastAsia="zh-CN"/>
              </w:rPr>
              <w:t>高</w:t>
            </w:r>
            <w:r>
              <w:rPr>
                <w:rFonts w:hint="eastAsia" w:ascii="宋体" w:hAnsi="宋体"/>
                <w:color w:val="auto"/>
                <w:szCs w:val="21"/>
                <w:highlight w:val="none"/>
              </w:rPr>
              <w:t>级</w:t>
            </w:r>
            <w:r>
              <w:rPr>
                <w:rFonts w:hint="eastAsia" w:ascii="宋体" w:hAnsi="宋体"/>
                <w:color w:val="auto"/>
                <w:szCs w:val="21"/>
                <w:highlight w:val="none"/>
                <w:lang w:val="en-US" w:eastAsia="zh-CN"/>
              </w:rPr>
              <w:t>及以上</w:t>
            </w:r>
            <w:r>
              <w:rPr>
                <w:rFonts w:hint="eastAsia" w:ascii="宋体" w:hAnsi="宋体"/>
                <w:color w:val="auto"/>
                <w:szCs w:val="21"/>
                <w:highlight w:val="none"/>
              </w:rPr>
              <w:t>职称得</w:t>
            </w:r>
            <w:r>
              <w:rPr>
                <w:rFonts w:hint="eastAsia" w:ascii="宋体" w:hAnsi="宋体"/>
                <w:color w:val="auto"/>
                <w:szCs w:val="21"/>
                <w:highlight w:val="none"/>
                <w:lang w:val="en-US" w:eastAsia="zh-CN"/>
              </w:rPr>
              <w:t>4</w:t>
            </w:r>
            <w:r>
              <w:rPr>
                <w:rFonts w:hint="eastAsia" w:ascii="宋体" w:hAnsi="宋体"/>
                <w:color w:val="auto"/>
                <w:szCs w:val="21"/>
                <w:highlight w:val="none"/>
              </w:rPr>
              <w:t>分。</w:t>
            </w:r>
          </w:p>
          <w:p w14:paraId="78CA23E1">
            <w:pPr>
              <w:autoSpaceDE w:val="0"/>
              <w:autoSpaceDN w:val="0"/>
              <w:adjustRightInd w:val="0"/>
              <w:spacing w:line="360" w:lineRule="auto"/>
              <w:jc w:val="left"/>
              <w:rPr>
                <w:rFonts w:hint="eastAsia" w:ascii="宋体" w:hAnsi="宋体"/>
                <w:b/>
                <w:bCs/>
                <w:color w:val="auto"/>
                <w:szCs w:val="21"/>
                <w:highlight w:val="none"/>
                <w:lang w:eastAsia="zh-CN"/>
              </w:rPr>
            </w:pPr>
            <w:r>
              <w:rPr>
                <w:rFonts w:hint="eastAsia" w:ascii="宋体" w:hAnsi="宋体"/>
                <w:b/>
                <w:bCs/>
                <w:color w:val="auto"/>
                <w:szCs w:val="21"/>
                <w:highlight w:val="none"/>
                <w:lang w:val="en-US" w:eastAsia="zh-CN"/>
              </w:rPr>
              <w:t>②</w:t>
            </w:r>
            <w:r>
              <w:rPr>
                <w:rFonts w:hint="eastAsia" w:ascii="宋体" w:hAnsi="宋体"/>
                <w:b/>
                <w:bCs/>
                <w:color w:val="auto"/>
                <w:szCs w:val="21"/>
                <w:highlight w:val="none"/>
              </w:rPr>
              <w:t>项目总监理</w:t>
            </w:r>
            <w:r>
              <w:rPr>
                <w:rFonts w:hint="eastAsia" w:ascii="宋体" w:hAnsi="宋体"/>
                <w:b/>
                <w:bCs/>
                <w:color w:val="auto"/>
                <w:szCs w:val="21"/>
                <w:highlight w:val="none"/>
                <w:lang w:val="en-US" w:eastAsia="zh-CN"/>
              </w:rPr>
              <w:t>工程</w:t>
            </w:r>
            <w:r>
              <w:rPr>
                <w:rFonts w:hint="eastAsia" w:ascii="宋体" w:hAnsi="宋体"/>
                <w:b/>
                <w:bCs/>
                <w:color w:val="auto"/>
                <w:szCs w:val="21"/>
                <w:highlight w:val="none"/>
              </w:rPr>
              <w:t>师类似项目业绩评审评分（满分</w:t>
            </w:r>
            <w:r>
              <w:rPr>
                <w:rFonts w:hint="eastAsia" w:ascii="宋体" w:hAnsi="宋体"/>
                <w:b/>
                <w:bCs/>
                <w:color w:val="auto"/>
                <w:szCs w:val="21"/>
                <w:highlight w:val="none"/>
                <w:lang w:val="en-US" w:eastAsia="zh-CN"/>
              </w:rPr>
              <w:t>6</w:t>
            </w:r>
            <w:r>
              <w:rPr>
                <w:rFonts w:hint="eastAsia" w:ascii="宋体" w:hAnsi="宋体"/>
                <w:b/>
                <w:bCs/>
                <w:color w:val="auto"/>
                <w:szCs w:val="21"/>
                <w:highlight w:val="none"/>
              </w:rPr>
              <w:t>分）</w:t>
            </w:r>
            <w:r>
              <w:rPr>
                <w:rFonts w:hint="eastAsia" w:ascii="宋体" w:hAnsi="宋体"/>
                <w:b/>
                <w:bCs/>
                <w:color w:val="auto"/>
                <w:szCs w:val="21"/>
                <w:highlight w:val="none"/>
                <w:lang w:eastAsia="zh-CN"/>
              </w:rPr>
              <w:t>：</w:t>
            </w:r>
          </w:p>
          <w:p w14:paraId="7EDC454D">
            <w:pPr>
              <w:autoSpaceDE w:val="0"/>
              <w:autoSpaceDN w:val="0"/>
              <w:adjustRightInd w:val="0"/>
              <w:spacing w:line="360" w:lineRule="auto"/>
              <w:jc w:val="left"/>
              <w:rPr>
                <w:rFonts w:hint="eastAsia" w:ascii="宋体" w:hAnsi="宋体"/>
                <w:color w:val="auto"/>
                <w:szCs w:val="21"/>
                <w:highlight w:val="none"/>
              </w:rPr>
            </w:pPr>
            <w:r>
              <w:rPr>
                <w:rFonts w:hint="eastAsia" w:ascii="宋体" w:hAnsi="宋体"/>
                <w:color w:val="auto"/>
                <w:szCs w:val="21"/>
                <w:highlight w:val="none"/>
                <w:lang w:val="en-US" w:eastAsia="zh-CN"/>
              </w:rPr>
              <w:t>根据供应商</w:t>
            </w:r>
            <w:r>
              <w:rPr>
                <w:rFonts w:hint="eastAsia" w:ascii="宋体" w:hAnsi="宋体"/>
                <w:color w:val="auto"/>
                <w:szCs w:val="21"/>
                <w:highlight w:val="none"/>
              </w:rPr>
              <w:t>拟派的项目总监理</w:t>
            </w:r>
            <w:r>
              <w:rPr>
                <w:rFonts w:hint="eastAsia" w:ascii="宋体" w:hAnsi="宋体"/>
                <w:color w:val="auto"/>
                <w:szCs w:val="21"/>
                <w:highlight w:val="none"/>
                <w:lang w:val="en-US" w:eastAsia="zh-CN"/>
              </w:rPr>
              <w:t>工程</w:t>
            </w:r>
            <w:r>
              <w:rPr>
                <w:rFonts w:hint="eastAsia" w:ascii="宋体" w:hAnsi="宋体"/>
                <w:color w:val="auto"/>
                <w:szCs w:val="21"/>
                <w:highlight w:val="none"/>
              </w:rPr>
              <w:t>师</w:t>
            </w:r>
            <w:r>
              <w:rPr>
                <w:rFonts w:hint="eastAsia" w:ascii="宋体" w:hAnsi="宋体"/>
                <w:color w:val="auto"/>
                <w:szCs w:val="21"/>
                <w:highlight w:val="none"/>
                <w:lang w:eastAsia="zh-CN"/>
              </w:rPr>
              <w:t>在</w:t>
            </w:r>
            <w:r>
              <w:rPr>
                <w:rFonts w:hint="eastAsia" w:ascii="宋体" w:hAnsi="宋体"/>
                <w:color w:val="auto"/>
                <w:szCs w:val="21"/>
                <w:highlight w:val="none"/>
              </w:rPr>
              <w:t>本项目</w:t>
            </w:r>
            <w:r>
              <w:rPr>
                <w:rFonts w:hint="eastAsia" w:ascii="宋体" w:hAnsi="宋体"/>
                <w:color w:val="auto"/>
                <w:szCs w:val="21"/>
                <w:highlight w:val="none"/>
                <w:lang w:val="en-US" w:eastAsia="zh-CN"/>
              </w:rPr>
              <w:t>响应文件</w:t>
            </w:r>
            <w:r>
              <w:rPr>
                <w:rFonts w:hint="eastAsia" w:ascii="宋体" w:hAnsi="宋体"/>
                <w:color w:val="auto"/>
                <w:szCs w:val="21"/>
                <w:highlight w:val="none"/>
              </w:rPr>
              <w:t>提交截止时间前已完成或正在实施过程中的类似</w:t>
            </w:r>
            <w:r>
              <w:rPr>
                <w:rFonts w:hint="eastAsia" w:ascii="宋体" w:hAnsi="宋体"/>
                <w:color w:val="auto"/>
                <w:szCs w:val="21"/>
                <w:highlight w:val="none"/>
                <w:lang w:eastAsia="zh-CN"/>
              </w:rPr>
              <w:t>项目业绩</w:t>
            </w:r>
            <w:r>
              <w:rPr>
                <w:rFonts w:hint="eastAsia" w:ascii="宋体" w:hAnsi="宋体"/>
                <w:color w:val="auto"/>
                <w:szCs w:val="21"/>
                <w:highlight w:val="none"/>
              </w:rPr>
              <w:t>进行</w:t>
            </w:r>
            <w:r>
              <w:rPr>
                <w:rFonts w:hint="eastAsia" w:ascii="宋体" w:hAnsi="宋体"/>
                <w:color w:val="auto"/>
                <w:szCs w:val="21"/>
                <w:highlight w:val="none"/>
                <w:lang w:eastAsia="zh-CN"/>
              </w:rPr>
              <w:t>评审评分</w:t>
            </w:r>
            <w:r>
              <w:rPr>
                <w:rFonts w:hint="eastAsia" w:ascii="宋体" w:hAnsi="宋体"/>
                <w:color w:val="auto"/>
                <w:szCs w:val="21"/>
                <w:highlight w:val="none"/>
              </w:rPr>
              <w:t>，每提供一个类似项目</w:t>
            </w:r>
            <w:r>
              <w:rPr>
                <w:rFonts w:hint="eastAsia" w:ascii="宋体" w:hAnsi="宋体"/>
                <w:color w:val="auto"/>
                <w:szCs w:val="21"/>
                <w:highlight w:val="none"/>
                <w:lang w:eastAsia="zh-CN"/>
              </w:rPr>
              <w:t>业绩</w:t>
            </w:r>
            <w:r>
              <w:rPr>
                <w:rFonts w:hint="eastAsia" w:ascii="宋体" w:hAnsi="宋体"/>
                <w:color w:val="auto"/>
                <w:szCs w:val="21"/>
                <w:highlight w:val="none"/>
              </w:rPr>
              <w:t>得</w:t>
            </w:r>
            <w:r>
              <w:rPr>
                <w:rFonts w:hint="eastAsia" w:ascii="宋体" w:hAnsi="宋体"/>
                <w:color w:val="auto"/>
                <w:szCs w:val="21"/>
                <w:highlight w:val="none"/>
                <w:lang w:val="en-US" w:eastAsia="zh-CN"/>
              </w:rPr>
              <w:t>3</w:t>
            </w:r>
            <w:r>
              <w:rPr>
                <w:rFonts w:hint="eastAsia" w:ascii="宋体" w:hAnsi="宋体"/>
                <w:color w:val="auto"/>
                <w:szCs w:val="21"/>
                <w:highlight w:val="none"/>
              </w:rPr>
              <w:t>分，</w:t>
            </w:r>
            <w:r>
              <w:rPr>
                <w:rFonts w:hint="eastAsia" w:ascii="宋体" w:hAnsi="宋体"/>
                <w:color w:val="auto"/>
                <w:szCs w:val="21"/>
                <w:highlight w:val="none"/>
                <w:lang w:val="en-US" w:eastAsia="zh-CN"/>
              </w:rPr>
              <w:t>满分6分</w:t>
            </w:r>
            <w:r>
              <w:rPr>
                <w:rFonts w:hint="eastAsia" w:ascii="宋体" w:hAnsi="宋体"/>
                <w:color w:val="auto"/>
                <w:szCs w:val="21"/>
                <w:highlight w:val="none"/>
              </w:rPr>
              <w:t>。</w:t>
            </w:r>
          </w:p>
          <w:p w14:paraId="3C0E239A">
            <w:pPr>
              <w:autoSpaceDE w:val="0"/>
              <w:autoSpaceDN w:val="0"/>
              <w:adjustRightInd w:val="0"/>
              <w:spacing w:line="360" w:lineRule="auto"/>
              <w:jc w:val="left"/>
              <w:rPr>
                <w:rFonts w:hint="eastAsia" w:ascii="宋体" w:hAnsi="宋体"/>
                <w:b/>
                <w:bCs/>
                <w:color w:val="auto"/>
                <w:szCs w:val="21"/>
                <w:highlight w:val="none"/>
              </w:rPr>
            </w:pPr>
            <w:r>
              <w:rPr>
                <w:rFonts w:hint="eastAsia" w:ascii="宋体" w:hAnsi="宋体"/>
                <w:b/>
                <w:bCs/>
                <w:color w:val="auto"/>
                <w:szCs w:val="21"/>
                <w:highlight w:val="none"/>
                <w:lang w:eastAsia="zh-CN"/>
              </w:rPr>
              <w:t>③</w:t>
            </w:r>
            <w:r>
              <w:rPr>
                <w:rFonts w:hint="eastAsia" w:ascii="宋体" w:hAnsi="宋体"/>
                <w:b/>
                <w:bCs/>
                <w:color w:val="auto"/>
                <w:szCs w:val="21"/>
                <w:highlight w:val="none"/>
              </w:rPr>
              <w:t>项目组成员配备评审评分（满分</w:t>
            </w:r>
            <w:r>
              <w:rPr>
                <w:rFonts w:hint="eastAsia" w:ascii="宋体" w:hAnsi="宋体"/>
                <w:b/>
                <w:bCs/>
                <w:color w:val="auto"/>
                <w:szCs w:val="21"/>
                <w:highlight w:val="none"/>
                <w:lang w:val="en-US" w:eastAsia="zh-CN"/>
              </w:rPr>
              <w:t>5</w:t>
            </w:r>
            <w:r>
              <w:rPr>
                <w:rFonts w:hint="eastAsia" w:ascii="宋体" w:hAnsi="宋体"/>
                <w:b/>
                <w:bCs/>
                <w:color w:val="auto"/>
                <w:szCs w:val="21"/>
                <w:highlight w:val="none"/>
              </w:rPr>
              <w:t>分）</w:t>
            </w:r>
          </w:p>
          <w:p w14:paraId="08F6DDAC">
            <w:pPr>
              <w:autoSpaceDE w:val="0"/>
              <w:autoSpaceDN w:val="0"/>
              <w:adjustRightInd w:val="0"/>
              <w:spacing w:line="360" w:lineRule="auto"/>
              <w:jc w:val="left"/>
              <w:rPr>
                <w:rFonts w:hint="eastAsia" w:ascii="宋体" w:hAnsi="宋体"/>
                <w:color w:val="auto"/>
                <w:szCs w:val="21"/>
                <w:highlight w:val="none"/>
              </w:rPr>
            </w:pPr>
            <w:r>
              <w:rPr>
                <w:rFonts w:hint="eastAsia" w:ascii="宋体" w:hAnsi="宋体"/>
                <w:color w:val="auto"/>
                <w:szCs w:val="21"/>
                <w:highlight w:val="none"/>
              </w:rPr>
              <w:t>除项目总监理</w:t>
            </w:r>
            <w:r>
              <w:rPr>
                <w:rFonts w:hint="eastAsia" w:ascii="宋体" w:hAnsi="宋体"/>
                <w:color w:val="auto"/>
                <w:szCs w:val="21"/>
                <w:highlight w:val="none"/>
                <w:lang w:val="en-US" w:eastAsia="zh-CN"/>
              </w:rPr>
              <w:t>工程</w:t>
            </w:r>
            <w:r>
              <w:rPr>
                <w:rFonts w:hint="eastAsia" w:ascii="宋体" w:hAnsi="宋体"/>
                <w:color w:val="auto"/>
                <w:szCs w:val="21"/>
                <w:highlight w:val="none"/>
              </w:rPr>
              <w:t>师外，</w:t>
            </w:r>
            <w:r>
              <w:rPr>
                <w:rFonts w:hint="eastAsia" w:ascii="宋体" w:hAnsi="宋体"/>
                <w:color w:val="auto"/>
                <w:szCs w:val="21"/>
                <w:highlight w:val="none"/>
                <w:lang w:eastAsia="zh-CN"/>
              </w:rPr>
              <w:t>供应商</w:t>
            </w:r>
            <w:r>
              <w:rPr>
                <w:rFonts w:hint="eastAsia" w:ascii="宋体" w:hAnsi="宋体"/>
                <w:color w:val="auto"/>
                <w:szCs w:val="21"/>
                <w:highlight w:val="none"/>
              </w:rPr>
              <w:t>每配备一名项目组成员具有建筑类相关专业中级</w:t>
            </w:r>
            <w:r>
              <w:rPr>
                <w:rFonts w:hint="eastAsia" w:ascii="宋体" w:hAnsi="宋体"/>
                <w:color w:val="auto"/>
                <w:szCs w:val="21"/>
                <w:highlight w:val="none"/>
                <w:lang w:eastAsia="zh-CN"/>
              </w:rPr>
              <w:t>及以上</w:t>
            </w:r>
            <w:r>
              <w:rPr>
                <w:rFonts w:hint="eastAsia" w:ascii="宋体" w:hAnsi="宋体"/>
                <w:color w:val="auto"/>
                <w:szCs w:val="21"/>
                <w:highlight w:val="none"/>
              </w:rPr>
              <w:t>职称得</w:t>
            </w:r>
            <w:r>
              <w:rPr>
                <w:rFonts w:hint="eastAsia" w:ascii="宋体" w:hAnsi="宋体"/>
                <w:color w:val="auto"/>
                <w:szCs w:val="21"/>
                <w:highlight w:val="none"/>
                <w:lang w:eastAsia="zh-CN"/>
              </w:rPr>
              <w:t>分</w:t>
            </w:r>
            <w:r>
              <w:rPr>
                <w:rFonts w:hint="eastAsia" w:ascii="宋体" w:hAnsi="宋体"/>
                <w:color w:val="auto"/>
                <w:szCs w:val="21"/>
                <w:highlight w:val="none"/>
                <w:lang w:val="en-US" w:eastAsia="zh-CN"/>
              </w:rPr>
              <w:t>1</w:t>
            </w:r>
            <w:r>
              <w:rPr>
                <w:rFonts w:hint="eastAsia" w:ascii="宋体" w:hAnsi="宋体"/>
                <w:color w:val="auto"/>
                <w:szCs w:val="21"/>
                <w:highlight w:val="none"/>
              </w:rPr>
              <w:t>分，满分</w:t>
            </w:r>
            <w:r>
              <w:rPr>
                <w:rFonts w:hint="eastAsia" w:ascii="宋体" w:hAnsi="宋体"/>
                <w:color w:val="auto"/>
                <w:szCs w:val="21"/>
                <w:highlight w:val="none"/>
                <w:lang w:val="en-US" w:eastAsia="zh-CN"/>
              </w:rPr>
              <w:t>5</w:t>
            </w:r>
            <w:r>
              <w:rPr>
                <w:rFonts w:hint="eastAsia" w:ascii="宋体" w:hAnsi="宋体"/>
                <w:color w:val="auto"/>
                <w:szCs w:val="21"/>
                <w:highlight w:val="none"/>
              </w:rPr>
              <w:t>分。</w:t>
            </w:r>
          </w:p>
          <w:p w14:paraId="5A00531F">
            <w:pPr>
              <w:spacing w:line="360" w:lineRule="auto"/>
              <w:rPr>
                <w:rFonts w:hint="eastAsia" w:asciiTheme="minorEastAsia" w:hAnsiTheme="minorEastAsia" w:eastAsiaTheme="minorEastAsia"/>
                <w:szCs w:val="21"/>
                <w:highlight w:val="none"/>
              </w:rPr>
            </w:pPr>
            <w:r>
              <w:rPr>
                <w:rFonts w:hint="eastAsia" w:ascii="宋体" w:hAnsi="宋体"/>
                <w:color w:val="auto"/>
                <w:szCs w:val="21"/>
                <w:highlight w:val="none"/>
              </w:rPr>
              <w:t>注：响应文件中须提供《项目组人员配备情况表》及相对应的人员证明材料，证明材料为身份证、职业资格证</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如有</w:t>
            </w:r>
            <w:r>
              <w:rPr>
                <w:rFonts w:hint="eastAsia" w:ascii="宋体" w:hAnsi="宋体"/>
                <w:color w:val="auto"/>
                <w:szCs w:val="21"/>
                <w:highlight w:val="none"/>
                <w:lang w:eastAsia="zh-CN"/>
              </w:rPr>
              <w:t>）、</w:t>
            </w:r>
            <w:r>
              <w:rPr>
                <w:rFonts w:hint="eastAsia" w:ascii="宋体" w:hAnsi="宋体"/>
                <w:color w:val="auto"/>
                <w:szCs w:val="21"/>
                <w:highlight w:val="none"/>
              </w:rPr>
              <w:t>职称证</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如有</w:t>
            </w:r>
            <w:r>
              <w:rPr>
                <w:rFonts w:hint="eastAsia" w:ascii="宋体" w:hAnsi="宋体"/>
                <w:color w:val="auto"/>
                <w:szCs w:val="21"/>
                <w:highlight w:val="none"/>
                <w:lang w:eastAsia="zh-CN"/>
              </w:rPr>
              <w:t>）</w:t>
            </w:r>
            <w:r>
              <w:rPr>
                <w:rFonts w:hint="eastAsia" w:ascii="宋体" w:hAnsi="宋体"/>
                <w:color w:val="auto"/>
                <w:szCs w:val="21"/>
                <w:highlight w:val="none"/>
              </w:rPr>
              <w:t>、社保缴纳证明（供应商为事业单位的，可提供项目组成员在事业单位的有效证明文件或证件）。无证明材料或未按要求提供证明材料或证明材料无法体现相应内容的，不予认可。</w:t>
            </w:r>
          </w:p>
        </w:tc>
        <w:tc>
          <w:tcPr>
            <w:tcW w:w="700" w:type="dxa"/>
            <w:vAlign w:val="center"/>
          </w:tcPr>
          <w:p w14:paraId="3A7EA731">
            <w:pPr>
              <w:spacing w:line="360" w:lineRule="auto"/>
              <w:jc w:val="center"/>
              <w:rPr>
                <w:rFonts w:hint="default" w:ascii="宋体" w:hAnsi="宋体" w:eastAsia="宋体"/>
                <w:color w:val="auto"/>
                <w:highlight w:val="none"/>
                <w:lang w:val="en-US" w:eastAsia="zh-CN"/>
              </w:rPr>
            </w:pPr>
            <w:r>
              <w:rPr>
                <w:rFonts w:hint="eastAsia" w:ascii="宋体" w:hAnsi="宋体"/>
                <w:color w:val="auto"/>
                <w:highlight w:val="none"/>
                <w:lang w:val="en-US" w:eastAsia="zh-CN"/>
              </w:rPr>
              <w:t>15分</w:t>
            </w:r>
          </w:p>
        </w:tc>
      </w:tr>
      <w:tr w14:paraId="3C7CB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jc w:val="center"/>
        </w:trPr>
        <w:tc>
          <w:tcPr>
            <w:tcW w:w="937" w:type="dxa"/>
            <w:vMerge w:val="continue"/>
            <w:vAlign w:val="center"/>
          </w:tcPr>
          <w:p w14:paraId="2BFA3D39">
            <w:pPr>
              <w:spacing w:line="360" w:lineRule="auto"/>
              <w:jc w:val="center"/>
              <w:rPr>
                <w:rFonts w:hint="eastAsia" w:cs="仿宋" w:asciiTheme="minorEastAsia" w:hAnsiTheme="minorEastAsia" w:eastAsiaTheme="minorEastAsia"/>
                <w:bCs/>
                <w:color w:val="auto"/>
                <w:szCs w:val="21"/>
                <w:highlight w:val="none"/>
              </w:rPr>
            </w:pPr>
          </w:p>
        </w:tc>
        <w:tc>
          <w:tcPr>
            <w:tcW w:w="1610" w:type="dxa"/>
            <w:vMerge w:val="continue"/>
            <w:vAlign w:val="center"/>
          </w:tcPr>
          <w:p w14:paraId="52497D1B">
            <w:pPr>
              <w:pStyle w:val="329"/>
              <w:spacing w:before="0" w:line="360" w:lineRule="auto"/>
              <w:ind w:left="131" w:right="9"/>
              <w:jc w:val="center"/>
              <w:rPr>
                <w:rFonts w:hint="eastAsia" w:asciiTheme="minorEastAsia" w:hAnsiTheme="minorEastAsia" w:eastAsiaTheme="minorEastAsia"/>
                <w:color w:val="auto"/>
                <w:sz w:val="21"/>
                <w:szCs w:val="21"/>
                <w:highlight w:val="none"/>
                <w:lang w:eastAsia="zh-CN"/>
              </w:rPr>
            </w:pPr>
          </w:p>
        </w:tc>
        <w:tc>
          <w:tcPr>
            <w:tcW w:w="5905" w:type="dxa"/>
            <w:gridSpan w:val="2"/>
            <w:vAlign w:val="center"/>
          </w:tcPr>
          <w:p w14:paraId="131E21D1">
            <w:pPr>
              <w:pStyle w:val="28"/>
              <w:numPr>
                <w:ilvl w:val="0"/>
                <w:numId w:val="0"/>
              </w:numPr>
              <w:spacing w:line="360" w:lineRule="auto"/>
              <w:jc w:val="left"/>
              <w:rPr>
                <w:rFonts w:hint="eastAsia" w:ascii="宋体" w:hAnsi="宋体" w:cs="宋体"/>
                <w:b/>
                <w:bCs/>
                <w:highlight w:val="none"/>
                <w:lang w:eastAsia="zh-CN"/>
              </w:rPr>
            </w:pPr>
            <w:bookmarkStart w:id="1236" w:name="_Hlk105582187"/>
            <w:r>
              <w:rPr>
                <w:rFonts w:hint="eastAsia" w:ascii="宋体" w:hAnsi="宋体" w:cs="宋体"/>
                <w:b/>
                <w:bCs/>
                <w:highlight w:val="none"/>
                <w:lang w:eastAsia="zh-CN"/>
              </w:rPr>
              <w:t>（</w:t>
            </w:r>
            <w:r>
              <w:rPr>
                <w:rFonts w:hint="eastAsia" w:ascii="宋体" w:hAnsi="宋体" w:cs="宋体"/>
                <w:b/>
                <w:bCs/>
                <w:highlight w:val="none"/>
                <w:lang w:val="en-US" w:eastAsia="zh-CN"/>
              </w:rPr>
              <w:t>6</w:t>
            </w:r>
            <w:r>
              <w:rPr>
                <w:rFonts w:hint="eastAsia" w:ascii="宋体" w:hAnsi="宋体" w:cs="宋体"/>
                <w:b/>
                <w:bCs/>
                <w:highlight w:val="none"/>
                <w:lang w:eastAsia="zh-CN"/>
              </w:rPr>
              <w:t>）</w:t>
            </w:r>
            <w:r>
              <w:rPr>
                <w:rFonts w:hint="eastAsia" w:ascii="宋体" w:hAnsi="宋体" w:cs="宋体"/>
                <w:b/>
                <w:bCs/>
                <w:highlight w:val="none"/>
              </w:rPr>
              <w:t>类似业绩</w:t>
            </w:r>
            <w:bookmarkEnd w:id="1236"/>
            <w:r>
              <w:rPr>
                <w:rFonts w:hint="eastAsia" w:ascii="宋体" w:hAnsi="宋体" w:cs="宋体"/>
                <w:b/>
                <w:bCs/>
                <w:highlight w:val="none"/>
              </w:rPr>
              <w:t>评审评分</w:t>
            </w:r>
            <w:r>
              <w:rPr>
                <w:rFonts w:hint="eastAsia" w:ascii="宋体" w:hAnsi="宋体" w:cs="宋体"/>
                <w:b/>
                <w:bCs/>
                <w:highlight w:val="none"/>
                <w:lang w:eastAsia="zh-CN"/>
              </w:rPr>
              <w:t>（</w:t>
            </w:r>
            <w:r>
              <w:rPr>
                <w:rFonts w:hint="eastAsia" w:ascii="宋体" w:hAnsi="宋体" w:cs="宋体"/>
                <w:b/>
                <w:bCs/>
                <w:highlight w:val="none"/>
                <w:lang w:val="en-US" w:eastAsia="zh-CN"/>
              </w:rPr>
              <w:t>满分5分</w:t>
            </w:r>
            <w:r>
              <w:rPr>
                <w:rFonts w:hint="eastAsia" w:ascii="宋体" w:hAnsi="宋体" w:cs="宋体"/>
                <w:b/>
                <w:bCs/>
                <w:highlight w:val="none"/>
                <w:lang w:eastAsia="zh-CN"/>
              </w:rPr>
              <w:t>）</w:t>
            </w:r>
          </w:p>
          <w:p w14:paraId="73122EE5">
            <w:pPr>
              <w:pStyle w:val="28"/>
              <w:numPr>
                <w:ilvl w:val="0"/>
                <w:numId w:val="0"/>
              </w:numPr>
              <w:spacing w:line="360" w:lineRule="auto"/>
              <w:jc w:val="left"/>
              <w:rPr>
                <w:rFonts w:hint="eastAsia" w:ascii="宋体" w:hAnsi="宋体" w:cs="宋体"/>
                <w:szCs w:val="21"/>
                <w:highlight w:val="none"/>
              </w:rPr>
            </w:pPr>
            <w:r>
              <w:rPr>
                <w:rFonts w:hint="eastAsia" w:ascii="宋体" w:hAnsi="宋体" w:cs="宋体"/>
                <w:szCs w:val="21"/>
                <w:highlight w:val="none"/>
                <w:lang w:val="en-US" w:eastAsia="zh-CN"/>
              </w:rPr>
              <w:t>2022年1月1日至今，供应商每承担过</w:t>
            </w:r>
            <w:r>
              <w:rPr>
                <w:rFonts w:hint="eastAsia" w:ascii="宋体" w:hAnsi="宋体" w:cs="宋体"/>
                <w:szCs w:val="21"/>
                <w:highlight w:val="none"/>
              </w:rPr>
              <w:t>一个类似业绩加2</w:t>
            </w:r>
            <w:r>
              <w:rPr>
                <w:rFonts w:hint="eastAsia" w:ascii="宋体" w:hAnsi="宋体" w:cs="宋体"/>
                <w:szCs w:val="21"/>
                <w:highlight w:val="none"/>
                <w:lang w:val="en-US" w:eastAsia="zh-CN"/>
              </w:rPr>
              <w:t>.5</w:t>
            </w:r>
            <w:r>
              <w:rPr>
                <w:rFonts w:hint="eastAsia" w:ascii="宋体" w:hAnsi="宋体" w:cs="宋体"/>
                <w:szCs w:val="21"/>
                <w:highlight w:val="none"/>
              </w:rPr>
              <w:t>分，分数加满为止。</w:t>
            </w:r>
          </w:p>
          <w:p w14:paraId="4F24883E">
            <w:pPr>
              <w:spacing w:line="360" w:lineRule="auto"/>
              <w:rPr>
                <w:rFonts w:hint="eastAsia" w:cs="宋体" w:asciiTheme="minorEastAsia" w:hAnsiTheme="minorEastAsia" w:eastAsiaTheme="minorEastAsia"/>
                <w:color w:val="auto"/>
                <w:szCs w:val="21"/>
                <w:highlight w:val="none"/>
              </w:rPr>
            </w:pPr>
            <w:r>
              <w:rPr>
                <w:rFonts w:hint="eastAsia" w:ascii="宋体" w:hAnsi="宋体" w:cs="宋体"/>
                <w:szCs w:val="21"/>
                <w:highlight w:val="none"/>
                <w:lang w:val="en-US" w:eastAsia="zh-CN"/>
              </w:rPr>
              <w:t>注：</w:t>
            </w:r>
            <w:r>
              <w:rPr>
                <w:rFonts w:hint="eastAsia" w:ascii="宋体" w:hAnsi="宋体" w:cs="宋体"/>
                <w:szCs w:val="21"/>
                <w:highlight w:val="none"/>
              </w:rPr>
              <w:t>须提供中标通知书或合同等相关证明材料，且能证明业绩工作内容。</w:t>
            </w:r>
          </w:p>
        </w:tc>
        <w:tc>
          <w:tcPr>
            <w:tcW w:w="700" w:type="dxa"/>
            <w:vAlign w:val="center"/>
          </w:tcPr>
          <w:p w14:paraId="7F3C0445">
            <w:pPr>
              <w:spacing w:line="360" w:lineRule="auto"/>
              <w:jc w:val="center"/>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5</w:t>
            </w:r>
            <w:r>
              <w:rPr>
                <w:rFonts w:hint="eastAsia" w:cs="宋体" w:asciiTheme="minorEastAsia" w:hAnsiTheme="minorEastAsia" w:eastAsiaTheme="minorEastAsia"/>
                <w:color w:val="auto"/>
                <w:szCs w:val="21"/>
                <w:highlight w:val="none"/>
              </w:rPr>
              <w:t>分</w:t>
            </w:r>
          </w:p>
        </w:tc>
      </w:tr>
      <w:tr w14:paraId="67F6C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937" w:type="dxa"/>
            <w:vAlign w:val="center"/>
          </w:tcPr>
          <w:p w14:paraId="17250F22">
            <w:pPr>
              <w:pStyle w:val="329"/>
              <w:spacing w:before="0" w:line="360" w:lineRule="auto"/>
              <w:jc w:val="center"/>
              <w:rPr>
                <w:rFonts w:hint="eastAsia" w:asciiTheme="minorEastAsia" w:hAnsiTheme="minorEastAsia" w:eastAsiaTheme="minorEastAsia"/>
                <w:color w:val="auto"/>
                <w:sz w:val="21"/>
                <w:szCs w:val="21"/>
                <w:highlight w:val="none"/>
                <w:lang w:eastAsia="zh-CN"/>
              </w:rPr>
            </w:pPr>
            <w:r>
              <w:rPr>
                <w:rFonts w:hint="eastAsia" w:asciiTheme="minorEastAsia" w:hAnsiTheme="minorEastAsia" w:eastAsiaTheme="minorEastAsia"/>
                <w:color w:val="auto"/>
                <w:sz w:val="21"/>
                <w:szCs w:val="21"/>
                <w:highlight w:val="none"/>
                <w:lang w:eastAsia="zh-CN"/>
              </w:rPr>
              <w:t>2</w:t>
            </w:r>
            <w:r>
              <w:rPr>
                <w:rFonts w:asciiTheme="minorEastAsia" w:hAnsiTheme="minorEastAsia" w:eastAsiaTheme="minorEastAsia"/>
                <w:color w:val="auto"/>
                <w:sz w:val="21"/>
                <w:szCs w:val="21"/>
                <w:highlight w:val="none"/>
                <w:lang w:eastAsia="zh-CN"/>
              </w:rPr>
              <w:t>.2.3</w:t>
            </w:r>
          </w:p>
        </w:tc>
        <w:tc>
          <w:tcPr>
            <w:tcW w:w="1610" w:type="dxa"/>
            <w:vAlign w:val="center"/>
          </w:tcPr>
          <w:p w14:paraId="03C2382A">
            <w:pPr>
              <w:pStyle w:val="329"/>
              <w:spacing w:before="0" w:line="360" w:lineRule="auto"/>
              <w:jc w:val="center"/>
              <w:rPr>
                <w:rFonts w:hint="eastAsia" w:asciiTheme="minorEastAsia" w:hAnsiTheme="minorEastAsia" w:eastAsiaTheme="minorEastAsia"/>
                <w:color w:val="auto"/>
                <w:sz w:val="21"/>
                <w:szCs w:val="21"/>
                <w:highlight w:val="none"/>
                <w:lang w:eastAsia="zh-CN"/>
              </w:rPr>
            </w:pPr>
            <w:r>
              <w:rPr>
                <w:rFonts w:hint="eastAsia" w:asciiTheme="minorEastAsia" w:hAnsiTheme="minorEastAsia" w:eastAsiaTheme="minorEastAsia"/>
                <w:color w:val="auto"/>
                <w:sz w:val="21"/>
                <w:szCs w:val="21"/>
                <w:highlight w:val="none"/>
                <w:lang w:eastAsia="zh-CN"/>
              </w:rPr>
              <w:t>商务部分</w:t>
            </w:r>
          </w:p>
          <w:p w14:paraId="4CF14832">
            <w:pPr>
              <w:pStyle w:val="329"/>
              <w:spacing w:before="0" w:line="360" w:lineRule="auto"/>
              <w:jc w:val="center"/>
              <w:rPr>
                <w:rFonts w:hint="eastAsia" w:asciiTheme="minorEastAsia" w:hAnsiTheme="minorEastAsia" w:eastAsiaTheme="minorEastAsia"/>
                <w:color w:val="auto"/>
                <w:sz w:val="21"/>
                <w:szCs w:val="21"/>
                <w:highlight w:val="none"/>
                <w:lang w:eastAsia="zh-CN"/>
              </w:rPr>
            </w:pPr>
            <w:r>
              <w:rPr>
                <w:rFonts w:hint="eastAsia" w:asciiTheme="minorEastAsia" w:hAnsiTheme="minorEastAsia" w:eastAsiaTheme="minorEastAsia"/>
                <w:color w:val="auto"/>
                <w:sz w:val="21"/>
                <w:szCs w:val="21"/>
                <w:highlight w:val="none"/>
                <w:lang w:eastAsia="zh-CN"/>
              </w:rPr>
              <w:t>评审标准</w:t>
            </w:r>
          </w:p>
          <w:p w14:paraId="5F6B950E">
            <w:pPr>
              <w:pStyle w:val="329"/>
              <w:spacing w:before="0" w:line="360" w:lineRule="auto"/>
              <w:jc w:val="center"/>
              <w:rPr>
                <w:rFonts w:hint="eastAsia" w:asciiTheme="minorEastAsia" w:hAnsiTheme="minorEastAsia" w:eastAsiaTheme="minorEastAsia"/>
                <w:color w:val="auto"/>
                <w:sz w:val="21"/>
                <w:szCs w:val="21"/>
                <w:highlight w:val="none"/>
                <w:lang w:eastAsia="zh-CN"/>
              </w:rPr>
            </w:pPr>
            <w:r>
              <w:rPr>
                <w:rFonts w:hint="eastAsia" w:asciiTheme="minorEastAsia" w:hAnsiTheme="minorEastAsia" w:eastAsiaTheme="minorEastAsia"/>
                <w:color w:val="auto"/>
                <w:sz w:val="21"/>
                <w:szCs w:val="21"/>
                <w:highlight w:val="none"/>
                <w:lang w:eastAsia="zh-CN"/>
              </w:rPr>
              <w:t>（满分</w:t>
            </w:r>
            <w:r>
              <w:rPr>
                <w:rFonts w:asciiTheme="minorEastAsia" w:hAnsiTheme="minorEastAsia" w:eastAsiaTheme="minorEastAsia"/>
                <w:color w:val="auto"/>
                <w:sz w:val="21"/>
                <w:szCs w:val="21"/>
                <w:highlight w:val="none"/>
                <w:lang w:eastAsia="zh-CN"/>
              </w:rPr>
              <w:t>10</w:t>
            </w:r>
            <w:r>
              <w:rPr>
                <w:rFonts w:hint="eastAsia" w:asciiTheme="minorEastAsia" w:hAnsiTheme="minorEastAsia" w:eastAsiaTheme="minorEastAsia"/>
                <w:color w:val="auto"/>
                <w:sz w:val="21"/>
                <w:szCs w:val="21"/>
                <w:highlight w:val="none"/>
                <w:lang w:eastAsia="zh-CN"/>
              </w:rPr>
              <w:t>分）</w:t>
            </w:r>
          </w:p>
        </w:tc>
        <w:tc>
          <w:tcPr>
            <w:tcW w:w="5905" w:type="dxa"/>
            <w:gridSpan w:val="2"/>
            <w:vAlign w:val="center"/>
          </w:tcPr>
          <w:p w14:paraId="3D4233B2">
            <w:pPr>
              <w:tabs>
                <w:tab w:val="left" w:pos="2160"/>
                <w:tab w:val="left" w:pos="3255"/>
                <w:tab w:val="left" w:pos="4830"/>
              </w:tabs>
              <w:spacing w:before="120" w:beforeLines="50" w:line="360" w:lineRule="auto"/>
              <w:jc w:val="left"/>
              <w:rPr>
                <w:rFonts w:hint="eastAsia"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1.供应商的商务部分得分以二次报价得分为准。</w:t>
            </w:r>
          </w:p>
          <w:p w14:paraId="2FC605F0">
            <w:pPr>
              <w:tabs>
                <w:tab w:val="left" w:pos="2160"/>
                <w:tab w:val="left" w:pos="3255"/>
                <w:tab w:val="left" w:pos="4830"/>
              </w:tabs>
              <w:spacing w:line="360" w:lineRule="auto"/>
              <w:jc w:val="left"/>
              <w:rPr>
                <w:rFonts w:hint="eastAsia"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2</w:t>
            </w:r>
            <w:r>
              <w:rPr>
                <w:rFonts w:cs="仿宋" w:asciiTheme="minorEastAsia" w:hAnsiTheme="minorEastAsia" w:eastAsiaTheme="minorEastAsia"/>
                <w:color w:val="auto"/>
                <w:szCs w:val="21"/>
                <w:highlight w:val="none"/>
              </w:rPr>
              <w:t>.</w:t>
            </w:r>
            <w:r>
              <w:rPr>
                <w:rFonts w:hint="eastAsia" w:cs="仿宋" w:asciiTheme="minorEastAsia" w:hAnsiTheme="minorEastAsia" w:eastAsiaTheme="minorEastAsia"/>
                <w:color w:val="auto"/>
                <w:szCs w:val="21"/>
                <w:highlight w:val="none"/>
              </w:rPr>
              <w:t>供应商的评审价为</w:t>
            </w:r>
            <w:r>
              <w:rPr>
                <w:rFonts w:hint="eastAsia" w:ascii="宋体" w:hAnsi="宋体" w:cs="仿宋"/>
                <w:color w:val="auto"/>
                <w:szCs w:val="21"/>
                <w:highlight w:val="none"/>
              </w:rPr>
              <w:t>二次报价或二次报价依据政策扣除后的价格，商务部分评审以评审价为准。</w:t>
            </w:r>
          </w:p>
          <w:p w14:paraId="5ADE8C99">
            <w:pPr>
              <w:tabs>
                <w:tab w:val="left" w:pos="2160"/>
                <w:tab w:val="left" w:pos="3255"/>
                <w:tab w:val="left" w:pos="4830"/>
              </w:tabs>
              <w:spacing w:line="360" w:lineRule="auto"/>
              <w:jc w:val="left"/>
              <w:rPr>
                <w:rFonts w:hint="eastAsia" w:ascii="宋体" w:hAnsi="宋体"/>
                <w:color w:val="auto"/>
                <w:szCs w:val="21"/>
                <w:highlight w:val="none"/>
              </w:rPr>
            </w:pPr>
            <w:r>
              <w:rPr>
                <w:rFonts w:cs="仿宋" w:asciiTheme="minorEastAsia" w:hAnsiTheme="minorEastAsia" w:eastAsiaTheme="minorEastAsia"/>
                <w:color w:val="auto"/>
                <w:szCs w:val="21"/>
                <w:highlight w:val="none"/>
              </w:rPr>
              <w:t>3.</w:t>
            </w:r>
            <w:r>
              <w:rPr>
                <w:rFonts w:hint="eastAsia" w:ascii="宋体" w:hAnsi="宋体"/>
                <w:color w:val="auto"/>
                <w:szCs w:val="21"/>
                <w:highlight w:val="none"/>
              </w:rPr>
              <w:t>供应商的磋商报价满足采购文件的要求，且</w:t>
            </w:r>
            <w:r>
              <w:rPr>
                <w:rFonts w:hint="eastAsia" w:ascii="宋体" w:hAnsi="宋体" w:cs="仿宋"/>
                <w:color w:val="auto"/>
                <w:szCs w:val="21"/>
                <w:highlight w:val="none"/>
              </w:rPr>
              <w:t>评审价</w:t>
            </w:r>
            <w:r>
              <w:rPr>
                <w:rFonts w:hint="eastAsia" w:ascii="宋体" w:hAnsi="宋体"/>
                <w:color w:val="auto"/>
                <w:szCs w:val="21"/>
                <w:highlight w:val="none"/>
              </w:rPr>
              <w:t>最低的为磋商基准价，其得分为满分。其它供应商的报价得分统一按照下列公式进行计算：</w:t>
            </w:r>
          </w:p>
          <w:p w14:paraId="26C49D34">
            <w:pPr>
              <w:spacing w:line="360" w:lineRule="auto"/>
              <w:jc w:val="left"/>
              <w:outlineLvl w:val="3"/>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评审价得分=（</w:t>
            </w:r>
            <w:r>
              <w:rPr>
                <w:rFonts w:hint="eastAsia" w:cs="宋体" w:asciiTheme="minorEastAsia" w:hAnsiTheme="minorEastAsia" w:eastAsiaTheme="minorEastAsia"/>
                <w:b/>
                <w:color w:val="auto"/>
                <w:kern w:val="0"/>
                <w:szCs w:val="21"/>
                <w:highlight w:val="none"/>
              </w:rPr>
              <w:t>评审基准价/二次报价</w:t>
            </w:r>
            <w:r>
              <w:rPr>
                <w:rFonts w:hint="eastAsia" w:asciiTheme="minorEastAsia" w:hAnsiTheme="minorEastAsia" w:eastAsiaTheme="minorEastAsia"/>
                <w:b/>
                <w:color w:val="auto"/>
                <w:szCs w:val="21"/>
                <w:highlight w:val="none"/>
              </w:rPr>
              <w:t>）</w:t>
            </w:r>
            <w:r>
              <w:rPr>
                <w:rFonts w:hint="eastAsia" w:cs="宋体" w:asciiTheme="minorEastAsia" w:hAnsiTheme="minorEastAsia" w:eastAsiaTheme="minorEastAsia"/>
                <w:b/>
                <w:color w:val="auto"/>
                <w:kern w:val="0"/>
                <w:szCs w:val="21"/>
                <w:highlight w:val="none"/>
              </w:rPr>
              <w:t>×1</w:t>
            </w:r>
            <w:r>
              <w:rPr>
                <w:rFonts w:cs="宋体" w:asciiTheme="minorEastAsia" w:hAnsiTheme="minorEastAsia" w:eastAsiaTheme="minorEastAsia"/>
                <w:b/>
                <w:color w:val="auto"/>
                <w:kern w:val="0"/>
                <w:szCs w:val="21"/>
                <w:highlight w:val="none"/>
              </w:rPr>
              <w:t>0</w:t>
            </w:r>
            <w:r>
              <w:rPr>
                <w:rFonts w:hint="eastAsia" w:asciiTheme="minorEastAsia" w:hAnsiTheme="minorEastAsia" w:eastAsiaTheme="minorEastAsia"/>
                <w:b/>
                <w:color w:val="auto"/>
                <w:szCs w:val="21"/>
                <w:highlight w:val="none"/>
              </w:rPr>
              <w:t>。</w:t>
            </w:r>
          </w:p>
          <w:p w14:paraId="5FCFA2A3">
            <w:pPr>
              <w:snapToGrid w:val="0"/>
              <w:spacing w:line="360" w:lineRule="auto"/>
              <w:jc w:val="left"/>
              <w:rPr>
                <w:rFonts w:hint="eastAsia" w:cs="宋体" w:asciiTheme="minorEastAsia" w:hAnsiTheme="minorEastAsia" w:eastAsiaTheme="minorEastAsia"/>
                <w:b/>
                <w:color w:val="auto"/>
                <w:szCs w:val="21"/>
                <w:highlight w:val="none"/>
              </w:rPr>
            </w:pPr>
            <w:r>
              <w:rPr>
                <w:rFonts w:hint="eastAsia" w:asciiTheme="minorEastAsia" w:hAnsiTheme="minorEastAsia" w:eastAsiaTheme="minorEastAsia"/>
                <w:color w:val="auto"/>
                <w:szCs w:val="21"/>
                <w:highlight w:val="none"/>
              </w:rPr>
              <w:t>注：</w:t>
            </w:r>
            <w:r>
              <w:rPr>
                <w:rFonts w:hint="eastAsia" w:ascii="宋体" w:hAnsi="宋体"/>
                <w:color w:val="auto"/>
                <w:szCs w:val="21"/>
                <w:highlight w:val="none"/>
              </w:rPr>
              <w:t>在评审过程中，不得去掉所有供应商</w:t>
            </w:r>
            <w:r>
              <w:rPr>
                <w:rFonts w:hint="eastAsia" w:ascii="宋体" w:hAnsi="宋体" w:cs="仿宋"/>
                <w:color w:val="auto"/>
                <w:szCs w:val="21"/>
                <w:highlight w:val="none"/>
              </w:rPr>
              <w:t>评审价</w:t>
            </w:r>
            <w:r>
              <w:rPr>
                <w:rFonts w:hint="eastAsia" w:ascii="宋体" w:hAnsi="宋体"/>
                <w:color w:val="auto"/>
                <w:szCs w:val="21"/>
                <w:highlight w:val="none"/>
              </w:rPr>
              <w:t>中的最高报价和最低报价。</w:t>
            </w:r>
          </w:p>
        </w:tc>
        <w:tc>
          <w:tcPr>
            <w:tcW w:w="700" w:type="dxa"/>
            <w:vAlign w:val="center"/>
          </w:tcPr>
          <w:p w14:paraId="3B9F43BF">
            <w:pPr>
              <w:snapToGrid w:val="0"/>
              <w:spacing w:line="360" w:lineRule="auto"/>
              <w:rPr>
                <w:rFonts w:hint="eastAsia" w:asciiTheme="minorEastAsia" w:hAnsiTheme="minorEastAsia" w:eastAsiaTheme="minorEastAsia"/>
                <w:b/>
                <w:color w:val="auto"/>
                <w:szCs w:val="21"/>
                <w:highlight w:val="none"/>
              </w:rPr>
            </w:pPr>
            <w:r>
              <w:rPr>
                <w:rFonts w:hint="eastAsia" w:asciiTheme="minorEastAsia" w:hAnsiTheme="minorEastAsia" w:eastAsiaTheme="minorEastAsia"/>
                <w:color w:val="auto"/>
                <w:szCs w:val="21"/>
                <w:highlight w:val="none"/>
              </w:rPr>
              <w:t>10分</w:t>
            </w:r>
          </w:p>
        </w:tc>
      </w:tr>
    </w:tbl>
    <w:p w14:paraId="01F85A3F">
      <w:pPr>
        <w:pStyle w:val="4"/>
        <w:spacing w:before="120" w:beforeLines="50" w:line="360" w:lineRule="auto"/>
        <w:rPr>
          <w:rFonts w:hint="eastAsia" w:asciiTheme="minorEastAsia" w:hAnsiTheme="minorEastAsia" w:eastAsiaTheme="minorEastAsia"/>
          <w:color w:val="auto"/>
          <w:szCs w:val="28"/>
          <w:highlight w:val="none"/>
        </w:rPr>
      </w:pPr>
      <w:bookmarkStart w:id="1237" w:name="_Toc83753930"/>
      <w:bookmarkStart w:id="1238" w:name="_Toc87543858"/>
      <w:bookmarkStart w:id="1239" w:name="_Toc158233423"/>
      <w:bookmarkStart w:id="1240" w:name="_Toc110405175"/>
      <w:bookmarkStart w:id="1241" w:name="_Toc87538407"/>
      <w:bookmarkStart w:id="1242" w:name="_Toc84356290"/>
      <w:bookmarkStart w:id="1243" w:name="_Hlk83753665"/>
      <w:bookmarkStart w:id="1244" w:name="_Toc45791393"/>
      <w:bookmarkStart w:id="1245" w:name="_Toc81330978"/>
      <w:bookmarkStart w:id="1246" w:name="_Toc42205032"/>
      <w:r>
        <w:rPr>
          <w:rFonts w:hint="eastAsia" w:asciiTheme="minorEastAsia" w:hAnsiTheme="minorEastAsia" w:eastAsiaTheme="minorEastAsia"/>
          <w:color w:val="auto"/>
          <w:szCs w:val="28"/>
          <w:highlight w:val="none"/>
        </w:rPr>
        <w:t>二、评审办法正文部分</w:t>
      </w:r>
      <w:bookmarkEnd w:id="1237"/>
      <w:bookmarkEnd w:id="1238"/>
      <w:bookmarkEnd w:id="1239"/>
      <w:bookmarkEnd w:id="1240"/>
      <w:bookmarkEnd w:id="1241"/>
      <w:bookmarkEnd w:id="1242"/>
    </w:p>
    <w:bookmarkEnd w:id="1243"/>
    <w:p w14:paraId="2FAADEC1">
      <w:pPr>
        <w:spacing w:before="120" w:beforeLines="50" w:line="360" w:lineRule="auto"/>
        <w:outlineLvl w:val="2"/>
        <w:rPr>
          <w:rFonts w:hint="eastAsia" w:asciiTheme="minorEastAsia" w:hAnsiTheme="minorEastAsia" w:eastAsiaTheme="minorEastAsia"/>
          <w:b/>
          <w:color w:val="auto"/>
          <w:sz w:val="24"/>
          <w:szCs w:val="24"/>
          <w:highlight w:val="none"/>
        </w:rPr>
      </w:pPr>
      <w:bookmarkStart w:id="1247" w:name="_Toc110405176"/>
      <w:bookmarkStart w:id="1248" w:name="_Toc116584043"/>
      <w:bookmarkStart w:id="1249" w:name="_Toc109809353"/>
      <w:bookmarkStart w:id="1250" w:name="_Toc98033975"/>
      <w:bookmarkStart w:id="1251" w:name="_Toc4075"/>
      <w:bookmarkStart w:id="1252" w:name="_Toc98865052"/>
      <w:bookmarkStart w:id="1253" w:name="_Toc84356291"/>
      <w:bookmarkStart w:id="1254" w:name="_Toc83753931"/>
      <w:bookmarkStart w:id="1255" w:name="_Toc87543859"/>
      <w:bookmarkStart w:id="1256" w:name="_Toc87538408"/>
      <w:r>
        <w:rPr>
          <w:rFonts w:hint="eastAsia" w:asciiTheme="minorEastAsia" w:hAnsiTheme="minorEastAsia" w:eastAsiaTheme="minorEastAsia"/>
          <w:b/>
          <w:color w:val="auto"/>
          <w:sz w:val="24"/>
          <w:szCs w:val="24"/>
          <w:highlight w:val="none"/>
        </w:rPr>
        <w:t>1.评审方法</w:t>
      </w:r>
      <w:bookmarkEnd w:id="1244"/>
      <w:bookmarkEnd w:id="1245"/>
      <w:bookmarkEnd w:id="1246"/>
      <w:bookmarkEnd w:id="1247"/>
      <w:bookmarkEnd w:id="1248"/>
      <w:bookmarkEnd w:id="1249"/>
      <w:bookmarkEnd w:id="1250"/>
      <w:bookmarkEnd w:id="1251"/>
      <w:bookmarkEnd w:id="1252"/>
      <w:bookmarkEnd w:id="1253"/>
      <w:bookmarkEnd w:id="1254"/>
      <w:bookmarkEnd w:id="1255"/>
      <w:bookmarkEnd w:id="1256"/>
      <w:r>
        <w:rPr>
          <w:rFonts w:hint="eastAsia" w:asciiTheme="minorEastAsia" w:hAnsiTheme="minorEastAsia" w:eastAsiaTheme="minorEastAsia"/>
          <w:b/>
          <w:color w:val="auto"/>
          <w:sz w:val="24"/>
          <w:szCs w:val="24"/>
          <w:highlight w:val="none"/>
        </w:rPr>
        <w:t xml:space="preserve"> </w:t>
      </w:r>
    </w:p>
    <w:p w14:paraId="493070F9">
      <w:pPr>
        <w:spacing w:line="360" w:lineRule="auto"/>
        <w:ind w:firstLine="435"/>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1.1本评审方法根据《中华人民共和国政府采购法》、《中华人民共和国政府采购法实施条例》（国务院令第658号）以及《关于印发&lt;政府采购竞争性磋商采购方式管理暂行办法&gt;的通知》（财库〔2014〕214号）等相关法律法规的规定制定，采用综合评分法进行评审。</w:t>
      </w:r>
    </w:p>
    <w:p w14:paraId="626AEFA6">
      <w:pPr>
        <w:spacing w:line="360" w:lineRule="auto"/>
        <w:ind w:firstLine="435"/>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1.2磋商小组对通过初步评审的响应文件，进行技术部分和商务部分评审评分，并按照供应商的综合得分由高到低的顺序推荐1～3名成交候选人。若综合得分相同，按照供应商的</w:t>
      </w:r>
      <w:r>
        <w:rPr>
          <w:rFonts w:hint="eastAsia" w:cs="仿宋" w:asciiTheme="minorEastAsia" w:hAnsiTheme="minorEastAsia" w:eastAsiaTheme="minorEastAsia"/>
          <w:color w:val="auto"/>
          <w:szCs w:val="21"/>
          <w:highlight w:val="none"/>
        </w:rPr>
        <w:t>评审价</w:t>
      </w:r>
      <w:r>
        <w:rPr>
          <w:rFonts w:hint="eastAsia" w:asciiTheme="minorEastAsia" w:hAnsiTheme="minorEastAsia" w:eastAsiaTheme="minorEastAsia"/>
          <w:color w:val="auto"/>
          <w:szCs w:val="21"/>
          <w:highlight w:val="none"/>
        </w:rPr>
        <w:t>由低到高的顺序推荐成交候选人；若评审价也相同时，按照供应商的</w:t>
      </w:r>
      <w:r>
        <w:rPr>
          <w:rFonts w:hint="eastAsia" w:cs="仿宋" w:asciiTheme="minorEastAsia" w:hAnsiTheme="minorEastAsia" w:eastAsiaTheme="minorEastAsia"/>
          <w:color w:val="auto"/>
          <w:szCs w:val="21"/>
          <w:highlight w:val="none"/>
        </w:rPr>
        <w:t>磋商报价</w:t>
      </w:r>
      <w:r>
        <w:rPr>
          <w:rFonts w:hint="eastAsia" w:asciiTheme="minorEastAsia" w:hAnsiTheme="minorEastAsia" w:eastAsiaTheme="minorEastAsia"/>
          <w:color w:val="auto"/>
          <w:szCs w:val="21"/>
          <w:highlight w:val="none"/>
        </w:rPr>
        <w:t>由低到高的顺序推荐成交候选人；若</w:t>
      </w:r>
      <w:r>
        <w:rPr>
          <w:rFonts w:hint="eastAsia" w:cs="仿宋" w:asciiTheme="minorEastAsia" w:hAnsiTheme="minorEastAsia" w:eastAsiaTheme="minorEastAsia"/>
          <w:color w:val="auto"/>
          <w:szCs w:val="21"/>
          <w:highlight w:val="none"/>
        </w:rPr>
        <w:t>磋商报价还</w:t>
      </w:r>
      <w:r>
        <w:rPr>
          <w:rFonts w:hint="eastAsia" w:asciiTheme="minorEastAsia" w:hAnsiTheme="minorEastAsia" w:eastAsiaTheme="minorEastAsia"/>
          <w:color w:val="auto"/>
          <w:szCs w:val="21"/>
          <w:highlight w:val="none"/>
        </w:rPr>
        <w:t>相同时，由磋商小组以不记名投票的方式推荐成交候选人。</w:t>
      </w:r>
    </w:p>
    <w:p w14:paraId="3B78A26D">
      <w:pPr>
        <w:spacing w:line="360" w:lineRule="auto"/>
        <w:outlineLvl w:val="2"/>
        <w:rPr>
          <w:rFonts w:hint="eastAsia" w:asciiTheme="minorEastAsia" w:hAnsiTheme="minorEastAsia" w:eastAsiaTheme="minorEastAsia"/>
          <w:b/>
          <w:color w:val="auto"/>
          <w:sz w:val="24"/>
          <w:szCs w:val="24"/>
          <w:highlight w:val="none"/>
        </w:rPr>
      </w:pPr>
      <w:bookmarkStart w:id="1257" w:name="_Toc42205033"/>
      <w:bookmarkStart w:id="1258" w:name="_Toc110405177"/>
      <w:bookmarkStart w:id="1259" w:name="_Toc87543860"/>
      <w:bookmarkStart w:id="1260" w:name="_Toc98865053"/>
      <w:bookmarkStart w:id="1261" w:name="_Toc12572"/>
      <w:bookmarkStart w:id="1262" w:name="_Toc45791394"/>
      <w:bookmarkStart w:id="1263" w:name="_Toc83753932"/>
      <w:bookmarkStart w:id="1264" w:name="_Toc84356292"/>
      <w:bookmarkStart w:id="1265" w:name="_Toc109809354"/>
      <w:bookmarkStart w:id="1266" w:name="_Toc81330979"/>
      <w:bookmarkStart w:id="1267" w:name="_Toc98033976"/>
      <w:bookmarkStart w:id="1268" w:name="_Toc87538409"/>
      <w:bookmarkStart w:id="1269" w:name="_Toc116584044"/>
      <w:r>
        <w:rPr>
          <w:rFonts w:hint="eastAsia" w:asciiTheme="minorEastAsia" w:hAnsiTheme="minorEastAsia" w:eastAsiaTheme="minorEastAsia"/>
          <w:b/>
          <w:color w:val="auto"/>
          <w:sz w:val="24"/>
          <w:szCs w:val="24"/>
          <w:highlight w:val="none"/>
        </w:rPr>
        <w:t>2.评审标准</w:t>
      </w:r>
      <w:bookmarkEnd w:id="1257"/>
      <w:bookmarkEnd w:id="1258"/>
      <w:bookmarkEnd w:id="1259"/>
      <w:bookmarkEnd w:id="1260"/>
      <w:bookmarkEnd w:id="1261"/>
      <w:bookmarkEnd w:id="1262"/>
      <w:bookmarkEnd w:id="1263"/>
      <w:bookmarkEnd w:id="1264"/>
      <w:bookmarkEnd w:id="1265"/>
      <w:bookmarkEnd w:id="1266"/>
      <w:bookmarkEnd w:id="1267"/>
      <w:bookmarkEnd w:id="1268"/>
      <w:bookmarkEnd w:id="1269"/>
      <w:r>
        <w:rPr>
          <w:rFonts w:hint="eastAsia" w:asciiTheme="minorEastAsia" w:hAnsiTheme="minorEastAsia" w:eastAsiaTheme="minorEastAsia"/>
          <w:b/>
          <w:color w:val="auto"/>
          <w:sz w:val="24"/>
          <w:szCs w:val="24"/>
          <w:highlight w:val="none"/>
        </w:rPr>
        <w:t xml:space="preserve"> </w:t>
      </w:r>
    </w:p>
    <w:p w14:paraId="1DFBF163">
      <w:pPr>
        <w:spacing w:line="360" w:lineRule="auto"/>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2.1 初步评审标准 </w:t>
      </w:r>
    </w:p>
    <w:p w14:paraId="656828DF">
      <w:pPr>
        <w:spacing w:line="360" w:lineRule="auto"/>
        <w:ind w:firstLine="435"/>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2.1.1资格审查标准：见评审办法前附表。</w:t>
      </w:r>
    </w:p>
    <w:p w14:paraId="67F4DEE8">
      <w:pPr>
        <w:spacing w:line="360" w:lineRule="auto"/>
        <w:ind w:firstLine="435"/>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2.1.2符合性审查标准：见评审办法前附表。</w:t>
      </w:r>
    </w:p>
    <w:p w14:paraId="381859B3">
      <w:pPr>
        <w:spacing w:line="360" w:lineRule="auto"/>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2.2详细评审标准</w:t>
      </w:r>
    </w:p>
    <w:p w14:paraId="193605B1">
      <w:pPr>
        <w:spacing w:line="360" w:lineRule="auto"/>
        <w:ind w:firstLine="420" w:firstLineChars="200"/>
        <w:rPr>
          <w:rFonts w:hint="eastAsia" w:asciiTheme="minorEastAsia" w:hAnsiTheme="minorEastAsia" w:eastAsiaTheme="minorEastAsia"/>
          <w:color w:val="auto"/>
          <w:highlight w:val="none"/>
        </w:rPr>
      </w:pPr>
      <w:bookmarkStart w:id="1270" w:name="_Toc42205034"/>
      <w:bookmarkStart w:id="1271" w:name="_Toc87543861"/>
      <w:bookmarkStart w:id="1272" w:name="_Toc81330980"/>
      <w:bookmarkStart w:id="1273" w:name="_Toc98033977"/>
      <w:bookmarkStart w:id="1274" w:name="_Toc98865054"/>
      <w:bookmarkStart w:id="1275" w:name="_Toc45791395"/>
      <w:bookmarkStart w:id="1276" w:name="_Toc84356293"/>
      <w:bookmarkStart w:id="1277" w:name="_Toc83753933"/>
      <w:bookmarkStart w:id="1278" w:name="_Toc87538410"/>
      <w:r>
        <w:rPr>
          <w:rFonts w:hint="eastAsia" w:asciiTheme="minorEastAsia" w:hAnsiTheme="minorEastAsia" w:eastAsiaTheme="minorEastAsia"/>
          <w:color w:val="auto"/>
          <w:highlight w:val="none"/>
        </w:rPr>
        <w:t>2</w:t>
      </w:r>
      <w:r>
        <w:rPr>
          <w:rFonts w:asciiTheme="minorEastAsia" w:hAnsiTheme="minorEastAsia" w:eastAsiaTheme="minorEastAsia"/>
          <w:color w:val="auto"/>
          <w:highlight w:val="none"/>
        </w:rPr>
        <w:t>.2.1</w:t>
      </w:r>
      <w:r>
        <w:rPr>
          <w:rFonts w:hint="eastAsia" w:asciiTheme="minorEastAsia" w:hAnsiTheme="minorEastAsia" w:eastAsiaTheme="minorEastAsia"/>
          <w:color w:val="auto"/>
          <w:highlight w:val="none"/>
        </w:rPr>
        <w:t>分值构成：见评标办法前附表。</w:t>
      </w:r>
    </w:p>
    <w:p w14:paraId="48850CB9">
      <w:pPr>
        <w:spacing w:line="360" w:lineRule="auto"/>
        <w:ind w:firstLine="420" w:firstLineChars="200"/>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2.</w:t>
      </w:r>
      <w:r>
        <w:rPr>
          <w:rFonts w:asciiTheme="minorEastAsia" w:hAnsiTheme="minorEastAsia" w:eastAsiaTheme="minorEastAsia"/>
          <w:color w:val="auto"/>
          <w:highlight w:val="none"/>
        </w:rPr>
        <w:t>2</w:t>
      </w:r>
      <w:r>
        <w:rPr>
          <w:rFonts w:hint="eastAsia" w:asciiTheme="minorEastAsia" w:hAnsiTheme="minorEastAsia" w:eastAsiaTheme="minorEastAsia"/>
          <w:color w:val="auto"/>
          <w:highlight w:val="none"/>
        </w:rPr>
        <w:t>.</w:t>
      </w:r>
      <w:r>
        <w:rPr>
          <w:rFonts w:asciiTheme="minorEastAsia" w:hAnsiTheme="minorEastAsia" w:eastAsiaTheme="minorEastAsia"/>
          <w:color w:val="auto"/>
          <w:highlight w:val="none"/>
        </w:rPr>
        <w:t>2</w:t>
      </w:r>
      <w:r>
        <w:rPr>
          <w:rFonts w:hint="eastAsia" w:asciiTheme="minorEastAsia" w:hAnsiTheme="minorEastAsia" w:eastAsiaTheme="minorEastAsia"/>
          <w:color w:val="auto"/>
          <w:highlight w:val="none"/>
        </w:rPr>
        <w:t>技术部分评审标准：见评审办法前附表。</w:t>
      </w:r>
    </w:p>
    <w:p w14:paraId="3346029A">
      <w:pPr>
        <w:spacing w:line="360" w:lineRule="auto"/>
        <w:ind w:firstLine="420" w:firstLineChars="200"/>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2.</w:t>
      </w:r>
      <w:r>
        <w:rPr>
          <w:rFonts w:asciiTheme="minorEastAsia" w:hAnsiTheme="minorEastAsia" w:eastAsiaTheme="minorEastAsia"/>
          <w:color w:val="auto"/>
          <w:highlight w:val="none"/>
        </w:rPr>
        <w:t>2</w:t>
      </w:r>
      <w:r>
        <w:rPr>
          <w:rFonts w:hint="eastAsia" w:asciiTheme="minorEastAsia" w:hAnsiTheme="minorEastAsia" w:eastAsiaTheme="minorEastAsia"/>
          <w:color w:val="auto"/>
          <w:highlight w:val="none"/>
        </w:rPr>
        <w:t>.</w:t>
      </w:r>
      <w:r>
        <w:rPr>
          <w:rFonts w:asciiTheme="minorEastAsia" w:hAnsiTheme="minorEastAsia" w:eastAsiaTheme="minorEastAsia"/>
          <w:color w:val="auto"/>
          <w:highlight w:val="none"/>
        </w:rPr>
        <w:t>3</w:t>
      </w:r>
      <w:r>
        <w:rPr>
          <w:rFonts w:hint="eastAsia" w:asciiTheme="minorEastAsia" w:hAnsiTheme="minorEastAsia" w:eastAsiaTheme="minorEastAsia"/>
          <w:color w:val="auto"/>
          <w:highlight w:val="none"/>
        </w:rPr>
        <w:t>商务部分评审标准：见评审办法前附表。</w:t>
      </w:r>
    </w:p>
    <w:p w14:paraId="1FDEAF48">
      <w:pPr>
        <w:spacing w:line="360" w:lineRule="auto"/>
        <w:outlineLvl w:val="2"/>
        <w:rPr>
          <w:rFonts w:hint="eastAsia" w:asciiTheme="minorEastAsia" w:hAnsiTheme="minorEastAsia" w:eastAsiaTheme="minorEastAsia"/>
          <w:b/>
          <w:color w:val="auto"/>
          <w:sz w:val="24"/>
          <w:szCs w:val="24"/>
          <w:highlight w:val="none"/>
        </w:rPr>
      </w:pPr>
      <w:bookmarkStart w:id="1279" w:name="_Toc110405178"/>
      <w:bookmarkStart w:id="1280" w:name="_Toc116584045"/>
      <w:bookmarkStart w:id="1281" w:name="_Toc109809355"/>
      <w:bookmarkStart w:id="1282" w:name="_Toc6028"/>
      <w:r>
        <w:rPr>
          <w:rFonts w:hint="eastAsia" w:asciiTheme="minorEastAsia" w:hAnsiTheme="minorEastAsia" w:eastAsiaTheme="minorEastAsia"/>
          <w:b/>
          <w:color w:val="auto"/>
          <w:sz w:val="24"/>
          <w:szCs w:val="24"/>
          <w:highlight w:val="none"/>
        </w:rPr>
        <w:t>3.评审程序</w:t>
      </w:r>
      <w:bookmarkEnd w:id="1270"/>
      <w:bookmarkEnd w:id="1271"/>
      <w:bookmarkEnd w:id="1272"/>
      <w:bookmarkEnd w:id="1273"/>
      <w:bookmarkEnd w:id="1274"/>
      <w:bookmarkEnd w:id="1275"/>
      <w:bookmarkEnd w:id="1276"/>
      <w:bookmarkEnd w:id="1277"/>
      <w:bookmarkEnd w:id="1278"/>
      <w:bookmarkEnd w:id="1279"/>
      <w:bookmarkEnd w:id="1280"/>
      <w:bookmarkEnd w:id="1281"/>
      <w:bookmarkEnd w:id="1282"/>
      <w:r>
        <w:rPr>
          <w:rFonts w:hint="eastAsia" w:asciiTheme="minorEastAsia" w:hAnsiTheme="minorEastAsia" w:eastAsiaTheme="minorEastAsia"/>
          <w:b/>
          <w:color w:val="auto"/>
          <w:sz w:val="24"/>
          <w:szCs w:val="24"/>
          <w:highlight w:val="none"/>
        </w:rPr>
        <w:t xml:space="preserve"> </w:t>
      </w:r>
    </w:p>
    <w:p w14:paraId="3CF70EC2">
      <w:pPr>
        <w:spacing w:line="360" w:lineRule="auto"/>
        <w:outlineLvl w:val="3"/>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3.1 初步评审 </w:t>
      </w:r>
    </w:p>
    <w:p w14:paraId="6CFE0BC1">
      <w:pPr>
        <w:spacing w:line="360" w:lineRule="auto"/>
        <w:ind w:firstLine="437"/>
        <w:rPr>
          <w:rFonts w:hint="eastAsia"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rPr>
        <w:t>3.1.1</w:t>
      </w:r>
      <w:r>
        <w:rPr>
          <w:rFonts w:hint="eastAsia" w:asciiTheme="minorEastAsia" w:hAnsiTheme="minorEastAsia" w:eastAsiaTheme="minorEastAsia"/>
          <w:bCs/>
          <w:color w:val="auto"/>
          <w:szCs w:val="21"/>
          <w:highlight w:val="none"/>
        </w:rPr>
        <w:t xml:space="preserve">资格审查 </w:t>
      </w:r>
    </w:p>
    <w:p w14:paraId="6915DECD">
      <w:pPr>
        <w:spacing w:line="360" w:lineRule="auto"/>
        <w:ind w:firstLine="435"/>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磋商小组依据本章第2.1.1款规定的审查标准对所有供应商的响应文件进行资格审查，有一项不符合审查标准的，响应文件按否决处理。</w:t>
      </w:r>
    </w:p>
    <w:p w14:paraId="071149B3">
      <w:pPr>
        <w:spacing w:line="360" w:lineRule="auto"/>
        <w:ind w:firstLine="437"/>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3.</w:t>
      </w:r>
      <w:r>
        <w:rPr>
          <w:rFonts w:asciiTheme="minorEastAsia" w:hAnsiTheme="minorEastAsia" w:eastAsiaTheme="minorEastAsia"/>
          <w:bCs/>
          <w:color w:val="auto"/>
          <w:szCs w:val="21"/>
          <w:highlight w:val="none"/>
        </w:rPr>
        <w:t>1.</w:t>
      </w:r>
      <w:r>
        <w:rPr>
          <w:rFonts w:hint="eastAsia" w:asciiTheme="minorEastAsia" w:hAnsiTheme="minorEastAsia" w:eastAsiaTheme="minorEastAsia"/>
          <w:bCs/>
          <w:color w:val="auto"/>
          <w:szCs w:val="21"/>
          <w:highlight w:val="none"/>
        </w:rPr>
        <w:t xml:space="preserve">2符合性审查 </w:t>
      </w:r>
    </w:p>
    <w:p w14:paraId="3D4508BB">
      <w:pPr>
        <w:spacing w:line="360" w:lineRule="auto"/>
        <w:ind w:firstLine="435"/>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磋商小组依据本章第2.1.2款规定的审查标准对所有供应商的响应文件进行符合性审查，有一项不符合审查标准的，响应文件按否决处理。</w:t>
      </w:r>
    </w:p>
    <w:p w14:paraId="1C6CCA53">
      <w:pPr>
        <w:spacing w:line="360" w:lineRule="auto"/>
        <w:outlineLvl w:val="3"/>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3.2 详细评审</w:t>
      </w:r>
    </w:p>
    <w:p w14:paraId="149A8435">
      <w:pPr>
        <w:spacing w:line="360" w:lineRule="auto"/>
        <w:ind w:firstLine="420" w:firstLineChars="200"/>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3.2.1磋商小组按照本章第2.2款规定的量化因素和分值进行评审评分，并计算出供应商的综合得分。</w:t>
      </w:r>
    </w:p>
    <w:p w14:paraId="06CEA59F">
      <w:pPr>
        <w:spacing w:line="360" w:lineRule="auto"/>
        <w:ind w:firstLine="420" w:firstLineChars="200"/>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3.2.2供应商的综合得分分值计算后保留小数点后两位，小数点后第三位“四舍五入”。</w:t>
      </w:r>
    </w:p>
    <w:p w14:paraId="40B4795D">
      <w:pPr>
        <w:spacing w:line="360" w:lineRule="auto"/>
        <w:ind w:firstLine="420" w:firstLineChars="200"/>
        <w:rPr>
          <w:rFonts w:hint="eastAsia" w:asciiTheme="minorEastAsia" w:hAnsiTheme="minorEastAsia" w:eastAsiaTheme="minorEastAsia"/>
          <w:color w:val="auto"/>
          <w:szCs w:val="21"/>
          <w:highlight w:val="none"/>
        </w:rPr>
      </w:pPr>
      <w:r>
        <w:rPr>
          <w:rFonts w:hint="eastAsia" w:ascii="宋体" w:hAnsi="宋体"/>
          <w:color w:val="auto"/>
          <w:szCs w:val="21"/>
          <w:highlight w:val="none"/>
        </w:rPr>
        <w:t>3.2.</w:t>
      </w:r>
      <w:r>
        <w:rPr>
          <w:rFonts w:ascii="宋体" w:hAnsi="宋体"/>
          <w:color w:val="auto"/>
          <w:szCs w:val="21"/>
          <w:highlight w:val="none"/>
        </w:rPr>
        <w:t>3</w:t>
      </w:r>
      <w:r>
        <w:rPr>
          <w:rFonts w:hint="eastAsia" w:ascii="宋体" w:hAnsi="宋体" w:cs="宋体"/>
          <w:color w:val="auto"/>
          <w:szCs w:val="21"/>
          <w:highlight w:val="none"/>
        </w:rPr>
        <w:t>通过资格审查、符合性审查的供应商将进行二次报价</w:t>
      </w:r>
      <w:r>
        <w:rPr>
          <w:rFonts w:ascii="宋体" w:hAnsi="宋体"/>
          <w:color w:val="auto"/>
          <w:szCs w:val="21"/>
          <w:highlight w:val="none"/>
        </w:rPr>
        <w:t>，</w:t>
      </w:r>
      <w:r>
        <w:rPr>
          <w:rFonts w:hint="eastAsia" w:ascii="宋体" w:hAnsi="宋体"/>
          <w:color w:val="auto"/>
          <w:szCs w:val="21"/>
          <w:highlight w:val="none"/>
        </w:rPr>
        <w:t>二次报价的价格为供应商的最后报价，</w:t>
      </w:r>
      <w:r>
        <w:rPr>
          <w:rFonts w:hint="eastAsia" w:asciiTheme="minorEastAsia" w:hAnsiTheme="minorEastAsia" w:eastAsiaTheme="minorEastAsia"/>
          <w:color w:val="auto"/>
          <w:szCs w:val="21"/>
          <w:highlight w:val="none"/>
        </w:rPr>
        <w:t>并成为其响应文件的重要组成部分。</w:t>
      </w:r>
      <w:r>
        <w:rPr>
          <w:rFonts w:hint="eastAsia" w:ascii="宋体" w:hAnsi="宋体" w:eastAsiaTheme="minorEastAsia"/>
          <w:color w:val="auto"/>
          <w:szCs w:val="21"/>
          <w:highlight w:val="none"/>
        </w:rPr>
        <w:t>供应商</w:t>
      </w:r>
      <w:r>
        <w:rPr>
          <w:rFonts w:hint="eastAsia" w:asciiTheme="minorEastAsia" w:hAnsiTheme="minorEastAsia" w:eastAsiaTheme="minorEastAsia"/>
          <w:color w:val="auto"/>
          <w:szCs w:val="21"/>
          <w:highlight w:val="none"/>
        </w:rPr>
        <w:t>一旦完成二次报价，即不得再报。</w:t>
      </w:r>
    </w:p>
    <w:p w14:paraId="66A0ABE4">
      <w:pPr>
        <w:spacing w:line="360" w:lineRule="auto"/>
        <w:ind w:firstLine="422" w:firstLineChars="200"/>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3.</w:t>
      </w:r>
      <w:r>
        <w:rPr>
          <w:rFonts w:asciiTheme="minorEastAsia" w:hAnsiTheme="minorEastAsia" w:eastAsiaTheme="minorEastAsia"/>
          <w:b/>
          <w:color w:val="auto"/>
          <w:szCs w:val="21"/>
          <w:highlight w:val="none"/>
        </w:rPr>
        <w:t>2</w:t>
      </w:r>
      <w:r>
        <w:rPr>
          <w:rFonts w:hint="eastAsia" w:asciiTheme="minorEastAsia" w:hAnsiTheme="minorEastAsia" w:eastAsiaTheme="minorEastAsia"/>
          <w:b/>
          <w:color w:val="auto"/>
          <w:szCs w:val="21"/>
          <w:highlight w:val="none"/>
        </w:rPr>
        <w:t>.4采购项目需要落实的政府采购政策</w:t>
      </w:r>
    </w:p>
    <w:p w14:paraId="3CEF3221">
      <w:pPr>
        <w:spacing w:line="360" w:lineRule="auto"/>
        <w:ind w:firstLine="422" w:firstLineChars="200"/>
        <w:rPr>
          <w:rFonts w:hint="eastAsia"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t>（1）中小企业</w:t>
      </w:r>
    </w:p>
    <w:p w14:paraId="3F62EFD5">
      <w:pPr>
        <w:spacing w:line="360" w:lineRule="auto"/>
        <w:ind w:firstLine="420" w:firstLineChars="200"/>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根据</w:t>
      </w:r>
      <w:r>
        <w:rPr>
          <w:rFonts w:hint="eastAsia" w:asciiTheme="minorEastAsia" w:hAnsiTheme="minorEastAsia" w:eastAsiaTheme="minorEastAsia"/>
          <w:color w:val="auto"/>
          <w:szCs w:val="21"/>
          <w:highlight w:val="none"/>
        </w:rPr>
        <w:t>《政府采购促进中小企业发展管理办法》（财库〔2020〕46号）和</w:t>
      </w:r>
      <w:r>
        <w:rPr>
          <w:rFonts w:hint="eastAsia" w:asciiTheme="minorEastAsia" w:hAnsiTheme="minorEastAsia" w:eastAsiaTheme="minorEastAsia"/>
          <w:color w:val="auto"/>
          <w:highlight w:val="none"/>
        </w:rPr>
        <w:t>《关于进一步加大政府采购支持中小企业力度的通知》（财库〔20</w:t>
      </w:r>
      <w:r>
        <w:rPr>
          <w:rFonts w:asciiTheme="minorEastAsia" w:hAnsiTheme="minorEastAsia" w:eastAsiaTheme="minorEastAsia"/>
          <w:color w:val="auto"/>
          <w:highlight w:val="none"/>
        </w:rPr>
        <w:t>22</w:t>
      </w:r>
      <w:r>
        <w:rPr>
          <w:rFonts w:hint="eastAsia" w:asciiTheme="minorEastAsia" w:hAnsiTheme="minorEastAsia" w:eastAsiaTheme="minorEastAsia"/>
          <w:color w:val="auto"/>
          <w:highlight w:val="none"/>
        </w:rPr>
        <w:t>〕</w:t>
      </w:r>
      <w:r>
        <w:rPr>
          <w:rFonts w:asciiTheme="minorEastAsia" w:hAnsiTheme="minorEastAsia" w:eastAsiaTheme="minorEastAsia"/>
          <w:color w:val="auto"/>
          <w:highlight w:val="none"/>
        </w:rPr>
        <w:t>19</w:t>
      </w:r>
      <w:r>
        <w:rPr>
          <w:rFonts w:hint="eastAsia" w:asciiTheme="minorEastAsia" w:hAnsiTheme="minorEastAsia" w:eastAsiaTheme="minorEastAsia"/>
          <w:color w:val="auto"/>
          <w:highlight w:val="none"/>
        </w:rPr>
        <w:t>号）的规定，对小型和微型企业给予价格扣除优惠，用扣除后的价格参与评审。</w:t>
      </w:r>
    </w:p>
    <w:p w14:paraId="5197A208">
      <w:pPr>
        <w:spacing w:line="360" w:lineRule="auto"/>
        <w:ind w:firstLine="420" w:firstLineChars="200"/>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政府采购活动中，供应商提供的货物、工程或者服务符合下列情形的，享受中小企业扶持政策： </w:t>
      </w:r>
    </w:p>
    <w:p w14:paraId="412FFD13">
      <w:pPr>
        <w:spacing w:line="360" w:lineRule="auto"/>
        <w:ind w:firstLine="420" w:firstLineChars="200"/>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（一）在货物采购项目中，货物由中小企业制造，即货物由中小企业生产且使用该中小企业商号或者注册商标；评审时，对其价格扣除</w:t>
      </w:r>
      <w:r>
        <w:rPr>
          <w:rFonts w:hint="eastAsia" w:asciiTheme="minorEastAsia" w:hAnsiTheme="minorEastAsia" w:eastAsiaTheme="minorEastAsia"/>
          <w:b/>
          <w:bCs/>
          <w:color w:val="auto"/>
          <w:highlight w:val="none"/>
        </w:rPr>
        <w:t>1</w:t>
      </w:r>
      <w:r>
        <w:rPr>
          <w:rFonts w:asciiTheme="minorEastAsia" w:hAnsiTheme="minorEastAsia" w:eastAsiaTheme="minorEastAsia"/>
          <w:b/>
          <w:bCs/>
          <w:color w:val="auto"/>
          <w:highlight w:val="none"/>
        </w:rPr>
        <w:t>0</w:t>
      </w:r>
      <w:r>
        <w:rPr>
          <w:rFonts w:hint="eastAsia" w:asciiTheme="minorEastAsia" w:hAnsiTheme="minorEastAsia" w:eastAsiaTheme="minorEastAsia"/>
          <w:b/>
          <w:bCs/>
          <w:color w:val="auto"/>
          <w:highlight w:val="none"/>
        </w:rPr>
        <w:t>%</w:t>
      </w:r>
      <w:r>
        <w:rPr>
          <w:rFonts w:hint="eastAsia" w:asciiTheme="minorEastAsia" w:hAnsiTheme="minorEastAsia" w:eastAsiaTheme="minorEastAsia"/>
          <w:color w:val="auto"/>
          <w:highlight w:val="none"/>
        </w:rPr>
        <w:t>的优惠，用扣除后的价格参与评审。</w:t>
      </w:r>
    </w:p>
    <w:p w14:paraId="690C9884">
      <w:pPr>
        <w:spacing w:line="360" w:lineRule="auto"/>
        <w:ind w:firstLine="420" w:firstLineChars="200"/>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（二）在服务采购项目中，服务由中小企业承接，即提供服务的人员为中小企业依照</w:t>
      </w:r>
      <w:r>
        <w:rPr>
          <w:rFonts w:hint="eastAsia" w:cs="仿宋_GB2312" w:asciiTheme="minorEastAsia" w:hAnsiTheme="minorEastAsia" w:eastAsiaTheme="minorEastAsia"/>
          <w:color w:val="auto"/>
          <w:szCs w:val="21"/>
          <w:highlight w:val="none"/>
        </w:rPr>
        <w:t>《中华人民共和国劳动合同法》</w:t>
      </w:r>
      <w:r>
        <w:rPr>
          <w:rFonts w:hint="eastAsia" w:asciiTheme="minorEastAsia" w:hAnsiTheme="minorEastAsia" w:eastAsiaTheme="minorEastAsia"/>
          <w:color w:val="auto"/>
          <w:highlight w:val="none"/>
        </w:rPr>
        <w:t>订立劳动合同的从业人员；</w:t>
      </w:r>
      <w:bookmarkStart w:id="1283" w:name="_Hlk125974904"/>
      <w:r>
        <w:rPr>
          <w:rFonts w:hint="eastAsia" w:asciiTheme="minorEastAsia" w:hAnsiTheme="minorEastAsia" w:eastAsiaTheme="minorEastAsia"/>
          <w:color w:val="auto"/>
          <w:highlight w:val="none"/>
        </w:rPr>
        <w:t>评审时，对其价格扣除</w:t>
      </w:r>
      <w:r>
        <w:rPr>
          <w:rFonts w:hint="eastAsia" w:asciiTheme="minorEastAsia" w:hAnsiTheme="minorEastAsia" w:eastAsiaTheme="minorEastAsia"/>
          <w:b/>
          <w:bCs/>
          <w:color w:val="auto"/>
          <w:highlight w:val="none"/>
        </w:rPr>
        <w:t>1</w:t>
      </w:r>
      <w:r>
        <w:rPr>
          <w:rFonts w:asciiTheme="minorEastAsia" w:hAnsiTheme="minorEastAsia" w:eastAsiaTheme="minorEastAsia"/>
          <w:b/>
          <w:bCs/>
          <w:color w:val="auto"/>
          <w:highlight w:val="none"/>
        </w:rPr>
        <w:t>0</w:t>
      </w:r>
      <w:r>
        <w:rPr>
          <w:rFonts w:hint="eastAsia" w:asciiTheme="minorEastAsia" w:hAnsiTheme="minorEastAsia" w:eastAsiaTheme="minorEastAsia"/>
          <w:b/>
          <w:bCs/>
          <w:color w:val="auto"/>
          <w:highlight w:val="none"/>
        </w:rPr>
        <w:t>%</w:t>
      </w:r>
      <w:r>
        <w:rPr>
          <w:rFonts w:hint="eastAsia" w:asciiTheme="minorEastAsia" w:hAnsiTheme="minorEastAsia" w:eastAsiaTheme="minorEastAsia"/>
          <w:color w:val="auto"/>
          <w:highlight w:val="none"/>
        </w:rPr>
        <w:t>的优惠，用扣除后的价格参与评审。</w:t>
      </w:r>
      <w:bookmarkEnd w:id="1283"/>
    </w:p>
    <w:p w14:paraId="2343FF42">
      <w:pPr>
        <w:spacing w:line="360" w:lineRule="auto"/>
        <w:ind w:firstLine="420" w:firstLineChars="200"/>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（三）在工程采购项目中，工程由中小企业承建，即工程施工单位为中小企业；评审时，对其价格扣除</w:t>
      </w:r>
      <w:r>
        <w:rPr>
          <w:rFonts w:asciiTheme="minorEastAsia" w:hAnsiTheme="minorEastAsia" w:eastAsiaTheme="minorEastAsia"/>
          <w:b/>
          <w:bCs/>
          <w:color w:val="auto"/>
          <w:highlight w:val="none"/>
        </w:rPr>
        <w:t>3</w:t>
      </w:r>
      <w:r>
        <w:rPr>
          <w:rFonts w:hint="eastAsia" w:asciiTheme="minorEastAsia" w:hAnsiTheme="minorEastAsia" w:eastAsiaTheme="minorEastAsia"/>
          <w:b/>
          <w:bCs/>
          <w:color w:val="auto"/>
          <w:highlight w:val="none"/>
        </w:rPr>
        <w:t>%</w:t>
      </w:r>
      <w:r>
        <w:rPr>
          <w:rFonts w:hint="eastAsia" w:asciiTheme="minorEastAsia" w:hAnsiTheme="minorEastAsia" w:eastAsiaTheme="minorEastAsia"/>
          <w:color w:val="auto"/>
          <w:highlight w:val="none"/>
        </w:rPr>
        <w:t>的优惠，用扣除后的价格参与评审。</w:t>
      </w:r>
    </w:p>
    <w:p w14:paraId="02A451C2">
      <w:pPr>
        <w:spacing w:line="360" w:lineRule="auto"/>
        <w:ind w:firstLine="420" w:firstLineChars="200"/>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在货物采购项目中，供应商提供的货物既有中小企业制造货物，也有大型企业制造货物的，不享受本办法规定的中小企业扶持政策。</w:t>
      </w:r>
    </w:p>
    <w:p w14:paraId="74E13D97">
      <w:pPr>
        <w:spacing w:line="360" w:lineRule="auto"/>
        <w:ind w:firstLine="420" w:firstLineChars="200"/>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以联合体形式参加政府采购活动，联合体各方均为中小企业的，联合体视同中小企业。其中，联合体各方均为小微企业的，联合体视同小微企业。</w:t>
      </w:r>
    </w:p>
    <w:p w14:paraId="0004B9F4">
      <w:pPr>
        <w:spacing w:line="360" w:lineRule="auto"/>
        <w:ind w:firstLine="420" w:firstLineChars="200"/>
        <w:jc w:val="lef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本办法所称中小企业，是指在中华人民共和国境内依法设立，依据国务院批准的中小企业划分标准确定的中型企业、小型企业和微型企业，但与大企业的负责人为同一人，或者与大企业存在直接控股、管理关系的除外。</w:t>
      </w:r>
    </w:p>
    <w:p w14:paraId="505E8601">
      <w:pPr>
        <w:spacing w:line="360" w:lineRule="auto"/>
        <w:ind w:firstLine="420" w:firstLineChars="200"/>
        <w:jc w:val="lef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符合中小企业划分标准的个体工商户，在政府采购活动中视同中小企业。</w:t>
      </w:r>
    </w:p>
    <w:p w14:paraId="5547AF54">
      <w:pPr>
        <w:spacing w:line="360" w:lineRule="auto"/>
        <w:ind w:firstLine="420" w:firstLineChars="200"/>
        <w:jc w:val="left"/>
        <w:rPr>
          <w:rFonts w:hint="eastAsia" w:asciiTheme="minorEastAsia" w:hAnsiTheme="minorEastAsia" w:eastAsiaTheme="minorEastAsia"/>
          <w:color w:val="auto"/>
          <w:highlight w:val="none"/>
        </w:rPr>
      </w:pPr>
      <w:r>
        <w:rPr>
          <w:rFonts w:hint="eastAsia" w:asciiTheme="minorEastAsia" w:hAnsiTheme="minorEastAsia" w:eastAsiaTheme="minorEastAsia"/>
          <w:color w:val="auto"/>
          <w:szCs w:val="21"/>
          <w:highlight w:val="none"/>
        </w:rPr>
        <w:t>供应商应当按照《政府采购促进中小企业发展管理办法》规定和《统计上大中小微型企业划分办法（2017）》的划分标准，如实填写并提交《中小企业声明函》</w:t>
      </w:r>
      <w:r>
        <w:rPr>
          <w:rFonts w:hint="eastAsia" w:asciiTheme="minorEastAsia" w:hAnsiTheme="minorEastAsia" w:eastAsiaTheme="minorEastAsia"/>
          <w:color w:val="auto"/>
          <w:highlight w:val="none"/>
        </w:rPr>
        <w:t>（声明函格式见第</w:t>
      </w:r>
      <w:r>
        <w:rPr>
          <w:rFonts w:hint="eastAsia" w:asciiTheme="minorEastAsia" w:hAnsiTheme="minorEastAsia" w:eastAsiaTheme="minorEastAsia"/>
          <w:color w:val="auto"/>
          <w:szCs w:val="21"/>
          <w:highlight w:val="none"/>
        </w:rPr>
        <w:t>四</w:t>
      </w:r>
      <w:r>
        <w:rPr>
          <w:rFonts w:hint="eastAsia" w:asciiTheme="minorEastAsia" w:hAnsiTheme="minorEastAsia" w:eastAsiaTheme="minorEastAsia"/>
          <w:color w:val="auto"/>
          <w:highlight w:val="none"/>
        </w:rPr>
        <w:t>章“响应文件格式”），未提交声明函的在报价评审时不对报价进行扣除。</w:t>
      </w:r>
    </w:p>
    <w:p w14:paraId="3A1DFE7C">
      <w:pPr>
        <w:spacing w:line="360" w:lineRule="auto"/>
        <w:ind w:firstLine="422" w:firstLineChars="200"/>
        <w:jc w:val="left"/>
        <w:rPr>
          <w:rFonts w:hint="eastAsia"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本项目对小型、微型企业的价格扣除方式如下（表一）所示。</w:t>
      </w:r>
    </w:p>
    <w:p w14:paraId="2BB8B423">
      <w:pPr>
        <w:spacing w:line="360" w:lineRule="auto"/>
        <w:ind w:firstLine="482" w:firstLineChars="200"/>
        <w:jc w:val="center"/>
        <w:rPr>
          <w:rFonts w:hint="eastAsia" w:asciiTheme="minorEastAsia" w:hAnsiTheme="minorEastAsia" w:eastAsiaTheme="minorEastAsia"/>
          <w:b/>
          <w:bCs/>
          <w:color w:val="auto"/>
          <w:sz w:val="24"/>
          <w:szCs w:val="24"/>
          <w:highlight w:val="none"/>
        </w:rPr>
      </w:pPr>
      <w:r>
        <w:rPr>
          <w:rFonts w:hint="eastAsia" w:asciiTheme="minorEastAsia" w:hAnsiTheme="minorEastAsia" w:eastAsiaTheme="minorEastAsia"/>
          <w:b/>
          <w:bCs/>
          <w:color w:val="auto"/>
          <w:sz w:val="24"/>
          <w:szCs w:val="24"/>
          <w:highlight w:val="none"/>
        </w:rPr>
        <w:t>（表一）小型、微型企业政府采购优惠政策表</w:t>
      </w:r>
    </w:p>
    <w:tbl>
      <w:tblPr>
        <w:tblStyle w:val="55"/>
        <w:tblW w:w="9066" w:type="dxa"/>
        <w:jc w:val="center"/>
        <w:tblLayout w:type="fixed"/>
        <w:tblCellMar>
          <w:top w:w="0" w:type="dxa"/>
          <w:left w:w="108" w:type="dxa"/>
          <w:bottom w:w="0" w:type="dxa"/>
          <w:right w:w="108" w:type="dxa"/>
        </w:tblCellMar>
      </w:tblPr>
      <w:tblGrid>
        <w:gridCol w:w="596"/>
        <w:gridCol w:w="912"/>
        <w:gridCol w:w="693"/>
        <w:gridCol w:w="3177"/>
        <w:gridCol w:w="854"/>
        <w:gridCol w:w="2834"/>
      </w:tblGrid>
      <w:tr w14:paraId="4DCC4FCC">
        <w:tblPrEx>
          <w:tblCellMar>
            <w:top w:w="0" w:type="dxa"/>
            <w:left w:w="108" w:type="dxa"/>
            <w:bottom w:w="0" w:type="dxa"/>
            <w:right w:w="108" w:type="dxa"/>
          </w:tblCellMar>
        </w:tblPrEx>
        <w:trPr>
          <w:trHeight w:val="520" w:hRule="atLeast"/>
          <w:jc w:val="center"/>
        </w:trPr>
        <w:tc>
          <w:tcPr>
            <w:tcW w:w="59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7E37B6E">
            <w:pPr>
              <w:widowControl/>
              <w:spacing w:before="120" w:beforeLines="50" w:line="360" w:lineRule="auto"/>
              <w:jc w:val="center"/>
              <w:rPr>
                <w:rFonts w:hint="eastAsia" w:cs="宋体" w:asciiTheme="minorEastAsia" w:hAnsiTheme="minorEastAsia" w:eastAsiaTheme="minorEastAsia"/>
                <w:b/>
                <w:bCs/>
                <w:color w:val="auto"/>
                <w:kern w:val="0"/>
                <w:szCs w:val="21"/>
                <w:highlight w:val="none"/>
              </w:rPr>
            </w:pPr>
            <w:r>
              <w:rPr>
                <w:rFonts w:hint="eastAsia" w:cs="宋体" w:asciiTheme="minorEastAsia" w:hAnsiTheme="minorEastAsia" w:eastAsiaTheme="minorEastAsia"/>
                <w:b/>
                <w:bCs/>
                <w:color w:val="auto"/>
                <w:kern w:val="0"/>
                <w:szCs w:val="21"/>
                <w:highlight w:val="none"/>
              </w:rPr>
              <w:t>序号</w:t>
            </w:r>
          </w:p>
        </w:tc>
        <w:tc>
          <w:tcPr>
            <w:tcW w:w="912" w:type="dxa"/>
            <w:tcBorders>
              <w:top w:val="single" w:color="auto" w:sz="4" w:space="0"/>
              <w:left w:val="nil"/>
              <w:bottom w:val="single" w:color="auto" w:sz="4" w:space="0"/>
              <w:right w:val="single" w:color="auto" w:sz="4" w:space="0"/>
            </w:tcBorders>
            <w:shd w:val="clear" w:color="auto" w:fill="auto"/>
            <w:noWrap/>
            <w:vAlign w:val="center"/>
          </w:tcPr>
          <w:p w14:paraId="1D030733">
            <w:pPr>
              <w:widowControl/>
              <w:spacing w:before="120" w:beforeLines="50" w:line="360" w:lineRule="auto"/>
              <w:jc w:val="center"/>
              <w:rPr>
                <w:rFonts w:hint="eastAsia" w:cs="宋体" w:asciiTheme="minorEastAsia" w:hAnsiTheme="minorEastAsia" w:eastAsiaTheme="minorEastAsia"/>
                <w:b/>
                <w:bCs/>
                <w:color w:val="auto"/>
                <w:kern w:val="0"/>
                <w:szCs w:val="21"/>
                <w:highlight w:val="none"/>
              </w:rPr>
            </w:pPr>
            <w:r>
              <w:rPr>
                <w:rFonts w:hint="eastAsia" w:cs="宋体" w:asciiTheme="minorEastAsia" w:hAnsiTheme="minorEastAsia" w:eastAsiaTheme="minorEastAsia"/>
                <w:b/>
                <w:bCs/>
                <w:color w:val="auto"/>
                <w:kern w:val="0"/>
                <w:szCs w:val="21"/>
                <w:highlight w:val="none"/>
              </w:rPr>
              <w:t>联合体</w:t>
            </w:r>
          </w:p>
        </w:tc>
        <w:tc>
          <w:tcPr>
            <w:tcW w:w="693" w:type="dxa"/>
            <w:tcBorders>
              <w:top w:val="single" w:color="auto" w:sz="4" w:space="0"/>
              <w:left w:val="nil"/>
              <w:bottom w:val="single" w:color="auto" w:sz="4" w:space="0"/>
              <w:right w:val="single" w:color="auto" w:sz="4" w:space="0"/>
            </w:tcBorders>
            <w:shd w:val="clear" w:color="auto" w:fill="auto"/>
            <w:noWrap/>
            <w:vAlign w:val="center"/>
          </w:tcPr>
          <w:p w14:paraId="1837FA02">
            <w:pPr>
              <w:widowControl/>
              <w:spacing w:before="120" w:beforeLines="50" w:line="360" w:lineRule="auto"/>
              <w:jc w:val="center"/>
              <w:rPr>
                <w:rFonts w:hint="eastAsia" w:cs="宋体" w:asciiTheme="minorEastAsia" w:hAnsiTheme="minorEastAsia" w:eastAsiaTheme="minorEastAsia"/>
                <w:b/>
                <w:bCs/>
                <w:color w:val="auto"/>
                <w:kern w:val="0"/>
                <w:szCs w:val="21"/>
                <w:highlight w:val="none"/>
              </w:rPr>
            </w:pPr>
            <w:r>
              <w:rPr>
                <w:rFonts w:hint="eastAsia" w:cs="宋体" w:asciiTheme="minorEastAsia" w:hAnsiTheme="minorEastAsia" w:eastAsiaTheme="minorEastAsia"/>
                <w:b/>
                <w:bCs/>
                <w:color w:val="auto"/>
                <w:kern w:val="0"/>
                <w:szCs w:val="21"/>
                <w:highlight w:val="none"/>
              </w:rPr>
              <w:t>项目类别</w:t>
            </w:r>
          </w:p>
        </w:tc>
        <w:tc>
          <w:tcPr>
            <w:tcW w:w="3177" w:type="dxa"/>
            <w:tcBorders>
              <w:top w:val="single" w:color="auto" w:sz="4" w:space="0"/>
              <w:left w:val="nil"/>
              <w:bottom w:val="single" w:color="auto" w:sz="4" w:space="0"/>
              <w:right w:val="single" w:color="auto" w:sz="4" w:space="0"/>
            </w:tcBorders>
            <w:shd w:val="clear" w:color="auto" w:fill="auto"/>
            <w:noWrap/>
            <w:vAlign w:val="center"/>
          </w:tcPr>
          <w:p w14:paraId="367EE755">
            <w:pPr>
              <w:widowControl/>
              <w:spacing w:before="120" w:beforeLines="50" w:line="360" w:lineRule="auto"/>
              <w:jc w:val="center"/>
              <w:rPr>
                <w:rFonts w:hint="eastAsia" w:cs="宋体" w:asciiTheme="minorEastAsia" w:hAnsiTheme="minorEastAsia" w:eastAsiaTheme="minorEastAsia"/>
                <w:b/>
                <w:bCs/>
                <w:color w:val="auto"/>
                <w:kern w:val="0"/>
                <w:szCs w:val="21"/>
                <w:highlight w:val="none"/>
              </w:rPr>
            </w:pPr>
            <w:r>
              <w:rPr>
                <w:rFonts w:hint="eastAsia" w:cs="宋体" w:asciiTheme="minorEastAsia" w:hAnsiTheme="minorEastAsia" w:eastAsiaTheme="minorEastAsia"/>
                <w:b/>
                <w:bCs/>
                <w:color w:val="auto"/>
                <w:kern w:val="0"/>
                <w:szCs w:val="21"/>
                <w:highlight w:val="none"/>
              </w:rPr>
              <w:t>符合条件</w:t>
            </w:r>
          </w:p>
        </w:tc>
        <w:tc>
          <w:tcPr>
            <w:tcW w:w="854" w:type="dxa"/>
            <w:tcBorders>
              <w:top w:val="single" w:color="auto" w:sz="4" w:space="0"/>
              <w:left w:val="nil"/>
              <w:bottom w:val="single" w:color="auto" w:sz="4" w:space="0"/>
              <w:right w:val="single" w:color="auto" w:sz="4" w:space="0"/>
            </w:tcBorders>
            <w:shd w:val="clear" w:color="auto" w:fill="auto"/>
            <w:vAlign w:val="center"/>
          </w:tcPr>
          <w:p w14:paraId="3D7D8218">
            <w:pPr>
              <w:widowControl/>
              <w:spacing w:before="120" w:beforeLines="50" w:line="360" w:lineRule="auto"/>
              <w:jc w:val="center"/>
              <w:rPr>
                <w:rFonts w:hint="eastAsia" w:cs="宋体" w:asciiTheme="minorEastAsia" w:hAnsiTheme="minorEastAsia" w:eastAsiaTheme="minorEastAsia"/>
                <w:b/>
                <w:bCs/>
                <w:color w:val="auto"/>
                <w:kern w:val="0"/>
                <w:szCs w:val="21"/>
                <w:highlight w:val="none"/>
              </w:rPr>
            </w:pPr>
            <w:r>
              <w:rPr>
                <w:rFonts w:hint="eastAsia" w:cs="宋体" w:asciiTheme="minorEastAsia" w:hAnsiTheme="minorEastAsia" w:eastAsiaTheme="minorEastAsia"/>
                <w:b/>
                <w:bCs/>
                <w:color w:val="auto"/>
                <w:kern w:val="0"/>
                <w:szCs w:val="21"/>
                <w:highlight w:val="none"/>
              </w:rPr>
              <w:t>价格扣除比例</w:t>
            </w:r>
          </w:p>
        </w:tc>
        <w:tc>
          <w:tcPr>
            <w:tcW w:w="2834" w:type="dxa"/>
            <w:tcBorders>
              <w:top w:val="single" w:color="auto" w:sz="4" w:space="0"/>
              <w:left w:val="nil"/>
              <w:bottom w:val="single" w:color="auto" w:sz="4" w:space="0"/>
              <w:right w:val="single" w:color="auto" w:sz="4" w:space="0"/>
            </w:tcBorders>
            <w:shd w:val="clear" w:color="auto" w:fill="auto"/>
            <w:noWrap/>
            <w:vAlign w:val="center"/>
          </w:tcPr>
          <w:p w14:paraId="12F4A0DF">
            <w:pPr>
              <w:widowControl/>
              <w:spacing w:before="120" w:beforeLines="50" w:line="360" w:lineRule="auto"/>
              <w:jc w:val="center"/>
              <w:rPr>
                <w:rFonts w:hint="eastAsia" w:cs="宋体" w:asciiTheme="minorEastAsia" w:hAnsiTheme="minorEastAsia" w:eastAsiaTheme="minorEastAsia"/>
                <w:b/>
                <w:bCs/>
                <w:color w:val="auto"/>
                <w:kern w:val="0"/>
                <w:szCs w:val="21"/>
                <w:highlight w:val="none"/>
              </w:rPr>
            </w:pPr>
            <w:r>
              <w:rPr>
                <w:rFonts w:hint="eastAsia" w:cs="宋体" w:asciiTheme="minorEastAsia" w:hAnsiTheme="minorEastAsia" w:eastAsiaTheme="minorEastAsia"/>
                <w:b/>
                <w:bCs/>
                <w:color w:val="auto"/>
                <w:kern w:val="0"/>
                <w:szCs w:val="21"/>
                <w:highlight w:val="none"/>
              </w:rPr>
              <w:t>评审价计算公式</w:t>
            </w:r>
          </w:p>
        </w:tc>
      </w:tr>
      <w:tr w14:paraId="419EE9E6">
        <w:tblPrEx>
          <w:tblCellMar>
            <w:top w:w="0" w:type="dxa"/>
            <w:left w:w="108" w:type="dxa"/>
            <w:bottom w:w="0" w:type="dxa"/>
            <w:right w:w="108" w:type="dxa"/>
          </w:tblCellMar>
        </w:tblPrEx>
        <w:trPr>
          <w:trHeight w:val="280" w:hRule="atLeast"/>
          <w:jc w:val="center"/>
        </w:trPr>
        <w:tc>
          <w:tcPr>
            <w:tcW w:w="596" w:type="dxa"/>
            <w:vMerge w:val="restart"/>
            <w:tcBorders>
              <w:top w:val="nil"/>
              <w:left w:val="single" w:color="auto" w:sz="4" w:space="0"/>
              <w:bottom w:val="single" w:color="auto" w:sz="4" w:space="0"/>
              <w:right w:val="single" w:color="auto" w:sz="4" w:space="0"/>
            </w:tcBorders>
            <w:shd w:val="clear" w:color="auto" w:fill="auto"/>
            <w:noWrap/>
            <w:vAlign w:val="center"/>
          </w:tcPr>
          <w:p w14:paraId="321E1535">
            <w:pPr>
              <w:widowControl/>
              <w:spacing w:line="360" w:lineRule="auto"/>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1</w:t>
            </w:r>
          </w:p>
        </w:tc>
        <w:tc>
          <w:tcPr>
            <w:tcW w:w="912" w:type="dxa"/>
            <w:vMerge w:val="restart"/>
            <w:tcBorders>
              <w:top w:val="nil"/>
              <w:left w:val="single" w:color="auto" w:sz="4" w:space="0"/>
              <w:bottom w:val="single" w:color="auto" w:sz="4" w:space="0"/>
              <w:right w:val="single" w:color="auto" w:sz="4" w:space="0"/>
            </w:tcBorders>
            <w:shd w:val="clear" w:color="auto" w:fill="auto"/>
            <w:noWrap/>
            <w:vAlign w:val="center"/>
          </w:tcPr>
          <w:p w14:paraId="472072C3">
            <w:pPr>
              <w:widowControl/>
              <w:spacing w:line="360" w:lineRule="auto"/>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联合体</w:t>
            </w:r>
          </w:p>
        </w:tc>
        <w:tc>
          <w:tcPr>
            <w:tcW w:w="693" w:type="dxa"/>
            <w:vMerge w:val="restart"/>
            <w:tcBorders>
              <w:top w:val="nil"/>
              <w:left w:val="single" w:color="auto" w:sz="4" w:space="0"/>
              <w:bottom w:val="single" w:color="auto" w:sz="4" w:space="0"/>
              <w:right w:val="single" w:color="auto" w:sz="4" w:space="0"/>
            </w:tcBorders>
            <w:shd w:val="clear" w:color="auto" w:fill="auto"/>
            <w:noWrap/>
            <w:vAlign w:val="center"/>
          </w:tcPr>
          <w:p w14:paraId="42DF7AE1">
            <w:pPr>
              <w:widowControl/>
              <w:spacing w:line="360" w:lineRule="auto"/>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采购货物</w:t>
            </w:r>
          </w:p>
        </w:tc>
        <w:tc>
          <w:tcPr>
            <w:tcW w:w="3177" w:type="dxa"/>
            <w:tcBorders>
              <w:top w:val="nil"/>
              <w:left w:val="nil"/>
              <w:bottom w:val="single" w:color="auto" w:sz="4" w:space="0"/>
              <w:right w:val="single" w:color="auto" w:sz="4" w:space="0"/>
            </w:tcBorders>
            <w:shd w:val="clear" w:color="auto" w:fill="auto"/>
            <w:noWrap/>
            <w:vAlign w:val="bottom"/>
          </w:tcPr>
          <w:p w14:paraId="1279F3FD">
            <w:pPr>
              <w:widowControl/>
              <w:spacing w:before="120" w:beforeLines="50" w:line="360" w:lineRule="auto"/>
              <w:jc w:val="left"/>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联合体单位均为小型、微型企业</w:t>
            </w:r>
          </w:p>
        </w:tc>
        <w:tc>
          <w:tcPr>
            <w:tcW w:w="854" w:type="dxa"/>
            <w:tcBorders>
              <w:top w:val="nil"/>
              <w:left w:val="nil"/>
              <w:bottom w:val="single" w:color="auto" w:sz="4" w:space="0"/>
              <w:right w:val="single" w:color="auto" w:sz="4" w:space="0"/>
            </w:tcBorders>
            <w:shd w:val="clear" w:color="auto" w:fill="auto"/>
            <w:noWrap/>
            <w:vAlign w:val="center"/>
          </w:tcPr>
          <w:p w14:paraId="6B91FA1D">
            <w:pPr>
              <w:widowControl/>
              <w:spacing w:before="120" w:beforeLines="50" w:line="360" w:lineRule="auto"/>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4%</w:t>
            </w:r>
          </w:p>
        </w:tc>
        <w:tc>
          <w:tcPr>
            <w:tcW w:w="2834" w:type="dxa"/>
            <w:tcBorders>
              <w:top w:val="nil"/>
              <w:left w:val="nil"/>
              <w:bottom w:val="single" w:color="auto" w:sz="4" w:space="0"/>
              <w:right w:val="single" w:color="auto" w:sz="4" w:space="0"/>
            </w:tcBorders>
            <w:shd w:val="clear" w:color="auto" w:fill="auto"/>
            <w:noWrap/>
            <w:vAlign w:val="center"/>
          </w:tcPr>
          <w:p w14:paraId="5A351622">
            <w:pPr>
              <w:widowControl/>
              <w:spacing w:before="120" w:beforeLines="50" w:line="360" w:lineRule="auto"/>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评审价=二次报价×（1-4%）</w:t>
            </w:r>
          </w:p>
        </w:tc>
      </w:tr>
      <w:tr w14:paraId="06BAACC7">
        <w:tblPrEx>
          <w:tblCellMar>
            <w:top w:w="0" w:type="dxa"/>
            <w:left w:w="108" w:type="dxa"/>
            <w:bottom w:w="0" w:type="dxa"/>
            <w:right w:w="108" w:type="dxa"/>
          </w:tblCellMar>
        </w:tblPrEx>
        <w:trPr>
          <w:trHeight w:val="1120" w:hRule="atLeast"/>
          <w:jc w:val="center"/>
        </w:trPr>
        <w:tc>
          <w:tcPr>
            <w:tcW w:w="596" w:type="dxa"/>
            <w:vMerge w:val="continue"/>
            <w:tcBorders>
              <w:top w:val="nil"/>
              <w:left w:val="single" w:color="auto" w:sz="4" w:space="0"/>
              <w:bottom w:val="single" w:color="auto" w:sz="4" w:space="0"/>
              <w:right w:val="single" w:color="auto" w:sz="4" w:space="0"/>
            </w:tcBorders>
            <w:vAlign w:val="center"/>
          </w:tcPr>
          <w:p w14:paraId="087FE457">
            <w:pPr>
              <w:widowControl/>
              <w:spacing w:line="360" w:lineRule="auto"/>
              <w:jc w:val="left"/>
              <w:rPr>
                <w:rFonts w:hint="eastAsia" w:cs="宋体" w:asciiTheme="minorEastAsia" w:hAnsiTheme="minorEastAsia" w:eastAsiaTheme="minorEastAsia"/>
                <w:color w:val="auto"/>
                <w:kern w:val="0"/>
                <w:szCs w:val="21"/>
                <w:highlight w:val="none"/>
              </w:rPr>
            </w:pPr>
          </w:p>
        </w:tc>
        <w:tc>
          <w:tcPr>
            <w:tcW w:w="912" w:type="dxa"/>
            <w:vMerge w:val="continue"/>
            <w:tcBorders>
              <w:top w:val="nil"/>
              <w:left w:val="single" w:color="auto" w:sz="4" w:space="0"/>
              <w:bottom w:val="single" w:color="auto" w:sz="4" w:space="0"/>
              <w:right w:val="single" w:color="auto" w:sz="4" w:space="0"/>
            </w:tcBorders>
            <w:vAlign w:val="center"/>
          </w:tcPr>
          <w:p w14:paraId="2D679188">
            <w:pPr>
              <w:widowControl/>
              <w:spacing w:line="360" w:lineRule="auto"/>
              <w:jc w:val="left"/>
              <w:rPr>
                <w:rFonts w:hint="eastAsia" w:cs="宋体" w:asciiTheme="minorEastAsia" w:hAnsiTheme="minorEastAsia" w:eastAsiaTheme="minorEastAsia"/>
                <w:color w:val="auto"/>
                <w:kern w:val="0"/>
                <w:szCs w:val="21"/>
                <w:highlight w:val="none"/>
              </w:rPr>
            </w:pPr>
          </w:p>
        </w:tc>
        <w:tc>
          <w:tcPr>
            <w:tcW w:w="693" w:type="dxa"/>
            <w:vMerge w:val="continue"/>
            <w:tcBorders>
              <w:top w:val="nil"/>
              <w:left w:val="single" w:color="auto" w:sz="4" w:space="0"/>
              <w:bottom w:val="single" w:color="auto" w:sz="4" w:space="0"/>
              <w:right w:val="single" w:color="auto" w:sz="4" w:space="0"/>
            </w:tcBorders>
            <w:vAlign w:val="center"/>
          </w:tcPr>
          <w:p w14:paraId="7946E386">
            <w:pPr>
              <w:widowControl/>
              <w:spacing w:line="360" w:lineRule="auto"/>
              <w:jc w:val="left"/>
              <w:rPr>
                <w:rFonts w:hint="eastAsia" w:cs="宋体" w:asciiTheme="minorEastAsia" w:hAnsiTheme="minorEastAsia" w:eastAsiaTheme="minorEastAsia"/>
                <w:color w:val="auto"/>
                <w:kern w:val="0"/>
                <w:szCs w:val="21"/>
                <w:highlight w:val="none"/>
              </w:rPr>
            </w:pPr>
          </w:p>
        </w:tc>
        <w:tc>
          <w:tcPr>
            <w:tcW w:w="3177" w:type="dxa"/>
            <w:tcBorders>
              <w:top w:val="nil"/>
              <w:left w:val="nil"/>
              <w:bottom w:val="single" w:color="auto" w:sz="4" w:space="0"/>
              <w:right w:val="single" w:color="auto" w:sz="4" w:space="0"/>
            </w:tcBorders>
            <w:shd w:val="clear" w:color="auto" w:fill="auto"/>
            <w:vAlign w:val="bottom"/>
          </w:tcPr>
          <w:p w14:paraId="2F9372B5">
            <w:pPr>
              <w:widowControl/>
              <w:spacing w:before="120" w:beforeLines="50" w:line="360" w:lineRule="auto"/>
              <w:jc w:val="left"/>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联合体单位为大型和小型、微型企业，且联合体协议书中约定小型、微型企业的合同份额占到合同总金额30%及以上</w:t>
            </w:r>
          </w:p>
        </w:tc>
        <w:tc>
          <w:tcPr>
            <w:tcW w:w="854" w:type="dxa"/>
            <w:tcBorders>
              <w:top w:val="nil"/>
              <w:left w:val="nil"/>
              <w:bottom w:val="single" w:color="auto" w:sz="4" w:space="0"/>
              <w:right w:val="single" w:color="auto" w:sz="4" w:space="0"/>
            </w:tcBorders>
            <w:shd w:val="clear" w:color="auto" w:fill="auto"/>
            <w:noWrap/>
            <w:vAlign w:val="center"/>
          </w:tcPr>
          <w:p w14:paraId="46A45A4D">
            <w:pPr>
              <w:widowControl/>
              <w:spacing w:before="120" w:beforeLines="50" w:line="360" w:lineRule="auto"/>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4%</w:t>
            </w:r>
          </w:p>
        </w:tc>
        <w:tc>
          <w:tcPr>
            <w:tcW w:w="2834" w:type="dxa"/>
            <w:tcBorders>
              <w:top w:val="nil"/>
              <w:left w:val="nil"/>
              <w:bottom w:val="single" w:color="auto" w:sz="4" w:space="0"/>
              <w:right w:val="single" w:color="auto" w:sz="4" w:space="0"/>
            </w:tcBorders>
            <w:shd w:val="clear" w:color="auto" w:fill="auto"/>
            <w:noWrap/>
            <w:vAlign w:val="center"/>
          </w:tcPr>
          <w:p w14:paraId="2A291FEE">
            <w:pPr>
              <w:widowControl/>
              <w:spacing w:before="120" w:beforeLines="50" w:line="360" w:lineRule="auto"/>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评审价=二次报价×（1-4%）</w:t>
            </w:r>
          </w:p>
        </w:tc>
      </w:tr>
      <w:tr w14:paraId="3A962AF2">
        <w:tblPrEx>
          <w:tblCellMar>
            <w:top w:w="0" w:type="dxa"/>
            <w:left w:w="108" w:type="dxa"/>
            <w:bottom w:w="0" w:type="dxa"/>
            <w:right w:w="108" w:type="dxa"/>
          </w:tblCellMar>
        </w:tblPrEx>
        <w:trPr>
          <w:trHeight w:val="280" w:hRule="atLeast"/>
          <w:jc w:val="center"/>
        </w:trPr>
        <w:tc>
          <w:tcPr>
            <w:tcW w:w="596" w:type="dxa"/>
            <w:vMerge w:val="continue"/>
            <w:tcBorders>
              <w:top w:val="nil"/>
              <w:left w:val="single" w:color="auto" w:sz="4" w:space="0"/>
              <w:bottom w:val="single" w:color="auto" w:sz="4" w:space="0"/>
              <w:right w:val="single" w:color="auto" w:sz="4" w:space="0"/>
            </w:tcBorders>
            <w:vAlign w:val="center"/>
          </w:tcPr>
          <w:p w14:paraId="4283146D">
            <w:pPr>
              <w:widowControl/>
              <w:spacing w:line="360" w:lineRule="auto"/>
              <w:jc w:val="left"/>
              <w:rPr>
                <w:rFonts w:hint="eastAsia" w:cs="宋体" w:asciiTheme="minorEastAsia" w:hAnsiTheme="minorEastAsia" w:eastAsiaTheme="minorEastAsia"/>
                <w:color w:val="auto"/>
                <w:kern w:val="0"/>
                <w:szCs w:val="21"/>
                <w:highlight w:val="none"/>
              </w:rPr>
            </w:pPr>
          </w:p>
        </w:tc>
        <w:tc>
          <w:tcPr>
            <w:tcW w:w="912" w:type="dxa"/>
            <w:vMerge w:val="continue"/>
            <w:tcBorders>
              <w:top w:val="nil"/>
              <w:left w:val="single" w:color="auto" w:sz="4" w:space="0"/>
              <w:bottom w:val="single" w:color="auto" w:sz="4" w:space="0"/>
              <w:right w:val="single" w:color="auto" w:sz="4" w:space="0"/>
            </w:tcBorders>
            <w:vAlign w:val="center"/>
          </w:tcPr>
          <w:p w14:paraId="39B37409">
            <w:pPr>
              <w:widowControl/>
              <w:spacing w:line="360" w:lineRule="auto"/>
              <w:jc w:val="left"/>
              <w:rPr>
                <w:rFonts w:hint="eastAsia" w:cs="宋体" w:asciiTheme="minorEastAsia" w:hAnsiTheme="minorEastAsia" w:eastAsiaTheme="minorEastAsia"/>
                <w:color w:val="auto"/>
                <w:kern w:val="0"/>
                <w:szCs w:val="21"/>
                <w:highlight w:val="none"/>
              </w:rPr>
            </w:pPr>
          </w:p>
        </w:tc>
        <w:tc>
          <w:tcPr>
            <w:tcW w:w="693" w:type="dxa"/>
            <w:vMerge w:val="restart"/>
            <w:tcBorders>
              <w:top w:val="nil"/>
              <w:left w:val="single" w:color="auto" w:sz="4" w:space="0"/>
              <w:bottom w:val="single" w:color="auto" w:sz="4" w:space="0"/>
              <w:right w:val="single" w:color="auto" w:sz="4" w:space="0"/>
            </w:tcBorders>
            <w:shd w:val="clear" w:color="auto" w:fill="auto"/>
            <w:noWrap/>
            <w:vAlign w:val="center"/>
          </w:tcPr>
          <w:p w14:paraId="34776053">
            <w:pPr>
              <w:widowControl/>
              <w:spacing w:line="360" w:lineRule="auto"/>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采购服务</w:t>
            </w:r>
          </w:p>
        </w:tc>
        <w:tc>
          <w:tcPr>
            <w:tcW w:w="3177" w:type="dxa"/>
            <w:tcBorders>
              <w:top w:val="nil"/>
              <w:left w:val="nil"/>
              <w:bottom w:val="single" w:color="auto" w:sz="4" w:space="0"/>
              <w:right w:val="single" w:color="auto" w:sz="4" w:space="0"/>
            </w:tcBorders>
            <w:shd w:val="clear" w:color="auto" w:fill="auto"/>
            <w:noWrap/>
            <w:vAlign w:val="bottom"/>
          </w:tcPr>
          <w:p w14:paraId="62B72EEF">
            <w:pPr>
              <w:widowControl/>
              <w:spacing w:before="120" w:beforeLines="50" w:line="360" w:lineRule="auto"/>
              <w:jc w:val="left"/>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联合体单位均为小型、微型企业</w:t>
            </w:r>
          </w:p>
        </w:tc>
        <w:tc>
          <w:tcPr>
            <w:tcW w:w="854" w:type="dxa"/>
            <w:tcBorders>
              <w:top w:val="nil"/>
              <w:left w:val="nil"/>
              <w:bottom w:val="single" w:color="auto" w:sz="4" w:space="0"/>
              <w:right w:val="single" w:color="auto" w:sz="4" w:space="0"/>
            </w:tcBorders>
            <w:shd w:val="clear" w:color="auto" w:fill="auto"/>
            <w:noWrap/>
            <w:vAlign w:val="center"/>
          </w:tcPr>
          <w:p w14:paraId="28907E69">
            <w:pPr>
              <w:widowControl/>
              <w:spacing w:before="120" w:beforeLines="50" w:line="360" w:lineRule="auto"/>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4%</w:t>
            </w:r>
          </w:p>
        </w:tc>
        <w:tc>
          <w:tcPr>
            <w:tcW w:w="2834" w:type="dxa"/>
            <w:tcBorders>
              <w:top w:val="nil"/>
              <w:left w:val="nil"/>
              <w:bottom w:val="single" w:color="auto" w:sz="4" w:space="0"/>
              <w:right w:val="single" w:color="auto" w:sz="4" w:space="0"/>
            </w:tcBorders>
            <w:shd w:val="clear" w:color="auto" w:fill="auto"/>
            <w:noWrap/>
            <w:vAlign w:val="center"/>
          </w:tcPr>
          <w:p w14:paraId="4A4E5816">
            <w:pPr>
              <w:widowControl/>
              <w:spacing w:before="120" w:beforeLines="50" w:line="360" w:lineRule="auto"/>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评审价=二次报价×（1-4%）</w:t>
            </w:r>
          </w:p>
        </w:tc>
      </w:tr>
      <w:tr w14:paraId="55FEA05D">
        <w:tblPrEx>
          <w:tblCellMar>
            <w:top w:w="0" w:type="dxa"/>
            <w:left w:w="108" w:type="dxa"/>
            <w:bottom w:w="0" w:type="dxa"/>
            <w:right w:w="108" w:type="dxa"/>
          </w:tblCellMar>
        </w:tblPrEx>
        <w:trPr>
          <w:trHeight w:val="1120" w:hRule="atLeast"/>
          <w:jc w:val="center"/>
        </w:trPr>
        <w:tc>
          <w:tcPr>
            <w:tcW w:w="596" w:type="dxa"/>
            <w:vMerge w:val="continue"/>
            <w:tcBorders>
              <w:top w:val="nil"/>
              <w:left w:val="single" w:color="auto" w:sz="4" w:space="0"/>
              <w:bottom w:val="single" w:color="auto" w:sz="4" w:space="0"/>
              <w:right w:val="single" w:color="auto" w:sz="4" w:space="0"/>
            </w:tcBorders>
            <w:vAlign w:val="center"/>
          </w:tcPr>
          <w:p w14:paraId="2DFA4F6C">
            <w:pPr>
              <w:widowControl/>
              <w:spacing w:line="360" w:lineRule="auto"/>
              <w:jc w:val="left"/>
              <w:rPr>
                <w:rFonts w:hint="eastAsia" w:cs="宋体" w:asciiTheme="minorEastAsia" w:hAnsiTheme="minorEastAsia" w:eastAsiaTheme="minorEastAsia"/>
                <w:color w:val="auto"/>
                <w:kern w:val="0"/>
                <w:szCs w:val="21"/>
                <w:highlight w:val="none"/>
              </w:rPr>
            </w:pPr>
          </w:p>
        </w:tc>
        <w:tc>
          <w:tcPr>
            <w:tcW w:w="912" w:type="dxa"/>
            <w:vMerge w:val="continue"/>
            <w:tcBorders>
              <w:top w:val="nil"/>
              <w:left w:val="single" w:color="auto" w:sz="4" w:space="0"/>
              <w:bottom w:val="single" w:color="auto" w:sz="4" w:space="0"/>
              <w:right w:val="single" w:color="auto" w:sz="4" w:space="0"/>
            </w:tcBorders>
            <w:vAlign w:val="center"/>
          </w:tcPr>
          <w:p w14:paraId="76C59CFA">
            <w:pPr>
              <w:widowControl/>
              <w:spacing w:line="360" w:lineRule="auto"/>
              <w:jc w:val="left"/>
              <w:rPr>
                <w:rFonts w:hint="eastAsia" w:cs="宋体" w:asciiTheme="minorEastAsia" w:hAnsiTheme="minorEastAsia" w:eastAsiaTheme="minorEastAsia"/>
                <w:color w:val="auto"/>
                <w:kern w:val="0"/>
                <w:szCs w:val="21"/>
                <w:highlight w:val="none"/>
              </w:rPr>
            </w:pPr>
          </w:p>
        </w:tc>
        <w:tc>
          <w:tcPr>
            <w:tcW w:w="693" w:type="dxa"/>
            <w:vMerge w:val="continue"/>
            <w:tcBorders>
              <w:top w:val="nil"/>
              <w:left w:val="single" w:color="auto" w:sz="4" w:space="0"/>
              <w:bottom w:val="single" w:color="auto" w:sz="4" w:space="0"/>
              <w:right w:val="single" w:color="auto" w:sz="4" w:space="0"/>
            </w:tcBorders>
            <w:vAlign w:val="center"/>
          </w:tcPr>
          <w:p w14:paraId="16240C3F">
            <w:pPr>
              <w:widowControl/>
              <w:spacing w:line="360" w:lineRule="auto"/>
              <w:jc w:val="left"/>
              <w:rPr>
                <w:rFonts w:hint="eastAsia" w:cs="宋体" w:asciiTheme="minorEastAsia" w:hAnsiTheme="minorEastAsia" w:eastAsiaTheme="minorEastAsia"/>
                <w:color w:val="auto"/>
                <w:kern w:val="0"/>
                <w:szCs w:val="21"/>
                <w:highlight w:val="none"/>
              </w:rPr>
            </w:pPr>
          </w:p>
        </w:tc>
        <w:tc>
          <w:tcPr>
            <w:tcW w:w="3177" w:type="dxa"/>
            <w:tcBorders>
              <w:top w:val="nil"/>
              <w:left w:val="nil"/>
              <w:bottom w:val="single" w:color="auto" w:sz="4" w:space="0"/>
              <w:right w:val="single" w:color="auto" w:sz="4" w:space="0"/>
            </w:tcBorders>
            <w:shd w:val="clear" w:color="auto" w:fill="auto"/>
            <w:vAlign w:val="bottom"/>
          </w:tcPr>
          <w:p w14:paraId="7FF6963D">
            <w:pPr>
              <w:widowControl/>
              <w:spacing w:before="120" w:beforeLines="50" w:line="360" w:lineRule="auto"/>
              <w:jc w:val="left"/>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联合体单位为大型和小型、微型企业，且联合体协议书中约定小型、微型企业的合同份额占到合同总金额30%及以上</w:t>
            </w:r>
          </w:p>
        </w:tc>
        <w:tc>
          <w:tcPr>
            <w:tcW w:w="854" w:type="dxa"/>
            <w:tcBorders>
              <w:top w:val="nil"/>
              <w:left w:val="nil"/>
              <w:bottom w:val="single" w:color="auto" w:sz="4" w:space="0"/>
              <w:right w:val="single" w:color="auto" w:sz="4" w:space="0"/>
            </w:tcBorders>
            <w:shd w:val="clear" w:color="auto" w:fill="auto"/>
            <w:noWrap/>
            <w:vAlign w:val="center"/>
          </w:tcPr>
          <w:p w14:paraId="31EE9BB2">
            <w:pPr>
              <w:widowControl/>
              <w:spacing w:before="120" w:beforeLines="50" w:line="360" w:lineRule="auto"/>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4%</w:t>
            </w:r>
          </w:p>
        </w:tc>
        <w:tc>
          <w:tcPr>
            <w:tcW w:w="2834" w:type="dxa"/>
            <w:tcBorders>
              <w:top w:val="nil"/>
              <w:left w:val="nil"/>
              <w:bottom w:val="single" w:color="auto" w:sz="4" w:space="0"/>
              <w:right w:val="single" w:color="auto" w:sz="4" w:space="0"/>
            </w:tcBorders>
            <w:shd w:val="clear" w:color="auto" w:fill="auto"/>
            <w:noWrap/>
            <w:vAlign w:val="center"/>
          </w:tcPr>
          <w:p w14:paraId="29D7C71E">
            <w:pPr>
              <w:widowControl/>
              <w:spacing w:before="120" w:beforeLines="50" w:line="360" w:lineRule="auto"/>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评审价=二次报价×（1-4%）</w:t>
            </w:r>
          </w:p>
        </w:tc>
      </w:tr>
      <w:tr w14:paraId="6E19895E">
        <w:tblPrEx>
          <w:tblCellMar>
            <w:top w:w="0" w:type="dxa"/>
            <w:left w:w="108" w:type="dxa"/>
            <w:bottom w:w="0" w:type="dxa"/>
            <w:right w:w="108" w:type="dxa"/>
          </w:tblCellMar>
        </w:tblPrEx>
        <w:trPr>
          <w:trHeight w:val="280" w:hRule="atLeast"/>
          <w:jc w:val="center"/>
        </w:trPr>
        <w:tc>
          <w:tcPr>
            <w:tcW w:w="596" w:type="dxa"/>
            <w:vMerge w:val="continue"/>
            <w:tcBorders>
              <w:top w:val="nil"/>
              <w:left w:val="single" w:color="auto" w:sz="4" w:space="0"/>
              <w:bottom w:val="single" w:color="auto" w:sz="4" w:space="0"/>
              <w:right w:val="single" w:color="auto" w:sz="4" w:space="0"/>
            </w:tcBorders>
            <w:vAlign w:val="center"/>
          </w:tcPr>
          <w:p w14:paraId="245B0127">
            <w:pPr>
              <w:widowControl/>
              <w:spacing w:line="360" w:lineRule="auto"/>
              <w:jc w:val="left"/>
              <w:rPr>
                <w:rFonts w:hint="eastAsia" w:cs="宋体" w:asciiTheme="minorEastAsia" w:hAnsiTheme="minorEastAsia" w:eastAsiaTheme="minorEastAsia"/>
                <w:color w:val="auto"/>
                <w:kern w:val="0"/>
                <w:szCs w:val="21"/>
                <w:highlight w:val="none"/>
              </w:rPr>
            </w:pPr>
          </w:p>
        </w:tc>
        <w:tc>
          <w:tcPr>
            <w:tcW w:w="912" w:type="dxa"/>
            <w:vMerge w:val="continue"/>
            <w:tcBorders>
              <w:top w:val="nil"/>
              <w:left w:val="single" w:color="auto" w:sz="4" w:space="0"/>
              <w:bottom w:val="single" w:color="auto" w:sz="4" w:space="0"/>
              <w:right w:val="single" w:color="auto" w:sz="4" w:space="0"/>
            </w:tcBorders>
            <w:vAlign w:val="center"/>
          </w:tcPr>
          <w:p w14:paraId="52480830">
            <w:pPr>
              <w:widowControl/>
              <w:spacing w:line="360" w:lineRule="auto"/>
              <w:jc w:val="left"/>
              <w:rPr>
                <w:rFonts w:hint="eastAsia" w:cs="宋体" w:asciiTheme="minorEastAsia" w:hAnsiTheme="minorEastAsia" w:eastAsiaTheme="minorEastAsia"/>
                <w:color w:val="auto"/>
                <w:kern w:val="0"/>
                <w:szCs w:val="21"/>
                <w:highlight w:val="none"/>
              </w:rPr>
            </w:pPr>
          </w:p>
        </w:tc>
        <w:tc>
          <w:tcPr>
            <w:tcW w:w="693" w:type="dxa"/>
            <w:vMerge w:val="restart"/>
            <w:tcBorders>
              <w:top w:val="nil"/>
              <w:left w:val="single" w:color="auto" w:sz="4" w:space="0"/>
              <w:bottom w:val="single" w:color="auto" w:sz="4" w:space="0"/>
              <w:right w:val="single" w:color="auto" w:sz="4" w:space="0"/>
            </w:tcBorders>
            <w:shd w:val="clear" w:color="auto" w:fill="auto"/>
            <w:noWrap/>
            <w:vAlign w:val="center"/>
          </w:tcPr>
          <w:p w14:paraId="306EFD2B">
            <w:pPr>
              <w:widowControl/>
              <w:spacing w:line="360" w:lineRule="auto"/>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采购工程</w:t>
            </w:r>
          </w:p>
        </w:tc>
        <w:tc>
          <w:tcPr>
            <w:tcW w:w="3177" w:type="dxa"/>
            <w:tcBorders>
              <w:top w:val="nil"/>
              <w:left w:val="nil"/>
              <w:bottom w:val="single" w:color="auto" w:sz="4" w:space="0"/>
              <w:right w:val="single" w:color="auto" w:sz="4" w:space="0"/>
            </w:tcBorders>
            <w:shd w:val="clear" w:color="auto" w:fill="auto"/>
            <w:noWrap/>
            <w:vAlign w:val="bottom"/>
          </w:tcPr>
          <w:p w14:paraId="2CF32B65">
            <w:pPr>
              <w:widowControl/>
              <w:spacing w:before="120" w:beforeLines="50" w:line="360" w:lineRule="auto"/>
              <w:jc w:val="left"/>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联合体单位均为小型、微型企业</w:t>
            </w:r>
          </w:p>
        </w:tc>
        <w:tc>
          <w:tcPr>
            <w:tcW w:w="854" w:type="dxa"/>
            <w:tcBorders>
              <w:top w:val="nil"/>
              <w:left w:val="nil"/>
              <w:bottom w:val="single" w:color="auto" w:sz="4" w:space="0"/>
              <w:right w:val="single" w:color="auto" w:sz="4" w:space="0"/>
            </w:tcBorders>
            <w:shd w:val="clear" w:color="auto" w:fill="auto"/>
            <w:noWrap/>
            <w:vAlign w:val="center"/>
          </w:tcPr>
          <w:p w14:paraId="07D49431">
            <w:pPr>
              <w:widowControl/>
              <w:spacing w:before="120" w:beforeLines="50" w:line="360" w:lineRule="auto"/>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1%</w:t>
            </w:r>
          </w:p>
        </w:tc>
        <w:tc>
          <w:tcPr>
            <w:tcW w:w="2834" w:type="dxa"/>
            <w:tcBorders>
              <w:top w:val="nil"/>
              <w:left w:val="nil"/>
              <w:bottom w:val="single" w:color="auto" w:sz="4" w:space="0"/>
              <w:right w:val="single" w:color="auto" w:sz="4" w:space="0"/>
            </w:tcBorders>
            <w:shd w:val="clear" w:color="auto" w:fill="auto"/>
            <w:noWrap/>
            <w:vAlign w:val="center"/>
          </w:tcPr>
          <w:p w14:paraId="0145CEC2">
            <w:pPr>
              <w:widowControl/>
              <w:spacing w:before="120" w:beforeLines="50" w:line="360" w:lineRule="auto"/>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评审价=二次报价×（1-1%）</w:t>
            </w:r>
          </w:p>
        </w:tc>
      </w:tr>
      <w:tr w14:paraId="34179F7E">
        <w:tblPrEx>
          <w:tblCellMar>
            <w:top w:w="0" w:type="dxa"/>
            <w:left w:w="108" w:type="dxa"/>
            <w:bottom w:w="0" w:type="dxa"/>
            <w:right w:w="108" w:type="dxa"/>
          </w:tblCellMar>
        </w:tblPrEx>
        <w:trPr>
          <w:trHeight w:val="1123" w:hRule="atLeast"/>
          <w:jc w:val="center"/>
        </w:trPr>
        <w:tc>
          <w:tcPr>
            <w:tcW w:w="596" w:type="dxa"/>
            <w:vMerge w:val="continue"/>
            <w:tcBorders>
              <w:top w:val="nil"/>
              <w:left w:val="single" w:color="auto" w:sz="4" w:space="0"/>
              <w:bottom w:val="single" w:color="auto" w:sz="4" w:space="0"/>
              <w:right w:val="single" w:color="auto" w:sz="4" w:space="0"/>
            </w:tcBorders>
            <w:vAlign w:val="center"/>
          </w:tcPr>
          <w:p w14:paraId="64B7D162">
            <w:pPr>
              <w:widowControl/>
              <w:spacing w:line="360" w:lineRule="auto"/>
              <w:jc w:val="left"/>
              <w:rPr>
                <w:rFonts w:hint="eastAsia" w:cs="宋体" w:asciiTheme="minorEastAsia" w:hAnsiTheme="minorEastAsia" w:eastAsiaTheme="minorEastAsia"/>
                <w:color w:val="auto"/>
                <w:kern w:val="0"/>
                <w:szCs w:val="21"/>
                <w:highlight w:val="none"/>
              </w:rPr>
            </w:pPr>
          </w:p>
        </w:tc>
        <w:tc>
          <w:tcPr>
            <w:tcW w:w="912" w:type="dxa"/>
            <w:vMerge w:val="continue"/>
            <w:tcBorders>
              <w:top w:val="nil"/>
              <w:left w:val="single" w:color="auto" w:sz="4" w:space="0"/>
              <w:bottom w:val="single" w:color="auto" w:sz="4" w:space="0"/>
              <w:right w:val="single" w:color="auto" w:sz="4" w:space="0"/>
            </w:tcBorders>
            <w:vAlign w:val="center"/>
          </w:tcPr>
          <w:p w14:paraId="7AE89A1A">
            <w:pPr>
              <w:widowControl/>
              <w:spacing w:line="360" w:lineRule="auto"/>
              <w:jc w:val="left"/>
              <w:rPr>
                <w:rFonts w:hint="eastAsia" w:cs="宋体" w:asciiTheme="minorEastAsia" w:hAnsiTheme="minorEastAsia" w:eastAsiaTheme="minorEastAsia"/>
                <w:color w:val="auto"/>
                <w:kern w:val="0"/>
                <w:szCs w:val="21"/>
                <w:highlight w:val="none"/>
              </w:rPr>
            </w:pPr>
          </w:p>
        </w:tc>
        <w:tc>
          <w:tcPr>
            <w:tcW w:w="693" w:type="dxa"/>
            <w:vMerge w:val="continue"/>
            <w:tcBorders>
              <w:top w:val="nil"/>
              <w:left w:val="single" w:color="auto" w:sz="4" w:space="0"/>
              <w:bottom w:val="single" w:color="auto" w:sz="4" w:space="0"/>
              <w:right w:val="single" w:color="auto" w:sz="4" w:space="0"/>
            </w:tcBorders>
            <w:vAlign w:val="center"/>
          </w:tcPr>
          <w:p w14:paraId="486CE12A">
            <w:pPr>
              <w:widowControl/>
              <w:spacing w:line="360" w:lineRule="auto"/>
              <w:jc w:val="left"/>
              <w:rPr>
                <w:rFonts w:hint="eastAsia" w:cs="宋体" w:asciiTheme="minorEastAsia" w:hAnsiTheme="minorEastAsia" w:eastAsiaTheme="minorEastAsia"/>
                <w:color w:val="auto"/>
                <w:kern w:val="0"/>
                <w:szCs w:val="21"/>
                <w:highlight w:val="none"/>
              </w:rPr>
            </w:pPr>
          </w:p>
        </w:tc>
        <w:tc>
          <w:tcPr>
            <w:tcW w:w="3177" w:type="dxa"/>
            <w:tcBorders>
              <w:top w:val="nil"/>
              <w:left w:val="nil"/>
              <w:bottom w:val="single" w:color="auto" w:sz="4" w:space="0"/>
              <w:right w:val="single" w:color="auto" w:sz="4" w:space="0"/>
            </w:tcBorders>
            <w:shd w:val="clear" w:color="auto" w:fill="auto"/>
            <w:vAlign w:val="bottom"/>
          </w:tcPr>
          <w:p w14:paraId="1406DCB4">
            <w:pPr>
              <w:widowControl/>
              <w:spacing w:before="120" w:beforeLines="50" w:line="360" w:lineRule="auto"/>
              <w:jc w:val="left"/>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联合体单位为大型和小型、微型企业，且联合体协议书中约定小型、微型企业的合同份额占到合同总金额30%及以上</w:t>
            </w:r>
          </w:p>
        </w:tc>
        <w:tc>
          <w:tcPr>
            <w:tcW w:w="854" w:type="dxa"/>
            <w:tcBorders>
              <w:top w:val="nil"/>
              <w:left w:val="nil"/>
              <w:bottom w:val="single" w:color="auto" w:sz="4" w:space="0"/>
              <w:right w:val="single" w:color="auto" w:sz="4" w:space="0"/>
            </w:tcBorders>
            <w:shd w:val="clear" w:color="auto" w:fill="auto"/>
            <w:noWrap/>
            <w:vAlign w:val="center"/>
          </w:tcPr>
          <w:p w14:paraId="664DB410">
            <w:pPr>
              <w:widowControl/>
              <w:spacing w:before="120" w:beforeLines="50" w:line="360" w:lineRule="auto"/>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1%</w:t>
            </w:r>
          </w:p>
        </w:tc>
        <w:tc>
          <w:tcPr>
            <w:tcW w:w="2834" w:type="dxa"/>
            <w:tcBorders>
              <w:top w:val="nil"/>
              <w:left w:val="nil"/>
              <w:bottom w:val="single" w:color="auto" w:sz="4" w:space="0"/>
              <w:right w:val="single" w:color="auto" w:sz="4" w:space="0"/>
            </w:tcBorders>
            <w:shd w:val="clear" w:color="auto" w:fill="auto"/>
            <w:noWrap/>
            <w:vAlign w:val="center"/>
          </w:tcPr>
          <w:p w14:paraId="4E01BF60">
            <w:pPr>
              <w:widowControl/>
              <w:spacing w:before="120" w:beforeLines="50" w:line="360" w:lineRule="auto"/>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评审价=二次报价×（1-1%）</w:t>
            </w:r>
          </w:p>
        </w:tc>
      </w:tr>
      <w:tr w14:paraId="0630ED20">
        <w:tblPrEx>
          <w:tblCellMar>
            <w:top w:w="0" w:type="dxa"/>
            <w:left w:w="108" w:type="dxa"/>
            <w:bottom w:w="0" w:type="dxa"/>
            <w:right w:w="108" w:type="dxa"/>
          </w:tblCellMar>
        </w:tblPrEx>
        <w:trPr>
          <w:trHeight w:val="280" w:hRule="atLeast"/>
          <w:jc w:val="center"/>
        </w:trPr>
        <w:tc>
          <w:tcPr>
            <w:tcW w:w="596" w:type="dxa"/>
            <w:vMerge w:val="restart"/>
            <w:tcBorders>
              <w:top w:val="nil"/>
              <w:left w:val="single" w:color="auto" w:sz="4" w:space="0"/>
              <w:bottom w:val="single" w:color="auto" w:sz="4" w:space="0"/>
              <w:right w:val="single" w:color="auto" w:sz="4" w:space="0"/>
            </w:tcBorders>
            <w:shd w:val="clear" w:color="auto" w:fill="auto"/>
            <w:noWrap/>
            <w:vAlign w:val="center"/>
          </w:tcPr>
          <w:p w14:paraId="094E618B">
            <w:pPr>
              <w:widowControl/>
              <w:spacing w:line="360" w:lineRule="auto"/>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2</w:t>
            </w:r>
          </w:p>
        </w:tc>
        <w:tc>
          <w:tcPr>
            <w:tcW w:w="912" w:type="dxa"/>
            <w:vMerge w:val="restart"/>
            <w:tcBorders>
              <w:top w:val="nil"/>
              <w:left w:val="single" w:color="auto" w:sz="4" w:space="0"/>
              <w:bottom w:val="single" w:color="auto" w:sz="4" w:space="0"/>
              <w:right w:val="single" w:color="auto" w:sz="4" w:space="0"/>
            </w:tcBorders>
            <w:shd w:val="clear" w:color="auto" w:fill="auto"/>
            <w:noWrap/>
            <w:vAlign w:val="center"/>
          </w:tcPr>
          <w:p w14:paraId="1F00D0E3">
            <w:pPr>
              <w:widowControl/>
              <w:spacing w:line="360" w:lineRule="auto"/>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非联</w:t>
            </w:r>
          </w:p>
          <w:p w14:paraId="7D5A6190">
            <w:pPr>
              <w:widowControl/>
              <w:spacing w:line="360" w:lineRule="auto"/>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合体</w:t>
            </w:r>
          </w:p>
        </w:tc>
        <w:tc>
          <w:tcPr>
            <w:tcW w:w="693" w:type="dxa"/>
            <w:tcBorders>
              <w:top w:val="nil"/>
              <w:left w:val="nil"/>
              <w:bottom w:val="single" w:color="auto" w:sz="4" w:space="0"/>
              <w:right w:val="single" w:color="auto" w:sz="4" w:space="0"/>
            </w:tcBorders>
            <w:shd w:val="clear" w:color="auto" w:fill="auto"/>
            <w:noWrap/>
            <w:vAlign w:val="bottom"/>
          </w:tcPr>
          <w:p w14:paraId="0F5DCDFF">
            <w:pPr>
              <w:widowControl/>
              <w:spacing w:before="120" w:beforeLines="50" w:line="360" w:lineRule="auto"/>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采购货物</w:t>
            </w:r>
          </w:p>
        </w:tc>
        <w:tc>
          <w:tcPr>
            <w:tcW w:w="3177" w:type="dxa"/>
            <w:tcBorders>
              <w:top w:val="nil"/>
              <w:left w:val="nil"/>
              <w:bottom w:val="single" w:color="auto" w:sz="4" w:space="0"/>
              <w:right w:val="single" w:color="auto" w:sz="4" w:space="0"/>
            </w:tcBorders>
            <w:shd w:val="clear" w:color="auto" w:fill="auto"/>
            <w:noWrap/>
            <w:vAlign w:val="center"/>
          </w:tcPr>
          <w:p w14:paraId="1CB46CB5">
            <w:pPr>
              <w:widowControl/>
              <w:spacing w:before="120" w:beforeLines="50" w:line="360" w:lineRule="auto"/>
              <w:jc w:val="left"/>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货物由小型、微型企业制造</w:t>
            </w:r>
          </w:p>
        </w:tc>
        <w:tc>
          <w:tcPr>
            <w:tcW w:w="854" w:type="dxa"/>
            <w:tcBorders>
              <w:top w:val="nil"/>
              <w:left w:val="nil"/>
              <w:bottom w:val="single" w:color="auto" w:sz="4" w:space="0"/>
              <w:right w:val="single" w:color="auto" w:sz="4" w:space="0"/>
            </w:tcBorders>
            <w:shd w:val="clear" w:color="auto" w:fill="auto"/>
            <w:noWrap/>
            <w:vAlign w:val="center"/>
          </w:tcPr>
          <w:p w14:paraId="50BB10A7">
            <w:pPr>
              <w:widowControl/>
              <w:spacing w:before="120" w:beforeLines="50" w:line="360" w:lineRule="auto"/>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10%</w:t>
            </w:r>
          </w:p>
        </w:tc>
        <w:tc>
          <w:tcPr>
            <w:tcW w:w="2834" w:type="dxa"/>
            <w:tcBorders>
              <w:top w:val="nil"/>
              <w:left w:val="nil"/>
              <w:bottom w:val="single" w:color="auto" w:sz="4" w:space="0"/>
              <w:right w:val="single" w:color="auto" w:sz="4" w:space="0"/>
            </w:tcBorders>
            <w:shd w:val="clear" w:color="auto" w:fill="auto"/>
            <w:noWrap/>
            <w:vAlign w:val="center"/>
          </w:tcPr>
          <w:p w14:paraId="337AB9A6">
            <w:pPr>
              <w:widowControl/>
              <w:spacing w:before="120" w:beforeLines="50" w:line="360" w:lineRule="auto"/>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评审价=二次报价×（1-10%）</w:t>
            </w:r>
          </w:p>
        </w:tc>
      </w:tr>
      <w:tr w14:paraId="0A98F985">
        <w:tblPrEx>
          <w:tblCellMar>
            <w:top w:w="0" w:type="dxa"/>
            <w:left w:w="108" w:type="dxa"/>
            <w:bottom w:w="0" w:type="dxa"/>
            <w:right w:w="108" w:type="dxa"/>
          </w:tblCellMar>
        </w:tblPrEx>
        <w:trPr>
          <w:trHeight w:val="280" w:hRule="atLeast"/>
          <w:jc w:val="center"/>
        </w:trPr>
        <w:tc>
          <w:tcPr>
            <w:tcW w:w="596" w:type="dxa"/>
            <w:vMerge w:val="continue"/>
            <w:tcBorders>
              <w:top w:val="nil"/>
              <w:left w:val="single" w:color="auto" w:sz="4" w:space="0"/>
              <w:bottom w:val="single" w:color="auto" w:sz="4" w:space="0"/>
              <w:right w:val="single" w:color="auto" w:sz="4" w:space="0"/>
            </w:tcBorders>
            <w:vAlign w:val="center"/>
          </w:tcPr>
          <w:p w14:paraId="1E05939C">
            <w:pPr>
              <w:widowControl/>
              <w:spacing w:line="360" w:lineRule="auto"/>
              <w:jc w:val="left"/>
              <w:rPr>
                <w:rFonts w:hint="eastAsia" w:cs="宋体" w:asciiTheme="minorEastAsia" w:hAnsiTheme="minorEastAsia" w:eastAsiaTheme="minorEastAsia"/>
                <w:color w:val="auto"/>
                <w:kern w:val="0"/>
                <w:szCs w:val="21"/>
                <w:highlight w:val="none"/>
              </w:rPr>
            </w:pPr>
          </w:p>
        </w:tc>
        <w:tc>
          <w:tcPr>
            <w:tcW w:w="912" w:type="dxa"/>
            <w:vMerge w:val="continue"/>
            <w:tcBorders>
              <w:top w:val="nil"/>
              <w:left w:val="single" w:color="auto" w:sz="4" w:space="0"/>
              <w:bottom w:val="single" w:color="auto" w:sz="4" w:space="0"/>
              <w:right w:val="single" w:color="auto" w:sz="4" w:space="0"/>
            </w:tcBorders>
            <w:vAlign w:val="center"/>
          </w:tcPr>
          <w:p w14:paraId="56FC76E0">
            <w:pPr>
              <w:widowControl/>
              <w:spacing w:line="360" w:lineRule="auto"/>
              <w:jc w:val="left"/>
              <w:rPr>
                <w:rFonts w:hint="eastAsia" w:cs="宋体" w:asciiTheme="minorEastAsia" w:hAnsiTheme="minorEastAsia" w:eastAsiaTheme="minorEastAsia"/>
                <w:color w:val="auto"/>
                <w:kern w:val="0"/>
                <w:szCs w:val="21"/>
                <w:highlight w:val="none"/>
              </w:rPr>
            </w:pPr>
          </w:p>
        </w:tc>
        <w:tc>
          <w:tcPr>
            <w:tcW w:w="693" w:type="dxa"/>
            <w:tcBorders>
              <w:top w:val="nil"/>
              <w:left w:val="nil"/>
              <w:bottom w:val="single" w:color="auto" w:sz="4" w:space="0"/>
              <w:right w:val="single" w:color="auto" w:sz="4" w:space="0"/>
            </w:tcBorders>
            <w:shd w:val="clear" w:color="auto" w:fill="auto"/>
            <w:noWrap/>
            <w:vAlign w:val="bottom"/>
          </w:tcPr>
          <w:p w14:paraId="2E6959D9">
            <w:pPr>
              <w:widowControl/>
              <w:spacing w:before="120" w:beforeLines="50" w:line="360" w:lineRule="auto"/>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采购服务</w:t>
            </w:r>
          </w:p>
        </w:tc>
        <w:tc>
          <w:tcPr>
            <w:tcW w:w="3177" w:type="dxa"/>
            <w:tcBorders>
              <w:top w:val="nil"/>
              <w:left w:val="nil"/>
              <w:bottom w:val="single" w:color="auto" w:sz="4" w:space="0"/>
              <w:right w:val="single" w:color="auto" w:sz="4" w:space="0"/>
            </w:tcBorders>
            <w:shd w:val="clear" w:color="auto" w:fill="auto"/>
            <w:noWrap/>
            <w:vAlign w:val="center"/>
          </w:tcPr>
          <w:p w14:paraId="1AA8B7F2">
            <w:pPr>
              <w:widowControl/>
              <w:spacing w:before="120" w:beforeLines="50" w:line="360" w:lineRule="auto"/>
              <w:jc w:val="left"/>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服务由小型、微型企业承接</w:t>
            </w:r>
          </w:p>
        </w:tc>
        <w:tc>
          <w:tcPr>
            <w:tcW w:w="854" w:type="dxa"/>
            <w:tcBorders>
              <w:top w:val="nil"/>
              <w:left w:val="nil"/>
              <w:bottom w:val="single" w:color="auto" w:sz="4" w:space="0"/>
              <w:right w:val="single" w:color="auto" w:sz="4" w:space="0"/>
            </w:tcBorders>
            <w:shd w:val="clear" w:color="auto" w:fill="auto"/>
            <w:noWrap/>
            <w:vAlign w:val="center"/>
          </w:tcPr>
          <w:p w14:paraId="55A577C9">
            <w:pPr>
              <w:widowControl/>
              <w:spacing w:before="120" w:beforeLines="50" w:line="360" w:lineRule="auto"/>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10%</w:t>
            </w:r>
          </w:p>
        </w:tc>
        <w:tc>
          <w:tcPr>
            <w:tcW w:w="2834" w:type="dxa"/>
            <w:tcBorders>
              <w:top w:val="nil"/>
              <w:left w:val="nil"/>
              <w:bottom w:val="single" w:color="auto" w:sz="4" w:space="0"/>
              <w:right w:val="single" w:color="auto" w:sz="4" w:space="0"/>
            </w:tcBorders>
            <w:shd w:val="clear" w:color="auto" w:fill="auto"/>
            <w:noWrap/>
            <w:vAlign w:val="center"/>
          </w:tcPr>
          <w:p w14:paraId="47F12EB0">
            <w:pPr>
              <w:widowControl/>
              <w:spacing w:before="120" w:beforeLines="50" w:line="360" w:lineRule="auto"/>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评审价=二次报价×（1-10%）</w:t>
            </w:r>
          </w:p>
        </w:tc>
      </w:tr>
      <w:tr w14:paraId="4AF011BC">
        <w:tblPrEx>
          <w:tblCellMar>
            <w:top w:w="0" w:type="dxa"/>
            <w:left w:w="108" w:type="dxa"/>
            <w:bottom w:w="0" w:type="dxa"/>
            <w:right w:w="108" w:type="dxa"/>
          </w:tblCellMar>
        </w:tblPrEx>
        <w:trPr>
          <w:trHeight w:val="280" w:hRule="atLeast"/>
          <w:jc w:val="center"/>
        </w:trPr>
        <w:tc>
          <w:tcPr>
            <w:tcW w:w="596" w:type="dxa"/>
            <w:vMerge w:val="continue"/>
            <w:tcBorders>
              <w:top w:val="nil"/>
              <w:left w:val="single" w:color="auto" w:sz="4" w:space="0"/>
              <w:bottom w:val="single" w:color="auto" w:sz="4" w:space="0"/>
              <w:right w:val="single" w:color="auto" w:sz="4" w:space="0"/>
            </w:tcBorders>
            <w:vAlign w:val="center"/>
          </w:tcPr>
          <w:p w14:paraId="29A92627">
            <w:pPr>
              <w:widowControl/>
              <w:spacing w:line="360" w:lineRule="auto"/>
              <w:jc w:val="left"/>
              <w:rPr>
                <w:rFonts w:hint="eastAsia" w:cs="宋体" w:asciiTheme="minorEastAsia" w:hAnsiTheme="minorEastAsia" w:eastAsiaTheme="minorEastAsia"/>
                <w:color w:val="auto"/>
                <w:kern w:val="0"/>
                <w:szCs w:val="21"/>
                <w:highlight w:val="none"/>
              </w:rPr>
            </w:pPr>
          </w:p>
        </w:tc>
        <w:tc>
          <w:tcPr>
            <w:tcW w:w="912" w:type="dxa"/>
            <w:vMerge w:val="continue"/>
            <w:tcBorders>
              <w:top w:val="nil"/>
              <w:left w:val="single" w:color="auto" w:sz="4" w:space="0"/>
              <w:bottom w:val="single" w:color="auto" w:sz="4" w:space="0"/>
              <w:right w:val="single" w:color="auto" w:sz="4" w:space="0"/>
            </w:tcBorders>
            <w:vAlign w:val="center"/>
          </w:tcPr>
          <w:p w14:paraId="592980E8">
            <w:pPr>
              <w:widowControl/>
              <w:spacing w:line="360" w:lineRule="auto"/>
              <w:jc w:val="left"/>
              <w:rPr>
                <w:rFonts w:hint="eastAsia" w:cs="宋体" w:asciiTheme="minorEastAsia" w:hAnsiTheme="minorEastAsia" w:eastAsiaTheme="minorEastAsia"/>
                <w:color w:val="auto"/>
                <w:kern w:val="0"/>
                <w:szCs w:val="21"/>
                <w:highlight w:val="none"/>
              </w:rPr>
            </w:pPr>
          </w:p>
        </w:tc>
        <w:tc>
          <w:tcPr>
            <w:tcW w:w="693" w:type="dxa"/>
            <w:tcBorders>
              <w:top w:val="nil"/>
              <w:left w:val="nil"/>
              <w:bottom w:val="single" w:color="auto" w:sz="4" w:space="0"/>
              <w:right w:val="single" w:color="auto" w:sz="4" w:space="0"/>
            </w:tcBorders>
            <w:shd w:val="clear" w:color="auto" w:fill="auto"/>
            <w:noWrap/>
            <w:vAlign w:val="bottom"/>
          </w:tcPr>
          <w:p w14:paraId="28431CD9">
            <w:pPr>
              <w:widowControl/>
              <w:spacing w:before="120" w:beforeLines="50" w:line="360" w:lineRule="auto"/>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采购工程</w:t>
            </w:r>
          </w:p>
        </w:tc>
        <w:tc>
          <w:tcPr>
            <w:tcW w:w="3177" w:type="dxa"/>
            <w:tcBorders>
              <w:top w:val="nil"/>
              <w:left w:val="nil"/>
              <w:bottom w:val="single" w:color="auto" w:sz="4" w:space="0"/>
              <w:right w:val="single" w:color="auto" w:sz="4" w:space="0"/>
            </w:tcBorders>
            <w:shd w:val="clear" w:color="auto" w:fill="auto"/>
            <w:noWrap/>
            <w:vAlign w:val="center"/>
          </w:tcPr>
          <w:p w14:paraId="31B67F22">
            <w:pPr>
              <w:widowControl/>
              <w:spacing w:before="120" w:beforeLines="50" w:line="360" w:lineRule="auto"/>
              <w:jc w:val="left"/>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工程由小型、微型企业承建</w:t>
            </w:r>
          </w:p>
        </w:tc>
        <w:tc>
          <w:tcPr>
            <w:tcW w:w="854" w:type="dxa"/>
            <w:tcBorders>
              <w:top w:val="nil"/>
              <w:left w:val="nil"/>
              <w:bottom w:val="single" w:color="auto" w:sz="4" w:space="0"/>
              <w:right w:val="single" w:color="auto" w:sz="4" w:space="0"/>
            </w:tcBorders>
            <w:shd w:val="clear" w:color="auto" w:fill="auto"/>
            <w:noWrap/>
            <w:vAlign w:val="center"/>
          </w:tcPr>
          <w:p w14:paraId="41380E13">
            <w:pPr>
              <w:widowControl/>
              <w:spacing w:before="120" w:beforeLines="50" w:line="360" w:lineRule="auto"/>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3%</w:t>
            </w:r>
          </w:p>
        </w:tc>
        <w:tc>
          <w:tcPr>
            <w:tcW w:w="2834" w:type="dxa"/>
            <w:tcBorders>
              <w:top w:val="nil"/>
              <w:left w:val="nil"/>
              <w:bottom w:val="single" w:color="auto" w:sz="4" w:space="0"/>
              <w:right w:val="single" w:color="auto" w:sz="4" w:space="0"/>
            </w:tcBorders>
            <w:shd w:val="clear" w:color="auto" w:fill="auto"/>
            <w:noWrap/>
            <w:vAlign w:val="center"/>
          </w:tcPr>
          <w:p w14:paraId="1E80B6C3">
            <w:pPr>
              <w:widowControl/>
              <w:spacing w:before="120" w:beforeLines="50" w:line="360" w:lineRule="auto"/>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评审价=二次报价×（1-</w:t>
            </w:r>
            <w:r>
              <w:rPr>
                <w:rFonts w:cs="宋体" w:asciiTheme="minorEastAsia" w:hAnsiTheme="minorEastAsia" w:eastAsiaTheme="minorEastAsia"/>
                <w:color w:val="auto"/>
                <w:kern w:val="0"/>
                <w:szCs w:val="21"/>
                <w:highlight w:val="none"/>
              </w:rPr>
              <w:t>3</w:t>
            </w:r>
            <w:r>
              <w:rPr>
                <w:rFonts w:hint="eastAsia" w:cs="宋体" w:asciiTheme="minorEastAsia" w:hAnsiTheme="minorEastAsia" w:eastAsiaTheme="minorEastAsia"/>
                <w:color w:val="auto"/>
                <w:kern w:val="0"/>
                <w:szCs w:val="21"/>
                <w:highlight w:val="none"/>
              </w:rPr>
              <w:t>%）</w:t>
            </w:r>
          </w:p>
        </w:tc>
      </w:tr>
      <w:tr w14:paraId="509466A5">
        <w:tblPrEx>
          <w:tblCellMar>
            <w:top w:w="0" w:type="dxa"/>
            <w:left w:w="108" w:type="dxa"/>
            <w:bottom w:w="0" w:type="dxa"/>
            <w:right w:w="108" w:type="dxa"/>
          </w:tblCellMar>
        </w:tblPrEx>
        <w:trPr>
          <w:trHeight w:val="280" w:hRule="atLeast"/>
          <w:jc w:val="center"/>
        </w:trPr>
        <w:tc>
          <w:tcPr>
            <w:tcW w:w="9066" w:type="dxa"/>
            <w:gridSpan w:val="6"/>
            <w:tcBorders>
              <w:top w:val="single" w:color="auto" w:sz="4" w:space="0"/>
              <w:left w:val="single" w:color="auto" w:sz="4" w:space="0"/>
              <w:bottom w:val="single" w:color="auto" w:sz="4" w:space="0"/>
              <w:right w:val="single" w:color="auto" w:sz="4" w:space="0"/>
            </w:tcBorders>
            <w:vAlign w:val="center"/>
          </w:tcPr>
          <w:p w14:paraId="76E52A4B">
            <w:pPr>
              <w:widowControl/>
              <w:spacing w:before="120" w:beforeLines="50" w:line="360" w:lineRule="auto"/>
              <w:jc w:val="left"/>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说明：大型企业与小型、微型企业组成联合体，但联合体协议书中未体现相应合同金额约定，或联合体协议书中约定小型、微型企业的合同份额占到合同总金额30%以下的，其价格不予扣除。</w:t>
            </w:r>
          </w:p>
        </w:tc>
      </w:tr>
    </w:tbl>
    <w:p w14:paraId="6832BB41">
      <w:pPr>
        <w:widowControl/>
        <w:spacing w:before="120" w:beforeLines="50" w:line="360" w:lineRule="auto"/>
        <w:jc w:val="center"/>
        <w:rPr>
          <w:rFonts w:hint="eastAsia" w:cs="宋体" w:asciiTheme="minorEastAsia" w:hAnsiTheme="minorEastAsia" w:eastAsiaTheme="minorEastAsia"/>
          <w:b/>
          <w:color w:val="auto"/>
          <w:kern w:val="0"/>
          <w:sz w:val="24"/>
          <w:szCs w:val="22"/>
          <w:highlight w:val="none"/>
        </w:rPr>
      </w:pPr>
      <w:r>
        <w:rPr>
          <w:rFonts w:hint="eastAsia" w:asciiTheme="minorEastAsia" w:hAnsiTheme="minorEastAsia" w:eastAsiaTheme="minorEastAsia"/>
          <w:b/>
          <w:bCs/>
          <w:color w:val="auto"/>
          <w:sz w:val="24"/>
          <w:szCs w:val="24"/>
          <w:highlight w:val="none"/>
        </w:rPr>
        <w:t>（表二）</w:t>
      </w:r>
      <w:r>
        <w:rPr>
          <w:rFonts w:hint="eastAsia" w:cs="宋体" w:asciiTheme="minorEastAsia" w:hAnsiTheme="minorEastAsia" w:eastAsiaTheme="minorEastAsia"/>
          <w:b/>
          <w:color w:val="auto"/>
          <w:kern w:val="0"/>
          <w:sz w:val="24"/>
          <w:szCs w:val="22"/>
          <w:highlight w:val="none"/>
        </w:rPr>
        <w:t>统计上大中小微型企业划分标准</w:t>
      </w:r>
    </w:p>
    <w:tbl>
      <w:tblPr>
        <w:tblStyle w:val="55"/>
        <w:tblW w:w="90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5"/>
        <w:gridCol w:w="1466"/>
        <w:gridCol w:w="711"/>
        <w:gridCol w:w="1129"/>
        <w:gridCol w:w="1706"/>
        <w:gridCol w:w="1431"/>
        <w:gridCol w:w="995"/>
      </w:tblGrid>
      <w:tr w14:paraId="48B2B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exact"/>
          <w:jc w:val="center"/>
        </w:trPr>
        <w:tc>
          <w:tcPr>
            <w:tcW w:w="1625" w:type="dxa"/>
            <w:shd w:val="clear" w:color="auto" w:fill="auto"/>
            <w:vAlign w:val="center"/>
          </w:tcPr>
          <w:p w14:paraId="7D469B5B">
            <w:pPr>
              <w:widowControl/>
              <w:contextualSpacing/>
              <w:jc w:val="center"/>
              <w:rPr>
                <w:rFonts w:hint="eastAsia" w:cs="宋体" w:asciiTheme="minorEastAsia" w:hAnsiTheme="minorEastAsia" w:eastAsiaTheme="minorEastAsia"/>
                <w:b/>
                <w:bCs/>
                <w:color w:val="auto"/>
                <w:kern w:val="0"/>
                <w:szCs w:val="21"/>
                <w:highlight w:val="none"/>
              </w:rPr>
            </w:pPr>
            <w:r>
              <w:rPr>
                <w:rFonts w:hint="eastAsia" w:cs="宋体" w:asciiTheme="minorEastAsia" w:hAnsiTheme="minorEastAsia" w:eastAsiaTheme="minorEastAsia"/>
                <w:b/>
                <w:bCs/>
                <w:color w:val="auto"/>
                <w:kern w:val="0"/>
                <w:szCs w:val="21"/>
                <w:highlight w:val="none"/>
              </w:rPr>
              <w:t>行业名称</w:t>
            </w:r>
          </w:p>
        </w:tc>
        <w:tc>
          <w:tcPr>
            <w:tcW w:w="1466" w:type="dxa"/>
            <w:shd w:val="clear" w:color="auto" w:fill="auto"/>
            <w:vAlign w:val="center"/>
          </w:tcPr>
          <w:p w14:paraId="18C2DDBC">
            <w:pPr>
              <w:widowControl/>
              <w:contextualSpacing/>
              <w:jc w:val="center"/>
              <w:rPr>
                <w:rFonts w:hint="eastAsia" w:cs="宋体" w:asciiTheme="minorEastAsia" w:hAnsiTheme="minorEastAsia" w:eastAsiaTheme="minorEastAsia"/>
                <w:b/>
                <w:bCs/>
                <w:color w:val="auto"/>
                <w:kern w:val="0"/>
                <w:szCs w:val="21"/>
                <w:highlight w:val="none"/>
              </w:rPr>
            </w:pPr>
            <w:r>
              <w:rPr>
                <w:rFonts w:hint="eastAsia" w:cs="宋体" w:asciiTheme="minorEastAsia" w:hAnsiTheme="minorEastAsia" w:eastAsiaTheme="minorEastAsia"/>
                <w:b/>
                <w:bCs/>
                <w:color w:val="auto"/>
                <w:kern w:val="0"/>
                <w:szCs w:val="21"/>
                <w:highlight w:val="none"/>
              </w:rPr>
              <w:t>指标名称</w:t>
            </w:r>
          </w:p>
        </w:tc>
        <w:tc>
          <w:tcPr>
            <w:tcW w:w="711" w:type="dxa"/>
            <w:shd w:val="clear" w:color="auto" w:fill="auto"/>
            <w:vAlign w:val="center"/>
          </w:tcPr>
          <w:p w14:paraId="06C12987">
            <w:pPr>
              <w:widowControl/>
              <w:contextualSpacing/>
              <w:jc w:val="center"/>
              <w:rPr>
                <w:rFonts w:hint="eastAsia" w:cs="宋体" w:asciiTheme="minorEastAsia" w:hAnsiTheme="minorEastAsia" w:eastAsiaTheme="minorEastAsia"/>
                <w:b/>
                <w:bCs/>
                <w:color w:val="auto"/>
                <w:kern w:val="0"/>
                <w:szCs w:val="21"/>
                <w:highlight w:val="none"/>
              </w:rPr>
            </w:pPr>
            <w:r>
              <w:rPr>
                <w:rFonts w:hint="eastAsia" w:cs="宋体" w:asciiTheme="minorEastAsia" w:hAnsiTheme="minorEastAsia" w:eastAsiaTheme="minorEastAsia"/>
                <w:b/>
                <w:bCs/>
                <w:color w:val="auto"/>
                <w:kern w:val="0"/>
                <w:szCs w:val="21"/>
                <w:highlight w:val="none"/>
              </w:rPr>
              <w:t>计量</w:t>
            </w:r>
            <w:r>
              <w:rPr>
                <w:rFonts w:hint="eastAsia" w:cs="宋体" w:asciiTheme="minorEastAsia" w:hAnsiTheme="minorEastAsia" w:eastAsiaTheme="minorEastAsia"/>
                <w:b/>
                <w:bCs/>
                <w:color w:val="auto"/>
                <w:kern w:val="0"/>
                <w:szCs w:val="21"/>
                <w:highlight w:val="none"/>
              </w:rPr>
              <w:br w:type="textWrapping"/>
            </w:r>
            <w:r>
              <w:rPr>
                <w:rFonts w:hint="eastAsia" w:cs="宋体" w:asciiTheme="minorEastAsia" w:hAnsiTheme="minorEastAsia" w:eastAsiaTheme="minorEastAsia"/>
                <w:b/>
                <w:bCs/>
                <w:color w:val="auto"/>
                <w:kern w:val="0"/>
                <w:szCs w:val="21"/>
                <w:highlight w:val="none"/>
              </w:rPr>
              <w:t>单位</w:t>
            </w:r>
          </w:p>
        </w:tc>
        <w:tc>
          <w:tcPr>
            <w:tcW w:w="1129" w:type="dxa"/>
            <w:shd w:val="clear" w:color="auto" w:fill="auto"/>
            <w:vAlign w:val="center"/>
          </w:tcPr>
          <w:p w14:paraId="3B62C44F">
            <w:pPr>
              <w:widowControl/>
              <w:contextualSpacing/>
              <w:jc w:val="center"/>
              <w:rPr>
                <w:rFonts w:hint="eastAsia" w:cs="宋体" w:asciiTheme="minorEastAsia" w:hAnsiTheme="minorEastAsia" w:eastAsiaTheme="minorEastAsia"/>
                <w:b/>
                <w:bCs/>
                <w:color w:val="auto"/>
                <w:kern w:val="0"/>
                <w:szCs w:val="21"/>
                <w:highlight w:val="none"/>
              </w:rPr>
            </w:pPr>
            <w:r>
              <w:rPr>
                <w:rFonts w:hint="eastAsia" w:cs="宋体" w:asciiTheme="minorEastAsia" w:hAnsiTheme="minorEastAsia" w:eastAsiaTheme="minorEastAsia"/>
                <w:b/>
                <w:bCs/>
                <w:color w:val="auto"/>
                <w:kern w:val="0"/>
                <w:szCs w:val="21"/>
                <w:highlight w:val="none"/>
              </w:rPr>
              <w:t>大型</w:t>
            </w:r>
          </w:p>
        </w:tc>
        <w:tc>
          <w:tcPr>
            <w:tcW w:w="1706" w:type="dxa"/>
            <w:shd w:val="clear" w:color="auto" w:fill="auto"/>
            <w:vAlign w:val="center"/>
          </w:tcPr>
          <w:p w14:paraId="5711E13E">
            <w:pPr>
              <w:widowControl/>
              <w:contextualSpacing/>
              <w:jc w:val="center"/>
              <w:rPr>
                <w:rFonts w:hint="eastAsia" w:cs="宋体" w:asciiTheme="minorEastAsia" w:hAnsiTheme="minorEastAsia" w:eastAsiaTheme="minorEastAsia"/>
                <w:b/>
                <w:bCs/>
                <w:color w:val="auto"/>
                <w:kern w:val="0"/>
                <w:szCs w:val="21"/>
                <w:highlight w:val="none"/>
              </w:rPr>
            </w:pPr>
            <w:r>
              <w:rPr>
                <w:rFonts w:hint="eastAsia" w:cs="宋体" w:asciiTheme="minorEastAsia" w:hAnsiTheme="minorEastAsia" w:eastAsiaTheme="minorEastAsia"/>
                <w:b/>
                <w:bCs/>
                <w:color w:val="auto"/>
                <w:kern w:val="0"/>
                <w:szCs w:val="21"/>
                <w:highlight w:val="none"/>
              </w:rPr>
              <w:t>中型</w:t>
            </w:r>
          </w:p>
        </w:tc>
        <w:tc>
          <w:tcPr>
            <w:tcW w:w="1431" w:type="dxa"/>
            <w:shd w:val="clear" w:color="auto" w:fill="auto"/>
            <w:vAlign w:val="center"/>
          </w:tcPr>
          <w:p w14:paraId="63FAD97E">
            <w:pPr>
              <w:widowControl/>
              <w:contextualSpacing/>
              <w:jc w:val="center"/>
              <w:rPr>
                <w:rFonts w:hint="eastAsia" w:cs="宋体" w:asciiTheme="minorEastAsia" w:hAnsiTheme="minorEastAsia" w:eastAsiaTheme="minorEastAsia"/>
                <w:b/>
                <w:bCs/>
                <w:color w:val="auto"/>
                <w:kern w:val="0"/>
                <w:szCs w:val="21"/>
                <w:highlight w:val="none"/>
              </w:rPr>
            </w:pPr>
            <w:r>
              <w:rPr>
                <w:rFonts w:hint="eastAsia" w:cs="宋体" w:asciiTheme="minorEastAsia" w:hAnsiTheme="minorEastAsia" w:eastAsiaTheme="minorEastAsia"/>
                <w:b/>
                <w:bCs/>
                <w:color w:val="auto"/>
                <w:kern w:val="0"/>
                <w:szCs w:val="21"/>
                <w:highlight w:val="none"/>
              </w:rPr>
              <w:t>小型</w:t>
            </w:r>
          </w:p>
        </w:tc>
        <w:tc>
          <w:tcPr>
            <w:tcW w:w="995" w:type="dxa"/>
            <w:shd w:val="clear" w:color="auto" w:fill="auto"/>
            <w:vAlign w:val="center"/>
          </w:tcPr>
          <w:p w14:paraId="2976AC0A">
            <w:pPr>
              <w:widowControl/>
              <w:contextualSpacing/>
              <w:jc w:val="center"/>
              <w:rPr>
                <w:rFonts w:hint="eastAsia" w:cs="宋体" w:asciiTheme="minorEastAsia" w:hAnsiTheme="minorEastAsia" w:eastAsiaTheme="minorEastAsia"/>
                <w:b/>
                <w:bCs/>
                <w:color w:val="auto"/>
                <w:kern w:val="0"/>
                <w:szCs w:val="21"/>
                <w:highlight w:val="none"/>
              </w:rPr>
            </w:pPr>
            <w:r>
              <w:rPr>
                <w:rFonts w:hint="eastAsia" w:cs="宋体" w:asciiTheme="minorEastAsia" w:hAnsiTheme="minorEastAsia" w:eastAsiaTheme="minorEastAsia"/>
                <w:b/>
                <w:bCs/>
                <w:color w:val="auto"/>
                <w:kern w:val="0"/>
                <w:szCs w:val="21"/>
                <w:highlight w:val="none"/>
              </w:rPr>
              <w:t>微型</w:t>
            </w:r>
          </w:p>
        </w:tc>
      </w:tr>
      <w:tr w14:paraId="26E3E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exact"/>
          <w:jc w:val="center"/>
        </w:trPr>
        <w:tc>
          <w:tcPr>
            <w:tcW w:w="1625" w:type="dxa"/>
            <w:shd w:val="clear" w:color="auto" w:fill="auto"/>
            <w:vAlign w:val="center"/>
          </w:tcPr>
          <w:p w14:paraId="0B7E6521">
            <w:pPr>
              <w:widowControl/>
              <w:spacing w:line="360" w:lineRule="auto"/>
              <w:contextualSpacing/>
              <w:jc w:val="left"/>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农、林、牧、渔业</w:t>
            </w:r>
          </w:p>
        </w:tc>
        <w:tc>
          <w:tcPr>
            <w:tcW w:w="1466" w:type="dxa"/>
            <w:shd w:val="clear" w:color="auto" w:fill="auto"/>
            <w:vAlign w:val="center"/>
          </w:tcPr>
          <w:p w14:paraId="0AFA60E2">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营业收入(Y)</w:t>
            </w:r>
          </w:p>
        </w:tc>
        <w:tc>
          <w:tcPr>
            <w:tcW w:w="711" w:type="dxa"/>
            <w:shd w:val="clear" w:color="auto" w:fill="auto"/>
            <w:vAlign w:val="center"/>
          </w:tcPr>
          <w:p w14:paraId="426372ED">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万元</w:t>
            </w:r>
          </w:p>
        </w:tc>
        <w:tc>
          <w:tcPr>
            <w:tcW w:w="1129" w:type="dxa"/>
            <w:shd w:val="clear" w:color="auto" w:fill="auto"/>
            <w:vAlign w:val="center"/>
          </w:tcPr>
          <w:p w14:paraId="7C3CCA1B">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Y≥20000</w:t>
            </w:r>
          </w:p>
        </w:tc>
        <w:tc>
          <w:tcPr>
            <w:tcW w:w="1706" w:type="dxa"/>
            <w:shd w:val="clear" w:color="auto" w:fill="auto"/>
            <w:vAlign w:val="center"/>
          </w:tcPr>
          <w:p w14:paraId="4322701C">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xml:space="preserve"> 500≤Y＜20000</w:t>
            </w:r>
          </w:p>
        </w:tc>
        <w:tc>
          <w:tcPr>
            <w:tcW w:w="1431" w:type="dxa"/>
            <w:shd w:val="clear" w:color="auto" w:fill="auto"/>
            <w:vAlign w:val="center"/>
          </w:tcPr>
          <w:p w14:paraId="1B33B738">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xml:space="preserve"> 50≤Y＜500</w:t>
            </w:r>
          </w:p>
        </w:tc>
        <w:tc>
          <w:tcPr>
            <w:tcW w:w="995" w:type="dxa"/>
            <w:shd w:val="clear" w:color="auto" w:fill="auto"/>
            <w:vAlign w:val="center"/>
          </w:tcPr>
          <w:p w14:paraId="2A08990A">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Y＜50</w:t>
            </w:r>
          </w:p>
        </w:tc>
      </w:tr>
      <w:tr w14:paraId="1D905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exact"/>
          <w:jc w:val="center"/>
        </w:trPr>
        <w:tc>
          <w:tcPr>
            <w:tcW w:w="1625" w:type="dxa"/>
            <w:vMerge w:val="restart"/>
            <w:shd w:val="clear" w:color="auto" w:fill="auto"/>
            <w:vAlign w:val="center"/>
          </w:tcPr>
          <w:p w14:paraId="107732AF">
            <w:pPr>
              <w:widowControl/>
              <w:spacing w:line="360" w:lineRule="auto"/>
              <w:contextualSpacing/>
              <w:jc w:val="left"/>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工业 *</w:t>
            </w:r>
          </w:p>
        </w:tc>
        <w:tc>
          <w:tcPr>
            <w:tcW w:w="1466" w:type="dxa"/>
            <w:shd w:val="clear" w:color="auto" w:fill="auto"/>
            <w:vAlign w:val="center"/>
          </w:tcPr>
          <w:p w14:paraId="47E02A88">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从业人员(X)</w:t>
            </w:r>
          </w:p>
        </w:tc>
        <w:tc>
          <w:tcPr>
            <w:tcW w:w="711" w:type="dxa"/>
            <w:shd w:val="clear" w:color="auto" w:fill="auto"/>
            <w:vAlign w:val="center"/>
          </w:tcPr>
          <w:p w14:paraId="7DCC7DC4">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人</w:t>
            </w:r>
          </w:p>
        </w:tc>
        <w:tc>
          <w:tcPr>
            <w:tcW w:w="1129" w:type="dxa"/>
            <w:shd w:val="clear" w:color="auto" w:fill="auto"/>
            <w:vAlign w:val="center"/>
          </w:tcPr>
          <w:p w14:paraId="2901CAA8">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X≥1000</w:t>
            </w:r>
          </w:p>
        </w:tc>
        <w:tc>
          <w:tcPr>
            <w:tcW w:w="1706" w:type="dxa"/>
            <w:shd w:val="clear" w:color="auto" w:fill="auto"/>
            <w:vAlign w:val="center"/>
          </w:tcPr>
          <w:p w14:paraId="44C84BA6">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300≤X＜1000</w:t>
            </w:r>
          </w:p>
        </w:tc>
        <w:tc>
          <w:tcPr>
            <w:tcW w:w="1431" w:type="dxa"/>
            <w:shd w:val="clear" w:color="auto" w:fill="auto"/>
            <w:vAlign w:val="center"/>
          </w:tcPr>
          <w:p w14:paraId="530AF71F">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xml:space="preserve"> 20≤X＜300</w:t>
            </w:r>
          </w:p>
        </w:tc>
        <w:tc>
          <w:tcPr>
            <w:tcW w:w="995" w:type="dxa"/>
            <w:shd w:val="clear" w:color="auto" w:fill="auto"/>
            <w:vAlign w:val="center"/>
          </w:tcPr>
          <w:p w14:paraId="66B7359A">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X＜20</w:t>
            </w:r>
          </w:p>
        </w:tc>
      </w:tr>
      <w:tr w14:paraId="152F3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exact"/>
          <w:jc w:val="center"/>
        </w:trPr>
        <w:tc>
          <w:tcPr>
            <w:tcW w:w="1625" w:type="dxa"/>
            <w:vMerge w:val="continue"/>
            <w:vAlign w:val="center"/>
          </w:tcPr>
          <w:p w14:paraId="447B8BD9">
            <w:pPr>
              <w:widowControl/>
              <w:spacing w:line="360" w:lineRule="auto"/>
              <w:contextualSpacing/>
              <w:jc w:val="left"/>
              <w:rPr>
                <w:rFonts w:hint="eastAsia" w:cs="宋体" w:asciiTheme="minorEastAsia" w:hAnsiTheme="minorEastAsia" w:eastAsiaTheme="minorEastAsia"/>
                <w:color w:val="auto"/>
                <w:kern w:val="0"/>
                <w:szCs w:val="21"/>
                <w:highlight w:val="none"/>
              </w:rPr>
            </w:pPr>
          </w:p>
        </w:tc>
        <w:tc>
          <w:tcPr>
            <w:tcW w:w="1466" w:type="dxa"/>
            <w:shd w:val="clear" w:color="auto" w:fill="auto"/>
            <w:vAlign w:val="center"/>
          </w:tcPr>
          <w:p w14:paraId="52B0E1F1">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营业收入(Y)</w:t>
            </w:r>
          </w:p>
        </w:tc>
        <w:tc>
          <w:tcPr>
            <w:tcW w:w="711" w:type="dxa"/>
            <w:shd w:val="clear" w:color="auto" w:fill="auto"/>
            <w:vAlign w:val="center"/>
          </w:tcPr>
          <w:p w14:paraId="66D8B9C8">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万元</w:t>
            </w:r>
          </w:p>
        </w:tc>
        <w:tc>
          <w:tcPr>
            <w:tcW w:w="1129" w:type="dxa"/>
            <w:shd w:val="clear" w:color="auto" w:fill="auto"/>
            <w:vAlign w:val="center"/>
          </w:tcPr>
          <w:p w14:paraId="235C28B1">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Y≥40000</w:t>
            </w:r>
          </w:p>
        </w:tc>
        <w:tc>
          <w:tcPr>
            <w:tcW w:w="1706" w:type="dxa"/>
            <w:shd w:val="clear" w:color="auto" w:fill="auto"/>
            <w:vAlign w:val="center"/>
          </w:tcPr>
          <w:p w14:paraId="2191CB85">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2000≤Y＜40000</w:t>
            </w:r>
          </w:p>
        </w:tc>
        <w:tc>
          <w:tcPr>
            <w:tcW w:w="1431" w:type="dxa"/>
            <w:shd w:val="clear" w:color="auto" w:fill="auto"/>
            <w:vAlign w:val="center"/>
          </w:tcPr>
          <w:p w14:paraId="71397026">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xml:space="preserve"> 300≤Y＜2000</w:t>
            </w:r>
          </w:p>
        </w:tc>
        <w:tc>
          <w:tcPr>
            <w:tcW w:w="995" w:type="dxa"/>
            <w:shd w:val="clear" w:color="auto" w:fill="auto"/>
            <w:vAlign w:val="center"/>
          </w:tcPr>
          <w:p w14:paraId="439062E8">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Y＜300</w:t>
            </w:r>
          </w:p>
        </w:tc>
      </w:tr>
      <w:tr w14:paraId="329CA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exact"/>
          <w:jc w:val="center"/>
        </w:trPr>
        <w:tc>
          <w:tcPr>
            <w:tcW w:w="1625" w:type="dxa"/>
            <w:vMerge w:val="restart"/>
            <w:shd w:val="clear" w:color="auto" w:fill="auto"/>
            <w:vAlign w:val="center"/>
          </w:tcPr>
          <w:p w14:paraId="4F5AD101">
            <w:pPr>
              <w:widowControl/>
              <w:spacing w:line="360" w:lineRule="auto"/>
              <w:contextualSpacing/>
              <w:jc w:val="left"/>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建筑业</w:t>
            </w:r>
          </w:p>
        </w:tc>
        <w:tc>
          <w:tcPr>
            <w:tcW w:w="1466" w:type="dxa"/>
            <w:shd w:val="clear" w:color="auto" w:fill="auto"/>
            <w:vAlign w:val="center"/>
          </w:tcPr>
          <w:p w14:paraId="6A10E1F6">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营业收入(Y)</w:t>
            </w:r>
          </w:p>
        </w:tc>
        <w:tc>
          <w:tcPr>
            <w:tcW w:w="711" w:type="dxa"/>
            <w:shd w:val="clear" w:color="auto" w:fill="auto"/>
            <w:vAlign w:val="center"/>
          </w:tcPr>
          <w:p w14:paraId="24B988F7">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万元</w:t>
            </w:r>
          </w:p>
        </w:tc>
        <w:tc>
          <w:tcPr>
            <w:tcW w:w="1129" w:type="dxa"/>
            <w:shd w:val="clear" w:color="auto" w:fill="auto"/>
            <w:vAlign w:val="center"/>
          </w:tcPr>
          <w:p w14:paraId="7CC82319">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Y≥80000</w:t>
            </w:r>
          </w:p>
        </w:tc>
        <w:tc>
          <w:tcPr>
            <w:tcW w:w="1706" w:type="dxa"/>
            <w:shd w:val="clear" w:color="auto" w:fill="auto"/>
            <w:vAlign w:val="center"/>
          </w:tcPr>
          <w:p w14:paraId="24F77F34">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6000≤Y＜80000</w:t>
            </w:r>
          </w:p>
        </w:tc>
        <w:tc>
          <w:tcPr>
            <w:tcW w:w="1431" w:type="dxa"/>
            <w:shd w:val="clear" w:color="auto" w:fill="auto"/>
            <w:vAlign w:val="center"/>
          </w:tcPr>
          <w:p w14:paraId="45D7B0F4">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300≤Y＜6000</w:t>
            </w:r>
          </w:p>
        </w:tc>
        <w:tc>
          <w:tcPr>
            <w:tcW w:w="995" w:type="dxa"/>
            <w:shd w:val="clear" w:color="auto" w:fill="auto"/>
            <w:vAlign w:val="center"/>
          </w:tcPr>
          <w:p w14:paraId="7EAC49EB">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Y＜300</w:t>
            </w:r>
          </w:p>
        </w:tc>
      </w:tr>
      <w:tr w14:paraId="3A065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exact"/>
          <w:jc w:val="center"/>
        </w:trPr>
        <w:tc>
          <w:tcPr>
            <w:tcW w:w="1625" w:type="dxa"/>
            <w:vMerge w:val="continue"/>
            <w:vAlign w:val="center"/>
          </w:tcPr>
          <w:p w14:paraId="3FEFFCB0">
            <w:pPr>
              <w:widowControl/>
              <w:spacing w:line="360" w:lineRule="auto"/>
              <w:contextualSpacing/>
              <w:jc w:val="left"/>
              <w:rPr>
                <w:rFonts w:hint="eastAsia" w:cs="宋体" w:asciiTheme="minorEastAsia" w:hAnsiTheme="minorEastAsia" w:eastAsiaTheme="minorEastAsia"/>
                <w:color w:val="auto"/>
                <w:kern w:val="0"/>
                <w:szCs w:val="21"/>
                <w:highlight w:val="none"/>
              </w:rPr>
            </w:pPr>
          </w:p>
        </w:tc>
        <w:tc>
          <w:tcPr>
            <w:tcW w:w="1466" w:type="dxa"/>
            <w:shd w:val="clear" w:color="auto" w:fill="auto"/>
            <w:vAlign w:val="center"/>
          </w:tcPr>
          <w:p w14:paraId="74BDBB0F">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资产总额(Z)</w:t>
            </w:r>
          </w:p>
        </w:tc>
        <w:tc>
          <w:tcPr>
            <w:tcW w:w="711" w:type="dxa"/>
            <w:shd w:val="clear" w:color="auto" w:fill="auto"/>
            <w:vAlign w:val="center"/>
          </w:tcPr>
          <w:p w14:paraId="2DBE2776">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万元</w:t>
            </w:r>
          </w:p>
        </w:tc>
        <w:tc>
          <w:tcPr>
            <w:tcW w:w="1129" w:type="dxa"/>
            <w:shd w:val="clear" w:color="auto" w:fill="auto"/>
            <w:vAlign w:val="center"/>
          </w:tcPr>
          <w:p w14:paraId="72FC9AD4">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Z≥80000</w:t>
            </w:r>
          </w:p>
        </w:tc>
        <w:tc>
          <w:tcPr>
            <w:tcW w:w="1706" w:type="dxa"/>
            <w:shd w:val="clear" w:color="auto" w:fill="auto"/>
            <w:vAlign w:val="center"/>
          </w:tcPr>
          <w:p w14:paraId="5FCCA35C">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5000≤Z＜80000</w:t>
            </w:r>
          </w:p>
        </w:tc>
        <w:tc>
          <w:tcPr>
            <w:tcW w:w="1431" w:type="dxa"/>
            <w:shd w:val="clear" w:color="auto" w:fill="auto"/>
            <w:vAlign w:val="center"/>
          </w:tcPr>
          <w:p w14:paraId="48A3F370">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xml:space="preserve"> 300≤Z＜5000</w:t>
            </w:r>
          </w:p>
        </w:tc>
        <w:tc>
          <w:tcPr>
            <w:tcW w:w="995" w:type="dxa"/>
            <w:shd w:val="clear" w:color="auto" w:fill="auto"/>
            <w:vAlign w:val="center"/>
          </w:tcPr>
          <w:p w14:paraId="54BEE28F">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Z＜300</w:t>
            </w:r>
          </w:p>
        </w:tc>
      </w:tr>
      <w:tr w14:paraId="20323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exact"/>
          <w:jc w:val="center"/>
        </w:trPr>
        <w:tc>
          <w:tcPr>
            <w:tcW w:w="1625" w:type="dxa"/>
            <w:vMerge w:val="restart"/>
            <w:shd w:val="clear" w:color="auto" w:fill="auto"/>
            <w:vAlign w:val="center"/>
          </w:tcPr>
          <w:p w14:paraId="21471B0A">
            <w:pPr>
              <w:widowControl/>
              <w:spacing w:line="360" w:lineRule="auto"/>
              <w:contextualSpacing/>
              <w:jc w:val="left"/>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批发业</w:t>
            </w:r>
          </w:p>
        </w:tc>
        <w:tc>
          <w:tcPr>
            <w:tcW w:w="1466" w:type="dxa"/>
            <w:shd w:val="clear" w:color="auto" w:fill="auto"/>
            <w:vAlign w:val="center"/>
          </w:tcPr>
          <w:p w14:paraId="3FE52061">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从业人员(X)</w:t>
            </w:r>
          </w:p>
        </w:tc>
        <w:tc>
          <w:tcPr>
            <w:tcW w:w="711" w:type="dxa"/>
            <w:shd w:val="clear" w:color="auto" w:fill="auto"/>
            <w:vAlign w:val="center"/>
          </w:tcPr>
          <w:p w14:paraId="54180998">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人</w:t>
            </w:r>
          </w:p>
        </w:tc>
        <w:tc>
          <w:tcPr>
            <w:tcW w:w="1129" w:type="dxa"/>
            <w:shd w:val="clear" w:color="auto" w:fill="auto"/>
            <w:vAlign w:val="center"/>
          </w:tcPr>
          <w:p w14:paraId="3934FCB0">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X≥200</w:t>
            </w:r>
          </w:p>
        </w:tc>
        <w:tc>
          <w:tcPr>
            <w:tcW w:w="1706" w:type="dxa"/>
            <w:shd w:val="clear" w:color="auto" w:fill="auto"/>
            <w:vAlign w:val="center"/>
          </w:tcPr>
          <w:p w14:paraId="40CEB811">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20≤X＜200</w:t>
            </w:r>
          </w:p>
        </w:tc>
        <w:tc>
          <w:tcPr>
            <w:tcW w:w="1431" w:type="dxa"/>
            <w:shd w:val="clear" w:color="auto" w:fill="auto"/>
            <w:vAlign w:val="center"/>
          </w:tcPr>
          <w:p w14:paraId="55782CA1">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xml:space="preserve"> 5≤X＜20</w:t>
            </w:r>
          </w:p>
        </w:tc>
        <w:tc>
          <w:tcPr>
            <w:tcW w:w="995" w:type="dxa"/>
            <w:shd w:val="clear" w:color="auto" w:fill="auto"/>
            <w:vAlign w:val="center"/>
          </w:tcPr>
          <w:p w14:paraId="7E550F20">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X＜5</w:t>
            </w:r>
          </w:p>
        </w:tc>
      </w:tr>
      <w:tr w14:paraId="00B98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exact"/>
          <w:jc w:val="center"/>
        </w:trPr>
        <w:tc>
          <w:tcPr>
            <w:tcW w:w="1625" w:type="dxa"/>
            <w:vMerge w:val="continue"/>
            <w:vAlign w:val="center"/>
          </w:tcPr>
          <w:p w14:paraId="421CE2B6">
            <w:pPr>
              <w:widowControl/>
              <w:spacing w:line="360" w:lineRule="auto"/>
              <w:contextualSpacing/>
              <w:jc w:val="left"/>
              <w:rPr>
                <w:rFonts w:hint="eastAsia" w:cs="宋体" w:asciiTheme="minorEastAsia" w:hAnsiTheme="minorEastAsia" w:eastAsiaTheme="minorEastAsia"/>
                <w:color w:val="auto"/>
                <w:kern w:val="0"/>
                <w:szCs w:val="21"/>
                <w:highlight w:val="none"/>
              </w:rPr>
            </w:pPr>
          </w:p>
        </w:tc>
        <w:tc>
          <w:tcPr>
            <w:tcW w:w="1466" w:type="dxa"/>
            <w:shd w:val="clear" w:color="auto" w:fill="auto"/>
            <w:vAlign w:val="center"/>
          </w:tcPr>
          <w:p w14:paraId="69323E3A">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营业收入(Y)</w:t>
            </w:r>
          </w:p>
        </w:tc>
        <w:tc>
          <w:tcPr>
            <w:tcW w:w="711" w:type="dxa"/>
            <w:shd w:val="clear" w:color="auto" w:fill="auto"/>
            <w:vAlign w:val="center"/>
          </w:tcPr>
          <w:p w14:paraId="478A164E">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万元</w:t>
            </w:r>
          </w:p>
        </w:tc>
        <w:tc>
          <w:tcPr>
            <w:tcW w:w="1129" w:type="dxa"/>
            <w:shd w:val="clear" w:color="auto" w:fill="auto"/>
            <w:vAlign w:val="center"/>
          </w:tcPr>
          <w:p w14:paraId="17868302">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Y≥40000</w:t>
            </w:r>
          </w:p>
        </w:tc>
        <w:tc>
          <w:tcPr>
            <w:tcW w:w="1706" w:type="dxa"/>
            <w:shd w:val="clear" w:color="auto" w:fill="auto"/>
            <w:vAlign w:val="center"/>
          </w:tcPr>
          <w:p w14:paraId="1E5CA0F2">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5000≤Y＜40000</w:t>
            </w:r>
          </w:p>
        </w:tc>
        <w:tc>
          <w:tcPr>
            <w:tcW w:w="1431" w:type="dxa"/>
            <w:shd w:val="clear" w:color="auto" w:fill="auto"/>
            <w:vAlign w:val="center"/>
          </w:tcPr>
          <w:p w14:paraId="629726C0">
            <w:pPr>
              <w:widowControl/>
              <w:spacing w:line="360" w:lineRule="auto"/>
              <w:ind w:left="-1" w:leftChars="-1" w:hanging="1"/>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1000≤Y＜5000</w:t>
            </w:r>
          </w:p>
        </w:tc>
        <w:tc>
          <w:tcPr>
            <w:tcW w:w="995" w:type="dxa"/>
            <w:shd w:val="clear" w:color="auto" w:fill="auto"/>
            <w:vAlign w:val="center"/>
          </w:tcPr>
          <w:p w14:paraId="5BB66E7D">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Y＜1000</w:t>
            </w:r>
          </w:p>
        </w:tc>
      </w:tr>
      <w:tr w14:paraId="1CF8E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exact"/>
          <w:jc w:val="center"/>
        </w:trPr>
        <w:tc>
          <w:tcPr>
            <w:tcW w:w="1625" w:type="dxa"/>
            <w:vMerge w:val="restart"/>
            <w:shd w:val="clear" w:color="auto" w:fill="auto"/>
            <w:vAlign w:val="center"/>
          </w:tcPr>
          <w:p w14:paraId="68EF0A1E">
            <w:pPr>
              <w:widowControl/>
              <w:spacing w:line="360" w:lineRule="auto"/>
              <w:contextualSpacing/>
              <w:jc w:val="left"/>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零售业</w:t>
            </w:r>
          </w:p>
        </w:tc>
        <w:tc>
          <w:tcPr>
            <w:tcW w:w="1466" w:type="dxa"/>
            <w:shd w:val="clear" w:color="auto" w:fill="auto"/>
            <w:vAlign w:val="center"/>
          </w:tcPr>
          <w:p w14:paraId="356419FC">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从业人员(X)</w:t>
            </w:r>
          </w:p>
        </w:tc>
        <w:tc>
          <w:tcPr>
            <w:tcW w:w="711" w:type="dxa"/>
            <w:shd w:val="clear" w:color="auto" w:fill="auto"/>
            <w:vAlign w:val="center"/>
          </w:tcPr>
          <w:p w14:paraId="5C45ABDE">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人</w:t>
            </w:r>
          </w:p>
        </w:tc>
        <w:tc>
          <w:tcPr>
            <w:tcW w:w="1129" w:type="dxa"/>
            <w:shd w:val="clear" w:color="auto" w:fill="auto"/>
            <w:vAlign w:val="center"/>
          </w:tcPr>
          <w:p w14:paraId="77DF3CE3">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X≥300</w:t>
            </w:r>
          </w:p>
        </w:tc>
        <w:tc>
          <w:tcPr>
            <w:tcW w:w="1706" w:type="dxa"/>
            <w:shd w:val="clear" w:color="auto" w:fill="auto"/>
            <w:vAlign w:val="center"/>
          </w:tcPr>
          <w:p w14:paraId="4A2FB71E">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50≤X＜300</w:t>
            </w:r>
          </w:p>
        </w:tc>
        <w:tc>
          <w:tcPr>
            <w:tcW w:w="1431" w:type="dxa"/>
            <w:shd w:val="clear" w:color="auto" w:fill="auto"/>
            <w:vAlign w:val="center"/>
          </w:tcPr>
          <w:p w14:paraId="2390CE0C">
            <w:pPr>
              <w:widowControl/>
              <w:spacing w:line="360" w:lineRule="auto"/>
              <w:ind w:left="-1" w:leftChars="-1" w:hanging="1"/>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xml:space="preserve">10≤X＜50 </w:t>
            </w:r>
          </w:p>
        </w:tc>
        <w:tc>
          <w:tcPr>
            <w:tcW w:w="995" w:type="dxa"/>
            <w:shd w:val="clear" w:color="auto" w:fill="auto"/>
            <w:vAlign w:val="center"/>
          </w:tcPr>
          <w:p w14:paraId="053D552A">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X＜10</w:t>
            </w:r>
          </w:p>
        </w:tc>
      </w:tr>
      <w:tr w14:paraId="1C001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exact"/>
          <w:jc w:val="center"/>
        </w:trPr>
        <w:tc>
          <w:tcPr>
            <w:tcW w:w="1625" w:type="dxa"/>
            <w:vMerge w:val="continue"/>
            <w:vAlign w:val="center"/>
          </w:tcPr>
          <w:p w14:paraId="138C36E2">
            <w:pPr>
              <w:widowControl/>
              <w:spacing w:line="360" w:lineRule="auto"/>
              <w:contextualSpacing/>
              <w:jc w:val="left"/>
              <w:rPr>
                <w:rFonts w:hint="eastAsia" w:cs="宋体" w:asciiTheme="minorEastAsia" w:hAnsiTheme="minorEastAsia" w:eastAsiaTheme="minorEastAsia"/>
                <w:color w:val="auto"/>
                <w:kern w:val="0"/>
                <w:szCs w:val="21"/>
                <w:highlight w:val="none"/>
              </w:rPr>
            </w:pPr>
          </w:p>
        </w:tc>
        <w:tc>
          <w:tcPr>
            <w:tcW w:w="1466" w:type="dxa"/>
            <w:shd w:val="clear" w:color="auto" w:fill="auto"/>
            <w:vAlign w:val="center"/>
          </w:tcPr>
          <w:p w14:paraId="052246F5">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营业收入(Y)</w:t>
            </w:r>
          </w:p>
        </w:tc>
        <w:tc>
          <w:tcPr>
            <w:tcW w:w="711" w:type="dxa"/>
            <w:shd w:val="clear" w:color="auto" w:fill="auto"/>
            <w:vAlign w:val="center"/>
          </w:tcPr>
          <w:p w14:paraId="0F08EA17">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万元</w:t>
            </w:r>
          </w:p>
        </w:tc>
        <w:tc>
          <w:tcPr>
            <w:tcW w:w="1129" w:type="dxa"/>
            <w:shd w:val="clear" w:color="auto" w:fill="auto"/>
            <w:vAlign w:val="center"/>
          </w:tcPr>
          <w:p w14:paraId="640939F6">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Y≥20000</w:t>
            </w:r>
          </w:p>
        </w:tc>
        <w:tc>
          <w:tcPr>
            <w:tcW w:w="1706" w:type="dxa"/>
            <w:shd w:val="clear" w:color="auto" w:fill="auto"/>
            <w:vAlign w:val="center"/>
          </w:tcPr>
          <w:p w14:paraId="510188C1">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xml:space="preserve"> 500≤Y＜20000</w:t>
            </w:r>
          </w:p>
        </w:tc>
        <w:tc>
          <w:tcPr>
            <w:tcW w:w="1431" w:type="dxa"/>
            <w:shd w:val="clear" w:color="auto" w:fill="auto"/>
            <w:vAlign w:val="center"/>
          </w:tcPr>
          <w:p w14:paraId="42E82DA7">
            <w:pPr>
              <w:widowControl/>
              <w:spacing w:line="360" w:lineRule="auto"/>
              <w:ind w:left="-1" w:leftChars="-1" w:hanging="1"/>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xml:space="preserve">100≤Y＜500 </w:t>
            </w:r>
          </w:p>
        </w:tc>
        <w:tc>
          <w:tcPr>
            <w:tcW w:w="995" w:type="dxa"/>
            <w:shd w:val="clear" w:color="auto" w:fill="auto"/>
            <w:vAlign w:val="center"/>
          </w:tcPr>
          <w:p w14:paraId="602C3BD4">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Y＜100</w:t>
            </w:r>
          </w:p>
        </w:tc>
      </w:tr>
      <w:tr w14:paraId="498F5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exact"/>
          <w:jc w:val="center"/>
        </w:trPr>
        <w:tc>
          <w:tcPr>
            <w:tcW w:w="1625" w:type="dxa"/>
            <w:vMerge w:val="restart"/>
            <w:shd w:val="clear" w:color="auto" w:fill="auto"/>
            <w:vAlign w:val="center"/>
          </w:tcPr>
          <w:p w14:paraId="4B87808E">
            <w:pPr>
              <w:widowControl/>
              <w:spacing w:line="360" w:lineRule="auto"/>
              <w:contextualSpacing/>
              <w:jc w:val="left"/>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交通运输业 *</w:t>
            </w:r>
          </w:p>
        </w:tc>
        <w:tc>
          <w:tcPr>
            <w:tcW w:w="1466" w:type="dxa"/>
            <w:shd w:val="clear" w:color="auto" w:fill="auto"/>
            <w:vAlign w:val="center"/>
          </w:tcPr>
          <w:p w14:paraId="285BA16D">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从业人员(X)</w:t>
            </w:r>
          </w:p>
        </w:tc>
        <w:tc>
          <w:tcPr>
            <w:tcW w:w="711" w:type="dxa"/>
            <w:shd w:val="clear" w:color="auto" w:fill="auto"/>
            <w:vAlign w:val="center"/>
          </w:tcPr>
          <w:p w14:paraId="5E4CA445">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人</w:t>
            </w:r>
          </w:p>
        </w:tc>
        <w:tc>
          <w:tcPr>
            <w:tcW w:w="1129" w:type="dxa"/>
            <w:shd w:val="clear" w:color="auto" w:fill="auto"/>
            <w:vAlign w:val="center"/>
          </w:tcPr>
          <w:p w14:paraId="3D46C475">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X≥1000</w:t>
            </w:r>
          </w:p>
        </w:tc>
        <w:tc>
          <w:tcPr>
            <w:tcW w:w="1706" w:type="dxa"/>
            <w:shd w:val="clear" w:color="auto" w:fill="auto"/>
            <w:vAlign w:val="center"/>
          </w:tcPr>
          <w:p w14:paraId="5EEB8ABA">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300≤X＜1000</w:t>
            </w:r>
          </w:p>
        </w:tc>
        <w:tc>
          <w:tcPr>
            <w:tcW w:w="1431" w:type="dxa"/>
            <w:shd w:val="clear" w:color="auto" w:fill="auto"/>
            <w:vAlign w:val="center"/>
          </w:tcPr>
          <w:p w14:paraId="0D35F3B1">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xml:space="preserve"> 20≤X＜300</w:t>
            </w:r>
          </w:p>
        </w:tc>
        <w:tc>
          <w:tcPr>
            <w:tcW w:w="995" w:type="dxa"/>
            <w:shd w:val="clear" w:color="auto" w:fill="auto"/>
            <w:vAlign w:val="center"/>
          </w:tcPr>
          <w:p w14:paraId="69D272EA">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X＜20</w:t>
            </w:r>
          </w:p>
        </w:tc>
      </w:tr>
      <w:tr w14:paraId="66954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exact"/>
          <w:jc w:val="center"/>
        </w:trPr>
        <w:tc>
          <w:tcPr>
            <w:tcW w:w="1625" w:type="dxa"/>
            <w:vMerge w:val="continue"/>
            <w:vAlign w:val="center"/>
          </w:tcPr>
          <w:p w14:paraId="1BC50E5A">
            <w:pPr>
              <w:widowControl/>
              <w:spacing w:line="360" w:lineRule="auto"/>
              <w:contextualSpacing/>
              <w:jc w:val="left"/>
              <w:rPr>
                <w:rFonts w:hint="eastAsia" w:cs="宋体" w:asciiTheme="minorEastAsia" w:hAnsiTheme="minorEastAsia" w:eastAsiaTheme="minorEastAsia"/>
                <w:color w:val="auto"/>
                <w:kern w:val="0"/>
                <w:szCs w:val="21"/>
                <w:highlight w:val="none"/>
              </w:rPr>
            </w:pPr>
          </w:p>
        </w:tc>
        <w:tc>
          <w:tcPr>
            <w:tcW w:w="1466" w:type="dxa"/>
            <w:shd w:val="clear" w:color="auto" w:fill="auto"/>
            <w:vAlign w:val="center"/>
          </w:tcPr>
          <w:p w14:paraId="71C441F9">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营业收入(Y)</w:t>
            </w:r>
          </w:p>
        </w:tc>
        <w:tc>
          <w:tcPr>
            <w:tcW w:w="711" w:type="dxa"/>
            <w:shd w:val="clear" w:color="auto" w:fill="auto"/>
            <w:vAlign w:val="center"/>
          </w:tcPr>
          <w:p w14:paraId="1123DEE7">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万元</w:t>
            </w:r>
          </w:p>
        </w:tc>
        <w:tc>
          <w:tcPr>
            <w:tcW w:w="1129" w:type="dxa"/>
            <w:shd w:val="clear" w:color="auto" w:fill="auto"/>
            <w:vAlign w:val="center"/>
          </w:tcPr>
          <w:p w14:paraId="282AF7B2">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Y≥30000</w:t>
            </w:r>
          </w:p>
        </w:tc>
        <w:tc>
          <w:tcPr>
            <w:tcW w:w="1706" w:type="dxa"/>
            <w:shd w:val="clear" w:color="auto" w:fill="auto"/>
            <w:vAlign w:val="center"/>
          </w:tcPr>
          <w:p w14:paraId="136D2ED9">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3000≤Y＜30000</w:t>
            </w:r>
          </w:p>
        </w:tc>
        <w:tc>
          <w:tcPr>
            <w:tcW w:w="1431" w:type="dxa"/>
            <w:shd w:val="clear" w:color="auto" w:fill="auto"/>
            <w:vAlign w:val="center"/>
          </w:tcPr>
          <w:p w14:paraId="5EAB03BC">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xml:space="preserve"> 200≤Y＜3000</w:t>
            </w:r>
          </w:p>
        </w:tc>
        <w:tc>
          <w:tcPr>
            <w:tcW w:w="995" w:type="dxa"/>
            <w:shd w:val="clear" w:color="auto" w:fill="auto"/>
            <w:vAlign w:val="center"/>
          </w:tcPr>
          <w:p w14:paraId="61BB3962">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Y＜200</w:t>
            </w:r>
          </w:p>
        </w:tc>
      </w:tr>
      <w:tr w14:paraId="3785C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exact"/>
          <w:jc w:val="center"/>
        </w:trPr>
        <w:tc>
          <w:tcPr>
            <w:tcW w:w="1625" w:type="dxa"/>
            <w:vMerge w:val="restart"/>
            <w:shd w:val="clear" w:color="auto" w:fill="auto"/>
            <w:vAlign w:val="center"/>
          </w:tcPr>
          <w:p w14:paraId="08103523">
            <w:pPr>
              <w:widowControl/>
              <w:spacing w:line="360" w:lineRule="auto"/>
              <w:contextualSpacing/>
              <w:jc w:val="left"/>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仓储业</w:t>
            </w:r>
          </w:p>
        </w:tc>
        <w:tc>
          <w:tcPr>
            <w:tcW w:w="1466" w:type="dxa"/>
            <w:shd w:val="clear" w:color="auto" w:fill="auto"/>
            <w:vAlign w:val="center"/>
          </w:tcPr>
          <w:p w14:paraId="70D341B9">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从业人员(X)</w:t>
            </w:r>
          </w:p>
        </w:tc>
        <w:tc>
          <w:tcPr>
            <w:tcW w:w="711" w:type="dxa"/>
            <w:shd w:val="clear" w:color="auto" w:fill="auto"/>
            <w:vAlign w:val="center"/>
          </w:tcPr>
          <w:p w14:paraId="738D5761">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人</w:t>
            </w:r>
          </w:p>
        </w:tc>
        <w:tc>
          <w:tcPr>
            <w:tcW w:w="1129" w:type="dxa"/>
            <w:shd w:val="clear" w:color="auto" w:fill="auto"/>
            <w:vAlign w:val="center"/>
          </w:tcPr>
          <w:p w14:paraId="105E2A23">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X≥200</w:t>
            </w:r>
          </w:p>
        </w:tc>
        <w:tc>
          <w:tcPr>
            <w:tcW w:w="1706" w:type="dxa"/>
            <w:shd w:val="clear" w:color="auto" w:fill="auto"/>
            <w:vAlign w:val="center"/>
          </w:tcPr>
          <w:p w14:paraId="07834AF9">
            <w:pPr>
              <w:widowControl/>
              <w:spacing w:line="360" w:lineRule="auto"/>
              <w:ind w:left="19" w:leftChars="-51" w:hanging="126" w:hangingChars="60"/>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100≤X＜200</w:t>
            </w:r>
          </w:p>
        </w:tc>
        <w:tc>
          <w:tcPr>
            <w:tcW w:w="1431" w:type="dxa"/>
            <w:shd w:val="clear" w:color="auto" w:fill="auto"/>
            <w:vAlign w:val="center"/>
          </w:tcPr>
          <w:p w14:paraId="52DFE628">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xml:space="preserve"> 20≤X＜100</w:t>
            </w:r>
          </w:p>
        </w:tc>
        <w:tc>
          <w:tcPr>
            <w:tcW w:w="995" w:type="dxa"/>
            <w:shd w:val="clear" w:color="auto" w:fill="auto"/>
            <w:vAlign w:val="center"/>
          </w:tcPr>
          <w:p w14:paraId="728D731B">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X＜20</w:t>
            </w:r>
          </w:p>
        </w:tc>
      </w:tr>
      <w:tr w14:paraId="363C8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exact"/>
          <w:jc w:val="center"/>
        </w:trPr>
        <w:tc>
          <w:tcPr>
            <w:tcW w:w="1625" w:type="dxa"/>
            <w:vMerge w:val="continue"/>
            <w:vAlign w:val="center"/>
          </w:tcPr>
          <w:p w14:paraId="221161E1">
            <w:pPr>
              <w:widowControl/>
              <w:spacing w:line="360" w:lineRule="auto"/>
              <w:contextualSpacing/>
              <w:jc w:val="left"/>
              <w:rPr>
                <w:rFonts w:hint="eastAsia" w:cs="宋体" w:asciiTheme="minorEastAsia" w:hAnsiTheme="minorEastAsia" w:eastAsiaTheme="minorEastAsia"/>
                <w:color w:val="auto"/>
                <w:kern w:val="0"/>
                <w:szCs w:val="21"/>
                <w:highlight w:val="none"/>
              </w:rPr>
            </w:pPr>
          </w:p>
        </w:tc>
        <w:tc>
          <w:tcPr>
            <w:tcW w:w="1466" w:type="dxa"/>
            <w:shd w:val="clear" w:color="auto" w:fill="auto"/>
            <w:vAlign w:val="center"/>
          </w:tcPr>
          <w:p w14:paraId="0FE4B5EE">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营业收入(Y)</w:t>
            </w:r>
          </w:p>
        </w:tc>
        <w:tc>
          <w:tcPr>
            <w:tcW w:w="711" w:type="dxa"/>
            <w:shd w:val="clear" w:color="auto" w:fill="auto"/>
            <w:vAlign w:val="center"/>
          </w:tcPr>
          <w:p w14:paraId="54241FFC">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万元</w:t>
            </w:r>
          </w:p>
        </w:tc>
        <w:tc>
          <w:tcPr>
            <w:tcW w:w="1129" w:type="dxa"/>
            <w:shd w:val="clear" w:color="auto" w:fill="auto"/>
            <w:vAlign w:val="center"/>
          </w:tcPr>
          <w:p w14:paraId="08EBED0D">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Y≥30000</w:t>
            </w:r>
          </w:p>
        </w:tc>
        <w:tc>
          <w:tcPr>
            <w:tcW w:w="1706" w:type="dxa"/>
            <w:shd w:val="clear" w:color="auto" w:fill="auto"/>
            <w:vAlign w:val="center"/>
          </w:tcPr>
          <w:p w14:paraId="5DF1D1C7">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1000≤Y＜30000</w:t>
            </w:r>
          </w:p>
        </w:tc>
        <w:tc>
          <w:tcPr>
            <w:tcW w:w="1431" w:type="dxa"/>
            <w:shd w:val="clear" w:color="auto" w:fill="auto"/>
            <w:vAlign w:val="center"/>
          </w:tcPr>
          <w:p w14:paraId="2109B921">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xml:space="preserve"> 100≤Y＜1000</w:t>
            </w:r>
          </w:p>
        </w:tc>
        <w:tc>
          <w:tcPr>
            <w:tcW w:w="995" w:type="dxa"/>
            <w:shd w:val="clear" w:color="auto" w:fill="auto"/>
            <w:vAlign w:val="center"/>
          </w:tcPr>
          <w:p w14:paraId="0D0FE7CE">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Y＜100</w:t>
            </w:r>
          </w:p>
        </w:tc>
      </w:tr>
      <w:tr w14:paraId="22C3D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exact"/>
          <w:jc w:val="center"/>
        </w:trPr>
        <w:tc>
          <w:tcPr>
            <w:tcW w:w="1625" w:type="dxa"/>
            <w:vMerge w:val="restart"/>
            <w:shd w:val="clear" w:color="auto" w:fill="auto"/>
            <w:vAlign w:val="center"/>
          </w:tcPr>
          <w:p w14:paraId="4A4F8FD8">
            <w:pPr>
              <w:widowControl/>
              <w:spacing w:line="360" w:lineRule="auto"/>
              <w:contextualSpacing/>
              <w:jc w:val="left"/>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邮政业</w:t>
            </w:r>
          </w:p>
        </w:tc>
        <w:tc>
          <w:tcPr>
            <w:tcW w:w="1466" w:type="dxa"/>
            <w:shd w:val="clear" w:color="auto" w:fill="auto"/>
            <w:vAlign w:val="center"/>
          </w:tcPr>
          <w:p w14:paraId="694E3C04">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从业人员(X)</w:t>
            </w:r>
          </w:p>
        </w:tc>
        <w:tc>
          <w:tcPr>
            <w:tcW w:w="711" w:type="dxa"/>
            <w:shd w:val="clear" w:color="auto" w:fill="auto"/>
            <w:vAlign w:val="center"/>
          </w:tcPr>
          <w:p w14:paraId="79614A87">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人</w:t>
            </w:r>
          </w:p>
        </w:tc>
        <w:tc>
          <w:tcPr>
            <w:tcW w:w="1129" w:type="dxa"/>
            <w:shd w:val="clear" w:color="auto" w:fill="auto"/>
            <w:vAlign w:val="center"/>
          </w:tcPr>
          <w:p w14:paraId="24751E85">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X≥1000</w:t>
            </w:r>
          </w:p>
        </w:tc>
        <w:tc>
          <w:tcPr>
            <w:tcW w:w="1706" w:type="dxa"/>
            <w:shd w:val="clear" w:color="auto" w:fill="auto"/>
            <w:vAlign w:val="center"/>
          </w:tcPr>
          <w:p w14:paraId="3C20A95C">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300≤X＜1000</w:t>
            </w:r>
          </w:p>
        </w:tc>
        <w:tc>
          <w:tcPr>
            <w:tcW w:w="1431" w:type="dxa"/>
            <w:shd w:val="clear" w:color="auto" w:fill="auto"/>
            <w:vAlign w:val="center"/>
          </w:tcPr>
          <w:p w14:paraId="4C0E0E7B">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xml:space="preserve"> 20≤X＜300</w:t>
            </w:r>
          </w:p>
        </w:tc>
        <w:tc>
          <w:tcPr>
            <w:tcW w:w="995" w:type="dxa"/>
            <w:shd w:val="clear" w:color="auto" w:fill="auto"/>
            <w:vAlign w:val="center"/>
          </w:tcPr>
          <w:p w14:paraId="524E5947">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X＜20</w:t>
            </w:r>
          </w:p>
        </w:tc>
      </w:tr>
      <w:tr w14:paraId="694AF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exact"/>
          <w:jc w:val="center"/>
        </w:trPr>
        <w:tc>
          <w:tcPr>
            <w:tcW w:w="1625" w:type="dxa"/>
            <w:vMerge w:val="continue"/>
            <w:vAlign w:val="center"/>
          </w:tcPr>
          <w:p w14:paraId="4DDEBDBD">
            <w:pPr>
              <w:widowControl/>
              <w:spacing w:line="360" w:lineRule="auto"/>
              <w:contextualSpacing/>
              <w:jc w:val="left"/>
              <w:rPr>
                <w:rFonts w:hint="eastAsia" w:cs="宋体" w:asciiTheme="minorEastAsia" w:hAnsiTheme="minorEastAsia" w:eastAsiaTheme="minorEastAsia"/>
                <w:color w:val="auto"/>
                <w:kern w:val="0"/>
                <w:szCs w:val="21"/>
                <w:highlight w:val="none"/>
              </w:rPr>
            </w:pPr>
          </w:p>
        </w:tc>
        <w:tc>
          <w:tcPr>
            <w:tcW w:w="1466" w:type="dxa"/>
            <w:shd w:val="clear" w:color="auto" w:fill="auto"/>
            <w:vAlign w:val="center"/>
          </w:tcPr>
          <w:p w14:paraId="7521D605">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营业收入(Y)</w:t>
            </w:r>
          </w:p>
        </w:tc>
        <w:tc>
          <w:tcPr>
            <w:tcW w:w="711" w:type="dxa"/>
            <w:shd w:val="clear" w:color="auto" w:fill="auto"/>
            <w:vAlign w:val="center"/>
          </w:tcPr>
          <w:p w14:paraId="2E1C8045">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万元</w:t>
            </w:r>
          </w:p>
        </w:tc>
        <w:tc>
          <w:tcPr>
            <w:tcW w:w="1129" w:type="dxa"/>
            <w:shd w:val="clear" w:color="auto" w:fill="auto"/>
            <w:vAlign w:val="center"/>
          </w:tcPr>
          <w:p w14:paraId="167193B0">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Y≥30000</w:t>
            </w:r>
          </w:p>
        </w:tc>
        <w:tc>
          <w:tcPr>
            <w:tcW w:w="1706" w:type="dxa"/>
            <w:shd w:val="clear" w:color="auto" w:fill="auto"/>
            <w:vAlign w:val="center"/>
          </w:tcPr>
          <w:p w14:paraId="1E3B7864">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2000≤Y＜30000</w:t>
            </w:r>
          </w:p>
        </w:tc>
        <w:tc>
          <w:tcPr>
            <w:tcW w:w="1431" w:type="dxa"/>
            <w:shd w:val="clear" w:color="auto" w:fill="auto"/>
            <w:vAlign w:val="center"/>
          </w:tcPr>
          <w:p w14:paraId="6A8669AB">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xml:space="preserve"> 100≤Y＜2000</w:t>
            </w:r>
          </w:p>
        </w:tc>
        <w:tc>
          <w:tcPr>
            <w:tcW w:w="995" w:type="dxa"/>
            <w:shd w:val="clear" w:color="auto" w:fill="auto"/>
            <w:vAlign w:val="center"/>
          </w:tcPr>
          <w:p w14:paraId="4190C10D">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Y＜100</w:t>
            </w:r>
          </w:p>
        </w:tc>
      </w:tr>
      <w:tr w14:paraId="55851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exact"/>
          <w:jc w:val="center"/>
        </w:trPr>
        <w:tc>
          <w:tcPr>
            <w:tcW w:w="1625" w:type="dxa"/>
            <w:vMerge w:val="restart"/>
            <w:shd w:val="clear" w:color="auto" w:fill="auto"/>
            <w:vAlign w:val="center"/>
          </w:tcPr>
          <w:p w14:paraId="7C6D2E45">
            <w:pPr>
              <w:widowControl/>
              <w:spacing w:line="360" w:lineRule="auto"/>
              <w:contextualSpacing/>
              <w:jc w:val="left"/>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住宿业</w:t>
            </w:r>
          </w:p>
        </w:tc>
        <w:tc>
          <w:tcPr>
            <w:tcW w:w="1466" w:type="dxa"/>
            <w:shd w:val="clear" w:color="auto" w:fill="auto"/>
            <w:vAlign w:val="center"/>
          </w:tcPr>
          <w:p w14:paraId="039512AB">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从业人员(X)</w:t>
            </w:r>
          </w:p>
        </w:tc>
        <w:tc>
          <w:tcPr>
            <w:tcW w:w="711" w:type="dxa"/>
            <w:shd w:val="clear" w:color="auto" w:fill="auto"/>
            <w:vAlign w:val="center"/>
          </w:tcPr>
          <w:p w14:paraId="08F9D881">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人</w:t>
            </w:r>
          </w:p>
        </w:tc>
        <w:tc>
          <w:tcPr>
            <w:tcW w:w="1129" w:type="dxa"/>
            <w:shd w:val="clear" w:color="auto" w:fill="auto"/>
            <w:vAlign w:val="center"/>
          </w:tcPr>
          <w:p w14:paraId="73F3910C">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X≥300</w:t>
            </w:r>
          </w:p>
        </w:tc>
        <w:tc>
          <w:tcPr>
            <w:tcW w:w="1706" w:type="dxa"/>
            <w:shd w:val="clear" w:color="auto" w:fill="auto"/>
            <w:vAlign w:val="center"/>
          </w:tcPr>
          <w:p w14:paraId="62105E70">
            <w:pPr>
              <w:widowControl/>
              <w:spacing w:line="360" w:lineRule="auto"/>
              <w:ind w:left="19" w:leftChars="-51" w:hanging="126" w:hangingChars="60"/>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xml:space="preserve">100≤X＜300 </w:t>
            </w:r>
          </w:p>
        </w:tc>
        <w:tc>
          <w:tcPr>
            <w:tcW w:w="1431" w:type="dxa"/>
            <w:shd w:val="clear" w:color="auto" w:fill="auto"/>
            <w:vAlign w:val="center"/>
          </w:tcPr>
          <w:p w14:paraId="2903C9E1">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xml:space="preserve"> 10≤X＜100</w:t>
            </w:r>
          </w:p>
        </w:tc>
        <w:tc>
          <w:tcPr>
            <w:tcW w:w="995" w:type="dxa"/>
            <w:shd w:val="clear" w:color="auto" w:fill="auto"/>
            <w:vAlign w:val="center"/>
          </w:tcPr>
          <w:p w14:paraId="11647264">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X＜10</w:t>
            </w:r>
          </w:p>
        </w:tc>
      </w:tr>
      <w:tr w14:paraId="61B8F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8" w:hRule="exact"/>
          <w:jc w:val="center"/>
        </w:trPr>
        <w:tc>
          <w:tcPr>
            <w:tcW w:w="1625" w:type="dxa"/>
            <w:vMerge w:val="continue"/>
            <w:vAlign w:val="center"/>
          </w:tcPr>
          <w:p w14:paraId="6E8C41E2">
            <w:pPr>
              <w:widowControl/>
              <w:spacing w:line="360" w:lineRule="auto"/>
              <w:contextualSpacing/>
              <w:jc w:val="left"/>
              <w:rPr>
                <w:rFonts w:hint="eastAsia" w:cs="宋体" w:asciiTheme="minorEastAsia" w:hAnsiTheme="minorEastAsia" w:eastAsiaTheme="minorEastAsia"/>
                <w:color w:val="auto"/>
                <w:kern w:val="0"/>
                <w:szCs w:val="21"/>
                <w:highlight w:val="none"/>
              </w:rPr>
            </w:pPr>
          </w:p>
        </w:tc>
        <w:tc>
          <w:tcPr>
            <w:tcW w:w="1466" w:type="dxa"/>
            <w:shd w:val="clear" w:color="auto" w:fill="auto"/>
            <w:vAlign w:val="center"/>
          </w:tcPr>
          <w:p w14:paraId="15C87A8F">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营业收入(Y)</w:t>
            </w:r>
          </w:p>
        </w:tc>
        <w:tc>
          <w:tcPr>
            <w:tcW w:w="711" w:type="dxa"/>
            <w:shd w:val="clear" w:color="auto" w:fill="auto"/>
            <w:vAlign w:val="center"/>
          </w:tcPr>
          <w:p w14:paraId="47127260">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万元</w:t>
            </w:r>
          </w:p>
        </w:tc>
        <w:tc>
          <w:tcPr>
            <w:tcW w:w="1129" w:type="dxa"/>
            <w:shd w:val="clear" w:color="auto" w:fill="auto"/>
            <w:vAlign w:val="center"/>
          </w:tcPr>
          <w:p w14:paraId="29BAB015">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Y≥10000</w:t>
            </w:r>
          </w:p>
        </w:tc>
        <w:tc>
          <w:tcPr>
            <w:tcW w:w="1706" w:type="dxa"/>
            <w:shd w:val="clear" w:color="auto" w:fill="auto"/>
            <w:vAlign w:val="center"/>
          </w:tcPr>
          <w:p w14:paraId="7A01DBFC">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2000≤Y＜10000</w:t>
            </w:r>
          </w:p>
        </w:tc>
        <w:tc>
          <w:tcPr>
            <w:tcW w:w="1431" w:type="dxa"/>
            <w:shd w:val="clear" w:color="auto" w:fill="auto"/>
            <w:vAlign w:val="center"/>
          </w:tcPr>
          <w:p w14:paraId="346141E4">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xml:space="preserve"> 100≤Y＜2000</w:t>
            </w:r>
          </w:p>
        </w:tc>
        <w:tc>
          <w:tcPr>
            <w:tcW w:w="995" w:type="dxa"/>
            <w:shd w:val="clear" w:color="auto" w:fill="auto"/>
            <w:vAlign w:val="center"/>
          </w:tcPr>
          <w:p w14:paraId="12299EAC">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Y＜100</w:t>
            </w:r>
          </w:p>
        </w:tc>
      </w:tr>
      <w:tr w14:paraId="7651B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exact"/>
          <w:jc w:val="center"/>
        </w:trPr>
        <w:tc>
          <w:tcPr>
            <w:tcW w:w="1625" w:type="dxa"/>
            <w:vMerge w:val="restart"/>
            <w:shd w:val="clear" w:color="auto" w:fill="auto"/>
            <w:vAlign w:val="center"/>
          </w:tcPr>
          <w:p w14:paraId="0F742F83">
            <w:pPr>
              <w:widowControl/>
              <w:spacing w:line="360" w:lineRule="auto"/>
              <w:contextualSpacing/>
              <w:jc w:val="left"/>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餐饮业</w:t>
            </w:r>
          </w:p>
        </w:tc>
        <w:tc>
          <w:tcPr>
            <w:tcW w:w="1466" w:type="dxa"/>
            <w:shd w:val="clear" w:color="auto" w:fill="auto"/>
            <w:vAlign w:val="center"/>
          </w:tcPr>
          <w:p w14:paraId="774F73D4">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从业人员(X)</w:t>
            </w:r>
          </w:p>
        </w:tc>
        <w:tc>
          <w:tcPr>
            <w:tcW w:w="711" w:type="dxa"/>
            <w:shd w:val="clear" w:color="auto" w:fill="auto"/>
            <w:vAlign w:val="center"/>
          </w:tcPr>
          <w:p w14:paraId="3E1B718B">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人</w:t>
            </w:r>
          </w:p>
        </w:tc>
        <w:tc>
          <w:tcPr>
            <w:tcW w:w="1129" w:type="dxa"/>
            <w:shd w:val="clear" w:color="auto" w:fill="auto"/>
            <w:vAlign w:val="center"/>
          </w:tcPr>
          <w:p w14:paraId="3DDFC022">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X≥300</w:t>
            </w:r>
          </w:p>
        </w:tc>
        <w:tc>
          <w:tcPr>
            <w:tcW w:w="1706" w:type="dxa"/>
            <w:shd w:val="clear" w:color="auto" w:fill="auto"/>
            <w:vAlign w:val="center"/>
          </w:tcPr>
          <w:p w14:paraId="4BDA9BA3">
            <w:pPr>
              <w:widowControl/>
              <w:spacing w:line="360" w:lineRule="auto"/>
              <w:ind w:left="19" w:leftChars="-51" w:hanging="126" w:hangingChars="60"/>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xml:space="preserve">100≤X＜300 </w:t>
            </w:r>
          </w:p>
        </w:tc>
        <w:tc>
          <w:tcPr>
            <w:tcW w:w="1431" w:type="dxa"/>
            <w:shd w:val="clear" w:color="auto" w:fill="auto"/>
            <w:vAlign w:val="center"/>
          </w:tcPr>
          <w:p w14:paraId="1C919A67">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xml:space="preserve"> 10≤X＜100</w:t>
            </w:r>
          </w:p>
        </w:tc>
        <w:tc>
          <w:tcPr>
            <w:tcW w:w="995" w:type="dxa"/>
            <w:shd w:val="clear" w:color="auto" w:fill="auto"/>
            <w:vAlign w:val="center"/>
          </w:tcPr>
          <w:p w14:paraId="18DD2142">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X＜10</w:t>
            </w:r>
          </w:p>
        </w:tc>
      </w:tr>
      <w:tr w14:paraId="37E7A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exact"/>
          <w:jc w:val="center"/>
        </w:trPr>
        <w:tc>
          <w:tcPr>
            <w:tcW w:w="1625" w:type="dxa"/>
            <w:vMerge w:val="continue"/>
            <w:vAlign w:val="center"/>
          </w:tcPr>
          <w:p w14:paraId="371445A3">
            <w:pPr>
              <w:widowControl/>
              <w:spacing w:line="360" w:lineRule="auto"/>
              <w:contextualSpacing/>
              <w:jc w:val="left"/>
              <w:rPr>
                <w:rFonts w:hint="eastAsia" w:cs="宋体" w:asciiTheme="minorEastAsia" w:hAnsiTheme="minorEastAsia" w:eastAsiaTheme="minorEastAsia"/>
                <w:color w:val="auto"/>
                <w:kern w:val="0"/>
                <w:szCs w:val="21"/>
                <w:highlight w:val="none"/>
              </w:rPr>
            </w:pPr>
          </w:p>
        </w:tc>
        <w:tc>
          <w:tcPr>
            <w:tcW w:w="1466" w:type="dxa"/>
            <w:shd w:val="clear" w:color="auto" w:fill="auto"/>
            <w:vAlign w:val="center"/>
          </w:tcPr>
          <w:p w14:paraId="1FC03DAE">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营业收入(Y)</w:t>
            </w:r>
          </w:p>
        </w:tc>
        <w:tc>
          <w:tcPr>
            <w:tcW w:w="711" w:type="dxa"/>
            <w:shd w:val="clear" w:color="auto" w:fill="auto"/>
            <w:vAlign w:val="center"/>
          </w:tcPr>
          <w:p w14:paraId="2D0B1048">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万元</w:t>
            </w:r>
          </w:p>
        </w:tc>
        <w:tc>
          <w:tcPr>
            <w:tcW w:w="1129" w:type="dxa"/>
            <w:shd w:val="clear" w:color="auto" w:fill="auto"/>
            <w:vAlign w:val="center"/>
          </w:tcPr>
          <w:p w14:paraId="1C7C6C5B">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Y≥10000</w:t>
            </w:r>
          </w:p>
        </w:tc>
        <w:tc>
          <w:tcPr>
            <w:tcW w:w="1706" w:type="dxa"/>
            <w:shd w:val="clear" w:color="auto" w:fill="auto"/>
            <w:vAlign w:val="center"/>
          </w:tcPr>
          <w:p w14:paraId="6C559C7F">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2000≤Y＜10000</w:t>
            </w:r>
          </w:p>
        </w:tc>
        <w:tc>
          <w:tcPr>
            <w:tcW w:w="1431" w:type="dxa"/>
            <w:shd w:val="clear" w:color="auto" w:fill="auto"/>
            <w:vAlign w:val="center"/>
          </w:tcPr>
          <w:p w14:paraId="2B61B23E">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xml:space="preserve"> 100≤Y＜2000</w:t>
            </w:r>
          </w:p>
        </w:tc>
        <w:tc>
          <w:tcPr>
            <w:tcW w:w="995" w:type="dxa"/>
            <w:shd w:val="clear" w:color="auto" w:fill="auto"/>
            <w:vAlign w:val="center"/>
          </w:tcPr>
          <w:p w14:paraId="5DFFC2F9">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Y＜100</w:t>
            </w:r>
          </w:p>
        </w:tc>
      </w:tr>
      <w:tr w14:paraId="36AFC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exact"/>
          <w:jc w:val="center"/>
        </w:trPr>
        <w:tc>
          <w:tcPr>
            <w:tcW w:w="1625" w:type="dxa"/>
            <w:vMerge w:val="restart"/>
            <w:shd w:val="clear" w:color="auto" w:fill="auto"/>
            <w:vAlign w:val="center"/>
          </w:tcPr>
          <w:p w14:paraId="4D9C5D83">
            <w:pPr>
              <w:widowControl/>
              <w:spacing w:line="360" w:lineRule="auto"/>
              <w:contextualSpacing/>
              <w:jc w:val="left"/>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信息传输业 *</w:t>
            </w:r>
          </w:p>
        </w:tc>
        <w:tc>
          <w:tcPr>
            <w:tcW w:w="1466" w:type="dxa"/>
            <w:shd w:val="clear" w:color="auto" w:fill="auto"/>
            <w:vAlign w:val="center"/>
          </w:tcPr>
          <w:p w14:paraId="02BC4C9A">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从业人员(X)</w:t>
            </w:r>
          </w:p>
        </w:tc>
        <w:tc>
          <w:tcPr>
            <w:tcW w:w="711" w:type="dxa"/>
            <w:shd w:val="clear" w:color="auto" w:fill="auto"/>
            <w:vAlign w:val="center"/>
          </w:tcPr>
          <w:p w14:paraId="0CD3538A">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人</w:t>
            </w:r>
          </w:p>
        </w:tc>
        <w:tc>
          <w:tcPr>
            <w:tcW w:w="1129" w:type="dxa"/>
            <w:shd w:val="clear" w:color="auto" w:fill="auto"/>
            <w:vAlign w:val="center"/>
          </w:tcPr>
          <w:p w14:paraId="22389354">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X≥2000</w:t>
            </w:r>
          </w:p>
        </w:tc>
        <w:tc>
          <w:tcPr>
            <w:tcW w:w="1706" w:type="dxa"/>
            <w:shd w:val="clear" w:color="auto" w:fill="auto"/>
            <w:vAlign w:val="center"/>
          </w:tcPr>
          <w:p w14:paraId="6F78BED7">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100≤X＜2000</w:t>
            </w:r>
          </w:p>
        </w:tc>
        <w:tc>
          <w:tcPr>
            <w:tcW w:w="1431" w:type="dxa"/>
            <w:shd w:val="clear" w:color="auto" w:fill="auto"/>
            <w:vAlign w:val="center"/>
          </w:tcPr>
          <w:p w14:paraId="063E3E0D">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xml:space="preserve"> 10≤X＜100</w:t>
            </w:r>
          </w:p>
        </w:tc>
        <w:tc>
          <w:tcPr>
            <w:tcW w:w="995" w:type="dxa"/>
            <w:shd w:val="clear" w:color="auto" w:fill="auto"/>
            <w:vAlign w:val="center"/>
          </w:tcPr>
          <w:p w14:paraId="1CDF1EDD">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X＜10</w:t>
            </w:r>
          </w:p>
        </w:tc>
      </w:tr>
      <w:tr w14:paraId="41F20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3" w:hRule="exact"/>
          <w:jc w:val="center"/>
        </w:trPr>
        <w:tc>
          <w:tcPr>
            <w:tcW w:w="1625" w:type="dxa"/>
            <w:vMerge w:val="continue"/>
            <w:vAlign w:val="center"/>
          </w:tcPr>
          <w:p w14:paraId="10C74762">
            <w:pPr>
              <w:widowControl/>
              <w:spacing w:line="360" w:lineRule="auto"/>
              <w:contextualSpacing/>
              <w:jc w:val="left"/>
              <w:rPr>
                <w:rFonts w:hint="eastAsia" w:cs="宋体" w:asciiTheme="minorEastAsia" w:hAnsiTheme="minorEastAsia" w:eastAsiaTheme="minorEastAsia"/>
                <w:color w:val="auto"/>
                <w:kern w:val="0"/>
                <w:szCs w:val="21"/>
                <w:highlight w:val="none"/>
              </w:rPr>
            </w:pPr>
          </w:p>
        </w:tc>
        <w:tc>
          <w:tcPr>
            <w:tcW w:w="1466" w:type="dxa"/>
            <w:shd w:val="clear" w:color="auto" w:fill="auto"/>
            <w:vAlign w:val="center"/>
          </w:tcPr>
          <w:p w14:paraId="480A2C81">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营业收入(Y)</w:t>
            </w:r>
          </w:p>
        </w:tc>
        <w:tc>
          <w:tcPr>
            <w:tcW w:w="711" w:type="dxa"/>
            <w:shd w:val="clear" w:color="auto" w:fill="auto"/>
            <w:vAlign w:val="center"/>
          </w:tcPr>
          <w:p w14:paraId="495A29A7">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万元</w:t>
            </w:r>
          </w:p>
        </w:tc>
        <w:tc>
          <w:tcPr>
            <w:tcW w:w="1129" w:type="dxa"/>
            <w:shd w:val="clear" w:color="auto" w:fill="auto"/>
            <w:vAlign w:val="center"/>
          </w:tcPr>
          <w:p w14:paraId="22FCCEE0">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Y≥100000</w:t>
            </w:r>
          </w:p>
        </w:tc>
        <w:tc>
          <w:tcPr>
            <w:tcW w:w="1706" w:type="dxa"/>
            <w:shd w:val="clear" w:color="auto" w:fill="auto"/>
            <w:vAlign w:val="center"/>
          </w:tcPr>
          <w:p w14:paraId="57992DBB">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xml:space="preserve"> 1000≤Y＜100000</w:t>
            </w:r>
          </w:p>
        </w:tc>
        <w:tc>
          <w:tcPr>
            <w:tcW w:w="1431" w:type="dxa"/>
            <w:shd w:val="clear" w:color="auto" w:fill="auto"/>
            <w:vAlign w:val="center"/>
          </w:tcPr>
          <w:p w14:paraId="2A7C4E47">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xml:space="preserve"> 100≤Y＜1000</w:t>
            </w:r>
          </w:p>
        </w:tc>
        <w:tc>
          <w:tcPr>
            <w:tcW w:w="995" w:type="dxa"/>
            <w:shd w:val="clear" w:color="auto" w:fill="auto"/>
            <w:vAlign w:val="center"/>
          </w:tcPr>
          <w:p w14:paraId="7DD3D07B">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Y＜100</w:t>
            </w:r>
          </w:p>
        </w:tc>
      </w:tr>
      <w:tr w14:paraId="0072E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exact"/>
          <w:jc w:val="center"/>
        </w:trPr>
        <w:tc>
          <w:tcPr>
            <w:tcW w:w="1625" w:type="dxa"/>
            <w:vMerge w:val="restart"/>
            <w:shd w:val="clear" w:color="auto" w:fill="auto"/>
            <w:vAlign w:val="center"/>
          </w:tcPr>
          <w:p w14:paraId="7CB4F1A8">
            <w:pPr>
              <w:widowControl/>
              <w:spacing w:line="360" w:lineRule="auto"/>
              <w:contextualSpacing/>
              <w:jc w:val="left"/>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软件和信息技术服务业</w:t>
            </w:r>
          </w:p>
        </w:tc>
        <w:tc>
          <w:tcPr>
            <w:tcW w:w="1466" w:type="dxa"/>
            <w:shd w:val="clear" w:color="auto" w:fill="auto"/>
            <w:vAlign w:val="center"/>
          </w:tcPr>
          <w:p w14:paraId="44A7C540">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从业人员(X)</w:t>
            </w:r>
          </w:p>
        </w:tc>
        <w:tc>
          <w:tcPr>
            <w:tcW w:w="711" w:type="dxa"/>
            <w:shd w:val="clear" w:color="auto" w:fill="auto"/>
            <w:vAlign w:val="center"/>
          </w:tcPr>
          <w:p w14:paraId="7346EE9B">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人</w:t>
            </w:r>
          </w:p>
        </w:tc>
        <w:tc>
          <w:tcPr>
            <w:tcW w:w="1129" w:type="dxa"/>
            <w:shd w:val="clear" w:color="auto" w:fill="auto"/>
            <w:vAlign w:val="center"/>
          </w:tcPr>
          <w:p w14:paraId="033C9FA8">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X≥300</w:t>
            </w:r>
          </w:p>
        </w:tc>
        <w:tc>
          <w:tcPr>
            <w:tcW w:w="1706" w:type="dxa"/>
            <w:shd w:val="clear" w:color="auto" w:fill="auto"/>
            <w:vAlign w:val="center"/>
          </w:tcPr>
          <w:p w14:paraId="47C5A082">
            <w:pPr>
              <w:widowControl/>
              <w:spacing w:line="360" w:lineRule="auto"/>
              <w:ind w:left="19" w:leftChars="-51" w:hanging="126" w:hangingChars="60"/>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xml:space="preserve">100≤X＜300 </w:t>
            </w:r>
          </w:p>
        </w:tc>
        <w:tc>
          <w:tcPr>
            <w:tcW w:w="1431" w:type="dxa"/>
            <w:shd w:val="clear" w:color="auto" w:fill="auto"/>
            <w:vAlign w:val="center"/>
          </w:tcPr>
          <w:p w14:paraId="03AB8914">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xml:space="preserve"> 10≤X＜100</w:t>
            </w:r>
          </w:p>
        </w:tc>
        <w:tc>
          <w:tcPr>
            <w:tcW w:w="995" w:type="dxa"/>
            <w:shd w:val="clear" w:color="auto" w:fill="auto"/>
            <w:vAlign w:val="center"/>
          </w:tcPr>
          <w:p w14:paraId="66B67352">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X＜10</w:t>
            </w:r>
          </w:p>
        </w:tc>
      </w:tr>
      <w:tr w14:paraId="6F6F7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exact"/>
          <w:jc w:val="center"/>
        </w:trPr>
        <w:tc>
          <w:tcPr>
            <w:tcW w:w="1625" w:type="dxa"/>
            <w:vMerge w:val="continue"/>
            <w:vAlign w:val="center"/>
          </w:tcPr>
          <w:p w14:paraId="54076F81">
            <w:pPr>
              <w:widowControl/>
              <w:spacing w:line="360" w:lineRule="auto"/>
              <w:contextualSpacing/>
              <w:jc w:val="left"/>
              <w:rPr>
                <w:rFonts w:hint="eastAsia" w:cs="宋体" w:asciiTheme="minorEastAsia" w:hAnsiTheme="minorEastAsia" w:eastAsiaTheme="minorEastAsia"/>
                <w:color w:val="auto"/>
                <w:kern w:val="0"/>
                <w:szCs w:val="21"/>
                <w:highlight w:val="none"/>
              </w:rPr>
            </w:pPr>
          </w:p>
        </w:tc>
        <w:tc>
          <w:tcPr>
            <w:tcW w:w="1466" w:type="dxa"/>
            <w:shd w:val="clear" w:color="auto" w:fill="auto"/>
            <w:vAlign w:val="center"/>
          </w:tcPr>
          <w:p w14:paraId="3C4D8659">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营业收入(Y)</w:t>
            </w:r>
          </w:p>
        </w:tc>
        <w:tc>
          <w:tcPr>
            <w:tcW w:w="711" w:type="dxa"/>
            <w:shd w:val="clear" w:color="auto" w:fill="auto"/>
            <w:vAlign w:val="center"/>
          </w:tcPr>
          <w:p w14:paraId="0527EB83">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万元</w:t>
            </w:r>
          </w:p>
        </w:tc>
        <w:tc>
          <w:tcPr>
            <w:tcW w:w="1129" w:type="dxa"/>
            <w:shd w:val="clear" w:color="auto" w:fill="auto"/>
            <w:vAlign w:val="center"/>
          </w:tcPr>
          <w:p w14:paraId="6782B8A2">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Y≥10000</w:t>
            </w:r>
          </w:p>
        </w:tc>
        <w:tc>
          <w:tcPr>
            <w:tcW w:w="1706" w:type="dxa"/>
            <w:shd w:val="clear" w:color="auto" w:fill="auto"/>
            <w:vAlign w:val="center"/>
          </w:tcPr>
          <w:p w14:paraId="1CF219F6">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1000≤Y＜10000</w:t>
            </w:r>
          </w:p>
        </w:tc>
        <w:tc>
          <w:tcPr>
            <w:tcW w:w="1431" w:type="dxa"/>
            <w:shd w:val="clear" w:color="auto" w:fill="auto"/>
            <w:vAlign w:val="center"/>
          </w:tcPr>
          <w:p w14:paraId="0EDAB68E">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xml:space="preserve">  50≤Y＜1000</w:t>
            </w:r>
          </w:p>
        </w:tc>
        <w:tc>
          <w:tcPr>
            <w:tcW w:w="995" w:type="dxa"/>
            <w:shd w:val="clear" w:color="auto" w:fill="auto"/>
            <w:vAlign w:val="center"/>
          </w:tcPr>
          <w:p w14:paraId="779A244C">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Y＜50</w:t>
            </w:r>
          </w:p>
        </w:tc>
      </w:tr>
      <w:tr w14:paraId="00CF8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exact"/>
          <w:jc w:val="center"/>
        </w:trPr>
        <w:tc>
          <w:tcPr>
            <w:tcW w:w="1625" w:type="dxa"/>
            <w:vMerge w:val="restart"/>
            <w:shd w:val="clear" w:color="auto" w:fill="auto"/>
            <w:vAlign w:val="center"/>
          </w:tcPr>
          <w:p w14:paraId="2285160A">
            <w:pPr>
              <w:widowControl/>
              <w:spacing w:line="360" w:lineRule="auto"/>
              <w:contextualSpacing/>
              <w:jc w:val="left"/>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房地产开发经营</w:t>
            </w:r>
          </w:p>
        </w:tc>
        <w:tc>
          <w:tcPr>
            <w:tcW w:w="1466" w:type="dxa"/>
            <w:shd w:val="clear" w:color="auto" w:fill="auto"/>
            <w:vAlign w:val="center"/>
          </w:tcPr>
          <w:p w14:paraId="66AB3767">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营业收入(Y)</w:t>
            </w:r>
          </w:p>
        </w:tc>
        <w:tc>
          <w:tcPr>
            <w:tcW w:w="711" w:type="dxa"/>
            <w:shd w:val="clear" w:color="auto" w:fill="auto"/>
            <w:vAlign w:val="center"/>
          </w:tcPr>
          <w:p w14:paraId="517945FB">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万元</w:t>
            </w:r>
          </w:p>
        </w:tc>
        <w:tc>
          <w:tcPr>
            <w:tcW w:w="1129" w:type="dxa"/>
            <w:shd w:val="clear" w:color="auto" w:fill="auto"/>
            <w:vAlign w:val="center"/>
          </w:tcPr>
          <w:p w14:paraId="347E86AD">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Y≥200000</w:t>
            </w:r>
          </w:p>
        </w:tc>
        <w:tc>
          <w:tcPr>
            <w:tcW w:w="1706" w:type="dxa"/>
            <w:shd w:val="clear" w:color="auto" w:fill="auto"/>
            <w:vAlign w:val="center"/>
          </w:tcPr>
          <w:p w14:paraId="7501622D">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xml:space="preserve"> 1000≤Y＜200000</w:t>
            </w:r>
          </w:p>
        </w:tc>
        <w:tc>
          <w:tcPr>
            <w:tcW w:w="1431" w:type="dxa"/>
            <w:shd w:val="clear" w:color="auto" w:fill="auto"/>
            <w:vAlign w:val="center"/>
          </w:tcPr>
          <w:p w14:paraId="5120558D">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xml:space="preserve"> 100≤Y＜1000</w:t>
            </w:r>
          </w:p>
        </w:tc>
        <w:tc>
          <w:tcPr>
            <w:tcW w:w="995" w:type="dxa"/>
            <w:shd w:val="clear" w:color="auto" w:fill="auto"/>
            <w:vAlign w:val="center"/>
          </w:tcPr>
          <w:p w14:paraId="607EF024">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Y＜100</w:t>
            </w:r>
          </w:p>
        </w:tc>
      </w:tr>
      <w:tr w14:paraId="2CBD8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exact"/>
          <w:jc w:val="center"/>
        </w:trPr>
        <w:tc>
          <w:tcPr>
            <w:tcW w:w="1625" w:type="dxa"/>
            <w:vMerge w:val="continue"/>
            <w:vAlign w:val="center"/>
          </w:tcPr>
          <w:p w14:paraId="338E0023">
            <w:pPr>
              <w:widowControl/>
              <w:spacing w:line="360" w:lineRule="auto"/>
              <w:contextualSpacing/>
              <w:jc w:val="left"/>
              <w:rPr>
                <w:rFonts w:hint="eastAsia" w:cs="宋体" w:asciiTheme="minorEastAsia" w:hAnsiTheme="minorEastAsia" w:eastAsiaTheme="minorEastAsia"/>
                <w:color w:val="auto"/>
                <w:kern w:val="0"/>
                <w:szCs w:val="21"/>
                <w:highlight w:val="none"/>
              </w:rPr>
            </w:pPr>
          </w:p>
        </w:tc>
        <w:tc>
          <w:tcPr>
            <w:tcW w:w="1466" w:type="dxa"/>
            <w:shd w:val="clear" w:color="auto" w:fill="auto"/>
            <w:vAlign w:val="center"/>
          </w:tcPr>
          <w:p w14:paraId="69A7FE41">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资产总额(Z)</w:t>
            </w:r>
          </w:p>
        </w:tc>
        <w:tc>
          <w:tcPr>
            <w:tcW w:w="711" w:type="dxa"/>
            <w:shd w:val="clear" w:color="auto" w:fill="auto"/>
            <w:vAlign w:val="center"/>
          </w:tcPr>
          <w:p w14:paraId="6CD1EA26">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万元</w:t>
            </w:r>
          </w:p>
        </w:tc>
        <w:tc>
          <w:tcPr>
            <w:tcW w:w="1129" w:type="dxa"/>
            <w:shd w:val="clear" w:color="auto" w:fill="auto"/>
            <w:vAlign w:val="center"/>
          </w:tcPr>
          <w:p w14:paraId="4C10B6EE">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Z≥10000</w:t>
            </w:r>
          </w:p>
        </w:tc>
        <w:tc>
          <w:tcPr>
            <w:tcW w:w="1706" w:type="dxa"/>
            <w:shd w:val="clear" w:color="auto" w:fill="auto"/>
            <w:vAlign w:val="center"/>
          </w:tcPr>
          <w:p w14:paraId="38469D81">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5000≤Z＜10000</w:t>
            </w:r>
          </w:p>
        </w:tc>
        <w:tc>
          <w:tcPr>
            <w:tcW w:w="1431" w:type="dxa"/>
            <w:shd w:val="clear" w:color="auto" w:fill="auto"/>
            <w:vAlign w:val="center"/>
          </w:tcPr>
          <w:p w14:paraId="08153DED">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xml:space="preserve">2000≤Z＜5000   </w:t>
            </w:r>
          </w:p>
        </w:tc>
        <w:tc>
          <w:tcPr>
            <w:tcW w:w="995" w:type="dxa"/>
            <w:shd w:val="clear" w:color="auto" w:fill="auto"/>
            <w:vAlign w:val="center"/>
          </w:tcPr>
          <w:p w14:paraId="31F55B54">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Z＜2000</w:t>
            </w:r>
          </w:p>
        </w:tc>
      </w:tr>
      <w:tr w14:paraId="4B6B4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exact"/>
          <w:jc w:val="center"/>
        </w:trPr>
        <w:tc>
          <w:tcPr>
            <w:tcW w:w="1625" w:type="dxa"/>
            <w:vMerge w:val="restart"/>
            <w:shd w:val="clear" w:color="auto" w:fill="auto"/>
            <w:vAlign w:val="center"/>
          </w:tcPr>
          <w:p w14:paraId="7D35F2F1">
            <w:pPr>
              <w:widowControl/>
              <w:spacing w:line="360" w:lineRule="auto"/>
              <w:contextualSpacing/>
              <w:jc w:val="left"/>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物业管理</w:t>
            </w:r>
          </w:p>
        </w:tc>
        <w:tc>
          <w:tcPr>
            <w:tcW w:w="1466" w:type="dxa"/>
            <w:shd w:val="clear" w:color="auto" w:fill="auto"/>
            <w:vAlign w:val="center"/>
          </w:tcPr>
          <w:p w14:paraId="19B60848">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从业人员(X)</w:t>
            </w:r>
          </w:p>
        </w:tc>
        <w:tc>
          <w:tcPr>
            <w:tcW w:w="711" w:type="dxa"/>
            <w:shd w:val="clear" w:color="auto" w:fill="auto"/>
            <w:vAlign w:val="center"/>
          </w:tcPr>
          <w:p w14:paraId="77686807">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人</w:t>
            </w:r>
          </w:p>
        </w:tc>
        <w:tc>
          <w:tcPr>
            <w:tcW w:w="1129" w:type="dxa"/>
            <w:shd w:val="clear" w:color="auto" w:fill="auto"/>
            <w:vAlign w:val="center"/>
          </w:tcPr>
          <w:p w14:paraId="7B6BC562">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X≥1000</w:t>
            </w:r>
          </w:p>
        </w:tc>
        <w:tc>
          <w:tcPr>
            <w:tcW w:w="1706" w:type="dxa"/>
            <w:shd w:val="clear" w:color="auto" w:fill="auto"/>
            <w:vAlign w:val="center"/>
          </w:tcPr>
          <w:p w14:paraId="70802FB8">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300≤X＜1000</w:t>
            </w:r>
          </w:p>
        </w:tc>
        <w:tc>
          <w:tcPr>
            <w:tcW w:w="1431" w:type="dxa"/>
            <w:shd w:val="clear" w:color="auto" w:fill="auto"/>
            <w:vAlign w:val="center"/>
          </w:tcPr>
          <w:p w14:paraId="00B38E13">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xml:space="preserve">100≤X＜300 </w:t>
            </w:r>
          </w:p>
        </w:tc>
        <w:tc>
          <w:tcPr>
            <w:tcW w:w="995" w:type="dxa"/>
            <w:shd w:val="clear" w:color="auto" w:fill="auto"/>
            <w:vAlign w:val="center"/>
          </w:tcPr>
          <w:p w14:paraId="035E157F">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X＜100</w:t>
            </w:r>
          </w:p>
        </w:tc>
      </w:tr>
      <w:tr w14:paraId="4D139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1625" w:type="dxa"/>
            <w:vMerge w:val="continue"/>
            <w:vAlign w:val="center"/>
          </w:tcPr>
          <w:p w14:paraId="6E2F0E56">
            <w:pPr>
              <w:widowControl/>
              <w:spacing w:line="360" w:lineRule="auto"/>
              <w:contextualSpacing/>
              <w:jc w:val="left"/>
              <w:rPr>
                <w:rFonts w:hint="eastAsia" w:cs="宋体" w:asciiTheme="minorEastAsia" w:hAnsiTheme="minorEastAsia" w:eastAsiaTheme="minorEastAsia"/>
                <w:color w:val="auto"/>
                <w:kern w:val="0"/>
                <w:szCs w:val="21"/>
                <w:highlight w:val="none"/>
              </w:rPr>
            </w:pPr>
          </w:p>
        </w:tc>
        <w:tc>
          <w:tcPr>
            <w:tcW w:w="1466" w:type="dxa"/>
            <w:shd w:val="clear" w:color="auto" w:fill="auto"/>
            <w:vAlign w:val="center"/>
          </w:tcPr>
          <w:p w14:paraId="1E45DACD">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营业收入(Y)</w:t>
            </w:r>
          </w:p>
        </w:tc>
        <w:tc>
          <w:tcPr>
            <w:tcW w:w="711" w:type="dxa"/>
            <w:shd w:val="clear" w:color="auto" w:fill="auto"/>
            <w:vAlign w:val="center"/>
          </w:tcPr>
          <w:p w14:paraId="78E7B120">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万元</w:t>
            </w:r>
          </w:p>
        </w:tc>
        <w:tc>
          <w:tcPr>
            <w:tcW w:w="1129" w:type="dxa"/>
            <w:shd w:val="clear" w:color="auto" w:fill="auto"/>
            <w:vAlign w:val="center"/>
          </w:tcPr>
          <w:p w14:paraId="6B8323D7">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Y≥5000</w:t>
            </w:r>
          </w:p>
        </w:tc>
        <w:tc>
          <w:tcPr>
            <w:tcW w:w="1706" w:type="dxa"/>
            <w:shd w:val="clear" w:color="auto" w:fill="auto"/>
            <w:vAlign w:val="center"/>
          </w:tcPr>
          <w:p w14:paraId="2102DBD4">
            <w:pPr>
              <w:widowControl/>
              <w:spacing w:line="360" w:lineRule="auto"/>
              <w:ind w:left="19" w:leftChars="-51" w:hanging="126" w:hangingChars="60"/>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xml:space="preserve">1000≤Y＜5000 </w:t>
            </w:r>
          </w:p>
        </w:tc>
        <w:tc>
          <w:tcPr>
            <w:tcW w:w="1431" w:type="dxa"/>
            <w:shd w:val="clear" w:color="auto" w:fill="auto"/>
            <w:vAlign w:val="center"/>
          </w:tcPr>
          <w:p w14:paraId="05B81D13">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xml:space="preserve"> 500≤Y＜1000</w:t>
            </w:r>
          </w:p>
        </w:tc>
        <w:tc>
          <w:tcPr>
            <w:tcW w:w="995" w:type="dxa"/>
            <w:shd w:val="clear" w:color="auto" w:fill="auto"/>
            <w:vAlign w:val="center"/>
          </w:tcPr>
          <w:p w14:paraId="03401934">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Y＜500</w:t>
            </w:r>
          </w:p>
        </w:tc>
      </w:tr>
      <w:tr w14:paraId="0F96A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exact"/>
          <w:jc w:val="center"/>
        </w:trPr>
        <w:tc>
          <w:tcPr>
            <w:tcW w:w="1625" w:type="dxa"/>
            <w:vMerge w:val="restart"/>
            <w:shd w:val="clear" w:color="auto" w:fill="auto"/>
            <w:vAlign w:val="center"/>
          </w:tcPr>
          <w:p w14:paraId="03540B77">
            <w:pPr>
              <w:widowControl/>
              <w:spacing w:line="360" w:lineRule="auto"/>
              <w:contextualSpacing/>
              <w:jc w:val="left"/>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租赁和商务服务业</w:t>
            </w:r>
          </w:p>
        </w:tc>
        <w:tc>
          <w:tcPr>
            <w:tcW w:w="1466" w:type="dxa"/>
            <w:shd w:val="clear" w:color="auto" w:fill="auto"/>
            <w:vAlign w:val="center"/>
          </w:tcPr>
          <w:p w14:paraId="4A487FD7">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从业人员(X)</w:t>
            </w:r>
          </w:p>
        </w:tc>
        <w:tc>
          <w:tcPr>
            <w:tcW w:w="711" w:type="dxa"/>
            <w:shd w:val="clear" w:color="auto" w:fill="auto"/>
            <w:vAlign w:val="center"/>
          </w:tcPr>
          <w:p w14:paraId="5A5D2A02">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人</w:t>
            </w:r>
          </w:p>
        </w:tc>
        <w:tc>
          <w:tcPr>
            <w:tcW w:w="1129" w:type="dxa"/>
            <w:shd w:val="clear" w:color="auto" w:fill="auto"/>
            <w:vAlign w:val="center"/>
          </w:tcPr>
          <w:p w14:paraId="43216378">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X≥300</w:t>
            </w:r>
          </w:p>
        </w:tc>
        <w:tc>
          <w:tcPr>
            <w:tcW w:w="1706" w:type="dxa"/>
            <w:shd w:val="clear" w:color="auto" w:fill="auto"/>
            <w:vAlign w:val="center"/>
          </w:tcPr>
          <w:p w14:paraId="72F1DD24">
            <w:pPr>
              <w:widowControl/>
              <w:spacing w:line="360" w:lineRule="auto"/>
              <w:ind w:left="19" w:leftChars="-51" w:hanging="126" w:hangingChars="60"/>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xml:space="preserve">100≤X＜300 </w:t>
            </w:r>
          </w:p>
        </w:tc>
        <w:tc>
          <w:tcPr>
            <w:tcW w:w="1431" w:type="dxa"/>
            <w:shd w:val="clear" w:color="auto" w:fill="auto"/>
            <w:vAlign w:val="center"/>
          </w:tcPr>
          <w:p w14:paraId="43BD9328">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xml:space="preserve"> 10≤X＜100</w:t>
            </w:r>
          </w:p>
        </w:tc>
        <w:tc>
          <w:tcPr>
            <w:tcW w:w="995" w:type="dxa"/>
            <w:shd w:val="clear" w:color="auto" w:fill="auto"/>
            <w:vAlign w:val="center"/>
          </w:tcPr>
          <w:p w14:paraId="5AC340B8">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X＜10</w:t>
            </w:r>
          </w:p>
        </w:tc>
      </w:tr>
      <w:tr w14:paraId="59E3C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2" w:hRule="exact"/>
          <w:jc w:val="center"/>
        </w:trPr>
        <w:tc>
          <w:tcPr>
            <w:tcW w:w="1625" w:type="dxa"/>
            <w:vMerge w:val="continue"/>
            <w:vAlign w:val="center"/>
          </w:tcPr>
          <w:p w14:paraId="22BEE37F">
            <w:pPr>
              <w:widowControl/>
              <w:spacing w:line="360" w:lineRule="auto"/>
              <w:contextualSpacing/>
              <w:jc w:val="left"/>
              <w:rPr>
                <w:rFonts w:hint="eastAsia" w:cs="宋体" w:asciiTheme="minorEastAsia" w:hAnsiTheme="minorEastAsia" w:eastAsiaTheme="minorEastAsia"/>
                <w:color w:val="auto"/>
                <w:kern w:val="0"/>
                <w:szCs w:val="21"/>
                <w:highlight w:val="none"/>
              </w:rPr>
            </w:pPr>
          </w:p>
        </w:tc>
        <w:tc>
          <w:tcPr>
            <w:tcW w:w="1466" w:type="dxa"/>
            <w:shd w:val="clear" w:color="auto" w:fill="auto"/>
            <w:vAlign w:val="center"/>
          </w:tcPr>
          <w:p w14:paraId="102A541C">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资产总额(Z)</w:t>
            </w:r>
          </w:p>
        </w:tc>
        <w:tc>
          <w:tcPr>
            <w:tcW w:w="711" w:type="dxa"/>
            <w:shd w:val="clear" w:color="auto" w:fill="auto"/>
            <w:vAlign w:val="center"/>
          </w:tcPr>
          <w:p w14:paraId="42E968E6">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万元</w:t>
            </w:r>
          </w:p>
        </w:tc>
        <w:tc>
          <w:tcPr>
            <w:tcW w:w="1129" w:type="dxa"/>
            <w:shd w:val="clear" w:color="auto" w:fill="auto"/>
            <w:vAlign w:val="center"/>
          </w:tcPr>
          <w:p w14:paraId="0F6A1846">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Z≥120000</w:t>
            </w:r>
          </w:p>
        </w:tc>
        <w:tc>
          <w:tcPr>
            <w:tcW w:w="1706" w:type="dxa"/>
            <w:shd w:val="clear" w:color="auto" w:fill="auto"/>
            <w:vAlign w:val="center"/>
          </w:tcPr>
          <w:p w14:paraId="7431EB4D">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xml:space="preserve"> 8000≤Z＜120000</w:t>
            </w:r>
          </w:p>
        </w:tc>
        <w:tc>
          <w:tcPr>
            <w:tcW w:w="1431" w:type="dxa"/>
            <w:shd w:val="clear" w:color="auto" w:fill="auto"/>
            <w:vAlign w:val="center"/>
          </w:tcPr>
          <w:p w14:paraId="3A1CD9D1">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xml:space="preserve"> 100≤Z＜8000</w:t>
            </w:r>
          </w:p>
        </w:tc>
        <w:tc>
          <w:tcPr>
            <w:tcW w:w="995" w:type="dxa"/>
            <w:shd w:val="clear" w:color="auto" w:fill="auto"/>
            <w:vAlign w:val="center"/>
          </w:tcPr>
          <w:p w14:paraId="7FDCEFAD">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Z＜100</w:t>
            </w:r>
          </w:p>
        </w:tc>
      </w:tr>
      <w:tr w14:paraId="3B455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0" w:hRule="exact"/>
          <w:jc w:val="center"/>
        </w:trPr>
        <w:tc>
          <w:tcPr>
            <w:tcW w:w="1625" w:type="dxa"/>
            <w:shd w:val="clear" w:color="auto" w:fill="auto"/>
            <w:vAlign w:val="center"/>
          </w:tcPr>
          <w:p w14:paraId="13708BD9">
            <w:pPr>
              <w:widowControl/>
              <w:spacing w:line="360" w:lineRule="auto"/>
              <w:contextualSpacing/>
              <w:jc w:val="left"/>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其他未列明行业 *</w:t>
            </w:r>
          </w:p>
        </w:tc>
        <w:tc>
          <w:tcPr>
            <w:tcW w:w="1466" w:type="dxa"/>
            <w:shd w:val="clear" w:color="auto" w:fill="auto"/>
            <w:vAlign w:val="center"/>
          </w:tcPr>
          <w:p w14:paraId="5FB1B0F0">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从业人员(X)</w:t>
            </w:r>
          </w:p>
        </w:tc>
        <w:tc>
          <w:tcPr>
            <w:tcW w:w="711" w:type="dxa"/>
            <w:shd w:val="clear" w:color="auto" w:fill="auto"/>
            <w:vAlign w:val="center"/>
          </w:tcPr>
          <w:p w14:paraId="3EDDCE5D">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人</w:t>
            </w:r>
          </w:p>
        </w:tc>
        <w:tc>
          <w:tcPr>
            <w:tcW w:w="1129" w:type="dxa"/>
            <w:shd w:val="clear" w:color="auto" w:fill="auto"/>
            <w:vAlign w:val="center"/>
          </w:tcPr>
          <w:p w14:paraId="5E42A431">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X≥300</w:t>
            </w:r>
          </w:p>
        </w:tc>
        <w:tc>
          <w:tcPr>
            <w:tcW w:w="1706" w:type="dxa"/>
            <w:shd w:val="clear" w:color="auto" w:fill="auto"/>
            <w:vAlign w:val="center"/>
          </w:tcPr>
          <w:p w14:paraId="3DA1E6E9">
            <w:pPr>
              <w:widowControl/>
              <w:spacing w:line="360" w:lineRule="auto"/>
              <w:ind w:left="19" w:leftChars="-51" w:hanging="126" w:hangingChars="60"/>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xml:space="preserve">100≤X＜300 </w:t>
            </w:r>
          </w:p>
        </w:tc>
        <w:tc>
          <w:tcPr>
            <w:tcW w:w="1431" w:type="dxa"/>
            <w:shd w:val="clear" w:color="auto" w:fill="auto"/>
            <w:vAlign w:val="center"/>
          </w:tcPr>
          <w:p w14:paraId="07243CD5">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xml:space="preserve"> 10≤X＜100</w:t>
            </w:r>
          </w:p>
        </w:tc>
        <w:tc>
          <w:tcPr>
            <w:tcW w:w="995" w:type="dxa"/>
            <w:shd w:val="clear" w:color="auto" w:fill="auto"/>
            <w:vAlign w:val="center"/>
          </w:tcPr>
          <w:p w14:paraId="143E7619">
            <w:pPr>
              <w:widowControl/>
              <w:spacing w:line="360" w:lineRule="auto"/>
              <w:contextualSpacing/>
              <w:jc w:val="center"/>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X＜10</w:t>
            </w:r>
          </w:p>
        </w:tc>
      </w:tr>
    </w:tbl>
    <w:p w14:paraId="6D612D6C">
      <w:pPr>
        <w:spacing w:before="120" w:beforeLines="50" w:line="360" w:lineRule="auto"/>
        <w:ind w:firstLine="454" w:firstLineChars="200"/>
        <w:rPr>
          <w:rFonts w:hint="eastAsia" w:cs="宋体" w:asciiTheme="minorEastAsia" w:hAnsiTheme="minorEastAsia" w:eastAsiaTheme="minorEastAsia"/>
          <w:b/>
          <w:color w:val="auto"/>
          <w:spacing w:val="8"/>
          <w:kern w:val="0"/>
          <w:szCs w:val="21"/>
          <w:highlight w:val="none"/>
        </w:rPr>
      </w:pPr>
      <w:r>
        <w:rPr>
          <w:rFonts w:hint="eastAsia" w:cs="宋体" w:asciiTheme="minorEastAsia" w:hAnsiTheme="minorEastAsia" w:eastAsiaTheme="minorEastAsia"/>
          <w:b/>
          <w:color w:val="auto"/>
          <w:spacing w:val="8"/>
          <w:kern w:val="0"/>
          <w:szCs w:val="21"/>
          <w:highlight w:val="none"/>
        </w:rPr>
        <w:t>说明：</w:t>
      </w:r>
    </w:p>
    <w:p w14:paraId="4418684B">
      <w:pPr>
        <w:spacing w:line="360" w:lineRule="auto"/>
        <w:ind w:firstLine="420" w:firstLineChars="200"/>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1.大型、中型和小型企业须同时满足所列指标的下限，否则下划一档；微型企业只须满足所列指标中的一项即可。</w:t>
      </w:r>
    </w:p>
    <w:p w14:paraId="7765D9FD">
      <w:pPr>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highlight w:val="none"/>
        </w:rPr>
        <w:t>2.</w:t>
      </w:r>
      <w:r>
        <w:rPr>
          <w:rFonts w:hint="eastAsia" w:asciiTheme="minorEastAsia" w:hAnsiTheme="minorEastAsia" w:eastAsiaTheme="minorEastAsia"/>
          <w:color w:val="auto"/>
          <w:szCs w:val="21"/>
          <w:highlight w:val="none"/>
        </w:rPr>
        <w:t>附表中各行业的范围以《国民经济行业分类》（GB/T4754-2017）为准。带*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1968A976">
      <w:pPr>
        <w:spacing w:line="360" w:lineRule="auto"/>
        <w:ind w:firstLine="420"/>
        <w:rPr>
          <w:rFonts w:hint="eastAsia" w:asciiTheme="minorEastAsia" w:hAnsiTheme="minorEastAsia" w:eastAsiaTheme="minorEastAsia"/>
          <w:b/>
          <w:color w:val="auto"/>
          <w:highlight w:val="none"/>
        </w:rPr>
      </w:pPr>
      <w:r>
        <w:rPr>
          <w:rFonts w:hint="eastAsia" w:asciiTheme="minorEastAsia" w:hAnsiTheme="minorEastAsia" w:eastAsiaTheme="minorEastAsia"/>
          <w:color w:val="auto"/>
          <w:highlight w:val="none"/>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14:paraId="5F39D2BB">
      <w:pPr>
        <w:spacing w:line="360" w:lineRule="auto"/>
        <w:ind w:firstLine="422" w:firstLineChars="200"/>
        <w:rPr>
          <w:rFonts w:hint="eastAsia"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t>（2）监狱企业</w:t>
      </w:r>
    </w:p>
    <w:p w14:paraId="485638FC">
      <w:pPr>
        <w:spacing w:line="360" w:lineRule="auto"/>
        <w:ind w:firstLine="420" w:firstLineChars="200"/>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根据《财政部司法部关于政府采购支持监狱企业发展有关问题的通知》（财库〔2014〕68号）文的规定，在政府采购活动中，监狱企业视同小型、微型企业，评审时报价同小型、微型企业的报价扣除方式（详见表一）进行扣除，用扣除后的报价参与评审。监狱企业是指由司法部认定的为罪犯、戒毒人员提供生产项目和劳动对象，且全部产权属于司法部监狱管理局、戒毒管理局、直属煤矿管理局，各省、自治区、直辖市监狱管理局、戒毒管理局，各地(设区的 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2ED4E85A">
      <w:pPr>
        <w:spacing w:line="360" w:lineRule="auto"/>
        <w:ind w:firstLine="420" w:firstLineChars="200"/>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未提交监狱企业的证明文件的在报价评审时不对报价进行扣除。（注：提供相关证明文件的扫描件。）</w:t>
      </w:r>
    </w:p>
    <w:p w14:paraId="38E27F24">
      <w:pPr>
        <w:spacing w:line="360" w:lineRule="auto"/>
        <w:ind w:firstLine="422" w:firstLineChars="200"/>
        <w:rPr>
          <w:rFonts w:hint="eastAsia" w:asciiTheme="minorEastAsia" w:hAnsiTheme="minorEastAsia" w:eastAsiaTheme="minorEastAsia"/>
          <w:color w:val="auto"/>
          <w:highlight w:val="none"/>
        </w:rPr>
      </w:pPr>
      <w:r>
        <w:rPr>
          <w:rFonts w:hint="eastAsia" w:asciiTheme="minorEastAsia" w:hAnsiTheme="minorEastAsia" w:eastAsiaTheme="minorEastAsia"/>
          <w:b/>
          <w:color w:val="auto"/>
          <w:highlight w:val="none"/>
        </w:rPr>
        <w:t>注：监狱企业、残疾人福利性单位属于小型、微型企业的，不重复享受政策。</w:t>
      </w:r>
    </w:p>
    <w:p w14:paraId="643455A1">
      <w:pPr>
        <w:spacing w:line="360" w:lineRule="auto"/>
        <w:ind w:firstLine="422" w:firstLineChars="200"/>
        <w:rPr>
          <w:rFonts w:hint="eastAsia"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t>（3）残疾人福利性单位</w:t>
      </w:r>
    </w:p>
    <w:p w14:paraId="46C5DB41">
      <w:pPr>
        <w:spacing w:line="360" w:lineRule="auto"/>
        <w:ind w:firstLine="420" w:firstLineChars="200"/>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根据《财政部 民政部 中国残疾人联合会关于促进残疾人就业政府采购政策的通知》（财库〔2017〕141号）文的规定，在政府采购活动中，残疾人福利性单位视同小型、微型企业，评审时报价同小型、微型企业的报价扣除方式（详见表一）进行扣除，用扣除后的报价参与评审。享受政府采购支持政策的残疾人福利性单位应当同时满足以下条件： </w:t>
      </w:r>
    </w:p>
    <w:p w14:paraId="2F791751">
      <w:pPr>
        <w:spacing w:line="360" w:lineRule="auto"/>
        <w:ind w:firstLine="420" w:firstLineChars="200"/>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①安置的残疾人占本单位在职职工人数的比例不低于25%（含25%），并且安置的残疾人人数不少于10 人（含10人）； </w:t>
      </w:r>
    </w:p>
    <w:p w14:paraId="53805BEF">
      <w:pPr>
        <w:spacing w:line="360" w:lineRule="auto"/>
        <w:ind w:firstLine="420" w:firstLineChars="200"/>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②依法与安置的每位残疾人签订了一年以上（含一年）的劳动合同或服务协议； </w:t>
      </w:r>
    </w:p>
    <w:p w14:paraId="7E53D409">
      <w:pPr>
        <w:spacing w:line="360" w:lineRule="auto"/>
        <w:ind w:firstLine="420" w:firstLineChars="200"/>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③为安置的每位残疾人按月足额缴纳了基本养老保险、基本医疗保险、失业保险、工伤保险和生育保 险等社会保险费； </w:t>
      </w:r>
    </w:p>
    <w:p w14:paraId="70FA52E8">
      <w:pPr>
        <w:spacing w:line="360" w:lineRule="auto"/>
        <w:ind w:firstLine="420" w:firstLineChars="200"/>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④通过银行等金融机构向安置的每位残疾人，按月支付了不低于单位所在区县适用的经省级人民政府 批准的月最低工资标准的工资； </w:t>
      </w:r>
    </w:p>
    <w:p w14:paraId="4E4B6F03">
      <w:pPr>
        <w:spacing w:line="360" w:lineRule="auto"/>
        <w:ind w:firstLine="420" w:firstLineChars="200"/>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⑤提供本单位制造的货物、承担的工程或者服务（以下简称产品），或者提供其他残疾人福利性单位制造的货物（不包括使用非残疾人福利性单位注册商标的货物）。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3EEEB31C">
      <w:pPr>
        <w:spacing w:line="360" w:lineRule="auto"/>
        <w:ind w:firstLine="420" w:firstLineChars="200"/>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符合条件的残疾人福利性单位在参加政府采购活动时，应当提供《残疾人福利性单位声明函》（声明函格式见</w:t>
      </w:r>
      <w:r>
        <w:rPr>
          <w:rFonts w:hint="eastAsia" w:asciiTheme="minorEastAsia" w:hAnsiTheme="minorEastAsia" w:eastAsiaTheme="minorEastAsia"/>
          <w:color w:val="auto"/>
          <w:szCs w:val="21"/>
          <w:highlight w:val="none"/>
        </w:rPr>
        <w:t>第四章</w:t>
      </w:r>
      <w:r>
        <w:rPr>
          <w:rFonts w:hint="eastAsia" w:asciiTheme="minorEastAsia" w:hAnsiTheme="minorEastAsia" w:eastAsiaTheme="minorEastAsia"/>
          <w:color w:val="auto"/>
          <w:highlight w:val="none"/>
        </w:rPr>
        <w:t>“响应文件格式”），未提交声明函的在报价评审时不对报价进行扣除。</w:t>
      </w:r>
    </w:p>
    <w:p w14:paraId="665A1E06">
      <w:pPr>
        <w:pStyle w:val="28"/>
        <w:tabs>
          <w:tab w:val="left" w:pos="2472"/>
        </w:tabs>
        <w:spacing w:line="360" w:lineRule="auto"/>
        <w:rPr>
          <w:rFonts w:hint="eastAsia"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t>注：监狱企业、残疾人福利性单位属于小型、微型企业的，不重复享受政策。</w:t>
      </w:r>
    </w:p>
    <w:p w14:paraId="2A3EB8C1">
      <w:pPr>
        <w:spacing w:line="360" w:lineRule="auto"/>
        <w:outlineLvl w:val="3"/>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3.3 响应文件的澄清、说明或者补正</w:t>
      </w:r>
    </w:p>
    <w:p w14:paraId="43427F28">
      <w:pPr>
        <w:spacing w:line="360" w:lineRule="auto"/>
        <w:ind w:firstLine="420" w:firstLineChars="200"/>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3.3.1在评审过程中，磋商小组对于供应商的响应文件中含义不明确、同类问题表述不一致或者有明显文字和计算错误的内容，应当以书面形式要求供应商做出必要的澄清、说明或者补正。</w:t>
      </w:r>
    </w:p>
    <w:p w14:paraId="69150077">
      <w:pPr>
        <w:spacing w:line="360" w:lineRule="auto"/>
        <w:ind w:firstLine="420" w:firstLineChars="200"/>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3.3.2供应商的澄清、说明或者补正应当采用书面形式并加盖公章，或者由法定代表人或其授权的代表签字。供应商的澄清、说明或者补正不得超出响应文件的范围或改变响应文件的实质性内容（算术性错误修正的除外）。供应商的书面澄清、说明或者补正属于响应文件的组成部分。</w:t>
      </w:r>
    </w:p>
    <w:p w14:paraId="65BFB463">
      <w:pPr>
        <w:spacing w:line="360" w:lineRule="auto"/>
        <w:ind w:firstLine="420" w:firstLineChars="200"/>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3.3.3磋商小组对供应商提交的澄清、说明或者补正有疑问的，可以要求供应商进一步澄清、说明或者补正，直至满足磋商小组的要求。</w:t>
      </w:r>
    </w:p>
    <w:p w14:paraId="06782E08">
      <w:pPr>
        <w:spacing w:line="360" w:lineRule="auto"/>
        <w:ind w:firstLine="420" w:firstLineChars="200"/>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3.</w:t>
      </w:r>
      <w:r>
        <w:rPr>
          <w:rFonts w:asciiTheme="minorEastAsia" w:hAnsiTheme="minorEastAsia" w:eastAsiaTheme="minorEastAsia"/>
          <w:color w:val="auto"/>
          <w:highlight w:val="none"/>
        </w:rPr>
        <w:t>3</w:t>
      </w:r>
      <w:r>
        <w:rPr>
          <w:rFonts w:hint="eastAsia" w:asciiTheme="minorEastAsia" w:hAnsiTheme="minorEastAsia" w:eastAsiaTheme="minorEastAsia"/>
          <w:color w:val="auto"/>
          <w:highlight w:val="none"/>
        </w:rPr>
        <w:t>.</w:t>
      </w:r>
      <w:r>
        <w:rPr>
          <w:rFonts w:asciiTheme="minorEastAsia" w:hAnsiTheme="minorEastAsia" w:eastAsiaTheme="minorEastAsia"/>
          <w:color w:val="auto"/>
          <w:highlight w:val="none"/>
        </w:rPr>
        <w:t>4</w:t>
      </w:r>
      <w:r>
        <w:rPr>
          <w:rFonts w:hint="eastAsia" w:asciiTheme="minorEastAsia" w:hAnsiTheme="minorEastAsia" w:eastAsiaTheme="minorEastAsia"/>
          <w:color w:val="auto"/>
          <w:highlight w:val="none"/>
        </w:rPr>
        <w:t>凡超出采购文件规定的或给采购人带来未曾要求的利益的变化、偏离或其他因素在评审时不予考虑。</w:t>
      </w:r>
    </w:p>
    <w:p w14:paraId="4B8AAA3E">
      <w:pPr>
        <w:spacing w:line="360" w:lineRule="auto"/>
        <w:outlineLvl w:val="3"/>
        <w:rPr>
          <w:rFonts w:hint="eastAsia"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3.4 </w:t>
      </w:r>
      <w:r>
        <w:rPr>
          <w:rFonts w:hint="eastAsia" w:asciiTheme="minorEastAsia" w:hAnsiTheme="minorEastAsia" w:eastAsiaTheme="minorEastAsia"/>
          <w:b/>
          <w:color w:val="auto"/>
          <w:szCs w:val="21"/>
          <w:highlight w:val="none"/>
        </w:rPr>
        <w:t>算术性错误修正</w:t>
      </w:r>
    </w:p>
    <w:p w14:paraId="21B1F55A">
      <w:pPr>
        <w:spacing w:line="360" w:lineRule="auto"/>
        <w:ind w:firstLine="420" w:firstLineChars="200"/>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供应商的响应文件中的磋商报价出现前后不一致的，除采购文件另有规定外，磋商小组依法对其进行修正。修正后的磋商报价按照本章第3.</w:t>
      </w:r>
      <w:r>
        <w:rPr>
          <w:rFonts w:asciiTheme="minorEastAsia" w:hAnsiTheme="minorEastAsia" w:eastAsiaTheme="minorEastAsia"/>
          <w:color w:val="auto"/>
          <w:highlight w:val="none"/>
        </w:rPr>
        <w:t>3</w:t>
      </w:r>
      <w:r>
        <w:rPr>
          <w:rFonts w:hint="eastAsia" w:asciiTheme="minorEastAsia" w:hAnsiTheme="minorEastAsia" w:eastAsiaTheme="minorEastAsia"/>
          <w:color w:val="auto"/>
          <w:highlight w:val="none"/>
        </w:rPr>
        <w:t xml:space="preserve">款的规定，经供应商确认后产生约束力，供应商不确认的，其磋商无效。 </w:t>
      </w:r>
    </w:p>
    <w:p w14:paraId="431E3598">
      <w:pPr>
        <w:spacing w:line="360" w:lineRule="auto"/>
        <w:outlineLvl w:val="3"/>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3.5 响应文件相关信息的核查 </w:t>
      </w:r>
    </w:p>
    <w:p w14:paraId="78FACF06">
      <w:pPr>
        <w:spacing w:line="360" w:lineRule="auto"/>
        <w:ind w:firstLine="435"/>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磋商小组对评审过程中发现的供应商与供应商之间、供应商与采购人之间存在的串通磋商情形进行评审和认定。若供应商存在串通磋商、弄虚作假、行贿等违法行为的，磋商小组应否决其磋商。</w:t>
      </w:r>
    </w:p>
    <w:p w14:paraId="48E50BF8">
      <w:pPr>
        <w:spacing w:line="360" w:lineRule="auto"/>
        <w:ind w:firstLine="435"/>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3.5.1有下列情形之一的，属于供应商相互串通磋商：</w:t>
      </w:r>
    </w:p>
    <w:p w14:paraId="16090D6D">
      <w:pPr>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（1）供应商之间协商磋商报价等响应文件的实质性内容；</w:t>
      </w:r>
    </w:p>
    <w:p w14:paraId="7454CA63">
      <w:pPr>
        <w:spacing w:line="360" w:lineRule="auto"/>
        <w:ind w:firstLine="435"/>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（2）供应商之间约定成交供应商；</w:t>
      </w:r>
    </w:p>
    <w:p w14:paraId="73E53637">
      <w:pPr>
        <w:spacing w:line="360" w:lineRule="auto"/>
        <w:ind w:firstLine="435"/>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（3）供应商之间约定部分供应商放弃磋商或成交；</w:t>
      </w:r>
    </w:p>
    <w:p w14:paraId="3B5DDEBB">
      <w:pPr>
        <w:spacing w:line="360" w:lineRule="auto"/>
        <w:ind w:firstLine="435"/>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（4）属于同一集团、协会、商会等组织成员的供应商按照该组织要求协同磋商；</w:t>
      </w:r>
    </w:p>
    <w:p w14:paraId="1B36846D">
      <w:pPr>
        <w:spacing w:line="360" w:lineRule="auto"/>
        <w:ind w:firstLine="435"/>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（5）供应商之间为谋取成交或排斥特定供应商而采取的其他联合行动。</w:t>
      </w:r>
    </w:p>
    <w:p w14:paraId="158310EF">
      <w:pPr>
        <w:spacing w:line="360" w:lineRule="auto"/>
        <w:ind w:firstLine="435"/>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3.5.2有下列情形之一的，视为供应商相互串通磋商：</w:t>
      </w:r>
    </w:p>
    <w:p w14:paraId="602D514D">
      <w:pPr>
        <w:spacing w:line="360" w:lineRule="auto"/>
        <w:ind w:firstLine="435"/>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（1）不同供应商的响应文件由同一单位或个人编制；</w:t>
      </w:r>
    </w:p>
    <w:p w14:paraId="4594E4D1">
      <w:pPr>
        <w:spacing w:line="360" w:lineRule="auto"/>
        <w:ind w:firstLine="435"/>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（2）不同供应商委托同一单位或个人办理磋商事宜；</w:t>
      </w:r>
    </w:p>
    <w:p w14:paraId="7C1B0AB3">
      <w:pPr>
        <w:spacing w:line="360" w:lineRule="auto"/>
        <w:ind w:firstLine="435"/>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（3）不同供应商的响应文件载明的项目组成员为同一人；</w:t>
      </w:r>
    </w:p>
    <w:p w14:paraId="347680FF">
      <w:pPr>
        <w:spacing w:line="360" w:lineRule="auto"/>
        <w:ind w:firstLine="435"/>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（4）不同供应商的响应文件异常一致或磋商报价呈规律性差异。</w:t>
      </w:r>
    </w:p>
    <w:p w14:paraId="413F75CD">
      <w:pPr>
        <w:spacing w:line="360" w:lineRule="auto"/>
        <w:ind w:firstLine="435"/>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3.5.3有下列情形之一的，属于采购人与供应商串通磋商：</w:t>
      </w:r>
    </w:p>
    <w:p w14:paraId="3A971808">
      <w:pPr>
        <w:spacing w:line="360" w:lineRule="auto"/>
        <w:ind w:firstLine="435"/>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（1）采购人在开标前开启响应文件并将有关信息泄露给其他供应商；</w:t>
      </w:r>
    </w:p>
    <w:p w14:paraId="5181CD96">
      <w:pPr>
        <w:spacing w:line="360" w:lineRule="auto"/>
        <w:ind w:firstLine="435"/>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（2）采购人直接或间接向供应商泄露标底、磋商小组成员等信息；</w:t>
      </w:r>
    </w:p>
    <w:p w14:paraId="7BB8D5CB">
      <w:pPr>
        <w:spacing w:line="360" w:lineRule="auto"/>
        <w:ind w:firstLine="435"/>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（3）采购人明示或暗示供应商压低或抬高磋商报价；</w:t>
      </w:r>
    </w:p>
    <w:p w14:paraId="7CEED8EF">
      <w:pPr>
        <w:spacing w:line="360" w:lineRule="auto"/>
        <w:ind w:firstLine="435"/>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（4）采购人授意供应商撤换、修改响应文件；</w:t>
      </w:r>
    </w:p>
    <w:p w14:paraId="72054354">
      <w:pPr>
        <w:spacing w:line="360" w:lineRule="auto"/>
        <w:ind w:firstLine="435"/>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（5）采购人明示或暗示供应商为特定供应商成交提供方便；</w:t>
      </w:r>
    </w:p>
    <w:p w14:paraId="4EF4ED1E">
      <w:pPr>
        <w:spacing w:line="360" w:lineRule="auto"/>
        <w:ind w:firstLine="435"/>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（6）采购人与供应商为谋求特定供应商成交而采取的其他串通行为。</w:t>
      </w:r>
    </w:p>
    <w:p w14:paraId="25397EA1">
      <w:pPr>
        <w:spacing w:line="360" w:lineRule="auto"/>
        <w:ind w:firstLine="435"/>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3.5.4供应商有下列情形之一的，属于弄虚作假的行为：</w:t>
      </w:r>
    </w:p>
    <w:p w14:paraId="29BB9B17">
      <w:pPr>
        <w:spacing w:line="360" w:lineRule="auto"/>
        <w:ind w:firstLine="435"/>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（1）使用通过受让或租借等方式获取的资格、资质证书磋商；</w:t>
      </w:r>
    </w:p>
    <w:p w14:paraId="1D398877">
      <w:pPr>
        <w:spacing w:line="360" w:lineRule="auto"/>
        <w:ind w:firstLine="435"/>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（2）使用伪造、变造的许可证件；</w:t>
      </w:r>
    </w:p>
    <w:p w14:paraId="4334FF2B">
      <w:pPr>
        <w:spacing w:line="360" w:lineRule="auto"/>
        <w:ind w:firstLine="435"/>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（3）提供虚假的财务状况或其他证明材料或证件等；</w:t>
      </w:r>
    </w:p>
    <w:p w14:paraId="632DE877">
      <w:pPr>
        <w:spacing w:line="360" w:lineRule="auto"/>
        <w:ind w:firstLine="435"/>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（4）提供虚假的信用状况；</w:t>
      </w:r>
    </w:p>
    <w:p w14:paraId="733C00E2">
      <w:pPr>
        <w:spacing w:line="360" w:lineRule="auto"/>
        <w:ind w:firstLine="435"/>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（5）其他弄虚作假的行为。</w:t>
      </w:r>
    </w:p>
    <w:p w14:paraId="5FFACE45">
      <w:pPr>
        <w:spacing w:line="360" w:lineRule="auto"/>
        <w:ind w:firstLine="437"/>
        <w:outlineLvl w:val="3"/>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3.</w:t>
      </w:r>
      <w:r>
        <w:rPr>
          <w:rFonts w:asciiTheme="minorEastAsia" w:hAnsiTheme="minorEastAsia" w:eastAsiaTheme="minorEastAsia"/>
          <w:b/>
          <w:color w:val="auto"/>
          <w:szCs w:val="21"/>
          <w:highlight w:val="none"/>
        </w:rPr>
        <w:t xml:space="preserve">6 </w:t>
      </w:r>
      <w:r>
        <w:rPr>
          <w:rFonts w:hint="eastAsia" w:asciiTheme="minorEastAsia" w:hAnsiTheme="minorEastAsia" w:eastAsiaTheme="minorEastAsia"/>
          <w:b/>
          <w:color w:val="auto"/>
          <w:szCs w:val="21"/>
          <w:highlight w:val="none"/>
        </w:rPr>
        <w:t>评分要求和统计分数原则</w:t>
      </w:r>
    </w:p>
    <w:p w14:paraId="33C803C2">
      <w:pPr>
        <w:spacing w:line="360" w:lineRule="auto"/>
        <w:ind w:firstLine="420" w:firstLineChars="200"/>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3.</w:t>
      </w:r>
      <w:r>
        <w:rPr>
          <w:rFonts w:cs="宋体" w:asciiTheme="minorEastAsia" w:hAnsiTheme="minorEastAsia" w:eastAsiaTheme="minorEastAsia"/>
          <w:color w:val="auto"/>
          <w:szCs w:val="21"/>
          <w:highlight w:val="none"/>
        </w:rPr>
        <w:t>6</w:t>
      </w:r>
      <w:r>
        <w:rPr>
          <w:rFonts w:hint="eastAsia" w:cs="宋体" w:asciiTheme="minorEastAsia" w:hAnsiTheme="minorEastAsia" w:eastAsiaTheme="minorEastAsia"/>
          <w:color w:val="auto"/>
          <w:szCs w:val="21"/>
          <w:highlight w:val="none"/>
        </w:rPr>
        <w:t>.1磋商小组应首先对各供应商的响应文件进行评审，并按</w:t>
      </w:r>
      <w:r>
        <w:rPr>
          <w:rFonts w:hint="eastAsia" w:asciiTheme="minorEastAsia" w:hAnsiTheme="minorEastAsia" w:eastAsiaTheme="minorEastAsia"/>
          <w:color w:val="auto"/>
          <w:szCs w:val="21"/>
          <w:highlight w:val="none"/>
        </w:rPr>
        <w:t>采购文件</w:t>
      </w:r>
      <w:r>
        <w:rPr>
          <w:rFonts w:hint="eastAsia" w:cs="宋体" w:asciiTheme="minorEastAsia" w:hAnsiTheme="minorEastAsia" w:eastAsiaTheme="minorEastAsia"/>
          <w:color w:val="auto"/>
          <w:szCs w:val="21"/>
          <w:highlight w:val="none"/>
        </w:rPr>
        <w:t>规定的分值评分，若有打分档，各分档评分中间不得用插入法评分。</w:t>
      </w:r>
    </w:p>
    <w:p w14:paraId="1B450963">
      <w:pPr>
        <w:spacing w:line="360" w:lineRule="auto"/>
        <w:ind w:firstLine="420" w:firstLineChars="200"/>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3.</w:t>
      </w:r>
      <w:r>
        <w:rPr>
          <w:rFonts w:cs="宋体" w:asciiTheme="minorEastAsia" w:hAnsiTheme="minorEastAsia" w:eastAsiaTheme="minorEastAsia"/>
          <w:color w:val="auto"/>
          <w:szCs w:val="21"/>
          <w:highlight w:val="none"/>
        </w:rPr>
        <w:t>6</w:t>
      </w:r>
      <w:r>
        <w:rPr>
          <w:rFonts w:hint="eastAsia" w:cs="宋体" w:asciiTheme="minorEastAsia" w:hAnsiTheme="minorEastAsia" w:eastAsiaTheme="minorEastAsia"/>
          <w:color w:val="auto"/>
          <w:szCs w:val="21"/>
          <w:highlight w:val="none"/>
        </w:rPr>
        <w:t>.2统计分数原则：磋商小组成员的评分通过计算平均分值为供应商的技术部分得分（保留小数点后两位）。商务部分得分由供应商的</w:t>
      </w:r>
      <w:r>
        <w:rPr>
          <w:rFonts w:hint="eastAsia" w:cs="仿宋" w:asciiTheme="minorEastAsia" w:hAnsiTheme="minorEastAsia" w:eastAsiaTheme="minorEastAsia"/>
          <w:color w:val="auto"/>
          <w:szCs w:val="21"/>
          <w:highlight w:val="none"/>
        </w:rPr>
        <w:t>评审价（二次报价或二次报价依据政策扣除后的价格）</w:t>
      </w:r>
      <w:r>
        <w:rPr>
          <w:rFonts w:hint="eastAsia" w:cs="宋体" w:asciiTheme="minorEastAsia" w:hAnsiTheme="minorEastAsia" w:eastAsiaTheme="minorEastAsia"/>
          <w:color w:val="auto"/>
          <w:szCs w:val="21"/>
          <w:highlight w:val="none"/>
        </w:rPr>
        <w:t>计算后得出（保留小数点后两位）。</w:t>
      </w:r>
    </w:p>
    <w:p w14:paraId="4285E19F">
      <w:pPr>
        <w:spacing w:line="360" w:lineRule="auto"/>
        <w:ind w:firstLine="420" w:firstLineChars="200"/>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3</w:t>
      </w:r>
      <w:r>
        <w:rPr>
          <w:rFonts w:cs="宋体" w:asciiTheme="minorEastAsia" w:hAnsiTheme="minorEastAsia" w:eastAsiaTheme="minorEastAsia"/>
          <w:color w:val="auto"/>
          <w:szCs w:val="21"/>
          <w:highlight w:val="none"/>
        </w:rPr>
        <w:t>.6</w:t>
      </w:r>
      <w:r>
        <w:rPr>
          <w:rFonts w:hint="eastAsia" w:cs="宋体" w:asciiTheme="minorEastAsia" w:hAnsiTheme="minorEastAsia" w:eastAsiaTheme="minorEastAsia"/>
          <w:color w:val="auto"/>
          <w:szCs w:val="21"/>
          <w:highlight w:val="none"/>
        </w:rPr>
        <w:t>.3</w:t>
      </w:r>
      <w:r>
        <w:rPr>
          <w:rFonts w:hint="eastAsia" w:asciiTheme="minorEastAsia" w:hAnsiTheme="minorEastAsia" w:eastAsiaTheme="minorEastAsia"/>
          <w:color w:val="auto"/>
          <w:highlight w:val="none"/>
        </w:rPr>
        <w:t xml:space="preserve"> </w:t>
      </w:r>
      <w:r>
        <w:rPr>
          <w:rFonts w:hint="eastAsia" w:cs="宋体" w:asciiTheme="minorEastAsia" w:hAnsiTheme="minorEastAsia" w:eastAsiaTheme="minorEastAsia"/>
          <w:color w:val="auto"/>
          <w:szCs w:val="21"/>
          <w:highlight w:val="none"/>
        </w:rPr>
        <w:t>汇总评分结果</w:t>
      </w:r>
    </w:p>
    <w:p w14:paraId="252D759E">
      <w:pPr>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磋商小组对所有有效供应商的响应文件的技术部分、商务部分分别进行评审评分后，再按评审办法前附表载明的公式计算出供应商的综合得分。</w:t>
      </w:r>
    </w:p>
    <w:p w14:paraId="5C05F49B">
      <w:pPr>
        <w:spacing w:line="360" w:lineRule="auto"/>
        <w:ind w:firstLine="437"/>
        <w:outlineLvl w:val="3"/>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3.</w:t>
      </w:r>
      <w:r>
        <w:rPr>
          <w:rFonts w:asciiTheme="minorEastAsia" w:hAnsiTheme="minorEastAsia" w:eastAsiaTheme="minorEastAsia"/>
          <w:b/>
          <w:color w:val="auto"/>
          <w:szCs w:val="21"/>
          <w:highlight w:val="none"/>
        </w:rPr>
        <w:t>7</w:t>
      </w:r>
      <w:r>
        <w:rPr>
          <w:rFonts w:hint="eastAsia" w:asciiTheme="minorEastAsia" w:hAnsiTheme="minorEastAsia" w:eastAsiaTheme="minorEastAsia"/>
          <w:b/>
          <w:color w:val="auto"/>
          <w:szCs w:val="21"/>
          <w:highlight w:val="none"/>
        </w:rPr>
        <w:t xml:space="preserve"> 评审结果 </w:t>
      </w:r>
    </w:p>
    <w:p w14:paraId="6B85BFB7">
      <w:pPr>
        <w:spacing w:line="360" w:lineRule="auto"/>
        <w:ind w:firstLine="435"/>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3.</w:t>
      </w:r>
      <w:r>
        <w:rPr>
          <w:rFonts w:asciiTheme="minorEastAsia" w:hAnsiTheme="minorEastAsia" w:eastAsiaTheme="minorEastAsia"/>
          <w:color w:val="auto"/>
          <w:szCs w:val="21"/>
          <w:highlight w:val="none"/>
        </w:rPr>
        <w:t>7</w:t>
      </w:r>
      <w:r>
        <w:rPr>
          <w:rFonts w:hint="eastAsia" w:asciiTheme="minorEastAsia" w:hAnsiTheme="minorEastAsia" w:eastAsiaTheme="minorEastAsia"/>
          <w:color w:val="auto"/>
          <w:szCs w:val="21"/>
          <w:highlight w:val="none"/>
        </w:rPr>
        <w:t>.1除第二章“供应商须知前附表”授权磋商小组确定成交供应商外，磋商小组将对通过初步评审的响应文件，进行技术部分、商务部分评审评分，并按照供应商的综合得分由高到低的顺序推荐1～3名成交候选人。若综合得分相同，按照供应商的</w:t>
      </w:r>
      <w:r>
        <w:rPr>
          <w:rFonts w:hint="eastAsia" w:cs="仿宋" w:asciiTheme="minorEastAsia" w:hAnsiTheme="minorEastAsia" w:eastAsiaTheme="minorEastAsia"/>
          <w:color w:val="auto"/>
          <w:szCs w:val="21"/>
          <w:highlight w:val="none"/>
        </w:rPr>
        <w:t>评审价</w:t>
      </w:r>
      <w:r>
        <w:rPr>
          <w:rFonts w:hint="eastAsia" w:asciiTheme="minorEastAsia" w:hAnsiTheme="minorEastAsia" w:eastAsiaTheme="minorEastAsia"/>
          <w:color w:val="auto"/>
          <w:szCs w:val="21"/>
          <w:highlight w:val="none"/>
        </w:rPr>
        <w:t>由低到高的顺序推荐成交候选人；若评审价也相同时，按照供应商的</w:t>
      </w:r>
      <w:r>
        <w:rPr>
          <w:rFonts w:hint="eastAsia" w:cs="仿宋" w:asciiTheme="minorEastAsia" w:hAnsiTheme="minorEastAsia" w:eastAsiaTheme="minorEastAsia"/>
          <w:color w:val="auto"/>
          <w:szCs w:val="21"/>
          <w:highlight w:val="none"/>
        </w:rPr>
        <w:t>磋商报价</w:t>
      </w:r>
      <w:r>
        <w:rPr>
          <w:rFonts w:hint="eastAsia" w:asciiTheme="minorEastAsia" w:hAnsiTheme="minorEastAsia" w:eastAsiaTheme="minorEastAsia"/>
          <w:color w:val="auto"/>
          <w:szCs w:val="21"/>
          <w:highlight w:val="none"/>
        </w:rPr>
        <w:t>由低到高的顺序推荐成交候选人；若</w:t>
      </w:r>
      <w:r>
        <w:rPr>
          <w:rFonts w:hint="eastAsia" w:cs="仿宋" w:asciiTheme="minorEastAsia" w:hAnsiTheme="minorEastAsia" w:eastAsiaTheme="minorEastAsia"/>
          <w:color w:val="auto"/>
          <w:szCs w:val="21"/>
          <w:highlight w:val="none"/>
        </w:rPr>
        <w:t>磋商报价还</w:t>
      </w:r>
      <w:r>
        <w:rPr>
          <w:rFonts w:hint="eastAsia" w:asciiTheme="minorEastAsia" w:hAnsiTheme="minorEastAsia" w:eastAsiaTheme="minorEastAsia"/>
          <w:color w:val="auto"/>
          <w:szCs w:val="21"/>
          <w:highlight w:val="none"/>
        </w:rPr>
        <w:t>相同时，由磋商小组以不记名投票的方式推荐成交候选人。</w:t>
      </w:r>
    </w:p>
    <w:p w14:paraId="0518AE6B">
      <w:pPr>
        <w:spacing w:line="360" w:lineRule="auto"/>
        <w:ind w:firstLine="435"/>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3.</w:t>
      </w:r>
      <w:r>
        <w:rPr>
          <w:rFonts w:asciiTheme="minorEastAsia" w:hAnsiTheme="minorEastAsia" w:eastAsiaTheme="minorEastAsia"/>
          <w:color w:val="auto"/>
          <w:szCs w:val="21"/>
          <w:highlight w:val="none"/>
        </w:rPr>
        <w:t>7</w:t>
      </w:r>
      <w:r>
        <w:rPr>
          <w:rFonts w:hint="eastAsia" w:asciiTheme="minorEastAsia" w:hAnsiTheme="minorEastAsia" w:eastAsiaTheme="minorEastAsia"/>
          <w:color w:val="auto"/>
          <w:szCs w:val="21"/>
          <w:highlight w:val="none"/>
        </w:rPr>
        <w:t>.2磋商小组完成评审后，应当向采购人提交书面评审报告。</w:t>
      </w:r>
    </w:p>
    <w:p w14:paraId="1EE7F7BE">
      <w:pPr>
        <w:spacing w:line="360" w:lineRule="auto"/>
        <w:ind w:firstLine="435"/>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3.</w:t>
      </w:r>
      <w:r>
        <w:rPr>
          <w:rFonts w:asciiTheme="minorEastAsia" w:hAnsiTheme="minorEastAsia" w:eastAsiaTheme="minorEastAsia"/>
          <w:color w:val="auto"/>
          <w:szCs w:val="21"/>
          <w:highlight w:val="none"/>
        </w:rPr>
        <w:t>7</w:t>
      </w:r>
      <w:r>
        <w:rPr>
          <w:rFonts w:hint="eastAsia" w:asciiTheme="minorEastAsia" w:hAnsiTheme="minorEastAsia" w:eastAsiaTheme="minorEastAsia"/>
          <w:color w:val="auto"/>
          <w:szCs w:val="21"/>
          <w:highlight w:val="none"/>
        </w:rPr>
        <w:t>.3评审报告应当由磋商小组全体成员签章确认。磋商小组成员对评审报告有异议的，磋商小组按照少数服从多数的原则推荐成交候选人，采购程序继续进行。对评审报告有异议的磋商小组成员应当在评审报告上签署不同意见并说明理由，由磋商小组记录相关情况。磋商小组成员拒绝在评审报告上签章又不说明其不同意见和理由的，视为同意评审报告。</w:t>
      </w:r>
      <w:r>
        <w:rPr>
          <w:rFonts w:asciiTheme="minorEastAsia" w:hAnsiTheme="minorEastAsia" w:eastAsiaTheme="minorEastAsia"/>
          <w:color w:val="auto"/>
          <w:szCs w:val="21"/>
          <w:highlight w:val="none"/>
        </w:rPr>
        <w:br w:type="page"/>
      </w:r>
    </w:p>
    <w:p w14:paraId="441808B1">
      <w:pPr>
        <w:spacing w:before="120" w:beforeLines="50" w:line="360" w:lineRule="auto"/>
        <w:outlineLvl w:val="2"/>
        <w:rPr>
          <w:rFonts w:hint="eastAsia" w:asciiTheme="minorEastAsia" w:hAnsiTheme="minorEastAsia" w:eastAsiaTheme="minorEastAsia"/>
          <w:b/>
          <w:color w:val="auto"/>
          <w:szCs w:val="21"/>
          <w:highlight w:val="none"/>
        </w:rPr>
      </w:pPr>
      <w:bookmarkStart w:id="1284" w:name="_Toc30376"/>
      <w:bookmarkStart w:id="1285" w:name="_Toc109809356"/>
      <w:bookmarkStart w:id="1286" w:name="_Toc87538411"/>
      <w:bookmarkStart w:id="1287" w:name="_Toc84356294"/>
      <w:bookmarkStart w:id="1288" w:name="_Toc98865055"/>
      <w:bookmarkStart w:id="1289" w:name="_Toc42205035"/>
      <w:bookmarkStart w:id="1290" w:name="_Toc81330981"/>
      <w:bookmarkStart w:id="1291" w:name="_Toc98033978"/>
      <w:bookmarkStart w:id="1292" w:name="_Toc110405179"/>
      <w:bookmarkStart w:id="1293" w:name="_Toc116584046"/>
      <w:bookmarkStart w:id="1294" w:name="_Toc87543862"/>
      <w:bookmarkStart w:id="1295" w:name="_Toc45976942"/>
      <w:bookmarkStart w:id="1296" w:name="_Toc83753934"/>
      <w:bookmarkStart w:id="1297" w:name="_Toc45791396"/>
      <w:bookmarkStart w:id="1298" w:name="_Toc53412258"/>
      <w:r>
        <w:rPr>
          <w:rFonts w:hint="eastAsia" w:asciiTheme="minorEastAsia" w:hAnsiTheme="minorEastAsia" w:eastAsiaTheme="minorEastAsia"/>
          <w:b/>
          <w:color w:val="auto"/>
          <w:szCs w:val="21"/>
          <w:highlight w:val="none"/>
        </w:rPr>
        <w:t>附件A：评审详细程序</w:t>
      </w:r>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p>
    <w:p w14:paraId="691251E1">
      <w:pPr>
        <w:spacing w:line="360" w:lineRule="auto"/>
        <w:jc w:val="center"/>
        <w:rPr>
          <w:rFonts w:hint="eastAsia" w:asciiTheme="minorEastAsia" w:hAnsiTheme="minorEastAsia" w:eastAsiaTheme="minorEastAsia"/>
          <w:b/>
          <w:bCs/>
          <w:color w:val="auto"/>
          <w:sz w:val="28"/>
          <w:szCs w:val="28"/>
          <w:highlight w:val="none"/>
        </w:rPr>
      </w:pPr>
      <w:r>
        <w:rPr>
          <w:rFonts w:hint="eastAsia" w:asciiTheme="minorEastAsia" w:hAnsiTheme="minorEastAsia" w:eastAsiaTheme="minorEastAsia"/>
          <w:b/>
          <w:bCs/>
          <w:color w:val="auto"/>
          <w:sz w:val="28"/>
          <w:szCs w:val="28"/>
          <w:highlight w:val="none"/>
        </w:rPr>
        <w:t>评审详细程序</w:t>
      </w:r>
    </w:p>
    <w:p w14:paraId="7EDC0DEF">
      <w:pPr>
        <w:spacing w:line="360" w:lineRule="auto"/>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A0.总  则</w:t>
      </w:r>
    </w:p>
    <w:p w14:paraId="5B0F8AED">
      <w:pPr>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本附件是本章“评审办法”的组成部分，是对本章第3条所规定的评审程序的进一步细化，磋商小组应当按照本附件所规定的详细程序开展并完成评审工作。</w:t>
      </w:r>
    </w:p>
    <w:p w14:paraId="7E517EBC">
      <w:pPr>
        <w:spacing w:line="360" w:lineRule="auto"/>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A1.基本程序</w:t>
      </w:r>
    </w:p>
    <w:p w14:paraId="1777EDEE">
      <w:pPr>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评审活动将按以下七个步骤进行：</w:t>
      </w:r>
    </w:p>
    <w:p w14:paraId="6EEF9235">
      <w:pPr>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（1）评审准备；</w:t>
      </w:r>
    </w:p>
    <w:p w14:paraId="77C8F7C8">
      <w:pPr>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（2）资格审查；</w:t>
      </w:r>
    </w:p>
    <w:p w14:paraId="73D6AFA9">
      <w:pPr>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（3）符合性审查；</w:t>
      </w:r>
    </w:p>
    <w:p w14:paraId="0E1DD7EA">
      <w:pPr>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（4）技术部分评审；</w:t>
      </w:r>
    </w:p>
    <w:p w14:paraId="29F0E6AE">
      <w:pPr>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r>
        <w:rPr>
          <w:rFonts w:asciiTheme="minorEastAsia" w:hAnsiTheme="minorEastAsia" w:eastAsiaTheme="minorEastAsia"/>
          <w:color w:val="auto"/>
          <w:szCs w:val="21"/>
          <w:highlight w:val="none"/>
        </w:rPr>
        <w:t>5</w:t>
      </w:r>
      <w:r>
        <w:rPr>
          <w:rFonts w:hint="eastAsia" w:asciiTheme="minorEastAsia" w:hAnsiTheme="minorEastAsia" w:eastAsiaTheme="minorEastAsia"/>
          <w:color w:val="auto"/>
          <w:szCs w:val="21"/>
          <w:highlight w:val="none"/>
        </w:rPr>
        <w:t>）商务部分评审；</w:t>
      </w:r>
    </w:p>
    <w:p w14:paraId="19CE5D4E">
      <w:pPr>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r>
        <w:rPr>
          <w:rFonts w:asciiTheme="minorEastAsia" w:hAnsiTheme="minorEastAsia" w:eastAsiaTheme="minorEastAsia"/>
          <w:color w:val="auto"/>
          <w:szCs w:val="21"/>
          <w:highlight w:val="none"/>
        </w:rPr>
        <w:t>6</w:t>
      </w:r>
      <w:r>
        <w:rPr>
          <w:rFonts w:hint="eastAsia" w:asciiTheme="minorEastAsia" w:hAnsiTheme="minorEastAsia" w:eastAsiaTheme="minorEastAsia"/>
          <w:color w:val="auto"/>
          <w:szCs w:val="21"/>
          <w:highlight w:val="none"/>
        </w:rPr>
        <w:t>）澄清、说明或补正；</w:t>
      </w:r>
    </w:p>
    <w:p w14:paraId="1CDE46BD">
      <w:pPr>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r>
        <w:rPr>
          <w:rFonts w:asciiTheme="minorEastAsia" w:hAnsiTheme="minorEastAsia" w:eastAsiaTheme="minorEastAsia"/>
          <w:color w:val="auto"/>
          <w:szCs w:val="21"/>
          <w:highlight w:val="none"/>
        </w:rPr>
        <w:t>7</w:t>
      </w:r>
      <w:r>
        <w:rPr>
          <w:rFonts w:hint="eastAsia" w:asciiTheme="minorEastAsia" w:hAnsiTheme="minorEastAsia" w:eastAsiaTheme="minorEastAsia"/>
          <w:color w:val="auto"/>
          <w:szCs w:val="21"/>
          <w:highlight w:val="none"/>
        </w:rPr>
        <w:t>）推荐成交候选人或者直接确定成交供应商及提交评审报告。</w:t>
      </w:r>
    </w:p>
    <w:p w14:paraId="164C8C7E">
      <w:pPr>
        <w:spacing w:line="360" w:lineRule="auto"/>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A2.评审准备</w:t>
      </w:r>
    </w:p>
    <w:p w14:paraId="11B66A5C">
      <w:pPr>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A2.1磋商小组成员签到</w:t>
      </w:r>
    </w:p>
    <w:p w14:paraId="1E1B01D2">
      <w:pPr>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磋商小组成员到达评审现场签到并组建磋商小组。</w:t>
      </w:r>
    </w:p>
    <w:p w14:paraId="0D21AA30">
      <w:pPr>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A2.2磋商小组的分工</w:t>
      </w:r>
    </w:p>
    <w:p w14:paraId="5F8A9F32">
      <w:pPr>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磋商小组首先推选一名磋商小组组长。磋商小组组长负责评审活动的组织领导工作。磋商小组组长在与其他磋商小组成员协商的基础上，可以将磋商小组划分为技术组和商务组。</w:t>
      </w:r>
    </w:p>
    <w:p w14:paraId="640A1E00">
      <w:pPr>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A2.3熟悉文件资料</w:t>
      </w:r>
    </w:p>
    <w:p w14:paraId="732DC1DC">
      <w:pPr>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A2.3.1磋商小组组长应组织磋商小组成员认真研究采购文件，了解和熟悉采购目的、采购范围、主要合同条件、质量要求和服务周期等要求，掌握评审标准和方法，熟悉评审办法。采购文件中未规定的标准和方法，磋商小组不得作为评审的依据。</w:t>
      </w:r>
    </w:p>
    <w:p w14:paraId="3D730949">
      <w:pPr>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A2.3.2采购人或采购代理机构应向磋商小组提供评审所需的信息和数据，包括采购文件、未在开标会上当场拒绝的各响应文件、开标会记录及各供应商在响应文件，有关的法律、法规、规章、国家标准以及采购人或磋商小组认为必要的其他信息和数据。</w:t>
      </w:r>
    </w:p>
    <w:p w14:paraId="013812CF">
      <w:pPr>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A2.4对响应文件进行基础性数据分析和整理工作（清标）</w:t>
      </w:r>
    </w:p>
    <w:p w14:paraId="5F364825">
      <w:pPr>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在不改变供应商响应文件实质性内容的前提下，磋商小组应当对响应文件进行基础性数据分析和整理（简称为“清标”），从而发现并提取其中可能存在的对采购范围理解的偏差、磋商报价的算术性错误、错漏项、磋商报价构成不合理、不平衡报价、是否低于成本报价等存在明显异常的问题，并就这些问题整理形成清标成果。磋商小组对清标成果审议后，决定需要供应商进行书面澄清、</w:t>
      </w:r>
    </w:p>
    <w:p w14:paraId="407A8F15">
      <w:pPr>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说明或补正的问题，形成质疑问卷，向供应商发出问题澄清通知（质疑问卷）。</w:t>
      </w:r>
    </w:p>
    <w:p w14:paraId="38CFDD30">
      <w:pPr>
        <w:spacing w:line="360" w:lineRule="auto"/>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A3.初步评审</w:t>
      </w:r>
    </w:p>
    <w:p w14:paraId="19655BFF">
      <w:pPr>
        <w:spacing w:line="360" w:lineRule="auto"/>
        <w:ind w:firstLine="435"/>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A3.1资格审查</w:t>
      </w:r>
    </w:p>
    <w:p w14:paraId="60870C25">
      <w:pPr>
        <w:spacing w:line="360" w:lineRule="auto"/>
        <w:ind w:firstLine="435"/>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磋商小组依据本章第2.1.1款规定的审查标准对响应文件进行资格审查，有一项不符合审查标准的，响应文件按否决处理。</w:t>
      </w:r>
    </w:p>
    <w:p w14:paraId="37E9BE5C">
      <w:pPr>
        <w:spacing w:line="360" w:lineRule="auto"/>
        <w:ind w:firstLine="435"/>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A3.2符合性审查</w:t>
      </w:r>
    </w:p>
    <w:p w14:paraId="1D389DE0">
      <w:pPr>
        <w:spacing w:line="360" w:lineRule="auto"/>
        <w:ind w:firstLine="435"/>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磋商小组依据本章第2.1.2款规定的审查标准对所有供应商的响应文件进行符合性审查，有一项不符合审查标准的，响应文件按否决处理。</w:t>
      </w:r>
    </w:p>
    <w:p w14:paraId="200D54AC">
      <w:pPr>
        <w:spacing w:line="360" w:lineRule="auto"/>
        <w:ind w:firstLine="435"/>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A3.3判断响应文件是否作否决处理</w:t>
      </w:r>
    </w:p>
    <w:p w14:paraId="3A760A19">
      <w:pPr>
        <w:spacing w:line="360" w:lineRule="auto"/>
        <w:ind w:firstLine="435"/>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磋商小组在评审过程中，依据本章附件B中规定的否决条件判断供应商的响应文件是否作否决处理。</w:t>
      </w:r>
    </w:p>
    <w:p w14:paraId="5D6E4316">
      <w:pPr>
        <w:spacing w:line="360" w:lineRule="auto"/>
        <w:ind w:firstLine="437"/>
        <w:rPr>
          <w:rFonts w:hint="eastAsia" w:cs="宋体"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A3.</w:t>
      </w:r>
      <w:r>
        <w:rPr>
          <w:rFonts w:asciiTheme="minorEastAsia" w:hAnsiTheme="minorEastAsia" w:eastAsiaTheme="minorEastAsia"/>
          <w:b/>
          <w:color w:val="auto"/>
          <w:szCs w:val="21"/>
          <w:highlight w:val="none"/>
        </w:rPr>
        <w:t>4</w:t>
      </w:r>
      <w:r>
        <w:rPr>
          <w:rFonts w:hint="eastAsia" w:cs="宋体" w:asciiTheme="minorEastAsia" w:hAnsiTheme="minorEastAsia" w:eastAsiaTheme="minorEastAsia"/>
          <w:b/>
          <w:color w:val="auto"/>
          <w:szCs w:val="21"/>
          <w:highlight w:val="none"/>
        </w:rPr>
        <w:t xml:space="preserve">重新采购 </w:t>
      </w:r>
    </w:p>
    <w:p w14:paraId="6A10934F">
      <w:pPr>
        <w:spacing w:line="360" w:lineRule="auto"/>
        <w:ind w:firstLine="435"/>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经磋商小组评审后，有效供应商的数量少于3家的，采购人应当依法重新采购。</w:t>
      </w:r>
    </w:p>
    <w:p w14:paraId="18F02241">
      <w:pPr>
        <w:spacing w:line="360" w:lineRule="auto"/>
        <w:ind w:firstLine="435"/>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A3.</w:t>
      </w:r>
      <w:r>
        <w:rPr>
          <w:rFonts w:asciiTheme="minorEastAsia" w:hAnsiTheme="minorEastAsia" w:eastAsiaTheme="minorEastAsia"/>
          <w:b/>
          <w:color w:val="auto"/>
          <w:szCs w:val="21"/>
          <w:highlight w:val="none"/>
        </w:rPr>
        <w:t>5</w:t>
      </w:r>
      <w:r>
        <w:rPr>
          <w:rFonts w:hint="eastAsia" w:asciiTheme="minorEastAsia" w:hAnsiTheme="minorEastAsia" w:eastAsiaTheme="minorEastAsia"/>
          <w:b/>
          <w:color w:val="auto"/>
          <w:szCs w:val="21"/>
          <w:highlight w:val="none"/>
        </w:rPr>
        <w:t>算术性错误修正</w:t>
      </w:r>
    </w:p>
    <w:p w14:paraId="4F5EE84F">
      <w:pPr>
        <w:spacing w:line="360" w:lineRule="auto"/>
        <w:ind w:firstLine="435"/>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供应商的响应文件中的磋商报价出现前后不一致的，除采购文件另有规定外，磋商小组依法对其按照下列规定进行修正：</w:t>
      </w:r>
    </w:p>
    <w:p w14:paraId="07031098">
      <w:pPr>
        <w:spacing w:line="360" w:lineRule="auto"/>
        <w:ind w:firstLine="435"/>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（1）大写金额和小写金额不一致的，以大写金额为准；</w:t>
      </w:r>
    </w:p>
    <w:p w14:paraId="1BA04E4B">
      <w:pPr>
        <w:spacing w:line="360" w:lineRule="auto"/>
        <w:ind w:firstLine="435"/>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（2）单价金额小数点或者百分比有明显错位的，以“报价一览表”中的磋商报价为准；</w:t>
      </w:r>
    </w:p>
    <w:p w14:paraId="6FE85A20">
      <w:pPr>
        <w:spacing w:line="360" w:lineRule="auto"/>
        <w:ind w:firstLine="435"/>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（3）总价金额与按单价汇总金额不一致的，以单价金额计算结果为准。</w:t>
      </w:r>
    </w:p>
    <w:p w14:paraId="3FD67762">
      <w:pPr>
        <w:spacing w:line="360" w:lineRule="auto"/>
        <w:ind w:firstLine="435"/>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同时出现两种以上不一致的，按照前款规定的顺序修正。修正后的报价按照本章第3.</w:t>
      </w:r>
      <w:r>
        <w:rPr>
          <w:rFonts w:asciiTheme="minorEastAsia" w:hAnsiTheme="minorEastAsia" w:eastAsiaTheme="minorEastAsia"/>
          <w:color w:val="auto"/>
          <w:szCs w:val="21"/>
          <w:highlight w:val="none"/>
        </w:rPr>
        <w:t>3</w:t>
      </w:r>
      <w:r>
        <w:rPr>
          <w:rFonts w:hint="eastAsia" w:asciiTheme="minorEastAsia" w:hAnsiTheme="minorEastAsia" w:eastAsiaTheme="minorEastAsia"/>
          <w:color w:val="auto"/>
          <w:szCs w:val="21"/>
          <w:highlight w:val="none"/>
        </w:rPr>
        <w:t>条的规定经供应商确认后产生约束力，供应商不确认的，其磋商无效。</w:t>
      </w:r>
    </w:p>
    <w:p w14:paraId="21AECAE3">
      <w:pPr>
        <w:spacing w:line="360" w:lineRule="auto"/>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A4.技术部分评审</w:t>
      </w:r>
    </w:p>
    <w:p w14:paraId="49AA299A">
      <w:pPr>
        <w:spacing w:line="360" w:lineRule="auto"/>
        <w:ind w:firstLine="435"/>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A 4.1磋商小组依据本章第2.2.</w:t>
      </w:r>
      <w:r>
        <w:rPr>
          <w:rFonts w:asciiTheme="minorEastAsia" w:hAnsiTheme="minorEastAsia" w:eastAsiaTheme="minorEastAsia"/>
          <w:color w:val="auto"/>
          <w:szCs w:val="21"/>
          <w:highlight w:val="none"/>
        </w:rPr>
        <w:t>2</w:t>
      </w:r>
      <w:r>
        <w:rPr>
          <w:rFonts w:hint="eastAsia" w:asciiTheme="minorEastAsia" w:hAnsiTheme="minorEastAsia" w:eastAsiaTheme="minorEastAsia"/>
          <w:color w:val="auto"/>
          <w:szCs w:val="21"/>
          <w:highlight w:val="none"/>
        </w:rPr>
        <w:t>款规定的分值对通过资格审查和符合性审查的供应商的响应文件中的技术部分进行评审评分，</w:t>
      </w:r>
      <w:r>
        <w:rPr>
          <w:rFonts w:asciiTheme="minorEastAsia" w:hAnsiTheme="minorEastAsia" w:eastAsiaTheme="minorEastAsia"/>
          <w:color w:val="auto"/>
          <w:highlight w:val="none"/>
        </w:rPr>
        <w:t>磋商小组成员</w:t>
      </w:r>
      <w:r>
        <w:rPr>
          <w:rFonts w:hint="eastAsia" w:asciiTheme="minorEastAsia" w:hAnsiTheme="minorEastAsia" w:eastAsiaTheme="minorEastAsia"/>
          <w:color w:val="auto"/>
          <w:szCs w:val="21"/>
          <w:highlight w:val="none"/>
        </w:rPr>
        <w:t>的评分通过计算平均分值为供应商的技术部分得分。</w:t>
      </w:r>
    </w:p>
    <w:p w14:paraId="200AC932">
      <w:pPr>
        <w:spacing w:line="360" w:lineRule="auto"/>
        <w:ind w:firstLine="435"/>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A 4.2评分分值计算保留小数点后两位，小数点后第三位“四舍五入”。</w:t>
      </w:r>
    </w:p>
    <w:p w14:paraId="58D54B3E">
      <w:pPr>
        <w:spacing w:line="360" w:lineRule="auto"/>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A</w:t>
      </w:r>
      <w:r>
        <w:rPr>
          <w:rFonts w:asciiTheme="minorEastAsia" w:hAnsiTheme="minorEastAsia" w:eastAsiaTheme="minorEastAsia"/>
          <w:b/>
          <w:color w:val="auto"/>
          <w:szCs w:val="21"/>
          <w:highlight w:val="none"/>
        </w:rPr>
        <w:t>5</w:t>
      </w:r>
      <w:r>
        <w:rPr>
          <w:rFonts w:hint="eastAsia" w:asciiTheme="minorEastAsia" w:hAnsiTheme="minorEastAsia" w:eastAsiaTheme="minorEastAsia"/>
          <w:b/>
          <w:color w:val="auto"/>
          <w:szCs w:val="21"/>
          <w:highlight w:val="none"/>
        </w:rPr>
        <w:t>.商务部分评审</w:t>
      </w:r>
    </w:p>
    <w:p w14:paraId="09B47FB0">
      <w:pPr>
        <w:spacing w:line="360" w:lineRule="auto"/>
        <w:ind w:firstLine="435"/>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A </w:t>
      </w:r>
      <w:r>
        <w:rPr>
          <w:rFonts w:asciiTheme="minorEastAsia" w:hAnsiTheme="minorEastAsia" w:eastAsiaTheme="minorEastAsia"/>
          <w:color w:val="auto"/>
          <w:szCs w:val="21"/>
          <w:highlight w:val="none"/>
        </w:rPr>
        <w:t>5</w:t>
      </w:r>
      <w:r>
        <w:rPr>
          <w:rFonts w:hint="eastAsia" w:asciiTheme="minorEastAsia" w:hAnsiTheme="minorEastAsia" w:eastAsiaTheme="minorEastAsia"/>
          <w:color w:val="auto"/>
          <w:szCs w:val="21"/>
          <w:highlight w:val="none"/>
        </w:rPr>
        <w:t>.1磋商小组依据本章第2.2.</w:t>
      </w:r>
      <w:r>
        <w:rPr>
          <w:rFonts w:asciiTheme="minorEastAsia" w:hAnsiTheme="minorEastAsia" w:eastAsiaTheme="minorEastAsia"/>
          <w:color w:val="auto"/>
          <w:szCs w:val="21"/>
          <w:highlight w:val="none"/>
        </w:rPr>
        <w:t>4</w:t>
      </w:r>
      <w:r>
        <w:rPr>
          <w:rFonts w:hint="eastAsia" w:asciiTheme="minorEastAsia" w:hAnsiTheme="minorEastAsia" w:eastAsiaTheme="minorEastAsia"/>
          <w:color w:val="auto"/>
          <w:szCs w:val="21"/>
          <w:highlight w:val="none"/>
        </w:rPr>
        <w:t>款规定的分值对通过资格审查和符合性审查的供应商的评审价进行评审评分，供应商的评审价得分即为供应商的商务部分得分。</w:t>
      </w:r>
    </w:p>
    <w:p w14:paraId="6C934792">
      <w:pPr>
        <w:spacing w:line="360" w:lineRule="auto"/>
        <w:ind w:firstLine="435"/>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A</w:t>
      </w:r>
      <w:r>
        <w:rPr>
          <w:rFonts w:asciiTheme="minorEastAsia" w:hAnsiTheme="minorEastAsia" w:eastAsiaTheme="minorEastAsia"/>
          <w:color w:val="auto"/>
          <w:szCs w:val="21"/>
          <w:highlight w:val="none"/>
        </w:rPr>
        <w:t xml:space="preserve"> 5</w:t>
      </w:r>
      <w:r>
        <w:rPr>
          <w:rFonts w:hint="eastAsia" w:asciiTheme="minorEastAsia" w:hAnsiTheme="minorEastAsia" w:eastAsiaTheme="minorEastAsia"/>
          <w:color w:val="auto"/>
          <w:szCs w:val="21"/>
          <w:highlight w:val="none"/>
        </w:rPr>
        <w:t>.2评分分值计算保留小数点后两位，小数点后第三位“四舍五入”。</w:t>
      </w:r>
    </w:p>
    <w:p w14:paraId="692D9490">
      <w:pPr>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A</w:t>
      </w:r>
      <w:r>
        <w:rPr>
          <w:rFonts w:asciiTheme="minorEastAsia" w:hAnsiTheme="minorEastAsia" w:eastAsiaTheme="minorEastAsia"/>
          <w:color w:val="auto"/>
          <w:szCs w:val="21"/>
          <w:highlight w:val="none"/>
        </w:rPr>
        <w:t xml:space="preserve"> 5</w:t>
      </w:r>
      <w:r>
        <w:rPr>
          <w:rFonts w:hint="eastAsia" w:asciiTheme="minorEastAsia" w:hAnsiTheme="minorEastAsia" w:eastAsiaTheme="minorEastAsia"/>
          <w:color w:val="auto"/>
          <w:szCs w:val="21"/>
          <w:highlight w:val="none"/>
        </w:rPr>
        <w:t>.3</w:t>
      </w:r>
      <w:r>
        <w:rPr>
          <w:rFonts w:hint="eastAsia" w:ascii="宋体" w:hAnsi="宋体" w:cs="宋体"/>
          <w:color w:val="auto"/>
          <w:szCs w:val="21"/>
          <w:highlight w:val="none"/>
        </w:rPr>
        <w:t>通过资格审查、符合性审查的供应商将进行二次报价</w:t>
      </w:r>
      <w:r>
        <w:rPr>
          <w:rFonts w:ascii="宋体" w:hAnsi="宋体"/>
          <w:color w:val="auto"/>
          <w:szCs w:val="21"/>
          <w:highlight w:val="none"/>
        </w:rPr>
        <w:t>，</w:t>
      </w:r>
      <w:r>
        <w:rPr>
          <w:rFonts w:hint="eastAsia" w:ascii="宋体" w:hAnsi="宋体"/>
          <w:color w:val="auto"/>
          <w:szCs w:val="21"/>
          <w:highlight w:val="none"/>
        </w:rPr>
        <w:t>二次报价的价格为供应商的最后报价，</w:t>
      </w:r>
      <w:r>
        <w:rPr>
          <w:rFonts w:hint="eastAsia" w:asciiTheme="minorEastAsia" w:hAnsiTheme="minorEastAsia" w:eastAsiaTheme="minorEastAsia"/>
          <w:color w:val="auto"/>
          <w:szCs w:val="21"/>
          <w:highlight w:val="none"/>
        </w:rPr>
        <w:t>并成为其响应文件的重要组成部分。</w:t>
      </w:r>
      <w:r>
        <w:rPr>
          <w:rFonts w:hint="eastAsia" w:ascii="宋体" w:hAnsi="宋体" w:eastAsiaTheme="minorEastAsia"/>
          <w:color w:val="auto"/>
          <w:szCs w:val="21"/>
          <w:highlight w:val="none"/>
        </w:rPr>
        <w:t>供应商</w:t>
      </w:r>
      <w:r>
        <w:rPr>
          <w:rFonts w:hint="eastAsia" w:asciiTheme="minorEastAsia" w:hAnsiTheme="minorEastAsia" w:eastAsiaTheme="minorEastAsia"/>
          <w:color w:val="auto"/>
          <w:szCs w:val="21"/>
          <w:highlight w:val="none"/>
        </w:rPr>
        <w:t>一旦完成二次报价，即不得再报。</w:t>
      </w:r>
    </w:p>
    <w:p w14:paraId="14A94124">
      <w:pPr>
        <w:spacing w:line="360" w:lineRule="auto"/>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A</w:t>
      </w:r>
      <w:r>
        <w:rPr>
          <w:rFonts w:asciiTheme="minorEastAsia" w:hAnsiTheme="minorEastAsia" w:eastAsiaTheme="minorEastAsia"/>
          <w:b/>
          <w:color w:val="auto"/>
          <w:szCs w:val="21"/>
          <w:highlight w:val="none"/>
        </w:rPr>
        <w:t>6</w:t>
      </w:r>
      <w:r>
        <w:rPr>
          <w:rFonts w:hint="eastAsia" w:asciiTheme="minorEastAsia" w:hAnsiTheme="minorEastAsia" w:eastAsiaTheme="minorEastAsia"/>
          <w:b/>
          <w:color w:val="auto"/>
          <w:szCs w:val="21"/>
          <w:highlight w:val="none"/>
        </w:rPr>
        <w:t>澄清、说明或补正</w:t>
      </w:r>
    </w:p>
    <w:p w14:paraId="3C34B9FA">
      <w:pPr>
        <w:spacing w:line="360" w:lineRule="auto"/>
        <w:ind w:firstLine="435"/>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在初步评审过程中，磋商小组应当就供应商的响应文件中不明确的内容要求供应商进行澄清、说明或者补正。供应商对此以书面形式予以澄清、说明或者补正。澄清、说明或补正根据本章第3.</w:t>
      </w:r>
      <w:r>
        <w:rPr>
          <w:rFonts w:asciiTheme="minorEastAsia" w:hAnsiTheme="minorEastAsia" w:eastAsiaTheme="minorEastAsia"/>
          <w:color w:val="auto"/>
          <w:szCs w:val="21"/>
          <w:highlight w:val="none"/>
        </w:rPr>
        <w:t>3</w:t>
      </w:r>
      <w:r>
        <w:rPr>
          <w:rFonts w:hint="eastAsia" w:asciiTheme="minorEastAsia" w:hAnsiTheme="minorEastAsia" w:eastAsiaTheme="minorEastAsia"/>
          <w:color w:val="auto"/>
          <w:szCs w:val="21"/>
          <w:highlight w:val="none"/>
        </w:rPr>
        <w:t>款的规定执行。</w:t>
      </w:r>
    </w:p>
    <w:p w14:paraId="4DCF72A1">
      <w:pPr>
        <w:spacing w:line="360" w:lineRule="auto"/>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A</w:t>
      </w:r>
      <w:r>
        <w:rPr>
          <w:rFonts w:asciiTheme="minorEastAsia" w:hAnsiTheme="minorEastAsia" w:eastAsiaTheme="minorEastAsia"/>
          <w:b/>
          <w:color w:val="auto"/>
          <w:szCs w:val="21"/>
          <w:highlight w:val="none"/>
        </w:rPr>
        <w:t>7</w:t>
      </w:r>
      <w:r>
        <w:rPr>
          <w:rFonts w:hint="eastAsia" w:asciiTheme="minorEastAsia" w:hAnsiTheme="minorEastAsia" w:eastAsiaTheme="minorEastAsia"/>
          <w:b/>
          <w:color w:val="auto"/>
          <w:szCs w:val="21"/>
          <w:highlight w:val="none"/>
        </w:rPr>
        <w:t>.特殊情况的处置程序</w:t>
      </w:r>
    </w:p>
    <w:p w14:paraId="2A6D56EB">
      <w:pPr>
        <w:spacing w:line="360" w:lineRule="auto"/>
        <w:ind w:firstLine="435"/>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A</w:t>
      </w:r>
      <w:r>
        <w:rPr>
          <w:rFonts w:asciiTheme="minorEastAsia" w:hAnsiTheme="minorEastAsia" w:eastAsiaTheme="minorEastAsia"/>
          <w:color w:val="auto"/>
          <w:szCs w:val="21"/>
          <w:highlight w:val="none"/>
        </w:rPr>
        <w:t>7</w:t>
      </w:r>
      <w:r>
        <w:rPr>
          <w:rFonts w:hint="eastAsia" w:asciiTheme="minorEastAsia" w:hAnsiTheme="minorEastAsia" w:eastAsiaTheme="minorEastAsia"/>
          <w:color w:val="auto"/>
          <w:szCs w:val="21"/>
          <w:highlight w:val="none"/>
        </w:rPr>
        <w:t>.1关于评审活动暂停</w:t>
      </w:r>
    </w:p>
    <w:p w14:paraId="3FAC3356">
      <w:pPr>
        <w:spacing w:line="360" w:lineRule="auto"/>
        <w:ind w:firstLine="435"/>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A</w:t>
      </w:r>
      <w:r>
        <w:rPr>
          <w:rFonts w:asciiTheme="minorEastAsia" w:hAnsiTheme="minorEastAsia" w:eastAsiaTheme="minorEastAsia"/>
          <w:color w:val="auto"/>
          <w:szCs w:val="21"/>
          <w:highlight w:val="none"/>
        </w:rPr>
        <w:t>7</w:t>
      </w:r>
      <w:r>
        <w:rPr>
          <w:rFonts w:hint="eastAsia" w:asciiTheme="minorEastAsia" w:hAnsiTheme="minorEastAsia" w:eastAsiaTheme="minorEastAsia"/>
          <w:color w:val="auto"/>
          <w:szCs w:val="21"/>
          <w:highlight w:val="none"/>
        </w:rPr>
        <w:t>.1.1磋商小组应当执行连续评审的原则，按评审办法中规定的程序、内容、方法、标准完成全部评审工作。只有发生不可抗力导致评审工作无法继续时，评审活动方可暂停。</w:t>
      </w:r>
    </w:p>
    <w:p w14:paraId="4C3A4C66">
      <w:pPr>
        <w:spacing w:line="360" w:lineRule="auto"/>
        <w:ind w:firstLine="435"/>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A</w:t>
      </w:r>
      <w:r>
        <w:rPr>
          <w:rFonts w:asciiTheme="minorEastAsia" w:hAnsiTheme="minorEastAsia" w:eastAsiaTheme="minorEastAsia"/>
          <w:color w:val="auto"/>
          <w:szCs w:val="21"/>
          <w:highlight w:val="none"/>
        </w:rPr>
        <w:t>7</w:t>
      </w:r>
      <w:r>
        <w:rPr>
          <w:rFonts w:hint="eastAsia" w:asciiTheme="minorEastAsia" w:hAnsiTheme="minorEastAsia" w:eastAsiaTheme="minorEastAsia"/>
          <w:color w:val="auto"/>
          <w:szCs w:val="21"/>
          <w:highlight w:val="none"/>
        </w:rPr>
        <w:t>.1.2发生评审暂停情况时，磋商小组应当封存全部磋商申请文件和评审记录，待不可抗力的影响结束且具备继续评审的条件时，由原磋商小组继续评审。</w:t>
      </w:r>
    </w:p>
    <w:p w14:paraId="7391BCF1">
      <w:pPr>
        <w:spacing w:line="360" w:lineRule="auto"/>
        <w:ind w:firstLine="435"/>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A</w:t>
      </w:r>
      <w:r>
        <w:rPr>
          <w:rFonts w:asciiTheme="minorEastAsia" w:hAnsiTheme="minorEastAsia" w:eastAsiaTheme="minorEastAsia"/>
          <w:color w:val="auto"/>
          <w:szCs w:val="21"/>
          <w:highlight w:val="none"/>
        </w:rPr>
        <w:t>7</w:t>
      </w:r>
      <w:r>
        <w:rPr>
          <w:rFonts w:hint="eastAsia" w:asciiTheme="minorEastAsia" w:hAnsiTheme="minorEastAsia" w:eastAsiaTheme="minorEastAsia"/>
          <w:color w:val="auto"/>
          <w:szCs w:val="21"/>
          <w:highlight w:val="none"/>
        </w:rPr>
        <w:t>.2关于评审中途更换评委</w:t>
      </w:r>
    </w:p>
    <w:p w14:paraId="390A6C3A">
      <w:pPr>
        <w:spacing w:line="360" w:lineRule="auto"/>
        <w:ind w:firstLine="435"/>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A</w:t>
      </w:r>
      <w:r>
        <w:rPr>
          <w:rFonts w:asciiTheme="minorEastAsia" w:hAnsiTheme="minorEastAsia" w:eastAsiaTheme="minorEastAsia"/>
          <w:color w:val="auto"/>
          <w:szCs w:val="21"/>
          <w:highlight w:val="none"/>
        </w:rPr>
        <w:t>7</w:t>
      </w:r>
      <w:r>
        <w:rPr>
          <w:rFonts w:hint="eastAsia" w:asciiTheme="minorEastAsia" w:hAnsiTheme="minorEastAsia" w:eastAsiaTheme="minorEastAsia"/>
          <w:color w:val="auto"/>
          <w:szCs w:val="21"/>
          <w:highlight w:val="none"/>
        </w:rPr>
        <w:t>.2.1除非发生下列情况之一，磋商小组成员不得在评审中途更换：</w:t>
      </w:r>
    </w:p>
    <w:p w14:paraId="5FE6BE84">
      <w:pPr>
        <w:spacing w:line="360" w:lineRule="auto"/>
        <w:ind w:firstLine="435"/>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（1）因不可抗拒的客观原因，不能到场或需在评审中途退出评审活动。</w:t>
      </w:r>
    </w:p>
    <w:p w14:paraId="3227B8CD">
      <w:pPr>
        <w:spacing w:line="360" w:lineRule="auto"/>
        <w:ind w:firstLine="435"/>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r>
        <w:rPr>
          <w:rFonts w:asciiTheme="minorEastAsia" w:hAnsiTheme="minorEastAsia" w:eastAsiaTheme="minorEastAsia"/>
          <w:color w:val="auto"/>
          <w:szCs w:val="21"/>
          <w:highlight w:val="none"/>
        </w:rPr>
        <w:t>2</w:t>
      </w:r>
      <w:r>
        <w:rPr>
          <w:rFonts w:hint="eastAsia" w:asciiTheme="minorEastAsia" w:hAnsiTheme="minorEastAsia" w:eastAsiaTheme="minorEastAsia"/>
          <w:color w:val="auto"/>
          <w:szCs w:val="21"/>
          <w:highlight w:val="none"/>
        </w:rPr>
        <w:t>）根据法律法规规定，某个或某几个磋商小组成员需要回避。</w:t>
      </w:r>
    </w:p>
    <w:p w14:paraId="38E96B10">
      <w:pPr>
        <w:spacing w:line="360" w:lineRule="auto"/>
        <w:ind w:firstLine="435"/>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A</w:t>
      </w:r>
      <w:r>
        <w:rPr>
          <w:rFonts w:asciiTheme="minorEastAsia" w:hAnsiTheme="minorEastAsia" w:eastAsiaTheme="minorEastAsia"/>
          <w:color w:val="auto"/>
          <w:szCs w:val="21"/>
          <w:highlight w:val="none"/>
        </w:rPr>
        <w:t>7</w:t>
      </w:r>
      <w:r>
        <w:rPr>
          <w:rFonts w:hint="eastAsia" w:asciiTheme="minorEastAsia" w:hAnsiTheme="minorEastAsia" w:eastAsiaTheme="minorEastAsia"/>
          <w:color w:val="auto"/>
          <w:szCs w:val="21"/>
          <w:highlight w:val="none"/>
        </w:rPr>
        <w:t>.2.2退出评审的磋商小组成员，其已完成的评审行为无效。由采购人根据本采购文件规定的磋商小组成员生产方式另行确定替代者进行评审。</w:t>
      </w:r>
    </w:p>
    <w:p w14:paraId="6DBD0F70">
      <w:pPr>
        <w:spacing w:line="360" w:lineRule="auto"/>
        <w:ind w:firstLine="435"/>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A</w:t>
      </w:r>
      <w:r>
        <w:rPr>
          <w:rFonts w:asciiTheme="minorEastAsia" w:hAnsiTheme="minorEastAsia" w:eastAsiaTheme="minorEastAsia"/>
          <w:color w:val="auto"/>
          <w:szCs w:val="21"/>
          <w:highlight w:val="none"/>
        </w:rPr>
        <w:t>7</w:t>
      </w:r>
      <w:r>
        <w:rPr>
          <w:rFonts w:hint="eastAsia" w:asciiTheme="minorEastAsia" w:hAnsiTheme="minorEastAsia" w:eastAsiaTheme="minorEastAsia"/>
          <w:color w:val="auto"/>
          <w:szCs w:val="21"/>
          <w:highlight w:val="none"/>
        </w:rPr>
        <w:t>.3不记名投票</w:t>
      </w:r>
    </w:p>
    <w:p w14:paraId="09063899">
      <w:pPr>
        <w:spacing w:line="360" w:lineRule="auto"/>
        <w:ind w:firstLine="435"/>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在任何评审环节中，需磋商小组就某项定性的评审结论做出表决的，由磋商小组全体成员按照少数服从多数的原则，以不记名投票方式表决。</w:t>
      </w:r>
    </w:p>
    <w:p w14:paraId="4EB5F144">
      <w:pPr>
        <w:spacing w:line="360" w:lineRule="auto"/>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A</w:t>
      </w:r>
      <w:r>
        <w:rPr>
          <w:rFonts w:asciiTheme="minorEastAsia" w:hAnsiTheme="minorEastAsia" w:eastAsiaTheme="minorEastAsia"/>
          <w:b/>
          <w:color w:val="auto"/>
          <w:szCs w:val="21"/>
          <w:highlight w:val="none"/>
        </w:rPr>
        <w:t>8</w:t>
      </w:r>
      <w:r>
        <w:rPr>
          <w:rFonts w:hint="eastAsia" w:asciiTheme="minorEastAsia" w:hAnsiTheme="minorEastAsia" w:eastAsiaTheme="minorEastAsia"/>
          <w:b/>
          <w:color w:val="auto"/>
          <w:szCs w:val="21"/>
          <w:highlight w:val="none"/>
        </w:rPr>
        <w:t>.补充条款</w:t>
      </w:r>
    </w:p>
    <w:p w14:paraId="34F59392">
      <w:pPr>
        <w:spacing w:line="360" w:lineRule="auto"/>
        <w:ind w:firstLine="435"/>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评审中若遇特殊问题，由磋商小组根据有关法律、法规、规定研究决定。</w:t>
      </w:r>
      <w:r>
        <w:rPr>
          <w:rFonts w:asciiTheme="minorEastAsia" w:hAnsiTheme="minorEastAsia" w:eastAsiaTheme="minorEastAsia"/>
          <w:color w:val="auto"/>
          <w:szCs w:val="21"/>
          <w:highlight w:val="none"/>
        </w:rPr>
        <w:br w:type="page"/>
      </w:r>
    </w:p>
    <w:p w14:paraId="4C2B2806">
      <w:pPr>
        <w:spacing w:before="120" w:beforeLines="50" w:line="360" w:lineRule="auto"/>
        <w:outlineLvl w:val="2"/>
        <w:rPr>
          <w:rFonts w:hint="eastAsia" w:asciiTheme="minorEastAsia" w:hAnsiTheme="minorEastAsia" w:eastAsiaTheme="minorEastAsia"/>
          <w:b/>
          <w:color w:val="auto"/>
          <w:szCs w:val="21"/>
          <w:highlight w:val="none"/>
        </w:rPr>
      </w:pPr>
      <w:bookmarkStart w:id="1299" w:name="_Toc4288"/>
      <w:bookmarkStart w:id="1300" w:name="_Toc81330982"/>
      <w:bookmarkStart w:id="1301" w:name="_Toc45976943"/>
      <w:bookmarkStart w:id="1302" w:name="_Toc45791397"/>
      <w:bookmarkStart w:id="1303" w:name="_Toc83753935"/>
      <w:bookmarkStart w:id="1304" w:name="_Toc109809357"/>
      <w:bookmarkStart w:id="1305" w:name="_Toc87538412"/>
      <w:bookmarkStart w:id="1306" w:name="_Toc98033979"/>
      <w:bookmarkStart w:id="1307" w:name="_Toc53412259"/>
      <w:bookmarkStart w:id="1308" w:name="_Toc110405180"/>
      <w:bookmarkStart w:id="1309" w:name="_Toc98865056"/>
      <w:bookmarkStart w:id="1310" w:name="_Toc87543863"/>
      <w:bookmarkStart w:id="1311" w:name="_Toc42205036"/>
      <w:bookmarkStart w:id="1312" w:name="_Toc84356295"/>
      <w:bookmarkStart w:id="1313" w:name="_Toc116584047"/>
      <w:r>
        <w:rPr>
          <w:rFonts w:hint="eastAsia" w:asciiTheme="minorEastAsia" w:hAnsiTheme="minorEastAsia" w:eastAsiaTheme="minorEastAsia"/>
          <w:b/>
          <w:color w:val="auto"/>
          <w:szCs w:val="21"/>
          <w:highlight w:val="none"/>
        </w:rPr>
        <w:t>附件B：否决条件</w:t>
      </w:r>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p>
    <w:p w14:paraId="2EAB3BCF">
      <w:pPr>
        <w:spacing w:line="360" w:lineRule="auto"/>
        <w:jc w:val="center"/>
        <w:rPr>
          <w:rFonts w:hint="eastAsia" w:asciiTheme="minorEastAsia" w:hAnsiTheme="minorEastAsia" w:eastAsiaTheme="minorEastAsia"/>
          <w:b/>
          <w:bCs/>
          <w:color w:val="auto"/>
          <w:sz w:val="28"/>
          <w:szCs w:val="28"/>
          <w:highlight w:val="none"/>
        </w:rPr>
      </w:pPr>
      <w:r>
        <w:rPr>
          <w:rFonts w:hint="eastAsia" w:asciiTheme="minorEastAsia" w:hAnsiTheme="minorEastAsia" w:eastAsiaTheme="minorEastAsia"/>
          <w:b/>
          <w:bCs/>
          <w:color w:val="auto"/>
          <w:sz w:val="28"/>
          <w:szCs w:val="28"/>
          <w:highlight w:val="none"/>
        </w:rPr>
        <w:t>否决条件</w:t>
      </w:r>
    </w:p>
    <w:p w14:paraId="7A222E91">
      <w:pPr>
        <w:spacing w:line="360" w:lineRule="auto"/>
        <w:ind w:firstLine="420" w:firstLineChars="200"/>
        <w:jc w:val="left"/>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B0.总  则</w:t>
      </w:r>
    </w:p>
    <w:p w14:paraId="0C615DA0">
      <w:pPr>
        <w:spacing w:line="360" w:lineRule="auto"/>
        <w:ind w:firstLine="435"/>
        <w:rPr>
          <w:rFonts w:hint="eastAsia" w:asciiTheme="minorEastAsia" w:hAnsiTheme="minorEastAsia" w:eastAsiaTheme="minorEastAsia"/>
          <w:color w:val="auto"/>
          <w:szCs w:val="21"/>
          <w:highlight w:val="none"/>
        </w:rPr>
      </w:pPr>
      <w:bookmarkStart w:id="1314" w:name="_Toc458454495"/>
      <w:bookmarkStart w:id="1315" w:name="_Toc37603110"/>
      <w:bookmarkStart w:id="1316" w:name="_Toc42205037"/>
      <w:r>
        <w:rPr>
          <w:rFonts w:hint="eastAsia" w:asciiTheme="minorEastAsia" w:hAnsiTheme="minorEastAsia" w:eastAsiaTheme="minorEastAsia"/>
          <w:color w:val="auto"/>
          <w:szCs w:val="21"/>
          <w:highlight w:val="none"/>
        </w:rPr>
        <w:t>本附件所集中列示的否决条件，是本章“评审办法”的组成部分，是对第二章“供应商须知”和本章正文部分所规定的否决条件的总结和补充，如果出现相互矛盾的情况，以本节的规定为准。</w:t>
      </w:r>
    </w:p>
    <w:p w14:paraId="0E517ACD">
      <w:pPr>
        <w:spacing w:line="360" w:lineRule="auto"/>
        <w:ind w:firstLine="420" w:firstLineChars="200"/>
        <w:jc w:val="left"/>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B1.未按</w:t>
      </w:r>
      <w:r>
        <w:rPr>
          <w:rFonts w:hint="eastAsia" w:asciiTheme="minorEastAsia" w:hAnsiTheme="minorEastAsia" w:eastAsiaTheme="minorEastAsia"/>
          <w:color w:val="auto"/>
          <w:highlight w:val="none"/>
        </w:rPr>
        <w:t>磋商小组</w:t>
      </w:r>
      <w:r>
        <w:rPr>
          <w:rFonts w:asciiTheme="minorEastAsia" w:hAnsiTheme="minorEastAsia" w:eastAsiaTheme="minorEastAsia"/>
          <w:color w:val="auto"/>
          <w:highlight w:val="none"/>
        </w:rPr>
        <w:t>要求澄清、说明或补正的；</w:t>
      </w:r>
    </w:p>
    <w:p w14:paraId="66E0BC5F">
      <w:pPr>
        <w:spacing w:line="360" w:lineRule="auto"/>
        <w:ind w:firstLine="420" w:firstLineChars="200"/>
        <w:jc w:val="left"/>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B2</w:t>
      </w:r>
      <w:r>
        <w:rPr>
          <w:rFonts w:hint="eastAsia" w:asciiTheme="minorEastAsia" w:hAnsiTheme="minorEastAsia" w:eastAsiaTheme="minorEastAsia"/>
          <w:color w:val="auto"/>
          <w:highlight w:val="none"/>
        </w:rPr>
        <w:t>.</w:t>
      </w:r>
      <w:r>
        <w:rPr>
          <w:rFonts w:asciiTheme="minorEastAsia" w:hAnsiTheme="minorEastAsia" w:eastAsiaTheme="minorEastAsia"/>
          <w:color w:val="auto"/>
          <w:highlight w:val="none"/>
        </w:rPr>
        <w:t>在资格审查、</w:t>
      </w:r>
      <w:r>
        <w:rPr>
          <w:rFonts w:hint="eastAsia" w:asciiTheme="minorEastAsia" w:hAnsiTheme="minorEastAsia" w:eastAsiaTheme="minorEastAsia"/>
          <w:color w:val="auto"/>
          <w:highlight w:val="none"/>
        </w:rPr>
        <w:t>符合性审查</w:t>
      </w:r>
      <w:r>
        <w:rPr>
          <w:rFonts w:asciiTheme="minorEastAsia" w:hAnsiTheme="minorEastAsia" w:eastAsiaTheme="minorEastAsia"/>
          <w:color w:val="auto"/>
          <w:highlight w:val="none"/>
        </w:rPr>
        <w:t>中，</w:t>
      </w:r>
      <w:r>
        <w:rPr>
          <w:rFonts w:hint="eastAsia" w:asciiTheme="minorEastAsia" w:hAnsiTheme="minorEastAsia" w:eastAsiaTheme="minorEastAsia"/>
          <w:color w:val="auto"/>
          <w:highlight w:val="none"/>
        </w:rPr>
        <w:t>磋商小组</w:t>
      </w:r>
      <w:r>
        <w:rPr>
          <w:rFonts w:asciiTheme="minorEastAsia" w:hAnsiTheme="minorEastAsia" w:eastAsiaTheme="minorEastAsia"/>
          <w:color w:val="auto"/>
          <w:highlight w:val="none"/>
        </w:rPr>
        <w:t>认定供应商的</w:t>
      </w:r>
      <w:r>
        <w:rPr>
          <w:rFonts w:hint="eastAsia" w:asciiTheme="minorEastAsia" w:hAnsiTheme="minorEastAsia" w:eastAsiaTheme="minorEastAsia"/>
          <w:color w:val="auto"/>
          <w:highlight w:val="none"/>
        </w:rPr>
        <w:t>响应文件</w:t>
      </w:r>
      <w:r>
        <w:rPr>
          <w:rFonts w:asciiTheme="minorEastAsia" w:hAnsiTheme="minorEastAsia" w:eastAsiaTheme="minorEastAsia"/>
          <w:color w:val="auto"/>
          <w:highlight w:val="none"/>
        </w:rPr>
        <w:t>不符合评</w:t>
      </w:r>
      <w:r>
        <w:rPr>
          <w:rFonts w:hint="eastAsia" w:asciiTheme="minorEastAsia" w:hAnsiTheme="minorEastAsia" w:eastAsiaTheme="minorEastAsia"/>
          <w:color w:val="auto"/>
          <w:highlight w:val="none"/>
        </w:rPr>
        <w:t>审</w:t>
      </w:r>
      <w:r>
        <w:rPr>
          <w:rFonts w:asciiTheme="minorEastAsia" w:hAnsiTheme="minorEastAsia" w:eastAsiaTheme="minorEastAsia"/>
          <w:color w:val="auto"/>
          <w:highlight w:val="none"/>
        </w:rPr>
        <w:t>办法前附表中规定的任何一项评审标准的；</w:t>
      </w:r>
    </w:p>
    <w:p w14:paraId="56A787AA">
      <w:pPr>
        <w:spacing w:line="360" w:lineRule="auto"/>
        <w:ind w:firstLine="420" w:firstLineChars="200"/>
        <w:jc w:val="left"/>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B3</w:t>
      </w:r>
      <w:r>
        <w:rPr>
          <w:rFonts w:hint="eastAsia" w:asciiTheme="minorEastAsia" w:hAnsiTheme="minorEastAsia" w:eastAsiaTheme="minorEastAsia"/>
          <w:color w:val="auto"/>
          <w:highlight w:val="none"/>
        </w:rPr>
        <w:t>.供应商的名称与所提供的资料上的名称不一致的；</w:t>
      </w:r>
    </w:p>
    <w:p w14:paraId="740C67F6">
      <w:pPr>
        <w:spacing w:line="360" w:lineRule="auto"/>
        <w:ind w:firstLine="420" w:firstLineChars="200"/>
        <w:jc w:val="left"/>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B4</w:t>
      </w:r>
      <w:r>
        <w:rPr>
          <w:rFonts w:hint="eastAsia" w:asciiTheme="minorEastAsia" w:hAnsiTheme="minorEastAsia" w:eastAsiaTheme="minorEastAsia"/>
          <w:color w:val="auto"/>
          <w:highlight w:val="none"/>
        </w:rPr>
        <w:t>.磋商内容不符合第二章“供应商须知前附表”第1.3.1项规定的；</w:t>
      </w:r>
    </w:p>
    <w:p w14:paraId="1AFD3517">
      <w:pPr>
        <w:spacing w:line="360" w:lineRule="auto"/>
        <w:ind w:firstLine="420" w:firstLineChars="200"/>
        <w:jc w:val="left"/>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B5</w:t>
      </w:r>
      <w:r>
        <w:rPr>
          <w:rFonts w:hint="eastAsia" w:asciiTheme="minorEastAsia" w:hAnsiTheme="minorEastAsia" w:eastAsiaTheme="minorEastAsia"/>
          <w:color w:val="auto"/>
          <w:highlight w:val="none"/>
        </w:rPr>
        <w:t>.服务周期不符合第二章“供应商须知前附表”第1.3.2项规定的；</w:t>
      </w:r>
    </w:p>
    <w:p w14:paraId="7EEA7C68">
      <w:pPr>
        <w:spacing w:line="360" w:lineRule="auto"/>
        <w:ind w:firstLine="420" w:firstLineChars="200"/>
        <w:jc w:val="left"/>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B6</w:t>
      </w:r>
      <w:r>
        <w:rPr>
          <w:rFonts w:hint="eastAsia" w:asciiTheme="minorEastAsia" w:hAnsiTheme="minorEastAsia" w:eastAsiaTheme="minorEastAsia"/>
          <w:color w:val="auto"/>
          <w:highlight w:val="none"/>
        </w:rPr>
        <w:t>.质量标准不符合第二章“供应商须知前附表”第1.3.3项规定的；</w:t>
      </w:r>
    </w:p>
    <w:p w14:paraId="04B3A5CF">
      <w:pPr>
        <w:spacing w:line="360" w:lineRule="auto"/>
        <w:ind w:firstLine="420" w:firstLineChars="200"/>
        <w:jc w:val="left"/>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B7</w:t>
      </w:r>
      <w:r>
        <w:rPr>
          <w:rFonts w:hint="eastAsia" w:asciiTheme="minorEastAsia" w:hAnsiTheme="minorEastAsia" w:eastAsiaTheme="minorEastAsia"/>
          <w:color w:val="auto"/>
          <w:highlight w:val="none"/>
        </w:rPr>
        <w:t>.供应商的信誉不符合第二章“供应商须知前附表”第1.4.2项规定的；</w:t>
      </w:r>
    </w:p>
    <w:p w14:paraId="7AECABC5">
      <w:pPr>
        <w:spacing w:line="360" w:lineRule="auto"/>
        <w:ind w:firstLine="420" w:firstLineChars="200"/>
        <w:jc w:val="left"/>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B8</w:t>
      </w:r>
      <w:r>
        <w:rPr>
          <w:rFonts w:hint="eastAsia" w:asciiTheme="minorEastAsia" w:hAnsiTheme="minorEastAsia" w:eastAsiaTheme="minorEastAsia"/>
          <w:color w:val="auto"/>
          <w:highlight w:val="none"/>
        </w:rPr>
        <w:t>.参与磋商的供应商的单位负责人为同一人或存在直接控股、管理关系的；</w:t>
      </w:r>
    </w:p>
    <w:p w14:paraId="64869FE5">
      <w:pPr>
        <w:spacing w:line="360" w:lineRule="auto"/>
        <w:ind w:firstLine="420" w:firstLineChars="200"/>
        <w:jc w:val="left"/>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B9</w:t>
      </w:r>
      <w:r>
        <w:rPr>
          <w:rFonts w:hint="eastAsia" w:asciiTheme="minorEastAsia" w:hAnsiTheme="minorEastAsia" w:eastAsiaTheme="minorEastAsia"/>
          <w:color w:val="auto"/>
          <w:highlight w:val="none"/>
        </w:rPr>
        <w:t>.联合体不符合第二章“供应商须知前附表”第1.4.3项规定的；</w:t>
      </w:r>
    </w:p>
    <w:p w14:paraId="1BB113CC">
      <w:pPr>
        <w:spacing w:line="360" w:lineRule="auto"/>
        <w:ind w:firstLine="420" w:firstLineChars="200"/>
        <w:jc w:val="left"/>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B10</w:t>
      </w:r>
      <w:r>
        <w:rPr>
          <w:rFonts w:hint="eastAsia" w:asciiTheme="minorEastAsia" w:hAnsiTheme="minorEastAsia" w:eastAsiaTheme="minorEastAsia"/>
          <w:color w:val="auto"/>
          <w:highlight w:val="none"/>
        </w:rPr>
        <w:t>.</w:t>
      </w:r>
      <w:r>
        <w:rPr>
          <w:rFonts w:asciiTheme="minorEastAsia" w:hAnsiTheme="minorEastAsia" w:eastAsiaTheme="minorEastAsia"/>
          <w:color w:val="auto"/>
          <w:highlight w:val="none"/>
        </w:rPr>
        <w:t>分包不符合第二章“供应商须知”第1.11项规定的；</w:t>
      </w:r>
    </w:p>
    <w:p w14:paraId="73513965">
      <w:pPr>
        <w:spacing w:line="360" w:lineRule="auto"/>
        <w:ind w:firstLine="420" w:firstLineChars="200"/>
        <w:jc w:val="left"/>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B11</w:t>
      </w:r>
      <w:r>
        <w:rPr>
          <w:rFonts w:hint="eastAsia" w:asciiTheme="minorEastAsia" w:hAnsiTheme="minorEastAsia" w:eastAsiaTheme="minorEastAsia"/>
          <w:color w:val="auto"/>
          <w:highlight w:val="none"/>
        </w:rPr>
        <w:t>.</w:t>
      </w:r>
      <w:r>
        <w:rPr>
          <w:rFonts w:asciiTheme="minorEastAsia" w:hAnsiTheme="minorEastAsia" w:eastAsiaTheme="minorEastAsia"/>
          <w:color w:val="auto"/>
          <w:highlight w:val="none"/>
        </w:rPr>
        <w:t>偏离不符合第二章“供应商须知”第1.12项规定的；</w:t>
      </w:r>
    </w:p>
    <w:p w14:paraId="0E13D20D">
      <w:pPr>
        <w:spacing w:line="360" w:lineRule="auto"/>
        <w:ind w:firstLine="420" w:firstLineChars="200"/>
        <w:jc w:val="left"/>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B12</w:t>
      </w:r>
      <w:r>
        <w:rPr>
          <w:rFonts w:hint="eastAsia" w:asciiTheme="minorEastAsia" w:hAnsiTheme="minorEastAsia" w:eastAsiaTheme="minorEastAsia"/>
          <w:color w:val="auto"/>
          <w:highlight w:val="none"/>
        </w:rPr>
        <w:t>.磋商有效期不符合第二章“供应商须知前附表”第3.3.1项规定的；</w:t>
      </w:r>
    </w:p>
    <w:p w14:paraId="296E0807">
      <w:pPr>
        <w:spacing w:line="360" w:lineRule="auto"/>
        <w:ind w:firstLine="420" w:firstLineChars="200"/>
        <w:jc w:val="left"/>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B13</w:t>
      </w:r>
      <w:r>
        <w:rPr>
          <w:rFonts w:hint="eastAsia" w:asciiTheme="minorEastAsia" w:hAnsiTheme="minorEastAsia" w:eastAsiaTheme="minorEastAsia"/>
          <w:color w:val="auto"/>
          <w:highlight w:val="none"/>
        </w:rPr>
        <w:t>.响应</w:t>
      </w:r>
      <w:r>
        <w:rPr>
          <w:rFonts w:asciiTheme="minorEastAsia" w:hAnsiTheme="minorEastAsia" w:eastAsiaTheme="minorEastAsia"/>
          <w:color w:val="auto"/>
          <w:highlight w:val="none"/>
        </w:rPr>
        <w:t>文件未按</w:t>
      </w:r>
      <w:r>
        <w:rPr>
          <w:rFonts w:hint="eastAsia" w:asciiTheme="minorEastAsia" w:hAnsiTheme="minorEastAsia" w:eastAsiaTheme="minorEastAsia"/>
          <w:color w:val="auto"/>
          <w:highlight w:val="none"/>
        </w:rPr>
        <w:t>采购文件</w:t>
      </w:r>
      <w:r>
        <w:rPr>
          <w:rFonts w:asciiTheme="minorEastAsia" w:hAnsiTheme="minorEastAsia" w:eastAsiaTheme="minorEastAsia"/>
          <w:color w:val="auto"/>
          <w:highlight w:val="none"/>
        </w:rPr>
        <w:t>的要求采用单位和个人数字证书电子签章的；</w:t>
      </w:r>
    </w:p>
    <w:p w14:paraId="7D36BD12">
      <w:pPr>
        <w:spacing w:line="360" w:lineRule="auto"/>
        <w:ind w:firstLine="420" w:firstLineChars="200"/>
        <w:jc w:val="left"/>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B1</w:t>
      </w:r>
      <w:r>
        <w:rPr>
          <w:rFonts w:hint="eastAsia" w:asciiTheme="minorEastAsia" w:hAnsiTheme="minorEastAsia" w:eastAsiaTheme="minorEastAsia"/>
          <w:color w:val="auto"/>
          <w:highlight w:val="none"/>
        </w:rPr>
        <w:t>4.响应</w:t>
      </w:r>
      <w:r>
        <w:rPr>
          <w:rFonts w:asciiTheme="minorEastAsia" w:hAnsiTheme="minorEastAsia" w:eastAsiaTheme="minorEastAsia"/>
          <w:color w:val="auto"/>
          <w:highlight w:val="none"/>
        </w:rPr>
        <w:t>文件未按</w:t>
      </w:r>
      <w:r>
        <w:rPr>
          <w:rFonts w:hint="eastAsia" w:asciiTheme="minorEastAsia" w:hAnsiTheme="minorEastAsia" w:eastAsiaTheme="minorEastAsia"/>
          <w:color w:val="auto"/>
          <w:highlight w:val="none"/>
        </w:rPr>
        <w:t>采购文件</w:t>
      </w:r>
      <w:r>
        <w:rPr>
          <w:rFonts w:asciiTheme="minorEastAsia" w:hAnsiTheme="minorEastAsia" w:eastAsiaTheme="minorEastAsia"/>
          <w:color w:val="auto"/>
          <w:highlight w:val="none"/>
        </w:rPr>
        <w:t>规定的格式填写，内容不全或关键字迹模糊、无法辨认的；</w:t>
      </w:r>
    </w:p>
    <w:p w14:paraId="38005526">
      <w:pPr>
        <w:spacing w:line="360" w:lineRule="auto"/>
        <w:ind w:firstLine="420" w:firstLineChars="200"/>
        <w:jc w:val="left"/>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B1</w:t>
      </w:r>
      <w:r>
        <w:rPr>
          <w:rFonts w:hint="eastAsia" w:asciiTheme="minorEastAsia" w:hAnsiTheme="minorEastAsia" w:eastAsiaTheme="minorEastAsia"/>
          <w:color w:val="auto"/>
          <w:highlight w:val="none"/>
        </w:rPr>
        <w:t>5.</w:t>
      </w:r>
      <w:r>
        <w:rPr>
          <w:rFonts w:asciiTheme="minorEastAsia" w:hAnsiTheme="minorEastAsia" w:eastAsiaTheme="minorEastAsia"/>
          <w:color w:val="auto"/>
          <w:highlight w:val="none"/>
        </w:rPr>
        <w:t>供应商递交两份或多份内容不同的</w:t>
      </w:r>
      <w:r>
        <w:rPr>
          <w:rFonts w:hint="eastAsia" w:asciiTheme="minorEastAsia" w:hAnsiTheme="minorEastAsia" w:eastAsiaTheme="minorEastAsia"/>
          <w:color w:val="auto"/>
          <w:highlight w:val="none"/>
        </w:rPr>
        <w:t>响应</w:t>
      </w:r>
      <w:r>
        <w:rPr>
          <w:rFonts w:asciiTheme="minorEastAsia" w:hAnsiTheme="minorEastAsia" w:eastAsiaTheme="minorEastAsia"/>
          <w:color w:val="auto"/>
          <w:highlight w:val="none"/>
        </w:rPr>
        <w:t>文件的；</w:t>
      </w:r>
    </w:p>
    <w:p w14:paraId="7FCF6526">
      <w:pPr>
        <w:spacing w:line="360" w:lineRule="auto"/>
        <w:ind w:firstLine="420" w:firstLineChars="200"/>
        <w:jc w:val="left"/>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B1</w:t>
      </w:r>
      <w:r>
        <w:rPr>
          <w:rFonts w:hint="eastAsia" w:asciiTheme="minorEastAsia" w:hAnsiTheme="minorEastAsia" w:eastAsiaTheme="minorEastAsia"/>
          <w:color w:val="auto"/>
          <w:highlight w:val="none"/>
        </w:rPr>
        <w:t>6.响应文件中，</w:t>
      </w:r>
      <w:r>
        <w:rPr>
          <w:rFonts w:asciiTheme="minorEastAsia" w:hAnsiTheme="minorEastAsia" w:eastAsiaTheme="minorEastAsia"/>
          <w:color w:val="auto"/>
          <w:highlight w:val="none"/>
        </w:rPr>
        <w:t>供应商</w:t>
      </w:r>
      <w:r>
        <w:rPr>
          <w:rFonts w:hint="eastAsia" w:asciiTheme="minorEastAsia" w:hAnsiTheme="minorEastAsia" w:eastAsiaTheme="minorEastAsia"/>
          <w:color w:val="auto"/>
          <w:szCs w:val="21"/>
          <w:highlight w:val="none"/>
        </w:rPr>
        <w:t>投报两个或多个方案或有两个或多个报价，又未书面声明其中哪一个有效的</w:t>
      </w:r>
      <w:r>
        <w:rPr>
          <w:rFonts w:asciiTheme="minorEastAsia" w:hAnsiTheme="minorEastAsia" w:eastAsiaTheme="minorEastAsia"/>
          <w:color w:val="auto"/>
          <w:highlight w:val="none"/>
        </w:rPr>
        <w:t>；</w:t>
      </w:r>
    </w:p>
    <w:p w14:paraId="5268548C">
      <w:pPr>
        <w:spacing w:line="360" w:lineRule="auto"/>
        <w:ind w:firstLine="420" w:firstLineChars="200"/>
        <w:jc w:val="left"/>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B1</w:t>
      </w:r>
      <w:r>
        <w:rPr>
          <w:rFonts w:hint="eastAsia" w:asciiTheme="minorEastAsia" w:hAnsiTheme="minorEastAsia" w:eastAsiaTheme="minorEastAsia"/>
          <w:color w:val="auto"/>
          <w:highlight w:val="none"/>
        </w:rPr>
        <w:t>7.</w:t>
      </w:r>
      <w:r>
        <w:rPr>
          <w:rFonts w:asciiTheme="minorEastAsia" w:hAnsiTheme="minorEastAsia" w:eastAsiaTheme="minorEastAsia"/>
          <w:color w:val="auto"/>
          <w:highlight w:val="none"/>
        </w:rPr>
        <w:t>有下列情形之一的，经</w:t>
      </w:r>
      <w:r>
        <w:rPr>
          <w:rFonts w:hint="eastAsia" w:asciiTheme="minorEastAsia" w:hAnsiTheme="minorEastAsia" w:eastAsiaTheme="minorEastAsia"/>
          <w:color w:val="auto"/>
          <w:highlight w:val="none"/>
        </w:rPr>
        <w:t>磋商小组</w:t>
      </w:r>
      <w:r>
        <w:rPr>
          <w:rFonts w:asciiTheme="minorEastAsia" w:hAnsiTheme="minorEastAsia" w:eastAsiaTheme="minorEastAsia"/>
          <w:color w:val="auto"/>
          <w:highlight w:val="none"/>
        </w:rPr>
        <w:t>集体表决后认定，视作串通</w:t>
      </w:r>
      <w:r>
        <w:rPr>
          <w:rFonts w:hint="eastAsia" w:asciiTheme="minorEastAsia" w:hAnsiTheme="minorEastAsia" w:eastAsiaTheme="minorEastAsia"/>
          <w:color w:val="auto"/>
          <w:highlight w:val="none"/>
        </w:rPr>
        <w:t>磋商</w:t>
      </w:r>
      <w:r>
        <w:rPr>
          <w:rFonts w:asciiTheme="minorEastAsia" w:hAnsiTheme="minorEastAsia" w:eastAsiaTheme="minorEastAsia"/>
          <w:color w:val="auto"/>
          <w:highlight w:val="none"/>
        </w:rPr>
        <w:t>处理，并提请行政监督管理部门依法予以处罚：</w:t>
      </w:r>
    </w:p>
    <w:p w14:paraId="07804E83">
      <w:pPr>
        <w:spacing w:line="360" w:lineRule="auto"/>
        <w:ind w:firstLine="420" w:firstLineChars="200"/>
        <w:jc w:val="left"/>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（1）不同供应商的</w:t>
      </w:r>
      <w:r>
        <w:rPr>
          <w:rFonts w:hint="eastAsia" w:asciiTheme="minorEastAsia" w:hAnsiTheme="minorEastAsia" w:eastAsiaTheme="minorEastAsia"/>
          <w:color w:val="auto"/>
          <w:highlight w:val="none"/>
        </w:rPr>
        <w:t>响应</w:t>
      </w:r>
      <w:r>
        <w:rPr>
          <w:rFonts w:asciiTheme="minorEastAsia" w:hAnsiTheme="minorEastAsia" w:eastAsiaTheme="minorEastAsia"/>
          <w:color w:val="auto"/>
          <w:highlight w:val="none"/>
        </w:rPr>
        <w:t>文件内容存在非正常一致的；</w:t>
      </w:r>
    </w:p>
    <w:p w14:paraId="6050AE49">
      <w:pPr>
        <w:spacing w:line="360" w:lineRule="auto"/>
        <w:ind w:firstLine="420" w:firstLineChars="200"/>
        <w:jc w:val="left"/>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（2）不同供应商的</w:t>
      </w:r>
      <w:r>
        <w:rPr>
          <w:rFonts w:hint="eastAsia" w:asciiTheme="minorEastAsia" w:hAnsiTheme="minorEastAsia" w:eastAsiaTheme="minorEastAsia"/>
          <w:color w:val="auto"/>
          <w:highlight w:val="none"/>
        </w:rPr>
        <w:t>响应</w:t>
      </w:r>
      <w:r>
        <w:rPr>
          <w:rFonts w:asciiTheme="minorEastAsia" w:hAnsiTheme="minorEastAsia" w:eastAsiaTheme="minorEastAsia"/>
          <w:color w:val="auto"/>
          <w:highlight w:val="none"/>
        </w:rPr>
        <w:t>文件两处以上错漏一致的；</w:t>
      </w:r>
    </w:p>
    <w:p w14:paraId="123B174A">
      <w:pPr>
        <w:spacing w:line="360" w:lineRule="auto"/>
        <w:ind w:firstLine="420" w:firstLineChars="200"/>
        <w:jc w:val="left"/>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（3）不同供应商的</w:t>
      </w:r>
      <w:r>
        <w:rPr>
          <w:rFonts w:hint="eastAsia" w:asciiTheme="minorEastAsia" w:hAnsiTheme="minorEastAsia" w:eastAsiaTheme="minorEastAsia"/>
          <w:color w:val="auto"/>
          <w:highlight w:val="none"/>
        </w:rPr>
        <w:t>响应</w:t>
      </w:r>
      <w:r>
        <w:rPr>
          <w:rFonts w:asciiTheme="minorEastAsia" w:hAnsiTheme="minorEastAsia" w:eastAsiaTheme="minorEastAsia"/>
          <w:color w:val="auto"/>
          <w:highlight w:val="none"/>
        </w:rPr>
        <w:t>文件由同一企业或者同一个人编制的；</w:t>
      </w:r>
    </w:p>
    <w:p w14:paraId="7FF93384">
      <w:pPr>
        <w:spacing w:line="360" w:lineRule="auto"/>
        <w:ind w:firstLine="420" w:firstLineChars="200"/>
        <w:jc w:val="left"/>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（4）不同供应商的</w:t>
      </w:r>
      <w:r>
        <w:rPr>
          <w:rFonts w:hint="eastAsia" w:asciiTheme="minorEastAsia" w:hAnsiTheme="minorEastAsia" w:eastAsiaTheme="minorEastAsia"/>
          <w:color w:val="auto"/>
          <w:highlight w:val="none"/>
        </w:rPr>
        <w:t>响应</w:t>
      </w:r>
      <w:r>
        <w:rPr>
          <w:rFonts w:asciiTheme="minorEastAsia" w:hAnsiTheme="minorEastAsia" w:eastAsiaTheme="minorEastAsia"/>
          <w:color w:val="auto"/>
          <w:highlight w:val="none"/>
        </w:rPr>
        <w:t>文件相互混装的；</w:t>
      </w:r>
    </w:p>
    <w:p w14:paraId="163A53A7">
      <w:pPr>
        <w:spacing w:line="360" w:lineRule="auto"/>
        <w:ind w:firstLine="420" w:firstLineChars="200"/>
        <w:jc w:val="left"/>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（5）不同供应商委托同一人</w:t>
      </w:r>
      <w:r>
        <w:rPr>
          <w:rFonts w:hint="eastAsia" w:asciiTheme="minorEastAsia" w:hAnsiTheme="minorEastAsia" w:eastAsiaTheme="minorEastAsia"/>
          <w:color w:val="auto"/>
          <w:highlight w:val="none"/>
        </w:rPr>
        <w:t>磋商</w:t>
      </w:r>
      <w:r>
        <w:rPr>
          <w:rFonts w:asciiTheme="minorEastAsia" w:hAnsiTheme="minorEastAsia" w:eastAsiaTheme="minorEastAsia"/>
          <w:color w:val="auto"/>
          <w:highlight w:val="none"/>
        </w:rPr>
        <w:t>的；</w:t>
      </w:r>
    </w:p>
    <w:p w14:paraId="56A7FB84">
      <w:pPr>
        <w:spacing w:line="360" w:lineRule="auto"/>
        <w:ind w:firstLine="420" w:firstLineChars="200"/>
        <w:jc w:val="left"/>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w:t>
      </w:r>
      <w:r>
        <w:rPr>
          <w:rFonts w:hint="eastAsia" w:asciiTheme="minorEastAsia" w:hAnsiTheme="minorEastAsia" w:eastAsiaTheme="minorEastAsia"/>
          <w:color w:val="auto"/>
          <w:highlight w:val="none"/>
        </w:rPr>
        <w:t>6</w:t>
      </w:r>
      <w:r>
        <w:rPr>
          <w:rFonts w:asciiTheme="minorEastAsia" w:hAnsiTheme="minorEastAsia" w:eastAsiaTheme="minorEastAsia"/>
          <w:color w:val="auto"/>
          <w:highlight w:val="none"/>
        </w:rPr>
        <w:t>）</w:t>
      </w:r>
      <w:r>
        <w:rPr>
          <w:rFonts w:hint="eastAsia" w:asciiTheme="minorEastAsia" w:hAnsiTheme="minorEastAsia" w:eastAsiaTheme="minorEastAsia"/>
          <w:color w:val="auto"/>
          <w:highlight w:val="none"/>
        </w:rPr>
        <w:t>磋商小组</w:t>
      </w:r>
      <w:r>
        <w:rPr>
          <w:rFonts w:asciiTheme="minorEastAsia" w:hAnsiTheme="minorEastAsia" w:eastAsiaTheme="minorEastAsia"/>
          <w:color w:val="auto"/>
          <w:highlight w:val="none"/>
        </w:rPr>
        <w:t>认定的其他串通</w:t>
      </w:r>
      <w:r>
        <w:rPr>
          <w:rFonts w:hint="eastAsia" w:asciiTheme="minorEastAsia" w:hAnsiTheme="minorEastAsia" w:eastAsiaTheme="minorEastAsia"/>
          <w:color w:val="auto"/>
          <w:highlight w:val="none"/>
        </w:rPr>
        <w:t>磋商的</w:t>
      </w:r>
      <w:r>
        <w:rPr>
          <w:rFonts w:asciiTheme="minorEastAsia" w:hAnsiTheme="minorEastAsia" w:eastAsiaTheme="minorEastAsia"/>
          <w:color w:val="auto"/>
          <w:highlight w:val="none"/>
        </w:rPr>
        <w:t>情形。</w:t>
      </w:r>
      <w:bookmarkEnd w:id="1314"/>
      <w:bookmarkEnd w:id="1315"/>
      <w:bookmarkEnd w:id="1316"/>
    </w:p>
    <w:sectPr>
      <w:headerReference r:id="rId13" w:type="first"/>
      <w:footerReference r:id="rId15" w:type="first"/>
      <w:headerReference r:id="rId12" w:type="default"/>
      <w:footerReference r:id="rId14" w:type="default"/>
      <w:pgSz w:w="11906" w:h="16838"/>
      <w:pgMar w:top="1440" w:right="1474" w:bottom="1440" w:left="1474" w:header="850" w:footer="1134"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方正书宋简体">
    <w:altName w:val="微软雅黑"/>
    <w:panose1 w:val="00000000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Garamond">
    <w:altName w:val="PMingLiU-ExtB"/>
    <w:panose1 w:val="02020404030301010803"/>
    <w:charset w:val="00"/>
    <w:family w:val="roman"/>
    <w:pitch w:val="default"/>
    <w:sig w:usb0="00000000" w:usb1="00000000" w:usb2="00000000" w:usb3="00000000" w:csb0="0000009F" w:csb1="DFD70000"/>
  </w:font>
  <w:font w:name="PMingLiU-ExtB">
    <w:panose1 w:val="02020500000000000000"/>
    <w:charset w:val="88"/>
    <w:family w:val="auto"/>
    <w:pitch w:val="default"/>
    <w:sig w:usb0="8000002F" w:usb1="02000008" w:usb2="00000000" w:usb3="00000000" w:csb0="00100001" w:csb1="00000000"/>
  </w:font>
  <w:font w:name="Tahoma">
    <w:panose1 w:val="020B0604030504040204"/>
    <w:charset w:val="00"/>
    <w:family w:val="swiss"/>
    <w:pitch w:val="default"/>
    <w:sig w:usb0="E1002EFF" w:usb1="C000605B" w:usb2="00000029" w:usb3="00000000" w:csb0="200101FF" w:csb1="20280000"/>
  </w:font>
  <w:font w:name="MingLiU">
    <w:altName w:val="PMingLiU-ExtB"/>
    <w:panose1 w:val="02010609000101010101"/>
    <w:charset w:val="88"/>
    <w:family w:val="modern"/>
    <w:pitch w:val="default"/>
    <w:sig w:usb0="00000000" w:usb1="00000000" w:usb2="00000016" w:usb3="00000000" w:csb0="00100001" w:csb1="00000000"/>
  </w:font>
  <w:font w:name="华文细黑">
    <w:altName w:val="微软雅黑"/>
    <w:panose1 w:val="02010600040101010101"/>
    <w:charset w:val="86"/>
    <w:family w:val="auto"/>
    <w:pitch w:val="default"/>
    <w:sig w:usb0="00000000" w:usb1="00000000" w:usb2="00000000" w:usb3="00000000" w:csb0="0004009F" w:csb1="DFD70000"/>
  </w:font>
  <w:font w:name="Microsoft YaHei UI">
    <w:panose1 w:val="020B0503020204020204"/>
    <w:charset w:val="86"/>
    <w:family w:val="swiss"/>
    <w:pitch w:val="default"/>
    <w:sig w:usb0="80000287" w:usb1="2ACF3C50" w:usb2="00000016" w:usb3="00000000" w:csb0="0004001F" w:csb1="00000000"/>
  </w:font>
  <w:font w:name="方正综艺简体">
    <w:altName w:val="微软雅黑"/>
    <w:panose1 w:val="00000000000000000000"/>
    <w:charset w:val="86"/>
    <w:family w:val="auto"/>
    <w:pitch w:val="default"/>
    <w:sig w:usb0="00000000" w:usb1="00000000" w:usb2="00000000" w:usb3="00000000" w:csb0="00040000" w:csb1="00000000"/>
  </w:font>
  <w:font w:name="MSung Light SC">
    <w:altName w:val="Times New Roman"/>
    <w:panose1 w:val="00000000000000000000"/>
    <w:charset w:val="00"/>
    <w:family w:val="auto"/>
    <w:pitch w:val="default"/>
    <w:sig w:usb0="00000000" w:usb1="00000000" w:usb2="00000000" w:usb3="00000000" w:csb0="00000001" w:csb1="00000000"/>
  </w:font>
  <w:font w:name="等线">
    <w:panose1 w:val="02010600030101010101"/>
    <w:charset w:val="86"/>
    <w:family w:val="auto"/>
    <w:pitch w:val="default"/>
    <w:sig w:usb0="A00002BF" w:usb1="38CF7CFA" w:usb2="00000016" w:usb3="00000000" w:csb0="0004000F" w:csb1="00000000"/>
  </w:font>
  <w:font w:name="HiddenHorzOCR">
    <w:altName w:val="Yu Gothic"/>
    <w:panose1 w:val="00000000000000000000"/>
    <w:charset w:val="80"/>
    <w:family w:val="auto"/>
    <w:pitch w:val="default"/>
    <w:sig w:usb0="00000000" w:usb1="00000000" w:usb2="00000010" w:usb3="00000000" w:csb0="00020000" w:csb1="00000000"/>
  </w:font>
  <w:font w:name="Yu Gothic">
    <w:panose1 w:val="020B0400000000000000"/>
    <w:charset w:val="80"/>
    <w:family w:val="auto"/>
    <w:pitch w:val="default"/>
    <w:sig w:usb0="E00002FF" w:usb1="2AC7FDFF" w:usb2="00000016" w:usb3="00000000" w:csb0="2002009F" w:csb1="00000000"/>
  </w:font>
  <w:font w:name="UPNQIO+ËÎÌå">
    <w:altName w:val="微软雅黑"/>
    <w:panose1 w:val="00000000000000000000"/>
    <w:charset w:val="01"/>
    <w:family w:val="auto"/>
    <w:pitch w:val="default"/>
    <w:sig w:usb0="00000000" w:usb1="0000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65737858"/>
    </w:sdtPr>
    <w:sdtContent>
      <w:p w14:paraId="18B48047">
        <w:pPr>
          <w:pStyle w:val="37"/>
          <w:jc w:val="center"/>
        </w:pPr>
        <w:r>
          <w:fldChar w:fldCharType="begin"/>
        </w:r>
        <w:r>
          <w:instrText xml:space="preserve">PAGE   \* MERGEFORMAT</w:instrText>
        </w:r>
        <w:r>
          <w:fldChar w:fldCharType="separate"/>
        </w:r>
        <w:r>
          <w:rPr>
            <w:lang w:val="zh-CN"/>
          </w:rPr>
          <w:t>39</w:t>
        </w:r>
        <w:r>
          <w:fldChar w:fldCharType="end"/>
        </w:r>
      </w:p>
      <w:p w14:paraId="5FA9F11E">
        <w:pPr>
          <w:pStyle w:val="37"/>
          <w:jc w:val="right"/>
        </w:pPr>
        <w:r>
          <w:drawing>
            <wp:inline distT="0" distB="0" distL="0" distR="0">
              <wp:extent cx="1899285" cy="181610"/>
              <wp:effectExtent l="0" t="0" r="5715" b="8890"/>
              <wp:docPr id="1" name="图片 1" descr="logo（运用于招标文件左下角）"/>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logo（运用于招标文件左下角）"/>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899285" cy="181610"/>
                      </a:xfrm>
                      <a:prstGeom prst="rect">
                        <a:avLst/>
                      </a:prstGeom>
                      <a:noFill/>
                      <a:ln>
                        <a:noFill/>
                      </a:ln>
                    </pic:spPr>
                  </pic:pic>
                </a:graphicData>
              </a:graphic>
            </wp:inline>
          </w:drawing>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5C251B">
    <w:pPr>
      <w:pStyle w:val="37"/>
      <w:framePr w:wrap="around" w:vAnchor="text" w:hAnchor="margin" w:xAlign="right" w:y="1"/>
      <w:rPr>
        <w:rStyle w:val="59"/>
      </w:rPr>
    </w:pPr>
    <w:r>
      <w:fldChar w:fldCharType="begin"/>
    </w:r>
    <w:r>
      <w:rPr>
        <w:rStyle w:val="59"/>
      </w:rPr>
      <w:instrText xml:space="preserve">PAGE  </w:instrText>
    </w:r>
    <w:r>
      <w:fldChar w:fldCharType="separate"/>
    </w:r>
    <w:r>
      <w:rPr>
        <w:rStyle w:val="59"/>
      </w:rPr>
      <w:t>1</w:t>
    </w:r>
    <w:r>
      <w:fldChar w:fldCharType="end"/>
    </w:r>
  </w:p>
  <w:p w14:paraId="35085E24">
    <w:pPr>
      <w:pStyle w:val="37"/>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25262972"/>
    </w:sdtPr>
    <w:sdtContent>
      <w:p w14:paraId="017C0F56">
        <w:pPr>
          <w:pStyle w:val="37"/>
          <w:jc w:val="center"/>
        </w:pPr>
        <w:r>
          <w:fldChar w:fldCharType="begin"/>
        </w:r>
        <w:r>
          <w:instrText xml:space="preserve">PAGE   \* MERGEFORMAT</w:instrText>
        </w:r>
        <w:r>
          <w:fldChar w:fldCharType="separate"/>
        </w:r>
        <w:r>
          <w:rPr>
            <w:lang w:val="zh-CN"/>
          </w:rPr>
          <w:t>2</w:t>
        </w:r>
        <w: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44939829"/>
    </w:sdtPr>
    <w:sdtContent>
      <w:p w14:paraId="3B45AD1A">
        <w:pPr>
          <w:pStyle w:val="37"/>
          <w:jc w:val="center"/>
        </w:pPr>
        <w:r>
          <w:fldChar w:fldCharType="begin"/>
        </w:r>
        <w:r>
          <w:instrText xml:space="preserve">PAGE   \* MERGEFORMAT</w:instrText>
        </w:r>
        <w:r>
          <w:fldChar w:fldCharType="separate"/>
        </w:r>
        <w:r>
          <w:rPr>
            <w:lang w:val="zh-CN"/>
          </w:rPr>
          <w:t>1</w:t>
        </w:r>
        <w:r>
          <w:fldChar w:fldCharType="end"/>
        </w:r>
      </w:p>
    </w:sdtContent>
  </w:sdt>
  <w:p w14:paraId="7B0EA399">
    <w:pPr>
      <w:pStyle w:val="37"/>
    </w:pPr>
  </w:p>
  <w:p w14:paraId="7BA71DAA"/>
  <w:p w14:paraId="5529F0FA"/>
  <w:p w14:paraId="450E8827"/>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7341592"/>
    </w:sdtPr>
    <w:sdtContent>
      <w:p w14:paraId="35746E95">
        <w:pPr>
          <w:pStyle w:val="37"/>
          <w:jc w:val="center"/>
        </w:pPr>
        <w:r>
          <w:fldChar w:fldCharType="begin"/>
        </w:r>
        <w:r>
          <w:instrText xml:space="preserve">PAGE   \* MERGEFORMAT</w:instrText>
        </w:r>
        <w:r>
          <w:fldChar w:fldCharType="separate"/>
        </w:r>
        <w:r>
          <w:rPr>
            <w:lang w:val="zh-CN"/>
          </w:rPr>
          <w:t>1</w:t>
        </w:r>
        <w:r>
          <w:fldChar w:fldCharType="end"/>
        </w:r>
      </w:p>
    </w:sdtContent>
  </w:sdt>
  <w:p w14:paraId="4EC30A7E">
    <w:pPr>
      <w:pStyle w:val="37"/>
    </w:pPr>
  </w:p>
  <w:p w14:paraId="2B765EBD"/>
  <w:p w14:paraId="771D3FC4"/>
  <w:p w14:paraId="38242A81"/>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79A661">
    <w:pPr>
      <w:spacing w:line="14" w:lineRule="auto"/>
      <w:rPr>
        <w:sz w:val="20"/>
        <w:szCs w:val="20"/>
      </w:rPr>
    </w:pPr>
    <w:r>
      <mc:AlternateContent>
        <mc:Choice Requires="wps">
          <w:drawing>
            <wp:anchor distT="0" distB="0" distL="114300" distR="114300" simplePos="0" relativeHeight="251659264" behindDoc="1" locked="0" layoutInCell="1" allowOverlap="1">
              <wp:simplePos x="0" y="0"/>
              <wp:positionH relativeFrom="page">
                <wp:posOffset>3781425</wp:posOffset>
              </wp:positionH>
              <wp:positionV relativeFrom="page">
                <wp:posOffset>9862820</wp:posOffset>
              </wp:positionV>
              <wp:extent cx="224790" cy="1397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224790" cy="139700"/>
                      </a:xfrm>
                      <a:prstGeom prst="rect">
                        <a:avLst/>
                      </a:prstGeom>
                      <a:noFill/>
                      <a:ln>
                        <a:noFill/>
                      </a:ln>
                      <a:effectLst/>
                    </wps:spPr>
                    <wps:txbx>
                      <w:txbxContent>
                        <w:p w14:paraId="4590AE3C">
                          <w:pPr>
                            <w:spacing w:line="203" w:lineRule="exact"/>
                            <w:ind w:left="40"/>
                            <w:rPr>
                              <w:rFonts w:ascii="Calibri" w:hAnsi="Calibri" w:eastAsia="Calibri" w:cs="Calibri"/>
                              <w:sz w:val="18"/>
                              <w:szCs w:val="18"/>
                            </w:rPr>
                          </w:pPr>
                          <w:r>
                            <w:fldChar w:fldCharType="begin"/>
                          </w:r>
                          <w:r>
                            <w:rPr>
                              <w:rFonts w:ascii="Calibri"/>
                              <w:w w:val="99"/>
                              <w:sz w:val="18"/>
                            </w:rPr>
                            <w:instrText xml:space="preserve"> PAGE </w:instrText>
                          </w:r>
                          <w:r>
                            <w:fldChar w:fldCharType="separate"/>
                          </w:r>
                          <w:r>
                            <w:t>131</w:t>
                          </w:r>
                          <w:r>
                            <w:fldChar w:fldCharType="end"/>
                          </w:r>
                        </w:p>
                      </w:txbxContent>
                    </wps:txbx>
                    <wps:bodyPr lIns="0" tIns="0" rIns="0" bIns="0" upright="1"/>
                  </wps:wsp>
                </a:graphicData>
              </a:graphic>
            </wp:anchor>
          </w:drawing>
        </mc:Choice>
        <mc:Fallback>
          <w:pict>
            <v:shape id="_x0000_s1026" o:spid="_x0000_s1026" o:spt="202" type="#_x0000_t202" style="position:absolute;left:0pt;margin-left:297.75pt;margin-top:776.6pt;height:11pt;width:17.7pt;mso-position-horizontal-relative:page;mso-position-vertical-relative:page;z-index:-251657216;mso-width-relative:page;mso-height-relative:page;" filled="f" stroked="f" coordsize="21600,21600" o:gfxdata="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DKy6VnbAAAADQEAAA8AAAAAAAAAAQAgAAAAIgAAAGRycy9kb3ducmV2&#10;LnhtbFBLAQIUABQAAAAIAIdO4kB1KPypwAEAAH8DAAAOAAAAAAAAAAEAIAAAACoBAABkcnMvZTJv&#10;RG9jLnhtbFBLBQYAAAAABgAGAFkBAABcBQAAAAA=&#10;">
              <v:fill on="f" focussize="0,0"/>
              <v:stroke on="f"/>
              <v:imagedata o:title=""/>
              <o:lock v:ext="edit" aspectratio="f"/>
              <v:textbox inset="0mm,0mm,0mm,0mm">
                <w:txbxContent>
                  <w:p w14:paraId="4590AE3C">
                    <w:pPr>
                      <w:spacing w:line="203" w:lineRule="exact"/>
                      <w:ind w:left="40"/>
                      <w:rPr>
                        <w:rFonts w:ascii="Calibri" w:hAnsi="Calibri" w:eastAsia="Calibri" w:cs="Calibri"/>
                        <w:sz w:val="18"/>
                        <w:szCs w:val="18"/>
                      </w:rPr>
                    </w:pPr>
                    <w:r>
                      <w:fldChar w:fldCharType="begin"/>
                    </w:r>
                    <w:r>
                      <w:rPr>
                        <w:rFonts w:ascii="Calibri"/>
                        <w:w w:val="99"/>
                        <w:sz w:val="18"/>
                      </w:rPr>
                      <w:instrText xml:space="preserve"> PAGE </w:instrText>
                    </w:r>
                    <w:r>
                      <w:fldChar w:fldCharType="separate"/>
                    </w:r>
                    <w:r>
                      <w:t>131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63439997"/>
    </w:sdtPr>
    <w:sdtContent>
      <w:p w14:paraId="40D4B5CD">
        <w:pPr>
          <w:pStyle w:val="37"/>
          <w:jc w:val="center"/>
        </w:pPr>
        <w:r>
          <w:fldChar w:fldCharType="begin"/>
        </w:r>
        <w:r>
          <w:instrText xml:space="preserve">PAGE   \* MERGEFORMAT</w:instrText>
        </w:r>
        <w:r>
          <w:fldChar w:fldCharType="separate"/>
        </w:r>
        <w:r>
          <w:rPr>
            <w:lang w:val="zh-CN"/>
          </w:rPr>
          <w:t>1</w:t>
        </w:r>
        <w:r>
          <w:fldChar w:fldCharType="end"/>
        </w:r>
      </w:p>
    </w:sdtContent>
  </w:sdt>
  <w:p w14:paraId="3B4F5689">
    <w:pPr>
      <w:pStyle w:val="37"/>
    </w:pPr>
  </w:p>
  <w:p w14:paraId="6DB7902C"/>
  <w:p w14:paraId="3622CFFC"/>
  <w:p w14:paraId="7091D4E1"/>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9540A9">
    <w:pPr>
      <w:pStyle w:val="38"/>
      <w:pBdr>
        <w:bottom w:val="none" w:color="auto" w:sz="0" w:space="1"/>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0A0644">
    <w:pPr>
      <w:pStyle w:val="38"/>
      <w:framePr w:wrap="around" w:vAnchor="text" w:hAnchor="margin" w:xAlign="right" w:y="1"/>
      <w:rPr>
        <w:rStyle w:val="59"/>
      </w:rPr>
    </w:pPr>
    <w:r>
      <w:fldChar w:fldCharType="begin"/>
    </w:r>
    <w:r>
      <w:rPr>
        <w:rStyle w:val="59"/>
      </w:rPr>
      <w:instrText xml:space="preserve">PAGE  </w:instrText>
    </w:r>
    <w:r>
      <w:fldChar w:fldCharType="separate"/>
    </w:r>
    <w:r>
      <w:rPr>
        <w:rStyle w:val="59"/>
      </w:rPr>
      <w:t>5</w:t>
    </w:r>
    <w:r>
      <w:fldChar w:fldCharType="end"/>
    </w:r>
  </w:p>
  <w:p w14:paraId="299F4A9A">
    <w:pPr>
      <w:pStyle w:val="38"/>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2121A5">
    <w:pPr>
      <w:pStyle w:val="38"/>
      <w:tabs>
        <w:tab w:val="right" w:pos="9638"/>
      </w:tabs>
      <w:jc w:val="left"/>
    </w:pPr>
    <w:r>
      <w:rPr>
        <w:rFonts w:hint="eastAsia"/>
      </w:rPr>
      <w:t xml:space="preserve">                    </w:t>
    </w:r>
    <w:r>
      <w:t xml:space="preserve">          </w:t>
    </w:r>
    <w:r>
      <w:rPr>
        <w:rFonts w:hint="eastAsia"/>
      </w:rPr>
      <w:t>竞争性磋商文</w:t>
    </w:r>
  </w:p>
  <w:p w14:paraId="76149439"/>
  <w:p w14:paraId="0E875462"/>
  <w:p w14:paraId="78BCE8DF"/>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CCB3A2">
    <w:pPr>
      <w:pStyle w:val="38"/>
      <w:tabs>
        <w:tab w:val="right" w:pos="9638"/>
      </w:tabs>
      <w:jc w:val="left"/>
    </w:pPr>
    <w:r>
      <w:rPr>
        <w:rFonts w:hint="eastAsia"/>
      </w:rPr>
      <w:t xml:space="preserve">                    </w:t>
    </w:r>
    <w:r>
      <w:t xml:space="preserve">          </w:t>
    </w:r>
    <w:r>
      <w:rPr>
        <w:rFonts w:hint="eastAsia"/>
      </w:rPr>
      <w:t>竞争性磋商文</w:t>
    </w:r>
  </w:p>
  <w:p w14:paraId="45141B2D"/>
  <w:p w14:paraId="2F637892"/>
  <w:p w14:paraId="1615501C"/>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2D8568">
    <w:pPr>
      <w:pStyle w:val="38"/>
      <w:pBdr>
        <w:top w:val="none" w:color="auto" w:sz="0" w:space="3"/>
        <w:bottom w:val="none" w:color="auto" w:sz="0" w:space="0"/>
      </w:pBdr>
      <w:jc w:val="left"/>
      <w:rPr>
        <w:sz w:val="15"/>
        <w:szCs w:val="15"/>
        <w:u w:val="single"/>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39FEE6">
    <w:pPr>
      <w:pStyle w:val="38"/>
      <w:tabs>
        <w:tab w:val="right" w:pos="9638"/>
      </w:tabs>
      <w:jc w:val="left"/>
    </w:pPr>
    <w:r>
      <w:rPr>
        <w:rFonts w:hint="eastAsia"/>
      </w:rPr>
      <w:t xml:space="preserve">                    </w:t>
    </w:r>
    <w:r>
      <w:t xml:space="preserve">          </w:t>
    </w:r>
    <w:r>
      <w:rPr>
        <w:rFonts w:hint="eastAsia"/>
      </w:rPr>
      <w:t>竞争性磋商文</w:t>
    </w:r>
  </w:p>
  <w:p w14:paraId="4AF47022"/>
  <w:p w14:paraId="1E7E9322"/>
  <w:p w14:paraId="78DF3D7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64D1084"/>
    <w:multiLevelType w:val="singleLevel"/>
    <w:tmpl w:val="364D1084"/>
    <w:lvl w:ilvl="0" w:tentative="0">
      <w:start w:val="1"/>
      <w:numFmt w:val="decimal"/>
      <w:lvlText w:val="%1."/>
      <w:lvlJc w:val="left"/>
      <w:pPr>
        <w:tabs>
          <w:tab w:val="left" w:pos="312"/>
        </w:tabs>
      </w:pPr>
    </w:lvl>
  </w:abstractNum>
  <w:abstractNum w:abstractNumId="1">
    <w:nsid w:val="53FB402C"/>
    <w:multiLevelType w:val="singleLevel"/>
    <w:tmpl w:val="53FB402C"/>
    <w:lvl w:ilvl="0" w:tentative="0">
      <w:start w:val="1"/>
      <w:numFmt w:val="decimal"/>
      <w:suff w:val="nothing"/>
      <w:lvlText w:val="（%1）"/>
      <w:lvlJc w:val="left"/>
    </w:lvl>
  </w:abstractNum>
  <w:abstractNum w:abstractNumId="2">
    <w:nsid w:val="5F7F52D8"/>
    <w:multiLevelType w:val="multilevel"/>
    <w:tmpl w:val="5F7F52D8"/>
    <w:lvl w:ilvl="0" w:tentative="0">
      <w:start w:val="1"/>
      <w:numFmt w:val="decimal"/>
      <w:lvlText w:val="（%1）"/>
      <w:lvlJc w:val="left"/>
      <w:pPr>
        <w:tabs>
          <w:tab w:val="left" w:pos="1252"/>
        </w:tabs>
        <w:ind w:left="1252" w:hanging="720"/>
      </w:pPr>
      <w:rPr>
        <w:rFonts w:hint="eastAsia"/>
      </w:rPr>
    </w:lvl>
    <w:lvl w:ilvl="1" w:tentative="0">
      <w:start w:val="1"/>
      <w:numFmt w:val="decimal"/>
      <w:lvlText w:val="（%2）"/>
      <w:lvlJc w:val="left"/>
      <w:pPr>
        <w:tabs>
          <w:tab w:val="left" w:pos="1672"/>
        </w:tabs>
        <w:ind w:left="1672" w:hanging="720"/>
      </w:pPr>
      <w:rPr>
        <w:rFonts w:hint="default"/>
      </w:rPr>
    </w:lvl>
    <w:lvl w:ilvl="2" w:tentative="0">
      <w:start w:val="4"/>
      <w:numFmt w:val="decimal"/>
      <w:lvlText w:val="(%3)"/>
      <w:lvlJc w:val="left"/>
      <w:pPr>
        <w:tabs>
          <w:tab w:val="left" w:pos="1732"/>
        </w:tabs>
        <w:ind w:left="1732" w:hanging="360"/>
      </w:pPr>
      <w:rPr>
        <w:rFonts w:hint="default"/>
      </w:rPr>
    </w:lvl>
    <w:lvl w:ilvl="3" w:tentative="0">
      <w:start w:val="1"/>
      <w:numFmt w:val="decimal"/>
      <w:lvlText w:val="%4."/>
      <w:lvlJc w:val="left"/>
      <w:pPr>
        <w:tabs>
          <w:tab w:val="left" w:pos="2212"/>
        </w:tabs>
        <w:ind w:left="2212" w:hanging="420"/>
      </w:pPr>
    </w:lvl>
    <w:lvl w:ilvl="4" w:tentative="0">
      <w:start w:val="1"/>
      <w:numFmt w:val="lowerLetter"/>
      <w:lvlText w:val="%5)"/>
      <w:lvlJc w:val="left"/>
      <w:pPr>
        <w:tabs>
          <w:tab w:val="left" w:pos="2632"/>
        </w:tabs>
        <w:ind w:left="2632" w:hanging="420"/>
      </w:pPr>
    </w:lvl>
    <w:lvl w:ilvl="5" w:tentative="0">
      <w:start w:val="1"/>
      <w:numFmt w:val="lowerRoman"/>
      <w:pStyle w:val="8"/>
      <w:lvlText w:val="%6."/>
      <w:lvlJc w:val="right"/>
      <w:pPr>
        <w:tabs>
          <w:tab w:val="left" w:pos="3052"/>
        </w:tabs>
        <w:ind w:left="3052" w:hanging="420"/>
      </w:pPr>
    </w:lvl>
    <w:lvl w:ilvl="6" w:tentative="0">
      <w:start w:val="1"/>
      <w:numFmt w:val="decimal"/>
      <w:lvlText w:val="%7."/>
      <w:lvlJc w:val="left"/>
      <w:pPr>
        <w:tabs>
          <w:tab w:val="left" w:pos="3472"/>
        </w:tabs>
        <w:ind w:left="3472" w:hanging="420"/>
      </w:pPr>
    </w:lvl>
    <w:lvl w:ilvl="7" w:tentative="0">
      <w:start w:val="1"/>
      <w:numFmt w:val="lowerLetter"/>
      <w:lvlText w:val="%8)"/>
      <w:lvlJc w:val="left"/>
      <w:pPr>
        <w:tabs>
          <w:tab w:val="left" w:pos="3892"/>
        </w:tabs>
        <w:ind w:left="3892" w:hanging="420"/>
      </w:pPr>
    </w:lvl>
    <w:lvl w:ilvl="8" w:tentative="0">
      <w:start w:val="1"/>
      <w:numFmt w:val="lowerRoman"/>
      <w:lvlText w:val="%9."/>
      <w:lvlJc w:val="right"/>
      <w:pPr>
        <w:tabs>
          <w:tab w:val="left" w:pos="4312"/>
        </w:tabs>
        <w:ind w:left="4312" w:hanging="42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90"/>
  <w:bordersDoNotSurroundHeader w:val="0"/>
  <w:bordersDoNotSurroundFooter w:val="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zlmNGRiNTYyYmFlNWZkOWRjNThhOTI1ODdkMGFiNjUifQ=="/>
    <w:docVar w:name="KSO_WPS_MARK_KEY" w:val="4ca54b56-6408-4acf-99d8-a407280a585b"/>
  </w:docVars>
  <w:rsids>
    <w:rsidRoot w:val="00172A27"/>
    <w:rsid w:val="000009E3"/>
    <w:rsid w:val="00000F1F"/>
    <w:rsid w:val="00001097"/>
    <w:rsid w:val="000013C9"/>
    <w:rsid w:val="00001776"/>
    <w:rsid w:val="00001C52"/>
    <w:rsid w:val="00001E10"/>
    <w:rsid w:val="000024C2"/>
    <w:rsid w:val="00002712"/>
    <w:rsid w:val="00002DA2"/>
    <w:rsid w:val="0000372C"/>
    <w:rsid w:val="00003B16"/>
    <w:rsid w:val="00004137"/>
    <w:rsid w:val="000044BB"/>
    <w:rsid w:val="00004FB7"/>
    <w:rsid w:val="000050D0"/>
    <w:rsid w:val="00005A47"/>
    <w:rsid w:val="00005CE3"/>
    <w:rsid w:val="00006216"/>
    <w:rsid w:val="000068DF"/>
    <w:rsid w:val="0000722C"/>
    <w:rsid w:val="000073DE"/>
    <w:rsid w:val="00010B6D"/>
    <w:rsid w:val="00010F03"/>
    <w:rsid w:val="0001125C"/>
    <w:rsid w:val="0001182D"/>
    <w:rsid w:val="00011A49"/>
    <w:rsid w:val="00012432"/>
    <w:rsid w:val="00012F7D"/>
    <w:rsid w:val="00013B08"/>
    <w:rsid w:val="00014134"/>
    <w:rsid w:val="00014325"/>
    <w:rsid w:val="0001480F"/>
    <w:rsid w:val="000148B8"/>
    <w:rsid w:val="00015754"/>
    <w:rsid w:val="00015952"/>
    <w:rsid w:val="00016217"/>
    <w:rsid w:val="000162C1"/>
    <w:rsid w:val="000163C5"/>
    <w:rsid w:val="0001668B"/>
    <w:rsid w:val="00017D8E"/>
    <w:rsid w:val="00020F93"/>
    <w:rsid w:val="00021A04"/>
    <w:rsid w:val="00021C8F"/>
    <w:rsid w:val="00021EB3"/>
    <w:rsid w:val="00022267"/>
    <w:rsid w:val="00023396"/>
    <w:rsid w:val="00023F48"/>
    <w:rsid w:val="00024596"/>
    <w:rsid w:val="00024AF0"/>
    <w:rsid w:val="000255E2"/>
    <w:rsid w:val="0002743D"/>
    <w:rsid w:val="00027888"/>
    <w:rsid w:val="000312D6"/>
    <w:rsid w:val="000315CC"/>
    <w:rsid w:val="0003181B"/>
    <w:rsid w:val="0003195A"/>
    <w:rsid w:val="00031B31"/>
    <w:rsid w:val="00031E69"/>
    <w:rsid w:val="000324BE"/>
    <w:rsid w:val="00032551"/>
    <w:rsid w:val="000326C5"/>
    <w:rsid w:val="000327A4"/>
    <w:rsid w:val="00032F1F"/>
    <w:rsid w:val="00032F48"/>
    <w:rsid w:val="00032FD7"/>
    <w:rsid w:val="000335F8"/>
    <w:rsid w:val="00033778"/>
    <w:rsid w:val="00033DB0"/>
    <w:rsid w:val="00034193"/>
    <w:rsid w:val="000342EC"/>
    <w:rsid w:val="00034993"/>
    <w:rsid w:val="00035B03"/>
    <w:rsid w:val="000366AD"/>
    <w:rsid w:val="000366B0"/>
    <w:rsid w:val="00037B5F"/>
    <w:rsid w:val="00037E86"/>
    <w:rsid w:val="00037F01"/>
    <w:rsid w:val="00040029"/>
    <w:rsid w:val="00040163"/>
    <w:rsid w:val="000410EC"/>
    <w:rsid w:val="00041BD7"/>
    <w:rsid w:val="00042033"/>
    <w:rsid w:val="000422EA"/>
    <w:rsid w:val="00042BFA"/>
    <w:rsid w:val="00043087"/>
    <w:rsid w:val="00043192"/>
    <w:rsid w:val="000439CE"/>
    <w:rsid w:val="000439E0"/>
    <w:rsid w:val="00043A98"/>
    <w:rsid w:val="00043DF0"/>
    <w:rsid w:val="000443FF"/>
    <w:rsid w:val="00044454"/>
    <w:rsid w:val="0004451E"/>
    <w:rsid w:val="00044D5E"/>
    <w:rsid w:val="00044D95"/>
    <w:rsid w:val="00044E14"/>
    <w:rsid w:val="000456E2"/>
    <w:rsid w:val="000458BE"/>
    <w:rsid w:val="000459E1"/>
    <w:rsid w:val="00046183"/>
    <w:rsid w:val="000465D0"/>
    <w:rsid w:val="00046ACA"/>
    <w:rsid w:val="00046B9F"/>
    <w:rsid w:val="00046CF8"/>
    <w:rsid w:val="00047050"/>
    <w:rsid w:val="00047662"/>
    <w:rsid w:val="00047A01"/>
    <w:rsid w:val="00047CE9"/>
    <w:rsid w:val="00047CF2"/>
    <w:rsid w:val="00047EC1"/>
    <w:rsid w:val="00047F10"/>
    <w:rsid w:val="00050075"/>
    <w:rsid w:val="000500A5"/>
    <w:rsid w:val="00050D50"/>
    <w:rsid w:val="00050E0F"/>
    <w:rsid w:val="0005105C"/>
    <w:rsid w:val="00051632"/>
    <w:rsid w:val="0005165C"/>
    <w:rsid w:val="00052174"/>
    <w:rsid w:val="00052D5C"/>
    <w:rsid w:val="00053E3A"/>
    <w:rsid w:val="0005465A"/>
    <w:rsid w:val="00054ED6"/>
    <w:rsid w:val="00054FB6"/>
    <w:rsid w:val="00055611"/>
    <w:rsid w:val="00056142"/>
    <w:rsid w:val="000561C5"/>
    <w:rsid w:val="0005620E"/>
    <w:rsid w:val="000569A3"/>
    <w:rsid w:val="00057159"/>
    <w:rsid w:val="0005771E"/>
    <w:rsid w:val="00057E67"/>
    <w:rsid w:val="000608EC"/>
    <w:rsid w:val="00060998"/>
    <w:rsid w:val="00060ACE"/>
    <w:rsid w:val="000612D8"/>
    <w:rsid w:val="000612E0"/>
    <w:rsid w:val="0006205D"/>
    <w:rsid w:val="000626F2"/>
    <w:rsid w:val="00062D92"/>
    <w:rsid w:val="00063227"/>
    <w:rsid w:val="0006369D"/>
    <w:rsid w:val="00063B01"/>
    <w:rsid w:val="0006569F"/>
    <w:rsid w:val="00065D68"/>
    <w:rsid w:val="00066878"/>
    <w:rsid w:val="00066C5B"/>
    <w:rsid w:val="000674A0"/>
    <w:rsid w:val="00067E06"/>
    <w:rsid w:val="00067F32"/>
    <w:rsid w:val="000702D3"/>
    <w:rsid w:val="00070804"/>
    <w:rsid w:val="00070B24"/>
    <w:rsid w:val="00070E74"/>
    <w:rsid w:val="00071389"/>
    <w:rsid w:val="000724D8"/>
    <w:rsid w:val="0007259C"/>
    <w:rsid w:val="000726A0"/>
    <w:rsid w:val="000727D3"/>
    <w:rsid w:val="00072B79"/>
    <w:rsid w:val="00073AA7"/>
    <w:rsid w:val="00073C2B"/>
    <w:rsid w:val="00074E4C"/>
    <w:rsid w:val="0007531B"/>
    <w:rsid w:val="000760BA"/>
    <w:rsid w:val="000760D3"/>
    <w:rsid w:val="00076BC0"/>
    <w:rsid w:val="00076BD2"/>
    <w:rsid w:val="00076BF5"/>
    <w:rsid w:val="00077313"/>
    <w:rsid w:val="00077394"/>
    <w:rsid w:val="00077AA2"/>
    <w:rsid w:val="00077C48"/>
    <w:rsid w:val="000807E9"/>
    <w:rsid w:val="00080E0A"/>
    <w:rsid w:val="000815F3"/>
    <w:rsid w:val="00081C95"/>
    <w:rsid w:val="00081EEA"/>
    <w:rsid w:val="0008272D"/>
    <w:rsid w:val="00082D88"/>
    <w:rsid w:val="00082E2A"/>
    <w:rsid w:val="00083562"/>
    <w:rsid w:val="00084AF3"/>
    <w:rsid w:val="00084C9E"/>
    <w:rsid w:val="00085403"/>
    <w:rsid w:val="00085585"/>
    <w:rsid w:val="00085E29"/>
    <w:rsid w:val="00085E52"/>
    <w:rsid w:val="00086121"/>
    <w:rsid w:val="00086177"/>
    <w:rsid w:val="000864A7"/>
    <w:rsid w:val="000869DE"/>
    <w:rsid w:val="00086F31"/>
    <w:rsid w:val="000908FE"/>
    <w:rsid w:val="00090E22"/>
    <w:rsid w:val="0009101D"/>
    <w:rsid w:val="00091CC6"/>
    <w:rsid w:val="00091FD9"/>
    <w:rsid w:val="0009215D"/>
    <w:rsid w:val="0009219A"/>
    <w:rsid w:val="0009292A"/>
    <w:rsid w:val="00092DF3"/>
    <w:rsid w:val="00093BA7"/>
    <w:rsid w:val="0009438B"/>
    <w:rsid w:val="0009494B"/>
    <w:rsid w:val="00094AEF"/>
    <w:rsid w:val="00095230"/>
    <w:rsid w:val="00095447"/>
    <w:rsid w:val="00095459"/>
    <w:rsid w:val="00095626"/>
    <w:rsid w:val="00095E46"/>
    <w:rsid w:val="0009611A"/>
    <w:rsid w:val="00097108"/>
    <w:rsid w:val="00097166"/>
    <w:rsid w:val="000975E8"/>
    <w:rsid w:val="00097DAE"/>
    <w:rsid w:val="000A01EE"/>
    <w:rsid w:val="000A0296"/>
    <w:rsid w:val="000A084D"/>
    <w:rsid w:val="000A0EA6"/>
    <w:rsid w:val="000A1448"/>
    <w:rsid w:val="000A17C3"/>
    <w:rsid w:val="000A2DC3"/>
    <w:rsid w:val="000A2F7D"/>
    <w:rsid w:val="000A32FE"/>
    <w:rsid w:val="000A3518"/>
    <w:rsid w:val="000A3636"/>
    <w:rsid w:val="000A392D"/>
    <w:rsid w:val="000A3A89"/>
    <w:rsid w:val="000A3FE6"/>
    <w:rsid w:val="000A466D"/>
    <w:rsid w:val="000A50B6"/>
    <w:rsid w:val="000A5BE6"/>
    <w:rsid w:val="000A624A"/>
    <w:rsid w:val="000A646A"/>
    <w:rsid w:val="000A64B6"/>
    <w:rsid w:val="000A6836"/>
    <w:rsid w:val="000A68AF"/>
    <w:rsid w:val="000A6AFB"/>
    <w:rsid w:val="000A6D4F"/>
    <w:rsid w:val="000A728F"/>
    <w:rsid w:val="000A76A0"/>
    <w:rsid w:val="000A7729"/>
    <w:rsid w:val="000A7857"/>
    <w:rsid w:val="000B0842"/>
    <w:rsid w:val="000B17F0"/>
    <w:rsid w:val="000B1A84"/>
    <w:rsid w:val="000B1BD6"/>
    <w:rsid w:val="000B1FBB"/>
    <w:rsid w:val="000B2176"/>
    <w:rsid w:val="000B2DBB"/>
    <w:rsid w:val="000B2E80"/>
    <w:rsid w:val="000B3019"/>
    <w:rsid w:val="000B3547"/>
    <w:rsid w:val="000B3917"/>
    <w:rsid w:val="000B3C52"/>
    <w:rsid w:val="000B41CC"/>
    <w:rsid w:val="000B49F7"/>
    <w:rsid w:val="000B57B3"/>
    <w:rsid w:val="000B59B1"/>
    <w:rsid w:val="000B5D85"/>
    <w:rsid w:val="000B6466"/>
    <w:rsid w:val="000B65C8"/>
    <w:rsid w:val="000B6BFA"/>
    <w:rsid w:val="000B6FAA"/>
    <w:rsid w:val="000B709E"/>
    <w:rsid w:val="000B7313"/>
    <w:rsid w:val="000B7385"/>
    <w:rsid w:val="000B7995"/>
    <w:rsid w:val="000C0638"/>
    <w:rsid w:val="000C08A8"/>
    <w:rsid w:val="000C1251"/>
    <w:rsid w:val="000C1446"/>
    <w:rsid w:val="000C1544"/>
    <w:rsid w:val="000C2495"/>
    <w:rsid w:val="000C24B5"/>
    <w:rsid w:val="000C2913"/>
    <w:rsid w:val="000C29F3"/>
    <w:rsid w:val="000C36BE"/>
    <w:rsid w:val="000C3B98"/>
    <w:rsid w:val="000C3CD6"/>
    <w:rsid w:val="000C435B"/>
    <w:rsid w:val="000C47EF"/>
    <w:rsid w:val="000C489A"/>
    <w:rsid w:val="000C4B8A"/>
    <w:rsid w:val="000C4BCA"/>
    <w:rsid w:val="000C588C"/>
    <w:rsid w:val="000C6D4C"/>
    <w:rsid w:val="000C78EB"/>
    <w:rsid w:val="000C799E"/>
    <w:rsid w:val="000D0732"/>
    <w:rsid w:val="000D0CCC"/>
    <w:rsid w:val="000D12D1"/>
    <w:rsid w:val="000D135A"/>
    <w:rsid w:val="000D157A"/>
    <w:rsid w:val="000D22A0"/>
    <w:rsid w:val="000D245C"/>
    <w:rsid w:val="000D24E3"/>
    <w:rsid w:val="000D27EE"/>
    <w:rsid w:val="000D2BA8"/>
    <w:rsid w:val="000D2EA7"/>
    <w:rsid w:val="000D2FDE"/>
    <w:rsid w:val="000D33FE"/>
    <w:rsid w:val="000D3F97"/>
    <w:rsid w:val="000D4ACA"/>
    <w:rsid w:val="000D4EA7"/>
    <w:rsid w:val="000D5068"/>
    <w:rsid w:val="000D53C3"/>
    <w:rsid w:val="000D5463"/>
    <w:rsid w:val="000D5B01"/>
    <w:rsid w:val="000D74C9"/>
    <w:rsid w:val="000D75CE"/>
    <w:rsid w:val="000D792B"/>
    <w:rsid w:val="000E11E6"/>
    <w:rsid w:val="000E126F"/>
    <w:rsid w:val="000E1F83"/>
    <w:rsid w:val="000E2FE8"/>
    <w:rsid w:val="000E2FEB"/>
    <w:rsid w:val="000E37FC"/>
    <w:rsid w:val="000E3DD8"/>
    <w:rsid w:val="000E42D6"/>
    <w:rsid w:val="000E5159"/>
    <w:rsid w:val="000E5448"/>
    <w:rsid w:val="000E54AA"/>
    <w:rsid w:val="000E54FC"/>
    <w:rsid w:val="000E5532"/>
    <w:rsid w:val="000E6C86"/>
    <w:rsid w:val="000E6E6A"/>
    <w:rsid w:val="000E70E4"/>
    <w:rsid w:val="000E7E40"/>
    <w:rsid w:val="000E7E6F"/>
    <w:rsid w:val="000E7FCD"/>
    <w:rsid w:val="000F0677"/>
    <w:rsid w:val="000F0A04"/>
    <w:rsid w:val="000F0E21"/>
    <w:rsid w:val="000F1049"/>
    <w:rsid w:val="000F1475"/>
    <w:rsid w:val="000F15AA"/>
    <w:rsid w:val="000F16B6"/>
    <w:rsid w:val="000F1B66"/>
    <w:rsid w:val="000F217B"/>
    <w:rsid w:val="000F2427"/>
    <w:rsid w:val="000F2510"/>
    <w:rsid w:val="000F2922"/>
    <w:rsid w:val="000F343B"/>
    <w:rsid w:val="000F3800"/>
    <w:rsid w:val="000F3CBC"/>
    <w:rsid w:val="000F3E46"/>
    <w:rsid w:val="000F3F3A"/>
    <w:rsid w:val="000F436D"/>
    <w:rsid w:val="000F47AD"/>
    <w:rsid w:val="000F4F9F"/>
    <w:rsid w:val="000F566E"/>
    <w:rsid w:val="000F63BE"/>
    <w:rsid w:val="000F6F86"/>
    <w:rsid w:val="000F70B2"/>
    <w:rsid w:val="0010026F"/>
    <w:rsid w:val="001005B6"/>
    <w:rsid w:val="0010087D"/>
    <w:rsid w:val="001018AA"/>
    <w:rsid w:val="00102F86"/>
    <w:rsid w:val="00103272"/>
    <w:rsid w:val="00103EB7"/>
    <w:rsid w:val="00103FCF"/>
    <w:rsid w:val="001049F7"/>
    <w:rsid w:val="00105359"/>
    <w:rsid w:val="001054B3"/>
    <w:rsid w:val="0010595A"/>
    <w:rsid w:val="00105C73"/>
    <w:rsid w:val="00106039"/>
    <w:rsid w:val="0010658F"/>
    <w:rsid w:val="0010678B"/>
    <w:rsid w:val="00106C7B"/>
    <w:rsid w:val="00106E22"/>
    <w:rsid w:val="0010704E"/>
    <w:rsid w:val="00107356"/>
    <w:rsid w:val="00107D4A"/>
    <w:rsid w:val="001105C9"/>
    <w:rsid w:val="001109FD"/>
    <w:rsid w:val="00110CD6"/>
    <w:rsid w:val="0011131F"/>
    <w:rsid w:val="00111686"/>
    <w:rsid w:val="001116CF"/>
    <w:rsid w:val="00111AF1"/>
    <w:rsid w:val="00111D22"/>
    <w:rsid w:val="001121FB"/>
    <w:rsid w:val="001125C5"/>
    <w:rsid w:val="0011277C"/>
    <w:rsid w:val="00112AEC"/>
    <w:rsid w:val="00112C2F"/>
    <w:rsid w:val="00113982"/>
    <w:rsid w:val="00113BB4"/>
    <w:rsid w:val="00113FDE"/>
    <w:rsid w:val="00114DBF"/>
    <w:rsid w:val="001159CA"/>
    <w:rsid w:val="00115EDF"/>
    <w:rsid w:val="00115FD2"/>
    <w:rsid w:val="00116383"/>
    <w:rsid w:val="00116D2C"/>
    <w:rsid w:val="00120340"/>
    <w:rsid w:val="00120D18"/>
    <w:rsid w:val="00120EA0"/>
    <w:rsid w:val="001219A8"/>
    <w:rsid w:val="00121BEE"/>
    <w:rsid w:val="00122A66"/>
    <w:rsid w:val="00122FBE"/>
    <w:rsid w:val="0012377F"/>
    <w:rsid w:val="00124B81"/>
    <w:rsid w:val="001251C6"/>
    <w:rsid w:val="00125B5F"/>
    <w:rsid w:val="00125D28"/>
    <w:rsid w:val="001264FA"/>
    <w:rsid w:val="00130179"/>
    <w:rsid w:val="00130B02"/>
    <w:rsid w:val="001316C3"/>
    <w:rsid w:val="00131966"/>
    <w:rsid w:val="00131D73"/>
    <w:rsid w:val="00131DF0"/>
    <w:rsid w:val="001321C9"/>
    <w:rsid w:val="001326ED"/>
    <w:rsid w:val="00133361"/>
    <w:rsid w:val="0013362C"/>
    <w:rsid w:val="00133D93"/>
    <w:rsid w:val="00134A0C"/>
    <w:rsid w:val="00134E96"/>
    <w:rsid w:val="00135AB5"/>
    <w:rsid w:val="00135E28"/>
    <w:rsid w:val="00136775"/>
    <w:rsid w:val="00136E3E"/>
    <w:rsid w:val="00136EB4"/>
    <w:rsid w:val="0013741B"/>
    <w:rsid w:val="00137CC8"/>
    <w:rsid w:val="00137CFF"/>
    <w:rsid w:val="00137ED7"/>
    <w:rsid w:val="001404F5"/>
    <w:rsid w:val="0014190E"/>
    <w:rsid w:val="00142421"/>
    <w:rsid w:val="001426DC"/>
    <w:rsid w:val="001426F0"/>
    <w:rsid w:val="001428A7"/>
    <w:rsid w:val="00142B4E"/>
    <w:rsid w:val="00142E0D"/>
    <w:rsid w:val="0014359C"/>
    <w:rsid w:val="00144529"/>
    <w:rsid w:val="00144719"/>
    <w:rsid w:val="00144D01"/>
    <w:rsid w:val="0014500B"/>
    <w:rsid w:val="00145157"/>
    <w:rsid w:val="001453C7"/>
    <w:rsid w:val="00146463"/>
    <w:rsid w:val="001464A1"/>
    <w:rsid w:val="00146A03"/>
    <w:rsid w:val="001471E8"/>
    <w:rsid w:val="001474CB"/>
    <w:rsid w:val="00147530"/>
    <w:rsid w:val="00147571"/>
    <w:rsid w:val="00147772"/>
    <w:rsid w:val="001478F5"/>
    <w:rsid w:val="00147976"/>
    <w:rsid w:val="00147CE8"/>
    <w:rsid w:val="00147F7C"/>
    <w:rsid w:val="00150A48"/>
    <w:rsid w:val="0015224C"/>
    <w:rsid w:val="00153BA9"/>
    <w:rsid w:val="00154236"/>
    <w:rsid w:val="001542B6"/>
    <w:rsid w:val="00154565"/>
    <w:rsid w:val="001547F2"/>
    <w:rsid w:val="001555F2"/>
    <w:rsid w:val="001557F0"/>
    <w:rsid w:val="00155896"/>
    <w:rsid w:val="001559F6"/>
    <w:rsid w:val="00155C09"/>
    <w:rsid w:val="00156418"/>
    <w:rsid w:val="001567AE"/>
    <w:rsid w:val="00156C36"/>
    <w:rsid w:val="00157D8C"/>
    <w:rsid w:val="00160100"/>
    <w:rsid w:val="001603E9"/>
    <w:rsid w:val="001607C3"/>
    <w:rsid w:val="0016121F"/>
    <w:rsid w:val="0016136B"/>
    <w:rsid w:val="00161E5E"/>
    <w:rsid w:val="001620E2"/>
    <w:rsid w:val="00162EEF"/>
    <w:rsid w:val="001631FA"/>
    <w:rsid w:val="00163C86"/>
    <w:rsid w:val="00164605"/>
    <w:rsid w:val="00164A80"/>
    <w:rsid w:val="00165AA1"/>
    <w:rsid w:val="001661F2"/>
    <w:rsid w:val="00166496"/>
    <w:rsid w:val="001665D3"/>
    <w:rsid w:val="00166805"/>
    <w:rsid w:val="00166E96"/>
    <w:rsid w:val="00166F64"/>
    <w:rsid w:val="00167137"/>
    <w:rsid w:val="001703D2"/>
    <w:rsid w:val="0017051E"/>
    <w:rsid w:val="0017057D"/>
    <w:rsid w:val="00170999"/>
    <w:rsid w:val="00170B2D"/>
    <w:rsid w:val="00171275"/>
    <w:rsid w:val="0017206B"/>
    <w:rsid w:val="00172104"/>
    <w:rsid w:val="00172176"/>
    <w:rsid w:val="001721B7"/>
    <w:rsid w:val="001723C8"/>
    <w:rsid w:val="00172A27"/>
    <w:rsid w:val="00172E1D"/>
    <w:rsid w:val="001730EA"/>
    <w:rsid w:val="001736A9"/>
    <w:rsid w:val="00173759"/>
    <w:rsid w:val="00173F7C"/>
    <w:rsid w:val="00173FFB"/>
    <w:rsid w:val="0017491B"/>
    <w:rsid w:val="00174A55"/>
    <w:rsid w:val="00174AAA"/>
    <w:rsid w:val="00174CC5"/>
    <w:rsid w:val="0017532C"/>
    <w:rsid w:val="001754D0"/>
    <w:rsid w:val="00175785"/>
    <w:rsid w:val="001758C9"/>
    <w:rsid w:val="00175AF3"/>
    <w:rsid w:val="00176154"/>
    <w:rsid w:val="0017775D"/>
    <w:rsid w:val="00177C05"/>
    <w:rsid w:val="00180F3D"/>
    <w:rsid w:val="001812B2"/>
    <w:rsid w:val="00181943"/>
    <w:rsid w:val="00181E60"/>
    <w:rsid w:val="001820FF"/>
    <w:rsid w:val="00182C11"/>
    <w:rsid w:val="00182C2B"/>
    <w:rsid w:val="00183093"/>
    <w:rsid w:val="001830E3"/>
    <w:rsid w:val="0018358C"/>
    <w:rsid w:val="0018361D"/>
    <w:rsid w:val="00183760"/>
    <w:rsid w:val="001842F1"/>
    <w:rsid w:val="00184581"/>
    <w:rsid w:val="001846D0"/>
    <w:rsid w:val="00184C4A"/>
    <w:rsid w:val="00184E04"/>
    <w:rsid w:val="00184F30"/>
    <w:rsid w:val="00185648"/>
    <w:rsid w:val="001861C3"/>
    <w:rsid w:val="0018627C"/>
    <w:rsid w:val="00186A9C"/>
    <w:rsid w:val="00186C2C"/>
    <w:rsid w:val="00186C65"/>
    <w:rsid w:val="00187884"/>
    <w:rsid w:val="00187A27"/>
    <w:rsid w:val="00187E86"/>
    <w:rsid w:val="00187E95"/>
    <w:rsid w:val="00187FE3"/>
    <w:rsid w:val="0019010A"/>
    <w:rsid w:val="00190144"/>
    <w:rsid w:val="00190427"/>
    <w:rsid w:val="00190789"/>
    <w:rsid w:val="00190C30"/>
    <w:rsid w:val="00191303"/>
    <w:rsid w:val="001916FF"/>
    <w:rsid w:val="00192A9B"/>
    <w:rsid w:val="00192C4D"/>
    <w:rsid w:val="00192E12"/>
    <w:rsid w:val="00192EE4"/>
    <w:rsid w:val="00193179"/>
    <w:rsid w:val="001932D2"/>
    <w:rsid w:val="00193675"/>
    <w:rsid w:val="0019410C"/>
    <w:rsid w:val="001941D5"/>
    <w:rsid w:val="001952BB"/>
    <w:rsid w:val="00195827"/>
    <w:rsid w:val="00195A38"/>
    <w:rsid w:val="0019610C"/>
    <w:rsid w:val="00196673"/>
    <w:rsid w:val="001971B3"/>
    <w:rsid w:val="00197892"/>
    <w:rsid w:val="001A006C"/>
    <w:rsid w:val="001A0149"/>
    <w:rsid w:val="001A0B22"/>
    <w:rsid w:val="001A0F28"/>
    <w:rsid w:val="001A1197"/>
    <w:rsid w:val="001A1547"/>
    <w:rsid w:val="001A1840"/>
    <w:rsid w:val="001A2258"/>
    <w:rsid w:val="001A3AB0"/>
    <w:rsid w:val="001A4620"/>
    <w:rsid w:val="001A4712"/>
    <w:rsid w:val="001A5DCA"/>
    <w:rsid w:val="001A6BB6"/>
    <w:rsid w:val="001A6C8A"/>
    <w:rsid w:val="001A74D8"/>
    <w:rsid w:val="001A7761"/>
    <w:rsid w:val="001A7FE7"/>
    <w:rsid w:val="001B11A0"/>
    <w:rsid w:val="001B1BFD"/>
    <w:rsid w:val="001B1C2E"/>
    <w:rsid w:val="001B1CF2"/>
    <w:rsid w:val="001B1ECA"/>
    <w:rsid w:val="001B2333"/>
    <w:rsid w:val="001B28AD"/>
    <w:rsid w:val="001B297F"/>
    <w:rsid w:val="001B2D60"/>
    <w:rsid w:val="001B2EA4"/>
    <w:rsid w:val="001B311B"/>
    <w:rsid w:val="001B313F"/>
    <w:rsid w:val="001B31B9"/>
    <w:rsid w:val="001B35FF"/>
    <w:rsid w:val="001B47C1"/>
    <w:rsid w:val="001B4982"/>
    <w:rsid w:val="001B4B5D"/>
    <w:rsid w:val="001B4DE7"/>
    <w:rsid w:val="001B4E5D"/>
    <w:rsid w:val="001B4F8B"/>
    <w:rsid w:val="001B602B"/>
    <w:rsid w:val="001B66DF"/>
    <w:rsid w:val="001B6C3A"/>
    <w:rsid w:val="001B6E6A"/>
    <w:rsid w:val="001B777E"/>
    <w:rsid w:val="001C0E77"/>
    <w:rsid w:val="001C156A"/>
    <w:rsid w:val="001C15F7"/>
    <w:rsid w:val="001C1868"/>
    <w:rsid w:val="001C18E8"/>
    <w:rsid w:val="001C202E"/>
    <w:rsid w:val="001C2F68"/>
    <w:rsid w:val="001C3126"/>
    <w:rsid w:val="001C3F1B"/>
    <w:rsid w:val="001C4921"/>
    <w:rsid w:val="001C535C"/>
    <w:rsid w:val="001C5763"/>
    <w:rsid w:val="001C5954"/>
    <w:rsid w:val="001C5A3E"/>
    <w:rsid w:val="001C5D4E"/>
    <w:rsid w:val="001C678A"/>
    <w:rsid w:val="001C69C4"/>
    <w:rsid w:val="001C7459"/>
    <w:rsid w:val="001C769F"/>
    <w:rsid w:val="001C76AA"/>
    <w:rsid w:val="001C7DBD"/>
    <w:rsid w:val="001D0410"/>
    <w:rsid w:val="001D04A9"/>
    <w:rsid w:val="001D0AAE"/>
    <w:rsid w:val="001D0B56"/>
    <w:rsid w:val="001D0D09"/>
    <w:rsid w:val="001D0F67"/>
    <w:rsid w:val="001D137C"/>
    <w:rsid w:val="001D183A"/>
    <w:rsid w:val="001D1D13"/>
    <w:rsid w:val="001D20E1"/>
    <w:rsid w:val="001D213C"/>
    <w:rsid w:val="001D27B2"/>
    <w:rsid w:val="001D3591"/>
    <w:rsid w:val="001D4844"/>
    <w:rsid w:val="001D4A21"/>
    <w:rsid w:val="001D519E"/>
    <w:rsid w:val="001D5961"/>
    <w:rsid w:val="001D5FBE"/>
    <w:rsid w:val="001D60F7"/>
    <w:rsid w:val="001D627D"/>
    <w:rsid w:val="001D6581"/>
    <w:rsid w:val="001D7093"/>
    <w:rsid w:val="001D7398"/>
    <w:rsid w:val="001D7A79"/>
    <w:rsid w:val="001D7D57"/>
    <w:rsid w:val="001D7F28"/>
    <w:rsid w:val="001E0353"/>
    <w:rsid w:val="001E0377"/>
    <w:rsid w:val="001E07AF"/>
    <w:rsid w:val="001E0D98"/>
    <w:rsid w:val="001E0F8A"/>
    <w:rsid w:val="001E2157"/>
    <w:rsid w:val="001E292F"/>
    <w:rsid w:val="001E36F1"/>
    <w:rsid w:val="001E39C5"/>
    <w:rsid w:val="001E4602"/>
    <w:rsid w:val="001E49E0"/>
    <w:rsid w:val="001E564D"/>
    <w:rsid w:val="001E5836"/>
    <w:rsid w:val="001E5D25"/>
    <w:rsid w:val="001E5EAA"/>
    <w:rsid w:val="001E6120"/>
    <w:rsid w:val="001E64A4"/>
    <w:rsid w:val="001E683A"/>
    <w:rsid w:val="001E6FF9"/>
    <w:rsid w:val="001E7524"/>
    <w:rsid w:val="001E7BF9"/>
    <w:rsid w:val="001E7CE9"/>
    <w:rsid w:val="001F0893"/>
    <w:rsid w:val="001F0DF4"/>
    <w:rsid w:val="001F14E6"/>
    <w:rsid w:val="001F174B"/>
    <w:rsid w:val="001F1962"/>
    <w:rsid w:val="001F2A6E"/>
    <w:rsid w:val="001F2B03"/>
    <w:rsid w:val="001F2CE7"/>
    <w:rsid w:val="001F2D1E"/>
    <w:rsid w:val="001F3D4A"/>
    <w:rsid w:val="001F4398"/>
    <w:rsid w:val="001F55C1"/>
    <w:rsid w:val="001F5891"/>
    <w:rsid w:val="001F6C35"/>
    <w:rsid w:val="001F6EC8"/>
    <w:rsid w:val="001F6ECD"/>
    <w:rsid w:val="001F743B"/>
    <w:rsid w:val="002002C0"/>
    <w:rsid w:val="00200EC7"/>
    <w:rsid w:val="002012BB"/>
    <w:rsid w:val="00201757"/>
    <w:rsid w:val="00201DD5"/>
    <w:rsid w:val="002034F3"/>
    <w:rsid w:val="0020386B"/>
    <w:rsid w:val="00204191"/>
    <w:rsid w:val="00204366"/>
    <w:rsid w:val="00204912"/>
    <w:rsid w:val="00205070"/>
    <w:rsid w:val="00205BAD"/>
    <w:rsid w:val="00205C13"/>
    <w:rsid w:val="00205CD2"/>
    <w:rsid w:val="00206D0A"/>
    <w:rsid w:val="002078DF"/>
    <w:rsid w:val="00210C0D"/>
    <w:rsid w:val="00210F64"/>
    <w:rsid w:val="00210FF3"/>
    <w:rsid w:val="002110EB"/>
    <w:rsid w:val="00211291"/>
    <w:rsid w:val="0021173A"/>
    <w:rsid w:val="00211D59"/>
    <w:rsid w:val="0021207B"/>
    <w:rsid w:val="002121A4"/>
    <w:rsid w:val="00212800"/>
    <w:rsid w:val="002130AF"/>
    <w:rsid w:val="00213151"/>
    <w:rsid w:val="002134C9"/>
    <w:rsid w:val="00213570"/>
    <w:rsid w:val="00213784"/>
    <w:rsid w:val="002138B4"/>
    <w:rsid w:val="00213FF4"/>
    <w:rsid w:val="0021452B"/>
    <w:rsid w:val="0021457F"/>
    <w:rsid w:val="00215290"/>
    <w:rsid w:val="002156F3"/>
    <w:rsid w:val="002157AA"/>
    <w:rsid w:val="002157D0"/>
    <w:rsid w:val="002158C8"/>
    <w:rsid w:val="00215AD2"/>
    <w:rsid w:val="0021627A"/>
    <w:rsid w:val="00216BA0"/>
    <w:rsid w:val="00217DDD"/>
    <w:rsid w:val="002200B1"/>
    <w:rsid w:val="00221EDB"/>
    <w:rsid w:val="00222F9F"/>
    <w:rsid w:val="00223B13"/>
    <w:rsid w:val="00223F35"/>
    <w:rsid w:val="002242D6"/>
    <w:rsid w:val="00224699"/>
    <w:rsid w:val="00224E3A"/>
    <w:rsid w:val="00225604"/>
    <w:rsid w:val="0022570A"/>
    <w:rsid w:val="00225804"/>
    <w:rsid w:val="00225BF8"/>
    <w:rsid w:val="0022638A"/>
    <w:rsid w:val="00226831"/>
    <w:rsid w:val="00226E27"/>
    <w:rsid w:val="00226F5C"/>
    <w:rsid w:val="002273DA"/>
    <w:rsid w:val="0022763B"/>
    <w:rsid w:val="00227C39"/>
    <w:rsid w:val="002305D4"/>
    <w:rsid w:val="002308D4"/>
    <w:rsid w:val="00230E08"/>
    <w:rsid w:val="0023132E"/>
    <w:rsid w:val="0023165D"/>
    <w:rsid w:val="00231C49"/>
    <w:rsid w:val="00231DD8"/>
    <w:rsid w:val="00232097"/>
    <w:rsid w:val="00232886"/>
    <w:rsid w:val="00232901"/>
    <w:rsid w:val="002330BE"/>
    <w:rsid w:val="002338D5"/>
    <w:rsid w:val="00233B93"/>
    <w:rsid w:val="00233E12"/>
    <w:rsid w:val="002345DE"/>
    <w:rsid w:val="002347F5"/>
    <w:rsid w:val="00234859"/>
    <w:rsid w:val="00234C81"/>
    <w:rsid w:val="0023507D"/>
    <w:rsid w:val="002359C6"/>
    <w:rsid w:val="002367D2"/>
    <w:rsid w:val="00236A4F"/>
    <w:rsid w:val="00236C56"/>
    <w:rsid w:val="0023715A"/>
    <w:rsid w:val="00237CAE"/>
    <w:rsid w:val="00237E0E"/>
    <w:rsid w:val="00237E50"/>
    <w:rsid w:val="00240A2C"/>
    <w:rsid w:val="00240D64"/>
    <w:rsid w:val="002410BD"/>
    <w:rsid w:val="002411F6"/>
    <w:rsid w:val="00241854"/>
    <w:rsid w:val="0024282D"/>
    <w:rsid w:val="00242D3D"/>
    <w:rsid w:val="00242EBE"/>
    <w:rsid w:val="00243E41"/>
    <w:rsid w:val="00244446"/>
    <w:rsid w:val="00244C9D"/>
    <w:rsid w:val="00245346"/>
    <w:rsid w:val="00245779"/>
    <w:rsid w:val="002458A9"/>
    <w:rsid w:val="00245FAD"/>
    <w:rsid w:val="00246471"/>
    <w:rsid w:val="002465E9"/>
    <w:rsid w:val="002465F8"/>
    <w:rsid w:val="002466BD"/>
    <w:rsid w:val="00246704"/>
    <w:rsid w:val="002469B5"/>
    <w:rsid w:val="002469F5"/>
    <w:rsid w:val="00246FC9"/>
    <w:rsid w:val="0024728B"/>
    <w:rsid w:val="002476FD"/>
    <w:rsid w:val="00247C34"/>
    <w:rsid w:val="002504CA"/>
    <w:rsid w:val="002505EF"/>
    <w:rsid w:val="002506BC"/>
    <w:rsid w:val="002512F3"/>
    <w:rsid w:val="00251EBF"/>
    <w:rsid w:val="002528C9"/>
    <w:rsid w:val="00252E2A"/>
    <w:rsid w:val="00253BC9"/>
    <w:rsid w:val="00253C71"/>
    <w:rsid w:val="00254A2A"/>
    <w:rsid w:val="00254B3F"/>
    <w:rsid w:val="002553F2"/>
    <w:rsid w:val="002558AB"/>
    <w:rsid w:val="002560D1"/>
    <w:rsid w:val="0025666A"/>
    <w:rsid w:val="002567BC"/>
    <w:rsid w:val="00256E43"/>
    <w:rsid w:val="0025759F"/>
    <w:rsid w:val="00257672"/>
    <w:rsid w:val="00257816"/>
    <w:rsid w:val="002600EB"/>
    <w:rsid w:val="00260CD8"/>
    <w:rsid w:val="0026105B"/>
    <w:rsid w:val="00261A97"/>
    <w:rsid w:val="002632D9"/>
    <w:rsid w:val="002638E7"/>
    <w:rsid w:val="0026397C"/>
    <w:rsid w:val="00263AEF"/>
    <w:rsid w:val="00264165"/>
    <w:rsid w:val="002642AF"/>
    <w:rsid w:val="00264932"/>
    <w:rsid w:val="00264EF5"/>
    <w:rsid w:val="00264FCD"/>
    <w:rsid w:val="00265FB9"/>
    <w:rsid w:val="0026642F"/>
    <w:rsid w:val="0026680F"/>
    <w:rsid w:val="00266E6E"/>
    <w:rsid w:val="00267072"/>
    <w:rsid w:val="002674B7"/>
    <w:rsid w:val="00270585"/>
    <w:rsid w:val="00270778"/>
    <w:rsid w:val="00270A40"/>
    <w:rsid w:val="00271151"/>
    <w:rsid w:val="0027248C"/>
    <w:rsid w:val="002727FF"/>
    <w:rsid w:val="00272D6D"/>
    <w:rsid w:val="00273005"/>
    <w:rsid w:val="002733B5"/>
    <w:rsid w:val="00273633"/>
    <w:rsid w:val="00273EFE"/>
    <w:rsid w:val="0027472C"/>
    <w:rsid w:val="002748A2"/>
    <w:rsid w:val="002750F0"/>
    <w:rsid w:val="00275686"/>
    <w:rsid w:val="00276160"/>
    <w:rsid w:val="00276A23"/>
    <w:rsid w:val="00276A35"/>
    <w:rsid w:val="002770B3"/>
    <w:rsid w:val="00277165"/>
    <w:rsid w:val="002771C1"/>
    <w:rsid w:val="00277431"/>
    <w:rsid w:val="0027773F"/>
    <w:rsid w:val="002777F4"/>
    <w:rsid w:val="00277D66"/>
    <w:rsid w:val="00280017"/>
    <w:rsid w:val="00280422"/>
    <w:rsid w:val="002806F3"/>
    <w:rsid w:val="002807D1"/>
    <w:rsid w:val="002808E9"/>
    <w:rsid w:val="00280A7B"/>
    <w:rsid w:val="00280B0F"/>
    <w:rsid w:val="00280B99"/>
    <w:rsid w:val="00280EC0"/>
    <w:rsid w:val="002810A0"/>
    <w:rsid w:val="00281515"/>
    <w:rsid w:val="00281F7E"/>
    <w:rsid w:val="002822C2"/>
    <w:rsid w:val="00282366"/>
    <w:rsid w:val="00282392"/>
    <w:rsid w:val="0028246D"/>
    <w:rsid w:val="002827D0"/>
    <w:rsid w:val="0028294B"/>
    <w:rsid w:val="00282D86"/>
    <w:rsid w:val="002833CD"/>
    <w:rsid w:val="00283499"/>
    <w:rsid w:val="00283ACC"/>
    <w:rsid w:val="0028482A"/>
    <w:rsid w:val="002852C0"/>
    <w:rsid w:val="002872CD"/>
    <w:rsid w:val="0028742E"/>
    <w:rsid w:val="00287563"/>
    <w:rsid w:val="002878C0"/>
    <w:rsid w:val="00291824"/>
    <w:rsid w:val="00291F8D"/>
    <w:rsid w:val="0029244E"/>
    <w:rsid w:val="002937EC"/>
    <w:rsid w:val="00294473"/>
    <w:rsid w:val="002963BE"/>
    <w:rsid w:val="00296535"/>
    <w:rsid w:val="0029691B"/>
    <w:rsid w:val="00296EE6"/>
    <w:rsid w:val="00297414"/>
    <w:rsid w:val="002974B2"/>
    <w:rsid w:val="002A00E0"/>
    <w:rsid w:val="002A00E4"/>
    <w:rsid w:val="002A0C92"/>
    <w:rsid w:val="002A132B"/>
    <w:rsid w:val="002A1714"/>
    <w:rsid w:val="002A2021"/>
    <w:rsid w:val="002A20A2"/>
    <w:rsid w:val="002A2113"/>
    <w:rsid w:val="002A21B9"/>
    <w:rsid w:val="002A2228"/>
    <w:rsid w:val="002A2D46"/>
    <w:rsid w:val="002A2FB8"/>
    <w:rsid w:val="002A3227"/>
    <w:rsid w:val="002A322C"/>
    <w:rsid w:val="002A3A34"/>
    <w:rsid w:val="002A3AB1"/>
    <w:rsid w:val="002A3D1A"/>
    <w:rsid w:val="002A3F27"/>
    <w:rsid w:val="002A4195"/>
    <w:rsid w:val="002A448F"/>
    <w:rsid w:val="002A4FB2"/>
    <w:rsid w:val="002A5932"/>
    <w:rsid w:val="002A5B83"/>
    <w:rsid w:val="002A5E22"/>
    <w:rsid w:val="002A7057"/>
    <w:rsid w:val="002A72D6"/>
    <w:rsid w:val="002A7361"/>
    <w:rsid w:val="002A76AC"/>
    <w:rsid w:val="002A79EB"/>
    <w:rsid w:val="002A7C7E"/>
    <w:rsid w:val="002B00AA"/>
    <w:rsid w:val="002B0737"/>
    <w:rsid w:val="002B119F"/>
    <w:rsid w:val="002B1653"/>
    <w:rsid w:val="002B1B82"/>
    <w:rsid w:val="002B1BE9"/>
    <w:rsid w:val="002B2034"/>
    <w:rsid w:val="002B2094"/>
    <w:rsid w:val="002B24F2"/>
    <w:rsid w:val="002B2A09"/>
    <w:rsid w:val="002B2F40"/>
    <w:rsid w:val="002B39F9"/>
    <w:rsid w:val="002B4B07"/>
    <w:rsid w:val="002B530F"/>
    <w:rsid w:val="002B5463"/>
    <w:rsid w:val="002B5BB6"/>
    <w:rsid w:val="002B640A"/>
    <w:rsid w:val="002B670C"/>
    <w:rsid w:val="002B691F"/>
    <w:rsid w:val="002B7853"/>
    <w:rsid w:val="002B7AC0"/>
    <w:rsid w:val="002B7D11"/>
    <w:rsid w:val="002C0033"/>
    <w:rsid w:val="002C055D"/>
    <w:rsid w:val="002C0590"/>
    <w:rsid w:val="002C0AED"/>
    <w:rsid w:val="002C0C06"/>
    <w:rsid w:val="002C1683"/>
    <w:rsid w:val="002C16C8"/>
    <w:rsid w:val="002C1EEE"/>
    <w:rsid w:val="002C2116"/>
    <w:rsid w:val="002C27EC"/>
    <w:rsid w:val="002C2A6E"/>
    <w:rsid w:val="002C2EA8"/>
    <w:rsid w:val="002C3359"/>
    <w:rsid w:val="002C34EE"/>
    <w:rsid w:val="002C3639"/>
    <w:rsid w:val="002C3911"/>
    <w:rsid w:val="002C395E"/>
    <w:rsid w:val="002C44DD"/>
    <w:rsid w:val="002C4536"/>
    <w:rsid w:val="002C4555"/>
    <w:rsid w:val="002C507C"/>
    <w:rsid w:val="002C5441"/>
    <w:rsid w:val="002C574C"/>
    <w:rsid w:val="002C5DA0"/>
    <w:rsid w:val="002C5E58"/>
    <w:rsid w:val="002C6ACA"/>
    <w:rsid w:val="002C6EE9"/>
    <w:rsid w:val="002D0129"/>
    <w:rsid w:val="002D01A2"/>
    <w:rsid w:val="002D041A"/>
    <w:rsid w:val="002D0534"/>
    <w:rsid w:val="002D0947"/>
    <w:rsid w:val="002D2161"/>
    <w:rsid w:val="002D2AD4"/>
    <w:rsid w:val="002D2B36"/>
    <w:rsid w:val="002D2D57"/>
    <w:rsid w:val="002D30ED"/>
    <w:rsid w:val="002D3164"/>
    <w:rsid w:val="002D3924"/>
    <w:rsid w:val="002D3F0E"/>
    <w:rsid w:val="002D4115"/>
    <w:rsid w:val="002D4B17"/>
    <w:rsid w:val="002D4C82"/>
    <w:rsid w:val="002D4FAB"/>
    <w:rsid w:val="002D4FD1"/>
    <w:rsid w:val="002D5016"/>
    <w:rsid w:val="002D60C3"/>
    <w:rsid w:val="002D613F"/>
    <w:rsid w:val="002D6B89"/>
    <w:rsid w:val="002D6F37"/>
    <w:rsid w:val="002D74F2"/>
    <w:rsid w:val="002D767F"/>
    <w:rsid w:val="002D773E"/>
    <w:rsid w:val="002E025F"/>
    <w:rsid w:val="002E0C34"/>
    <w:rsid w:val="002E1196"/>
    <w:rsid w:val="002E12D3"/>
    <w:rsid w:val="002E13E8"/>
    <w:rsid w:val="002E1960"/>
    <w:rsid w:val="002E1C26"/>
    <w:rsid w:val="002E269A"/>
    <w:rsid w:val="002E2D90"/>
    <w:rsid w:val="002E2DEC"/>
    <w:rsid w:val="002E3B20"/>
    <w:rsid w:val="002E3B6D"/>
    <w:rsid w:val="002E63A1"/>
    <w:rsid w:val="002E6B87"/>
    <w:rsid w:val="002E7061"/>
    <w:rsid w:val="002E7245"/>
    <w:rsid w:val="002E7910"/>
    <w:rsid w:val="002E79EB"/>
    <w:rsid w:val="002F0930"/>
    <w:rsid w:val="002F0C66"/>
    <w:rsid w:val="002F0D90"/>
    <w:rsid w:val="002F1289"/>
    <w:rsid w:val="002F1492"/>
    <w:rsid w:val="002F1775"/>
    <w:rsid w:val="002F1D7B"/>
    <w:rsid w:val="002F375B"/>
    <w:rsid w:val="002F38EA"/>
    <w:rsid w:val="002F420E"/>
    <w:rsid w:val="002F429A"/>
    <w:rsid w:val="002F4D86"/>
    <w:rsid w:val="002F4F3C"/>
    <w:rsid w:val="002F5BC6"/>
    <w:rsid w:val="002F5D2A"/>
    <w:rsid w:val="002F695D"/>
    <w:rsid w:val="002F75A0"/>
    <w:rsid w:val="002F767F"/>
    <w:rsid w:val="0030009E"/>
    <w:rsid w:val="003000AE"/>
    <w:rsid w:val="003004AB"/>
    <w:rsid w:val="00300646"/>
    <w:rsid w:val="00300649"/>
    <w:rsid w:val="00301472"/>
    <w:rsid w:val="0030182A"/>
    <w:rsid w:val="0030189E"/>
    <w:rsid w:val="00301E2F"/>
    <w:rsid w:val="003021B7"/>
    <w:rsid w:val="00302297"/>
    <w:rsid w:val="00302AF2"/>
    <w:rsid w:val="00302CF5"/>
    <w:rsid w:val="00302D68"/>
    <w:rsid w:val="003032CB"/>
    <w:rsid w:val="003033AB"/>
    <w:rsid w:val="00304204"/>
    <w:rsid w:val="00304883"/>
    <w:rsid w:val="00304C9C"/>
    <w:rsid w:val="0030594A"/>
    <w:rsid w:val="0030715D"/>
    <w:rsid w:val="0030750C"/>
    <w:rsid w:val="00307D6C"/>
    <w:rsid w:val="0031031C"/>
    <w:rsid w:val="00310556"/>
    <w:rsid w:val="00310FD6"/>
    <w:rsid w:val="003110EF"/>
    <w:rsid w:val="0031127F"/>
    <w:rsid w:val="00311625"/>
    <w:rsid w:val="00312001"/>
    <w:rsid w:val="00312781"/>
    <w:rsid w:val="0031297D"/>
    <w:rsid w:val="00313CDA"/>
    <w:rsid w:val="003145DD"/>
    <w:rsid w:val="003147DD"/>
    <w:rsid w:val="00314F4E"/>
    <w:rsid w:val="00315292"/>
    <w:rsid w:val="00315998"/>
    <w:rsid w:val="00315A3A"/>
    <w:rsid w:val="00316728"/>
    <w:rsid w:val="00316A6A"/>
    <w:rsid w:val="00316DC2"/>
    <w:rsid w:val="00317595"/>
    <w:rsid w:val="003177A4"/>
    <w:rsid w:val="00317A80"/>
    <w:rsid w:val="00317B9D"/>
    <w:rsid w:val="00320C94"/>
    <w:rsid w:val="00320EC6"/>
    <w:rsid w:val="00321D76"/>
    <w:rsid w:val="00321E75"/>
    <w:rsid w:val="00322144"/>
    <w:rsid w:val="0032216D"/>
    <w:rsid w:val="00322432"/>
    <w:rsid w:val="00322639"/>
    <w:rsid w:val="00322976"/>
    <w:rsid w:val="00322A3E"/>
    <w:rsid w:val="00323C3F"/>
    <w:rsid w:val="0032425D"/>
    <w:rsid w:val="00324371"/>
    <w:rsid w:val="00324549"/>
    <w:rsid w:val="003249E6"/>
    <w:rsid w:val="00325CEA"/>
    <w:rsid w:val="0032600E"/>
    <w:rsid w:val="003261B2"/>
    <w:rsid w:val="00326586"/>
    <w:rsid w:val="003267EC"/>
    <w:rsid w:val="0032693A"/>
    <w:rsid w:val="00326A94"/>
    <w:rsid w:val="00326B81"/>
    <w:rsid w:val="00326FB7"/>
    <w:rsid w:val="003275E5"/>
    <w:rsid w:val="0032795A"/>
    <w:rsid w:val="00327A6D"/>
    <w:rsid w:val="00330512"/>
    <w:rsid w:val="00331086"/>
    <w:rsid w:val="0033130E"/>
    <w:rsid w:val="00331794"/>
    <w:rsid w:val="00331899"/>
    <w:rsid w:val="00331BD0"/>
    <w:rsid w:val="00331DBD"/>
    <w:rsid w:val="00331E37"/>
    <w:rsid w:val="00332462"/>
    <w:rsid w:val="003325BB"/>
    <w:rsid w:val="00332B9C"/>
    <w:rsid w:val="003330DD"/>
    <w:rsid w:val="00333216"/>
    <w:rsid w:val="00334F44"/>
    <w:rsid w:val="00335040"/>
    <w:rsid w:val="003352BF"/>
    <w:rsid w:val="003356A7"/>
    <w:rsid w:val="0033571B"/>
    <w:rsid w:val="003363FF"/>
    <w:rsid w:val="0033658B"/>
    <w:rsid w:val="00336946"/>
    <w:rsid w:val="00336C7F"/>
    <w:rsid w:val="00336D7F"/>
    <w:rsid w:val="00336F9C"/>
    <w:rsid w:val="0033712F"/>
    <w:rsid w:val="00337749"/>
    <w:rsid w:val="003378C1"/>
    <w:rsid w:val="00337CF3"/>
    <w:rsid w:val="00337F6E"/>
    <w:rsid w:val="003400F9"/>
    <w:rsid w:val="003406A6"/>
    <w:rsid w:val="00340813"/>
    <w:rsid w:val="00340CE2"/>
    <w:rsid w:val="003412A1"/>
    <w:rsid w:val="00341806"/>
    <w:rsid w:val="00341828"/>
    <w:rsid w:val="00342B15"/>
    <w:rsid w:val="0034300F"/>
    <w:rsid w:val="00343832"/>
    <w:rsid w:val="00343E31"/>
    <w:rsid w:val="00343FB7"/>
    <w:rsid w:val="003445B2"/>
    <w:rsid w:val="00344C71"/>
    <w:rsid w:val="00345933"/>
    <w:rsid w:val="00345942"/>
    <w:rsid w:val="00345EC8"/>
    <w:rsid w:val="00346125"/>
    <w:rsid w:val="00346257"/>
    <w:rsid w:val="00346714"/>
    <w:rsid w:val="003471A5"/>
    <w:rsid w:val="0034727B"/>
    <w:rsid w:val="00347702"/>
    <w:rsid w:val="003478B7"/>
    <w:rsid w:val="00350478"/>
    <w:rsid w:val="00350F0F"/>
    <w:rsid w:val="0035135F"/>
    <w:rsid w:val="003515AF"/>
    <w:rsid w:val="00351DB8"/>
    <w:rsid w:val="00351DBE"/>
    <w:rsid w:val="00351F88"/>
    <w:rsid w:val="00352104"/>
    <w:rsid w:val="00352C6D"/>
    <w:rsid w:val="00352CF3"/>
    <w:rsid w:val="00353132"/>
    <w:rsid w:val="003539D8"/>
    <w:rsid w:val="00353B2C"/>
    <w:rsid w:val="00353CDA"/>
    <w:rsid w:val="003543C5"/>
    <w:rsid w:val="00354926"/>
    <w:rsid w:val="00354B04"/>
    <w:rsid w:val="0035506D"/>
    <w:rsid w:val="003556DA"/>
    <w:rsid w:val="0035620D"/>
    <w:rsid w:val="00356A3D"/>
    <w:rsid w:val="00357763"/>
    <w:rsid w:val="003577CB"/>
    <w:rsid w:val="00357F06"/>
    <w:rsid w:val="00360453"/>
    <w:rsid w:val="00361002"/>
    <w:rsid w:val="003612A0"/>
    <w:rsid w:val="003613E4"/>
    <w:rsid w:val="00361831"/>
    <w:rsid w:val="00362D6F"/>
    <w:rsid w:val="0036316F"/>
    <w:rsid w:val="00364910"/>
    <w:rsid w:val="003653BC"/>
    <w:rsid w:val="00365A10"/>
    <w:rsid w:val="00365E2A"/>
    <w:rsid w:val="00365EB1"/>
    <w:rsid w:val="003663AF"/>
    <w:rsid w:val="003664E9"/>
    <w:rsid w:val="00366679"/>
    <w:rsid w:val="003669EB"/>
    <w:rsid w:val="00367117"/>
    <w:rsid w:val="0036715D"/>
    <w:rsid w:val="003675B7"/>
    <w:rsid w:val="00367760"/>
    <w:rsid w:val="00370385"/>
    <w:rsid w:val="0037061D"/>
    <w:rsid w:val="003707B1"/>
    <w:rsid w:val="003709CC"/>
    <w:rsid w:val="00370C73"/>
    <w:rsid w:val="003713E1"/>
    <w:rsid w:val="0037189A"/>
    <w:rsid w:val="00371F17"/>
    <w:rsid w:val="00371F36"/>
    <w:rsid w:val="00372E17"/>
    <w:rsid w:val="00373506"/>
    <w:rsid w:val="00373E44"/>
    <w:rsid w:val="00374192"/>
    <w:rsid w:val="003751A1"/>
    <w:rsid w:val="003752BD"/>
    <w:rsid w:val="00375FF2"/>
    <w:rsid w:val="00375FFD"/>
    <w:rsid w:val="003764B5"/>
    <w:rsid w:val="003765EE"/>
    <w:rsid w:val="003766D1"/>
    <w:rsid w:val="00376F5C"/>
    <w:rsid w:val="003772D4"/>
    <w:rsid w:val="00377695"/>
    <w:rsid w:val="00377CAB"/>
    <w:rsid w:val="0038099E"/>
    <w:rsid w:val="00380E1B"/>
    <w:rsid w:val="00380E2A"/>
    <w:rsid w:val="00380F32"/>
    <w:rsid w:val="00381315"/>
    <w:rsid w:val="00381470"/>
    <w:rsid w:val="00381B0A"/>
    <w:rsid w:val="00381DF8"/>
    <w:rsid w:val="0038215B"/>
    <w:rsid w:val="0038292E"/>
    <w:rsid w:val="00382975"/>
    <w:rsid w:val="00382EE5"/>
    <w:rsid w:val="0038395A"/>
    <w:rsid w:val="00384887"/>
    <w:rsid w:val="003852D1"/>
    <w:rsid w:val="0038534B"/>
    <w:rsid w:val="003854B1"/>
    <w:rsid w:val="0038623D"/>
    <w:rsid w:val="003868FB"/>
    <w:rsid w:val="00386BDB"/>
    <w:rsid w:val="00387417"/>
    <w:rsid w:val="0039003E"/>
    <w:rsid w:val="003900ED"/>
    <w:rsid w:val="00390138"/>
    <w:rsid w:val="0039045B"/>
    <w:rsid w:val="003905AE"/>
    <w:rsid w:val="003907BF"/>
    <w:rsid w:val="00390AEC"/>
    <w:rsid w:val="003911FC"/>
    <w:rsid w:val="003912E8"/>
    <w:rsid w:val="003913CD"/>
    <w:rsid w:val="0039153E"/>
    <w:rsid w:val="003917FC"/>
    <w:rsid w:val="00391E2C"/>
    <w:rsid w:val="0039212C"/>
    <w:rsid w:val="00392144"/>
    <w:rsid w:val="0039264F"/>
    <w:rsid w:val="00392C3F"/>
    <w:rsid w:val="00392EEF"/>
    <w:rsid w:val="00393035"/>
    <w:rsid w:val="003930D4"/>
    <w:rsid w:val="00393860"/>
    <w:rsid w:val="0039389D"/>
    <w:rsid w:val="00393BE5"/>
    <w:rsid w:val="003943D4"/>
    <w:rsid w:val="00395558"/>
    <w:rsid w:val="00395621"/>
    <w:rsid w:val="00395BD6"/>
    <w:rsid w:val="00395C88"/>
    <w:rsid w:val="00395FBF"/>
    <w:rsid w:val="0039635A"/>
    <w:rsid w:val="00396468"/>
    <w:rsid w:val="0039688E"/>
    <w:rsid w:val="00396AD9"/>
    <w:rsid w:val="00396E5E"/>
    <w:rsid w:val="00397724"/>
    <w:rsid w:val="00397A04"/>
    <w:rsid w:val="00397D8E"/>
    <w:rsid w:val="003A12E4"/>
    <w:rsid w:val="003A139F"/>
    <w:rsid w:val="003A16AD"/>
    <w:rsid w:val="003A1EFD"/>
    <w:rsid w:val="003A35ED"/>
    <w:rsid w:val="003A387B"/>
    <w:rsid w:val="003A3C19"/>
    <w:rsid w:val="003A3FE3"/>
    <w:rsid w:val="003A48A6"/>
    <w:rsid w:val="003A4A44"/>
    <w:rsid w:val="003A4B48"/>
    <w:rsid w:val="003A5062"/>
    <w:rsid w:val="003A5E6C"/>
    <w:rsid w:val="003A6356"/>
    <w:rsid w:val="003A665B"/>
    <w:rsid w:val="003A6689"/>
    <w:rsid w:val="003A79A4"/>
    <w:rsid w:val="003A7C60"/>
    <w:rsid w:val="003B0537"/>
    <w:rsid w:val="003B0778"/>
    <w:rsid w:val="003B0A4A"/>
    <w:rsid w:val="003B0DA0"/>
    <w:rsid w:val="003B0EFA"/>
    <w:rsid w:val="003B146F"/>
    <w:rsid w:val="003B1BDD"/>
    <w:rsid w:val="003B225B"/>
    <w:rsid w:val="003B2814"/>
    <w:rsid w:val="003B2A14"/>
    <w:rsid w:val="003B302F"/>
    <w:rsid w:val="003B31D7"/>
    <w:rsid w:val="003B3BE1"/>
    <w:rsid w:val="003B46B3"/>
    <w:rsid w:val="003B54DB"/>
    <w:rsid w:val="003B5BF1"/>
    <w:rsid w:val="003B602C"/>
    <w:rsid w:val="003B60E9"/>
    <w:rsid w:val="003B632E"/>
    <w:rsid w:val="003B6AE2"/>
    <w:rsid w:val="003B7307"/>
    <w:rsid w:val="003B76E7"/>
    <w:rsid w:val="003B7A41"/>
    <w:rsid w:val="003B7D0D"/>
    <w:rsid w:val="003C0317"/>
    <w:rsid w:val="003C0354"/>
    <w:rsid w:val="003C0643"/>
    <w:rsid w:val="003C07E5"/>
    <w:rsid w:val="003C3102"/>
    <w:rsid w:val="003C4347"/>
    <w:rsid w:val="003C4407"/>
    <w:rsid w:val="003C4AB0"/>
    <w:rsid w:val="003C55D2"/>
    <w:rsid w:val="003C5C37"/>
    <w:rsid w:val="003C61A6"/>
    <w:rsid w:val="003C61C8"/>
    <w:rsid w:val="003C63E1"/>
    <w:rsid w:val="003C7319"/>
    <w:rsid w:val="003C756E"/>
    <w:rsid w:val="003C77BC"/>
    <w:rsid w:val="003C7D36"/>
    <w:rsid w:val="003D0977"/>
    <w:rsid w:val="003D0E65"/>
    <w:rsid w:val="003D0F0C"/>
    <w:rsid w:val="003D10A3"/>
    <w:rsid w:val="003D159B"/>
    <w:rsid w:val="003D1CBF"/>
    <w:rsid w:val="003D2A85"/>
    <w:rsid w:val="003D2B81"/>
    <w:rsid w:val="003D2C5C"/>
    <w:rsid w:val="003D2CAB"/>
    <w:rsid w:val="003D33BD"/>
    <w:rsid w:val="003D3BB5"/>
    <w:rsid w:val="003D3EF7"/>
    <w:rsid w:val="003D4147"/>
    <w:rsid w:val="003D4477"/>
    <w:rsid w:val="003D4520"/>
    <w:rsid w:val="003D4A63"/>
    <w:rsid w:val="003D5591"/>
    <w:rsid w:val="003D59DB"/>
    <w:rsid w:val="003D5F1E"/>
    <w:rsid w:val="003D6956"/>
    <w:rsid w:val="003D6E5C"/>
    <w:rsid w:val="003D72A6"/>
    <w:rsid w:val="003D73B8"/>
    <w:rsid w:val="003D7858"/>
    <w:rsid w:val="003D7E30"/>
    <w:rsid w:val="003E019C"/>
    <w:rsid w:val="003E05E1"/>
    <w:rsid w:val="003E0986"/>
    <w:rsid w:val="003E0A23"/>
    <w:rsid w:val="003E0DA7"/>
    <w:rsid w:val="003E0DD0"/>
    <w:rsid w:val="003E25AC"/>
    <w:rsid w:val="003E263F"/>
    <w:rsid w:val="003E266D"/>
    <w:rsid w:val="003E331C"/>
    <w:rsid w:val="003E363D"/>
    <w:rsid w:val="003E3A55"/>
    <w:rsid w:val="003E3FB9"/>
    <w:rsid w:val="003E4A02"/>
    <w:rsid w:val="003E514B"/>
    <w:rsid w:val="003E66D2"/>
    <w:rsid w:val="003E7264"/>
    <w:rsid w:val="003E72B1"/>
    <w:rsid w:val="003E75E0"/>
    <w:rsid w:val="003E7D26"/>
    <w:rsid w:val="003E7DF1"/>
    <w:rsid w:val="003F0180"/>
    <w:rsid w:val="003F0703"/>
    <w:rsid w:val="003F0955"/>
    <w:rsid w:val="003F0A37"/>
    <w:rsid w:val="003F0C0C"/>
    <w:rsid w:val="003F20B8"/>
    <w:rsid w:val="003F2861"/>
    <w:rsid w:val="003F29AF"/>
    <w:rsid w:val="003F2FB0"/>
    <w:rsid w:val="003F3F4B"/>
    <w:rsid w:val="003F3F5F"/>
    <w:rsid w:val="003F47B9"/>
    <w:rsid w:val="003F4874"/>
    <w:rsid w:val="003F48DA"/>
    <w:rsid w:val="003F4DE7"/>
    <w:rsid w:val="003F5028"/>
    <w:rsid w:val="003F5A8C"/>
    <w:rsid w:val="003F62E7"/>
    <w:rsid w:val="003F6EAA"/>
    <w:rsid w:val="003F7024"/>
    <w:rsid w:val="003F7155"/>
    <w:rsid w:val="003F78C8"/>
    <w:rsid w:val="00400112"/>
    <w:rsid w:val="00400C59"/>
    <w:rsid w:val="00400D03"/>
    <w:rsid w:val="004015E5"/>
    <w:rsid w:val="004018E5"/>
    <w:rsid w:val="00403015"/>
    <w:rsid w:val="00403D53"/>
    <w:rsid w:val="00404416"/>
    <w:rsid w:val="0040477E"/>
    <w:rsid w:val="00404C02"/>
    <w:rsid w:val="00405AB2"/>
    <w:rsid w:val="00406206"/>
    <w:rsid w:val="00406215"/>
    <w:rsid w:val="00407776"/>
    <w:rsid w:val="0041039E"/>
    <w:rsid w:val="0041093D"/>
    <w:rsid w:val="00410C38"/>
    <w:rsid w:val="00410C46"/>
    <w:rsid w:val="00410E0D"/>
    <w:rsid w:val="004112A2"/>
    <w:rsid w:val="00411891"/>
    <w:rsid w:val="0041191C"/>
    <w:rsid w:val="004128A1"/>
    <w:rsid w:val="00412CC7"/>
    <w:rsid w:val="00412D9D"/>
    <w:rsid w:val="00413677"/>
    <w:rsid w:val="00413A80"/>
    <w:rsid w:val="00414137"/>
    <w:rsid w:val="004142E0"/>
    <w:rsid w:val="00414672"/>
    <w:rsid w:val="00414BBA"/>
    <w:rsid w:val="00414D78"/>
    <w:rsid w:val="0041513E"/>
    <w:rsid w:val="004156EF"/>
    <w:rsid w:val="00416427"/>
    <w:rsid w:val="004171D4"/>
    <w:rsid w:val="0041746A"/>
    <w:rsid w:val="00417534"/>
    <w:rsid w:val="00420BD1"/>
    <w:rsid w:val="00420E19"/>
    <w:rsid w:val="004211AF"/>
    <w:rsid w:val="0042184D"/>
    <w:rsid w:val="004218E9"/>
    <w:rsid w:val="00421A64"/>
    <w:rsid w:val="00421B43"/>
    <w:rsid w:val="00422065"/>
    <w:rsid w:val="00422C98"/>
    <w:rsid w:val="00422D99"/>
    <w:rsid w:val="004232A4"/>
    <w:rsid w:val="0042343F"/>
    <w:rsid w:val="00423519"/>
    <w:rsid w:val="00423754"/>
    <w:rsid w:val="00424127"/>
    <w:rsid w:val="00424153"/>
    <w:rsid w:val="00424552"/>
    <w:rsid w:val="0042496C"/>
    <w:rsid w:val="004249EB"/>
    <w:rsid w:val="00425622"/>
    <w:rsid w:val="004256A4"/>
    <w:rsid w:val="00426A08"/>
    <w:rsid w:val="004272DB"/>
    <w:rsid w:val="00427DF9"/>
    <w:rsid w:val="004304D2"/>
    <w:rsid w:val="004310D9"/>
    <w:rsid w:val="004311CC"/>
    <w:rsid w:val="004313B0"/>
    <w:rsid w:val="0043163F"/>
    <w:rsid w:val="00431A86"/>
    <w:rsid w:val="00431B29"/>
    <w:rsid w:val="00431BB3"/>
    <w:rsid w:val="00431D4B"/>
    <w:rsid w:val="004320DE"/>
    <w:rsid w:val="00432319"/>
    <w:rsid w:val="0043255A"/>
    <w:rsid w:val="0043264A"/>
    <w:rsid w:val="0043286B"/>
    <w:rsid w:val="00432ACE"/>
    <w:rsid w:val="0043307B"/>
    <w:rsid w:val="0043395D"/>
    <w:rsid w:val="00433E6C"/>
    <w:rsid w:val="00434A37"/>
    <w:rsid w:val="00434B92"/>
    <w:rsid w:val="004355F8"/>
    <w:rsid w:val="00435F57"/>
    <w:rsid w:val="00436548"/>
    <w:rsid w:val="0043720C"/>
    <w:rsid w:val="004374BC"/>
    <w:rsid w:val="00437549"/>
    <w:rsid w:val="004379D2"/>
    <w:rsid w:val="004379EB"/>
    <w:rsid w:val="00437C8F"/>
    <w:rsid w:val="0044035A"/>
    <w:rsid w:val="004405D1"/>
    <w:rsid w:val="0044078F"/>
    <w:rsid w:val="00440BB5"/>
    <w:rsid w:val="00441168"/>
    <w:rsid w:val="004428FC"/>
    <w:rsid w:val="00442B8C"/>
    <w:rsid w:val="004432F8"/>
    <w:rsid w:val="0044437B"/>
    <w:rsid w:val="0044438E"/>
    <w:rsid w:val="00444AB8"/>
    <w:rsid w:val="00444ABB"/>
    <w:rsid w:val="00444E6E"/>
    <w:rsid w:val="004457AB"/>
    <w:rsid w:val="004457ED"/>
    <w:rsid w:val="004459DD"/>
    <w:rsid w:val="00445C6E"/>
    <w:rsid w:val="00445D00"/>
    <w:rsid w:val="004463FD"/>
    <w:rsid w:val="0044641B"/>
    <w:rsid w:val="004465F4"/>
    <w:rsid w:val="004467C7"/>
    <w:rsid w:val="0044687C"/>
    <w:rsid w:val="00446EF5"/>
    <w:rsid w:val="0044760E"/>
    <w:rsid w:val="00447DFE"/>
    <w:rsid w:val="0045009A"/>
    <w:rsid w:val="00450441"/>
    <w:rsid w:val="00450A21"/>
    <w:rsid w:val="00450C9E"/>
    <w:rsid w:val="00450E02"/>
    <w:rsid w:val="00451553"/>
    <w:rsid w:val="004518F6"/>
    <w:rsid w:val="00452203"/>
    <w:rsid w:val="0045292C"/>
    <w:rsid w:val="00452F41"/>
    <w:rsid w:val="004531B8"/>
    <w:rsid w:val="0045338D"/>
    <w:rsid w:val="0045416A"/>
    <w:rsid w:val="00454A9B"/>
    <w:rsid w:val="00454ECB"/>
    <w:rsid w:val="0045566D"/>
    <w:rsid w:val="004558D4"/>
    <w:rsid w:val="00455953"/>
    <w:rsid w:val="00455AA1"/>
    <w:rsid w:val="00455B50"/>
    <w:rsid w:val="004574B0"/>
    <w:rsid w:val="004576DE"/>
    <w:rsid w:val="004577D3"/>
    <w:rsid w:val="00457A43"/>
    <w:rsid w:val="004605E0"/>
    <w:rsid w:val="0046088E"/>
    <w:rsid w:val="00460D33"/>
    <w:rsid w:val="00460DB1"/>
    <w:rsid w:val="004611EE"/>
    <w:rsid w:val="0046149F"/>
    <w:rsid w:val="00461540"/>
    <w:rsid w:val="00461E35"/>
    <w:rsid w:val="00462FE5"/>
    <w:rsid w:val="0046322B"/>
    <w:rsid w:val="00463AD1"/>
    <w:rsid w:val="00463ECA"/>
    <w:rsid w:val="00464660"/>
    <w:rsid w:val="004653B3"/>
    <w:rsid w:val="00465640"/>
    <w:rsid w:val="00465A42"/>
    <w:rsid w:val="00466002"/>
    <w:rsid w:val="004662D8"/>
    <w:rsid w:val="0046647D"/>
    <w:rsid w:val="00466BAE"/>
    <w:rsid w:val="00466FBF"/>
    <w:rsid w:val="00467AA6"/>
    <w:rsid w:val="00467F73"/>
    <w:rsid w:val="004700AB"/>
    <w:rsid w:val="0047052C"/>
    <w:rsid w:val="0047052D"/>
    <w:rsid w:val="0047106C"/>
    <w:rsid w:val="00471142"/>
    <w:rsid w:val="0047186F"/>
    <w:rsid w:val="00471A98"/>
    <w:rsid w:val="00471CDA"/>
    <w:rsid w:val="0047246A"/>
    <w:rsid w:val="0047265E"/>
    <w:rsid w:val="00472714"/>
    <w:rsid w:val="004728F2"/>
    <w:rsid w:val="00472DAC"/>
    <w:rsid w:val="004730F6"/>
    <w:rsid w:val="0047349F"/>
    <w:rsid w:val="00473A67"/>
    <w:rsid w:val="004742B4"/>
    <w:rsid w:val="004742B8"/>
    <w:rsid w:val="00474384"/>
    <w:rsid w:val="00475980"/>
    <w:rsid w:val="00475C9C"/>
    <w:rsid w:val="00475DFA"/>
    <w:rsid w:val="00475E2B"/>
    <w:rsid w:val="00476063"/>
    <w:rsid w:val="00476A79"/>
    <w:rsid w:val="0047738F"/>
    <w:rsid w:val="00477766"/>
    <w:rsid w:val="00477AAC"/>
    <w:rsid w:val="004801DD"/>
    <w:rsid w:val="00480D13"/>
    <w:rsid w:val="00481B64"/>
    <w:rsid w:val="00481FB2"/>
    <w:rsid w:val="0048206D"/>
    <w:rsid w:val="004828BF"/>
    <w:rsid w:val="00482AEA"/>
    <w:rsid w:val="00482F0B"/>
    <w:rsid w:val="00482F86"/>
    <w:rsid w:val="0048322F"/>
    <w:rsid w:val="0048356E"/>
    <w:rsid w:val="00483AD4"/>
    <w:rsid w:val="00483E1D"/>
    <w:rsid w:val="0048489C"/>
    <w:rsid w:val="004848FD"/>
    <w:rsid w:val="00484F37"/>
    <w:rsid w:val="00484FC1"/>
    <w:rsid w:val="00486EEA"/>
    <w:rsid w:val="0048707A"/>
    <w:rsid w:val="004875D1"/>
    <w:rsid w:val="00487ADA"/>
    <w:rsid w:val="00487C77"/>
    <w:rsid w:val="00487F08"/>
    <w:rsid w:val="0049095E"/>
    <w:rsid w:val="00491AC6"/>
    <w:rsid w:val="00492992"/>
    <w:rsid w:val="004931E1"/>
    <w:rsid w:val="004938EC"/>
    <w:rsid w:val="0049426E"/>
    <w:rsid w:val="00494B65"/>
    <w:rsid w:val="0049586C"/>
    <w:rsid w:val="004958EE"/>
    <w:rsid w:val="00495A46"/>
    <w:rsid w:val="00495DDD"/>
    <w:rsid w:val="0049605A"/>
    <w:rsid w:val="00496422"/>
    <w:rsid w:val="00496544"/>
    <w:rsid w:val="00496FDE"/>
    <w:rsid w:val="00497349"/>
    <w:rsid w:val="0049793B"/>
    <w:rsid w:val="00497A77"/>
    <w:rsid w:val="00497C93"/>
    <w:rsid w:val="00497CF3"/>
    <w:rsid w:val="004A014E"/>
    <w:rsid w:val="004A03BA"/>
    <w:rsid w:val="004A1377"/>
    <w:rsid w:val="004A1F26"/>
    <w:rsid w:val="004A22DF"/>
    <w:rsid w:val="004A2406"/>
    <w:rsid w:val="004A240B"/>
    <w:rsid w:val="004A29E3"/>
    <w:rsid w:val="004A2B0A"/>
    <w:rsid w:val="004A35BE"/>
    <w:rsid w:val="004A3781"/>
    <w:rsid w:val="004A387C"/>
    <w:rsid w:val="004A3BC1"/>
    <w:rsid w:val="004A3C8D"/>
    <w:rsid w:val="004A3DD9"/>
    <w:rsid w:val="004A3E27"/>
    <w:rsid w:val="004A3E93"/>
    <w:rsid w:val="004A4B0D"/>
    <w:rsid w:val="004A5136"/>
    <w:rsid w:val="004A5180"/>
    <w:rsid w:val="004A5334"/>
    <w:rsid w:val="004A6D40"/>
    <w:rsid w:val="004A6DD4"/>
    <w:rsid w:val="004A6E54"/>
    <w:rsid w:val="004A6FC9"/>
    <w:rsid w:val="004A747B"/>
    <w:rsid w:val="004A7803"/>
    <w:rsid w:val="004A78AC"/>
    <w:rsid w:val="004A7D8B"/>
    <w:rsid w:val="004B0169"/>
    <w:rsid w:val="004B0AF0"/>
    <w:rsid w:val="004B0DD0"/>
    <w:rsid w:val="004B15C7"/>
    <w:rsid w:val="004B17B1"/>
    <w:rsid w:val="004B1CEF"/>
    <w:rsid w:val="004B1EBA"/>
    <w:rsid w:val="004B1F32"/>
    <w:rsid w:val="004B29E0"/>
    <w:rsid w:val="004B2C83"/>
    <w:rsid w:val="004B32DE"/>
    <w:rsid w:val="004B347D"/>
    <w:rsid w:val="004B451D"/>
    <w:rsid w:val="004B4907"/>
    <w:rsid w:val="004B4B17"/>
    <w:rsid w:val="004B5156"/>
    <w:rsid w:val="004B5372"/>
    <w:rsid w:val="004B5441"/>
    <w:rsid w:val="004B5ACA"/>
    <w:rsid w:val="004B5B23"/>
    <w:rsid w:val="004B5B98"/>
    <w:rsid w:val="004B7524"/>
    <w:rsid w:val="004B7EE1"/>
    <w:rsid w:val="004C024D"/>
    <w:rsid w:val="004C10B9"/>
    <w:rsid w:val="004C12AB"/>
    <w:rsid w:val="004C15C8"/>
    <w:rsid w:val="004C16B8"/>
    <w:rsid w:val="004C238E"/>
    <w:rsid w:val="004C2BA7"/>
    <w:rsid w:val="004C317F"/>
    <w:rsid w:val="004C3FA2"/>
    <w:rsid w:val="004C4529"/>
    <w:rsid w:val="004C4559"/>
    <w:rsid w:val="004C4AB9"/>
    <w:rsid w:val="004C4E79"/>
    <w:rsid w:val="004C5F45"/>
    <w:rsid w:val="004C5F78"/>
    <w:rsid w:val="004C602A"/>
    <w:rsid w:val="004C6A64"/>
    <w:rsid w:val="004C6C81"/>
    <w:rsid w:val="004C6D28"/>
    <w:rsid w:val="004C7073"/>
    <w:rsid w:val="004C721A"/>
    <w:rsid w:val="004C728D"/>
    <w:rsid w:val="004C7320"/>
    <w:rsid w:val="004C77BC"/>
    <w:rsid w:val="004D000F"/>
    <w:rsid w:val="004D0753"/>
    <w:rsid w:val="004D08BA"/>
    <w:rsid w:val="004D0964"/>
    <w:rsid w:val="004D1114"/>
    <w:rsid w:val="004D1251"/>
    <w:rsid w:val="004D135F"/>
    <w:rsid w:val="004D15B5"/>
    <w:rsid w:val="004D1A0C"/>
    <w:rsid w:val="004D1B21"/>
    <w:rsid w:val="004D1DB1"/>
    <w:rsid w:val="004D311C"/>
    <w:rsid w:val="004D3C78"/>
    <w:rsid w:val="004D414E"/>
    <w:rsid w:val="004D52DA"/>
    <w:rsid w:val="004D5994"/>
    <w:rsid w:val="004D5D08"/>
    <w:rsid w:val="004D602D"/>
    <w:rsid w:val="004D647D"/>
    <w:rsid w:val="004D722A"/>
    <w:rsid w:val="004D7D0A"/>
    <w:rsid w:val="004E079D"/>
    <w:rsid w:val="004E0CBE"/>
    <w:rsid w:val="004E1C62"/>
    <w:rsid w:val="004E217A"/>
    <w:rsid w:val="004E220A"/>
    <w:rsid w:val="004E250B"/>
    <w:rsid w:val="004E2606"/>
    <w:rsid w:val="004E308F"/>
    <w:rsid w:val="004E309E"/>
    <w:rsid w:val="004E3437"/>
    <w:rsid w:val="004E3F9E"/>
    <w:rsid w:val="004E419F"/>
    <w:rsid w:val="004E468E"/>
    <w:rsid w:val="004E5BCA"/>
    <w:rsid w:val="004E5EFE"/>
    <w:rsid w:val="004E6967"/>
    <w:rsid w:val="004E7BB0"/>
    <w:rsid w:val="004E7EBB"/>
    <w:rsid w:val="004E7ED1"/>
    <w:rsid w:val="004F08A6"/>
    <w:rsid w:val="004F091C"/>
    <w:rsid w:val="004F0B2F"/>
    <w:rsid w:val="004F1103"/>
    <w:rsid w:val="004F1200"/>
    <w:rsid w:val="004F13DE"/>
    <w:rsid w:val="004F1586"/>
    <w:rsid w:val="004F1DA6"/>
    <w:rsid w:val="004F1EEB"/>
    <w:rsid w:val="004F2958"/>
    <w:rsid w:val="004F2AF0"/>
    <w:rsid w:val="004F31F6"/>
    <w:rsid w:val="004F32A4"/>
    <w:rsid w:val="004F38A5"/>
    <w:rsid w:val="004F55ED"/>
    <w:rsid w:val="004F66BF"/>
    <w:rsid w:val="004F6B47"/>
    <w:rsid w:val="004F7DFC"/>
    <w:rsid w:val="00501602"/>
    <w:rsid w:val="00501888"/>
    <w:rsid w:val="00501B1F"/>
    <w:rsid w:val="0050222D"/>
    <w:rsid w:val="00502467"/>
    <w:rsid w:val="005034AD"/>
    <w:rsid w:val="00504341"/>
    <w:rsid w:val="00504644"/>
    <w:rsid w:val="00504A8A"/>
    <w:rsid w:val="0050511B"/>
    <w:rsid w:val="00505315"/>
    <w:rsid w:val="005053E9"/>
    <w:rsid w:val="0050552D"/>
    <w:rsid w:val="00505566"/>
    <w:rsid w:val="005055B6"/>
    <w:rsid w:val="00505D7D"/>
    <w:rsid w:val="0050623C"/>
    <w:rsid w:val="00506403"/>
    <w:rsid w:val="00506D93"/>
    <w:rsid w:val="00506EF0"/>
    <w:rsid w:val="00506FA4"/>
    <w:rsid w:val="00507B5F"/>
    <w:rsid w:val="00507DE0"/>
    <w:rsid w:val="00510B5F"/>
    <w:rsid w:val="00512E55"/>
    <w:rsid w:val="00513101"/>
    <w:rsid w:val="00513EA9"/>
    <w:rsid w:val="0051483F"/>
    <w:rsid w:val="005149B1"/>
    <w:rsid w:val="00514EDA"/>
    <w:rsid w:val="00514F19"/>
    <w:rsid w:val="005150ED"/>
    <w:rsid w:val="00515163"/>
    <w:rsid w:val="00515C94"/>
    <w:rsid w:val="00516271"/>
    <w:rsid w:val="005171EC"/>
    <w:rsid w:val="005213B8"/>
    <w:rsid w:val="00522347"/>
    <w:rsid w:val="0052329C"/>
    <w:rsid w:val="00523613"/>
    <w:rsid w:val="005236A1"/>
    <w:rsid w:val="00523805"/>
    <w:rsid w:val="00523C2A"/>
    <w:rsid w:val="00523F6E"/>
    <w:rsid w:val="00523FFB"/>
    <w:rsid w:val="00524285"/>
    <w:rsid w:val="005257BD"/>
    <w:rsid w:val="00526D02"/>
    <w:rsid w:val="00527F66"/>
    <w:rsid w:val="00530375"/>
    <w:rsid w:val="00530739"/>
    <w:rsid w:val="00530A93"/>
    <w:rsid w:val="005312A7"/>
    <w:rsid w:val="00531DA7"/>
    <w:rsid w:val="00532241"/>
    <w:rsid w:val="005326FF"/>
    <w:rsid w:val="00533EF4"/>
    <w:rsid w:val="00534147"/>
    <w:rsid w:val="00534624"/>
    <w:rsid w:val="00534B60"/>
    <w:rsid w:val="00534C73"/>
    <w:rsid w:val="00535AD9"/>
    <w:rsid w:val="00536B1F"/>
    <w:rsid w:val="00536C13"/>
    <w:rsid w:val="005372A4"/>
    <w:rsid w:val="0053785B"/>
    <w:rsid w:val="005379B8"/>
    <w:rsid w:val="0054000C"/>
    <w:rsid w:val="00540241"/>
    <w:rsid w:val="0054029F"/>
    <w:rsid w:val="005402B5"/>
    <w:rsid w:val="00540427"/>
    <w:rsid w:val="0054056E"/>
    <w:rsid w:val="00540FCE"/>
    <w:rsid w:val="005410AF"/>
    <w:rsid w:val="00541462"/>
    <w:rsid w:val="00541A6D"/>
    <w:rsid w:val="00541B72"/>
    <w:rsid w:val="00541FF0"/>
    <w:rsid w:val="00542A77"/>
    <w:rsid w:val="005438F9"/>
    <w:rsid w:val="0054418A"/>
    <w:rsid w:val="00545C8C"/>
    <w:rsid w:val="00546761"/>
    <w:rsid w:val="00546E2B"/>
    <w:rsid w:val="00547362"/>
    <w:rsid w:val="00547829"/>
    <w:rsid w:val="00550C55"/>
    <w:rsid w:val="005526F1"/>
    <w:rsid w:val="00552768"/>
    <w:rsid w:val="00552DF8"/>
    <w:rsid w:val="00552FA2"/>
    <w:rsid w:val="00553928"/>
    <w:rsid w:val="00554374"/>
    <w:rsid w:val="0055463E"/>
    <w:rsid w:val="00554EA7"/>
    <w:rsid w:val="005555B5"/>
    <w:rsid w:val="005555BA"/>
    <w:rsid w:val="00555B17"/>
    <w:rsid w:val="00555B9D"/>
    <w:rsid w:val="00555E7B"/>
    <w:rsid w:val="00555ED1"/>
    <w:rsid w:val="00556488"/>
    <w:rsid w:val="005568AC"/>
    <w:rsid w:val="005569DF"/>
    <w:rsid w:val="00557BE4"/>
    <w:rsid w:val="00557C73"/>
    <w:rsid w:val="00560404"/>
    <w:rsid w:val="005608E5"/>
    <w:rsid w:val="0056124F"/>
    <w:rsid w:val="0056161B"/>
    <w:rsid w:val="0056226B"/>
    <w:rsid w:val="00562354"/>
    <w:rsid w:val="00562983"/>
    <w:rsid w:val="00562B55"/>
    <w:rsid w:val="0056335C"/>
    <w:rsid w:val="00563367"/>
    <w:rsid w:val="00563398"/>
    <w:rsid w:val="00563BF2"/>
    <w:rsid w:val="00564217"/>
    <w:rsid w:val="005647B0"/>
    <w:rsid w:val="00564C47"/>
    <w:rsid w:val="00564D7C"/>
    <w:rsid w:val="005653CD"/>
    <w:rsid w:val="00565A7C"/>
    <w:rsid w:val="00566A62"/>
    <w:rsid w:val="00567889"/>
    <w:rsid w:val="00567C9D"/>
    <w:rsid w:val="00567FA3"/>
    <w:rsid w:val="0057045E"/>
    <w:rsid w:val="00570A68"/>
    <w:rsid w:val="005710EB"/>
    <w:rsid w:val="00573331"/>
    <w:rsid w:val="005738D8"/>
    <w:rsid w:val="00573CC7"/>
    <w:rsid w:val="005744B3"/>
    <w:rsid w:val="00574926"/>
    <w:rsid w:val="00574E0C"/>
    <w:rsid w:val="005751FD"/>
    <w:rsid w:val="0057575B"/>
    <w:rsid w:val="00576210"/>
    <w:rsid w:val="0057645A"/>
    <w:rsid w:val="0057662B"/>
    <w:rsid w:val="00576EB6"/>
    <w:rsid w:val="005770C7"/>
    <w:rsid w:val="0058000E"/>
    <w:rsid w:val="0058027D"/>
    <w:rsid w:val="005803C5"/>
    <w:rsid w:val="00580F70"/>
    <w:rsid w:val="00581403"/>
    <w:rsid w:val="0058191B"/>
    <w:rsid w:val="00582E9E"/>
    <w:rsid w:val="005834E5"/>
    <w:rsid w:val="00584522"/>
    <w:rsid w:val="00584A41"/>
    <w:rsid w:val="00584E78"/>
    <w:rsid w:val="005853EE"/>
    <w:rsid w:val="00585E76"/>
    <w:rsid w:val="0058635B"/>
    <w:rsid w:val="005865A3"/>
    <w:rsid w:val="00586C42"/>
    <w:rsid w:val="00587244"/>
    <w:rsid w:val="00587543"/>
    <w:rsid w:val="00587660"/>
    <w:rsid w:val="00587876"/>
    <w:rsid w:val="00590083"/>
    <w:rsid w:val="005902CB"/>
    <w:rsid w:val="00590625"/>
    <w:rsid w:val="00590684"/>
    <w:rsid w:val="00590ADC"/>
    <w:rsid w:val="0059141B"/>
    <w:rsid w:val="005918E8"/>
    <w:rsid w:val="00591B81"/>
    <w:rsid w:val="0059263E"/>
    <w:rsid w:val="005935D0"/>
    <w:rsid w:val="00594BC7"/>
    <w:rsid w:val="005964F8"/>
    <w:rsid w:val="00597167"/>
    <w:rsid w:val="00597396"/>
    <w:rsid w:val="00597AB0"/>
    <w:rsid w:val="00597C91"/>
    <w:rsid w:val="00597EFA"/>
    <w:rsid w:val="005A00BB"/>
    <w:rsid w:val="005A0102"/>
    <w:rsid w:val="005A02B9"/>
    <w:rsid w:val="005A05B4"/>
    <w:rsid w:val="005A0955"/>
    <w:rsid w:val="005A1361"/>
    <w:rsid w:val="005A1376"/>
    <w:rsid w:val="005A144B"/>
    <w:rsid w:val="005A1564"/>
    <w:rsid w:val="005A192F"/>
    <w:rsid w:val="005A1A63"/>
    <w:rsid w:val="005A1A74"/>
    <w:rsid w:val="005A1B14"/>
    <w:rsid w:val="005A1DA2"/>
    <w:rsid w:val="005A2598"/>
    <w:rsid w:val="005A29EB"/>
    <w:rsid w:val="005A2D5B"/>
    <w:rsid w:val="005A2F77"/>
    <w:rsid w:val="005A386A"/>
    <w:rsid w:val="005A541D"/>
    <w:rsid w:val="005A6272"/>
    <w:rsid w:val="005A685A"/>
    <w:rsid w:val="005A69FD"/>
    <w:rsid w:val="005A7670"/>
    <w:rsid w:val="005A7BDC"/>
    <w:rsid w:val="005B01D7"/>
    <w:rsid w:val="005B0658"/>
    <w:rsid w:val="005B0B6B"/>
    <w:rsid w:val="005B101E"/>
    <w:rsid w:val="005B1D04"/>
    <w:rsid w:val="005B1D18"/>
    <w:rsid w:val="005B20CF"/>
    <w:rsid w:val="005B2695"/>
    <w:rsid w:val="005B2AB8"/>
    <w:rsid w:val="005B2F87"/>
    <w:rsid w:val="005B3433"/>
    <w:rsid w:val="005B37BF"/>
    <w:rsid w:val="005B38F8"/>
    <w:rsid w:val="005B3C59"/>
    <w:rsid w:val="005B3D23"/>
    <w:rsid w:val="005B4487"/>
    <w:rsid w:val="005B44F9"/>
    <w:rsid w:val="005B4589"/>
    <w:rsid w:val="005B47FD"/>
    <w:rsid w:val="005B4DFE"/>
    <w:rsid w:val="005B4F91"/>
    <w:rsid w:val="005B57B3"/>
    <w:rsid w:val="005B5CEB"/>
    <w:rsid w:val="005B7908"/>
    <w:rsid w:val="005C00C7"/>
    <w:rsid w:val="005C02C1"/>
    <w:rsid w:val="005C19A9"/>
    <w:rsid w:val="005C1CAA"/>
    <w:rsid w:val="005C1DE0"/>
    <w:rsid w:val="005C358B"/>
    <w:rsid w:val="005C3A85"/>
    <w:rsid w:val="005C596A"/>
    <w:rsid w:val="005C5A47"/>
    <w:rsid w:val="005C6C83"/>
    <w:rsid w:val="005C6D6B"/>
    <w:rsid w:val="005C7648"/>
    <w:rsid w:val="005C7C31"/>
    <w:rsid w:val="005C7CE6"/>
    <w:rsid w:val="005D0149"/>
    <w:rsid w:val="005D0269"/>
    <w:rsid w:val="005D043B"/>
    <w:rsid w:val="005D0999"/>
    <w:rsid w:val="005D0C6F"/>
    <w:rsid w:val="005D2075"/>
    <w:rsid w:val="005D2C60"/>
    <w:rsid w:val="005D35F4"/>
    <w:rsid w:val="005D36CC"/>
    <w:rsid w:val="005D3C4D"/>
    <w:rsid w:val="005D43D7"/>
    <w:rsid w:val="005D4BCF"/>
    <w:rsid w:val="005D4EE5"/>
    <w:rsid w:val="005D51E6"/>
    <w:rsid w:val="005D521D"/>
    <w:rsid w:val="005D5635"/>
    <w:rsid w:val="005D59E8"/>
    <w:rsid w:val="005D70FE"/>
    <w:rsid w:val="005D7691"/>
    <w:rsid w:val="005D7711"/>
    <w:rsid w:val="005D772D"/>
    <w:rsid w:val="005D7C95"/>
    <w:rsid w:val="005E0960"/>
    <w:rsid w:val="005E0C4D"/>
    <w:rsid w:val="005E0C59"/>
    <w:rsid w:val="005E0C75"/>
    <w:rsid w:val="005E171E"/>
    <w:rsid w:val="005E1E14"/>
    <w:rsid w:val="005E2678"/>
    <w:rsid w:val="005E2A84"/>
    <w:rsid w:val="005E2F66"/>
    <w:rsid w:val="005E4AFD"/>
    <w:rsid w:val="005E4FC5"/>
    <w:rsid w:val="005E5253"/>
    <w:rsid w:val="005E52AD"/>
    <w:rsid w:val="005E5B14"/>
    <w:rsid w:val="005E6A69"/>
    <w:rsid w:val="005E6EE3"/>
    <w:rsid w:val="005E6F68"/>
    <w:rsid w:val="005E70E1"/>
    <w:rsid w:val="005E7230"/>
    <w:rsid w:val="005E72B4"/>
    <w:rsid w:val="005E75E6"/>
    <w:rsid w:val="005F1261"/>
    <w:rsid w:val="005F1331"/>
    <w:rsid w:val="005F1EE5"/>
    <w:rsid w:val="005F2DF7"/>
    <w:rsid w:val="005F3130"/>
    <w:rsid w:val="005F3E50"/>
    <w:rsid w:val="005F3E60"/>
    <w:rsid w:val="005F416F"/>
    <w:rsid w:val="005F49DA"/>
    <w:rsid w:val="005F5062"/>
    <w:rsid w:val="005F51C8"/>
    <w:rsid w:val="005F56CA"/>
    <w:rsid w:val="005F56EE"/>
    <w:rsid w:val="005F5B4E"/>
    <w:rsid w:val="005F5E3A"/>
    <w:rsid w:val="005F643A"/>
    <w:rsid w:val="005F678F"/>
    <w:rsid w:val="005F7491"/>
    <w:rsid w:val="005F776A"/>
    <w:rsid w:val="005F7C9A"/>
    <w:rsid w:val="005F7D7F"/>
    <w:rsid w:val="00600016"/>
    <w:rsid w:val="006000C5"/>
    <w:rsid w:val="00600395"/>
    <w:rsid w:val="00600954"/>
    <w:rsid w:val="006009E6"/>
    <w:rsid w:val="00600D93"/>
    <w:rsid w:val="00600DB9"/>
    <w:rsid w:val="00600EA7"/>
    <w:rsid w:val="0060108A"/>
    <w:rsid w:val="0060186E"/>
    <w:rsid w:val="00601A3E"/>
    <w:rsid w:val="00601CB9"/>
    <w:rsid w:val="00601D30"/>
    <w:rsid w:val="006023E6"/>
    <w:rsid w:val="00602729"/>
    <w:rsid w:val="0060336D"/>
    <w:rsid w:val="00603624"/>
    <w:rsid w:val="0060373D"/>
    <w:rsid w:val="00604018"/>
    <w:rsid w:val="0060444D"/>
    <w:rsid w:val="0060455D"/>
    <w:rsid w:val="00604B5D"/>
    <w:rsid w:val="00604EE7"/>
    <w:rsid w:val="006052C3"/>
    <w:rsid w:val="0060563A"/>
    <w:rsid w:val="00606293"/>
    <w:rsid w:val="0060637F"/>
    <w:rsid w:val="00606B46"/>
    <w:rsid w:val="006070A2"/>
    <w:rsid w:val="00607610"/>
    <w:rsid w:val="00607A72"/>
    <w:rsid w:val="006101FF"/>
    <w:rsid w:val="00610A60"/>
    <w:rsid w:val="0061104B"/>
    <w:rsid w:val="006112CF"/>
    <w:rsid w:val="00611A6E"/>
    <w:rsid w:val="00613028"/>
    <w:rsid w:val="006137F6"/>
    <w:rsid w:val="006138C8"/>
    <w:rsid w:val="00613CA9"/>
    <w:rsid w:val="0061468E"/>
    <w:rsid w:val="00615DC2"/>
    <w:rsid w:val="00616355"/>
    <w:rsid w:val="00616550"/>
    <w:rsid w:val="006168CD"/>
    <w:rsid w:val="006175DE"/>
    <w:rsid w:val="00620974"/>
    <w:rsid w:val="00622127"/>
    <w:rsid w:val="0062238A"/>
    <w:rsid w:val="00622C3D"/>
    <w:rsid w:val="00622D42"/>
    <w:rsid w:val="00622EB6"/>
    <w:rsid w:val="0062306A"/>
    <w:rsid w:val="006230D7"/>
    <w:rsid w:val="00623196"/>
    <w:rsid w:val="00623366"/>
    <w:rsid w:val="006234F3"/>
    <w:rsid w:val="0062383A"/>
    <w:rsid w:val="00623A12"/>
    <w:rsid w:val="00623B2C"/>
    <w:rsid w:val="00623B6D"/>
    <w:rsid w:val="0062429C"/>
    <w:rsid w:val="006242B6"/>
    <w:rsid w:val="00624571"/>
    <w:rsid w:val="00624B4A"/>
    <w:rsid w:val="00624B5C"/>
    <w:rsid w:val="00624CEC"/>
    <w:rsid w:val="00624D54"/>
    <w:rsid w:val="006251BA"/>
    <w:rsid w:val="006251BB"/>
    <w:rsid w:val="0062585B"/>
    <w:rsid w:val="006258DE"/>
    <w:rsid w:val="006264C6"/>
    <w:rsid w:val="00626683"/>
    <w:rsid w:val="0062686C"/>
    <w:rsid w:val="006268CD"/>
    <w:rsid w:val="00626CB3"/>
    <w:rsid w:val="00626EB6"/>
    <w:rsid w:val="0062718E"/>
    <w:rsid w:val="006301BF"/>
    <w:rsid w:val="006301DB"/>
    <w:rsid w:val="006308E4"/>
    <w:rsid w:val="00630C2B"/>
    <w:rsid w:val="00631952"/>
    <w:rsid w:val="006326E0"/>
    <w:rsid w:val="0063281B"/>
    <w:rsid w:val="006328AC"/>
    <w:rsid w:val="0063312A"/>
    <w:rsid w:val="00633294"/>
    <w:rsid w:val="006332A2"/>
    <w:rsid w:val="006356C4"/>
    <w:rsid w:val="00636132"/>
    <w:rsid w:val="00636C99"/>
    <w:rsid w:val="0063703F"/>
    <w:rsid w:val="00637C4D"/>
    <w:rsid w:val="00637DEA"/>
    <w:rsid w:val="00641217"/>
    <w:rsid w:val="00641285"/>
    <w:rsid w:val="00641696"/>
    <w:rsid w:val="00641870"/>
    <w:rsid w:val="0064203A"/>
    <w:rsid w:val="006420CC"/>
    <w:rsid w:val="0064264A"/>
    <w:rsid w:val="006428E7"/>
    <w:rsid w:val="0064397A"/>
    <w:rsid w:val="006439DF"/>
    <w:rsid w:val="00643AA8"/>
    <w:rsid w:val="006441B3"/>
    <w:rsid w:val="00644C9E"/>
    <w:rsid w:val="00645944"/>
    <w:rsid w:val="00646C7E"/>
    <w:rsid w:val="00647356"/>
    <w:rsid w:val="00647C3B"/>
    <w:rsid w:val="006500C4"/>
    <w:rsid w:val="00650999"/>
    <w:rsid w:val="00650DA1"/>
    <w:rsid w:val="0065193C"/>
    <w:rsid w:val="0065228B"/>
    <w:rsid w:val="00652471"/>
    <w:rsid w:val="0065248B"/>
    <w:rsid w:val="00653BBD"/>
    <w:rsid w:val="00653C89"/>
    <w:rsid w:val="006549B8"/>
    <w:rsid w:val="00654A52"/>
    <w:rsid w:val="00655377"/>
    <w:rsid w:val="006557B8"/>
    <w:rsid w:val="0065602A"/>
    <w:rsid w:val="00656779"/>
    <w:rsid w:val="00656A98"/>
    <w:rsid w:val="00656B1D"/>
    <w:rsid w:val="00656B73"/>
    <w:rsid w:val="006571E9"/>
    <w:rsid w:val="00657470"/>
    <w:rsid w:val="00657F4B"/>
    <w:rsid w:val="006601ED"/>
    <w:rsid w:val="0066069E"/>
    <w:rsid w:val="00660E67"/>
    <w:rsid w:val="00661443"/>
    <w:rsid w:val="00661467"/>
    <w:rsid w:val="00661AB1"/>
    <w:rsid w:val="00661D7F"/>
    <w:rsid w:val="006624D2"/>
    <w:rsid w:val="006628C1"/>
    <w:rsid w:val="00662CC5"/>
    <w:rsid w:val="00662FFE"/>
    <w:rsid w:val="00663057"/>
    <w:rsid w:val="006633DC"/>
    <w:rsid w:val="006634BD"/>
    <w:rsid w:val="00664644"/>
    <w:rsid w:val="00664903"/>
    <w:rsid w:val="00664E98"/>
    <w:rsid w:val="00664F0B"/>
    <w:rsid w:val="006654F2"/>
    <w:rsid w:val="00665853"/>
    <w:rsid w:val="006660E4"/>
    <w:rsid w:val="0066616B"/>
    <w:rsid w:val="006666A3"/>
    <w:rsid w:val="00666D8F"/>
    <w:rsid w:val="00667A10"/>
    <w:rsid w:val="00667B9C"/>
    <w:rsid w:val="00667DC2"/>
    <w:rsid w:val="00670BEB"/>
    <w:rsid w:val="00670C1B"/>
    <w:rsid w:val="00670FAB"/>
    <w:rsid w:val="0067108B"/>
    <w:rsid w:val="00671227"/>
    <w:rsid w:val="006714C5"/>
    <w:rsid w:val="00671C66"/>
    <w:rsid w:val="00672654"/>
    <w:rsid w:val="00672FA6"/>
    <w:rsid w:val="00673B16"/>
    <w:rsid w:val="00673DDE"/>
    <w:rsid w:val="00674548"/>
    <w:rsid w:val="0067504A"/>
    <w:rsid w:val="00677001"/>
    <w:rsid w:val="00681018"/>
    <w:rsid w:val="00681C0C"/>
    <w:rsid w:val="0068210A"/>
    <w:rsid w:val="00682E49"/>
    <w:rsid w:val="006832DA"/>
    <w:rsid w:val="0068338A"/>
    <w:rsid w:val="00683664"/>
    <w:rsid w:val="00683991"/>
    <w:rsid w:val="00683B7E"/>
    <w:rsid w:val="00683C03"/>
    <w:rsid w:val="00683E84"/>
    <w:rsid w:val="00684B1A"/>
    <w:rsid w:val="00684C64"/>
    <w:rsid w:val="0068525B"/>
    <w:rsid w:val="00685317"/>
    <w:rsid w:val="00685C70"/>
    <w:rsid w:val="00685E2C"/>
    <w:rsid w:val="0068663E"/>
    <w:rsid w:val="0068754C"/>
    <w:rsid w:val="00690C1E"/>
    <w:rsid w:val="00690D65"/>
    <w:rsid w:val="00691038"/>
    <w:rsid w:val="00691292"/>
    <w:rsid w:val="006919DA"/>
    <w:rsid w:val="006926E6"/>
    <w:rsid w:val="00693431"/>
    <w:rsid w:val="00693585"/>
    <w:rsid w:val="00694890"/>
    <w:rsid w:val="00694C05"/>
    <w:rsid w:val="00695BE8"/>
    <w:rsid w:val="00695CF3"/>
    <w:rsid w:val="00695DFA"/>
    <w:rsid w:val="006960C6"/>
    <w:rsid w:val="00696536"/>
    <w:rsid w:val="0069660D"/>
    <w:rsid w:val="006968BF"/>
    <w:rsid w:val="006A0BAB"/>
    <w:rsid w:val="006A0E43"/>
    <w:rsid w:val="006A1A68"/>
    <w:rsid w:val="006A1E8D"/>
    <w:rsid w:val="006A1F42"/>
    <w:rsid w:val="006A20CC"/>
    <w:rsid w:val="006A2933"/>
    <w:rsid w:val="006A2E8D"/>
    <w:rsid w:val="006A374D"/>
    <w:rsid w:val="006A3DC1"/>
    <w:rsid w:val="006A421E"/>
    <w:rsid w:val="006A4AE1"/>
    <w:rsid w:val="006A4BDB"/>
    <w:rsid w:val="006A4C93"/>
    <w:rsid w:val="006A5000"/>
    <w:rsid w:val="006A592E"/>
    <w:rsid w:val="006A5A45"/>
    <w:rsid w:val="006A608F"/>
    <w:rsid w:val="006A6355"/>
    <w:rsid w:val="006A6542"/>
    <w:rsid w:val="006A66D4"/>
    <w:rsid w:val="006A7379"/>
    <w:rsid w:val="006A75FA"/>
    <w:rsid w:val="006A7EC2"/>
    <w:rsid w:val="006B06D8"/>
    <w:rsid w:val="006B0D72"/>
    <w:rsid w:val="006B1535"/>
    <w:rsid w:val="006B1AA6"/>
    <w:rsid w:val="006B1D59"/>
    <w:rsid w:val="006B2491"/>
    <w:rsid w:val="006B24F9"/>
    <w:rsid w:val="006B2A56"/>
    <w:rsid w:val="006B2CA6"/>
    <w:rsid w:val="006B317B"/>
    <w:rsid w:val="006B35C0"/>
    <w:rsid w:val="006B43A9"/>
    <w:rsid w:val="006B4B54"/>
    <w:rsid w:val="006B50C7"/>
    <w:rsid w:val="006B5AE5"/>
    <w:rsid w:val="006B5CBA"/>
    <w:rsid w:val="006B5E36"/>
    <w:rsid w:val="006B60A2"/>
    <w:rsid w:val="006B63C7"/>
    <w:rsid w:val="006B6963"/>
    <w:rsid w:val="006B6BB3"/>
    <w:rsid w:val="006B6D10"/>
    <w:rsid w:val="006B7589"/>
    <w:rsid w:val="006B7FBC"/>
    <w:rsid w:val="006C03B0"/>
    <w:rsid w:val="006C081F"/>
    <w:rsid w:val="006C1051"/>
    <w:rsid w:val="006C1604"/>
    <w:rsid w:val="006C1678"/>
    <w:rsid w:val="006C2A2E"/>
    <w:rsid w:val="006C2E24"/>
    <w:rsid w:val="006C33B4"/>
    <w:rsid w:val="006C3E03"/>
    <w:rsid w:val="006C4076"/>
    <w:rsid w:val="006C4094"/>
    <w:rsid w:val="006C45E2"/>
    <w:rsid w:val="006C46B1"/>
    <w:rsid w:val="006C4807"/>
    <w:rsid w:val="006C4A61"/>
    <w:rsid w:val="006C4FD8"/>
    <w:rsid w:val="006C5115"/>
    <w:rsid w:val="006C564F"/>
    <w:rsid w:val="006C5CA4"/>
    <w:rsid w:val="006C5F29"/>
    <w:rsid w:val="006C6182"/>
    <w:rsid w:val="006C6199"/>
    <w:rsid w:val="006C65E6"/>
    <w:rsid w:val="006C664C"/>
    <w:rsid w:val="006C69B0"/>
    <w:rsid w:val="006C7CE5"/>
    <w:rsid w:val="006D0D38"/>
    <w:rsid w:val="006D0F05"/>
    <w:rsid w:val="006D17CF"/>
    <w:rsid w:val="006D1933"/>
    <w:rsid w:val="006D21CA"/>
    <w:rsid w:val="006D2818"/>
    <w:rsid w:val="006D2A97"/>
    <w:rsid w:val="006D2DB8"/>
    <w:rsid w:val="006D2E7F"/>
    <w:rsid w:val="006D39FC"/>
    <w:rsid w:val="006D4346"/>
    <w:rsid w:val="006D4BB0"/>
    <w:rsid w:val="006D4CC2"/>
    <w:rsid w:val="006D59E7"/>
    <w:rsid w:val="006D74CC"/>
    <w:rsid w:val="006D7597"/>
    <w:rsid w:val="006D7860"/>
    <w:rsid w:val="006D7A7E"/>
    <w:rsid w:val="006D7F2A"/>
    <w:rsid w:val="006D7F6A"/>
    <w:rsid w:val="006E047A"/>
    <w:rsid w:val="006E0564"/>
    <w:rsid w:val="006E0B92"/>
    <w:rsid w:val="006E0FEE"/>
    <w:rsid w:val="006E10EC"/>
    <w:rsid w:val="006E1FDB"/>
    <w:rsid w:val="006E2A2B"/>
    <w:rsid w:val="006E31FA"/>
    <w:rsid w:val="006E32C5"/>
    <w:rsid w:val="006E3899"/>
    <w:rsid w:val="006E3921"/>
    <w:rsid w:val="006E392B"/>
    <w:rsid w:val="006E3BDF"/>
    <w:rsid w:val="006E3BE2"/>
    <w:rsid w:val="006E3C8A"/>
    <w:rsid w:val="006E40D4"/>
    <w:rsid w:val="006E427A"/>
    <w:rsid w:val="006E4CF3"/>
    <w:rsid w:val="006E5350"/>
    <w:rsid w:val="006E592B"/>
    <w:rsid w:val="006E6405"/>
    <w:rsid w:val="006E679F"/>
    <w:rsid w:val="006E6B5D"/>
    <w:rsid w:val="006E754F"/>
    <w:rsid w:val="006F0E84"/>
    <w:rsid w:val="006F1039"/>
    <w:rsid w:val="006F17FC"/>
    <w:rsid w:val="006F1B3B"/>
    <w:rsid w:val="006F1CE2"/>
    <w:rsid w:val="006F2174"/>
    <w:rsid w:val="006F28AC"/>
    <w:rsid w:val="006F2F5B"/>
    <w:rsid w:val="006F30E5"/>
    <w:rsid w:val="006F336B"/>
    <w:rsid w:val="006F35DF"/>
    <w:rsid w:val="006F3E7F"/>
    <w:rsid w:val="006F3FEE"/>
    <w:rsid w:val="006F46A6"/>
    <w:rsid w:val="006F5244"/>
    <w:rsid w:val="006F55C8"/>
    <w:rsid w:val="006F5652"/>
    <w:rsid w:val="006F574B"/>
    <w:rsid w:val="006F674C"/>
    <w:rsid w:val="006F6A40"/>
    <w:rsid w:val="006F70E2"/>
    <w:rsid w:val="006F7B0E"/>
    <w:rsid w:val="00700310"/>
    <w:rsid w:val="0070085C"/>
    <w:rsid w:val="00700958"/>
    <w:rsid w:val="00700E45"/>
    <w:rsid w:val="007010B7"/>
    <w:rsid w:val="00701DA2"/>
    <w:rsid w:val="0070216E"/>
    <w:rsid w:val="0070260D"/>
    <w:rsid w:val="0070263D"/>
    <w:rsid w:val="00702AE3"/>
    <w:rsid w:val="00702BF7"/>
    <w:rsid w:val="0070393C"/>
    <w:rsid w:val="00703C4D"/>
    <w:rsid w:val="00703C79"/>
    <w:rsid w:val="00703D69"/>
    <w:rsid w:val="00704079"/>
    <w:rsid w:val="007048C2"/>
    <w:rsid w:val="00704AC9"/>
    <w:rsid w:val="007056CC"/>
    <w:rsid w:val="00705B13"/>
    <w:rsid w:val="00707005"/>
    <w:rsid w:val="007073CB"/>
    <w:rsid w:val="00707517"/>
    <w:rsid w:val="00707DB3"/>
    <w:rsid w:val="007112A7"/>
    <w:rsid w:val="00711408"/>
    <w:rsid w:val="007115E1"/>
    <w:rsid w:val="00711F0B"/>
    <w:rsid w:val="007123A3"/>
    <w:rsid w:val="007127A0"/>
    <w:rsid w:val="007131F6"/>
    <w:rsid w:val="00713490"/>
    <w:rsid w:val="00713642"/>
    <w:rsid w:val="00713BC4"/>
    <w:rsid w:val="007141F9"/>
    <w:rsid w:val="007145DB"/>
    <w:rsid w:val="00714730"/>
    <w:rsid w:val="00714A9E"/>
    <w:rsid w:val="00714AF5"/>
    <w:rsid w:val="00715069"/>
    <w:rsid w:val="0071653D"/>
    <w:rsid w:val="007165B6"/>
    <w:rsid w:val="00716BE6"/>
    <w:rsid w:val="007172F4"/>
    <w:rsid w:val="0071744B"/>
    <w:rsid w:val="00717974"/>
    <w:rsid w:val="00717C8D"/>
    <w:rsid w:val="00717E22"/>
    <w:rsid w:val="00720190"/>
    <w:rsid w:val="00720923"/>
    <w:rsid w:val="00720F9F"/>
    <w:rsid w:val="0072170A"/>
    <w:rsid w:val="00721878"/>
    <w:rsid w:val="00721EB7"/>
    <w:rsid w:val="00723EE1"/>
    <w:rsid w:val="00724A98"/>
    <w:rsid w:val="00724E96"/>
    <w:rsid w:val="0072519B"/>
    <w:rsid w:val="007256E8"/>
    <w:rsid w:val="007256ED"/>
    <w:rsid w:val="007257DB"/>
    <w:rsid w:val="0072585B"/>
    <w:rsid w:val="0072594F"/>
    <w:rsid w:val="00725B96"/>
    <w:rsid w:val="00725BCA"/>
    <w:rsid w:val="00726A37"/>
    <w:rsid w:val="007276FD"/>
    <w:rsid w:val="0072782F"/>
    <w:rsid w:val="007306BF"/>
    <w:rsid w:val="0073076B"/>
    <w:rsid w:val="00730C95"/>
    <w:rsid w:val="00732A5E"/>
    <w:rsid w:val="007339E7"/>
    <w:rsid w:val="00733AE1"/>
    <w:rsid w:val="00733B88"/>
    <w:rsid w:val="00733D52"/>
    <w:rsid w:val="007342A8"/>
    <w:rsid w:val="00734430"/>
    <w:rsid w:val="00734721"/>
    <w:rsid w:val="00734871"/>
    <w:rsid w:val="00734A83"/>
    <w:rsid w:val="00735257"/>
    <w:rsid w:val="00735F5E"/>
    <w:rsid w:val="00736339"/>
    <w:rsid w:val="00736494"/>
    <w:rsid w:val="007368E5"/>
    <w:rsid w:val="007369F3"/>
    <w:rsid w:val="00736D92"/>
    <w:rsid w:val="00737353"/>
    <w:rsid w:val="007373BE"/>
    <w:rsid w:val="007374DC"/>
    <w:rsid w:val="007379D9"/>
    <w:rsid w:val="00740222"/>
    <w:rsid w:val="00740359"/>
    <w:rsid w:val="007403F2"/>
    <w:rsid w:val="007415F2"/>
    <w:rsid w:val="00741ADC"/>
    <w:rsid w:val="007422C4"/>
    <w:rsid w:val="007433ED"/>
    <w:rsid w:val="007438B7"/>
    <w:rsid w:val="00743EE0"/>
    <w:rsid w:val="007440A4"/>
    <w:rsid w:val="00744AC5"/>
    <w:rsid w:val="00744B9C"/>
    <w:rsid w:val="00744C21"/>
    <w:rsid w:val="00745C42"/>
    <w:rsid w:val="00745FFC"/>
    <w:rsid w:val="0074602A"/>
    <w:rsid w:val="007467A7"/>
    <w:rsid w:val="00746EA9"/>
    <w:rsid w:val="00746F2E"/>
    <w:rsid w:val="00746F78"/>
    <w:rsid w:val="0074722D"/>
    <w:rsid w:val="0074731D"/>
    <w:rsid w:val="00747CBB"/>
    <w:rsid w:val="00750084"/>
    <w:rsid w:val="00750675"/>
    <w:rsid w:val="00750D4D"/>
    <w:rsid w:val="00750DC1"/>
    <w:rsid w:val="00750E3E"/>
    <w:rsid w:val="007517CC"/>
    <w:rsid w:val="00751AD4"/>
    <w:rsid w:val="0075247A"/>
    <w:rsid w:val="00752954"/>
    <w:rsid w:val="00753488"/>
    <w:rsid w:val="0075355F"/>
    <w:rsid w:val="007545BB"/>
    <w:rsid w:val="00754A59"/>
    <w:rsid w:val="00754B49"/>
    <w:rsid w:val="00754BA0"/>
    <w:rsid w:val="007558F5"/>
    <w:rsid w:val="00756343"/>
    <w:rsid w:val="0075689B"/>
    <w:rsid w:val="007568D1"/>
    <w:rsid w:val="00756CC2"/>
    <w:rsid w:val="00756F4E"/>
    <w:rsid w:val="00757274"/>
    <w:rsid w:val="0075727A"/>
    <w:rsid w:val="0075747F"/>
    <w:rsid w:val="007604A7"/>
    <w:rsid w:val="0076239C"/>
    <w:rsid w:val="007624C8"/>
    <w:rsid w:val="00763057"/>
    <w:rsid w:val="00763182"/>
    <w:rsid w:val="00763A06"/>
    <w:rsid w:val="00763BB6"/>
    <w:rsid w:val="007642CA"/>
    <w:rsid w:val="00764875"/>
    <w:rsid w:val="00764BDC"/>
    <w:rsid w:val="00765382"/>
    <w:rsid w:val="007669E9"/>
    <w:rsid w:val="00767652"/>
    <w:rsid w:val="00767EFF"/>
    <w:rsid w:val="007714EB"/>
    <w:rsid w:val="0077171F"/>
    <w:rsid w:val="00771B09"/>
    <w:rsid w:val="00771E38"/>
    <w:rsid w:val="007726A0"/>
    <w:rsid w:val="007731AA"/>
    <w:rsid w:val="00773EE1"/>
    <w:rsid w:val="0077415C"/>
    <w:rsid w:val="00774B81"/>
    <w:rsid w:val="00774BC0"/>
    <w:rsid w:val="007753A2"/>
    <w:rsid w:val="007756E5"/>
    <w:rsid w:val="00775B37"/>
    <w:rsid w:val="00776260"/>
    <w:rsid w:val="007763B2"/>
    <w:rsid w:val="00776737"/>
    <w:rsid w:val="00776CD3"/>
    <w:rsid w:val="007771BC"/>
    <w:rsid w:val="0077741E"/>
    <w:rsid w:val="00777715"/>
    <w:rsid w:val="007778DA"/>
    <w:rsid w:val="007779AD"/>
    <w:rsid w:val="00780BF5"/>
    <w:rsid w:val="007824F5"/>
    <w:rsid w:val="00783A0D"/>
    <w:rsid w:val="00783E8B"/>
    <w:rsid w:val="007843E9"/>
    <w:rsid w:val="007853B1"/>
    <w:rsid w:val="007859F5"/>
    <w:rsid w:val="00786038"/>
    <w:rsid w:val="007860E8"/>
    <w:rsid w:val="007861F2"/>
    <w:rsid w:val="007876A6"/>
    <w:rsid w:val="00787961"/>
    <w:rsid w:val="00787F49"/>
    <w:rsid w:val="0079089D"/>
    <w:rsid w:val="007908E3"/>
    <w:rsid w:val="00790D2F"/>
    <w:rsid w:val="00791079"/>
    <w:rsid w:val="00791307"/>
    <w:rsid w:val="007918F1"/>
    <w:rsid w:val="00791958"/>
    <w:rsid w:val="0079256A"/>
    <w:rsid w:val="00792D20"/>
    <w:rsid w:val="0079359C"/>
    <w:rsid w:val="00793AFC"/>
    <w:rsid w:val="00793E71"/>
    <w:rsid w:val="007946E9"/>
    <w:rsid w:val="00794D2C"/>
    <w:rsid w:val="00795723"/>
    <w:rsid w:val="0079582D"/>
    <w:rsid w:val="00795F69"/>
    <w:rsid w:val="00796041"/>
    <w:rsid w:val="0079635B"/>
    <w:rsid w:val="00796AA7"/>
    <w:rsid w:val="0079799D"/>
    <w:rsid w:val="00797D08"/>
    <w:rsid w:val="007A0545"/>
    <w:rsid w:val="007A058F"/>
    <w:rsid w:val="007A05F2"/>
    <w:rsid w:val="007A1113"/>
    <w:rsid w:val="007A148A"/>
    <w:rsid w:val="007A23CC"/>
    <w:rsid w:val="007A25C0"/>
    <w:rsid w:val="007A2633"/>
    <w:rsid w:val="007A347C"/>
    <w:rsid w:val="007A3823"/>
    <w:rsid w:val="007A3909"/>
    <w:rsid w:val="007A3EEF"/>
    <w:rsid w:val="007A3F89"/>
    <w:rsid w:val="007A40CD"/>
    <w:rsid w:val="007A456C"/>
    <w:rsid w:val="007A4B24"/>
    <w:rsid w:val="007A5461"/>
    <w:rsid w:val="007A56E6"/>
    <w:rsid w:val="007A5FAD"/>
    <w:rsid w:val="007A65DA"/>
    <w:rsid w:val="007A6EC3"/>
    <w:rsid w:val="007A73A1"/>
    <w:rsid w:val="007A73F0"/>
    <w:rsid w:val="007A760D"/>
    <w:rsid w:val="007A794C"/>
    <w:rsid w:val="007A7B8D"/>
    <w:rsid w:val="007B0357"/>
    <w:rsid w:val="007B0613"/>
    <w:rsid w:val="007B06F2"/>
    <w:rsid w:val="007B19C4"/>
    <w:rsid w:val="007B22E1"/>
    <w:rsid w:val="007B2333"/>
    <w:rsid w:val="007B3402"/>
    <w:rsid w:val="007B3E63"/>
    <w:rsid w:val="007B3FA6"/>
    <w:rsid w:val="007B44B4"/>
    <w:rsid w:val="007B459A"/>
    <w:rsid w:val="007B4AD5"/>
    <w:rsid w:val="007B4C00"/>
    <w:rsid w:val="007B4F13"/>
    <w:rsid w:val="007B50DE"/>
    <w:rsid w:val="007B56E0"/>
    <w:rsid w:val="007B5B8F"/>
    <w:rsid w:val="007B5E33"/>
    <w:rsid w:val="007B5EE1"/>
    <w:rsid w:val="007B5F91"/>
    <w:rsid w:val="007B6F42"/>
    <w:rsid w:val="007B758D"/>
    <w:rsid w:val="007B7683"/>
    <w:rsid w:val="007C0F06"/>
    <w:rsid w:val="007C1321"/>
    <w:rsid w:val="007C1A6E"/>
    <w:rsid w:val="007C1F83"/>
    <w:rsid w:val="007C244A"/>
    <w:rsid w:val="007C2692"/>
    <w:rsid w:val="007C26F0"/>
    <w:rsid w:val="007C27F8"/>
    <w:rsid w:val="007C2A04"/>
    <w:rsid w:val="007C2E40"/>
    <w:rsid w:val="007C30D2"/>
    <w:rsid w:val="007C31E4"/>
    <w:rsid w:val="007C3337"/>
    <w:rsid w:val="007C3B0F"/>
    <w:rsid w:val="007C3DB4"/>
    <w:rsid w:val="007C424C"/>
    <w:rsid w:val="007C485E"/>
    <w:rsid w:val="007C4AE2"/>
    <w:rsid w:val="007C4BC6"/>
    <w:rsid w:val="007C5110"/>
    <w:rsid w:val="007C5AC7"/>
    <w:rsid w:val="007C5F78"/>
    <w:rsid w:val="007C6031"/>
    <w:rsid w:val="007C61D3"/>
    <w:rsid w:val="007C72B7"/>
    <w:rsid w:val="007C757E"/>
    <w:rsid w:val="007C7B45"/>
    <w:rsid w:val="007C7D63"/>
    <w:rsid w:val="007D03B4"/>
    <w:rsid w:val="007D04AB"/>
    <w:rsid w:val="007D07E5"/>
    <w:rsid w:val="007D0E50"/>
    <w:rsid w:val="007D131E"/>
    <w:rsid w:val="007D27A5"/>
    <w:rsid w:val="007D28A0"/>
    <w:rsid w:val="007D2A69"/>
    <w:rsid w:val="007D32D2"/>
    <w:rsid w:val="007D38D1"/>
    <w:rsid w:val="007D4BF8"/>
    <w:rsid w:val="007D4D64"/>
    <w:rsid w:val="007D4DA8"/>
    <w:rsid w:val="007D5078"/>
    <w:rsid w:val="007D578C"/>
    <w:rsid w:val="007D5D26"/>
    <w:rsid w:val="007D6455"/>
    <w:rsid w:val="007D66A4"/>
    <w:rsid w:val="007D67C4"/>
    <w:rsid w:val="007D6B03"/>
    <w:rsid w:val="007D7092"/>
    <w:rsid w:val="007E06DF"/>
    <w:rsid w:val="007E12F6"/>
    <w:rsid w:val="007E17E4"/>
    <w:rsid w:val="007E1DE3"/>
    <w:rsid w:val="007E1F9D"/>
    <w:rsid w:val="007E2338"/>
    <w:rsid w:val="007E2407"/>
    <w:rsid w:val="007E2728"/>
    <w:rsid w:val="007E28CA"/>
    <w:rsid w:val="007E2BD0"/>
    <w:rsid w:val="007E3DCE"/>
    <w:rsid w:val="007E3EB9"/>
    <w:rsid w:val="007E40D5"/>
    <w:rsid w:val="007E4719"/>
    <w:rsid w:val="007E48AA"/>
    <w:rsid w:val="007E4D34"/>
    <w:rsid w:val="007E5383"/>
    <w:rsid w:val="007E579F"/>
    <w:rsid w:val="007E5FEC"/>
    <w:rsid w:val="007E6464"/>
    <w:rsid w:val="007E65E3"/>
    <w:rsid w:val="007E69E2"/>
    <w:rsid w:val="007E6E68"/>
    <w:rsid w:val="007E73C9"/>
    <w:rsid w:val="007F0706"/>
    <w:rsid w:val="007F0E2A"/>
    <w:rsid w:val="007F2738"/>
    <w:rsid w:val="007F29CD"/>
    <w:rsid w:val="007F2C36"/>
    <w:rsid w:val="007F2CE2"/>
    <w:rsid w:val="007F3007"/>
    <w:rsid w:val="007F3167"/>
    <w:rsid w:val="007F3AD0"/>
    <w:rsid w:val="007F3E87"/>
    <w:rsid w:val="007F3EB6"/>
    <w:rsid w:val="007F3FF7"/>
    <w:rsid w:val="007F4039"/>
    <w:rsid w:val="007F43C4"/>
    <w:rsid w:val="007F4788"/>
    <w:rsid w:val="007F4946"/>
    <w:rsid w:val="007F4E24"/>
    <w:rsid w:val="007F54FC"/>
    <w:rsid w:val="007F588E"/>
    <w:rsid w:val="007F5E38"/>
    <w:rsid w:val="007F5E3F"/>
    <w:rsid w:val="007F5EC6"/>
    <w:rsid w:val="007F614F"/>
    <w:rsid w:val="007F64F2"/>
    <w:rsid w:val="007F6733"/>
    <w:rsid w:val="007F6C8D"/>
    <w:rsid w:val="007F73DE"/>
    <w:rsid w:val="007F7EB4"/>
    <w:rsid w:val="007F7EF8"/>
    <w:rsid w:val="008008CD"/>
    <w:rsid w:val="008008E2"/>
    <w:rsid w:val="0080121D"/>
    <w:rsid w:val="00801AAA"/>
    <w:rsid w:val="00801DC6"/>
    <w:rsid w:val="008038E8"/>
    <w:rsid w:val="00803FEC"/>
    <w:rsid w:val="008045A5"/>
    <w:rsid w:val="00805254"/>
    <w:rsid w:val="008059CA"/>
    <w:rsid w:val="00805CEC"/>
    <w:rsid w:val="00806998"/>
    <w:rsid w:val="00806C75"/>
    <w:rsid w:val="00807400"/>
    <w:rsid w:val="00807AD4"/>
    <w:rsid w:val="00807D85"/>
    <w:rsid w:val="008102F4"/>
    <w:rsid w:val="00810D41"/>
    <w:rsid w:val="008115C0"/>
    <w:rsid w:val="00811949"/>
    <w:rsid w:val="008119D4"/>
    <w:rsid w:val="00812DDA"/>
    <w:rsid w:val="00813810"/>
    <w:rsid w:val="00813D71"/>
    <w:rsid w:val="00814462"/>
    <w:rsid w:val="008151CD"/>
    <w:rsid w:val="0081549B"/>
    <w:rsid w:val="008156DB"/>
    <w:rsid w:val="00815FA9"/>
    <w:rsid w:val="008165CB"/>
    <w:rsid w:val="00816793"/>
    <w:rsid w:val="00816D39"/>
    <w:rsid w:val="00817069"/>
    <w:rsid w:val="00817105"/>
    <w:rsid w:val="00817613"/>
    <w:rsid w:val="00817644"/>
    <w:rsid w:val="0081766A"/>
    <w:rsid w:val="0081775F"/>
    <w:rsid w:val="00817A51"/>
    <w:rsid w:val="00817BAE"/>
    <w:rsid w:val="00817C4F"/>
    <w:rsid w:val="00817D4F"/>
    <w:rsid w:val="00817EE7"/>
    <w:rsid w:val="0082003E"/>
    <w:rsid w:val="0082132E"/>
    <w:rsid w:val="0082133F"/>
    <w:rsid w:val="00821793"/>
    <w:rsid w:val="008218E8"/>
    <w:rsid w:val="00821DF9"/>
    <w:rsid w:val="00821FA4"/>
    <w:rsid w:val="00822192"/>
    <w:rsid w:val="008223C6"/>
    <w:rsid w:val="00822894"/>
    <w:rsid w:val="00822B7C"/>
    <w:rsid w:val="00822EF6"/>
    <w:rsid w:val="0082337C"/>
    <w:rsid w:val="0082547F"/>
    <w:rsid w:val="0082567C"/>
    <w:rsid w:val="00826565"/>
    <w:rsid w:val="008267C7"/>
    <w:rsid w:val="00826805"/>
    <w:rsid w:val="0082680B"/>
    <w:rsid w:val="00826B75"/>
    <w:rsid w:val="00827290"/>
    <w:rsid w:val="00827795"/>
    <w:rsid w:val="008277F4"/>
    <w:rsid w:val="00827B45"/>
    <w:rsid w:val="00827C40"/>
    <w:rsid w:val="00827E8E"/>
    <w:rsid w:val="008301FF"/>
    <w:rsid w:val="00830465"/>
    <w:rsid w:val="00830B56"/>
    <w:rsid w:val="00830C97"/>
    <w:rsid w:val="00831178"/>
    <w:rsid w:val="008316A7"/>
    <w:rsid w:val="0083192A"/>
    <w:rsid w:val="00831AB2"/>
    <w:rsid w:val="00831D18"/>
    <w:rsid w:val="00832E11"/>
    <w:rsid w:val="00833309"/>
    <w:rsid w:val="008333A4"/>
    <w:rsid w:val="008342BC"/>
    <w:rsid w:val="00834CB1"/>
    <w:rsid w:val="00835B87"/>
    <w:rsid w:val="00836A7D"/>
    <w:rsid w:val="00837721"/>
    <w:rsid w:val="0084005C"/>
    <w:rsid w:val="00840422"/>
    <w:rsid w:val="00840768"/>
    <w:rsid w:val="008408E0"/>
    <w:rsid w:val="0084097D"/>
    <w:rsid w:val="00840BAA"/>
    <w:rsid w:val="00840CFB"/>
    <w:rsid w:val="008412D8"/>
    <w:rsid w:val="00841345"/>
    <w:rsid w:val="008428EF"/>
    <w:rsid w:val="0084315D"/>
    <w:rsid w:val="00843546"/>
    <w:rsid w:val="008435DC"/>
    <w:rsid w:val="00843780"/>
    <w:rsid w:val="0084433C"/>
    <w:rsid w:val="008448D3"/>
    <w:rsid w:val="00844B9B"/>
    <w:rsid w:val="00845491"/>
    <w:rsid w:val="008454B1"/>
    <w:rsid w:val="00845A9A"/>
    <w:rsid w:val="00845B70"/>
    <w:rsid w:val="00845C3A"/>
    <w:rsid w:val="00845E30"/>
    <w:rsid w:val="00845FE7"/>
    <w:rsid w:val="008470BD"/>
    <w:rsid w:val="008478F9"/>
    <w:rsid w:val="008507C3"/>
    <w:rsid w:val="008508A7"/>
    <w:rsid w:val="00850E37"/>
    <w:rsid w:val="0085130C"/>
    <w:rsid w:val="00851768"/>
    <w:rsid w:val="00851AFD"/>
    <w:rsid w:val="00852434"/>
    <w:rsid w:val="00853147"/>
    <w:rsid w:val="0085411D"/>
    <w:rsid w:val="00854D7B"/>
    <w:rsid w:val="00854FA4"/>
    <w:rsid w:val="0085585C"/>
    <w:rsid w:val="008558D0"/>
    <w:rsid w:val="008559FD"/>
    <w:rsid w:val="00855E43"/>
    <w:rsid w:val="00855FDD"/>
    <w:rsid w:val="008566BE"/>
    <w:rsid w:val="00856F19"/>
    <w:rsid w:val="00857227"/>
    <w:rsid w:val="0085756E"/>
    <w:rsid w:val="00857961"/>
    <w:rsid w:val="00860424"/>
    <w:rsid w:val="008615FD"/>
    <w:rsid w:val="00862175"/>
    <w:rsid w:val="008624D3"/>
    <w:rsid w:val="00862687"/>
    <w:rsid w:val="008628E3"/>
    <w:rsid w:val="00862CF5"/>
    <w:rsid w:val="008631D0"/>
    <w:rsid w:val="00863476"/>
    <w:rsid w:val="00863787"/>
    <w:rsid w:val="00863C8B"/>
    <w:rsid w:val="00863CEF"/>
    <w:rsid w:val="008645AC"/>
    <w:rsid w:val="0086486B"/>
    <w:rsid w:val="0086549F"/>
    <w:rsid w:val="008655F5"/>
    <w:rsid w:val="00865651"/>
    <w:rsid w:val="00865C6D"/>
    <w:rsid w:val="00865D6E"/>
    <w:rsid w:val="00866294"/>
    <w:rsid w:val="008664A4"/>
    <w:rsid w:val="0086734B"/>
    <w:rsid w:val="008674E1"/>
    <w:rsid w:val="00870E90"/>
    <w:rsid w:val="00870ECC"/>
    <w:rsid w:val="00871E19"/>
    <w:rsid w:val="00871F21"/>
    <w:rsid w:val="00872A4A"/>
    <w:rsid w:val="00872ACC"/>
    <w:rsid w:val="00872FA3"/>
    <w:rsid w:val="0087407A"/>
    <w:rsid w:val="008747FB"/>
    <w:rsid w:val="008749B1"/>
    <w:rsid w:val="00874A25"/>
    <w:rsid w:val="008757EC"/>
    <w:rsid w:val="00875831"/>
    <w:rsid w:val="008759CF"/>
    <w:rsid w:val="00875ABD"/>
    <w:rsid w:val="00875C95"/>
    <w:rsid w:val="00875ECC"/>
    <w:rsid w:val="008767BE"/>
    <w:rsid w:val="008776ED"/>
    <w:rsid w:val="00877A90"/>
    <w:rsid w:val="00880321"/>
    <w:rsid w:val="00880569"/>
    <w:rsid w:val="00880848"/>
    <w:rsid w:val="008810B2"/>
    <w:rsid w:val="008813BE"/>
    <w:rsid w:val="00881C63"/>
    <w:rsid w:val="00882928"/>
    <w:rsid w:val="008829D7"/>
    <w:rsid w:val="00882B77"/>
    <w:rsid w:val="00883331"/>
    <w:rsid w:val="008835B3"/>
    <w:rsid w:val="00883E86"/>
    <w:rsid w:val="00884775"/>
    <w:rsid w:val="00884946"/>
    <w:rsid w:val="008853C4"/>
    <w:rsid w:val="00885DEA"/>
    <w:rsid w:val="008867D2"/>
    <w:rsid w:val="00886E96"/>
    <w:rsid w:val="00887745"/>
    <w:rsid w:val="00887BD0"/>
    <w:rsid w:val="00890053"/>
    <w:rsid w:val="0089036F"/>
    <w:rsid w:val="0089065A"/>
    <w:rsid w:val="00891183"/>
    <w:rsid w:val="008914BD"/>
    <w:rsid w:val="0089161C"/>
    <w:rsid w:val="00891769"/>
    <w:rsid w:val="00892150"/>
    <w:rsid w:val="008925F4"/>
    <w:rsid w:val="00892EDD"/>
    <w:rsid w:val="00893307"/>
    <w:rsid w:val="00893852"/>
    <w:rsid w:val="00893B00"/>
    <w:rsid w:val="00893D85"/>
    <w:rsid w:val="008941F7"/>
    <w:rsid w:val="0089425E"/>
    <w:rsid w:val="00894573"/>
    <w:rsid w:val="0089458A"/>
    <w:rsid w:val="0089467D"/>
    <w:rsid w:val="008948CE"/>
    <w:rsid w:val="00894B1F"/>
    <w:rsid w:val="00894FC6"/>
    <w:rsid w:val="008955E3"/>
    <w:rsid w:val="00896547"/>
    <w:rsid w:val="008971CE"/>
    <w:rsid w:val="008979F1"/>
    <w:rsid w:val="008A0B36"/>
    <w:rsid w:val="008A0BED"/>
    <w:rsid w:val="008A0C1E"/>
    <w:rsid w:val="008A0F4E"/>
    <w:rsid w:val="008A153C"/>
    <w:rsid w:val="008A1BC2"/>
    <w:rsid w:val="008A1E88"/>
    <w:rsid w:val="008A1F21"/>
    <w:rsid w:val="008A24C4"/>
    <w:rsid w:val="008A24D0"/>
    <w:rsid w:val="008A25A5"/>
    <w:rsid w:val="008A2A9E"/>
    <w:rsid w:val="008A2C70"/>
    <w:rsid w:val="008A330E"/>
    <w:rsid w:val="008A34FA"/>
    <w:rsid w:val="008A3BF8"/>
    <w:rsid w:val="008A4642"/>
    <w:rsid w:val="008A46AE"/>
    <w:rsid w:val="008A4C29"/>
    <w:rsid w:val="008A4E61"/>
    <w:rsid w:val="008A5085"/>
    <w:rsid w:val="008A525F"/>
    <w:rsid w:val="008A6186"/>
    <w:rsid w:val="008A6950"/>
    <w:rsid w:val="008B002C"/>
    <w:rsid w:val="008B07B3"/>
    <w:rsid w:val="008B1A60"/>
    <w:rsid w:val="008B1B78"/>
    <w:rsid w:val="008B21DD"/>
    <w:rsid w:val="008B2B61"/>
    <w:rsid w:val="008B31E2"/>
    <w:rsid w:val="008B39D2"/>
    <w:rsid w:val="008B3AD9"/>
    <w:rsid w:val="008B3B7B"/>
    <w:rsid w:val="008B3B9B"/>
    <w:rsid w:val="008B3E10"/>
    <w:rsid w:val="008B4331"/>
    <w:rsid w:val="008B489A"/>
    <w:rsid w:val="008B48EF"/>
    <w:rsid w:val="008B508D"/>
    <w:rsid w:val="008B513A"/>
    <w:rsid w:val="008B5490"/>
    <w:rsid w:val="008B5BA7"/>
    <w:rsid w:val="008B6301"/>
    <w:rsid w:val="008B64B1"/>
    <w:rsid w:val="008B7CAB"/>
    <w:rsid w:val="008C09E0"/>
    <w:rsid w:val="008C10FB"/>
    <w:rsid w:val="008C1167"/>
    <w:rsid w:val="008C225E"/>
    <w:rsid w:val="008C26C2"/>
    <w:rsid w:val="008C2705"/>
    <w:rsid w:val="008C271E"/>
    <w:rsid w:val="008C2B02"/>
    <w:rsid w:val="008C2E5B"/>
    <w:rsid w:val="008C2FD2"/>
    <w:rsid w:val="008C37B2"/>
    <w:rsid w:val="008C4736"/>
    <w:rsid w:val="008C4925"/>
    <w:rsid w:val="008C5612"/>
    <w:rsid w:val="008C56E3"/>
    <w:rsid w:val="008C608E"/>
    <w:rsid w:val="008C68F0"/>
    <w:rsid w:val="008C6E73"/>
    <w:rsid w:val="008C6EA4"/>
    <w:rsid w:val="008C6EF8"/>
    <w:rsid w:val="008C70F6"/>
    <w:rsid w:val="008C7126"/>
    <w:rsid w:val="008C737A"/>
    <w:rsid w:val="008C7754"/>
    <w:rsid w:val="008D0BBE"/>
    <w:rsid w:val="008D0C83"/>
    <w:rsid w:val="008D133A"/>
    <w:rsid w:val="008D16E2"/>
    <w:rsid w:val="008D1CE2"/>
    <w:rsid w:val="008D2521"/>
    <w:rsid w:val="008D27AC"/>
    <w:rsid w:val="008D2D06"/>
    <w:rsid w:val="008D2FC7"/>
    <w:rsid w:val="008D31C4"/>
    <w:rsid w:val="008D34FB"/>
    <w:rsid w:val="008D3626"/>
    <w:rsid w:val="008D36C1"/>
    <w:rsid w:val="008D4766"/>
    <w:rsid w:val="008D4AE0"/>
    <w:rsid w:val="008D50E6"/>
    <w:rsid w:val="008D52AA"/>
    <w:rsid w:val="008D5F2C"/>
    <w:rsid w:val="008D6302"/>
    <w:rsid w:val="008D723E"/>
    <w:rsid w:val="008D771A"/>
    <w:rsid w:val="008D79E9"/>
    <w:rsid w:val="008D7B17"/>
    <w:rsid w:val="008E0089"/>
    <w:rsid w:val="008E0113"/>
    <w:rsid w:val="008E037B"/>
    <w:rsid w:val="008E04F7"/>
    <w:rsid w:val="008E0C79"/>
    <w:rsid w:val="008E1526"/>
    <w:rsid w:val="008E1B69"/>
    <w:rsid w:val="008E1CDA"/>
    <w:rsid w:val="008E201E"/>
    <w:rsid w:val="008E201F"/>
    <w:rsid w:val="008E2437"/>
    <w:rsid w:val="008E26BC"/>
    <w:rsid w:val="008E2C6C"/>
    <w:rsid w:val="008E3222"/>
    <w:rsid w:val="008E3794"/>
    <w:rsid w:val="008E4811"/>
    <w:rsid w:val="008E4861"/>
    <w:rsid w:val="008E4AB3"/>
    <w:rsid w:val="008E4E1C"/>
    <w:rsid w:val="008E4EEE"/>
    <w:rsid w:val="008E6A39"/>
    <w:rsid w:val="008F0993"/>
    <w:rsid w:val="008F0F41"/>
    <w:rsid w:val="008F1D21"/>
    <w:rsid w:val="008F23FC"/>
    <w:rsid w:val="008F2733"/>
    <w:rsid w:val="008F2881"/>
    <w:rsid w:val="008F39DD"/>
    <w:rsid w:val="008F3E7E"/>
    <w:rsid w:val="008F3FB7"/>
    <w:rsid w:val="008F4354"/>
    <w:rsid w:val="008F54C0"/>
    <w:rsid w:val="008F5747"/>
    <w:rsid w:val="008F69A3"/>
    <w:rsid w:val="008F74DD"/>
    <w:rsid w:val="008F7A9D"/>
    <w:rsid w:val="008F7AD4"/>
    <w:rsid w:val="008F7C9F"/>
    <w:rsid w:val="008F7DCC"/>
    <w:rsid w:val="00900339"/>
    <w:rsid w:val="009004B0"/>
    <w:rsid w:val="00900909"/>
    <w:rsid w:val="00900E95"/>
    <w:rsid w:val="00901A36"/>
    <w:rsid w:val="00902253"/>
    <w:rsid w:val="00902560"/>
    <w:rsid w:val="00903553"/>
    <w:rsid w:val="0090379C"/>
    <w:rsid w:val="0090399F"/>
    <w:rsid w:val="00903BB9"/>
    <w:rsid w:val="00904011"/>
    <w:rsid w:val="0090442D"/>
    <w:rsid w:val="0090468A"/>
    <w:rsid w:val="00904875"/>
    <w:rsid w:val="0090545A"/>
    <w:rsid w:val="0090576A"/>
    <w:rsid w:val="00905D14"/>
    <w:rsid w:val="00906523"/>
    <w:rsid w:val="00906BDF"/>
    <w:rsid w:val="00906C57"/>
    <w:rsid w:val="009071A1"/>
    <w:rsid w:val="0090755B"/>
    <w:rsid w:val="00907D8B"/>
    <w:rsid w:val="00910109"/>
    <w:rsid w:val="00911479"/>
    <w:rsid w:val="0091220A"/>
    <w:rsid w:val="00912377"/>
    <w:rsid w:val="0091393F"/>
    <w:rsid w:val="00913A75"/>
    <w:rsid w:val="00913CCA"/>
    <w:rsid w:val="00914627"/>
    <w:rsid w:val="00915376"/>
    <w:rsid w:val="00916039"/>
    <w:rsid w:val="00917269"/>
    <w:rsid w:val="00917FEC"/>
    <w:rsid w:val="0092045E"/>
    <w:rsid w:val="00920692"/>
    <w:rsid w:val="00921222"/>
    <w:rsid w:val="0092197D"/>
    <w:rsid w:val="00921F67"/>
    <w:rsid w:val="00922CA6"/>
    <w:rsid w:val="00922CE0"/>
    <w:rsid w:val="0092318D"/>
    <w:rsid w:val="00923E7E"/>
    <w:rsid w:val="009241A0"/>
    <w:rsid w:val="00924C79"/>
    <w:rsid w:val="009254B6"/>
    <w:rsid w:val="00925E0A"/>
    <w:rsid w:val="00925E1D"/>
    <w:rsid w:val="00925E2F"/>
    <w:rsid w:val="00925E93"/>
    <w:rsid w:val="00926190"/>
    <w:rsid w:val="00926F52"/>
    <w:rsid w:val="009275AC"/>
    <w:rsid w:val="009279A3"/>
    <w:rsid w:val="00927B23"/>
    <w:rsid w:val="009304B9"/>
    <w:rsid w:val="009308FF"/>
    <w:rsid w:val="0093183C"/>
    <w:rsid w:val="00931B65"/>
    <w:rsid w:val="00931BA4"/>
    <w:rsid w:val="00932887"/>
    <w:rsid w:val="00932E8F"/>
    <w:rsid w:val="00933106"/>
    <w:rsid w:val="00933A0D"/>
    <w:rsid w:val="00933E27"/>
    <w:rsid w:val="00934108"/>
    <w:rsid w:val="0093437A"/>
    <w:rsid w:val="00934518"/>
    <w:rsid w:val="00934CAD"/>
    <w:rsid w:val="00934E61"/>
    <w:rsid w:val="0093584A"/>
    <w:rsid w:val="0093641E"/>
    <w:rsid w:val="009367A5"/>
    <w:rsid w:val="00936DFE"/>
    <w:rsid w:val="00940006"/>
    <w:rsid w:val="00940518"/>
    <w:rsid w:val="00940552"/>
    <w:rsid w:val="0094091A"/>
    <w:rsid w:val="00940AD5"/>
    <w:rsid w:val="00941095"/>
    <w:rsid w:val="0094195B"/>
    <w:rsid w:val="00941C63"/>
    <w:rsid w:val="00941E27"/>
    <w:rsid w:val="00942637"/>
    <w:rsid w:val="00942C3B"/>
    <w:rsid w:val="00942DB8"/>
    <w:rsid w:val="00942DCE"/>
    <w:rsid w:val="0094383A"/>
    <w:rsid w:val="00943A4D"/>
    <w:rsid w:val="00944425"/>
    <w:rsid w:val="009446D9"/>
    <w:rsid w:val="00944BBB"/>
    <w:rsid w:val="00946B5A"/>
    <w:rsid w:val="00946C42"/>
    <w:rsid w:val="00950656"/>
    <w:rsid w:val="00951334"/>
    <w:rsid w:val="0095149B"/>
    <w:rsid w:val="00951631"/>
    <w:rsid w:val="009519EA"/>
    <w:rsid w:val="009523F3"/>
    <w:rsid w:val="00952BDC"/>
    <w:rsid w:val="00952C10"/>
    <w:rsid w:val="00953392"/>
    <w:rsid w:val="009537F7"/>
    <w:rsid w:val="00953E8A"/>
    <w:rsid w:val="009543BD"/>
    <w:rsid w:val="0095450E"/>
    <w:rsid w:val="00954722"/>
    <w:rsid w:val="00954789"/>
    <w:rsid w:val="009557E7"/>
    <w:rsid w:val="00955F15"/>
    <w:rsid w:val="00956E31"/>
    <w:rsid w:val="00956F40"/>
    <w:rsid w:val="009570D6"/>
    <w:rsid w:val="0095785F"/>
    <w:rsid w:val="00957C15"/>
    <w:rsid w:val="00957F04"/>
    <w:rsid w:val="00961335"/>
    <w:rsid w:val="009615AE"/>
    <w:rsid w:val="009617AA"/>
    <w:rsid w:val="00961A75"/>
    <w:rsid w:val="0096216A"/>
    <w:rsid w:val="0096224B"/>
    <w:rsid w:val="009627CE"/>
    <w:rsid w:val="00962A39"/>
    <w:rsid w:val="0096336D"/>
    <w:rsid w:val="00963C05"/>
    <w:rsid w:val="00964C8D"/>
    <w:rsid w:val="00964F2E"/>
    <w:rsid w:val="00965180"/>
    <w:rsid w:val="009652D0"/>
    <w:rsid w:val="00965794"/>
    <w:rsid w:val="0096584B"/>
    <w:rsid w:val="009659ED"/>
    <w:rsid w:val="00966A38"/>
    <w:rsid w:val="00966FB5"/>
    <w:rsid w:val="0096737D"/>
    <w:rsid w:val="0096748F"/>
    <w:rsid w:val="00967EC8"/>
    <w:rsid w:val="00970144"/>
    <w:rsid w:val="0097026A"/>
    <w:rsid w:val="00970371"/>
    <w:rsid w:val="00970527"/>
    <w:rsid w:val="00970A7C"/>
    <w:rsid w:val="00971847"/>
    <w:rsid w:val="00971F17"/>
    <w:rsid w:val="0097218C"/>
    <w:rsid w:val="00972D32"/>
    <w:rsid w:val="00972E0A"/>
    <w:rsid w:val="00973FB1"/>
    <w:rsid w:val="009748DE"/>
    <w:rsid w:val="009749E3"/>
    <w:rsid w:val="009755F3"/>
    <w:rsid w:val="00975C3B"/>
    <w:rsid w:val="00975FB0"/>
    <w:rsid w:val="00976175"/>
    <w:rsid w:val="00976D3C"/>
    <w:rsid w:val="00977104"/>
    <w:rsid w:val="00977BBF"/>
    <w:rsid w:val="00977CF4"/>
    <w:rsid w:val="00980882"/>
    <w:rsid w:val="009809B4"/>
    <w:rsid w:val="0098114F"/>
    <w:rsid w:val="00981682"/>
    <w:rsid w:val="00981D5F"/>
    <w:rsid w:val="009826CE"/>
    <w:rsid w:val="00982ECD"/>
    <w:rsid w:val="00983577"/>
    <w:rsid w:val="009839A4"/>
    <w:rsid w:val="009841A9"/>
    <w:rsid w:val="00984DF5"/>
    <w:rsid w:val="00984E88"/>
    <w:rsid w:val="00984EB7"/>
    <w:rsid w:val="0098505E"/>
    <w:rsid w:val="00985063"/>
    <w:rsid w:val="009857A9"/>
    <w:rsid w:val="00985902"/>
    <w:rsid w:val="009859C4"/>
    <w:rsid w:val="00985A59"/>
    <w:rsid w:val="00985C51"/>
    <w:rsid w:val="00985ED8"/>
    <w:rsid w:val="0098605E"/>
    <w:rsid w:val="00986B47"/>
    <w:rsid w:val="009874E7"/>
    <w:rsid w:val="00987829"/>
    <w:rsid w:val="00987ABC"/>
    <w:rsid w:val="0099053A"/>
    <w:rsid w:val="00991187"/>
    <w:rsid w:val="009928D9"/>
    <w:rsid w:val="009929A7"/>
    <w:rsid w:val="00992ECF"/>
    <w:rsid w:val="0099333F"/>
    <w:rsid w:val="00993382"/>
    <w:rsid w:val="0099341A"/>
    <w:rsid w:val="00993761"/>
    <w:rsid w:val="00993C62"/>
    <w:rsid w:val="00994273"/>
    <w:rsid w:val="009945EF"/>
    <w:rsid w:val="0099494C"/>
    <w:rsid w:val="00994AC0"/>
    <w:rsid w:val="0099530E"/>
    <w:rsid w:val="009953CE"/>
    <w:rsid w:val="00995527"/>
    <w:rsid w:val="0099581B"/>
    <w:rsid w:val="009972D9"/>
    <w:rsid w:val="009A03F5"/>
    <w:rsid w:val="009A142A"/>
    <w:rsid w:val="009A1A20"/>
    <w:rsid w:val="009A1E38"/>
    <w:rsid w:val="009A1E52"/>
    <w:rsid w:val="009A2A18"/>
    <w:rsid w:val="009A2B7E"/>
    <w:rsid w:val="009A2D1F"/>
    <w:rsid w:val="009A4575"/>
    <w:rsid w:val="009A5039"/>
    <w:rsid w:val="009A534E"/>
    <w:rsid w:val="009A5816"/>
    <w:rsid w:val="009A5DEE"/>
    <w:rsid w:val="009A6561"/>
    <w:rsid w:val="009A661F"/>
    <w:rsid w:val="009A685B"/>
    <w:rsid w:val="009A6F52"/>
    <w:rsid w:val="009A6F9B"/>
    <w:rsid w:val="009A760E"/>
    <w:rsid w:val="009A793B"/>
    <w:rsid w:val="009A79E1"/>
    <w:rsid w:val="009A7C99"/>
    <w:rsid w:val="009B079B"/>
    <w:rsid w:val="009B0868"/>
    <w:rsid w:val="009B0BDF"/>
    <w:rsid w:val="009B0F35"/>
    <w:rsid w:val="009B17C4"/>
    <w:rsid w:val="009B1B16"/>
    <w:rsid w:val="009B1C19"/>
    <w:rsid w:val="009B1EE1"/>
    <w:rsid w:val="009B2479"/>
    <w:rsid w:val="009B2CCC"/>
    <w:rsid w:val="009B3671"/>
    <w:rsid w:val="009B4553"/>
    <w:rsid w:val="009B4755"/>
    <w:rsid w:val="009B4AB2"/>
    <w:rsid w:val="009B4BA3"/>
    <w:rsid w:val="009B4F92"/>
    <w:rsid w:val="009B54FD"/>
    <w:rsid w:val="009B57C8"/>
    <w:rsid w:val="009B5C30"/>
    <w:rsid w:val="009B5D66"/>
    <w:rsid w:val="009B6027"/>
    <w:rsid w:val="009B612A"/>
    <w:rsid w:val="009B6140"/>
    <w:rsid w:val="009B6E68"/>
    <w:rsid w:val="009B7147"/>
    <w:rsid w:val="009B76B9"/>
    <w:rsid w:val="009B7A21"/>
    <w:rsid w:val="009B7E6F"/>
    <w:rsid w:val="009B7F92"/>
    <w:rsid w:val="009C04A2"/>
    <w:rsid w:val="009C127E"/>
    <w:rsid w:val="009C1921"/>
    <w:rsid w:val="009C1A52"/>
    <w:rsid w:val="009C1CA2"/>
    <w:rsid w:val="009C2226"/>
    <w:rsid w:val="009C2EEC"/>
    <w:rsid w:val="009C3353"/>
    <w:rsid w:val="009C345A"/>
    <w:rsid w:val="009C411E"/>
    <w:rsid w:val="009C459C"/>
    <w:rsid w:val="009C481A"/>
    <w:rsid w:val="009C4A1C"/>
    <w:rsid w:val="009C4C63"/>
    <w:rsid w:val="009C4CDD"/>
    <w:rsid w:val="009C4F07"/>
    <w:rsid w:val="009C4FB1"/>
    <w:rsid w:val="009C54D0"/>
    <w:rsid w:val="009C5859"/>
    <w:rsid w:val="009C59D8"/>
    <w:rsid w:val="009C5CC1"/>
    <w:rsid w:val="009C5DDC"/>
    <w:rsid w:val="009C660D"/>
    <w:rsid w:val="009C6638"/>
    <w:rsid w:val="009C6644"/>
    <w:rsid w:val="009C699C"/>
    <w:rsid w:val="009C6B29"/>
    <w:rsid w:val="009C6C18"/>
    <w:rsid w:val="009C7305"/>
    <w:rsid w:val="009C7712"/>
    <w:rsid w:val="009C775F"/>
    <w:rsid w:val="009C7B82"/>
    <w:rsid w:val="009C7C14"/>
    <w:rsid w:val="009D01C2"/>
    <w:rsid w:val="009D03A8"/>
    <w:rsid w:val="009D0901"/>
    <w:rsid w:val="009D0EAC"/>
    <w:rsid w:val="009D1CD4"/>
    <w:rsid w:val="009D2306"/>
    <w:rsid w:val="009D2604"/>
    <w:rsid w:val="009D260D"/>
    <w:rsid w:val="009D286A"/>
    <w:rsid w:val="009D288F"/>
    <w:rsid w:val="009D2B16"/>
    <w:rsid w:val="009D3195"/>
    <w:rsid w:val="009D398A"/>
    <w:rsid w:val="009D3B4C"/>
    <w:rsid w:val="009D3C8B"/>
    <w:rsid w:val="009D43C1"/>
    <w:rsid w:val="009D4611"/>
    <w:rsid w:val="009D4D29"/>
    <w:rsid w:val="009D61F6"/>
    <w:rsid w:val="009D6244"/>
    <w:rsid w:val="009D6256"/>
    <w:rsid w:val="009D70A2"/>
    <w:rsid w:val="009D7383"/>
    <w:rsid w:val="009D7889"/>
    <w:rsid w:val="009D7C86"/>
    <w:rsid w:val="009E0256"/>
    <w:rsid w:val="009E0AAA"/>
    <w:rsid w:val="009E0E36"/>
    <w:rsid w:val="009E1527"/>
    <w:rsid w:val="009E19A3"/>
    <w:rsid w:val="009E1D7F"/>
    <w:rsid w:val="009E239D"/>
    <w:rsid w:val="009E2968"/>
    <w:rsid w:val="009E2D38"/>
    <w:rsid w:val="009E33AF"/>
    <w:rsid w:val="009E369E"/>
    <w:rsid w:val="009E37A6"/>
    <w:rsid w:val="009E3B79"/>
    <w:rsid w:val="009E3B87"/>
    <w:rsid w:val="009E43E5"/>
    <w:rsid w:val="009E4FDF"/>
    <w:rsid w:val="009E53F7"/>
    <w:rsid w:val="009E552F"/>
    <w:rsid w:val="009E5639"/>
    <w:rsid w:val="009E59CC"/>
    <w:rsid w:val="009E61FD"/>
    <w:rsid w:val="009E71F0"/>
    <w:rsid w:val="009E7381"/>
    <w:rsid w:val="009E7478"/>
    <w:rsid w:val="009E7870"/>
    <w:rsid w:val="009E7E0E"/>
    <w:rsid w:val="009F1060"/>
    <w:rsid w:val="009F1CD9"/>
    <w:rsid w:val="009F229A"/>
    <w:rsid w:val="009F2350"/>
    <w:rsid w:val="009F292F"/>
    <w:rsid w:val="009F2B3B"/>
    <w:rsid w:val="009F3125"/>
    <w:rsid w:val="009F3EA9"/>
    <w:rsid w:val="009F4108"/>
    <w:rsid w:val="009F4672"/>
    <w:rsid w:val="009F4721"/>
    <w:rsid w:val="009F4A8B"/>
    <w:rsid w:val="009F4F77"/>
    <w:rsid w:val="009F5479"/>
    <w:rsid w:val="009F599A"/>
    <w:rsid w:val="009F5C2A"/>
    <w:rsid w:val="009F6310"/>
    <w:rsid w:val="009F635C"/>
    <w:rsid w:val="009F73F7"/>
    <w:rsid w:val="009F76FC"/>
    <w:rsid w:val="00A00045"/>
    <w:rsid w:val="00A006E0"/>
    <w:rsid w:val="00A00AE1"/>
    <w:rsid w:val="00A00CE0"/>
    <w:rsid w:val="00A01068"/>
    <w:rsid w:val="00A023B9"/>
    <w:rsid w:val="00A024D0"/>
    <w:rsid w:val="00A0285D"/>
    <w:rsid w:val="00A02899"/>
    <w:rsid w:val="00A02A68"/>
    <w:rsid w:val="00A02B25"/>
    <w:rsid w:val="00A02E68"/>
    <w:rsid w:val="00A02F00"/>
    <w:rsid w:val="00A02F04"/>
    <w:rsid w:val="00A04100"/>
    <w:rsid w:val="00A043B5"/>
    <w:rsid w:val="00A04C12"/>
    <w:rsid w:val="00A054A1"/>
    <w:rsid w:val="00A05E0D"/>
    <w:rsid w:val="00A06631"/>
    <w:rsid w:val="00A06CA6"/>
    <w:rsid w:val="00A06EFA"/>
    <w:rsid w:val="00A0704D"/>
    <w:rsid w:val="00A079C6"/>
    <w:rsid w:val="00A07E31"/>
    <w:rsid w:val="00A1045B"/>
    <w:rsid w:val="00A10826"/>
    <w:rsid w:val="00A10ED0"/>
    <w:rsid w:val="00A112B8"/>
    <w:rsid w:val="00A11365"/>
    <w:rsid w:val="00A1147D"/>
    <w:rsid w:val="00A1192E"/>
    <w:rsid w:val="00A11A22"/>
    <w:rsid w:val="00A11CA2"/>
    <w:rsid w:val="00A11E67"/>
    <w:rsid w:val="00A120DF"/>
    <w:rsid w:val="00A12970"/>
    <w:rsid w:val="00A13A36"/>
    <w:rsid w:val="00A14F68"/>
    <w:rsid w:val="00A150DA"/>
    <w:rsid w:val="00A155A7"/>
    <w:rsid w:val="00A15856"/>
    <w:rsid w:val="00A16B58"/>
    <w:rsid w:val="00A177B9"/>
    <w:rsid w:val="00A179D5"/>
    <w:rsid w:val="00A17A45"/>
    <w:rsid w:val="00A208BE"/>
    <w:rsid w:val="00A214D2"/>
    <w:rsid w:val="00A2182B"/>
    <w:rsid w:val="00A219FB"/>
    <w:rsid w:val="00A22755"/>
    <w:rsid w:val="00A234DD"/>
    <w:rsid w:val="00A23A9D"/>
    <w:rsid w:val="00A23D6B"/>
    <w:rsid w:val="00A24205"/>
    <w:rsid w:val="00A24734"/>
    <w:rsid w:val="00A25C2E"/>
    <w:rsid w:val="00A265CF"/>
    <w:rsid w:val="00A26C10"/>
    <w:rsid w:val="00A2717F"/>
    <w:rsid w:val="00A2756A"/>
    <w:rsid w:val="00A27F8E"/>
    <w:rsid w:val="00A3042C"/>
    <w:rsid w:val="00A3069A"/>
    <w:rsid w:val="00A306CC"/>
    <w:rsid w:val="00A30E4D"/>
    <w:rsid w:val="00A31874"/>
    <w:rsid w:val="00A31C1D"/>
    <w:rsid w:val="00A3209B"/>
    <w:rsid w:val="00A320AF"/>
    <w:rsid w:val="00A323B9"/>
    <w:rsid w:val="00A3310D"/>
    <w:rsid w:val="00A33453"/>
    <w:rsid w:val="00A3347A"/>
    <w:rsid w:val="00A3356C"/>
    <w:rsid w:val="00A336EA"/>
    <w:rsid w:val="00A34D4A"/>
    <w:rsid w:val="00A3539E"/>
    <w:rsid w:val="00A357F6"/>
    <w:rsid w:val="00A35948"/>
    <w:rsid w:val="00A35A02"/>
    <w:rsid w:val="00A35AF4"/>
    <w:rsid w:val="00A35D66"/>
    <w:rsid w:val="00A36362"/>
    <w:rsid w:val="00A367C3"/>
    <w:rsid w:val="00A37143"/>
    <w:rsid w:val="00A37A14"/>
    <w:rsid w:val="00A4038F"/>
    <w:rsid w:val="00A406C2"/>
    <w:rsid w:val="00A40973"/>
    <w:rsid w:val="00A41A55"/>
    <w:rsid w:val="00A41C33"/>
    <w:rsid w:val="00A42104"/>
    <w:rsid w:val="00A427A6"/>
    <w:rsid w:val="00A437FE"/>
    <w:rsid w:val="00A43E57"/>
    <w:rsid w:val="00A43E9B"/>
    <w:rsid w:val="00A44314"/>
    <w:rsid w:val="00A4565D"/>
    <w:rsid w:val="00A46C70"/>
    <w:rsid w:val="00A4775B"/>
    <w:rsid w:val="00A47B4E"/>
    <w:rsid w:val="00A47F91"/>
    <w:rsid w:val="00A50594"/>
    <w:rsid w:val="00A50DFE"/>
    <w:rsid w:val="00A50E6B"/>
    <w:rsid w:val="00A51E21"/>
    <w:rsid w:val="00A51E7B"/>
    <w:rsid w:val="00A525C4"/>
    <w:rsid w:val="00A52C8A"/>
    <w:rsid w:val="00A52D34"/>
    <w:rsid w:val="00A53A8C"/>
    <w:rsid w:val="00A55466"/>
    <w:rsid w:val="00A5610E"/>
    <w:rsid w:val="00A56696"/>
    <w:rsid w:val="00A569FE"/>
    <w:rsid w:val="00A56C06"/>
    <w:rsid w:val="00A56D37"/>
    <w:rsid w:val="00A56EF7"/>
    <w:rsid w:val="00A5774F"/>
    <w:rsid w:val="00A57A02"/>
    <w:rsid w:val="00A57EC3"/>
    <w:rsid w:val="00A609FD"/>
    <w:rsid w:val="00A60BB3"/>
    <w:rsid w:val="00A61249"/>
    <w:rsid w:val="00A62EE9"/>
    <w:rsid w:val="00A6407E"/>
    <w:rsid w:val="00A65B52"/>
    <w:rsid w:val="00A6636A"/>
    <w:rsid w:val="00A66A4D"/>
    <w:rsid w:val="00A66D9E"/>
    <w:rsid w:val="00A66FDB"/>
    <w:rsid w:val="00A6715F"/>
    <w:rsid w:val="00A674E7"/>
    <w:rsid w:val="00A67537"/>
    <w:rsid w:val="00A6794F"/>
    <w:rsid w:val="00A67EA2"/>
    <w:rsid w:val="00A7028D"/>
    <w:rsid w:val="00A70353"/>
    <w:rsid w:val="00A70B15"/>
    <w:rsid w:val="00A71107"/>
    <w:rsid w:val="00A7132D"/>
    <w:rsid w:val="00A717F8"/>
    <w:rsid w:val="00A718FC"/>
    <w:rsid w:val="00A71C66"/>
    <w:rsid w:val="00A72034"/>
    <w:rsid w:val="00A72EBE"/>
    <w:rsid w:val="00A72EE0"/>
    <w:rsid w:val="00A73B8A"/>
    <w:rsid w:val="00A74085"/>
    <w:rsid w:val="00A74498"/>
    <w:rsid w:val="00A747D4"/>
    <w:rsid w:val="00A749B2"/>
    <w:rsid w:val="00A74C55"/>
    <w:rsid w:val="00A74F68"/>
    <w:rsid w:val="00A755FE"/>
    <w:rsid w:val="00A760B4"/>
    <w:rsid w:val="00A76493"/>
    <w:rsid w:val="00A76503"/>
    <w:rsid w:val="00A7789C"/>
    <w:rsid w:val="00A80E8D"/>
    <w:rsid w:val="00A81624"/>
    <w:rsid w:val="00A820A8"/>
    <w:rsid w:val="00A82251"/>
    <w:rsid w:val="00A823A9"/>
    <w:rsid w:val="00A82424"/>
    <w:rsid w:val="00A824E0"/>
    <w:rsid w:val="00A8309C"/>
    <w:rsid w:val="00A83E60"/>
    <w:rsid w:val="00A8411C"/>
    <w:rsid w:val="00A84386"/>
    <w:rsid w:val="00A84653"/>
    <w:rsid w:val="00A846FC"/>
    <w:rsid w:val="00A84F98"/>
    <w:rsid w:val="00A8526D"/>
    <w:rsid w:val="00A86DE0"/>
    <w:rsid w:val="00A86FC9"/>
    <w:rsid w:val="00A87188"/>
    <w:rsid w:val="00A871C4"/>
    <w:rsid w:val="00A879B8"/>
    <w:rsid w:val="00A9028A"/>
    <w:rsid w:val="00A9052D"/>
    <w:rsid w:val="00A907D3"/>
    <w:rsid w:val="00A90993"/>
    <w:rsid w:val="00A912CC"/>
    <w:rsid w:val="00A92F2B"/>
    <w:rsid w:val="00A93C78"/>
    <w:rsid w:val="00A93CA2"/>
    <w:rsid w:val="00A94517"/>
    <w:rsid w:val="00A94D3E"/>
    <w:rsid w:val="00A953EB"/>
    <w:rsid w:val="00A95E54"/>
    <w:rsid w:val="00A9655F"/>
    <w:rsid w:val="00A978C3"/>
    <w:rsid w:val="00A97B98"/>
    <w:rsid w:val="00AA0B54"/>
    <w:rsid w:val="00AA0D8A"/>
    <w:rsid w:val="00AA0DAD"/>
    <w:rsid w:val="00AA0F42"/>
    <w:rsid w:val="00AA1F7E"/>
    <w:rsid w:val="00AA21BF"/>
    <w:rsid w:val="00AA24C5"/>
    <w:rsid w:val="00AA3284"/>
    <w:rsid w:val="00AA32CC"/>
    <w:rsid w:val="00AA34F6"/>
    <w:rsid w:val="00AA3BBC"/>
    <w:rsid w:val="00AA3DAA"/>
    <w:rsid w:val="00AA42EF"/>
    <w:rsid w:val="00AA42F8"/>
    <w:rsid w:val="00AA4310"/>
    <w:rsid w:val="00AA4A58"/>
    <w:rsid w:val="00AA5612"/>
    <w:rsid w:val="00AA5BE1"/>
    <w:rsid w:val="00AA5ED7"/>
    <w:rsid w:val="00AA6590"/>
    <w:rsid w:val="00AA68A9"/>
    <w:rsid w:val="00AA6B6C"/>
    <w:rsid w:val="00AA7E5F"/>
    <w:rsid w:val="00AB00A0"/>
    <w:rsid w:val="00AB0340"/>
    <w:rsid w:val="00AB0B43"/>
    <w:rsid w:val="00AB0EE1"/>
    <w:rsid w:val="00AB10A3"/>
    <w:rsid w:val="00AB12A2"/>
    <w:rsid w:val="00AB2A6D"/>
    <w:rsid w:val="00AB3336"/>
    <w:rsid w:val="00AB357C"/>
    <w:rsid w:val="00AB35A4"/>
    <w:rsid w:val="00AB3D31"/>
    <w:rsid w:val="00AB3D49"/>
    <w:rsid w:val="00AB415A"/>
    <w:rsid w:val="00AB446E"/>
    <w:rsid w:val="00AB44A6"/>
    <w:rsid w:val="00AB4A96"/>
    <w:rsid w:val="00AB50E3"/>
    <w:rsid w:val="00AB537B"/>
    <w:rsid w:val="00AB5428"/>
    <w:rsid w:val="00AB583D"/>
    <w:rsid w:val="00AB5992"/>
    <w:rsid w:val="00AB59B8"/>
    <w:rsid w:val="00AB5F0F"/>
    <w:rsid w:val="00AB6534"/>
    <w:rsid w:val="00AB65B4"/>
    <w:rsid w:val="00AB6BC7"/>
    <w:rsid w:val="00AB6C12"/>
    <w:rsid w:val="00AB7392"/>
    <w:rsid w:val="00AB75AF"/>
    <w:rsid w:val="00AB778E"/>
    <w:rsid w:val="00AB7B68"/>
    <w:rsid w:val="00AB7DD1"/>
    <w:rsid w:val="00AC02B7"/>
    <w:rsid w:val="00AC06EC"/>
    <w:rsid w:val="00AC0C08"/>
    <w:rsid w:val="00AC1522"/>
    <w:rsid w:val="00AC17D4"/>
    <w:rsid w:val="00AC1AAB"/>
    <w:rsid w:val="00AC1BCF"/>
    <w:rsid w:val="00AC1F89"/>
    <w:rsid w:val="00AC23A7"/>
    <w:rsid w:val="00AC304F"/>
    <w:rsid w:val="00AC3C2C"/>
    <w:rsid w:val="00AC3E09"/>
    <w:rsid w:val="00AC43CF"/>
    <w:rsid w:val="00AC446A"/>
    <w:rsid w:val="00AC47B4"/>
    <w:rsid w:val="00AC4F46"/>
    <w:rsid w:val="00AC5782"/>
    <w:rsid w:val="00AC5CF6"/>
    <w:rsid w:val="00AC6131"/>
    <w:rsid w:val="00AC669B"/>
    <w:rsid w:val="00AC684B"/>
    <w:rsid w:val="00AC697F"/>
    <w:rsid w:val="00AC6BE6"/>
    <w:rsid w:val="00AC6EA8"/>
    <w:rsid w:val="00AC72C4"/>
    <w:rsid w:val="00AC78C3"/>
    <w:rsid w:val="00AC7C78"/>
    <w:rsid w:val="00AC7F3C"/>
    <w:rsid w:val="00AD0257"/>
    <w:rsid w:val="00AD1B93"/>
    <w:rsid w:val="00AD1DB3"/>
    <w:rsid w:val="00AD1DC6"/>
    <w:rsid w:val="00AD1F5A"/>
    <w:rsid w:val="00AD2179"/>
    <w:rsid w:val="00AD25D6"/>
    <w:rsid w:val="00AD291A"/>
    <w:rsid w:val="00AD33F0"/>
    <w:rsid w:val="00AD385E"/>
    <w:rsid w:val="00AD3A7D"/>
    <w:rsid w:val="00AD3FE4"/>
    <w:rsid w:val="00AD404F"/>
    <w:rsid w:val="00AD4071"/>
    <w:rsid w:val="00AD4264"/>
    <w:rsid w:val="00AD51ED"/>
    <w:rsid w:val="00AD6194"/>
    <w:rsid w:val="00AD6675"/>
    <w:rsid w:val="00AD70D2"/>
    <w:rsid w:val="00AD71AB"/>
    <w:rsid w:val="00AD73C8"/>
    <w:rsid w:val="00AD76F2"/>
    <w:rsid w:val="00AE0048"/>
    <w:rsid w:val="00AE0555"/>
    <w:rsid w:val="00AE056F"/>
    <w:rsid w:val="00AE07BF"/>
    <w:rsid w:val="00AE0CBD"/>
    <w:rsid w:val="00AE19D7"/>
    <w:rsid w:val="00AE1A68"/>
    <w:rsid w:val="00AE1D1C"/>
    <w:rsid w:val="00AE1FD5"/>
    <w:rsid w:val="00AE1FE1"/>
    <w:rsid w:val="00AE252A"/>
    <w:rsid w:val="00AE2615"/>
    <w:rsid w:val="00AE289C"/>
    <w:rsid w:val="00AE2CA2"/>
    <w:rsid w:val="00AE2DFD"/>
    <w:rsid w:val="00AE3A65"/>
    <w:rsid w:val="00AE3FA3"/>
    <w:rsid w:val="00AE4178"/>
    <w:rsid w:val="00AE4C9C"/>
    <w:rsid w:val="00AE6333"/>
    <w:rsid w:val="00AE6664"/>
    <w:rsid w:val="00AE6C41"/>
    <w:rsid w:val="00AE71DD"/>
    <w:rsid w:val="00AE77BD"/>
    <w:rsid w:val="00AF03A7"/>
    <w:rsid w:val="00AF07B2"/>
    <w:rsid w:val="00AF0A42"/>
    <w:rsid w:val="00AF0EDF"/>
    <w:rsid w:val="00AF16EC"/>
    <w:rsid w:val="00AF1E4F"/>
    <w:rsid w:val="00AF1F58"/>
    <w:rsid w:val="00AF22C2"/>
    <w:rsid w:val="00AF3692"/>
    <w:rsid w:val="00AF3B51"/>
    <w:rsid w:val="00AF3BB9"/>
    <w:rsid w:val="00AF4121"/>
    <w:rsid w:val="00AF56A3"/>
    <w:rsid w:val="00AF579F"/>
    <w:rsid w:val="00AF59E0"/>
    <w:rsid w:val="00AF616B"/>
    <w:rsid w:val="00AF6D50"/>
    <w:rsid w:val="00AF7D3F"/>
    <w:rsid w:val="00AF7EED"/>
    <w:rsid w:val="00AF7EFC"/>
    <w:rsid w:val="00B000E8"/>
    <w:rsid w:val="00B004EF"/>
    <w:rsid w:val="00B00F88"/>
    <w:rsid w:val="00B01333"/>
    <w:rsid w:val="00B013B6"/>
    <w:rsid w:val="00B016BD"/>
    <w:rsid w:val="00B01F43"/>
    <w:rsid w:val="00B02430"/>
    <w:rsid w:val="00B026C3"/>
    <w:rsid w:val="00B031D0"/>
    <w:rsid w:val="00B03E3C"/>
    <w:rsid w:val="00B03F8D"/>
    <w:rsid w:val="00B048CE"/>
    <w:rsid w:val="00B04BBF"/>
    <w:rsid w:val="00B05100"/>
    <w:rsid w:val="00B05D9C"/>
    <w:rsid w:val="00B05EC6"/>
    <w:rsid w:val="00B063FC"/>
    <w:rsid w:val="00B07D4D"/>
    <w:rsid w:val="00B104AC"/>
    <w:rsid w:val="00B1067B"/>
    <w:rsid w:val="00B10874"/>
    <w:rsid w:val="00B10ACD"/>
    <w:rsid w:val="00B10C86"/>
    <w:rsid w:val="00B110A4"/>
    <w:rsid w:val="00B11995"/>
    <w:rsid w:val="00B11E16"/>
    <w:rsid w:val="00B12301"/>
    <w:rsid w:val="00B127DD"/>
    <w:rsid w:val="00B13B3A"/>
    <w:rsid w:val="00B14141"/>
    <w:rsid w:val="00B14168"/>
    <w:rsid w:val="00B14678"/>
    <w:rsid w:val="00B152CA"/>
    <w:rsid w:val="00B15DB5"/>
    <w:rsid w:val="00B177C2"/>
    <w:rsid w:val="00B20390"/>
    <w:rsid w:val="00B20504"/>
    <w:rsid w:val="00B205CD"/>
    <w:rsid w:val="00B20D28"/>
    <w:rsid w:val="00B222EB"/>
    <w:rsid w:val="00B22B2E"/>
    <w:rsid w:val="00B22F3B"/>
    <w:rsid w:val="00B232C5"/>
    <w:rsid w:val="00B237D5"/>
    <w:rsid w:val="00B24992"/>
    <w:rsid w:val="00B24E06"/>
    <w:rsid w:val="00B25321"/>
    <w:rsid w:val="00B256A7"/>
    <w:rsid w:val="00B25B8E"/>
    <w:rsid w:val="00B25C65"/>
    <w:rsid w:val="00B25C6B"/>
    <w:rsid w:val="00B2605D"/>
    <w:rsid w:val="00B2692E"/>
    <w:rsid w:val="00B26AAF"/>
    <w:rsid w:val="00B26ABC"/>
    <w:rsid w:val="00B26AE0"/>
    <w:rsid w:val="00B27469"/>
    <w:rsid w:val="00B27536"/>
    <w:rsid w:val="00B27545"/>
    <w:rsid w:val="00B30733"/>
    <w:rsid w:val="00B307BA"/>
    <w:rsid w:val="00B31BE2"/>
    <w:rsid w:val="00B32792"/>
    <w:rsid w:val="00B32DDF"/>
    <w:rsid w:val="00B33719"/>
    <w:rsid w:val="00B33989"/>
    <w:rsid w:val="00B3462E"/>
    <w:rsid w:val="00B348EF"/>
    <w:rsid w:val="00B35149"/>
    <w:rsid w:val="00B35D95"/>
    <w:rsid w:val="00B36090"/>
    <w:rsid w:val="00B36306"/>
    <w:rsid w:val="00B36A83"/>
    <w:rsid w:val="00B36E09"/>
    <w:rsid w:val="00B36FE1"/>
    <w:rsid w:val="00B370E3"/>
    <w:rsid w:val="00B37459"/>
    <w:rsid w:val="00B37AC0"/>
    <w:rsid w:val="00B401C7"/>
    <w:rsid w:val="00B4067C"/>
    <w:rsid w:val="00B40B81"/>
    <w:rsid w:val="00B40C75"/>
    <w:rsid w:val="00B40EE7"/>
    <w:rsid w:val="00B41838"/>
    <w:rsid w:val="00B41C0C"/>
    <w:rsid w:val="00B4256C"/>
    <w:rsid w:val="00B425F1"/>
    <w:rsid w:val="00B42A8B"/>
    <w:rsid w:val="00B43099"/>
    <w:rsid w:val="00B43AE1"/>
    <w:rsid w:val="00B44A7E"/>
    <w:rsid w:val="00B45147"/>
    <w:rsid w:val="00B45AE1"/>
    <w:rsid w:val="00B4685F"/>
    <w:rsid w:val="00B4703E"/>
    <w:rsid w:val="00B47393"/>
    <w:rsid w:val="00B476D3"/>
    <w:rsid w:val="00B4775E"/>
    <w:rsid w:val="00B47B09"/>
    <w:rsid w:val="00B47F2A"/>
    <w:rsid w:val="00B50007"/>
    <w:rsid w:val="00B508B1"/>
    <w:rsid w:val="00B50A4C"/>
    <w:rsid w:val="00B50BF1"/>
    <w:rsid w:val="00B50DE7"/>
    <w:rsid w:val="00B51D99"/>
    <w:rsid w:val="00B521EE"/>
    <w:rsid w:val="00B52360"/>
    <w:rsid w:val="00B527B6"/>
    <w:rsid w:val="00B52F27"/>
    <w:rsid w:val="00B5316B"/>
    <w:rsid w:val="00B53300"/>
    <w:rsid w:val="00B534C1"/>
    <w:rsid w:val="00B53A80"/>
    <w:rsid w:val="00B54378"/>
    <w:rsid w:val="00B54625"/>
    <w:rsid w:val="00B54BAA"/>
    <w:rsid w:val="00B55231"/>
    <w:rsid w:val="00B552AE"/>
    <w:rsid w:val="00B555DE"/>
    <w:rsid w:val="00B557E2"/>
    <w:rsid w:val="00B56209"/>
    <w:rsid w:val="00B5627B"/>
    <w:rsid w:val="00B5687A"/>
    <w:rsid w:val="00B578DB"/>
    <w:rsid w:val="00B57AEF"/>
    <w:rsid w:val="00B605DB"/>
    <w:rsid w:val="00B6100C"/>
    <w:rsid w:val="00B61725"/>
    <w:rsid w:val="00B61A58"/>
    <w:rsid w:val="00B61BAA"/>
    <w:rsid w:val="00B61D64"/>
    <w:rsid w:val="00B622F4"/>
    <w:rsid w:val="00B63156"/>
    <w:rsid w:val="00B63741"/>
    <w:rsid w:val="00B63838"/>
    <w:rsid w:val="00B641C1"/>
    <w:rsid w:val="00B64441"/>
    <w:rsid w:val="00B6491E"/>
    <w:rsid w:val="00B64975"/>
    <w:rsid w:val="00B656D5"/>
    <w:rsid w:val="00B65EF5"/>
    <w:rsid w:val="00B65F1B"/>
    <w:rsid w:val="00B66373"/>
    <w:rsid w:val="00B66B38"/>
    <w:rsid w:val="00B66F59"/>
    <w:rsid w:val="00B66FEE"/>
    <w:rsid w:val="00B6709E"/>
    <w:rsid w:val="00B675B1"/>
    <w:rsid w:val="00B7059E"/>
    <w:rsid w:val="00B70F7F"/>
    <w:rsid w:val="00B71182"/>
    <w:rsid w:val="00B7143C"/>
    <w:rsid w:val="00B71791"/>
    <w:rsid w:val="00B71981"/>
    <w:rsid w:val="00B71BF4"/>
    <w:rsid w:val="00B71C87"/>
    <w:rsid w:val="00B71E76"/>
    <w:rsid w:val="00B71E81"/>
    <w:rsid w:val="00B72E73"/>
    <w:rsid w:val="00B73E70"/>
    <w:rsid w:val="00B75801"/>
    <w:rsid w:val="00B758C0"/>
    <w:rsid w:val="00B75AC0"/>
    <w:rsid w:val="00B77172"/>
    <w:rsid w:val="00B776AD"/>
    <w:rsid w:val="00B777F9"/>
    <w:rsid w:val="00B80454"/>
    <w:rsid w:val="00B80B1E"/>
    <w:rsid w:val="00B81783"/>
    <w:rsid w:val="00B8213E"/>
    <w:rsid w:val="00B8255E"/>
    <w:rsid w:val="00B82778"/>
    <w:rsid w:val="00B828A9"/>
    <w:rsid w:val="00B82B26"/>
    <w:rsid w:val="00B831A6"/>
    <w:rsid w:val="00B8331B"/>
    <w:rsid w:val="00B833BE"/>
    <w:rsid w:val="00B835B4"/>
    <w:rsid w:val="00B836E2"/>
    <w:rsid w:val="00B8455D"/>
    <w:rsid w:val="00B84891"/>
    <w:rsid w:val="00B85717"/>
    <w:rsid w:val="00B8593F"/>
    <w:rsid w:val="00B85B11"/>
    <w:rsid w:val="00B85C9C"/>
    <w:rsid w:val="00B86017"/>
    <w:rsid w:val="00B86523"/>
    <w:rsid w:val="00B86532"/>
    <w:rsid w:val="00B8671A"/>
    <w:rsid w:val="00B87CAA"/>
    <w:rsid w:val="00B90292"/>
    <w:rsid w:val="00B90CCC"/>
    <w:rsid w:val="00B91975"/>
    <w:rsid w:val="00B9395C"/>
    <w:rsid w:val="00B9401F"/>
    <w:rsid w:val="00B94419"/>
    <w:rsid w:val="00B94892"/>
    <w:rsid w:val="00B94895"/>
    <w:rsid w:val="00B9490D"/>
    <w:rsid w:val="00B94DE1"/>
    <w:rsid w:val="00B94F0F"/>
    <w:rsid w:val="00B95B20"/>
    <w:rsid w:val="00B9670B"/>
    <w:rsid w:val="00B968BB"/>
    <w:rsid w:val="00B96BF6"/>
    <w:rsid w:val="00B96F32"/>
    <w:rsid w:val="00B96F92"/>
    <w:rsid w:val="00B97C81"/>
    <w:rsid w:val="00B97E4D"/>
    <w:rsid w:val="00BA052D"/>
    <w:rsid w:val="00BA0E7E"/>
    <w:rsid w:val="00BA2852"/>
    <w:rsid w:val="00BA30D9"/>
    <w:rsid w:val="00BA3ABF"/>
    <w:rsid w:val="00BA3B40"/>
    <w:rsid w:val="00BA3B8F"/>
    <w:rsid w:val="00BA40A6"/>
    <w:rsid w:val="00BA4B88"/>
    <w:rsid w:val="00BA5209"/>
    <w:rsid w:val="00BA5370"/>
    <w:rsid w:val="00BA5574"/>
    <w:rsid w:val="00BA60B7"/>
    <w:rsid w:val="00BA658D"/>
    <w:rsid w:val="00BA6B61"/>
    <w:rsid w:val="00BA723C"/>
    <w:rsid w:val="00BA757C"/>
    <w:rsid w:val="00BB000B"/>
    <w:rsid w:val="00BB07BF"/>
    <w:rsid w:val="00BB0897"/>
    <w:rsid w:val="00BB0F2A"/>
    <w:rsid w:val="00BB1636"/>
    <w:rsid w:val="00BB177D"/>
    <w:rsid w:val="00BB232A"/>
    <w:rsid w:val="00BB25D1"/>
    <w:rsid w:val="00BB27D7"/>
    <w:rsid w:val="00BB2995"/>
    <w:rsid w:val="00BB2D18"/>
    <w:rsid w:val="00BB374A"/>
    <w:rsid w:val="00BB3B8E"/>
    <w:rsid w:val="00BB3D56"/>
    <w:rsid w:val="00BB42E7"/>
    <w:rsid w:val="00BB4BAE"/>
    <w:rsid w:val="00BB4DC2"/>
    <w:rsid w:val="00BB522C"/>
    <w:rsid w:val="00BB545A"/>
    <w:rsid w:val="00BB592B"/>
    <w:rsid w:val="00BB5931"/>
    <w:rsid w:val="00BB5F73"/>
    <w:rsid w:val="00BB6468"/>
    <w:rsid w:val="00BB722B"/>
    <w:rsid w:val="00BB767C"/>
    <w:rsid w:val="00BB76E6"/>
    <w:rsid w:val="00BB7D3E"/>
    <w:rsid w:val="00BC007D"/>
    <w:rsid w:val="00BC114F"/>
    <w:rsid w:val="00BC17F7"/>
    <w:rsid w:val="00BC1C46"/>
    <w:rsid w:val="00BC1FF2"/>
    <w:rsid w:val="00BC206F"/>
    <w:rsid w:val="00BC2233"/>
    <w:rsid w:val="00BC2311"/>
    <w:rsid w:val="00BC295C"/>
    <w:rsid w:val="00BC2A06"/>
    <w:rsid w:val="00BC306F"/>
    <w:rsid w:val="00BC32B7"/>
    <w:rsid w:val="00BC3BE0"/>
    <w:rsid w:val="00BC3DF6"/>
    <w:rsid w:val="00BC4C02"/>
    <w:rsid w:val="00BC5C79"/>
    <w:rsid w:val="00BC63EB"/>
    <w:rsid w:val="00BC744F"/>
    <w:rsid w:val="00BC75E3"/>
    <w:rsid w:val="00BC77F6"/>
    <w:rsid w:val="00BD0291"/>
    <w:rsid w:val="00BD0752"/>
    <w:rsid w:val="00BD09D5"/>
    <w:rsid w:val="00BD0B92"/>
    <w:rsid w:val="00BD0BF6"/>
    <w:rsid w:val="00BD1221"/>
    <w:rsid w:val="00BD23BA"/>
    <w:rsid w:val="00BD2F0C"/>
    <w:rsid w:val="00BD386E"/>
    <w:rsid w:val="00BD3D77"/>
    <w:rsid w:val="00BD44FA"/>
    <w:rsid w:val="00BD45D4"/>
    <w:rsid w:val="00BD4CCA"/>
    <w:rsid w:val="00BD5216"/>
    <w:rsid w:val="00BD5F24"/>
    <w:rsid w:val="00BD5FCF"/>
    <w:rsid w:val="00BD6282"/>
    <w:rsid w:val="00BD6A60"/>
    <w:rsid w:val="00BD6AF3"/>
    <w:rsid w:val="00BD6CCE"/>
    <w:rsid w:val="00BD6D38"/>
    <w:rsid w:val="00BD7F05"/>
    <w:rsid w:val="00BE0476"/>
    <w:rsid w:val="00BE06E9"/>
    <w:rsid w:val="00BE0E06"/>
    <w:rsid w:val="00BE1024"/>
    <w:rsid w:val="00BE24AE"/>
    <w:rsid w:val="00BE4790"/>
    <w:rsid w:val="00BE4DCC"/>
    <w:rsid w:val="00BE4DCE"/>
    <w:rsid w:val="00BE4DDF"/>
    <w:rsid w:val="00BE534D"/>
    <w:rsid w:val="00BE548B"/>
    <w:rsid w:val="00BE5830"/>
    <w:rsid w:val="00BE6989"/>
    <w:rsid w:val="00BE7522"/>
    <w:rsid w:val="00BF083B"/>
    <w:rsid w:val="00BF09DB"/>
    <w:rsid w:val="00BF1E08"/>
    <w:rsid w:val="00BF1E45"/>
    <w:rsid w:val="00BF295D"/>
    <w:rsid w:val="00BF297D"/>
    <w:rsid w:val="00BF2A4A"/>
    <w:rsid w:val="00BF2B5C"/>
    <w:rsid w:val="00BF3396"/>
    <w:rsid w:val="00BF3591"/>
    <w:rsid w:val="00BF38E2"/>
    <w:rsid w:val="00BF3B58"/>
    <w:rsid w:val="00BF3DFD"/>
    <w:rsid w:val="00BF471E"/>
    <w:rsid w:val="00BF4BB8"/>
    <w:rsid w:val="00BF5225"/>
    <w:rsid w:val="00BF53EB"/>
    <w:rsid w:val="00BF5782"/>
    <w:rsid w:val="00BF57B3"/>
    <w:rsid w:val="00BF59CF"/>
    <w:rsid w:val="00BF61BA"/>
    <w:rsid w:val="00BF649A"/>
    <w:rsid w:val="00BF6529"/>
    <w:rsid w:val="00BF6809"/>
    <w:rsid w:val="00BF6A21"/>
    <w:rsid w:val="00BF70DD"/>
    <w:rsid w:val="00BF7642"/>
    <w:rsid w:val="00BF7C31"/>
    <w:rsid w:val="00BF7CB6"/>
    <w:rsid w:val="00C0059F"/>
    <w:rsid w:val="00C008B0"/>
    <w:rsid w:val="00C00C10"/>
    <w:rsid w:val="00C00CCC"/>
    <w:rsid w:val="00C00F2A"/>
    <w:rsid w:val="00C0110B"/>
    <w:rsid w:val="00C01CCC"/>
    <w:rsid w:val="00C01D2D"/>
    <w:rsid w:val="00C0232A"/>
    <w:rsid w:val="00C02629"/>
    <w:rsid w:val="00C02DE9"/>
    <w:rsid w:val="00C0354F"/>
    <w:rsid w:val="00C0368C"/>
    <w:rsid w:val="00C03AE1"/>
    <w:rsid w:val="00C03B5E"/>
    <w:rsid w:val="00C03C5B"/>
    <w:rsid w:val="00C0477A"/>
    <w:rsid w:val="00C04B58"/>
    <w:rsid w:val="00C052AB"/>
    <w:rsid w:val="00C0615F"/>
    <w:rsid w:val="00C0652C"/>
    <w:rsid w:val="00C065C2"/>
    <w:rsid w:val="00C07444"/>
    <w:rsid w:val="00C07AD7"/>
    <w:rsid w:val="00C1071A"/>
    <w:rsid w:val="00C120B2"/>
    <w:rsid w:val="00C122A9"/>
    <w:rsid w:val="00C1245B"/>
    <w:rsid w:val="00C13054"/>
    <w:rsid w:val="00C131B1"/>
    <w:rsid w:val="00C1374F"/>
    <w:rsid w:val="00C13A58"/>
    <w:rsid w:val="00C14399"/>
    <w:rsid w:val="00C143CD"/>
    <w:rsid w:val="00C14E45"/>
    <w:rsid w:val="00C150C0"/>
    <w:rsid w:val="00C1514E"/>
    <w:rsid w:val="00C155EE"/>
    <w:rsid w:val="00C16162"/>
    <w:rsid w:val="00C169EA"/>
    <w:rsid w:val="00C16A98"/>
    <w:rsid w:val="00C16EB9"/>
    <w:rsid w:val="00C17039"/>
    <w:rsid w:val="00C17703"/>
    <w:rsid w:val="00C17F82"/>
    <w:rsid w:val="00C2076A"/>
    <w:rsid w:val="00C20A48"/>
    <w:rsid w:val="00C20CC8"/>
    <w:rsid w:val="00C21778"/>
    <w:rsid w:val="00C21854"/>
    <w:rsid w:val="00C21AB1"/>
    <w:rsid w:val="00C21AFF"/>
    <w:rsid w:val="00C22535"/>
    <w:rsid w:val="00C2272A"/>
    <w:rsid w:val="00C2277F"/>
    <w:rsid w:val="00C24650"/>
    <w:rsid w:val="00C24A87"/>
    <w:rsid w:val="00C24BEE"/>
    <w:rsid w:val="00C24CD0"/>
    <w:rsid w:val="00C2577A"/>
    <w:rsid w:val="00C25CF6"/>
    <w:rsid w:val="00C25D99"/>
    <w:rsid w:val="00C261C7"/>
    <w:rsid w:val="00C26457"/>
    <w:rsid w:val="00C26963"/>
    <w:rsid w:val="00C26BE4"/>
    <w:rsid w:val="00C26F40"/>
    <w:rsid w:val="00C2716D"/>
    <w:rsid w:val="00C27D4D"/>
    <w:rsid w:val="00C27FA0"/>
    <w:rsid w:val="00C30883"/>
    <w:rsid w:val="00C30A6E"/>
    <w:rsid w:val="00C30C40"/>
    <w:rsid w:val="00C30C93"/>
    <w:rsid w:val="00C31333"/>
    <w:rsid w:val="00C31431"/>
    <w:rsid w:val="00C31DDE"/>
    <w:rsid w:val="00C32043"/>
    <w:rsid w:val="00C32095"/>
    <w:rsid w:val="00C326EB"/>
    <w:rsid w:val="00C32B43"/>
    <w:rsid w:val="00C32BC1"/>
    <w:rsid w:val="00C32C51"/>
    <w:rsid w:val="00C32E8D"/>
    <w:rsid w:val="00C331BF"/>
    <w:rsid w:val="00C33B5D"/>
    <w:rsid w:val="00C3431E"/>
    <w:rsid w:val="00C343DB"/>
    <w:rsid w:val="00C3451B"/>
    <w:rsid w:val="00C348F3"/>
    <w:rsid w:val="00C34DE0"/>
    <w:rsid w:val="00C3545E"/>
    <w:rsid w:val="00C35902"/>
    <w:rsid w:val="00C36684"/>
    <w:rsid w:val="00C369DA"/>
    <w:rsid w:val="00C36A03"/>
    <w:rsid w:val="00C371E0"/>
    <w:rsid w:val="00C37578"/>
    <w:rsid w:val="00C37AC7"/>
    <w:rsid w:val="00C4021F"/>
    <w:rsid w:val="00C4063B"/>
    <w:rsid w:val="00C407D9"/>
    <w:rsid w:val="00C409BE"/>
    <w:rsid w:val="00C41424"/>
    <w:rsid w:val="00C41762"/>
    <w:rsid w:val="00C41DF6"/>
    <w:rsid w:val="00C420C5"/>
    <w:rsid w:val="00C423AA"/>
    <w:rsid w:val="00C437EA"/>
    <w:rsid w:val="00C43803"/>
    <w:rsid w:val="00C439F5"/>
    <w:rsid w:val="00C439FC"/>
    <w:rsid w:val="00C43EBB"/>
    <w:rsid w:val="00C43F30"/>
    <w:rsid w:val="00C4456D"/>
    <w:rsid w:val="00C4506F"/>
    <w:rsid w:val="00C463A1"/>
    <w:rsid w:val="00C4656A"/>
    <w:rsid w:val="00C4731D"/>
    <w:rsid w:val="00C476D5"/>
    <w:rsid w:val="00C479F5"/>
    <w:rsid w:val="00C50077"/>
    <w:rsid w:val="00C50236"/>
    <w:rsid w:val="00C50666"/>
    <w:rsid w:val="00C507F6"/>
    <w:rsid w:val="00C509FC"/>
    <w:rsid w:val="00C50CFB"/>
    <w:rsid w:val="00C51380"/>
    <w:rsid w:val="00C51413"/>
    <w:rsid w:val="00C518DE"/>
    <w:rsid w:val="00C52584"/>
    <w:rsid w:val="00C5272A"/>
    <w:rsid w:val="00C528EF"/>
    <w:rsid w:val="00C52E13"/>
    <w:rsid w:val="00C532AD"/>
    <w:rsid w:val="00C53562"/>
    <w:rsid w:val="00C53786"/>
    <w:rsid w:val="00C53974"/>
    <w:rsid w:val="00C5398F"/>
    <w:rsid w:val="00C53B9F"/>
    <w:rsid w:val="00C54254"/>
    <w:rsid w:val="00C54B4D"/>
    <w:rsid w:val="00C5504E"/>
    <w:rsid w:val="00C5513B"/>
    <w:rsid w:val="00C5569D"/>
    <w:rsid w:val="00C56050"/>
    <w:rsid w:val="00C567CD"/>
    <w:rsid w:val="00C57D0A"/>
    <w:rsid w:val="00C57FC6"/>
    <w:rsid w:val="00C60310"/>
    <w:rsid w:val="00C61775"/>
    <w:rsid w:val="00C61825"/>
    <w:rsid w:val="00C61912"/>
    <w:rsid w:val="00C61DCF"/>
    <w:rsid w:val="00C61E38"/>
    <w:rsid w:val="00C61E6C"/>
    <w:rsid w:val="00C6237C"/>
    <w:rsid w:val="00C6265B"/>
    <w:rsid w:val="00C62AAB"/>
    <w:rsid w:val="00C62C31"/>
    <w:rsid w:val="00C62C8D"/>
    <w:rsid w:val="00C6337A"/>
    <w:rsid w:val="00C634E6"/>
    <w:rsid w:val="00C6395B"/>
    <w:rsid w:val="00C63ABC"/>
    <w:rsid w:val="00C63B9B"/>
    <w:rsid w:val="00C63E67"/>
    <w:rsid w:val="00C63FB7"/>
    <w:rsid w:val="00C6414F"/>
    <w:rsid w:val="00C6525B"/>
    <w:rsid w:val="00C65B88"/>
    <w:rsid w:val="00C65C45"/>
    <w:rsid w:val="00C65D7B"/>
    <w:rsid w:val="00C6680A"/>
    <w:rsid w:val="00C67284"/>
    <w:rsid w:val="00C677B2"/>
    <w:rsid w:val="00C678D4"/>
    <w:rsid w:val="00C700A4"/>
    <w:rsid w:val="00C703BF"/>
    <w:rsid w:val="00C704E0"/>
    <w:rsid w:val="00C70FB0"/>
    <w:rsid w:val="00C71332"/>
    <w:rsid w:val="00C71347"/>
    <w:rsid w:val="00C71785"/>
    <w:rsid w:val="00C72237"/>
    <w:rsid w:val="00C73574"/>
    <w:rsid w:val="00C736D2"/>
    <w:rsid w:val="00C73C26"/>
    <w:rsid w:val="00C73D2E"/>
    <w:rsid w:val="00C73D74"/>
    <w:rsid w:val="00C741C6"/>
    <w:rsid w:val="00C7420B"/>
    <w:rsid w:val="00C74294"/>
    <w:rsid w:val="00C742BA"/>
    <w:rsid w:val="00C7506A"/>
    <w:rsid w:val="00C75199"/>
    <w:rsid w:val="00C75BC2"/>
    <w:rsid w:val="00C765F4"/>
    <w:rsid w:val="00C767A3"/>
    <w:rsid w:val="00C76B7D"/>
    <w:rsid w:val="00C771EB"/>
    <w:rsid w:val="00C77BF7"/>
    <w:rsid w:val="00C803E6"/>
    <w:rsid w:val="00C808A8"/>
    <w:rsid w:val="00C81059"/>
    <w:rsid w:val="00C81ECD"/>
    <w:rsid w:val="00C81F05"/>
    <w:rsid w:val="00C82245"/>
    <w:rsid w:val="00C8232F"/>
    <w:rsid w:val="00C8244A"/>
    <w:rsid w:val="00C827C4"/>
    <w:rsid w:val="00C83774"/>
    <w:rsid w:val="00C843D8"/>
    <w:rsid w:val="00C846E8"/>
    <w:rsid w:val="00C8472F"/>
    <w:rsid w:val="00C85460"/>
    <w:rsid w:val="00C86165"/>
    <w:rsid w:val="00C86C3A"/>
    <w:rsid w:val="00C871EB"/>
    <w:rsid w:val="00C87517"/>
    <w:rsid w:val="00C87CC4"/>
    <w:rsid w:val="00C9064B"/>
    <w:rsid w:val="00C90D52"/>
    <w:rsid w:val="00C914D1"/>
    <w:rsid w:val="00C91AF5"/>
    <w:rsid w:val="00C921E9"/>
    <w:rsid w:val="00C92345"/>
    <w:rsid w:val="00C923F1"/>
    <w:rsid w:val="00C92DF5"/>
    <w:rsid w:val="00C93122"/>
    <w:rsid w:val="00C9356D"/>
    <w:rsid w:val="00C937B8"/>
    <w:rsid w:val="00C93D95"/>
    <w:rsid w:val="00C942F2"/>
    <w:rsid w:val="00C948D7"/>
    <w:rsid w:val="00C949A6"/>
    <w:rsid w:val="00C94DF2"/>
    <w:rsid w:val="00C956F1"/>
    <w:rsid w:val="00C96A3B"/>
    <w:rsid w:val="00C96C08"/>
    <w:rsid w:val="00C9719E"/>
    <w:rsid w:val="00C971F8"/>
    <w:rsid w:val="00C976BA"/>
    <w:rsid w:val="00C97B16"/>
    <w:rsid w:val="00C97BFB"/>
    <w:rsid w:val="00CA06CB"/>
    <w:rsid w:val="00CA0857"/>
    <w:rsid w:val="00CA0C43"/>
    <w:rsid w:val="00CA1B55"/>
    <w:rsid w:val="00CA1C19"/>
    <w:rsid w:val="00CA1ED5"/>
    <w:rsid w:val="00CA2120"/>
    <w:rsid w:val="00CA2568"/>
    <w:rsid w:val="00CA2D65"/>
    <w:rsid w:val="00CA32A4"/>
    <w:rsid w:val="00CA3B20"/>
    <w:rsid w:val="00CA3E77"/>
    <w:rsid w:val="00CA47B3"/>
    <w:rsid w:val="00CA4A93"/>
    <w:rsid w:val="00CA4D7E"/>
    <w:rsid w:val="00CA607B"/>
    <w:rsid w:val="00CA6400"/>
    <w:rsid w:val="00CA65F7"/>
    <w:rsid w:val="00CA6B4D"/>
    <w:rsid w:val="00CA6C82"/>
    <w:rsid w:val="00CA70A2"/>
    <w:rsid w:val="00CA714E"/>
    <w:rsid w:val="00CA7754"/>
    <w:rsid w:val="00CA7C34"/>
    <w:rsid w:val="00CB0031"/>
    <w:rsid w:val="00CB0434"/>
    <w:rsid w:val="00CB0FB7"/>
    <w:rsid w:val="00CB10BD"/>
    <w:rsid w:val="00CB1A66"/>
    <w:rsid w:val="00CB1D8D"/>
    <w:rsid w:val="00CB1E7A"/>
    <w:rsid w:val="00CB2330"/>
    <w:rsid w:val="00CB24C6"/>
    <w:rsid w:val="00CB27DA"/>
    <w:rsid w:val="00CB2B6E"/>
    <w:rsid w:val="00CB2BA6"/>
    <w:rsid w:val="00CB2C16"/>
    <w:rsid w:val="00CB399C"/>
    <w:rsid w:val="00CB3AF6"/>
    <w:rsid w:val="00CB3EF2"/>
    <w:rsid w:val="00CB4022"/>
    <w:rsid w:val="00CB5559"/>
    <w:rsid w:val="00CB5963"/>
    <w:rsid w:val="00CB5965"/>
    <w:rsid w:val="00CB6838"/>
    <w:rsid w:val="00CB689C"/>
    <w:rsid w:val="00CB6F52"/>
    <w:rsid w:val="00CB74DD"/>
    <w:rsid w:val="00CB74EA"/>
    <w:rsid w:val="00CB751B"/>
    <w:rsid w:val="00CB7BF7"/>
    <w:rsid w:val="00CC018E"/>
    <w:rsid w:val="00CC022E"/>
    <w:rsid w:val="00CC08CF"/>
    <w:rsid w:val="00CC0A6A"/>
    <w:rsid w:val="00CC0F36"/>
    <w:rsid w:val="00CC0F94"/>
    <w:rsid w:val="00CC11D6"/>
    <w:rsid w:val="00CC1433"/>
    <w:rsid w:val="00CC17D0"/>
    <w:rsid w:val="00CC1AB6"/>
    <w:rsid w:val="00CC208D"/>
    <w:rsid w:val="00CC2703"/>
    <w:rsid w:val="00CC2D9D"/>
    <w:rsid w:val="00CC2E89"/>
    <w:rsid w:val="00CC2F8E"/>
    <w:rsid w:val="00CC426A"/>
    <w:rsid w:val="00CC4829"/>
    <w:rsid w:val="00CC4ADA"/>
    <w:rsid w:val="00CC4C49"/>
    <w:rsid w:val="00CC4EA6"/>
    <w:rsid w:val="00CC5321"/>
    <w:rsid w:val="00CC54D7"/>
    <w:rsid w:val="00CC5B82"/>
    <w:rsid w:val="00CC5CA0"/>
    <w:rsid w:val="00CC722F"/>
    <w:rsid w:val="00CD0E73"/>
    <w:rsid w:val="00CD0F40"/>
    <w:rsid w:val="00CD11A6"/>
    <w:rsid w:val="00CD18F7"/>
    <w:rsid w:val="00CD1F8F"/>
    <w:rsid w:val="00CD33E2"/>
    <w:rsid w:val="00CD44F7"/>
    <w:rsid w:val="00CD57C9"/>
    <w:rsid w:val="00CD5930"/>
    <w:rsid w:val="00CD5E14"/>
    <w:rsid w:val="00CD6418"/>
    <w:rsid w:val="00CD651C"/>
    <w:rsid w:val="00CD69D0"/>
    <w:rsid w:val="00CD7D27"/>
    <w:rsid w:val="00CD7E0A"/>
    <w:rsid w:val="00CE0012"/>
    <w:rsid w:val="00CE05E4"/>
    <w:rsid w:val="00CE09D7"/>
    <w:rsid w:val="00CE0BF8"/>
    <w:rsid w:val="00CE1CAE"/>
    <w:rsid w:val="00CE287C"/>
    <w:rsid w:val="00CE3229"/>
    <w:rsid w:val="00CE3B79"/>
    <w:rsid w:val="00CE4782"/>
    <w:rsid w:val="00CE4943"/>
    <w:rsid w:val="00CE4EDB"/>
    <w:rsid w:val="00CE56A8"/>
    <w:rsid w:val="00CE571E"/>
    <w:rsid w:val="00CE5B20"/>
    <w:rsid w:val="00CE5E8F"/>
    <w:rsid w:val="00CE5F70"/>
    <w:rsid w:val="00CE6658"/>
    <w:rsid w:val="00CE6E82"/>
    <w:rsid w:val="00CF0969"/>
    <w:rsid w:val="00CF0CF2"/>
    <w:rsid w:val="00CF118D"/>
    <w:rsid w:val="00CF131F"/>
    <w:rsid w:val="00CF1469"/>
    <w:rsid w:val="00CF215A"/>
    <w:rsid w:val="00CF233C"/>
    <w:rsid w:val="00CF2688"/>
    <w:rsid w:val="00CF2FD8"/>
    <w:rsid w:val="00CF3244"/>
    <w:rsid w:val="00CF3723"/>
    <w:rsid w:val="00CF46FF"/>
    <w:rsid w:val="00CF4954"/>
    <w:rsid w:val="00CF6281"/>
    <w:rsid w:val="00CF6BDE"/>
    <w:rsid w:val="00D000CE"/>
    <w:rsid w:val="00D00683"/>
    <w:rsid w:val="00D0078A"/>
    <w:rsid w:val="00D00E86"/>
    <w:rsid w:val="00D0168A"/>
    <w:rsid w:val="00D017C7"/>
    <w:rsid w:val="00D01EBD"/>
    <w:rsid w:val="00D02B77"/>
    <w:rsid w:val="00D02F52"/>
    <w:rsid w:val="00D054CD"/>
    <w:rsid w:val="00D05978"/>
    <w:rsid w:val="00D05B90"/>
    <w:rsid w:val="00D05C5E"/>
    <w:rsid w:val="00D061BE"/>
    <w:rsid w:val="00D0630D"/>
    <w:rsid w:val="00D063E4"/>
    <w:rsid w:val="00D06C5E"/>
    <w:rsid w:val="00D07054"/>
    <w:rsid w:val="00D07062"/>
    <w:rsid w:val="00D07152"/>
    <w:rsid w:val="00D07225"/>
    <w:rsid w:val="00D103C4"/>
    <w:rsid w:val="00D10960"/>
    <w:rsid w:val="00D11126"/>
    <w:rsid w:val="00D111A8"/>
    <w:rsid w:val="00D11319"/>
    <w:rsid w:val="00D114F1"/>
    <w:rsid w:val="00D11C0A"/>
    <w:rsid w:val="00D11C9C"/>
    <w:rsid w:val="00D1272E"/>
    <w:rsid w:val="00D12AB9"/>
    <w:rsid w:val="00D139CC"/>
    <w:rsid w:val="00D139E0"/>
    <w:rsid w:val="00D13A6B"/>
    <w:rsid w:val="00D13B25"/>
    <w:rsid w:val="00D13EFC"/>
    <w:rsid w:val="00D141F9"/>
    <w:rsid w:val="00D148D9"/>
    <w:rsid w:val="00D14C72"/>
    <w:rsid w:val="00D14EB5"/>
    <w:rsid w:val="00D1518E"/>
    <w:rsid w:val="00D15351"/>
    <w:rsid w:val="00D15FFD"/>
    <w:rsid w:val="00D1668B"/>
    <w:rsid w:val="00D169BA"/>
    <w:rsid w:val="00D16F0D"/>
    <w:rsid w:val="00D17591"/>
    <w:rsid w:val="00D17618"/>
    <w:rsid w:val="00D1762D"/>
    <w:rsid w:val="00D17A41"/>
    <w:rsid w:val="00D20570"/>
    <w:rsid w:val="00D20D3E"/>
    <w:rsid w:val="00D21124"/>
    <w:rsid w:val="00D21CA1"/>
    <w:rsid w:val="00D21FB2"/>
    <w:rsid w:val="00D2257D"/>
    <w:rsid w:val="00D23C69"/>
    <w:rsid w:val="00D2431E"/>
    <w:rsid w:val="00D24EE0"/>
    <w:rsid w:val="00D25941"/>
    <w:rsid w:val="00D25B43"/>
    <w:rsid w:val="00D264E5"/>
    <w:rsid w:val="00D26D80"/>
    <w:rsid w:val="00D26F28"/>
    <w:rsid w:val="00D30EC2"/>
    <w:rsid w:val="00D30F0E"/>
    <w:rsid w:val="00D3153C"/>
    <w:rsid w:val="00D31A09"/>
    <w:rsid w:val="00D32556"/>
    <w:rsid w:val="00D32ACA"/>
    <w:rsid w:val="00D3312A"/>
    <w:rsid w:val="00D33E72"/>
    <w:rsid w:val="00D33EF7"/>
    <w:rsid w:val="00D33F73"/>
    <w:rsid w:val="00D349BA"/>
    <w:rsid w:val="00D34D44"/>
    <w:rsid w:val="00D352EB"/>
    <w:rsid w:val="00D35794"/>
    <w:rsid w:val="00D35D34"/>
    <w:rsid w:val="00D364A6"/>
    <w:rsid w:val="00D36F31"/>
    <w:rsid w:val="00D3716C"/>
    <w:rsid w:val="00D37246"/>
    <w:rsid w:val="00D37F54"/>
    <w:rsid w:val="00D402D3"/>
    <w:rsid w:val="00D403AC"/>
    <w:rsid w:val="00D40C34"/>
    <w:rsid w:val="00D411B5"/>
    <w:rsid w:val="00D415D0"/>
    <w:rsid w:val="00D41645"/>
    <w:rsid w:val="00D41F08"/>
    <w:rsid w:val="00D41FD6"/>
    <w:rsid w:val="00D42573"/>
    <w:rsid w:val="00D42679"/>
    <w:rsid w:val="00D4270B"/>
    <w:rsid w:val="00D429FA"/>
    <w:rsid w:val="00D43ACC"/>
    <w:rsid w:val="00D43C5A"/>
    <w:rsid w:val="00D43EC9"/>
    <w:rsid w:val="00D44224"/>
    <w:rsid w:val="00D445BC"/>
    <w:rsid w:val="00D44BCB"/>
    <w:rsid w:val="00D44E68"/>
    <w:rsid w:val="00D44F1B"/>
    <w:rsid w:val="00D45035"/>
    <w:rsid w:val="00D45649"/>
    <w:rsid w:val="00D459BD"/>
    <w:rsid w:val="00D466BB"/>
    <w:rsid w:val="00D46853"/>
    <w:rsid w:val="00D471DA"/>
    <w:rsid w:val="00D47ABD"/>
    <w:rsid w:val="00D50296"/>
    <w:rsid w:val="00D507F3"/>
    <w:rsid w:val="00D50F16"/>
    <w:rsid w:val="00D51723"/>
    <w:rsid w:val="00D5180D"/>
    <w:rsid w:val="00D51946"/>
    <w:rsid w:val="00D51B58"/>
    <w:rsid w:val="00D51BC1"/>
    <w:rsid w:val="00D51C0B"/>
    <w:rsid w:val="00D52079"/>
    <w:rsid w:val="00D524A9"/>
    <w:rsid w:val="00D52537"/>
    <w:rsid w:val="00D52BFC"/>
    <w:rsid w:val="00D530FF"/>
    <w:rsid w:val="00D533E5"/>
    <w:rsid w:val="00D5378A"/>
    <w:rsid w:val="00D542CA"/>
    <w:rsid w:val="00D544CC"/>
    <w:rsid w:val="00D546AA"/>
    <w:rsid w:val="00D5495E"/>
    <w:rsid w:val="00D54ED0"/>
    <w:rsid w:val="00D56160"/>
    <w:rsid w:val="00D56F7E"/>
    <w:rsid w:val="00D5774F"/>
    <w:rsid w:val="00D57754"/>
    <w:rsid w:val="00D6002B"/>
    <w:rsid w:val="00D603F8"/>
    <w:rsid w:val="00D608A0"/>
    <w:rsid w:val="00D615CD"/>
    <w:rsid w:val="00D61F26"/>
    <w:rsid w:val="00D624DE"/>
    <w:rsid w:val="00D62CB1"/>
    <w:rsid w:val="00D62DD9"/>
    <w:rsid w:val="00D63312"/>
    <w:rsid w:val="00D635D7"/>
    <w:rsid w:val="00D63978"/>
    <w:rsid w:val="00D63B99"/>
    <w:rsid w:val="00D63F9E"/>
    <w:rsid w:val="00D644A7"/>
    <w:rsid w:val="00D645CD"/>
    <w:rsid w:val="00D646D7"/>
    <w:rsid w:val="00D64A83"/>
    <w:rsid w:val="00D64DB6"/>
    <w:rsid w:val="00D65181"/>
    <w:rsid w:val="00D665AF"/>
    <w:rsid w:val="00D66B69"/>
    <w:rsid w:val="00D66D01"/>
    <w:rsid w:val="00D66D9C"/>
    <w:rsid w:val="00D67F16"/>
    <w:rsid w:val="00D705CF"/>
    <w:rsid w:val="00D70D4D"/>
    <w:rsid w:val="00D710C8"/>
    <w:rsid w:val="00D710F4"/>
    <w:rsid w:val="00D7163F"/>
    <w:rsid w:val="00D71B04"/>
    <w:rsid w:val="00D7216D"/>
    <w:rsid w:val="00D726AD"/>
    <w:rsid w:val="00D731A9"/>
    <w:rsid w:val="00D73287"/>
    <w:rsid w:val="00D732E0"/>
    <w:rsid w:val="00D73740"/>
    <w:rsid w:val="00D73867"/>
    <w:rsid w:val="00D73C65"/>
    <w:rsid w:val="00D7440A"/>
    <w:rsid w:val="00D747FD"/>
    <w:rsid w:val="00D74C08"/>
    <w:rsid w:val="00D75111"/>
    <w:rsid w:val="00D75260"/>
    <w:rsid w:val="00D7539D"/>
    <w:rsid w:val="00D754C8"/>
    <w:rsid w:val="00D75538"/>
    <w:rsid w:val="00D76897"/>
    <w:rsid w:val="00D77BE7"/>
    <w:rsid w:val="00D77DC5"/>
    <w:rsid w:val="00D77E1A"/>
    <w:rsid w:val="00D80256"/>
    <w:rsid w:val="00D80CE3"/>
    <w:rsid w:val="00D80E0E"/>
    <w:rsid w:val="00D813D8"/>
    <w:rsid w:val="00D81983"/>
    <w:rsid w:val="00D82525"/>
    <w:rsid w:val="00D827D5"/>
    <w:rsid w:val="00D832A9"/>
    <w:rsid w:val="00D833A3"/>
    <w:rsid w:val="00D8387B"/>
    <w:rsid w:val="00D840CC"/>
    <w:rsid w:val="00D844FB"/>
    <w:rsid w:val="00D84A3D"/>
    <w:rsid w:val="00D84A6C"/>
    <w:rsid w:val="00D84C15"/>
    <w:rsid w:val="00D84C43"/>
    <w:rsid w:val="00D8513B"/>
    <w:rsid w:val="00D860A1"/>
    <w:rsid w:val="00D865A1"/>
    <w:rsid w:val="00D872EF"/>
    <w:rsid w:val="00D877AF"/>
    <w:rsid w:val="00D87A16"/>
    <w:rsid w:val="00D90619"/>
    <w:rsid w:val="00D909E1"/>
    <w:rsid w:val="00D90D4D"/>
    <w:rsid w:val="00D90D8F"/>
    <w:rsid w:val="00D91144"/>
    <w:rsid w:val="00D912DF"/>
    <w:rsid w:val="00D91C94"/>
    <w:rsid w:val="00D91EDC"/>
    <w:rsid w:val="00D920E3"/>
    <w:rsid w:val="00D9215D"/>
    <w:rsid w:val="00D923C6"/>
    <w:rsid w:val="00D929E6"/>
    <w:rsid w:val="00D9318C"/>
    <w:rsid w:val="00D932F7"/>
    <w:rsid w:val="00D935DD"/>
    <w:rsid w:val="00D93941"/>
    <w:rsid w:val="00D93B8E"/>
    <w:rsid w:val="00D9424B"/>
    <w:rsid w:val="00D946BF"/>
    <w:rsid w:val="00D94F62"/>
    <w:rsid w:val="00D95006"/>
    <w:rsid w:val="00D95151"/>
    <w:rsid w:val="00D9533F"/>
    <w:rsid w:val="00D9563D"/>
    <w:rsid w:val="00D956DD"/>
    <w:rsid w:val="00D95A6D"/>
    <w:rsid w:val="00D96941"/>
    <w:rsid w:val="00D96CEC"/>
    <w:rsid w:val="00DA0460"/>
    <w:rsid w:val="00DA22D4"/>
    <w:rsid w:val="00DA2BB0"/>
    <w:rsid w:val="00DA2C8E"/>
    <w:rsid w:val="00DA3275"/>
    <w:rsid w:val="00DA47A2"/>
    <w:rsid w:val="00DA48D0"/>
    <w:rsid w:val="00DA4C8C"/>
    <w:rsid w:val="00DA5A48"/>
    <w:rsid w:val="00DA61BE"/>
    <w:rsid w:val="00DA636C"/>
    <w:rsid w:val="00DA6491"/>
    <w:rsid w:val="00DA67AB"/>
    <w:rsid w:val="00DA729D"/>
    <w:rsid w:val="00DA7615"/>
    <w:rsid w:val="00DA76F3"/>
    <w:rsid w:val="00DB00FC"/>
    <w:rsid w:val="00DB0689"/>
    <w:rsid w:val="00DB08C1"/>
    <w:rsid w:val="00DB0A37"/>
    <w:rsid w:val="00DB0A3D"/>
    <w:rsid w:val="00DB0DB8"/>
    <w:rsid w:val="00DB0ECF"/>
    <w:rsid w:val="00DB154D"/>
    <w:rsid w:val="00DB1BCA"/>
    <w:rsid w:val="00DB3102"/>
    <w:rsid w:val="00DB323A"/>
    <w:rsid w:val="00DB35B8"/>
    <w:rsid w:val="00DB362F"/>
    <w:rsid w:val="00DB45AA"/>
    <w:rsid w:val="00DB472A"/>
    <w:rsid w:val="00DB5AD2"/>
    <w:rsid w:val="00DB64F0"/>
    <w:rsid w:val="00DB6533"/>
    <w:rsid w:val="00DB663B"/>
    <w:rsid w:val="00DB67CF"/>
    <w:rsid w:val="00DB6A47"/>
    <w:rsid w:val="00DB6D88"/>
    <w:rsid w:val="00DB6EBD"/>
    <w:rsid w:val="00DB703C"/>
    <w:rsid w:val="00DB7665"/>
    <w:rsid w:val="00DC02E2"/>
    <w:rsid w:val="00DC056D"/>
    <w:rsid w:val="00DC076C"/>
    <w:rsid w:val="00DC11CE"/>
    <w:rsid w:val="00DC1757"/>
    <w:rsid w:val="00DC2765"/>
    <w:rsid w:val="00DC2DBC"/>
    <w:rsid w:val="00DC3662"/>
    <w:rsid w:val="00DC3844"/>
    <w:rsid w:val="00DC3B82"/>
    <w:rsid w:val="00DC3CFE"/>
    <w:rsid w:val="00DC44A4"/>
    <w:rsid w:val="00DC4840"/>
    <w:rsid w:val="00DC4A3A"/>
    <w:rsid w:val="00DC4D3D"/>
    <w:rsid w:val="00DC51A0"/>
    <w:rsid w:val="00DC5985"/>
    <w:rsid w:val="00DC5C06"/>
    <w:rsid w:val="00DC5C54"/>
    <w:rsid w:val="00DC66B0"/>
    <w:rsid w:val="00DC68F5"/>
    <w:rsid w:val="00DC6F14"/>
    <w:rsid w:val="00DC708E"/>
    <w:rsid w:val="00DC73BC"/>
    <w:rsid w:val="00DC73F8"/>
    <w:rsid w:val="00DC7ADC"/>
    <w:rsid w:val="00DC7E80"/>
    <w:rsid w:val="00DC7F16"/>
    <w:rsid w:val="00DD016F"/>
    <w:rsid w:val="00DD02C5"/>
    <w:rsid w:val="00DD0913"/>
    <w:rsid w:val="00DD0C88"/>
    <w:rsid w:val="00DD1589"/>
    <w:rsid w:val="00DD1752"/>
    <w:rsid w:val="00DD250F"/>
    <w:rsid w:val="00DD25F1"/>
    <w:rsid w:val="00DD272A"/>
    <w:rsid w:val="00DD2933"/>
    <w:rsid w:val="00DD29AB"/>
    <w:rsid w:val="00DD29DC"/>
    <w:rsid w:val="00DD2BCF"/>
    <w:rsid w:val="00DD30DD"/>
    <w:rsid w:val="00DD3D83"/>
    <w:rsid w:val="00DD489C"/>
    <w:rsid w:val="00DD5077"/>
    <w:rsid w:val="00DD5779"/>
    <w:rsid w:val="00DD5A97"/>
    <w:rsid w:val="00DD5B6A"/>
    <w:rsid w:val="00DD5FDF"/>
    <w:rsid w:val="00DD60F8"/>
    <w:rsid w:val="00DD6555"/>
    <w:rsid w:val="00DD686C"/>
    <w:rsid w:val="00DD6CF9"/>
    <w:rsid w:val="00DD6DC0"/>
    <w:rsid w:val="00DD7C08"/>
    <w:rsid w:val="00DD7F12"/>
    <w:rsid w:val="00DE0292"/>
    <w:rsid w:val="00DE12FC"/>
    <w:rsid w:val="00DE15A3"/>
    <w:rsid w:val="00DE1AAE"/>
    <w:rsid w:val="00DE1DC6"/>
    <w:rsid w:val="00DE2AA0"/>
    <w:rsid w:val="00DE2E48"/>
    <w:rsid w:val="00DE31F3"/>
    <w:rsid w:val="00DE396C"/>
    <w:rsid w:val="00DE4105"/>
    <w:rsid w:val="00DE4AAA"/>
    <w:rsid w:val="00DE4BF0"/>
    <w:rsid w:val="00DE58F6"/>
    <w:rsid w:val="00DE615B"/>
    <w:rsid w:val="00DE66EF"/>
    <w:rsid w:val="00DF0456"/>
    <w:rsid w:val="00DF04A9"/>
    <w:rsid w:val="00DF09C5"/>
    <w:rsid w:val="00DF1F3A"/>
    <w:rsid w:val="00DF2621"/>
    <w:rsid w:val="00DF28E6"/>
    <w:rsid w:val="00DF2990"/>
    <w:rsid w:val="00DF354D"/>
    <w:rsid w:val="00DF39CF"/>
    <w:rsid w:val="00DF4537"/>
    <w:rsid w:val="00DF5347"/>
    <w:rsid w:val="00DF5B3E"/>
    <w:rsid w:val="00DF61A0"/>
    <w:rsid w:val="00DF6BD0"/>
    <w:rsid w:val="00DF6E42"/>
    <w:rsid w:val="00DF73A1"/>
    <w:rsid w:val="00DF74F7"/>
    <w:rsid w:val="00DF7966"/>
    <w:rsid w:val="00DF7B2D"/>
    <w:rsid w:val="00DF7C53"/>
    <w:rsid w:val="00E004C3"/>
    <w:rsid w:val="00E005C4"/>
    <w:rsid w:val="00E017FE"/>
    <w:rsid w:val="00E01A0B"/>
    <w:rsid w:val="00E01C88"/>
    <w:rsid w:val="00E01D85"/>
    <w:rsid w:val="00E0203B"/>
    <w:rsid w:val="00E02111"/>
    <w:rsid w:val="00E0268C"/>
    <w:rsid w:val="00E032DB"/>
    <w:rsid w:val="00E03346"/>
    <w:rsid w:val="00E041D6"/>
    <w:rsid w:val="00E04B8A"/>
    <w:rsid w:val="00E04DCB"/>
    <w:rsid w:val="00E05193"/>
    <w:rsid w:val="00E05533"/>
    <w:rsid w:val="00E055B3"/>
    <w:rsid w:val="00E05667"/>
    <w:rsid w:val="00E05B26"/>
    <w:rsid w:val="00E060B7"/>
    <w:rsid w:val="00E06157"/>
    <w:rsid w:val="00E063AD"/>
    <w:rsid w:val="00E065A0"/>
    <w:rsid w:val="00E06D8C"/>
    <w:rsid w:val="00E06EFC"/>
    <w:rsid w:val="00E073B5"/>
    <w:rsid w:val="00E077F7"/>
    <w:rsid w:val="00E11537"/>
    <w:rsid w:val="00E11611"/>
    <w:rsid w:val="00E11686"/>
    <w:rsid w:val="00E117F3"/>
    <w:rsid w:val="00E11825"/>
    <w:rsid w:val="00E118F8"/>
    <w:rsid w:val="00E11DD9"/>
    <w:rsid w:val="00E11EE5"/>
    <w:rsid w:val="00E11EE7"/>
    <w:rsid w:val="00E11FB8"/>
    <w:rsid w:val="00E12301"/>
    <w:rsid w:val="00E12404"/>
    <w:rsid w:val="00E12E88"/>
    <w:rsid w:val="00E12F94"/>
    <w:rsid w:val="00E13069"/>
    <w:rsid w:val="00E1313D"/>
    <w:rsid w:val="00E1334B"/>
    <w:rsid w:val="00E1368E"/>
    <w:rsid w:val="00E13779"/>
    <w:rsid w:val="00E145A3"/>
    <w:rsid w:val="00E14A97"/>
    <w:rsid w:val="00E15823"/>
    <w:rsid w:val="00E16CBA"/>
    <w:rsid w:val="00E16E09"/>
    <w:rsid w:val="00E20146"/>
    <w:rsid w:val="00E20E25"/>
    <w:rsid w:val="00E2112A"/>
    <w:rsid w:val="00E2133D"/>
    <w:rsid w:val="00E21D7D"/>
    <w:rsid w:val="00E21F01"/>
    <w:rsid w:val="00E22827"/>
    <w:rsid w:val="00E22BEE"/>
    <w:rsid w:val="00E23724"/>
    <w:rsid w:val="00E23E34"/>
    <w:rsid w:val="00E23F79"/>
    <w:rsid w:val="00E24690"/>
    <w:rsid w:val="00E24876"/>
    <w:rsid w:val="00E24878"/>
    <w:rsid w:val="00E24ECF"/>
    <w:rsid w:val="00E250D3"/>
    <w:rsid w:val="00E25528"/>
    <w:rsid w:val="00E26229"/>
    <w:rsid w:val="00E26E21"/>
    <w:rsid w:val="00E26F3A"/>
    <w:rsid w:val="00E271F1"/>
    <w:rsid w:val="00E2724B"/>
    <w:rsid w:val="00E272AF"/>
    <w:rsid w:val="00E2778F"/>
    <w:rsid w:val="00E27C00"/>
    <w:rsid w:val="00E3009E"/>
    <w:rsid w:val="00E30469"/>
    <w:rsid w:val="00E30704"/>
    <w:rsid w:val="00E30977"/>
    <w:rsid w:val="00E30C6D"/>
    <w:rsid w:val="00E30CFF"/>
    <w:rsid w:val="00E3158D"/>
    <w:rsid w:val="00E3178F"/>
    <w:rsid w:val="00E31D88"/>
    <w:rsid w:val="00E31E0C"/>
    <w:rsid w:val="00E32091"/>
    <w:rsid w:val="00E3279F"/>
    <w:rsid w:val="00E32F17"/>
    <w:rsid w:val="00E33215"/>
    <w:rsid w:val="00E33652"/>
    <w:rsid w:val="00E3371F"/>
    <w:rsid w:val="00E338D1"/>
    <w:rsid w:val="00E33949"/>
    <w:rsid w:val="00E345BD"/>
    <w:rsid w:val="00E35A57"/>
    <w:rsid w:val="00E35DA1"/>
    <w:rsid w:val="00E35F94"/>
    <w:rsid w:val="00E373E2"/>
    <w:rsid w:val="00E37CE3"/>
    <w:rsid w:val="00E40149"/>
    <w:rsid w:val="00E40183"/>
    <w:rsid w:val="00E40F19"/>
    <w:rsid w:val="00E4108F"/>
    <w:rsid w:val="00E4137F"/>
    <w:rsid w:val="00E41497"/>
    <w:rsid w:val="00E4151B"/>
    <w:rsid w:val="00E416AE"/>
    <w:rsid w:val="00E417C0"/>
    <w:rsid w:val="00E41BC1"/>
    <w:rsid w:val="00E41E2E"/>
    <w:rsid w:val="00E426B3"/>
    <w:rsid w:val="00E4292C"/>
    <w:rsid w:val="00E42965"/>
    <w:rsid w:val="00E42EDA"/>
    <w:rsid w:val="00E4319E"/>
    <w:rsid w:val="00E43DC3"/>
    <w:rsid w:val="00E43E07"/>
    <w:rsid w:val="00E44880"/>
    <w:rsid w:val="00E44DA6"/>
    <w:rsid w:val="00E45935"/>
    <w:rsid w:val="00E459BA"/>
    <w:rsid w:val="00E45AB8"/>
    <w:rsid w:val="00E45F82"/>
    <w:rsid w:val="00E46667"/>
    <w:rsid w:val="00E466BF"/>
    <w:rsid w:val="00E472CF"/>
    <w:rsid w:val="00E476CE"/>
    <w:rsid w:val="00E47AF4"/>
    <w:rsid w:val="00E47B71"/>
    <w:rsid w:val="00E47BF0"/>
    <w:rsid w:val="00E47C15"/>
    <w:rsid w:val="00E500CB"/>
    <w:rsid w:val="00E50831"/>
    <w:rsid w:val="00E51120"/>
    <w:rsid w:val="00E5143C"/>
    <w:rsid w:val="00E514DF"/>
    <w:rsid w:val="00E5285F"/>
    <w:rsid w:val="00E53441"/>
    <w:rsid w:val="00E54586"/>
    <w:rsid w:val="00E555C0"/>
    <w:rsid w:val="00E5593C"/>
    <w:rsid w:val="00E55C4B"/>
    <w:rsid w:val="00E56525"/>
    <w:rsid w:val="00E569F4"/>
    <w:rsid w:val="00E577EB"/>
    <w:rsid w:val="00E57877"/>
    <w:rsid w:val="00E57CBA"/>
    <w:rsid w:val="00E6014D"/>
    <w:rsid w:val="00E6061B"/>
    <w:rsid w:val="00E60C0A"/>
    <w:rsid w:val="00E60DBD"/>
    <w:rsid w:val="00E60EC3"/>
    <w:rsid w:val="00E611A6"/>
    <w:rsid w:val="00E611EE"/>
    <w:rsid w:val="00E6208F"/>
    <w:rsid w:val="00E62D0B"/>
    <w:rsid w:val="00E63251"/>
    <w:rsid w:val="00E63550"/>
    <w:rsid w:val="00E635DB"/>
    <w:rsid w:val="00E640BE"/>
    <w:rsid w:val="00E648F3"/>
    <w:rsid w:val="00E65074"/>
    <w:rsid w:val="00E65A85"/>
    <w:rsid w:val="00E65AD6"/>
    <w:rsid w:val="00E65D1C"/>
    <w:rsid w:val="00E65F07"/>
    <w:rsid w:val="00E665A6"/>
    <w:rsid w:val="00E675C7"/>
    <w:rsid w:val="00E67C1E"/>
    <w:rsid w:val="00E7004D"/>
    <w:rsid w:val="00E706F7"/>
    <w:rsid w:val="00E709DB"/>
    <w:rsid w:val="00E71222"/>
    <w:rsid w:val="00E71302"/>
    <w:rsid w:val="00E71614"/>
    <w:rsid w:val="00E718C1"/>
    <w:rsid w:val="00E7287D"/>
    <w:rsid w:val="00E72F9B"/>
    <w:rsid w:val="00E7343A"/>
    <w:rsid w:val="00E73688"/>
    <w:rsid w:val="00E73857"/>
    <w:rsid w:val="00E73ACE"/>
    <w:rsid w:val="00E73FE4"/>
    <w:rsid w:val="00E7461E"/>
    <w:rsid w:val="00E7537E"/>
    <w:rsid w:val="00E75E27"/>
    <w:rsid w:val="00E75F76"/>
    <w:rsid w:val="00E762FE"/>
    <w:rsid w:val="00E7648D"/>
    <w:rsid w:val="00E769A1"/>
    <w:rsid w:val="00E76E39"/>
    <w:rsid w:val="00E77467"/>
    <w:rsid w:val="00E77552"/>
    <w:rsid w:val="00E77834"/>
    <w:rsid w:val="00E77DB3"/>
    <w:rsid w:val="00E80C88"/>
    <w:rsid w:val="00E80DC9"/>
    <w:rsid w:val="00E80EA8"/>
    <w:rsid w:val="00E811F8"/>
    <w:rsid w:val="00E813CC"/>
    <w:rsid w:val="00E813F4"/>
    <w:rsid w:val="00E8142F"/>
    <w:rsid w:val="00E8171A"/>
    <w:rsid w:val="00E81A13"/>
    <w:rsid w:val="00E81A29"/>
    <w:rsid w:val="00E81C3B"/>
    <w:rsid w:val="00E823AE"/>
    <w:rsid w:val="00E8253C"/>
    <w:rsid w:val="00E82B52"/>
    <w:rsid w:val="00E82EEC"/>
    <w:rsid w:val="00E830E3"/>
    <w:rsid w:val="00E83933"/>
    <w:rsid w:val="00E84737"/>
    <w:rsid w:val="00E848EA"/>
    <w:rsid w:val="00E84B3E"/>
    <w:rsid w:val="00E84C09"/>
    <w:rsid w:val="00E84D92"/>
    <w:rsid w:val="00E84E5A"/>
    <w:rsid w:val="00E8597E"/>
    <w:rsid w:val="00E85ACE"/>
    <w:rsid w:val="00E85B2B"/>
    <w:rsid w:val="00E86934"/>
    <w:rsid w:val="00E87082"/>
    <w:rsid w:val="00E876EF"/>
    <w:rsid w:val="00E87C4D"/>
    <w:rsid w:val="00E87CF0"/>
    <w:rsid w:val="00E909AA"/>
    <w:rsid w:val="00E90AE2"/>
    <w:rsid w:val="00E90E3E"/>
    <w:rsid w:val="00E911E7"/>
    <w:rsid w:val="00E916AC"/>
    <w:rsid w:val="00E91FCC"/>
    <w:rsid w:val="00E925D9"/>
    <w:rsid w:val="00E92EDA"/>
    <w:rsid w:val="00E9312D"/>
    <w:rsid w:val="00E93193"/>
    <w:rsid w:val="00E93A10"/>
    <w:rsid w:val="00E93D99"/>
    <w:rsid w:val="00E93DAB"/>
    <w:rsid w:val="00E9433A"/>
    <w:rsid w:val="00E9448B"/>
    <w:rsid w:val="00E944EC"/>
    <w:rsid w:val="00E94697"/>
    <w:rsid w:val="00E949BE"/>
    <w:rsid w:val="00E94FD8"/>
    <w:rsid w:val="00E952DB"/>
    <w:rsid w:val="00E960DD"/>
    <w:rsid w:val="00E96277"/>
    <w:rsid w:val="00E96A2D"/>
    <w:rsid w:val="00E96C42"/>
    <w:rsid w:val="00E972B8"/>
    <w:rsid w:val="00EA022B"/>
    <w:rsid w:val="00EA1007"/>
    <w:rsid w:val="00EA1451"/>
    <w:rsid w:val="00EA19CB"/>
    <w:rsid w:val="00EA1BD8"/>
    <w:rsid w:val="00EA273D"/>
    <w:rsid w:val="00EA2C3D"/>
    <w:rsid w:val="00EA3171"/>
    <w:rsid w:val="00EA3AD8"/>
    <w:rsid w:val="00EA44EA"/>
    <w:rsid w:val="00EA4DB6"/>
    <w:rsid w:val="00EA5A61"/>
    <w:rsid w:val="00EA5EA0"/>
    <w:rsid w:val="00EA65D8"/>
    <w:rsid w:val="00EA662E"/>
    <w:rsid w:val="00EA6F18"/>
    <w:rsid w:val="00EA7D93"/>
    <w:rsid w:val="00EA7FC3"/>
    <w:rsid w:val="00EB04B0"/>
    <w:rsid w:val="00EB098D"/>
    <w:rsid w:val="00EB0CC5"/>
    <w:rsid w:val="00EB0D5B"/>
    <w:rsid w:val="00EB12FE"/>
    <w:rsid w:val="00EB1452"/>
    <w:rsid w:val="00EB1A2F"/>
    <w:rsid w:val="00EB1F79"/>
    <w:rsid w:val="00EB2BD0"/>
    <w:rsid w:val="00EB4158"/>
    <w:rsid w:val="00EB4265"/>
    <w:rsid w:val="00EB461B"/>
    <w:rsid w:val="00EB507B"/>
    <w:rsid w:val="00EB53B6"/>
    <w:rsid w:val="00EB5855"/>
    <w:rsid w:val="00EB58F3"/>
    <w:rsid w:val="00EB62BA"/>
    <w:rsid w:val="00EB6665"/>
    <w:rsid w:val="00EB67D4"/>
    <w:rsid w:val="00EB699B"/>
    <w:rsid w:val="00EB6D2F"/>
    <w:rsid w:val="00EB7313"/>
    <w:rsid w:val="00EB77D5"/>
    <w:rsid w:val="00EB7962"/>
    <w:rsid w:val="00EB7E6C"/>
    <w:rsid w:val="00EC00CB"/>
    <w:rsid w:val="00EC01C8"/>
    <w:rsid w:val="00EC030E"/>
    <w:rsid w:val="00EC03C4"/>
    <w:rsid w:val="00EC05E9"/>
    <w:rsid w:val="00EC1098"/>
    <w:rsid w:val="00EC1157"/>
    <w:rsid w:val="00EC14E2"/>
    <w:rsid w:val="00EC1717"/>
    <w:rsid w:val="00EC1FF6"/>
    <w:rsid w:val="00EC2004"/>
    <w:rsid w:val="00EC2112"/>
    <w:rsid w:val="00EC2344"/>
    <w:rsid w:val="00EC39D9"/>
    <w:rsid w:val="00EC3EFD"/>
    <w:rsid w:val="00EC40EF"/>
    <w:rsid w:val="00EC4745"/>
    <w:rsid w:val="00EC4D6A"/>
    <w:rsid w:val="00EC550E"/>
    <w:rsid w:val="00EC5AFD"/>
    <w:rsid w:val="00EC5C3C"/>
    <w:rsid w:val="00EC6896"/>
    <w:rsid w:val="00EC6D53"/>
    <w:rsid w:val="00EC6E3A"/>
    <w:rsid w:val="00EC73B4"/>
    <w:rsid w:val="00EC7C8C"/>
    <w:rsid w:val="00ED005A"/>
    <w:rsid w:val="00ED0529"/>
    <w:rsid w:val="00ED082A"/>
    <w:rsid w:val="00ED0BA0"/>
    <w:rsid w:val="00ED12B1"/>
    <w:rsid w:val="00ED1D8A"/>
    <w:rsid w:val="00ED28E2"/>
    <w:rsid w:val="00ED3DDA"/>
    <w:rsid w:val="00ED43CB"/>
    <w:rsid w:val="00ED5928"/>
    <w:rsid w:val="00ED59A8"/>
    <w:rsid w:val="00ED61A6"/>
    <w:rsid w:val="00ED6420"/>
    <w:rsid w:val="00ED6424"/>
    <w:rsid w:val="00ED6AF2"/>
    <w:rsid w:val="00ED6BBF"/>
    <w:rsid w:val="00ED6C52"/>
    <w:rsid w:val="00ED6E0B"/>
    <w:rsid w:val="00ED72C0"/>
    <w:rsid w:val="00ED7726"/>
    <w:rsid w:val="00ED79CD"/>
    <w:rsid w:val="00ED7BDF"/>
    <w:rsid w:val="00ED7E01"/>
    <w:rsid w:val="00EE0A3F"/>
    <w:rsid w:val="00EE0A80"/>
    <w:rsid w:val="00EE1BB4"/>
    <w:rsid w:val="00EE271B"/>
    <w:rsid w:val="00EE2F10"/>
    <w:rsid w:val="00EE3072"/>
    <w:rsid w:val="00EE354B"/>
    <w:rsid w:val="00EE3A78"/>
    <w:rsid w:val="00EE4C4C"/>
    <w:rsid w:val="00EE52D0"/>
    <w:rsid w:val="00EE5572"/>
    <w:rsid w:val="00EE57A6"/>
    <w:rsid w:val="00EE6011"/>
    <w:rsid w:val="00EE64A8"/>
    <w:rsid w:val="00EE69F9"/>
    <w:rsid w:val="00EE7051"/>
    <w:rsid w:val="00EE7809"/>
    <w:rsid w:val="00EF05FB"/>
    <w:rsid w:val="00EF0DAC"/>
    <w:rsid w:val="00EF107B"/>
    <w:rsid w:val="00EF1A48"/>
    <w:rsid w:val="00EF1A57"/>
    <w:rsid w:val="00EF1B66"/>
    <w:rsid w:val="00EF2D80"/>
    <w:rsid w:val="00EF3828"/>
    <w:rsid w:val="00EF38F7"/>
    <w:rsid w:val="00EF43B7"/>
    <w:rsid w:val="00EF446E"/>
    <w:rsid w:val="00EF4C1A"/>
    <w:rsid w:val="00EF4DBA"/>
    <w:rsid w:val="00EF5421"/>
    <w:rsid w:val="00EF5A76"/>
    <w:rsid w:val="00EF609F"/>
    <w:rsid w:val="00EF6311"/>
    <w:rsid w:val="00EF6645"/>
    <w:rsid w:val="00EF69D0"/>
    <w:rsid w:val="00EF6E29"/>
    <w:rsid w:val="00EF6FFD"/>
    <w:rsid w:val="00EF7115"/>
    <w:rsid w:val="00F00452"/>
    <w:rsid w:val="00F0095D"/>
    <w:rsid w:val="00F00A28"/>
    <w:rsid w:val="00F00DE8"/>
    <w:rsid w:val="00F01558"/>
    <w:rsid w:val="00F02821"/>
    <w:rsid w:val="00F028CE"/>
    <w:rsid w:val="00F02FF3"/>
    <w:rsid w:val="00F03115"/>
    <w:rsid w:val="00F037E0"/>
    <w:rsid w:val="00F04C42"/>
    <w:rsid w:val="00F04E15"/>
    <w:rsid w:val="00F055D2"/>
    <w:rsid w:val="00F062B8"/>
    <w:rsid w:val="00F063F4"/>
    <w:rsid w:val="00F06615"/>
    <w:rsid w:val="00F068A6"/>
    <w:rsid w:val="00F0699D"/>
    <w:rsid w:val="00F06AE9"/>
    <w:rsid w:val="00F06D44"/>
    <w:rsid w:val="00F06F67"/>
    <w:rsid w:val="00F06FEB"/>
    <w:rsid w:val="00F070EB"/>
    <w:rsid w:val="00F07891"/>
    <w:rsid w:val="00F079B7"/>
    <w:rsid w:val="00F07ABB"/>
    <w:rsid w:val="00F07C5C"/>
    <w:rsid w:val="00F07CA7"/>
    <w:rsid w:val="00F07CF4"/>
    <w:rsid w:val="00F10005"/>
    <w:rsid w:val="00F10368"/>
    <w:rsid w:val="00F1053D"/>
    <w:rsid w:val="00F107DF"/>
    <w:rsid w:val="00F11252"/>
    <w:rsid w:val="00F12256"/>
    <w:rsid w:val="00F122BC"/>
    <w:rsid w:val="00F1248A"/>
    <w:rsid w:val="00F12AD5"/>
    <w:rsid w:val="00F13121"/>
    <w:rsid w:val="00F1342F"/>
    <w:rsid w:val="00F1360C"/>
    <w:rsid w:val="00F13663"/>
    <w:rsid w:val="00F13B41"/>
    <w:rsid w:val="00F13E05"/>
    <w:rsid w:val="00F14575"/>
    <w:rsid w:val="00F14FF0"/>
    <w:rsid w:val="00F15091"/>
    <w:rsid w:val="00F1552B"/>
    <w:rsid w:val="00F15A3C"/>
    <w:rsid w:val="00F15BCB"/>
    <w:rsid w:val="00F162B8"/>
    <w:rsid w:val="00F16571"/>
    <w:rsid w:val="00F16951"/>
    <w:rsid w:val="00F171D9"/>
    <w:rsid w:val="00F202C0"/>
    <w:rsid w:val="00F2056D"/>
    <w:rsid w:val="00F205CA"/>
    <w:rsid w:val="00F2069B"/>
    <w:rsid w:val="00F211AE"/>
    <w:rsid w:val="00F21655"/>
    <w:rsid w:val="00F216DF"/>
    <w:rsid w:val="00F21BB3"/>
    <w:rsid w:val="00F21D6C"/>
    <w:rsid w:val="00F22109"/>
    <w:rsid w:val="00F22387"/>
    <w:rsid w:val="00F22627"/>
    <w:rsid w:val="00F229CF"/>
    <w:rsid w:val="00F22D72"/>
    <w:rsid w:val="00F23212"/>
    <w:rsid w:val="00F236A0"/>
    <w:rsid w:val="00F236ED"/>
    <w:rsid w:val="00F240E7"/>
    <w:rsid w:val="00F24117"/>
    <w:rsid w:val="00F24EAE"/>
    <w:rsid w:val="00F259F4"/>
    <w:rsid w:val="00F25BE5"/>
    <w:rsid w:val="00F26309"/>
    <w:rsid w:val="00F26E44"/>
    <w:rsid w:val="00F277A1"/>
    <w:rsid w:val="00F27AD1"/>
    <w:rsid w:val="00F27B46"/>
    <w:rsid w:val="00F27DDC"/>
    <w:rsid w:val="00F300DC"/>
    <w:rsid w:val="00F30D62"/>
    <w:rsid w:val="00F30E37"/>
    <w:rsid w:val="00F316BA"/>
    <w:rsid w:val="00F317C6"/>
    <w:rsid w:val="00F3219D"/>
    <w:rsid w:val="00F330D8"/>
    <w:rsid w:val="00F33548"/>
    <w:rsid w:val="00F336CA"/>
    <w:rsid w:val="00F34D27"/>
    <w:rsid w:val="00F353D1"/>
    <w:rsid w:val="00F356F5"/>
    <w:rsid w:val="00F35E1B"/>
    <w:rsid w:val="00F3611A"/>
    <w:rsid w:val="00F36AEF"/>
    <w:rsid w:val="00F36B64"/>
    <w:rsid w:val="00F36C0A"/>
    <w:rsid w:val="00F36E8E"/>
    <w:rsid w:val="00F373A9"/>
    <w:rsid w:val="00F374C9"/>
    <w:rsid w:val="00F374CA"/>
    <w:rsid w:val="00F37537"/>
    <w:rsid w:val="00F375B0"/>
    <w:rsid w:val="00F4001B"/>
    <w:rsid w:val="00F403E7"/>
    <w:rsid w:val="00F406CE"/>
    <w:rsid w:val="00F40958"/>
    <w:rsid w:val="00F40E52"/>
    <w:rsid w:val="00F410D7"/>
    <w:rsid w:val="00F419FC"/>
    <w:rsid w:val="00F41B09"/>
    <w:rsid w:val="00F42B55"/>
    <w:rsid w:val="00F42C8B"/>
    <w:rsid w:val="00F4352D"/>
    <w:rsid w:val="00F4372B"/>
    <w:rsid w:val="00F4380A"/>
    <w:rsid w:val="00F439EE"/>
    <w:rsid w:val="00F43C19"/>
    <w:rsid w:val="00F457A7"/>
    <w:rsid w:val="00F45BFC"/>
    <w:rsid w:val="00F45DCB"/>
    <w:rsid w:val="00F45E1D"/>
    <w:rsid w:val="00F45F56"/>
    <w:rsid w:val="00F46810"/>
    <w:rsid w:val="00F47965"/>
    <w:rsid w:val="00F47A8F"/>
    <w:rsid w:val="00F50758"/>
    <w:rsid w:val="00F508E4"/>
    <w:rsid w:val="00F51303"/>
    <w:rsid w:val="00F51D21"/>
    <w:rsid w:val="00F51D26"/>
    <w:rsid w:val="00F530B3"/>
    <w:rsid w:val="00F539B3"/>
    <w:rsid w:val="00F539BB"/>
    <w:rsid w:val="00F53DEA"/>
    <w:rsid w:val="00F54055"/>
    <w:rsid w:val="00F54225"/>
    <w:rsid w:val="00F54829"/>
    <w:rsid w:val="00F56438"/>
    <w:rsid w:val="00F56C65"/>
    <w:rsid w:val="00F56FB4"/>
    <w:rsid w:val="00F572EB"/>
    <w:rsid w:val="00F5773F"/>
    <w:rsid w:val="00F57A01"/>
    <w:rsid w:val="00F60589"/>
    <w:rsid w:val="00F606D6"/>
    <w:rsid w:val="00F607B5"/>
    <w:rsid w:val="00F60830"/>
    <w:rsid w:val="00F60F5E"/>
    <w:rsid w:val="00F6103D"/>
    <w:rsid w:val="00F613BB"/>
    <w:rsid w:val="00F61553"/>
    <w:rsid w:val="00F61671"/>
    <w:rsid w:val="00F61B00"/>
    <w:rsid w:val="00F61F96"/>
    <w:rsid w:val="00F625B0"/>
    <w:rsid w:val="00F63047"/>
    <w:rsid w:val="00F630D6"/>
    <w:rsid w:val="00F635E7"/>
    <w:rsid w:val="00F63CD9"/>
    <w:rsid w:val="00F63E48"/>
    <w:rsid w:val="00F645B4"/>
    <w:rsid w:val="00F64753"/>
    <w:rsid w:val="00F64B46"/>
    <w:rsid w:val="00F6514E"/>
    <w:rsid w:val="00F65369"/>
    <w:rsid w:val="00F66125"/>
    <w:rsid w:val="00F6631B"/>
    <w:rsid w:val="00F66FB4"/>
    <w:rsid w:val="00F673F1"/>
    <w:rsid w:val="00F7077B"/>
    <w:rsid w:val="00F7082C"/>
    <w:rsid w:val="00F70B86"/>
    <w:rsid w:val="00F70EE1"/>
    <w:rsid w:val="00F70FA4"/>
    <w:rsid w:val="00F7115C"/>
    <w:rsid w:val="00F72349"/>
    <w:rsid w:val="00F726F7"/>
    <w:rsid w:val="00F72964"/>
    <w:rsid w:val="00F7390A"/>
    <w:rsid w:val="00F7390E"/>
    <w:rsid w:val="00F73E4A"/>
    <w:rsid w:val="00F73F6D"/>
    <w:rsid w:val="00F741BA"/>
    <w:rsid w:val="00F74BCB"/>
    <w:rsid w:val="00F74CF4"/>
    <w:rsid w:val="00F74D33"/>
    <w:rsid w:val="00F74ECE"/>
    <w:rsid w:val="00F7526D"/>
    <w:rsid w:val="00F75673"/>
    <w:rsid w:val="00F75773"/>
    <w:rsid w:val="00F757C0"/>
    <w:rsid w:val="00F758EB"/>
    <w:rsid w:val="00F75C16"/>
    <w:rsid w:val="00F75E5D"/>
    <w:rsid w:val="00F7645C"/>
    <w:rsid w:val="00F769C9"/>
    <w:rsid w:val="00F76A47"/>
    <w:rsid w:val="00F77C73"/>
    <w:rsid w:val="00F80778"/>
    <w:rsid w:val="00F808C7"/>
    <w:rsid w:val="00F815AC"/>
    <w:rsid w:val="00F815CB"/>
    <w:rsid w:val="00F81ABF"/>
    <w:rsid w:val="00F8207B"/>
    <w:rsid w:val="00F82BE2"/>
    <w:rsid w:val="00F82E3E"/>
    <w:rsid w:val="00F836F6"/>
    <w:rsid w:val="00F83D60"/>
    <w:rsid w:val="00F84D3C"/>
    <w:rsid w:val="00F85EE3"/>
    <w:rsid w:val="00F86B80"/>
    <w:rsid w:val="00F86C2F"/>
    <w:rsid w:val="00F87108"/>
    <w:rsid w:val="00F876BB"/>
    <w:rsid w:val="00F87705"/>
    <w:rsid w:val="00F87749"/>
    <w:rsid w:val="00F87E0A"/>
    <w:rsid w:val="00F91094"/>
    <w:rsid w:val="00F918CE"/>
    <w:rsid w:val="00F92326"/>
    <w:rsid w:val="00F92582"/>
    <w:rsid w:val="00F92752"/>
    <w:rsid w:val="00F9336D"/>
    <w:rsid w:val="00F93880"/>
    <w:rsid w:val="00F940B4"/>
    <w:rsid w:val="00F94553"/>
    <w:rsid w:val="00F9478E"/>
    <w:rsid w:val="00F9535C"/>
    <w:rsid w:val="00F977F0"/>
    <w:rsid w:val="00FA07D9"/>
    <w:rsid w:val="00FA134C"/>
    <w:rsid w:val="00FA1505"/>
    <w:rsid w:val="00FA171A"/>
    <w:rsid w:val="00FA1E0B"/>
    <w:rsid w:val="00FA3227"/>
    <w:rsid w:val="00FA4493"/>
    <w:rsid w:val="00FA455B"/>
    <w:rsid w:val="00FA598C"/>
    <w:rsid w:val="00FA6506"/>
    <w:rsid w:val="00FA7360"/>
    <w:rsid w:val="00FA7511"/>
    <w:rsid w:val="00FA76B8"/>
    <w:rsid w:val="00FA7A92"/>
    <w:rsid w:val="00FA7E8D"/>
    <w:rsid w:val="00FB0075"/>
    <w:rsid w:val="00FB064A"/>
    <w:rsid w:val="00FB075B"/>
    <w:rsid w:val="00FB0A20"/>
    <w:rsid w:val="00FB0D4F"/>
    <w:rsid w:val="00FB117B"/>
    <w:rsid w:val="00FB1F35"/>
    <w:rsid w:val="00FB21C6"/>
    <w:rsid w:val="00FB25C4"/>
    <w:rsid w:val="00FB25CD"/>
    <w:rsid w:val="00FB262A"/>
    <w:rsid w:val="00FB2802"/>
    <w:rsid w:val="00FB29FE"/>
    <w:rsid w:val="00FB2E48"/>
    <w:rsid w:val="00FB300B"/>
    <w:rsid w:val="00FB3092"/>
    <w:rsid w:val="00FB3229"/>
    <w:rsid w:val="00FB3BE4"/>
    <w:rsid w:val="00FB40DA"/>
    <w:rsid w:val="00FB42FE"/>
    <w:rsid w:val="00FB470C"/>
    <w:rsid w:val="00FB4C7D"/>
    <w:rsid w:val="00FB4DDB"/>
    <w:rsid w:val="00FB50B7"/>
    <w:rsid w:val="00FB5815"/>
    <w:rsid w:val="00FB5F33"/>
    <w:rsid w:val="00FB616F"/>
    <w:rsid w:val="00FB6905"/>
    <w:rsid w:val="00FB7AA5"/>
    <w:rsid w:val="00FB7AC2"/>
    <w:rsid w:val="00FC0166"/>
    <w:rsid w:val="00FC02D9"/>
    <w:rsid w:val="00FC04E7"/>
    <w:rsid w:val="00FC0513"/>
    <w:rsid w:val="00FC0AAA"/>
    <w:rsid w:val="00FC1160"/>
    <w:rsid w:val="00FC131B"/>
    <w:rsid w:val="00FC1659"/>
    <w:rsid w:val="00FC1867"/>
    <w:rsid w:val="00FC1FEA"/>
    <w:rsid w:val="00FC20CE"/>
    <w:rsid w:val="00FC24ED"/>
    <w:rsid w:val="00FC3190"/>
    <w:rsid w:val="00FC3666"/>
    <w:rsid w:val="00FC3952"/>
    <w:rsid w:val="00FC396A"/>
    <w:rsid w:val="00FC3EB3"/>
    <w:rsid w:val="00FC3EE3"/>
    <w:rsid w:val="00FC45DF"/>
    <w:rsid w:val="00FC487E"/>
    <w:rsid w:val="00FC4953"/>
    <w:rsid w:val="00FC4E49"/>
    <w:rsid w:val="00FC5BE8"/>
    <w:rsid w:val="00FC5E5E"/>
    <w:rsid w:val="00FC5F41"/>
    <w:rsid w:val="00FC64F9"/>
    <w:rsid w:val="00FC664F"/>
    <w:rsid w:val="00FC67B2"/>
    <w:rsid w:val="00FC77EA"/>
    <w:rsid w:val="00FC7BDC"/>
    <w:rsid w:val="00FC7C10"/>
    <w:rsid w:val="00FD01D7"/>
    <w:rsid w:val="00FD05A6"/>
    <w:rsid w:val="00FD0BD5"/>
    <w:rsid w:val="00FD1097"/>
    <w:rsid w:val="00FD124F"/>
    <w:rsid w:val="00FD1274"/>
    <w:rsid w:val="00FD1C99"/>
    <w:rsid w:val="00FD1D4D"/>
    <w:rsid w:val="00FD1DE1"/>
    <w:rsid w:val="00FD1E48"/>
    <w:rsid w:val="00FD1F39"/>
    <w:rsid w:val="00FD2201"/>
    <w:rsid w:val="00FD2715"/>
    <w:rsid w:val="00FD27C7"/>
    <w:rsid w:val="00FD2A0A"/>
    <w:rsid w:val="00FD2BB8"/>
    <w:rsid w:val="00FD2DDC"/>
    <w:rsid w:val="00FD2F1A"/>
    <w:rsid w:val="00FD351A"/>
    <w:rsid w:val="00FD39B6"/>
    <w:rsid w:val="00FD3B20"/>
    <w:rsid w:val="00FD4220"/>
    <w:rsid w:val="00FD5368"/>
    <w:rsid w:val="00FD561D"/>
    <w:rsid w:val="00FD6529"/>
    <w:rsid w:val="00FD6AB6"/>
    <w:rsid w:val="00FD6D5F"/>
    <w:rsid w:val="00FD71A7"/>
    <w:rsid w:val="00FD75FE"/>
    <w:rsid w:val="00FD7714"/>
    <w:rsid w:val="00FD77AE"/>
    <w:rsid w:val="00FD7CFD"/>
    <w:rsid w:val="00FE0189"/>
    <w:rsid w:val="00FE0286"/>
    <w:rsid w:val="00FE0362"/>
    <w:rsid w:val="00FE0FCC"/>
    <w:rsid w:val="00FE1B5E"/>
    <w:rsid w:val="00FE1BF2"/>
    <w:rsid w:val="00FE1C81"/>
    <w:rsid w:val="00FE24DE"/>
    <w:rsid w:val="00FE2697"/>
    <w:rsid w:val="00FE2A8D"/>
    <w:rsid w:val="00FE4441"/>
    <w:rsid w:val="00FE45D6"/>
    <w:rsid w:val="00FE512F"/>
    <w:rsid w:val="00FE58CE"/>
    <w:rsid w:val="00FE5CC3"/>
    <w:rsid w:val="00FE5E9D"/>
    <w:rsid w:val="00FE6A30"/>
    <w:rsid w:val="00FE705C"/>
    <w:rsid w:val="00FE7C00"/>
    <w:rsid w:val="00FF0264"/>
    <w:rsid w:val="00FF096D"/>
    <w:rsid w:val="00FF09E6"/>
    <w:rsid w:val="00FF0B58"/>
    <w:rsid w:val="00FF0B64"/>
    <w:rsid w:val="00FF14FD"/>
    <w:rsid w:val="00FF19B6"/>
    <w:rsid w:val="00FF1AF2"/>
    <w:rsid w:val="00FF1CD9"/>
    <w:rsid w:val="00FF1E38"/>
    <w:rsid w:val="00FF20EF"/>
    <w:rsid w:val="00FF2BFC"/>
    <w:rsid w:val="00FF2DEC"/>
    <w:rsid w:val="00FF338A"/>
    <w:rsid w:val="00FF4252"/>
    <w:rsid w:val="00FF48F0"/>
    <w:rsid w:val="00FF4B06"/>
    <w:rsid w:val="00FF4C7D"/>
    <w:rsid w:val="00FF57DE"/>
    <w:rsid w:val="00FF5C48"/>
    <w:rsid w:val="00FF5DAC"/>
    <w:rsid w:val="00FF642D"/>
    <w:rsid w:val="00FF6D7E"/>
    <w:rsid w:val="00FF6EE9"/>
    <w:rsid w:val="00FF7BD3"/>
    <w:rsid w:val="01070D5B"/>
    <w:rsid w:val="012B4701"/>
    <w:rsid w:val="016519C1"/>
    <w:rsid w:val="022C0730"/>
    <w:rsid w:val="029055F2"/>
    <w:rsid w:val="03256A6C"/>
    <w:rsid w:val="04042D0E"/>
    <w:rsid w:val="0457395D"/>
    <w:rsid w:val="049A1135"/>
    <w:rsid w:val="04F62CC6"/>
    <w:rsid w:val="04F75026"/>
    <w:rsid w:val="0627537E"/>
    <w:rsid w:val="063F1B74"/>
    <w:rsid w:val="06511BDB"/>
    <w:rsid w:val="06D67F4E"/>
    <w:rsid w:val="079C68A2"/>
    <w:rsid w:val="07FB4E2D"/>
    <w:rsid w:val="08FF1C4F"/>
    <w:rsid w:val="09026AD0"/>
    <w:rsid w:val="099C4F73"/>
    <w:rsid w:val="0A6D12FD"/>
    <w:rsid w:val="0AA25E42"/>
    <w:rsid w:val="0AE915AD"/>
    <w:rsid w:val="0CE17CCE"/>
    <w:rsid w:val="0DE528B2"/>
    <w:rsid w:val="0E153F87"/>
    <w:rsid w:val="0E4210EA"/>
    <w:rsid w:val="0F3906E3"/>
    <w:rsid w:val="0FB331CF"/>
    <w:rsid w:val="10220782"/>
    <w:rsid w:val="10945E1E"/>
    <w:rsid w:val="1104788D"/>
    <w:rsid w:val="117D7491"/>
    <w:rsid w:val="12257ED3"/>
    <w:rsid w:val="124021EA"/>
    <w:rsid w:val="134F56BC"/>
    <w:rsid w:val="13B06731"/>
    <w:rsid w:val="15727405"/>
    <w:rsid w:val="15D14E87"/>
    <w:rsid w:val="15E2164D"/>
    <w:rsid w:val="1655529B"/>
    <w:rsid w:val="16D276A1"/>
    <w:rsid w:val="170A0AC1"/>
    <w:rsid w:val="171B2DF6"/>
    <w:rsid w:val="17F024A2"/>
    <w:rsid w:val="1852322F"/>
    <w:rsid w:val="19707ECA"/>
    <w:rsid w:val="198F32D7"/>
    <w:rsid w:val="19982807"/>
    <w:rsid w:val="19DD4C7B"/>
    <w:rsid w:val="1ADD2620"/>
    <w:rsid w:val="1AF27DCA"/>
    <w:rsid w:val="1CA96AFA"/>
    <w:rsid w:val="1CF3211F"/>
    <w:rsid w:val="1EB3776D"/>
    <w:rsid w:val="1F0505AA"/>
    <w:rsid w:val="1F99438F"/>
    <w:rsid w:val="201723F5"/>
    <w:rsid w:val="218B0FE2"/>
    <w:rsid w:val="21DE15EF"/>
    <w:rsid w:val="21FB5F9F"/>
    <w:rsid w:val="232C7925"/>
    <w:rsid w:val="233A68EF"/>
    <w:rsid w:val="23C32EA5"/>
    <w:rsid w:val="240B2444"/>
    <w:rsid w:val="25581A1E"/>
    <w:rsid w:val="25F42177"/>
    <w:rsid w:val="26325A66"/>
    <w:rsid w:val="28100C39"/>
    <w:rsid w:val="296D4414"/>
    <w:rsid w:val="299A404E"/>
    <w:rsid w:val="2BA04E22"/>
    <w:rsid w:val="2C9D7EF2"/>
    <w:rsid w:val="2CB10376"/>
    <w:rsid w:val="2CB25CAD"/>
    <w:rsid w:val="2CE518DA"/>
    <w:rsid w:val="2D7B4600"/>
    <w:rsid w:val="2DAA682A"/>
    <w:rsid w:val="2E906696"/>
    <w:rsid w:val="30D27BFF"/>
    <w:rsid w:val="315A3AB0"/>
    <w:rsid w:val="31627594"/>
    <w:rsid w:val="316A0959"/>
    <w:rsid w:val="32336DA8"/>
    <w:rsid w:val="343F7577"/>
    <w:rsid w:val="350D28DD"/>
    <w:rsid w:val="36190749"/>
    <w:rsid w:val="362476E7"/>
    <w:rsid w:val="365F6866"/>
    <w:rsid w:val="36E42F24"/>
    <w:rsid w:val="375A306E"/>
    <w:rsid w:val="3779394E"/>
    <w:rsid w:val="37AC6F13"/>
    <w:rsid w:val="382471D8"/>
    <w:rsid w:val="386701FE"/>
    <w:rsid w:val="38C36302"/>
    <w:rsid w:val="395E279D"/>
    <w:rsid w:val="398639DA"/>
    <w:rsid w:val="399E016A"/>
    <w:rsid w:val="39AB2C49"/>
    <w:rsid w:val="39CC5CA5"/>
    <w:rsid w:val="39E84962"/>
    <w:rsid w:val="3A1F2107"/>
    <w:rsid w:val="3A6A3C67"/>
    <w:rsid w:val="3B514788"/>
    <w:rsid w:val="3B850AC5"/>
    <w:rsid w:val="3C691664"/>
    <w:rsid w:val="3CD10763"/>
    <w:rsid w:val="3D1141CF"/>
    <w:rsid w:val="3DC101DC"/>
    <w:rsid w:val="3E6A1E9A"/>
    <w:rsid w:val="3EC740AE"/>
    <w:rsid w:val="3EF26852"/>
    <w:rsid w:val="40463AB2"/>
    <w:rsid w:val="408C6AF0"/>
    <w:rsid w:val="40B125C4"/>
    <w:rsid w:val="4105127D"/>
    <w:rsid w:val="414E5934"/>
    <w:rsid w:val="414F1CE3"/>
    <w:rsid w:val="415A3C6B"/>
    <w:rsid w:val="41AE4EAF"/>
    <w:rsid w:val="423701A9"/>
    <w:rsid w:val="428B3060"/>
    <w:rsid w:val="42C7370C"/>
    <w:rsid w:val="42ED4682"/>
    <w:rsid w:val="431E13F4"/>
    <w:rsid w:val="438B5E28"/>
    <w:rsid w:val="43B70AA5"/>
    <w:rsid w:val="43CC3F57"/>
    <w:rsid w:val="446975B0"/>
    <w:rsid w:val="44E9142E"/>
    <w:rsid w:val="450767A6"/>
    <w:rsid w:val="45927683"/>
    <w:rsid w:val="474437DB"/>
    <w:rsid w:val="48B5750F"/>
    <w:rsid w:val="48BD578B"/>
    <w:rsid w:val="4915618A"/>
    <w:rsid w:val="4936230A"/>
    <w:rsid w:val="496E3E68"/>
    <w:rsid w:val="49BF569E"/>
    <w:rsid w:val="4A44148A"/>
    <w:rsid w:val="4A9D5667"/>
    <w:rsid w:val="4ABE2425"/>
    <w:rsid w:val="4AF313B8"/>
    <w:rsid w:val="4C63224B"/>
    <w:rsid w:val="4C9902DE"/>
    <w:rsid w:val="4CBD5F40"/>
    <w:rsid w:val="4E72713C"/>
    <w:rsid w:val="4EC71947"/>
    <w:rsid w:val="4EF67F74"/>
    <w:rsid w:val="4FA73922"/>
    <w:rsid w:val="4FD429BA"/>
    <w:rsid w:val="52020133"/>
    <w:rsid w:val="52394B8E"/>
    <w:rsid w:val="525A4C06"/>
    <w:rsid w:val="52846B32"/>
    <w:rsid w:val="52FF2013"/>
    <w:rsid w:val="54756B99"/>
    <w:rsid w:val="566E6A89"/>
    <w:rsid w:val="57A04D4E"/>
    <w:rsid w:val="59CD78E2"/>
    <w:rsid w:val="59F91C8A"/>
    <w:rsid w:val="5A082F03"/>
    <w:rsid w:val="5A7B5AE7"/>
    <w:rsid w:val="5A89391C"/>
    <w:rsid w:val="5C537D94"/>
    <w:rsid w:val="5EF86B45"/>
    <w:rsid w:val="5F2E53A7"/>
    <w:rsid w:val="60445D2B"/>
    <w:rsid w:val="60C35633"/>
    <w:rsid w:val="622A255E"/>
    <w:rsid w:val="62352B74"/>
    <w:rsid w:val="62F31AFE"/>
    <w:rsid w:val="63401284"/>
    <w:rsid w:val="637D586B"/>
    <w:rsid w:val="63A30F39"/>
    <w:rsid w:val="63DE2FB6"/>
    <w:rsid w:val="656960A7"/>
    <w:rsid w:val="65FF6A62"/>
    <w:rsid w:val="660F392F"/>
    <w:rsid w:val="684F2AD7"/>
    <w:rsid w:val="6885769C"/>
    <w:rsid w:val="68B2354E"/>
    <w:rsid w:val="68BF2482"/>
    <w:rsid w:val="68CD27E4"/>
    <w:rsid w:val="69347DA2"/>
    <w:rsid w:val="69531548"/>
    <w:rsid w:val="6B0D0B90"/>
    <w:rsid w:val="6BA505A7"/>
    <w:rsid w:val="6C8568E0"/>
    <w:rsid w:val="6D3C22F3"/>
    <w:rsid w:val="6E7100B0"/>
    <w:rsid w:val="6EC55B40"/>
    <w:rsid w:val="6ED722D3"/>
    <w:rsid w:val="6FB371C8"/>
    <w:rsid w:val="70763D6E"/>
    <w:rsid w:val="70AE6D6B"/>
    <w:rsid w:val="70FB0888"/>
    <w:rsid w:val="711523CD"/>
    <w:rsid w:val="724F27D3"/>
    <w:rsid w:val="73FF59A1"/>
    <w:rsid w:val="74207BDF"/>
    <w:rsid w:val="752A3C63"/>
    <w:rsid w:val="759440A8"/>
    <w:rsid w:val="75D837BA"/>
    <w:rsid w:val="7606432D"/>
    <w:rsid w:val="76571146"/>
    <w:rsid w:val="76B07CC5"/>
    <w:rsid w:val="77866F8C"/>
    <w:rsid w:val="788052B3"/>
    <w:rsid w:val="78D44C99"/>
    <w:rsid w:val="79AC155B"/>
    <w:rsid w:val="79E61F64"/>
    <w:rsid w:val="7A2478D5"/>
    <w:rsid w:val="7A8C4B1E"/>
    <w:rsid w:val="7ABB3FE8"/>
    <w:rsid w:val="7B384E18"/>
    <w:rsid w:val="7B4B5C2E"/>
    <w:rsid w:val="7C4E5F17"/>
    <w:rsid w:val="7C987E8D"/>
    <w:rsid w:val="7CC919D8"/>
    <w:rsid w:val="7DA243F4"/>
    <w:rsid w:val="7DDD290B"/>
    <w:rsid w:val="7EAB07F1"/>
    <w:rsid w:val="7F3C0728"/>
    <w:rsid w:val="7F765924"/>
    <w:rsid w:val="7F98382B"/>
    <w:rsid w:val="7FF60A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0" w:name="index 2"/>
    <w:lsdException w:uiPriority="0" w:name="index 3"/>
    <w:lsdException w:qFormat="1" w:uiPriority="99" w:semiHidden="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iPriority="99" w:semiHidden="0" w:name="annotation text"/>
    <w:lsdException w:qFormat="1" w:unhideWhenUsed="0" w:uiPriority="0" w:semiHidden="0" w:name="header"/>
    <w:lsdException w:qFormat="1" w:unhideWhenUsed="0" w:uiPriority="0"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qFormat="1" w:unhideWhenUsed="0" w:uiPriority="0" w:semiHidden="0" w:name="footnote reference"/>
    <w:lsdException w:qFormat="1"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qFormat="1"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uiPriority="0" w:name="List Number"/>
    <w:lsdException w:qFormat="1" w:unhideWhenUsed="0" w:uiPriority="0" w:semiHidden="0" w:name="List 2"/>
    <w:lsdException w:qFormat="1" w:unhideWhenUsed="0" w:uiPriority="0" w:semiHidden="0" w:name="List 3"/>
    <w:lsdException w:uiPriority="0" w:name="List 4"/>
    <w:lsdException w:qFormat="1"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99"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qFormat="1"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99" w:semiHidden="0" w:name="Subtitle"/>
    <w:lsdException w:uiPriority="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nhideWhenUsed="0" w:uiPriority="99" w:semiHidden="0" w:name="HTML Preformatted"/>
    <w:lsdException w:uiPriority="0" w:name="HTML Sample"/>
    <w:lsdException w:uiPriority="0" w:name="HTML Typewriter"/>
    <w:lsdException w:uiPriority="0"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0"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iPriority="0" w:semiHidden="0" w:name="Table Grid"/>
    <w:lsdException w:uiPriority="0"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99" w:semiHidden="0" w:name="Quote"/>
    <w:lsdException w:qFormat="1" w:unhideWhenUsed="0" w:uiPriority="99"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link w:val="68"/>
    <w:qFormat/>
    <w:uiPriority w:val="0"/>
    <w:pPr>
      <w:keepNext/>
      <w:keepLines/>
      <w:spacing w:before="120" w:after="120"/>
      <w:jc w:val="center"/>
      <w:outlineLvl w:val="0"/>
    </w:pPr>
    <w:rPr>
      <w:b/>
      <w:spacing w:val="20"/>
      <w:kern w:val="44"/>
      <w:sz w:val="32"/>
    </w:rPr>
  </w:style>
  <w:style w:type="paragraph" w:styleId="4">
    <w:name w:val="heading 2"/>
    <w:basedOn w:val="1"/>
    <w:next w:val="1"/>
    <w:link w:val="70"/>
    <w:qFormat/>
    <w:uiPriority w:val="0"/>
    <w:pPr>
      <w:keepNext/>
      <w:keepLines/>
      <w:spacing w:line="400" w:lineRule="exact"/>
      <w:jc w:val="center"/>
      <w:outlineLvl w:val="1"/>
    </w:pPr>
    <w:rPr>
      <w:rFonts w:ascii="Arial" w:hAnsi="Arial"/>
      <w:b/>
      <w:kern w:val="0"/>
      <w:sz w:val="30"/>
    </w:rPr>
  </w:style>
  <w:style w:type="paragraph" w:styleId="5">
    <w:name w:val="heading 3"/>
    <w:basedOn w:val="1"/>
    <w:next w:val="1"/>
    <w:link w:val="65"/>
    <w:qFormat/>
    <w:uiPriority w:val="0"/>
    <w:pPr>
      <w:keepNext/>
      <w:keepLines/>
      <w:spacing w:before="60" w:after="60" w:line="500" w:lineRule="exact"/>
      <w:ind w:firstLine="510"/>
      <w:outlineLvl w:val="2"/>
    </w:pPr>
    <w:rPr>
      <w:rFonts w:ascii="宋体"/>
      <w:b/>
      <w:sz w:val="24"/>
    </w:rPr>
  </w:style>
  <w:style w:type="paragraph" w:styleId="6">
    <w:name w:val="heading 4"/>
    <w:basedOn w:val="1"/>
    <w:next w:val="1"/>
    <w:link w:val="71"/>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1"/>
    <w:link w:val="72"/>
    <w:qFormat/>
    <w:uiPriority w:val="0"/>
    <w:pPr>
      <w:keepNext/>
      <w:jc w:val="center"/>
      <w:outlineLvl w:val="4"/>
    </w:pPr>
    <w:rPr>
      <w:rFonts w:ascii="仿宋_GB2312" w:eastAsia="仿宋_GB2312"/>
      <w:b/>
      <w:bCs/>
      <w:sz w:val="24"/>
    </w:rPr>
  </w:style>
  <w:style w:type="paragraph" w:styleId="8">
    <w:name w:val="heading 6"/>
    <w:basedOn w:val="1"/>
    <w:next w:val="1"/>
    <w:link w:val="73"/>
    <w:qFormat/>
    <w:uiPriority w:val="0"/>
    <w:pPr>
      <w:keepNext/>
      <w:keepLines/>
      <w:widowControl/>
      <w:numPr>
        <w:ilvl w:val="5"/>
        <w:numId w:val="1"/>
      </w:numPr>
      <w:tabs>
        <w:tab w:val="left" w:pos="1440"/>
      </w:tabs>
      <w:spacing w:before="240" w:after="64" w:line="317" w:lineRule="auto"/>
      <w:jc w:val="left"/>
      <w:outlineLvl w:val="5"/>
    </w:pPr>
    <w:rPr>
      <w:rFonts w:ascii="Arial" w:hAnsi="Arial" w:eastAsia="黑体"/>
      <w:b/>
      <w:bCs/>
      <w:kern w:val="0"/>
      <w:sz w:val="24"/>
      <w:szCs w:val="24"/>
    </w:rPr>
  </w:style>
  <w:style w:type="paragraph" w:styleId="9">
    <w:name w:val="heading 7"/>
    <w:basedOn w:val="1"/>
    <w:next w:val="1"/>
    <w:link w:val="74"/>
    <w:qFormat/>
    <w:uiPriority w:val="0"/>
    <w:pPr>
      <w:keepNext/>
      <w:keepLines/>
      <w:widowControl/>
      <w:tabs>
        <w:tab w:val="left" w:pos="2520"/>
        <w:tab w:val="left" w:pos="3472"/>
      </w:tabs>
      <w:spacing w:before="240" w:after="64" w:line="317" w:lineRule="auto"/>
      <w:ind w:left="3472" w:hanging="420"/>
      <w:jc w:val="left"/>
      <w:outlineLvl w:val="6"/>
    </w:pPr>
    <w:rPr>
      <w:b/>
      <w:bCs/>
      <w:kern w:val="0"/>
      <w:sz w:val="24"/>
      <w:szCs w:val="24"/>
    </w:rPr>
  </w:style>
  <w:style w:type="paragraph" w:styleId="10">
    <w:name w:val="heading 8"/>
    <w:basedOn w:val="1"/>
    <w:next w:val="1"/>
    <w:link w:val="75"/>
    <w:qFormat/>
    <w:uiPriority w:val="0"/>
    <w:pPr>
      <w:keepNext/>
      <w:keepLines/>
      <w:widowControl/>
      <w:tabs>
        <w:tab w:val="left" w:pos="1440"/>
        <w:tab w:val="left" w:pos="3892"/>
      </w:tabs>
      <w:spacing w:before="240" w:after="64" w:line="317" w:lineRule="auto"/>
      <w:ind w:left="3892" w:hanging="420"/>
      <w:jc w:val="left"/>
      <w:outlineLvl w:val="7"/>
    </w:pPr>
    <w:rPr>
      <w:rFonts w:ascii="Arial" w:hAnsi="Arial" w:eastAsia="黑体"/>
      <w:kern w:val="0"/>
      <w:sz w:val="24"/>
      <w:szCs w:val="24"/>
    </w:rPr>
  </w:style>
  <w:style w:type="paragraph" w:styleId="11">
    <w:name w:val="heading 9"/>
    <w:basedOn w:val="1"/>
    <w:next w:val="1"/>
    <w:link w:val="76"/>
    <w:qFormat/>
    <w:uiPriority w:val="0"/>
    <w:pPr>
      <w:keepNext/>
      <w:keepLines/>
      <w:widowControl/>
      <w:tabs>
        <w:tab w:val="left" w:pos="1584"/>
        <w:tab w:val="left" w:pos="4312"/>
      </w:tabs>
      <w:spacing w:before="240" w:after="64" w:line="317" w:lineRule="auto"/>
      <w:ind w:left="4312" w:hanging="420"/>
      <w:jc w:val="left"/>
      <w:outlineLvl w:val="8"/>
    </w:pPr>
    <w:rPr>
      <w:rFonts w:ascii="Arial" w:hAnsi="Arial" w:eastAsia="黑体"/>
      <w:kern w:val="0"/>
      <w:szCs w:val="21"/>
    </w:rPr>
  </w:style>
  <w:style w:type="character" w:default="1" w:styleId="57">
    <w:name w:val="Default Paragraph Font"/>
    <w:semiHidden/>
    <w:unhideWhenUsed/>
    <w:qFormat/>
    <w:uiPriority w:val="1"/>
  </w:style>
  <w:style w:type="table" w:default="1" w:styleId="55">
    <w:name w:val="Normal Table"/>
    <w:semiHidden/>
    <w:unhideWhenUsed/>
    <w:qFormat/>
    <w:uiPriority w:val="99"/>
    <w:tblPr>
      <w:tblCellMar>
        <w:top w:w="0" w:type="dxa"/>
        <w:left w:w="108" w:type="dxa"/>
        <w:bottom w:w="0" w:type="dxa"/>
        <w:right w:w="108" w:type="dxa"/>
      </w:tblCellMar>
    </w:tblPr>
  </w:style>
  <w:style w:type="paragraph" w:styleId="2">
    <w:name w:val="macro"/>
    <w:link w:val="176"/>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宋体" w:cs="Times New Roman"/>
      <w:sz w:val="24"/>
      <w:szCs w:val="24"/>
      <w:lang w:val="en-US" w:eastAsia="zh-CN" w:bidi="ar-SA"/>
    </w:rPr>
  </w:style>
  <w:style w:type="paragraph" w:styleId="12">
    <w:name w:val="List 3"/>
    <w:basedOn w:val="1"/>
    <w:qFormat/>
    <w:uiPriority w:val="0"/>
    <w:pPr>
      <w:ind w:left="100" w:leftChars="400" w:hanging="200" w:hangingChars="200"/>
    </w:pPr>
    <w:rPr>
      <w:szCs w:val="24"/>
    </w:rPr>
  </w:style>
  <w:style w:type="paragraph" w:styleId="13">
    <w:name w:val="toc 7"/>
    <w:basedOn w:val="1"/>
    <w:next w:val="1"/>
    <w:qFormat/>
    <w:uiPriority w:val="39"/>
    <w:pPr>
      <w:ind w:left="1260"/>
      <w:jc w:val="left"/>
    </w:pPr>
    <w:rPr>
      <w:rFonts w:asciiTheme="minorHAnsi" w:hAnsiTheme="minorHAnsi" w:cstheme="minorHAnsi"/>
      <w:sz w:val="18"/>
      <w:szCs w:val="18"/>
    </w:rPr>
  </w:style>
  <w:style w:type="paragraph" w:styleId="14">
    <w:name w:val="Normal Indent"/>
    <w:basedOn w:val="1"/>
    <w:link w:val="69"/>
    <w:qFormat/>
    <w:uiPriority w:val="0"/>
    <w:pPr>
      <w:ind w:firstLine="420"/>
    </w:pPr>
  </w:style>
  <w:style w:type="paragraph" w:styleId="15">
    <w:name w:val="caption"/>
    <w:basedOn w:val="1"/>
    <w:next w:val="1"/>
    <w:link w:val="382"/>
    <w:qFormat/>
    <w:uiPriority w:val="0"/>
    <w:rPr>
      <w:rFonts w:ascii="Arial" w:hAnsi="Arial" w:eastAsia="黑体" w:cs="Arial"/>
      <w:sz w:val="20"/>
    </w:rPr>
  </w:style>
  <w:style w:type="paragraph" w:styleId="16">
    <w:name w:val="List Bullet"/>
    <w:basedOn w:val="1"/>
    <w:qFormat/>
    <w:uiPriority w:val="0"/>
    <w:pPr>
      <w:tabs>
        <w:tab w:val="left" w:pos="360"/>
        <w:tab w:val="left" w:pos="432"/>
      </w:tabs>
      <w:ind w:left="432" w:hanging="432"/>
    </w:pPr>
    <w:rPr>
      <w:szCs w:val="24"/>
    </w:rPr>
  </w:style>
  <w:style w:type="paragraph" w:styleId="17">
    <w:name w:val="Document Map"/>
    <w:basedOn w:val="1"/>
    <w:link w:val="116"/>
    <w:qFormat/>
    <w:uiPriority w:val="0"/>
    <w:pPr>
      <w:shd w:val="clear" w:color="auto" w:fill="000080"/>
    </w:pPr>
  </w:style>
  <w:style w:type="paragraph" w:styleId="18">
    <w:name w:val="toa heading"/>
    <w:basedOn w:val="1"/>
    <w:next w:val="1"/>
    <w:qFormat/>
    <w:uiPriority w:val="0"/>
    <w:pPr>
      <w:spacing w:before="120"/>
    </w:pPr>
    <w:rPr>
      <w:rFonts w:ascii="Arial" w:hAnsi="Arial" w:cs="Arial"/>
      <w:sz w:val="24"/>
      <w:szCs w:val="24"/>
    </w:rPr>
  </w:style>
  <w:style w:type="paragraph" w:styleId="19">
    <w:name w:val="annotation text"/>
    <w:basedOn w:val="1"/>
    <w:link w:val="142"/>
    <w:unhideWhenUsed/>
    <w:qFormat/>
    <w:uiPriority w:val="99"/>
    <w:pPr>
      <w:jc w:val="left"/>
    </w:pPr>
  </w:style>
  <w:style w:type="paragraph" w:styleId="20">
    <w:name w:val="Body Text 3"/>
    <w:basedOn w:val="1"/>
    <w:link w:val="175"/>
    <w:qFormat/>
    <w:uiPriority w:val="0"/>
    <w:pPr>
      <w:widowControl/>
      <w:spacing w:after="120"/>
      <w:jc w:val="left"/>
    </w:pPr>
    <w:rPr>
      <w:kern w:val="0"/>
      <w:sz w:val="16"/>
      <w:szCs w:val="16"/>
    </w:rPr>
  </w:style>
  <w:style w:type="paragraph" w:styleId="21">
    <w:name w:val="Body Text"/>
    <w:basedOn w:val="1"/>
    <w:next w:val="1"/>
    <w:link w:val="125"/>
    <w:qFormat/>
    <w:uiPriority w:val="0"/>
    <w:pPr>
      <w:adjustRightInd w:val="0"/>
      <w:spacing w:line="440" w:lineRule="exact"/>
    </w:pPr>
    <w:rPr>
      <w:rFonts w:ascii="宋体" w:hAnsi="宋体"/>
      <w:bCs/>
      <w:color w:val="000000"/>
      <w:sz w:val="24"/>
    </w:rPr>
  </w:style>
  <w:style w:type="paragraph" w:styleId="22">
    <w:name w:val="Body Text Indent"/>
    <w:basedOn w:val="1"/>
    <w:link w:val="127"/>
    <w:qFormat/>
    <w:uiPriority w:val="0"/>
    <w:pPr>
      <w:spacing w:line="460" w:lineRule="exact"/>
      <w:ind w:firstLine="510"/>
    </w:pPr>
  </w:style>
  <w:style w:type="paragraph" w:styleId="23">
    <w:name w:val="List 2"/>
    <w:basedOn w:val="1"/>
    <w:qFormat/>
    <w:uiPriority w:val="0"/>
    <w:pPr>
      <w:ind w:left="100" w:leftChars="200" w:hanging="200" w:hangingChars="200"/>
    </w:pPr>
    <w:rPr>
      <w:szCs w:val="24"/>
    </w:rPr>
  </w:style>
  <w:style w:type="paragraph" w:styleId="24">
    <w:name w:val="Block Text"/>
    <w:basedOn w:val="1"/>
    <w:qFormat/>
    <w:uiPriority w:val="0"/>
    <w:pPr>
      <w:widowControl/>
      <w:spacing w:after="120"/>
      <w:ind w:left="1440" w:leftChars="700" w:right="1440" w:rightChars="700"/>
      <w:jc w:val="left"/>
    </w:pPr>
    <w:rPr>
      <w:kern w:val="0"/>
      <w:sz w:val="20"/>
    </w:rPr>
  </w:style>
  <w:style w:type="paragraph" w:styleId="25">
    <w:name w:val="index 4"/>
    <w:basedOn w:val="1"/>
    <w:next w:val="1"/>
    <w:unhideWhenUsed/>
    <w:qFormat/>
    <w:uiPriority w:val="99"/>
    <w:pPr>
      <w:ind w:left="600" w:leftChars="600"/>
    </w:pPr>
    <w:rPr>
      <w:szCs w:val="24"/>
    </w:rPr>
  </w:style>
  <w:style w:type="paragraph" w:styleId="26">
    <w:name w:val="toc 5"/>
    <w:basedOn w:val="1"/>
    <w:next w:val="1"/>
    <w:qFormat/>
    <w:uiPriority w:val="39"/>
    <w:pPr>
      <w:ind w:left="840"/>
      <w:jc w:val="left"/>
    </w:pPr>
    <w:rPr>
      <w:rFonts w:asciiTheme="minorHAnsi" w:hAnsiTheme="minorHAnsi" w:cstheme="minorHAnsi"/>
      <w:sz w:val="18"/>
      <w:szCs w:val="18"/>
    </w:rPr>
  </w:style>
  <w:style w:type="paragraph" w:styleId="27">
    <w:name w:val="toc 3"/>
    <w:basedOn w:val="1"/>
    <w:next w:val="1"/>
    <w:qFormat/>
    <w:uiPriority w:val="39"/>
    <w:pPr>
      <w:ind w:left="420"/>
      <w:jc w:val="left"/>
    </w:pPr>
    <w:rPr>
      <w:rFonts w:asciiTheme="minorHAnsi" w:hAnsiTheme="minorHAnsi" w:cstheme="minorHAnsi"/>
      <w:i/>
      <w:iCs/>
      <w:sz w:val="20"/>
    </w:rPr>
  </w:style>
  <w:style w:type="paragraph" w:styleId="28">
    <w:name w:val="Plain Text"/>
    <w:basedOn w:val="1"/>
    <w:next w:val="29"/>
    <w:link w:val="77"/>
    <w:qFormat/>
    <w:uiPriority w:val="99"/>
    <w:rPr>
      <w:rFonts w:ascii="宋体" w:hAnsi="Courier New"/>
    </w:rPr>
  </w:style>
  <w:style w:type="paragraph" w:customStyle="1" w:styleId="29">
    <w:name w:val="p0"/>
    <w:basedOn w:val="1"/>
    <w:next w:val="30"/>
    <w:link w:val="326"/>
    <w:qFormat/>
    <w:uiPriority w:val="0"/>
    <w:pPr>
      <w:widowControl/>
    </w:pPr>
    <w:rPr>
      <w:kern w:val="0"/>
      <w:szCs w:val="21"/>
    </w:rPr>
  </w:style>
  <w:style w:type="paragraph" w:styleId="30">
    <w:name w:val="List 5"/>
    <w:next w:val="31"/>
    <w:unhideWhenUsed/>
    <w:qFormat/>
    <w:uiPriority w:val="0"/>
    <w:pPr>
      <w:widowControl w:val="0"/>
      <w:ind w:left="2100" w:hanging="420"/>
      <w:jc w:val="both"/>
    </w:pPr>
    <w:rPr>
      <w:rFonts w:ascii="Calibri" w:hAnsi="Calibri" w:eastAsia="宋体" w:cs="Times New Roman"/>
      <w:kern w:val="2"/>
      <w:sz w:val="21"/>
      <w:szCs w:val="22"/>
      <w:lang w:val="en-US" w:eastAsia="zh-CN" w:bidi="ar-SA"/>
    </w:rPr>
  </w:style>
  <w:style w:type="paragraph" w:styleId="31">
    <w:name w:val="toc 1"/>
    <w:basedOn w:val="32"/>
    <w:next w:val="1"/>
    <w:qFormat/>
    <w:uiPriority w:val="39"/>
    <w:pPr>
      <w:spacing w:before="120" w:after="120"/>
      <w:jc w:val="left"/>
    </w:pPr>
    <w:rPr>
      <w:rFonts w:asciiTheme="minorHAnsi" w:hAnsiTheme="minorHAnsi" w:cstheme="minorHAnsi"/>
      <w:b/>
      <w:bCs/>
      <w:caps/>
      <w:sz w:val="20"/>
    </w:rPr>
  </w:style>
  <w:style w:type="paragraph" w:styleId="32">
    <w:name w:val="index 1"/>
    <w:basedOn w:val="1"/>
    <w:next w:val="1"/>
    <w:qFormat/>
    <w:uiPriority w:val="0"/>
    <w:rPr>
      <w:rFonts w:ascii="宋体" w:hAnsi="宋体"/>
      <w:sz w:val="24"/>
      <w:szCs w:val="24"/>
    </w:rPr>
  </w:style>
  <w:style w:type="paragraph" w:styleId="33">
    <w:name w:val="toc 8"/>
    <w:basedOn w:val="1"/>
    <w:next w:val="1"/>
    <w:qFormat/>
    <w:uiPriority w:val="39"/>
    <w:pPr>
      <w:ind w:left="1470"/>
      <w:jc w:val="left"/>
    </w:pPr>
    <w:rPr>
      <w:rFonts w:asciiTheme="minorHAnsi" w:hAnsiTheme="minorHAnsi" w:cstheme="minorHAnsi"/>
      <w:sz w:val="18"/>
      <w:szCs w:val="18"/>
    </w:rPr>
  </w:style>
  <w:style w:type="paragraph" w:styleId="34">
    <w:name w:val="Date"/>
    <w:basedOn w:val="1"/>
    <w:next w:val="1"/>
    <w:link w:val="80"/>
    <w:qFormat/>
    <w:uiPriority w:val="0"/>
    <w:pPr>
      <w:ind w:left="100" w:leftChars="2500"/>
    </w:pPr>
    <w:rPr>
      <w:rFonts w:eastAsia="楷体_GB2312"/>
      <w:sz w:val="48"/>
      <w:szCs w:val="24"/>
    </w:rPr>
  </w:style>
  <w:style w:type="paragraph" w:styleId="35">
    <w:name w:val="Body Text Indent 2"/>
    <w:basedOn w:val="1"/>
    <w:link w:val="101"/>
    <w:qFormat/>
    <w:uiPriority w:val="0"/>
    <w:pPr>
      <w:spacing w:line="500" w:lineRule="exact"/>
      <w:ind w:firstLine="510"/>
    </w:pPr>
    <w:rPr>
      <w:rFonts w:ascii="宋体"/>
      <w:sz w:val="24"/>
    </w:rPr>
  </w:style>
  <w:style w:type="paragraph" w:styleId="36">
    <w:name w:val="Balloon Text"/>
    <w:basedOn w:val="1"/>
    <w:link w:val="124"/>
    <w:qFormat/>
    <w:uiPriority w:val="99"/>
    <w:rPr>
      <w:sz w:val="18"/>
      <w:szCs w:val="18"/>
    </w:rPr>
  </w:style>
  <w:style w:type="paragraph" w:styleId="37">
    <w:name w:val="footer"/>
    <w:basedOn w:val="1"/>
    <w:link w:val="133"/>
    <w:qFormat/>
    <w:uiPriority w:val="0"/>
    <w:pPr>
      <w:tabs>
        <w:tab w:val="center" w:pos="4153"/>
        <w:tab w:val="right" w:pos="8306"/>
      </w:tabs>
      <w:snapToGrid w:val="0"/>
      <w:jc w:val="left"/>
    </w:pPr>
    <w:rPr>
      <w:sz w:val="18"/>
    </w:rPr>
  </w:style>
  <w:style w:type="paragraph" w:styleId="38">
    <w:name w:val="header"/>
    <w:basedOn w:val="1"/>
    <w:link w:val="115"/>
    <w:qFormat/>
    <w:uiPriority w:val="0"/>
    <w:pPr>
      <w:pBdr>
        <w:bottom w:val="single" w:color="auto" w:sz="6" w:space="1"/>
      </w:pBdr>
      <w:tabs>
        <w:tab w:val="center" w:pos="4153"/>
        <w:tab w:val="right" w:pos="8306"/>
      </w:tabs>
      <w:snapToGrid w:val="0"/>
      <w:jc w:val="center"/>
    </w:pPr>
    <w:rPr>
      <w:sz w:val="18"/>
    </w:rPr>
  </w:style>
  <w:style w:type="paragraph" w:styleId="39">
    <w:name w:val="toc 4"/>
    <w:basedOn w:val="1"/>
    <w:next w:val="1"/>
    <w:qFormat/>
    <w:uiPriority w:val="39"/>
    <w:pPr>
      <w:ind w:left="630"/>
      <w:jc w:val="left"/>
    </w:pPr>
    <w:rPr>
      <w:rFonts w:asciiTheme="minorHAnsi" w:hAnsiTheme="minorHAnsi" w:cstheme="minorHAnsi"/>
      <w:sz w:val="18"/>
      <w:szCs w:val="18"/>
    </w:rPr>
  </w:style>
  <w:style w:type="paragraph" w:styleId="40">
    <w:name w:val="Subtitle"/>
    <w:basedOn w:val="1"/>
    <w:next w:val="1"/>
    <w:link w:val="287"/>
    <w:qFormat/>
    <w:uiPriority w:val="99"/>
    <w:pPr>
      <w:spacing w:before="240" w:after="60" w:line="312" w:lineRule="auto"/>
      <w:jc w:val="center"/>
      <w:outlineLvl w:val="1"/>
    </w:pPr>
    <w:rPr>
      <w:rFonts w:ascii="Cambria" w:hAnsi="Cambria"/>
      <w:b/>
      <w:bCs/>
      <w:kern w:val="28"/>
      <w:sz w:val="32"/>
      <w:szCs w:val="32"/>
    </w:rPr>
  </w:style>
  <w:style w:type="paragraph" w:styleId="41">
    <w:name w:val="List"/>
    <w:basedOn w:val="1"/>
    <w:qFormat/>
    <w:uiPriority w:val="0"/>
    <w:pPr>
      <w:ind w:left="200" w:hanging="200" w:hangingChars="200"/>
    </w:pPr>
    <w:rPr>
      <w:szCs w:val="24"/>
    </w:rPr>
  </w:style>
  <w:style w:type="paragraph" w:styleId="42">
    <w:name w:val="footnote text"/>
    <w:basedOn w:val="1"/>
    <w:link w:val="249"/>
    <w:qFormat/>
    <w:uiPriority w:val="0"/>
    <w:pPr>
      <w:snapToGrid w:val="0"/>
      <w:jc w:val="left"/>
    </w:pPr>
    <w:rPr>
      <w:sz w:val="18"/>
      <w:szCs w:val="18"/>
    </w:rPr>
  </w:style>
  <w:style w:type="paragraph" w:styleId="43">
    <w:name w:val="toc 6"/>
    <w:basedOn w:val="1"/>
    <w:next w:val="1"/>
    <w:qFormat/>
    <w:uiPriority w:val="39"/>
    <w:pPr>
      <w:ind w:left="1050"/>
      <w:jc w:val="left"/>
    </w:pPr>
    <w:rPr>
      <w:rFonts w:asciiTheme="minorHAnsi" w:hAnsiTheme="minorHAnsi" w:cstheme="minorHAnsi"/>
      <w:sz w:val="18"/>
      <w:szCs w:val="18"/>
    </w:rPr>
  </w:style>
  <w:style w:type="paragraph" w:styleId="44">
    <w:name w:val="Body Text Indent 3"/>
    <w:basedOn w:val="1"/>
    <w:link w:val="110"/>
    <w:qFormat/>
    <w:uiPriority w:val="0"/>
    <w:pPr>
      <w:spacing w:line="360" w:lineRule="auto"/>
      <w:ind w:firstLine="480" w:firstLineChars="200"/>
    </w:pPr>
    <w:rPr>
      <w:sz w:val="24"/>
      <w:szCs w:val="24"/>
    </w:rPr>
  </w:style>
  <w:style w:type="paragraph" w:styleId="45">
    <w:name w:val="toc 2"/>
    <w:basedOn w:val="1"/>
    <w:next w:val="1"/>
    <w:link w:val="114"/>
    <w:qFormat/>
    <w:uiPriority w:val="39"/>
    <w:pPr>
      <w:ind w:left="210"/>
      <w:jc w:val="left"/>
    </w:pPr>
    <w:rPr>
      <w:rFonts w:asciiTheme="minorHAnsi" w:hAnsiTheme="minorHAnsi" w:cstheme="minorHAnsi"/>
      <w:smallCaps/>
      <w:sz w:val="20"/>
    </w:rPr>
  </w:style>
  <w:style w:type="paragraph" w:styleId="46">
    <w:name w:val="toc 9"/>
    <w:basedOn w:val="1"/>
    <w:next w:val="1"/>
    <w:qFormat/>
    <w:uiPriority w:val="39"/>
    <w:pPr>
      <w:ind w:left="1680"/>
      <w:jc w:val="left"/>
    </w:pPr>
    <w:rPr>
      <w:rFonts w:asciiTheme="minorHAnsi" w:hAnsiTheme="minorHAnsi" w:cstheme="minorHAnsi"/>
      <w:sz w:val="18"/>
      <w:szCs w:val="18"/>
    </w:rPr>
  </w:style>
  <w:style w:type="paragraph" w:styleId="47">
    <w:name w:val="Body Text 2"/>
    <w:basedOn w:val="1"/>
    <w:link w:val="105"/>
    <w:qFormat/>
    <w:uiPriority w:val="0"/>
    <w:pPr>
      <w:spacing w:before="360"/>
    </w:pPr>
    <w:rPr>
      <w:rFonts w:ascii="仿宋_GB2312" w:eastAsia="仿宋_GB2312"/>
      <w:b/>
      <w:color w:val="000000"/>
      <w:kern w:val="0"/>
      <w:sz w:val="44"/>
    </w:rPr>
  </w:style>
  <w:style w:type="paragraph" w:styleId="48">
    <w:name w:val="List Continue 2"/>
    <w:basedOn w:val="1"/>
    <w:qFormat/>
    <w:uiPriority w:val="0"/>
    <w:pPr>
      <w:spacing w:after="120"/>
      <w:ind w:left="840" w:leftChars="400"/>
    </w:pPr>
    <w:rPr>
      <w:szCs w:val="24"/>
    </w:rPr>
  </w:style>
  <w:style w:type="paragraph" w:styleId="49">
    <w:name w:val="HTML Preformatted"/>
    <w:basedOn w:val="1"/>
    <w:link w:val="121"/>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szCs w:val="24"/>
    </w:rPr>
  </w:style>
  <w:style w:type="paragraph" w:styleId="50">
    <w:name w:val="Normal (Web)"/>
    <w:basedOn w:val="1"/>
    <w:qFormat/>
    <w:uiPriority w:val="99"/>
    <w:pPr>
      <w:widowControl/>
      <w:spacing w:before="100" w:beforeAutospacing="1" w:after="100" w:afterAutospacing="1" w:line="330" w:lineRule="atLeast"/>
      <w:jc w:val="left"/>
    </w:pPr>
    <w:rPr>
      <w:rFonts w:ascii="宋体" w:hAnsi="宋体" w:cs="宋体"/>
      <w:kern w:val="0"/>
      <w:sz w:val="18"/>
      <w:szCs w:val="18"/>
    </w:rPr>
  </w:style>
  <w:style w:type="paragraph" w:styleId="51">
    <w:name w:val="Title"/>
    <w:basedOn w:val="1"/>
    <w:link w:val="218"/>
    <w:qFormat/>
    <w:uiPriority w:val="99"/>
    <w:pPr>
      <w:adjustRightInd w:val="0"/>
      <w:spacing w:line="420" w:lineRule="atLeast"/>
      <w:jc w:val="center"/>
      <w:textAlignment w:val="baseline"/>
      <w:outlineLvl w:val="0"/>
    </w:pPr>
    <w:rPr>
      <w:rFonts w:ascii="Arial" w:hAnsi="Arial"/>
      <w:b/>
      <w:kern w:val="0"/>
      <w:sz w:val="32"/>
    </w:rPr>
  </w:style>
  <w:style w:type="paragraph" w:styleId="52">
    <w:name w:val="annotation subject"/>
    <w:basedOn w:val="19"/>
    <w:next w:val="19"/>
    <w:link w:val="143"/>
    <w:unhideWhenUsed/>
    <w:qFormat/>
    <w:uiPriority w:val="0"/>
    <w:rPr>
      <w:b/>
      <w:bCs/>
    </w:rPr>
  </w:style>
  <w:style w:type="paragraph" w:styleId="53">
    <w:name w:val="Body Text First Indent"/>
    <w:basedOn w:val="21"/>
    <w:link w:val="252"/>
    <w:qFormat/>
    <w:uiPriority w:val="0"/>
    <w:pPr>
      <w:adjustRightInd/>
      <w:spacing w:after="120" w:line="360" w:lineRule="auto"/>
      <w:ind w:firstLine="309" w:firstLineChars="100"/>
      <w:outlineLvl w:val="0"/>
    </w:pPr>
    <w:rPr>
      <w:rFonts w:ascii="Times New Roman" w:hAnsi="Times New Roman"/>
      <w:kern w:val="28"/>
      <w:sz w:val="21"/>
      <w:szCs w:val="21"/>
    </w:rPr>
  </w:style>
  <w:style w:type="paragraph" w:styleId="54">
    <w:name w:val="Body Text First Indent 2"/>
    <w:basedOn w:val="22"/>
    <w:link w:val="195"/>
    <w:qFormat/>
    <w:uiPriority w:val="0"/>
    <w:pPr>
      <w:widowControl/>
      <w:spacing w:line="240" w:lineRule="auto"/>
      <w:ind w:firstLine="200" w:firstLineChars="200"/>
      <w:jc w:val="left"/>
    </w:pPr>
    <w:rPr>
      <w:szCs w:val="24"/>
    </w:rPr>
  </w:style>
  <w:style w:type="table" w:styleId="56">
    <w:name w:val="Table Grid"/>
    <w:basedOn w:val="55"/>
    <w:unhideWhenUse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8">
    <w:name w:val="Strong"/>
    <w:qFormat/>
    <w:uiPriority w:val="22"/>
    <w:rPr>
      <w:b/>
      <w:bCs/>
    </w:rPr>
  </w:style>
  <w:style w:type="character" w:styleId="59">
    <w:name w:val="page number"/>
    <w:basedOn w:val="57"/>
    <w:qFormat/>
    <w:uiPriority w:val="0"/>
  </w:style>
  <w:style w:type="character" w:styleId="60">
    <w:name w:val="FollowedHyperlink"/>
    <w:qFormat/>
    <w:uiPriority w:val="99"/>
    <w:rPr>
      <w:rFonts w:ascii="Arial" w:hAnsi="Arial" w:eastAsia="黑体"/>
      <w:color w:val="800080"/>
      <w:kern w:val="2"/>
      <w:sz w:val="21"/>
      <w:szCs w:val="21"/>
      <w:u w:val="single"/>
      <w:lang w:val="en-US" w:eastAsia="zh-CN" w:bidi="ar-SA"/>
    </w:rPr>
  </w:style>
  <w:style w:type="character" w:styleId="61">
    <w:name w:val="Emphasis"/>
    <w:qFormat/>
    <w:uiPriority w:val="0"/>
    <w:rPr>
      <w:i/>
      <w:iCs/>
    </w:rPr>
  </w:style>
  <w:style w:type="character" w:styleId="62">
    <w:name w:val="Hyperlink"/>
    <w:qFormat/>
    <w:uiPriority w:val="99"/>
    <w:rPr>
      <w:color w:val="0000FF"/>
      <w:u w:val="single"/>
    </w:rPr>
  </w:style>
  <w:style w:type="character" w:styleId="63">
    <w:name w:val="annotation reference"/>
    <w:basedOn w:val="57"/>
    <w:unhideWhenUsed/>
    <w:qFormat/>
    <w:uiPriority w:val="0"/>
    <w:rPr>
      <w:sz w:val="21"/>
      <w:szCs w:val="21"/>
    </w:rPr>
  </w:style>
  <w:style w:type="character" w:styleId="64">
    <w:name w:val="footnote reference"/>
    <w:qFormat/>
    <w:uiPriority w:val="0"/>
    <w:rPr>
      <w:vertAlign w:val="superscript"/>
    </w:rPr>
  </w:style>
  <w:style w:type="character" w:customStyle="1" w:styleId="65">
    <w:name w:val="标题 3 字符"/>
    <w:link w:val="5"/>
    <w:qFormat/>
    <w:uiPriority w:val="0"/>
    <w:rPr>
      <w:rFonts w:ascii="宋体"/>
      <w:b/>
      <w:kern w:val="2"/>
      <w:sz w:val="24"/>
    </w:rPr>
  </w:style>
  <w:style w:type="paragraph" w:customStyle="1" w:styleId="66">
    <w:name w:val="首行缩进"/>
    <w:basedOn w:val="1"/>
    <w:qFormat/>
    <w:uiPriority w:val="0"/>
    <w:pPr>
      <w:autoSpaceDE/>
      <w:autoSpaceDN/>
      <w:adjustRightInd/>
      <w:spacing w:line="300" w:lineRule="auto"/>
      <w:ind w:firstLine="420" w:firstLineChars="200"/>
      <w:jc w:val="both"/>
      <w:textAlignment w:val="auto"/>
    </w:pPr>
    <w:rPr>
      <w:rFonts w:ascii="Times New Roman" w:hAnsi="Times New Roman" w:eastAsia="方正书宋简体"/>
      <w:kern w:val="2"/>
      <w:sz w:val="21"/>
    </w:rPr>
  </w:style>
  <w:style w:type="paragraph" w:customStyle="1" w:styleId="67">
    <w:name w:val="列出段落1"/>
    <w:qFormat/>
    <w:uiPriority w:val="0"/>
    <w:pPr>
      <w:widowControl w:val="0"/>
      <w:ind w:left="720"/>
      <w:jc w:val="both"/>
    </w:pPr>
    <w:rPr>
      <w:rFonts w:ascii="Times New Roman" w:hAnsi="Times New Roman" w:eastAsia="Times New Roman" w:cs="Times New Roman"/>
      <w:color w:val="000000"/>
      <w:kern w:val="2"/>
      <w:sz w:val="21"/>
      <w:szCs w:val="21"/>
      <w:lang w:val="en-US" w:eastAsia="zh-CN" w:bidi="ar-SA"/>
    </w:rPr>
  </w:style>
  <w:style w:type="character" w:customStyle="1" w:styleId="68">
    <w:name w:val="标题 1 字符"/>
    <w:basedOn w:val="57"/>
    <w:link w:val="3"/>
    <w:qFormat/>
    <w:uiPriority w:val="0"/>
    <w:rPr>
      <w:b/>
      <w:spacing w:val="20"/>
      <w:kern w:val="44"/>
      <w:sz w:val="32"/>
    </w:rPr>
  </w:style>
  <w:style w:type="character" w:customStyle="1" w:styleId="69">
    <w:name w:val="正文缩进 字符"/>
    <w:link w:val="14"/>
    <w:qFormat/>
    <w:uiPriority w:val="0"/>
    <w:rPr>
      <w:rFonts w:eastAsia="宋体"/>
      <w:kern w:val="2"/>
      <w:sz w:val="21"/>
      <w:lang w:val="en-US" w:eastAsia="zh-CN" w:bidi="ar-SA"/>
    </w:rPr>
  </w:style>
  <w:style w:type="character" w:customStyle="1" w:styleId="70">
    <w:name w:val="标题 2 字符"/>
    <w:link w:val="4"/>
    <w:qFormat/>
    <w:uiPriority w:val="0"/>
    <w:rPr>
      <w:rFonts w:ascii="Arial" w:hAnsi="Arial"/>
      <w:b/>
      <w:sz w:val="30"/>
    </w:rPr>
  </w:style>
  <w:style w:type="character" w:customStyle="1" w:styleId="71">
    <w:name w:val="标题 4 字符"/>
    <w:link w:val="6"/>
    <w:qFormat/>
    <w:uiPriority w:val="0"/>
    <w:rPr>
      <w:rFonts w:ascii="Arial" w:hAnsi="Arial" w:eastAsia="黑体"/>
      <w:b/>
      <w:bCs/>
      <w:kern w:val="2"/>
      <w:sz w:val="28"/>
      <w:szCs w:val="28"/>
    </w:rPr>
  </w:style>
  <w:style w:type="character" w:customStyle="1" w:styleId="72">
    <w:name w:val="标题 5 字符"/>
    <w:link w:val="7"/>
    <w:qFormat/>
    <w:uiPriority w:val="0"/>
    <w:rPr>
      <w:rFonts w:ascii="仿宋_GB2312" w:eastAsia="仿宋_GB2312"/>
      <w:b/>
      <w:bCs/>
      <w:kern w:val="2"/>
      <w:sz w:val="24"/>
    </w:rPr>
  </w:style>
  <w:style w:type="character" w:customStyle="1" w:styleId="73">
    <w:name w:val="标题 6 字符"/>
    <w:basedOn w:val="57"/>
    <w:link w:val="8"/>
    <w:qFormat/>
    <w:uiPriority w:val="0"/>
    <w:rPr>
      <w:rFonts w:ascii="Arial" w:hAnsi="Arial" w:eastAsia="黑体"/>
      <w:b/>
      <w:bCs/>
      <w:sz w:val="24"/>
      <w:szCs w:val="24"/>
    </w:rPr>
  </w:style>
  <w:style w:type="character" w:customStyle="1" w:styleId="74">
    <w:name w:val="标题 7 字符"/>
    <w:basedOn w:val="57"/>
    <w:link w:val="9"/>
    <w:qFormat/>
    <w:uiPriority w:val="0"/>
    <w:rPr>
      <w:b/>
      <w:bCs/>
      <w:sz w:val="24"/>
      <w:szCs w:val="24"/>
    </w:rPr>
  </w:style>
  <w:style w:type="character" w:customStyle="1" w:styleId="75">
    <w:name w:val="标题 8 字符"/>
    <w:basedOn w:val="57"/>
    <w:link w:val="10"/>
    <w:qFormat/>
    <w:uiPriority w:val="0"/>
    <w:rPr>
      <w:rFonts w:ascii="Arial" w:hAnsi="Arial" w:eastAsia="黑体"/>
      <w:sz w:val="24"/>
      <w:szCs w:val="24"/>
    </w:rPr>
  </w:style>
  <w:style w:type="character" w:customStyle="1" w:styleId="76">
    <w:name w:val="标题 9 字符"/>
    <w:basedOn w:val="57"/>
    <w:link w:val="11"/>
    <w:qFormat/>
    <w:uiPriority w:val="0"/>
    <w:rPr>
      <w:rFonts w:ascii="Arial" w:hAnsi="Arial" w:eastAsia="黑体"/>
      <w:sz w:val="21"/>
      <w:szCs w:val="21"/>
    </w:rPr>
  </w:style>
  <w:style w:type="character" w:customStyle="1" w:styleId="77">
    <w:name w:val="纯文本 字符"/>
    <w:link w:val="28"/>
    <w:qFormat/>
    <w:uiPriority w:val="99"/>
    <w:rPr>
      <w:rFonts w:ascii="宋体" w:hAnsi="Courier New" w:eastAsia="宋体"/>
      <w:kern w:val="2"/>
      <w:sz w:val="21"/>
      <w:lang w:val="en-US" w:eastAsia="zh-CN" w:bidi="ar-SA"/>
    </w:rPr>
  </w:style>
  <w:style w:type="character" w:customStyle="1" w:styleId="78">
    <w:name w:val="ca-31"/>
    <w:qFormat/>
    <w:uiPriority w:val="99"/>
    <w:rPr>
      <w:rFonts w:ascii="宋体" w:hAnsi="宋体" w:eastAsia="宋体" w:cs="Times New Roman"/>
      <w:color w:val="000000"/>
      <w:sz w:val="28"/>
      <w:szCs w:val="28"/>
    </w:rPr>
  </w:style>
  <w:style w:type="character" w:customStyle="1" w:styleId="79">
    <w:name w:val="纯文本 Char1"/>
    <w:qFormat/>
    <w:uiPriority w:val="0"/>
    <w:rPr>
      <w:rFonts w:ascii="宋体" w:eastAsia="宋体"/>
      <w:szCs w:val="24"/>
      <w:lang w:val="en-US" w:eastAsia="zh-CN" w:bidi="ar-SA"/>
    </w:rPr>
  </w:style>
  <w:style w:type="character" w:customStyle="1" w:styleId="80">
    <w:name w:val="日期 字符"/>
    <w:link w:val="34"/>
    <w:qFormat/>
    <w:locked/>
    <w:uiPriority w:val="0"/>
    <w:rPr>
      <w:rFonts w:eastAsia="楷体_GB2312"/>
      <w:kern w:val="2"/>
      <w:sz w:val="48"/>
      <w:szCs w:val="24"/>
    </w:rPr>
  </w:style>
  <w:style w:type="character" w:customStyle="1" w:styleId="81">
    <w:name w:val="point_normal"/>
    <w:basedOn w:val="57"/>
    <w:qFormat/>
    <w:uiPriority w:val="0"/>
  </w:style>
  <w:style w:type="character" w:customStyle="1" w:styleId="82">
    <w:name w:val="style4 style5"/>
    <w:basedOn w:val="57"/>
    <w:qFormat/>
    <w:uiPriority w:val="0"/>
  </w:style>
  <w:style w:type="character" w:customStyle="1" w:styleId="83">
    <w:name w:val="规划正文 Char Char Char Char"/>
    <w:link w:val="84"/>
    <w:qFormat/>
    <w:uiPriority w:val="0"/>
    <w:rPr>
      <w:rFonts w:eastAsia="宋体"/>
      <w:kern w:val="2"/>
      <w:sz w:val="28"/>
      <w:szCs w:val="28"/>
      <w:lang w:val="en-US" w:eastAsia="zh-CN" w:bidi="ar-SA"/>
    </w:rPr>
  </w:style>
  <w:style w:type="paragraph" w:customStyle="1" w:styleId="84">
    <w:name w:val="规划正文 Char Char"/>
    <w:basedOn w:val="1"/>
    <w:link w:val="83"/>
    <w:qFormat/>
    <w:uiPriority w:val="0"/>
    <w:pPr>
      <w:widowControl/>
      <w:spacing w:line="360" w:lineRule="auto"/>
      <w:ind w:firstLine="200" w:firstLineChars="200"/>
      <w:jc w:val="left"/>
    </w:pPr>
    <w:rPr>
      <w:sz w:val="28"/>
      <w:szCs w:val="28"/>
    </w:rPr>
  </w:style>
  <w:style w:type="character" w:customStyle="1" w:styleId="85">
    <w:name w:val="标题 1 Char Char"/>
    <w:qFormat/>
    <w:uiPriority w:val="0"/>
    <w:rPr>
      <w:rFonts w:eastAsia="宋体"/>
      <w:b/>
      <w:bCs/>
      <w:kern w:val="44"/>
      <w:sz w:val="44"/>
      <w:lang w:val="en-US" w:eastAsia="zh-CN" w:bidi="ar-SA"/>
    </w:rPr>
  </w:style>
  <w:style w:type="character" w:customStyle="1" w:styleId="86">
    <w:name w:val="small1"/>
    <w:qFormat/>
    <w:uiPriority w:val="0"/>
    <w:rPr>
      <w:rFonts w:hint="default" w:ascii="Verdana" w:hAnsi="Verdana"/>
      <w:sz w:val="17"/>
      <w:szCs w:val="17"/>
    </w:rPr>
  </w:style>
  <w:style w:type="character" w:customStyle="1" w:styleId="87">
    <w:name w:val="正文段 Char Char"/>
    <w:link w:val="88"/>
    <w:qFormat/>
    <w:uiPriority w:val="0"/>
    <w:rPr>
      <w:rFonts w:ascii="宋体" w:eastAsia="宋体"/>
      <w:kern w:val="2"/>
      <w:sz w:val="24"/>
      <w:lang w:val="en-US" w:eastAsia="zh-CN" w:bidi="ar-SA"/>
    </w:rPr>
  </w:style>
  <w:style w:type="paragraph" w:customStyle="1" w:styleId="88">
    <w:name w:val="正文段"/>
    <w:basedOn w:val="1"/>
    <w:link w:val="87"/>
    <w:qFormat/>
    <w:uiPriority w:val="0"/>
    <w:pPr>
      <w:snapToGrid w:val="0"/>
      <w:spacing w:after="240" w:line="240" w:lineRule="atLeast"/>
      <w:ind w:firstLine="425"/>
    </w:pPr>
    <w:rPr>
      <w:rFonts w:ascii="宋体"/>
      <w:sz w:val="24"/>
    </w:rPr>
  </w:style>
  <w:style w:type="character" w:customStyle="1" w:styleId="89">
    <w:name w:val="样式 规划正文 Char + 宋体 Char Char"/>
    <w:link w:val="90"/>
    <w:qFormat/>
    <w:uiPriority w:val="0"/>
    <w:rPr>
      <w:rFonts w:ascii="宋体" w:hAnsi="宋体" w:eastAsia="宋体"/>
      <w:kern w:val="2"/>
      <w:sz w:val="28"/>
      <w:szCs w:val="28"/>
      <w:lang w:val="en-US" w:eastAsia="zh-CN" w:bidi="ar-SA"/>
    </w:rPr>
  </w:style>
  <w:style w:type="paragraph" w:customStyle="1" w:styleId="90">
    <w:name w:val="样式 规划正文 Char + 宋体"/>
    <w:basedOn w:val="84"/>
    <w:link w:val="89"/>
    <w:qFormat/>
    <w:uiPriority w:val="0"/>
    <w:rPr>
      <w:rFonts w:ascii="宋体" w:hAnsi="宋体"/>
    </w:rPr>
  </w:style>
  <w:style w:type="character" w:customStyle="1" w:styleId="91">
    <w:name w:val="访问过的超链接1"/>
    <w:qFormat/>
    <w:uiPriority w:val="0"/>
    <w:rPr>
      <w:color w:val="800080"/>
      <w:u w:val="single"/>
    </w:rPr>
  </w:style>
  <w:style w:type="character" w:customStyle="1" w:styleId="92">
    <w:name w:val="p41"/>
    <w:qFormat/>
    <w:uiPriority w:val="0"/>
    <w:rPr>
      <w:rFonts w:hint="eastAsia" w:ascii="宋体" w:hAnsi="宋体" w:eastAsia="宋体"/>
      <w:sz w:val="22"/>
      <w:szCs w:val="22"/>
    </w:rPr>
  </w:style>
  <w:style w:type="character" w:customStyle="1" w:styleId="93">
    <w:name w:val="para"/>
    <w:basedOn w:val="57"/>
    <w:qFormat/>
    <w:uiPriority w:val="0"/>
  </w:style>
  <w:style w:type="character" w:customStyle="1" w:styleId="94">
    <w:name w:val="title_emph"/>
    <w:basedOn w:val="57"/>
    <w:qFormat/>
    <w:uiPriority w:val="0"/>
  </w:style>
  <w:style w:type="character" w:customStyle="1" w:styleId="95">
    <w:name w:val="Char Char2"/>
    <w:qFormat/>
    <w:uiPriority w:val="0"/>
    <w:rPr>
      <w:rFonts w:ascii="宋体" w:eastAsia="宋体"/>
      <w:kern w:val="2"/>
      <w:sz w:val="21"/>
      <w:lang w:val="en-US" w:eastAsia="zh-CN" w:bidi="ar-SA"/>
    </w:rPr>
  </w:style>
  <w:style w:type="character" w:customStyle="1" w:styleId="96">
    <w:name w:val="v151"/>
    <w:qFormat/>
    <w:uiPriority w:val="0"/>
    <w:rPr>
      <w:sz w:val="18"/>
      <w:szCs w:val="18"/>
    </w:rPr>
  </w:style>
  <w:style w:type="paragraph" w:customStyle="1" w:styleId="97">
    <w:name w:val="并列项-点"/>
    <w:basedOn w:val="1"/>
    <w:qFormat/>
    <w:uiPriority w:val="0"/>
    <w:pPr>
      <w:tabs>
        <w:tab w:val="left" w:pos="840"/>
      </w:tabs>
      <w:adjustRightInd w:val="0"/>
      <w:snapToGrid w:val="0"/>
      <w:spacing w:after="120" w:line="360" w:lineRule="exact"/>
      <w:ind w:left="840" w:hanging="480"/>
    </w:pPr>
    <w:rPr>
      <w:rFonts w:eastAsia="仿宋_GB2312"/>
      <w:sz w:val="32"/>
    </w:rPr>
  </w:style>
  <w:style w:type="paragraph" w:customStyle="1" w:styleId="98">
    <w:name w:val="retrait3"/>
    <w:basedOn w:val="1"/>
    <w:qFormat/>
    <w:uiPriority w:val="99"/>
    <w:pPr>
      <w:widowControl/>
      <w:spacing w:before="20" w:after="20"/>
      <w:ind w:left="851"/>
      <w:jc w:val="left"/>
    </w:pPr>
    <w:rPr>
      <w:rFonts w:ascii="Arial" w:hAnsi="Arial"/>
      <w:kern w:val="0"/>
      <w:sz w:val="24"/>
      <w:lang w:val="en-GB"/>
    </w:rPr>
  </w:style>
  <w:style w:type="paragraph" w:customStyle="1" w:styleId="99">
    <w:name w:val="Char Char Char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00">
    <w:name w:val="正文 New New New New New New"/>
    <w:qFormat/>
    <w:uiPriority w:val="0"/>
    <w:pPr>
      <w:widowControl w:val="0"/>
      <w:jc w:val="both"/>
    </w:pPr>
    <w:rPr>
      <w:rFonts w:ascii="Calibri" w:hAnsi="Calibri" w:eastAsia="宋体" w:cs="Times New Roman"/>
      <w:kern w:val="2"/>
      <w:sz w:val="21"/>
      <w:szCs w:val="21"/>
      <w:lang w:val="en-US" w:eastAsia="zh-CN" w:bidi="ar-SA"/>
    </w:rPr>
  </w:style>
  <w:style w:type="character" w:customStyle="1" w:styleId="101">
    <w:name w:val="正文文本缩进 2 字符"/>
    <w:basedOn w:val="57"/>
    <w:link w:val="35"/>
    <w:qFormat/>
    <w:uiPriority w:val="0"/>
    <w:rPr>
      <w:rFonts w:ascii="宋体"/>
      <w:kern w:val="2"/>
      <w:sz w:val="24"/>
    </w:rPr>
  </w:style>
  <w:style w:type="paragraph" w:customStyle="1" w:styleId="102">
    <w:name w:val="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03">
    <w:name w:val="正文 New New New New New New New New New New New New New New New New New New New New New New New New New New New New New New New New New New New New New New New New New"/>
    <w:qFormat/>
    <w:uiPriority w:val="0"/>
    <w:pPr>
      <w:widowControl w:val="0"/>
      <w:jc w:val="both"/>
    </w:pPr>
    <w:rPr>
      <w:rFonts w:ascii="Calibri" w:hAnsi="Calibri" w:eastAsia="宋体" w:cs="Times New Roman"/>
      <w:kern w:val="2"/>
      <w:sz w:val="21"/>
      <w:szCs w:val="24"/>
      <w:lang w:val="en-US" w:eastAsia="zh-CN" w:bidi="ar-SA"/>
    </w:rPr>
  </w:style>
  <w:style w:type="paragraph" w:customStyle="1" w:styleId="104">
    <w:name w:val="NomDoc"/>
    <w:basedOn w:val="1"/>
    <w:qFormat/>
    <w:uiPriority w:val="99"/>
    <w:pPr>
      <w:widowControl/>
      <w:jc w:val="left"/>
    </w:pPr>
    <w:rPr>
      <w:rFonts w:ascii="Arial" w:hAnsi="Arial"/>
      <w:caps/>
      <w:kern w:val="0"/>
      <w:sz w:val="16"/>
      <w:lang w:val="en-GB"/>
    </w:rPr>
  </w:style>
  <w:style w:type="character" w:customStyle="1" w:styleId="105">
    <w:name w:val="正文文本 2 字符"/>
    <w:basedOn w:val="57"/>
    <w:link w:val="47"/>
    <w:qFormat/>
    <w:uiPriority w:val="0"/>
    <w:rPr>
      <w:rFonts w:ascii="仿宋_GB2312" w:eastAsia="仿宋_GB2312"/>
      <w:b/>
      <w:color w:val="000000"/>
      <w:sz w:val="44"/>
    </w:rPr>
  </w:style>
  <w:style w:type="paragraph" w:customStyle="1" w:styleId="106">
    <w:name w:val="Char111"/>
    <w:basedOn w:val="1"/>
    <w:link w:val="107"/>
    <w:qFormat/>
    <w:uiPriority w:val="0"/>
    <w:rPr>
      <w:rFonts w:ascii="仿宋_GB2312" w:eastAsia="仿宋_GB2312"/>
      <w:b/>
      <w:sz w:val="32"/>
      <w:szCs w:val="32"/>
    </w:rPr>
  </w:style>
  <w:style w:type="character" w:customStyle="1" w:styleId="107">
    <w:name w:val="Char Char Char"/>
    <w:link w:val="106"/>
    <w:qFormat/>
    <w:uiPriority w:val="0"/>
    <w:rPr>
      <w:rFonts w:ascii="仿宋_GB2312" w:eastAsia="仿宋_GB2312"/>
      <w:b/>
      <w:kern w:val="2"/>
      <w:sz w:val="32"/>
      <w:szCs w:val="32"/>
    </w:rPr>
  </w:style>
  <w:style w:type="paragraph" w:customStyle="1" w:styleId="108">
    <w:name w:val="Char Char5 Char Char"/>
    <w:basedOn w:val="1"/>
    <w:qFormat/>
    <w:uiPriority w:val="0"/>
    <w:pPr>
      <w:adjustRightInd w:val="0"/>
      <w:spacing w:line="360" w:lineRule="auto"/>
    </w:pPr>
    <w:rPr>
      <w:kern w:val="0"/>
      <w:sz w:val="24"/>
    </w:rPr>
  </w:style>
  <w:style w:type="paragraph" w:customStyle="1" w:styleId="109">
    <w:name w:val="字元 字元 字元 字元 字元"/>
    <w:basedOn w:val="1"/>
    <w:qFormat/>
    <w:uiPriority w:val="0"/>
  </w:style>
  <w:style w:type="character" w:customStyle="1" w:styleId="110">
    <w:name w:val="正文文本缩进 3 字符"/>
    <w:link w:val="44"/>
    <w:qFormat/>
    <w:uiPriority w:val="0"/>
    <w:rPr>
      <w:kern w:val="2"/>
      <w:sz w:val="24"/>
      <w:szCs w:val="24"/>
    </w:rPr>
  </w:style>
  <w:style w:type="paragraph" w:customStyle="1" w:styleId="111">
    <w:name w:val="Char Char Char Char Char Char Char Char Char Char1"/>
    <w:basedOn w:val="1"/>
    <w:qFormat/>
    <w:uiPriority w:val="99"/>
    <w:pPr>
      <w:tabs>
        <w:tab w:val="left" w:pos="425"/>
      </w:tabs>
      <w:ind w:left="425" w:hanging="425"/>
    </w:pPr>
  </w:style>
  <w:style w:type="paragraph" w:customStyle="1" w:styleId="112">
    <w:name w:val="规划正文"/>
    <w:basedOn w:val="1"/>
    <w:qFormat/>
    <w:uiPriority w:val="0"/>
    <w:pPr>
      <w:widowControl/>
      <w:spacing w:line="360" w:lineRule="auto"/>
      <w:ind w:firstLine="200" w:firstLineChars="200"/>
      <w:jc w:val="left"/>
    </w:pPr>
    <w:rPr>
      <w:kern w:val="0"/>
      <w:sz w:val="28"/>
      <w:szCs w:val="28"/>
    </w:rPr>
  </w:style>
  <w:style w:type="paragraph" w:customStyle="1" w:styleId="113">
    <w:name w:val="pa-5"/>
    <w:basedOn w:val="1"/>
    <w:qFormat/>
    <w:uiPriority w:val="99"/>
    <w:pPr>
      <w:widowControl/>
      <w:spacing w:line="360" w:lineRule="atLeast"/>
      <w:jc w:val="left"/>
    </w:pPr>
    <w:rPr>
      <w:rFonts w:ascii="宋体" w:hAnsi="宋体" w:cs="宋体"/>
      <w:kern w:val="0"/>
      <w:sz w:val="24"/>
      <w:szCs w:val="24"/>
    </w:rPr>
  </w:style>
  <w:style w:type="character" w:customStyle="1" w:styleId="114">
    <w:name w:val="TOC 2 字符"/>
    <w:link w:val="45"/>
    <w:qFormat/>
    <w:uiPriority w:val="39"/>
    <w:rPr>
      <w:rFonts w:asciiTheme="minorHAnsi" w:hAnsiTheme="minorHAnsi" w:cstheme="minorHAnsi"/>
      <w:smallCaps/>
      <w:kern w:val="2"/>
    </w:rPr>
  </w:style>
  <w:style w:type="character" w:customStyle="1" w:styleId="115">
    <w:name w:val="页眉 字符"/>
    <w:basedOn w:val="57"/>
    <w:link w:val="38"/>
    <w:qFormat/>
    <w:uiPriority w:val="0"/>
    <w:rPr>
      <w:kern w:val="2"/>
      <w:sz w:val="18"/>
    </w:rPr>
  </w:style>
  <w:style w:type="character" w:customStyle="1" w:styleId="116">
    <w:name w:val="文档结构图 字符"/>
    <w:link w:val="17"/>
    <w:qFormat/>
    <w:uiPriority w:val="0"/>
    <w:rPr>
      <w:kern w:val="2"/>
      <w:sz w:val="21"/>
      <w:shd w:val="clear" w:color="auto" w:fill="000080"/>
    </w:rPr>
  </w:style>
  <w:style w:type="paragraph" w:customStyle="1" w:styleId="117">
    <w:name w:val="ÕýÎÄ"/>
    <w:qFormat/>
    <w:uiPriority w:val="0"/>
    <w:pPr>
      <w:widowControl w:val="0"/>
      <w:overflowPunct w:val="0"/>
      <w:autoSpaceDE w:val="0"/>
      <w:autoSpaceDN w:val="0"/>
      <w:adjustRightInd w:val="0"/>
      <w:jc w:val="both"/>
      <w:textAlignment w:val="baseline"/>
    </w:pPr>
    <w:rPr>
      <w:rFonts w:ascii="Times New Roman" w:hAnsi="Times New Roman" w:eastAsia="宋体" w:cs="Times New Roman"/>
      <w:kern w:val="2"/>
      <w:sz w:val="21"/>
      <w:lang w:val="en-US" w:eastAsia="zh-CN" w:bidi="ar-SA"/>
    </w:rPr>
  </w:style>
  <w:style w:type="paragraph" w:customStyle="1" w:styleId="118">
    <w:name w:val="p15"/>
    <w:basedOn w:val="1"/>
    <w:qFormat/>
    <w:uiPriority w:val="0"/>
    <w:pPr>
      <w:widowControl/>
      <w:spacing w:before="100" w:after="100"/>
      <w:jc w:val="left"/>
    </w:pPr>
    <w:rPr>
      <w:rFonts w:ascii="宋体" w:hAnsi="宋体" w:cs="宋体"/>
      <w:kern w:val="0"/>
      <w:sz w:val="24"/>
      <w:szCs w:val="24"/>
    </w:rPr>
  </w:style>
  <w:style w:type="paragraph" w:customStyle="1" w:styleId="119">
    <w:name w:val="新编号"/>
    <w:basedOn w:val="120"/>
    <w:qFormat/>
    <w:uiPriority w:val="0"/>
    <w:pPr>
      <w:tabs>
        <w:tab w:val="left" w:pos="0"/>
        <w:tab w:val="left" w:pos="360"/>
      </w:tabs>
      <w:ind w:firstLine="400"/>
    </w:pPr>
    <w:rPr>
      <w:kern w:val="0"/>
    </w:rPr>
  </w:style>
  <w:style w:type="paragraph" w:customStyle="1" w:styleId="120">
    <w:name w:val="样式 规划正文 Char + 宋体 两端对齐 首行缩进:  2 字符 行距: 固定值 26 磅"/>
    <w:basedOn w:val="84"/>
    <w:qFormat/>
    <w:uiPriority w:val="0"/>
    <w:pPr>
      <w:tabs>
        <w:tab w:val="left" w:pos="360"/>
      </w:tabs>
      <w:spacing w:line="520" w:lineRule="exact"/>
      <w:ind w:firstLine="0" w:firstLineChars="0"/>
      <w:jc w:val="both"/>
    </w:pPr>
    <w:rPr>
      <w:rFonts w:ascii="宋体" w:hAnsi="宋体" w:cs="宋体"/>
      <w:szCs w:val="20"/>
    </w:rPr>
  </w:style>
  <w:style w:type="character" w:customStyle="1" w:styleId="121">
    <w:name w:val="HTML 预设格式 字符"/>
    <w:link w:val="49"/>
    <w:qFormat/>
    <w:uiPriority w:val="99"/>
    <w:rPr>
      <w:rFonts w:ascii="宋体" w:hAnsi="宋体" w:cs="宋体"/>
      <w:sz w:val="24"/>
      <w:szCs w:val="24"/>
    </w:rPr>
  </w:style>
  <w:style w:type="paragraph" w:customStyle="1" w:styleId="122">
    <w:name w:val="09正文_wh"/>
    <w:qFormat/>
    <w:uiPriority w:val="0"/>
    <w:pPr>
      <w:spacing w:line="300" w:lineRule="auto"/>
      <w:ind w:firstLine="200" w:firstLineChars="200"/>
      <w:jc w:val="both"/>
    </w:pPr>
    <w:rPr>
      <w:rFonts w:ascii="Times New Roman" w:hAnsi="Times New Roman" w:eastAsia="宋体" w:cs="Times New Roman"/>
      <w:sz w:val="28"/>
      <w:lang w:val="en-US" w:eastAsia="zh-CN" w:bidi="ar-SA"/>
    </w:rPr>
  </w:style>
  <w:style w:type="paragraph" w:customStyle="1" w:styleId="123">
    <w:name w:val="表格内字体"/>
    <w:basedOn w:val="1"/>
    <w:qFormat/>
    <w:uiPriority w:val="0"/>
    <w:pPr>
      <w:spacing w:before="360" w:line="360" w:lineRule="auto"/>
      <w:jc w:val="center"/>
    </w:pPr>
    <w:rPr>
      <w:rFonts w:ascii="宋体" w:eastAsia="仿宋_GB2312"/>
    </w:rPr>
  </w:style>
  <w:style w:type="character" w:customStyle="1" w:styleId="124">
    <w:name w:val="批注框文本 字符"/>
    <w:link w:val="36"/>
    <w:qFormat/>
    <w:uiPriority w:val="99"/>
    <w:rPr>
      <w:kern w:val="2"/>
      <w:sz w:val="18"/>
      <w:szCs w:val="18"/>
    </w:rPr>
  </w:style>
  <w:style w:type="character" w:customStyle="1" w:styleId="125">
    <w:name w:val="正文文本 字符"/>
    <w:link w:val="21"/>
    <w:qFormat/>
    <w:uiPriority w:val="0"/>
    <w:rPr>
      <w:rFonts w:ascii="宋体" w:hAnsi="宋体"/>
      <w:bCs/>
      <w:color w:val="000000"/>
      <w:kern w:val="2"/>
      <w:sz w:val="24"/>
    </w:rPr>
  </w:style>
  <w:style w:type="paragraph" w:styleId="126">
    <w:name w:val="List Paragraph"/>
    <w:basedOn w:val="1"/>
    <w:qFormat/>
    <w:uiPriority w:val="0"/>
    <w:pPr>
      <w:ind w:left="720"/>
      <w:contextualSpacing/>
    </w:pPr>
    <w:rPr>
      <w:sz w:val="28"/>
    </w:rPr>
  </w:style>
  <w:style w:type="character" w:customStyle="1" w:styleId="127">
    <w:name w:val="正文文本缩进 字符"/>
    <w:basedOn w:val="57"/>
    <w:link w:val="22"/>
    <w:qFormat/>
    <w:uiPriority w:val="99"/>
    <w:rPr>
      <w:kern w:val="2"/>
      <w:sz w:val="21"/>
    </w:rPr>
  </w:style>
  <w:style w:type="paragraph" w:customStyle="1" w:styleId="128">
    <w:name w:val="小标题"/>
    <w:basedOn w:val="120"/>
    <w:qFormat/>
    <w:uiPriority w:val="0"/>
    <w:pPr>
      <w:tabs>
        <w:tab w:val="left" w:pos="814"/>
        <w:tab w:val="clear" w:pos="360"/>
      </w:tabs>
      <w:ind w:left="737" w:hanging="283"/>
    </w:pPr>
  </w:style>
  <w:style w:type="paragraph" w:customStyle="1" w:styleId="129">
    <w:name w:val="要点1"/>
    <w:basedOn w:val="14"/>
    <w:qFormat/>
    <w:uiPriority w:val="0"/>
    <w:pPr>
      <w:tabs>
        <w:tab w:val="left" w:pos="960"/>
      </w:tabs>
      <w:spacing w:line="520" w:lineRule="exact"/>
      <w:ind w:firstLine="200" w:firstLineChars="200"/>
    </w:pPr>
    <w:rPr>
      <w:rFonts w:ascii="宋体" w:hAnsi="宋体"/>
      <w:sz w:val="28"/>
      <w:szCs w:val="28"/>
    </w:rPr>
  </w:style>
  <w:style w:type="paragraph" w:customStyle="1" w:styleId="130">
    <w:name w:val="图片"/>
    <w:basedOn w:val="1"/>
    <w:next w:val="15"/>
    <w:qFormat/>
    <w:uiPriority w:val="0"/>
    <w:pPr>
      <w:keepNext/>
      <w:widowControl/>
      <w:jc w:val="left"/>
    </w:pPr>
    <w:rPr>
      <w:rFonts w:ascii="Garamond" w:hAnsi="Garamond"/>
      <w:kern w:val="0"/>
    </w:rPr>
  </w:style>
  <w:style w:type="paragraph" w:customStyle="1" w:styleId="131">
    <w:name w:val="字元 字元"/>
    <w:basedOn w:val="1"/>
    <w:qFormat/>
    <w:uiPriority w:val="0"/>
  </w:style>
  <w:style w:type="paragraph" w:customStyle="1" w:styleId="132">
    <w:name w:val="Absatz2AL"/>
    <w:basedOn w:val="21"/>
    <w:next w:val="1"/>
    <w:qFormat/>
    <w:uiPriority w:val="0"/>
    <w:pPr>
      <w:widowControl/>
      <w:overflowPunct w:val="0"/>
      <w:autoSpaceDE w:val="0"/>
      <w:autoSpaceDN w:val="0"/>
      <w:spacing w:line="240" w:lineRule="auto"/>
    </w:pPr>
    <w:rPr>
      <w:rFonts w:ascii="Times New Roman" w:hAnsi="Times New Roman" w:eastAsia="楷体_GB2312"/>
      <w:bCs w:val="0"/>
      <w:color w:val="auto"/>
      <w:kern w:val="0"/>
      <w:lang w:val="de-DE"/>
    </w:rPr>
  </w:style>
  <w:style w:type="character" w:customStyle="1" w:styleId="133">
    <w:name w:val="页脚 字符"/>
    <w:basedOn w:val="57"/>
    <w:link w:val="37"/>
    <w:qFormat/>
    <w:uiPriority w:val="0"/>
    <w:rPr>
      <w:kern w:val="2"/>
      <w:sz w:val="18"/>
    </w:rPr>
  </w:style>
  <w:style w:type="paragraph" w:customStyle="1" w:styleId="134">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rPr>
  </w:style>
  <w:style w:type="paragraph" w:customStyle="1" w:styleId="135">
    <w:name w:val="默认段落字体 Para Char"/>
    <w:basedOn w:val="1"/>
    <w:qFormat/>
    <w:uiPriority w:val="0"/>
  </w:style>
  <w:style w:type="paragraph" w:customStyle="1" w:styleId="136">
    <w:name w:val="TOC 标题1"/>
    <w:basedOn w:val="3"/>
    <w:next w:val="1"/>
    <w:qFormat/>
    <w:uiPriority w:val="39"/>
    <w:pPr>
      <w:widowControl/>
      <w:spacing w:before="480" w:after="0" w:line="276" w:lineRule="auto"/>
      <w:jc w:val="left"/>
      <w:outlineLvl w:val="9"/>
    </w:pPr>
    <w:rPr>
      <w:rFonts w:ascii="Cambria" w:hAnsi="Cambria"/>
      <w:bCs/>
      <w:color w:val="365F91"/>
      <w:spacing w:val="0"/>
      <w:kern w:val="0"/>
      <w:sz w:val="28"/>
      <w:szCs w:val="28"/>
    </w:rPr>
  </w:style>
  <w:style w:type="paragraph" w:customStyle="1" w:styleId="137">
    <w:name w:val="正文_3"/>
    <w:qFormat/>
    <w:uiPriority w:val="99"/>
    <w:pPr>
      <w:widowControl w:val="0"/>
      <w:jc w:val="both"/>
    </w:pPr>
    <w:rPr>
      <w:rFonts w:ascii="Calibri" w:hAnsi="Calibri" w:eastAsia="宋体" w:cs="Times New Roman"/>
      <w:kern w:val="2"/>
      <w:sz w:val="21"/>
      <w:szCs w:val="22"/>
      <w:lang w:val="en-US" w:eastAsia="zh-CN" w:bidi="ar-SA"/>
    </w:rPr>
  </w:style>
  <w:style w:type="character" w:customStyle="1" w:styleId="138">
    <w:name w:val="正文文本缩进 2 Char1"/>
    <w:qFormat/>
    <w:uiPriority w:val="0"/>
    <w:rPr>
      <w:kern w:val="2"/>
      <w:sz w:val="21"/>
    </w:rPr>
  </w:style>
  <w:style w:type="paragraph" w:customStyle="1" w:styleId="139">
    <w:name w:val="正文_1"/>
    <w:qFormat/>
    <w:uiPriority w:val="0"/>
    <w:pPr>
      <w:widowControl w:val="0"/>
      <w:jc w:val="both"/>
    </w:pPr>
    <w:rPr>
      <w:rFonts w:ascii="Times New Roman" w:hAnsi="Times New Roman" w:eastAsia="宋体" w:cs="Times New Roman"/>
      <w:kern w:val="2"/>
      <w:sz w:val="21"/>
      <w:lang w:val="en-US" w:eastAsia="zh-CN" w:bidi="ar-SA"/>
    </w:rPr>
  </w:style>
  <w:style w:type="character" w:customStyle="1" w:styleId="140">
    <w:name w:val="纯文本 字符1"/>
    <w:qFormat/>
    <w:uiPriority w:val="99"/>
    <w:rPr>
      <w:rFonts w:ascii="宋体" w:hAnsi="Times New Roman" w:eastAsia="宋体" w:cs="Times New Roman"/>
      <w:kern w:val="0"/>
      <w:sz w:val="20"/>
      <w:szCs w:val="24"/>
    </w:rPr>
  </w:style>
  <w:style w:type="paragraph" w:customStyle="1" w:styleId="141">
    <w:name w:val="正文_2"/>
    <w:qFormat/>
    <w:uiPriority w:val="0"/>
    <w:pPr>
      <w:widowControl w:val="0"/>
      <w:jc w:val="both"/>
    </w:pPr>
    <w:rPr>
      <w:rFonts w:ascii="Calibri" w:hAnsi="Calibri" w:eastAsia="宋体" w:cs="Times New Roman"/>
      <w:kern w:val="2"/>
      <w:sz w:val="21"/>
      <w:szCs w:val="22"/>
      <w:lang w:val="en-US" w:eastAsia="zh-CN" w:bidi="ar-SA"/>
    </w:rPr>
  </w:style>
  <w:style w:type="character" w:customStyle="1" w:styleId="142">
    <w:name w:val="批注文字 字符"/>
    <w:basedOn w:val="57"/>
    <w:link w:val="19"/>
    <w:qFormat/>
    <w:uiPriority w:val="99"/>
    <w:rPr>
      <w:kern w:val="2"/>
      <w:sz w:val="21"/>
    </w:rPr>
  </w:style>
  <w:style w:type="character" w:customStyle="1" w:styleId="143">
    <w:name w:val="批注主题 字符"/>
    <w:basedOn w:val="142"/>
    <w:link w:val="52"/>
    <w:qFormat/>
    <w:uiPriority w:val="0"/>
    <w:rPr>
      <w:b/>
      <w:bCs/>
      <w:kern w:val="2"/>
      <w:sz w:val="21"/>
    </w:rPr>
  </w:style>
  <w:style w:type="paragraph" w:customStyle="1" w:styleId="144">
    <w:name w:val="Blockquote"/>
    <w:basedOn w:val="1"/>
    <w:link w:val="145"/>
    <w:qFormat/>
    <w:uiPriority w:val="0"/>
    <w:pPr>
      <w:autoSpaceDE w:val="0"/>
      <w:autoSpaceDN w:val="0"/>
      <w:adjustRightInd w:val="0"/>
      <w:spacing w:before="100" w:after="100"/>
      <w:ind w:left="360" w:right="360"/>
      <w:jc w:val="left"/>
    </w:pPr>
    <w:rPr>
      <w:kern w:val="0"/>
      <w:sz w:val="24"/>
    </w:rPr>
  </w:style>
  <w:style w:type="character" w:customStyle="1" w:styleId="145">
    <w:name w:val="Blockquote Char"/>
    <w:link w:val="144"/>
    <w:qFormat/>
    <w:uiPriority w:val="0"/>
    <w:rPr>
      <w:sz w:val="24"/>
    </w:rPr>
  </w:style>
  <w:style w:type="paragraph" w:customStyle="1" w:styleId="146">
    <w:name w:val="Normal_0"/>
    <w:qFormat/>
    <w:uiPriority w:val="0"/>
    <w:pPr>
      <w:widowControl w:val="0"/>
      <w:jc w:val="both"/>
    </w:pPr>
    <w:rPr>
      <w:rFonts w:ascii="Calibri" w:hAnsi="Calibri" w:eastAsia="宋体" w:cs="Times New Roman"/>
      <w:lang w:val="en-US" w:eastAsia="zh-CN" w:bidi="ar-SA"/>
    </w:rPr>
  </w:style>
  <w:style w:type="paragraph" w:customStyle="1" w:styleId="147">
    <w:name w:val="正文_0"/>
    <w:qFormat/>
    <w:uiPriority w:val="99"/>
    <w:pPr>
      <w:widowControl w:val="0"/>
      <w:jc w:val="both"/>
    </w:pPr>
    <w:rPr>
      <w:rFonts w:ascii="Calibri" w:hAnsi="Calibri" w:eastAsia="宋体" w:cs="Times New Roman"/>
      <w:kern w:val="2"/>
      <w:sz w:val="21"/>
      <w:szCs w:val="22"/>
      <w:lang w:val="en-US" w:eastAsia="zh-CN" w:bidi="ar-SA"/>
    </w:rPr>
  </w:style>
  <w:style w:type="paragraph" w:customStyle="1" w:styleId="148">
    <w:name w:val="Normal_1"/>
    <w:qFormat/>
    <w:uiPriority w:val="0"/>
    <w:pPr>
      <w:widowControl w:val="0"/>
      <w:jc w:val="both"/>
    </w:pPr>
    <w:rPr>
      <w:rFonts w:ascii="Calibri" w:hAnsi="Calibri" w:eastAsia="宋体" w:cs="Times New Roman"/>
      <w:lang w:val="en-US" w:eastAsia="zh-CN" w:bidi="ar-SA"/>
    </w:rPr>
  </w:style>
  <w:style w:type="paragraph" w:customStyle="1" w:styleId="149">
    <w:name w:val="页脚1"/>
    <w:basedOn w:val="146"/>
    <w:link w:val="150"/>
    <w:unhideWhenUsed/>
    <w:qFormat/>
    <w:uiPriority w:val="0"/>
    <w:pPr>
      <w:tabs>
        <w:tab w:val="center" w:pos="4153"/>
        <w:tab w:val="right" w:pos="8306"/>
      </w:tabs>
      <w:snapToGrid w:val="0"/>
      <w:jc w:val="left"/>
    </w:pPr>
    <w:rPr>
      <w:sz w:val="18"/>
      <w:szCs w:val="18"/>
    </w:rPr>
  </w:style>
  <w:style w:type="character" w:customStyle="1" w:styleId="150">
    <w:name w:val="页脚 Char_0"/>
    <w:link w:val="149"/>
    <w:qFormat/>
    <w:uiPriority w:val="0"/>
    <w:rPr>
      <w:rFonts w:ascii="Calibri" w:hAnsi="Calibri"/>
      <w:sz w:val="18"/>
      <w:szCs w:val="18"/>
    </w:rPr>
  </w:style>
  <w:style w:type="paragraph" w:customStyle="1" w:styleId="151">
    <w:name w:val="正文_3_0"/>
    <w:qFormat/>
    <w:uiPriority w:val="0"/>
    <w:pPr>
      <w:widowControl w:val="0"/>
      <w:jc w:val="both"/>
    </w:pPr>
    <w:rPr>
      <w:rFonts w:ascii="Calibri" w:hAnsi="Calibri" w:eastAsia="宋体" w:cs="Times New Roman"/>
      <w:lang w:val="en-US" w:eastAsia="zh-CN" w:bidi="ar-SA"/>
    </w:rPr>
  </w:style>
  <w:style w:type="character" w:customStyle="1" w:styleId="152">
    <w:name w:val="Char Char19"/>
    <w:qFormat/>
    <w:uiPriority w:val="0"/>
    <w:rPr>
      <w:rFonts w:ascii="Arial" w:hAnsi="Arial" w:eastAsia="黑体"/>
      <w:b/>
      <w:bCs/>
      <w:sz w:val="32"/>
      <w:szCs w:val="32"/>
    </w:rPr>
  </w:style>
  <w:style w:type="paragraph" w:customStyle="1" w:styleId="153">
    <w:name w:val="Normal_2"/>
    <w:qFormat/>
    <w:uiPriority w:val="0"/>
    <w:pPr>
      <w:widowControl w:val="0"/>
      <w:jc w:val="both"/>
    </w:pPr>
    <w:rPr>
      <w:rFonts w:ascii="Calibri" w:hAnsi="Calibri" w:eastAsia="宋体" w:cs="Times New Roman"/>
      <w:lang w:val="en-US" w:eastAsia="zh-CN" w:bidi="ar-SA"/>
    </w:rPr>
  </w:style>
  <w:style w:type="paragraph" w:customStyle="1" w:styleId="154">
    <w:name w:val="Normal_1_0"/>
    <w:qFormat/>
    <w:uiPriority w:val="0"/>
    <w:pPr>
      <w:widowControl w:val="0"/>
      <w:jc w:val="both"/>
    </w:pPr>
    <w:rPr>
      <w:rFonts w:ascii="Calibri" w:hAnsi="Calibri" w:eastAsia="宋体" w:cs="Times New Roman"/>
      <w:lang w:val="en-US" w:eastAsia="zh-CN" w:bidi="ar-SA"/>
    </w:rPr>
  </w:style>
  <w:style w:type="paragraph" w:customStyle="1" w:styleId="155">
    <w:name w:val="Normal_3"/>
    <w:qFormat/>
    <w:uiPriority w:val="0"/>
    <w:pPr>
      <w:widowControl w:val="0"/>
      <w:jc w:val="both"/>
    </w:pPr>
    <w:rPr>
      <w:rFonts w:ascii="Calibri" w:hAnsi="Calibri" w:eastAsia="宋体" w:cs="Times New Roman"/>
      <w:lang w:val="en-US" w:eastAsia="zh-CN" w:bidi="ar-SA"/>
    </w:rPr>
  </w:style>
  <w:style w:type="paragraph" w:customStyle="1" w:styleId="156">
    <w:name w:val="样式1"/>
    <w:basedOn w:val="6"/>
    <w:qFormat/>
    <w:uiPriority w:val="0"/>
    <w:pPr>
      <w:widowControl/>
      <w:jc w:val="left"/>
    </w:pPr>
    <w:rPr>
      <w:rFonts w:ascii="黑体"/>
      <w:kern w:val="0"/>
      <w:sz w:val="24"/>
      <w:szCs w:val="30"/>
    </w:rPr>
  </w:style>
  <w:style w:type="paragraph" w:customStyle="1" w:styleId="157">
    <w:name w:val="标题4"/>
    <w:basedOn w:val="1"/>
    <w:next w:val="6"/>
    <w:link w:val="158"/>
    <w:qFormat/>
    <w:uiPriority w:val="0"/>
    <w:pPr>
      <w:widowControl/>
      <w:jc w:val="left"/>
    </w:pPr>
    <w:rPr>
      <w:rFonts w:ascii="黑体" w:eastAsia="黑体"/>
      <w:kern w:val="0"/>
      <w:sz w:val="24"/>
      <w:szCs w:val="30"/>
    </w:rPr>
  </w:style>
  <w:style w:type="character" w:customStyle="1" w:styleId="158">
    <w:name w:val="标题4 Char Char"/>
    <w:link w:val="157"/>
    <w:qFormat/>
    <w:uiPriority w:val="0"/>
    <w:rPr>
      <w:rFonts w:ascii="黑体" w:eastAsia="黑体"/>
      <w:sz w:val="24"/>
      <w:szCs w:val="30"/>
    </w:rPr>
  </w:style>
  <w:style w:type="paragraph" w:customStyle="1" w:styleId="159">
    <w:name w:val="样式2"/>
    <w:basedOn w:val="6"/>
    <w:next w:val="6"/>
    <w:qFormat/>
    <w:uiPriority w:val="0"/>
    <w:pPr>
      <w:widowControl/>
      <w:jc w:val="left"/>
    </w:pPr>
    <w:rPr>
      <w:rFonts w:ascii="黑体"/>
      <w:kern w:val="0"/>
      <w:sz w:val="24"/>
      <w:szCs w:val="30"/>
    </w:rPr>
  </w:style>
  <w:style w:type="character" w:customStyle="1" w:styleId="160">
    <w:name w:val="正文文本缩进 Char1"/>
    <w:basedOn w:val="57"/>
    <w:qFormat/>
    <w:uiPriority w:val="0"/>
  </w:style>
  <w:style w:type="paragraph" w:customStyle="1" w:styleId="161">
    <w:name w:val="Char3"/>
    <w:basedOn w:val="1"/>
    <w:qFormat/>
    <w:uiPriority w:val="0"/>
    <w:pPr>
      <w:tabs>
        <w:tab w:val="left" w:pos="794"/>
        <w:tab w:val="left" w:pos="1191"/>
        <w:tab w:val="left" w:pos="1588"/>
        <w:tab w:val="left" w:pos="1985"/>
      </w:tabs>
      <w:autoSpaceDE w:val="0"/>
      <w:autoSpaceDN w:val="0"/>
      <w:adjustRightInd w:val="0"/>
      <w:spacing w:before="136"/>
    </w:pPr>
    <w:rPr>
      <w:rFonts w:ascii="Tahoma" w:hAnsi="Tahoma"/>
      <w:kern w:val="0"/>
      <w:sz w:val="24"/>
      <w:lang w:val="en-GB"/>
    </w:rPr>
  </w:style>
  <w:style w:type="character" w:customStyle="1" w:styleId="162">
    <w:name w:val="zbggmain style9"/>
    <w:basedOn w:val="57"/>
    <w:qFormat/>
    <w:uiPriority w:val="0"/>
  </w:style>
  <w:style w:type="paragraph" w:customStyle="1" w:styleId="163">
    <w:name w:val="样式 标题 3 + (中文) 黑体 小四 非加粗 段前: 7.8 磅 段后: 0 磅 行距: 固定值 20 磅"/>
    <w:basedOn w:val="5"/>
    <w:qFormat/>
    <w:uiPriority w:val="0"/>
    <w:pPr>
      <w:spacing w:before="0" w:after="0" w:line="400" w:lineRule="exact"/>
      <w:ind w:firstLine="0"/>
    </w:pPr>
    <w:rPr>
      <w:rFonts w:ascii="Times New Roman" w:eastAsia="黑体" w:cs="宋体"/>
      <w:b w:val="0"/>
    </w:rPr>
  </w:style>
  <w:style w:type="paragraph" w:customStyle="1" w:styleId="164">
    <w:name w:val="样式 标题 2 + Times New Roman 四号 非加粗 段前: 5 磅 段后: 0 磅 行距: 固定值 20..."/>
    <w:basedOn w:val="4"/>
    <w:link w:val="165"/>
    <w:qFormat/>
    <w:uiPriority w:val="0"/>
    <w:pPr>
      <w:spacing w:before="100"/>
      <w:jc w:val="both"/>
    </w:pPr>
    <w:rPr>
      <w:rFonts w:ascii="Times New Roman" w:hAnsi="Times New Roman" w:eastAsia="黑体" w:cs="宋体"/>
      <w:b w:val="0"/>
      <w:kern w:val="2"/>
      <w:sz w:val="28"/>
    </w:rPr>
  </w:style>
  <w:style w:type="character" w:customStyle="1" w:styleId="165">
    <w:name w:val="样式 标题 2 + Times New Roman 四号 非加粗 段前: 5 磅 段后: 0 磅 行距: 固定值 20... Char Char"/>
    <w:basedOn w:val="57"/>
    <w:link w:val="164"/>
    <w:qFormat/>
    <w:uiPriority w:val="0"/>
    <w:rPr>
      <w:rFonts w:eastAsia="黑体" w:cs="宋体"/>
      <w:kern w:val="2"/>
      <w:sz w:val="28"/>
    </w:rPr>
  </w:style>
  <w:style w:type="paragraph" w:customStyle="1" w:styleId="166">
    <w:name w:val="Char6 Char Char Char"/>
    <w:basedOn w:val="1"/>
    <w:qFormat/>
    <w:uiPriority w:val="0"/>
    <w:pPr>
      <w:tabs>
        <w:tab w:val="left" w:pos="794"/>
        <w:tab w:val="left" w:pos="1191"/>
        <w:tab w:val="left" w:pos="1588"/>
        <w:tab w:val="left" w:pos="1985"/>
      </w:tabs>
      <w:autoSpaceDE w:val="0"/>
      <w:autoSpaceDN w:val="0"/>
      <w:adjustRightInd w:val="0"/>
      <w:spacing w:before="136"/>
    </w:pPr>
    <w:rPr>
      <w:rFonts w:ascii="Tahoma" w:hAnsi="Tahoma"/>
      <w:kern w:val="0"/>
      <w:sz w:val="24"/>
      <w:lang w:val="en-GB"/>
    </w:rPr>
  </w:style>
  <w:style w:type="paragraph" w:customStyle="1" w:styleId="167">
    <w:name w:val="opening2"/>
    <w:basedOn w:val="1"/>
    <w:qFormat/>
    <w:uiPriority w:val="0"/>
    <w:pPr>
      <w:widowControl/>
      <w:spacing w:before="100" w:beforeAutospacing="1" w:after="100" w:afterAutospacing="1"/>
      <w:jc w:val="left"/>
    </w:pPr>
    <w:rPr>
      <w:rFonts w:ascii="宋体" w:hAnsi="宋体" w:cs="宋体"/>
      <w:color w:val="000000"/>
      <w:kern w:val="0"/>
      <w:sz w:val="23"/>
      <w:szCs w:val="23"/>
    </w:rPr>
  </w:style>
  <w:style w:type="paragraph" w:customStyle="1" w:styleId="168">
    <w:name w:val="7"/>
    <w:basedOn w:val="1"/>
    <w:qFormat/>
    <w:uiPriority w:val="0"/>
    <w:pPr>
      <w:widowControl/>
      <w:tabs>
        <w:tab w:val="left" w:pos="425"/>
      </w:tabs>
      <w:spacing w:beforeLines="100" w:after="160" w:line="240" w:lineRule="exact"/>
      <w:ind w:left="425" w:hanging="425"/>
      <w:jc w:val="left"/>
    </w:pPr>
    <w:rPr>
      <w:rFonts w:ascii="Verdana" w:hAnsi="Verdana" w:eastAsia="黑体"/>
      <w:kern w:val="0"/>
      <w:sz w:val="20"/>
      <w:lang w:eastAsia="en-US"/>
    </w:rPr>
  </w:style>
  <w:style w:type="character" w:customStyle="1" w:styleId="169">
    <w:name w:val="javascript"/>
    <w:basedOn w:val="57"/>
    <w:qFormat/>
    <w:uiPriority w:val="0"/>
  </w:style>
  <w:style w:type="character" w:customStyle="1" w:styleId="170">
    <w:name w:val="style11"/>
    <w:qFormat/>
    <w:uiPriority w:val="0"/>
    <w:rPr>
      <w:b/>
      <w:bCs/>
    </w:rPr>
  </w:style>
  <w:style w:type="paragraph" w:customStyle="1" w:styleId="171">
    <w:name w:val="1"/>
    <w:basedOn w:val="1"/>
    <w:next w:val="24"/>
    <w:qFormat/>
    <w:uiPriority w:val="0"/>
    <w:pPr>
      <w:adjustRightInd w:val="0"/>
      <w:ind w:left="420" w:right="33"/>
      <w:jc w:val="left"/>
      <w:textAlignment w:val="baseline"/>
    </w:pPr>
    <w:rPr>
      <w:kern w:val="0"/>
      <w:sz w:val="24"/>
    </w:rPr>
  </w:style>
  <w:style w:type="paragraph" w:customStyle="1" w:styleId="172">
    <w:name w:val="样式 样式 样式 宋体 小四 黑色 两端对齐 + 首行缩进:  2 字符 + 五号 首行缩进:  2 字符"/>
    <w:basedOn w:val="1"/>
    <w:qFormat/>
    <w:uiPriority w:val="0"/>
    <w:pPr>
      <w:widowControl/>
      <w:spacing w:line="340" w:lineRule="exact"/>
      <w:ind w:firstLine="200" w:firstLineChars="200"/>
    </w:pPr>
    <w:rPr>
      <w:rFonts w:ascii="宋体" w:hAnsi="宋体"/>
      <w:color w:val="000000"/>
      <w:kern w:val="0"/>
    </w:rPr>
  </w:style>
  <w:style w:type="paragraph" w:customStyle="1" w:styleId="173">
    <w:name w:val="目录文字"/>
    <w:basedOn w:val="1"/>
    <w:qFormat/>
    <w:uiPriority w:val="0"/>
    <w:pPr>
      <w:widowControl/>
      <w:spacing w:line="480" w:lineRule="auto"/>
      <w:jc w:val="left"/>
    </w:pPr>
    <w:rPr>
      <w:rFonts w:ascii="宋体" w:hAnsi="宋体"/>
      <w:kern w:val="0"/>
      <w:sz w:val="24"/>
    </w:rPr>
  </w:style>
  <w:style w:type="paragraph" w:customStyle="1" w:styleId="174">
    <w:name w:val="xl51"/>
    <w:basedOn w:val="1"/>
    <w:qFormat/>
    <w:uiPriority w:val="0"/>
    <w:pPr>
      <w:widowControl/>
      <w:pBdr>
        <w:bottom w:val="single" w:color="auto" w:sz="4" w:space="0"/>
      </w:pBdr>
      <w:spacing w:before="100" w:beforeAutospacing="1" w:after="100" w:afterAutospacing="1"/>
      <w:jc w:val="center"/>
      <w:textAlignment w:val="center"/>
    </w:pPr>
    <w:rPr>
      <w:rFonts w:ascii="宋体" w:hAnsi="宋体"/>
      <w:b/>
      <w:bCs/>
      <w:kern w:val="0"/>
      <w:sz w:val="32"/>
      <w:szCs w:val="32"/>
    </w:rPr>
  </w:style>
  <w:style w:type="character" w:customStyle="1" w:styleId="175">
    <w:name w:val="正文文本 3 字符"/>
    <w:basedOn w:val="57"/>
    <w:link w:val="20"/>
    <w:qFormat/>
    <w:uiPriority w:val="0"/>
    <w:rPr>
      <w:sz w:val="16"/>
      <w:szCs w:val="16"/>
    </w:rPr>
  </w:style>
  <w:style w:type="character" w:customStyle="1" w:styleId="176">
    <w:name w:val="宏文本 字符"/>
    <w:link w:val="2"/>
    <w:qFormat/>
    <w:uiPriority w:val="0"/>
    <w:rPr>
      <w:rFonts w:ascii="Courier New" w:hAnsi="Courier New"/>
      <w:sz w:val="24"/>
      <w:szCs w:val="24"/>
    </w:rPr>
  </w:style>
  <w:style w:type="character" w:customStyle="1" w:styleId="177">
    <w:name w:val="宏文本 Char1"/>
    <w:basedOn w:val="57"/>
    <w:qFormat/>
    <w:uiPriority w:val="0"/>
    <w:rPr>
      <w:rFonts w:ascii="Courier New" w:hAnsi="Courier New" w:cs="Courier New"/>
      <w:kern w:val="2"/>
      <w:sz w:val="24"/>
      <w:szCs w:val="24"/>
    </w:rPr>
  </w:style>
  <w:style w:type="character" w:customStyle="1" w:styleId="178">
    <w:name w:val="15"/>
    <w:qFormat/>
    <w:uiPriority w:val="0"/>
    <w:rPr>
      <w:rFonts w:hint="eastAsia" w:ascii="MingLiU" w:hAnsi="MingLiU" w:eastAsia="MingLiU"/>
      <w:sz w:val="22"/>
      <w:szCs w:val="22"/>
    </w:rPr>
  </w:style>
  <w:style w:type="character" w:customStyle="1" w:styleId="179">
    <w:name w:val="font51"/>
    <w:qFormat/>
    <w:uiPriority w:val="0"/>
    <w:rPr>
      <w:rFonts w:hint="eastAsia" w:ascii="宋体" w:hAnsi="宋体" w:eastAsia="宋体" w:cs="宋体"/>
      <w:b/>
      <w:color w:val="000000"/>
      <w:sz w:val="21"/>
      <w:szCs w:val="21"/>
      <w:u w:val="none"/>
    </w:rPr>
  </w:style>
  <w:style w:type="character" w:customStyle="1" w:styleId="180">
    <w:name w:val="正文文本 (2)_"/>
    <w:link w:val="181"/>
    <w:qFormat/>
    <w:uiPriority w:val="0"/>
    <w:rPr>
      <w:rFonts w:ascii="MingLiU" w:hAnsi="MingLiU" w:eastAsia="MingLiU" w:cs="MingLiU"/>
      <w:spacing w:val="4"/>
      <w:sz w:val="22"/>
      <w:szCs w:val="22"/>
    </w:rPr>
  </w:style>
  <w:style w:type="paragraph" w:customStyle="1" w:styleId="181">
    <w:name w:val="正文文本 (2)"/>
    <w:basedOn w:val="1"/>
    <w:link w:val="180"/>
    <w:qFormat/>
    <w:uiPriority w:val="0"/>
    <w:pPr>
      <w:spacing w:after="120" w:line="458" w:lineRule="exact"/>
      <w:jc w:val="distribute"/>
    </w:pPr>
    <w:rPr>
      <w:rFonts w:ascii="MingLiU" w:hAnsi="MingLiU" w:eastAsia="MingLiU" w:cs="MingLiU"/>
      <w:spacing w:val="4"/>
      <w:kern w:val="0"/>
      <w:sz w:val="22"/>
      <w:szCs w:val="22"/>
    </w:rPr>
  </w:style>
  <w:style w:type="character" w:customStyle="1" w:styleId="182">
    <w:name w:val="font61"/>
    <w:qFormat/>
    <w:uiPriority w:val="0"/>
    <w:rPr>
      <w:rFonts w:hint="default" w:ascii="Times New Roman" w:hAnsi="Times New Roman" w:cs="Times New Roman"/>
      <w:b/>
      <w:color w:val="000000"/>
      <w:sz w:val="21"/>
      <w:szCs w:val="21"/>
      <w:u w:val="none"/>
    </w:rPr>
  </w:style>
  <w:style w:type="character" w:customStyle="1" w:styleId="183">
    <w:name w:val="my Char Char"/>
    <w:link w:val="184"/>
    <w:qFormat/>
    <w:uiPriority w:val="0"/>
    <w:rPr>
      <w:color w:val="000000"/>
      <w:kern w:val="2"/>
      <w:sz w:val="24"/>
      <w:szCs w:val="24"/>
    </w:rPr>
  </w:style>
  <w:style w:type="paragraph" w:customStyle="1" w:styleId="184">
    <w:name w:val="my"/>
    <w:basedOn w:val="44"/>
    <w:link w:val="183"/>
    <w:qFormat/>
    <w:uiPriority w:val="0"/>
    <w:rPr>
      <w:color w:val="000000"/>
    </w:rPr>
  </w:style>
  <w:style w:type="character" w:customStyle="1" w:styleId="185">
    <w:name w:val="样式 标题 2 + 二号 Char"/>
    <w:qFormat/>
    <w:uiPriority w:val="0"/>
    <w:rPr>
      <w:rFonts w:ascii="Arial" w:hAnsi="Arial" w:eastAsia="宋体"/>
      <w:b/>
      <w:color w:val="FF0000"/>
      <w:sz w:val="32"/>
      <w:lang w:val="en-US" w:eastAsia="zh-CN"/>
    </w:rPr>
  </w:style>
  <w:style w:type="character" w:customStyle="1" w:styleId="186">
    <w:name w:val="font161"/>
    <w:qFormat/>
    <w:uiPriority w:val="0"/>
    <w:rPr>
      <w:rFonts w:ascii="Arial" w:hAnsi="Arial" w:eastAsia="黑体"/>
      <w:b/>
      <w:bCs/>
      <w:kern w:val="2"/>
      <w:sz w:val="32"/>
      <w:szCs w:val="32"/>
      <w:lang w:val="en-US" w:eastAsia="zh-CN" w:bidi="ar-SA"/>
    </w:rPr>
  </w:style>
  <w:style w:type="character" w:customStyle="1" w:styleId="187">
    <w:name w:val="表一 Char Char"/>
    <w:link w:val="188"/>
    <w:qFormat/>
    <w:uiPriority w:val="0"/>
    <w:rPr>
      <w:snapToGrid w:val="0"/>
      <w:sz w:val="24"/>
    </w:rPr>
  </w:style>
  <w:style w:type="paragraph" w:customStyle="1" w:styleId="188">
    <w:name w:val="表一"/>
    <w:basedOn w:val="1"/>
    <w:link w:val="187"/>
    <w:qFormat/>
    <w:uiPriority w:val="0"/>
    <w:pPr>
      <w:adjustRightInd w:val="0"/>
      <w:snapToGrid w:val="0"/>
      <w:ind w:right="-71"/>
      <w:jc w:val="center"/>
    </w:pPr>
    <w:rPr>
      <w:snapToGrid w:val="0"/>
      <w:kern w:val="0"/>
      <w:sz w:val="24"/>
    </w:rPr>
  </w:style>
  <w:style w:type="character" w:customStyle="1" w:styleId="189">
    <w:name w:val="段落 Char"/>
    <w:link w:val="190"/>
    <w:qFormat/>
    <w:uiPriority w:val="0"/>
    <w:rPr>
      <w:rFonts w:ascii="宋体" w:hAnsi="宋体"/>
      <w:kern w:val="2"/>
      <w:sz w:val="24"/>
      <w:szCs w:val="24"/>
    </w:rPr>
  </w:style>
  <w:style w:type="paragraph" w:customStyle="1" w:styleId="190">
    <w:name w:val="段落"/>
    <w:basedOn w:val="1"/>
    <w:link w:val="189"/>
    <w:qFormat/>
    <w:uiPriority w:val="0"/>
    <w:pPr>
      <w:spacing w:line="440" w:lineRule="exact"/>
      <w:ind w:firstLine="200" w:firstLineChars="200"/>
    </w:pPr>
    <w:rPr>
      <w:rFonts w:ascii="宋体" w:hAnsi="宋体"/>
      <w:sz w:val="24"/>
      <w:szCs w:val="24"/>
    </w:rPr>
  </w:style>
  <w:style w:type="character" w:customStyle="1" w:styleId="191">
    <w:name w:val="Char Char1"/>
    <w:qFormat/>
    <w:uiPriority w:val="0"/>
    <w:rPr>
      <w:rFonts w:eastAsia="宋体"/>
      <w:b/>
      <w:kern w:val="2"/>
      <w:sz w:val="32"/>
      <w:lang w:val="en-US" w:eastAsia="zh-CN"/>
    </w:rPr>
  </w:style>
  <w:style w:type="character" w:customStyle="1" w:styleId="192">
    <w:name w:val="正文文本_"/>
    <w:link w:val="193"/>
    <w:qFormat/>
    <w:uiPriority w:val="0"/>
    <w:rPr>
      <w:rFonts w:ascii="MingLiU" w:hAnsi="MingLiU" w:eastAsia="MingLiU" w:cs="MingLiU"/>
      <w:spacing w:val="9"/>
      <w:sz w:val="21"/>
      <w:szCs w:val="21"/>
    </w:rPr>
  </w:style>
  <w:style w:type="paragraph" w:customStyle="1" w:styleId="193">
    <w:name w:val="正文文本1"/>
    <w:basedOn w:val="1"/>
    <w:link w:val="192"/>
    <w:qFormat/>
    <w:uiPriority w:val="0"/>
    <w:pPr>
      <w:spacing w:after="60" w:line="463" w:lineRule="exact"/>
      <w:jc w:val="distribute"/>
    </w:pPr>
    <w:rPr>
      <w:rFonts w:ascii="MingLiU" w:hAnsi="MingLiU" w:eastAsia="MingLiU" w:cs="MingLiU"/>
      <w:spacing w:val="9"/>
      <w:kern w:val="0"/>
      <w:szCs w:val="21"/>
    </w:rPr>
  </w:style>
  <w:style w:type="character" w:customStyle="1" w:styleId="194">
    <w:name w:val="font31"/>
    <w:qFormat/>
    <w:uiPriority w:val="0"/>
    <w:rPr>
      <w:rFonts w:hint="default" w:ascii="Times New Roman" w:hAnsi="Times New Roman" w:cs="Times New Roman"/>
      <w:color w:val="000000"/>
      <w:sz w:val="21"/>
      <w:szCs w:val="21"/>
      <w:u w:val="none"/>
    </w:rPr>
  </w:style>
  <w:style w:type="character" w:customStyle="1" w:styleId="195">
    <w:name w:val="正文文本首行缩进 2 字符"/>
    <w:basedOn w:val="196"/>
    <w:link w:val="54"/>
    <w:qFormat/>
    <w:uiPriority w:val="0"/>
    <w:rPr>
      <w:kern w:val="2"/>
      <w:sz w:val="21"/>
      <w:szCs w:val="24"/>
    </w:rPr>
  </w:style>
  <w:style w:type="character" w:customStyle="1" w:styleId="196">
    <w:name w:val="正文文本缩进 Char"/>
    <w:qFormat/>
    <w:uiPriority w:val="0"/>
    <w:rPr>
      <w:kern w:val="2"/>
      <w:sz w:val="21"/>
      <w:szCs w:val="24"/>
    </w:rPr>
  </w:style>
  <w:style w:type="character" w:customStyle="1" w:styleId="197">
    <w:name w:val="正文首行缩进 2 Char1"/>
    <w:basedOn w:val="127"/>
    <w:qFormat/>
    <w:uiPriority w:val="0"/>
    <w:rPr>
      <w:kern w:val="2"/>
      <w:sz w:val="21"/>
    </w:rPr>
  </w:style>
  <w:style w:type="character" w:customStyle="1" w:styleId="198">
    <w:name w:val="HTML 预设格式 Char1"/>
    <w:qFormat/>
    <w:uiPriority w:val="0"/>
    <w:rPr>
      <w:rFonts w:ascii="Courier New" w:hAnsi="Courier New" w:cs="Courier New"/>
    </w:rPr>
  </w:style>
  <w:style w:type="character" w:customStyle="1" w:styleId="199">
    <w:name w:val="正正正文 Char1"/>
    <w:link w:val="200"/>
    <w:qFormat/>
    <w:uiPriority w:val="0"/>
    <w:rPr>
      <w:color w:val="000000"/>
      <w:kern w:val="2"/>
      <w:sz w:val="21"/>
    </w:rPr>
  </w:style>
  <w:style w:type="paragraph" w:customStyle="1" w:styleId="200">
    <w:name w:val="正正正文"/>
    <w:basedOn w:val="1"/>
    <w:link w:val="199"/>
    <w:qFormat/>
    <w:uiPriority w:val="0"/>
    <w:pPr>
      <w:snapToGrid w:val="0"/>
      <w:spacing w:line="460" w:lineRule="exact"/>
      <w:ind w:firstLine="420" w:firstLineChars="200"/>
    </w:pPr>
    <w:rPr>
      <w:color w:val="000000"/>
    </w:rPr>
  </w:style>
  <w:style w:type="character" w:customStyle="1" w:styleId="201">
    <w:name w:val="Char Char3"/>
    <w:qFormat/>
    <w:uiPriority w:val="0"/>
    <w:rPr>
      <w:rFonts w:eastAsia="宋体"/>
      <w:b/>
      <w:kern w:val="44"/>
      <w:sz w:val="44"/>
      <w:lang w:val="en-US" w:eastAsia="zh-CN"/>
    </w:rPr>
  </w:style>
  <w:style w:type="character" w:customStyle="1" w:styleId="202">
    <w:name w:val="font21"/>
    <w:qFormat/>
    <w:uiPriority w:val="0"/>
    <w:rPr>
      <w:rFonts w:hint="eastAsia" w:ascii="宋体" w:hAnsi="宋体" w:eastAsia="宋体" w:cs="宋体"/>
      <w:color w:val="FF0000"/>
      <w:sz w:val="21"/>
      <w:szCs w:val="21"/>
      <w:u w:val="none"/>
    </w:rPr>
  </w:style>
  <w:style w:type="character" w:customStyle="1" w:styleId="203">
    <w:name w:val="p21"/>
    <w:qFormat/>
    <w:uiPriority w:val="0"/>
    <w:rPr>
      <w:sz w:val="9"/>
      <w:szCs w:val="9"/>
    </w:rPr>
  </w:style>
  <w:style w:type="character" w:customStyle="1" w:styleId="204">
    <w:name w:val="正文文本 + Tahoma"/>
    <w:qFormat/>
    <w:uiPriority w:val="0"/>
    <w:rPr>
      <w:rFonts w:ascii="Tahoma" w:hAnsi="Tahoma" w:eastAsia="Tahoma" w:cs="Tahoma"/>
      <w:color w:val="000000"/>
      <w:spacing w:val="23"/>
      <w:w w:val="100"/>
      <w:position w:val="0"/>
      <w:sz w:val="19"/>
      <w:szCs w:val="19"/>
      <w:u w:val="none"/>
      <w:lang w:val="zh-CN"/>
    </w:rPr>
  </w:style>
  <w:style w:type="character" w:customStyle="1" w:styleId="205">
    <w:name w:val="正文文本 (2) + 间距 3 pt"/>
    <w:qFormat/>
    <w:uiPriority w:val="0"/>
    <w:rPr>
      <w:rFonts w:ascii="MingLiU" w:hAnsi="MingLiU" w:eastAsia="MingLiU" w:cs="MingLiU"/>
      <w:color w:val="000000"/>
      <w:spacing w:val="73"/>
      <w:w w:val="100"/>
      <w:position w:val="0"/>
      <w:sz w:val="22"/>
      <w:szCs w:val="22"/>
      <w:u w:val="none"/>
      <w:lang w:val="zh-CN"/>
    </w:rPr>
  </w:style>
  <w:style w:type="character" w:customStyle="1" w:styleId="206">
    <w:name w:val="font5 Char"/>
    <w:link w:val="207"/>
    <w:qFormat/>
    <w:uiPriority w:val="0"/>
    <w:rPr>
      <w:rFonts w:ascii="宋体" w:hAnsi="宋体"/>
      <w:sz w:val="24"/>
      <w:szCs w:val="24"/>
    </w:rPr>
  </w:style>
  <w:style w:type="paragraph" w:customStyle="1" w:styleId="207">
    <w:name w:val="font5"/>
    <w:basedOn w:val="1"/>
    <w:link w:val="206"/>
    <w:qFormat/>
    <w:uiPriority w:val="0"/>
    <w:pPr>
      <w:widowControl/>
      <w:spacing w:before="100" w:beforeAutospacing="1" w:after="100" w:afterAutospacing="1"/>
      <w:jc w:val="left"/>
    </w:pPr>
    <w:rPr>
      <w:rFonts w:ascii="宋体" w:hAnsi="宋体"/>
      <w:kern w:val="0"/>
      <w:sz w:val="24"/>
      <w:szCs w:val="24"/>
    </w:rPr>
  </w:style>
  <w:style w:type="character" w:customStyle="1" w:styleId="208">
    <w:name w:val="标题 3 Char Char"/>
    <w:qFormat/>
    <w:uiPriority w:val="0"/>
    <w:rPr>
      <w:rFonts w:eastAsia="宋体"/>
      <w:b/>
      <w:kern w:val="2"/>
      <w:sz w:val="32"/>
      <w:lang w:val="en-US" w:eastAsia="zh-CN"/>
    </w:rPr>
  </w:style>
  <w:style w:type="character" w:customStyle="1" w:styleId="209">
    <w:name w:val="正文缩进 Char1 Char"/>
    <w:qFormat/>
    <w:uiPriority w:val="0"/>
    <w:rPr>
      <w:rFonts w:eastAsia="宋体"/>
      <w:kern w:val="2"/>
      <w:sz w:val="24"/>
      <w:szCs w:val="24"/>
      <w:lang w:val="en-US" w:eastAsia="zh-CN" w:bidi="ar-SA"/>
    </w:rPr>
  </w:style>
  <w:style w:type="character" w:customStyle="1" w:styleId="210">
    <w:name w:val="font01"/>
    <w:qFormat/>
    <w:uiPriority w:val="0"/>
    <w:rPr>
      <w:rFonts w:hint="eastAsia" w:ascii="宋体" w:hAnsi="宋体" w:eastAsia="宋体" w:cs="宋体"/>
      <w:color w:val="000000"/>
      <w:sz w:val="21"/>
      <w:szCs w:val="21"/>
      <w:u w:val="none"/>
    </w:rPr>
  </w:style>
  <w:style w:type="character" w:customStyle="1" w:styleId="211">
    <w:name w:val="font11"/>
    <w:qFormat/>
    <w:uiPriority w:val="0"/>
    <w:rPr>
      <w:rFonts w:hint="default" w:ascii="Times New Roman" w:hAnsi="Times New Roman" w:cs="Times New Roman"/>
      <w:color w:val="FF0000"/>
      <w:sz w:val="21"/>
      <w:szCs w:val="21"/>
      <w:u w:val="none"/>
    </w:rPr>
  </w:style>
  <w:style w:type="paragraph" w:customStyle="1" w:styleId="212">
    <w:name w:val="样式 样式 样式 公正文 + 首行缩进:  2 字符2 + 首行缩进:  2 字符 + 首行缩进:  2 字符"/>
    <w:basedOn w:val="213"/>
    <w:qFormat/>
    <w:uiPriority w:val="0"/>
  </w:style>
  <w:style w:type="paragraph" w:customStyle="1" w:styleId="213">
    <w:name w:val="样式 样式 公正文 + 首行缩进:  2 字符2 + 首行缩进:  2 字符"/>
    <w:basedOn w:val="214"/>
    <w:qFormat/>
    <w:uiPriority w:val="0"/>
  </w:style>
  <w:style w:type="paragraph" w:customStyle="1" w:styleId="214">
    <w:name w:val="样式 公正文 + 首行缩进:  2 字符2"/>
    <w:basedOn w:val="215"/>
    <w:qFormat/>
    <w:uiPriority w:val="0"/>
    <w:rPr>
      <w:rFonts w:cs="宋体"/>
    </w:rPr>
  </w:style>
  <w:style w:type="paragraph" w:customStyle="1" w:styleId="215">
    <w:name w:val="公正文"/>
    <w:basedOn w:val="14"/>
    <w:qFormat/>
    <w:uiPriority w:val="0"/>
    <w:pPr>
      <w:adjustRightInd w:val="0"/>
      <w:snapToGrid w:val="0"/>
      <w:spacing w:line="560" w:lineRule="exact"/>
      <w:ind w:firstLine="200"/>
    </w:pPr>
    <w:rPr>
      <w:rFonts w:ascii="仿宋_GB2312" w:hAnsi="宋体" w:eastAsia="仿宋_GB2312"/>
      <w:sz w:val="28"/>
    </w:rPr>
  </w:style>
  <w:style w:type="paragraph" w:customStyle="1" w:styleId="216">
    <w:name w:val="样式 样式 样式 样式 公正文 + 首行缩进:  2 字符2 + 首行缩进:  2 字符 + 首行缩进:  2 字符 + 首行缩...1"/>
    <w:basedOn w:val="212"/>
    <w:qFormat/>
    <w:uiPriority w:val="0"/>
    <w:pPr>
      <w:adjustRightInd/>
      <w:snapToGrid/>
    </w:pPr>
  </w:style>
  <w:style w:type="paragraph" w:customStyle="1" w:styleId="217">
    <w:name w:val="表二"/>
    <w:basedOn w:val="1"/>
    <w:qFormat/>
    <w:uiPriority w:val="0"/>
    <w:pPr>
      <w:adjustRightInd w:val="0"/>
      <w:snapToGrid w:val="0"/>
    </w:pPr>
    <w:rPr>
      <w:snapToGrid w:val="0"/>
      <w:kern w:val="0"/>
    </w:rPr>
  </w:style>
  <w:style w:type="character" w:customStyle="1" w:styleId="218">
    <w:name w:val="标题 字符"/>
    <w:basedOn w:val="57"/>
    <w:link w:val="51"/>
    <w:qFormat/>
    <w:uiPriority w:val="99"/>
    <w:rPr>
      <w:rFonts w:ascii="Arial" w:hAnsi="Arial"/>
      <w:b/>
      <w:sz w:val="32"/>
    </w:rPr>
  </w:style>
  <w:style w:type="paragraph" w:customStyle="1" w:styleId="219">
    <w:name w:val="表三"/>
    <w:basedOn w:val="217"/>
    <w:qFormat/>
    <w:uiPriority w:val="0"/>
    <w:pPr>
      <w:ind w:right="-34" w:rightChars="-34"/>
      <w:jc w:val="right"/>
    </w:pPr>
  </w:style>
  <w:style w:type="paragraph" w:customStyle="1" w:styleId="220">
    <w:name w:val="样式 样式 样式 样式 样式 公正文 + 首行缩进:  2 字符2 + 首行缩进:  2 字符 + 首行缩进:  2 字符 + ..."/>
    <w:basedOn w:val="216"/>
    <w:qFormat/>
    <w:uiPriority w:val="0"/>
  </w:style>
  <w:style w:type="paragraph" w:customStyle="1" w:styleId="221">
    <w:name w:val="contentartic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22">
    <w:name w:val="样式 标题 2标题 2 Char章章1章2章3章11章21章4章12章22章5章6章7章8章9章..."/>
    <w:basedOn w:val="4"/>
    <w:qFormat/>
    <w:uiPriority w:val="0"/>
    <w:pPr>
      <w:spacing w:line="360" w:lineRule="auto"/>
      <w:jc w:val="left"/>
    </w:pPr>
    <w:rPr>
      <w:rFonts w:ascii="宋体" w:hAnsi="宋体" w:cs="宋体"/>
      <w:bCs/>
      <w:color w:val="FF0000"/>
      <w:sz w:val="21"/>
    </w:rPr>
  </w:style>
  <w:style w:type="paragraph" w:customStyle="1" w:styleId="223">
    <w:name w:val="样式 样式 样式 样式 样式 样式 公正文 + 首行缩进:  2 字符2 + 首行缩进:  2 字符 + 首行缩进:  2 字符..."/>
    <w:basedOn w:val="220"/>
    <w:qFormat/>
    <w:uiPriority w:val="0"/>
  </w:style>
  <w:style w:type="paragraph" w:customStyle="1" w:styleId="224">
    <w:name w:val="样式 标题 1 + 黑体 三号 非加粗 居中 段前: 6 磅 段后: 6 磅 行距: 固定值 20 磅"/>
    <w:basedOn w:val="3"/>
    <w:qFormat/>
    <w:uiPriority w:val="0"/>
    <w:pPr>
      <w:spacing w:line="400" w:lineRule="exact"/>
    </w:pPr>
    <w:rPr>
      <w:rFonts w:ascii="黑体" w:hAnsi="黑体" w:eastAsia="黑体" w:cs="宋体"/>
      <w:b w:val="0"/>
      <w:spacing w:val="0"/>
    </w:rPr>
  </w:style>
  <w:style w:type="paragraph" w:customStyle="1" w:styleId="225">
    <w:name w:val="xl31"/>
    <w:basedOn w:val="1"/>
    <w:qFormat/>
    <w:uiPriority w:val="0"/>
    <w:pPr>
      <w:widowControl/>
      <w:spacing w:before="100" w:beforeAutospacing="1" w:after="100" w:afterAutospacing="1"/>
      <w:jc w:val="center"/>
    </w:pPr>
    <w:rPr>
      <w:rFonts w:ascii="宋体" w:hAnsi="宋体"/>
      <w:kern w:val="0"/>
      <w:sz w:val="24"/>
      <w:szCs w:val="24"/>
    </w:rPr>
  </w:style>
  <w:style w:type="paragraph" w:customStyle="1" w:styleId="226">
    <w:name w:val="表格文字"/>
    <w:basedOn w:val="1"/>
    <w:qFormat/>
    <w:uiPriority w:val="0"/>
    <w:pPr>
      <w:adjustRightInd w:val="0"/>
      <w:spacing w:line="420" w:lineRule="atLeast"/>
      <w:jc w:val="left"/>
      <w:textAlignment w:val="baseline"/>
    </w:pPr>
    <w:rPr>
      <w:kern w:val="0"/>
    </w:rPr>
  </w:style>
  <w:style w:type="paragraph" w:customStyle="1" w:styleId="227">
    <w:name w:val="样式 首行缩进:  2 字符"/>
    <w:basedOn w:val="1"/>
    <w:qFormat/>
    <w:uiPriority w:val="0"/>
    <w:pPr>
      <w:widowControl/>
      <w:spacing w:line="400" w:lineRule="exact"/>
      <w:ind w:firstLine="200" w:firstLineChars="200"/>
      <w:jc w:val="left"/>
    </w:pPr>
    <w:rPr>
      <w:rFonts w:cs="宋体"/>
      <w:kern w:val="0"/>
    </w:rPr>
  </w:style>
  <w:style w:type="paragraph" w:customStyle="1" w:styleId="228">
    <w:name w:val="Char1"/>
    <w:basedOn w:val="1"/>
    <w:qFormat/>
    <w:uiPriority w:val="0"/>
    <w:pPr>
      <w:pageBreakBefore/>
      <w:spacing w:line="360" w:lineRule="auto"/>
    </w:pPr>
    <w:rPr>
      <w:sz w:val="28"/>
    </w:rPr>
  </w:style>
  <w:style w:type="paragraph" w:customStyle="1" w:styleId="229">
    <w:name w:val="标题2"/>
    <w:basedOn w:val="4"/>
    <w:next w:val="1"/>
    <w:qFormat/>
    <w:uiPriority w:val="0"/>
    <w:pPr>
      <w:snapToGrid w:val="0"/>
      <w:spacing w:before="120" w:after="120" w:line="240" w:lineRule="auto"/>
      <w:jc w:val="left"/>
    </w:pPr>
    <w:rPr>
      <w:rFonts w:ascii="Times New Roman" w:hAnsi="Times New Roman"/>
      <w:b w:val="0"/>
      <w:sz w:val="21"/>
      <w:szCs w:val="21"/>
    </w:rPr>
  </w:style>
  <w:style w:type="paragraph" w:customStyle="1" w:styleId="230">
    <w:name w:val="表格2"/>
    <w:basedOn w:val="1"/>
    <w:qFormat/>
    <w:uiPriority w:val="0"/>
    <w:pPr>
      <w:adjustRightInd w:val="0"/>
      <w:spacing w:before="60" w:after="60"/>
      <w:jc w:val="center"/>
    </w:pPr>
    <w:rPr>
      <w:rFonts w:ascii="宋体"/>
      <w:color w:val="000000"/>
      <w:kern w:val="0"/>
      <w:sz w:val="24"/>
    </w:rPr>
  </w:style>
  <w:style w:type="paragraph" w:customStyle="1" w:styleId="231">
    <w:name w:val="font7"/>
    <w:basedOn w:val="1"/>
    <w:qFormat/>
    <w:uiPriority w:val="0"/>
    <w:pPr>
      <w:widowControl/>
      <w:spacing w:before="100" w:beforeAutospacing="1" w:after="100" w:afterAutospacing="1"/>
      <w:jc w:val="left"/>
    </w:pPr>
    <w:rPr>
      <w:rFonts w:hint="eastAsia" w:ascii="宋体" w:hAnsi="宋体"/>
      <w:kern w:val="0"/>
      <w:sz w:val="28"/>
      <w:szCs w:val="28"/>
    </w:rPr>
  </w:style>
  <w:style w:type="paragraph" w:customStyle="1" w:styleId="232">
    <w:name w:val="XW正文"/>
    <w:basedOn w:val="22"/>
    <w:qFormat/>
    <w:uiPriority w:val="0"/>
    <w:pPr>
      <w:adjustRightInd w:val="0"/>
      <w:snapToGrid w:val="0"/>
      <w:spacing w:line="300" w:lineRule="auto"/>
      <w:ind w:firstLine="520" w:firstLineChars="200"/>
      <w:jc w:val="left"/>
    </w:pPr>
    <w:rPr>
      <w:kern w:val="0"/>
      <w:szCs w:val="24"/>
    </w:rPr>
  </w:style>
  <w:style w:type="paragraph" w:customStyle="1" w:styleId="233">
    <w:name w:val="样式 样式 标题 3小标题 1一、标题 3XW标题 3 Char Char Char Char Char Char Char....."/>
    <w:basedOn w:val="1"/>
    <w:qFormat/>
    <w:uiPriority w:val="0"/>
    <w:pPr>
      <w:keepNext/>
      <w:keepLines/>
      <w:spacing w:line="360" w:lineRule="auto"/>
      <w:jc w:val="left"/>
      <w:outlineLvl w:val="2"/>
    </w:pPr>
    <w:rPr>
      <w:rFonts w:ascii="宋体" w:hAnsi="宋体" w:cs="宋体"/>
      <w:b/>
      <w:bCs/>
      <w:color w:val="0000FF"/>
    </w:rPr>
  </w:style>
  <w:style w:type="paragraph" w:customStyle="1" w:styleId="234">
    <w:name w:val="xl47"/>
    <w:basedOn w:val="1"/>
    <w:qFormat/>
    <w:uiPriority w:val="0"/>
    <w:pPr>
      <w:widowControl/>
      <w:spacing w:before="100" w:beforeAutospacing="1" w:after="100" w:afterAutospacing="1"/>
      <w:jc w:val="center"/>
    </w:pPr>
    <w:rPr>
      <w:rFonts w:ascii="宋体" w:hAnsi="宋体"/>
      <w:kern w:val="0"/>
      <w:sz w:val="28"/>
      <w:szCs w:val="28"/>
    </w:rPr>
  </w:style>
  <w:style w:type="paragraph" w:customStyle="1" w:styleId="235">
    <w:name w:val="xl27"/>
    <w:basedOn w:val="1"/>
    <w:qFormat/>
    <w:uiPriority w:val="0"/>
    <w:pPr>
      <w:widowControl/>
      <w:pBdr>
        <w:bottom w:val="single" w:color="auto" w:sz="4" w:space="0"/>
        <w:right w:val="single" w:color="auto" w:sz="4" w:space="0"/>
      </w:pBdr>
      <w:spacing w:before="100" w:beforeAutospacing="1" w:after="100" w:afterAutospacing="1"/>
      <w:jc w:val="center"/>
    </w:pPr>
    <w:rPr>
      <w:kern w:val="0"/>
      <w:sz w:val="24"/>
      <w:szCs w:val="24"/>
    </w:rPr>
  </w:style>
  <w:style w:type="paragraph" w:customStyle="1" w:styleId="236">
    <w:name w:val="表格"/>
    <w:basedOn w:val="1"/>
    <w:qFormat/>
    <w:uiPriority w:val="0"/>
    <w:pPr>
      <w:jc w:val="center"/>
      <w:textAlignment w:val="center"/>
    </w:pPr>
    <w:rPr>
      <w:rFonts w:ascii="华文细黑" w:hAnsi="华文细黑"/>
      <w:kern w:val="0"/>
    </w:rPr>
  </w:style>
  <w:style w:type="paragraph" w:customStyle="1" w:styleId="237">
    <w:name w:val="6'"/>
    <w:basedOn w:val="1"/>
    <w:qFormat/>
    <w:uiPriority w:val="0"/>
    <w:pPr>
      <w:autoSpaceDE w:val="0"/>
      <w:autoSpaceDN w:val="0"/>
      <w:adjustRightInd w:val="0"/>
      <w:snapToGrid w:val="0"/>
      <w:spacing w:line="320" w:lineRule="exact"/>
      <w:jc w:val="center"/>
      <w:textAlignment w:val="baseline"/>
    </w:pPr>
    <w:rPr>
      <w:spacing w:val="20"/>
      <w:kern w:val="28"/>
    </w:rPr>
  </w:style>
  <w:style w:type="paragraph" w:customStyle="1" w:styleId="238">
    <w:name w:val="_Style 12"/>
    <w:basedOn w:val="1"/>
    <w:qFormat/>
    <w:uiPriority w:val="0"/>
    <w:rPr>
      <w:sz w:val="28"/>
      <w:szCs w:val="28"/>
    </w:rPr>
  </w:style>
  <w:style w:type="paragraph" w:customStyle="1" w:styleId="239">
    <w:name w:val="样式"/>
    <w:qFormat/>
    <w:uiPriority w:val="0"/>
    <w:pPr>
      <w:widowControl w:val="0"/>
      <w:autoSpaceDE w:val="0"/>
      <w:autoSpaceDN w:val="0"/>
      <w:adjustRightInd w:val="0"/>
    </w:pPr>
    <w:rPr>
      <w:rFonts w:ascii="宋体" w:hAnsi="宋体" w:eastAsia="宋体" w:cs="Times New Roman"/>
      <w:sz w:val="24"/>
      <w:lang w:val="en-US" w:eastAsia="zh-CN" w:bidi="ar-SA"/>
    </w:rPr>
  </w:style>
  <w:style w:type="paragraph" w:customStyle="1" w:styleId="240">
    <w:name w:val="Char2"/>
    <w:basedOn w:val="1"/>
    <w:qFormat/>
    <w:uiPriority w:val="0"/>
    <w:pPr>
      <w:ind w:left="432" w:hanging="432"/>
    </w:pPr>
    <w:rPr>
      <w:sz w:val="24"/>
    </w:rPr>
  </w:style>
  <w:style w:type="paragraph" w:customStyle="1" w:styleId="241">
    <w:name w:val="样式 标题 1 + 首行缩进:  2 字符"/>
    <w:basedOn w:val="3"/>
    <w:qFormat/>
    <w:uiPriority w:val="0"/>
    <w:pPr>
      <w:spacing w:before="0" w:after="0" w:line="576" w:lineRule="auto"/>
      <w:jc w:val="left"/>
    </w:pPr>
    <w:rPr>
      <w:rFonts w:cs="宋体"/>
      <w:spacing w:val="0"/>
      <w:sz w:val="44"/>
    </w:rPr>
  </w:style>
  <w:style w:type="paragraph" w:customStyle="1" w:styleId="242">
    <w:name w:val="_Style 7"/>
    <w:basedOn w:val="1"/>
    <w:qFormat/>
    <w:uiPriority w:val="0"/>
    <w:pPr>
      <w:pageBreakBefore/>
      <w:spacing w:line="360" w:lineRule="auto"/>
    </w:pPr>
  </w:style>
  <w:style w:type="paragraph" w:customStyle="1" w:styleId="243">
    <w:name w:val="正文1"/>
    <w:qFormat/>
    <w:uiPriority w:val="0"/>
    <w:pPr>
      <w:jc w:val="both"/>
    </w:pPr>
    <w:rPr>
      <w:rFonts w:ascii="Times New Roman" w:hAnsi="Times New Roman" w:eastAsia="宋体" w:cs="Times New Roman"/>
      <w:kern w:val="2"/>
      <w:sz w:val="21"/>
      <w:szCs w:val="21"/>
      <w:lang w:val="en-US" w:eastAsia="zh-CN" w:bidi="ar-SA"/>
    </w:rPr>
  </w:style>
  <w:style w:type="paragraph" w:customStyle="1" w:styleId="244">
    <w:name w:val="Char Char Char Char Char Char Char Char Char Char"/>
    <w:basedOn w:val="1"/>
    <w:qFormat/>
    <w:uiPriority w:val="0"/>
  </w:style>
  <w:style w:type="paragraph" w:customStyle="1" w:styleId="245">
    <w:name w:val="t_black_12_b"/>
    <w:basedOn w:val="1"/>
    <w:qFormat/>
    <w:uiPriority w:val="0"/>
    <w:pPr>
      <w:widowControl/>
      <w:jc w:val="left"/>
    </w:pPr>
    <w:rPr>
      <w:rFonts w:ascii="宋体" w:hAnsi="宋体" w:cs="宋体"/>
      <w:b/>
      <w:bCs/>
      <w:color w:val="212121"/>
      <w:kern w:val="0"/>
      <w:sz w:val="9"/>
      <w:szCs w:val="9"/>
    </w:rPr>
  </w:style>
  <w:style w:type="paragraph" w:customStyle="1" w:styleId="246">
    <w:name w:val="4 Char Char Char Char Char Char Char Char Char Char Char Char Char Char Char Char Char Char Char Char Char Char"/>
    <w:basedOn w:val="1"/>
    <w:qFormat/>
    <w:uiPriority w:val="0"/>
  </w:style>
  <w:style w:type="paragraph" w:customStyle="1" w:styleId="247">
    <w:name w:val="修订1"/>
    <w:unhideWhenUsed/>
    <w:qFormat/>
    <w:uiPriority w:val="99"/>
    <w:rPr>
      <w:rFonts w:ascii="Times New Roman" w:hAnsi="Times New Roman" w:eastAsia="宋体" w:cs="Times New Roman"/>
      <w:kern w:val="2"/>
      <w:sz w:val="21"/>
      <w:szCs w:val="24"/>
      <w:lang w:val="en-US" w:eastAsia="zh-CN" w:bidi="ar-SA"/>
    </w:rPr>
  </w:style>
  <w:style w:type="paragraph" w:customStyle="1" w:styleId="248">
    <w:name w:val="Char Char Char Char Char Char Char Char Char Char Char Char Char"/>
    <w:basedOn w:val="1"/>
    <w:qFormat/>
    <w:uiPriority w:val="0"/>
    <w:rPr>
      <w:szCs w:val="24"/>
    </w:rPr>
  </w:style>
  <w:style w:type="character" w:customStyle="1" w:styleId="249">
    <w:name w:val="脚注文本 字符"/>
    <w:basedOn w:val="57"/>
    <w:link w:val="42"/>
    <w:qFormat/>
    <w:uiPriority w:val="0"/>
    <w:rPr>
      <w:kern w:val="2"/>
      <w:sz w:val="18"/>
      <w:szCs w:val="18"/>
    </w:rPr>
  </w:style>
  <w:style w:type="character" w:customStyle="1" w:styleId="250">
    <w:name w:val="样式 粉红 下划线"/>
    <w:qFormat/>
    <w:uiPriority w:val="0"/>
    <w:rPr>
      <w:color w:val="auto"/>
      <w:u w:val="none"/>
    </w:rPr>
  </w:style>
  <w:style w:type="character" w:customStyle="1" w:styleId="251">
    <w:name w:val="样式 粉红"/>
    <w:qFormat/>
    <w:uiPriority w:val="0"/>
    <w:rPr>
      <w:color w:val="auto"/>
      <w:u w:val="none"/>
    </w:rPr>
  </w:style>
  <w:style w:type="character" w:customStyle="1" w:styleId="252">
    <w:name w:val="正文文本首行缩进 字符"/>
    <w:basedOn w:val="125"/>
    <w:link w:val="53"/>
    <w:qFormat/>
    <w:uiPriority w:val="0"/>
    <w:rPr>
      <w:rFonts w:ascii="宋体" w:hAnsi="宋体"/>
      <w:color w:val="000000"/>
      <w:kern w:val="28"/>
      <w:sz w:val="21"/>
      <w:szCs w:val="21"/>
    </w:rPr>
  </w:style>
  <w:style w:type="paragraph" w:customStyle="1" w:styleId="253">
    <w:name w:val="范本-正文"/>
    <w:qFormat/>
    <w:uiPriority w:val="0"/>
    <w:pPr>
      <w:spacing w:line="360" w:lineRule="auto"/>
      <w:ind w:firstLine="420"/>
    </w:pPr>
    <w:rPr>
      <w:rFonts w:ascii="Times New Roman" w:hAnsi="Times New Roman" w:eastAsia="宋体" w:cs="Times New Roman"/>
      <w:iCs/>
      <w:kern w:val="2"/>
      <w:sz w:val="24"/>
      <w:szCs w:val="21"/>
      <w:lang w:val="en-US" w:eastAsia="zh-CN" w:bidi="ar-SA"/>
    </w:rPr>
  </w:style>
  <w:style w:type="paragraph" w:customStyle="1" w:styleId="254">
    <w:name w:val="金安桥正文"/>
    <w:basedOn w:val="22"/>
    <w:qFormat/>
    <w:uiPriority w:val="0"/>
    <w:pPr>
      <w:adjustRightInd w:val="0"/>
      <w:spacing w:line="300" w:lineRule="auto"/>
      <w:ind w:firstLine="200" w:firstLineChars="200"/>
      <w:jc w:val="left"/>
    </w:pPr>
    <w:rPr>
      <w:kern w:val="0"/>
      <w:sz w:val="24"/>
    </w:rPr>
  </w:style>
  <w:style w:type="paragraph" w:customStyle="1" w:styleId="255">
    <w:name w:val="正  文"/>
    <w:basedOn w:val="1"/>
    <w:qFormat/>
    <w:uiPriority w:val="0"/>
    <w:pPr>
      <w:spacing w:line="360" w:lineRule="auto"/>
      <w:ind w:firstLine="200" w:firstLineChars="200"/>
    </w:pPr>
    <w:rPr>
      <w:rFonts w:ascii="宋体"/>
      <w:sz w:val="24"/>
      <w:szCs w:val="24"/>
    </w:rPr>
  </w:style>
  <w:style w:type="paragraph" w:customStyle="1" w:styleId="256">
    <w:name w:val="XW标题3"/>
    <w:basedOn w:val="232"/>
    <w:next w:val="232"/>
    <w:qFormat/>
    <w:uiPriority w:val="0"/>
    <w:pPr>
      <w:snapToGrid/>
      <w:spacing w:before="200" w:line="360" w:lineRule="auto"/>
      <w:ind w:firstLine="0" w:firstLineChars="0"/>
      <w:outlineLvl w:val="2"/>
    </w:pPr>
    <w:rPr>
      <w:rFonts w:ascii="Arial" w:hAnsi="Arial" w:eastAsia="黑体"/>
      <w:sz w:val="30"/>
      <w:szCs w:val="20"/>
    </w:rPr>
  </w:style>
  <w:style w:type="paragraph" w:customStyle="1" w:styleId="257">
    <w:name w:val="XW悬挂正文"/>
    <w:basedOn w:val="232"/>
    <w:qFormat/>
    <w:uiPriority w:val="0"/>
    <w:pPr>
      <w:snapToGrid/>
      <w:spacing w:line="360" w:lineRule="auto"/>
      <w:ind w:left="1474" w:hanging="340" w:firstLineChars="0"/>
    </w:pPr>
    <w:rPr>
      <w:rFonts w:hAnsi="宋体"/>
      <w:sz w:val="24"/>
      <w:szCs w:val="20"/>
    </w:rPr>
  </w:style>
  <w:style w:type="paragraph" w:customStyle="1" w:styleId="258">
    <w:name w:val="XW标题1"/>
    <w:basedOn w:val="232"/>
    <w:next w:val="232"/>
    <w:qFormat/>
    <w:uiPriority w:val="0"/>
    <w:pPr>
      <w:snapToGrid/>
      <w:spacing w:before="5000" w:line="360" w:lineRule="auto"/>
      <w:ind w:left="425" w:hanging="425" w:firstLineChars="0"/>
      <w:jc w:val="center"/>
      <w:outlineLvl w:val="0"/>
    </w:pPr>
    <w:rPr>
      <w:rFonts w:ascii="Arial" w:hAnsi="Arial" w:eastAsia="黑体"/>
      <w:sz w:val="44"/>
      <w:szCs w:val="20"/>
    </w:rPr>
  </w:style>
  <w:style w:type="paragraph" w:customStyle="1" w:styleId="259">
    <w:name w:val="首页脚样式"/>
    <w:basedOn w:val="37"/>
    <w:qFormat/>
    <w:uiPriority w:val="0"/>
    <w:pPr>
      <w:keepLines/>
      <w:widowControl/>
      <w:tabs>
        <w:tab w:val="right" w:pos="-18551"/>
        <w:tab w:val="right" w:pos="4320"/>
        <w:tab w:val="clear" w:pos="4153"/>
        <w:tab w:val="clear" w:pos="8306"/>
      </w:tabs>
      <w:snapToGrid/>
      <w:spacing w:before="600" w:line="240" w:lineRule="atLeast"/>
      <w:ind w:left="-840" w:right="-840"/>
      <w:jc w:val="center"/>
    </w:pPr>
    <w:rPr>
      <w:rFonts w:ascii="Garamond" w:hAnsi="Garamond"/>
      <w:smallCaps/>
      <w:spacing w:val="15"/>
      <w:kern w:val="0"/>
      <w:sz w:val="24"/>
    </w:rPr>
  </w:style>
  <w:style w:type="paragraph" w:customStyle="1" w:styleId="260">
    <w:name w:val="标题3"/>
    <w:basedOn w:val="229"/>
    <w:qFormat/>
    <w:uiPriority w:val="0"/>
    <w:pPr>
      <w:snapToGrid/>
      <w:spacing w:before="0" w:after="0" w:line="360" w:lineRule="auto"/>
      <w:jc w:val="both"/>
      <w:outlineLvl w:val="0"/>
    </w:pPr>
    <w:rPr>
      <w:b/>
      <w:kern w:val="44"/>
    </w:rPr>
  </w:style>
  <w:style w:type="paragraph" w:customStyle="1" w:styleId="261">
    <w:name w:val="正文小标题"/>
    <w:basedOn w:val="1"/>
    <w:next w:val="21"/>
    <w:qFormat/>
    <w:uiPriority w:val="0"/>
    <w:pPr>
      <w:tabs>
        <w:tab w:val="left" w:pos="735"/>
        <w:tab w:val="left" w:pos="780"/>
      </w:tabs>
      <w:overflowPunct w:val="0"/>
      <w:autoSpaceDE w:val="0"/>
      <w:autoSpaceDN w:val="0"/>
      <w:adjustRightInd w:val="0"/>
      <w:ind w:firstLine="420" w:firstLineChars="200"/>
    </w:pPr>
    <w:rPr>
      <w:rFonts w:hAnsi="宋体"/>
      <w:kern w:val="0"/>
    </w:rPr>
  </w:style>
  <w:style w:type="paragraph" w:customStyle="1" w:styleId="262">
    <w:name w:val="基准标题"/>
    <w:basedOn w:val="21"/>
    <w:next w:val="21"/>
    <w:qFormat/>
    <w:uiPriority w:val="0"/>
    <w:pPr>
      <w:widowControl/>
      <w:tabs>
        <w:tab w:val="left" w:pos="6000"/>
        <w:tab w:val="left" w:pos="7680"/>
      </w:tabs>
      <w:adjustRightInd/>
      <w:spacing w:line="360" w:lineRule="auto"/>
      <w:ind w:firstLine="422" w:firstLineChars="200"/>
      <w:jc w:val="left"/>
    </w:pPr>
    <w:rPr>
      <w:rFonts w:ascii="Garamond" w:hAnsi="Garamond"/>
      <w:bCs w:val="0"/>
      <w:color w:val="auto"/>
      <w:kern w:val="0"/>
      <w:sz w:val="21"/>
    </w:rPr>
  </w:style>
  <w:style w:type="paragraph" w:customStyle="1" w:styleId="263">
    <w:name w:val="XW标题2"/>
    <w:basedOn w:val="232"/>
    <w:next w:val="232"/>
    <w:qFormat/>
    <w:uiPriority w:val="0"/>
    <w:pPr>
      <w:snapToGrid/>
      <w:spacing w:before="300" w:line="360" w:lineRule="auto"/>
      <w:ind w:firstLine="0" w:firstLineChars="0"/>
      <w:outlineLvl w:val="1"/>
    </w:pPr>
    <w:rPr>
      <w:rFonts w:ascii="Arial" w:hAnsi="Arial" w:eastAsia="黑体"/>
      <w:sz w:val="32"/>
      <w:szCs w:val="20"/>
    </w:rPr>
  </w:style>
  <w:style w:type="paragraph" w:customStyle="1" w:styleId="264">
    <w:name w:val="奇页脚样式"/>
    <w:basedOn w:val="37"/>
    <w:qFormat/>
    <w:uiPriority w:val="0"/>
    <w:pPr>
      <w:keepLines/>
      <w:widowControl/>
      <w:tabs>
        <w:tab w:val="right" w:pos="-18551"/>
        <w:tab w:val="right" w:pos="4320"/>
        <w:tab w:val="clear" w:pos="4153"/>
        <w:tab w:val="clear" w:pos="8306"/>
      </w:tabs>
      <w:snapToGrid/>
      <w:spacing w:before="600" w:line="240" w:lineRule="atLeast"/>
      <w:ind w:left="-840" w:right="-840"/>
      <w:jc w:val="center"/>
    </w:pPr>
    <w:rPr>
      <w:rFonts w:ascii="Garamond" w:hAnsi="Garamond"/>
      <w:smallCaps/>
      <w:spacing w:val="15"/>
      <w:kern w:val="0"/>
      <w:sz w:val="24"/>
    </w:rPr>
  </w:style>
  <w:style w:type="paragraph" w:customStyle="1" w:styleId="265">
    <w:name w:val="XW标题4"/>
    <w:basedOn w:val="232"/>
    <w:next w:val="232"/>
    <w:qFormat/>
    <w:uiPriority w:val="0"/>
    <w:pPr>
      <w:snapToGrid/>
      <w:spacing w:before="200" w:line="360" w:lineRule="auto"/>
      <w:ind w:firstLine="0" w:firstLineChars="0"/>
      <w:outlineLvl w:val="3"/>
    </w:pPr>
    <w:rPr>
      <w:rFonts w:hAnsi="宋体" w:eastAsia="仿宋_GB2312"/>
      <w:b/>
      <w:sz w:val="28"/>
      <w:szCs w:val="20"/>
    </w:rPr>
  </w:style>
  <w:style w:type="paragraph" w:customStyle="1" w:styleId="266">
    <w:name w:val="XW表名"/>
    <w:basedOn w:val="3"/>
    <w:qFormat/>
    <w:uiPriority w:val="0"/>
    <w:pPr>
      <w:keepNext w:val="0"/>
      <w:keepLines w:val="0"/>
      <w:adjustRightInd w:val="0"/>
      <w:spacing w:before="300" w:after="80"/>
      <w:outlineLvl w:val="9"/>
    </w:pPr>
    <w:rPr>
      <w:rFonts w:eastAsia="黑体"/>
      <w:b w:val="0"/>
      <w:spacing w:val="0"/>
      <w:sz w:val="24"/>
    </w:rPr>
  </w:style>
  <w:style w:type="paragraph" w:customStyle="1" w:styleId="267">
    <w:name w:val="XW表内文字"/>
    <w:basedOn w:val="1"/>
    <w:qFormat/>
    <w:uiPriority w:val="0"/>
    <w:pPr>
      <w:adjustRightInd w:val="0"/>
      <w:spacing w:before="60" w:after="60" w:line="300" w:lineRule="exact"/>
      <w:ind w:firstLine="422" w:firstLineChars="200"/>
      <w:jc w:val="center"/>
    </w:pPr>
    <w:rPr>
      <w:rFonts w:hAnsi="宋体"/>
      <w:kern w:val="0"/>
    </w:rPr>
  </w:style>
  <w:style w:type="paragraph" w:customStyle="1" w:styleId="268">
    <w:name w:val="XW图名表名"/>
    <w:basedOn w:val="1"/>
    <w:qFormat/>
    <w:uiPriority w:val="0"/>
    <w:pPr>
      <w:adjustRightInd w:val="0"/>
      <w:spacing w:before="120" w:after="60"/>
      <w:ind w:firstLine="422" w:firstLineChars="200"/>
      <w:jc w:val="center"/>
    </w:pPr>
    <w:rPr>
      <w:rFonts w:hAnsi="宋体" w:eastAsia="黑体"/>
      <w:kern w:val="0"/>
      <w:sz w:val="24"/>
    </w:rPr>
  </w:style>
  <w:style w:type="paragraph" w:customStyle="1" w:styleId="269">
    <w:name w:val="正文2"/>
    <w:basedOn w:val="1"/>
    <w:next w:val="1"/>
    <w:qFormat/>
    <w:uiPriority w:val="0"/>
    <w:pPr>
      <w:tabs>
        <w:tab w:val="left" w:pos="4025"/>
      </w:tabs>
      <w:spacing w:line="360" w:lineRule="auto"/>
      <w:ind w:left="4025" w:hanging="425" w:firstLineChars="200"/>
    </w:pPr>
    <w:rPr>
      <w:rFonts w:hAnsi="宋体"/>
      <w:sz w:val="24"/>
    </w:rPr>
  </w:style>
  <w:style w:type="paragraph" w:customStyle="1" w:styleId="270">
    <w:name w:val="目录"/>
    <w:basedOn w:val="1"/>
    <w:qFormat/>
    <w:uiPriority w:val="0"/>
    <w:pPr>
      <w:spacing w:before="240" w:after="600" w:line="560" w:lineRule="exact"/>
      <w:jc w:val="center"/>
    </w:pPr>
    <w:rPr>
      <w:rFonts w:eastAsia="黑体"/>
      <w:sz w:val="32"/>
      <w:szCs w:val="32"/>
    </w:rPr>
  </w:style>
  <w:style w:type="paragraph" w:customStyle="1" w:styleId="271">
    <w:name w:val="简单回函地址"/>
    <w:basedOn w:val="1"/>
    <w:qFormat/>
    <w:uiPriority w:val="0"/>
    <w:rPr>
      <w:szCs w:val="24"/>
    </w:rPr>
  </w:style>
  <w:style w:type="paragraph" w:customStyle="1" w:styleId="272">
    <w:name w:val="条款正文（三级标题）"/>
    <w:basedOn w:val="5"/>
    <w:qFormat/>
    <w:uiPriority w:val="0"/>
    <w:pPr>
      <w:keepNext w:val="0"/>
      <w:keepLines w:val="0"/>
      <w:tabs>
        <w:tab w:val="left" w:pos="720"/>
      </w:tabs>
      <w:autoSpaceDE w:val="0"/>
      <w:autoSpaceDN w:val="0"/>
      <w:adjustRightInd w:val="0"/>
      <w:spacing w:before="0" w:after="0" w:line="360" w:lineRule="auto"/>
      <w:ind w:firstLine="416" w:firstLineChars="198"/>
    </w:pPr>
    <w:rPr>
      <w:rFonts w:ascii="Times New Roman"/>
      <w:b w:val="0"/>
      <w:color w:val="000000"/>
      <w:kern w:val="24"/>
      <w:sz w:val="21"/>
    </w:rPr>
  </w:style>
  <w:style w:type="paragraph" w:customStyle="1" w:styleId="273">
    <w:name w:val="正文3"/>
    <w:basedOn w:val="1"/>
    <w:next w:val="1"/>
    <w:qFormat/>
    <w:uiPriority w:val="0"/>
    <w:pPr>
      <w:tabs>
        <w:tab w:val="left" w:pos="1276"/>
      </w:tabs>
      <w:autoSpaceDE w:val="0"/>
      <w:autoSpaceDN w:val="0"/>
      <w:adjustRightInd w:val="0"/>
      <w:spacing w:line="360" w:lineRule="auto"/>
      <w:ind w:left="1276" w:hanging="425" w:firstLineChars="200"/>
    </w:pPr>
    <w:rPr>
      <w:rFonts w:hAnsi="宋体"/>
      <w:spacing w:val="4"/>
      <w:sz w:val="24"/>
    </w:rPr>
  </w:style>
  <w:style w:type="paragraph" w:customStyle="1" w:styleId="274">
    <w:name w:val="标题一"/>
    <w:basedOn w:val="1"/>
    <w:qFormat/>
    <w:uiPriority w:val="0"/>
    <w:rPr>
      <w:b/>
      <w:sz w:val="30"/>
      <w:szCs w:val="24"/>
    </w:rPr>
  </w:style>
  <w:style w:type="character" w:customStyle="1" w:styleId="275">
    <w:name w:val="标题 1 Char1"/>
    <w:qFormat/>
    <w:uiPriority w:val="0"/>
    <w:rPr>
      <w:rFonts w:eastAsia="宋体"/>
      <w:b/>
      <w:bCs/>
      <w:kern w:val="44"/>
      <w:sz w:val="44"/>
      <w:szCs w:val="44"/>
      <w:lang w:val="en-US" w:eastAsia="zh-CN" w:bidi="ar-SA"/>
    </w:rPr>
  </w:style>
  <w:style w:type="character" w:customStyle="1" w:styleId="276">
    <w:name w:val="question-title2"/>
    <w:basedOn w:val="57"/>
    <w:qFormat/>
    <w:uiPriority w:val="0"/>
  </w:style>
  <w:style w:type="paragraph" w:customStyle="1" w:styleId="277">
    <w:name w:val="Char Char Char Char Char Char1 Char1"/>
    <w:basedOn w:val="1"/>
    <w:qFormat/>
    <w:uiPriority w:val="0"/>
    <w:pPr>
      <w:ind w:left="510"/>
    </w:pPr>
    <w:rPr>
      <w:szCs w:val="24"/>
    </w:rPr>
  </w:style>
  <w:style w:type="paragraph" w:customStyle="1" w:styleId="278">
    <w:name w:val="Char Char Char Char Char Char Char"/>
    <w:basedOn w:val="1"/>
    <w:next w:val="2"/>
    <w:qFormat/>
    <w:uiPriority w:val="0"/>
    <w:rPr>
      <w:sz w:val="28"/>
      <w:szCs w:val="28"/>
    </w:rPr>
  </w:style>
  <w:style w:type="paragraph" w:customStyle="1" w:styleId="279">
    <w:name w:val="Char Char Char Char Char Char"/>
    <w:basedOn w:val="1"/>
    <w:next w:val="2"/>
    <w:qFormat/>
    <w:uiPriority w:val="0"/>
    <w:rPr>
      <w:szCs w:val="24"/>
    </w:rPr>
  </w:style>
  <w:style w:type="paragraph" w:customStyle="1" w:styleId="280">
    <w:name w:val="正文4"/>
    <w:qFormat/>
    <w:uiPriority w:val="99"/>
    <w:pPr>
      <w:jc w:val="both"/>
    </w:pPr>
    <w:rPr>
      <w:rFonts w:ascii="Times New Roman" w:hAnsi="Times New Roman" w:eastAsia="宋体" w:cs="Times New Roman"/>
      <w:kern w:val="2"/>
      <w:sz w:val="21"/>
      <w:szCs w:val="21"/>
      <w:lang w:val="en-US" w:eastAsia="zh-CN" w:bidi="ar-SA"/>
    </w:rPr>
  </w:style>
  <w:style w:type="paragraph" w:customStyle="1" w:styleId="281">
    <w:name w:val="Char Char Char Char Char Char1 Char Char Char Char Char Char Char Char Char Char Char Char Char"/>
    <w:basedOn w:val="1"/>
    <w:qFormat/>
    <w:uiPriority w:val="99"/>
    <w:rPr>
      <w:szCs w:val="24"/>
    </w:rPr>
  </w:style>
  <w:style w:type="character" w:customStyle="1" w:styleId="282">
    <w:name w:val="正文文本 Char1"/>
    <w:qFormat/>
    <w:uiPriority w:val="0"/>
    <w:rPr>
      <w:kern w:val="2"/>
      <w:sz w:val="21"/>
      <w:szCs w:val="22"/>
    </w:rPr>
  </w:style>
  <w:style w:type="character" w:customStyle="1" w:styleId="283">
    <w:name w:val="明显强调1"/>
    <w:qFormat/>
    <w:uiPriority w:val="0"/>
    <w:rPr>
      <w:b/>
      <w:bCs/>
      <w:i/>
      <w:iCs/>
      <w:color w:val="4F81BD"/>
    </w:rPr>
  </w:style>
  <w:style w:type="character" w:customStyle="1" w:styleId="284">
    <w:name w:val="批注主题 Char1"/>
    <w:qFormat/>
    <w:uiPriority w:val="0"/>
    <w:rPr>
      <w:b/>
      <w:bCs/>
      <w:kern w:val="2"/>
      <w:sz w:val="21"/>
      <w:szCs w:val="22"/>
    </w:rPr>
  </w:style>
  <w:style w:type="character" w:customStyle="1" w:styleId="285">
    <w:name w:val="批注框文本 Char1"/>
    <w:qFormat/>
    <w:uiPriority w:val="0"/>
    <w:rPr>
      <w:kern w:val="2"/>
      <w:sz w:val="18"/>
      <w:szCs w:val="18"/>
    </w:rPr>
  </w:style>
  <w:style w:type="character" w:customStyle="1" w:styleId="286">
    <w:name w:val="书籍标题1"/>
    <w:qFormat/>
    <w:uiPriority w:val="0"/>
    <w:rPr>
      <w:b/>
      <w:bCs/>
      <w:smallCaps/>
      <w:spacing w:val="5"/>
    </w:rPr>
  </w:style>
  <w:style w:type="character" w:customStyle="1" w:styleId="287">
    <w:name w:val="副标题 字符"/>
    <w:link w:val="40"/>
    <w:qFormat/>
    <w:uiPriority w:val="99"/>
    <w:rPr>
      <w:rFonts w:ascii="Cambria" w:hAnsi="Cambria"/>
      <w:b/>
      <w:bCs/>
      <w:kern w:val="28"/>
      <w:sz w:val="32"/>
      <w:szCs w:val="32"/>
    </w:rPr>
  </w:style>
  <w:style w:type="character" w:customStyle="1" w:styleId="288">
    <w:name w:val="副标题 Char1"/>
    <w:basedOn w:val="57"/>
    <w:qFormat/>
    <w:uiPriority w:val="0"/>
    <w:rPr>
      <w:rFonts w:asciiTheme="majorHAnsi" w:hAnsiTheme="majorHAnsi" w:cstheme="majorBidi"/>
      <w:b/>
      <w:bCs/>
      <w:kern w:val="28"/>
      <w:sz w:val="32"/>
      <w:szCs w:val="32"/>
    </w:rPr>
  </w:style>
  <w:style w:type="character" w:customStyle="1" w:styleId="289">
    <w:name w:val="批注文字 Char Char"/>
    <w:qFormat/>
    <w:uiPriority w:val="0"/>
    <w:rPr>
      <w:rFonts w:ascii="宋体" w:hAnsi="Times New Roman" w:eastAsia="宋体" w:cs="Times New Roman"/>
      <w:sz w:val="28"/>
      <w:szCs w:val="20"/>
    </w:rPr>
  </w:style>
  <w:style w:type="character" w:customStyle="1" w:styleId="290">
    <w:name w:val="不明显强调1"/>
    <w:qFormat/>
    <w:uiPriority w:val="0"/>
    <w:rPr>
      <w:i/>
      <w:iCs/>
      <w:color w:val="808080"/>
    </w:rPr>
  </w:style>
  <w:style w:type="character" w:customStyle="1" w:styleId="291">
    <w:name w:val="不明显参考1"/>
    <w:qFormat/>
    <w:uiPriority w:val="0"/>
    <w:rPr>
      <w:smallCaps/>
      <w:color w:val="C0504D"/>
      <w:u w:val="single"/>
    </w:rPr>
  </w:style>
  <w:style w:type="character" w:customStyle="1" w:styleId="292">
    <w:name w:val="明显参考1"/>
    <w:qFormat/>
    <w:uiPriority w:val="0"/>
    <w:rPr>
      <w:b/>
      <w:bCs/>
      <w:smallCaps/>
      <w:color w:val="C0504D"/>
      <w:spacing w:val="5"/>
      <w:u w:val="single"/>
    </w:rPr>
  </w:style>
  <w:style w:type="character" w:customStyle="1" w:styleId="293">
    <w:name w:val="标题5 Char Char"/>
    <w:link w:val="294"/>
    <w:qFormat/>
    <w:uiPriority w:val="0"/>
    <w:rPr>
      <w:rFonts w:ascii="Arial" w:hAnsi="Arial"/>
      <w:b/>
      <w:bCs/>
      <w:sz w:val="24"/>
      <w:szCs w:val="32"/>
    </w:rPr>
  </w:style>
  <w:style w:type="paragraph" w:customStyle="1" w:styleId="294">
    <w:name w:val="标题5"/>
    <w:basedOn w:val="5"/>
    <w:link w:val="293"/>
    <w:qFormat/>
    <w:uiPriority w:val="0"/>
    <w:pPr>
      <w:spacing w:before="260" w:after="260" w:line="413" w:lineRule="auto"/>
      <w:ind w:firstLine="0"/>
    </w:pPr>
    <w:rPr>
      <w:rFonts w:ascii="Arial" w:hAnsi="Arial"/>
      <w:bCs/>
      <w:kern w:val="0"/>
      <w:szCs w:val="32"/>
    </w:rPr>
  </w:style>
  <w:style w:type="character" w:customStyle="1" w:styleId="295">
    <w:name w:val="明显引用 字符"/>
    <w:link w:val="296"/>
    <w:qFormat/>
    <w:uiPriority w:val="99"/>
    <w:rPr>
      <w:b/>
      <w:bCs/>
      <w:i/>
      <w:iCs/>
      <w:color w:val="4F81BD"/>
    </w:rPr>
  </w:style>
  <w:style w:type="paragraph" w:styleId="296">
    <w:name w:val="Intense Quote"/>
    <w:basedOn w:val="1"/>
    <w:next w:val="1"/>
    <w:link w:val="295"/>
    <w:qFormat/>
    <w:uiPriority w:val="99"/>
    <w:pPr>
      <w:pBdr>
        <w:bottom w:val="single" w:color="4F81BD" w:sz="4" w:space="4"/>
      </w:pBdr>
      <w:spacing w:before="200" w:after="280"/>
      <w:ind w:left="936" w:right="936"/>
    </w:pPr>
    <w:rPr>
      <w:b/>
      <w:bCs/>
      <w:i/>
      <w:iCs/>
      <w:color w:val="4F81BD"/>
      <w:kern w:val="0"/>
      <w:sz w:val="20"/>
    </w:rPr>
  </w:style>
  <w:style w:type="character" w:customStyle="1" w:styleId="297">
    <w:name w:val="明显引用 Char1"/>
    <w:basedOn w:val="57"/>
    <w:qFormat/>
    <w:uiPriority w:val="0"/>
    <w:rPr>
      <w:b/>
      <w:bCs/>
      <w:i/>
      <w:iCs/>
      <w:color w:val="4F81BD" w:themeColor="accent1"/>
      <w:kern w:val="2"/>
      <w:sz w:val="21"/>
      <w14:textFill>
        <w14:solidFill>
          <w14:schemeClr w14:val="accent1"/>
        </w14:solidFill>
      </w14:textFill>
    </w:rPr>
  </w:style>
  <w:style w:type="character" w:customStyle="1" w:styleId="298">
    <w:name w:val="日期 Char1"/>
    <w:qFormat/>
    <w:uiPriority w:val="0"/>
    <w:rPr>
      <w:kern w:val="2"/>
      <w:sz w:val="21"/>
      <w:szCs w:val="22"/>
    </w:rPr>
  </w:style>
  <w:style w:type="character" w:customStyle="1" w:styleId="299">
    <w:name w:val="文档结构图 Char1"/>
    <w:qFormat/>
    <w:uiPriority w:val="0"/>
    <w:rPr>
      <w:rFonts w:ascii="宋体"/>
      <w:kern w:val="2"/>
      <w:sz w:val="18"/>
      <w:szCs w:val="18"/>
    </w:rPr>
  </w:style>
  <w:style w:type="character" w:customStyle="1" w:styleId="300">
    <w:name w:val="textcontents"/>
    <w:qFormat/>
    <w:uiPriority w:val="0"/>
    <w:rPr>
      <w:rFonts w:cs="Times New Roman"/>
    </w:rPr>
  </w:style>
  <w:style w:type="character" w:customStyle="1" w:styleId="301">
    <w:name w:val="引用 字符"/>
    <w:link w:val="302"/>
    <w:qFormat/>
    <w:uiPriority w:val="99"/>
    <w:rPr>
      <w:i/>
      <w:iCs/>
      <w:color w:val="000000"/>
    </w:rPr>
  </w:style>
  <w:style w:type="paragraph" w:styleId="302">
    <w:name w:val="Quote"/>
    <w:basedOn w:val="1"/>
    <w:next w:val="1"/>
    <w:link w:val="301"/>
    <w:qFormat/>
    <w:uiPriority w:val="99"/>
    <w:rPr>
      <w:i/>
      <w:iCs/>
      <w:color w:val="000000"/>
      <w:kern w:val="0"/>
      <w:sz w:val="20"/>
    </w:rPr>
  </w:style>
  <w:style w:type="character" w:customStyle="1" w:styleId="303">
    <w:name w:val="引用 Char1"/>
    <w:basedOn w:val="57"/>
    <w:qFormat/>
    <w:uiPriority w:val="0"/>
    <w:rPr>
      <w:i/>
      <w:iCs/>
      <w:color w:val="000000" w:themeColor="text1"/>
      <w:kern w:val="2"/>
      <w:sz w:val="21"/>
      <w14:textFill>
        <w14:solidFill>
          <w14:schemeClr w14:val="tx1"/>
        </w14:solidFill>
      </w14:textFill>
    </w:rPr>
  </w:style>
  <w:style w:type="character" w:customStyle="1" w:styleId="304">
    <w:name w:val="Char Char Char1"/>
    <w:qFormat/>
    <w:uiPriority w:val="0"/>
    <w:rPr>
      <w:rFonts w:ascii="Verdana" w:hAnsi="Verdana" w:eastAsia="黑体"/>
      <w:lang w:eastAsia="en-US"/>
    </w:rPr>
  </w:style>
  <w:style w:type="character" w:customStyle="1" w:styleId="305">
    <w:name w:val="副标题 Char2"/>
    <w:basedOn w:val="57"/>
    <w:qFormat/>
    <w:uiPriority w:val="0"/>
    <w:rPr>
      <w:rFonts w:ascii="Cambria" w:hAnsi="Cambria" w:cs="Times New Roman"/>
      <w:b/>
      <w:bCs/>
      <w:kern w:val="28"/>
      <w:sz w:val="32"/>
      <w:szCs w:val="32"/>
    </w:rPr>
  </w:style>
  <w:style w:type="character" w:customStyle="1" w:styleId="306">
    <w:name w:val="明显引用 Char2"/>
    <w:basedOn w:val="57"/>
    <w:qFormat/>
    <w:uiPriority w:val="30"/>
    <w:rPr>
      <w:b/>
      <w:bCs/>
      <w:i/>
      <w:iCs/>
      <w:color w:val="4F81BD"/>
    </w:rPr>
  </w:style>
  <w:style w:type="paragraph" w:styleId="307">
    <w:name w:val="No Spacing"/>
    <w:qFormat/>
    <w:uiPriority w:val="99"/>
    <w:pPr>
      <w:widowControl w:val="0"/>
      <w:jc w:val="both"/>
    </w:pPr>
    <w:rPr>
      <w:rFonts w:ascii="Calibri" w:hAnsi="Calibri" w:eastAsia="宋体" w:cs="Times New Roman"/>
      <w:kern w:val="2"/>
      <w:sz w:val="21"/>
      <w:szCs w:val="22"/>
      <w:lang w:val="en-US" w:eastAsia="zh-CN" w:bidi="ar-SA"/>
    </w:rPr>
  </w:style>
  <w:style w:type="paragraph" w:customStyle="1" w:styleId="308">
    <w:name w:val="Char Char Char Char Char Char Char1"/>
    <w:basedOn w:val="1"/>
    <w:qFormat/>
    <w:uiPriority w:val="99"/>
    <w:pPr>
      <w:jc w:val="left"/>
    </w:pPr>
    <w:rPr>
      <w:rFonts w:ascii="宋体" w:hAnsi="宋体" w:cs="宋体"/>
      <w:kern w:val="0"/>
      <w:sz w:val="24"/>
      <w:szCs w:val="24"/>
    </w:rPr>
  </w:style>
  <w:style w:type="character" w:customStyle="1" w:styleId="309">
    <w:name w:val="引用 Char2"/>
    <w:basedOn w:val="57"/>
    <w:qFormat/>
    <w:uiPriority w:val="29"/>
    <w:rPr>
      <w:i/>
      <w:iCs/>
      <w:color w:val="000000"/>
    </w:rPr>
  </w:style>
  <w:style w:type="paragraph" w:customStyle="1" w:styleId="310">
    <w:name w:val="Char11"/>
    <w:basedOn w:val="1"/>
    <w:qFormat/>
    <w:uiPriority w:val="99"/>
    <w:rPr>
      <w:rFonts w:ascii="仿宋_GB2312" w:eastAsia="仿宋_GB2312"/>
      <w:b/>
      <w:sz w:val="32"/>
      <w:szCs w:val="32"/>
    </w:rPr>
  </w:style>
  <w:style w:type="paragraph" w:customStyle="1" w:styleId="311">
    <w:name w:val="Char12"/>
    <w:basedOn w:val="1"/>
    <w:qFormat/>
    <w:uiPriority w:val="99"/>
    <w:pPr>
      <w:pageBreakBefore/>
      <w:spacing w:line="360" w:lineRule="auto"/>
    </w:pPr>
    <w:rPr>
      <w:sz w:val="28"/>
    </w:rPr>
  </w:style>
  <w:style w:type="paragraph" w:customStyle="1" w:styleId="312">
    <w:name w:val="flNote"/>
    <w:basedOn w:val="1"/>
    <w:qFormat/>
    <w:uiPriority w:val="99"/>
    <w:pPr>
      <w:adjustRightInd w:val="0"/>
      <w:spacing w:before="320" w:after="160" w:line="360" w:lineRule="atLeast"/>
      <w:jc w:val="center"/>
    </w:pPr>
    <w:rPr>
      <w:rFonts w:ascii="Arial" w:eastAsia="黑体"/>
      <w:kern w:val="0"/>
      <w:sz w:val="30"/>
    </w:rPr>
  </w:style>
  <w:style w:type="paragraph" w:customStyle="1" w:styleId="313">
    <w:name w:val="空半行"/>
    <w:basedOn w:val="1"/>
    <w:qFormat/>
    <w:uiPriority w:val="99"/>
    <w:pPr>
      <w:adjustRightInd w:val="0"/>
      <w:spacing w:line="120" w:lineRule="exact"/>
    </w:pPr>
    <w:rPr>
      <w:rFonts w:eastAsia="仿宋_GB2312"/>
      <w:color w:val="FFFFFF"/>
      <w:kern w:val="0"/>
      <w:sz w:val="30"/>
    </w:rPr>
  </w:style>
  <w:style w:type="character" w:customStyle="1" w:styleId="314">
    <w:name w:val="标题 Char1"/>
    <w:basedOn w:val="57"/>
    <w:qFormat/>
    <w:locked/>
    <w:uiPriority w:val="0"/>
    <w:rPr>
      <w:rFonts w:ascii="Cambria" w:hAnsi="Cambria"/>
      <w:b/>
      <w:bCs/>
      <w:kern w:val="2"/>
      <w:sz w:val="32"/>
      <w:szCs w:val="32"/>
    </w:rPr>
  </w:style>
  <w:style w:type="character" w:customStyle="1" w:styleId="315">
    <w:name w:val="正文文本 Char2"/>
    <w:basedOn w:val="57"/>
    <w:qFormat/>
    <w:locked/>
    <w:uiPriority w:val="0"/>
  </w:style>
  <w:style w:type="paragraph" w:customStyle="1" w:styleId="316">
    <w:name w:val="Normal_5"/>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customStyle="1" w:styleId="317">
    <w:name w:val="标题 1 字符1"/>
    <w:basedOn w:val="57"/>
    <w:qFormat/>
    <w:uiPriority w:val="0"/>
    <w:rPr>
      <w:b/>
      <w:bCs/>
      <w:kern w:val="44"/>
      <w:sz w:val="44"/>
      <w:szCs w:val="44"/>
    </w:rPr>
  </w:style>
  <w:style w:type="paragraph" w:customStyle="1" w:styleId="318">
    <w:name w:val="msonormal"/>
    <w:basedOn w:val="1"/>
    <w:qFormat/>
    <w:uiPriority w:val="99"/>
    <w:pPr>
      <w:widowControl/>
      <w:spacing w:before="100" w:beforeAutospacing="1" w:after="100" w:afterAutospacing="1"/>
      <w:jc w:val="left"/>
    </w:pPr>
    <w:rPr>
      <w:rFonts w:ascii="宋体" w:hAnsi="宋体" w:cs="宋体"/>
      <w:kern w:val="0"/>
      <w:sz w:val="24"/>
      <w:szCs w:val="24"/>
    </w:rPr>
  </w:style>
  <w:style w:type="character" w:customStyle="1" w:styleId="319">
    <w:name w:val="副标题 字符1"/>
    <w:basedOn w:val="57"/>
    <w:qFormat/>
    <w:uiPriority w:val="11"/>
    <w:rPr>
      <w:rFonts w:hint="default" w:asciiTheme="minorHAnsi" w:hAnsiTheme="minorHAnsi" w:eastAsiaTheme="minorEastAsia" w:cstheme="minorBidi"/>
      <w:b/>
      <w:bCs/>
      <w:kern w:val="28"/>
      <w:sz w:val="32"/>
      <w:szCs w:val="32"/>
    </w:rPr>
  </w:style>
  <w:style w:type="character" w:customStyle="1" w:styleId="320">
    <w:name w:val="明显引用 字符1"/>
    <w:basedOn w:val="57"/>
    <w:qFormat/>
    <w:uiPriority w:val="30"/>
    <w:rPr>
      <w:i/>
      <w:iCs/>
      <w:color w:val="4F81BD" w:themeColor="accent1"/>
      <w14:textFill>
        <w14:solidFill>
          <w14:schemeClr w14:val="accent1"/>
        </w14:solidFill>
      </w14:textFill>
    </w:rPr>
  </w:style>
  <w:style w:type="character" w:customStyle="1" w:styleId="321">
    <w:name w:val="引用 字符1"/>
    <w:basedOn w:val="57"/>
    <w:qFormat/>
    <w:uiPriority w:val="29"/>
    <w:rPr>
      <w:i/>
      <w:iCs/>
      <w:color w:val="404040" w:themeColor="text1" w:themeTint="BF"/>
      <w14:textFill>
        <w14:solidFill>
          <w14:schemeClr w14:val="tx1">
            <w14:lumMod w14:val="75000"/>
            <w14:lumOff w14:val="25000"/>
          </w14:schemeClr>
        </w14:solidFill>
      </w14:textFill>
    </w:rPr>
  </w:style>
  <w:style w:type="paragraph" w:customStyle="1" w:styleId="322">
    <w:name w:val="正文_5_0"/>
    <w:qFormat/>
    <w:uiPriority w:val="0"/>
    <w:pPr>
      <w:widowControl w:val="0"/>
      <w:spacing w:after="200" w:line="276" w:lineRule="auto"/>
      <w:jc w:val="both"/>
    </w:pPr>
    <w:rPr>
      <w:rFonts w:ascii="Times New Roman" w:hAnsi="Times New Roman" w:eastAsia="宋体" w:cs="Times New Roman"/>
      <w:kern w:val="2"/>
      <w:sz w:val="21"/>
      <w:szCs w:val="24"/>
      <w:lang w:val="en-US" w:eastAsia="zh-CN" w:bidi="ar-SA"/>
    </w:rPr>
  </w:style>
  <w:style w:type="paragraph" w:customStyle="1" w:styleId="323">
    <w:name w:val="Normal_4"/>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24">
    <w:name w:val="Default"/>
    <w:qFormat/>
    <w:uiPriority w:val="0"/>
    <w:pPr>
      <w:widowControl w:val="0"/>
      <w:autoSpaceDE w:val="0"/>
      <w:autoSpaceDN w:val="0"/>
      <w:adjustRightInd w:val="0"/>
    </w:pPr>
    <w:rPr>
      <w:rFonts w:ascii="Calibri" w:hAnsi="Calibri" w:eastAsia="宋体" w:cs="Times New Roman"/>
      <w:color w:val="000000"/>
      <w:sz w:val="24"/>
      <w:szCs w:val="24"/>
      <w:lang w:val="en-US" w:eastAsia="zh-CN" w:bidi="ar-SA"/>
    </w:rPr>
  </w:style>
  <w:style w:type="character" w:customStyle="1" w:styleId="325">
    <w:name w:val="10"/>
    <w:basedOn w:val="57"/>
    <w:qFormat/>
    <w:uiPriority w:val="0"/>
    <w:rPr>
      <w:rFonts w:hint="default" w:ascii="Times New Roman" w:hAnsi="Times New Roman" w:cs="Times New Roman"/>
    </w:rPr>
  </w:style>
  <w:style w:type="character" w:customStyle="1" w:styleId="326">
    <w:name w:val="p0 Char"/>
    <w:link w:val="29"/>
    <w:qFormat/>
    <w:uiPriority w:val="0"/>
    <w:rPr>
      <w:sz w:val="21"/>
      <w:szCs w:val="21"/>
    </w:rPr>
  </w:style>
  <w:style w:type="character" w:customStyle="1" w:styleId="327">
    <w:name w:val="未处理的提及1"/>
    <w:basedOn w:val="57"/>
    <w:semiHidden/>
    <w:unhideWhenUsed/>
    <w:qFormat/>
    <w:uiPriority w:val="99"/>
    <w:rPr>
      <w:color w:val="605E5C"/>
      <w:shd w:val="clear" w:color="auto" w:fill="E1DFDD"/>
    </w:rPr>
  </w:style>
  <w:style w:type="character" w:customStyle="1" w:styleId="328">
    <w:name w:val="Char Char8"/>
    <w:qFormat/>
    <w:uiPriority w:val="0"/>
    <w:rPr>
      <w:rFonts w:hint="default" w:ascii="Arial" w:hAnsi="Arial" w:eastAsia="黑体" w:cs="Arial"/>
      <w:b/>
      <w:bCs/>
      <w:kern w:val="2"/>
      <w:sz w:val="32"/>
      <w:szCs w:val="32"/>
      <w:lang w:val="en-US" w:eastAsia="zh-CN" w:bidi="ar-SA"/>
    </w:rPr>
  </w:style>
  <w:style w:type="paragraph" w:customStyle="1" w:styleId="329">
    <w:name w:val="Table Paragraph"/>
    <w:basedOn w:val="1"/>
    <w:qFormat/>
    <w:uiPriority w:val="1"/>
    <w:pPr>
      <w:autoSpaceDE w:val="0"/>
      <w:autoSpaceDN w:val="0"/>
      <w:spacing w:before="2"/>
      <w:jc w:val="left"/>
    </w:pPr>
    <w:rPr>
      <w:rFonts w:ascii="宋体" w:hAnsi="宋体" w:cs="宋体"/>
      <w:kern w:val="0"/>
      <w:sz w:val="22"/>
      <w:szCs w:val="22"/>
      <w:lang w:eastAsia="en-US"/>
    </w:rPr>
  </w:style>
  <w:style w:type="character" w:customStyle="1" w:styleId="330">
    <w:name w:val="日期 字符1"/>
    <w:basedOn w:val="57"/>
    <w:qFormat/>
    <w:uiPriority w:val="0"/>
    <w:rPr>
      <w:rFonts w:ascii="Times New Roman" w:hAnsi="Times New Roman" w:eastAsia="宋体" w:cs="Times New Roman"/>
      <w:szCs w:val="20"/>
    </w:rPr>
  </w:style>
  <w:style w:type="character" w:customStyle="1" w:styleId="331">
    <w:name w:val="宏文本 字符1"/>
    <w:basedOn w:val="57"/>
    <w:semiHidden/>
    <w:qFormat/>
    <w:uiPriority w:val="99"/>
    <w:rPr>
      <w:rFonts w:ascii="Courier New" w:hAnsi="Courier New" w:eastAsia="宋体" w:cs="Courier New"/>
      <w:sz w:val="24"/>
      <w:szCs w:val="24"/>
    </w:rPr>
  </w:style>
  <w:style w:type="character" w:customStyle="1" w:styleId="332">
    <w:name w:val="正文文本首行缩进 2 字符1"/>
    <w:basedOn w:val="127"/>
    <w:semiHidden/>
    <w:qFormat/>
    <w:uiPriority w:val="99"/>
    <w:rPr>
      <w:rFonts w:ascii="Times New Roman" w:hAnsi="Times New Roman" w:eastAsia="宋体" w:cs="Times New Roman"/>
      <w:kern w:val="2"/>
      <w:sz w:val="21"/>
      <w:szCs w:val="20"/>
    </w:rPr>
  </w:style>
  <w:style w:type="character" w:customStyle="1" w:styleId="333">
    <w:name w:val="未处理的提及2"/>
    <w:basedOn w:val="57"/>
    <w:semiHidden/>
    <w:unhideWhenUsed/>
    <w:qFormat/>
    <w:uiPriority w:val="99"/>
    <w:rPr>
      <w:color w:val="605E5C"/>
      <w:shd w:val="clear" w:color="auto" w:fill="E1DFDD"/>
    </w:rPr>
  </w:style>
  <w:style w:type="table" w:customStyle="1" w:styleId="334">
    <w:name w:val="Table Normal"/>
    <w:semiHidden/>
    <w:unhideWhenUsed/>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335">
    <w:name w:val="p16"/>
    <w:basedOn w:val="1"/>
    <w:qFormat/>
    <w:uiPriority w:val="0"/>
    <w:pPr>
      <w:widowControl/>
    </w:pPr>
    <w:rPr>
      <w:rFonts w:ascii="Calibri" w:hAnsi="Calibri" w:cs="宋体"/>
      <w:kern w:val="0"/>
      <w:szCs w:val="21"/>
    </w:rPr>
  </w:style>
  <w:style w:type="character" w:customStyle="1" w:styleId="336">
    <w:name w:val="正文文本缩进 字符1"/>
    <w:basedOn w:val="57"/>
    <w:qFormat/>
    <w:uiPriority w:val="99"/>
  </w:style>
  <w:style w:type="character" w:customStyle="1" w:styleId="337">
    <w:name w:val="未处理的提及3"/>
    <w:basedOn w:val="57"/>
    <w:semiHidden/>
    <w:unhideWhenUsed/>
    <w:qFormat/>
    <w:uiPriority w:val="99"/>
    <w:rPr>
      <w:color w:val="605E5C"/>
      <w:shd w:val="clear" w:color="auto" w:fill="E1DFDD"/>
    </w:rPr>
  </w:style>
  <w:style w:type="paragraph" w:customStyle="1" w:styleId="338">
    <w:name w:val="tiaonoa"/>
    <w:basedOn w:val="1"/>
    <w:qFormat/>
    <w:uiPriority w:val="0"/>
    <w:pPr>
      <w:widowControl/>
      <w:spacing w:before="100" w:beforeAutospacing="1" w:after="100" w:afterAutospacing="1"/>
      <w:jc w:val="left"/>
    </w:pPr>
    <w:rPr>
      <w:rFonts w:ascii="宋体" w:hAnsi="宋体" w:cs="宋体"/>
      <w:b/>
      <w:bCs/>
      <w:smallCaps/>
      <w:color w:val="000000"/>
      <w:kern w:val="0"/>
      <w:sz w:val="18"/>
      <w:szCs w:val="18"/>
    </w:rPr>
  </w:style>
  <w:style w:type="character" w:customStyle="1" w:styleId="339">
    <w:name w:val="gyy正文 Char2"/>
    <w:link w:val="340"/>
    <w:qFormat/>
    <w:uiPriority w:val="0"/>
    <w:rPr>
      <w:rFonts w:cs="宋体"/>
      <w:snapToGrid w:val="0"/>
      <w:sz w:val="28"/>
    </w:rPr>
  </w:style>
  <w:style w:type="paragraph" w:customStyle="1" w:styleId="340">
    <w:name w:val="gyy正文"/>
    <w:basedOn w:val="1"/>
    <w:link w:val="339"/>
    <w:qFormat/>
    <w:uiPriority w:val="0"/>
    <w:pPr>
      <w:snapToGrid w:val="0"/>
      <w:spacing w:line="360" w:lineRule="auto"/>
      <w:ind w:firstLine="200" w:firstLineChars="200"/>
    </w:pPr>
    <w:rPr>
      <w:rFonts w:cs="宋体"/>
      <w:snapToGrid w:val="0"/>
      <w:kern w:val="0"/>
      <w:sz w:val="28"/>
    </w:rPr>
  </w:style>
  <w:style w:type="character" w:customStyle="1" w:styleId="341">
    <w:name w:val="font41"/>
    <w:qFormat/>
    <w:uiPriority w:val="0"/>
    <w:rPr>
      <w:rFonts w:hint="eastAsia" w:ascii="宋体" w:hAnsi="宋体" w:eastAsia="宋体" w:cs="宋体"/>
      <w:color w:val="000000"/>
      <w:sz w:val="32"/>
      <w:szCs w:val="32"/>
      <w:u w:val="none"/>
    </w:rPr>
  </w:style>
  <w:style w:type="character" w:customStyle="1" w:styleId="342">
    <w:name w:val="16"/>
    <w:qFormat/>
    <w:uiPriority w:val="0"/>
    <w:rPr>
      <w:rFonts w:hint="eastAsia" w:ascii="仿宋_GB2312" w:eastAsia="仿宋_GB2312"/>
      <w:color w:val="000000"/>
      <w:sz w:val="24"/>
      <w:szCs w:val="24"/>
      <w:vertAlign w:val="superscript"/>
    </w:rPr>
  </w:style>
  <w:style w:type="character" w:customStyle="1" w:styleId="343">
    <w:name w:val="4号字26磅sd Char"/>
    <w:link w:val="344"/>
    <w:qFormat/>
    <w:uiPriority w:val="0"/>
    <w:rPr>
      <w:rFonts w:ascii="宋体" w:hAnsi="宋体" w:cs="宋体"/>
      <w:color w:val="000000"/>
      <w:sz w:val="28"/>
      <w:szCs w:val="28"/>
    </w:rPr>
  </w:style>
  <w:style w:type="paragraph" w:customStyle="1" w:styleId="344">
    <w:name w:val="4号字26磅sd"/>
    <w:link w:val="343"/>
    <w:qFormat/>
    <w:uiPriority w:val="0"/>
    <w:pPr>
      <w:spacing w:line="520" w:lineRule="exact"/>
      <w:ind w:firstLine="200" w:firstLineChars="200"/>
    </w:pPr>
    <w:rPr>
      <w:rFonts w:ascii="宋体" w:hAnsi="宋体" w:eastAsia="宋体" w:cs="宋体"/>
      <w:color w:val="000000"/>
      <w:sz w:val="28"/>
      <w:szCs w:val="28"/>
      <w:lang w:val="en-US" w:eastAsia="zh-CN" w:bidi="ar-SA"/>
    </w:rPr>
  </w:style>
  <w:style w:type="character" w:customStyle="1" w:styleId="345">
    <w:name w:val="font101"/>
    <w:qFormat/>
    <w:uiPriority w:val="0"/>
    <w:rPr>
      <w:rFonts w:hint="default" w:ascii="Times New Roman" w:hAnsi="Times New Roman" w:cs="Times New Roman"/>
      <w:color w:val="000000"/>
      <w:sz w:val="20"/>
      <w:szCs w:val="20"/>
      <w:u w:val="none"/>
    </w:rPr>
  </w:style>
  <w:style w:type="character" w:customStyle="1" w:styleId="346">
    <w:name w:val="font71"/>
    <w:qFormat/>
    <w:uiPriority w:val="0"/>
    <w:rPr>
      <w:rFonts w:hint="eastAsia" w:ascii="宋体" w:hAnsi="宋体" w:eastAsia="宋体" w:cs="宋体"/>
      <w:color w:val="000000"/>
      <w:sz w:val="20"/>
      <w:szCs w:val="20"/>
      <w:u w:val="none"/>
    </w:rPr>
  </w:style>
  <w:style w:type="character" w:customStyle="1" w:styleId="347">
    <w:name w:val="font91"/>
    <w:qFormat/>
    <w:uiPriority w:val="0"/>
    <w:rPr>
      <w:rFonts w:hint="default" w:ascii="Times New Roman" w:hAnsi="Times New Roman" w:cs="Times New Roman"/>
      <w:color w:val="000000"/>
      <w:sz w:val="20"/>
      <w:szCs w:val="20"/>
      <w:u w:val="none"/>
    </w:rPr>
  </w:style>
  <w:style w:type="character" w:customStyle="1" w:styleId="348">
    <w:name w:val="font112"/>
    <w:qFormat/>
    <w:uiPriority w:val="0"/>
    <w:rPr>
      <w:rFonts w:hint="default" w:ascii="Times New Roman" w:hAnsi="Times New Roman" w:cs="Times New Roman"/>
      <w:color w:val="000000"/>
      <w:sz w:val="20"/>
      <w:szCs w:val="20"/>
      <w:u w:val="none"/>
    </w:rPr>
  </w:style>
  <w:style w:type="character" w:customStyle="1" w:styleId="349">
    <w:name w:val="font81"/>
    <w:qFormat/>
    <w:uiPriority w:val="0"/>
    <w:rPr>
      <w:rFonts w:hint="eastAsia" w:ascii="宋体" w:hAnsi="宋体" w:eastAsia="宋体" w:cs="宋体"/>
      <w:b/>
      <w:bCs/>
      <w:color w:val="000000"/>
      <w:sz w:val="18"/>
      <w:szCs w:val="18"/>
      <w:u w:val="none"/>
    </w:rPr>
  </w:style>
  <w:style w:type="character" w:customStyle="1" w:styleId="350">
    <w:name w:val="正文文本 字符1"/>
    <w:basedOn w:val="57"/>
    <w:semiHidden/>
    <w:qFormat/>
    <w:uiPriority w:val="99"/>
  </w:style>
  <w:style w:type="character" w:customStyle="1" w:styleId="351">
    <w:name w:val="文档结构图 字符1"/>
    <w:basedOn w:val="57"/>
    <w:semiHidden/>
    <w:qFormat/>
    <w:uiPriority w:val="99"/>
    <w:rPr>
      <w:rFonts w:ascii="Microsoft YaHei UI" w:eastAsia="Microsoft YaHei UI"/>
      <w:sz w:val="18"/>
      <w:szCs w:val="18"/>
    </w:rPr>
  </w:style>
  <w:style w:type="character" w:customStyle="1" w:styleId="352">
    <w:name w:val="标题 字符1"/>
    <w:basedOn w:val="57"/>
    <w:qFormat/>
    <w:uiPriority w:val="10"/>
    <w:rPr>
      <w:rFonts w:asciiTheme="majorHAnsi" w:hAnsiTheme="majorHAnsi" w:eastAsiaTheme="majorEastAsia" w:cstheme="majorBidi"/>
      <w:b/>
      <w:bCs/>
      <w:sz w:val="32"/>
      <w:szCs w:val="32"/>
    </w:rPr>
  </w:style>
  <w:style w:type="paragraph" w:customStyle="1" w:styleId="353">
    <w:name w:val="WPSOffice手动目录 3"/>
    <w:qFormat/>
    <w:uiPriority w:val="0"/>
    <w:pPr>
      <w:ind w:left="400" w:leftChars="400"/>
    </w:pPr>
    <w:rPr>
      <w:rFonts w:ascii="Times New Roman" w:hAnsi="Times New Roman" w:eastAsia="宋体" w:cs="Times New Roman"/>
      <w:lang w:val="en-US" w:eastAsia="zh-CN" w:bidi="ar-SA"/>
    </w:rPr>
  </w:style>
  <w:style w:type="paragraph" w:customStyle="1" w:styleId="354">
    <w:name w:val="TOC 标题2"/>
    <w:basedOn w:val="3"/>
    <w:next w:val="1"/>
    <w:qFormat/>
    <w:uiPriority w:val="39"/>
    <w:pPr>
      <w:widowControl/>
      <w:spacing w:before="480" w:after="0" w:line="276" w:lineRule="auto"/>
      <w:jc w:val="left"/>
      <w:outlineLvl w:val="9"/>
    </w:pPr>
    <w:rPr>
      <w:rFonts w:ascii="Cambria" w:hAnsi="Cambria"/>
      <w:bCs/>
      <w:color w:val="365F91"/>
      <w:spacing w:val="0"/>
      <w:kern w:val="0"/>
      <w:sz w:val="28"/>
      <w:szCs w:val="28"/>
    </w:rPr>
  </w:style>
  <w:style w:type="paragraph" w:customStyle="1" w:styleId="355">
    <w:name w:val="DD五号字"/>
    <w:basedOn w:val="356"/>
    <w:qFormat/>
    <w:uiPriority w:val="0"/>
    <w:pPr>
      <w:spacing w:line="400" w:lineRule="exact"/>
      <w:ind w:firstLine="397"/>
    </w:pPr>
    <w:rPr>
      <w:sz w:val="21"/>
      <w:szCs w:val="21"/>
    </w:rPr>
  </w:style>
  <w:style w:type="paragraph" w:customStyle="1" w:styleId="356">
    <w:name w:val="样式 宋体 四号 黑色 首行缩进:  1.06 厘米 行距: 固定值 27 磅"/>
    <w:basedOn w:val="1"/>
    <w:qFormat/>
    <w:uiPriority w:val="0"/>
    <w:pPr>
      <w:spacing w:line="520" w:lineRule="exact"/>
      <w:ind w:firstLine="601"/>
    </w:pPr>
    <w:rPr>
      <w:rFonts w:ascii="宋体" w:hAnsi="宋体" w:cs="宋体"/>
      <w:color w:val="000000"/>
      <w:sz w:val="28"/>
    </w:rPr>
  </w:style>
  <w:style w:type="paragraph" w:customStyle="1" w:styleId="357">
    <w:name w:val="DD正文"/>
    <w:basedOn w:val="356"/>
    <w:qFormat/>
    <w:uiPriority w:val="0"/>
    <w:pPr>
      <w:overflowPunct w:val="0"/>
      <w:spacing w:line="520" w:lineRule="atLeast"/>
      <w:ind w:firstLine="560" w:firstLineChars="200"/>
    </w:pPr>
    <w:rPr>
      <w:rFonts w:cs="Times New Roman"/>
      <w:color w:val="auto"/>
      <w:szCs w:val="28"/>
    </w:rPr>
  </w:style>
  <w:style w:type="paragraph" w:customStyle="1" w:styleId="358">
    <w:name w:val="gyy正文文字"/>
    <w:basedOn w:val="1"/>
    <w:qFormat/>
    <w:uiPriority w:val="0"/>
    <w:pPr>
      <w:spacing w:line="360" w:lineRule="auto"/>
      <w:ind w:firstLine="471"/>
    </w:pPr>
    <w:rPr>
      <w:rFonts w:cs="宋体"/>
      <w:color w:val="000000"/>
      <w:sz w:val="24"/>
      <w:szCs w:val="24"/>
    </w:rPr>
  </w:style>
  <w:style w:type="paragraph" w:customStyle="1" w:styleId="359">
    <w:name w:val="Char Char Char Char1"/>
    <w:basedOn w:val="1"/>
    <w:qFormat/>
    <w:uiPriority w:val="0"/>
    <w:rPr>
      <w:szCs w:val="24"/>
    </w:rPr>
  </w:style>
  <w:style w:type="paragraph" w:customStyle="1" w:styleId="360">
    <w:name w:val="W报告正文"/>
    <w:basedOn w:val="1"/>
    <w:qFormat/>
    <w:uiPriority w:val="0"/>
    <w:pPr>
      <w:ind w:firstLine="480"/>
    </w:pPr>
    <w:rPr>
      <w:szCs w:val="24"/>
    </w:rPr>
  </w:style>
  <w:style w:type="paragraph" w:customStyle="1" w:styleId="361">
    <w:name w:val="默认段落字体 Para Char Char Char Char Char Char Char"/>
    <w:basedOn w:val="1"/>
    <w:qFormat/>
    <w:uiPriority w:val="0"/>
    <w:pPr>
      <w:tabs>
        <w:tab w:val="left" w:pos="4665"/>
        <w:tab w:val="left" w:pos="8970"/>
      </w:tabs>
      <w:ind w:firstLine="400"/>
    </w:pPr>
  </w:style>
  <w:style w:type="paragraph" w:customStyle="1" w:styleId="362">
    <w:name w:val="DD 2级标题"/>
    <w:basedOn w:val="1"/>
    <w:qFormat/>
    <w:uiPriority w:val="0"/>
    <w:pPr>
      <w:spacing w:beforeLines="50" w:afterLines="50"/>
      <w:jc w:val="left"/>
      <w:outlineLvl w:val="1"/>
    </w:pPr>
    <w:rPr>
      <w:b/>
      <w:sz w:val="30"/>
      <w:szCs w:val="28"/>
    </w:rPr>
  </w:style>
  <w:style w:type="paragraph" w:customStyle="1" w:styleId="363">
    <w:name w:val="DD 正文"/>
    <w:basedOn w:val="364"/>
    <w:qFormat/>
    <w:uiPriority w:val="0"/>
    <w:pPr>
      <w:spacing w:line="500" w:lineRule="exact"/>
      <w:ind w:firstLine="200" w:firstLineChars="200"/>
    </w:pPr>
    <w:rPr>
      <w:szCs w:val="28"/>
    </w:rPr>
  </w:style>
  <w:style w:type="paragraph" w:customStyle="1" w:styleId="364">
    <w:name w:val="样式 宋体 四号 黑色 首行缩进:  1.13 厘米 行距: 固定值 26 磅"/>
    <w:basedOn w:val="1"/>
    <w:qFormat/>
    <w:uiPriority w:val="0"/>
    <w:pPr>
      <w:spacing w:line="540" w:lineRule="exact"/>
      <w:ind w:firstLine="641"/>
    </w:pPr>
    <w:rPr>
      <w:rFonts w:ascii="宋体" w:hAnsi="宋体" w:cs="宋体"/>
      <w:color w:val="000000"/>
    </w:rPr>
  </w:style>
  <w:style w:type="paragraph" w:customStyle="1" w:styleId="365">
    <w:name w:val="a报告正文文本"/>
    <w:basedOn w:val="364"/>
    <w:qFormat/>
    <w:uiPriority w:val="0"/>
    <w:pPr>
      <w:spacing w:line="520" w:lineRule="exact"/>
      <w:ind w:firstLine="200" w:firstLineChars="200"/>
    </w:pPr>
    <w:rPr>
      <w:rFonts w:ascii="Times New Roman" w:hAnsi="Times New Roman"/>
      <w:color w:val="auto"/>
      <w:szCs w:val="24"/>
    </w:rPr>
  </w:style>
  <w:style w:type="paragraph" w:customStyle="1" w:styleId="366">
    <w:name w:val="Char4"/>
    <w:basedOn w:val="1"/>
    <w:qFormat/>
    <w:uiPriority w:val="0"/>
    <w:rPr>
      <w:rFonts w:ascii="Tahoma" w:hAnsi="Tahoma"/>
      <w:sz w:val="24"/>
    </w:rPr>
  </w:style>
  <w:style w:type="paragraph" w:customStyle="1" w:styleId="367">
    <w:name w:val="4 Char Char Char Char Char Char Char Char Char Char Char Char Char Char Char Char1 Char"/>
    <w:basedOn w:val="1"/>
    <w:qFormat/>
    <w:uiPriority w:val="0"/>
    <w:rPr>
      <w:szCs w:val="24"/>
    </w:rPr>
  </w:style>
  <w:style w:type="paragraph" w:customStyle="1" w:styleId="368">
    <w:name w:val="1报告正文文本"/>
    <w:basedOn w:val="364"/>
    <w:qFormat/>
    <w:uiPriority w:val="0"/>
    <w:pPr>
      <w:spacing w:line="360" w:lineRule="auto"/>
      <w:ind w:firstLine="200" w:firstLineChars="200"/>
      <w:jc w:val="left"/>
    </w:pPr>
    <w:rPr>
      <w:rFonts w:ascii="Times New Roman" w:hAnsi="Times New Roman"/>
      <w:color w:val="auto"/>
      <w:sz w:val="24"/>
      <w:szCs w:val="24"/>
    </w:rPr>
  </w:style>
  <w:style w:type="paragraph" w:customStyle="1" w:styleId="369">
    <w:name w:val="gyy表名图名"/>
    <w:basedOn w:val="1"/>
    <w:qFormat/>
    <w:uiPriority w:val="0"/>
    <w:pPr>
      <w:spacing w:before="120"/>
      <w:jc w:val="center"/>
    </w:pPr>
    <w:rPr>
      <w:rFonts w:eastAsia="黑体" w:cs="宋体"/>
      <w:kern w:val="0"/>
      <w:sz w:val="24"/>
    </w:rPr>
  </w:style>
  <w:style w:type="paragraph" w:customStyle="1" w:styleId="370">
    <w:name w:val="WPSOffice手动目录 1"/>
    <w:qFormat/>
    <w:uiPriority w:val="0"/>
    <w:rPr>
      <w:rFonts w:ascii="Times New Roman" w:hAnsi="Times New Roman" w:eastAsia="宋体" w:cs="Times New Roman"/>
      <w:lang w:val="en-US" w:eastAsia="zh-CN" w:bidi="ar-SA"/>
    </w:rPr>
  </w:style>
  <w:style w:type="paragraph" w:customStyle="1" w:styleId="371">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72">
    <w:name w:val="Q表头"/>
    <w:basedOn w:val="1"/>
    <w:next w:val="1"/>
    <w:qFormat/>
    <w:uiPriority w:val="0"/>
    <w:pPr>
      <w:adjustRightInd w:val="0"/>
      <w:snapToGrid w:val="0"/>
      <w:spacing w:beforeLines="50" w:afterLines="50"/>
      <w:jc w:val="center"/>
    </w:pPr>
    <w:rPr>
      <w:b/>
      <w:szCs w:val="24"/>
    </w:rPr>
  </w:style>
  <w:style w:type="paragraph" w:customStyle="1" w:styleId="373">
    <w:name w:val="WPSOffice手动目录 2"/>
    <w:qFormat/>
    <w:uiPriority w:val="0"/>
    <w:pPr>
      <w:ind w:left="200" w:leftChars="200"/>
    </w:pPr>
    <w:rPr>
      <w:rFonts w:ascii="Times New Roman" w:hAnsi="Times New Roman" w:eastAsia="宋体" w:cs="Times New Roman"/>
      <w:lang w:val="en-US" w:eastAsia="zh-CN" w:bidi="ar-SA"/>
    </w:rPr>
  </w:style>
  <w:style w:type="character" w:customStyle="1" w:styleId="374">
    <w:name w:val="标题 1 字符2"/>
    <w:basedOn w:val="57"/>
    <w:qFormat/>
    <w:uiPriority w:val="0"/>
    <w:rPr>
      <w:b/>
      <w:spacing w:val="20"/>
      <w:kern w:val="44"/>
      <w:sz w:val="32"/>
    </w:rPr>
  </w:style>
  <w:style w:type="character" w:customStyle="1" w:styleId="375">
    <w:name w:val="纯文本 字符2"/>
    <w:qFormat/>
    <w:uiPriority w:val="0"/>
    <w:rPr>
      <w:rFonts w:ascii="宋体" w:hAnsi="Courier New" w:eastAsia="宋体"/>
      <w:kern w:val="2"/>
      <w:sz w:val="21"/>
      <w:lang w:val="en-US" w:eastAsia="zh-CN" w:bidi="ar-SA"/>
    </w:rPr>
  </w:style>
  <w:style w:type="paragraph" w:customStyle="1" w:styleId="376">
    <w:name w:val="rr"/>
    <w:basedOn w:val="1"/>
    <w:qFormat/>
    <w:uiPriority w:val="0"/>
    <w:pPr>
      <w:widowControl/>
      <w:spacing w:before="100" w:beforeAutospacing="1" w:after="100" w:afterAutospacing="1"/>
      <w:jc w:val="left"/>
    </w:pPr>
    <w:rPr>
      <w:rFonts w:hint="eastAsia" w:ascii="宋体" w:hAnsi="宋体"/>
      <w:kern w:val="0"/>
      <w:szCs w:val="21"/>
    </w:rPr>
  </w:style>
  <w:style w:type="paragraph" w:customStyle="1" w:styleId="377">
    <w:name w:val="2"/>
    <w:qFormat/>
    <w:uiPriority w:val="0"/>
    <w:rPr>
      <w:rFonts w:ascii="Times New Roman" w:hAnsi="Times New Roman" w:eastAsia="宋体" w:cs="Times New Roman"/>
      <w:lang w:val="en-US" w:eastAsia="zh-CN" w:bidi="ar-SA"/>
    </w:rPr>
  </w:style>
  <w:style w:type="character" w:customStyle="1" w:styleId="378">
    <w:name w:val="grame"/>
    <w:basedOn w:val="57"/>
    <w:qFormat/>
    <w:uiPriority w:val="0"/>
  </w:style>
  <w:style w:type="paragraph" w:customStyle="1" w:styleId="379">
    <w:name w:val="Char31"/>
    <w:basedOn w:val="1"/>
    <w:qFormat/>
    <w:uiPriority w:val="0"/>
    <w:pPr>
      <w:tabs>
        <w:tab w:val="left" w:pos="794"/>
        <w:tab w:val="left" w:pos="1191"/>
        <w:tab w:val="left" w:pos="1588"/>
        <w:tab w:val="left" w:pos="1985"/>
      </w:tabs>
      <w:autoSpaceDE w:val="0"/>
      <w:autoSpaceDN w:val="0"/>
      <w:adjustRightInd w:val="0"/>
      <w:spacing w:before="136"/>
    </w:pPr>
    <w:rPr>
      <w:rFonts w:ascii="Tahoma" w:hAnsi="Tahoma"/>
      <w:kern w:val="0"/>
      <w:sz w:val="24"/>
      <w:lang w:val="en-GB"/>
    </w:rPr>
  </w:style>
  <w:style w:type="paragraph" w:customStyle="1" w:styleId="380">
    <w:name w:val="Char6 Char Char Char1"/>
    <w:basedOn w:val="1"/>
    <w:qFormat/>
    <w:uiPriority w:val="0"/>
    <w:pPr>
      <w:tabs>
        <w:tab w:val="left" w:pos="794"/>
        <w:tab w:val="left" w:pos="1191"/>
        <w:tab w:val="left" w:pos="1588"/>
        <w:tab w:val="left" w:pos="1985"/>
      </w:tabs>
      <w:autoSpaceDE w:val="0"/>
      <w:autoSpaceDN w:val="0"/>
      <w:adjustRightInd w:val="0"/>
      <w:spacing w:before="136"/>
    </w:pPr>
    <w:rPr>
      <w:rFonts w:ascii="Tahoma" w:hAnsi="Tahoma"/>
      <w:kern w:val="0"/>
      <w:sz w:val="24"/>
      <w:lang w:val="en-GB"/>
    </w:rPr>
  </w:style>
  <w:style w:type="character" w:customStyle="1" w:styleId="381">
    <w:name w:val="已访问的超链接1"/>
    <w:qFormat/>
    <w:uiPriority w:val="0"/>
    <w:rPr>
      <w:color w:val="800080"/>
      <w:u w:val="single"/>
    </w:rPr>
  </w:style>
  <w:style w:type="character" w:customStyle="1" w:styleId="382">
    <w:name w:val="题注 字符"/>
    <w:link w:val="15"/>
    <w:qFormat/>
    <w:uiPriority w:val="0"/>
    <w:rPr>
      <w:rFonts w:ascii="Arial" w:hAnsi="Arial" w:eastAsia="黑体" w:cs="Arial"/>
      <w:kern w:val="2"/>
    </w:rPr>
  </w:style>
  <w:style w:type="paragraph" w:customStyle="1" w:styleId="383">
    <w:name w:val="单位"/>
    <w:next w:val="54"/>
    <w:link w:val="384"/>
    <w:qFormat/>
    <w:uiPriority w:val="0"/>
    <w:pPr>
      <w:keepNext/>
      <w:adjustRightInd w:val="0"/>
      <w:snapToGrid w:val="0"/>
      <w:spacing w:line="360" w:lineRule="auto"/>
      <w:ind w:right="50" w:rightChars="50"/>
      <w:jc w:val="right"/>
    </w:pPr>
    <w:rPr>
      <w:rFonts w:ascii="Cambria" w:hAnsi="Cambria" w:eastAsia="宋体" w:cs="Times New Roman"/>
      <w:kern w:val="2"/>
      <w:sz w:val="21"/>
      <w:szCs w:val="24"/>
      <w:lang w:val="en-US" w:eastAsia="zh-CN" w:bidi="ar-SA"/>
    </w:rPr>
  </w:style>
  <w:style w:type="character" w:customStyle="1" w:styleId="384">
    <w:name w:val="单位 Char"/>
    <w:link w:val="383"/>
    <w:qFormat/>
    <w:uiPriority w:val="0"/>
    <w:rPr>
      <w:rFonts w:ascii="Cambria" w:hAnsi="Cambria"/>
      <w:kern w:val="2"/>
      <w:sz w:val="21"/>
      <w:szCs w:val="24"/>
    </w:rPr>
  </w:style>
  <w:style w:type="paragraph" w:customStyle="1" w:styleId="385">
    <w:name w:val="表中文字－ld"/>
    <w:next w:val="1"/>
    <w:qFormat/>
    <w:uiPriority w:val="0"/>
    <w:pPr>
      <w:widowControl w:val="0"/>
      <w:adjustRightInd w:val="0"/>
      <w:snapToGrid w:val="0"/>
      <w:spacing w:before="40" w:after="40"/>
      <w:jc w:val="center"/>
    </w:pPr>
    <w:rPr>
      <w:rFonts w:ascii="Cambria" w:hAnsi="Cambria" w:eastAsia="宋体" w:cs="方正综艺简体"/>
      <w:sz w:val="21"/>
      <w:szCs w:val="21"/>
      <w:lang w:val="en-US" w:eastAsia="zh-CN" w:bidi="ar-SA"/>
    </w:rPr>
  </w:style>
  <w:style w:type="paragraph" w:customStyle="1" w:styleId="386">
    <w:name w:val="正文1111"/>
    <w:basedOn w:val="1"/>
    <w:next w:val="44"/>
    <w:qFormat/>
    <w:uiPriority w:val="0"/>
    <w:pPr>
      <w:spacing w:line="360" w:lineRule="auto"/>
      <w:ind w:firstLine="200" w:firstLineChars="200"/>
    </w:pPr>
    <w:rPr>
      <w:rFonts w:ascii="Cambria" w:hAnsi="Cambria" w:cs="Cambria"/>
      <w:spacing w:val="10"/>
      <w:kern w:val="0"/>
      <w:sz w:val="24"/>
      <w:szCs w:val="24"/>
    </w:rPr>
  </w:style>
  <w:style w:type="paragraph" w:customStyle="1" w:styleId="387">
    <w:name w:val="正文文本8"/>
    <w:basedOn w:val="1"/>
    <w:qFormat/>
    <w:uiPriority w:val="0"/>
    <w:pPr>
      <w:shd w:val="clear" w:color="auto" w:fill="FFFFFF"/>
      <w:spacing w:line="461" w:lineRule="exact"/>
      <w:jc w:val="left"/>
    </w:pPr>
    <w:rPr>
      <w:rFonts w:ascii="Tahoma" w:hAnsi="Tahoma" w:eastAsia="Tahoma"/>
      <w:spacing w:val="30"/>
      <w:kern w:val="0"/>
      <w:sz w:val="23"/>
      <w:szCs w:val="23"/>
      <w:shd w:val="clear" w:color="auto" w:fill="FFFFFF"/>
    </w:rPr>
  </w:style>
  <w:style w:type="paragraph" w:customStyle="1" w:styleId="388">
    <w:name w:val="表名"/>
    <w:basedOn w:val="1"/>
    <w:link w:val="389"/>
    <w:qFormat/>
    <w:uiPriority w:val="0"/>
    <w:pPr>
      <w:spacing w:line="360" w:lineRule="auto"/>
      <w:jc w:val="center"/>
    </w:pPr>
    <w:rPr>
      <w:rFonts w:ascii="Cambria" w:hAnsi="Cambria" w:eastAsia="Calibri"/>
      <w:bCs/>
      <w:sz w:val="24"/>
      <w:szCs w:val="24"/>
    </w:rPr>
  </w:style>
  <w:style w:type="character" w:customStyle="1" w:styleId="389">
    <w:name w:val="表名 Char"/>
    <w:link w:val="388"/>
    <w:qFormat/>
    <w:uiPriority w:val="0"/>
    <w:rPr>
      <w:rFonts w:ascii="Cambria" w:hAnsi="Cambria" w:eastAsia="Calibri"/>
      <w:bCs/>
      <w:kern w:val="2"/>
      <w:sz w:val="24"/>
      <w:szCs w:val="24"/>
    </w:rPr>
  </w:style>
  <w:style w:type="paragraph" w:customStyle="1" w:styleId="390">
    <w:name w:val="表格标题"/>
    <w:basedOn w:val="1"/>
    <w:link w:val="391"/>
    <w:qFormat/>
    <w:uiPriority w:val="0"/>
    <w:pPr>
      <w:spacing w:line="360" w:lineRule="auto"/>
      <w:ind w:firstLine="454"/>
      <w:jc w:val="center"/>
    </w:pPr>
    <w:rPr>
      <w:rFonts w:ascii="Calibri" w:hAnsi="Cambria" w:eastAsia="Calibri"/>
      <w:spacing w:val="5"/>
      <w:sz w:val="24"/>
    </w:rPr>
  </w:style>
  <w:style w:type="character" w:customStyle="1" w:styleId="391">
    <w:name w:val="表格标题 Char"/>
    <w:link w:val="390"/>
    <w:qFormat/>
    <w:uiPriority w:val="0"/>
    <w:rPr>
      <w:rFonts w:ascii="Calibri" w:hAnsi="Cambria" w:eastAsia="Calibri"/>
      <w:spacing w:val="5"/>
      <w:kern w:val="2"/>
      <w:sz w:val="24"/>
    </w:rPr>
  </w:style>
  <w:style w:type="paragraph" w:customStyle="1" w:styleId="392">
    <w:name w:val="报告正文"/>
    <w:basedOn w:val="54"/>
    <w:link w:val="393"/>
    <w:qFormat/>
    <w:uiPriority w:val="0"/>
    <w:pPr>
      <w:widowControl w:val="0"/>
      <w:spacing w:line="360" w:lineRule="auto"/>
      <w:jc w:val="both"/>
    </w:pPr>
    <w:rPr>
      <w:rFonts w:ascii="Cambria" w:hAnsi="Cambria"/>
      <w:spacing w:val="4"/>
      <w:sz w:val="24"/>
      <w:szCs w:val="20"/>
    </w:rPr>
  </w:style>
  <w:style w:type="character" w:customStyle="1" w:styleId="393">
    <w:name w:val="报告正文 Char"/>
    <w:link w:val="392"/>
    <w:qFormat/>
    <w:uiPriority w:val="0"/>
    <w:rPr>
      <w:rFonts w:ascii="Cambria" w:hAnsi="Cambria"/>
      <w:spacing w:val="4"/>
      <w:kern w:val="2"/>
      <w:sz w:val="24"/>
    </w:rPr>
  </w:style>
  <w:style w:type="paragraph" w:customStyle="1" w:styleId="394">
    <w:name w:val="无间隔1"/>
    <w:qFormat/>
    <w:uiPriority w:val="0"/>
    <w:pPr>
      <w:widowControl w:val="0"/>
      <w:snapToGrid w:val="0"/>
      <w:jc w:val="both"/>
    </w:pPr>
    <w:rPr>
      <w:rFonts w:ascii="MSung Light SC" w:hAnsi="MSung Light SC" w:eastAsia="宋体" w:cs="Cambria"/>
      <w:color w:val="000000"/>
      <w:kern w:val="2"/>
      <w:sz w:val="21"/>
      <w:szCs w:val="21"/>
      <w:lang w:val="en-US" w:eastAsia="zh-CN" w:bidi="ar-SA"/>
    </w:rPr>
  </w:style>
  <w:style w:type="paragraph" w:customStyle="1" w:styleId="395">
    <w:name w:val="p2"/>
    <w:basedOn w:val="1"/>
    <w:qFormat/>
    <w:uiPriority w:val="0"/>
    <w:pPr>
      <w:widowControl/>
      <w:spacing w:line="480" w:lineRule="auto"/>
      <w:ind w:firstLine="420"/>
      <w:jc w:val="left"/>
    </w:pPr>
    <w:rPr>
      <w:rFonts w:ascii="宋体" w:hAnsi="宋体" w:cs="宋体"/>
      <w:kern w:val="0"/>
      <w:szCs w:val="21"/>
    </w:rPr>
  </w:style>
  <w:style w:type="character" w:customStyle="1" w:styleId="396">
    <w:name w:val="ca-11"/>
    <w:qFormat/>
    <w:uiPriority w:val="0"/>
    <w:rPr>
      <w:rFonts w:hint="default" w:ascii="Times New Roman" w:hAnsi="Times New Roman" w:cs="Times New Roman"/>
      <w:sz w:val="28"/>
      <w:szCs w:val="28"/>
    </w:rPr>
  </w:style>
  <w:style w:type="character" w:customStyle="1" w:styleId="397">
    <w:name w:val="已访问的超链接2"/>
    <w:qFormat/>
    <w:uiPriority w:val="0"/>
    <w:rPr>
      <w:rFonts w:ascii="Arial" w:hAnsi="Arial" w:eastAsia="黑体"/>
      <w:color w:val="800080"/>
      <w:kern w:val="2"/>
      <w:sz w:val="21"/>
      <w:szCs w:val="21"/>
      <w:u w:val="single"/>
      <w:lang w:val="en-US" w:eastAsia="zh-CN" w:bidi="ar-SA"/>
    </w:rPr>
  </w:style>
  <w:style w:type="paragraph" w:customStyle="1" w:styleId="398">
    <w:name w:val="日期1"/>
    <w:basedOn w:val="243"/>
    <w:next w:val="243"/>
    <w:link w:val="399"/>
    <w:qFormat/>
    <w:uiPriority w:val="0"/>
    <w:pPr>
      <w:widowControl w:val="0"/>
      <w:ind w:left="100" w:leftChars="2500"/>
    </w:pPr>
    <w:rPr>
      <w:szCs w:val="24"/>
      <w:lang w:val="zh-CN"/>
    </w:rPr>
  </w:style>
  <w:style w:type="character" w:customStyle="1" w:styleId="399">
    <w:name w:val="日期 Char_0"/>
    <w:link w:val="398"/>
    <w:qFormat/>
    <w:uiPriority w:val="0"/>
    <w:rPr>
      <w:kern w:val="2"/>
      <w:sz w:val="21"/>
      <w:szCs w:val="24"/>
      <w:lang w:val="zh-CN"/>
    </w:rPr>
  </w:style>
  <w:style w:type="paragraph" w:customStyle="1" w:styleId="400">
    <w:name w:val="cjk"/>
    <w:basedOn w:val="1"/>
    <w:qFormat/>
    <w:uiPriority w:val="0"/>
    <w:pPr>
      <w:widowControl/>
      <w:spacing w:before="100" w:beforeAutospacing="1" w:after="142"/>
    </w:pPr>
    <w:rPr>
      <w:rFonts w:ascii="宋体" w:hAnsi="宋体" w:cs="宋体"/>
      <w:color w:val="000000"/>
      <w:kern w:val="0"/>
      <w:sz w:val="20"/>
    </w:rPr>
  </w:style>
  <w:style w:type="paragraph" w:customStyle="1" w:styleId="401">
    <w:name w:val="paragraph"/>
    <w:basedOn w:val="1"/>
    <w:semiHidden/>
    <w:qFormat/>
    <w:uiPriority w:val="0"/>
    <w:pPr>
      <w:widowControl/>
      <w:spacing w:before="100" w:beforeAutospacing="1" w:after="100" w:afterAutospacing="1"/>
      <w:jc w:val="left"/>
    </w:pPr>
    <w:rPr>
      <w:rFonts w:ascii="等线" w:hAnsi="宋体" w:eastAsia="等线"/>
      <w:kern w:val="0"/>
      <w:sz w:val="24"/>
      <w:szCs w:val="24"/>
    </w:rPr>
  </w:style>
  <w:style w:type="paragraph" w:customStyle="1" w:styleId="402">
    <w:name w:val="CM99"/>
    <w:basedOn w:val="324"/>
    <w:next w:val="324"/>
    <w:qFormat/>
    <w:uiPriority w:val="0"/>
    <w:pPr>
      <w:spacing w:after="443"/>
    </w:pPr>
    <w:rPr>
      <w:rFonts w:ascii="宋体"/>
      <w:color w:val="auto"/>
    </w:rPr>
  </w:style>
  <w:style w:type="paragraph" w:customStyle="1" w:styleId="403">
    <w:name w:val="标准中文版式_正文"/>
    <w:basedOn w:val="1"/>
    <w:qFormat/>
    <w:uiPriority w:val="0"/>
    <w:pPr>
      <w:spacing w:before="30" w:line="360" w:lineRule="auto"/>
      <w:ind w:firstLine="200" w:firstLineChars="200"/>
    </w:pPr>
    <w:rPr>
      <w:rFonts w:ascii="Arial" w:hAnsi="Arial"/>
      <w:sz w:val="24"/>
      <w:szCs w:val="24"/>
    </w:rPr>
  </w:style>
  <w:style w:type="paragraph" w:customStyle="1" w:styleId="404">
    <w:name w:val="修订2"/>
    <w:hidden/>
    <w:unhideWhenUsed/>
    <w:qFormat/>
    <w:uiPriority w:val="99"/>
    <w:rPr>
      <w:rFonts w:ascii="Times New Roman" w:hAnsi="Times New Roman" w:eastAsia="宋体" w:cs="Times New Roman"/>
      <w:kern w:val="2"/>
      <w:sz w:val="21"/>
      <w:lang w:val="en-US" w:eastAsia="zh-CN" w:bidi="ar-SA"/>
    </w:rPr>
  </w:style>
  <w:style w:type="paragraph" w:customStyle="1" w:styleId="405">
    <w:name w:val="Body text|1"/>
    <w:basedOn w:val="1"/>
    <w:qFormat/>
    <w:uiPriority w:val="0"/>
    <w:pPr>
      <w:spacing w:line="434" w:lineRule="auto"/>
      <w:jc w:val="left"/>
    </w:pPr>
    <w:rPr>
      <w:rFonts w:ascii="宋体" w:hAnsi="宋体" w:cs="宋体"/>
      <w:color w:val="000000"/>
      <w:kern w:val="0"/>
      <w:sz w:val="28"/>
      <w:szCs w:val="28"/>
      <w:lang w:val="zh-TW" w:eastAsia="zh-TW" w:bidi="zh-TW"/>
    </w:rPr>
  </w:style>
  <w:style w:type="paragraph" w:customStyle="1" w:styleId="406">
    <w:name w:val="修订3"/>
    <w:hidden/>
    <w:unhideWhenUsed/>
    <w:qFormat/>
    <w:uiPriority w:val="99"/>
    <w:rPr>
      <w:rFonts w:ascii="Times New Roman" w:hAnsi="Times New Roman" w:eastAsia="宋体" w:cs="Times New Roman"/>
      <w:kern w:val="2"/>
      <w:sz w:val="21"/>
      <w:lang w:val="en-US" w:eastAsia="zh-CN" w:bidi="ar-SA"/>
    </w:rPr>
  </w:style>
  <w:style w:type="paragraph" w:customStyle="1" w:styleId="407">
    <w:name w:val="正文_0_0"/>
    <w:qFormat/>
    <w:uiPriority w:val="0"/>
    <w:pPr>
      <w:widowControl w:val="0"/>
      <w:autoSpaceDE w:val="0"/>
      <w:autoSpaceDN w:val="0"/>
    </w:pPr>
    <w:rPr>
      <w:rFonts w:ascii="宋体" w:hAnsi="宋体" w:eastAsia="宋体" w:cs="宋体"/>
      <w:sz w:val="22"/>
      <w:szCs w:val="22"/>
      <w:lang w:val="en-US" w:eastAsia="en-US" w:bidi="ar-SA"/>
    </w:rPr>
  </w:style>
  <w:style w:type="paragraph" w:customStyle="1" w:styleId="408">
    <w:name w:val="Table Paragraph_0"/>
    <w:basedOn w:val="407"/>
    <w:qFormat/>
    <w:uiPriority w:val="0"/>
  </w:style>
  <w:style w:type="paragraph" w:customStyle="1" w:styleId="409">
    <w:name w:val="Table Text"/>
    <w:basedOn w:val="1"/>
    <w:semiHidden/>
    <w:qFormat/>
    <w:uiPriority w:val="0"/>
    <w:rPr>
      <w:rFonts w:ascii="黑体" w:hAnsi="黑体" w:eastAsia="黑体" w:cs="黑体"/>
      <w:sz w:val="37"/>
      <w:szCs w:val="37"/>
      <w:lang w:val="en-US" w:eastAsia="en-US" w:bidi="ar-SA"/>
    </w:rPr>
  </w:style>
  <w:style w:type="paragraph" w:customStyle="1" w:styleId="410">
    <w:name w:val="Heading 2_0"/>
    <w:basedOn w:val="146"/>
    <w:next w:val="146"/>
    <w:qFormat/>
    <w:uiPriority w:val="0"/>
    <w:pPr>
      <w:keepNext/>
      <w:jc w:val="center"/>
      <w:outlineLvl w:val="1"/>
    </w:pPr>
    <w:rPr>
      <w:rFonts w:cs="Times New Roman"/>
      <w:b/>
      <w:sz w:val="36"/>
      <w:szCs w:val="20"/>
      <w:lang w:val="zh-CN"/>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2.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B92AF19-CF88-43EF-B3F3-700614FC15EE}">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78</Pages>
  <Words>22819</Words>
  <Characters>25053</Characters>
  <Lines>1439</Lines>
  <Paragraphs>1712</Paragraphs>
  <TotalTime>22</TotalTime>
  <ScaleCrop>false</ScaleCrop>
  <LinksUpToDate>false</LinksUpToDate>
  <CharactersWithSpaces>26196</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2024-07-08T00:50:00Z</dcterms:created>
  <dc:creator>云南铭漾</dc:creator>
  <cp:lastModifiedBy>zzp</cp:lastModifiedBy>
  <cp:lastPrinted>2024-04-17T06:28:00Z</cp:lastPrinted>
  <dcterms:modified xsi:type="dcterms:W3CDTF">2025-07-30T06:55:59Z</dcterms:modified>
  <dc:title>昆明市五华区自然资源局</dc:title>
  <cp:revision>68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CB2BBB6F53A941559AC90F6C1DA77916_13</vt:lpwstr>
  </property>
  <property fmtid="{D5CDD505-2E9C-101B-9397-08002B2CF9AE}" pid="4" name="KSOTemplateDocerSaveRecord">
    <vt:lpwstr>eyJoZGlkIjoiOWE0MmNlOTI3NTJlNDdlOTc5MmQyZjI3ZWFmNDI3ZDMiLCJ1c2VySWQiOiI0NDUwNTYxNTAifQ==</vt:lpwstr>
  </property>
</Properties>
</file>