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5A0CE">
      <w:pPr>
        <w:pStyle w:val="4"/>
        <w:jc w:val="left"/>
        <w:outlineLvl w:val="2"/>
      </w:pPr>
      <w:r>
        <w:rPr>
          <w:rFonts w:ascii="仿宋_GB2312" w:hAnsi="仿宋_GB2312" w:eastAsia="仿宋_GB2312" w:cs="仿宋_GB2312"/>
          <w:b/>
          <w:sz w:val="28"/>
        </w:rPr>
        <w:t>3.2.技术要求</w:t>
      </w:r>
    </w:p>
    <w:p w14:paraId="57F28F23">
      <w:pPr>
        <w:pStyle w:val="4"/>
        <w:jc w:val="left"/>
      </w:pPr>
      <w:r>
        <w:rPr>
          <w:rFonts w:ascii="仿宋_GB2312" w:hAnsi="仿宋_GB2312" w:eastAsia="仿宋_GB2312" w:cs="仿宋_GB2312"/>
        </w:rPr>
        <w:t>采购包1：</w:t>
      </w:r>
    </w:p>
    <w:p w14:paraId="660DA664">
      <w:pPr>
        <w:pStyle w:val="4"/>
        <w:jc w:val="left"/>
      </w:pPr>
      <w:r>
        <w:rPr>
          <w:rFonts w:ascii="仿宋_GB2312" w:hAnsi="仿宋_GB2312" w:eastAsia="仿宋_GB2312" w:cs="仿宋_GB2312"/>
        </w:rPr>
        <w:t>标的名称：物业管理校园安防服务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0F69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4307DC">
            <w:pPr>
              <w:pStyle w:val="4"/>
              <w:jc w:val="center"/>
            </w:pPr>
            <w:r>
              <w:rPr>
                <w:rFonts w:ascii="仿宋_GB2312" w:hAnsi="仿宋_GB2312" w:eastAsia="仿宋_GB2312" w:cs="仿宋_GB2312"/>
              </w:rPr>
              <w:t>序号</w:t>
            </w:r>
          </w:p>
        </w:tc>
        <w:tc>
          <w:tcPr>
            <w:tcW w:w="581" w:type="dxa"/>
          </w:tcPr>
          <w:p w14:paraId="244373E8">
            <w:pPr>
              <w:pStyle w:val="4"/>
              <w:jc w:val="center"/>
            </w:pPr>
            <w:r>
              <w:rPr>
                <w:rFonts w:ascii="仿宋_GB2312" w:hAnsi="仿宋_GB2312" w:eastAsia="仿宋_GB2312" w:cs="仿宋_GB2312"/>
              </w:rPr>
              <w:t>符号标识</w:t>
            </w:r>
          </w:p>
        </w:tc>
        <w:tc>
          <w:tcPr>
            <w:tcW w:w="1495" w:type="dxa"/>
          </w:tcPr>
          <w:p w14:paraId="10491413">
            <w:pPr>
              <w:pStyle w:val="4"/>
              <w:jc w:val="center"/>
            </w:pPr>
            <w:r>
              <w:rPr>
                <w:rFonts w:ascii="仿宋_GB2312" w:hAnsi="仿宋_GB2312" w:eastAsia="仿宋_GB2312" w:cs="仿宋_GB2312"/>
              </w:rPr>
              <w:t>技术要求名称</w:t>
            </w:r>
          </w:p>
        </w:tc>
        <w:tc>
          <w:tcPr>
            <w:tcW w:w="5814" w:type="dxa"/>
          </w:tcPr>
          <w:p w14:paraId="16342555">
            <w:pPr>
              <w:pStyle w:val="4"/>
              <w:jc w:val="center"/>
            </w:pPr>
            <w:r>
              <w:rPr>
                <w:rFonts w:ascii="仿宋_GB2312" w:hAnsi="仿宋_GB2312" w:eastAsia="仿宋_GB2312" w:cs="仿宋_GB2312"/>
              </w:rPr>
              <w:t>技术参数与性能指标</w:t>
            </w:r>
          </w:p>
        </w:tc>
      </w:tr>
      <w:tr w14:paraId="38EAA8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89B6D6">
            <w:pPr>
              <w:pStyle w:val="4"/>
              <w:jc w:val="center"/>
            </w:pPr>
            <w:r>
              <w:rPr>
                <w:rFonts w:ascii="仿宋_GB2312" w:hAnsi="仿宋_GB2312" w:eastAsia="仿宋_GB2312" w:cs="仿宋_GB2312"/>
              </w:rPr>
              <w:t>1</w:t>
            </w:r>
          </w:p>
        </w:tc>
        <w:tc>
          <w:tcPr>
            <w:tcW w:w="581" w:type="dxa"/>
          </w:tcPr>
          <w:p w14:paraId="6AB5E119">
            <w:pPr>
              <w:pStyle w:val="4"/>
              <w:jc w:val="center"/>
            </w:pPr>
            <w:r>
              <w:rPr>
                <w:rFonts w:ascii="仿宋_GB2312" w:hAnsi="仿宋_GB2312" w:eastAsia="仿宋_GB2312" w:cs="仿宋_GB2312"/>
              </w:rPr>
              <w:t>★</w:t>
            </w:r>
          </w:p>
        </w:tc>
        <w:tc>
          <w:tcPr>
            <w:tcW w:w="1495" w:type="dxa"/>
          </w:tcPr>
          <w:p w14:paraId="04D987EA"/>
        </w:tc>
        <w:tc>
          <w:tcPr>
            <w:tcW w:w="5814" w:type="dxa"/>
          </w:tcPr>
          <w:p w14:paraId="7A25A580">
            <w:pPr>
              <w:pStyle w:val="4"/>
              <w:ind w:firstLine="562"/>
              <w:jc w:val="left"/>
            </w:pPr>
            <w:r>
              <w:rPr>
                <w:rFonts w:ascii="仿宋_GB2312" w:hAnsi="仿宋_GB2312" w:eastAsia="仿宋_GB2312" w:cs="仿宋_GB2312"/>
                <w:b/>
                <w:color w:val="000000"/>
                <w:sz w:val="28"/>
              </w:rPr>
              <w:t>（一）学校基本情况</w:t>
            </w:r>
          </w:p>
          <w:p w14:paraId="651A1D02">
            <w:pPr>
              <w:pStyle w:val="4"/>
              <w:ind w:firstLine="544"/>
              <w:jc w:val="left"/>
            </w:pPr>
            <w:r>
              <w:rPr>
                <w:rFonts w:ascii="仿宋_GB2312" w:hAnsi="仿宋_GB2312" w:eastAsia="仿宋_GB2312" w:cs="仿宋_GB2312"/>
                <w:color w:val="000000"/>
                <w:sz w:val="28"/>
              </w:rPr>
              <w:t>成都市双流区东升迎春小学位于成都市双流区商学街1号，占地面积约24.5亩，建筑面积约14001平方米，现有教学楼2栋，办公楼1栋，多功能厅1栋，操场1个，排球球场1个，篮球球场1个，卫生间10个，食堂1个，两个校门，供应商将为成都市双流区东升迎春小学所辖区域提供安防服务。</w:t>
            </w:r>
          </w:p>
          <w:p w14:paraId="6500F562">
            <w:pPr>
              <w:pStyle w:val="4"/>
              <w:ind w:firstLine="562"/>
              <w:jc w:val="left"/>
            </w:pPr>
            <w:r>
              <w:rPr>
                <w:rFonts w:ascii="仿宋_GB2312" w:hAnsi="仿宋_GB2312" w:eastAsia="仿宋_GB2312" w:cs="仿宋_GB2312"/>
                <w:b/>
                <w:sz w:val="28"/>
              </w:rPr>
              <w:t>（二）安保服务内容及要求</w:t>
            </w:r>
          </w:p>
          <w:p w14:paraId="2D6C4EAC">
            <w:pPr>
              <w:pStyle w:val="4"/>
              <w:ind w:firstLine="560"/>
              <w:jc w:val="left"/>
            </w:pPr>
            <w:r>
              <w:rPr>
                <w:rFonts w:ascii="仿宋_GB2312" w:hAnsi="仿宋_GB2312" w:eastAsia="仿宋_GB2312" w:cs="仿宋_GB2312"/>
                <w:sz w:val="28"/>
              </w:rPr>
              <w:t>1.服务本项目的供应商所有人员应统一着装，佩戴标志，行为规范，服务主动、热情，语言文明。</w:t>
            </w:r>
          </w:p>
          <w:p w14:paraId="6ECC9F65">
            <w:pPr>
              <w:pStyle w:val="4"/>
              <w:ind w:firstLine="560"/>
              <w:jc w:val="left"/>
            </w:pPr>
            <w:r>
              <w:rPr>
                <w:rFonts w:ascii="仿宋_GB2312" w:hAnsi="仿宋_GB2312" w:eastAsia="仿宋_GB2312" w:cs="仿宋_GB2312"/>
                <w:sz w:val="28"/>
              </w:rPr>
              <w:t>2.做好校园内及学校大门口附近的治安秩序、突发事件处置等工作，维护校园良好秩序、保持环境整洁，提供优质服务，执行严格的岗位纪律和岗位责任制，以确保学校的安全、有序。</w:t>
            </w:r>
          </w:p>
          <w:p w14:paraId="52B19C5A">
            <w:pPr>
              <w:pStyle w:val="4"/>
              <w:ind w:firstLine="560"/>
              <w:jc w:val="left"/>
            </w:pPr>
            <w:r>
              <w:rPr>
                <w:rFonts w:ascii="仿宋_GB2312" w:hAnsi="仿宋_GB2312" w:eastAsia="仿宋_GB2312" w:cs="仿宋_GB2312"/>
                <w:sz w:val="28"/>
              </w:rPr>
              <w:t>3.公示24小时值班电话，紧急情况白天3分钟内、晚上10分钟内到达现场，夜间设有紧急服务电话。</w:t>
            </w:r>
          </w:p>
          <w:p w14:paraId="25A197E3">
            <w:pPr>
              <w:pStyle w:val="4"/>
              <w:ind w:firstLine="560"/>
              <w:jc w:val="left"/>
            </w:pPr>
            <w:r>
              <w:rPr>
                <w:rFonts w:ascii="仿宋_GB2312" w:hAnsi="仿宋_GB2312" w:eastAsia="仿宋_GB2312" w:cs="仿宋_GB2312"/>
                <w:sz w:val="28"/>
              </w:rPr>
              <w:t>4.供应商为本项目安保人员配备统一的保安制服（春秋季2套/人/年，夏季2套/人/年，冬季2套/人/年），费用由供应商承担。</w:t>
            </w:r>
          </w:p>
          <w:p w14:paraId="74E36879">
            <w:pPr>
              <w:pStyle w:val="4"/>
              <w:ind w:firstLine="560"/>
              <w:jc w:val="left"/>
            </w:pPr>
            <w:r>
              <w:rPr>
                <w:rFonts w:ascii="仿宋_GB2312" w:hAnsi="仿宋_GB2312" w:eastAsia="仿宋_GB2312" w:cs="仿宋_GB2312"/>
                <w:sz w:val="28"/>
              </w:rPr>
              <w:t>5.采购人为本项目配备秩序维护必要的安防器械，安保人员上岗需穿戴好装备。装备包含但不限于：防暴头盔（1顶/人）、对讲机（1个/人）、防护盾牌（1副/人）、防刺背心（1套/人）、防割手套（1副/人）、橡胶警棍（1支/人）、强光电筒（1支/人）、自卫喷雾剂（1支/人）、手持式金属探测仪（1支/人）、安全钢叉（1支/人）。</w:t>
            </w:r>
          </w:p>
          <w:p w14:paraId="218D3B78">
            <w:pPr>
              <w:pStyle w:val="4"/>
              <w:ind w:firstLine="560"/>
              <w:jc w:val="left"/>
            </w:pPr>
            <w:r>
              <w:rPr>
                <w:rFonts w:ascii="仿宋_GB2312" w:hAnsi="仿宋_GB2312" w:eastAsia="仿宋_GB2312" w:cs="仿宋_GB2312"/>
                <w:sz w:val="28"/>
              </w:rPr>
              <w:t>6.按照DB51/T 2769-2021《四川省学校物业服务和管理规范》执行，DB51/T 2769-2021《四川省学校物业服务和管理规范》（如标准有更新的，按新标准执行）未明确或标准较低，按以下标准执行：</w:t>
            </w:r>
          </w:p>
          <w:p w14:paraId="5A0D11CC">
            <w:pPr>
              <w:pStyle w:val="4"/>
              <w:ind w:firstLine="560"/>
              <w:jc w:val="left"/>
            </w:pPr>
            <w:r>
              <w:rPr>
                <w:rFonts w:ascii="仿宋_GB2312" w:hAnsi="仿宋_GB2312" w:eastAsia="仿宋_GB2312" w:cs="仿宋_GB2312"/>
                <w:sz w:val="28"/>
              </w:rPr>
              <w:t>（1）常规防范：采取站岗执勤与巡逻执勤相结合的方式，维护学校公共安全和良好治安秩序，防止和制止任何危及或影响校方安全的行为。</w:t>
            </w:r>
          </w:p>
          <w:p w14:paraId="03BD7451">
            <w:pPr>
              <w:pStyle w:val="4"/>
              <w:ind w:firstLine="560"/>
              <w:jc w:val="left"/>
            </w:pPr>
            <w:r>
              <w:rPr>
                <w:rFonts w:ascii="仿宋_GB2312" w:hAnsi="仿宋_GB2312" w:eastAsia="仿宋_GB2312" w:cs="仿宋_GB2312"/>
                <w:sz w:val="28"/>
              </w:rPr>
              <w:t>（2）门卫值守：负责全天24小时校园门岗值守，不得擅自离岗。含出入口的秩序管理；人员进出管理，对来访人员询问、登记、引导；车辆出入管理，对车辆进行登记，并引导校内车辆的规范停放，防止盗失、刮伤等事件发生，一旦出现纠纷应立即采取有效措施并积极配合相关人员进行处理，防止事态矛盾激化；严禁携带危险物品进入园内；为校方提供便利性服务。夜间巡查每2小时一次，巡查时必须随身携带警用器具及照明灯具。</w:t>
            </w:r>
          </w:p>
          <w:p w14:paraId="4AB582FA">
            <w:pPr>
              <w:pStyle w:val="4"/>
              <w:ind w:firstLine="560"/>
              <w:jc w:val="left"/>
            </w:pPr>
            <w:r>
              <w:rPr>
                <w:rFonts w:ascii="仿宋_GB2312" w:hAnsi="仿宋_GB2312" w:eastAsia="仿宋_GB2312" w:cs="仿宋_GB2312"/>
                <w:sz w:val="28"/>
              </w:rPr>
              <w:t>（3）巡逻：负责校园内安全巡逻、消防管理、校园财产防盗等工作。积极协助学校调查处理校园安全事件，确保全校师生人身安全和财产安全；全面执行学校的课间巡逻、消防巡查、学生管理等安全管理等制度，做好学校秩序维护等日常服务活动；做好防火、防盗、防爆、防破坏、预防自然灾害、处置突发事件和协助处理纠纷等工作；配合学校做好校园周边摊贩、临停车辆的劝离工作，维护校园安全稳定，及时发现和消除安全隐患。白天巡查校园及周边不得少于4次，分别为学生到校前、行课后、午休时及师生离校后，巡查期间要保证校门口有人员值守。</w:t>
            </w:r>
          </w:p>
          <w:p w14:paraId="53ED6B94">
            <w:pPr>
              <w:pStyle w:val="4"/>
              <w:ind w:firstLine="560"/>
              <w:jc w:val="left"/>
            </w:pPr>
            <w:r>
              <w:rPr>
                <w:rFonts w:ascii="仿宋_GB2312" w:hAnsi="仿宋_GB2312" w:eastAsia="仿宋_GB2312" w:cs="仿宋_GB2312"/>
                <w:sz w:val="28"/>
              </w:rPr>
              <w:t>（4）技术防范：应用电子监控系统，对学校的治安情况实施24小时监控，以确保安全。监控的录入资料应至少保持90天（特殊情况除外）。</w:t>
            </w:r>
          </w:p>
          <w:p w14:paraId="328C439C">
            <w:pPr>
              <w:pStyle w:val="4"/>
              <w:ind w:firstLine="560"/>
              <w:jc w:val="left"/>
            </w:pPr>
            <w:r>
              <w:rPr>
                <w:rFonts w:ascii="仿宋_GB2312" w:hAnsi="仿宋_GB2312" w:eastAsia="仿宋_GB2312" w:cs="仿宋_GB2312"/>
                <w:sz w:val="28"/>
              </w:rPr>
              <w:t>①对可疑或不安全迹象采取跟踪监视和定点录像措施，并及时通知值班安保人员，进行现场处理。</w:t>
            </w:r>
          </w:p>
          <w:p w14:paraId="57046014">
            <w:pPr>
              <w:pStyle w:val="4"/>
              <w:ind w:firstLine="560"/>
              <w:jc w:val="left"/>
            </w:pPr>
            <w:r>
              <w:rPr>
                <w:rFonts w:ascii="仿宋_GB2312" w:hAnsi="仿宋_GB2312" w:eastAsia="仿宋_GB2312" w:cs="仿宋_GB2312"/>
                <w:sz w:val="28"/>
              </w:rPr>
              <w:t>②安保人员接到治安报警，应迅速赶到现场酌情处理，并把情况反馈到校方，并对报警处理情况做详细记录，留档备查。</w:t>
            </w:r>
          </w:p>
          <w:p w14:paraId="1DC6CCE6">
            <w:pPr>
              <w:pStyle w:val="4"/>
              <w:ind w:firstLine="560"/>
              <w:jc w:val="left"/>
            </w:pPr>
            <w:r>
              <w:rPr>
                <w:rFonts w:ascii="仿宋_GB2312" w:hAnsi="仿宋_GB2312" w:eastAsia="仿宋_GB2312" w:cs="仿宋_GB2312"/>
                <w:sz w:val="28"/>
              </w:rPr>
              <w:t>（5）切实做好巡逻防盗工作，维护学校、教职工、学生的公私财物、设备设施安全，防范人员纠纷、财物被盗、损坏事件发生。</w:t>
            </w:r>
          </w:p>
          <w:p w14:paraId="221313F6">
            <w:pPr>
              <w:pStyle w:val="4"/>
              <w:ind w:firstLine="560"/>
              <w:jc w:val="left"/>
            </w:pPr>
            <w:r>
              <w:rPr>
                <w:rFonts w:ascii="仿宋_GB2312" w:hAnsi="仿宋_GB2312" w:eastAsia="仿宋_GB2312" w:cs="仿宋_GB2312"/>
                <w:sz w:val="28"/>
              </w:rPr>
              <w:t>（6）所有安保人员应服从采购人和供应商的双重管理。应认真履行岗位职责，遵守规章制度，服从学校根据工作需要做出的安排调配。采购人有权对安保人员的工作进行检查、督促、考核，对不称职的安保人员提出批评、教育及扣分处罚，屡教不改者，采购人有权要求其限期更换安保人员。</w:t>
            </w:r>
          </w:p>
          <w:p w14:paraId="2C37101D">
            <w:pPr>
              <w:pStyle w:val="4"/>
              <w:ind w:firstLine="560"/>
              <w:jc w:val="left"/>
            </w:pPr>
            <w:r>
              <w:rPr>
                <w:rFonts w:ascii="仿宋_GB2312" w:hAnsi="仿宋_GB2312" w:eastAsia="仿宋_GB2312" w:cs="仿宋_GB2312"/>
                <w:sz w:val="28"/>
              </w:rPr>
              <w:t>（7）突发事件的处理：遇突发紧急事件发生，必须积极作为，参与应急处置，防止事态恶化，并及时反馈校方，按应急预案处理，定期组织突发事件应急演练。</w:t>
            </w:r>
          </w:p>
          <w:p w14:paraId="58083F6D">
            <w:pPr>
              <w:pStyle w:val="4"/>
              <w:ind w:firstLine="560"/>
              <w:jc w:val="left"/>
            </w:pPr>
            <w:r>
              <w:rPr>
                <w:rFonts w:ascii="仿宋_GB2312" w:hAnsi="仿宋_GB2312" w:eastAsia="仿宋_GB2312" w:cs="仿宋_GB2312"/>
                <w:sz w:val="28"/>
              </w:rPr>
              <w:t>（8）因安保人员工作职责疏忽，发生重大安全责任事故及财产损失时，采购人有权追究供应商赔偿责任。</w:t>
            </w:r>
          </w:p>
          <w:p w14:paraId="71996070">
            <w:pPr>
              <w:pStyle w:val="4"/>
              <w:ind w:firstLine="560"/>
              <w:jc w:val="left"/>
            </w:pPr>
            <w:r>
              <w:rPr>
                <w:rFonts w:ascii="仿宋_GB2312" w:hAnsi="仿宋_GB2312" w:eastAsia="仿宋_GB2312" w:cs="仿宋_GB2312"/>
                <w:sz w:val="28"/>
              </w:rPr>
              <w:t>（9）完成学校安排的其它服务工作。</w:t>
            </w:r>
          </w:p>
          <w:p w14:paraId="720AE4E2">
            <w:pPr>
              <w:pStyle w:val="4"/>
              <w:ind w:firstLine="560"/>
              <w:jc w:val="left"/>
            </w:pPr>
            <w:r>
              <w:rPr>
                <w:rFonts w:ascii="仿宋_GB2312" w:hAnsi="仿宋_GB2312" w:eastAsia="仿宋_GB2312" w:cs="仿宋_GB2312"/>
                <w:sz w:val="28"/>
              </w:rPr>
              <w:t>（10）消防管理</w:t>
            </w:r>
          </w:p>
          <w:p w14:paraId="5F26C4FE">
            <w:pPr>
              <w:pStyle w:val="4"/>
              <w:ind w:firstLine="560"/>
              <w:jc w:val="left"/>
            </w:pPr>
            <w:r>
              <w:rPr>
                <w:rFonts w:ascii="仿宋_GB2312" w:hAnsi="仿宋_GB2312" w:eastAsia="仿宋_GB2312" w:cs="仿宋_GB2312"/>
                <w:sz w:val="28"/>
              </w:rPr>
              <w:t>①做好消防设施、器材的管理。</w:t>
            </w:r>
          </w:p>
          <w:p w14:paraId="16C699E9">
            <w:pPr>
              <w:pStyle w:val="4"/>
              <w:ind w:firstLine="560"/>
              <w:jc w:val="left"/>
            </w:pPr>
            <w:r>
              <w:rPr>
                <w:rFonts w:ascii="仿宋_GB2312" w:hAnsi="仿宋_GB2312" w:eastAsia="仿宋_GB2312" w:cs="仿宋_GB2312"/>
                <w:sz w:val="28"/>
              </w:rPr>
              <w:t>②保持消防通道的畅通。</w:t>
            </w:r>
          </w:p>
          <w:p w14:paraId="10A366E8">
            <w:pPr>
              <w:pStyle w:val="4"/>
              <w:ind w:firstLine="560"/>
              <w:jc w:val="left"/>
            </w:pPr>
            <w:r>
              <w:rPr>
                <w:rFonts w:ascii="仿宋_GB2312" w:hAnsi="仿宋_GB2312" w:eastAsia="仿宋_GB2312" w:cs="仿宋_GB2312"/>
                <w:sz w:val="28"/>
              </w:rPr>
              <w:t>③严禁违章燃放烟花爆竹。</w:t>
            </w:r>
          </w:p>
          <w:p w14:paraId="304F8DC0">
            <w:pPr>
              <w:pStyle w:val="4"/>
              <w:ind w:firstLine="560"/>
              <w:jc w:val="left"/>
            </w:pPr>
            <w:r>
              <w:rPr>
                <w:rFonts w:ascii="仿宋_GB2312" w:hAnsi="仿宋_GB2312" w:eastAsia="仿宋_GB2312" w:cs="仿宋_GB2312"/>
                <w:sz w:val="28"/>
              </w:rPr>
              <w:t>④严禁携带、储藏易燃易爆物品。</w:t>
            </w:r>
          </w:p>
          <w:p w14:paraId="1B544060">
            <w:pPr>
              <w:pStyle w:val="4"/>
              <w:ind w:firstLine="560"/>
              <w:jc w:val="left"/>
            </w:pPr>
            <w:r>
              <w:rPr>
                <w:rFonts w:ascii="仿宋_GB2312" w:hAnsi="仿宋_GB2312" w:eastAsia="仿宋_GB2312" w:cs="仿宋_GB2312"/>
                <w:sz w:val="28"/>
              </w:rPr>
              <w:t>⑤防止电器短路等引发火灾因素。</w:t>
            </w:r>
          </w:p>
          <w:p w14:paraId="624104DE">
            <w:pPr>
              <w:pStyle w:val="4"/>
              <w:ind w:firstLine="560"/>
              <w:jc w:val="left"/>
            </w:pPr>
            <w:r>
              <w:rPr>
                <w:rFonts w:ascii="仿宋_GB2312" w:hAnsi="仿宋_GB2312" w:eastAsia="仿宋_GB2312" w:cs="仿宋_GB2312"/>
                <w:sz w:val="28"/>
              </w:rPr>
              <w:t>⑥单位区域内禁止任何人为电瓶车充电。</w:t>
            </w:r>
          </w:p>
          <w:p w14:paraId="3002D59A">
            <w:pPr>
              <w:pStyle w:val="4"/>
              <w:ind w:firstLine="560"/>
              <w:jc w:val="left"/>
            </w:pPr>
            <w:r>
              <w:rPr>
                <w:rFonts w:ascii="仿宋_GB2312" w:hAnsi="仿宋_GB2312" w:eastAsia="仿宋_GB2312" w:cs="仿宋_GB2312"/>
                <w:sz w:val="28"/>
              </w:rPr>
              <w:t>（11）车辆停放</w:t>
            </w:r>
          </w:p>
          <w:p w14:paraId="16527D78">
            <w:pPr>
              <w:pStyle w:val="4"/>
              <w:ind w:firstLine="560"/>
              <w:jc w:val="left"/>
            </w:pPr>
            <w:r>
              <w:rPr>
                <w:rFonts w:ascii="仿宋_GB2312" w:hAnsi="仿宋_GB2312" w:eastAsia="仿宋_GB2312" w:cs="仿宋_GB2312"/>
                <w:sz w:val="28"/>
              </w:rPr>
              <w:t>①车辆行驶路线设置合理、规范，导向标志完整、清晰。</w:t>
            </w:r>
          </w:p>
          <w:p w14:paraId="361AD93B">
            <w:pPr>
              <w:pStyle w:val="4"/>
              <w:ind w:firstLine="560"/>
              <w:jc w:val="left"/>
            </w:pPr>
            <w:r>
              <w:rPr>
                <w:rFonts w:ascii="仿宋_GB2312" w:hAnsi="仿宋_GB2312" w:eastAsia="仿宋_GB2312" w:cs="仿宋_GB2312"/>
                <w:sz w:val="28"/>
              </w:rPr>
              <w:t>②合理规划车辆停放区域，张贴车辆引导标识，对车辆及停放区域实行规范管理。</w:t>
            </w:r>
          </w:p>
          <w:p w14:paraId="280CC218">
            <w:pPr>
              <w:pStyle w:val="4"/>
              <w:ind w:firstLine="560"/>
              <w:jc w:val="left"/>
            </w:pPr>
            <w:r>
              <w:rPr>
                <w:rFonts w:ascii="仿宋_GB2312" w:hAnsi="仿宋_GB2312" w:eastAsia="仿宋_GB2312" w:cs="仿宋_GB2312"/>
                <w:sz w:val="28"/>
              </w:rPr>
              <w:t>③严禁在教学楼的公用走道、楼梯间、安全出口处等公共区域停放车辆或充电。</w:t>
            </w:r>
          </w:p>
          <w:p w14:paraId="1C0BB80C">
            <w:pPr>
              <w:pStyle w:val="4"/>
              <w:ind w:firstLine="560"/>
              <w:jc w:val="left"/>
            </w:pPr>
            <w:r>
              <w:rPr>
                <w:rFonts w:ascii="仿宋_GB2312" w:hAnsi="仿宋_GB2312" w:eastAsia="仿宋_GB2312" w:cs="仿宋_GB2312"/>
                <w:sz w:val="28"/>
              </w:rPr>
              <w:t>④非机动车定点有序停放。</w:t>
            </w:r>
          </w:p>
          <w:p w14:paraId="443BA6F7">
            <w:pPr>
              <w:pStyle w:val="4"/>
              <w:ind w:firstLine="560"/>
              <w:jc w:val="left"/>
            </w:pPr>
            <w:r>
              <w:rPr>
                <w:rFonts w:ascii="仿宋_GB2312" w:hAnsi="仿宋_GB2312" w:eastAsia="仿宋_GB2312" w:cs="仿宋_GB2312"/>
                <w:sz w:val="28"/>
              </w:rPr>
              <w:t>⑤发现车辆异常及时通知车主，并做好登记。</w:t>
            </w:r>
          </w:p>
          <w:p w14:paraId="4456998E">
            <w:pPr>
              <w:pStyle w:val="4"/>
              <w:ind w:firstLine="560"/>
              <w:jc w:val="left"/>
            </w:pPr>
            <w:r>
              <w:rPr>
                <w:rFonts w:ascii="仿宋_GB2312" w:hAnsi="仿宋_GB2312" w:eastAsia="仿宋_GB2312" w:cs="仿宋_GB2312"/>
                <w:sz w:val="28"/>
              </w:rPr>
              <w:t>（12）重大活动后勤保障</w:t>
            </w:r>
          </w:p>
          <w:p w14:paraId="3087F6A6">
            <w:pPr>
              <w:pStyle w:val="4"/>
              <w:ind w:firstLine="560"/>
              <w:jc w:val="left"/>
            </w:pPr>
            <w:r>
              <w:rPr>
                <w:rFonts w:ascii="仿宋_GB2312" w:hAnsi="仿宋_GB2312" w:eastAsia="仿宋_GB2312" w:cs="仿宋_GB2312"/>
                <w:sz w:val="28"/>
              </w:rPr>
              <w:t>①根据采购人重大活动安排，有完整的服务工作流程、细则及服务工作计划并严格执行，保障重大活动的顺利进行。</w:t>
            </w:r>
          </w:p>
          <w:p w14:paraId="4817372E">
            <w:pPr>
              <w:pStyle w:val="4"/>
              <w:ind w:firstLine="560"/>
              <w:jc w:val="left"/>
            </w:pPr>
            <w:r>
              <w:rPr>
                <w:rFonts w:ascii="仿宋_GB2312" w:hAnsi="仿宋_GB2312" w:eastAsia="仿宋_GB2312" w:cs="仿宋_GB2312"/>
                <w:sz w:val="28"/>
              </w:rPr>
              <w:t>②提供重大活动期间的安全警戒与秩序维护服务。</w:t>
            </w:r>
          </w:p>
          <w:p w14:paraId="194A5A9A">
            <w:pPr>
              <w:pStyle w:val="4"/>
              <w:ind w:firstLine="560"/>
              <w:jc w:val="left"/>
            </w:pPr>
            <w:r>
              <w:rPr>
                <w:rFonts w:ascii="仿宋_GB2312" w:hAnsi="仿宋_GB2312" w:eastAsia="仿宋_GB2312" w:cs="仿宋_GB2312"/>
                <w:sz w:val="28"/>
              </w:rPr>
              <w:t>③提供重大活动结束后清场服务（包括人员与必要物资）。</w:t>
            </w:r>
          </w:p>
          <w:p w14:paraId="00B2DA50">
            <w:pPr>
              <w:pStyle w:val="4"/>
              <w:ind w:firstLine="560"/>
              <w:jc w:val="left"/>
            </w:pPr>
            <w:r>
              <w:rPr>
                <w:rFonts w:ascii="仿宋_GB2312" w:hAnsi="仿宋_GB2312" w:eastAsia="仿宋_GB2312" w:cs="仿宋_GB2312"/>
                <w:sz w:val="28"/>
              </w:rPr>
              <w:t>（13）应急保障</w:t>
            </w:r>
          </w:p>
          <w:p w14:paraId="2A342B7D">
            <w:pPr>
              <w:pStyle w:val="4"/>
              <w:ind w:firstLine="560"/>
              <w:jc w:val="left"/>
            </w:pPr>
            <w:r>
              <w:rPr>
                <w:rFonts w:ascii="仿宋_GB2312" w:hAnsi="仿宋_GB2312" w:eastAsia="仿宋_GB2312" w:cs="仿宋_GB2312"/>
                <w:sz w:val="28"/>
              </w:rPr>
              <w:t>①落实并完善各类应急预案，并在门卫室等处张榜悬挂，及时处理突发事件，定期实行突发事件应急演练；</w:t>
            </w:r>
          </w:p>
          <w:p w14:paraId="5CC956FA">
            <w:pPr>
              <w:pStyle w:val="4"/>
              <w:ind w:firstLine="560"/>
              <w:jc w:val="left"/>
            </w:pPr>
            <w:r>
              <w:rPr>
                <w:rFonts w:ascii="仿宋_GB2312" w:hAnsi="仿宋_GB2312" w:eastAsia="仿宋_GB2312" w:cs="仿宋_GB2312"/>
                <w:sz w:val="28"/>
              </w:rPr>
              <w:t>②当发生台风、暴雨、雪灾等灾害性天气及其他突发事件时，应对设备机房、停车棚、广告牌、电线杆等露天设施进行巡查，发现问题及时通知采购人处理；</w:t>
            </w:r>
          </w:p>
          <w:p w14:paraId="2C5276EE">
            <w:pPr>
              <w:pStyle w:val="4"/>
              <w:ind w:firstLine="560"/>
              <w:jc w:val="left"/>
            </w:pPr>
            <w:r>
              <w:rPr>
                <w:rFonts w:ascii="仿宋_GB2312" w:hAnsi="仿宋_GB2312" w:eastAsia="仿宋_GB2312" w:cs="仿宋_GB2312"/>
                <w:sz w:val="28"/>
              </w:rPr>
              <w:t>③各岗位人员必须按规定实行岗位警戒，根据不同突发事件的现场情况进行应变处理。</w:t>
            </w:r>
          </w:p>
          <w:p w14:paraId="34EC6CBC">
            <w:pPr>
              <w:pStyle w:val="4"/>
              <w:ind w:firstLine="562"/>
              <w:jc w:val="left"/>
            </w:pPr>
            <w:r>
              <w:rPr>
                <w:rFonts w:ascii="仿宋_GB2312" w:hAnsi="仿宋_GB2312" w:eastAsia="仿宋_GB2312" w:cs="仿宋_GB2312"/>
                <w:b/>
                <w:sz w:val="28"/>
              </w:rPr>
              <w:t>（三）其他服务要求</w:t>
            </w:r>
          </w:p>
          <w:p w14:paraId="3432D7F4">
            <w:pPr>
              <w:pStyle w:val="4"/>
              <w:ind w:firstLine="560"/>
              <w:jc w:val="left"/>
            </w:pPr>
            <w:r>
              <w:rPr>
                <w:rFonts w:ascii="仿宋_GB2312" w:hAnsi="仿宋_GB2312" w:eastAsia="仿宋_GB2312" w:cs="仿宋_GB2312"/>
                <w:sz w:val="28"/>
              </w:rPr>
              <w:t>1.建立健全服务的各种档案，接受采购人的调阅和检查，合同期满后涉及学校的所有档案应完整无缺地移交给采购人。</w:t>
            </w:r>
          </w:p>
          <w:p w14:paraId="6E0D84AD">
            <w:pPr>
              <w:pStyle w:val="4"/>
              <w:ind w:firstLine="560"/>
              <w:jc w:val="left"/>
            </w:pPr>
            <w:r>
              <w:rPr>
                <w:rFonts w:ascii="仿宋_GB2312" w:hAnsi="仿宋_GB2312" w:eastAsia="仿宋_GB2312" w:cs="仿宋_GB2312"/>
                <w:sz w:val="28"/>
              </w:rPr>
              <w:t>2.采购人因紧急业务工作、重大活动保障或突发事件有临时需要时，供应商应主动积极配合，按要求提供服务。</w:t>
            </w:r>
          </w:p>
          <w:p w14:paraId="0C443056">
            <w:pPr>
              <w:pStyle w:val="4"/>
              <w:ind w:firstLine="560"/>
              <w:jc w:val="left"/>
            </w:pPr>
            <w:r>
              <w:rPr>
                <w:rFonts w:ascii="仿宋_GB2312" w:hAnsi="仿宋_GB2312" w:eastAsia="仿宋_GB2312" w:cs="仿宋_GB2312"/>
                <w:sz w:val="28"/>
              </w:rPr>
              <w:t>3.学校管理服务基本要求：供应商要有严格的规章制度，所有人员100%经过岗前培训合格方可上岗，有长效的培训和提高服务人员素质的长短期计划，有行之有效的训练考核机制，使服务人员的基本素质和协调解决问题的能力不断提高，杜绝无人管理、无人监督现象。</w:t>
            </w:r>
          </w:p>
          <w:p w14:paraId="4FF11B27">
            <w:pPr>
              <w:pStyle w:val="4"/>
              <w:ind w:firstLine="560"/>
              <w:jc w:val="left"/>
            </w:pPr>
            <w:r>
              <w:rPr>
                <w:rFonts w:ascii="仿宋_GB2312" w:hAnsi="仿宋_GB2312" w:eastAsia="仿宋_GB2312" w:cs="仿宋_GB2312"/>
                <w:sz w:val="28"/>
              </w:rPr>
              <w:t>4.在签订合同前向采购人提供服务人员清单，内容包括但不限于姓名、身份证复印件、有效的健康证复印件及证明材料。服务期内，服务人员不得随意更换，如出现不可抗力原因需更换的，必须更换同等资质的人员，并向采购人提交书面申请，且详细说明更换的原因、替代人员的简历等，经采购人同意后，方可更换。</w:t>
            </w:r>
          </w:p>
          <w:p w14:paraId="66464237">
            <w:pPr>
              <w:pStyle w:val="4"/>
              <w:ind w:firstLine="560"/>
              <w:jc w:val="left"/>
            </w:pPr>
            <w:r>
              <w:rPr>
                <w:rFonts w:ascii="仿宋_GB2312" w:hAnsi="仿宋_GB2312" w:eastAsia="仿宋_GB2312" w:cs="仿宋_GB2312"/>
                <w:sz w:val="28"/>
              </w:rPr>
              <w:t>5.供应商须对其派驻人员的疾病和人身安全等负责，采购人对此不承担任何的责任和义务。上岗人员办理的相关证件费用均由供应商自行负责承担，采购人不另行支付费用。</w:t>
            </w:r>
          </w:p>
          <w:p w14:paraId="23799978">
            <w:pPr>
              <w:pStyle w:val="4"/>
              <w:ind w:firstLine="560"/>
              <w:jc w:val="left"/>
            </w:pPr>
            <w:r>
              <w:rPr>
                <w:rFonts w:ascii="仿宋_GB2312" w:hAnsi="仿宋_GB2312" w:eastAsia="仿宋_GB2312" w:cs="仿宋_GB2312"/>
                <w:sz w:val="28"/>
              </w:rPr>
              <w:t>6.根据学校划定的工作范围、工作内容及管理目标，供应商应落实并完善相应工作流程、工作制度、监督考核办法，合理安排人员，科学管理，严格要求，达标运行。供应商须严格按照标准化的操作程序、完善的培训体系和质量控制体系完成本项目，以保证整个后勤系统安全、高效、有序和有计划地运转。供应商有责任配合学校接受上级领导部门的监督、检查，提供必须的资料。</w:t>
            </w:r>
          </w:p>
          <w:p w14:paraId="586D16D7">
            <w:pPr>
              <w:pStyle w:val="4"/>
              <w:ind w:firstLine="560"/>
              <w:jc w:val="left"/>
            </w:pPr>
            <w:r>
              <w:rPr>
                <w:rFonts w:ascii="仿宋_GB2312" w:hAnsi="仿宋_GB2312" w:eastAsia="仿宋_GB2312" w:cs="仿宋_GB2312"/>
                <w:sz w:val="28"/>
              </w:rPr>
              <w:t>7.供应商自行负责其派驻人员的工资、社会保险、服装、过节费、加班费、福利、食宿、交通、办公设备、设施设备、管理费、综合税费、培训费等一切完成本项目的相关费用。工作人员在岗位上因自己或他人原因，造成自己或他人发生意外事故，由供应商负责涉事人员的保险理赔等一切相关事宜，采购人不承担任何直接或间接责任。</w:t>
            </w:r>
          </w:p>
          <w:p w14:paraId="0136A09D">
            <w:pPr>
              <w:pStyle w:val="4"/>
              <w:ind w:firstLine="560"/>
              <w:jc w:val="left"/>
            </w:pPr>
            <w:r>
              <w:rPr>
                <w:rFonts w:ascii="仿宋_GB2312" w:hAnsi="仿宋_GB2312" w:eastAsia="仿宋_GB2312" w:cs="仿宋_GB2312"/>
                <w:sz w:val="28"/>
              </w:rPr>
              <w:t>8.供应商严格遵守劳动用工和社会保险管理的相关规定，与本项目服务人员签订合同，按月支付服务人员薪酬，在职期间为其购买劳动法规定的各项保险，其人员工资标准、劳保、福利等应执行国家和地方政府的相关法律法规和部门规章，依法购买保险，如因未购买保险而导致的一切后果由成交供应商承担全部责任。</w:t>
            </w:r>
          </w:p>
          <w:p w14:paraId="2FA3614A">
            <w:pPr>
              <w:pStyle w:val="4"/>
              <w:ind w:firstLine="560"/>
              <w:jc w:val="left"/>
            </w:pPr>
            <w:r>
              <w:rPr>
                <w:rFonts w:ascii="仿宋_GB2312" w:hAnsi="仿宋_GB2312" w:eastAsia="仿宋_GB2312" w:cs="仿宋_GB2312"/>
                <w:sz w:val="28"/>
              </w:rPr>
              <w:t>9.采购人可为供应商派遣的服务人员提供学校正常行课期间的工作餐，但须与学校教职工一样缴纳工作餐费用，餐标按照学校现行标准执行，费用由供应商承担（截至目前餐标：早餐2元/人，午餐10元/人，如有变化，最终以实际为准），非正常行课期间学校不提供工作餐，服务人员就餐由供应商自行解决。</w:t>
            </w:r>
          </w:p>
          <w:p w14:paraId="65B01F72">
            <w:pPr>
              <w:pStyle w:val="4"/>
              <w:ind w:firstLine="560"/>
              <w:jc w:val="left"/>
            </w:pPr>
            <w:r>
              <w:rPr>
                <w:rFonts w:ascii="仿宋_GB2312" w:hAnsi="仿宋_GB2312" w:eastAsia="仿宋_GB2312" w:cs="仿宋_GB2312"/>
                <w:sz w:val="28"/>
              </w:rPr>
              <w:t>10.采购人不提供住宿，住宿由供应商自理。</w:t>
            </w:r>
          </w:p>
          <w:p w14:paraId="2507D74B">
            <w:pPr>
              <w:pStyle w:val="4"/>
              <w:ind w:firstLine="562"/>
              <w:jc w:val="left"/>
            </w:pPr>
            <w:r>
              <w:rPr>
                <w:rFonts w:ascii="仿宋_GB2312" w:hAnsi="仿宋_GB2312" w:eastAsia="仿宋_GB2312" w:cs="仿宋_GB2312"/>
                <w:b/>
                <w:sz w:val="28"/>
              </w:rPr>
              <w:t>（四）岗位配置要求</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30"/>
              <w:gridCol w:w="1050"/>
              <w:gridCol w:w="3878"/>
            </w:tblGrid>
            <w:tr w14:paraId="290D0C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ED73B6">
                  <w:pPr>
                    <w:pStyle w:val="4"/>
                    <w:jc w:val="left"/>
                  </w:pPr>
                  <w:r>
                    <w:rPr>
                      <w:rFonts w:ascii="仿宋_GB2312" w:hAnsi="仿宋_GB2312" w:eastAsia="仿宋_GB2312" w:cs="仿宋_GB2312"/>
                      <w:sz w:val="28"/>
                    </w:rPr>
                    <w:t>岗位名称</w:t>
                  </w:r>
                </w:p>
              </w:tc>
              <w:tc>
                <w:tcPr>
                  <w:tcW w:w="6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49EB81">
                  <w:pPr>
                    <w:pStyle w:val="4"/>
                    <w:jc w:val="left"/>
                  </w:pPr>
                  <w:r>
                    <w:rPr>
                      <w:rFonts w:ascii="仿宋_GB2312" w:hAnsi="仿宋_GB2312" w:eastAsia="仿宋_GB2312" w:cs="仿宋_GB2312"/>
                      <w:sz w:val="28"/>
                    </w:rPr>
                    <w:t>岗位数（个）</w:t>
                  </w:r>
                </w:p>
              </w:tc>
              <w:tc>
                <w:tcPr>
                  <w:tcW w:w="43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8F28EA">
                  <w:pPr>
                    <w:pStyle w:val="4"/>
                    <w:jc w:val="left"/>
                  </w:pPr>
                  <w:r>
                    <w:rPr>
                      <w:rFonts w:ascii="仿宋_GB2312" w:hAnsi="仿宋_GB2312" w:eastAsia="仿宋_GB2312" w:cs="仿宋_GB2312"/>
                      <w:sz w:val="28"/>
                    </w:rPr>
                    <w:t>配置要求</w:t>
                  </w:r>
                </w:p>
              </w:tc>
            </w:tr>
            <w:tr w14:paraId="47A1CD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925503">
                  <w:pPr>
                    <w:pStyle w:val="4"/>
                    <w:jc w:val="left"/>
                  </w:pPr>
                  <w:r>
                    <w:rPr>
                      <w:rFonts w:ascii="仿宋_GB2312" w:hAnsi="仿宋_GB2312" w:eastAsia="仿宋_GB2312" w:cs="仿宋_GB2312"/>
                      <w:sz w:val="28"/>
                    </w:rPr>
                    <w:t>安保岗</w:t>
                  </w:r>
                </w:p>
              </w:tc>
              <w:tc>
                <w:tcPr>
                  <w:tcW w:w="6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3287EC">
                  <w:pPr>
                    <w:pStyle w:val="4"/>
                    <w:jc w:val="left"/>
                  </w:pPr>
                  <w:r>
                    <w:rPr>
                      <w:rFonts w:ascii="仿宋_GB2312" w:hAnsi="仿宋_GB2312" w:eastAsia="仿宋_GB2312" w:cs="仿宋_GB2312"/>
                      <w:sz w:val="28"/>
                    </w:rPr>
                    <w:t>10</w:t>
                  </w:r>
                </w:p>
              </w:tc>
              <w:tc>
                <w:tcPr>
                  <w:tcW w:w="4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0FD9E">
                  <w:pPr>
                    <w:pStyle w:val="4"/>
                    <w:jc w:val="both"/>
                  </w:pPr>
                  <w:r>
                    <w:rPr>
                      <w:rFonts w:ascii="仿宋_GB2312" w:hAnsi="仿宋_GB2312" w:eastAsia="仿宋_GB2312" w:cs="仿宋_GB2312"/>
                      <w:sz w:val="28"/>
                    </w:rPr>
                    <w:t>1.岗位要求：岗位数共计10个。</w:t>
                  </w:r>
                </w:p>
                <w:p w14:paraId="4F53167C">
                  <w:pPr>
                    <w:pStyle w:val="4"/>
                    <w:jc w:val="both"/>
                  </w:pPr>
                  <w:r>
                    <w:rPr>
                      <w:rFonts w:ascii="仿宋_GB2312" w:hAnsi="仿宋_GB2312" w:eastAsia="仿宋_GB2312" w:cs="仿宋_GB2312"/>
                      <w:sz w:val="28"/>
                    </w:rPr>
                    <w:t>（1）学校⾏课期间：实⾏轮班制，24⼩时三班倒。</w:t>
                  </w:r>
                </w:p>
                <w:p w14:paraId="21CC7D1B">
                  <w:pPr>
                    <w:pStyle w:val="4"/>
                    <w:jc w:val="both"/>
                  </w:pPr>
                  <w:r>
                    <w:rPr>
                      <w:rFonts w:ascii="仿宋_GB2312" w:hAnsi="仿宋_GB2312" w:eastAsia="仿宋_GB2312" w:cs="仿宋_GB2312"/>
                      <w:sz w:val="28"/>
                    </w:rPr>
                    <w:t>第一班（早班）7:00-15:00，3人3岗，其中大门单人单岗，侧门单人单岗，巡逻单人单岗。</w:t>
                  </w:r>
                </w:p>
                <w:p w14:paraId="4F3F91BC">
                  <w:pPr>
                    <w:pStyle w:val="4"/>
                    <w:jc w:val="both"/>
                  </w:pPr>
                  <w:r>
                    <w:rPr>
                      <w:rFonts w:ascii="仿宋_GB2312" w:hAnsi="仿宋_GB2312" w:eastAsia="仿宋_GB2312" w:cs="仿宋_GB2312"/>
                      <w:sz w:val="28"/>
                    </w:rPr>
                    <w:t>第二班（中班）15:00-23:00，3人3岗，其中大门单人单岗，侧门单人单岗，巡逻单人单岗。</w:t>
                  </w:r>
                </w:p>
                <w:p w14:paraId="2FF4CD69">
                  <w:pPr>
                    <w:pStyle w:val="4"/>
                    <w:jc w:val="both"/>
                  </w:pPr>
                  <w:r>
                    <w:rPr>
                      <w:rFonts w:ascii="仿宋_GB2312" w:hAnsi="仿宋_GB2312" w:eastAsia="仿宋_GB2312" w:cs="仿宋_GB2312"/>
                      <w:sz w:val="28"/>
                    </w:rPr>
                    <w:t>第三班（晚班）23：00-次日7:00，2人2岗，其中大门单人单岗，巡逻单人单岗。</w:t>
                  </w:r>
                </w:p>
                <w:p w14:paraId="619D1EB5">
                  <w:pPr>
                    <w:pStyle w:val="4"/>
                    <w:jc w:val="both"/>
                  </w:pPr>
                  <w:r>
                    <w:rPr>
                      <w:rFonts w:ascii="仿宋_GB2312" w:hAnsi="仿宋_GB2312" w:eastAsia="仿宋_GB2312" w:cs="仿宋_GB2312"/>
                      <w:sz w:val="28"/>
                    </w:rPr>
                    <w:t>第四班轮换岗2人2岗，用于轮换调休。须24⼩时保持通讯畅通，如遇突发工作需求，供应商应无条件及时安排人员到岗，提供应急服务。</w:t>
                  </w:r>
                </w:p>
                <w:p w14:paraId="680E3156">
                  <w:pPr>
                    <w:pStyle w:val="4"/>
                    <w:jc w:val="both"/>
                  </w:pPr>
                  <w:r>
                    <w:rPr>
                      <w:rFonts w:ascii="仿宋_GB2312" w:hAnsi="仿宋_GB2312" w:eastAsia="仿宋_GB2312" w:cs="仿宋_GB2312"/>
                      <w:sz w:val="28"/>
                    </w:rPr>
                    <w:t>（2）周末、节假日及寒暑假期间：</w:t>
                  </w:r>
                </w:p>
                <w:p w14:paraId="7DA80733">
                  <w:pPr>
                    <w:pStyle w:val="4"/>
                    <w:jc w:val="both"/>
                  </w:pPr>
                  <w:r>
                    <w:rPr>
                      <w:rFonts w:ascii="仿宋_GB2312" w:hAnsi="仿宋_GB2312" w:eastAsia="仿宋_GB2312" w:cs="仿宋_GB2312"/>
                      <w:sz w:val="28"/>
                    </w:rPr>
                    <w:t>第一班（早班）7:00-15:00，2人2岗，其中大门单人单岗，巡逻单人单岗。</w:t>
                  </w:r>
                </w:p>
                <w:p w14:paraId="18C58D56">
                  <w:pPr>
                    <w:pStyle w:val="4"/>
                    <w:jc w:val="both"/>
                  </w:pPr>
                  <w:r>
                    <w:rPr>
                      <w:rFonts w:ascii="仿宋_GB2312" w:hAnsi="仿宋_GB2312" w:eastAsia="仿宋_GB2312" w:cs="仿宋_GB2312"/>
                      <w:sz w:val="28"/>
                    </w:rPr>
                    <w:t>第二班（中班）15:00-23:00，2人2岗，其中大门单人单岗，巡逻单人单岗。</w:t>
                  </w:r>
                </w:p>
                <w:p w14:paraId="01D55514">
                  <w:pPr>
                    <w:pStyle w:val="4"/>
                    <w:jc w:val="both"/>
                  </w:pPr>
                  <w:r>
                    <w:rPr>
                      <w:rFonts w:ascii="仿宋_GB2312" w:hAnsi="仿宋_GB2312" w:eastAsia="仿宋_GB2312" w:cs="仿宋_GB2312"/>
                      <w:sz w:val="28"/>
                    </w:rPr>
                    <w:t>第三班（晚班）23：00-次日7:00，2人2岗，其中大门单人单岗，巡逻单人单岗。</w:t>
                  </w:r>
                </w:p>
                <w:p w14:paraId="5CEAC2D0">
                  <w:pPr>
                    <w:pStyle w:val="4"/>
                    <w:jc w:val="both"/>
                  </w:pPr>
                  <w:r>
                    <w:rPr>
                      <w:rFonts w:ascii="仿宋_GB2312" w:hAnsi="仿宋_GB2312" w:eastAsia="仿宋_GB2312" w:cs="仿宋_GB2312"/>
                      <w:sz w:val="28"/>
                    </w:rPr>
                    <w:t>第四班轮换岗2人2岗，用于轮换调休。须24⼩时保持通讯畅通，如遇突发工作需求，供应商应无条件及时安排人员到岗，提供应急服务。</w:t>
                  </w:r>
                </w:p>
                <w:p w14:paraId="359316B8">
                  <w:pPr>
                    <w:pStyle w:val="4"/>
                    <w:jc w:val="both"/>
                  </w:pPr>
                  <w:r>
                    <w:rPr>
                      <w:rFonts w:ascii="仿宋_GB2312" w:hAnsi="仿宋_GB2312" w:eastAsia="仿宋_GB2312" w:cs="仿宋_GB2312"/>
                      <w:b/>
                      <w:color w:val="000000"/>
                      <w:sz w:val="28"/>
                    </w:rPr>
                    <w:t>注：上述岗位每班不能缺人缺岗，不能一人多岗位使用，每班换班时必须换人，如遇重大活动等特殊情况采购人可对各门之间人员岗位进行调剂。</w:t>
                  </w:r>
                </w:p>
                <w:p w14:paraId="3C1DCC21">
                  <w:pPr>
                    <w:pStyle w:val="4"/>
                    <w:jc w:val="both"/>
                  </w:pPr>
                  <w:r>
                    <w:rPr>
                      <w:rFonts w:ascii="仿宋_GB2312" w:hAnsi="仿宋_GB2312" w:eastAsia="仿宋_GB2312" w:cs="仿宋_GB2312"/>
                      <w:sz w:val="28"/>
                    </w:rPr>
                    <w:t>2.人员要求：</w:t>
                  </w:r>
                </w:p>
                <w:p w14:paraId="2482C774">
                  <w:pPr>
                    <w:pStyle w:val="4"/>
                    <w:jc w:val="both"/>
                  </w:pPr>
                  <w:r>
                    <w:rPr>
                      <w:rFonts w:ascii="仿宋_GB2312" w:hAnsi="仿宋_GB2312" w:eastAsia="仿宋_GB2312" w:cs="仿宋_GB2312"/>
                      <w:sz w:val="28"/>
                    </w:rPr>
                    <w:t>（1）自然条件：性别不限，年龄50岁以下。</w:t>
                  </w:r>
                </w:p>
                <w:p w14:paraId="143E3FAE">
                  <w:pPr>
                    <w:pStyle w:val="4"/>
                    <w:jc w:val="both"/>
                  </w:pPr>
                  <w:r>
                    <w:rPr>
                      <w:rFonts w:ascii="仿宋_GB2312" w:hAnsi="仿宋_GB2312" w:eastAsia="仿宋_GB2312" w:cs="仿宋_GB2312"/>
                      <w:color w:val="000000"/>
                      <w:sz w:val="28"/>
                      <w:shd w:val="clear" w:fill="FFFFFF"/>
                    </w:rPr>
                    <w:t>（2</w:t>
                  </w:r>
                  <w:r>
                    <w:rPr>
                      <w:rFonts w:ascii="仿宋_GB2312" w:hAnsi="仿宋_GB2312" w:eastAsia="仿宋_GB2312" w:cs="仿宋_GB2312"/>
                      <w:sz w:val="28"/>
                    </w:rPr>
                    <w:t>）</w:t>
                  </w:r>
                  <w:r>
                    <w:rPr>
                      <w:rFonts w:ascii="仿宋_GB2312" w:hAnsi="仿宋_GB2312" w:eastAsia="仿宋_GB2312" w:cs="仿宋_GB2312"/>
                      <w:color w:val="000000"/>
                      <w:sz w:val="28"/>
                      <w:shd w:val="clear" w:fill="FFFFFF"/>
                    </w:rPr>
                    <w:t>所有拟派人员须具备行政主管部门颁发的在有效期内的保安员证（签订合同前三个工作日提供证书原件及复印件)。</w:t>
                  </w:r>
                </w:p>
                <w:p w14:paraId="1857B320">
                  <w:pPr>
                    <w:pStyle w:val="4"/>
                    <w:jc w:val="both"/>
                  </w:pPr>
                  <w:r>
                    <w:rPr>
                      <w:rFonts w:ascii="仿宋_GB2312" w:hAnsi="仿宋_GB2312" w:eastAsia="仿宋_GB2312" w:cs="仿宋_GB2312"/>
                      <w:sz w:val="28"/>
                    </w:rPr>
                    <w:t>（3）安保人员掌握基本的安保知识和技能，具备一定的观察力和判断力，能够及时发现和处理安全隐患，具备良好的沟通能力和协调能力。</w:t>
                  </w:r>
                </w:p>
                <w:p w14:paraId="5346A380">
                  <w:pPr>
                    <w:pStyle w:val="4"/>
                    <w:jc w:val="both"/>
                  </w:pPr>
                  <w:r>
                    <w:rPr>
                      <w:rFonts w:ascii="仿宋_GB2312" w:hAnsi="仿宋_GB2312" w:eastAsia="仿宋_GB2312" w:cs="仿宋_GB2312"/>
                      <w:sz w:val="28"/>
                    </w:rPr>
                    <w:t>（4）全面负责</w:t>
                  </w:r>
                  <w:r>
                    <w:rPr>
                      <w:rFonts w:ascii="仿宋_GB2312" w:hAnsi="仿宋_GB2312" w:eastAsia="仿宋_GB2312" w:cs="仿宋_GB2312"/>
                      <w:color w:val="000000"/>
                      <w:sz w:val="28"/>
                      <w:shd w:val="clear" w:fill="FFFFFF"/>
                    </w:rPr>
                    <w:t>校园门岗执勤、监控值守、安全巡逻、消防管理、车辆管理、设备巡查、校园财产防盗等工作；</w:t>
                  </w:r>
                  <w:r>
                    <w:rPr>
                      <w:rFonts w:ascii="仿宋_GB2312" w:hAnsi="仿宋_GB2312" w:eastAsia="仿宋_GB2312" w:cs="仿宋_GB2312"/>
                      <w:sz w:val="28"/>
                    </w:rPr>
                    <w:t>完成采购人交办的其他工作任务。早中班负责学校大门、侧门值守及巡逻等、晚班负责学校大门值守、侧门临时开关门及巡逻等。在开展校园巡逻工作的同时，大门和监控室须保证同时有人在岗。</w:t>
                  </w:r>
                </w:p>
                <w:p w14:paraId="27273967">
                  <w:pPr>
                    <w:pStyle w:val="4"/>
                    <w:jc w:val="both"/>
                  </w:pPr>
                  <w:r>
                    <w:rPr>
                      <w:rFonts w:ascii="仿宋_GB2312" w:hAnsi="仿宋_GB2312" w:eastAsia="仿宋_GB2312" w:cs="仿宋_GB2312"/>
                      <w:sz w:val="28"/>
                    </w:rPr>
                    <w:t>（5）所配置人员中1人兼任保安队长完成相应岗位工作的同时负责与学校日常对接、管理协调，熟悉各个岗位的职责及运作流程，学习能力强，能尽快的熟悉学校的各个区域（楼栋）及本校安保维护的重点及难点，具有强烈的责任心、较强的管理和协调能力；全面负责做好学校的安保人员安排、调动，能较好的完成与采购人的沟通、协调工作，负责完成各类资料收集、建档及文件处理、归档等工作。</w:t>
                  </w:r>
                </w:p>
              </w:tc>
            </w:tr>
          </w:tbl>
          <w:p w14:paraId="4C9C62C6">
            <w:pPr>
              <w:pStyle w:val="4"/>
              <w:ind w:firstLine="560"/>
              <w:jc w:val="left"/>
            </w:pPr>
            <w:r>
              <w:rPr>
                <w:rFonts w:ascii="仿宋_GB2312" w:hAnsi="仿宋_GB2312" w:eastAsia="仿宋_GB2312" w:cs="仿宋_GB2312"/>
                <w:sz w:val="28"/>
              </w:rPr>
              <w:t>注：（1）上表描述内容为通过岗位数量及要求体现本项目工作量（部分岗位明确岗位数和对应的在岗人数，供应商在响应时不得低于要求），岗位数量不等同于对实际服务人数的实质性规定，供应商须在遵守相关法律法规的基础之上，根据岗位配置要求、服务要求及自身经营情况，核定所需人数、器材和机具，并进行相应配置。</w:t>
            </w:r>
          </w:p>
          <w:p w14:paraId="40212057">
            <w:pPr>
              <w:pStyle w:val="4"/>
              <w:ind w:firstLine="560"/>
              <w:jc w:val="left"/>
            </w:pPr>
            <w:r>
              <w:rPr>
                <w:rFonts w:ascii="仿宋_GB2312" w:hAnsi="仿宋_GB2312" w:eastAsia="仿宋_GB2312" w:cs="仿宋_GB2312"/>
                <w:sz w:val="28"/>
              </w:rPr>
              <w:t>（2）供应商在响应时须提供人员配置表或配置方案，逐岗位明确配置人员数量及工作机制，确保满足本项目的要求。如未提供或不能满足本项目需求，视为未实质性响应。</w:t>
            </w:r>
          </w:p>
          <w:p w14:paraId="45500305">
            <w:pPr>
              <w:pStyle w:val="4"/>
              <w:ind w:firstLine="560"/>
              <w:jc w:val="left"/>
            </w:pPr>
            <w:r>
              <w:rPr>
                <w:rFonts w:ascii="仿宋_GB2312" w:hAnsi="仿宋_GB2312" w:eastAsia="仿宋_GB2312" w:cs="仿宋_GB2312"/>
                <w:sz w:val="28"/>
              </w:rPr>
              <w:t>（3）所有人员要求无犯罪记录，无吸毒史、无精神病史，项目服务人员须提供无犯罪前科、无违法违纪记录证明并每半年更新一次。（签订合同前三个工作日提交上述所有关材料至采购人备案）</w:t>
            </w:r>
          </w:p>
          <w:p w14:paraId="0862A885">
            <w:pPr>
              <w:pStyle w:val="4"/>
              <w:ind w:firstLine="560"/>
              <w:jc w:val="left"/>
            </w:pPr>
            <w:r>
              <w:rPr>
                <w:rFonts w:ascii="仿宋_GB2312" w:hAnsi="仿宋_GB2312" w:eastAsia="仿宋_GB2312" w:cs="仿宋_GB2312"/>
                <w:sz w:val="28"/>
              </w:rPr>
              <w:t>（4）供应商应当与配置的服务人员依法签订劳动合同，且只能服务于本项目，持中标后三个月内的健康体检合格证方能上岗。（签订合同前三个工作日提供证书原件及复印件）</w:t>
            </w:r>
          </w:p>
          <w:p w14:paraId="24BBC106">
            <w:pPr>
              <w:pStyle w:val="4"/>
              <w:ind w:firstLine="560"/>
              <w:jc w:val="left"/>
            </w:pPr>
            <w:r>
              <w:rPr>
                <w:rFonts w:ascii="仿宋_GB2312" w:hAnsi="仿宋_GB2312" w:eastAsia="仿宋_GB2312" w:cs="仿宋_GB2312"/>
                <w:sz w:val="28"/>
              </w:rPr>
              <w:t>（5）供应商签订合同前三个工作日须提供服务团队全体人员清单（清单需包含人员姓名、身份证号和身份证复印件及联系方式），经采购人同意后入场，服务期间若有更换须持同岗位资格证书且需征得采购人同意。供应商如未提供或所提交的材料不能满足采购文件中的要求，采购人有权单方面不予签订合同，不予签订的通知自到达供应商时生效。</w:t>
            </w:r>
          </w:p>
          <w:p w14:paraId="488E909E">
            <w:pPr>
              <w:pStyle w:val="4"/>
              <w:ind w:firstLine="560"/>
              <w:jc w:val="left"/>
            </w:pPr>
            <w:r>
              <w:rPr>
                <w:rFonts w:ascii="仿宋_GB2312" w:hAnsi="仿宋_GB2312" w:eastAsia="仿宋_GB2312" w:cs="仿宋_GB2312"/>
                <w:sz w:val="28"/>
              </w:rPr>
              <w:t>（6）供应商对本项目服务所需用工必须符合《中华人民共和国劳动法》《劳动合同法》等法律法规、规章规定，依法用工并按时为全员发放工资、购买社保。供应商对拟派服务人员工作期间疾病和人身安全、安全责任事故、用工纠纷等各类纠纷负责，采购人不承担任何责任。</w:t>
            </w:r>
          </w:p>
          <w:p w14:paraId="254A43EA">
            <w:pPr>
              <w:pStyle w:val="4"/>
              <w:ind w:firstLine="562"/>
              <w:jc w:val="left"/>
            </w:pPr>
            <w:r>
              <w:rPr>
                <w:rFonts w:ascii="仿宋_GB2312" w:hAnsi="仿宋_GB2312" w:eastAsia="仿宋_GB2312" w:cs="仿宋_GB2312"/>
                <w:b/>
                <w:color w:val="000000"/>
                <w:sz w:val="28"/>
              </w:rPr>
              <w:t>（五）</w:t>
            </w:r>
            <w:r>
              <w:rPr>
                <w:rFonts w:ascii="仿宋_GB2312" w:hAnsi="仿宋_GB2312" w:eastAsia="仿宋_GB2312" w:cs="仿宋_GB2312"/>
                <w:b/>
                <w:sz w:val="28"/>
              </w:rPr>
              <w:t>服务方案要求（供应商须提供承诺函，格式自拟，对本要求进行响应，如未提供视为未实质性响应）</w:t>
            </w:r>
          </w:p>
          <w:p w14:paraId="1104DF42">
            <w:pPr>
              <w:pStyle w:val="4"/>
              <w:ind w:firstLine="560"/>
              <w:jc w:val="left"/>
            </w:pPr>
            <w:r>
              <w:rPr>
                <w:rFonts w:ascii="仿宋_GB2312" w:hAnsi="仿宋_GB2312" w:eastAsia="仿宋_GB2312" w:cs="仿宋_GB2312"/>
                <w:sz w:val="28"/>
              </w:rPr>
              <w:t>供应商应在取得中标通知书后10个工作日内和采购人沟通，制定包含以下内容的方案或制度，并承担制度上墙的费用。如供应商未按承诺内容完成相应工作，采购人有权不予其签订合同：</w:t>
            </w:r>
          </w:p>
          <w:p w14:paraId="463BFB21">
            <w:pPr>
              <w:pStyle w:val="4"/>
              <w:ind w:firstLine="560"/>
              <w:jc w:val="left"/>
            </w:pPr>
            <w:r>
              <w:rPr>
                <w:rFonts w:ascii="仿宋_GB2312" w:hAnsi="仿宋_GB2312" w:eastAsia="仿宋_GB2312" w:cs="仿宋_GB2312"/>
                <w:sz w:val="28"/>
              </w:rPr>
              <w:t>（1）服务方案，至少包括：①上岗培训方案和岗前考核措施；②服务质量保障措施；③校园安全管理制度（包含外来人员及车辆进出的管理）；④安保巡逻计划；⑤人员档案管理制度。</w:t>
            </w:r>
          </w:p>
          <w:p w14:paraId="354FCA01">
            <w:pPr>
              <w:pStyle w:val="4"/>
              <w:ind w:firstLine="560"/>
              <w:jc w:val="left"/>
            </w:pPr>
            <w:r>
              <w:rPr>
                <w:rFonts w:ascii="仿宋_GB2312" w:hAnsi="仿宋_GB2312" w:eastAsia="仿宋_GB2312" w:cs="仿宋_GB2312"/>
                <w:sz w:val="28"/>
              </w:rPr>
              <w:t>（2）应急处置方案，至少包括：①项目应急事件组织架构；②突发火灾应急预案；③突发治安、刑事案件处理预案；④意外伤亡事故应急预案；⑤停水停电应急处理预案；⑥重大活动应急处置；⑦自然灾害应急预案。</w:t>
            </w:r>
          </w:p>
          <w:p w14:paraId="199737B6">
            <w:pPr>
              <w:pStyle w:val="4"/>
              <w:ind w:firstLine="562"/>
              <w:jc w:val="left"/>
            </w:pPr>
            <w:r>
              <w:rPr>
                <w:rFonts w:ascii="仿宋_GB2312" w:hAnsi="仿宋_GB2312" w:eastAsia="仿宋_GB2312" w:cs="仿宋_GB2312"/>
                <w:b/>
                <w:color w:val="000000"/>
                <w:sz w:val="28"/>
              </w:rPr>
              <w:t>（六）考核办法及运用结果</w:t>
            </w:r>
          </w:p>
          <w:p w14:paraId="72526ECD">
            <w:pPr>
              <w:pStyle w:val="4"/>
              <w:ind w:firstLine="560"/>
              <w:jc w:val="left"/>
            </w:pPr>
            <w:r>
              <w:rPr>
                <w:rFonts w:ascii="仿宋_GB2312" w:hAnsi="仿宋_GB2312" w:eastAsia="仿宋_GB2312" w:cs="仿宋_GB2312"/>
                <w:sz w:val="28"/>
              </w:rPr>
              <w:t>1.项目考核要求</w:t>
            </w:r>
          </w:p>
          <w:p w14:paraId="3EE22513">
            <w:pPr>
              <w:pStyle w:val="4"/>
              <w:ind w:firstLine="560"/>
              <w:jc w:val="left"/>
            </w:pPr>
            <w:r>
              <w:rPr>
                <w:rFonts w:ascii="仿宋_GB2312" w:hAnsi="仿宋_GB2312" w:eastAsia="仿宋_GB2312" w:cs="仿宋_GB2312"/>
                <w:sz w:val="28"/>
              </w:rPr>
              <w:t>（1）采购人在次月15日前完成对供应商上月服务效果的考核，并填写考核表。每月考核结果作为支付当月服务费的主要依据，每月服务费按照考核结果支付。</w:t>
            </w:r>
          </w:p>
          <w:p w14:paraId="0B3DB0CC">
            <w:pPr>
              <w:pStyle w:val="4"/>
              <w:ind w:firstLine="560"/>
              <w:jc w:val="left"/>
            </w:pPr>
            <w:r>
              <w:rPr>
                <w:rFonts w:ascii="仿宋_GB2312" w:hAnsi="仿宋_GB2312" w:eastAsia="仿宋_GB2312" w:cs="仿宋_GB2312"/>
                <w:sz w:val="28"/>
              </w:rPr>
              <w:t>（2）服务考核实行100分制。服务考核分数为90分（含）以上，支付当月服务费100%；考核分数为80（含）-89（含）分的，按照每分500元（(90分-当月考核分)*500）的标准在当月服务费中扣除；考核分数为80分（不含）以下，则该月考核为不合格，采购人有权要求供应商进行限期整改，整改合格后支付当月服务费，整改期间按整改天数*1000元/天扣除，每月扣款上限不超过当月费用的15%。</w:t>
            </w:r>
          </w:p>
          <w:p w14:paraId="1E271515">
            <w:pPr>
              <w:pStyle w:val="4"/>
              <w:ind w:firstLine="560"/>
              <w:jc w:val="left"/>
            </w:pPr>
            <w:r>
              <w:rPr>
                <w:rFonts w:ascii="仿宋_GB2312" w:hAnsi="仿宋_GB2312" w:eastAsia="仿宋_GB2312" w:cs="仿宋_GB2312"/>
                <w:sz w:val="28"/>
              </w:rPr>
              <w:t>（3）若一年合同期内累计2次考核不合格(80分（不含）以下)，采购人有权解除政府采购合同，造成采购人经济损失的，供应商应给予采购人一定的经济赔偿（按照实际损失赔偿）。</w:t>
            </w:r>
          </w:p>
          <w:p w14:paraId="5E1F46BE">
            <w:pPr>
              <w:pStyle w:val="4"/>
              <w:ind w:firstLine="560"/>
              <w:jc w:val="left"/>
            </w:pPr>
            <w:r>
              <w:rPr>
                <w:rFonts w:ascii="仿宋_GB2312" w:hAnsi="仿宋_GB2312" w:eastAsia="仿宋_GB2312" w:cs="仿宋_GB2312"/>
                <w:sz w:val="28"/>
              </w:rPr>
              <w:t>（4）供应商应增设24小时应急联络机制：供应商需指定专人作为应急联络人，联系方式保持24小时畅通，若联络不畅导致应急处置延误，按单次扣除年度服务费的1%处理。</w:t>
            </w:r>
          </w:p>
          <w:p w14:paraId="4EBCE8E8">
            <w:pPr>
              <w:pStyle w:val="4"/>
              <w:ind w:firstLine="560"/>
              <w:jc w:val="left"/>
            </w:pPr>
            <w:r>
              <w:rPr>
                <w:rFonts w:ascii="仿宋_GB2312" w:hAnsi="仿宋_GB2312" w:eastAsia="仿宋_GB2312" w:cs="仿宋_GB2312"/>
                <w:color w:val="000000"/>
                <w:sz w:val="28"/>
              </w:rPr>
              <w:t>（5）年度考核合格（年度考核合格标准为合同期内所涉及的月考核平均分不低于90分（含））后续签下一年合同。</w:t>
            </w:r>
          </w:p>
          <w:p w14:paraId="7DA0ABCC">
            <w:pPr>
              <w:pStyle w:val="4"/>
              <w:ind w:firstLine="560"/>
              <w:jc w:val="left"/>
            </w:pPr>
            <w:r>
              <w:rPr>
                <w:rFonts w:ascii="仿宋_GB2312" w:hAnsi="仿宋_GB2312" w:eastAsia="仿宋_GB2312" w:cs="仿宋_GB2312"/>
                <w:color w:val="000000"/>
                <w:sz w:val="28"/>
              </w:rPr>
              <w:t>（6）考核标准详见附件《成都市双流区东升迎春小学校园安防服务考核办法》（供应商在响应时无须粘贴复制考核内容）。</w:t>
            </w:r>
          </w:p>
          <w:p w14:paraId="068C48EB">
            <w:pPr>
              <w:pStyle w:val="4"/>
              <w:ind w:firstLine="560"/>
              <w:jc w:val="left"/>
            </w:pPr>
            <w:r>
              <w:rPr>
                <w:rFonts w:ascii="仿宋_GB2312" w:hAnsi="仿宋_GB2312" w:eastAsia="仿宋_GB2312" w:cs="仿宋_GB2312"/>
              </w:rPr>
              <w:t xml:space="preserve"> </w:t>
            </w:r>
          </w:p>
          <w:p w14:paraId="12A0550E">
            <w:pPr>
              <w:pStyle w:val="4"/>
              <w:ind w:firstLine="560"/>
              <w:jc w:val="left"/>
            </w:pPr>
            <w:r>
              <w:rPr>
                <w:rFonts w:ascii="仿宋_GB2312" w:hAnsi="仿宋_GB2312" w:eastAsia="仿宋_GB2312" w:cs="仿宋_GB2312"/>
              </w:rPr>
              <w:t xml:space="preserve"> </w:t>
            </w:r>
          </w:p>
        </w:tc>
      </w:tr>
    </w:tbl>
    <w:p w14:paraId="37CC1418">
      <w:pPr>
        <w:pStyle w:val="4"/>
        <w:jc w:val="left"/>
        <w:outlineLvl w:val="2"/>
      </w:pPr>
      <w:r>
        <w:rPr>
          <w:rFonts w:ascii="仿宋_GB2312" w:hAnsi="仿宋_GB2312" w:eastAsia="仿宋_GB2312" w:cs="仿宋_GB2312"/>
          <w:b/>
          <w:sz w:val="28"/>
        </w:rPr>
        <w:t>3.3.服务要求</w:t>
      </w:r>
    </w:p>
    <w:p w14:paraId="20E46D97">
      <w:pPr>
        <w:pStyle w:val="4"/>
        <w:jc w:val="left"/>
      </w:pPr>
      <w:r>
        <w:rPr>
          <w:rFonts w:ascii="仿宋_GB2312" w:hAnsi="仿宋_GB2312" w:eastAsia="仿宋_GB2312" w:cs="仿宋_GB2312"/>
          <w:b/>
        </w:rPr>
        <w:t>3.3.1.服务内容要求</w:t>
      </w:r>
    </w:p>
    <w:p w14:paraId="77BD6E78">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4CA4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BF737D">
            <w:pPr>
              <w:pStyle w:val="4"/>
              <w:jc w:val="center"/>
            </w:pPr>
            <w:r>
              <w:rPr>
                <w:rFonts w:ascii="仿宋_GB2312" w:hAnsi="仿宋_GB2312" w:eastAsia="仿宋_GB2312" w:cs="仿宋_GB2312"/>
              </w:rPr>
              <w:t xml:space="preserve"> 序号</w:t>
            </w:r>
          </w:p>
        </w:tc>
        <w:tc>
          <w:tcPr>
            <w:tcW w:w="581" w:type="dxa"/>
          </w:tcPr>
          <w:p w14:paraId="5B5524B3">
            <w:pPr>
              <w:pStyle w:val="4"/>
              <w:jc w:val="center"/>
            </w:pPr>
            <w:r>
              <w:rPr>
                <w:rFonts w:ascii="仿宋_GB2312" w:hAnsi="仿宋_GB2312" w:eastAsia="仿宋_GB2312" w:cs="仿宋_GB2312"/>
              </w:rPr>
              <w:t xml:space="preserve"> 符号标识</w:t>
            </w:r>
          </w:p>
        </w:tc>
        <w:tc>
          <w:tcPr>
            <w:tcW w:w="1495" w:type="dxa"/>
          </w:tcPr>
          <w:p w14:paraId="3FB7DB2B">
            <w:pPr>
              <w:pStyle w:val="4"/>
              <w:jc w:val="center"/>
            </w:pPr>
            <w:r>
              <w:rPr>
                <w:rFonts w:ascii="仿宋_GB2312" w:hAnsi="仿宋_GB2312" w:eastAsia="仿宋_GB2312" w:cs="仿宋_GB2312"/>
              </w:rPr>
              <w:t xml:space="preserve"> 服务要求名称</w:t>
            </w:r>
          </w:p>
        </w:tc>
        <w:tc>
          <w:tcPr>
            <w:tcW w:w="5814" w:type="dxa"/>
          </w:tcPr>
          <w:p w14:paraId="2F619319">
            <w:pPr>
              <w:pStyle w:val="4"/>
              <w:jc w:val="center"/>
            </w:pPr>
            <w:r>
              <w:rPr>
                <w:rFonts w:ascii="仿宋_GB2312" w:hAnsi="仿宋_GB2312" w:eastAsia="仿宋_GB2312" w:cs="仿宋_GB2312"/>
              </w:rPr>
              <w:t xml:space="preserve"> 服务要求内容</w:t>
            </w:r>
          </w:p>
        </w:tc>
      </w:tr>
      <w:tr w14:paraId="6463E3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73A29C">
            <w:pPr>
              <w:pStyle w:val="4"/>
              <w:jc w:val="center"/>
            </w:pPr>
            <w:r>
              <w:rPr>
                <w:rFonts w:ascii="仿宋_GB2312" w:hAnsi="仿宋_GB2312" w:eastAsia="仿宋_GB2312" w:cs="仿宋_GB2312"/>
              </w:rPr>
              <w:t>1</w:t>
            </w:r>
          </w:p>
        </w:tc>
        <w:tc>
          <w:tcPr>
            <w:tcW w:w="581" w:type="dxa"/>
          </w:tcPr>
          <w:p w14:paraId="22D45A30">
            <w:pPr>
              <w:pStyle w:val="4"/>
              <w:jc w:val="center"/>
            </w:pPr>
            <w:r>
              <w:rPr>
                <w:rFonts w:ascii="仿宋_GB2312" w:hAnsi="仿宋_GB2312" w:eastAsia="仿宋_GB2312" w:cs="仿宋_GB2312"/>
              </w:rPr>
              <w:t>★</w:t>
            </w:r>
          </w:p>
        </w:tc>
        <w:tc>
          <w:tcPr>
            <w:tcW w:w="1495" w:type="dxa"/>
          </w:tcPr>
          <w:p w14:paraId="2D9ECD20">
            <w:pPr>
              <w:pStyle w:val="4"/>
              <w:jc w:val="left"/>
            </w:pPr>
            <w:r>
              <w:rPr>
                <w:rFonts w:ascii="仿宋_GB2312" w:hAnsi="仿宋_GB2312" w:eastAsia="仿宋_GB2312" w:cs="仿宋_GB2312"/>
              </w:rPr>
              <w:t>知识产权（以此要求为准进行响应）</w:t>
            </w:r>
          </w:p>
        </w:tc>
        <w:tc>
          <w:tcPr>
            <w:tcW w:w="5814" w:type="dxa"/>
          </w:tcPr>
          <w:p w14:paraId="1FFDEA91">
            <w:pPr>
              <w:pStyle w:val="4"/>
              <w:ind w:firstLine="480"/>
              <w:jc w:val="left"/>
            </w:pPr>
            <w:r>
              <w:rPr>
                <w:rFonts w:ascii="仿宋_GB2312" w:hAnsi="仿宋_GB2312" w:eastAsia="仿宋_GB2312" w:cs="仿宋_GB2312"/>
                <w:color w:val="000000"/>
                <w:sz w:val="28"/>
              </w:rPr>
              <w:t xml:space="preserve">    1.供应商保证在本项目中使用的任何技术、产品和服务（包括部分使用），不会产生因第三方提出侵犯其专利权、商标权或其它知识产权而引起的法律和经济纠纷，如存在前述情形，由供应商承担所有相关责任，并且赔偿由此给采购人带来的损失。采购人享有本项目实施过程中产生的知识成果及知识产权。</w:t>
            </w:r>
          </w:p>
          <w:p w14:paraId="1C2D4A23">
            <w:pPr>
              <w:pStyle w:val="4"/>
              <w:ind w:firstLine="544"/>
              <w:jc w:val="left"/>
            </w:pPr>
            <w:r>
              <w:rPr>
                <w:rFonts w:ascii="仿宋_GB2312" w:hAnsi="仿宋_GB2312" w:eastAsia="仿宋_GB2312" w:cs="仿宋_GB2312"/>
                <w:color w:val="000000"/>
                <w:sz w:val="28"/>
              </w:rPr>
              <w:t>2.供应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47B28E89">
            <w:pPr>
              <w:pStyle w:val="4"/>
              <w:ind w:firstLine="544"/>
              <w:jc w:val="left"/>
            </w:pPr>
            <w:r>
              <w:rPr>
                <w:rFonts w:ascii="仿宋_GB2312" w:hAnsi="仿宋_GB2312" w:eastAsia="仿宋_GB2312" w:cs="仿宋_GB2312"/>
                <w:color w:val="000000"/>
                <w:sz w:val="28"/>
              </w:rPr>
              <w:t>3.如使用供应商所不拥有的知识产权，则在报价中必须包括合法使用该知识产权的相关费用。</w:t>
            </w:r>
          </w:p>
        </w:tc>
      </w:tr>
      <w:tr w14:paraId="679039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146767">
            <w:pPr>
              <w:pStyle w:val="4"/>
              <w:jc w:val="center"/>
            </w:pPr>
            <w:r>
              <w:rPr>
                <w:rFonts w:ascii="仿宋_GB2312" w:hAnsi="仿宋_GB2312" w:eastAsia="仿宋_GB2312" w:cs="仿宋_GB2312"/>
              </w:rPr>
              <w:t>2</w:t>
            </w:r>
          </w:p>
        </w:tc>
        <w:tc>
          <w:tcPr>
            <w:tcW w:w="581" w:type="dxa"/>
          </w:tcPr>
          <w:p w14:paraId="0B93A60E">
            <w:pPr>
              <w:pStyle w:val="4"/>
              <w:jc w:val="center"/>
            </w:pPr>
            <w:r>
              <w:rPr>
                <w:rFonts w:ascii="仿宋_GB2312" w:hAnsi="仿宋_GB2312" w:eastAsia="仿宋_GB2312" w:cs="仿宋_GB2312"/>
              </w:rPr>
              <w:t>★</w:t>
            </w:r>
          </w:p>
        </w:tc>
        <w:tc>
          <w:tcPr>
            <w:tcW w:w="1495" w:type="dxa"/>
          </w:tcPr>
          <w:p w14:paraId="20CB44EC">
            <w:pPr>
              <w:pStyle w:val="4"/>
              <w:jc w:val="left"/>
            </w:pPr>
            <w:r>
              <w:rPr>
                <w:rFonts w:ascii="仿宋_GB2312" w:hAnsi="仿宋_GB2312" w:eastAsia="仿宋_GB2312" w:cs="仿宋_GB2312"/>
              </w:rPr>
              <w:t>权利和义务</w:t>
            </w:r>
          </w:p>
        </w:tc>
        <w:tc>
          <w:tcPr>
            <w:tcW w:w="5814" w:type="dxa"/>
          </w:tcPr>
          <w:p w14:paraId="4CFFA303">
            <w:pPr>
              <w:pStyle w:val="4"/>
              <w:jc w:val="left"/>
            </w:pPr>
            <w:r>
              <w:rPr>
                <w:rFonts w:ascii="仿宋_GB2312" w:hAnsi="仿宋_GB2312" w:eastAsia="仿宋_GB2312" w:cs="仿宋_GB2312"/>
                <w:color w:val="000000"/>
                <w:sz w:val="28"/>
              </w:rPr>
              <w:t>1.采购人的权利与义务</w:t>
            </w:r>
          </w:p>
          <w:p w14:paraId="0BBFF919">
            <w:pPr>
              <w:pStyle w:val="4"/>
              <w:ind w:firstLine="560"/>
              <w:jc w:val="left"/>
            </w:pPr>
            <w:r>
              <w:rPr>
                <w:rFonts w:ascii="仿宋_GB2312" w:hAnsi="仿宋_GB2312" w:eastAsia="仿宋_GB2312" w:cs="仿宋_GB2312"/>
                <w:color w:val="000000"/>
                <w:sz w:val="28"/>
              </w:rPr>
              <w:t>（1）负责对供应商中标服务区域和服务范围进行现场明确和现场指导。</w:t>
            </w:r>
          </w:p>
          <w:p w14:paraId="4D9F4DD6">
            <w:pPr>
              <w:pStyle w:val="4"/>
              <w:ind w:firstLine="560"/>
              <w:jc w:val="left"/>
            </w:pPr>
            <w:r>
              <w:rPr>
                <w:rFonts w:ascii="仿宋_GB2312" w:hAnsi="仿宋_GB2312" w:eastAsia="仿宋_GB2312" w:cs="仿宋_GB2312"/>
                <w:color w:val="000000"/>
                <w:sz w:val="28"/>
              </w:rPr>
              <w:t>（2）负责向供应商提供服务质量标准、服务质量检查考核办法等相关文件。</w:t>
            </w:r>
          </w:p>
          <w:p w14:paraId="6A172BCF">
            <w:pPr>
              <w:pStyle w:val="4"/>
              <w:ind w:firstLine="560"/>
              <w:jc w:val="left"/>
            </w:pPr>
            <w:r>
              <w:rPr>
                <w:rFonts w:ascii="仿宋_GB2312" w:hAnsi="仿宋_GB2312" w:eastAsia="仿宋_GB2312" w:cs="仿宋_GB2312"/>
                <w:color w:val="000000"/>
                <w:sz w:val="28"/>
              </w:rPr>
              <w:t>（3）采购人有权对合同规定范围内供应商的服务行为进行监督和检查，拥有监管权。采购人有权定期或不定期，根据采购文件与响应文件中岗位配置要求及合同条款要求对供应商实际派遣人员的基本情况和服务情况(包括但不限于配置人员数量、资格证件、工资及社保购买情况）进行核查，供应商必须无条件配合并提供所有相关资料，包括但不限于员工劳动合同、工资发放记录、社保缴纳凭证、实时考勤及耗材领取凭证等。如发现不符合要求的，应及时通知供应商在5个工作日内进行整改，如逾期没有整改的，采购人有权单方面解除合同。</w:t>
            </w:r>
          </w:p>
          <w:p w14:paraId="31A4D28F">
            <w:pPr>
              <w:pStyle w:val="4"/>
              <w:ind w:firstLine="560"/>
              <w:jc w:val="left"/>
            </w:pPr>
            <w:r>
              <w:rPr>
                <w:rFonts w:ascii="仿宋_GB2312" w:hAnsi="仿宋_GB2312" w:eastAsia="仿宋_GB2312" w:cs="仿宋_GB2312"/>
                <w:color w:val="000000"/>
                <w:sz w:val="28"/>
              </w:rPr>
              <w:t>（4）采购人有权依据合同约定的考核标准对供应商提供的服务进行定期考核。当考评结果未达到标准时，有权依据考核办法约定的数额扣除服务经费或解除合同。</w:t>
            </w:r>
          </w:p>
          <w:p w14:paraId="3425353E">
            <w:pPr>
              <w:pStyle w:val="4"/>
              <w:ind w:firstLine="560"/>
              <w:jc w:val="left"/>
            </w:pPr>
            <w:r>
              <w:rPr>
                <w:rFonts w:ascii="仿宋_GB2312" w:hAnsi="仿宋_GB2312" w:eastAsia="仿宋_GB2312" w:cs="仿宋_GB2312"/>
                <w:color w:val="000000"/>
                <w:sz w:val="28"/>
              </w:rPr>
              <w:t>（5）负责检查监督供应商对其服务人员工资、费用发放情况。</w:t>
            </w:r>
          </w:p>
          <w:p w14:paraId="6006CAFA">
            <w:pPr>
              <w:pStyle w:val="4"/>
              <w:ind w:firstLine="560"/>
              <w:jc w:val="left"/>
            </w:pPr>
            <w:r>
              <w:rPr>
                <w:rFonts w:ascii="仿宋_GB2312" w:hAnsi="仿宋_GB2312" w:eastAsia="仿宋_GB2312" w:cs="仿宋_GB2312"/>
                <w:color w:val="000000"/>
                <w:sz w:val="28"/>
              </w:rPr>
              <w:t>（6）按时向供应商支付应付服务费用。</w:t>
            </w:r>
          </w:p>
          <w:p w14:paraId="2915B331">
            <w:pPr>
              <w:pStyle w:val="4"/>
              <w:ind w:firstLine="560"/>
              <w:jc w:val="left"/>
            </w:pPr>
            <w:r>
              <w:rPr>
                <w:rFonts w:ascii="仿宋_GB2312" w:hAnsi="仿宋_GB2312" w:eastAsia="仿宋_GB2312" w:cs="仿宋_GB2312"/>
                <w:color w:val="000000"/>
                <w:sz w:val="28"/>
              </w:rPr>
              <w:t>（7）采购人有权协同劳动监察部门对供应商用工情况进行检查，有权要求供应商按采购文件及响应文件要求保障作业人员的工资福利待遇。供应商应及时支付拟派人员劳动报酬及相关费用，若因迟延支付或者拒不支付而引发相关劳动争议纠纷的，供应商应自行承担全部责任。由此导致采购人先行赔偿或者承担连带责任的，采购人有权向供应商追偿。同时，采购人还有权选择单方面解除合同，给采购人造成损失的，供应商应负责赔偿。</w:t>
            </w:r>
          </w:p>
          <w:p w14:paraId="51B6BE35">
            <w:pPr>
              <w:pStyle w:val="4"/>
              <w:ind w:firstLine="560"/>
              <w:jc w:val="left"/>
            </w:pPr>
            <w:r>
              <w:rPr>
                <w:rFonts w:ascii="仿宋_GB2312" w:hAnsi="仿宋_GB2312" w:eastAsia="仿宋_GB2312" w:cs="仿宋_GB2312"/>
                <w:color w:val="000000"/>
                <w:sz w:val="28"/>
              </w:rPr>
              <w:t>（8）采购人对供应商服务的考核按照《成都市双流区东升迎春小学校园安防服务考核办法》的规定执行。</w:t>
            </w:r>
          </w:p>
          <w:p w14:paraId="28F237DA">
            <w:pPr>
              <w:pStyle w:val="4"/>
              <w:ind w:firstLine="560"/>
              <w:jc w:val="left"/>
            </w:pPr>
            <w:r>
              <w:rPr>
                <w:rFonts w:ascii="仿宋_GB2312" w:hAnsi="仿宋_GB2312" w:eastAsia="仿宋_GB2312" w:cs="仿宋_GB2312"/>
                <w:color w:val="000000"/>
                <w:sz w:val="28"/>
              </w:rPr>
              <w:t>（9）国家法律法规所规定的采购人其他权利义务。</w:t>
            </w:r>
          </w:p>
          <w:p w14:paraId="4917CD8B">
            <w:pPr>
              <w:pStyle w:val="4"/>
              <w:ind w:firstLine="560"/>
              <w:jc w:val="left"/>
            </w:pPr>
            <w:r>
              <w:rPr>
                <w:rFonts w:ascii="仿宋_GB2312" w:hAnsi="仿宋_GB2312" w:eastAsia="仿宋_GB2312" w:cs="仿宋_GB2312"/>
                <w:color w:val="000000"/>
                <w:sz w:val="28"/>
              </w:rPr>
              <w:t>2.供应商的权利和义务</w:t>
            </w:r>
          </w:p>
          <w:p w14:paraId="1823D6AD">
            <w:pPr>
              <w:pStyle w:val="4"/>
              <w:ind w:firstLine="560"/>
              <w:jc w:val="left"/>
            </w:pPr>
            <w:r>
              <w:rPr>
                <w:rFonts w:ascii="仿宋_GB2312" w:hAnsi="仿宋_GB2312" w:eastAsia="仿宋_GB2312" w:cs="仿宋_GB2312"/>
                <w:color w:val="000000"/>
                <w:sz w:val="28"/>
              </w:rPr>
              <w:t>（1）根据采购人要求和有关法律、法规及本合同相关约定，制定相关工作方案，完善相关管理制度，并按照合同约定的作业质量标准完成各项作业任务。</w:t>
            </w:r>
          </w:p>
          <w:p w14:paraId="40064612">
            <w:pPr>
              <w:pStyle w:val="4"/>
              <w:ind w:firstLine="560"/>
              <w:jc w:val="left"/>
            </w:pPr>
            <w:r>
              <w:rPr>
                <w:rFonts w:ascii="仿宋_GB2312" w:hAnsi="仿宋_GB2312" w:eastAsia="仿宋_GB2312" w:cs="仿宋_GB2312"/>
                <w:color w:val="000000"/>
                <w:sz w:val="28"/>
              </w:rPr>
              <w:t>（2）供应商自觉接受采购人的监督、检查和指导，按要求保质保量高标准完成临时交办的各项任务，对采购人发现的问题采取积极措施快速整改到位。</w:t>
            </w:r>
          </w:p>
          <w:p w14:paraId="4F2AE111">
            <w:pPr>
              <w:pStyle w:val="4"/>
              <w:ind w:firstLine="560"/>
              <w:jc w:val="left"/>
            </w:pPr>
            <w:r>
              <w:rPr>
                <w:rFonts w:ascii="仿宋_GB2312" w:hAnsi="仿宋_GB2312" w:eastAsia="仿宋_GB2312" w:cs="仿宋_GB2312"/>
                <w:color w:val="000000"/>
                <w:sz w:val="28"/>
              </w:rPr>
              <w:t>（3）供应商定期组织和安排派驻本项目的工作人员进行常规体检。根据实际需要，合理安排和设置工作人员休息点。</w:t>
            </w:r>
          </w:p>
          <w:p w14:paraId="44EC34E2">
            <w:pPr>
              <w:pStyle w:val="4"/>
              <w:ind w:firstLine="560"/>
              <w:jc w:val="left"/>
            </w:pPr>
            <w:r>
              <w:rPr>
                <w:rFonts w:ascii="仿宋_GB2312" w:hAnsi="仿宋_GB2312" w:eastAsia="仿宋_GB2312" w:cs="仿宋_GB2312"/>
                <w:color w:val="000000"/>
                <w:sz w:val="28"/>
              </w:rPr>
              <w:t>（4）供应商负责合同期内服务人员的资质审查，确保所有服务人员均具备合同及法律规定的相应资质。若因供应商审查不到位，导致服务人员不具备相应资质而被有关部门处分或造成采购人损失的，供应商应承担全部责任，并赔偿采购人因此遭受的全部损失</w:t>
            </w:r>
          </w:p>
          <w:p w14:paraId="437EE820">
            <w:pPr>
              <w:pStyle w:val="4"/>
              <w:ind w:firstLine="560"/>
              <w:jc w:val="left"/>
            </w:pPr>
            <w:r>
              <w:rPr>
                <w:rFonts w:ascii="仿宋_GB2312" w:hAnsi="仿宋_GB2312" w:eastAsia="仿宋_GB2312" w:cs="仿宋_GB2312"/>
                <w:color w:val="000000"/>
                <w:sz w:val="28"/>
              </w:rPr>
              <w:t>（5）严格遵守安全生产相关规定，安全操作、文明作业。合同期内，在服务场所及与履行本合同相关的任何事项中，发生的一切人身损害、财产损失、安全事故及其他责任事故，其全部法律责任及经济赔偿均由供应商独立承担；若导致采购人对外承担责任或遭受损失的，供应商应负责全额赔偿。</w:t>
            </w:r>
          </w:p>
          <w:p w14:paraId="48E39D92">
            <w:pPr>
              <w:pStyle w:val="4"/>
              <w:ind w:firstLine="560"/>
              <w:jc w:val="left"/>
            </w:pPr>
            <w:r>
              <w:rPr>
                <w:rFonts w:ascii="仿宋_GB2312" w:hAnsi="仿宋_GB2312" w:eastAsia="仿宋_GB2312" w:cs="仿宋_GB2312"/>
                <w:color w:val="000000"/>
                <w:sz w:val="28"/>
              </w:rPr>
              <w:t>（6）供应商有权在完成服务内容的基础上，要求采购人按时足额支付相应的服务费用。</w:t>
            </w:r>
          </w:p>
          <w:p w14:paraId="5DCF850A">
            <w:pPr>
              <w:pStyle w:val="4"/>
              <w:ind w:firstLine="560"/>
              <w:jc w:val="left"/>
            </w:pPr>
            <w:r>
              <w:rPr>
                <w:rFonts w:ascii="仿宋_GB2312" w:hAnsi="仿宋_GB2312" w:eastAsia="仿宋_GB2312" w:cs="仿宋_GB2312"/>
                <w:color w:val="000000"/>
                <w:sz w:val="28"/>
              </w:rPr>
              <w:t>（7）供应商提供的物业人员的劳动关系属于供应商，在合同期间发生工伤意外及人身意外等所有安全事故均由供应商负责赔偿及处理相关事宜。</w:t>
            </w:r>
          </w:p>
          <w:p w14:paraId="67E5AE2B">
            <w:pPr>
              <w:pStyle w:val="4"/>
              <w:ind w:firstLine="560"/>
              <w:jc w:val="left"/>
            </w:pPr>
            <w:r>
              <w:rPr>
                <w:rFonts w:ascii="仿宋_GB2312" w:hAnsi="仿宋_GB2312" w:eastAsia="仿宋_GB2312" w:cs="仿宋_GB2312"/>
                <w:color w:val="000000"/>
                <w:sz w:val="28"/>
              </w:rPr>
              <w:t>（8）供应商应服从采购人规章制度和工作安排，采购人有权要求更换不能胜任工作的岗位人员，供应商应按照采购人要求在5日内重新提供能胜任工作的人员到岗，且负责处理合同服务期所有用工纠纷和调解管理纠纷。</w:t>
            </w:r>
          </w:p>
          <w:p w14:paraId="73112602">
            <w:pPr>
              <w:pStyle w:val="4"/>
              <w:ind w:firstLine="560"/>
              <w:jc w:val="left"/>
            </w:pPr>
            <w:r>
              <w:rPr>
                <w:rFonts w:ascii="仿宋_GB2312" w:hAnsi="仿宋_GB2312" w:eastAsia="仿宋_GB2312" w:cs="仿宋_GB2312"/>
                <w:color w:val="000000"/>
                <w:sz w:val="28"/>
              </w:rPr>
              <w:t>（9）供应商因工作疏忽、泄露工作秘密或违法犯罪给采购人造成损失的，采购人有权要求供应商依法赔偿。泄露采购人工作秘密或者其他人正当权益的，采购人有权制止，涉嫌犯罪的，采购人有权将直接责任人移送司法机关处理。</w:t>
            </w:r>
          </w:p>
          <w:p w14:paraId="2E2E5BA1">
            <w:pPr>
              <w:pStyle w:val="4"/>
              <w:ind w:firstLine="560"/>
              <w:jc w:val="left"/>
            </w:pPr>
            <w:r>
              <w:rPr>
                <w:rFonts w:ascii="仿宋_GB2312" w:hAnsi="仿宋_GB2312" w:eastAsia="仿宋_GB2312" w:cs="仿宋_GB2312"/>
                <w:color w:val="000000"/>
                <w:sz w:val="28"/>
              </w:rPr>
              <w:t>（10）供应商负责为上岗人员开展适应性技能服务培训事宜。</w:t>
            </w:r>
          </w:p>
          <w:p w14:paraId="1805406B">
            <w:pPr>
              <w:pStyle w:val="4"/>
              <w:ind w:firstLine="560"/>
              <w:jc w:val="left"/>
            </w:pPr>
            <w:r>
              <w:rPr>
                <w:rFonts w:ascii="仿宋_GB2312" w:hAnsi="仿宋_GB2312" w:eastAsia="仿宋_GB2312" w:cs="仿宋_GB2312"/>
                <w:sz w:val="28"/>
              </w:rPr>
              <w:t>（11）国家法律法规所规定的供应商其他权利义务。</w:t>
            </w:r>
          </w:p>
        </w:tc>
      </w:tr>
      <w:tr w14:paraId="655EBF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2F4DB1">
            <w:pPr>
              <w:pStyle w:val="4"/>
              <w:jc w:val="center"/>
            </w:pPr>
            <w:r>
              <w:rPr>
                <w:rFonts w:ascii="仿宋_GB2312" w:hAnsi="仿宋_GB2312" w:eastAsia="仿宋_GB2312" w:cs="仿宋_GB2312"/>
              </w:rPr>
              <w:t>3</w:t>
            </w:r>
          </w:p>
        </w:tc>
        <w:tc>
          <w:tcPr>
            <w:tcW w:w="581" w:type="dxa"/>
          </w:tcPr>
          <w:p w14:paraId="17217EF6">
            <w:pPr>
              <w:pStyle w:val="4"/>
              <w:jc w:val="center"/>
            </w:pPr>
            <w:r>
              <w:rPr>
                <w:rFonts w:ascii="仿宋_GB2312" w:hAnsi="仿宋_GB2312" w:eastAsia="仿宋_GB2312" w:cs="仿宋_GB2312"/>
              </w:rPr>
              <w:t>★</w:t>
            </w:r>
          </w:p>
        </w:tc>
        <w:tc>
          <w:tcPr>
            <w:tcW w:w="1495" w:type="dxa"/>
          </w:tcPr>
          <w:p w14:paraId="74E910EC">
            <w:pPr>
              <w:pStyle w:val="4"/>
              <w:jc w:val="left"/>
            </w:pPr>
            <w:r>
              <w:rPr>
                <w:rFonts w:ascii="仿宋_GB2312" w:hAnsi="仿宋_GB2312" w:eastAsia="仿宋_GB2312" w:cs="仿宋_GB2312"/>
              </w:rPr>
              <w:t>合同的解除</w:t>
            </w:r>
          </w:p>
        </w:tc>
        <w:tc>
          <w:tcPr>
            <w:tcW w:w="5814" w:type="dxa"/>
          </w:tcPr>
          <w:p w14:paraId="46B48CC4">
            <w:pPr>
              <w:pStyle w:val="4"/>
              <w:ind w:firstLine="560"/>
              <w:jc w:val="left"/>
            </w:pPr>
            <w:r>
              <w:rPr>
                <w:rFonts w:ascii="仿宋_GB2312" w:hAnsi="仿宋_GB2312" w:eastAsia="仿宋_GB2312" w:cs="仿宋_GB2312"/>
                <w:color w:val="000000"/>
                <w:sz w:val="28"/>
              </w:rPr>
              <w:t>有下列情形之一的，当事人可以解除合同：</w:t>
            </w:r>
          </w:p>
          <w:p w14:paraId="5B7B740F">
            <w:pPr>
              <w:pStyle w:val="4"/>
              <w:ind w:firstLine="560"/>
              <w:jc w:val="left"/>
            </w:pPr>
            <w:r>
              <w:rPr>
                <w:rFonts w:ascii="仿宋_GB2312" w:hAnsi="仿宋_GB2312" w:eastAsia="仿宋_GB2312" w:cs="仿宋_GB2312"/>
                <w:color w:val="000000"/>
                <w:sz w:val="28"/>
              </w:rPr>
              <w:t>1.因不可抗力致使不能实现合同目的(由于非供应商或非采购人原因，致使合同目的或实质性条款无法实现的)。</w:t>
            </w:r>
          </w:p>
          <w:p w14:paraId="1CC5D305">
            <w:pPr>
              <w:pStyle w:val="4"/>
              <w:ind w:firstLine="560"/>
              <w:jc w:val="left"/>
            </w:pPr>
            <w:r>
              <w:rPr>
                <w:rFonts w:ascii="仿宋_GB2312" w:hAnsi="仿宋_GB2312" w:eastAsia="仿宋_GB2312" w:cs="仿宋_GB2312"/>
                <w:color w:val="000000"/>
                <w:sz w:val="28"/>
              </w:rPr>
              <w:t>2.当事人一方迟延履行主合同义务，经催告后在合理期限内仍未履行。</w:t>
            </w:r>
          </w:p>
          <w:p w14:paraId="3293EBFF">
            <w:pPr>
              <w:pStyle w:val="4"/>
              <w:ind w:firstLine="560"/>
              <w:jc w:val="left"/>
            </w:pPr>
            <w:r>
              <w:rPr>
                <w:rFonts w:ascii="仿宋_GB2312" w:hAnsi="仿宋_GB2312" w:eastAsia="仿宋_GB2312" w:cs="仿宋_GB2312"/>
                <w:color w:val="000000"/>
                <w:sz w:val="28"/>
              </w:rPr>
              <w:t>3.当事人一方迟延履行义务或者有其他违约行为致使不能实现合同目的。</w:t>
            </w:r>
          </w:p>
          <w:p w14:paraId="1CEA8CF9">
            <w:pPr>
              <w:pStyle w:val="4"/>
              <w:ind w:firstLine="560"/>
              <w:jc w:val="left"/>
            </w:pPr>
            <w:r>
              <w:rPr>
                <w:rFonts w:ascii="仿宋_GB2312" w:hAnsi="仿宋_GB2312" w:eastAsia="仿宋_GB2312" w:cs="仿宋_GB2312"/>
                <w:color w:val="000000"/>
                <w:sz w:val="28"/>
              </w:rPr>
              <w:t>4.法律规定的其他情形。</w:t>
            </w:r>
          </w:p>
        </w:tc>
      </w:tr>
      <w:tr w14:paraId="6DB48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DBED8C">
            <w:pPr>
              <w:pStyle w:val="4"/>
              <w:jc w:val="center"/>
            </w:pPr>
            <w:r>
              <w:rPr>
                <w:rFonts w:ascii="仿宋_GB2312" w:hAnsi="仿宋_GB2312" w:eastAsia="仿宋_GB2312" w:cs="仿宋_GB2312"/>
              </w:rPr>
              <w:t>4</w:t>
            </w:r>
          </w:p>
        </w:tc>
        <w:tc>
          <w:tcPr>
            <w:tcW w:w="581" w:type="dxa"/>
          </w:tcPr>
          <w:p w14:paraId="69ACA801">
            <w:pPr>
              <w:pStyle w:val="4"/>
              <w:jc w:val="center"/>
            </w:pPr>
            <w:r>
              <w:rPr>
                <w:rFonts w:ascii="仿宋_GB2312" w:hAnsi="仿宋_GB2312" w:eastAsia="仿宋_GB2312" w:cs="仿宋_GB2312"/>
              </w:rPr>
              <w:t>★</w:t>
            </w:r>
          </w:p>
        </w:tc>
        <w:tc>
          <w:tcPr>
            <w:tcW w:w="1495" w:type="dxa"/>
          </w:tcPr>
          <w:p w14:paraId="31B8D302">
            <w:pPr>
              <w:pStyle w:val="4"/>
              <w:jc w:val="left"/>
            </w:pPr>
            <w:r>
              <w:rPr>
                <w:rFonts w:ascii="仿宋_GB2312" w:hAnsi="仿宋_GB2312" w:eastAsia="仿宋_GB2312" w:cs="仿宋_GB2312"/>
              </w:rPr>
              <w:t>不可抗力事件处理</w:t>
            </w:r>
          </w:p>
        </w:tc>
        <w:tc>
          <w:tcPr>
            <w:tcW w:w="5814" w:type="dxa"/>
          </w:tcPr>
          <w:p w14:paraId="4039410C">
            <w:pPr>
              <w:pStyle w:val="4"/>
              <w:ind w:firstLine="560"/>
              <w:jc w:val="left"/>
            </w:pPr>
            <w:r>
              <w:rPr>
                <w:rFonts w:ascii="仿宋_GB2312" w:hAnsi="仿宋_GB2312" w:eastAsia="仿宋_GB2312" w:cs="仿宋_GB2312"/>
                <w:color w:val="000000"/>
                <w:sz w:val="28"/>
              </w:rPr>
              <w:t>1.在合同有效期内，任何一方因不可抗力事件（如：自然灾害、战争、暴乱、政策变化）导致不能履行合同，则合同履行期可延长，其延长期与不可抗力影响期相同。</w:t>
            </w:r>
          </w:p>
          <w:p w14:paraId="24F74EBA">
            <w:pPr>
              <w:pStyle w:val="4"/>
              <w:ind w:firstLine="560"/>
              <w:jc w:val="left"/>
            </w:pPr>
            <w:r>
              <w:rPr>
                <w:rFonts w:ascii="仿宋_GB2312" w:hAnsi="仿宋_GB2312" w:eastAsia="仿宋_GB2312" w:cs="仿宋_GB2312"/>
                <w:color w:val="000000"/>
                <w:sz w:val="28"/>
              </w:rPr>
              <w:t>2.不可抗力事件发生后，应立即通知对方，并寄送有关权威机构出具的证明。</w:t>
            </w:r>
          </w:p>
          <w:p w14:paraId="40A7481D">
            <w:pPr>
              <w:pStyle w:val="4"/>
              <w:ind w:firstLine="560"/>
              <w:jc w:val="left"/>
            </w:pPr>
            <w:r>
              <w:rPr>
                <w:rFonts w:ascii="仿宋_GB2312" w:hAnsi="仿宋_GB2312" w:eastAsia="仿宋_GB2312" w:cs="仿宋_GB2312"/>
                <w:color w:val="000000"/>
                <w:sz w:val="28"/>
              </w:rPr>
              <w:t>3.不可抗力事件延续120天以上，双方应通过友好协商，确定是否继续履行合同。</w:t>
            </w:r>
          </w:p>
        </w:tc>
      </w:tr>
      <w:tr w14:paraId="5951D3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C030D1">
            <w:pPr>
              <w:pStyle w:val="4"/>
              <w:jc w:val="center"/>
            </w:pPr>
            <w:r>
              <w:rPr>
                <w:rFonts w:ascii="仿宋_GB2312" w:hAnsi="仿宋_GB2312" w:eastAsia="仿宋_GB2312" w:cs="仿宋_GB2312"/>
              </w:rPr>
              <w:t>5</w:t>
            </w:r>
          </w:p>
        </w:tc>
        <w:tc>
          <w:tcPr>
            <w:tcW w:w="581" w:type="dxa"/>
          </w:tcPr>
          <w:p w14:paraId="230CA0BA">
            <w:pPr>
              <w:pStyle w:val="4"/>
              <w:jc w:val="center"/>
            </w:pPr>
            <w:r>
              <w:rPr>
                <w:rFonts w:ascii="仿宋_GB2312" w:hAnsi="仿宋_GB2312" w:eastAsia="仿宋_GB2312" w:cs="仿宋_GB2312"/>
              </w:rPr>
              <w:t>★</w:t>
            </w:r>
          </w:p>
        </w:tc>
        <w:tc>
          <w:tcPr>
            <w:tcW w:w="1495" w:type="dxa"/>
          </w:tcPr>
          <w:p w14:paraId="042D7EB0">
            <w:pPr>
              <w:pStyle w:val="4"/>
              <w:jc w:val="left"/>
            </w:pPr>
            <w:r>
              <w:rPr>
                <w:rFonts w:ascii="仿宋_GB2312" w:hAnsi="仿宋_GB2312" w:eastAsia="仿宋_GB2312" w:cs="仿宋_GB2312"/>
              </w:rPr>
              <w:t>成本补偿和风险分担约定</w:t>
            </w:r>
          </w:p>
        </w:tc>
        <w:tc>
          <w:tcPr>
            <w:tcW w:w="5814" w:type="dxa"/>
          </w:tcPr>
          <w:p w14:paraId="0255E15B">
            <w:pPr>
              <w:pStyle w:val="4"/>
              <w:jc w:val="left"/>
            </w:pPr>
            <w:r>
              <w:rPr>
                <w:rFonts w:ascii="仿宋_GB2312" w:hAnsi="仿宋_GB2312" w:eastAsia="仿宋_GB2312" w:cs="仿宋_GB2312"/>
                <w:color w:val="000000"/>
                <w:sz w:val="28"/>
              </w:rPr>
              <w:t>本项目为总价合同，合同价款包含</w:t>
            </w:r>
            <w:r>
              <w:rPr>
                <w:rFonts w:ascii="仿宋_GB2312" w:hAnsi="仿宋_GB2312" w:eastAsia="仿宋_GB2312" w:cs="仿宋_GB2312"/>
                <w:sz w:val="28"/>
              </w:rPr>
              <w:t>所有完成本项目的相关费用</w:t>
            </w:r>
            <w:r>
              <w:rPr>
                <w:rFonts w:ascii="仿宋_GB2312" w:hAnsi="仿宋_GB2312" w:eastAsia="仿宋_GB2312" w:cs="仿宋_GB2312"/>
                <w:color w:val="000000"/>
                <w:sz w:val="28"/>
              </w:rPr>
              <w:t>，供应商报价应符合政府采购法及国家和地方现行相关政策规定，采购人无需额外支付任何费用；供应商自行承担服务过程中的人员安全风险、用工风险、市场价格波动风险、政策调整风险等全部经营风险，因上述风险产生的额外成本由供应商自行承担。</w:t>
            </w:r>
          </w:p>
        </w:tc>
      </w:tr>
      <w:tr w14:paraId="30C2D6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058EC9">
            <w:pPr>
              <w:pStyle w:val="4"/>
              <w:jc w:val="center"/>
            </w:pPr>
            <w:r>
              <w:rPr>
                <w:rFonts w:ascii="仿宋_GB2312" w:hAnsi="仿宋_GB2312" w:eastAsia="仿宋_GB2312" w:cs="仿宋_GB2312"/>
              </w:rPr>
              <w:t>6</w:t>
            </w:r>
          </w:p>
        </w:tc>
        <w:tc>
          <w:tcPr>
            <w:tcW w:w="581" w:type="dxa"/>
          </w:tcPr>
          <w:p w14:paraId="0160BF94">
            <w:pPr>
              <w:pStyle w:val="4"/>
              <w:jc w:val="center"/>
            </w:pPr>
            <w:r>
              <w:rPr>
                <w:rFonts w:ascii="仿宋_GB2312" w:hAnsi="仿宋_GB2312" w:eastAsia="仿宋_GB2312" w:cs="仿宋_GB2312"/>
              </w:rPr>
              <w:t>★</w:t>
            </w:r>
          </w:p>
        </w:tc>
        <w:tc>
          <w:tcPr>
            <w:tcW w:w="1495" w:type="dxa"/>
          </w:tcPr>
          <w:p w14:paraId="0AAFEDC4">
            <w:pPr>
              <w:pStyle w:val="4"/>
              <w:jc w:val="left"/>
            </w:pPr>
            <w:r>
              <w:rPr>
                <w:rFonts w:ascii="仿宋_GB2312" w:hAnsi="仿宋_GB2312" w:eastAsia="仿宋_GB2312" w:cs="仿宋_GB2312"/>
              </w:rPr>
              <w:t>其他要求（供应商须提供承诺函，格式自拟，对本要求进行响应，如未提供视为未实质性响应）</w:t>
            </w:r>
          </w:p>
        </w:tc>
        <w:tc>
          <w:tcPr>
            <w:tcW w:w="5814" w:type="dxa"/>
          </w:tcPr>
          <w:p w14:paraId="14E464FA">
            <w:pPr>
              <w:pStyle w:val="4"/>
              <w:jc w:val="left"/>
            </w:pPr>
            <w:r>
              <w:rPr>
                <w:rFonts w:ascii="仿宋_GB2312" w:hAnsi="仿宋_GB2312" w:eastAsia="仿宋_GB2312" w:cs="仿宋_GB2312"/>
                <w:sz w:val="28"/>
              </w:rPr>
              <w:t>供应商须承诺如成为本项目中标（成交）供应商，除法律法规规定的可以不签订政府采购合同的情形外，须按照响应报价与采购人签订政府采购合同，并自行承担不以响应报价签订政府采购合同的相应后果及法律责任。</w:t>
            </w:r>
          </w:p>
        </w:tc>
      </w:tr>
      <w:tr w14:paraId="53530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6C47E0">
            <w:pPr>
              <w:pStyle w:val="4"/>
              <w:jc w:val="center"/>
            </w:pPr>
            <w:r>
              <w:rPr>
                <w:rFonts w:ascii="仿宋_GB2312" w:hAnsi="仿宋_GB2312" w:eastAsia="仿宋_GB2312" w:cs="仿宋_GB2312"/>
              </w:rPr>
              <w:t>7</w:t>
            </w:r>
          </w:p>
        </w:tc>
        <w:tc>
          <w:tcPr>
            <w:tcW w:w="581" w:type="dxa"/>
          </w:tcPr>
          <w:p w14:paraId="2574E1D2">
            <w:pPr>
              <w:pStyle w:val="4"/>
              <w:jc w:val="center"/>
            </w:pPr>
            <w:r>
              <w:rPr>
                <w:rFonts w:ascii="仿宋_GB2312" w:hAnsi="仿宋_GB2312" w:eastAsia="仿宋_GB2312" w:cs="仿宋_GB2312"/>
              </w:rPr>
              <w:t>★</w:t>
            </w:r>
          </w:p>
        </w:tc>
        <w:tc>
          <w:tcPr>
            <w:tcW w:w="1495" w:type="dxa"/>
          </w:tcPr>
          <w:p w14:paraId="0FFFE645">
            <w:pPr>
              <w:pStyle w:val="4"/>
              <w:jc w:val="left"/>
            </w:pPr>
            <w:r>
              <w:rPr>
                <w:rFonts w:ascii="仿宋_GB2312" w:hAnsi="仿宋_GB2312" w:eastAsia="仿宋_GB2312" w:cs="仿宋_GB2312"/>
              </w:rPr>
              <w:t>付款进度安排（本项目支付方式及付款进度以此处要求为准进行响应，如未按此处要求响应，视为未实质性响应）</w:t>
            </w:r>
          </w:p>
        </w:tc>
        <w:tc>
          <w:tcPr>
            <w:tcW w:w="5814" w:type="dxa"/>
          </w:tcPr>
          <w:p w14:paraId="3F2AF1CB">
            <w:pPr>
              <w:pStyle w:val="4"/>
              <w:ind w:firstLine="560"/>
              <w:jc w:val="left"/>
            </w:pPr>
            <w:r>
              <w:rPr>
                <w:rFonts w:ascii="仿宋_GB2312" w:hAnsi="仿宋_GB2312" w:eastAsia="仿宋_GB2312" w:cs="仿宋_GB2312"/>
                <w:sz w:val="28"/>
              </w:rPr>
              <w:t>1.支付方式：按月考核后次月支付。供应商当月服务完毕后，采购人在次月15日前根据《成都市双流区东升迎春小学校园安防服务考核办法》完成对供应商提供的服务进行考核，并依据考核结果结算每月服务费，每月服务费于次月考核完毕且收到供应商提供合法有效的发票及齐全的付款资料后10个工作日内支付。</w:t>
            </w:r>
          </w:p>
          <w:p w14:paraId="5D6EEA27">
            <w:pPr>
              <w:pStyle w:val="4"/>
              <w:ind w:firstLine="544"/>
              <w:jc w:val="left"/>
            </w:pPr>
            <w:r>
              <w:rPr>
                <w:rFonts w:ascii="仿宋_GB2312" w:hAnsi="仿宋_GB2312" w:eastAsia="仿宋_GB2312" w:cs="仿宋_GB2312"/>
                <w:color w:val="000000"/>
                <w:sz w:val="28"/>
              </w:rPr>
              <w:t>2.付款公式：每月服务费=成交金额/12-每月考核结果扣除费用（如涉及）。</w:t>
            </w:r>
          </w:p>
          <w:p w14:paraId="45B6F520">
            <w:pPr>
              <w:pStyle w:val="4"/>
              <w:ind w:firstLine="544"/>
              <w:jc w:val="left"/>
            </w:pPr>
            <w:r>
              <w:rPr>
                <w:rFonts w:ascii="仿宋_GB2312" w:hAnsi="仿宋_GB2312" w:eastAsia="仿宋_GB2312" w:cs="仿宋_GB2312"/>
                <w:color w:val="000000"/>
                <w:sz w:val="28"/>
              </w:rPr>
              <w:t>3.采购人每次付款前，供应商应向采购人提供合法有效的等额发票、人员工资发放证明材料及每月采购人签字盖章的服务考核表，采购人收到齐全的付款资料后进行支付，否则采购人有权暂缓付款，且并不承担违约责任。</w:t>
            </w:r>
          </w:p>
          <w:p w14:paraId="6D437812">
            <w:pPr>
              <w:pStyle w:val="4"/>
              <w:ind w:firstLine="544"/>
              <w:jc w:val="left"/>
            </w:pPr>
            <w:r>
              <w:rPr>
                <w:rFonts w:ascii="仿宋_GB2312" w:hAnsi="仿宋_GB2312" w:eastAsia="仿宋_GB2312" w:cs="仿宋_GB2312"/>
                <w:color w:val="000000"/>
                <w:sz w:val="28"/>
              </w:rPr>
              <w:t>4.合同最后一个月服务费待供应商退场且无劳资纠纷后10个工作日内支付。</w:t>
            </w:r>
          </w:p>
        </w:tc>
      </w:tr>
    </w:tbl>
    <w:p w14:paraId="1FE0C593">
      <w:pPr>
        <w:pStyle w:val="4"/>
        <w:jc w:val="left"/>
        <w:outlineLvl w:val="3"/>
      </w:pPr>
      <w:r>
        <w:rPr>
          <w:rFonts w:ascii="仿宋_GB2312" w:hAnsi="仿宋_GB2312" w:eastAsia="仿宋_GB2312" w:cs="仿宋_GB2312"/>
          <w:b/>
          <w:sz w:val="24"/>
        </w:rPr>
        <w:t>3.3.2.商务要求</w:t>
      </w:r>
    </w:p>
    <w:p w14:paraId="1F8930D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3F20E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AC5ABC">
            <w:pPr>
              <w:pStyle w:val="4"/>
              <w:jc w:val="left"/>
            </w:pPr>
            <w:r>
              <w:rPr>
                <w:rFonts w:ascii="仿宋_GB2312" w:hAnsi="仿宋_GB2312" w:eastAsia="仿宋_GB2312" w:cs="仿宋_GB2312"/>
              </w:rPr>
              <w:t>序号</w:t>
            </w:r>
          </w:p>
        </w:tc>
        <w:tc>
          <w:tcPr>
            <w:tcW w:w="2076" w:type="dxa"/>
          </w:tcPr>
          <w:p w14:paraId="3BBD2606">
            <w:pPr>
              <w:pStyle w:val="4"/>
              <w:jc w:val="left"/>
            </w:pPr>
            <w:r>
              <w:rPr>
                <w:rFonts w:ascii="仿宋_GB2312" w:hAnsi="仿宋_GB2312" w:eastAsia="仿宋_GB2312" w:cs="仿宋_GB2312"/>
              </w:rPr>
              <w:t>符号标识</w:t>
            </w:r>
          </w:p>
        </w:tc>
        <w:tc>
          <w:tcPr>
            <w:tcW w:w="2076" w:type="dxa"/>
          </w:tcPr>
          <w:p w14:paraId="3AB8FDF3">
            <w:pPr>
              <w:pStyle w:val="4"/>
              <w:jc w:val="left"/>
            </w:pPr>
            <w:r>
              <w:rPr>
                <w:rFonts w:ascii="仿宋_GB2312" w:hAnsi="仿宋_GB2312" w:eastAsia="仿宋_GB2312" w:cs="仿宋_GB2312"/>
              </w:rPr>
              <w:t>商务要求名称</w:t>
            </w:r>
          </w:p>
        </w:tc>
        <w:tc>
          <w:tcPr>
            <w:tcW w:w="2076" w:type="dxa"/>
          </w:tcPr>
          <w:p w14:paraId="7B66D108">
            <w:pPr>
              <w:pStyle w:val="4"/>
              <w:jc w:val="left"/>
            </w:pPr>
            <w:r>
              <w:rPr>
                <w:rFonts w:ascii="仿宋_GB2312" w:hAnsi="仿宋_GB2312" w:eastAsia="仿宋_GB2312" w:cs="仿宋_GB2312"/>
              </w:rPr>
              <w:t>商务要求内容</w:t>
            </w:r>
          </w:p>
        </w:tc>
      </w:tr>
      <w:tr w14:paraId="601ED8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4A38725F">
            <w:pPr>
              <w:pStyle w:val="4"/>
              <w:jc w:val="left"/>
            </w:pPr>
            <w:r>
              <w:rPr>
                <w:rFonts w:ascii="仿宋_GB2312" w:hAnsi="仿宋_GB2312" w:eastAsia="仿宋_GB2312" w:cs="仿宋_GB2312"/>
              </w:rPr>
              <w:t>1</w:t>
            </w:r>
          </w:p>
        </w:tc>
        <w:tc>
          <w:tcPr>
            <w:tcW w:w="2076" w:type="dxa"/>
          </w:tcPr>
          <w:p w14:paraId="7659312C">
            <w:pPr>
              <w:pStyle w:val="4"/>
              <w:jc w:val="left"/>
            </w:pPr>
            <w:r>
              <w:rPr>
                <w:rFonts w:ascii="仿宋_GB2312" w:hAnsi="仿宋_GB2312" w:eastAsia="仿宋_GB2312" w:cs="仿宋_GB2312"/>
              </w:rPr>
              <w:t>★</w:t>
            </w:r>
          </w:p>
        </w:tc>
        <w:tc>
          <w:tcPr>
            <w:tcW w:w="2076" w:type="dxa"/>
          </w:tcPr>
          <w:p w14:paraId="63683E81">
            <w:pPr>
              <w:pStyle w:val="4"/>
              <w:jc w:val="left"/>
            </w:pPr>
            <w:r>
              <w:rPr>
                <w:rFonts w:ascii="仿宋_GB2312" w:hAnsi="仿宋_GB2312" w:eastAsia="仿宋_GB2312" w:cs="仿宋_GB2312"/>
              </w:rPr>
              <w:t>服务期限</w:t>
            </w:r>
          </w:p>
        </w:tc>
        <w:tc>
          <w:tcPr>
            <w:tcW w:w="2076" w:type="dxa"/>
          </w:tcPr>
          <w:p w14:paraId="7396CCDE">
            <w:pPr>
              <w:pStyle w:val="4"/>
              <w:jc w:val="left"/>
            </w:pPr>
            <w:r>
              <w:rPr>
                <w:rFonts w:ascii="仿宋_GB2312" w:hAnsi="仿宋_GB2312" w:eastAsia="仿宋_GB2312" w:cs="仿宋_GB2312"/>
              </w:rPr>
              <w:t>自合同签字之日起二年，合同一年一签，经考核合格后续签下一年度合同。</w:t>
            </w:r>
          </w:p>
        </w:tc>
      </w:tr>
      <w:tr w14:paraId="7DB65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92BB61">
            <w:pPr>
              <w:pStyle w:val="4"/>
              <w:jc w:val="left"/>
            </w:pPr>
            <w:r>
              <w:rPr>
                <w:rFonts w:ascii="仿宋_GB2312" w:hAnsi="仿宋_GB2312" w:eastAsia="仿宋_GB2312" w:cs="仿宋_GB2312"/>
              </w:rPr>
              <w:t>2</w:t>
            </w:r>
          </w:p>
        </w:tc>
        <w:tc>
          <w:tcPr>
            <w:tcW w:w="2076" w:type="dxa"/>
          </w:tcPr>
          <w:p w14:paraId="59C24774">
            <w:pPr>
              <w:pStyle w:val="4"/>
              <w:jc w:val="left"/>
            </w:pPr>
            <w:r>
              <w:rPr>
                <w:rFonts w:ascii="仿宋_GB2312" w:hAnsi="仿宋_GB2312" w:eastAsia="仿宋_GB2312" w:cs="仿宋_GB2312"/>
              </w:rPr>
              <w:t>★</w:t>
            </w:r>
          </w:p>
        </w:tc>
        <w:tc>
          <w:tcPr>
            <w:tcW w:w="2076" w:type="dxa"/>
          </w:tcPr>
          <w:p w14:paraId="7B59B9F8">
            <w:pPr>
              <w:pStyle w:val="4"/>
              <w:jc w:val="left"/>
            </w:pPr>
            <w:r>
              <w:rPr>
                <w:rFonts w:ascii="仿宋_GB2312" w:hAnsi="仿宋_GB2312" w:eastAsia="仿宋_GB2312" w:cs="仿宋_GB2312"/>
              </w:rPr>
              <w:t>服务地点</w:t>
            </w:r>
          </w:p>
        </w:tc>
        <w:tc>
          <w:tcPr>
            <w:tcW w:w="2076" w:type="dxa"/>
          </w:tcPr>
          <w:p w14:paraId="093ABBF7">
            <w:pPr>
              <w:pStyle w:val="4"/>
              <w:jc w:val="left"/>
            </w:pPr>
            <w:r>
              <w:rPr>
                <w:rFonts w:ascii="仿宋_GB2312" w:hAnsi="仿宋_GB2312" w:eastAsia="仿宋_GB2312" w:cs="仿宋_GB2312"/>
              </w:rPr>
              <w:t>成都市双流区东升迎春小学</w:t>
            </w:r>
          </w:p>
        </w:tc>
      </w:tr>
      <w:tr w14:paraId="7ACA48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208973">
            <w:pPr>
              <w:pStyle w:val="4"/>
              <w:jc w:val="left"/>
            </w:pPr>
            <w:r>
              <w:rPr>
                <w:rFonts w:ascii="仿宋_GB2312" w:hAnsi="仿宋_GB2312" w:eastAsia="仿宋_GB2312" w:cs="仿宋_GB2312"/>
              </w:rPr>
              <w:t>3</w:t>
            </w:r>
          </w:p>
        </w:tc>
        <w:tc>
          <w:tcPr>
            <w:tcW w:w="2076" w:type="dxa"/>
          </w:tcPr>
          <w:p w14:paraId="0A7AEC64">
            <w:pPr>
              <w:pStyle w:val="4"/>
              <w:jc w:val="left"/>
            </w:pPr>
            <w:r>
              <w:rPr>
                <w:rFonts w:ascii="仿宋_GB2312" w:hAnsi="仿宋_GB2312" w:eastAsia="仿宋_GB2312" w:cs="仿宋_GB2312"/>
              </w:rPr>
              <w:t>★</w:t>
            </w:r>
          </w:p>
        </w:tc>
        <w:tc>
          <w:tcPr>
            <w:tcW w:w="2076" w:type="dxa"/>
          </w:tcPr>
          <w:p w14:paraId="4CBEA1FF">
            <w:pPr>
              <w:pStyle w:val="4"/>
              <w:jc w:val="left"/>
            </w:pPr>
            <w:r>
              <w:rPr>
                <w:rFonts w:ascii="仿宋_GB2312" w:hAnsi="仿宋_GB2312" w:eastAsia="仿宋_GB2312" w:cs="仿宋_GB2312"/>
              </w:rPr>
              <w:t>验收、交付标准和方法</w:t>
            </w:r>
          </w:p>
        </w:tc>
        <w:tc>
          <w:tcPr>
            <w:tcW w:w="2076" w:type="dxa"/>
          </w:tcPr>
          <w:p w14:paraId="360D8713">
            <w:pPr>
              <w:pStyle w:val="4"/>
              <w:jc w:val="left"/>
            </w:pPr>
            <w:r>
              <w:rPr>
                <w:rFonts w:ascii="仿宋_GB2312" w:hAnsi="仿宋_GB2312" w:eastAsia="仿宋_GB2312" w:cs="仿宋_GB2312"/>
              </w:rPr>
              <w:t>（1）验收主体：成都市双流区东升迎春小学 （2）验收：由采购人组织，验收分为3次，按照初验、复验、终验三个环节进行验收。 初验：供应商应在双方签订合同前三个工作日内，将所投入服务人员经采购人确认进行定岗、定责及上岗培训作为初验，初验合格后才能按合同内容履行服务。 复验：采购人根据考核办法及标准对供应商每月服务质量进行考核，考核后采购人在考核表上签字盖章作为支付服务费的佐证材料。 终验：年度服务合同到期前10日内供应商向采购人提出终验申请，采购人根据供应商每月的考核表及年度考核所需材料组织验收。年度考核合格（年度考核合格标准为合同期内所涉及的月考核平均分不低于90分（含））后续签下一年合同。 （3）其他验收标准：①按国家有关规定以及采购文件的服务内容及要求、供应商的响应文件及承诺及采购合同约定标准进行验收；采购人与供应商双方如对服务内容及要求的约定标准有相互抵触或异议的事项，由采购人在采购文件及响应文件中按服务内容及要求比较优胜的原则确定该项的约定标准进行验收。②其他未尽事宜参照《财政部关于进一步加强政府采购需求和履约验收管理的指导意见》（财库[2016]205号）文件等相关法律法规要求和采购合同进行验收。 （4）《成都市双流区东升迎春小学校园安防服务考核办法》（详见考核附件，供应商在响应时无须粘贴复制考核内容）</w:t>
            </w:r>
          </w:p>
        </w:tc>
      </w:tr>
      <w:tr w14:paraId="4A5C52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BF7964">
            <w:pPr>
              <w:pStyle w:val="4"/>
              <w:jc w:val="left"/>
            </w:pPr>
            <w:r>
              <w:rPr>
                <w:rFonts w:ascii="仿宋_GB2312" w:hAnsi="仿宋_GB2312" w:eastAsia="仿宋_GB2312" w:cs="仿宋_GB2312"/>
              </w:rPr>
              <w:t>4</w:t>
            </w:r>
          </w:p>
        </w:tc>
        <w:tc>
          <w:tcPr>
            <w:tcW w:w="2076" w:type="dxa"/>
          </w:tcPr>
          <w:p w14:paraId="5664D798">
            <w:pPr>
              <w:pStyle w:val="4"/>
              <w:jc w:val="left"/>
            </w:pPr>
            <w:r>
              <w:rPr>
                <w:rFonts w:ascii="仿宋_GB2312" w:hAnsi="仿宋_GB2312" w:eastAsia="仿宋_GB2312" w:cs="仿宋_GB2312"/>
              </w:rPr>
              <w:t>★</w:t>
            </w:r>
          </w:p>
        </w:tc>
        <w:tc>
          <w:tcPr>
            <w:tcW w:w="2076" w:type="dxa"/>
          </w:tcPr>
          <w:p w14:paraId="3AFE431B">
            <w:pPr>
              <w:pStyle w:val="4"/>
              <w:jc w:val="left"/>
            </w:pPr>
            <w:r>
              <w:rPr>
                <w:rFonts w:ascii="仿宋_GB2312" w:hAnsi="仿宋_GB2312" w:eastAsia="仿宋_GB2312" w:cs="仿宋_GB2312"/>
              </w:rPr>
              <w:t>支付方式</w:t>
            </w:r>
          </w:p>
        </w:tc>
        <w:tc>
          <w:tcPr>
            <w:tcW w:w="2076" w:type="dxa"/>
          </w:tcPr>
          <w:p w14:paraId="384287C0">
            <w:pPr>
              <w:pStyle w:val="4"/>
              <w:jc w:val="left"/>
            </w:pPr>
            <w:r>
              <w:rPr>
                <w:rFonts w:ascii="仿宋_GB2312" w:hAnsi="仿宋_GB2312" w:eastAsia="仿宋_GB2312" w:cs="仿宋_GB2312"/>
              </w:rPr>
              <w:t>分期付款</w:t>
            </w:r>
          </w:p>
        </w:tc>
      </w:tr>
      <w:tr w14:paraId="368EC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9241F0">
            <w:pPr>
              <w:pStyle w:val="4"/>
              <w:jc w:val="left"/>
            </w:pPr>
            <w:r>
              <w:rPr>
                <w:rFonts w:ascii="仿宋_GB2312" w:hAnsi="仿宋_GB2312" w:eastAsia="仿宋_GB2312" w:cs="仿宋_GB2312"/>
              </w:rPr>
              <w:t>5</w:t>
            </w:r>
          </w:p>
        </w:tc>
        <w:tc>
          <w:tcPr>
            <w:tcW w:w="2076" w:type="dxa"/>
          </w:tcPr>
          <w:p w14:paraId="608AAA80">
            <w:pPr>
              <w:pStyle w:val="4"/>
              <w:jc w:val="left"/>
            </w:pPr>
            <w:r>
              <w:rPr>
                <w:rFonts w:ascii="仿宋_GB2312" w:hAnsi="仿宋_GB2312" w:eastAsia="仿宋_GB2312" w:cs="仿宋_GB2312"/>
              </w:rPr>
              <w:t>★</w:t>
            </w:r>
          </w:p>
        </w:tc>
        <w:tc>
          <w:tcPr>
            <w:tcW w:w="2076" w:type="dxa"/>
          </w:tcPr>
          <w:p w14:paraId="5BB639B7">
            <w:pPr>
              <w:pStyle w:val="4"/>
              <w:jc w:val="left"/>
            </w:pPr>
            <w:r>
              <w:rPr>
                <w:rFonts w:ascii="仿宋_GB2312" w:hAnsi="仿宋_GB2312" w:eastAsia="仿宋_GB2312" w:cs="仿宋_GB2312"/>
              </w:rPr>
              <w:t>付款进度安排</w:t>
            </w:r>
          </w:p>
        </w:tc>
        <w:tc>
          <w:tcPr>
            <w:tcW w:w="2076" w:type="dxa"/>
          </w:tcPr>
          <w:p w14:paraId="4378A265">
            <w:pPr>
              <w:pStyle w:val="4"/>
              <w:jc w:val="left"/>
            </w:pPr>
            <w:r>
              <w:rPr>
                <w:rFonts w:ascii="仿宋_GB2312" w:hAnsi="仿宋_GB2312" w:eastAsia="仿宋_GB2312" w:cs="仿宋_GB2312"/>
              </w:rPr>
              <w:t>1、进度款，本项⽬付款进度安排按照第三章3.3.1.服务内容 要求中付款进度安排执⾏，供应商响应时按照第三章3.3.1.服务内 容要求中付款进度安排进⾏响应。本说明后的内容为系统模板，不 作响应要求，达到付款条件起10个工作日内，支付合同总金额的100.0%</w:t>
            </w:r>
            <w:r>
              <w:br w:type="textWrapping"/>
            </w:r>
          </w:p>
        </w:tc>
      </w:tr>
      <w:tr w14:paraId="0DA145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E70544">
            <w:pPr>
              <w:pStyle w:val="4"/>
              <w:jc w:val="left"/>
            </w:pPr>
            <w:r>
              <w:rPr>
                <w:rFonts w:ascii="仿宋_GB2312" w:hAnsi="仿宋_GB2312" w:eastAsia="仿宋_GB2312" w:cs="仿宋_GB2312"/>
              </w:rPr>
              <w:t>6</w:t>
            </w:r>
          </w:p>
        </w:tc>
        <w:tc>
          <w:tcPr>
            <w:tcW w:w="2076" w:type="dxa"/>
          </w:tcPr>
          <w:p w14:paraId="799621E9">
            <w:pPr>
              <w:pStyle w:val="4"/>
              <w:jc w:val="left"/>
            </w:pPr>
            <w:r>
              <w:rPr>
                <w:rFonts w:ascii="仿宋_GB2312" w:hAnsi="仿宋_GB2312" w:eastAsia="仿宋_GB2312" w:cs="仿宋_GB2312"/>
              </w:rPr>
              <w:t>★</w:t>
            </w:r>
          </w:p>
        </w:tc>
        <w:tc>
          <w:tcPr>
            <w:tcW w:w="2076" w:type="dxa"/>
          </w:tcPr>
          <w:p w14:paraId="25D18ABE">
            <w:pPr>
              <w:pStyle w:val="4"/>
              <w:jc w:val="left"/>
            </w:pPr>
            <w:r>
              <w:rPr>
                <w:rFonts w:ascii="仿宋_GB2312" w:hAnsi="仿宋_GB2312" w:eastAsia="仿宋_GB2312" w:cs="仿宋_GB2312"/>
              </w:rPr>
              <w:t>违约责任与解决争议的方法</w:t>
            </w:r>
          </w:p>
        </w:tc>
        <w:tc>
          <w:tcPr>
            <w:tcW w:w="2076" w:type="dxa"/>
          </w:tcPr>
          <w:p w14:paraId="2CE4C172">
            <w:pPr>
              <w:pStyle w:val="4"/>
              <w:jc w:val="left"/>
            </w:pPr>
            <w:r>
              <w:rPr>
                <w:rFonts w:ascii="仿宋_GB2312" w:hAnsi="仿宋_GB2312" w:eastAsia="仿宋_GB2312" w:cs="仿宋_GB2312"/>
              </w:rPr>
              <w:t>1.采购人违约责任 （1）因采购人原因导致变更、中止或者终止政府采购合同的，采购人依照合同约定对供应商受到的损失予以赔偿或者补偿。 （2）供应商在服务期内无质量问题和违约行为的，采购人应在收到供应商齐全的请款资料后10个工作日内支付供应商服务费（因不可抗力造成支付延期的除外），逾期30日以内的，自约定的支付期限届满次日起至实际支付之日止，采购人按日计算向供应商支付本月约定当期服务费用万分之五的违约金，合同继续履行。逾期30日（不含）以上的，供应商有权解除合同。解除合同的，供应商书面通知采购人，采购人自解除合同通知送达之日起10个工作日内按照供应商完成的实际工作量支付服务费用，并向供应商支付合同总价款的5%的违约金；供应商不解除合同的，采购人按日计算向供应商支付本合同约定当期服务费用万分之十的违约金。 2.供应商违约责任 （1）因供应商疏于管理，未按照法律、法规规定和合同的约定履行公共秩序防范义务，导致人身、财产受到损失的，应承担相应的经济赔偿等法律责任。 （2）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3）供应商违反合同约定，未能达到约定的管理目标，采购人有权要求供应商限期整改，并达到合同约定；逾期未整改的，或整改不符合合同约定的，采购人有权终止合同；如一年合同期内累计2次服务质量考核不合格情况，采购人有权解除合同，造成采购人经济损失的，供应商应给予采购人一定的经济赔偿（按照实际损失赔偿）。 （4）如供应商发生违约事项，采购人可以从采购人应付或将付给供应商的任何一笔款项中扣除。 （5）因管理服务不善造成出现消防、安全、保密等事故的，造成的损失由供应商赔偿；出现上述重大事故的，造成的损失由供应商赔偿，采购人有权解除合同。 （6）供应商进行人员调整，须事先书面告知采购人并取得采购人的同意；供应商应遵守国家关于用工方面的法律法规，员工工资、保险、福利等待遇不得违反国家相关规定，以保证服务质量，否则，采购人有权给予扣减服务费等相应惩罚。 （7）供应商应当遵守国家法律法规和行政、行业规章等，合法经营；发现供应商严重违反规定非法经营，采购人有权根据实际损失扣除服务费用、赔偿损失等，并且采购人有权解除合同。 （8）供应商未经采购人同意，擅自转包、分包本项目，采购人有权立即解除合同。 （9）若供应商服务人数不足合同约定人数的，每发生一次，供应商应向采购人支付违约金3000元，且采购人有权扣除未派驻人员对应的服务费，并有权从第三方处采购该人员对应的服务，因此产生的服务费等损失由供应商承担。 （10）若因供应商原因致使本合同解除（供应商违约解除或基于供应商违约采购人行使解除权解除），供应商应向采购人支付合同总价10%的违约金，同时承担采购人因此产生的全部损失。 （11）如因供应商或其工作人员致使采购人遭受损失，供应商应承担全部赔偿责任，该损失包括但不限于直接损失、对第三方的赔偿费用、为维权产生的诉讼费/仲裁费、律师费、保全费、保全保险费、鉴定费、公证费、评估费等全部损失。 3.争议解决的方法 合同履行期间，若双方发生的或与合同有关的争端，供应商与采购人应通过友好协商解决或由有关部门调解解决，协商或调解不成的，向采购人所在地人民法院提起诉讼。 人民法院判决应为最终决定，并对双方具有约束力。 除另有判决外，诉讼费应由败诉方负担。 在判决期间，除正在进行判决部分外，合同其他部分继续执行。</w:t>
            </w:r>
          </w:p>
        </w:tc>
      </w:tr>
    </w:tbl>
    <w:p w14:paraId="5DED1D0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062C74"/>
    <w:rsid w:val="11062C74"/>
    <w:rsid w:val="170A6B9B"/>
    <w:rsid w:val="22A47010"/>
    <w:rsid w:val="24FF6FA0"/>
    <w:rsid w:val="26C6553E"/>
    <w:rsid w:val="309154B2"/>
    <w:rsid w:val="3507089E"/>
    <w:rsid w:val="37EA5745"/>
    <w:rsid w:val="3EE970B5"/>
    <w:rsid w:val="450A7E3B"/>
    <w:rsid w:val="5D40263B"/>
    <w:rsid w:val="5DF70DA9"/>
    <w:rsid w:val="5EAC06FE"/>
    <w:rsid w:val="6B7A33CC"/>
    <w:rsid w:val="76FA2C3C"/>
    <w:rsid w:val="7AA57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2026-07-21T08:00:00Z</dcterms:created>
  <dc:creator>廖婷</dc:creator>
  <cp:lastModifiedBy>廖婷</cp:lastModifiedBy>
  <dcterms:modified xsi:type="dcterms:W3CDTF">2026-07-21T08:00:44Z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F34C16A1405B4D5BA688C6967EEA5E7C_11</vt:lpwstr>
  </property>
  <property fmtid="{D5CDD505-2E9C-101B-9397-08002B2CF9AE}" pid="4" name="KSOTemplateDocerSaveRecord">
    <vt:lpwstr>eyJoZGlkIjoiNmE3ZjVjYmJlOTdhZDllZmJhYzcwYjg5N2YwMmNhN2QiLCJ1c2VySWQiOiIzODYwNzkyODYifQ==</vt:lpwstr>
  </property>
</Properties>
</file>