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版本号：N511301202600023420260831001</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全自动病毒载量检测设备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N5113012026000234</w:t>
      </w:r>
    </w:p>
    <w:p>
      <w:pPr>
        <w:pStyle w:val="null3"/>
        <w:jc w:val="left"/>
        <w:outlineLvl w:val="2"/>
      </w:pPr>
      <w:r>
        <w:rPr>
          <w:rFonts w:ascii="仿宋_GB2312" w:hAnsi="仿宋_GB2312" w:cs="仿宋_GB2312" w:eastAsia="仿宋_GB2312"/>
          <w:sz w:val="28"/>
          <w:b/>
        </w:rPr>
        <w:t>南充市疾病预防控制中心</w:t>
      </w:r>
    </w:p>
    <w:p>
      <w:pPr>
        <w:pStyle w:val="null3"/>
        <w:jc w:val="center"/>
        <w:outlineLvl w:val="2"/>
      </w:pPr>
      <w:r>
        <w:rPr>
          <w:rFonts w:ascii="仿宋_GB2312" w:hAnsi="仿宋_GB2312" w:cs="仿宋_GB2312" w:eastAsia="仿宋_GB2312"/>
          <w:sz w:val="28"/>
          <w:b/>
        </w:rPr>
        <w:t>四川融顺招标代理有限公司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四川融顺招标代理有限公司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南充市疾病预防控制中心</w:t>
      </w:r>
      <w:r>
        <w:rPr>
          <w:rFonts w:ascii="仿宋_GB2312" w:hAnsi="仿宋_GB2312" w:cs="仿宋_GB2312" w:eastAsia="仿宋_GB2312"/>
        </w:rPr>
        <w:t xml:space="preserve"> 委托，拟对 </w:t>
      </w:r>
      <w:r>
        <w:rPr>
          <w:rFonts w:ascii="仿宋_GB2312" w:hAnsi="仿宋_GB2312" w:cs="仿宋_GB2312" w:eastAsia="仿宋_GB2312"/>
        </w:rPr>
        <w:t>全自动病毒载量检测设备</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南充市市本级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N5113012026000234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全自动病毒载量检测设备</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南充市疾病预防控制中心拟采购全自动病毒载量检测设备，本项目为1个包。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医疗器械经营许可证或第二类医疗器械经营备案凭证（描述：若报价产品及其配置产品为医疗器械的，供应商若为报价产品及其配置产品的生产厂家，须符合《医疗器械监督管理条例》要求并提供医疗器械生产许可证或生产备案凭证；供应商若为报价产品及其配置产品非生产厂家，须符合《医疗器械监督管理条例》要求并提供医疗器械经营许可证或第二类医疗器械经营备案凭证（已提供包含二类备案的多证合一营业执照的供应商除外）。（提供相关证明材料扫描件加盖供应商电子公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南充市疾病预防控制中心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南充市顺庆区市铺路366号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秦女士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0817-2332091</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四川融顺招标代理有限公司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四川省南充市嘉陵区都尉路四段288号南湖凯旋广场25幢2层1号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吴女士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0817-6027266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采购包1：480,000.00元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代理服务费收费标准：招标代理服务收费按成本加合理利润的原则，以成交金额为基础，按差额定率累进法计算（100万以内按成交金额的1.5%）后下浮10%（不足5000元，按5000元）收取代理服务费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南充市疾病预防控制中心</w:t>
      </w:r>
      <w:r>
        <w:rPr>
          <w:rFonts w:ascii="仿宋_GB2312" w:hAnsi="仿宋_GB2312" w:cs="仿宋_GB2312" w:eastAsia="仿宋_GB2312"/>
        </w:rPr>
        <w:t xml:space="preserve"> 和 </w:t>
      </w:r>
      <w:r>
        <w:rPr>
          <w:rFonts w:ascii="仿宋_GB2312" w:hAnsi="仿宋_GB2312" w:cs="仿宋_GB2312" w:eastAsia="仿宋_GB2312"/>
        </w:rPr>
        <w:t>四川融顺招标代理有限公司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南充市疾病预防控制中心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四川融顺招标代理有限公司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三、评审过程中出现下列情形之一的，询价小组应当启动异常低价响应审查程序：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4.询价小组基于专业判断，认为供应商报价过低，有可能影响产品质量或者不能诚信履约的其他情形。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询价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询价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询价小组应当将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在成交供应商提出验收申请之日起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按照询价通知书的技术参数要求、供应商响应文件技术参数响应及合同约定标准进行验收。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按照询价通知书商务要求、响应文件商务响应及合同约定标准进行验收。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本项目采购人将严格按照政府采购相关法律法规、《财政部关于进一步加强政府采购需求和履约验收管理的指导意见》（财库〔2016〕205 号）以及《政府采购需求管理办法》（财库〔2021〕22 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①双⽅如对技术要求的约定标准有相互抵触或异议的事项，由采购⼈在询价通知书和供应商响应⽂件中按技术要求⽐较优胜的原则确定该项的约定标准进⾏验收。②供应商须提供所有设备全套、完整的中文书面技术资料，包括产品合格证、说明书、医疗器械注册证/第⼀类医疗器械备案凭证（医疗器械适用）、生产和经销双方营业执照、供货授权书、医疗器械经营许可证/第⼆类医疗器械经营备案凭证（医疗器械适用） 等满足验收要求的相关资料。</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南充市疾病预防控制中心</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四川融顺招标代理有限公司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四川融顺招标代理有限公司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联系人：秦⼥⼠</w:t>
      </w:r>
    </w:p>
    <w:p>
      <w:pPr>
        <w:pStyle w:val="null3"/>
        <w:jc w:val="left"/>
      </w:pPr>
      <w:r>
        <w:rPr>
          <w:rFonts w:ascii="仿宋_GB2312" w:hAnsi="仿宋_GB2312" w:cs="仿宋_GB2312" w:eastAsia="仿宋_GB2312"/>
        </w:rPr>
        <w:t>联系电话：0817-2332091</w:t>
      </w:r>
    </w:p>
    <w:p>
      <w:pPr>
        <w:pStyle w:val="null3"/>
        <w:jc w:val="left"/>
      </w:pPr>
      <w:r>
        <w:rPr>
          <w:rFonts w:ascii="仿宋_GB2312" w:hAnsi="仿宋_GB2312" w:cs="仿宋_GB2312" w:eastAsia="仿宋_GB2312"/>
        </w:rPr>
        <w:t>地址：南充市顺庆区市铺路366号</w:t>
      </w:r>
    </w:p>
    <w:p>
      <w:pPr>
        <w:pStyle w:val="null3"/>
        <w:jc w:val="left"/>
      </w:pPr>
      <w:r>
        <w:rPr>
          <w:rFonts w:ascii="仿宋_GB2312" w:hAnsi="仿宋_GB2312" w:cs="仿宋_GB2312" w:eastAsia="仿宋_GB2312"/>
        </w:rPr>
        <w:t>邮编：637000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联系人：吴女士</w:t>
      </w:r>
    </w:p>
    <w:p>
      <w:pPr>
        <w:pStyle w:val="null3"/>
        <w:jc w:val="left"/>
      </w:pPr>
      <w:r>
        <w:rPr>
          <w:rFonts w:ascii="仿宋_GB2312" w:hAnsi="仿宋_GB2312" w:cs="仿宋_GB2312" w:eastAsia="仿宋_GB2312"/>
        </w:rPr>
        <w:t>联系电话：17883665358</w:t>
      </w:r>
    </w:p>
    <w:p>
      <w:pPr>
        <w:pStyle w:val="null3"/>
        <w:jc w:val="left"/>
      </w:pPr>
      <w:r>
        <w:rPr>
          <w:rFonts w:ascii="仿宋_GB2312" w:hAnsi="仿宋_GB2312" w:cs="仿宋_GB2312" w:eastAsia="仿宋_GB2312"/>
        </w:rPr>
        <w:t>地址：四川省南充市嘉陵区都尉路四段288号南湖凯旋广场商业街25幢2层1号</w:t>
      </w:r>
    </w:p>
    <w:p>
      <w:pPr>
        <w:pStyle w:val="null3"/>
        <w:jc w:val="left"/>
      </w:pPr>
      <w:r>
        <w:rPr>
          <w:rFonts w:ascii="仿宋_GB2312" w:hAnsi="仿宋_GB2312" w:cs="仿宋_GB2312" w:eastAsia="仿宋_GB2312"/>
        </w:rPr>
        <w:t>邮编：637500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480,000.00</w:t>
      </w:r>
    </w:p>
    <w:p>
      <w:pPr>
        <w:pStyle w:val="null3"/>
        <w:jc w:val="left"/>
      </w:pPr>
      <w:r>
        <w:rPr>
          <w:rFonts w:ascii="仿宋_GB2312" w:hAnsi="仿宋_GB2312" w:cs="仿宋_GB2312" w:eastAsia="仿宋_GB2312"/>
        </w:rPr>
        <w:t>采购包最高限价（元）: 480,000.00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全自动病毒载量检测设备</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480,000.00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全自动病毒载量检测设备</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480,000.00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A02329900 其他医疗设备</w:t>
            </w:r>
          </w:p>
        </w:tc>
        <w:tc>
          <w:tcPr>
            <w:tcW w:type="dxa" w:w="2492"/>
          </w:tcPr>
          <w:p>
            <w:pPr>
              <w:pStyle w:val="null3"/>
              <w:jc w:val="left"/>
            </w:pPr>
            <w:r>
              <w:rPr>
                <w:rFonts w:ascii="仿宋_GB2312" w:hAnsi="仿宋_GB2312" w:cs="仿宋_GB2312" w:eastAsia="仿宋_GB2312"/>
              </w:rPr>
              <w:t>全自动病毒载量检测设备</w:t>
            </w:r>
          </w:p>
        </w:tc>
        <w:tc>
          <w:tcPr>
            <w:tcW w:type="dxa" w:w="2492"/>
          </w:tcPr>
          <w:p>
            <w:pPr>
              <w:pStyle w:val="null3"/>
              <w:jc w:val="left"/>
            </w:pPr>
            <w:r>
              <w:rPr>
                <w:rFonts w:ascii="仿宋_GB2312" w:hAnsi="仿宋_GB2312" w:cs="仿宋_GB2312" w:eastAsia="仿宋_GB2312"/>
              </w:rPr>
              <w:t>全自动病毒载量检测设备</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标的名称：全自动病毒载量检测设备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8"/>
              </w:rPr>
              <w:t>★1、检测方法：全自动核酸磁珠提取，实时荧光定量PCR扩增，满足具备HIV-1 gag、POL和HIV-1 LTR区（双靶标）中的两个基因区。</w:t>
            </w:r>
          </w:p>
          <w:p>
            <w:pPr>
              <w:pStyle w:val="null3"/>
              <w:jc w:val="left"/>
            </w:pPr>
            <w:r>
              <w:rPr>
                <w:rFonts w:ascii="仿宋_GB2312" w:hAnsi="仿宋_GB2312" w:cs="仿宋_GB2312" w:eastAsia="仿宋_GB2312"/>
                <w:sz w:val="28"/>
              </w:rPr>
              <w:t>★2、检测系统：全自动一体化设计，自动完成核酸提取、核酸扩增和检测，</w:t>
            </w:r>
            <w:r>
              <w:rPr>
                <w:rFonts w:ascii="仿宋_GB2312" w:hAnsi="仿宋_GB2312" w:cs="仿宋_GB2312" w:eastAsia="仿宋_GB2312"/>
                <w:sz w:val="28"/>
              </w:rPr>
              <w:t>单台设备</w:t>
            </w:r>
            <w:r>
              <w:rPr>
                <w:rFonts w:ascii="仿宋_GB2312" w:hAnsi="仿宋_GB2312" w:cs="仿宋_GB2312" w:eastAsia="仿宋_GB2312"/>
                <w:sz w:val="28"/>
              </w:rPr>
              <w:t>实现样本进、结果出，全程无需人工干预，中途无需人工转移样本</w:t>
            </w:r>
            <w:r>
              <w:rPr>
                <w:rFonts w:ascii="仿宋_GB2312" w:hAnsi="仿宋_GB2312" w:cs="仿宋_GB2312" w:eastAsia="仿宋_GB2312"/>
                <w:sz w:val="28"/>
              </w:rPr>
              <w:t>，</w:t>
            </w:r>
            <w:r>
              <w:rPr>
                <w:rFonts w:ascii="仿宋_GB2312" w:hAnsi="仿宋_GB2312" w:cs="仿宋_GB2312" w:eastAsia="仿宋_GB2312"/>
                <w:sz w:val="28"/>
              </w:rPr>
              <w:t>且该系统具备同品牌配套试剂</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3、结果单位转换：试剂说明书中需具备IU/mL与cps/mL之间的单位转换系数</w:t>
            </w:r>
            <w:r>
              <w:rPr>
                <w:rFonts w:ascii="仿宋_GB2312" w:hAnsi="仿宋_GB2312" w:cs="仿宋_GB2312" w:eastAsia="仿宋_GB2312"/>
                <w:sz w:val="28"/>
              </w:rPr>
              <w:t>。</w:t>
            </w:r>
            <w:r>
              <w:rPr>
                <w:rFonts w:ascii="仿宋_GB2312" w:hAnsi="仿宋_GB2312" w:cs="仿宋_GB2312" w:eastAsia="仿宋_GB2312"/>
                <w:sz w:val="28"/>
              </w:rPr>
              <w:t>（提供试剂说明书</w:t>
            </w:r>
            <w:r>
              <w:rPr>
                <w:rFonts w:ascii="仿宋_GB2312" w:hAnsi="仿宋_GB2312" w:cs="仿宋_GB2312" w:eastAsia="仿宋_GB2312"/>
                <w:sz w:val="28"/>
              </w:rPr>
              <w:t>扫描件</w:t>
            </w:r>
            <w:r>
              <w:rPr>
                <w:rFonts w:ascii="仿宋_GB2312" w:hAnsi="仿宋_GB2312" w:cs="仿宋_GB2312" w:eastAsia="仿宋_GB2312"/>
                <w:sz w:val="28"/>
              </w:rPr>
              <w:t>佐证）</w:t>
            </w:r>
          </w:p>
          <w:p>
            <w:pPr>
              <w:pStyle w:val="null3"/>
              <w:jc w:val="left"/>
            </w:pPr>
            <w:r>
              <w:rPr>
                <w:rFonts w:ascii="仿宋_GB2312" w:hAnsi="仿宋_GB2312" w:cs="仿宋_GB2312" w:eastAsia="仿宋_GB2312"/>
                <w:sz w:val="28"/>
              </w:rPr>
              <w:t>★4、试剂保存方式：提取和扩增试剂均2～8℃冷藏保存，时间</w:t>
            </w:r>
            <w:r>
              <w:rPr>
                <w:rFonts w:ascii="仿宋_GB2312" w:hAnsi="仿宋_GB2312" w:cs="仿宋_GB2312" w:eastAsia="仿宋_GB2312"/>
                <w:sz w:val="28"/>
              </w:rPr>
              <w:t>＞</w:t>
            </w:r>
            <w:r>
              <w:rPr>
                <w:rFonts w:ascii="仿宋_GB2312" w:hAnsi="仿宋_GB2312" w:cs="仿宋_GB2312" w:eastAsia="仿宋_GB2312"/>
                <w:sz w:val="28"/>
              </w:rPr>
              <w:t>2周。</w:t>
            </w:r>
          </w:p>
          <w:p>
            <w:pPr>
              <w:pStyle w:val="null3"/>
              <w:jc w:val="left"/>
            </w:pPr>
            <w:r>
              <w:rPr>
                <w:rFonts w:ascii="仿宋_GB2312" w:hAnsi="仿宋_GB2312" w:cs="仿宋_GB2312" w:eastAsia="仿宋_GB2312"/>
                <w:sz w:val="28"/>
              </w:rPr>
              <w:t>5、上样体积：</w:t>
            </w:r>
            <w:r>
              <w:rPr>
                <w:rFonts w:ascii="仿宋_GB2312" w:hAnsi="仿宋_GB2312" w:cs="仿宋_GB2312" w:eastAsia="仿宋_GB2312"/>
                <w:sz w:val="28"/>
              </w:rPr>
              <w:t>≤</w:t>
            </w:r>
            <w:r>
              <w:rPr>
                <w:rFonts w:ascii="仿宋_GB2312" w:hAnsi="仿宋_GB2312" w:cs="仿宋_GB2312" w:eastAsia="仿宋_GB2312"/>
                <w:sz w:val="28"/>
              </w:rPr>
              <w:t>500uL</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6、样本类型：血浆/血清</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7、支持原始管上样</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8、检测试剂灵敏度：≤25IU/mL</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9、检测定量下限：≤35IU/mL</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10、覆盖全基因型：均支持覆盖 M组、O组和 N组</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11、质控规则：质控或校准检测频率非批次进行，可以至少24小时一次</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★12、样本容量：机载样本容量≥96个（可支持多模块拓展），可以连续上样，最低可检测1个样本</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13、物料上载：样本、试剂与耗材均支持不停机上载，无需等待上一批检测结束后再进行上载</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14、定量方法：采用内标定量法，内标需参与样本制备到扩增的全过程监测</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15、试剂容量：可存放≥15盒试剂，内置温控区域储存</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★16、试剂配置：无需任何试剂配置操作，直接加载运行</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17、试剂耗材：配有标签，无需扫码，系统自动按需取用，全程跟踪监控剩余效期与剩余测试数</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18、样本优先级：支持设置优先级载架与优先级检测项目（优先级高的样本将会在最早的批次被处理）</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19、维护保养：无需日维护、月维护；仅需周维护。</w:t>
            </w:r>
          </w:p>
          <w:p>
            <w:pPr>
              <w:pStyle w:val="null3"/>
              <w:jc w:val="left"/>
            </w:pPr>
            <w:r>
              <w:rPr>
                <w:rFonts w:ascii="仿宋_GB2312" w:hAnsi="仿宋_GB2312" w:cs="仿宋_GB2312" w:eastAsia="仿宋_GB2312"/>
                <w:sz w:val="28"/>
              </w:rPr>
              <w:t>20、LIS系统连接：双向LIS连接，自动响应检测项目，并自动报告检测结果</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1</w:t>
            </w:r>
            <w:r>
              <w:rPr>
                <w:rFonts w:ascii="仿宋_GB2312" w:hAnsi="仿宋_GB2312" w:cs="仿宋_GB2312" w:eastAsia="仿宋_GB2312"/>
                <w:sz w:val="28"/>
              </w:rPr>
              <w:t>、防污染和生物安全：有相应措施防止产物污染，有专用废液收集措施，试剂与样本移液通道分开独立，有扩增板专用卸载位。</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PCR模块：</w:t>
            </w:r>
            <w:r>
              <w:rPr>
                <w:rFonts w:ascii="仿宋_GB2312" w:hAnsi="仿宋_GB2312" w:cs="仿宋_GB2312" w:eastAsia="仿宋_GB2312"/>
                <w:sz w:val="28"/>
              </w:rPr>
              <w:t>至少具有</w:t>
            </w:r>
            <w:r>
              <w:rPr>
                <w:rFonts w:ascii="仿宋_GB2312" w:hAnsi="仿宋_GB2312" w:cs="仿宋_GB2312" w:eastAsia="仿宋_GB2312"/>
                <w:sz w:val="28"/>
              </w:rPr>
              <w:t>2个独立的PCR检测模块，可同时进行</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3</w:t>
            </w:r>
            <w:r>
              <w:rPr>
                <w:rFonts w:ascii="仿宋_GB2312" w:hAnsi="仿宋_GB2312" w:cs="仿宋_GB2312" w:eastAsia="仿宋_GB2312"/>
                <w:sz w:val="28"/>
              </w:rPr>
              <w:t>、样本条码：涵盖市面上大部分条码格式，</w:t>
            </w:r>
            <w:r>
              <w:rPr>
                <w:rFonts w:ascii="仿宋_GB2312" w:hAnsi="仿宋_GB2312" w:cs="仿宋_GB2312" w:eastAsia="仿宋_GB2312"/>
                <w:sz w:val="28"/>
              </w:rPr>
              <w:t>至少</w:t>
            </w:r>
            <w:r>
              <w:rPr>
                <w:rFonts w:ascii="仿宋_GB2312" w:hAnsi="仿宋_GB2312" w:cs="仿宋_GB2312" w:eastAsia="仿宋_GB2312"/>
                <w:sz w:val="28"/>
              </w:rPr>
              <w:t>包括</w:t>
            </w:r>
            <w:r>
              <w:rPr>
                <w:rFonts w:ascii="仿宋_GB2312" w:hAnsi="仿宋_GB2312" w:cs="仿宋_GB2312" w:eastAsia="仿宋_GB2312"/>
                <w:sz w:val="28"/>
              </w:rPr>
              <w:t>Code 128，Code 39，Code 93，Code Interleaved 2 of 5</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4</w:t>
            </w:r>
            <w:r>
              <w:rPr>
                <w:rFonts w:ascii="仿宋_GB2312" w:hAnsi="仿宋_GB2312" w:cs="仿宋_GB2312" w:eastAsia="仿宋_GB2312"/>
                <w:sz w:val="28"/>
              </w:rPr>
              <w:t>、样品</w:t>
            </w:r>
            <w:r>
              <w:rPr>
                <w:rFonts w:ascii="仿宋_GB2312" w:hAnsi="仿宋_GB2312" w:cs="仿宋_GB2312" w:eastAsia="仿宋_GB2312"/>
                <w:sz w:val="28"/>
              </w:rPr>
              <w:t>/试剂保存</w:t>
            </w:r>
            <w:r>
              <w:rPr>
                <w:rFonts w:ascii="仿宋_GB2312" w:hAnsi="仿宋_GB2312" w:cs="仿宋_GB2312" w:eastAsia="仿宋_GB2312"/>
                <w:sz w:val="28"/>
              </w:rPr>
              <w:t>设备</w:t>
            </w:r>
            <w:r>
              <w:rPr>
                <w:rFonts w:ascii="仿宋_GB2312" w:hAnsi="仿宋_GB2312" w:cs="仿宋_GB2312" w:eastAsia="仿宋_GB2312"/>
                <w:sz w:val="28"/>
              </w:rPr>
              <w:t>（医疗器械冰箱）</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4</w:t>
            </w:r>
            <w:r>
              <w:rPr>
                <w:rFonts w:ascii="仿宋_GB2312" w:hAnsi="仿宋_GB2312" w:cs="仿宋_GB2312" w:eastAsia="仿宋_GB2312"/>
                <w:sz w:val="28"/>
              </w:rPr>
              <w:t>.1有效容积≥3</w:t>
            </w:r>
            <w:r>
              <w:rPr>
                <w:rFonts w:ascii="仿宋_GB2312" w:hAnsi="仿宋_GB2312" w:cs="仿宋_GB2312" w:eastAsia="仿宋_GB2312"/>
                <w:sz w:val="28"/>
              </w:rPr>
              <w:t>1</w:t>
            </w:r>
            <w:r>
              <w:rPr>
                <w:rFonts w:ascii="仿宋_GB2312" w:hAnsi="仿宋_GB2312" w:cs="仿宋_GB2312" w:eastAsia="仿宋_GB2312"/>
                <w:sz w:val="28"/>
              </w:rPr>
              <w:t>0L。其中冷藏室≥190L，冷冻室≥120L</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4</w:t>
            </w:r>
            <w:r>
              <w:rPr>
                <w:rFonts w:ascii="仿宋_GB2312" w:hAnsi="仿宋_GB2312" w:cs="仿宋_GB2312" w:eastAsia="仿宋_GB2312"/>
                <w:sz w:val="28"/>
              </w:rPr>
              <w:t>.2温度范围：</w:t>
            </w:r>
            <w:r>
              <w:rPr>
                <w:rFonts w:ascii="仿宋_GB2312" w:hAnsi="仿宋_GB2312" w:cs="仿宋_GB2312" w:eastAsia="仿宋_GB2312"/>
                <w:sz w:val="28"/>
              </w:rPr>
              <w:t>上室：</w:t>
            </w:r>
            <w:r>
              <w:rPr>
                <w:rFonts w:ascii="仿宋_GB2312" w:hAnsi="仿宋_GB2312" w:cs="仿宋_GB2312" w:eastAsia="仿宋_GB2312"/>
                <w:sz w:val="28"/>
              </w:rPr>
              <w:t>2～8℃，下室：</w:t>
            </w:r>
            <w:r>
              <w:rPr>
                <w:rFonts w:ascii="仿宋_GB2312" w:hAnsi="仿宋_GB2312" w:cs="仿宋_GB2312" w:eastAsia="仿宋_GB2312"/>
                <w:sz w:val="28"/>
              </w:rPr>
              <w:t>-10</w:t>
            </w:r>
            <w:r>
              <w:rPr>
                <w:rFonts w:ascii="仿宋_GB2312" w:hAnsi="仿宋_GB2312" w:cs="仿宋_GB2312" w:eastAsia="仿宋_GB2312"/>
                <w:sz w:val="28"/>
              </w:rPr>
              <w:t>～</w:t>
            </w:r>
            <w:r>
              <w:rPr>
                <w:rFonts w:ascii="仿宋_GB2312" w:hAnsi="仿宋_GB2312" w:cs="仿宋_GB2312" w:eastAsia="仿宋_GB2312"/>
                <w:sz w:val="28"/>
              </w:rPr>
              <w:t>-25</w:t>
            </w:r>
            <w:r>
              <w:rPr>
                <w:rFonts w:ascii="仿宋_GB2312" w:hAnsi="仿宋_GB2312" w:cs="仿宋_GB2312" w:eastAsia="仿宋_GB2312"/>
                <w:sz w:val="28"/>
              </w:rPr>
              <w:t>℃，显示精度0.1℃；</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4</w:t>
            </w:r>
            <w:r>
              <w:rPr>
                <w:rFonts w:ascii="仿宋_GB2312" w:hAnsi="仿宋_GB2312" w:cs="仿宋_GB2312" w:eastAsia="仿宋_GB2312"/>
                <w:sz w:val="28"/>
              </w:rPr>
              <w:t>.3采用双压机独立双系统：冷藏和冷冻可独立控制、运行，其中一个出现故障不影响另外一个正常运行使用，两个空间都可以根据实际需要单独关闭和开启。</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5</w:t>
            </w:r>
            <w:r>
              <w:rPr>
                <w:rFonts w:ascii="仿宋_GB2312" w:hAnsi="仿宋_GB2312" w:cs="仿宋_GB2312" w:eastAsia="仿宋_GB2312"/>
                <w:sz w:val="28"/>
              </w:rPr>
              <w:t>、多功能加样装置：</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5.</w:t>
            </w:r>
            <w:r>
              <w:rPr>
                <w:rFonts w:ascii="仿宋_GB2312" w:hAnsi="仿宋_GB2312" w:cs="仿宋_GB2312" w:eastAsia="仿宋_GB2312"/>
                <w:sz w:val="28"/>
              </w:rPr>
              <w:t>1移液通道≥8</w:t>
            </w:r>
            <w:r>
              <w:rPr>
                <w:rFonts w:ascii="仿宋_GB2312" w:hAnsi="仿宋_GB2312" w:cs="仿宋_GB2312" w:eastAsia="仿宋_GB2312"/>
                <w:sz w:val="28"/>
              </w:rPr>
              <w:t>通道</w:t>
            </w:r>
            <w:r>
              <w:rPr>
                <w:rFonts w:ascii="仿宋_GB2312" w:hAnsi="仿宋_GB2312" w:cs="仿宋_GB2312" w:eastAsia="仿宋_GB2312"/>
                <w:sz w:val="28"/>
              </w:rPr>
              <w:t>，内置密度调节装置</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5</w:t>
            </w:r>
            <w:r>
              <w:rPr>
                <w:rFonts w:ascii="仿宋_GB2312" w:hAnsi="仿宋_GB2312" w:cs="仿宋_GB2312" w:eastAsia="仿宋_GB2312"/>
                <w:sz w:val="28"/>
              </w:rPr>
              <w:t>.2不锈钢材质活塞，可整体高温高压灭菌和紫外线灭菌</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6</w:t>
            </w:r>
            <w:r>
              <w:rPr>
                <w:rFonts w:ascii="仿宋_GB2312" w:hAnsi="仿宋_GB2312" w:cs="仿宋_GB2312" w:eastAsia="仿宋_GB2312"/>
                <w:sz w:val="28"/>
              </w:rPr>
              <w:t>、单通道加样装置：</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6</w:t>
            </w:r>
            <w:r>
              <w:rPr>
                <w:rFonts w:ascii="仿宋_GB2312" w:hAnsi="仿宋_GB2312" w:cs="仿宋_GB2312" w:eastAsia="仿宋_GB2312"/>
                <w:sz w:val="28"/>
              </w:rPr>
              <w:t>.1具有两种使用模式，手动移液和电动重复分配模式，可通过模式转换滑块一键切换；</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6</w:t>
            </w:r>
            <w:r>
              <w:rPr>
                <w:rFonts w:ascii="仿宋_GB2312" w:hAnsi="仿宋_GB2312" w:cs="仿宋_GB2312" w:eastAsia="仿宋_GB2312"/>
                <w:sz w:val="28"/>
              </w:rPr>
              <w:t>.2可用于测定未知液体的体积，手动吸取液体时，屏幕上实时显示准确的液体吸入量。</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27、</w:t>
            </w:r>
            <w:r>
              <w:rPr>
                <w:rFonts w:ascii="仿宋_GB2312" w:hAnsi="仿宋_GB2312" w:cs="仿宋_GB2312" w:eastAsia="仿宋_GB2312"/>
                <w:sz w:val="28"/>
              </w:rPr>
              <w:t>配置清单至少包含：</w:t>
            </w:r>
          </w:p>
          <w:p>
            <w:pPr>
              <w:pStyle w:val="null3"/>
              <w:jc w:val="left"/>
            </w:pPr>
            <w:r>
              <w:rPr>
                <w:rFonts w:ascii="仿宋_GB2312" w:hAnsi="仿宋_GB2312" w:cs="仿宋_GB2312" w:eastAsia="仿宋_GB2312"/>
                <w:sz w:val="28"/>
              </w:rPr>
              <w:t>数据分析设备一台，培训试剂耗材一套，多功能加样装置</w:t>
            </w:r>
            <w:r>
              <w:rPr>
                <w:rFonts w:ascii="仿宋_GB2312" w:hAnsi="仿宋_GB2312" w:cs="仿宋_GB2312" w:eastAsia="仿宋_GB2312"/>
                <w:sz w:val="28"/>
              </w:rPr>
              <w:t>10套，单通道加样装置20套，</w:t>
            </w:r>
            <w:r>
              <w:rPr>
                <w:rFonts w:ascii="仿宋_GB2312" w:hAnsi="仿宋_GB2312" w:cs="仿宋_GB2312" w:eastAsia="仿宋_GB2312"/>
                <w:sz w:val="28"/>
              </w:rPr>
              <w:t>样品</w:t>
            </w:r>
            <w:r>
              <w:rPr>
                <w:rFonts w:ascii="仿宋_GB2312" w:hAnsi="仿宋_GB2312" w:cs="仿宋_GB2312" w:eastAsia="仿宋_GB2312"/>
                <w:sz w:val="28"/>
              </w:rPr>
              <w:t>/试剂保存</w:t>
            </w:r>
            <w:r>
              <w:rPr>
                <w:rFonts w:ascii="仿宋_GB2312" w:hAnsi="仿宋_GB2312" w:cs="仿宋_GB2312" w:eastAsia="仿宋_GB2312"/>
                <w:sz w:val="28"/>
              </w:rPr>
              <w:t>设备</w:t>
            </w:r>
            <w:r>
              <w:rPr>
                <w:rFonts w:ascii="仿宋_GB2312" w:hAnsi="仿宋_GB2312" w:cs="仿宋_GB2312" w:eastAsia="仿宋_GB2312"/>
                <w:sz w:val="28"/>
              </w:rPr>
              <w:t>（医疗器械冰箱）</w:t>
            </w:r>
            <w:r>
              <w:rPr>
                <w:rFonts w:ascii="仿宋_GB2312" w:hAnsi="仿宋_GB2312" w:cs="仿宋_GB2312" w:eastAsia="仿宋_GB2312"/>
                <w:sz w:val="28"/>
              </w:rPr>
              <w:t>1台</w:t>
            </w:r>
            <w:r>
              <w:rPr>
                <w:rFonts w:ascii="仿宋_GB2312" w:hAnsi="仿宋_GB2312" w:cs="仿宋_GB2312" w:eastAsia="仿宋_GB2312"/>
                <w:sz w:val="28"/>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合同签订生效后的30日内，交货到采购人指定地点。随即在10日内完成安装调试验收合格交付使用（由于采购人原因造成合同延迟签订或验收的，时间顺延)。</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南充市疾病预防控制中⼼（南充市顺庆区市铺路366号）</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预付款付款条件：⾃政府采购合同签订后，项⽬具备实施条件⽀付预付款。达到该付款条件起5个工作日内，支付合同总金额的40.0%</w:t>
            </w:r>
            <w:r>
              <w:br/>
            </w:r>
            <w:r>
              <w:rPr>
                <w:rFonts w:ascii="仿宋_GB2312" w:hAnsi="仿宋_GB2312" w:cs="仿宋_GB2312" w:eastAsia="仿宋_GB2312"/>
              </w:rPr>
              <w:t>2、</w:t>
            </w:r>
            <w:r>
              <w:rPr>
                <w:rFonts w:ascii="仿宋_GB2312" w:hAnsi="仿宋_GB2312" w:cs="仿宋_GB2312" w:eastAsia="仿宋_GB2312"/>
              </w:rPr>
              <w:t>尾款付款条件：货物安装、调试完毕并且验收合格，采购⼈收到供应商发票及请款函等凭证资料。达到该付款条件起7个工作日内，支付合同总金额的60.0%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1）验收组织方式： 自行验收（验收主体：南充市疾病预防控制中心） 2）是否邀请本项目的其他供应商： 否 3）是否邀请专家：否 4）是否邀请服务对象：否 5）是否邀请第三方检测机构：否 6）履约验收程序：一次性验收 7）履约验收时间：在成交供应商提出验收申请之日起，达到验收条件起7日内，验收合同总金额的100%。 8）验收组织的其他事项：无。 9）技术履约验收内容：按照询价通知书的技术参数要求、供应商响应文件技术参数响应及合同约定标准进行验收。 10）商务履约验收内容：按照询价通知书商务要求、响应文件商务响应及合同约定标准进行验收。 11）履约验收标准：本项目采购人将严格按照政府采购相关法律法规、《财政部关于进一步加强政府采购需求和履约验收管理的指导意见》（财库〔2016〕205 号）以及《政府采购需求管理办法》（财库〔2021〕22 号）的要求进行验收。 12）履约验收其他事项：①双⽅如对技术要求的约定标准有相互抵触或异议的事项，由采购⼈在询价通知书和供应商响应⽂件中按技术要求⽐较优胜的原则确定该项的约定标准进⾏验收。②供应商须提供所有设备全套、完整的中文书面技术资料，包括产品合格证、说明书、医疗器械注册证/第⼀类医疗器械备案凭证（医疗器械适用）、生产和经销双方营业执照、供货授权书、医疗器械经营许可证/第⼆类医疗器械经营备案凭证（医疗器械适用） 等满足验收要求的相关资料。</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整机质保期为验收合格后3年。质保期内出现质量问题，供应商在接到通知后2小时内响应，48小时内完成维修或更换，并承担修理或更换的费用；如货物经供应商三次维修仍不能达到合同约定的质量标准，视作供应商未能按时交货，采购人有权退货并追究供应商的违约责任。</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1.采购⼈违约责任 1.1采购⼈⽆正当理由拒收货物的，采购⼈应⽀付合同总价百分之⼗的违约⾦。 1.2采购⼈逾期⽀付货款的，除应及时付⾜货款外，应向成交人⽀付⽋款总额万分之⼀/天的违约⾦；逾期付款超过60天的，成交人有权终⽌合同。 1.3采购⼈⽀付的违约⾦不⾜以弥补成交人损失的，还应按成交人损失尚未弥补的部分，⽀付赔偿⾦给成交人。 2.成交人违约责任 2.1成交人交付的货物质量不符合合同规定的，成交人应向采购⼈⽀付合同总价的百分之⼗的违约⾦，并须在合同规定的交货时间内更换合格的货物给采购⼈，否则，视作成交人不能交付货物⽽违约，按本条本款下述第“2.2”项规定由成交人⽀付违约赔偿⾦给采购⼈。 2.2成交人不能交付货物或逾期交付货物⽽违约的，除应及时交⾜货物外，应向采购⼈⽀付逾期交货部分货款总额的万分之⼀/天的违约⾦；逾期交货超过10天，采购⼈有权终⽌合同，成交人则应按合同总价的百分之⼗的款额向采购⼈⽀付赔偿⾦，并须全额退还采购⼈已经付给成交人的货款及其利息。 2.3成交人货物经采购⼈送交具有法定资格条件的质量技术监督机构检测后，如检测结果认定货物质量不符合本合同规定标准的，则视为成交人没有按时和按质交货⽽违约，成交人须在10天内⽆条件更换合格的货物，如逾期不能更换合格的货物，采购⼈有权终⽌本合同，成交人应另付合同总价的百分之⼗的赔偿⾦给采购⼈。 2.4成交人保证本合同货物的权利⽆瑕疵，包括货物所有权及知识产权等权利⽆瑕疵。如任何第三⽅经法院（或仲裁机构）裁决有权对上述货物主 张权利或国家机关依法对货物进⾏没收查处的，成交人除应向采购⼈返还已收款项外，还应另按合同总价的百分之⼗向采购⼈⽀付违约⾦。 2.5成交人不履⾏或迟延履⾏售后维保义务的，每发⽣⼀次，应向采购⼈⽀付合同总价款百分之⼗的违约⾦，且采购⼈有权委托第三⽅维保，由此发⽣的维保费⽤由成交人承担。 2.6成交人⽀付的违约⾦不⾜以弥补采购⼈损失的，还应按采购⼈损失尚未弥补的部分，⽀付赔偿⾦给采购⼈。 3.争议解决的办法 3.1因货物的质量问题发⽣争议，由质量技术监督部⻔或其指定的质量鉴定机构进⾏质量鉴定。货物符合标准的，鉴定费由采购⼈承担；货物不符合质量标准的，鉴定费由成交人承担。 3.2合同履⾏期间,若双⽅发⽣争议，可协商或由有关部⻔调解解决，协商或调解不成的，由当事⼈依法向采购⼈住所地⼈⺠法院提起诉讼以维护其合法权益。</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中华⼈⺠共和国医疗器械注册证或第⼀类医疗器械备案凭证（若报价产品及其配置产品为医疗器械的，报价产品及其配置产品须符合《医疗器械注册与备案管理办法》要求，并提供有效的中华⼈⺠共和国医疗器械注册证或第⼀类医疗器械备案凭证扫描件加盖供应商电子公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根据自身情况选择提供以下任意一项证明材料：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个体工商户：提供“统一社会信用代码营业执照”或“营业执照、税务登记证”；⑤若为自然人：提供“身份证明材料”。</w:t>
            </w:r>
          </w:p>
        </w:tc>
        <w:tc>
          <w:tcPr>
            <w:tcW w:type="dxa" w:w="1661"/>
          </w:tcPr>
          <w:p>
            <w:pPr>
              <w:pStyle w:val="null3"/>
              <w:jc w:val="left"/>
            </w:pPr>
            <w:r>
              <w:rPr>
                <w:rFonts w:ascii="仿宋_GB2312" w:hAnsi="仿宋_GB2312" w:cs="仿宋_GB2312" w:eastAsia="仿宋_GB2312"/>
              </w:rPr>
              <w:t>具有独立承担民事责任的能力.docx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供应商根据自身情况选择提供以下任意一项证明材料： ①提供2024年度（含）至今（任意一年度）经审计的财务报告（包含审计报告和审计报告中所涉及的财务报表和报表附注）；②提供2024年度（含）至今（任意一年度）供应商内部的财务报表（财务报表内容至少包含并体现资产负债及利润情况）；③提供截止响应文件递交截止日一年内其基本开户银行出具的资信证明；④供应商注册时间截止响应文件递交截止日不足一年的，也可提供经工商备案的公司章程。</w:t>
            </w:r>
          </w:p>
        </w:tc>
        <w:tc>
          <w:tcPr>
            <w:tcW w:type="dxa" w:w="1661"/>
          </w:tcPr>
          <w:p>
            <w:pPr>
              <w:pStyle w:val="null3"/>
              <w:jc w:val="left"/>
            </w:pPr>
            <w:r>
              <w:rPr>
                <w:rFonts w:ascii="仿宋_GB2312" w:hAnsi="仿宋_GB2312" w:cs="仿宋_GB2312" w:eastAsia="仿宋_GB2312"/>
              </w:rPr>
              <w:t>具有健全的财务会计制度.docx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询价通知书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医疗器械经营许可证或第二类医疗器械经营备案凭证</w:t>
            </w:r>
          </w:p>
        </w:tc>
        <w:tc>
          <w:tcPr>
            <w:tcW w:type="dxa" w:w="3322"/>
          </w:tcPr>
          <w:p>
            <w:pPr>
              <w:pStyle w:val="null3"/>
              <w:jc w:val="left"/>
            </w:pPr>
            <w:r>
              <w:rPr>
                <w:rFonts w:ascii="仿宋_GB2312" w:hAnsi="仿宋_GB2312" w:cs="仿宋_GB2312" w:eastAsia="仿宋_GB2312"/>
              </w:rPr>
              <w:t>若报价产品及其配置产品为医疗器械的，供应商若为报价产品及其配置产品的生产厂家，须符合《医疗器械监督管理条例》要求并提供医疗器械生产许可证或生产备案凭证；供应商若为报价产品及其配置产品非生产厂家，须符合《医疗器械监督管理条例》要求并提供医疗器械经营许可证或第二类医疗器械经营备案凭证（已提供包含二类备案的多证合一营业执照的供应商除外）。（提供相关证明材料扫描件加盖供应商电子公章）</w:t>
            </w:r>
          </w:p>
        </w:tc>
        <w:tc>
          <w:tcPr>
            <w:tcW w:type="dxa" w:w="1661"/>
          </w:tcPr>
          <w:p>
            <w:pPr>
              <w:pStyle w:val="null3"/>
              <w:jc w:val="left"/>
            </w:pPr>
            <w:r>
              <w:rPr>
                <w:rFonts w:ascii="仿宋_GB2312" w:hAnsi="仿宋_GB2312" w:cs="仿宋_GB2312" w:eastAsia="仿宋_GB2312"/>
              </w:rPr>
              <w:t>医疗器械经营许可证或第⼆类医疗器械经营备案凭证.docx</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询价通知书第三章的实质性审查内容</w:t>
            </w:r>
          </w:p>
        </w:tc>
        <w:tc>
          <w:tcPr>
            <w:tcW w:type="dxa" w:w="3322"/>
          </w:tcPr>
          <w:p>
            <w:pPr>
              <w:pStyle w:val="null3"/>
              <w:jc w:val="left"/>
            </w:pPr>
            <w:r>
              <w:rPr>
                <w:rFonts w:ascii="仿宋_GB2312" w:hAnsi="仿宋_GB2312" w:cs="仿宋_GB2312" w:eastAsia="仿宋_GB2312"/>
              </w:rPr>
              <w:t>以本询价通知书第三章的实质性要求为审查依据。供应商不满足本询价通知书第三章实质性要求的，询价小组应当将其响应文件作为无效响应处理。</w:t>
            </w:r>
          </w:p>
        </w:tc>
        <w:tc>
          <w:tcPr>
            <w:tcW w:type="dxa" w:w="1661"/>
          </w:tcPr>
          <w:p>
            <w:pPr>
              <w:pStyle w:val="null3"/>
              <w:jc w:val="left"/>
            </w:pPr>
            <w:r>
              <w:rPr>
                <w:rFonts w:ascii="仿宋_GB2312" w:hAnsi="仿宋_GB2312" w:cs="仿宋_GB2312" w:eastAsia="仿宋_GB2312"/>
              </w:rPr>
              <w:t>供应商应提供的其他证明材料.docx,商务要求应答表.docx,技术要求应答表.docx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异常低价投标（响应）审查</w:t>
            </w:r>
          </w:p>
        </w:tc>
        <w:tc>
          <w:tcPr>
            <w:tcW w:type="dxa" w:w="3322"/>
          </w:tcPr>
          <w:p>
            <w:pPr>
              <w:pStyle w:val="null3"/>
              <w:jc w:val="left"/>
            </w:pPr>
            <w:r>
              <w:rPr>
                <w:rFonts w:ascii="仿宋_GB2312" w:hAnsi="仿宋_GB2312" w:cs="仿宋_GB2312" w:eastAsia="仿宋_GB2312"/>
              </w:rPr>
              <w:t>评审过程中出现下列情形之一的，询价小组应当启动异常低价响应审查程序： 1.响应报价低于全部通过符合性审查供应商响应报价平均值 65 %的，即响应报价&lt;全部通过符合性审查供应商响应报价平均值× 65 %； 2.响应报价低于通过符合性审查的次低报价供应商响应报价 65 %的，即响应报价&lt;通过符合性审查的次低报价供应商响应报价× 65 %； 3.响应报价低于采购项目（采购包）最高限价 65 %的，即响应报价&lt;采购项目（采购包）最高限价× 65 %； 4.询价小组基于专业判断，认为供应商报价过低，有可能影响产品质量或者不能诚信履约的其他情形。 询价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询价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询价小组应当将其作为无效响应处理。</w:t>
            </w:r>
          </w:p>
        </w:tc>
        <w:tc>
          <w:tcPr>
            <w:tcW w:type="dxa" w:w="1661"/>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报价</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 xml:space="preserve"> 本项目授权询价小组在询价报告确定的成交候选供应商名单中按顺序直接确定1名成交供应商。采购人或者代理机构应当自成交供应商确定之日起2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详见附件：具有独立承担民事责任的能力.docx</w:t>
      </w:r>
    </w:p>
    <w:p>
      <w:pPr>
        <w:pStyle w:val="null3"/>
        <w:ind w:firstLine="960"/>
        <w:jc w:val="left"/>
      </w:pPr>
      <w:r>
        <w:rPr>
          <w:rFonts w:ascii="仿宋_GB2312" w:hAnsi="仿宋_GB2312" w:cs="仿宋_GB2312" w:eastAsia="仿宋_GB2312"/>
        </w:rPr>
        <w:t>详见附件：具有健全的财务会计制度.docx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详见附件：医疗器械经营许可证或第⼆类医疗器械经营备案凭证.docx</w:t>
      </w:r>
    </w:p>
    <w:p>
      <w:pPr>
        <w:pStyle w:val="null3"/>
        <w:ind w:firstLine="960"/>
        <w:jc w:val="left"/>
      </w:pPr>
      <w:r>
        <w:rPr>
          <w:rFonts w:ascii="仿宋_GB2312" w:hAnsi="仿宋_GB2312" w:cs="仿宋_GB2312" w:eastAsia="仿宋_GB2312"/>
        </w:rPr>
        <w:t>详见附件：供应商应提供的其他证明材料.docx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