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hint="eastAsia" w:ascii="仿宋" w:hAnsi="仿宋" w:eastAsia="仿宋" w:cs="宋体"/>
          <w:b/>
          <w:bCs/>
          <w:kern w:val="0"/>
          <w:sz w:val="36"/>
          <w:szCs w:val="36"/>
          <w:lang w:eastAsia="zh-CN"/>
        </w:rPr>
        <w:t>北京交通大学威海校区学业支持中心系统三期、学生成长画像二期等信息系统项目开发项目</w:t>
      </w:r>
      <w:r>
        <w:rPr>
          <w:rFonts w:hint="eastAsia" w:ascii="仿宋" w:hAnsi="仿宋" w:eastAsia="仿宋" w:cs="宋体"/>
          <w:b/>
          <w:bCs/>
          <w:kern w:val="0"/>
          <w:sz w:val="36"/>
          <w:szCs w:val="36"/>
        </w:rPr>
        <w:t>中标公告</w:t>
      </w:r>
    </w:p>
    <w:p>
      <w:pPr>
        <w:spacing w:line="360" w:lineRule="auto"/>
        <w:jc w:val="left"/>
        <w:rPr>
          <w:rFonts w:hint="eastAsia" w:ascii="仿宋" w:hAnsi="仿宋" w:eastAsia="仿宋"/>
          <w:sz w:val="24"/>
          <w:szCs w:val="24"/>
          <w:lang w:val="en-US" w:eastAsia="zh-CN"/>
        </w:rPr>
      </w:pPr>
      <w:r>
        <w:rPr>
          <w:rFonts w:hint="eastAsia" w:ascii="仿宋" w:hAnsi="仿宋" w:eastAsia="仿宋"/>
          <w:sz w:val="24"/>
          <w:szCs w:val="24"/>
        </w:rPr>
        <w:t>一、项目编号：</w:t>
      </w:r>
      <w:r>
        <w:rPr>
          <w:rFonts w:hint="eastAsia" w:ascii="仿宋" w:hAnsi="仿宋" w:eastAsia="仿宋"/>
          <w:sz w:val="24"/>
          <w:szCs w:val="24"/>
          <w:lang w:eastAsia="zh-CN"/>
        </w:rPr>
        <w:t>[2023]BGC-10716</w:t>
      </w:r>
    </w:p>
    <w:p>
      <w:pPr>
        <w:spacing w:line="360" w:lineRule="auto"/>
        <w:jc w:val="left"/>
        <w:rPr>
          <w:rFonts w:hint="eastAsia" w:ascii="仿宋" w:hAnsi="仿宋" w:eastAsia="仿宋"/>
          <w:sz w:val="24"/>
          <w:szCs w:val="24"/>
          <w:lang w:eastAsia="zh-CN"/>
        </w:rPr>
      </w:pPr>
      <w:r>
        <w:rPr>
          <w:rFonts w:hint="eastAsia" w:ascii="仿宋" w:hAnsi="仿宋" w:eastAsia="仿宋"/>
          <w:sz w:val="24"/>
          <w:szCs w:val="24"/>
        </w:rPr>
        <w:t>二、项目名称：</w:t>
      </w:r>
      <w:r>
        <w:rPr>
          <w:rFonts w:hint="eastAsia" w:ascii="仿宋" w:hAnsi="仿宋" w:eastAsia="仿宋"/>
          <w:sz w:val="24"/>
          <w:szCs w:val="24"/>
          <w:lang w:eastAsia="zh-CN"/>
        </w:rPr>
        <w:t>北京交通大学威海校区学业支持中心系统三期、学生成长画像二期等信息系统项目开发项目</w:t>
      </w:r>
    </w:p>
    <w:p>
      <w:pPr>
        <w:spacing w:line="360" w:lineRule="auto"/>
        <w:jc w:val="left"/>
        <w:rPr>
          <w:rFonts w:ascii="仿宋" w:hAnsi="仿宋" w:eastAsia="仿宋"/>
          <w:sz w:val="24"/>
          <w:szCs w:val="24"/>
        </w:rPr>
      </w:pPr>
      <w:r>
        <w:rPr>
          <w:rFonts w:hint="eastAsia" w:ascii="仿宋" w:hAnsi="仿宋" w:eastAsia="仿宋"/>
          <w:sz w:val="24"/>
          <w:szCs w:val="24"/>
        </w:rPr>
        <w:t>三、中标信息</w:t>
      </w:r>
    </w:p>
    <w:p>
      <w:pPr>
        <w:spacing w:line="360" w:lineRule="auto"/>
        <w:jc w:val="left"/>
        <w:rPr>
          <w:rFonts w:hint="eastAsia" w:ascii="仿宋" w:hAnsi="仿宋" w:eastAsia="仿宋"/>
          <w:sz w:val="24"/>
          <w:szCs w:val="24"/>
          <w:lang w:eastAsia="zh-CN"/>
        </w:rPr>
      </w:pPr>
      <w:r>
        <w:rPr>
          <w:rFonts w:hint="eastAsia" w:ascii="仿宋" w:hAnsi="仿宋" w:eastAsia="仿宋"/>
          <w:sz w:val="24"/>
          <w:szCs w:val="24"/>
        </w:rPr>
        <w:t>供应商名称：北京数典科技有限公司</w:t>
      </w:r>
    </w:p>
    <w:p>
      <w:pPr>
        <w:spacing w:line="360" w:lineRule="auto"/>
        <w:jc w:val="left"/>
        <w:rPr>
          <w:rFonts w:ascii="仿宋" w:hAnsi="仿宋" w:eastAsia="仿宋"/>
          <w:sz w:val="24"/>
          <w:szCs w:val="24"/>
        </w:rPr>
      </w:pPr>
      <w:r>
        <w:rPr>
          <w:rFonts w:hint="eastAsia" w:ascii="仿宋" w:hAnsi="仿宋" w:eastAsia="仿宋"/>
          <w:sz w:val="24"/>
          <w:szCs w:val="24"/>
        </w:rPr>
        <w:t>供应商地址：北京市海淀区上地信息路1号2号楼4层405A</w:t>
      </w:r>
    </w:p>
    <w:p>
      <w:pPr>
        <w:spacing w:line="360" w:lineRule="auto"/>
        <w:jc w:val="left"/>
        <w:rPr>
          <w:rFonts w:ascii="仿宋" w:hAnsi="仿宋" w:eastAsia="仿宋"/>
          <w:sz w:val="24"/>
          <w:szCs w:val="24"/>
        </w:rPr>
      </w:pPr>
      <w:r>
        <w:rPr>
          <w:rFonts w:hint="eastAsia" w:ascii="仿宋" w:hAnsi="仿宋" w:eastAsia="仿宋"/>
          <w:sz w:val="24"/>
          <w:szCs w:val="24"/>
        </w:rPr>
        <w:t>中标金额：</w:t>
      </w:r>
      <w:r>
        <w:rPr>
          <w:rFonts w:hint="eastAsia" w:ascii="仿宋" w:hAnsi="仿宋" w:eastAsia="仿宋"/>
          <w:sz w:val="24"/>
          <w:szCs w:val="24"/>
          <w:lang w:val="en-US" w:eastAsia="zh-CN"/>
        </w:rPr>
        <w:t>486000</w:t>
      </w:r>
      <w:r>
        <w:rPr>
          <w:rFonts w:hint="eastAsia" w:ascii="仿宋" w:hAnsi="仿宋" w:eastAsia="仿宋"/>
          <w:sz w:val="24"/>
          <w:szCs w:val="24"/>
        </w:rPr>
        <w:t>.00（大写:</w:t>
      </w:r>
      <w:r>
        <w:rPr>
          <w:rFonts w:hint="eastAsia" w:ascii="仿宋" w:hAnsi="仿宋" w:eastAsia="仿宋"/>
          <w:sz w:val="24"/>
          <w:szCs w:val="24"/>
          <w:lang w:eastAsia="zh-CN"/>
        </w:rPr>
        <w:t>肆拾捌万陆仟元整</w:t>
      </w:r>
      <w:r>
        <w:rPr>
          <w:rFonts w:hint="eastAsia" w:ascii="仿宋" w:hAnsi="仿宋" w:eastAsia="仿宋"/>
          <w:sz w:val="24"/>
          <w:szCs w:val="24"/>
        </w:rPr>
        <w:t>）</w:t>
      </w:r>
    </w:p>
    <w:p>
      <w:pPr>
        <w:rPr>
          <w:rFonts w:ascii="仿宋" w:hAnsi="仿宋" w:eastAsia="仿宋"/>
          <w:sz w:val="24"/>
          <w:szCs w:val="24"/>
        </w:rPr>
      </w:pPr>
      <w:r>
        <w:rPr>
          <w:rFonts w:hint="eastAsia" w:ascii="仿宋" w:hAnsi="仿宋" w:eastAsia="仿宋"/>
          <w:sz w:val="24"/>
          <w:szCs w:val="24"/>
        </w:rPr>
        <w:t>四、主要标的信息</w:t>
      </w:r>
    </w:p>
    <w:tbl>
      <w:tblPr>
        <w:tblStyle w:val="26"/>
        <w:tblW w:w="8580" w:type="dxa"/>
        <w:tblInd w:w="5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8580" w:type="dxa"/>
            <w:vAlign w:val="top"/>
          </w:tcPr>
          <w:p>
            <w:pPr>
              <w:jc w:val="center"/>
              <w:rPr>
                <w:rFonts w:ascii="仿宋" w:hAnsi="仿宋" w:eastAsia="仿宋"/>
                <w:sz w:val="24"/>
                <w:szCs w:val="24"/>
              </w:rPr>
            </w:pPr>
            <w:r>
              <w:rPr>
                <w:rFonts w:hint="eastAsia" w:ascii="仿宋" w:hAnsi="仿宋" w:eastAsia="仿宋"/>
                <w:kern w:val="0"/>
                <w:sz w:val="24"/>
                <w:szCs w:val="24"/>
                <w:lang w:val="en-US" w:eastAsia="zh-CN"/>
              </w:rPr>
              <w:t>服务</w:t>
            </w:r>
            <w:r>
              <w:rPr>
                <w:rFonts w:hint="eastAsia" w:ascii="仿宋" w:hAnsi="仿宋" w:eastAsia="仿宋"/>
                <w:kern w:val="0"/>
                <w:sz w:val="24"/>
                <w:szCs w:val="24"/>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1" w:hRule="atLeast"/>
        </w:trPr>
        <w:tc>
          <w:tcPr>
            <w:tcW w:w="8580" w:type="dxa"/>
            <w:vAlign w:val="top"/>
          </w:tcPr>
          <w:p>
            <w:pPr>
              <w:rPr>
                <w:rFonts w:ascii="仿宋" w:hAnsi="仿宋" w:eastAsia="仿宋"/>
                <w:kern w:val="0"/>
                <w:sz w:val="24"/>
                <w:szCs w:val="24"/>
              </w:rPr>
            </w:pPr>
            <w:r>
              <w:rPr>
                <w:rFonts w:hint="eastAsia" w:ascii="仿宋" w:hAnsi="仿宋" w:eastAsia="仿宋"/>
                <w:kern w:val="0"/>
                <w:sz w:val="24"/>
                <w:szCs w:val="24"/>
              </w:rPr>
              <w:t>名称：学业支持中心系统三期、学生成长画像二期等信息系统</w:t>
            </w:r>
          </w:p>
          <w:p>
            <w:pPr>
              <w:rPr>
                <w:rFonts w:hint="eastAsia" w:ascii="仿宋" w:hAnsi="仿宋" w:eastAsia="仿宋"/>
                <w:kern w:val="0"/>
                <w:sz w:val="24"/>
                <w:szCs w:val="24"/>
                <w:lang w:val="en-US" w:eastAsia="zh-CN"/>
              </w:rPr>
            </w:pPr>
            <w:r>
              <w:rPr>
                <w:rFonts w:hint="eastAsia" w:ascii="仿宋" w:hAnsi="仿宋" w:eastAsia="仿宋"/>
                <w:kern w:val="0"/>
                <w:sz w:val="24"/>
                <w:szCs w:val="24"/>
              </w:rPr>
              <w:t>服务范围：详见</w:t>
            </w:r>
            <w:r>
              <w:rPr>
                <w:rFonts w:hint="eastAsia" w:ascii="仿宋" w:hAnsi="仿宋" w:eastAsia="仿宋"/>
                <w:kern w:val="0"/>
                <w:sz w:val="24"/>
                <w:szCs w:val="24"/>
                <w:lang w:val="en-US" w:eastAsia="zh-CN"/>
              </w:rPr>
              <w:t>招标文件</w:t>
            </w:r>
          </w:p>
          <w:p>
            <w:pPr>
              <w:rPr>
                <w:rFonts w:hint="default" w:ascii="仿宋" w:hAnsi="仿宋" w:eastAsia="仿宋"/>
                <w:kern w:val="0"/>
                <w:sz w:val="24"/>
                <w:szCs w:val="24"/>
                <w:u w:val="single"/>
                <w:lang w:val="en-US" w:eastAsia="zh-CN"/>
              </w:rPr>
            </w:pPr>
            <w:r>
              <w:rPr>
                <w:rFonts w:hint="eastAsia" w:ascii="仿宋" w:hAnsi="仿宋" w:eastAsia="仿宋"/>
                <w:kern w:val="0"/>
                <w:sz w:val="24"/>
                <w:szCs w:val="24"/>
              </w:rPr>
              <w:t>服务要求：</w:t>
            </w:r>
            <w:r>
              <w:rPr>
                <w:rFonts w:hint="eastAsia" w:ascii="仿宋" w:hAnsi="仿宋" w:eastAsia="仿宋"/>
                <w:kern w:val="0"/>
                <w:sz w:val="24"/>
                <w:szCs w:val="24"/>
                <w:lang w:val="en-US" w:eastAsia="zh-CN"/>
              </w:rPr>
              <w:t>详见招标文件</w:t>
            </w:r>
          </w:p>
          <w:p>
            <w:pPr>
              <w:rPr>
                <w:rFonts w:ascii="仿宋" w:hAnsi="仿宋" w:eastAsia="仿宋"/>
                <w:kern w:val="0"/>
                <w:sz w:val="24"/>
                <w:szCs w:val="24"/>
                <w:u w:val="single"/>
              </w:rPr>
            </w:pPr>
            <w:r>
              <w:rPr>
                <w:rFonts w:hint="eastAsia" w:ascii="仿宋" w:hAnsi="仿宋" w:eastAsia="仿宋"/>
                <w:kern w:val="0"/>
                <w:sz w:val="24"/>
                <w:szCs w:val="24"/>
              </w:rPr>
              <w:t>服务时间：自合同签订之日起至2023年10月30日前完成</w:t>
            </w:r>
          </w:p>
          <w:p>
            <w:pPr>
              <w:rPr>
                <w:sz w:val="24"/>
                <w:szCs w:val="24"/>
              </w:rPr>
            </w:pPr>
            <w:r>
              <w:rPr>
                <w:rFonts w:hint="eastAsia" w:ascii="仿宋" w:hAnsi="仿宋" w:eastAsia="仿宋"/>
                <w:kern w:val="0"/>
                <w:sz w:val="24"/>
                <w:szCs w:val="24"/>
              </w:rPr>
              <w:t>服务标准：行业标准</w:t>
            </w:r>
          </w:p>
        </w:tc>
      </w:tr>
    </w:tbl>
    <w:p>
      <w:pPr>
        <w:spacing w:line="360" w:lineRule="auto"/>
        <w:jc w:val="left"/>
        <w:rPr>
          <w:rFonts w:ascii="仿宋" w:hAnsi="仿宋" w:eastAsia="仿宋"/>
          <w:sz w:val="24"/>
          <w:szCs w:val="24"/>
        </w:rPr>
      </w:pPr>
      <w:r>
        <w:rPr>
          <w:rFonts w:hint="eastAsia" w:ascii="仿宋" w:hAnsi="仿宋" w:eastAsia="仿宋"/>
          <w:sz w:val="24"/>
          <w:szCs w:val="24"/>
        </w:rPr>
        <w:t>五、评审专家名单：梁松、王彤、安海权、连晓峰、李风</w:t>
      </w:r>
    </w:p>
    <w:p>
      <w:pPr>
        <w:spacing w:line="360" w:lineRule="auto"/>
        <w:jc w:val="left"/>
        <w:rPr>
          <w:rFonts w:ascii="仿宋" w:hAnsi="仿宋" w:eastAsia="仿宋"/>
          <w:sz w:val="24"/>
          <w:szCs w:val="24"/>
        </w:rPr>
      </w:pPr>
      <w:r>
        <w:rPr>
          <w:rFonts w:hint="eastAsia" w:ascii="仿宋" w:hAnsi="仿宋" w:eastAsia="仿宋"/>
          <w:sz w:val="24"/>
          <w:szCs w:val="24"/>
        </w:rPr>
        <w:t>六、代理服务收费标准及金额：</w:t>
      </w:r>
    </w:p>
    <w:p>
      <w:pPr>
        <w:spacing w:line="360" w:lineRule="auto"/>
        <w:ind w:firstLine="480" w:firstLineChars="200"/>
        <w:jc w:val="left"/>
        <w:rPr>
          <w:rFonts w:hint="eastAsia" w:ascii="仿宋" w:hAnsi="仿宋" w:eastAsia="仿宋"/>
          <w:sz w:val="24"/>
          <w:szCs w:val="24"/>
          <w:lang w:eastAsia="zh-CN"/>
        </w:rPr>
      </w:pPr>
      <w:r>
        <w:rPr>
          <w:rFonts w:hint="eastAsia" w:ascii="仿宋" w:hAnsi="仿宋" w:eastAsia="仿宋"/>
          <w:sz w:val="24"/>
          <w:szCs w:val="24"/>
          <w:lang w:eastAsia="zh-CN"/>
        </w:rPr>
        <w:t>以中标金额作为收费的计算基数。采购代理机构按原计价格[2002]1980号文、发改办价格[2003]857号文及发改价格[2011]534号文有关规定，向中标人收取中标服务费。</w:t>
      </w:r>
    </w:p>
    <w:p>
      <w:pPr>
        <w:spacing w:line="360" w:lineRule="auto"/>
        <w:jc w:val="left"/>
        <w:rPr>
          <w:rFonts w:ascii="仿宋" w:hAnsi="仿宋" w:eastAsia="仿宋"/>
          <w:sz w:val="24"/>
          <w:szCs w:val="24"/>
        </w:rPr>
      </w:pPr>
      <w:r>
        <w:rPr>
          <w:rFonts w:hint="eastAsia" w:ascii="仿宋" w:hAnsi="仿宋" w:eastAsia="仿宋"/>
          <w:sz w:val="24"/>
          <w:szCs w:val="24"/>
        </w:rPr>
        <w:t>中标服务费：</w:t>
      </w:r>
      <w:r>
        <w:rPr>
          <w:rFonts w:hint="eastAsia" w:ascii="仿宋" w:hAnsi="仿宋" w:eastAsia="仿宋"/>
          <w:sz w:val="24"/>
          <w:szCs w:val="24"/>
          <w:lang w:val="en-US" w:eastAsia="zh-CN"/>
        </w:rPr>
        <w:t>0.7290</w:t>
      </w:r>
      <w:r>
        <w:rPr>
          <w:rFonts w:hint="eastAsia" w:ascii="仿宋" w:hAnsi="仿宋" w:eastAsia="仿宋"/>
          <w:sz w:val="24"/>
          <w:szCs w:val="24"/>
        </w:rPr>
        <w:t>万元 。</w:t>
      </w:r>
    </w:p>
    <w:p>
      <w:pPr>
        <w:spacing w:line="360" w:lineRule="auto"/>
        <w:jc w:val="left"/>
        <w:rPr>
          <w:rFonts w:ascii="仿宋" w:hAnsi="仿宋" w:eastAsia="仿宋"/>
          <w:sz w:val="24"/>
          <w:szCs w:val="24"/>
        </w:rPr>
      </w:pPr>
      <w:r>
        <w:rPr>
          <w:rFonts w:hint="eastAsia" w:ascii="仿宋" w:hAnsi="仿宋" w:eastAsia="仿宋"/>
          <w:sz w:val="24"/>
          <w:szCs w:val="24"/>
        </w:rPr>
        <w:t>七、公告期限</w:t>
      </w:r>
    </w:p>
    <w:p>
      <w:pPr>
        <w:spacing w:line="360" w:lineRule="auto"/>
        <w:ind w:firstLine="480" w:firstLineChars="200"/>
        <w:jc w:val="left"/>
        <w:rPr>
          <w:rFonts w:ascii="仿宋" w:hAnsi="仿宋" w:eastAsia="仿宋"/>
          <w:sz w:val="24"/>
          <w:szCs w:val="24"/>
        </w:rPr>
      </w:pPr>
      <w:r>
        <w:rPr>
          <w:rFonts w:hint="eastAsia" w:ascii="仿宋" w:hAnsi="仿宋" w:eastAsia="仿宋"/>
          <w:sz w:val="24"/>
          <w:szCs w:val="24"/>
        </w:rPr>
        <w:t>自本公告发布之日起1个工作日。</w:t>
      </w:r>
    </w:p>
    <w:p>
      <w:pPr>
        <w:numPr>
          <w:ilvl w:val="0"/>
          <w:numId w:val="1"/>
        </w:numPr>
        <w:spacing w:line="360" w:lineRule="auto"/>
        <w:jc w:val="left"/>
        <w:rPr>
          <w:rFonts w:ascii="仿宋" w:hAnsi="仿宋" w:eastAsia="仿宋"/>
          <w:sz w:val="24"/>
          <w:szCs w:val="24"/>
        </w:rPr>
      </w:pPr>
      <w:r>
        <w:rPr>
          <w:rFonts w:hint="eastAsia" w:ascii="仿宋" w:hAnsi="仿宋" w:eastAsia="仿宋"/>
          <w:sz w:val="24"/>
          <w:szCs w:val="24"/>
        </w:rPr>
        <w:t>其他补充事宜</w:t>
      </w:r>
      <w:bookmarkStart w:id="5" w:name="_GoBack"/>
      <w:bookmarkEnd w:id="5"/>
    </w:p>
    <w:p>
      <w:pPr>
        <w:spacing w:line="360" w:lineRule="auto"/>
        <w:ind w:firstLine="480" w:firstLineChars="200"/>
        <w:jc w:val="left"/>
        <w:rPr>
          <w:rFonts w:hint="eastAsia" w:ascii="仿宋" w:hAnsi="仿宋" w:eastAsia="仿宋"/>
          <w:sz w:val="24"/>
          <w:szCs w:val="24"/>
          <w:lang w:eastAsia="zh-CN"/>
        </w:rPr>
      </w:pPr>
      <w:r>
        <w:rPr>
          <w:rFonts w:hint="eastAsia" w:ascii="仿宋" w:hAnsi="仿宋" w:eastAsia="仿宋"/>
          <w:sz w:val="24"/>
          <w:szCs w:val="24"/>
        </w:rPr>
        <w:t>本项目</w:t>
      </w:r>
      <w:r>
        <w:rPr>
          <w:rFonts w:hint="eastAsia" w:ascii="仿宋" w:hAnsi="仿宋" w:eastAsia="仿宋"/>
          <w:sz w:val="24"/>
          <w:szCs w:val="24"/>
          <w:lang w:val="en-US" w:eastAsia="zh-CN"/>
        </w:rPr>
        <w:t>中标</w:t>
      </w:r>
      <w:r>
        <w:rPr>
          <w:rFonts w:hint="eastAsia" w:ascii="仿宋" w:hAnsi="仿宋" w:eastAsia="仿宋"/>
          <w:sz w:val="24"/>
          <w:szCs w:val="24"/>
        </w:rPr>
        <w:t>公告在《中国政府采购网》上发布</w:t>
      </w:r>
      <w:r>
        <w:rPr>
          <w:rFonts w:hint="eastAsia" w:ascii="仿宋" w:hAnsi="仿宋" w:eastAsia="仿宋"/>
          <w:sz w:val="24"/>
          <w:szCs w:val="24"/>
          <w:lang w:eastAsia="zh-CN"/>
        </w:rPr>
        <w:t>。</w:t>
      </w:r>
    </w:p>
    <w:p>
      <w:pPr>
        <w:numPr>
          <w:ilvl w:val="0"/>
          <w:numId w:val="0"/>
        </w:numPr>
        <w:spacing w:line="360" w:lineRule="auto"/>
        <w:jc w:val="left"/>
        <w:rPr>
          <w:rFonts w:ascii="仿宋" w:hAnsi="仿宋" w:eastAsia="仿宋"/>
          <w:sz w:val="24"/>
          <w:szCs w:val="24"/>
        </w:rPr>
      </w:pPr>
      <w:r>
        <w:rPr>
          <w:rFonts w:hint="eastAsia" w:ascii="仿宋" w:hAnsi="仿宋" w:eastAsia="仿宋"/>
          <w:sz w:val="24"/>
          <w:szCs w:val="24"/>
        </w:rPr>
        <w:t>九、凡对本次公告内容提出询问，请按以下方式联系。</w:t>
      </w:r>
    </w:p>
    <w:p>
      <w:pPr>
        <w:spacing w:line="360" w:lineRule="auto"/>
        <w:rPr>
          <w:rFonts w:ascii="仿宋" w:hAnsi="仿宋" w:eastAsia="仿宋" w:cs="仿宋"/>
          <w:sz w:val="24"/>
          <w:szCs w:val="24"/>
        </w:rPr>
      </w:pPr>
      <w:r>
        <w:rPr>
          <w:rFonts w:hint="eastAsia" w:ascii="仿宋" w:hAnsi="仿宋" w:eastAsia="仿宋" w:cs="仿宋"/>
          <w:sz w:val="24"/>
          <w:szCs w:val="24"/>
        </w:rPr>
        <w:t>1.采购人信息</w:t>
      </w:r>
    </w:p>
    <w:p>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 xml:space="preserve">名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称：北京交通大学　</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址：</w:t>
      </w:r>
      <w:bookmarkStart w:id="0" w:name="_Toc28359009"/>
      <w:bookmarkStart w:id="1" w:name="_Toc28359086"/>
      <w:r>
        <w:rPr>
          <w:rFonts w:hint="eastAsia" w:ascii="仿宋" w:hAnsi="仿宋" w:eastAsia="仿宋" w:cs="仿宋"/>
          <w:sz w:val="24"/>
          <w:szCs w:val="24"/>
        </w:rPr>
        <w:t>北京市海淀区上园村3号</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联系方式：侯老师 010-51683701</w:t>
      </w:r>
    </w:p>
    <w:p>
      <w:pPr>
        <w:spacing w:line="360" w:lineRule="auto"/>
        <w:rPr>
          <w:rFonts w:ascii="仿宋" w:hAnsi="仿宋" w:eastAsia="仿宋" w:cs="仿宋"/>
          <w:sz w:val="24"/>
          <w:szCs w:val="24"/>
        </w:rPr>
      </w:pPr>
      <w:r>
        <w:rPr>
          <w:rFonts w:hint="eastAsia" w:ascii="仿宋" w:hAnsi="仿宋" w:eastAsia="仿宋" w:cs="仿宋"/>
          <w:sz w:val="24"/>
          <w:szCs w:val="24"/>
        </w:rPr>
        <w:t>2.采购代理机构信息</w:t>
      </w:r>
      <w:bookmarkEnd w:id="0"/>
      <w:bookmarkEnd w:id="1"/>
    </w:p>
    <w:p>
      <w:pPr>
        <w:spacing w:line="360" w:lineRule="auto"/>
        <w:ind w:firstLine="480" w:firstLineChars="200"/>
        <w:rPr>
          <w:rFonts w:ascii="仿宋" w:hAnsi="仿宋" w:eastAsia="仿宋" w:cs="仿宋"/>
          <w:sz w:val="24"/>
          <w:szCs w:val="24"/>
        </w:rPr>
      </w:pPr>
      <w:bookmarkStart w:id="2" w:name="_Toc28359010"/>
      <w:bookmarkStart w:id="3" w:name="_Toc28359087"/>
      <w:r>
        <w:rPr>
          <w:rFonts w:hint="eastAsia" w:ascii="仿宋" w:hAnsi="仿宋" w:eastAsia="仿宋" w:cs="仿宋"/>
          <w:sz w:val="24"/>
          <w:szCs w:val="24"/>
        </w:rPr>
        <w:t>名    称：北京国金管理咨询有限公司</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地　　址：北京市丰台区万丰路316号万开中心B座629室</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联系方式：</w:t>
      </w:r>
      <w:r>
        <w:rPr>
          <w:rFonts w:hint="eastAsia" w:ascii="仿宋" w:hAnsi="仿宋" w:eastAsia="仿宋" w:cs="仿宋"/>
          <w:sz w:val="24"/>
        </w:rPr>
        <w:t>010-83666828转8099</w:t>
      </w:r>
    </w:p>
    <w:p>
      <w:pPr>
        <w:spacing w:line="360" w:lineRule="auto"/>
        <w:rPr>
          <w:rFonts w:ascii="仿宋" w:hAnsi="仿宋" w:eastAsia="仿宋" w:cs="仿宋"/>
          <w:sz w:val="24"/>
          <w:szCs w:val="24"/>
        </w:rPr>
      </w:pPr>
      <w:r>
        <w:rPr>
          <w:rFonts w:hint="eastAsia" w:ascii="仿宋" w:hAnsi="仿宋" w:eastAsia="仿宋" w:cs="仿宋"/>
          <w:sz w:val="24"/>
          <w:szCs w:val="24"/>
        </w:rPr>
        <w:t>3.项目联系方式</w:t>
      </w:r>
      <w:bookmarkEnd w:id="2"/>
      <w:bookmarkEnd w:id="3"/>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项目联系人：洪晰镁、刘博威、陶雪娇、张阳</w:t>
      </w:r>
    </w:p>
    <w:p>
      <w:pPr>
        <w:tabs>
          <w:tab w:val="center" w:pos="4536"/>
        </w:tabs>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电　话：010-83666828转8099</w:t>
      </w:r>
      <w:r>
        <w:rPr>
          <w:rFonts w:hint="eastAsia" w:ascii="仿宋" w:hAnsi="仿宋" w:eastAsia="仿宋" w:cs="仿宋"/>
          <w:sz w:val="24"/>
          <w:szCs w:val="24"/>
          <w:lang w:eastAsia="zh-CN"/>
        </w:rPr>
        <w:tab/>
      </w:r>
    </w:p>
    <w:p>
      <w:pPr>
        <w:rPr>
          <w:rFonts w:hint="eastAsia" w:ascii="仿宋" w:hAnsi="仿宋" w:eastAsia="仿宋" w:cs="仿宋"/>
          <w:sz w:val="24"/>
          <w:szCs w:val="24"/>
        </w:rPr>
      </w:pPr>
      <w:r>
        <w:rPr>
          <w:rFonts w:hint="eastAsia" w:ascii="仿宋" w:hAnsi="仿宋" w:eastAsia="仿宋" w:cs="仿宋"/>
          <w:sz w:val="24"/>
          <w:szCs w:val="24"/>
        </w:rPr>
        <w:br w:type="page"/>
      </w:r>
    </w:p>
    <w:p>
      <w:pPr>
        <w:bidi w:val="0"/>
        <w:jc w:val="left"/>
        <w:rPr>
          <w:rFonts w:hint="eastAsia" w:asciiTheme="minorHAnsi" w:hAnsiTheme="minorHAnsi" w:eastAsiaTheme="minorEastAsia" w:cstheme="minorBidi"/>
          <w:kern w:val="2"/>
          <w:sz w:val="21"/>
          <w:szCs w:val="22"/>
          <w:lang w:val="en-US" w:eastAsia="zh-CN" w:bidi="ar-SA"/>
        </w:rPr>
        <w:sectPr>
          <w:pgSz w:w="11906" w:h="16838"/>
          <w:pgMar w:top="1417" w:right="1417" w:bottom="1417" w:left="1417" w:header="851" w:footer="992" w:gutter="0"/>
          <w:cols w:space="0" w:num="1"/>
          <w:docGrid w:type="lines" w:linePitch="312" w:charSpace="0"/>
        </w:sectPr>
      </w:pPr>
    </w:p>
    <w:p>
      <w:pPr>
        <w:pStyle w:val="3"/>
        <w:rPr>
          <w:rFonts w:hint="eastAsia"/>
        </w:rPr>
      </w:pPr>
      <w:r>
        <w:rPr>
          <w:rFonts w:hint="eastAsia" w:ascii="仿宋" w:hAnsi="仿宋" w:eastAsia="仿宋" w:cstheme="minorBidi"/>
          <w:b w:val="0"/>
          <w:bCs w:val="0"/>
          <w:kern w:val="2"/>
          <w:sz w:val="24"/>
          <w:szCs w:val="24"/>
          <w:lang w:val="en-US" w:eastAsia="zh-CN" w:bidi="ar-SA"/>
        </w:rPr>
        <w:t>分项报价表</w:t>
      </w:r>
    </w:p>
    <w:tbl>
      <w:tblPr>
        <w:tblStyle w:val="14"/>
        <w:tblW w:w="1428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691"/>
        <w:gridCol w:w="7308"/>
        <w:gridCol w:w="1080"/>
        <w:gridCol w:w="1393"/>
        <w:gridCol w:w="1276"/>
        <w:gridCol w:w="83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04" w:type="dxa"/>
            <w:tcBorders>
              <w:top w:val="single" w:color="auto" w:sz="12" w:space="0"/>
            </w:tcBorders>
            <w:vAlign w:val="center"/>
          </w:tcPr>
          <w:p>
            <w:pPr>
              <w:pStyle w:val="10"/>
              <w:spacing w:line="360" w:lineRule="auto"/>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序号</w:t>
            </w:r>
          </w:p>
        </w:tc>
        <w:tc>
          <w:tcPr>
            <w:tcW w:w="1691" w:type="dxa"/>
            <w:tcBorders>
              <w:top w:val="single" w:color="auto" w:sz="12" w:space="0"/>
            </w:tcBorders>
            <w:vAlign w:val="center"/>
          </w:tcPr>
          <w:p>
            <w:pPr>
              <w:pStyle w:val="10"/>
              <w:spacing w:line="360" w:lineRule="auto"/>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服务名称</w:t>
            </w:r>
          </w:p>
        </w:tc>
        <w:tc>
          <w:tcPr>
            <w:tcW w:w="7308" w:type="dxa"/>
            <w:tcBorders>
              <w:top w:val="single" w:color="auto" w:sz="12" w:space="0"/>
            </w:tcBorders>
            <w:vAlign w:val="center"/>
          </w:tcPr>
          <w:p>
            <w:pPr>
              <w:pStyle w:val="10"/>
              <w:spacing w:line="360" w:lineRule="auto"/>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服务内容</w:t>
            </w:r>
          </w:p>
        </w:tc>
        <w:tc>
          <w:tcPr>
            <w:tcW w:w="1080" w:type="dxa"/>
            <w:tcBorders>
              <w:top w:val="single" w:color="auto" w:sz="12" w:space="0"/>
            </w:tcBorders>
            <w:vAlign w:val="center"/>
          </w:tcPr>
          <w:p>
            <w:pPr>
              <w:pStyle w:val="10"/>
              <w:spacing w:line="360" w:lineRule="auto"/>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数量</w:t>
            </w:r>
          </w:p>
          <w:p>
            <w:pPr>
              <w:pStyle w:val="10"/>
              <w:spacing w:line="360" w:lineRule="auto"/>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（单位）</w:t>
            </w:r>
          </w:p>
        </w:tc>
        <w:tc>
          <w:tcPr>
            <w:tcW w:w="1393" w:type="dxa"/>
            <w:tcBorders>
              <w:top w:val="single" w:color="auto" w:sz="12" w:space="0"/>
            </w:tcBorders>
            <w:vAlign w:val="center"/>
          </w:tcPr>
          <w:p>
            <w:pPr>
              <w:pStyle w:val="10"/>
              <w:spacing w:line="360" w:lineRule="auto"/>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单价</w:t>
            </w:r>
          </w:p>
        </w:tc>
        <w:tc>
          <w:tcPr>
            <w:tcW w:w="1276" w:type="dxa"/>
            <w:tcBorders>
              <w:top w:val="single" w:color="auto" w:sz="12" w:space="0"/>
            </w:tcBorders>
            <w:vAlign w:val="center"/>
          </w:tcPr>
          <w:p>
            <w:pPr>
              <w:pStyle w:val="10"/>
              <w:spacing w:line="360" w:lineRule="auto"/>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合计</w:t>
            </w:r>
          </w:p>
        </w:tc>
        <w:tc>
          <w:tcPr>
            <w:tcW w:w="831" w:type="dxa"/>
            <w:tcBorders>
              <w:top w:val="single" w:color="auto" w:sz="12" w:space="0"/>
            </w:tcBorders>
            <w:vAlign w:val="center"/>
          </w:tcPr>
          <w:p>
            <w:pPr>
              <w:pStyle w:val="10"/>
              <w:spacing w:line="360" w:lineRule="auto"/>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704" w:type="dxa"/>
            <w:vAlign w:val="center"/>
          </w:tcPr>
          <w:p>
            <w:pPr>
              <w:pStyle w:val="10"/>
              <w:jc w:val="center"/>
              <w:rPr>
                <w:rFonts w:hint="eastAsia" w:ascii="仿宋" w:hAnsi="仿宋" w:eastAsia="仿宋" w:cstheme="minorBidi"/>
                <w:kern w:val="2"/>
                <w:sz w:val="24"/>
                <w:szCs w:val="24"/>
                <w:lang w:val="en-US" w:eastAsia="zh-CN" w:bidi="ar-SA"/>
              </w:rPr>
            </w:pPr>
            <w:bookmarkStart w:id="4" w:name="_Hlk142032396"/>
            <w:r>
              <w:rPr>
                <w:rFonts w:hint="eastAsia" w:ascii="仿宋" w:hAnsi="仿宋" w:eastAsia="仿宋" w:cstheme="minorBidi"/>
                <w:kern w:val="2"/>
                <w:sz w:val="24"/>
                <w:szCs w:val="24"/>
                <w:lang w:val="en-US" w:eastAsia="zh-CN" w:bidi="ar-SA"/>
              </w:rPr>
              <w:t>1.</w:t>
            </w:r>
          </w:p>
        </w:tc>
        <w:tc>
          <w:tcPr>
            <w:tcW w:w="1691" w:type="dxa"/>
            <w:vAlign w:val="center"/>
          </w:tcPr>
          <w:p>
            <w:pPr>
              <w:pStyle w:val="1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学业支持中心系统三期</w:t>
            </w:r>
          </w:p>
        </w:tc>
        <w:tc>
          <w:tcPr>
            <w:tcW w:w="7308" w:type="dxa"/>
            <w:vAlign w:val="center"/>
          </w:tcPr>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在将已建成的学业支持中心平台进行二次深化开发，深化学业支持中心系统（三期）模块以及已有功能模块优化升级，进行导师预约功能的升级，新增系统日志、字典管理、关键字搜索等功能模块，并完成数据平台对接，交互优化以及项目代码优化，保证系统可用性和稳定性。</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本项目在学校已建学业支持中心系统的基础上进行开发和部署，所有模块必须完全部署在校内服务器上，保证本期建设与已有学业支持中心系统实现数据互通，且UI风格保持一致、兼容。本期建设内容需遵循学校信息化标准规范所要求，符合学校信息化统一规划、统一管理、统一服务的要求。</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开发采用Java开发语言，支持MYSQL5.5关系数据库。后端开发环境要求：SpringBoot2.x、jdk1.8、mybatis3.x；前端开发环境要求：VUE3.0、Typescript、ES6、node14.16.1、webpack4.41.27、eslint4.18.0；前端UI组件库：antd；日志记录：slf4j1.7.x；数据缓存：redis5.x；消息队列: rabbitmq3.x。</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系统采用B/S架构，用户端采用中英文双语设计，界面能够实现电脑、手机自适应。应充分考虑在不同操作系统和浏览器客户端（包括平板电脑、手机等不同操作设备；Windows、MacOS、安卓、ios等不同操作系统、Chrome、Firefox、Safari等不同浏览器等）的兼容性，提供HTML5页面展示，使系统具有良好的设备适应性。同时与统一门户、统一数据平台、统一身份认证平台完成对接。</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导师预约功能升级</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本模块主要是为了充分利用本校的外籍教授、对外交流院校、出国留学、毕业辅导等咨询和辅导的师资力量，把这些教师的辅导时间信息进行公开，以及对辅导的时间高效的使用。由导师自行设定对外辅导的周期、时间、限制人数，而学生可以通过全局的预约时间表，选择预约自己感兴趣的课程和喜欢的导师，并由系统自动判定是否成功或失败，并推送预约结果。</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部门管理员可在后台新增预约项目类别，支持更改预约系统的名称。支持添加和删除“教师账号”至预约功能中。预约系统需支持时间的冲突检索。部门管理员可查看所有预约记录，并具备统计功能，支持excel导出。部门管理员可检索预约记录，检索的字段有教师姓名、预约人姓名、预约日期范围。要求教师账号可以设置不可提供预约服务的时间（支持批量设置）。</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在已经实现的咨询辅导模块，有几个子模块：英语导师、留学导师、专业导师、毕业生导师、学生导师，这些子模块中列出的导师的头像和相关介绍，可以点击头像后进入导师的个人页面——“教师账号”和“学生导师账号”都具有预约功能，可以显示在“个人空间”页面顶端。</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4.在已经实现的英语提升模块的英语语言中心、英语写作中心子模块中，都有公共的预约时间表，内容如下：</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1)在页面中调用预约功能，显示预约时间表。排布模式可有不同，需求包括：</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①界面通俗易懂，每页显示一周，可向后切换周次。</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②支持多位教师共同接受预约（希望能支持10位教师，前期一般3人左右）</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③教师能够设置多个周的可预约时段，以及提供咨询的地点。</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④学生只能看到本周和下周信息，只能预约后天及以后的时段。</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⑤以半小时为最小预约单位，可预约的时间段为周一至周五，9:00-11:30,14:30-17:00。</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⑥时间表分为“已预约”、“不可预约”和“可预约”时段，不同颜色展示。某时间段“不可预约”是因为 教师账号设置了该时间段不可用；以及该时间段已被学生预约但教师账号尚未审核批准。</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⑦学生点击可预约时段后，自动生成学生姓名、学号、已选择的预约时间、选择的导师信息（包括姓名、预约服务的地点，此处为导师办公室），并能够上传文档。</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⑧教师能够收到“有新预约”消息，进入本页面，查看新的未审批预约信息，并点击同意。被预约教师能够下载学生上传的文档。</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⑨学生能够收到预约成功消息，包含时间、地点等。该预约生成一条活动信息，更新在学生“我的活动”页面。</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⑩学生如爽约两次以上，一个月内不得预约ASC任何其他咨询类活动。已结束的活动，以缩略图的模式，更新到教师、学生“我的活动”，字体颜色变为灰色。</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2）管理员端功能</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①管理员能够设置接受预约的教师账号。</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②管理员能够访问该预约表中的所有内容，包括可被下载的文档。</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③管理员能够导出预约记录数据。</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3）被预约端（教师）功能</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①教师被管理员设置为可接受预约的账号后，所有时间段先默认不可预约。</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②教师可手动设置接受预约的日期/时间，能够通过‘每周三下午，4-5点可接受预约’的方式，设置多个周的接受预约时间，并能够继续修改特定日期是否接受预约。</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③教师可收到有新预约的消息/邮件，能够查看学生上传的信息，能够审批同意/驳回当日预约并回复简短消息，例如‘为何驳回’ 等。</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④咨询结束后，教师可点击“Completed咨询结束”。如预约人未参加，则点选“预约人未参加Expired”。提供“备注”栏，供教师选填活动记录。</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⑤预约成功后生成一个活动记录，更新在教师“我的活动”界面，点击后进入预约表所在页面。</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4）预约端（学生）功能</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①学生可点击“可预约”时段，在弹出页面查看时间地点信息，并上传文档。</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②学生可收到“预约成功”“预约未成功”消息，以及咨询的时间、地点、教师信息。</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③成功的预约生成一个活动记录，更新在学生“我的活动”界面，与教师“我的活动”记录一致。</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5）教师/学生导师界面预约功能</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①该预约功能设计可与语言中心预约相同，只不过只显示一个老师或学生导师。</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②教师/学生导师账号设置可接受预约的日期、时间、地点。尽量简化教师设置手续，例如教师可设置“每周四下午2-3点，填写地点为SD510 思东510，然后自动生成1个月可预约时间地点，之后能够单独更改某一天的时间地点”。</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③普通学生账号可在此预约特定时间。</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④预约后给导师发送通知，导师审批通过后确定预约。</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⑤该活动自动生成一条活动记录，更新到普通学生账号的“我的活动”界面，并置顶。</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⑥缩略图显示“ASC预约”，或能对特定咨询预约设置统一封面预约图下方直接显示以下内容：类型(学业咨询Consultation/写作中心Writing Centre/语言中心Language Centre）、被预约人: 预约人、时间、地点、状态（Status: Processing预约中/Reserved已预约/今日活动Today/明日活动Tomorrow/已结束Completed【指教师点选咨询结束】/已过期Expired【指教师点选预约人未参加】）</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⑦咨询过后教师/学生导师账号点选“Completed咨询结束”。如预约人未参加，则点选“预约人未参加Expired”。提供“备注”栏，供教师/学生导师选填活动记录。</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⑧如“预约人未参加”两次以上，一个月内不得预约ASC任何其他咨询类活动，包括语言中心、写作中心咨询服务。</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⑨已结束的活动，以缩略图的模式，更新到教师、学生“我的活动”，字体颜色变为灰色。</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6）后台管理界面预约管理模块。</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①预约看板：能够在一张总表中，以时间和导师作为横纵坐标，显示导师开放的预约时间段内具体的预约状态，可以直接在图上点击查看；可以在顶部的查询栏中，按课程、导师、开始时间、结束时间进行范围搜素，可以通过“上一周”、“下一周”按钮对当前的时间表进行翻页。</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②类别管理：对开放的课程类别进行管理。</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③教师管理：可以由管理员添加教师（导师）信息，可以设定教师教授的科目和类别，可以代替教师设置其预约开放的课程（活动）、时间、周期、限定人数等；可以根据教师姓名、教授课程进行查询，可以过滤是否已设课程的教师。</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系统日志功能、字典管理</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系统日志功能是一般管理系统常见必备的功能，主要由系统程序内部，对一些关键的操作进行的记录，用于事后追查问题，或者了解系统的运行状况；其内容主要包括：日志记录生成的时间、由谁发起、对什么样的目标、进行了怎样的操作、得到了什么样的结果等等。</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字典管理：为了把常用的数据和配置方便的提供给整个系统所有模块统一使用，才需要此字典模块；将各模块中的动态、可修改的属性整理成数据字典，以字典列表的方式展示和管理，列表：名称、键、值、描述等信息。</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关键字搜索</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1.使用中英文关键字精确匹配搜索。</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2.搜索类别：公共页面、活动单个页面、视频/图文资源单个页面、账号名、标签。</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查询范围：公共页面的标题和文字（除主页外），活动标题和文字（活动发布生成的单个页面），资源标题和文字（视频单个页面的标题和简介、图文单个页面的标题和简介）、账号名、标签文字（搜索到既存标签下属的所有活动/资源）。</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4.分类分组：搜索结果分为“服务”（公共页面的标题和文字结果）“活动”（所有发布的活动的单个页面的文字内容）“资源”（视频页面的标题和简介、图文的标题和简介）“用户”（账号名）。</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排序方式：新发布、播放多、点赞多、收藏多。</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数据对接和代码优化</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1.数据对接：开放数据接口，与统一数据平台对接，进行数据共享；对接数据平台，完成人员数据同步；对接企业微信，完成单点登陆。</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2.功能升级：一期和二期项目范围之外的需求变更二次开发。</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3.代码优化：根据系统开发规范完成项目代码优化，保证代码性能和可读性。</w:t>
            </w:r>
          </w:p>
        </w:tc>
        <w:tc>
          <w:tcPr>
            <w:tcW w:w="1080" w:type="dxa"/>
            <w:vAlign w:val="center"/>
          </w:tcPr>
          <w:p>
            <w:pPr>
              <w:pStyle w:val="1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1套</w:t>
            </w:r>
          </w:p>
        </w:tc>
        <w:tc>
          <w:tcPr>
            <w:tcW w:w="1393" w:type="dxa"/>
            <w:vAlign w:val="center"/>
          </w:tcPr>
          <w:p>
            <w:pPr>
              <w:pStyle w:val="10"/>
              <w:jc w:val="righ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¥215,000</w:t>
            </w:r>
          </w:p>
        </w:tc>
        <w:tc>
          <w:tcPr>
            <w:tcW w:w="1276" w:type="dxa"/>
            <w:vAlign w:val="center"/>
          </w:tcPr>
          <w:p>
            <w:pPr>
              <w:pStyle w:val="10"/>
              <w:jc w:val="righ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¥215,000</w:t>
            </w:r>
          </w:p>
        </w:tc>
        <w:tc>
          <w:tcPr>
            <w:tcW w:w="831" w:type="dxa"/>
            <w:vAlign w:val="center"/>
          </w:tcPr>
          <w:p>
            <w:pPr>
              <w:pStyle w:val="1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704" w:type="dxa"/>
            <w:vAlign w:val="center"/>
          </w:tcPr>
          <w:p>
            <w:pPr>
              <w:pStyle w:val="1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w:t>
            </w:r>
          </w:p>
        </w:tc>
        <w:tc>
          <w:tcPr>
            <w:tcW w:w="1691" w:type="dxa"/>
            <w:vAlign w:val="center"/>
          </w:tcPr>
          <w:p>
            <w:pPr>
              <w:pStyle w:val="1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学生成长画像二期</w:t>
            </w:r>
          </w:p>
        </w:tc>
        <w:tc>
          <w:tcPr>
            <w:tcW w:w="7308" w:type="dxa"/>
            <w:vAlign w:val="center"/>
          </w:tcPr>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在将已建成的学生成才画像数据分析与展示平台进行二次深化开发，以及对已有功能模块优化升级，并完成与数据平台对接，交互优化以及项目代码优化，保证系统可用性和稳定性。</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本期项目在学校已建系统的基础上进行开发和部署，所有模块必须完全部署在校内服务器上，保证本期建设与已有学生成长画像数据分析与展示平台实现数据互通，且UI风格保持一致、兼容。本期建设内容需遵循我校信息化标准规范所要求，符合学校信息化统一规划、统一管理、统一服务的要求。</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开发采用Java开发语言，支持MYSQL5.5关系数据库。后端开发环境：SpringBoot2.x、jdk1.8、mybatis3.x；前端开发环境：VUE3.0、Typescript、ES6、node14.16.1、webpack4.41.27、eslint4.18.0；前端UI组件库：antd；日志记录：slf4j1.7.x；数据缓存：redis5.x；消息队列: rabbitmq3.x。</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系统采用B/S架构，用户端界面能够实现电脑、手机自适应。应充分考虑在不同操作系统和浏览器客户端（包括平板电脑、手机等不同操作设备；Windows、MacOS、安卓、ios等不同操作系统、Chrome、Firefox、Safari等不同浏览器等）的兼容性，提供HTML5页面展示，使系统具有良好的设备适应性。同时与统一门户、统一数据平台、统一身份认证平台完成对接。</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智慧思政大屏</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基于校区业务系统，新增智慧思政驾驶舱大屏展示，需包含学生总览、本科生信息、研究生信息、学生成长、各省人数分布、学生获奖、书院概况等数据，包括以下内容：</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1.学生总览：包括学生总数、在校学生、不在校人数、男女比例、正常学籍人数、休学人数、保留学籍人数、党员人数、团员人数、年龄分布、少数民族汇总等数据。</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2.本科生信息：本科生总数、男女比例、经济困难人数、近4年学生总数、各年级人数、各年级班级个数、各专业学生人数、近4年毕业情况（毕业人数、国内深造、国外深造）、近4年就业率。</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3.研究生信息：研究生总数、男女比例、班级数量、近4年学生总数、各年级人数、近4年就业率（饼状图）、各专业人数、近4年毕业情况（毕业人数、国内深造、国外深造）、近4年就业率（折线图）。</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4.学生成长：2020级~2023级（近四年）本科生和研究生学生数据，包括学业发展、政治品格、成长履历、生态公益、创新创业、劳动实践、艺术修养、体育运动等方面。</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5.各省人数分布：包括地图展示、生源分布。</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6.学生获奖：获奖级别、获奖分类、近4年获奖人次、近4年奖学金获奖情况。</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7.书院概况：学生公寓人数、在宿舍人数、公寓总房间数、占用房间数、空置房间数。</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学生画像</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1.统计学生基本信息、学分及排名、综合素质雷达图、任课教师、家庭信息、室友信息、归寝信息、历史寝室、寝室考核、科研创新、奖学金、竞赛获奖、助学贷、助学育人、缴费与欠费等；</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2.个人基本信息：包括个人基础信息、惩处次数、警告次数、记过次数、严重警告次数、留校查看次数、校内通报次数。</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3.学分及排名：已修学分、课程通过率、平均成绩点、课程表；得分列表：课程名称、学年学期、学分、考试成绩、专业排名、学位课类型。</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4.综合素质雷达图：参加各类活动记录、获得积分总数、参加活动总数，价值观与公民素养、人文修养与身心健康、终身学习与科学精神、职业能力与个人发展四维图。</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5.任课教师：辅导员信息、班主任信息；各个课程任课教师信息，包括：课程名称、学年学期，任课老师。</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6.家庭信息：家庭困难类型、父母信息等。</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7.室友信息：室友头像，点击室友头像能够跳转至室友画像。</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8.归寝信息：展示学生晚归天数、未归天数，具有相关字段检索功能。</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9.历史寝室：历史寝室入住信息，包括：学年学期、入住时间等字段。</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10.寝室考核：学期寝室考核排名、上月寝室考核分数、考核时间、考核项目、是否违规、违规原因、考核分数。</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11.科研创新：参与论文、参与专利、参与著作、参与软著，成果列表，包括：成果名称、成果类别、所属项目、获得时间。</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12.奖学金：获得获奖学金次数、累计获奖学金金额，奖学金列表，包括：奖学金名称、金额、级别、授予单位、获得时间。</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13.竞赛获奖：获奖数、获奖次数专业排名，竞赛列表，包括：竞赛名称、类型、授予单位、获得时间。</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14.助学贷：贷款总额，助学贷列表，包括：发放批次、金额等。</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15.助学育人：参与勤工助学岗位、累计工时信息。</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16.缴费与欠费：欠费项目、累计欠费信息。</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后台管理功能</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1.包括数据处理（增删改查）、数据平台对接、数据存储、定时获取实时信息、安全登录权限机制、角色权限、字典管理、系统日志等。</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2.数据处理：学生成长画像数据的列表、查询、修改、新增、上传和导出。</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3.数据平台对接：对接学校数据信息，根据数据建立模型，进行ORM映射。</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4.数据存储：提供上传接口让教师导入excel文件；定制数据库，定制ORM，存储导入的excel数据成为数据库记录。</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5.定时获取实时信息：定时抓取实时信息记录，需要转换格式后提供访问接口。</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6.角色权限：数据面板增加权限点，根据用户角色判断是否展示。</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7.日志管理：对一些关键的操作进行后进行的记录，用于事后追查问题，或者了解系统的运行状况</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8.安全登录权限机制：提供后台管理界面，能够进行用户登录，并且根据角色权限分配可访问和操作的功能；提供企业微信授权登录。</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9.字典管理：将各模块中的动态、可修改的属性整理成数据字典，以字典列表的方式展示和管理，列表：名称、键、值、描述等信息。</w:t>
            </w:r>
          </w:p>
        </w:tc>
        <w:tc>
          <w:tcPr>
            <w:tcW w:w="1080" w:type="dxa"/>
            <w:vAlign w:val="center"/>
          </w:tcPr>
          <w:p>
            <w:pPr>
              <w:pStyle w:val="1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1套</w:t>
            </w:r>
          </w:p>
        </w:tc>
        <w:tc>
          <w:tcPr>
            <w:tcW w:w="1393" w:type="dxa"/>
            <w:vAlign w:val="center"/>
          </w:tcPr>
          <w:p>
            <w:pPr>
              <w:pStyle w:val="10"/>
              <w:jc w:val="righ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¥108,000</w:t>
            </w:r>
          </w:p>
        </w:tc>
        <w:tc>
          <w:tcPr>
            <w:tcW w:w="1276" w:type="dxa"/>
            <w:vAlign w:val="center"/>
          </w:tcPr>
          <w:p>
            <w:pPr>
              <w:pStyle w:val="10"/>
              <w:jc w:val="righ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¥108,000</w:t>
            </w:r>
          </w:p>
        </w:tc>
        <w:tc>
          <w:tcPr>
            <w:tcW w:w="831" w:type="dxa"/>
            <w:vAlign w:val="center"/>
          </w:tcPr>
          <w:p>
            <w:pPr>
              <w:pStyle w:val="1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704" w:type="dxa"/>
            <w:vAlign w:val="center"/>
          </w:tcPr>
          <w:p>
            <w:pPr>
              <w:pStyle w:val="1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w:t>
            </w:r>
          </w:p>
        </w:tc>
        <w:tc>
          <w:tcPr>
            <w:tcW w:w="1691" w:type="dxa"/>
            <w:vAlign w:val="center"/>
          </w:tcPr>
          <w:p>
            <w:pPr>
              <w:pStyle w:val="1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教师服务系统及统一约车平台二次开发</w:t>
            </w:r>
          </w:p>
        </w:tc>
        <w:tc>
          <w:tcPr>
            <w:tcW w:w="7308" w:type="dxa"/>
            <w:vAlign w:val="center"/>
          </w:tcPr>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本期建设内容：在将已建成的统一约车平台和教师服务系统进行二次深化开发与优化，本次二期建设必须满足在学校已建设系统上进行开发与部署，所有模块必须完全部署在校内服务器上，保证本期建设与已有系统实现数据互通、无缝迁移，且UI风格保持一致、兼容。</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开发采用Java开发语言，支持MYSQL5.5关系数据库。后端开发环境：SpringBoot2.x、jdk1.8、mybatis3.x；前端开发环境：VUE3.0、Typescript、ES6、node14.16.1、webpack4.41.27、eslint4.18.0；前端UI组件库：antd；日志记录：slf4j1.7.x；数据缓存：redis5.x；消息队列: rabbitmq3.x。</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系统采用B/S架构，用户端界面能够实现电脑、手机自适应。应充分考虑在不同操作系统和浏览器客户端（包括平板电脑、手机等不同操作设备；Windows、MacOS、安卓、ios等不同操作系统、Chrome、Firefox、Safari等不同浏览器等）的兼容性，提供HTML5页面展示，使系统具有良好的设备适应性。同时与统一门户、统一数据平台、统一身份认证平台完成对接。</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统一约车平台消息提醒与审批优化</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基于学校已建成的约车系统，新增约车成功短信提醒功能，教职工约车成功后，新增短信消息通知提醒，以便及时掌握出车信息。部门负责人收到约车审批消息后，可在企业微信直接点击消息进入审核页面，提高审批效率。具体功能如下：</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1.新增约车成功短信提醒。教职工约车成功后，需收到短信消息通知，以便及时掌握出车信息，避免错过行程。</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2.约车审批优化。部门负责人在企业微信收到约车审批消息后，可点击消息查看审批详情，并完成审批，以提高审批效率。</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统一约车平台用户侧移动端页面优化</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基于现有的约车系统，用户侧新增历史约车记录查看、约车审核等功能，具体内容如下：</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1.新增历史约车记录。用户可查看历史约车的记录详情。</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2.新增约车审核。教职工提交约车申请后，审批人可在移动端查看申请详情，并完成审批。</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统一约车平台管理后台优化</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基于现有的约车系统，管理后台约车审核页面列表排序优化，派车页面、司机接送页面功能优化。具体内容如下：</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1.约车审核页列表排序优化。修改约车系统管理后台审核页面列表为按时间倒序排列。以提高审批效率，避免遗漏。</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2.派车功能优化。当约车数量较多、或有老师临时约车时，系统派车存在漏单情况。优化后需确保派车环节无遗漏。</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3.司机接送功能优化。当约车人数较多时，司机接送存在遗漏情况。需优化系统司机接送页面，保证接送无遗漏。</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教师服务系统页面交互优化</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基于学校已建成的教师服务系统，实现部分页面交互优化。具体需求如下：</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1.教师信息列表排序优化。优化教师信息列表表头，支持通过点击以按照某些字段排序。</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2.教师信息列表样式优化。优化教师信息列表宽度，保证列表不折叠。</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3.新增教师信息修改功能。管理员能够直接编辑教师相关信息。</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4.管理后台具有任课教师数据分析与统计功能，新增检索字段，达到更加良好的交互体验。能够为各部门管理员开放相关数据权限，方便掌握任课教师的实时数据，比如本学期任课教师统计、目前在威情况等。</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教师服务系统国际化优化</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基于学校已建成的教师服务系统，优化系统国际化显示。优化系统国际化显示。优化内容包括英文措辞、页面英文样式问题。</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数据对接和代码优化</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1.数据对接：开放数据接口，与统一数据平台对接，进行数据共享；对接数据平台，完成人员数据同步；对接企业微信，完成单点登陆。</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2.功能升级：完成一期项目范围之外的新的需求变更二次开发。</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3.代码优化：根据系统开发规范完成项目代码优化，保证代码性能和可读性。</w:t>
            </w:r>
          </w:p>
        </w:tc>
        <w:tc>
          <w:tcPr>
            <w:tcW w:w="1080" w:type="dxa"/>
            <w:vAlign w:val="center"/>
          </w:tcPr>
          <w:p>
            <w:pPr>
              <w:pStyle w:val="1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1套</w:t>
            </w:r>
          </w:p>
        </w:tc>
        <w:tc>
          <w:tcPr>
            <w:tcW w:w="1393" w:type="dxa"/>
            <w:vAlign w:val="center"/>
          </w:tcPr>
          <w:p>
            <w:pPr>
              <w:pStyle w:val="10"/>
              <w:jc w:val="righ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¥65,000</w:t>
            </w:r>
          </w:p>
        </w:tc>
        <w:tc>
          <w:tcPr>
            <w:tcW w:w="1276" w:type="dxa"/>
            <w:vAlign w:val="center"/>
          </w:tcPr>
          <w:p>
            <w:pPr>
              <w:pStyle w:val="10"/>
              <w:jc w:val="righ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¥65,000</w:t>
            </w:r>
          </w:p>
        </w:tc>
        <w:tc>
          <w:tcPr>
            <w:tcW w:w="831" w:type="dxa"/>
            <w:vAlign w:val="center"/>
          </w:tcPr>
          <w:p>
            <w:pPr>
              <w:pStyle w:val="1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704" w:type="dxa"/>
            <w:vAlign w:val="center"/>
          </w:tcPr>
          <w:p>
            <w:pPr>
              <w:pStyle w:val="1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w:t>
            </w:r>
          </w:p>
        </w:tc>
        <w:tc>
          <w:tcPr>
            <w:tcW w:w="1691" w:type="dxa"/>
            <w:vAlign w:val="center"/>
          </w:tcPr>
          <w:p>
            <w:pPr>
              <w:pStyle w:val="1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威海校区知识门户-校园百事通</w:t>
            </w:r>
          </w:p>
        </w:tc>
        <w:tc>
          <w:tcPr>
            <w:tcW w:w="7308" w:type="dxa"/>
            <w:vAlign w:val="center"/>
          </w:tcPr>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开发采用Java开发语言，支持MYSQL5.5关系数据库。后端开发环境SpringBoot2.x、jdk1.8、mybatis3.x；前端开发环境：VUE3.0、Typescript、ES6、node14.16.1、webpack4.41.27、eslint4.18.0；前端UI组件库：antd；日志记录：slf4j1.7.x；数据缓存：redis5.x；消息队列: rabbitmq3.x。</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系统采用B/S架构，用户端采用中英文双语设计，界面能够实现电脑、手机自适应。应充分考虑在不同操作系统和浏览器客户端（包括平板电脑、手机等不同操作设备；Windows、MacOS、安卓、ios等不同操作系统、Chrome、Firefox、Safari等不同浏览器等）的兼容性，提供HTML5页面展示，使系统具有良好的设备适应性。同时具有标准化、安全机制完善的数据接口，与统一门户、统一数据平台、统一身份认证平台完成对接。</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知识库</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1.门户页面</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检索功能。具有关键字检索功能，能够根据关键字进行全文检索，方便用户快速找到对应问题及答案。具有热门搜索关键词提示，将近期内提问量最多的若干条问题以热搜的形式进行显示，方便师生快速检索。</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2）知识分类展示。能够根据用户角色展示该角色可见范围内的各级分类，交互良好，可折叠展示，方便用户快速找到相应知识。</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3）常见问题展示。将用户常见问题相关知识在门户页面进行展示，包括师生共性常问问题及答案、管理员可在后台进行管理。</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4）新手入门。将外籍教师、中方教师、学生等不同群体入学通用问题进行展示，方便新手快速熟悉学校生活服务等各方面情况。</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5）联系方式。展示常见业务服务内容，及联系方式，方便用户咨询。</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w:t>
            </w:r>
            <w:r>
              <w:rPr>
                <w:rFonts w:hint="eastAsia" w:ascii="仿宋" w:hAnsi="仿宋" w:eastAsia="仿宋" w:cstheme="minorBidi"/>
                <w:kern w:val="2"/>
                <w:sz w:val="24"/>
                <w:szCs w:val="24"/>
                <w:lang w:val="en-US" w:eastAsia="zh-CN" w:bidi="ar-SA"/>
              </w:rPr>
              <w:tab/>
            </w:r>
            <w:r>
              <w:rPr>
                <w:rFonts w:hint="eastAsia" w:ascii="仿宋" w:hAnsi="仿宋" w:eastAsia="仿宋" w:cstheme="minorBidi"/>
                <w:kern w:val="2"/>
                <w:sz w:val="24"/>
                <w:szCs w:val="24"/>
                <w:lang w:val="en-US" w:eastAsia="zh-CN" w:bidi="ar-SA"/>
              </w:rPr>
              <w:t>知识详情</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知识以文章的方式友好展现，以章节、单元为目录，目录悬浮于页面，方便用户快速定位具体问题。单元分为图文单元和折叠单元，均支持文字、图片、视频、附件等富文本。具有返回顶部按钮，能够一键回到文章标题。</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2）显示发布日期、最新更新日期、阅读量、发布单位等信息。</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3）页面样式一致，显示良好，方便用户阅读。</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4）页面链接可与单元绑定，方便转发分享，当用户收到链接打开后，可精准定位于某一单元，不需要再滑动下拉寻找，提高用户使用体验。</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5）用户可对知识进行点赞，可进行问题反馈。</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后台管理</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1.知识类别管理</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1）可创建知识类别，支持多级，支持中英文双语类别。</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2）可对知识类别设置用户群体可见范围。</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3）类别权限管理：可对每个知识类别设置管理员，将不同的知识类别分配给不同的管理员进行知识管理维护，权限设置界面友好，既可对类别进行管理员选择，也可对管理员进行类别选择。</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2.文章管理；</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列表页。列表页可按知识类别，展示管理员权限范围内的所有知识列表，具有创建、编辑、发布状态设置、删除、置顶、预览、顺序调整操作按钮，具有检索功能，支持标题关键字、发布时间、发布单位等字段检索。支持排序功能，支持列表页知识批量打包导出功能。可查看用户问题反馈。</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创建页及编辑页。知识支持超链接、文件、文章等不同类型，可设置该知识对不用群体角色的可见权限。创建页面支持新增章节、单元（图文单元、折叠单元），支持文字、图片、视频、附件等富文本编辑，可灵活调整章节、单元的前后顺序。每一单元都可灵活编辑，并设置是否发布。可对知识进行预览。</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3.常见问题管理。能够对常见问题列表进行维护，从所有知识库中进行选择，可以调整在常见问题里的显示顺序。</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4.新手入门管理。能够对新手入门知识列表进行维护，从所有知识库中进行选择，可以调整在常见问题里的显示顺序，可对学生、教职工不同群体分别进行知识列表管理。</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系统设置</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1.用户管理：提供后台管理界面，实现系统管理人员授予或取消各类用户登录该系统的用户名和密码，能够进行用户登录，并且根据角色权限分配可访问和操作的功能；提供企业微信授权登录。</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2.权限与角色管理：数据面板增加权限点，支持权限的增删改查，能够新建角色，并为角色分配权限，从而实现根据用户角色判断系统某些功能是否展示。</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3.日志管理：对一些关键的操作进行后进行的记录，用于事后追查问题，或者了解系统的运行状况。</w:t>
            </w:r>
          </w:p>
          <w:p>
            <w:pPr>
              <w:pStyle w:val="1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4.字典管理：将各模块中的动态、可修改的属性整理成数据字典，以字典列表的方式展示和管理，列表：名称、键、值、描述等信息。</w:t>
            </w:r>
          </w:p>
        </w:tc>
        <w:tc>
          <w:tcPr>
            <w:tcW w:w="1080" w:type="dxa"/>
            <w:vAlign w:val="center"/>
          </w:tcPr>
          <w:p>
            <w:pPr>
              <w:pStyle w:val="1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1套</w:t>
            </w:r>
          </w:p>
        </w:tc>
        <w:tc>
          <w:tcPr>
            <w:tcW w:w="1393" w:type="dxa"/>
            <w:vAlign w:val="center"/>
          </w:tcPr>
          <w:p>
            <w:pPr>
              <w:pStyle w:val="10"/>
              <w:jc w:val="righ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¥98,000</w:t>
            </w:r>
          </w:p>
        </w:tc>
        <w:tc>
          <w:tcPr>
            <w:tcW w:w="1276" w:type="dxa"/>
            <w:vAlign w:val="center"/>
          </w:tcPr>
          <w:p>
            <w:pPr>
              <w:pStyle w:val="10"/>
              <w:jc w:val="righ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¥98,000</w:t>
            </w:r>
          </w:p>
        </w:tc>
        <w:tc>
          <w:tcPr>
            <w:tcW w:w="831" w:type="dxa"/>
            <w:vAlign w:val="center"/>
          </w:tcPr>
          <w:p>
            <w:pPr>
              <w:pStyle w:val="1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无</w:t>
            </w:r>
          </w:p>
        </w:tc>
      </w:tr>
      <w:bookmarkEnd w:id="4"/>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2176" w:type="dxa"/>
            <w:gridSpan w:val="5"/>
            <w:vAlign w:val="center"/>
          </w:tcPr>
          <w:p>
            <w:pPr>
              <w:pStyle w:val="1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总计</w:t>
            </w:r>
          </w:p>
        </w:tc>
        <w:tc>
          <w:tcPr>
            <w:tcW w:w="1276" w:type="dxa"/>
            <w:vAlign w:val="center"/>
          </w:tcPr>
          <w:p>
            <w:pPr>
              <w:pStyle w:val="10"/>
              <w:jc w:val="righ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¥486,000</w:t>
            </w:r>
          </w:p>
        </w:tc>
        <w:tc>
          <w:tcPr>
            <w:tcW w:w="831" w:type="dxa"/>
            <w:vAlign w:val="center"/>
          </w:tcPr>
          <w:p>
            <w:pPr>
              <w:pStyle w:val="1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无</w:t>
            </w:r>
          </w:p>
        </w:tc>
      </w:tr>
    </w:tbl>
    <w:p/>
    <w:sectPr>
      <w:pgSz w:w="16838" w:h="11906" w:orient="landscape"/>
      <w:pgMar w:top="1134" w:right="680" w:bottom="1134" w:left="680" w:header="851" w:footer="992" w:gutter="0"/>
      <w:cols w:space="0" w:num="1"/>
      <w:rtlGutter w:val="0"/>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42EA90"/>
    <w:multiLevelType w:val="singleLevel"/>
    <w:tmpl w:val="9442EA90"/>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60"/>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WJjNDg0OTFiNDJhZjU2YmQ5NzE2YWFlMGQ2OWIzNjUifQ=="/>
  </w:docVars>
  <w:rsids>
    <w:rsidRoot w:val="009E5205"/>
    <w:rsid w:val="000C34A5"/>
    <w:rsid w:val="000D2BF6"/>
    <w:rsid w:val="001377A7"/>
    <w:rsid w:val="001509D2"/>
    <w:rsid w:val="001B1690"/>
    <w:rsid w:val="001B5AC7"/>
    <w:rsid w:val="001E3FCA"/>
    <w:rsid w:val="00227872"/>
    <w:rsid w:val="002436EA"/>
    <w:rsid w:val="00253D9A"/>
    <w:rsid w:val="002B3FE9"/>
    <w:rsid w:val="002D2440"/>
    <w:rsid w:val="002D727D"/>
    <w:rsid w:val="002F75CC"/>
    <w:rsid w:val="00310F15"/>
    <w:rsid w:val="003338EC"/>
    <w:rsid w:val="0033784E"/>
    <w:rsid w:val="00347BB4"/>
    <w:rsid w:val="003614DD"/>
    <w:rsid w:val="004B4221"/>
    <w:rsid w:val="00522B54"/>
    <w:rsid w:val="00531E0E"/>
    <w:rsid w:val="005B54A2"/>
    <w:rsid w:val="005B5E7D"/>
    <w:rsid w:val="005D4CE8"/>
    <w:rsid w:val="005F1F52"/>
    <w:rsid w:val="00603FBB"/>
    <w:rsid w:val="00637514"/>
    <w:rsid w:val="00670BDA"/>
    <w:rsid w:val="006B2856"/>
    <w:rsid w:val="006C035A"/>
    <w:rsid w:val="00706AF8"/>
    <w:rsid w:val="0073014C"/>
    <w:rsid w:val="00767436"/>
    <w:rsid w:val="007F12AF"/>
    <w:rsid w:val="007F706B"/>
    <w:rsid w:val="00834B7C"/>
    <w:rsid w:val="00861092"/>
    <w:rsid w:val="008B0D03"/>
    <w:rsid w:val="008F4D3F"/>
    <w:rsid w:val="00934DF0"/>
    <w:rsid w:val="00976C1B"/>
    <w:rsid w:val="009E5205"/>
    <w:rsid w:val="009E7A1E"/>
    <w:rsid w:val="009F3043"/>
    <w:rsid w:val="00A351B6"/>
    <w:rsid w:val="00A35837"/>
    <w:rsid w:val="00A47C97"/>
    <w:rsid w:val="00A56AB8"/>
    <w:rsid w:val="00A75F3A"/>
    <w:rsid w:val="00A80BAD"/>
    <w:rsid w:val="00AA1FF9"/>
    <w:rsid w:val="00AE513C"/>
    <w:rsid w:val="00B11297"/>
    <w:rsid w:val="00B208BF"/>
    <w:rsid w:val="00BB29B9"/>
    <w:rsid w:val="00BD3AF7"/>
    <w:rsid w:val="00C3718F"/>
    <w:rsid w:val="00C37B0D"/>
    <w:rsid w:val="00C80DC0"/>
    <w:rsid w:val="00C82078"/>
    <w:rsid w:val="00CC27A9"/>
    <w:rsid w:val="00CC3DE1"/>
    <w:rsid w:val="00D82EE8"/>
    <w:rsid w:val="00DD4851"/>
    <w:rsid w:val="00E31800"/>
    <w:rsid w:val="00E37258"/>
    <w:rsid w:val="00E70715"/>
    <w:rsid w:val="00EC2837"/>
    <w:rsid w:val="00F10BF2"/>
    <w:rsid w:val="00F47B81"/>
    <w:rsid w:val="00F50470"/>
    <w:rsid w:val="00F5152E"/>
    <w:rsid w:val="00F66AF3"/>
    <w:rsid w:val="00F9664C"/>
    <w:rsid w:val="00FC2284"/>
    <w:rsid w:val="01464C53"/>
    <w:rsid w:val="015B2302"/>
    <w:rsid w:val="03807728"/>
    <w:rsid w:val="0447261B"/>
    <w:rsid w:val="049A5332"/>
    <w:rsid w:val="04A9250C"/>
    <w:rsid w:val="052A3C46"/>
    <w:rsid w:val="06757561"/>
    <w:rsid w:val="09BA4E13"/>
    <w:rsid w:val="09DC47B0"/>
    <w:rsid w:val="0C511136"/>
    <w:rsid w:val="0D70052D"/>
    <w:rsid w:val="10386C2E"/>
    <w:rsid w:val="10763887"/>
    <w:rsid w:val="10CA7D05"/>
    <w:rsid w:val="11D755F1"/>
    <w:rsid w:val="12A30BC5"/>
    <w:rsid w:val="13250FB0"/>
    <w:rsid w:val="150A4738"/>
    <w:rsid w:val="15262733"/>
    <w:rsid w:val="1A9554A2"/>
    <w:rsid w:val="1B456119"/>
    <w:rsid w:val="1CA82BC5"/>
    <w:rsid w:val="1E682433"/>
    <w:rsid w:val="1FF73000"/>
    <w:rsid w:val="22A2261D"/>
    <w:rsid w:val="24EE4160"/>
    <w:rsid w:val="25A85E45"/>
    <w:rsid w:val="29DA1F65"/>
    <w:rsid w:val="2A824B5F"/>
    <w:rsid w:val="2AEF63B1"/>
    <w:rsid w:val="2B526FFE"/>
    <w:rsid w:val="2B872470"/>
    <w:rsid w:val="2D2B1E42"/>
    <w:rsid w:val="2D6A1F89"/>
    <w:rsid w:val="2EEC255E"/>
    <w:rsid w:val="315C0874"/>
    <w:rsid w:val="3317371F"/>
    <w:rsid w:val="33CF5BC3"/>
    <w:rsid w:val="34C27188"/>
    <w:rsid w:val="36981923"/>
    <w:rsid w:val="36C62065"/>
    <w:rsid w:val="377B1969"/>
    <w:rsid w:val="396C7178"/>
    <w:rsid w:val="39F540DE"/>
    <w:rsid w:val="3A09718E"/>
    <w:rsid w:val="3CCD0262"/>
    <w:rsid w:val="3D0334F1"/>
    <w:rsid w:val="3D786055"/>
    <w:rsid w:val="3DCC5180"/>
    <w:rsid w:val="41D713D7"/>
    <w:rsid w:val="421B5A2E"/>
    <w:rsid w:val="42ED2FE9"/>
    <w:rsid w:val="42EF24D3"/>
    <w:rsid w:val="436A4639"/>
    <w:rsid w:val="48046259"/>
    <w:rsid w:val="49EC100D"/>
    <w:rsid w:val="4A70726E"/>
    <w:rsid w:val="4BCF252A"/>
    <w:rsid w:val="4C6F7BDD"/>
    <w:rsid w:val="4CB62319"/>
    <w:rsid w:val="501907E8"/>
    <w:rsid w:val="540C47FA"/>
    <w:rsid w:val="541C387E"/>
    <w:rsid w:val="54837A44"/>
    <w:rsid w:val="55642E8C"/>
    <w:rsid w:val="57380D29"/>
    <w:rsid w:val="57935094"/>
    <w:rsid w:val="5A987E4C"/>
    <w:rsid w:val="5D7765A3"/>
    <w:rsid w:val="64241569"/>
    <w:rsid w:val="65106C6F"/>
    <w:rsid w:val="6698203D"/>
    <w:rsid w:val="68292279"/>
    <w:rsid w:val="69AA6B70"/>
    <w:rsid w:val="69D66EA6"/>
    <w:rsid w:val="6AFB3AF9"/>
    <w:rsid w:val="6B842DB7"/>
    <w:rsid w:val="6DC42EFB"/>
    <w:rsid w:val="6EEE6E70"/>
    <w:rsid w:val="70433FC3"/>
    <w:rsid w:val="73225C8C"/>
    <w:rsid w:val="74321B41"/>
    <w:rsid w:val="74CF3BA2"/>
    <w:rsid w:val="75AB1FBE"/>
    <w:rsid w:val="765A3A43"/>
    <w:rsid w:val="774E2C4E"/>
    <w:rsid w:val="799D6185"/>
    <w:rsid w:val="7D6F5053"/>
    <w:rsid w:val="7F2A46A1"/>
    <w:rsid w:val="7F582B4B"/>
    <w:rsid w:val="7F8200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qFormat="1" w:unhideWhenUsed="0"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outlineLvl w:val="0"/>
    </w:pPr>
    <w:rPr>
      <w:b/>
      <w:kern w:val="44"/>
      <w:sz w:val="24"/>
    </w:rPr>
  </w:style>
  <w:style w:type="paragraph" w:styleId="3">
    <w:name w:val="heading 2"/>
    <w:basedOn w:val="1"/>
    <w:next w:val="1"/>
    <w:link w:val="2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5"/>
    <w:qFormat/>
    <w:uiPriority w:val="0"/>
    <w:pPr>
      <w:autoSpaceDE w:val="0"/>
      <w:autoSpaceDN w:val="0"/>
      <w:adjustRightInd w:val="0"/>
      <w:ind w:firstLine="420"/>
      <w:jc w:val="left"/>
    </w:pPr>
    <w:rPr>
      <w:rFonts w:ascii="宋体" w:hAnsi="Times New Roman" w:eastAsia="宋体" w:cs="Times New Roman"/>
      <w:kern w:val="0"/>
      <w:sz w:val="24"/>
      <w:szCs w:val="20"/>
    </w:rPr>
  </w:style>
  <w:style w:type="paragraph" w:styleId="5">
    <w:name w:val="caption"/>
    <w:basedOn w:val="1"/>
    <w:next w:val="1"/>
    <w:unhideWhenUsed/>
    <w:qFormat/>
    <w:uiPriority w:val="35"/>
    <w:rPr>
      <w:rFonts w:eastAsia="黑体" w:asciiTheme="majorHAnsi" w:hAnsiTheme="majorHAnsi" w:cstheme="majorBidi"/>
      <w:sz w:val="20"/>
      <w:szCs w:val="20"/>
    </w:rPr>
  </w:style>
  <w:style w:type="paragraph" w:styleId="6">
    <w:name w:val="Document Map"/>
    <w:basedOn w:val="1"/>
    <w:link w:val="22"/>
    <w:semiHidden/>
    <w:unhideWhenUsed/>
    <w:qFormat/>
    <w:uiPriority w:val="99"/>
    <w:rPr>
      <w:rFonts w:ascii="宋体" w:eastAsia="宋体"/>
      <w:sz w:val="18"/>
      <w:szCs w:val="18"/>
    </w:rPr>
  </w:style>
  <w:style w:type="paragraph" w:styleId="7">
    <w:name w:val="Body Text"/>
    <w:basedOn w:val="1"/>
    <w:next w:val="1"/>
    <w:qFormat/>
    <w:uiPriority w:val="0"/>
    <w:pPr>
      <w:tabs>
        <w:tab w:val="left" w:pos="567"/>
      </w:tabs>
      <w:spacing w:before="120" w:line="22" w:lineRule="atLeast"/>
    </w:pPr>
    <w:rPr>
      <w:sz w:val="24"/>
      <w:szCs w:val="20"/>
    </w:rPr>
  </w:style>
  <w:style w:type="paragraph" w:styleId="8">
    <w:name w:val="Body Text Indent"/>
    <w:basedOn w:val="1"/>
    <w:next w:val="9"/>
    <w:qFormat/>
    <w:uiPriority w:val="0"/>
    <w:pPr>
      <w:tabs>
        <w:tab w:val="left" w:pos="5580"/>
      </w:tabs>
      <w:spacing w:before="120" w:line="360" w:lineRule="auto"/>
      <w:ind w:firstLine="454"/>
    </w:pPr>
    <w:rPr>
      <w:sz w:val="24"/>
      <w:szCs w:val="20"/>
    </w:rPr>
  </w:style>
  <w:style w:type="paragraph" w:styleId="9">
    <w:name w:val="envelope return"/>
    <w:basedOn w:val="1"/>
    <w:qFormat/>
    <w:uiPriority w:val="99"/>
    <w:pPr>
      <w:snapToGrid w:val="0"/>
    </w:pPr>
    <w:rPr>
      <w:rFonts w:ascii="Arial" w:hAnsi="Arial" w:cs="Arial"/>
    </w:rPr>
  </w:style>
  <w:style w:type="paragraph" w:styleId="10">
    <w:name w:val="Plain Text"/>
    <w:basedOn w:val="1"/>
    <w:next w:val="1"/>
    <w:link w:val="24"/>
    <w:qFormat/>
    <w:uiPriority w:val="0"/>
    <w:rPr>
      <w:rFonts w:ascii="宋体" w:hAnsi="Courier New" w:eastAsia="宋体" w:cs="Times New Roman"/>
      <w:kern w:val="0"/>
      <w:szCs w:val="20"/>
      <w:u w:color="000000"/>
    </w:rPr>
  </w:style>
  <w:style w:type="paragraph" w:styleId="11">
    <w:name w:val="footer"/>
    <w:basedOn w:val="1"/>
    <w:link w:val="20"/>
    <w:unhideWhenUsed/>
    <w:qFormat/>
    <w:uiPriority w:val="99"/>
    <w:pPr>
      <w:tabs>
        <w:tab w:val="center" w:pos="4153"/>
        <w:tab w:val="right" w:pos="8306"/>
      </w:tabs>
      <w:snapToGrid w:val="0"/>
      <w:jc w:val="left"/>
    </w:pPr>
    <w:rPr>
      <w:sz w:val="18"/>
      <w:szCs w:val="18"/>
    </w:rPr>
  </w:style>
  <w:style w:type="paragraph" w:styleId="12">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Body Text First Indent 2"/>
    <w:basedOn w:val="8"/>
    <w:qFormat/>
    <w:uiPriority w:val="0"/>
    <w:pPr>
      <w:spacing w:before="0" w:after="120" w:line="240" w:lineRule="auto"/>
      <w:ind w:left="420" w:leftChars="200" w:firstLine="420" w:firstLineChars="200"/>
    </w:pPr>
    <w:rPr>
      <w:sz w:val="21"/>
    </w:rPr>
  </w:style>
  <w:style w:type="table" w:styleId="15">
    <w:name w:val="Table Grid"/>
    <w:basedOn w:val="1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Default"/>
    <w:next w:val="18"/>
    <w:qFormat/>
    <w:uiPriority w:val="99"/>
    <w:pPr>
      <w:widowControl w:val="0"/>
      <w:autoSpaceDE w:val="0"/>
      <w:autoSpaceDN w:val="0"/>
      <w:adjustRightInd w:val="0"/>
    </w:pPr>
    <w:rPr>
      <w:rFonts w:ascii="宋体" w:hAnsi="等线" w:eastAsia="宋体" w:cs="宋体"/>
      <w:color w:val="000000"/>
      <w:sz w:val="24"/>
      <w:szCs w:val="24"/>
      <w:lang w:val="en-US" w:eastAsia="zh-CN" w:bidi="ar-SA"/>
    </w:rPr>
  </w:style>
  <w:style w:type="paragraph" w:customStyle="1" w:styleId="18">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19">
    <w:name w:val="页眉 字符"/>
    <w:basedOn w:val="16"/>
    <w:link w:val="12"/>
    <w:qFormat/>
    <w:uiPriority w:val="99"/>
    <w:rPr>
      <w:sz w:val="18"/>
      <w:szCs w:val="18"/>
    </w:rPr>
  </w:style>
  <w:style w:type="character" w:customStyle="1" w:styleId="20">
    <w:name w:val="页脚 字符"/>
    <w:basedOn w:val="16"/>
    <w:link w:val="11"/>
    <w:qFormat/>
    <w:uiPriority w:val="99"/>
    <w:rPr>
      <w:sz w:val="18"/>
      <w:szCs w:val="18"/>
    </w:rPr>
  </w:style>
  <w:style w:type="paragraph" w:styleId="21">
    <w:name w:val="List Paragraph"/>
    <w:basedOn w:val="1"/>
    <w:qFormat/>
    <w:uiPriority w:val="34"/>
    <w:pPr>
      <w:ind w:firstLine="420" w:firstLineChars="200"/>
    </w:pPr>
  </w:style>
  <w:style w:type="character" w:customStyle="1" w:styleId="22">
    <w:name w:val="文档结构图 字符"/>
    <w:basedOn w:val="16"/>
    <w:link w:val="6"/>
    <w:semiHidden/>
    <w:qFormat/>
    <w:uiPriority w:val="99"/>
    <w:rPr>
      <w:rFonts w:ascii="宋体" w:eastAsia="宋体"/>
      <w:sz w:val="18"/>
      <w:szCs w:val="18"/>
    </w:rPr>
  </w:style>
  <w:style w:type="character" w:customStyle="1" w:styleId="23">
    <w:name w:val="标题 2 字符"/>
    <w:basedOn w:val="16"/>
    <w:link w:val="3"/>
    <w:qFormat/>
    <w:uiPriority w:val="9"/>
    <w:rPr>
      <w:rFonts w:asciiTheme="majorHAnsi" w:hAnsiTheme="majorHAnsi" w:eastAsiaTheme="majorEastAsia" w:cstheme="majorBidi"/>
      <w:b/>
      <w:bCs/>
      <w:sz w:val="32"/>
      <w:szCs w:val="32"/>
    </w:rPr>
  </w:style>
  <w:style w:type="character" w:customStyle="1" w:styleId="24">
    <w:name w:val="纯文本 字符"/>
    <w:basedOn w:val="16"/>
    <w:link w:val="10"/>
    <w:qFormat/>
    <w:uiPriority w:val="0"/>
    <w:rPr>
      <w:rFonts w:ascii="宋体" w:hAnsi="Courier New" w:eastAsia="宋体" w:cs="Times New Roman"/>
      <w:kern w:val="0"/>
      <w:szCs w:val="20"/>
      <w:u w:color="000000"/>
    </w:rPr>
  </w:style>
  <w:style w:type="character" w:customStyle="1" w:styleId="25">
    <w:name w:val="正文缩进 字符"/>
    <w:link w:val="4"/>
    <w:qFormat/>
    <w:uiPriority w:val="0"/>
    <w:rPr>
      <w:rFonts w:ascii="宋体" w:hAnsi="Times New Roman" w:eastAsia="宋体" w:cs="Times New Roman"/>
      <w:kern w:val="0"/>
      <w:sz w:val="24"/>
      <w:szCs w:val="20"/>
    </w:rPr>
  </w:style>
  <w:style w:type="table" w:customStyle="1" w:styleId="26">
    <w:name w:val="网格型1"/>
    <w:basedOn w:val="1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7">
    <w:name w:val="Table Paragraph"/>
    <w:basedOn w:val="1"/>
    <w:qFormat/>
    <w:uiPriority w:val="0"/>
    <w:rPr>
      <w:rFonts w:ascii="宋体" w:hAnsi="宋体" w:cs="宋体"/>
      <w:lang w:val="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493</Words>
  <Characters>603</Characters>
  <Lines>6</Lines>
  <Paragraphs>1</Paragraphs>
  <TotalTime>7</TotalTime>
  <ScaleCrop>false</ScaleCrop>
  <LinksUpToDate>false</LinksUpToDate>
  <CharactersWithSpaces>622</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2020-04-29T01:39:00Z</dcterms:created>
  <dc:creator>Administrator</dc:creator>
  <cp:lastModifiedBy>Administrator</cp:lastModifiedBy>
  <dcterms:modified xsi:type="dcterms:W3CDTF">2023-08-17T09:45:55Z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A19137DBCE1349B2A11A11202FEFDA8E</vt:lpwstr>
  </property>
</Properties>
</file>