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numPr>
          <w:ilvl w:val="0"/>
          <w:numId w:val="1"/>
        </w:numPr>
        <w:bidi w:val="0"/>
      </w:pPr>
      <w:bookmarkStart w:id="0" w:name="_Toc2821"/>
      <w:r>
        <w:rPr>
          <w:rFonts w:hint="eastAsia"/>
        </w:rPr>
        <w:t>采购需求</w:t>
      </w:r>
      <w:bookmarkEnd w:id="0"/>
    </w:p>
    <w:p>
      <w:pPr>
        <w:spacing w:line="400" w:lineRule="exact"/>
        <w:ind w:firstLine="594" w:firstLineChars="200"/>
        <w:rPr>
          <w:rFonts w:ascii="宋体" w:hAnsi="宋体"/>
          <w:b/>
          <w:bCs/>
          <w:color w:val="000000"/>
          <w:spacing w:val="8"/>
          <w:sz w:val="28"/>
          <w:szCs w:val="28"/>
        </w:rPr>
      </w:pPr>
      <w:r>
        <w:rPr>
          <w:rFonts w:hint="eastAsia" w:ascii="宋体" w:hAnsi="宋体"/>
          <w:b/>
          <w:bCs/>
          <w:color w:val="000000"/>
          <w:spacing w:val="8"/>
          <w:sz w:val="28"/>
          <w:szCs w:val="28"/>
        </w:rPr>
        <w:t>前注 ：</w:t>
      </w:r>
    </w:p>
    <w:p>
      <w:pPr>
        <w:spacing w:line="360" w:lineRule="auto"/>
        <w:ind w:firstLine="592" w:firstLineChars="200"/>
        <w:rPr>
          <w:rFonts w:ascii="宋体" w:hAnsi="宋体"/>
          <w:bCs/>
          <w:color w:val="000000"/>
          <w:spacing w:val="8"/>
          <w:sz w:val="28"/>
          <w:szCs w:val="28"/>
        </w:rPr>
      </w:pPr>
      <w:r>
        <w:rPr>
          <w:rFonts w:hint="eastAsia" w:ascii="宋体" w:hAnsi="宋体"/>
          <w:bCs/>
          <w:color w:val="000000"/>
          <w:spacing w:val="8"/>
          <w:sz w:val="28"/>
          <w:szCs w:val="28"/>
        </w:rPr>
        <w:t>1、本需求中提出的技术方案仅为参考，如无明确限制，</w:t>
      </w:r>
      <w:r>
        <w:rPr>
          <w:rFonts w:hint="eastAsia" w:ascii="宋体" w:hAnsi="宋体"/>
          <w:bCs/>
          <w:color w:val="000000"/>
          <w:spacing w:val="8"/>
          <w:sz w:val="28"/>
          <w:szCs w:val="28"/>
          <w:lang w:eastAsia="zh-CN"/>
        </w:rPr>
        <w:t>投标人</w:t>
      </w:r>
      <w:r>
        <w:rPr>
          <w:rFonts w:hint="eastAsia" w:ascii="宋体" w:hAnsi="宋体"/>
          <w:bCs/>
          <w:color w:val="000000"/>
          <w:spacing w:val="8"/>
          <w:sz w:val="28"/>
          <w:szCs w:val="28"/>
        </w:rPr>
        <w:t>可以进行优化，提供满足用户实际需要的更优（或者性能实质上不低于的）技术方案或者设备配置，且此方案或配置须经评标委员会审核认可。</w:t>
      </w:r>
    </w:p>
    <w:p>
      <w:pPr>
        <w:spacing w:line="360" w:lineRule="auto"/>
        <w:ind w:firstLine="592" w:firstLineChars="200"/>
        <w:rPr>
          <w:rFonts w:ascii="宋体" w:hAnsi="宋体"/>
          <w:bCs/>
          <w:color w:val="000000"/>
          <w:spacing w:val="8"/>
          <w:sz w:val="28"/>
          <w:szCs w:val="28"/>
        </w:rPr>
      </w:pPr>
      <w:r>
        <w:rPr>
          <w:rFonts w:hint="eastAsia" w:ascii="宋体" w:hAnsi="宋体"/>
          <w:bCs/>
          <w:color w:val="000000"/>
          <w:spacing w:val="8"/>
          <w:sz w:val="28"/>
          <w:szCs w:val="28"/>
        </w:rPr>
        <w:t xml:space="preserve"> 2、为鼓励不同品牌的充分竞争，如某设备的某技术参数或要求属于个别品牌专有，则该技术参数及要求不具有限制性，</w:t>
      </w:r>
      <w:r>
        <w:rPr>
          <w:rFonts w:hint="eastAsia" w:ascii="宋体" w:hAnsi="宋体"/>
          <w:bCs/>
          <w:color w:val="000000"/>
          <w:spacing w:val="8"/>
          <w:sz w:val="28"/>
          <w:szCs w:val="28"/>
          <w:lang w:eastAsia="zh-CN"/>
        </w:rPr>
        <w:t>投标人</w:t>
      </w:r>
      <w:r>
        <w:rPr>
          <w:rFonts w:hint="eastAsia" w:ascii="宋体" w:hAnsi="宋体"/>
          <w:bCs/>
          <w:color w:val="000000"/>
          <w:spacing w:val="8"/>
          <w:sz w:val="28"/>
          <w:szCs w:val="28"/>
        </w:rPr>
        <w:t>可对该参数或要求进行适当调整，并应当说明调整的理由，且此调整须经评标委员会审核认可。</w:t>
      </w:r>
    </w:p>
    <w:p>
      <w:pPr>
        <w:spacing w:line="360" w:lineRule="auto"/>
        <w:ind w:firstLine="592" w:firstLineChars="200"/>
        <w:rPr>
          <w:rFonts w:ascii="宋体" w:hAnsi="宋体"/>
          <w:bCs/>
          <w:color w:val="000000"/>
          <w:spacing w:val="8"/>
          <w:sz w:val="28"/>
          <w:szCs w:val="28"/>
        </w:rPr>
      </w:pPr>
      <w:r>
        <w:rPr>
          <w:rFonts w:hint="eastAsia" w:ascii="宋体" w:hAnsi="宋体"/>
          <w:bCs/>
          <w:color w:val="000000"/>
          <w:spacing w:val="8"/>
          <w:sz w:val="28"/>
          <w:szCs w:val="28"/>
        </w:rPr>
        <w:t>3、为有助于投标</w:t>
      </w:r>
      <w:r>
        <w:rPr>
          <w:rFonts w:hint="eastAsia" w:ascii="宋体" w:hAnsi="宋体"/>
          <w:bCs/>
          <w:color w:val="000000"/>
          <w:spacing w:val="8"/>
          <w:sz w:val="28"/>
          <w:szCs w:val="28"/>
          <w:lang w:eastAsia="zh-CN"/>
        </w:rPr>
        <w:t>投标人</w:t>
      </w:r>
      <w:r>
        <w:rPr>
          <w:rFonts w:hint="eastAsia" w:ascii="宋体" w:hAnsi="宋体"/>
          <w:bCs/>
          <w:color w:val="000000"/>
          <w:spacing w:val="8"/>
          <w:sz w:val="28"/>
          <w:szCs w:val="28"/>
        </w:rPr>
        <w:t>选择投标产品，若项目需求中提供了推荐品牌（或型号）、参考品牌（或型号）等，这些品牌（或型号）仅供参考，并无限制性。投标</w:t>
      </w:r>
      <w:r>
        <w:rPr>
          <w:rFonts w:hint="eastAsia" w:ascii="宋体" w:hAnsi="宋体"/>
          <w:bCs/>
          <w:color w:val="000000"/>
          <w:spacing w:val="8"/>
          <w:sz w:val="28"/>
          <w:szCs w:val="28"/>
          <w:lang w:eastAsia="zh-CN"/>
        </w:rPr>
        <w:t>投标人</w:t>
      </w:r>
      <w:r>
        <w:rPr>
          <w:rFonts w:hint="eastAsia" w:ascii="宋体" w:hAnsi="宋体"/>
          <w:bCs/>
          <w:color w:val="000000"/>
          <w:spacing w:val="8"/>
          <w:sz w:val="28"/>
          <w:szCs w:val="28"/>
        </w:rPr>
        <w:t>可以选择性能不低于推荐（或参考）的品牌（或型号）的其他产品。</w:t>
      </w:r>
    </w:p>
    <w:p>
      <w:pPr>
        <w:spacing w:line="360" w:lineRule="auto"/>
        <w:ind w:firstLine="592" w:firstLineChars="200"/>
        <w:rPr>
          <w:rFonts w:ascii="宋体" w:hAnsi="宋体"/>
          <w:bCs/>
          <w:color w:val="000000"/>
          <w:spacing w:val="8"/>
          <w:sz w:val="28"/>
          <w:szCs w:val="28"/>
        </w:rPr>
      </w:pPr>
      <w:r>
        <w:rPr>
          <w:rFonts w:hint="eastAsia" w:ascii="宋体" w:hAnsi="宋体"/>
          <w:bCs/>
          <w:color w:val="000000"/>
          <w:spacing w:val="8"/>
          <w:sz w:val="28"/>
          <w:szCs w:val="28"/>
        </w:rPr>
        <w:t>4、根据《关于规范政府采购进口产品有关工作的通知》及政府采购管理部门的相关规定，下列采购需求中标注进口产品的货物均已履行相关论证手续，经核准采购进口产品，但不限制满足招标文件要求的国内产品参与竞争。未标注进口产品的货物均为拒绝采购进口产品。</w:t>
      </w:r>
    </w:p>
    <w:p>
      <w:pPr>
        <w:spacing w:line="360" w:lineRule="auto"/>
        <w:ind w:firstLine="592" w:firstLineChars="200"/>
        <w:rPr>
          <w:rFonts w:ascii="宋体" w:hAnsi="宋体"/>
          <w:bCs/>
          <w:color w:val="000000"/>
          <w:spacing w:val="8"/>
          <w:sz w:val="28"/>
          <w:szCs w:val="28"/>
        </w:rPr>
      </w:pPr>
      <w:r>
        <w:rPr>
          <w:rFonts w:hint="eastAsia" w:ascii="宋体" w:hAnsi="宋体"/>
          <w:bCs/>
          <w:color w:val="000000"/>
          <w:spacing w:val="8"/>
          <w:sz w:val="28"/>
          <w:szCs w:val="28"/>
        </w:rPr>
        <w:t>5、下列采购需求中：</w:t>
      </w:r>
      <w:r>
        <w:rPr>
          <w:rFonts w:hint="eastAsia" w:ascii="宋体" w:hAnsi="宋体"/>
          <w:bCs/>
          <w:color w:val="000000"/>
          <w:spacing w:val="8"/>
          <w:sz w:val="28"/>
          <w:szCs w:val="28"/>
          <w:lang w:eastAsia="zh-CN"/>
        </w:rPr>
        <w:t>投标人</w:t>
      </w:r>
      <w:r>
        <w:rPr>
          <w:rFonts w:hint="eastAsia" w:ascii="宋体" w:hAnsi="宋体"/>
          <w:bCs/>
          <w:color w:val="000000"/>
          <w:spacing w:val="8"/>
          <w:sz w:val="28"/>
          <w:szCs w:val="28"/>
        </w:rPr>
        <w:t>在投标文件《主要中标标的承诺函》中填写名称、品牌、规格及型号、数量、单价等信息。</w:t>
      </w:r>
    </w:p>
    <w:p>
      <w:pPr>
        <w:ind w:firstLine="562" w:firstLineChars="200"/>
        <w:rPr>
          <w:rFonts w:hint="eastAsia" w:ascii="宋体" w:hAnsi="宋体"/>
          <w:b/>
          <w:sz w:val="28"/>
          <w:szCs w:val="28"/>
        </w:rPr>
      </w:pPr>
      <w:r>
        <w:rPr>
          <w:rFonts w:hint="eastAsia" w:ascii="宋体" w:hAnsi="宋体"/>
          <w:b/>
          <w:sz w:val="28"/>
          <w:szCs w:val="28"/>
        </w:rPr>
        <w:t>一、采购需求前附表</w:t>
      </w:r>
    </w:p>
    <w:p>
      <w:pPr>
        <w:pStyle w:val="6"/>
      </w:pPr>
    </w:p>
    <w:tbl>
      <w:tblPr>
        <w:tblStyle w:val="8"/>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449"/>
        <w:gridCol w:w="5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shd w:val="clear" w:color="auto" w:fill="auto"/>
            <w:vAlign w:val="center"/>
          </w:tcPr>
          <w:p>
            <w:pPr>
              <w:spacing w:line="360" w:lineRule="auto"/>
              <w:jc w:val="center"/>
              <w:rPr>
                <w:rFonts w:ascii="宋体" w:hAnsi="宋体"/>
                <w:b/>
                <w:sz w:val="28"/>
                <w:szCs w:val="28"/>
              </w:rPr>
            </w:pPr>
            <w:r>
              <w:rPr>
                <w:rFonts w:hint="eastAsia" w:ascii="宋体" w:hAnsi="宋体"/>
                <w:b/>
                <w:sz w:val="28"/>
                <w:szCs w:val="28"/>
              </w:rPr>
              <w:t>序号</w:t>
            </w:r>
          </w:p>
        </w:tc>
        <w:tc>
          <w:tcPr>
            <w:tcW w:w="2449" w:type="dxa"/>
            <w:shd w:val="clear" w:color="auto" w:fill="auto"/>
            <w:vAlign w:val="center"/>
          </w:tcPr>
          <w:p>
            <w:pPr>
              <w:spacing w:line="360" w:lineRule="auto"/>
              <w:jc w:val="center"/>
              <w:rPr>
                <w:rFonts w:ascii="宋体" w:hAnsi="宋体"/>
                <w:b/>
                <w:sz w:val="28"/>
                <w:szCs w:val="28"/>
              </w:rPr>
            </w:pPr>
            <w:r>
              <w:rPr>
                <w:rFonts w:hint="eastAsia" w:ascii="宋体" w:hAnsi="宋体"/>
                <w:b/>
                <w:sz w:val="28"/>
                <w:szCs w:val="28"/>
              </w:rPr>
              <w:t>条款名称</w:t>
            </w:r>
          </w:p>
        </w:tc>
        <w:tc>
          <w:tcPr>
            <w:tcW w:w="5794" w:type="dxa"/>
            <w:shd w:val="clear" w:color="auto" w:fill="auto"/>
            <w:vAlign w:val="center"/>
          </w:tcPr>
          <w:p>
            <w:pPr>
              <w:spacing w:line="360" w:lineRule="auto"/>
              <w:jc w:val="center"/>
              <w:rPr>
                <w:rFonts w:ascii="宋体" w:hAnsi="宋体"/>
                <w:b/>
                <w:sz w:val="28"/>
                <w:szCs w:val="28"/>
              </w:rPr>
            </w:pPr>
            <w:r>
              <w:rPr>
                <w:rFonts w:hint="eastAsia" w:ascii="宋体" w:hAnsi="宋体"/>
                <w:b/>
                <w:sz w:val="28"/>
                <w:szCs w:val="28"/>
              </w:rPr>
              <w:t>内容、说明与要求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817" w:type="dxa"/>
            <w:shd w:val="clear" w:color="auto" w:fill="auto"/>
            <w:vAlign w:val="center"/>
          </w:tcPr>
          <w:p>
            <w:pPr>
              <w:spacing w:line="360" w:lineRule="auto"/>
              <w:jc w:val="center"/>
              <w:rPr>
                <w:rFonts w:ascii="宋体" w:hAnsi="宋体"/>
                <w:sz w:val="28"/>
                <w:szCs w:val="28"/>
              </w:rPr>
            </w:pPr>
            <w:r>
              <w:rPr>
                <w:rFonts w:hint="eastAsia" w:ascii="宋体" w:hAnsi="宋体"/>
                <w:sz w:val="28"/>
                <w:szCs w:val="28"/>
              </w:rPr>
              <w:t>1</w:t>
            </w:r>
          </w:p>
        </w:tc>
        <w:tc>
          <w:tcPr>
            <w:tcW w:w="2449" w:type="dxa"/>
            <w:shd w:val="clear" w:color="auto" w:fill="auto"/>
            <w:vAlign w:val="center"/>
          </w:tcPr>
          <w:p>
            <w:pPr>
              <w:spacing w:line="360" w:lineRule="auto"/>
              <w:jc w:val="center"/>
              <w:rPr>
                <w:rFonts w:ascii="宋体" w:hAnsi="宋体"/>
                <w:sz w:val="28"/>
                <w:szCs w:val="28"/>
              </w:rPr>
            </w:pPr>
            <w:r>
              <w:rPr>
                <w:rFonts w:hint="eastAsia" w:ascii="宋体" w:hAnsi="宋体"/>
                <w:sz w:val="28"/>
                <w:szCs w:val="28"/>
                <w:highlight w:val="none"/>
              </w:rPr>
              <w:t>付款方式</w:t>
            </w:r>
          </w:p>
        </w:tc>
        <w:tc>
          <w:tcPr>
            <w:tcW w:w="5794" w:type="dxa"/>
            <w:shd w:val="clear" w:color="auto" w:fill="auto"/>
            <w:vAlign w:val="center"/>
          </w:tcPr>
          <w:p>
            <w:pPr>
              <w:spacing w:line="400" w:lineRule="exact"/>
              <w:rPr>
                <w:rFonts w:ascii="宋体" w:hAnsi="宋体"/>
                <w:bCs/>
                <w:color w:val="000000"/>
                <w:spacing w:val="8"/>
                <w:sz w:val="28"/>
                <w:szCs w:val="28"/>
              </w:rPr>
            </w:pPr>
            <w:r>
              <w:rPr>
                <w:rFonts w:hint="eastAsia" w:ascii="宋体" w:hAnsi="宋体"/>
                <w:bCs/>
                <w:color w:val="000000"/>
                <w:spacing w:val="8"/>
                <w:sz w:val="28"/>
                <w:szCs w:val="28"/>
                <w:lang w:eastAsia="zh-CN"/>
              </w:rPr>
              <w:t>货物验收合格后，支付至合同总额的</w:t>
            </w:r>
            <w:r>
              <w:rPr>
                <w:rFonts w:hint="eastAsia" w:ascii="宋体" w:hAnsi="宋体"/>
                <w:bCs/>
                <w:color w:val="000000"/>
                <w:spacing w:val="8"/>
                <w:sz w:val="28"/>
                <w:szCs w:val="28"/>
                <w:lang w:val="en-US" w:eastAsia="zh-CN"/>
              </w:rPr>
              <w:t>97%，剩余部分作为质量保证金，待质保期结束无质量问题，经审计后一次性无息付清</w:t>
            </w:r>
            <w:r>
              <w:rPr>
                <w:rFonts w:hint="eastAsia" w:ascii="宋体" w:hAnsi="宋体"/>
                <w:bCs/>
                <w:color w:val="000000"/>
                <w:spacing w:val="8"/>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817" w:type="dxa"/>
            <w:shd w:val="clear" w:color="auto" w:fill="auto"/>
            <w:vAlign w:val="center"/>
          </w:tcPr>
          <w:p>
            <w:pPr>
              <w:spacing w:line="360" w:lineRule="auto"/>
              <w:jc w:val="center"/>
              <w:rPr>
                <w:rFonts w:ascii="宋体" w:hAnsi="宋体"/>
                <w:sz w:val="28"/>
                <w:szCs w:val="28"/>
              </w:rPr>
            </w:pPr>
            <w:r>
              <w:rPr>
                <w:rFonts w:hint="eastAsia" w:ascii="宋体" w:hAnsi="宋体"/>
                <w:sz w:val="28"/>
                <w:szCs w:val="28"/>
              </w:rPr>
              <w:t>2</w:t>
            </w:r>
          </w:p>
        </w:tc>
        <w:tc>
          <w:tcPr>
            <w:tcW w:w="2449" w:type="dxa"/>
            <w:shd w:val="clear" w:color="auto" w:fill="auto"/>
            <w:vAlign w:val="center"/>
          </w:tcPr>
          <w:p>
            <w:pPr>
              <w:spacing w:line="360" w:lineRule="auto"/>
              <w:jc w:val="center"/>
              <w:rPr>
                <w:rFonts w:ascii="宋体" w:hAnsi="宋体"/>
                <w:sz w:val="28"/>
                <w:szCs w:val="28"/>
              </w:rPr>
            </w:pPr>
            <w:r>
              <w:rPr>
                <w:rFonts w:hint="eastAsia" w:ascii="宋体" w:hAnsi="宋体"/>
                <w:sz w:val="28"/>
                <w:szCs w:val="28"/>
              </w:rPr>
              <w:t>供货及</w:t>
            </w:r>
            <w:r>
              <w:rPr>
                <w:rFonts w:hint="eastAsia" w:ascii="宋体" w:hAnsi="宋体"/>
                <w:sz w:val="28"/>
                <w:szCs w:val="28"/>
                <w:lang w:eastAsia="zh-CN"/>
              </w:rPr>
              <w:t>服务</w:t>
            </w:r>
            <w:r>
              <w:rPr>
                <w:rFonts w:hint="eastAsia" w:ascii="宋体" w:hAnsi="宋体"/>
                <w:sz w:val="28"/>
                <w:szCs w:val="28"/>
              </w:rPr>
              <w:t>地点</w:t>
            </w:r>
          </w:p>
        </w:tc>
        <w:tc>
          <w:tcPr>
            <w:tcW w:w="5794" w:type="dxa"/>
            <w:shd w:val="clear" w:color="auto" w:fill="auto"/>
            <w:vAlign w:val="center"/>
          </w:tcPr>
          <w:p>
            <w:pPr>
              <w:spacing w:line="400" w:lineRule="exact"/>
              <w:rPr>
                <w:rFonts w:ascii="宋体" w:hAnsi="宋体"/>
                <w:bCs/>
                <w:color w:val="000000"/>
                <w:spacing w:val="8"/>
                <w:sz w:val="28"/>
                <w:szCs w:val="28"/>
              </w:rPr>
            </w:pPr>
            <w:r>
              <w:rPr>
                <w:rFonts w:hint="eastAsia" w:ascii="宋体" w:hAnsi="宋体"/>
                <w:bCs/>
                <w:color w:val="000000"/>
                <w:spacing w:val="8"/>
                <w:sz w:val="28"/>
                <w:szCs w:val="28"/>
                <w:lang w:eastAsia="zh-CN"/>
              </w:rPr>
              <w:t>采购人</w:t>
            </w:r>
            <w:r>
              <w:rPr>
                <w:rFonts w:hint="eastAsia" w:ascii="宋体" w:hAnsi="宋体"/>
                <w:bCs/>
                <w:color w:val="000000"/>
                <w:spacing w:val="8"/>
                <w:sz w:val="28"/>
                <w:szCs w:val="28"/>
              </w:rPr>
              <w:t>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817" w:type="dxa"/>
            <w:shd w:val="clear" w:color="auto" w:fill="auto"/>
            <w:vAlign w:val="center"/>
          </w:tcPr>
          <w:p>
            <w:pPr>
              <w:spacing w:line="360" w:lineRule="auto"/>
              <w:jc w:val="center"/>
              <w:rPr>
                <w:rFonts w:ascii="宋体" w:hAnsi="宋体"/>
                <w:sz w:val="28"/>
                <w:szCs w:val="28"/>
              </w:rPr>
            </w:pPr>
            <w:r>
              <w:rPr>
                <w:rFonts w:hint="eastAsia" w:ascii="宋体" w:hAnsi="宋体"/>
                <w:sz w:val="28"/>
                <w:szCs w:val="28"/>
              </w:rPr>
              <w:t>3</w:t>
            </w:r>
          </w:p>
        </w:tc>
        <w:tc>
          <w:tcPr>
            <w:tcW w:w="2449" w:type="dxa"/>
            <w:shd w:val="clear" w:color="auto" w:fill="auto"/>
            <w:vAlign w:val="center"/>
          </w:tcPr>
          <w:p>
            <w:pPr>
              <w:jc w:val="center"/>
              <w:rPr>
                <w:color w:val="auto"/>
                <w:sz w:val="28"/>
                <w:szCs w:val="36"/>
                <w:highlight w:val="none"/>
              </w:rPr>
            </w:pPr>
            <w:r>
              <w:rPr>
                <w:rFonts w:hint="eastAsia"/>
                <w:color w:val="auto"/>
                <w:sz w:val="28"/>
                <w:szCs w:val="36"/>
                <w:highlight w:val="none"/>
              </w:rPr>
              <w:t>供货期限</w:t>
            </w:r>
          </w:p>
        </w:tc>
        <w:tc>
          <w:tcPr>
            <w:tcW w:w="5794" w:type="dxa"/>
            <w:shd w:val="clear" w:color="auto" w:fill="auto"/>
            <w:vAlign w:val="center"/>
          </w:tcPr>
          <w:p>
            <w:pPr>
              <w:spacing w:line="400" w:lineRule="exact"/>
              <w:rPr>
                <w:rFonts w:hint="eastAsia" w:ascii="宋体" w:hAnsi="宋体" w:eastAsia="宋体"/>
                <w:bCs/>
                <w:color w:val="auto"/>
                <w:spacing w:val="8"/>
                <w:sz w:val="28"/>
                <w:szCs w:val="28"/>
                <w:highlight w:val="none"/>
                <w:lang w:eastAsia="zh-CN"/>
              </w:rPr>
            </w:pPr>
            <w:r>
              <w:rPr>
                <w:rFonts w:hint="eastAsia" w:ascii="宋体" w:hAnsi="宋体"/>
                <w:bCs/>
                <w:color w:val="auto"/>
                <w:spacing w:val="8"/>
                <w:sz w:val="28"/>
                <w:szCs w:val="28"/>
                <w:highlight w:val="none"/>
              </w:rPr>
              <w:t>合同</w:t>
            </w:r>
            <w:r>
              <w:rPr>
                <w:rFonts w:hint="eastAsia" w:ascii="宋体" w:hAnsi="宋体"/>
                <w:bCs/>
                <w:color w:val="auto"/>
                <w:spacing w:val="8"/>
                <w:sz w:val="28"/>
                <w:szCs w:val="28"/>
                <w:highlight w:val="none"/>
                <w:lang w:eastAsia="zh-CN"/>
              </w:rPr>
              <w:t>签订</w:t>
            </w:r>
            <w:r>
              <w:rPr>
                <w:rFonts w:hint="eastAsia" w:ascii="宋体" w:hAnsi="宋体"/>
                <w:bCs/>
                <w:color w:val="auto"/>
                <w:spacing w:val="8"/>
                <w:sz w:val="28"/>
                <w:szCs w:val="28"/>
                <w:highlight w:val="none"/>
              </w:rPr>
              <w:t>后</w:t>
            </w:r>
            <w:r>
              <w:rPr>
                <w:rFonts w:hint="eastAsia" w:ascii="宋体" w:hAnsi="宋体"/>
                <w:bCs/>
                <w:color w:val="auto"/>
                <w:spacing w:val="8"/>
                <w:sz w:val="28"/>
                <w:szCs w:val="28"/>
                <w:highlight w:val="none"/>
                <w:lang w:val="en-US" w:eastAsia="zh-CN"/>
              </w:rPr>
              <w:t>15</w:t>
            </w:r>
            <w:r>
              <w:rPr>
                <w:rFonts w:hint="eastAsia" w:ascii="宋体" w:hAnsi="宋体"/>
                <w:bCs/>
                <w:color w:val="auto"/>
                <w:spacing w:val="8"/>
                <w:sz w:val="28"/>
                <w:szCs w:val="28"/>
                <w:highlight w:val="none"/>
              </w:rPr>
              <w:t>日内</w:t>
            </w:r>
            <w:r>
              <w:rPr>
                <w:rFonts w:hint="eastAsia" w:ascii="宋体" w:hAnsi="宋体"/>
                <w:bCs/>
                <w:color w:val="auto"/>
                <w:spacing w:val="8"/>
                <w:sz w:val="28"/>
                <w:szCs w:val="28"/>
                <w:highlight w:val="none"/>
                <w:lang w:eastAsia="zh-CN"/>
              </w:rPr>
              <w:t>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817" w:type="dxa"/>
            <w:shd w:val="clear" w:color="auto" w:fill="auto"/>
            <w:vAlign w:val="center"/>
          </w:tcPr>
          <w:p>
            <w:pPr>
              <w:spacing w:line="360" w:lineRule="auto"/>
              <w:jc w:val="center"/>
              <w:rPr>
                <w:rFonts w:ascii="宋体" w:hAnsi="宋体"/>
                <w:sz w:val="28"/>
                <w:szCs w:val="28"/>
              </w:rPr>
            </w:pPr>
            <w:r>
              <w:rPr>
                <w:rFonts w:hint="eastAsia" w:ascii="宋体" w:hAnsi="宋体"/>
                <w:sz w:val="28"/>
                <w:szCs w:val="28"/>
              </w:rPr>
              <w:t>4</w:t>
            </w:r>
          </w:p>
        </w:tc>
        <w:tc>
          <w:tcPr>
            <w:tcW w:w="2449" w:type="dxa"/>
            <w:shd w:val="clear" w:color="auto" w:fill="auto"/>
            <w:vAlign w:val="center"/>
          </w:tcPr>
          <w:p>
            <w:pPr>
              <w:jc w:val="center"/>
              <w:rPr>
                <w:rFonts w:hint="eastAsia" w:eastAsia="宋体"/>
                <w:color w:val="auto"/>
                <w:sz w:val="28"/>
                <w:szCs w:val="36"/>
                <w:highlight w:val="none"/>
                <w:lang w:eastAsia="zh-CN"/>
              </w:rPr>
            </w:pPr>
            <w:r>
              <w:rPr>
                <w:rFonts w:hint="eastAsia"/>
                <w:color w:val="auto"/>
                <w:sz w:val="28"/>
                <w:szCs w:val="36"/>
                <w:highlight w:val="none"/>
              </w:rPr>
              <w:t>免费质保期</w:t>
            </w:r>
          </w:p>
        </w:tc>
        <w:tc>
          <w:tcPr>
            <w:tcW w:w="5794" w:type="dxa"/>
            <w:shd w:val="clear" w:color="auto" w:fill="auto"/>
            <w:vAlign w:val="center"/>
          </w:tcPr>
          <w:p>
            <w:pPr>
              <w:spacing w:line="400" w:lineRule="exact"/>
              <w:rPr>
                <w:rFonts w:hint="eastAsia" w:ascii="宋体" w:hAnsi="宋体" w:eastAsia="宋体"/>
                <w:bCs/>
                <w:color w:val="auto"/>
                <w:spacing w:val="8"/>
                <w:sz w:val="28"/>
                <w:szCs w:val="28"/>
                <w:highlight w:val="none"/>
                <w:lang w:eastAsia="zh-CN"/>
              </w:rPr>
            </w:pPr>
            <w:r>
              <w:rPr>
                <w:rFonts w:hint="eastAsia" w:ascii="宋体" w:hAnsi="宋体"/>
                <w:bCs/>
                <w:color w:val="auto"/>
                <w:spacing w:val="8"/>
                <w:sz w:val="28"/>
                <w:szCs w:val="28"/>
                <w:highlight w:val="none"/>
              </w:rPr>
              <w:t>验收合格之日起</w:t>
            </w:r>
            <w:r>
              <w:rPr>
                <w:rFonts w:hint="eastAsia" w:ascii="宋体" w:hAnsi="宋体"/>
                <w:bCs/>
                <w:color w:val="auto"/>
                <w:spacing w:val="8"/>
                <w:sz w:val="28"/>
                <w:szCs w:val="28"/>
                <w:highlight w:val="none"/>
                <w:lang w:val="en-US" w:eastAsia="zh-CN"/>
              </w:rPr>
              <w:t>1</w:t>
            </w:r>
            <w:r>
              <w:rPr>
                <w:rFonts w:hint="eastAsia" w:ascii="宋体" w:hAnsi="宋体"/>
                <w:bCs/>
                <w:color w:val="auto"/>
                <w:spacing w:val="8"/>
                <w:sz w:val="28"/>
                <w:szCs w:val="28"/>
                <w:highlight w:val="none"/>
              </w:rPr>
              <w:t>年</w:t>
            </w:r>
            <w:r>
              <w:rPr>
                <w:rFonts w:hint="eastAsia" w:ascii="宋体" w:hAnsi="宋体"/>
                <w:bCs/>
                <w:color w:val="auto"/>
                <w:spacing w:val="8"/>
                <w:sz w:val="28"/>
                <w:szCs w:val="2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3" w:hRule="atLeast"/>
          <w:jc w:val="center"/>
        </w:trPr>
        <w:tc>
          <w:tcPr>
            <w:tcW w:w="817" w:type="dxa"/>
            <w:shd w:val="clear" w:color="auto" w:fill="auto"/>
            <w:vAlign w:val="center"/>
          </w:tcPr>
          <w:p>
            <w:pPr>
              <w:spacing w:line="360" w:lineRule="auto"/>
              <w:jc w:val="center"/>
              <w:rPr>
                <w:rFonts w:hint="eastAsia" w:ascii="宋体" w:hAnsi="宋体" w:eastAsia="宋体"/>
                <w:sz w:val="28"/>
                <w:szCs w:val="28"/>
                <w:lang w:val="en-US" w:eastAsia="zh-CN"/>
              </w:rPr>
            </w:pPr>
            <w:r>
              <w:rPr>
                <w:rFonts w:hint="eastAsia" w:ascii="宋体" w:hAnsi="宋体"/>
                <w:sz w:val="28"/>
                <w:szCs w:val="28"/>
                <w:lang w:val="en-US" w:eastAsia="zh-CN"/>
              </w:rPr>
              <w:t>5</w:t>
            </w:r>
          </w:p>
        </w:tc>
        <w:tc>
          <w:tcPr>
            <w:tcW w:w="2449" w:type="dxa"/>
            <w:shd w:val="clear" w:color="auto" w:fill="auto"/>
            <w:vAlign w:val="center"/>
          </w:tcPr>
          <w:p>
            <w:pPr>
              <w:jc w:val="center"/>
              <w:rPr>
                <w:rFonts w:hint="eastAsia" w:eastAsia="宋体"/>
                <w:color w:val="auto"/>
                <w:sz w:val="28"/>
                <w:szCs w:val="36"/>
                <w:highlight w:val="none"/>
                <w:lang w:eastAsia="zh-CN"/>
              </w:rPr>
            </w:pPr>
            <w:r>
              <w:rPr>
                <w:rFonts w:hint="eastAsia"/>
                <w:color w:val="auto"/>
                <w:sz w:val="28"/>
                <w:szCs w:val="36"/>
                <w:highlight w:val="none"/>
                <w:lang w:eastAsia="zh-CN"/>
              </w:rPr>
              <w:t>服务期</w:t>
            </w:r>
          </w:p>
        </w:tc>
        <w:tc>
          <w:tcPr>
            <w:tcW w:w="5794" w:type="dxa"/>
            <w:shd w:val="clear" w:color="auto" w:fill="auto"/>
            <w:vAlign w:val="center"/>
          </w:tcPr>
          <w:p>
            <w:pPr>
              <w:spacing w:line="400" w:lineRule="exact"/>
              <w:rPr>
                <w:rFonts w:hint="default" w:ascii="宋体" w:hAnsi="宋体" w:eastAsia="宋体"/>
                <w:bCs/>
                <w:color w:val="auto"/>
                <w:spacing w:val="8"/>
                <w:sz w:val="28"/>
                <w:szCs w:val="28"/>
                <w:highlight w:val="none"/>
                <w:lang w:val="en-US" w:eastAsia="zh-CN"/>
              </w:rPr>
            </w:pPr>
            <w:r>
              <w:rPr>
                <w:rFonts w:hint="eastAsia"/>
                <w:color w:val="auto"/>
                <w:sz w:val="28"/>
                <w:szCs w:val="36"/>
                <w:highlight w:val="none"/>
                <w:lang w:val="en-US" w:eastAsia="zh-CN"/>
              </w:rPr>
              <w:t>三年（1+1+1）。合同一年一签，采购单位每年组织一次考核，考核合格无质量问题可以续签下一年合同；考核不合格的，采购单位有权重新选择服务单位。</w:t>
            </w:r>
          </w:p>
        </w:tc>
      </w:tr>
    </w:tbl>
    <w:p>
      <w:pPr>
        <w:snapToGrid w:val="0"/>
        <w:spacing w:line="460" w:lineRule="exact"/>
        <w:ind w:firstLine="551" w:firstLineChars="196"/>
        <w:rPr>
          <w:rFonts w:hint="eastAsia" w:ascii="宋体" w:hAnsi="宋体"/>
          <w:b/>
          <w:sz w:val="28"/>
          <w:szCs w:val="28"/>
        </w:rPr>
      </w:pPr>
    </w:p>
    <w:p>
      <w:pPr>
        <w:ind w:firstLine="562" w:firstLineChars="200"/>
        <w:rPr>
          <w:rFonts w:hint="eastAsia" w:ascii="宋体" w:hAnsi="宋体" w:eastAsia="宋体" w:cs="Times New Roman"/>
          <w:b/>
          <w:sz w:val="28"/>
          <w:szCs w:val="28"/>
          <w:lang w:eastAsia="zh-CN"/>
        </w:rPr>
      </w:pPr>
      <w:r>
        <w:rPr>
          <w:rFonts w:hint="eastAsia" w:ascii="宋体" w:hAnsi="宋体" w:eastAsia="宋体" w:cs="Times New Roman"/>
          <w:b/>
          <w:sz w:val="28"/>
          <w:szCs w:val="28"/>
          <w:lang w:eastAsia="zh-CN"/>
        </w:rPr>
        <w:t>二、</w:t>
      </w:r>
      <w:r>
        <w:rPr>
          <w:rFonts w:hint="eastAsia" w:ascii="宋体" w:hAnsi="宋体" w:eastAsia="宋体" w:cs="Times New Roman"/>
          <w:b/>
          <w:sz w:val="28"/>
          <w:szCs w:val="28"/>
        </w:rPr>
        <w:t>采购清单</w:t>
      </w:r>
    </w:p>
    <w:tbl>
      <w:tblPr>
        <w:tblStyle w:val="8"/>
        <w:tblW w:w="50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2579"/>
        <w:gridCol w:w="1443"/>
        <w:gridCol w:w="1618"/>
        <w:gridCol w:w="1528"/>
        <w:gridCol w:w="1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504" w:type="pct"/>
            <w:vAlign w:val="center"/>
          </w:tcPr>
          <w:p>
            <w:pPr>
              <w:spacing w:before="156" w:after="156" w:line="460" w:lineRule="exact"/>
              <w:jc w:val="center"/>
              <w:rPr>
                <w:rFonts w:ascii="宋体" w:hAnsi="宋体"/>
                <w:b/>
                <w:sz w:val="28"/>
                <w:szCs w:val="28"/>
              </w:rPr>
            </w:pPr>
            <w:r>
              <w:rPr>
                <w:rFonts w:hint="eastAsia" w:ascii="宋体" w:hAnsi="宋体"/>
                <w:b/>
                <w:sz w:val="28"/>
                <w:szCs w:val="28"/>
              </w:rPr>
              <w:t>序号</w:t>
            </w:r>
          </w:p>
        </w:tc>
        <w:tc>
          <w:tcPr>
            <w:tcW w:w="1383" w:type="pct"/>
            <w:vAlign w:val="center"/>
          </w:tcPr>
          <w:p>
            <w:pPr>
              <w:spacing w:before="156" w:after="156" w:line="460" w:lineRule="exact"/>
              <w:jc w:val="center"/>
              <w:rPr>
                <w:rFonts w:ascii="宋体" w:hAnsi="宋体"/>
                <w:b/>
                <w:sz w:val="28"/>
                <w:szCs w:val="28"/>
              </w:rPr>
            </w:pPr>
            <w:r>
              <w:rPr>
                <w:rFonts w:hint="eastAsia" w:ascii="宋体" w:hAnsi="宋体"/>
                <w:b/>
                <w:sz w:val="28"/>
                <w:szCs w:val="28"/>
              </w:rPr>
              <w:t>货物名称</w:t>
            </w:r>
          </w:p>
        </w:tc>
        <w:tc>
          <w:tcPr>
            <w:tcW w:w="774" w:type="pct"/>
            <w:vAlign w:val="center"/>
          </w:tcPr>
          <w:p>
            <w:pPr>
              <w:spacing w:before="156" w:after="156" w:line="460" w:lineRule="exact"/>
              <w:jc w:val="center"/>
              <w:rPr>
                <w:rFonts w:ascii="宋体" w:hAnsi="宋体"/>
                <w:b/>
                <w:sz w:val="28"/>
                <w:szCs w:val="28"/>
              </w:rPr>
            </w:pPr>
            <w:r>
              <w:rPr>
                <w:rFonts w:hint="eastAsia" w:ascii="宋体" w:hAnsi="宋体"/>
                <w:b/>
                <w:sz w:val="28"/>
                <w:szCs w:val="28"/>
              </w:rPr>
              <w:t>单位</w:t>
            </w:r>
          </w:p>
        </w:tc>
        <w:tc>
          <w:tcPr>
            <w:tcW w:w="868" w:type="pct"/>
            <w:vAlign w:val="center"/>
          </w:tcPr>
          <w:p>
            <w:pPr>
              <w:spacing w:before="156" w:after="156" w:line="460" w:lineRule="exact"/>
              <w:jc w:val="center"/>
              <w:rPr>
                <w:rFonts w:ascii="宋体" w:hAnsi="宋体"/>
                <w:b/>
                <w:sz w:val="28"/>
                <w:szCs w:val="28"/>
              </w:rPr>
            </w:pPr>
            <w:r>
              <w:rPr>
                <w:rFonts w:hint="eastAsia" w:ascii="宋体" w:hAnsi="宋体"/>
                <w:b/>
                <w:sz w:val="28"/>
                <w:szCs w:val="28"/>
              </w:rPr>
              <w:t>数量</w:t>
            </w:r>
          </w:p>
        </w:tc>
        <w:tc>
          <w:tcPr>
            <w:tcW w:w="819" w:type="pct"/>
            <w:vAlign w:val="center"/>
          </w:tcPr>
          <w:p>
            <w:pPr>
              <w:spacing w:before="156" w:after="156" w:line="460" w:lineRule="exact"/>
              <w:jc w:val="center"/>
              <w:rPr>
                <w:rFonts w:hint="eastAsia" w:ascii="宋体" w:hAnsi="宋体" w:eastAsia="宋体"/>
                <w:b/>
                <w:sz w:val="28"/>
                <w:szCs w:val="28"/>
                <w:lang w:val="en-US" w:eastAsia="zh-CN"/>
              </w:rPr>
            </w:pPr>
            <w:r>
              <w:rPr>
                <w:rFonts w:hint="eastAsia" w:ascii="宋体" w:hAnsi="宋体"/>
                <w:b/>
                <w:sz w:val="28"/>
                <w:szCs w:val="28"/>
                <w:lang w:val="en-US" w:eastAsia="zh-CN"/>
              </w:rPr>
              <w:t>单价/元</w:t>
            </w:r>
          </w:p>
        </w:tc>
        <w:tc>
          <w:tcPr>
            <w:tcW w:w="648" w:type="pct"/>
            <w:vAlign w:val="center"/>
          </w:tcPr>
          <w:p>
            <w:pPr>
              <w:spacing w:before="156" w:after="156" w:line="460" w:lineRule="exact"/>
              <w:jc w:val="center"/>
              <w:rPr>
                <w:rFonts w:ascii="宋体" w:hAnsi="宋体"/>
                <w:b/>
                <w:sz w:val="28"/>
                <w:szCs w:val="28"/>
              </w:rPr>
            </w:pPr>
            <w:r>
              <w:rPr>
                <w:rFonts w:hint="eastAsia" w:ascii="宋体" w:hAnsi="宋体"/>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5000" w:type="pct"/>
            <w:gridSpan w:val="6"/>
            <w:vAlign w:val="center"/>
          </w:tcPr>
          <w:p>
            <w:pPr>
              <w:spacing w:before="156" w:after="156" w:line="460" w:lineRule="exact"/>
              <w:jc w:val="left"/>
              <w:rPr>
                <w:rFonts w:hint="eastAsia" w:ascii="宋体" w:hAnsi="宋体" w:eastAsia="宋体"/>
                <w:b/>
                <w:sz w:val="28"/>
                <w:szCs w:val="28"/>
                <w:lang w:eastAsia="zh-CN"/>
              </w:rPr>
            </w:pPr>
            <w:r>
              <w:rPr>
                <w:rFonts w:hint="eastAsia" w:ascii="仿宋" w:hAnsi="仿宋" w:eastAsia="仿宋" w:cs="仿宋"/>
                <w:b/>
                <w:bCs/>
                <w:i w:val="0"/>
                <w:color w:val="0D0D0D"/>
                <w:kern w:val="0"/>
                <w:sz w:val="28"/>
                <w:szCs w:val="28"/>
                <w:u w:val="none"/>
                <w:lang w:val="en-US" w:eastAsia="zh-CN" w:bidi="ar"/>
              </w:rPr>
              <w:t>一、工作服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大檐帽</w:t>
            </w:r>
          </w:p>
        </w:tc>
        <w:tc>
          <w:tcPr>
            <w:tcW w:w="774"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顶</w:t>
            </w:r>
          </w:p>
        </w:tc>
        <w:tc>
          <w:tcPr>
            <w:tcW w:w="868"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38.00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2</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女布帽</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顶</w:t>
            </w:r>
          </w:p>
        </w:tc>
        <w:tc>
          <w:tcPr>
            <w:tcW w:w="868"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45.00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3</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警便帽</w:t>
            </w:r>
          </w:p>
        </w:tc>
        <w:tc>
          <w:tcPr>
            <w:tcW w:w="774"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顶</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25.00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4</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夏执勤服</w:t>
            </w:r>
          </w:p>
        </w:tc>
        <w:tc>
          <w:tcPr>
            <w:tcW w:w="774"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件</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75.00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5</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作训服</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套</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135.00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6</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春秋常服</w:t>
            </w:r>
          </w:p>
        </w:tc>
        <w:tc>
          <w:tcPr>
            <w:tcW w:w="774"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套</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220.00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7</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春秋执勤服</w:t>
            </w:r>
          </w:p>
        </w:tc>
        <w:tc>
          <w:tcPr>
            <w:tcW w:w="774"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套</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185.00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8</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冬常服</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套</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240.00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9</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冬执勤服</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套</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260.00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10</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多功能服上衣</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件</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185.00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11</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夏单裤</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条</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90.00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12</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内衬衣</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件</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65.00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13</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长袖制式衬衣</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件</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65.00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14</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内腰带</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条</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45.00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15</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作训鞋</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双</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45.00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16</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棉短袖T恤衫</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件</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75.00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17</w:t>
            </w:r>
          </w:p>
        </w:tc>
        <w:tc>
          <w:tcPr>
            <w:tcW w:w="1383"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V领羊毛衫</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件</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eastAsia="zh-CN"/>
              </w:rPr>
            </w:pPr>
            <w:r>
              <w:rPr>
                <w:rFonts w:hint="eastAsia"/>
                <w:color w:val="auto"/>
                <w:sz w:val="28"/>
                <w:szCs w:val="36"/>
                <w:highlight w:val="none"/>
                <w:lang w:val="en-US" w:eastAsia="zh-CN"/>
              </w:rPr>
              <w:t>185.00</w:t>
            </w:r>
          </w:p>
        </w:tc>
        <w:tc>
          <w:tcPr>
            <w:tcW w:w="648" w:type="pct"/>
            <w:vAlign w:val="center"/>
          </w:tcPr>
          <w:p>
            <w:pPr>
              <w:jc w:val="center"/>
              <w:rPr>
                <w:rFonts w:hint="eastAsia"/>
                <w:color w:val="auto"/>
                <w:sz w:val="28"/>
                <w:szCs w:val="3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00" w:type="pct"/>
            <w:gridSpan w:val="6"/>
            <w:vAlign w:val="center"/>
          </w:tcPr>
          <w:p>
            <w:pPr>
              <w:jc w:val="left"/>
              <w:rPr>
                <w:rFonts w:hint="eastAsia" w:asciiTheme="minorEastAsia" w:hAnsiTheme="minorEastAsia" w:eastAsiaTheme="minorEastAsia" w:cstheme="minorEastAsia"/>
                <w:b/>
                <w:bCs/>
                <w:sz w:val="28"/>
                <w:szCs w:val="28"/>
                <w:lang w:eastAsia="zh-CN"/>
              </w:rPr>
            </w:pPr>
            <w:r>
              <w:rPr>
                <w:rFonts w:hint="eastAsia" w:ascii="仿宋" w:hAnsi="仿宋" w:eastAsia="仿宋" w:cs="仿宋"/>
                <w:b/>
                <w:bCs/>
                <w:i w:val="0"/>
                <w:color w:val="0D0D0D"/>
                <w:kern w:val="0"/>
                <w:sz w:val="28"/>
                <w:szCs w:val="28"/>
                <w:u w:val="none"/>
                <w:lang w:val="en-US" w:eastAsia="zh-CN" w:bidi="ar"/>
              </w:rPr>
              <w:t>二、特警辅警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1</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春秋战训服</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套</w:t>
            </w:r>
          </w:p>
        </w:tc>
        <w:tc>
          <w:tcPr>
            <w:tcW w:w="1618" w:type="dxa"/>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330.00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2</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夏长袖战训服</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套</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290.00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3</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夏短袖战训服</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套</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285.00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4</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冬战训服</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套</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350.00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5</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冬战训棉服</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套</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410.00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6</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战训帽</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顶</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45.00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7</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战训腰带</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条</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45.00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8</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冬战训靴</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双</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310.00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9</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夏战训靴</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双</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135.00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10</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雨衣</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套</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180.00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11</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雨鞋</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双</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65.00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12</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领带</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条</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20.00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13</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领带夹</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个</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5.00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14</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金属胸徽</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个</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5.00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15</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金属警号</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个</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5.00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16</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丝织警号</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个</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2.50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17</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丝织胸徽</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个</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2.50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18</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金属肩章</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副</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12.00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19</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软肩章</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副</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7.00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20</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套牌</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副</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5.00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504"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21</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帽徽</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个</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5.00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exact"/>
          <w:jc w:val="center"/>
        </w:trPr>
        <w:tc>
          <w:tcPr>
            <w:tcW w:w="504" w:type="pct"/>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22</w:t>
            </w:r>
          </w:p>
        </w:tc>
        <w:tc>
          <w:tcPr>
            <w:tcW w:w="1383"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领花</w:t>
            </w:r>
          </w:p>
        </w:tc>
        <w:tc>
          <w:tcPr>
            <w:tcW w:w="774"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个</w:t>
            </w:r>
          </w:p>
        </w:tc>
        <w:tc>
          <w:tcPr>
            <w:tcW w:w="1618" w:type="dxa"/>
            <w:vAlign w:val="center"/>
          </w:tcPr>
          <w:p>
            <w:pPr>
              <w:jc w:val="center"/>
              <w:rPr>
                <w:rFonts w:hint="default"/>
                <w:color w:val="auto"/>
                <w:sz w:val="28"/>
                <w:szCs w:val="36"/>
                <w:highlight w:val="none"/>
                <w:lang w:val="en-US" w:eastAsia="zh-CN"/>
              </w:rPr>
            </w:pPr>
            <w:r>
              <w:rPr>
                <w:rFonts w:hint="eastAsia"/>
                <w:color w:val="auto"/>
                <w:sz w:val="28"/>
                <w:szCs w:val="36"/>
                <w:highlight w:val="none"/>
                <w:lang w:val="en-US" w:eastAsia="zh-CN"/>
              </w:rPr>
              <w:t>/</w:t>
            </w:r>
          </w:p>
        </w:tc>
        <w:tc>
          <w:tcPr>
            <w:tcW w:w="819" w:type="pct"/>
            <w:vAlign w:val="center"/>
          </w:tcPr>
          <w:p>
            <w:pPr>
              <w:jc w:val="center"/>
              <w:rPr>
                <w:rFonts w:hint="eastAsia"/>
                <w:color w:val="auto"/>
                <w:sz w:val="28"/>
                <w:szCs w:val="36"/>
                <w:highlight w:val="none"/>
                <w:lang w:val="en-US" w:eastAsia="zh-CN"/>
              </w:rPr>
            </w:pPr>
            <w:r>
              <w:rPr>
                <w:rFonts w:hint="eastAsia"/>
                <w:color w:val="auto"/>
                <w:sz w:val="28"/>
                <w:szCs w:val="36"/>
                <w:highlight w:val="none"/>
                <w:lang w:val="en-US" w:eastAsia="zh-CN"/>
              </w:rPr>
              <w:t xml:space="preserve">5.00 </w:t>
            </w:r>
          </w:p>
        </w:tc>
        <w:tc>
          <w:tcPr>
            <w:tcW w:w="648" w:type="pct"/>
            <w:vAlign w:val="center"/>
          </w:tcPr>
          <w:p>
            <w:pPr>
              <w:jc w:val="center"/>
              <w:rPr>
                <w:rFonts w:hint="eastAsia" w:asciiTheme="minorEastAsia" w:hAnsiTheme="minorEastAsia" w:eastAsiaTheme="minorEastAsia" w:cstheme="minorEastAsia"/>
                <w:sz w:val="28"/>
                <w:szCs w:val="28"/>
                <w:lang w:eastAsia="zh-CN"/>
              </w:rPr>
            </w:pPr>
          </w:p>
        </w:tc>
      </w:tr>
    </w:tbl>
    <w:p>
      <w:pPr>
        <w:spacing w:line="360" w:lineRule="auto"/>
        <w:ind w:firstLine="562" w:firstLineChars="200"/>
        <w:rPr>
          <w:rFonts w:hint="eastAsia" w:ascii="宋体" w:hAnsi="宋体"/>
          <w:b/>
          <w:sz w:val="28"/>
          <w:szCs w:val="28"/>
        </w:rPr>
      </w:pPr>
    </w:p>
    <w:p>
      <w:pPr>
        <w:numPr>
          <w:ilvl w:val="0"/>
          <w:numId w:val="2"/>
        </w:numPr>
        <w:ind w:firstLine="562" w:firstLineChars="200"/>
        <w:rPr>
          <w:rFonts w:hint="eastAsia" w:ascii="宋体" w:hAnsi="宋体" w:cs="Times New Roman"/>
          <w:b/>
          <w:sz w:val="28"/>
          <w:szCs w:val="28"/>
          <w:lang w:eastAsia="zh-CN"/>
        </w:rPr>
      </w:pPr>
      <w:r>
        <w:rPr>
          <w:rFonts w:hint="eastAsia" w:ascii="宋体" w:hAnsi="宋体" w:eastAsia="宋体" w:cs="Times New Roman"/>
          <w:b/>
          <w:sz w:val="28"/>
          <w:szCs w:val="28"/>
        </w:rPr>
        <w:t>货物需</w:t>
      </w:r>
      <w:r>
        <w:rPr>
          <w:rFonts w:hint="eastAsia" w:ascii="宋体" w:hAnsi="宋体" w:cs="Times New Roman"/>
          <w:b/>
          <w:sz w:val="28"/>
          <w:szCs w:val="28"/>
          <w:lang w:eastAsia="zh-CN"/>
        </w:rPr>
        <w:t>求</w:t>
      </w:r>
    </w:p>
    <w:p>
      <w:pPr>
        <w:pStyle w:val="2"/>
        <w:widowControl w:val="0"/>
        <w:numPr>
          <w:ilvl w:val="0"/>
          <w:numId w:val="0"/>
        </w:numPr>
        <w:spacing w:after="120"/>
        <w:jc w:val="both"/>
        <w:rPr>
          <w:rFonts w:hint="eastAsia"/>
          <w:lang w:eastAsia="zh-CN"/>
        </w:rPr>
      </w:pPr>
    </w:p>
    <w:tbl>
      <w:tblPr>
        <w:tblStyle w:val="8"/>
        <w:tblW w:w="49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1389"/>
        <w:gridCol w:w="862"/>
        <w:gridCol w:w="6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484" w:type="pct"/>
            <w:vAlign w:val="center"/>
          </w:tcPr>
          <w:p>
            <w:pPr>
              <w:spacing w:before="156" w:after="156" w:line="360" w:lineRule="auto"/>
              <w:jc w:val="center"/>
              <w:rPr>
                <w:rFonts w:ascii="宋体" w:hAnsi="宋体"/>
                <w:b/>
                <w:sz w:val="24"/>
                <w:szCs w:val="24"/>
              </w:rPr>
            </w:pPr>
            <w:r>
              <w:rPr>
                <w:rFonts w:hint="eastAsia" w:ascii="宋体" w:hAnsi="宋体"/>
                <w:b/>
                <w:sz w:val="24"/>
                <w:szCs w:val="24"/>
              </w:rPr>
              <w:t>序号</w:t>
            </w:r>
          </w:p>
        </w:tc>
        <w:tc>
          <w:tcPr>
            <w:tcW w:w="757" w:type="pct"/>
            <w:vAlign w:val="center"/>
          </w:tcPr>
          <w:p>
            <w:pPr>
              <w:spacing w:before="156" w:after="156" w:line="360" w:lineRule="auto"/>
              <w:jc w:val="center"/>
              <w:rPr>
                <w:rFonts w:ascii="宋体" w:hAnsi="宋体"/>
                <w:b/>
                <w:sz w:val="24"/>
                <w:szCs w:val="24"/>
              </w:rPr>
            </w:pPr>
            <w:r>
              <w:rPr>
                <w:rFonts w:hint="eastAsia" w:ascii="宋体" w:hAnsi="宋体"/>
                <w:b/>
                <w:sz w:val="24"/>
                <w:szCs w:val="24"/>
              </w:rPr>
              <w:t>货物名称</w:t>
            </w:r>
          </w:p>
        </w:tc>
        <w:tc>
          <w:tcPr>
            <w:tcW w:w="469" w:type="pct"/>
            <w:vAlign w:val="center"/>
          </w:tcPr>
          <w:p>
            <w:pPr>
              <w:spacing w:before="156" w:after="156" w:line="360" w:lineRule="auto"/>
              <w:jc w:val="center"/>
              <w:rPr>
                <w:rFonts w:ascii="宋体" w:hAnsi="宋体"/>
                <w:b/>
                <w:sz w:val="24"/>
                <w:szCs w:val="24"/>
              </w:rPr>
            </w:pPr>
            <w:r>
              <w:rPr>
                <w:rFonts w:hint="eastAsia" w:ascii="宋体" w:hAnsi="宋体"/>
                <w:b/>
                <w:sz w:val="24"/>
                <w:szCs w:val="24"/>
              </w:rPr>
              <w:t>单位</w:t>
            </w:r>
          </w:p>
        </w:tc>
        <w:tc>
          <w:tcPr>
            <w:tcW w:w="3288" w:type="pct"/>
            <w:vAlign w:val="center"/>
          </w:tcPr>
          <w:p>
            <w:pPr>
              <w:spacing w:before="156" w:after="156" w:line="360" w:lineRule="auto"/>
              <w:jc w:val="center"/>
              <w:rPr>
                <w:rFonts w:hint="eastAsia" w:ascii="宋体" w:hAnsi="宋体" w:eastAsia="宋体"/>
                <w:b/>
                <w:sz w:val="24"/>
                <w:szCs w:val="24"/>
                <w:lang w:eastAsia="zh-CN"/>
              </w:rPr>
            </w:pPr>
            <w:r>
              <w:rPr>
                <w:rFonts w:hint="eastAsia" w:ascii="宋体" w:hAnsi="宋体"/>
                <w:b/>
                <w:sz w:val="24"/>
                <w:szCs w:val="24"/>
                <w:lang w:eastAsia="zh-CN"/>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大檐帽</w:t>
            </w:r>
          </w:p>
        </w:tc>
        <w:tc>
          <w:tcPr>
            <w:tcW w:w="469"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顶</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1、材料、生产和检验执行 《GA 317-2010》标准技术标准生产；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2、面料：精梳毛涤混纺单面哔叽 。颜色为蓝色； </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3、技术参数：毛 70%，涤 26%（含导电纤维），氨纶 4%，Nm80/2×Nm80/2；</w:t>
            </w:r>
            <w:r>
              <w:rPr>
                <w:rFonts w:hint="eastAsia"/>
                <w:color w:val="auto"/>
                <w:sz w:val="24"/>
                <w:szCs w:val="24"/>
                <w:highlight w:val="none"/>
                <w:lang w:val="en-US" w:eastAsia="zh-CN"/>
              </w:rPr>
              <w:br w:type="textWrapping"/>
            </w:r>
            <w:r>
              <w:rPr>
                <w:rFonts w:hint="eastAsia" w:ascii="宋体" w:hAnsi="宋体" w:eastAsia="宋体" w:cs="宋体"/>
                <w:i w:val="0"/>
                <w:color w:val="000000"/>
                <w:kern w:val="0"/>
                <w:sz w:val="22"/>
                <w:szCs w:val="22"/>
                <w:u w:val="none"/>
                <w:lang w:val="en-US" w:eastAsia="zh-CN" w:bidi="ar"/>
              </w:rPr>
              <w:t>★</w:t>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9"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2</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女布帽</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顶</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1、材料、生产和检验执行 《GA 319-2010》标准技术标准生产；                                                                                2、面料：精梳毛涤混纺单面哔叽，颜色为蓝色。</w:t>
            </w:r>
            <w:r>
              <w:rPr>
                <w:rFonts w:hint="eastAsia"/>
                <w:color w:val="auto"/>
                <w:sz w:val="24"/>
                <w:szCs w:val="24"/>
                <w:highlight w:val="none"/>
                <w:lang w:val="en-US" w:eastAsia="zh-CN"/>
              </w:rPr>
              <w:br w:type="textWrapping"/>
            </w:r>
            <w:r>
              <w:rPr>
                <w:rFonts w:hint="eastAsia" w:ascii="宋体" w:hAnsi="宋体" w:eastAsia="宋体" w:cs="宋体"/>
                <w:i w:val="0"/>
                <w:color w:val="000000"/>
                <w:kern w:val="0"/>
                <w:sz w:val="22"/>
                <w:szCs w:val="22"/>
                <w:u w:val="none"/>
                <w:lang w:val="en-US" w:eastAsia="zh-CN" w:bidi="ar"/>
              </w:rPr>
              <w:t>★</w:t>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6"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3</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警便帽</w:t>
            </w:r>
          </w:p>
        </w:tc>
        <w:tc>
          <w:tcPr>
            <w:tcW w:w="469"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顶</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1、按照 《GA 322-2010 警帽 便帽》标准生产；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2、面料：单面哔叽；</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3、技术参数：毛 70%，涤 26%（含导电纤维），氨纶 4%，Nm80/2×Nm80/2 。</w:t>
            </w:r>
            <w:r>
              <w:rPr>
                <w:rFonts w:hint="eastAsia"/>
                <w:color w:val="auto"/>
                <w:sz w:val="24"/>
                <w:szCs w:val="24"/>
                <w:highlight w:val="none"/>
                <w:lang w:val="en-US" w:eastAsia="zh-CN"/>
              </w:rPr>
              <w:br w:type="textWrapping"/>
            </w:r>
            <w:r>
              <w:rPr>
                <w:rFonts w:hint="eastAsia" w:ascii="宋体" w:hAnsi="宋体" w:eastAsia="宋体" w:cs="宋体"/>
                <w:i w:val="0"/>
                <w:color w:val="000000"/>
                <w:kern w:val="0"/>
                <w:sz w:val="22"/>
                <w:szCs w:val="22"/>
                <w:u w:val="none"/>
                <w:lang w:val="en-US" w:eastAsia="zh-CN" w:bidi="ar"/>
              </w:rPr>
              <w:t>★</w:t>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4</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夏执勤服</w:t>
            </w:r>
          </w:p>
        </w:tc>
        <w:tc>
          <w:tcPr>
            <w:tcW w:w="469"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件</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1、执行标准：按照《中国人民警察服装技术标准汇编》、《GA568-2009警服夏执勤服》的技术标准生产；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2、颜色为浅蓝色，以涤纶异形丝为经纱(线密度：250dtex)，涤纶异形丝包缠棉为纬纱(线密度：250dtex) 的平纹织物，经沙涤100%，纬纱涤80%，棉含量为20%； </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注：提供符合《国家纺织产品基本安全技术规范》（GB 18401-2010）B 类的省级及以上具有CMA资质的权威机构出具的检验报告扫描件或影印件。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1"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5</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作训服</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套</w:t>
            </w:r>
          </w:p>
        </w:tc>
        <w:tc>
          <w:tcPr>
            <w:tcW w:w="3288" w:type="pct"/>
            <w:vAlign w:val="center"/>
          </w:tcPr>
          <w:p>
            <w:pPr>
              <w:numPr>
                <w:ilvl w:val="0"/>
                <w:numId w:val="0"/>
              </w:num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技术标准：按照《中国人民警察服装技术标准汇编》、《GA466-2009警服作训服》的技术标准生产；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2、面料：精梳涤棉（65/35）混纺格子布，（13tex×2）×28tex,平方米重量：185g/㎡；密度：433×208 根/10cm，平纹提花组织。颜色：藏青色；</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注：提供符合 《国家纺织产品基本安全技术规范》（GB18401-2010）C 类的省级及以上具有CMA资质的权威机构出具的检验报告扫描件或影印件。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2"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6</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春秋常服</w:t>
            </w:r>
          </w:p>
        </w:tc>
        <w:tc>
          <w:tcPr>
            <w:tcW w:w="469"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套</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1、执行标准：按照《中国人民警察服装技术标准汇编》GA261-2009，GA262-2009的技术标准生产；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2、颜色为藏青色，毛涤单面哔叽；</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3、技术参数：70%毛，26%涤纶，4%氨纶，里料：100%涤纶；</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注：提供符合 《国家纺织产品基本安全技术规范》（GB18401-2010）C类的省级及以上具有CMA资质的权威机构出具的检验报告扫描件或影印件。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7"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7</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春秋执勤服</w:t>
            </w:r>
          </w:p>
        </w:tc>
        <w:tc>
          <w:tcPr>
            <w:tcW w:w="469"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套</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1、执行标准：按照《中国人民警察服装技术标准汇编》GA563-2009的技术标准生产；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2、技术参数：颜色藏青色，精梳毛涤单面哔叽； </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3、70%毛，26%涤纶，4%氨纶，里料：100%涤纶； </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注：提供符合 《国家纺织产品基本安全技术规范》（GB18401-2010）C 类的省级及以上具有CMA资质的权威机构出具的检验报告扫描件或影印件。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4"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8</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冬常服</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套</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1、执行标准：按照《中国人民警察服装技术标准汇编》GA261-2009，GA262-2009技术标准生产；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2、颜色为藏青色，毛涤缎背哔叽；</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3、技术参数：70%毛，26%涤纶，4%氨纶，里料：100%涤纶。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9"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9</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冬执勤服</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套</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1、执行标准：按照《中国人民警察服装技术标准汇编》GA565-2009的技术标准生产；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2、技术参数颜色：藏蓝色 精梳毛涤混纺缎背哔叽； </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3、面料 70%羊毛，26%涤纶（含导电纤维）4%氨纶，里料：100%涤纶；                                           </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注：提供符合《国家纺织产品基本安全技术规范》（GB18401-2010）C 类的省级及以上具有CMA资质的权威机构出具的检验报告扫描件或影印件。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4"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10</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多功能服上衣</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件</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1、技术标准：参考 《GA260-2009 警服 多功能服》标准；</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2、公安藏青色，面料：防水透湿复合布，幅宽≥144CM，断裂强力：径向≥900；纬向≥750，撕破强力：径向≥60；纬向≥50，单位面积质量 210±10 g/㎡；  </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3、透湿量≥ 4700g/m .d ，  粘附强度≥5N/cm，耐磨性能≥400 无破损，表面抗湿性： 初始≥4 级； 5 次水洗后≥2 级，电荷面密度：初始≤3.0μC/m2；  </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4、洗涤 50 次后≤5.0μC/m2，耐低温冲击：-40℃不脆裂， PH 值： 4.0-7.5, 甲醛含量≤200mg/kg，无异味，耐光色牢度 5-6 级； </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5、内胆：超细纤维絮片，正身150g/㎡，袖120g/㎡，活动毛领。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9"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11</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夏单裤</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条</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1、执行标准：按照《中国人民警察服装技术标准汇编》GA258-2009的技术标准生产；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2、技术参数：精梳毛涤素花呢，颜色为藏蓝色，羊毛50%，涤纶 50%（含导电纤维）；质量153g/㎡，幅宽149cm</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注：提供符合《国家纺织产品基本安全技术规范》（GB18401-2010）B 类的省级及以上具有CMA资质的权威机构出具的检验报告扫描件或影印件。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6"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12</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内衬衣</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件</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1、执行标准：按照《中国人民警察服装技术标准汇编》、《GA254-2009警服 衬衣》的技术标准生产；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2、技术参数：精梳棉涤混纺染色斜纹布，规格：5.9tex×2/5.9tex ×2（100*/2×100*/2）。棉60%，涤40%，颜色为浅蓝色，</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注：提供符合《国家纺织产品基本安全技术规范》（GB18401-2010）B类的省级及以上具有CMA资质的权威机构出具的检验报告扫描件或影印件。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13</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长袖制式衬衣</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件</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1、执行标准：按照《中国人民警察服装技术标准汇编》、《GA 255-2009 警服长袖制式衬衣》的技术标准生产；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2、颜色为浅蓝色，以涤纶异形丝为经纱(线密度：250dtex)， 涤纶异形丝包缠棉为纬纱(线密度：250dtex)的平纹织物； </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3、技术参数：经沙涤100%，纬纱涤80%，棉含量为 20%；</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注：提供符合《国家纺织产品基本安全技术规范》（GB18401-2010）B 类的省级及以上具有CMA资质的权威机构出具的检验报告扫描件或影印件。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3"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14</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内腰带</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条</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 xml:space="preserve">1、技术标准：《GA 290-2001警用服饰 内腰带》； </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2、材料规格：钎子为锌合金，ZZNID4-3A；带体为黑色贴膜皮革 （二型），缝纫线为黑色涤纶缝纫线；</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15</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作训鞋</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双</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1、材料、生产和检验参考 GA316-2001 标准；</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2、特种帆布和特种橡胶制成，粘合强度为 33.9N/cm，大底胶拉伸强度为 6.9Mpa.鞋底采用橡胶硫化底，含胶量 75%，抓地性能强， 超强耐磨。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6"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16</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棉短袖T恤衫</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件</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1、技术标准参考GB/T7573-2009,GB/T2912.1-2009,GB/T3920-2008，GB/T3921-2008、GB/T14576-2009标准；</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2、面料规格：纤维含量棉100（经丝光处理），8.3tex(70s)纯棉，平方米干燥重量（g/m²） 150±8；顶破强力≥500N；</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1" w:hRule="atLeas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17</w:t>
            </w:r>
          </w:p>
        </w:tc>
        <w:tc>
          <w:tcPr>
            <w:tcW w:w="757" w:type="pct"/>
            <w:vAlign w:val="center"/>
          </w:tcPr>
          <w:p>
            <w:pPr>
              <w:spacing w:line="360" w:lineRule="auto"/>
              <w:jc w:val="center"/>
              <w:rPr>
                <w:rFonts w:hint="eastAsia"/>
                <w:color w:val="auto"/>
                <w:sz w:val="24"/>
                <w:szCs w:val="24"/>
                <w:highlight w:val="none"/>
                <w:lang w:eastAsia="zh-CN"/>
              </w:rPr>
            </w:pPr>
            <w:r>
              <w:rPr>
                <w:rFonts w:hint="eastAsia"/>
                <w:color w:val="auto"/>
                <w:sz w:val="24"/>
                <w:szCs w:val="24"/>
                <w:highlight w:val="none"/>
                <w:lang w:val="en-US" w:eastAsia="zh-CN"/>
              </w:rPr>
              <w:t>V领羊毛衫</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件</w:t>
            </w:r>
          </w:p>
        </w:tc>
        <w:tc>
          <w:tcPr>
            <w:tcW w:w="3288" w:type="pct"/>
            <w:vAlign w:val="center"/>
          </w:tcPr>
          <w:p>
            <w:p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1、技术标准：GA763—2008《警服 V领半高领毛针织套服》中半高领毛针织套服中上衣的标准；</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2、主要原材料：精梳毛丝光针织绒线210dtex×2（48N·m×2),羊毛含量100%；</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5000" w:type="pct"/>
            <w:gridSpan w:val="4"/>
            <w:vAlign w:val="center"/>
          </w:tcPr>
          <w:p>
            <w:pPr>
              <w:spacing w:line="360" w:lineRule="auto"/>
              <w:jc w:val="left"/>
              <w:rPr>
                <w:rFonts w:hint="eastAsia"/>
                <w:color w:val="auto"/>
                <w:sz w:val="24"/>
                <w:szCs w:val="24"/>
                <w:highlight w:val="none"/>
                <w:lang w:val="en-US" w:eastAsia="zh-CN"/>
              </w:rPr>
            </w:pPr>
            <w:r>
              <w:rPr>
                <w:rFonts w:hint="eastAsia"/>
                <w:b/>
                <w:bCs/>
                <w:color w:val="auto"/>
                <w:sz w:val="24"/>
                <w:szCs w:val="24"/>
                <w:highlight w:val="none"/>
                <w:lang w:val="en-US" w:eastAsia="zh-CN"/>
              </w:rPr>
              <w:t>二、特警辅警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1" w:hRule="exact"/>
          <w:jc w:val="center"/>
        </w:trPr>
        <w:tc>
          <w:tcPr>
            <w:tcW w:w="484" w:type="pct"/>
            <w:vAlign w:val="center"/>
          </w:tcPr>
          <w:p>
            <w:pPr>
              <w:spacing w:line="360" w:lineRule="auto"/>
              <w:jc w:val="center"/>
              <w:rPr>
                <w:rFonts w:hint="default"/>
                <w:color w:val="auto"/>
                <w:sz w:val="24"/>
                <w:szCs w:val="24"/>
                <w:highlight w:val="none"/>
                <w:lang w:val="en-US" w:eastAsia="zh-CN"/>
              </w:rPr>
            </w:pPr>
            <w:r>
              <w:rPr>
                <w:rFonts w:hint="eastAsia"/>
                <w:color w:val="auto"/>
                <w:sz w:val="24"/>
                <w:szCs w:val="24"/>
                <w:highlight w:val="none"/>
                <w:lang w:val="en-US" w:eastAsia="zh-CN"/>
              </w:rPr>
              <w:t>1</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春秋战训服</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套</w:t>
            </w:r>
          </w:p>
        </w:tc>
        <w:tc>
          <w:tcPr>
            <w:tcW w:w="3288" w:type="pct"/>
            <w:vAlign w:val="center"/>
          </w:tcPr>
          <w:p>
            <w:pPr>
              <w:numPr>
                <w:ilvl w:val="0"/>
                <w:numId w:val="0"/>
              </w:num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执行标准：《警服  特警春秋战训服》；                                                                                        2、主要原材料：精梳棉涤混纺染色格子布；                                                                                           3、规格：涤 65%棉 35%   （13tex×2）×28tex；</w:t>
            </w:r>
          </w:p>
          <w:p>
            <w:pPr>
              <w:numPr>
                <w:ilvl w:val="0"/>
                <w:numId w:val="0"/>
              </w:num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4、密度：433×208 根/10cm，质量185g/m2。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exact"/>
          <w:jc w:val="center"/>
        </w:trPr>
        <w:tc>
          <w:tcPr>
            <w:tcW w:w="484" w:type="pct"/>
            <w:vAlign w:val="center"/>
          </w:tcPr>
          <w:p>
            <w:pPr>
              <w:spacing w:line="360" w:lineRule="auto"/>
              <w:jc w:val="center"/>
              <w:rPr>
                <w:rFonts w:hint="default"/>
                <w:color w:val="auto"/>
                <w:sz w:val="24"/>
                <w:szCs w:val="24"/>
                <w:highlight w:val="none"/>
                <w:lang w:val="en-US" w:eastAsia="zh-CN"/>
              </w:rPr>
            </w:pPr>
            <w:r>
              <w:rPr>
                <w:rFonts w:hint="eastAsia"/>
                <w:color w:val="auto"/>
                <w:sz w:val="24"/>
                <w:szCs w:val="24"/>
                <w:highlight w:val="none"/>
                <w:lang w:val="en-US" w:eastAsia="zh-CN"/>
              </w:rPr>
              <w:t>2</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夏长袖战训服</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套</w:t>
            </w:r>
          </w:p>
        </w:tc>
        <w:tc>
          <w:tcPr>
            <w:tcW w:w="3288" w:type="pct"/>
            <w:vAlign w:val="center"/>
          </w:tcPr>
          <w:p>
            <w:pPr>
              <w:numPr>
                <w:ilvl w:val="0"/>
                <w:numId w:val="3"/>
              </w:num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 xml:space="preserve">执行标准：《警服 特警夏战训服》；                                                                                               2、主要原材料：精梳棉涤混纺染色格子布 ；                                                                                           3、规格：涤 65%棉 35%    （13tex×2）×28tex； </w:t>
            </w:r>
          </w:p>
          <w:p>
            <w:pPr>
              <w:numPr>
                <w:ilvl w:val="0"/>
                <w:numId w:val="0"/>
              </w:num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4、密度：433×208 根/10cm，质量185g/m2。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8" w:hRule="exact"/>
          <w:jc w:val="center"/>
        </w:trPr>
        <w:tc>
          <w:tcPr>
            <w:tcW w:w="484" w:type="pct"/>
            <w:vAlign w:val="center"/>
          </w:tcPr>
          <w:p>
            <w:pPr>
              <w:spacing w:line="360" w:lineRule="auto"/>
              <w:jc w:val="center"/>
              <w:rPr>
                <w:rFonts w:hint="default"/>
                <w:color w:val="auto"/>
                <w:sz w:val="24"/>
                <w:szCs w:val="24"/>
                <w:highlight w:val="none"/>
                <w:lang w:val="en-US" w:eastAsia="zh-CN"/>
              </w:rPr>
            </w:pPr>
            <w:r>
              <w:rPr>
                <w:rFonts w:hint="eastAsia"/>
                <w:color w:val="auto"/>
                <w:sz w:val="24"/>
                <w:szCs w:val="24"/>
                <w:highlight w:val="none"/>
                <w:lang w:val="en-US" w:eastAsia="zh-CN"/>
              </w:rPr>
              <w:t>3</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夏短袖战训服</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套</w:t>
            </w:r>
          </w:p>
        </w:tc>
        <w:tc>
          <w:tcPr>
            <w:tcW w:w="3288" w:type="pct"/>
            <w:vAlign w:val="center"/>
          </w:tcPr>
          <w:p>
            <w:pPr>
              <w:numPr>
                <w:ilvl w:val="0"/>
                <w:numId w:val="4"/>
              </w:num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 xml:space="preserve">执行标准：《警服 特警夏战训服》；                                                                                           2、主要原材料：精梳棉涤混纺染色格子布 ；                                                                                           3、规格：涤 65%棉 35%    （13tex×2）×28tex； </w:t>
            </w:r>
          </w:p>
          <w:p>
            <w:pPr>
              <w:numPr>
                <w:ilvl w:val="0"/>
                <w:numId w:val="0"/>
              </w:num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4、密度：433×208 根/10cm，质量185g/m2。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1" w:hRule="exact"/>
          <w:jc w:val="center"/>
        </w:trPr>
        <w:tc>
          <w:tcPr>
            <w:tcW w:w="484" w:type="pct"/>
            <w:vAlign w:val="center"/>
          </w:tcPr>
          <w:p>
            <w:pPr>
              <w:spacing w:line="360" w:lineRule="auto"/>
              <w:jc w:val="center"/>
              <w:rPr>
                <w:rFonts w:hint="default"/>
                <w:color w:val="auto"/>
                <w:sz w:val="24"/>
                <w:szCs w:val="24"/>
                <w:highlight w:val="none"/>
                <w:lang w:val="en-US" w:eastAsia="zh-CN"/>
              </w:rPr>
            </w:pPr>
            <w:r>
              <w:rPr>
                <w:rFonts w:hint="eastAsia"/>
                <w:color w:val="auto"/>
                <w:sz w:val="24"/>
                <w:szCs w:val="24"/>
                <w:highlight w:val="none"/>
                <w:lang w:val="en-US" w:eastAsia="zh-CN"/>
              </w:rPr>
              <w:t>4</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冬战训服</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套</w:t>
            </w:r>
          </w:p>
        </w:tc>
        <w:tc>
          <w:tcPr>
            <w:tcW w:w="3288" w:type="pct"/>
            <w:vAlign w:val="center"/>
          </w:tcPr>
          <w:p>
            <w:pPr>
              <w:numPr>
                <w:ilvl w:val="0"/>
                <w:numId w:val="5"/>
              </w:num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 xml:space="preserve">执行标准：《警服  特警冬战训服》；                                                                                             2、主要原材料：精梳棉涤混纺染色加厚格子布涤；                                                                                      3、规格： 65%棉 35%      （18tex×2）×36tex； </w:t>
            </w:r>
          </w:p>
          <w:p>
            <w:pPr>
              <w:numPr>
                <w:ilvl w:val="0"/>
                <w:numId w:val="0"/>
              </w:num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4、密度：433×181 根/10cm，质量256g/m2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exact"/>
          <w:jc w:val="center"/>
        </w:trPr>
        <w:tc>
          <w:tcPr>
            <w:tcW w:w="484" w:type="pct"/>
            <w:vAlign w:val="center"/>
          </w:tcPr>
          <w:p>
            <w:pPr>
              <w:spacing w:line="360" w:lineRule="auto"/>
              <w:jc w:val="center"/>
              <w:rPr>
                <w:rFonts w:hint="default"/>
                <w:color w:val="auto"/>
                <w:sz w:val="24"/>
                <w:szCs w:val="24"/>
                <w:highlight w:val="none"/>
                <w:lang w:val="en-US" w:eastAsia="zh-CN"/>
              </w:rPr>
            </w:pPr>
            <w:r>
              <w:rPr>
                <w:rFonts w:hint="eastAsia"/>
                <w:color w:val="auto"/>
                <w:sz w:val="24"/>
                <w:szCs w:val="24"/>
                <w:highlight w:val="none"/>
                <w:lang w:val="en-US" w:eastAsia="zh-CN"/>
              </w:rPr>
              <w:t>5</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冬战训棉服</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套</w:t>
            </w:r>
          </w:p>
        </w:tc>
        <w:tc>
          <w:tcPr>
            <w:tcW w:w="3288" w:type="pct"/>
            <w:vAlign w:val="center"/>
          </w:tcPr>
          <w:p>
            <w:pPr>
              <w:numPr>
                <w:ilvl w:val="0"/>
                <w:numId w:val="6"/>
              </w:num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 xml:space="preserve">执行标准：《警服  特警战训多功能棉服》                                                                                       2、主要原材料：精梳棉涤混纺染色加厚格子布涤；                                                                                  3、规格： 65%棉 35%      （18tex×2）×36tex； </w:t>
            </w:r>
          </w:p>
          <w:p>
            <w:pPr>
              <w:numPr>
                <w:ilvl w:val="0"/>
                <w:numId w:val="0"/>
              </w:num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4、密度：433×181 根/10cm，质量256g/m2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2" w:hRule="exact"/>
          <w:jc w:val="center"/>
        </w:trPr>
        <w:tc>
          <w:tcPr>
            <w:tcW w:w="484" w:type="pct"/>
            <w:vAlign w:val="center"/>
          </w:tcPr>
          <w:p>
            <w:pPr>
              <w:spacing w:line="360" w:lineRule="auto"/>
              <w:jc w:val="center"/>
              <w:rPr>
                <w:rFonts w:hint="default"/>
                <w:color w:val="auto"/>
                <w:sz w:val="24"/>
                <w:szCs w:val="24"/>
                <w:highlight w:val="none"/>
                <w:lang w:val="en-US" w:eastAsia="zh-CN"/>
              </w:rPr>
            </w:pPr>
            <w:r>
              <w:rPr>
                <w:rFonts w:hint="eastAsia"/>
                <w:color w:val="auto"/>
                <w:sz w:val="24"/>
                <w:szCs w:val="24"/>
                <w:highlight w:val="none"/>
                <w:lang w:val="en-US" w:eastAsia="zh-CN"/>
              </w:rPr>
              <w:t>6</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战训帽</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顶</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 xml:space="preserve">1、面料采用棉涤混纺，65%精束棉，35%涤纶；                                                                            2、功能：耐磨、防尘、防静电、抗撕拉、抗褪色等；                                                                        3、帽上警徽采用EVA材质，增强立体感；                                                                                           </w:t>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exac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7</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战训腰带</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条</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 xml:space="preserve">按照《公安特警战训服系列品种技术标准》执行；                                                                                 </w:t>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3" w:hRule="exac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8</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冬战训靴</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双</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1、材质：鞋面采用皮布结合结构，由铬鞣黄牛皮,铬鞣黄牛软面革和尼龙长丝防水布组成。前帮为涤/棉混纺布，后帮为三层复合布。内底为涤长丝织物复合防穿刺层。鞋底采用PU/橡胶双密度连帮注射结构。</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2、耐折性：折后无裂纹,无裂面，无开胶等现象；</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3、外底耐磨性：鞋跟≤7.0mm，腰窝≤8.0mm；</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4、外底剥离强度：≥120N/cm，外底硬度：55 ±5度。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8" w:hRule="exac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9</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夏战训靴</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双</w:t>
            </w:r>
          </w:p>
        </w:tc>
        <w:tc>
          <w:tcPr>
            <w:tcW w:w="3288" w:type="pct"/>
            <w:vAlign w:val="center"/>
          </w:tcPr>
          <w:p>
            <w:pPr>
              <w:numPr>
                <w:ilvl w:val="0"/>
                <w:numId w:val="7"/>
              </w:numPr>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材质：黑色，帆布，高帮，全方位立体透气。鞋底由天然橡胶材料制成。防滑耐磨，轻便透气。</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2、鞋面由涤纶复合帆布,高密度纤维合成革和立体网眼经遍布组合而成；鞋垫为涤长丝纬遍布与抗菌性聚氨酯高密度发泡层热压复合而成；鞋底为EVA/橡胶双密度复合结构，外底和鞋帮的结合采用粘胶工艺。</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3、耐折性：折后无裂纹,无裂面，无开胶等现象；3外底耐磨性：鞋跟≤7.0mm，腰窝≤8.0mm；</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4、外底剥离强度：≥120N/cm，</w:t>
            </w:r>
          </w:p>
          <w:p>
            <w:pPr>
              <w:numPr>
                <w:ilvl w:val="0"/>
                <w:numId w:val="0"/>
              </w:num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外底硬度：55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7" w:hRule="exac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10</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雨衣</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套</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 xml:space="preserve">1、执行标准：《中国人民警察服装技术标准汇编》GA392-2009；                                                                      2、聚氨酯湿法涂层雨衣布，良好的防水透湿性能；  </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 xml:space="preserve">3、复合材料的防水透气层为环保 PU(或 PTFE)材料； </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4、复合的面层材料为涤纶面料，单位面积质量≤165g/㎡，幅宽≥144cm。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2" w:hRule="exac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11</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雨鞋</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双</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1、采用 pvc 面料，以及橡胶牛筋底；</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2、鞋内采用易干化纤内里，从而使雨靴更加舒适，美观，大方；                                                                     3、脚前部分使用了钢板，到了防砸防刺穿的效果。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3" w:hRule="exac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12</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领带</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条</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1、执行标准：按照公安部 《GA 282-2009 警用服饰领带》的技术标准生产，技术参数：颜色为藏蓝色。配有隐形的警徽标志，采用一拉得设计；</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exac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13</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领带夹</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个</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1、执行标准：按照公安部《GA 283-2001 警用服饰领带夹》的技术标准生产；</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2、技术参数：金属，不锈钢原料制作，配有彩色警徽。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exac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14</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金属胸徽</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个</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执行标准：按照公安部《GA272-2001警用服饰胸徽》。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exac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15</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金属警号</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个</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执行标准：按照公安部《GA 276-2001警用服饰金属警号》。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exac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16</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丝织警号</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个</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执行标准：按照公安部《GA675-2007警用服饰丝织警号》；</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3" w:hRule="exact"/>
          <w:jc w:val="center"/>
        </w:trPr>
        <w:tc>
          <w:tcPr>
            <w:tcW w:w="484"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17</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丝织胸徽</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个</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执行标准：按照公安部《GA674-2007警用服饰丝织胸徽》；</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3" w:hRule="exact"/>
          <w:jc w:val="center"/>
        </w:trPr>
        <w:tc>
          <w:tcPr>
            <w:tcW w:w="484" w:type="pct"/>
            <w:vAlign w:val="center"/>
          </w:tcPr>
          <w:p>
            <w:pPr>
              <w:spacing w:line="360" w:lineRule="auto"/>
              <w:jc w:val="center"/>
              <w:rPr>
                <w:rFonts w:hint="default"/>
                <w:color w:val="auto"/>
                <w:sz w:val="24"/>
                <w:szCs w:val="24"/>
                <w:highlight w:val="none"/>
                <w:lang w:val="en-US" w:eastAsia="zh-CN"/>
              </w:rPr>
            </w:pPr>
            <w:r>
              <w:rPr>
                <w:rFonts w:hint="eastAsia"/>
                <w:color w:val="auto"/>
                <w:sz w:val="24"/>
                <w:szCs w:val="24"/>
                <w:highlight w:val="none"/>
                <w:lang w:val="en-US" w:eastAsia="zh-CN"/>
              </w:rPr>
              <w:t>18</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金属肩章</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副</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执行标准：按照公安部《GA 1409-2017警用服饰硬式肩章》；</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exact"/>
          <w:jc w:val="center"/>
        </w:trPr>
        <w:tc>
          <w:tcPr>
            <w:tcW w:w="484" w:type="pct"/>
            <w:vAlign w:val="center"/>
          </w:tcPr>
          <w:p>
            <w:pPr>
              <w:spacing w:line="360" w:lineRule="auto"/>
              <w:jc w:val="center"/>
              <w:rPr>
                <w:rFonts w:hint="default"/>
                <w:color w:val="auto"/>
                <w:sz w:val="24"/>
                <w:szCs w:val="24"/>
                <w:highlight w:val="none"/>
                <w:lang w:val="en-US" w:eastAsia="zh-CN"/>
              </w:rPr>
            </w:pPr>
            <w:r>
              <w:rPr>
                <w:rFonts w:hint="eastAsia"/>
                <w:color w:val="auto"/>
                <w:sz w:val="24"/>
                <w:szCs w:val="24"/>
                <w:highlight w:val="none"/>
                <w:lang w:val="en-US" w:eastAsia="zh-CN"/>
              </w:rPr>
              <w:t>19</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软肩章</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副</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执行标准：按照公安部《GA287-2017警用服饰软式肩章》；</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exact"/>
          <w:jc w:val="center"/>
        </w:trPr>
        <w:tc>
          <w:tcPr>
            <w:tcW w:w="484" w:type="pct"/>
            <w:vAlign w:val="center"/>
          </w:tcPr>
          <w:p>
            <w:pPr>
              <w:spacing w:line="360" w:lineRule="auto"/>
              <w:jc w:val="center"/>
              <w:rPr>
                <w:rFonts w:hint="default"/>
                <w:color w:val="auto"/>
                <w:sz w:val="24"/>
                <w:szCs w:val="24"/>
                <w:highlight w:val="none"/>
                <w:lang w:val="en-US" w:eastAsia="zh-CN"/>
              </w:rPr>
            </w:pPr>
            <w:r>
              <w:rPr>
                <w:rFonts w:hint="eastAsia"/>
                <w:color w:val="auto"/>
                <w:sz w:val="24"/>
                <w:szCs w:val="24"/>
                <w:highlight w:val="none"/>
                <w:lang w:val="en-US" w:eastAsia="zh-CN"/>
              </w:rPr>
              <w:t>20</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套牌</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副</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执行标准：按照公安部 《GA 286-2017警用服饰套式肩章》；</w:t>
            </w:r>
            <w:r>
              <w:rPr>
                <w:rFonts w:hint="eastAsia"/>
                <w:color w:val="auto"/>
                <w:sz w:val="24"/>
                <w:szCs w:val="24"/>
                <w:highlight w:val="none"/>
                <w:lang w:val="en-US" w:eastAsia="zh-CN"/>
              </w:rPr>
              <w:br w:type="textWrapping"/>
            </w:r>
            <w:r>
              <w:rPr>
                <w:rFonts w:hint="eastAsia"/>
                <w:b/>
                <w:bCs/>
                <w:color w:val="auto"/>
                <w:sz w:val="24"/>
                <w:szCs w:val="24"/>
                <w:highlight w:val="none"/>
                <w:lang w:val="en-US" w:eastAsia="zh-CN"/>
              </w:rPr>
              <w:t>★注：提供公安部特种警用装备质量监督检验中心检测报告扫描件或影印件。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84" w:type="pct"/>
            <w:vAlign w:val="center"/>
          </w:tcPr>
          <w:p>
            <w:pPr>
              <w:spacing w:line="360" w:lineRule="auto"/>
              <w:jc w:val="center"/>
              <w:rPr>
                <w:rFonts w:hint="default"/>
                <w:color w:val="auto"/>
                <w:sz w:val="24"/>
                <w:szCs w:val="24"/>
                <w:highlight w:val="none"/>
                <w:lang w:val="en-US" w:eastAsia="zh-CN"/>
              </w:rPr>
            </w:pPr>
            <w:r>
              <w:rPr>
                <w:rFonts w:hint="eastAsia"/>
                <w:color w:val="auto"/>
                <w:sz w:val="24"/>
                <w:szCs w:val="24"/>
                <w:highlight w:val="none"/>
                <w:lang w:val="en-US" w:eastAsia="zh-CN"/>
              </w:rPr>
              <w:t>21</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帽徽</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个</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1、技术标准：《GA 270-2009警用服饰帽徽》；</w:t>
            </w:r>
            <w:r>
              <w:rPr>
                <w:rFonts w:hint="eastAsia"/>
                <w:color w:val="auto"/>
                <w:sz w:val="24"/>
                <w:szCs w:val="24"/>
                <w:highlight w:val="none"/>
                <w:lang w:val="en-US" w:eastAsia="zh-CN"/>
              </w:rPr>
              <w:br w:type="textWrapping"/>
            </w:r>
            <w:r>
              <w:rPr>
                <w:rFonts w:hint="eastAsia"/>
                <w:color w:val="auto"/>
                <w:sz w:val="24"/>
                <w:szCs w:val="24"/>
                <w:highlight w:val="none"/>
                <w:lang w:val="en-US" w:eastAsia="zh-CN"/>
              </w:rPr>
              <w:t>2、由徽体、螺钉和螺母三部分组成。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exact"/>
          <w:jc w:val="center"/>
        </w:trPr>
        <w:tc>
          <w:tcPr>
            <w:tcW w:w="484" w:type="pct"/>
            <w:vAlign w:val="center"/>
          </w:tcPr>
          <w:p>
            <w:pPr>
              <w:spacing w:line="360" w:lineRule="auto"/>
              <w:jc w:val="center"/>
              <w:rPr>
                <w:rFonts w:hint="default"/>
                <w:color w:val="auto"/>
                <w:sz w:val="24"/>
                <w:szCs w:val="24"/>
                <w:highlight w:val="none"/>
                <w:lang w:val="en-US" w:eastAsia="zh-CN"/>
              </w:rPr>
            </w:pPr>
            <w:r>
              <w:rPr>
                <w:rFonts w:hint="eastAsia"/>
                <w:color w:val="auto"/>
                <w:sz w:val="24"/>
                <w:szCs w:val="24"/>
                <w:highlight w:val="none"/>
                <w:lang w:val="en-US" w:eastAsia="zh-CN"/>
              </w:rPr>
              <w:t>22</w:t>
            </w:r>
          </w:p>
        </w:tc>
        <w:tc>
          <w:tcPr>
            <w:tcW w:w="757"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领花</w:t>
            </w:r>
          </w:p>
        </w:tc>
        <w:tc>
          <w:tcPr>
            <w:tcW w:w="469" w:type="pct"/>
            <w:vAlign w:val="center"/>
          </w:tcPr>
          <w:p>
            <w:pPr>
              <w:spacing w:line="360" w:lineRule="auto"/>
              <w:jc w:val="center"/>
              <w:rPr>
                <w:rFonts w:hint="eastAsia"/>
                <w:color w:val="auto"/>
                <w:sz w:val="24"/>
                <w:szCs w:val="24"/>
                <w:highlight w:val="none"/>
                <w:lang w:val="en-US" w:eastAsia="zh-CN"/>
              </w:rPr>
            </w:pPr>
            <w:r>
              <w:rPr>
                <w:rFonts w:hint="eastAsia"/>
                <w:color w:val="auto"/>
                <w:sz w:val="24"/>
                <w:szCs w:val="24"/>
                <w:highlight w:val="none"/>
                <w:lang w:val="en-US" w:eastAsia="zh-CN"/>
              </w:rPr>
              <w:t>个</w:t>
            </w:r>
          </w:p>
        </w:tc>
        <w:tc>
          <w:tcPr>
            <w:tcW w:w="3288" w:type="pct"/>
            <w:vAlign w:val="center"/>
          </w:tcPr>
          <w:p>
            <w:pPr>
              <w:spacing w:line="360" w:lineRule="auto"/>
              <w:jc w:val="left"/>
              <w:rPr>
                <w:rFonts w:hint="default"/>
                <w:color w:val="auto"/>
                <w:sz w:val="24"/>
                <w:szCs w:val="24"/>
                <w:highlight w:val="none"/>
                <w:lang w:val="en-US" w:eastAsia="zh-CN"/>
              </w:rPr>
            </w:pPr>
            <w:r>
              <w:rPr>
                <w:rFonts w:hint="eastAsia"/>
                <w:color w:val="auto"/>
                <w:sz w:val="24"/>
                <w:szCs w:val="24"/>
                <w:highlight w:val="none"/>
                <w:lang w:val="en-US" w:eastAsia="zh-CN"/>
              </w:rPr>
              <w:t>执行标准：按照公安部《GA 277-2001警用服饰领花》。</w:t>
            </w:r>
          </w:p>
        </w:tc>
      </w:tr>
    </w:tbl>
    <w:p>
      <w:pPr>
        <w:pStyle w:val="2"/>
        <w:widowControl w:val="0"/>
        <w:numPr>
          <w:ilvl w:val="0"/>
          <w:numId w:val="0"/>
        </w:numPr>
        <w:spacing w:after="120"/>
        <w:jc w:val="both"/>
        <w:rPr>
          <w:rFonts w:hint="eastAsia"/>
          <w:lang w:eastAsia="zh-CN"/>
        </w:rPr>
        <w:sectPr>
          <w:footerReference r:id="rId3" w:type="default"/>
          <w:pgSz w:w="11906" w:h="16838"/>
          <w:pgMar w:top="935" w:right="1418" w:bottom="1134" w:left="1418" w:header="851" w:footer="992" w:gutter="0"/>
          <w:pgNumType w:start="1"/>
          <w:cols w:space="720" w:num="1"/>
        </w:sectPr>
      </w:pPr>
    </w:p>
    <w:p/>
    <w:p>
      <w:pPr>
        <w:pStyle w:val="2"/>
        <w:ind w:left="0" w:leftChars="0" w:firstLine="0" w:firstLineChars="0"/>
        <w:rPr>
          <w:rFonts w:ascii="宋体" w:hAnsi="宋体"/>
          <w:b/>
          <w:sz w:val="24"/>
          <w:szCs w:val="18"/>
        </w:rPr>
      </w:pPr>
      <w:r>
        <w:rPr>
          <w:rFonts w:hint="eastAsia" w:ascii="宋体" w:hAnsi="宋体"/>
          <w:b/>
          <w:sz w:val="24"/>
          <w:szCs w:val="18"/>
        </w:rPr>
        <w:t>三、</w:t>
      </w:r>
      <w:r>
        <w:rPr>
          <w:rFonts w:hint="eastAsia" w:ascii="宋体" w:hAnsi="宋体"/>
          <w:b/>
          <w:sz w:val="24"/>
          <w:szCs w:val="18"/>
          <w:lang w:eastAsia="zh-CN"/>
        </w:rPr>
        <w:t>报价及结算</w:t>
      </w:r>
      <w:r>
        <w:rPr>
          <w:rFonts w:hint="eastAsia" w:ascii="宋体" w:hAnsi="宋体"/>
          <w:b/>
          <w:sz w:val="24"/>
          <w:szCs w:val="18"/>
        </w:rPr>
        <w:t>要求</w:t>
      </w:r>
    </w:p>
    <w:p>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1、投标人报价按货物单价进行填报，每项单价不得超过该项预算单价，否则视为无效报价；</w:t>
      </w:r>
    </w:p>
    <w:p>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2、实际供货数量中标后根据采购人要求实际分批量体</w:t>
      </w:r>
      <w:r>
        <w:rPr>
          <w:rFonts w:hint="eastAsia" w:ascii="宋体" w:hAnsi="宋体" w:cs="宋体"/>
          <w:color w:val="auto"/>
          <w:kern w:val="0"/>
          <w:sz w:val="24"/>
          <w:szCs w:val="24"/>
          <w:lang w:val="en-US" w:eastAsia="zh-CN"/>
        </w:rPr>
        <w:t>提供</w:t>
      </w:r>
      <w:r>
        <w:rPr>
          <w:rFonts w:hint="eastAsia" w:ascii="宋体" w:hAnsi="宋体" w:eastAsia="宋体" w:cs="宋体"/>
          <w:color w:val="auto"/>
          <w:kern w:val="0"/>
          <w:sz w:val="24"/>
          <w:szCs w:val="24"/>
          <w:lang w:val="en-US" w:eastAsia="zh-CN"/>
        </w:rPr>
        <w:t>；结算价＝实际供货数量</w:t>
      </w:r>
      <w:r>
        <w:rPr>
          <w:rFonts w:hint="default" w:ascii="Arial" w:hAnsi="Arial" w:eastAsia="宋体" w:cs="Arial"/>
          <w:color w:val="auto"/>
          <w:kern w:val="0"/>
          <w:sz w:val="24"/>
          <w:szCs w:val="24"/>
          <w:lang w:val="en-US" w:eastAsia="zh-CN"/>
        </w:rPr>
        <w:t>×</w:t>
      </w:r>
      <w:r>
        <w:rPr>
          <w:rFonts w:hint="eastAsia" w:ascii="宋体" w:hAnsi="宋体" w:eastAsia="宋体" w:cs="宋体"/>
          <w:color w:val="auto"/>
          <w:kern w:val="0"/>
          <w:sz w:val="24"/>
          <w:szCs w:val="24"/>
          <w:lang w:val="en-US" w:eastAsia="zh-CN"/>
        </w:rPr>
        <w:t>预算单价，但最终累计年结算金额不超过本项目总预算，即18.00万/年。</w:t>
      </w:r>
    </w:p>
    <w:p>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kern w:val="0"/>
          <w:sz w:val="24"/>
          <w:szCs w:val="24"/>
          <w:lang w:val="en-US" w:eastAsia="zh-CN" w:bidi="ar-SA"/>
        </w:rPr>
      </w:pPr>
      <w:r>
        <w:rPr>
          <w:rFonts w:hint="eastAsia" w:ascii="宋体" w:hAnsi="宋体" w:eastAsia="宋体" w:cs="宋体"/>
          <w:color w:val="auto"/>
          <w:kern w:val="0"/>
          <w:sz w:val="24"/>
          <w:szCs w:val="24"/>
          <w:lang w:val="en-US" w:eastAsia="zh-CN"/>
        </w:rPr>
        <w:t>3、投标人报价时须综合考虑面料、辅料购置费，设计制作费，包装费，运输及搬运费，仓储费，人工费，技术支持，</w:t>
      </w:r>
      <w:r>
        <w:rPr>
          <w:rFonts w:hint="eastAsia" w:ascii="宋体" w:hAnsi="宋体" w:eastAsia="宋体" w:cs="宋体"/>
          <w:b w:val="0"/>
          <w:bCs w:val="0"/>
          <w:color w:val="auto"/>
          <w:kern w:val="0"/>
          <w:sz w:val="24"/>
          <w:szCs w:val="24"/>
          <w:lang w:val="en-US" w:eastAsia="zh-CN" w:bidi="ar-SA"/>
        </w:rPr>
        <w:t>上门服务及售后服务，验收及税金等所涉及的一切费用。中标后，采购人及使用单位不再另行支付任何费用。</w:t>
      </w:r>
    </w:p>
    <w:p>
      <w:pPr>
        <w:pStyle w:val="2"/>
        <w:ind w:left="0" w:leftChars="0" w:firstLine="0" w:firstLineChars="0"/>
        <w:rPr>
          <w:rFonts w:hint="eastAsia" w:ascii="宋体" w:hAnsi="宋体"/>
          <w:b/>
          <w:sz w:val="24"/>
          <w:szCs w:val="18"/>
          <w:lang w:val="en-US" w:eastAsia="zh-CN"/>
        </w:rPr>
      </w:pPr>
      <w:r>
        <w:rPr>
          <w:rFonts w:hint="eastAsia" w:ascii="宋体" w:hAnsi="宋体"/>
          <w:b/>
          <w:sz w:val="24"/>
          <w:szCs w:val="18"/>
          <w:lang w:val="en-US" w:eastAsia="zh-CN"/>
        </w:rPr>
        <w:t>四、项目要求</w:t>
      </w:r>
    </w:p>
    <w:p>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1、服装交货后采购人将抽取部分货物送权威部门进行检验，检验费用由中标单位承担。检验不合格，按有关规定进行处理。</w:t>
      </w:r>
    </w:p>
    <w:p>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2、中标人在签订合同后，需上门一对一量体</w:t>
      </w:r>
      <w:r>
        <w:rPr>
          <w:rFonts w:hint="eastAsia" w:ascii="宋体" w:hAnsi="宋体" w:eastAsia="宋体" w:cs="宋体"/>
          <w:color w:val="auto"/>
          <w:kern w:val="0"/>
          <w:sz w:val="24"/>
          <w:szCs w:val="24"/>
          <w:highlight w:val="none"/>
          <w:lang w:val="en-US" w:eastAsia="zh-CN"/>
        </w:rPr>
        <w:t>。</w:t>
      </w:r>
    </w:p>
    <w:p>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3、中标人供货前需向采购人确认所有制式服装和辅警标识。辅警标识按池州市公安局规定执行</w:t>
      </w:r>
      <w:r>
        <w:rPr>
          <w:rFonts w:hint="eastAsia" w:ascii="宋体" w:hAnsi="宋体" w:cs="宋体"/>
          <w:color w:val="auto"/>
          <w:kern w:val="0"/>
          <w:sz w:val="24"/>
          <w:szCs w:val="24"/>
          <w:lang w:val="en-US" w:eastAsia="zh-CN"/>
        </w:rPr>
        <w:t>，且辅警标识制作费用包含在相应服装报价内。</w:t>
      </w:r>
    </w:p>
    <w:p>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服务</w:t>
      </w:r>
      <w:r>
        <w:rPr>
          <w:rFonts w:hint="eastAsia" w:ascii="宋体" w:hAnsi="宋体" w:eastAsia="宋体" w:cs="宋体"/>
          <w:color w:val="auto"/>
          <w:kern w:val="0"/>
          <w:sz w:val="24"/>
          <w:szCs w:val="24"/>
          <w:lang w:eastAsia="zh-CN"/>
        </w:rPr>
        <w:t>响应</w:t>
      </w:r>
    </w:p>
    <w:p>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对采购单位的服务通知，</w:t>
      </w:r>
      <w:r>
        <w:rPr>
          <w:rFonts w:hint="eastAsia" w:ascii="宋体" w:hAnsi="宋体" w:eastAsia="宋体" w:cs="宋体"/>
          <w:color w:val="auto"/>
          <w:kern w:val="0"/>
          <w:sz w:val="24"/>
          <w:szCs w:val="24"/>
          <w:lang w:eastAsia="zh-CN"/>
        </w:rPr>
        <w:t>中标人</w:t>
      </w:r>
      <w:r>
        <w:rPr>
          <w:rFonts w:hint="eastAsia" w:ascii="宋体" w:hAnsi="宋体" w:eastAsia="宋体" w:cs="宋体"/>
          <w:color w:val="auto"/>
          <w:kern w:val="0"/>
          <w:sz w:val="24"/>
          <w:szCs w:val="24"/>
        </w:rPr>
        <w:t>在接报后</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single"/>
          <w:lang w:val="en-US" w:eastAsia="zh-CN"/>
        </w:rPr>
        <w:t>1</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小时内响应</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lang w:val="en-US" w:eastAsia="zh-CN"/>
        </w:rPr>
        <w:t>4</w:t>
      </w:r>
      <w:r>
        <w:rPr>
          <w:rFonts w:hint="eastAsia" w:ascii="宋体" w:hAnsi="宋体" w:eastAsia="宋体" w:cs="宋体"/>
          <w:color w:val="auto"/>
          <w:kern w:val="0"/>
          <w:sz w:val="24"/>
          <w:szCs w:val="24"/>
          <w:highlight w:val="none"/>
        </w:rPr>
        <w:t>小时</w:t>
      </w:r>
      <w:r>
        <w:rPr>
          <w:rFonts w:hint="eastAsia" w:ascii="宋体" w:hAnsi="宋体" w:eastAsia="宋体" w:cs="宋体"/>
          <w:color w:val="auto"/>
          <w:kern w:val="0"/>
          <w:sz w:val="24"/>
          <w:szCs w:val="24"/>
        </w:rPr>
        <w:t>内到达现场，</w:t>
      </w:r>
      <w:r>
        <w:rPr>
          <w:rFonts w:hint="eastAsia" w:ascii="宋体" w:hAnsi="宋体" w:eastAsia="宋体" w:cs="宋体"/>
          <w:color w:val="auto"/>
          <w:kern w:val="0"/>
          <w:sz w:val="24"/>
          <w:szCs w:val="24"/>
          <w:u w:val="single"/>
          <w:lang w:val="en-US" w:eastAsia="zh-CN"/>
        </w:rPr>
        <w:t>24</w:t>
      </w:r>
      <w:r>
        <w:rPr>
          <w:rFonts w:hint="eastAsia" w:ascii="宋体" w:hAnsi="宋体" w:eastAsia="宋体" w:cs="宋体"/>
          <w:color w:val="auto"/>
          <w:kern w:val="0"/>
          <w:sz w:val="24"/>
          <w:szCs w:val="24"/>
        </w:rPr>
        <w:t>小时内处理完毕。若在</w:t>
      </w:r>
      <w:r>
        <w:rPr>
          <w:rFonts w:hint="eastAsia" w:ascii="宋体" w:hAnsi="宋体" w:eastAsia="宋体" w:cs="宋体"/>
          <w:color w:val="auto"/>
          <w:kern w:val="0"/>
          <w:sz w:val="24"/>
          <w:szCs w:val="24"/>
          <w:lang w:val="en-US" w:eastAsia="zh-CN"/>
        </w:rPr>
        <w:t>24</w:t>
      </w:r>
      <w:r>
        <w:rPr>
          <w:rFonts w:hint="eastAsia" w:ascii="宋体" w:hAnsi="宋体" w:eastAsia="宋体" w:cs="宋体"/>
          <w:color w:val="auto"/>
          <w:kern w:val="0"/>
          <w:sz w:val="24"/>
          <w:szCs w:val="24"/>
        </w:rPr>
        <w:t>小时内仍未能有效解决，</w:t>
      </w:r>
      <w:r>
        <w:rPr>
          <w:rFonts w:hint="eastAsia" w:ascii="宋体" w:hAnsi="宋体" w:eastAsia="宋体" w:cs="宋体"/>
          <w:color w:val="auto"/>
          <w:kern w:val="0"/>
          <w:sz w:val="24"/>
          <w:szCs w:val="24"/>
          <w:lang w:eastAsia="zh-CN"/>
        </w:rPr>
        <w:t>投标人</w:t>
      </w:r>
      <w:r>
        <w:rPr>
          <w:rFonts w:hint="eastAsia" w:ascii="宋体" w:hAnsi="宋体" w:eastAsia="宋体" w:cs="宋体"/>
          <w:color w:val="auto"/>
          <w:kern w:val="0"/>
          <w:sz w:val="24"/>
          <w:szCs w:val="24"/>
        </w:rPr>
        <w:t>须免费提供同档次的</w:t>
      </w:r>
      <w:r>
        <w:rPr>
          <w:rFonts w:hint="eastAsia" w:ascii="宋体" w:hAnsi="宋体" w:eastAsia="宋体" w:cs="宋体"/>
          <w:color w:val="auto"/>
          <w:kern w:val="0"/>
          <w:sz w:val="24"/>
          <w:szCs w:val="24"/>
          <w:lang w:eastAsia="zh-CN"/>
        </w:rPr>
        <w:t>货物</w:t>
      </w:r>
      <w:r>
        <w:rPr>
          <w:rFonts w:hint="eastAsia" w:ascii="宋体" w:hAnsi="宋体" w:eastAsia="宋体" w:cs="宋体"/>
          <w:color w:val="auto"/>
          <w:kern w:val="0"/>
          <w:sz w:val="24"/>
          <w:szCs w:val="24"/>
        </w:rPr>
        <w:t>予采购单位临时使用。</w:t>
      </w:r>
    </w:p>
    <w:p>
      <w:pPr>
        <w:pageBreakBefore w:val="0"/>
        <w:widowControl w:val="0"/>
        <w:numPr>
          <w:ilvl w:val="0"/>
          <w:numId w:val="8"/>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其他要求</w:t>
      </w:r>
    </w:p>
    <w:p>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kern w:val="0"/>
          <w:sz w:val="24"/>
          <w:szCs w:val="24"/>
          <w:highlight w:val="yellow"/>
          <w:lang w:val="en-US" w:eastAsia="zh-CN"/>
        </w:rPr>
      </w:pPr>
      <w:r>
        <w:rPr>
          <w:rFonts w:hint="eastAsia" w:ascii="宋体" w:hAnsi="宋体" w:eastAsia="宋体" w:cs="宋体"/>
          <w:color w:val="auto"/>
          <w:kern w:val="0"/>
          <w:sz w:val="24"/>
          <w:szCs w:val="24"/>
          <w:lang w:eastAsia="zh-CN"/>
        </w:rPr>
        <w:t>中标人交付货物后，采购人</w:t>
      </w:r>
      <w:r>
        <w:rPr>
          <w:rFonts w:hint="eastAsia" w:ascii="宋体" w:hAnsi="宋体" w:eastAsia="宋体" w:cs="宋体"/>
          <w:color w:val="auto"/>
          <w:kern w:val="0"/>
          <w:sz w:val="24"/>
          <w:szCs w:val="24"/>
          <w:lang w:val="en-US" w:eastAsia="zh-CN"/>
        </w:rPr>
        <w:t>15天</w:t>
      </w:r>
      <w:r>
        <w:rPr>
          <w:rFonts w:hint="eastAsia" w:ascii="宋体" w:hAnsi="宋体" w:eastAsia="宋体" w:cs="宋体"/>
          <w:color w:val="auto"/>
          <w:kern w:val="0"/>
          <w:sz w:val="24"/>
          <w:szCs w:val="24"/>
          <w:lang w:eastAsia="zh-CN"/>
        </w:rPr>
        <w:t>内无理由随时调换；</w:t>
      </w:r>
      <w:r>
        <w:rPr>
          <w:rFonts w:hint="eastAsia" w:ascii="宋体" w:hAnsi="宋体" w:eastAsia="宋体" w:cs="宋体"/>
          <w:color w:val="auto"/>
          <w:kern w:val="0"/>
          <w:sz w:val="24"/>
          <w:szCs w:val="24"/>
          <w:lang w:val="en-US" w:eastAsia="zh-CN"/>
        </w:rPr>
        <w:t>30天内，若</w:t>
      </w:r>
      <w:r>
        <w:rPr>
          <w:rFonts w:hint="eastAsia" w:ascii="宋体" w:hAnsi="宋体" w:eastAsia="宋体" w:cs="宋体"/>
          <w:color w:val="auto"/>
          <w:kern w:val="0"/>
          <w:sz w:val="24"/>
          <w:szCs w:val="24"/>
          <w:lang w:eastAsia="zh-CN"/>
        </w:rPr>
        <w:t>因产品质量、制作工艺等非人为原因损坏，中标人应免费予以退换</w:t>
      </w:r>
      <w:r>
        <w:rPr>
          <w:rFonts w:hint="eastAsia" w:ascii="宋体" w:hAnsi="宋体" w:cs="宋体"/>
          <w:color w:val="auto"/>
          <w:kern w:val="0"/>
          <w:sz w:val="24"/>
          <w:szCs w:val="24"/>
          <w:lang w:eastAsia="zh-CN"/>
        </w:rPr>
        <w:t>。</w:t>
      </w:r>
    </w:p>
    <w:p>
      <w:pPr>
        <w:rPr>
          <w:rFonts w:hint="eastAsia" w:ascii="宋体" w:hAnsi="宋体"/>
          <w:bCs/>
          <w:color w:val="000000"/>
          <w:spacing w:val="8"/>
          <w:sz w:val="28"/>
          <w:szCs w:val="28"/>
        </w:rPr>
      </w:pPr>
    </w:p>
    <w:p>
      <w:pPr>
        <w:rPr>
          <w:rFonts w:ascii="宋体" w:hAnsi="宋体"/>
          <w:b/>
          <w:bCs/>
          <w:color w:val="000000"/>
          <w:spacing w:val="8"/>
          <w:sz w:val="28"/>
          <w:szCs w:val="28"/>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fldChar w:fldCharType="begin"/>
    </w:r>
    <w:r>
      <w:instrText xml:space="preserve">PAGE   \* MERGEFORMAT</w:instrText>
    </w:r>
    <w:r>
      <w:fldChar w:fldCharType="separate"/>
    </w:r>
    <w:r>
      <w:t>54</w:t>
    </w:r>
    <w: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09A913"/>
    <w:multiLevelType w:val="singleLevel"/>
    <w:tmpl w:val="B409A913"/>
    <w:lvl w:ilvl="0" w:tentative="0">
      <w:start w:val="5"/>
      <w:numFmt w:val="decimal"/>
      <w:suff w:val="nothing"/>
      <w:lvlText w:val="%1、"/>
      <w:lvlJc w:val="left"/>
    </w:lvl>
  </w:abstractNum>
  <w:abstractNum w:abstractNumId="1">
    <w:nsid w:val="D3B5E58A"/>
    <w:multiLevelType w:val="singleLevel"/>
    <w:tmpl w:val="D3B5E58A"/>
    <w:lvl w:ilvl="0" w:tentative="0">
      <w:start w:val="1"/>
      <w:numFmt w:val="decimal"/>
      <w:suff w:val="nothing"/>
      <w:lvlText w:val="%1、"/>
      <w:lvlJc w:val="left"/>
    </w:lvl>
  </w:abstractNum>
  <w:abstractNum w:abstractNumId="2">
    <w:nsid w:val="F5D6FA9A"/>
    <w:multiLevelType w:val="singleLevel"/>
    <w:tmpl w:val="F5D6FA9A"/>
    <w:lvl w:ilvl="0" w:tentative="0">
      <w:start w:val="1"/>
      <w:numFmt w:val="decimal"/>
      <w:suff w:val="nothing"/>
      <w:lvlText w:val="%1、"/>
      <w:lvlJc w:val="left"/>
    </w:lvl>
  </w:abstractNum>
  <w:abstractNum w:abstractNumId="3">
    <w:nsid w:val="1E6FB533"/>
    <w:multiLevelType w:val="singleLevel"/>
    <w:tmpl w:val="1E6FB533"/>
    <w:lvl w:ilvl="0" w:tentative="0">
      <w:start w:val="1"/>
      <w:numFmt w:val="decimal"/>
      <w:suff w:val="nothing"/>
      <w:lvlText w:val="%1、"/>
      <w:lvlJc w:val="left"/>
    </w:lvl>
  </w:abstractNum>
  <w:abstractNum w:abstractNumId="4">
    <w:nsid w:val="36A81332"/>
    <w:multiLevelType w:val="singleLevel"/>
    <w:tmpl w:val="36A81332"/>
    <w:lvl w:ilvl="0" w:tentative="0">
      <w:start w:val="1"/>
      <w:numFmt w:val="decimal"/>
      <w:suff w:val="nothing"/>
      <w:lvlText w:val="%1、"/>
      <w:lvlJc w:val="left"/>
    </w:lvl>
  </w:abstractNum>
  <w:abstractNum w:abstractNumId="5">
    <w:nsid w:val="4298FB27"/>
    <w:multiLevelType w:val="singleLevel"/>
    <w:tmpl w:val="4298FB27"/>
    <w:lvl w:ilvl="0" w:tentative="0">
      <w:start w:val="1"/>
      <w:numFmt w:val="decimal"/>
      <w:suff w:val="nothing"/>
      <w:lvlText w:val="%1、"/>
      <w:lvlJc w:val="left"/>
    </w:lvl>
  </w:abstractNum>
  <w:abstractNum w:abstractNumId="6">
    <w:nsid w:val="5E6BE374"/>
    <w:multiLevelType w:val="singleLevel"/>
    <w:tmpl w:val="5E6BE374"/>
    <w:lvl w:ilvl="0" w:tentative="0">
      <w:start w:val="3"/>
      <w:numFmt w:val="chineseCounting"/>
      <w:suff w:val="nothing"/>
      <w:lvlText w:val="%1、"/>
      <w:lvlJc w:val="left"/>
      <w:rPr>
        <w:rFonts w:hint="eastAsia"/>
      </w:rPr>
    </w:lvl>
  </w:abstractNum>
  <w:abstractNum w:abstractNumId="7">
    <w:nsid w:val="71536DF9"/>
    <w:multiLevelType w:val="singleLevel"/>
    <w:tmpl w:val="71536DF9"/>
    <w:lvl w:ilvl="0" w:tentative="0">
      <w:start w:val="3"/>
      <w:numFmt w:val="chineseCounting"/>
      <w:suff w:val="space"/>
      <w:lvlText w:val="第%1章"/>
      <w:lvlJc w:val="left"/>
      <w:rPr>
        <w:rFonts w:hint="eastAsia"/>
      </w:rPr>
    </w:lvl>
  </w:abstractNum>
  <w:num w:numId="1">
    <w:abstractNumId w:val="7"/>
  </w:num>
  <w:num w:numId="2">
    <w:abstractNumId w:val="6"/>
  </w:num>
  <w:num w:numId="3">
    <w:abstractNumId w:val="5"/>
  </w:num>
  <w:num w:numId="4">
    <w:abstractNumId w:val="3"/>
  </w:num>
  <w:num w:numId="5">
    <w:abstractNumId w:val="4"/>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385DC0"/>
    <w:rsid w:val="5D385D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2"/>
    <w:basedOn w:val="1"/>
    <w:next w:val="1"/>
    <w:qFormat/>
    <w:uiPriority w:val="0"/>
    <w:pPr>
      <w:keepNext/>
      <w:ind w:right="-334" w:firstLine="70" w:firstLineChars="25"/>
      <w:jc w:val="center"/>
      <w:outlineLvl w:val="1"/>
    </w:pPr>
    <w:rPr>
      <w:rFonts w:ascii="宋体" w:hAnsi="宋体"/>
      <w:b/>
      <w:color w:val="000000"/>
      <w:sz w:val="36"/>
      <w:lang w:val="zh-CN"/>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semiHidden/>
    <w:unhideWhenUsed/>
    <w:qFormat/>
    <w:uiPriority w:val="99"/>
    <w:pPr>
      <w:ind w:firstLine="420" w:firstLineChars="200"/>
    </w:pPr>
  </w:style>
  <w:style w:type="paragraph" w:styleId="3">
    <w:name w:val="Body Text Indent"/>
    <w:basedOn w:val="1"/>
    <w:next w:val="4"/>
    <w:semiHidden/>
    <w:unhideWhenUsed/>
    <w:qFormat/>
    <w:uiPriority w:val="99"/>
    <w:pPr>
      <w:spacing w:after="120"/>
      <w:ind w:left="420" w:leftChars="200"/>
    </w:pPr>
  </w:style>
  <w:style w:type="paragraph" w:styleId="4">
    <w:name w:val="envelope return"/>
    <w:basedOn w:val="1"/>
    <w:semiHidden/>
    <w:qFormat/>
    <w:uiPriority w:val="99"/>
    <w:pPr>
      <w:snapToGrid w:val="0"/>
    </w:pPr>
    <w:rPr>
      <w:rFonts w:ascii="Arial" w:hAnsi="Arial" w:cs="Arial"/>
    </w:rPr>
  </w:style>
  <w:style w:type="paragraph" w:styleId="6">
    <w:name w:val="Body Text"/>
    <w:basedOn w:val="1"/>
    <w:unhideWhenUsed/>
    <w:qFormat/>
    <w:uiPriority w:val="0"/>
    <w:pPr>
      <w:spacing w:after="120"/>
    </w:pPr>
    <w:rPr>
      <w:lang w:val="zh-CN"/>
    </w:rPr>
  </w:style>
  <w:style w:type="paragraph" w:styleId="7">
    <w:name w:val="footer"/>
    <w:basedOn w:val="1"/>
    <w:unhideWhenUsed/>
    <w:qFormat/>
    <w:uiPriority w:val="99"/>
    <w:pPr>
      <w:tabs>
        <w:tab w:val="center" w:pos="4153"/>
        <w:tab w:val="right" w:pos="8306"/>
      </w:tabs>
      <w:snapToGrid w:val="0"/>
      <w:jc w:val="left"/>
    </w:pPr>
    <w:rPr>
      <w:sz w:val="18"/>
      <w:szCs w:val="20"/>
      <w:lang w:val="zh-CN" w:bidi="he-I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2021-07-19T06:09:00Z</dcterms:created>
  <dc:creator>NTKO</dc:creator>
  <cp:lastModifiedBy>NTKO</cp:lastModifiedBy>
  <dcterms:modified xsi:type="dcterms:W3CDTF">2021-07-19T06:10:25Z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DB6857C0B1AD4381AB9804ADC4356B61</vt:lpwstr>
  </property>
</Properties>
</file>