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440101-2024-04122</w:t>
      </w:r>
    </w:p>
    <w:p>
      <w:pPr>
        <w:pStyle w:val="null3"/>
        <w:jc w:val="center"/>
        <w:outlineLvl w:val="3"/>
      </w:pPr>
      <w:r>
        <w:rPr>
          <w:b/>
          <w:sz w:val="24"/>
        </w:rPr>
        <w:t>采购项目编号：</w:t>
      </w:r>
      <w:r>
        <w:rPr>
          <w:b/>
          <w:sz w:val="24"/>
        </w:rPr>
        <w:t>CZ2024-0352</w:t>
      </w:r>
    </w:p>
    <w:p>
      <w:pPr>
        <w:pStyle w:val="null3"/>
        <w:jc w:val="center"/>
        <w:outlineLvl w:val="3"/>
      </w:pPr>
      <w:r>
        <w:rPr>
          <w:b/>
          <w:sz w:val="24"/>
        </w:rPr>
        <w:t>项目名称：</w:t>
      </w:r>
      <w:r>
        <w:rPr>
          <w:b/>
          <w:sz w:val="24"/>
        </w:rPr>
        <w:t>广州市数字政府运营中心2023年广州市智慧城市视频感知系统建设项目</w:t>
      </w:r>
    </w:p>
    <w:p>
      <w:pPr>
        <w:pStyle w:val="null3"/>
        <w:jc w:val="center"/>
        <w:outlineLvl w:val="3"/>
      </w:pPr>
      <w:r>
        <w:rPr>
          <w:b/>
          <w:sz w:val="24"/>
        </w:rPr>
        <w:t>采购人：</w:t>
      </w:r>
      <w:r>
        <w:rPr>
          <w:b/>
          <w:sz w:val="24"/>
        </w:rPr>
        <w:t>广州市数字政府运营中心（广州市政务大数据管理中心、广州市政府门户网站编辑部、广州市智慧城市运行中心）</w:t>
      </w:r>
    </w:p>
    <w:p>
      <w:pPr>
        <w:pStyle w:val="null3"/>
        <w:jc w:val="center"/>
        <w:outlineLvl w:val="3"/>
      </w:pPr>
      <w:r>
        <w:rPr>
          <w:b/>
          <w:sz w:val="24"/>
        </w:rPr>
        <w:t>采购代理机构：</w:t>
      </w:r>
      <w:r>
        <w:rPr>
          <w:b/>
          <w:sz w:val="24"/>
        </w:rPr>
        <w:t>广州市政府采购中心</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广州市政府采购中心</w:t>
      </w:r>
      <w:r>
        <w:rPr/>
        <w:t>受</w:t>
      </w:r>
      <w:r>
        <w:rPr/>
        <w:t>广州市数字政府运营中心（广州市政务大数据管理中心、广州市政府门户网站编辑部、广州市智慧城市运行中心）</w:t>
      </w:r>
      <w:r>
        <w:rPr/>
        <w:t>的委托，采用</w:t>
      </w:r>
      <w:r>
        <w:rPr/>
        <w:t>公开招标</w:t>
      </w:r>
      <w:r>
        <w:rPr/>
        <w:t>方式组织采购</w:t>
      </w:r>
      <w:r>
        <w:rPr/>
        <w:t>广州市数字政府运营中心2023年广州市智慧城市视频感知系统建设项目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广州市数字政府运营中心2023年广州市智慧城市视频感知系统建设项目</w:t>
      </w:r>
    </w:p>
    <w:p>
      <w:pPr>
        <w:pStyle w:val="null3"/>
        <w:ind w:firstLine="480"/>
      </w:pPr>
      <w:r>
        <w:rPr/>
        <w:t>采购计划编号：</w:t>
      </w:r>
      <w:r>
        <w:rPr/>
        <w:t>440101-2024-04122</w:t>
      </w:r>
    </w:p>
    <w:p>
      <w:pPr>
        <w:pStyle w:val="null3"/>
        <w:ind w:firstLine="480"/>
      </w:pPr>
      <w:r>
        <w:rPr/>
        <w:t>采购项目编号：</w:t>
      </w:r>
      <w:r>
        <w:rPr/>
        <w:t>CZ2024-0352</w:t>
      </w:r>
    </w:p>
    <w:p>
      <w:pPr>
        <w:pStyle w:val="null3"/>
        <w:ind w:firstLine="480"/>
      </w:pPr>
      <w:r>
        <w:rPr/>
        <w:t>采购方式：</w:t>
      </w:r>
      <w:r>
        <w:rPr/>
        <w:t>公开招标</w:t>
      </w:r>
    </w:p>
    <w:p>
      <w:pPr>
        <w:pStyle w:val="null3"/>
        <w:ind w:firstLine="480"/>
      </w:pPr>
      <w:r>
        <w:rPr/>
        <w:t>预算金额：</w:t>
      </w:r>
      <w:r>
        <w:rPr/>
        <w:t>13,229,963.00</w:t>
      </w:r>
      <w:r>
        <w:rPr/>
        <w:t>元</w:t>
      </w:r>
    </w:p>
    <w:p>
      <w:pPr>
        <w:pStyle w:val="null3"/>
        <w:outlineLvl w:val="3"/>
      </w:pPr>
      <w:r>
        <w:rPr>
          <w:b/>
          <w:sz w:val="24"/>
        </w:rPr>
        <w:t>2.项目内容及需求情况（采购项目技术规格、参数及要求）</w:t>
      </w:r>
    </w:p>
    <w:p>
      <w:pPr>
        <w:pStyle w:val="null3"/>
      </w:pPr>
    </w:p>
    <w:p>
      <w:pPr>
        <w:pStyle w:val="null3"/>
      </w:pPr>
      <w:r>
        <w:rPr/>
        <w:t>采购包1(广州市数字政府运营中心2023年广州市智慧城市视频感知系统建设项目):</w:t>
      </w:r>
    </w:p>
    <w:p>
      <w:pPr>
        <w:pStyle w:val="null3"/>
      </w:pPr>
      <w:r>
        <w:rPr/>
        <w:t>采购包预算金额：13,229,963.00元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行业应用软件开发服务</w:t>
            </w:r>
          </w:p>
        </w:tc>
        <w:tc>
          <w:tcPr>
            <w:tcW w:type="dxa" w:w="2052"/>
          </w:tcPr>
          <w:p>
            <w:pPr>
              <w:pStyle w:val="null3"/>
            </w:pPr>
            <w:r>
              <w:rPr/>
              <w:t>广州市智慧城市视频感知系统开发服务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9,881,000.00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网络接入服务</w:t>
            </w:r>
          </w:p>
        </w:tc>
        <w:tc>
          <w:tcPr>
            <w:tcW w:type="dxa" w:w="2052"/>
          </w:tcPr>
          <w:p>
            <w:pPr>
              <w:pStyle w:val="null3"/>
            </w:pPr>
            <w:r>
              <w:rPr/>
              <w:t>城市视频传输网与政务外网连接专线</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492,963.00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数据加工处理服务</w:t>
            </w:r>
          </w:p>
        </w:tc>
        <w:tc>
          <w:tcPr>
            <w:tcW w:type="dxa" w:w="2052"/>
          </w:tcPr>
          <w:p>
            <w:pPr>
              <w:pStyle w:val="null3"/>
            </w:pPr>
            <w:r>
              <w:rPr/>
              <w:t>数据治理服务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2,856,000.00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合同履行期限：合同签订后  210  日历日内完成开发、调试，上线试运行三个月后进行合同验收</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依据《投标函》及其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p>
    <w:p>
      <w:pPr>
        <w:pStyle w:val="null3"/>
      </w:pPr>
      <w:r>
        <w:rPr/>
        <w:t>2）有依法缴纳税收和社会保障资金的良好记录：依据《投标函》。</w:t>
      </w:r>
    </w:p>
    <w:p>
      <w:pPr>
        <w:pStyle w:val="null3"/>
      </w:pPr>
    </w:p>
    <w:p>
      <w:pPr>
        <w:pStyle w:val="null3"/>
      </w:pPr>
      <w:r>
        <w:rPr/>
        <w:t>3）具有良好的商业信誉和健全的财务会计制度：依据《投标函》。</w:t>
      </w:r>
    </w:p>
    <w:p>
      <w:pPr>
        <w:pStyle w:val="null3"/>
      </w:pPr>
    </w:p>
    <w:p>
      <w:pPr>
        <w:pStyle w:val="null3"/>
      </w:pPr>
      <w:r>
        <w:rPr/>
        <w:t>4）履行合同所必需的设备和专业技术能力：依据《投标函》。</w:t>
      </w:r>
    </w:p>
    <w:p>
      <w:pPr>
        <w:pStyle w:val="null3"/>
      </w:pPr>
    </w:p>
    <w:p>
      <w:pPr>
        <w:pStyle w:val="null3"/>
      </w:pPr>
      <w:r>
        <w:rPr/>
        <w:t>5）参加采购活动前3年内，在经营活动中没有重大违法记录：依据《投标函》。</w:t>
      </w:r>
    </w:p>
    <w:p>
      <w:pPr>
        <w:pStyle w:val="null3"/>
        <w:outlineLvl w:val="3"/>
      </w:pPr>
      <w:r>
        <w:rPr>
          <w:b/>
          <w:sz w:val="24"/>
        </w:rPr>
        <w:t>2.落实政府采购政策需满足的资格要求：</w:t>
      </w:r>
    </w:p>
    <w:p>
      <w:pPr>
        <w:pStyle w:val="null3"/>
        <w:ind w:firstLine="480"/>
        <w:jc w:val="left"/>
      </w:pPr>
    </w:p>
    <w:p>
      <w:pPr>
        <w:pStyle w:val="null3"/>
        <w:jc w:val="left"/>
      </w:pPr>
      <w:r>
        <w:rPr/>
        <w:t>采购包1（广州市数字政府运营中心2023年广州市智慧城市视频感知系统建设项目）：</w:t>
      </w:r>
      <w:r>
        <w:rPr/>
        <w:t>本项目不属于专门面向中小微企业采购的项目。</w:t>
      </w:r>
    </w:p>
    <w:p>
      <w:pPr>
        <w:pStyle w:val="null3"/>
        <w:outlineLvl w:val="3"/>
      </w:pPr>
      <w:r>
        <w:rPr>
          <w:b/>
          <w:sz w:val="24"/>
        </w:rPr>
        <w:t>3.本项目特定的资格要求：</w:t>
      </w:r>
    </w:p>
    <w:p>
      <w:pPr>
        <w:pStyle w:val="null3"/>
      </w:pPr>
    </w:p>
    <w:p>
      <w:pPr>
        <w:pStyle w:val="null3"/>
      </w:pPr>
      <w:r>
        <w:rPr/>
        <w:t>采购包1（广州市数字政府运营中心2023年广州市智慧城市视频感知系统建设项目）：</w:t>
      </w:r>
    </w:p>
    <w:p>
      <w:pPr>
        <w:pStyle w:val="null3"/>
      </w:pPr>
    </w:p>
    <w:p>
      <w:pPr>
        <w:pStyle w:val="null3"/>
      </w:pPr>
      <w:r>
        <w:rPr/>
        <w:t>1)1.本项目不接受联合体投标。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、广州交易集团有限公司（http://www.gzggzy.cn）</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广州市数字政府运营中心（广州市政务大数据管理中心、广州市政府门户网站编辑部、广州市智慧城市运行中心）</w:t>
      </w:r>
    </w:p>
    <w:p>
      <w:pPr>
        <w:pStyle w:val="null3"/>
        <w:ind w:firstLine="480"/>
      </w:pPr>
      <w:r>
        <w:rPr/>
        <w:t>地址：</w:t>
      </w:r>
      <w:r>
        <w:rPr/>
        <w:t>广州市天河区穗园西街2号</w:t>
      </w:r>
    </w:p>
    <w:p>
      <w:pPr>
        <w:pStyle w:val="null3"/>
        <w:ind w:firstLine="480"/>
      </w:pPr>
      <w:r>
        <w:rPr/>
        <w:t>联系方式：</w:t>
      </w:r>
      <w:r>
        <w:rPr/>
        <w:t>89666543</w:t>
      </w:r>
    </w:p>
    <w:p>
      <w:pPr>
        <w:pStyle w:val="null3"/>
        <w:outlineLvl w:val="3"/>
      </w:pPr>
      <w:r>
        <w:rPr>
          <w:b/>
          <w:sz w:val="24"/>
        </w:rPr>
        <w:t>2.采购代理机构信息</w:t>
      </w:r>
    </w:p>
    <w:p>
      <w:pPr>
        <w:pStyle w:val="null3"/>
        <w:ind w:firstLine="480"/>
      </w:pPr>
      <w:r>
        <w:rPr/>
        <w:t>名称：</w:t>
      </w:r>
      <w:r>
        <w:rPr/>
        <w:t>广州市政府采购中心</w:t>
      </w:r>
    </w:p>
    <w:p>
      <w:pPr>
        <w:pStyle w:val="null3"/>
        <w:ind w:firstLine="480"/>
      </w:pPr>
      <w:r>
        <w:rPr/>
        <w:t>地址：</w:t>
      </w:r>
      <w:r>
        <w:rPr/>
        <w:t>广东省广州市天河区天润路333号</w:t>
      </w:r>
    </w:p>
    <w:p>
      <w:pPr>
        <w:pStyle w:val="null3"/>
        <w:ind w:firstLine="480"/>
      </w:pPr>
      <w:r>
        <w:rPr/>
        <w:t>联系方式：</w:t>
      </w:r>
      <w:r>
        <w:rPr/>
        <w:t>28866235、28866416、 28866163</w:t>
      </w:r>
    </w:p>
    <w:p>
      <w:pPr>
        <w:pStyle w:val="null3"/>
        <w:outlineLvl w:val="3"/>
      </w:pPr>
      <w:r>
        <w:rPr>
          <w:b/>
          <w:sz w:val="24"/>
        </w:rPr>
        <w:t>3.项目联系方式</w:t>
      </w:r>
    </w:p>
    <w:p>
      <w:pPr>
        <w:pStyle w:val="null3"/>
        <w:ind w:firstLine="480"/>
      </w:pPr>
      <w:r>
        <w:rPr/>
        <w:t>项目联系人：</w:t>
      </w:r>
      <w:r>
        <w:rPr/>
        <w:t>梁浩华（采购文件咨询）、黄碧妃（项目开标、评标咨询）、何晓蕾（质疑受理）</w:t>
      </w:r>
    </w:p>
    <w:p>
      <w:pPr>
        <w:pStyle w:val="null3"/>
        <w:ind w:firstLine="480"/>
      </w:pPr>
      <w:r>
        <w:rPr/>
        <w:t>电话：</w:t>
      </w:r>
      <w:r>
        <w:rPr/>
        <w:t>28866235、28866416、 28866163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广州市政府采购中心</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4"/>
        </w:rPr>
        <w:t>政策要求</w:t>
      </w:r>
    </w:p>
    <w:p>
      <w:pPr>
        <w:pStyle w:val="null3"/>
        <w:ind w:firstLine="480"/>
      </w:pPr>
      <w:r>
        <w:rPr>
          <w:sz w:val="24"/>
        </w:rPr>
        <w:t>★本次采购产品为非进口产品（进口产品指通过中国海关报关验放进入中国境内且产自关境外的产品）。</w:t>
      </w:r>
    </w:p>
    <w:p>
      <w:pPr>
        <w:pStyle w:val="null3"/>
        <w:ind w:firstLine="480"/>
        <w:jc w:val="both"/>
      </w:pPr>
      <w:r>
        <w:rPr>
          <w:sz w:val="24"/>
        </w:rPr>
        <w:t>（一）项目属性：服务类</w:t>
      </w:r>
    </w:p>
    <w:p>
      <w:pPr>
        <w:pStyle w:val="null3"/>
        <w:ind w:firstLine="480"/>
        <w:jc w:val="both"/>
      </w:pPr>
      <w:r>
        <w:rPr>
          <w:sz w:val="24"/>
        </w:rPr>
        <w:t>（二）采购预算（最高限价）：人民币</w:t>
      </w:r>
      <w:r>
        <w:rPr>
          <w:sz w:val="24"/>
          <w:u w:val="single"/>
        </w:rPr>
        <w:t xml:space="preserve">1322.9963   </w:t>
      </w:r>
      <w:r>
        <w:rPr>
          <w:sz w:val="24"/>
        </w:rPr>
        <w:t>万元。</w:t>
      </w:r>
    </w:p>
    <w:p>
      <w:pPr>
        <w:pStyle w:val="null3"/>
      </w:pPr>
      <w:r>
        <w:rPr>
          <w:sz w:val="24"/>
        </w:rPr>
        <w:t>（三）本项目属于不专门面向中小微企业预留采购份额的项目，原因和情形为：</w:t>
      </w:r>
    </w:p>
    <w:p>
      <w:pPr>
        <w:pStyle w:val="null3"/>
      </w:pPr>
      <w:r>
        <w:rPr>
          <w:sz w:val="24"/>
        </w:rPr>
        <w:t>按照《政府采购促进中小企业发展管理办法》规定预留采购份额无法确保充分供应、充分竞争，或者存在可能影响政府采购目标实现的情形。</w:t>
      </w:r>
    </w:p>
    <w:p>
      <w:pPr>
        <w:pStyle w:val="null3"/>
        <w:ind w:firstLine="480"/>
        <w:jc w:val="both"/>
      </w:pPr>
    </w:p>
    <w:p>
      <w:pPr>
        <w:pStyle w:val="null3"/>
        <w:ind w:firstLine="480"/>
        <w:jc w:val="both"/>
      </w:pPr>
      <w:r>
        <w:rPr>
          <w:b/>
        </w:rPr>
        <w:t xml:space="preserve">   </w:t>
      </w:r>
      <w:r>
        <w:rPr>
          <w:b/>
          <w:sz w:val="24"/>
        </w:rPr>
        <w:t>二、项目内容</w:t>
      </w:r>
    </w:p>
    <w:p>
      <w:pPr>
        <w:pStyle w:val="null3"/>
        <w:ind w:firstLine="480"/>
        <w:jc w:val="both"/>
      </w:pPr>
      <w:r>
        <w:rPr>
          <w:sz w:val="24"/>
        </w:rPr>
        <w:t>系统现状：</w:t>
      </w:r>
    </w:p>
    <w:p>
      <w:pPr>
        <w:pStyle w:val="null3"/>
        <w:ind w:firstLine="480"/>
        <w:jc w:val="both"/>
      </w:pPr>
      <w:r>
        <w:rPr>
          <w:sz w:val="24"/>
        </w:rPr>
        <w:t>1.</w:t>
      </w:r>
      <w:r>
        <w:rPr>
          <w:sz w:val="24"/>
        </w:rPr>
        <w:t>广州市数字政府运营中心现存两个平台为全市视频接入、共享提供服务，一个是“广州市城市管理智能化视频系统云平台”（简称：城管云平台），主要提供共享、转发能力</w:t>
      </w:r>
      <w:r>
        <w:rPr>
          <w:sz w:val="24"/>
        </w:rPr>
        <w:t>，部署在广州市电子政务外网</w:t>
      </w:r>
      <w:r>
        <w:rPr>
          <w:sz w:val="24"/>
        </w:rPr>
        <w:t>；另一个是</w:t>
      </w:r>
      <w:r>
        <w:rPr>
          <w:sz w:val="24"/>
        </w:rPr>
        <w:t>“广州市社会重点单位视频资源整合平台”，平台主要提供社会面视频接入、转码、整合能力</w:t>
      </w:r>
      <w:r>
        <w:rPr>
          <w:sz w:val="24"/>
        </w:rPr>
        <w:t>，部署在电信运营商专网</w:t>
      </w:r>
      <w:r>
        <w:rPr>
          <w:sz w:val="24"/>
        </w:rPr>
        <w:t>。随着视频资源的接入和共享范围的扩大，视频资源接入、共享数量逐渐增多，导致系统接入负载压力过大、运行出现崩溃等问题，已经影响到平台用户的日常使用。特别是近两年来，由于全市信息化提速发展，各单位对视频资源使用的需求愈发增长，因此重新规划实现支撑各政府部门城市管理的专业业务应用的视频接入、视频共享转发能力高效、可靠的核心平台，满足向上与省视频平台进行对接，向下汇聚各个区视频感知资源，接入整合社会面视频资源，横向与各个业务部门对接服务的支撑需求。</w:t>
      </w:r>
    </w:p>
    <w:p>
      <w:pPr>
        <w:pStyle w:val="null3"/>
        <w:ind w:firstLine="480"/>
        <w:jc w:val="both"/>
      </w:pPr>
      <w:r>
        <w:rPr>
          <w:sz w:val="24"/>
        </w:rPr>
        <w:t>2.2020</w:t>
      </w:r>
      <w:r>
        <w:rPr>
          <w:sz w:val="24"/>
        </w:rPr>
        <w:t>年由市公安局建设的“城市视频专网”，</w:t>
      </w:r>
      <w:r>
        <w:rPr>
          <w:sz w:val="24"/>
        </w:rPr>
        <w:t>是与广州市电子政务外网物理隔离的独立专网，</w:t>
      </w:r>
      <w:r>
        <w:rPr>
          <w:sz w:val="24"/>
        </w:rPr>
        <w:t>于</w:t>
      </w:r>
      <w:r>
        <w:rPr>
          <w:sz w:val="24"/>
        </w:rPr>
        <w:t>2023</w:t>
      </w:r>
      <w:r>
        <w:rPr>
          <w:sz w:val="24"/>
        </w:rPr>
        <w:t>年完成“分网分域”工作，原“城市视频专网”通过逻辑隔离分为“公安视频传输网”和“城市视频传输网”。</w:t>
      </w:r>
    </w:p>
    <w:p>
      <w:pPr>
        <w:pStyle w:val="null3"/>
        <w:ind w:firstLine="480"/>
        <w:jc w:val="both"/>
      </w:pPr>
      <w:r>
        <w:rPr>
          <w:sz w:val="24"/>
        </w:rPr>
        <w:t>本期内容：本期项目</w:t>
      </w:r>
      <w:r>
        <w:rPr>
          <w:sz w:val="24"/>
        </w:rPr>
        <w:t>新建的</w:t>
      </w:r>
      <w:r>
        <w:rPr>
          <w:sz w:val="24"/>
        </w:rPr>
        <w:t>“广州市智慧城市视频感知系统”，将部署于“城市视频传输网”及“广州市电子政务外网”当中</w:t>
      </w:r>
      <w:r>
        <w:rPr>
          <w:sz w:val="24"/>
        </w:rPr>
        <w:t>，</w:t>
      </w:r>
      <w:r>
        <w:rPr>
          <w:sz w:val="24"/>
        </w:rPr>
        <w:t>根据《全国一体化政务大数据体系建设指南》（国办函〔</w:t>
      </w:r>
      <w:r>
        <w:rPr>
          <w:sz w:val="24"/>
        </w:rPr>
        <w:t>2022</w:t>
      </w:r>
      <w:r>
        <w:rPr>
          <w:sz w:val="24"/>
        </w:rPr>
        <w:t>〕</w:t>
      </w:r>
      <w:r>
        <w:rPr>
          <w:sz w:val="24"/>
        </w:rPr>
        <w:t>102</w:t>
      </w:r>
      <w:r>
        <w:rPr>
          <w:sz w:val="24"/>
        </w:rPr>
        <w:t>号）、《广东省公共数据管理办法》（粤府令第</w:t>
      </w:r>
      <w:r>
        <w:rPr>
          <w:sz w:val="24"/>
        </w:rPr>
        <w:t>290</w:t>
      </w:r>
      <w:r>
        <w:rPr>
          <w:sz w:val="24"/>
        </w:rPr>
        <w:t>号）、《广东省数字政府省域治理“一网统管”三年行动计划》（粤府办〔</w:t>
      </w:r>
      <w:r>
        <w:rPr>
          <w:sz w:val="24"/>
        </w:rPr>
        <w:t>2021</w:t>
      </w:r>
      <w:r>
        <w:rPr>
          <w:sz w:val="24"/>
        </w:rPr>
        <w:t>〕</w:t>
      </w:r>
      <w:r>
        <w:rPr>
          <w:sz w:val="24"/>
        </w:rPr>
        <w:t>15</w:t>
      </w:r>
      <w:r>
        <w:rPr>
          <w:sz w:val="24"/>
        </w:rPr>
        <w:t>号）要求实施并管理。</w:t>
      </w:r>
      <w:r>
        <w:rPr>
          <w:sz w:val="24"/>
        </w:rPr>
        <w:t>同时要求</w:t>
      </w:r>
      <w:r>
        <w:rPr>
          <w:sz w:val="24"/>
        </w:rPr>
        <w:t>与</w:t>
      </w:r>
      <w:r>
        <w:rPr>
          <w:sz w:val="24"/>
        </w:rPr>
        <w:t>“公安视频传输网”的</w:t>
      </w:r>
      <w:r>
        <w:rPr>
          <w:sz w:val="24"/>
        </w:rPr>
        <w:t>广州市</w:t>
      </w:r>
      <w:r>
        <w:rPr>
          <w:sz w:val="24"/>
        </w:rPr>
        <w:t>视频云平台进行对接，进一步提升数据资源</w:t>
      </w:r>
      <w:r>
        <w:rPr>
          <w:sz w:val="24"/>
        </w:rPr>
        <w:t>“一网共享”平台视频和物联感知数据共享支撑能力，构建全省一体化视频和物联感知数据共享管理体系，为各地各部门提供标准化、智能化视频和物联感知数据共享服务</w:t>
      </w:r>
      <w:r>
        <w:rPr>
          <w:sz w:val="24"/>
        </w:rPr>
        <w:t>。</w:t>
      </w:r>
    </w:p>
    <w:p>
      <w:pPr>
        <w:pStyle w:val="null3"/>
        <w:ind w:firstLine="480"/>
        <w:jc w:val="both"/>
      </w:pPr>
    </w:p>
    <w:p>
      <w:pPr>
        <w:pStyle w:val="null3"/>
        <w:ind w:firstLine="480"/>
        <w:jc w:val="both"/>
      </w:pPr>
      <w:r>
        <w:rPr>
          <w:b/>
        </w:rPr>
        <w:t xml:space="preserve">   </w:t>
      </w:r>
      <w:r>
        <w:rPr>
          <w:b/>
          <w:sz w:val="24"/>
        </w:rPr>
        <w:t>三、建设目标</w:t>
      </w:r>
    </w:p>
    <w:p>
      <w:pPr>
        <w:pStyle w:val="null3"/>
        <w:ind w:firstLine="480"/>
        <w:jc w:val="both"/>
      </w:pPr>
      <w:r>
        <w:rPr>
          <w:sz w:val="24"/>
        </w:rPr>
        <w:t>根据</w:t>
      </w:r>
      <w:r>
        <w:rPr>
          <w:sz w:val="24"/>
        </w:rPr>
        <w:t>广州市城市视频专网</w:t>
      </w:r>
      <w:r>
        <w:rPr>
          <w:sz w:val="24"/>
        </w:rPr>
        <w:t>“分网分域”和视频建设“十四五”规划</w:t>
      </w:r>
      <w:r>
        <w:rPr>
          <w:sz w:val="24"/>
        </w:rPr>
        <w:t>相关工作要求，建设广州市智慧城市视频感知系统。建设支撑卫生、防疫、文化、教育、水务、城建、环境、林业园林、交通、应急、海防、自然资源等城市管理的专业业务应用的视频接入，及视频共享转发能力高效、可靠的核心平台，为实现向上与省视频平台进行对接，向下汇聚各个区视频感知资源，接入整合社会面视频资源，横向与各个业务部门对接服务的支撑需求等，充分利用先进技术，对现有的视频感知资源进行接入及资源共享，使之成为广州市</w:t>
      </w:r>
      <w:r>
        <w:rPr>
          <w:sz w:val="24"/>
        </w:rPr>
        <w:t>“城市大脑”重要的核心能力层，支撑广州市城市管理、治安防控和反恐维稳等活动，有效提升城市综合治理的效能，为人民生活和经济发展保驾护航。</w:t>
      </w:r>
    </w:p>
    <w:p>
      <w:pPr>
        <w:pStyle w:val="null3"/>
        <w:ind w:firstLine="480"/>
        <w:jc w:val="both"/>
      </w:pPr>
      <w:r>
        <w:rPr>
          <w:b/>
        </w:rPr>
        <w:t xml:space="preserve">   </w:t>
      </w:r>
      <w:r>
        <w:rPr>
          <w:b/>
          <w:sz w:val="24"/>
        </w:rPr>
        <w:t>四、标准规范</w:t>
      </w:r>
    </w:p>
    <w:p>
      <w:pPr>
        <w:pStyle w:val="null3"/>
        <w:ind w:firstLine="480"/>
        <w:jc w:val="both"/>
      </w:pPr>
      <w:r>
        <w:rPr>
          <w:sz w:val="24"/>
        </w:rPr>
        <w:t>（</w:t>
      </w:r>
      <w:r>
        <w:rPr>
          <w:sz w:val="24"/>
        </w:rPr>
        <w:t>P</w:t>
      </w:r>
      <w:r>
        <w:rPr>
          <w:sz w:val="24"/>
        </w:rPr>
        <w:t>）</w:t>
      </w:r>
      <w:r>
        <w:rPr>
          <w:sz w:val="24"/>
        </w:rPr>
        <w:t>GB/T 8567</w:t>
      </w:r>
      <w:r>
        <w:rPr>
          <w:sz w:val="24"/>
        </w:rPr>
        <w:t>计算机软件文档编制规范；</w:t>
      </w:r>
    </w:p>
    <w:p>
      <w:pPr>
        <w:pStyle w:val="null3"/>
        <w:ind w:firstLine="480"/>
        <w:jc w:val="both"/>
      </w:pPr>
      <w:r>
        <w:rPr>
          <w:sz w:val="24"/>
        </w:rPr>
        <w:t>（</w:t>
      </w:r>
      <w:r>
        <w:rPr>
          <w:sz w:val="24"/>
        </w:rPr>
        <w:t>P</w:t>
      </w:r>
      <w:r>
        <w:rPr>
          <w:sz w:val="24"/>
        </w:rPr>
        <w:t>）</w:t>
      </w:r>
      <w:r>
        <w:rPr>
          <w:sz w:val="24"/>
        </w:rPr>
        <w:t>GB/T 9385</w:t>
      </w:r>
      <w:r>
        <w:rPr>
          <w:sz w:val="24"/>
        </w:rPr>
        <w:t>计算机软件需求规格说明规范</w:t>
      </w:r>
    </w:p>
    <w:p>
      <w:pPr>
        <w:pStyle w:val="null3"/>
        <w:ind w:firstLine="480"/>
        <w:jc w:val="both"/>
      </w:pPr>
      <w:r>
        <w:rPr>
          <w:sz w:val="24"/>
        </w:rPr>
        <w:t>（</w:t>
      </w:r>
      <w:r>
        <w:rPr>
          <w:sz w:val="24"/>
        </w:rPr>
        <w:t>P</w:t>
      </w:r>
      <w:r>
        <w:rPr>
          <w:sz w:val="24"/>
        </w:rPr>
        <w:t>）</w:t>
      </w:r>
      <w:r>
        <w:rPr>
          <w:sz w:val="24"/>
        </w:rPr>
        <w:t>GB/T 9386</w:t>
      </w:r>
      <w:r>
        <w:rPr>
          <w:sz w:val="24"/>
        </w:rPr>
        <w:t>计算机软件测试文档编制规范</w:t>
      </w:r>
    </w:p>
    <w:p>
      <w:pPr>
        <w:pStyle w:val="null3"/>
        <w:ind w:firstLine="480"/>
        <w:jc w:val="both"/>
      </w:pPr>
      <w:r>
        <w:rPr>
          <w:sz w:val="24"/>
        </w:rPr>
        <w:t>（</w:t>
      </w:r>
      <w:r>
        <w:rPr>
          <w:sz w:val="24"/>
        </w:rPr>
        <w:t>P</w:t>
      </w:r>
      <w:r>
        <w:rPr>
          <w:sz w:val="24"/>
        </w:rPr>
        <w:t>）</w:t>
      </w:r>
      <w:r>
        <w:rPr>
          <w:sz w:val="24"/>
        </w:rPr>
        <w:t>GB/T 15532</w:t>
      </w:r>
      <w:r>
        <w:rPr>
          <w:sz w:val="24"/>
        </w:rPr>
        <w:t>计算机软件测试规范</w:t>
      </w:r>
    </w:p>
    <w:p>
      <w:pPr>
        <w:pStyle w:val="null3"/>
        <w:ind w:firstLine="480"/>
        <w:jc w:val="both"/>
      </w:pPr>
      <w:r>
        <w:rPr>
          <w:sz w:val="24"/>
        </w:rPr>
        <w:t>（</w:t>
      </w:r>
      <w:r>
        <w:rPr>
          <w:sz w:val="24"/>
        </w:rPr>
        <w:t>P</w:t>
      </w:r>
      <w:r>
        <w:rPr>
          <w:sz w:val="24"/>
        </w:rPr>
        <w:t>）</w:t>
      </w:r>
      <w:r>
        <w:rPr>
          <w:sz w:val="24"/>
        </w:rPr>
        <w:t>GB/T 28035</w:t>
      </w:r>
      <w:r>
        <w:rPr>
          <w:sz w:val="24"/>
        </w:rPr>
        <w:t>软件系统验收规范</w:t>
      </w:r>
    </w:p>
    <w:p>
      <w:pPr>
        <w:pStyle w:val="null3"/>
        <w:ind w:firstLine="480"/>
        <w:jc w:val="both"/>
      </w:pPr>
      <w:r>
        <w:rPr>
          <w:sz w:val="24"/>
        </w:rPr>
        <w:t>（</w:t>
      </w:r>
      <w:r>
        <w:rPr>
          <w:sz w:val="24"/>
        </w:rPr>
        <w:t>P</w:t>
      </w:r>
      <w:r>
        <w:rPr>
          <w:sz w:val="24"/>
        </w:rPr>
        <w:t>）</w:t>
      </w:r>
      <w:r>
        <w:rPr>
          <w:sz w:val="24"/>
        </w:rPr>
        <w:t>SJ/T 10367</w:t>
      </w:r>
      <w:r>
        <w:rPr>
          <w:sz w:val="24"/>
        </w:rPr>
        <w:t>计算机过程控制软件开发规程</w:t>
      </w:r>
    </w:p>
    <w:p>
      <w:pPr>
        <w:pStyle w:val="null3"/>
        <w:ind w:firstLine="480"/>
        <w:jc w:val="both"/>
      </w:pPr>
      <w:r>
        <w:rPr>
          <w:sz w:val="24"/>
        </w:rPr>
        <w:t>（</w:t>
      </w:r>
      <w:r>
        <w:rPr>
          <w:sz w:val="24"/>
        </w:rPr>
        <w:t>P</w:t>
      </w:r>
      <w:r>
        <w:rPr>
          <w:sz w:val="24"/>
        </w:rPr>
        <w:t>）</w:t>
      </w:r>
      <w:r>
        <w:rPr>
          <w:sz w:val="24"/>
        </w:rPr>
        <w:t>SJ 20822</w:t>
      </w:r>
      <w:r>
        <w:rPr>
          <w:sz w:val="24"/>
        </w:rPr>
        <w:t>信息技术 软件维护</w:t>
      </w:r>
    </w:p>
    <w:p>
      <w:pPr>
        <w:pStyle w:val="null3"/>
        <w:ind w:firstLine="480"/>
        <w:jc w:val="both"/>
      </w:pPr>
      <w:r>
        <w:rPr>
          <w:sz w:val="24"/>
        </w:rPr>
        <w:t>（</w:t>
      </w:r>
      <w:r>
        <w:rPr>
          <w:sz w:val="24"/>
        </w:rPr>
        <w:t>P</w:t>
      </w:r>
      <w:r>
        <w:rPr>
          <w:sz w:val="24"/>
        </w:rPr>
        <w:t>）其他计算机软件相关标准</w:t>
      </w:r>
    </w:p>
    <w:p>
      <w:pPr>
        <w:pStyle w:val="null3"/>
        <w:ind w:firstLine="480"/>
        <w:jc w:val="both"/>
      </w:pPr>
      <w:r>
        <w:rPr>
          <w:sz w:val="24"/>
        </w:rPr>
        <w:t>（</w:t>
      </w:r>
      <w:r>
        <w:rPr>
          <w:sz w:val="24"/>
        </w:rPr>
        <w:t>P</w:t>
      </w:r>
      <w:r>
        <w:rPr>
          <w:sz w:val="24"/>
        </w:rPr>
        <w:t>）</w:t>
      </w:r>
      <w:r>
        <w:rPr>
          <w:sz w:val="24"/>
        </w:rPr>
        <w:t>GB 35114</w:t>
      </w:r>
      <w:r>
        <w:rPr>
          <w:sz w:val="24"/>
        </w:rPr>
        <w:t>公共安全视频监控联网信息安全技术要求</w:t>
      </w:r>
    </w:p>
    <w:p>
      <w:pPr>
        <w:pStyle w:val="null3"/>
        <w:ind w:firstLine="480"/>
        <w:jc w:val="both"/>
      </w:pPr>
      <w:r>
        <w:rPr>
          <w:sz w:val="24"/>
        </w:rPr>
        <w:t>（</w:t>
      </w:r>
      <w:r>
        <w:rPr>
          <w:sz w:val="24"/>
        </w:rPr>
        <w:t>P</w:t>
      </w:r>
      <w:r>
        <w:rPr>
          <w:sz w:val="24"/>
        </w:rPr>
        <w:t>）</w:t>
      </w:r>
      <w:r>
        <w:rPr>
          <w:sz w:val="24"/>
        </w:rPr>
        <w:t>GB/T28181</w:t>
      </w:r>
      <w:r>
        <w:rPr>
          <w:sz w:val="24"/>
        </w:rPr>
        <w:t>安全防范视频监控联网系统信息传输、交换、控制技术要求</w:t>
      </w:r>
    </w:p>
    <w:p>
      <w:pPr>
        <w:pStyle w:val="null3"/>
        <w:ind w:firstLine="480"/>
        <w:jc w:val="both"/>
      </w:pPr>
      <w:r>
        <w:rPr>
          <w:sz w:val="24"/>
        </w:rPr>
        <w:t>（</w:t>
      </w:r>
      <w:r>
        <w:rPr>
          <w:sz w:val="24"/>
        </w:rPr>
        <w:t>P</w:t>
      </w:r>
      <w:r>
        <w:rPr>
          <w:sz w:val="24"/>
        </w:rPr>
        <w:t>）</w:t>
      </w:r>
      <w:r>
        <w:rPr>
          <w:sz w:val="24"/>
        </w:rPr>
        <w:t>GA/T</w:t>
      </w:r>
      <w:r>
        <w:rPr/>
        <w:t xml:space="preserve"> </w:t>
      </w:r>
      <w:r>
        <w:rPr>
          <w:sz w:val="24"/>
        </w:rPr>
        <w:t>1400</w:t>
      </w:r>
      <w:r>
        <w:rPr/>
        <w:t xml:space="preserve"> </w:t>
      </w:r>
      <w:r>
        <w:rPr>
          <w:sz w:val="24"/>
        </w:rPr>
        <w:t>公安视频图像信息应用系统</w:t>
      </w:r>
    </w:p>
    <w:p>
      <w:pPr>
        <w:pStyle w:val="null3"/>
        <w:ind w:firstLine="480"/>
        <w:jc w:val="both"/>
      </w:pPr>
      <w:r>
        <w:rPr>
          <w:sz w:val="24"/>
        </w:rPr>
        <w:t>（</w:t>
      </w:r>
      <w:r>
        <w:rPr>
          <w:sz w:val="24"/>
        </w:rPr>
        <w:t>P</w:t>
      </w:r>
      <w:r>
        <w:rPr>
          <w:sz w:val="24"/>
        </w:rPr>
        <w:t>）</w:t>
      </w:r>
      <w:r>
        <w:rPr>
          <w:sz w:val="24"/>
        </w:rPr>
        <w:t>GB/T 25724</w:t>
      </w:r>
      <w:r>
        <w:rPr>
          <w:sz w:val="24"/>
        </w:rPr>
        <w:t>安全防范监控数字视音频编解码技术要求</w:t>
      </w:r>
    </w:p>
    <w:p>
      <w:pPr>
        <w:pStyle w:val="null3"/>
        <w:ind w:firstLine="480"/>
        <w:jc w:val="both"/>
      </w:pPr>
      <w:r>
        <w:rPr>
          <w:sz w:val="24"/>
        </w:rPr>
        <w:t>（</w:t>
      </w:r>
      <w:r>
        <w:rPr>
          <w:sz w:val="24"/>
        </w:rPr>
        <w:t>P</w:t>
      </w:r>
      <w:r>
        <w:rPr>
          <w:sz w:val="24"/>
        </w:rPr>
        <w:t>）广州市政务信息化项目验收管理细则</w:t>
      </w:r>
      <w:r>
        <w:rPr>
          <w:sz w:val="24"/>
        </w:rPr>
        <w:t>(</w:t>
      </w:r>
      <w:r>
        <w:rPr>
          <w:sz w:val="24"/>
        </w:rPr>
        <w:t>穗政数〔</w:t>
      </w:r>
      <w:r>
        <w:rPr>
          <w:sz w:val="24"/>
        </w:rPr>
        <w:t>2023</w:t>
      </w:r>
      <w:r>
        <w:rPr>
          <w:sz w:val="24"/>
        </w:rPr>
        <w:t>〕</w:t>
      </w:r>
      <w:r>
        <w:rPr>
          <w:sz w:val="24"/>
        </w:rPr>
        <w:t>20</w:t>
      </w:r>
      <w:r>
        <w:rPr>
          <w:sz w:val="24"/>
        </w:rPr>
        <w:t>号</w:t>
      </w:r>
      <w:r>
        <w:rPr>
          <w:sz w:val="24"/>
        </w:rPr>
        <w:t>)</w:t>
      </w:r>
    </w:p>
    <w:p>
      <w:pPr>
        <w:pStyle w:val="null3"/>
        <w:ind w:firstLine="480"/>
        <w:jc w:val="both"/>
      </w:pPr>
      <w:r>
        <w:rPr>
          <w:b/>
        </w:rPr>
        <w:t xml:space="preserve">   </w:t>
      </w:r>
      <w:r>
        <w:rPr>
          <w:b/>
          <w:sz w:val="24"/>
        </w:rPr>
        <w:t>五、技术实现方法和路线</w:t>
      </w:r>
    </w:p>
    <w:p>
      <w:pPr>
        <w:pStyle w:val="null3"/>
        <w:ind w:firstLine="420"/>
        <w:jc w:val="both"/>
      </w:pPr>
      <w:r>
        <w:rPr>
          <w:sz w:val="24"/>
        </w:rPr>
        <w:t>（一）系统开发环境：</w:t>
      </w:r>
      <w:r>
        <w:rPr>
          <w:sz w:val="24"/>
          <w:u w:val="single"/>
        </w:rPr>
        <w:t>采购银河麒麟操作系统</w:t>
      </w:r>
      <w:r>
        <w:rPr>
          <w:sz w:val="24"/>
        </w:rPr>
        <w:t>；</w:t>
      </w:r>
    </w:p>
    <w:p>
      <w:pPr>
        <w:pStyle w:val="null3"/>
        <w:ind w:firstLine="420"/>
        <w:jc w:val="both"/>
      </w:pPr>
      <w:r>
        <w:rPr>
          <w:sz w:val="24"/>
        </w:rPr>
        <w:t>（二）开发语言与数据库：</w:t>
      </w:r>
      <w:r>
        <w:rPr>
          <w:sz w:val="24"/>
          <w:u w:val="single"/>
        </w:rPr>
        <w:t>java</w:t>
      </w:r>
      <w:r>
        <w:rPr>
          <w:sz w:val="24"/>
          <w:u w:val="single"/>
        </w:rPr>
        <w:t>、</w:t>
      </w:r>
      <w:r>
        <w:rPr>
          <w:sz w:val="24"/>
          <w:u w:val="single"/>
        </w:rPr>
        <w:t>C++</w:t>
      </w:r>
      <w:r>
        <w:rPr>
          <w:sz w:val="24"/>
          <w:u w:val="single"/>
        </w:rPr>
        <w:t>开发语言，采购高斯</w:t>
      </w:r>
      <w:r>
        <w:rPr>
          <w:sz w:val="24"/>
          <w:u w:val="single"/>
        </w:rPr>
        <w:t>/</w:t>
      </w:r>
      <w:r>
        <w:rPr>
          <w:sz w:val="24"/>
          <w:u w:val="single"/>
        </w:rPr>
        <w:t>达梦数据库等</w:t>
      </w:r>
      <w:r>
        <w:rPr>
          <w:sz w:val="24"/>
        </w:rPr>
        <w:t>；</w:t>
      </w:r>
    </w:p>
    <w:p>
      <w:pPr>
        <w:pStyle w:val="null3"/>
        <w:ind w:left="420" w:firstLine="480"/>
        <w:jc w:val="both"/>
      </w:pPr>
      <w:r>
        <w:rPr>
          <w:sz w:val="24"/>
        </w:rPr>
        <w:t>（三）系统结构。</w:t>
      </w:r>
    </w:p>
    <w:p>
      <w:pPr>
        <w:pStyle w:val="null3"/>
        <w:ind w:left="855" w:firstLine="480"/>
        <w:jc w:val="both"/>
      </w:pPr>
      <w:r>
        <w:rPr>
          <w:sz w:val="24"/>
        </w:rPr>
        <w:t>（</w:t>
      </w:r>
      <w:r>
        <w:rPr>
          <w:sz w:val="24"/>
        </w:rPr>
        <w:t>P</w:t>
      </w:r>
      <w:r>
        <w:rPr>
          <w:sz w:val="24"/>
        </w:rPr>
        <w:t>）</w:t>
      </w:r>
      <w:r>
        <w:rPr>
          <w:sz w:val="24"/>
        </w:rPr>
        <w:t>C/S</w:t>
      </w:r>
      <w:r>
        <w:rPr>
          <w:sz w:val="24"/>
        </w:rPr>
        <w:t>与</w:t>
      </w:r>
      <w:r>
        <w:rPr>
          <w:sz w:val="24"/>
        </w:rPr>
        <w:t>B/S</w:t>
      </w:r>
      <w:r>
        <w:rPr>
          <w:sz w:val="24"/>
        </w:rPr>
        <w:t>结合；</w:t>
      </w:r>
    </w:p>
    <w:p>
      <w:pPr>
        <w:pStyle w:val="null3"/>
        <w:ind w:left="420" w:firstLine="480"/>
        <w:jc w:val="both"/>
      </w:pPr>
      <w:r>
        <w:rPr>
          <w:sz w:val="24"/>
        </w:rPr>
        <w:t>（四）系统部署环境要求</w:t>
      </w:r>
    </w:p>
    <w:p>
      <w:pPr>
        <w:pStyle w:val="null3"/>
        <w:ind w:left="855" w:firstLine="480"/>
        <w:jc w:val="both"/>
      </w:pPr>
      <w:r>
        <w:rPr>
          <w:sz w:val="24"/>
        </w:rPr>
        <w:t>部署在广州市政数局政务云（视频传输网专区及政务外网区）。</w:t>
      </w:r>
    </w:p>
    <w:p>
      <w:pPr>
        <w:pStyle w:val="null3"/>
        <w:ind w:firstLine="480"/>
        <w:jc w:val="both"/>
      </w:pPr>
      <w:r>
        <w:rPr>
          <w:b/>
        </w:rPr>
        <w:t xml:space="preserve">   </w:t>
      </w:r>
      <w:r>
        <w:rPr>
          <w:b/>
          <w:sz w:val="24"/>
        </w:rPr>
        <w:t>六、系统功能要求</w:t>
      </w:r>
    </w:p>
    <w:p>
      <w:pPr>
        <w:pStyle w:val="null3"/>
        <w:ind w:firstLine="480"/>
        <w:jc w:val="both"/>
      </w:pPr>
      <w:r>
        <w:rPr>
          <w:sz w:val="24"/>
        </w:rPr>
        <w:t>（一）智慧城市视频感知系统功能要求</w:t>
      </w:r>
    </w:p>
    <w:p>
      <w:pPr>
        <w:pStyle w:val="null3"/>
        <w:ind w:firstLine="480"/>
        <w:jc w:val="both"/>
      </w:pPr>
      <w:r>
        <w:rPr>
          <w:sz w:val="24"/>
        </w:rPr>
        <w:t>1</w:t>
      </w:r>
      <w:r>
        <w:rPr>
          <w:sz w:val="24"/>
        </w:rPr>
        <w:t>、定制软件开发功能要求：本项目软件开发服务建设内容参照国家电子政务外网管理中心《公共安全视频监控建设联网应用共享交换技术体系建设指南》相关标准和实际所需定制。具体功能要求如下表：</w:t>
      </w:r>
    </w:p>
    <w:tbl>
      <w:tblPr>
        <w:tblW w:w="0" w:type="auto"/>
        <w:tblBorders>
          <w:top w:val="none" w:color="000000" w:sz="4"/>
          <w:left w:val="none" w:color="000000" w:sz="4"/>
          <w:bottom w:val="none" w:color="000000" w:sz="4"/>
          <w:right w:val="none" w:color="000000" w:sz="4"/>
          <w:insideH w:val="none"/>
          <w:insideV w:val="none"/>
        </w:tblBorders>
      </w:tblPr>
      <w:tblGrid>
        <w:gridCol w:w="332"/>
        <w:gridCol w:w="588"/>
        <w:gridCol w:w="497"/>
        <w:gridCol w:w="241"/>
        <w:gridCol w:w="497"/>
        <w:gridCol w:w="6150"/>
      </w:tblGrid>
      <w:tr>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sz w:val="21"/>
              </w:rPr>
              <w:t>序号</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sz w:val="21"/>
              </w:rPr>
              <w:t>工作内容</w:t>
            </w:r>
          </w:p>
        </w:tc>
        <w:tc>
          <w:tcPr>
            <w:tcW w:type="dxa" w:w="738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sz w:val="21"/>
              </w:rPr>
              <w:t>开发需求说明</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sz w:val="21"/>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b/>
                <w:sz w:val="21"/>
              </w:rPr>
              <w:t>目录管理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1.1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行政区划目录树管理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目录节点管理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目录节点管理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将目录分类为基础资源目录，部门资源目录和主题资源目录。创建委办局用户组的时候同步创建一个同名的部门资源目录。支持政数局和运营人员创建修改政数局的主题资源目录和区域。支持委办局用户组修改部门资源目录，支持委办局用户组创建和修改主题资源目录和区域。</w:t>
            </w:r>
          </w:p>
          <w:p>
            <w:pPr>
              <w:pStyle w:val="null3"/>
              <w:ind w:firstLine="480"/>
              <w:jc w:val="both"/>
            </w:pPr>
            <w:r>
              <w:rPr>
                <w:sz w:val="21"/>
              </w:rPr>
              <w:t>支持政数、运营、委办用户根据需要自行创建编辑主题资源目录，委办局用户创建的目录同一委办局下的所有用户都有权限，政数局或运营人员创建的目录政数局或运营人员下的所有用户都有权限。新增和修改目录名称不能重复。</w:t>
            </w:r>
          </w:p>
          <w:p>
            <w:pPr>
              <w:pStyle w:val="null3"/>
              <w:ind w:firstLine="480"/>
              <w:jc w:val="both"/>
            </w:pPr>
            <w:r>
              <w:rPr>
                <w:sz w:val="21"/>
              </w:rPr>
              <w:t>支持创建一个主题目录自动创建一个同名的根节点，目录默认按照创建时间倒序排序；支持用户新增、批量添加、查看、修改、导入、导出、排序目录下的区域。</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设备关联</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设备关联</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选择已经添加的目录，支持通过整合前端各类视频资源，针对编码设备进行统一管理、配置、编辑及同步，支持手动或自动读取满足</w:t>
            </w:r>
            <w:r>
              <w:rPr>
                <w:sz w:val="21"/>
              </w:rPr>
              <w:t>GB/T 28181-2016</w:t>
            </w:r>
            <w:r>
              <w:rPr>
                <w:sz w:val="21"/>
              </w:rPr>
              <w:t>协议的设备的通道名称和通道编号的功能，同时支持批量导入导出编码设备，实现目录与设备关联，导入、导出字段相同使用如下字段列表（区域代码、区域名称、经度、纬度）</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权限控制</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权限控制</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平台支持按角色控制菜单的功能权限，不控制资源权限，即只要将该功能菜单授权给某个用户后，不管当前有没有资源权限都可看到全部信息</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目录筛选</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目录筛选</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按照资源名称和资源编码模糊搜索，支持按照资源目录、智能标签、管理单位、自定义标签进行多条件过滤查询，支持按目录名称快速筛选和定位；支持点击某个目录节点查看该行政区划下挂载的设备列表，设备列表支持按设备名称、设备编码、设备功能类型进行筛选；支持选定目录及下级目录挂载的设备资源全量导出或按筛选条件导出，导出的文档格式为</w:t>
            </w:r>
            <w:r>
              <w:rPr>
                <w:sz w:val="21"/>
              </w:rPr>
              <w:t>WPS</w:t>
            </w:r>
            <w:r>
              <w:rPr>
                <w:sz w:val="21"/>
              </w:rPr>
              <w:t>表格。</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1.2</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自定义目录树管理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系统树总览</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系统树总览</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按资源档案的分类</w:t>
            </w:r>
            <w:r>
              <w:rPr>
                <w:sz w:val="21"/>
              </w:rPr>
              <w:t>+</w:t>
            </w:r>
            <w:r>
              <w:rPr>
                <w:sz w:val="21"/>
              </w:rPr>
              <w:t>综合类展示每个分类下的当前系统拥有的自定义全局树的数量，列出创建的系统树的名称、所属分类、默认状态等信息。</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系统树目录编排</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系统树目录编排</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资源目录下的资源支持复制功能；部门资源目录下的资源支持复制到主题资源目录下、且支持从部门资源目录删除资源；主题资源目录下的资源支持复制</w:t>
            </w:r>
            <w:r>
              <w:rPr>
                <w:sz w:val="21"/>
              </w:rPr>
              <w:t>/</w:t>
            </w:r>
            <w:r>
              <w:rPr>
                <w:sz w:val="21"/>
              </w:rPr>
              <w:t>移动到其他主题目录下、支持从主题资源目录删除资源。</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系统树目录编辑</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系统树目录编辑</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支持对已经生成的全局系统树做二次编辑，包括目录节点结构的编辑和对接的上挂载的资源的编辑管理。</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一键删除</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一键删除</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支持对已创建的自定义目录树管理进行批量删除操作。</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系统树默认设置</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系统树默认设置</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某一类型的系统树支持将其中一个设置为默认树，这样其他应用调用该类型的系统树时默认为获取该默认树，若该类型没有设置默认树则表示该类型没有开放供其他应用调用的系统树。</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1.3</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目录管理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资源目录填报</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资源目录填报　</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平台通过对资源目录信息进行输入、校验、审核，在信息输入的过程中对数据进行准确性和权威性校验，并经过平台管理员合理性审核，最终生成资源目录信息；支持对校验未通过、校验通过、待审核、审核通过、审核驳回的资源进行多维查询和统计；支持采集标准规范的字段上下架管理；</w:t>
            </w:r>
          </w:p>
          <w:p>
            <w:pPr>
              <w:pStyle w:val="null3"/>
              <w:ind w:firstLine="480"/>
              <w:jc w:val="left"/>
            </w:pPr>
            <w:r>
              <w:rPr>
                <w:sz w:val="21"/>
              </w:rPr>
              <w:t>支持资源填报说明和资源目录填报指引。支持按照视频共享交换协议标准的查询和订阅通知接口从本级视频调阅系统进行获取资源目录信息。</w:t>
            </w:r>
          </w:p>
          <w:p>
            <w:pPr>
              <w:pStyle w:val="null3"/>
              <w:ind w:firstLine="480"/>
              <w:jc w:val="both"/>
            </w:pPr>
            <w:r>
              <w:rPr>
                <w:sz w:val="21"/>
              </w:rPr>
              <w:t>支持按照视频共享交换协议标准的查询和订阅通知接口从下级目录管理系统获取资源目录信息，基于从本级视频调阅系统获取的资源目录信息条目和基础属性信息，补充更新资源目录信息附加属性信息。　</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目录标准规范</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目录标准规范</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在目录管理中支持视频点位的标准规范字段的查看，规范的展示字段包括字段名称，字段描述、是否必填、字段类型，字段长度，是否上架；</w:t>
            </w:r>
          </w:p>
          <w:p>
            <w:pPr>
              <w:pStyle w:val="null3"/>
              <w:ind w:firstLine="480"/>
              <w:jc w:val="left"/>
            </w:pPr>
            <w:r>
              <w:rPr>
                <w:sz w:val="21"/>
              </w:rPr>
              <w:t>支持按照属性分类基本属性，管理属性、位置属性和业务属性查询标准规范的字段；支持对标准规范字段按照个性化、已上架和全量的方式进行导出；</w:t>
            </w:r>
          </w:p>
          <w:p>
            <w:pPr>
              <w:pStyle w:val="null3"/>
              <w:ind w:firstLine="480"/>
              <w:jc w:val="both"/>
            </w:pPr>
            <w:r>
              <w:rPr>
                <w:sz w:val="21"/>
              </w:rPr>
              <w:t>支持政数局和运营人员对视频点位的采集标准规范进行是否必填，上下架操作，视频点位采集标准规范的修改，在资源采集模块进行资源填报的时候将会使用最新的标准规范进行数据校验。</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一机一档</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2.1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自定义资产档案</w:t>
            </w:r>
          </w:p>
        </w:tc>
        <w:tc>
          <w:tcPr>
            <w:tcW w:type="dxa" w:w="7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自定义资产档案</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档案定义</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系统内置多个常用的模型，支持模型的新增、导入、导出功能。支持根据模型名称、标识开展查询应用。系统面向指定资源模型进行属性管理、属性管理维护、实例添加功能。</w:t>
            </w:r>
          </w:p>
          <w:p>
            <w:pPr>
              <w:pStyle w:val="null3"/>
              <w:ind w:firstLine="480"/>
              <w:jc w:val="both"/>
            </w:pPr>
            <w:r>
              <w:rPr>
                <w:sz w:val="21"/>
              </w:rPr>
              <w:t>属性管理：支持属性新增、编辑、排序、删除功能；支持按照属性名称、</w:t>
            </w:r>
            <w:r>
              <w:rPr>
                <w:sz w:val="21"/>
              </w:rPr>
              <w:t>id</w:t>
            </w:r>
            <w:r>
              <w:rPr>
                <w:sz w:val="21"/>
              </w:rPr>
              <w:t>开展查询应用。系统支持按照是否必填、是否只读、是否唯一、是否敏感信息开展排序应用。</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档案表生成</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支持新增单个设备的档案，新增过程中直接对填写的信息进行校验；并支持通过复制现有档案的方式新建档案。</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档案定义管理</w:t>
            </w:r>
          </w:p>
        </w:tc>
        <w:tc>
          <w:tcPr>
            <w:tcW w:type="dxa" w:w="615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480"/>
              <w:jc w:val="both"/>
            </w:pPr>
            <w:r>
              <w:rPr>
                <w:sz w:val="21"/>
              </w:rPr>
              <w:t>支持按照档案名称、编码、</w:t>
            </w:r>
            <w:r>
              <w:rPr>
                <w:sz w:val="21"/>
              </w:rPr>
              <w:t>ip</w:t>
            </w:r>
            <w:r>
              <w:rPr>
                <w:sz w:val="21"/>
              </w:rPr>
              <w:t>地址检索监控点档案。支持通道数量、一类点位数、二类点位数、三类点位数、视频监控数、人员卡口数、车辆卡口数的统计功能。</w:t>
            </w:r>
          </w:p>
          <w:p>
            <w:pPr>
              <w:pStyle w:val="null3"/>
              <w:ind w:firstLine="480"/>
              <w:jc w:val="both"/>
            </w:pPr>
            <w:r>
              <w:rPr>
                <w:sz w:val="21"/>
              </w:rPr>
              <w:t>支持按照基本属性、管理属性、场所属性几个维度进行多条件组合查询的功能。</w:t>
            </w:r>
          </w:p>
          <w:p>
            <w:pPr>
              <w:pStyle w:val="null3"/>
              <w:ind w:firstLine="480"/>
              <w:jc w:val="both"/>
            </w:pPr>
            <w:r>
              <w:rPr>
                <w:sz w:val="21"/>
              </w:rPr>
              <w:t>基本属性包含但不限于：设备名称、</w:t>
            </w:r>
            <w:r>
              <w:rPr>
                <w:sz w:val="21"/>
              </w:rPr>
              <w:t>ip</w:t>
            </w:r>
            <w:r>
              <w:rPr>
                <w:sz w:val="21"/>
              </w:rPr>
              <w:t>地址、设备编码、监控点位类型、摄像机功能类型、设备厂商、资产状态、行政区域。</w:t>
            </w:r>
          </w:p>
          <w:p>
            <w:pPr>
              <w:pStyle w:val="null3"/>
              <w:ind w:firstLine="480"/>
              <w:jc w:val="both"/>
            </w:pPr>
            <w:r>
              <w:rPr>
                <w:sz w:val="21"/>
              </w:rPr>
              <w:t>场所属性：检查站、中心广场、车站码头等重点区域目录。</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档案定义管理</w:t>
            </w:r>
          </w:p>
        </w:tc>
        <w:tc>
          <w:tcPr>
            <w:tcW w:type="dxa" w:w="6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列表显示当前系统配置好的档案模板；支持对档案的编辑操作，对已配置的档案字段进行添加、编辑、删除；支持配置档案列表展示字段、准入字段、二次检验规则；支持导入模板设置；支持备份还原；支持字段信导出；</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档案定义预置</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预置摄像机、停车场车辆卡口设备类型的档案定义、字段配置及准入校验和二次校验规则。</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2.2</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资产档案管理</w:t>
            </w:r>
          </w:p>
        </w:tc>
        <w:tc>
          <w:tcPr>
            <w:tcW w:type="dxa" w:w="7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资产档案管理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采集设备接入管理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支持通过</w:t>
            </w:r>
            <w:r>
              <w:rPr>
                <w:sz w:val="21"/>
              </w:rPr>
              <w:t>GA/T 1400</w:t>
            </w:r>
            <w:r>
              <w:rPr>
                <w:sz w:val="21"/>
              </w:rPr>
              <w:t>协议，接入采集设备进行视图资源接入，设备接入支持配置设备</w:t>
            </w:r>
            <w:r>
              <w:rPr>
                <w:sz w:val="21"/>
              </w:rPr>
              <w:t>ID</w:t>
            </w:r>
            <w:r>
              <w:rPr>
                <w:sz w:val="21"/>
              </w:rPr>
              <w:t>、名称、型号、</w:t>
            </w:r>
            <w:r>
              <w:rPr>
                <w:sz w:val="21"/>
              </w:rPr>
              <w:t>IP</w:t>
            </w:r>
            <w:r>
              <w:rPr>
                <w:sz w:val="21"/>
              </w:rPr>
              <w:t>地址、</w:t>
            </w:r>
            <w:r>
              <w:rPr>
                <w:sz w:val="21"/>
              </w:rPr>
              <w:t>IPv6</w:t>
            </w:r>
            <w:r>
              <w:rPr>
                <w:sz w:val="21"/>
              </w:rPr>
              <w:t>地址、端口号、经度、纬度、安装地点行政区划代码、位置名、用户账号、口令、管辖单位代码、车辆抓拍方向、监视方向、监视区域说明、功能类别、摄像机位置类型、所属采集系统。</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采集系统接入管理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支持通过</w:t>
            </w:r>
            <w:r>
              <w:rPr>
                <w:sz w:val="21"/>
              </w:rPr>
              <w:t>GA/T 1400</w:t>
            </w:r>
            <w:r>
              <w:rPr>
                <w:sz w:val="21"/>
              </w:rPr>
              <w:t>协议，通过协议级联方式接入视图采集系统进行视图资源接入管理，添加下级采集系统支持配置设备</w:t>
            </w:r>
            <w:r>
              <w:rPr>
                <w:sz w:val="21"/>
              </w:rPr>
              <w:t>ID</w:t>
            </w:r>
            <w:r>
              <w:rPr>
                <w:sz w:val="21"/>
              </w:rPr>
              <w:t>、名称、</w:t>
            </w:r>
            <w:r>
              <w:rPr>
                <w:sz w:val="21"/>
              </w:rPr>
              <w:t>IP</w:t>
            </w:r>
            <w:r>
              <w:rPr>
                <w:sz w:val="21"/>
              </w:rPr>
              <w:t>地址、</w:t>
            </w:r>
            <w:r>
              <w:rPr>
                <w:sz w:val="21"/>
              </w:rPr>
              <w:t>IPv6</w:t>
            </w:r>
            <w:r>
              <w:rPr>
                <w:sz w:val="21"/>
              </w:rPr>
              <w:t>地址、端口号。</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2.2</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档案校验</w:t>
            </w:r>
          </w:p>
        </w:tc>
        <w:tc>
          <w:tcPr>
            <w:tcW w:type="dxa" w:w="7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档案校验</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准入校验</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支持对</w:t>
            </w:r>
            <w:r>
              <w:rPr>
                <w:sz w:val="21"/>
              </w:rPr>
              <w:t>“设备编码规则”的监测，监测包含：编码空值、</w:t>
            </w:r>
            <w:r>
              <w:rPr>
                <w:sz w:val="21"/>
              </w:rPr>
              <w:t>28181</w:t>
            </w:r>
            <w:r>
              <w:rPr>
                <w:sz w:val="21"/>
              </w:rPr>
              <w:t>编码规则校验等。</w:t>
            </w:r>
          </w:p>
          <w:p>
            <w:pPr>
              <w:pStyle w:val="null3"/>
              <w:ind w:firstLine="480"/>
              <w:jc w:val="both"/>
            </w:pPr>
            <w:r>
              <w:rPr>
                <w:sz w:val="21"/>
              </w:rPr>
              <w:t>支持对</w:t>
            </w:r>
            <w:r>
              <w:rPr>
                <w:sz w:val="21"/>
              </w:rPr>
              <w:t>“设备名称”的监测，监测项包含：名称空值。</w:t>
            </w:r>
          </w:p>
          <w:p>
            <w:pPr>
              <w:pStyle w:val="null3"/>
              <w:ind w:firstLine="480"/>
              <w:jc w:val="both"/>
            </w:pPr>
            <w:r>
              <w:rPr>
                <w:sz w:val="21"/>
              </w:rPr>
              <w:t>支持对</w:t>
            </w:r>
            <w:r>
              <w:rPr>
                <w:sz w:val="21"/>
              </w:rPr>
              <w:t>”</w:t>
            </w:r>
            <w:r>
              <w:rPr>
                <w:sz w:val="21"/>
              </w:rPr>
              <w:t>MAC</w:t>
            </w:r>
            <w:r>
              <w:rPr>
                <w:sz w:val="21"/>
              </w:rPr>
              <w:t>地址“的监测，监测项包含：</w:t>
            </w:r>
            <w:r>
              <w:rPr>
                <w:sz w:val="21"/>
              </w:rPr>
              <w:t>MAC</w:t>
            </w:r>
            <w:r>
              <w:rPr>
                <w:sz w:val="21"/>
              </w:rPr>
              <w:t>空值、</w:t>
            </w:r>
            <w:r>
              <w:rPr>
                <w:sz w:val="21"/>
              </w:rPr>
              <w:t>MAC</w:t>
            </w:r>
            <w:r>
              <w:rPr>
                <w:sz w:val="21"/>
              </w:rPr>
              <w:t>不规范等。</w:t>
            </w:r>
          </w:p>
          <w:p>
            <w:pPr>
              <w:pStyle w:val="null3"/>
              <w:ind w:firstLine="480"/>
              <w:jc w:val="both"/>
            </w:pPr>
            <w:r>
              <w:rPr>
                <w:sz w:val="21"/>
              </w:rPr>
              <w:t>支持对</w:t>
            </w:r>
            <w:r>
              <w:rPr>
                <w:sz w:val="21"/>
              </w:rPr>
              <w:t>“设备经纬度”的监测，监测项包含：经纬度缺失、不在辖区、经纬度精度过低。</w:t>
            </w:r>
          </w:p>
          <w:p>
            <w:pPr>
              <w:pStyle w:val="null3"/>
              <w:ind w:firstLine="480"/>
              <w:jc w:val="both"/>
            </w:pPr>
            <w:r>
              <w:rPr>
                <w:sz w:val="21"/>
              </w:rPr>
              <w:t>支持对</w:t>
            </w:r>
            <w:r>
              <w:rPr>
                <w:sz w:val="21"/>
              </w:rPr>
              <w:t>“设备</w:t>
            </w:r>
            <w:r>
              <w:rPr>
                <w:sz w:val="21"/>
              </w:rPr>
              <w:t>IP</w:t>
            </w:r>
            <w:r>
              <w:rPr>
                <w:sz w:val="21"/>
              </w:rPr>
              <w:t>地址“的监测，监测项包含：</w:t>
            </w:r>
            <w:r>
              <w:rPr>
                <w:sz w:val="21"/>
              </w:rPr>
              <w:t>IP</w:t>
            </w:r>
            <w:r>
              <w:rPr>
                <w:sz w:val="21"/>
              </w:rPr>
              <w:t>地址空值，</w:t>
            </w:r>
            <w:r>
              <w:rPr>
                <w:sz w:val="21"/>
              </w:rPr>
              <w:t>IP</w:t>
            </w:r>
            <w:r>
              <w:rPr>
                <w:sz w:val="21"/>
              </w:rPr>
              <w:t>地址不符合规范、</w:t>
            </w:r>
            <w:r>
              <w:rPr>
                <w:sz w:val="21"/>
              </w:rPr>
              <w:t>IP</w:t>
            </w:r>
            <w:r>
              <w:rPr>
                <w:sz w:val="21"/>
              </w:rPr>
              <w:t>地址无效。</w:t>
            </w:r>
          </w:p>
          <w:p>
            <w:pPr>
              <w:pStyle w:val="null3"/>
              <w:ind w:firstLine="480"/>
              <w:jc w:val="both"/>
            </w:pPr>
            <w:r>
              <w:rPr>
                <w:sz w:val="21"/>
              </w:rPr>
              <w:t>支持点位建设类型、摄像机功能类型、摄像机采集区域、设备状态是否空缺进行检验。</w:t>
            </w:r>
          </w:p>
          <w:p>
            <w:pPr>
              <w:pStyle w:val="null3"/>
              <w:ind w:firstLine="480"/>
              <w:jc w:val="both"/>
            </w:pPr>
            <w:r>
              <w:rPr>
                <w:sz w:val="21"/>
              </w:rPr>
              <w:t>支持对行政区域编号进行实时正确性校验，校验内容包括：行政区域编号是否空缺、行政区域编号是否不为</w:t>
            </w:r>
            <w:r>
              <w:rPr>
                <w:sz w:val="21"/>
              </w:rPr>
              <w:t>8</w:t>
            </w:r>
            <w:r>
              <w:rPr>
                <w:sz w:val="21"/>
              </w:rPr>
              <w:t>位数字。</w:t>
            </w:r>
          </w:p>
          <w:p>
            <w:pPr>
              <w:pStyle w:val="null3"/>
              <w:ind w:firstLine="480"/>
              <w:jc w:val="both"/>
            </w:pPr>
            <w:r>
              <w:rPr>
                <w:sz w:val="21"/>
              </w:rPr>
              <w:t>支持展示设备属性异常的监控点及异常原因。</w:t>
            </w:r>
          </w:p>
          <w:p>
            <w:pPr>
              <w:pStyle w:val="null3"/>
              <w:ind w:firstLine="480"/>
              <w:jc w:val="both"/>
            </w:pPr>
            <w:r>
              <w:rPr>
                <w:sz w:val="21"/>
              </w:rPr>
              <w:t>支持导出异常档案数据。</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二次校验</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系统支持按照未提交、审核中、已退回、已通过分类展现档案的审核记录。</w:t>
            </w:r>
          </w:p>
          <w:p>
            <w:pPr>
              <w:pStyle w:val="null3"/>
              <w:ind w:firstLine="480"/>
              <w:jc w:val="both"/>
            </w:pPr>
            <w:r>
              <w:rPr>
                <w:sz w:val="21"/>
              </w:rPr>
              <w:t>支持档案的提交审核、审核通过、审核退回的功能。系统支持批量提交审核、批量退回的功能。</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2.3</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资源库</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视图对象资源管理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视图对象资源管理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支持通过</w:t>
            </w:r>
            <w:r>
              <w:rPr>
                <w:sz w:val="21"/>
              </w:rPr>
              <w:t>GA/T 1400</w:t>
            </w:r>
            <w:r>
              <w:rPr>
                <w:sz w:val="21"/>
              </w:rPr>
              <w:t>协议接入的视图资源，进行视图资源管理；支持图像对象查看、视频片段对象查看、文件对象查看、物品对象查看、人脸对象查看、机动车对象查看、非机动车对象查看；支持视图对象数据配置，可针对视频、图片、文件、人员、人脸、物品、机动车、非机动车的数据进行保留天数的设置，支持设置接收永久保留、不接收数据、数据保留天数。</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视图资源共享管理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视图资源共享管理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支持通过</w:t>
            </w:r>
            <w:r>
              <w:rPr>
                <w:sz w:val="21"/>
              </w:rPr>
              <w:t>GA/T 1400</w:t>
            </w:r>
            <w:r>
              <w:rPr>
                <w:sz w:val="21"/>
              </w:rPr>
              <w:t>协议向上级联视图库，并将视图资源共享给上级视图库资源平台，添加上级视图库支持配置上级视图库名称、上级视图库用户名、上级视图库域、上级视图库密码、上级视图库主机地址、上级视图库端口、设备</w:t>
            </w:r>
            <w:r>
              <w:rPr>
                <w:sz w:val="21"/>
              </w:rPr>
              <w:t>ID</w:t>
            </w:r>
            <w:r>
              <w:rPr>
                <w:sz w:val="21"/>
              </w:rPr>
              <w:t>、注册周期、心跳周期、是否启用。</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2.4</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设备标签画像</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设备基础信息标签</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设备基础信息标签</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根据视频监控的图像分辨率对设备进行清晰度标签画像，当设备的图像分辨率为</w:t>
            </w:r>
            <w:r>
              <w:rPr>
                <w:sz w:val="21"/>
              </w:rPr>
              <w:t>720P</w:t>
            </w:r>
            <w:r>
              <w:rPr>
                <w:sz w:val="21"/>
              </w:rPr>
              <w:t>以下时，对设备赋予“标清”，当设备的图像分辨率为</w:t>
            </w:r>
            <w:r>
              <w:rPr>
                <w:sz w:val="21"/>
              </w:rPr>
              <w:t>720P</w:t>
            </w:r>
            <w:r>
              <w:rPr>
                <w:sz w:val="21"/>
              </w:rPr>
              <w:t>以上时，对设备赋予“高清”。</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设备视频状态标签画像</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设备视频状态标签画像</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从设备的在线状态（在线、掉线），设备的历史录像完好，设备在线频率（可靠在线、经常掉线）对每个设备进行多项特征的抽象分类和概括，并赋予在线、掉线、录像完好、可靠在线、经常掉线等标签，从而清晰知晓设备的视频状态情况。</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设备视频质量标签画像</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设备视频质量标签画像</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通过对设备视频质量的巡检，从视频图像质量对设备进行多项特征的抽象分类和概括，并赋予信号丢失、色彩失真、视频模糊、视频干扰、视频卡顿、视频白屏、视频黑屏、视频异物遮挡等设备标签画像，可直观掌握设备的视频质量情况。</w:t>
            </w:r>
          </w:p>
          <w:p>
            <w:pPr>
              <w:pStyle w:val="null3"/>
              <w:ind w:firstLine="480"/>
              <w:jc w:val="both"/>
            </w:pPr>
            <w:r>
              <w:rPr>
                <w:sz w:val="21"/>
              </w:rPr>
              <w:t>提供任务下发、任务执行、问题整改下发、问题整改反馈、任务统计等功能，与处置联动，实现问题的及时发现和快速有效处置，形成业务闭环管理。</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2.5</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档案共享</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档案范围共享选择</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档案范围共享方式选择</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提供自由选择具体设备和按条件批量选择设备两种方式。</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共享字段</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共享字段</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支持配置资产档案中可授权外部系统查看的字段信息</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数据共享方式</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数据推送方式</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需在平台建档配置上级系统，由本平台调用上级接口主动推送资产档案信息</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数据查询方式</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允许本平台注册的第三方平台，通过本平台提供的数据查询接口查询数据（接口调用时需对平台进行鉴权）</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共享任务管理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共享任务管理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支持创建共享任务、删除、查看、共享暂停</w:t>
            </w:r>
            <w:r>
              <w:rPr>
                <w:sz w:val="21"/>
              </w:rPr>
              <w:t>/</w:t>
            </w:r>
            <w:r>
              <w:rPr>
                <w:sz w:val="21"/>
              </w:rPr>
              <w:t>开启等功能</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共享回收</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共享回收</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支持对平台已授权的资产档案进行回收，取消共享</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共享日志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共享日志</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提供按资产类型、共享类型（查询</w:t>
            </w:r>
            <w:r>
              <w:rPr>
                <w:sz w:val="21"/>
              </w:rPr>
              <w:t>/</w:t>
            </w:r>
            <w:r>
              <w:rPr>
                <w:sz w:val="21"/>
              </w:rPr>
              <w:t>推送）、共享状态（成功</w:t>
            </w:r>
            <w:r>
              <w:rPr>
                <w:sz w:val="21"/>
              </w:rPr>
              <w:t>/</w:t>
            </w:r>
            <w:r>
              <w:rPr>
                <w:sz w:val="21"/>
              </w:rPr>
              <w:t>失败）、时间段查询共享的日志记录。</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2.6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择优推送共享</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择优推送</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择优推送</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支持设置筛选规则，按照规则滤筛选出视频图像质量好，稳定在线，录像完整的</w:t>
            </w:r>
            <w:r>
              <w:rPr>
                <w:sz w:val="21"/>
              </w:rPr>
              <w:t>“优质”设备，形成上报设备树，推送给上级视频平台。</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共享服务门户</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3.1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服务门户</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平台运行态势</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平台运行态势</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支持根据用户权限展示相应权限可见的平台整体运行态势及已办</w:t>
            </w:r>
            <w:r>
              <w:rPr>
                <w:sz w:val="21"/>
              </w:rPr>
              <w:t>/</w:t>
            </w:r>
            <w:r>
              <w:rPr>
                <w:sz w:val="21"/>
              </w:rPr>
              <w:t>待办事项，平台运行态势包括但不限于视频监控点位在线情况、共享使用情况、性能监测情况等。</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申请审批功能</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申请审批功能</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申请审批功能为平台内用户资源权限、功能权限的申请入口。支持平台内用户通过粤政易方式可登录智感云平台，支持查看平台现有资源目录，支持填写相关申请信息，经平台内置申请审批流程审批后，实现平台授权。审批流程包含业务单位领导审批、管理员审核等环节。</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3.2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统一身份认证</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统一身份认证</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统一身份认证</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对接广东省粤政易平台的统一身份认证接口，用户登录智感云平台时调用身份认证接口进行鉴权验证，确认身份信息通过后即可登录平台。用户权限信息同步推送至广东省粤政易平台，供粤政易平台渲染展示其功能菜单、资源范围。</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3.3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统一共享</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统一共享</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统一共享</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服务门户需基于一网共享平台的现有能力建设，智感云平台将数据资源进行目录编目，编目完成后发布至一网共享平台，对外提供平台资源，供平台用户申请。申请审批流程由一网共享平台实现，审批结果以接口方式提供至智感云平台，智感云平台进行授权管理。</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3.4</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我的工作台</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工单管理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工单管理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工单管理主要进行业务工单的同步、检索、统计，以及提供新建、详情查询、快速审批入口，支持跳转到各业务组件进行具体逻辑操作，同步工单信息包含业务组件新建工单、工单状态变更（提交、审批、通过、删除）等信息。</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任务单管理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任务单管理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任务单管理是将所有任务进行统一管理，支持任务快速创建，任务详情快速跳转处理，平台所有任务分类展示和按任务状态统计。支持任务单同步、检索、统计，支持新建、详情查询、快速处置入口。同步任务信息包含业务组件新建任务、任务处置、任务状态变更等信息。</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我的资源</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我的资源</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统计展示平台接入的视频点位资源、物联设备资源、以及委办局用户视频点位资源统计、物联资源统计，其中视频点位和物联设备资源包含委办局用户自建的资源和申请的资源，并按资源的类型、在离线等条件分类统计。</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常用应用管理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常用应用管理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常用应用管理模块用于管理用户关注和经常使用的权限内菜单应用，支持用户对常用菜单应用的增、删、改、查操作，支持工作台首页快速访问业务模块，支持展示用户添加的常用菜单应用，用户选择某一个应用后可以快速跳转到对应菜单应用页面，支持新增、删除、一键清除常用应用。</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下载管理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下载管理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支持下载系统默认初始化上传好的客户端、批量配置工具、插件助手、</w:t>
            </w:r>
            <w:r>
              <w:rPr>
                <w:sz w:val="21"/>
              </w:rPr>
              <w:t>Chrome</w:t>
            </w:r>
            <w:r>
              <w:rPr>
                <w:sz w:val="21"/>
              </w:rPr>
              <w:t>浏览器等工具安装包；移动客户端支持扫描二维码下载。</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3.5</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考核评价结果发布</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监控点位覆盖信息</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监控点位覆盖信息</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支持统计展示二、三类视频监控点位数量和占比，可共享视频监控点位数量，向上级平台推送视频监控点位数量占比。监控点位覆盖信息可以根据资源目录将视频监控点位进行分类统计、分析以及管理。</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共享服务质量监测数据信息</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共享服务质量监测数据信息</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支持统计展示从一网共享平台获取的申请、流转、审批、授权等过程中产生的数据。共享服务质量监测数据信息用于共享的精细化管理。</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视频资源质量监测数据信息</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视频资源质量监测数据信息</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系统结合电子地图展现系统内物联设备的运行态势，满足查询、详情查看、视频预览、告警展现、派工、统计的一站式图上运维需求，实现全局掌控、精准指引的运维需求。</w:t>
            </w:r>
          </w:p>
          <w:p>
            <w:pPr>
              <w:pStyle w:val="null3"/>
              <w:ind w:firstLine="480"/>
              <w:jc w:val="both"/>
            </w:pPr>
            <w:r>
              <w:rPr>
                <w:sz w:val="21"/>
              </w:rPr>
              <w:t>系统支持图上派工单的功能；支持图上预览视频的功能。</w:t>
            </w:r>
          </w:p>
          <w:p>
            <w:pPr>
              <w:pStyle w:val="null3"/>
              <w:ind w:firstLine="480"/>
              <w:jc w:val="both"/>
            </w:pPr>
            <w:r>
              <w:rPr>
                <w:sz w:val="21"/>
              </w:rPr>
              <w:t>系统能够通过地图展现资源的运行状态，包括在线、离线、设备在线但异常等。</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申请审批</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4.1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申请工单流转模块</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资源选择</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资源选择</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部门普通用户登录系统后，用户在资源选择界面中可选择按权限展示的相应资源。支持资源的导出线下提交或在线提交本部门管理员</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申请表单创建提交</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申请表单创建提交</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申请表单由需要使用资源的用户提交，视频点位资源申请支持新建申请，状态分为全部、已提交、待审批、已审批。</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资源审批</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资源审批</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资源使用者提交申请表单后，申请表单按预设流程进行流转审批，审批过程包括平台管理员审核、资源部门管理员审批、平台协调员审批等流程</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资源授权</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资源授权</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审批通过的获批资源信息自动返回申请人。没有审批通过的申请返回申请人，可以进行修改再次提交。</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权限获取</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权限获取</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用户登录视频调阅系统后，视频调阅系统访问申请共享业务数据库的用户权限表，获取该用户获批资源对应的资源权限信息</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点位变更创建审批</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点位变更创建审批</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支持视频点位新增、撤销、报停等变更审批流程的创建、审批。可针对审批的流程进行批示，获批的资源分派到实施工程师进行实施对接。</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4.2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审批情况管理模块</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审批情况管理模块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审批情况管理模块</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视频资源申请管理完成对视频监控资源申请、流转、审批、协调等过程信息的存储和统计分析，并支持向其他系统提供查询服务。</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视频应用</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5.1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实时监控模块</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目录树</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目录树</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支持在客户端展示系统设备树。支持在设备树中显示设备在线、离线状态，支持设备状态更新。</w:t>
            </w:r>
            <w:r>
              <w:rPr>
                <w:sz w:val="21"/>
              </w:rPr>
              <w:t>支持统计并显示设备树每级目录的在线设备数量、设备总数。支持通过设备关键字模糊搜索设备。</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设备标签</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设备标签</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设置个人设备标签，支持多层级标签，可批量管理标签设备。可选择视频设备可自动地图定位并打开监控画面，展示设备基本信息。可收藏常用的视频设备，支持仅展示在线设备，也可通过监控名称或监控节点搜索。提供同类系统截图。</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实时快照数据获取</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实时快照数据获取</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支持定时抓取实时快照进行视频封面展示、数据分析，定时获取一帧数据进行解码，转成</w:t>
            </w:r>
            <w:r>
              <w:rPr>
                <w:sz w:val="21"/>
              </w:rPr>
              <w:t>jpg</w:t>
            </w:r>
            <w:r>
              <w:rPr>
                <w:sz w:val="21"/>
              </w:rPr>
              <w:t>或</w:t>
            </w:r>
            <w:r>
              <w:rPr>
                <w:sz w:val="21"/>
              </w:rPr>
              <w:t>bmp</w:t>
            </w:r>
            <w:r>
              <w:rPr>
                <w:sz w:val="21"/>
              </w:rPr>
              <w:t>图片，支持通过</w:t>
            </w:r>
            <w:r>
              <w:rPr>
                <w:sz w:val="21"/>
              </w:rPr>
              <w:t>http</w:t>
            </w:r>
            <w:r>
              <w:rPr>
                <w:sz w:val="21"/>
              </w:rPr>
              <w:t>直接访问图片。</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分组管理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分组管理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提供资源复制、移动等功能，方便用户从基础资源目录树复制资源到部门目录、主题资源目录等；同时支持用户可以从部门目录树、主题目录树之间自由移动资源，满足用户自由挂载资源到目录上的个性化需求。</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分组视频轮巡</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分组视频轮巡</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在</w:t>
            </w:r>
            <w:r>
              <w:rPr>
                <w:sz w:val="21"/>
              </w:rPr>
              <w:t>GIS</w:t>
            </w:r>
            <w:r>
              <w:rPr>
                <w:sz w:val="21"/>
              </w:rPr>
              <w:t>一张图上，展示出广州市地图，并可在地图上看到监控的位置，点击右边的视频飞巡功能按钮“区域巡查”功能可通过“巡查点”、“巡查线”、“巡查面”绘制飞巡范围，“巡查线”默认巡查半径范围为</w:t>
            </w:r>
            <w:r>
              <w:rPr>
                <w:sz w:val="21"/>
              </w:rPr>
              <w:t>1KM</w:t>
            </w:r>
            <w:r>
              <w:rPr>
                <w:sz w:val="21"/>
              </w:rPr>
              <w:t>，在区域巡查范围内的视频点位结果自动列出列表，点击视频点位监控预览按钮，自动弹出点位的实时视频画面，并可针对点位添加进标签分组；针对飞巡的结果，点击“一键飞巡”功能，自动针对选择的点位进行自动巡查。</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分组视频轮巡记录</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分组视频轮巡记录</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支持视频飞巡功能记录，点击飞巡记录任务，可查询飞巡的记录信息，包括飞巡的任务名称、飞巡时间、飞巡模式、选择方式，并列出飞巡对象及飞巡区域，点击再次飞巡，可重新执行该飞巡记录的任务</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热点视频</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热点视频</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自动统计摄像机的播放次数，支持按日</w:t>
            </w:r>
            <w:r>
              <w:rPr>
                <w:sz w:val="21"/>
              </w:rPr>
              <w:t>/</w:t>
            </w:r>
            <w:r>
              <w:rPr>
                <w:sz w:val="21"/>
              </w:rPr>
              <w:t>周</w:t>
            </w:r>
            <w:r>
              <w:rPr>
                <w:sz w:val="21"/>
              </w:rPr>
              <w:t>/</w:t>
            </w:r>
            <w:r>
              <w:rPr>
                <w:sz w:val="21"/>
              </w:rPr>
              <w:t>月</w:t>
            </w:r>
            <w:r>
              <w:rPr>
                <w:sz w:val="21"/>
              </w:rPr>
              <w:t>/</w:t>
            </w:r>
            <w:r>
              <w:rPr>
                <w:sz w:val="21"/>
              </w:rPr>
              <w:t>累计四个维度展示统计结果，统计结果倒序排序。</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视频收藏</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视频收藏</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提供用户对自己关注的摄像机进行收藏的功能，支持建立个人收藏夹，收藏夹支持多级目录管理来对收藏的监控视频进行分组归类。</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视频预案</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视频预案</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支持配置视频预案，系统根据选择的设备数量和配置的分屏数自动适配单屏预案或轮巡预案。在轮巡预案时支持修改轮巡间隔，手动翻页。</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实时视频播放</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实时视频播放</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支持在设备树中选择监控点播放实时视频。支持关闭指定播放窗口的视频；支持一键关闭全部播放窗口。支持全屏播放，可设置多画面全屏和单画面全屏。</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视频播放控制</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视频播放控制</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▲支持对实时播放窗口进行抓拍、本地录像、声音控制、电子放大操作；支持</w:t>
            </w:r>
            <w:r>
              <w:rPr>
                <w:sz w:val="21"/>
              </w:rPr>
              <w:t>FLV</w:t>
            </w:r>
            <w:r>
              <w:rPr>
                <w:sz w:val="21"/>
              </w:rPr>
              <w:t>、</w:t>
            </w:r>
            <w:r>
              <w:rPr>
                <w:sz w:val="21"/>
              </w:rPr>
              <w:t>WS_FLV</w:t>
            </w:r>
            <w:r>
              <w:rPr>
                <w:sz w:val="21"/>
              </w:rPr>
              <w:t>、</w:t>
            </w:r>
            <w:r>
              <w:rPr>
                <w:sz w:val="21"/>
              </w:rPr>
              <w:t>WebRTC</w:t>
            </w:r>
            <w:r>
              <w:rPr>
                <w:sz w:val="21"/>
              </w:rPr>
              <w:t>、</w:t>
            </w:r>
            <w:r>
              <w:rPr>
                <w:sz w:val="21"/>
              </w:rPr>
              <w:t>HLS</w:t>
            </w:r>
            <w:r>
              <w:rPr>
                <w:sz w:val="21"/>
              </w:rPr>
              <w:t>、</w:t>
            </w:r>
            <w:r>
              <w:rPr>
                <w:sz w:val="21"/>
              </w:rPr>
              <w:t>RTMP</w:t>
            </w:r>
            <w:r>
              <w:rPr>
                <w:sz w:val="21"/>
              </w:rPr>
              <w:t>多种协议流调阅方式。支持视频调阅时查看视频流信息，包括分辨率、帧率、码率、丢包率、视频编码、音频编码、传输模式、持续时长、流地址。提供同类系统截图。</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窗口布局管理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窗口布局管理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▲支持同时查看多个画面监控，可设置单页的画面数量和布局，提供超</w:t>
            </w:r>
            <w:r>
              <w:rPr>
                <w:sz w:val="21"/>
              </w:rPr>
              <w:t>30</w:t>
            </w:r>
            <w:r>
              <w:rPr>
                <w:sz w:val="21"/>
              </w:rPr>
              <w:t>种布局选择；可设置自动轮询停留时间，支持切换播放格式、截屏、录屏，可保留截录记录便于历史查看，支持生成链接和二维码将视频画面分享给其他用户通过浏览器查看。提供同类系统截图。</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视频快速上墙</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视频快速上墙</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快速上墙是采用视频快捷方式实现视频的上墙播放，支持拖曳摄像机进行电视墙实时视频播放及控制，支持配置视频巡逻任务，实现对监视屏进行视频轮巡设置，实现手动和自动轮巡；支持分组轮巡一键上墙等功能，满足临时对重点图像的指挥任务。</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实时视频水印叠加</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实时视频水印叠加</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在实时视频画面叠加水印，水印内容为用户名等信息，视频水印由客户端叠加，不影响码流。开启视频水印功能后，抓拍保存到本地的图像文件，支持水印叠加。开启视频水印功能后，录像到本地的视频文件，支持水印叠加。</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5.2</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球机云台控制</w:t>
            </w:r>
          </w:p>
        </w:tc>
        <w:tc>
          <w:tcPr>
            <w:tcW w:type="dxa" w:w="7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基本控制</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基本控制</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云台功能，默认只对设备类型为球机的摄像机有效。</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支持控制云台</w:t>
            </w:r>
            <w:r>
              <w:rPr>
                <w:sz w:val="21"/>
              </w:rPr>
              <w:t>8</w:t>
            </w:r>
            <w:r>
              <w:rPr>
                <w:sz w:val="21"/>
              </w:rPr>
              <w:t>方位的转动，支持调节光圈和焦距。</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预置位设置</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预置位设置</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支持预置位设置及载入，载入后，系统会调用保存的设备</w:t>
            </w:r>
            <w:r>
              <w:rPr>
                <w:sz w:val="21"/>
              </w:rPr>
              <w:t>PTZ</w:t>
            </w:r>
            <w:r>
              <w:rPr>
                <w:sz w:val="21"/>
              </w:rPr>
              <w:t>信息，控制设备会转向设置好的位置。</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云台抢占</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云台抢占</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当云台同时被多个用户操作时，支持高权限等级的用户抢占低权限等级的用户的云台操作；如果用户权限等级相同时，遵循</w:t>
            </w:r>
            <w:r>
              <w:rPr>
                <w:sz w:val="21"/>
              </w:rPr>
              <w:t>“先到先得”，后来的用户不能抢占相同权限等级用户的云台操作。</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5.3</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录像回放</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历史视频回放</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历史视频回放</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当设备接在本级平台时，支持查询与回放前端与中心（云存储设备）录像。</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录像检索和回放</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录像检索和回放</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通过选择设备、设置时段，回放该设备在指定时间段的录像。录像查询结果支持以时间轴的方式显示，支持在时间轴上通过叠加颜色图层展示录像覆盖时间段。</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录像回放控制</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录像回放控制</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录像回放时，支持暂停</w:t>
            </w:r>
            <w:r>
              <w:rPr>
                <w:sz w:val="21"/>
              </w:rPr>
              <w:t>/</w:t>
            </w:r>
            <w:r>
              <w:rPr>
                <w:sz w:val="21"/>
              </w:rPr>
              <w:t>播放、快进</w:t>
            </w:r>
            <w:r>
              <w:rPr>
                <w:sz w:val="21"/>
              </w:rPr>
              <w:t>/</w:t>
            </w:r>
            <w:r>
              <w:rPr>
                <w:sz w:val="21"/>
              </w:rPr>
              <w:t>快退、倍速快放（</w:t>
            </w:r>
            <w:r>
              <w:rPr>
                <w:sz w:val="21"/>
              </w:rPr>
              <w:t>1/2/3</w:t>
            </w:r>
            <w:r>
              <w:rPr>
                <w:sz w:val="21"/>
              </w:rPr>
              <w:t>）、倍速慢放（</w:t>
            </w:r>
            <w:r>
              <w:rPr>
                <w:sz w:val="21"/>
              </w:rPr>
              <w:t>0.5</w:t>
            </w:r>
            <w:r>
              <w:rPr>
                <w:sz w:val="21"/>
              </w:rPr>
              <w:t>）、截图抓拍、本地录像。</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窗口布局管理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窗口布局管理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录像回放窗口支持</w:t>
            </w:r>
            <w:r>
              <w:rPr>
                <w:sz w:val="21"/>
              </w:rPr>
              <w:t>1/4/9/16</w:t>
            </w:r>
            <w:r>
              <w:rPr>
                <w:sz w:val="21"/>
              </w:rPr>
              <w:t>分屏。支持在多画面回放同一个监控点不同时间点的录像。支持视频播放时切换窗口布局。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录像快速上墙</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录像快速上墙</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录像快速上墙是采用快捷的方式实现录像的上墙播放，并支持控制电视墙录像的播放、停止功能。</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录像水印叠加</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录像水印叠加</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支持在录像回放画面叠加水印，水印内容为用户名等。</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录像下载管理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录像下载管理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提供用户把历史视频下载到本地，并保存成通用视频文件，支持通用播放器打开播放。支持同时下载多个监控点录像。</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5.4</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电视墙</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电视墙布局管理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电视墙布局管理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提供电视墙布局管理功能，支持配置多个视频流组成电视墙。</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屏幕布局管理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屏幕布局管理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建立布局关联后，支持按照对选定的电视墙大屏进行画面分割，通常支持</w:t>
            </w:r>
            <w:r>
              <w:rPr>
                <w:sz w:val="21"/>
              </w:rPr>
              <w:t>1/4/9/16</w:t>
            </w:r>
            <w:r>
              <w:rPr>
                <w:sz w:val="21"/>
              </w:rPr>
              <w:t>等</w:t>
            </w:r>
            <w:r>
              <w:rPr>
                <w:sz w:val="21"/>
              </w:rPr>
              <w:t>N*N</w:t>
            </w:r>
            <w:r>
              <w:rPr>
                <w:sz w:val="21"/>
              </w:rPr>
              <w:t>均分的画面风格。</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视频上墙应用</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视频上墙应用</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支持从设备列表中选择设备进行矩阵监控播放实时视频，实现视频上墙应用。</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5.5</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电子地图</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地图图层</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地图图层</w:t>
            </w:r>
          </w:p>
        </w:tc>
        <w:tc>
          <w:tcPr>
            <w:tcW w:type="dxa" w:w="615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480"/>
              <w:jc w:val="both"/>
            </w:pPr>
            <w:r>
              <w:rPr>
                <w:sz w:val="21"/>
              </w:rPr>
              <w:t>单独展示检测有问题的监控列表以及监控在地图上的定位，列表默认展示检测结果统计，按类型统计故障检测（离线、流故障）、质量检测</w:t>
            </w:r>
            <w:r>
              <w:rPr>
                <w:sz w:val="21"/>
              </w:rPr>
              <w:t>（树叶遮挡、异物遮挡、模糊、黑屏、白屏），显示故障数</w:t>
            </w:r>
            <w:r>
              <w:rPr>
                <w:sz w:val="21"/>
              </w:rPr>
              <w:t>和总数，统计下方增加详情入口点击直接在当前列表切换为按类型展示的监控列表，支持搜索；双击定位到地图对应位置并打开详情窗口，详情窗口显示监控基本信息</w:t>
            </w:r>
            <w:r>
              <w:rPr>
                <w:sz w:val="21"/>
              </w:rPr>
              <w:t>+</w:t>
            </w:r>
            <w:r>
              <w:rPr>
                <w:sz w:val="21"/>
              </w:rPr>
              <w:t>该设备的检测记录，监控图标可以按</w:t>
            </w:r>
            <w:r>
              <w:rPr>
                <w:sz w:val="21"/>
              </w:rPr>
              <w:t>3</w:t>
            </w:r>
            <w:r>
              <w:rPr>
                <w:sz w:val="21"/>
              </w:rPr>
              <w:t>大类区分下颜色</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地图工具</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地图工具</w:t>
            </w:r>
          </w:p>
        </w:tc>
        <w:tc>
          <w:tcPr>
            <w:tcW w:type="dxa" w:w="6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地图常用工具，系统提供界面功能支持包括地图滚轴放大、滚轴缩小、全图显示、比例尺显示、自定义图层显示、地图距离量算等功能。可在电子地图上通过矩形、多边形、圆形的方式选择前端设备。支持地图兴趣点图标标注。</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设备聚合</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设备聚合</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当前地图层级超过聚合层级时展示聚合图标，支持相邻点位多点聚合展示。</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5.6</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多终端客户端</w:t>
            </w:r>
          </w:p>
        </w:tc>
        <w:tc>
          <w:tcPr>
            <w:tcW w:type="dxa" w:w="7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多终端客户端</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多终端客户端</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系统提供视频基础应用的</w:t>
            </w:r>
            <w:r>
              <w:rPr>
                <w:sz w:val="21"/>
              </w:rPr>
              <w:t>B/S</w:t>
            </w:r>
            <w:r>
              <w:rPr>
                <w:sz w:val="21"/>
              </w:rPr>
              <w:t>、</w:t>
            </w:r>
            <w:r>
              <w:rPr>
                <w:sz w:val="21"/>
              </w:rPr>
              <w:t>C/S</w:t>
            </w:r>
            <w:r>
              <w:rPr>
                <w:sz w:val="21"/>
              </w:rPr>
              <w:t>版本。</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B/S</w:t>
            </w:r>
            <w:r>
              <w:rPr>
                <w:sz w:val="21"/>
              </w:rPr>
              <w:t>版本提供易用的管理</w:t>
            </w:r>
            <w:r>
              <w:rPr>
                <w:sz w:val="21"/>
              </w:rPr>
              <w:t>web UI</w:t>
            </w:r>
            <w:r>
              <w:rPr>
                <w:sz w:val="21"/>
              </w:rPr>
              <w:t>界面，支持客户端无需安装插件方式在</w:t>
            </w:r>
            <w:r>
              <w:rPr>
                <w:sz w:val="21"/>
              </w:rPr>
              <w:t>web</w:t>
            </w:r>
            <w:r>
              <w:rPr>
                <w:sz w:val="21"/>
              </w:rPr>
              <w:t>上进行视频调阅预览，同时保障非国产化终端操作系统上视频调阅预览功能的正常使用，也支持国产化终端、国产化操作系统的使用，例如</w:t>
            </w:r>
            <w:r>
              <w:rPr>
                <w:sz w:val="21"/>
              </w:rPr>
              <w:t>cpu</w:t>
            </w:r>
            <w:r>
              <w:rPr>
                <w:sz w:val="21"/>
              </w:rPr>
              <w:t>基于</w:t>
            </w:r>
            <w:r>
              <w:rPr>
                <w:sz w:val="21"/>
              </w:rPr>
              <w:t>arm</w:t>
            </w:r>
            <w:r>
              <w:rPr>
                <w:sz w:val="21"/>
              </w:rPr>
              <w:t>架构的麒麟、统信等操作系统也应具备在基于</w:t>
            </w:r>
            <w:r>
              <w:rPr>
                <w:sz w:val="21"/>
              </w:rPr>
              <w:t>B/S</w:t>
            </w:r>
            <w:r>
              <w:rPr>
                <w:sz w:val="21"/>
              </w:rPr>
              <w:t>方式不需要安装插件、软件的方式进行视频调阅预览功能</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C/S</w:t>
            </w:r>
            <w:r>
              <w:rPr>
                <w:sz w:val="21"/>
              </w:rPr>
              <w:t>版本安装方便快捷，功能包括实时视频、录像回放、电子地图、系统管理。</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5.7</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视频安全应用</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认证鉴权功能</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认证鉴权功能</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用户访问支持统一登录，统一认证鉴权。用户登录密码具备一定复杂度，包含大写字母、小写字母、数字和特殊字符。权限管理提供统一的帐户管理和授权管理等功能，支持按用户、权限、角色的管理。</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用户审计功能</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用户审计功能</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按时间、</w:t>
            </w:r>
            <w:r>
              <w:rPr>
                <w:sz w:val="21"/>
              </w:rPr>
              <w:t>IP</w:t>
            </w:r>
            <w:r>
              <w:rPr>
                <w:sz w:val="21"/>
              </w:rPr>
              <w:t>地址、用户等多维度自动对每个用户的登录，视频浏览，录像回放、设备添加、摄像机操作等操作行为进行收集、分析和报告，并形成用户日志，日志信息包括操作名称、远端地址、操作结果、操作人、操作时间，支持导出为</w:t>
            </w:r>
            <w:r>
              <w:rPr>
                <w:sz w:val="21"/>
              </w:rPr>
              <w:t>WPS</w:t>
            </w:r>
            <w:r>
              <w:rPr>
                <w:sz w:val="21"/>
              </w:rPr>
              <w:t>表格。</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用户登录审计</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用户登录审计</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对用户登录行为监测，日志信息包括用户名称、</w:t>
            </w:r>
            <w:r>
              <w:rPr>
                <w:sz w:val="21"/>
              </w:rPr>
              <w:t>IP</w:t>
            </w:r>
            <w:r>
              <w:rPr>
                <w:sz w:val="21"/>
              </w:rPr>
              <w:t>地址、访问时间、状态等。</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视频操作审计</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视频操作审计</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对视频操作行为监测，日志信息包括摄像机国标</w:t>
            </w:r>
            <w:r>
              <w:rPr>
                <w:sz w:val="21"/>
              </w:rPr>
              <w:t>ID</w:t>
            </w:r>
            <w:r>
              <w:rPr>
                <w:sz w:val="21"/>
              </w:rPr>
              <w:t>、用户帐号、用户</w:t>
            </w:r>
            <w:r>
              <w:rPr>
                <w:sz w:val="21"/>
              </w:rPr>
              <w:t>IP</w:t>
            </w:r>
            <w:r>
              <w:rPr>
                <w:sz w:val="21"/>
              </w:rPr>
              <w:t>、操作类型、操作时间、资源路径等。</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系统操作审计</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系统操作审计</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系统操作行为监测，将用户在平台内的所有操作自动生成日志。</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接入审计功能</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接入审计功能</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支持按</w:t>
            </w:r>
            <w:r>
              <w:rPr>
                <w:sz w:val="21"/>
              </w:rPr>
              <w:t>GB/T28181</w:t>
            </w:r>
            <w:r>
              <w:rPr>
                <w:sz w:val="21"/>
              </w:rPr>
              <w:t>标准规范要求，对接入的视频设备或下级视频监控系统进行接入审计。</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安全水印功能</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安全水印功能</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针对通过</w:t>
            </w:r>
            <w:r>
              <w:rPr>
                <w:sz w:val="21"/>
              </w:rPr>
              <w:t>GB/T 28181</w:t>
            </w:r>
            <w:r>
              <w:rPr>
                <w:sz w:val="21"/>
              </w:rPr>
              <w:t>协议与上级平台实现级联共享的平台，上级进行视频调阅时，可对上级平台传输的视频图像流中插入上级平台的水印信息。</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数据安全功能</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数据安全功能</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对国标接入平台的设备或下级平台的目录同步数据完整性和正确性检测，并以列表方式直观展现错误提示信息；符合国标</w:t>
            </w:r>
            <w:r>
              <w:rPr>
                <w:sz w:val="21"/>
              </w:rPr>
              <w:t>GB/T28181</w:t>
            </w:r>
            <w:r>
              <w:rPr>
                <w:sz w:val="21"/>
              </w:rPr>
              <w:t>的视频图像数据传输规范和安全要求；支持对视频图像录像存储的完整性进行检测，支持图形化的方式直观展示</w:t>
            </w:r>
            <w:r>
              <w:rPr>
                <w:sz w:val="21"/>
              </w:rPr>
              <w:t>24</w:t>
            </w:r>
            <w:r>
              <w:rPr>
                <w:sz w:val="21"/>
              </w:rPr>
              <w:t>小时录像完整情况；支持数据库备份、恢复。</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5.8</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视频指挥模式应用</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视频巡检模式切换</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视频巡检模式切换</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视频巡检模式切换是在视频分组巡检过程中能够根据分组切换巡检视频，系统提供界面可通过工具栏选择进入指挥模式，则轮巡的分组视频采用预取流的方式实现视频切换图像显示低延迟。</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指挥模式控制</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指挥模式控制</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支持轮巡的暂停、开始、切换操作。</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5.9</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视频共享应用</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视频共享</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视频共享</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支持国家标准的</w:t>
            </w:r>
            <w:r>
              <w:rPr>
                <w:sz w:val="21"/>
              </w:rPr>
              <w:t>GB/T 28181</w:t>
            </w:r>
            <w:r>
              <w:rPr>
                <w:sz w:val="21"/>
              </w:rPr>
              <w:t>协议，支持</w:t>
            </w:r>
            <w:r>
              <w:rPr>
                <w:sz w:val="21"/>
              </w:rPr>
              <w:t>WebRTC</w:t>
            </w:r>
            <w:r>
              <w:rPr>
                <w:sz w:val="21"/>
              </w:rPr>
              <w:t>、</w:t>
            </w:r>
            <w:r>
              <w:rPr>
                <w:sz w:val="21"/>
              </w:rPr>
              <w:t>RTSP</w:t>
            </w:r>
            <w:r>
              <w:rPr>
                <w:sz w:val="21"/>
              </w:rPr>
              <w:t>、</w:t>
            </w:r>
            <w:r>
              <w:rPr>
                <w:sz w:val="21"/>
              </w:rPr>
              <w:t>RTMP</w:t>
            </w:r>
            <w:r>
              <w:rPr>
                <w:sz w:val="21"/>
              </w:rPr>
              <w:t>、</w:t>
            </w:r>
            <w:r>
              <w:rPr>
                <w:sz w:val="21"/>
              </w:rPr>
              <w:t>HTTP-FLV</w:t>
            </w:r>
            <w:r>
              <w:rPr>
                <w:sz w:val="21"/>
              </w:rPr>
              <w:t>、</w:t>
            </w:r>
            <w:r>
              <w:rPr>
                <w:sz w:val="21"/>
              </w:rPr>
              <w:t>Websocket-FLV</w:t>
            </w:r>
            <w:r>
              <w:rPr>
                <w:sz w:val="21"/>
              </w:rPr>
              <w:t>、</w:t>
            </w:r>
            <w:r>
              <w:rPr>
                <w:sz w:val="21"/>
              </w:rPr>
              <w:t>HLS</w:t>
            </w:r>
            <w:r>
              <w:rPr>
                <w:sz w:val="21"/>
              </w:rPr>
              <w:t>协议。</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视频级联共享</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视频级联共享</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针对视频共享平台级联时，支持本地</w:t>
            </w:r>
            <w:r>
              <w:rPr>
                <w:sz w:val="21"/>
              </w:rPr>
              <w:t>IP</w:t>
            </w:r>
            <w:r>
              <w:rPr>
                <w:sz w:val="21"/>
              </w:rPr>
              <w:t>设置、本地端口设置、流并发数限制、云台控制权限设置、共享录像权限设置、</w:t>
            </w:r>
            <w:r>
              <w:rPr>
                <w:sz w:val="21"/>
              </w:rPr>
              <w:t>RTCP</w:t>
            </w:r>
            <w:r>
              <w:rPr>
                <w:sz w:val="21"/>
              </w:rPr>
              <w:t>流保活设置、强制推送</w:t>
            </w:r>
            <w:r>
              <w:rPr>
                <w:sz w:val="21"/>
              </w:rPr>
              <w:t>H264</w:t>
            </w:r>
            <w:r>
              <w:rPr>
                <w:sz w:val="21"/>
              </w:rPr>
              <w:t>媒体流</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视频转发</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视频转发</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应支持客户可根据实际业务需求，配置备份录像计划，通过录像模块实现对特定摄像机实现实时视频备份录制，录制后的录像存储至政数局提供的集中存储中，支持回放、下载备份录制的历史录像。本期项目预留视频转存的路数不大于</w:t>
            </w:r>
            <w:r>
              <w:rPr>
                <w:sz w:val="21"/>
              </w:rPr>
              <w:t>100</w:t>
            </w:r>
            <w:r>
              <w:rPr>
                <w:sz w:val="21"/>
              </w:rPr>
              <w:t>路。</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流媒体服务配置</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流媒体服务配置</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流媒体服务配置支持基于</w:t>
            </w:r>
            <w:r>
              <w:rPr>
                <w:sz w:val="21"/>
              </w:rPr>
              <w:t>Web</w:t>
            </w:r>
            <w:r>
              <w:rPr>
                <w:sz w:val="21"/>
              </w:rPr>
              <w:t>方式进行修改，具备云录像目录配置、</w:t>
            </w:r>
            <w:r>
              <w:rPr>
                <w:sz w:val="21"/>
              </w:rPr>
              <w:t>RTSP</w:t>
            </w:r>
            <w:r>
              <w:rPr>
                <w:sz w:val="21"/>
              </w:rPr>
              <w:t>端口配置、</w:t>
            </w:r>
            <w:r>
              <w:rPr>
                <w:sz w:val="21"/>
              </w:rPr>
              <w:t>RTMP</w:t>
            </w:r>
            <w:r>
              <w:rPr>
                <w:sz w:val="21"/>
              </w:rPr>
              <w:t>端口配置、录像保存天数设置、收流端口区间</w:t>
            </w:r>
            <w:r>
              <w:rPr>
                <w:sz w:val="21"/>
              </w:rPr>
              <w:t>(TCP)</w:t>
            </w:r>
            <w:r>
              <w:rPr>
                <w:sz w:val="21"/>
              </w:rPr>
              <w:t>配置、收流端口区间</w:t>
            </w:r>
            <w:r>
              <w:rPr>
                <w:sz w:val="21"/>
              </w:rPr>
              <w:t>(UDP)</w:t>
            </w:r>
            <w:r>
              <w:rPr>
                <w:sz w:val="21"/>
              </w:rPr>
              <w:t>配置、</w:t>
            </w:r>
            <w:r>
              <w:rPr>
                <w:sz w:val="21"/>
              </w:rPr>
              <w:t>WebRTC</w:t>
            </w:r>
            <w:r>
              <w:rPr>
                <w:sz w:val="21"/>
              </w:rPr>
              <w:t>端口区间配置。</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APP</w:t>
            </w:r>
            <w:r>
              <w:rPr>
                <w:sz w:val="21"/>
              </w:rPr>
              <w:t>应用</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6.1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APP</w:t>
            </w:r>
            <w:r>
              <w:rPr>
                <w:sz w:val="21"/>
              </w:rPr>
              <w:t>应用功能接入粤政易</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APP</w:t>
            </w:r>
            <w:r>
              <w:rPr>
                <w:sz w:val="21"/>
              </w:rPr>
              <w:t>应用功能接入粤政易</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APP</w:t>
            </w:r>
            <w:r>
              <w:rPr>
                <w:sz w:val="21"/>
              </w:rPr>
              <w:t>应用功能接入粤政易</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APP</w:t>
            </w:r>
            <w:r>
              <w:rPr>
                <w:sz w:val="21"/>
              </w:rPr>
              <w:t>端应用功能需要整合进粤政易中。</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6.2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APP</w:t>
            </w:r>
            <w:r>
              <w:rPr>
                <w:sz w:val="21"/>
              </w:rPr>
              <w:t>应用白名单</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APP</w:t>
            </w:r>
            <w:r>
              <w:rPr>
                <w:sz w:val="21"/>
              </w:rPr>
              <w:t>应用白名单</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APP</w:t>
            </w:r>
            <w:r>
              <w:rPr>
                <w:sz w:val="21"/>
              </w:rPr>
              <w:t>应用白名单</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发布至粤政易平台移动端的</w:t>
            </w:r>
            <w:r>
              <w:rPr>
                <w:sz w:val="21"/>
              </w:rPr>
              <w:t>APP</w:t>
            </w:r>
            <w:r>
              <w:rPr>
                <w:sz w:val="21"/>
              </w:rPr>
              <w:t>应用，仅开放给特定人群，对此使用白名单进行管理，仅将白名单内的用户推送至粤政易平台移动端，实现白名单内用户可用</w:t>
            </w:r>
            <w:r>
              <w:rPr>
                <w:sz w:val="21"/>
              </w:rPr>
              <w:t>APP</w:t>
            </w:r>
            <w:r>
              <w:rPr>
                <w:sz w:val="21"/>
              </w:rPr>
              <w:t>应用。</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6.3</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视频应用</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摄像机操作功能按键</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摄像机操作功能按键</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摄像机操作功能按键是在摄像机列表中（点播历史、热点、收藏、搜索列表、区划目录列表等），支持点击直接播放实时视频，侧滑弹出功能键，包括：录像、收藏、定位功能。</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摄像机实时状态可视化</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摄像机实时状态可视化</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支持在摄像机目录树、电子地图中区分展示摄像机在线、离线状态，方便用户直观区分摄像机状态。</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全局搜索</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全局搜索</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全局搜索是提供全局检索功能，系统应提供摄像机名称、简拼首字母、国标编码实现精确搜索和模糊搜索；支持历史搜索信息查看。</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实时视频点播</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实时视频点播</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实时视频点播是通过手机端实时点播视频，系统应提供界面功能支持视频播放。</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支持视频关闭、视频截图、视频收藏、全屏（视频窗格自适应横屏播放）。</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录像检索回放</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录像检索回放</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录像检索回放是通过手机端支持录像回放，系统应提供界面支持录像回放支持暂停、快进、快退、全屏（横屏播放）；支持拖动录像结果状态条秒级定位播放。</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电子地图显示</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电子地图显示</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电子地图显示在手机端以电子地图方式显示附近的摄像机，系统提供界面支持进入附近区域，展示附近摄像机；支持地图放大、缩小。支持点击摄像机查看详细信息。点击地图上的视频点位，可以实时预览点位视频和视频点录像回放。</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6.4</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系统操作提示</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系统操作提示</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系统操作提示是</w:t>
            </w:r>
            <w:r>
              <w:rPr>
                <w:sz w:val="21"/>
              </w:rPr>
              <w:t>App</w:t>
            </w:r>
            <w:r>
              <w:rPr>
                <w:sz w:val="21"/>
              </w:rPr>
              <w:t>软件操作过程中出现的系统异常，支持在网络异常、实时视频点播失败等异常场景提供清晰和易理解的提示信息。</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我的</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我的</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我的是通过手机端</w:t>
            </w:r>
            <w:r>
              <w:rPr>
                <w:sz w:val="21"/>
              </w:rPr>
              <w:t>APP</w:t>
            </w:r>
            <w:r>
              <w:rPr>
                <w:sz w:val="21"/>
              </w:rPr>
              <w:t>支持修改系统默认主子码流；支持查阅操作指引；支持查看系统版本。</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版本更新</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版本更新</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版本更新是自动检查版本服务器上的最新版本，系统应提供界面提示用户更新</w:t>
            </w:r>
            <w:r>
              <w:rPr>
                <w:sz w:val="21"/>
              </w:rPr>
              <w:t>app</w:t>
            </w:r>
            <w:r>
              <w:rPr>
                <w:sz w:val="21"/>
              </w:rPr>
              <w:t>版本。如若版本不兼容，则需要强制用户更新软件版本，否则无法使用</w:t>
            </w:r>
            <w:r>
              <w:rPr>
                <w:sz w:val="21"/>
              </w:rPr>
              <w:t>app</w:t>
            </w:r>
            <w:r>
              <w:rPr>
                <w:sz w:val="21"/>
              </w:rPr>
              <w:t>软件。</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考核评价</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7.1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数据看板</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设备汇聚概况</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设备汇聚概况</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展示接入汇聚的设备资产情况，设备资产区分视频设备和感知设备。视频设备统计包括但可围绕接入设备总数、下级平台数、直连设备总数、二类点总数、三类点总数、设备图像分辨率分布情况及其他相关数据进行统计。感知设备统计可围绕接入设备总数、日均图片数及其他相关数据进行统计。统计项数据并且支持查看明细。</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档案信息治理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档案信息治理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展示平台资产的档案治理情况，围绕建档设备数、治理评分、二类点建档率、三类点建档率、档案校正规则数、</w:t>
            </w:r>
            <w:r>
              <w:rPr>
                <w:sz w:val="21"/>
              </w:rPr>
              <w:t>OSD</w:t>
            </w:r>
            <w:r>
              <w:rPr>
                <w:sz w:val="21"/>
              </w:rPr>
              <w:t>与设备名称一致性及其他相关数据进行统计。统计项数据并且支持查看明细。</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共享调阅情况</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共享调阅情况</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共享调阅情况统计展示对外提供能力数据，围绕共享上级平台数、推送设备总数、推送并发路数、实际并发最大路数、实际平均并发路数、平均调阅次数及其他相关数据进行统计。统计项数据并且支持查看明细。</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视频应用情况</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视频应用情况</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视频应用情况统计展示平台内用户、上级平台的使用情况，围绕实际最大并发路数、最常访问设备</w:t>
            </w:r>
            <w:r>
              <w:rPr>
                <w:sz w:val="21"/>
              </w:rPr>
              <w:t>Top10</w:t>
            </w:r>
            <w:r>
              <w:rPr>
                <w:sz w:val="21"/>
              </w:rPr>
              <w:t>、用户平均取流路数、重点标签分布维度、各重点标签设备数及其他相关数据进行统计，二三类点应用情况可根据业务关注程度，在关键指标上分别统计。统计项数据并且支持查看明细。</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视频巡检与治理情况</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视频巡检与治理情况</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巡检治理情况统计视频链路、视频质量的监测与治理，围绕巡检设备数、日均巡检数、设备平均在线率及趋势变化、录像完好率、图像稳定性统计、故障工单情况及其他相关数据进行统计。统计项数据并且支持查看明细。</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7.2</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报表引擎</w:t>
            </w:r>
          </w:p>
        </w:tc>
        <w:tc>
          <w:tcPr>
            <w:tcW w:type="dxa" w:w="7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报表引擎</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数据建模模块</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数据建模模块包括创建数据集和数据集引擎两个主要模块。针对于不同用户对于数据集的需求和自身所能提供的技术的复杂度，数据建模模块提供了各种不同级别的数据集。</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可视化分析模块</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仪表盘以丰富和可交互的可视化界面提供更好的数据使用体验。支持表格、饼状图、圆环图、曲线图、柱状图、水平柱状图、面积图、雷达图、极坐标图、散点图、气泡图等各种各样的图表样式。支持数据排序、统计算法、趋势线、目标线、深度分析算法、数据联动、聚焦缩放等多种手段的数据分析工具和方法。</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报告发布模块</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报告发布模块可以查看报告的数据展示，查看报告支持两种模式，分别为查看模式、编辑模式。支持灵活配置不同模式下支持的查看分析操作。查看报告时，支持将报告导出</w:t>
            </w:r>
            <w:r>
              <w:rPr>
                <w:sz w:val="21"/>
              </w:rPr>
              <w:t>WPS</w:t>
            </w:r>
            <w:r>
              <w:rPr>
                <w:sz w:val="21"/>
              </w:rPr>
              <w:t>表格，以数源单位为基础，提供视频接入量、视频质量等维度的考察数据，实现本地存储。</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7.3</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考核统计报表</w:t>
            </w:r>
          </w:p>
        </w:tc>
        <w:tc>
          <w:tcPr>
            <w:tcW w:type="dxa" w:w="7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业务报表</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接入情况统计报表</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结合业务需求，选择统计的设备范围、时间，系统生成接入情况的相关统计报表。</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实时视频巡检报表</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结合业务需求及巡检机制，系统生成实时视频巡检结果的的统计报表。</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录像视频巡检报表</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结合业务需求及巡检机制，系统生成实时录像巡检结果的的统计报表。</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转发调阅统计报表</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结合业务需求，选择统计的设备范围、时间，系统生成调阅的相关统计报表。</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高频调阅设备</w:t>
            </w:r>
            <w:r>
              <w:rPr>
                <w:sz w:val="21"/>
              </w:rPr>
              <w:t>TOP10</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选择统计的时间范围，系统统计调阅频次最高的前十名设备，并生成报表。</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调阅失败率设备</w:t>
            </w:r>
            <w:r>
              <w:rPr>
                <w:sz w:val="21"/>
              </w:rPr>
              <w:t>TOP10</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选择统计的时间范围，系统统计调阅失败率最高的前十名设备，并生成报表。</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共享情况统计报表</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系统统计出对所有上级平台的推送数量、调阅数、并发数等共享情况，并生成报表。</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设备在线率报表</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选择统计的时间范围，系统统计设备的在线情况，并以业务需求维度统计设备的在线率，生成报表。</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平均调阅时长统计报表</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选择统计的设备、时间范围，系统统计出设备或上级平台或用户的平均调阅时长，并生成报表。</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平均响应时长统计报表</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选择统计的设备、时间范围，系统统计设备的平均响应时长，最大响应时长，并生成报表。</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平台管理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8.1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用户管理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部门管理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部门管理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部门管理，是按照实际行政区划划分的部门组织结构，以此作为用户、角色、资源管理、服务管理的基础。按组织的级别形成部门组织树，实现组织的三级及多级管理。</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用户管理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用户管理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对能登录和访问系统功能的用户进行统一添加和管理。包括基本信息、登录信息、角色权限的授权信息等管理。</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角色管理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功能权限</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主要通过功能菜单目录对用户角色授予对应的菜单访问权限和功能操作权限，提供细粒度的菜单功能权限控制。</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资源权限</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支持按行政区划资源树和自定义目录树管理分配资源权限，权限授权的粒度支持资源和目录两种粒度，其中资源粒度支持选择需要过滤掉的资源。</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管理权限</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授权某个角色的部门管理范围，用户绑定该角色后可管理该角色授权的部门的用户信息、角色信息，属于业务数据类授权。与功能权限配合使用可实现对授权部门的所属用户、角色的管理，用户角色的绑定操作等。</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8.2</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日志管理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用户登录日志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用户登录日志</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用户登录日志，支持对用户登录行为监测，监测内容包括用户账号、用户名、</w:t>
            </w:r>
            <w:r>
              <w:rPr>
                <w:sz w:val="21"/>
              </w:rPr>
              <w:t>IP</w:t>
            </w:r>
            <w:r>
              <w:rPr>
                <w:sz w:val="21"/>
              </w:rPr>
              <w:t>地址、所属部门、操作类型（登录</w:t>
            </w:r>
            <w:r>
              <w:rPr>
                <w:sz w:val="21"/>
              </w:rPr>
              <w:t>/</w:t>
            </w:r>
            <w:r>
              <w:rPr>
                <w:sz w:val="21"/>
              </w:rPr>
              <w:t>退出）、操作时间、操作状态、操作说明。</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功能操作日志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功能操作日志</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▲支持操作留痕，能自动记录系统日志和登录日志，系统日志包括调用方式、资源路径、调用结果、远端地址、操作人、操作时间等，登录日志包括登录地址、登录状态、描述、访问时间等。提供同类系统截图。</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8.3</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字典管理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系统字典</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系统字典</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系统字典管理，指系统按国标内置的、通用的、统一的数据描述管理。不允许新增、修改和删除，可对字典项简称和描述进行维护。</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自定义字典</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自定义字典</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可按需对非系统字典进行自定义管理，可任意新增、修改、删除；</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数据字典采用树状结构展示，每个字典分类可灵活定义拓展下级字典项，且不限级数；点击某个字典，右侧列表显示该字典下包含的字典项列表；</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8.4</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级联配置</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上级平台级联</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上级平台级联</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面向上级平台，提供禁用、共享目录</w:t>
            </w:r>
            <w:r>
              <w:rPr>
                <w:sz w:val="21"/>
              </w:rPr>
              <w:t>/</w:t>
            </w:r>
            <w:r>
              <w:rPr>
                <w:sz w:val="21"/>
              </w:rPr>
              <w:t>设备配置功能。</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下级平台级联</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下级平台级联</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面向下级平台，提供禁用、同步、订阅</w:t>
            </w:r>
            <w:r>
              <w:rPr>
                <w:sz w:val="21"/>
              </w:rPr>
              <w:t>/</w:t>
            </w:r>
            <w:r>
              <w:rPr>
                <w:sz w:val="21"/>
              </w:rPr>
              <w:t>取消订阅功能，支持同步下级平台的目录、设备数据，支持订阅下级平台的设备上下线事件的通知。</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8.5</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域管理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设备域</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设备域</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平台支持根据业务情况自定义分配设备域，每个设备域管理一定数量的符合域规则的本级设备。</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视频域</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视频域</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平台支持根据业务情况自定义分配视频域。</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已建或在建信息系统对接</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9.1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与省雪亮平台对接</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与省雪亮平台对接</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与省雪亮平台对接</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基于政务外网与省级</w:t>
            </w:r>
            <w:r>
              <w:rPr>
                <w:sz w:val="21"/>
              </w:rPr>
              <w:t>“雪亮工程”平台通过</w:t>
            </w:r>
            <w:r>
              <w:rPr>
                <w:sz w:val="21"/>
              </w:rPr>
              <w:t>GB/T 28181</w:t>
            </w:r>
            <w:r>
              <w:rPr>
                <w:sz w:val="21"/>
              </w:rPr>
              <w:t>协议进行对接，按照“雪亮工程”管理规范中的考核进行服务保障。</w:t>
            </w:r>
          </w:p>
        </w:tc>
      </w:tr>
      <w:tr>
        <w:tc>
          <w:tcPr>
            <w:tcW w:type="dxa" w:w="332"/>
            <w:vMerge/>
            <w:tcBorders>
              <w:top w:val="none" w:color="000000" w:sz="4"/>
              <w:left w:val="singl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与市政数局一网共享平台对接</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与市政数局一网共享平台对接</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与市政数局一网共享平台对接</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与市政数局一网共享平台对接，目录资源与一网共享平台实现共享交换；对接接口按照一网共享平台对接规范进行对接，涉及到的审批流程与一网共享平台实现对接。</w:t>
            </w:r>
          </w:p>
        </w:tc>
      </w:tr>
      <w:tr>
        <w:tc>
          <w:tcPr>
            <w:tcW w:type="dxa" w:w="332"/>
            <w:vMerge/>
            <w:tcBorders>
              <w:top w:val="none" w:color="000000" w:sz="4"/>
              <w:left w:val="singl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与广州市大模型平台对接</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与广州市大模型平台对接</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与广州市大模型平台对接</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预留与广州市大模型平台的对接开发接口，预留提供</w:t>
            </w:r>
            <w:r>
              <w:rPr>
                <w:sz w:val="21"/>
              </w:rPr>
              <w:t>API</w:t>
            </w:r>
            <w:r>
              <w:rPr>
                <w:sz w:val="21"/>
              </w:rPr>
              <w:t>接口，方便后续与广州市大模型平台进行对接</w:t>
            </w:r>
          </w:p>
        </w:tc>
      </w:tr>
      <w:tr>
        <w:tc>
          <w:tcPr>
            <w:tcW w:type="dxa" w:w="332"/>
            <w:vMerge/>
            <w:tcBorders>
              <w:top w:val="none" w:color="000000" w:sz="4"/>
              <w:left w:val="singl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与市政数局粤政易对接</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与市政数局粤政易对接</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与市政数局粤政易对接</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与市政数局的粤政易对接，</w:t>
            </w:r>
            <w:r>
              <w:rPr>
                <w:sz w:val="21"/>
              </w:rPr>
              <w:t>APP</w:t>
            </w:r>
            <w:r>
              <w:rPr>
                <w:sz w:val="21"/>
              </w:rPr>
              <w:t>端需要整合进粤政易中；用户体系需要与粤政易同步，实现与统一身份认证，对接标准按照粤政易对接开发标准进行。</w:t>
            </w:r>
          </w:p>
        </w:tc>
      </w:tr>
      <w:tr>
        <w:tc>
          <w:tcPr>
            <w:tcW w:type="dxa" w:w="332"/>
            <w:vMerge/>
            <w:tcBorders>
              <w:top w:val="none" w:color="000000" w:sz="4"/>
              <w:left w:val="singl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与二三类点视频平台对接</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与二三类点视频平台对接</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与二三类点视频平台对接</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开展接入视频传输网、政务外网侧与二三类点视频平台对接工作，通过</w:t>
            </w:r>
            <w:r>
              <w:rPr>
                <w:sz w:val="21"/>
              </w:rPr>
              <w:t>GB/T28181</w:t>
            </w:r>
            <w:r>
              <w:rPr>
                <w:sz w:val="21"/>
              </w:rPr>
              <w:t>及私有接入协议等方式实现对二三类点视频平台的资源有效整合。</w:t>
            </w:r>
          </w:p>
        </w:tc>
      </w:tr>
      <w:tr>
        <w:tc>
          <w:tcPr>
            <w:tcW w:type="dxa" w:w="332"/>
            <w:vMerge/>
            <w:tcBorders>
              <w:top w:val="none" w:color="000000" w:sz="4"/>
              <w:left w:val="singl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与二三类点视频直接设备对接</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与二三类点视频直接设备对接</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与二三类点视频直接设备对接</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开展接入视频传输网、政务外网侧与二三类点视频直连设备对接工作，通过</w:t>
            </w:r>
            <w:r>
              <w:rPr>
                <w:sz w:val="21"/>
              </w:rPr>
              <w:t>GB/T28181</w:t>
            </w:r>
            <w:r>
              <w:rPr>
                <w:sz w:val="21"/>
              </w:rPr>
              <w:t>协议，实现对二三类点视频直连设备的资源有效整合。</w:t>
            </w:r>
          </w:p>
        </w:tc>
      </w:tr>
      <w:tr>
        <w:tc>
          <w:tcPr>
            <w:tcW w:type="dxa" w:w="332"/>
            <w:vMerge/>
            <w:tcBorders>
              <w:top w:val="none" w:color="000000" w:sz="4"/>
              <w:left w:val="singl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与市公安局的视频云联网平台对接</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与市公安局的视频云联网平台对接</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与市公安局的视频云联网平台对接</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开展与市公安局的视频云联网平台对接，将汇集的二三类点资源通过</w:t>
            </w:r>
            <w:r>
              <w:rPr>
                <w:sz w:val="21"/>
              </w:rPr>
              <w:t>GB/T28181</w:t>
            </w:r>
            <w:r>
              <w:rPr>
                <w:sz w:val="21"/>
              </w:rPr>
              <w:t>协议跨网共享给市公安局的视频云联网平台。</w:t>
            </w:r>
          </w:p>
        </w:tc>
      </w:tr>
      <w:tr>
        <w:tc>
          <w:tcPr>
            <w:tcW w:type="dxa" w:w="332"/>
            <w:vMerge/>
            <w:tcBorders>
              <w:top w:val="none" w:color="000000" w:sz="4"/>
              <w:left w:val="singl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w:t>
            </w:r>
            <w:r>
              <w:rPr>
                <w:sz w:val="21"/>
              </w:rPr>
              <w:t>GIS</w:t>
            </w:r>
            <w:r>
              <w:rPr>
                <w:sz w:val="21"/>
              </w:rPr>
              <w:t>地图服务云平台对接</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w:t>
            </w:r>
            <w:r>
              <w:rPr>
                <w:sz w:val="21"/>
              </w:rPr>
              <w:t>GIS</w:t>
            </w:r>
            <w:r>
              <w:rPr>
                <w:sz w:val="21"/>
              </w:rPr>
              <w:t>地图服务云平台对接</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w:t>
            </w:r>
            <w:r>
              <w:rPr>
                <w:sz w:val="21"/>
              </w:rPr>
              <w:t>GIS</w:t>
            </w:r>
            <w:r>
              <w:rPr>
                <w:sz w:val="21"/>
              </w:rPr>
              <w:t>地图服务云平台对接</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开展与</w:t>
            </w:r>
            <w:r>
              <w:rPr>
                <w:sz w:val="21"/>
              </w:rPr>
              <w:t>GIS</w:t>
            </w:r>
            <w:r>
              <w:rPr>
                <w:sz w:val="21"/>
              </w:rPr>
              <w:t>地图服务云平台对接，按照</w:t>
            </w:r>
            <w:r>
              <w:rPr>
                <w:sz w:val="21"/>
              </w:rPr>
              <w:t>GIS</w:t>
            </w:r>
            <w:r>
              <w:rPr>
                <w:sz w:val="21"/>
              </w:rPr>
              <w:t>地图服务端对接开发规范进行对接开发，接入地图服务。</w:t>
            </w:r>
          </w:p>
        </w:tc>
      </w:tr>
      <w:tr>
        <w:tc>
          <w:tcPr>
            <w:tcW w:type="dxa" w:w="332"/>
            <w:vMerge/>
            <w:tcBorders>
              <w:top w:val="none" w:color="000000" w:sz="4"/>
              <w:left w:val="singl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w:t>
            </w:r>
            <w:r>
              <w:rPr>
                <w:sz w:val="21"/>
              </w:rPr>
              <w:t>“百县千镇万村高质量发展工程”信息综合平台地市标准版对接</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w:t>
            </w:r>
            <w:r>
              <w:rPr>
                <w:sz w:val="21"/>
              </w:rPr>
              <w:t>“百县千镇万村高质量发展工程”信息综合平台地市标准版对接</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与</w:t>
            </w:r>
            <w:r>
              <w:rPr>
                <w:sz w:val="21"/>
              </w:rPr>
              <w:t>“百县千镇万村高质量发展工程”信息综合平台地市标准版对接</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按照《百千万综合信息平台视频服务对接接口说明文档</w:t>
            </w:r>
            <w:r>
              <w:rPr>
                <w:sz w:val="21"/>
              </w:rPr>
              <w:t>-</w:t>
            </w:r>
            <w:r>
              <w:rPr>
                <w:sz w:val="21"/>
              </w:rPr>
              <w:t>国标</w:t>
            </w:r>
            <w:r>
              <w:rPr>
                <w:sz w:val="21"/>
              </w:rPr>
              <w:t>_4</w:t>
            </w:r>
            <w:r>
              <w:rPr>
                <w:sz w:val="21"/>
              </w:rPr>
              <w:t>》要求实现“百县千镇万村高质量发展工程”信息综合平台地市标准版本地取流。</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sz w:val="21"/>
              </w:rPr>
              <w:t>10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sz w:val="21"/>
              </w:rPr>
              <w:t>运维管理</w:t>
            </w:r>
          </w:p>
        </w:tc>
        <w:tc>
          <w:tcPr>
            <w:tcW w:type="dxa" w:w="73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10.1</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资产运维治理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运维巡检任务管理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巡检任务管理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支持对巡检计划进行查询，查询条件包含资源类型、巡检指标、优先级、执行状态、计划名称。支持对巡检计划进行添加、编辑、删除、启用、禁用和刷新操作。支持按照全部资源，分组资源和指定资源创建巡检计划，支持监控点的预览取流复核、视频质量复核、</w:t>
            </w:r>
            <w:r>
              <w:rPr>
                <w:sz w:val="21"/>
              </w:rPr>
              <w:t>OSD</w:t>
            </w:r>
            <w:r>
              <w:rPr>
                <w:sz w:val="21"/>
              </w:rPr>
              <w:t>巡检复核、录像可用性复核、录像完整性复核、录像保存天数复核配置。巡检计划展示信息包含巡检资源、资源来源、巡检指标、巡检时间、巡检频率、执行进度、下次执行时间、本轮巡检耗时、执行状态。支持取流并发配置，包括平台名称、取流并发路上限等。</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档案巡检类型</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档案整体巡检</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对资产信息库中的对摄像机、停车场车辆卡口、出入门禁等资产档案数据的质量进行检测，支持建立任务定时或手动启动任务方式进行巡检。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档案提报完整性检测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对资产档案数据的完整性进行检测，按当前档案定义的必填字段要求重新检查一遍，用于筛选出历史录入档案或通过其他方式导入的信息填报不完整的资产档案。</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格式符合情况检测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对资产档案的格式达标情况进行检查，按当前档案定义的字段值校验规则重新校验一遍，用于筛选出历史录入的档案或通过其他方式绕过系统校验规则导入的字段值格式不符合要求的资产档案。</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IP</w:t>
            </w:r>
            <w:r>
              <w:rPr>
                <w:sz w:val="21"/>
              </w:rPr>
              <w:t>端口重复情况检测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对定义了</w:t>
            </w:r>
            <w:r>
              <w:rPr>
                <w:sz w:val="21"/>
              </w:rPr>
              <w:t>IP</w:t>
            </w:r>
            <w:r>
              <w:rPr>
                <w:sz w:val="21"/>
              </w:rPr>
              <w:t>及端口字段的资产档案进行重复性稽核，以发现同类资产档案提报过程中</w:t>
            </w:r>
            <w:r>
              <w:rPr>
                <w:sz w:val="21"/>
              </w:rPr>
              <w:t>IP</w:t>
            </w:r>
            <w:r>
              <w:rPr>
                <w:sz w:val="21"/>
              </w:rPr>
              <w:t>地址和端口重复的设备。</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经纬度填报重复性检测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对定义了经纬度字段的资产档案进行重复性稽核，以发现同类资产档案提报过程中经纬度重复的设备。</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档案二次校验巡检</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摄像机二次校验巡检</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系统执行摄像机二次校验巡检任务，记录的内容包括：摄像机编码、名称、所属行政区划，校验字段，校验字段值，校验结果，校验说明等信息。</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停车场车辆卡口二次校验巡检</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系统执行停车场车辆卡口二次校验巡检任务，记录的内容包括：卡口编码、卡口名称、所属行政区划，点位类型，校验字段，校验字段值，校验结果，校验说明等信息。</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10.2</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视频质量自动巡检</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视频质量核查引擎</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巡检结果统计查看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支持对实时视频和录像视频的巡检结果的查看，同时支持按巡检时间、点位类型、行政区划等条件进行筛选，支持对巡检结果数据的下载。</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视频丢失检测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对视频丢失情况进行程序自动巡检。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色彩失真检测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对色彩失真情况进行程序自动巡检。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视频模糊检测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对视频模糊情况进行程序自动巡检。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视频亮度检测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对视频亮度情况进行程序自动巡检。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视频干扰检测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对视频干扰情况进行程序自动巡检。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视频卡顿检测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对视频卡顿情况进行程序自动巡检。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信令延迟检测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对信令延迟情况进行程序自动巡检。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视频白屏检测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对视频白屏情况进行程序自动巡检。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视频黑屏检测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对视频黑屏情况进行程序自动巡检。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异物遮挡检测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对视频异物遮挡情况进行程序自动巡检。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关键帧延迟检测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对视频关键帧延迟情况进行程序自动巡检。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OSD</w:t>
            </w:r>
            <w:r>
              <w:rPr>
                <w:sz w:val="21"/>
              </w:rPr>
              <w:t>标注核查引擎</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OSD</w:t>
            </w:r>
            <w:r>
              <w:rPr>
                <w:sz w:val="21"/>
              </w:rPr>
              <w:t>标注核查引擎</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采用</w:t>
            </w:r>
            <w:r>
              <w:rPr>
                <w:sz w:val="21"/>
              </w:rPr>
              <w:t>OSD</w:t>
            </w:r>
            <w:r>
              <w:rPr>
                <w:sz w:val="21"/>
              </w:rPr>
              <w:t>检测算法对摄像机视频图像信息中的文字信息进行提取和检测，分析出图像中叠加的文字信息内容和文字坐标信息，诊断分析图像画面的时间标注、辖区标注、摄像机标注等信息的准确性。检测的摄像机范围为二类点设备，检测能力为</w:t>
            </w:r>
            <w:r>
              <w:rPr>
                <w:sz w:val="21"/>
              </w:rPr>
              <w:t>7</w:t>
            </w:r>
            <w:r>
              <w:rPr>
                <w:sz w:val="21"/>
              </w:rPr>
              <w:t>万路。</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10.3</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 xml:space="preserve"> </w:t>
            </w:r>
            <w:r>
              <w:rPr>
                <w:sz w:val="21"/>
              </w:rPr>
              <w:t>标签治理</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 xml:space="preserve"> </w:t>
            </w:r>
            <w:r>
              <w:rPr>
                <w:sz w:val="21"/>
              </w:rPr>
              <w:t>标签治理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标签服务架构</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标签服务架构基于设备、场所治理相关工具，提供治理清单管理，分配责任人下发治理任务，管理治理任务内设备范围。治理人员根据治理任务对设备进行单个点位信息标定和设备批量场所标定、批量关联场所、打标签。提供空间信息治理，对设备空间信息标定，包含设备经纬度、安装地址、场所类型、室内外、监控方向、打标签等设备信息，支持设备批量修改经纬度、确认经纬度、批量关联场所。</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自动打标签类型</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支持经纬度、地理标签、视频状态、视频质量、活跃度等常见类型标签自动打标签</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10.4</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监控资源档案管理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IT</w:t>
            </w:r>
            <w:r>
              <w:rPr>
                <w:sz w:val="21"/>
              </w:rPr>
              <w:t>服务器资源档案</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IT</w:t>
            </w:r>
            <w:r>
              <w:rPr>
                <w:sz w:val="21"/>
              </w:rPr>
              <w:t>服务器资源档案</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IT</w:t>
            </w:r>
            <w:r>
              <w:rPr>
                <w:sz w:val="21"/>
              </w:rPr>
              <w:t>服务器档案是对</w:t>
            </w:r>
            <w:r>
              <w:rPr>
                <w:sz w:val="21"/>
              </w:rPr>
              <w:t>IT</w:t>
            </w:r>
            <w:r>
              <w:rPr>
                <w:sz w:val="21"/>
              </w:rPr>
              <w:t>服务器硬件相关的信息进行统一的储存与管理。支持用户对档案进行创建、查看、编辑、删除、导入与导出等操作，以实现对</w:t>
            </w:r>
            <w:r>
              <w:rPr>
                <w:sz w:val="21"/>
              </w:rPr>
              <w:t>IT</w:t>
            </w:r>
            <w:r>
              <w:rPr>
                <w:sz w:val="21"/>
              </w:rPr>
              <w:t>服务器档案的管理。</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业务系统档案</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业务系统档案</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支持对业务系统及其所属的系统服务的基本信息、健康检查接口等信息进行编辑、管理与储存。支持用户通过创建、查看、编辑、删除及查找实现对业务系统档案的管理。</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10.5</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运维监控中心</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IT</w:t>
            </w:r>
            <w:r>
              <w:rPr>
                <w:sz w:val="21"/>
              </w:rPr>
              <w:t>运维监控</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IT</w:t>
            </w:r>
            <w:r>
              <w:rPr>
                <w:sz w:val="21"/>
              </w:rPr>
              <w:t>运维监控</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IT</w:t>
            </w:r>
            <w:r>
              <w:rPr>
                <w:sz w:val="21"/>
              </w:rPr>
              <w:t>服务运维监控将监控已经在</w:t>
            </w:r>
            <w:r>
              <w:rPr>
                <w:sz w:val="21"/>
              </w:rPr>
              <w:t>IT</w:t>
            </w:r>
            <w:r>
              <w:rPr>
                <w:sz w:val="21"/>
              </w:rPr>
              <w:t>服务器资源档案建档且插件状态处于运行中的</w:t>
            </w:r>
            <w:r>
              <w:rPr>
                <w:sz w:val="21"/>
              </w:rPr>
              <w:t>IT</w:t>
            </w:r>
            <w:r>
              <w:rPr>
                <w:sz w:val="21"/>
              </w:rPr>
              <w:t>服务器，监控内容包括由</w:t>
            </w:r>
            <w:r>
              <w:rPr>
                <w:sz w:val="21"/>
              </w:rPr>
              <w:t>CPU</w:t>
            </w:r>
            <w:r>
              <w:rPr>
                <w:sz w:val="21"/>
              </w:rPr>
              <w:t>使用率、内存使用率和</w:t>
            </w:r>
            <w:r>
              <w:rPr>
                <w:sz w:val="21"/>
              </w:rPr>
              <w:t>IOutil</w:t>
            </w:r>
            <w:r>
              <w:rPr>
                <w:sz w:val="21"/>
              </w:rPr>
              <w:t>使用率以及计算得出的健康值、磁盘读写速率、宽带上传下载速率等。</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4"/>
              </w:rPr>
              <w:t>视频管理监控</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4"/>
              </w:rPr>
              <w:t>视频管理监控</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具备通道信息展示，包括总设备、总通道、在线数情况；具备视频服务负载信息情况展示，包括直播、回放、播放、录像、</w:t>
            </w:r>
            <w:r>
              <w:rPr>
                <w:sz w:val="21"/>
              </w:rPr>
              <w:t>H265</w:t>
            </w:r>
            <w:r>
              <w:rPr>
                <w:sz w:val="21"/>
              </w:rPr>
              <w:t>、级联的负载信息；</w:t>
            </w:r>
            <w:r>
              <w:rPr>
                <w:sz w:val="21"/>
              </w:rPr>
              <w:t>CPU</w:t>
            </w:r>
            <w:r>
              <w:rPr>
                <w:sz w:val="21"/>
              </w:rPr>
              <w:t>负载情况信息展示；存储负载情况信息展示；网络负载情况信息展示；内存负载情况信息展示。</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服务运维监控</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服务运维监控</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服务运维监控是对业务系统及其系统服务模块的接口状态和服务器状态进行监控，当用户创建系统服务档案后，开始对系统服务的状态进行监控，即监控业务服务的健康检查接口的返回状态，支持用户手动刷新当前页面，查看其当前的接口状态。</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10.6</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告警管理中心</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运维指标配置</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运维指标配置</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运维指标配包括指业务指标源和指标两项配置功能，支持数据接入与配置。指标的配置是告警规则配置的前提，通过纳入指标项形成完整的告警规则表达式，从而支持运维监控告警规则的生成。</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运维告警管理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运维告警管理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运维告警管理是对运维监控对象异常的告警。通过选择告警对象、使用指标建立告警规则表达式、配置告警通知，从而完成对告警规则的配置。告警规则启用状态下当满足告警规则即触发告警生成告警记录并通知告警人。</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故障工单管理</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故障工单管理</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故障工单管理是对通过告警记录生成的工单进行管理。支持查看工单创建时间，工单所关联的告警信息以及工单对应的处理人信息。支持对已解决的故障进行工单关闭操作或对无法处理的故障进行处理人指派操作。</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10.7</w:t>
            </w:r>
          </w:p>
        </w:tc>
        <w:tc>
          <w:tcPr>
            <w:tcW w:type="dxa" w:w="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视频诊断</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规则配置</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规则配置</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提供视频诊断规则新建、删除功能，用户可通过设定通用的视频诊断检测内容新建常用的视频检测规则。完成常用规则配置后，可复用于多个诊断任务中，减少反复配置，提高运维效率。</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任务配置</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任务配置</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提供视频诊断任务新建、修改、删除功能，用户通过选择具体检测对象、检测规则快速创建视频诊断任务；支持手动停用</w:t>
            </w:r>
            <w:r>
              <w:rPr>
                <w:sz w:val="21"/>
              </w:rPr>
              <w:t>/</w:t>
            </w:r>
            <w:r>
              <w:rPr>
                <w:sz w:val="21"/>
              </w:rPr>
              <w:t>启用视频诊断任务。</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实时视频诊断结果</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实时视频诊断结果</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平台提供实时视频的视频诊断结果展示，对平台的所有摄像机展示摄像机在线情况以及最新的视频诊断结果，并显示视频质量检测项的检测情况。支持通过点播摄像机实时视频方式核实摄像机视频及状态。</w:t>
            </w:r>
          </w:p>
        </w:tc>
      </w:tr>
      <w:tr>
        <w:tc>
          <w:tcPr>
            <w:tcW w:type="dxa" w:w="332"/>
            <w:vMerge/>
            <w:tcBorders>
              <w:top w:val="none" w:color="000000" w:sz="4"/>
              <w:left w:val="single" w:color="000000" w:sz="4"/>
              <w:bottom w:val="single" w:color="000000" w:sz="4"/>
              <w:right w:val="single" w:color="000000" w:sz="4"/>
            </w:tcBorders>
          </w:tcPr>
          <w:p/>
        </w:tc>
        <w:tc>
          <w:tcPr>
            <w:tcW w:type="dxa" w:w="588"/>
            <w:vMerge/>
            <w:tcBorders>
              <w:top w:val="non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录像视频诊断结果</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录像视频诊断结果</w:t>
            </w:r>
          </w:p>
        </w:tc>
        <w:tc>
          <w:tcPr>
            <w:tcW w:type="dxa" w:w="6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平台提供录像视频的视频诊断结果展示，对平台的所有摄像机展示最新的录像诊断结果，并显示视频质量检测项的检测情况。支持对录像进行录像核验。</w:t>
            </w:r>
          </w:p>
        </w:tc>
      </w:tr>
      <w:tr>
        <w:tc>
          <w:tcPr>
            <w:tcW w:type="dxa" w:w="3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5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4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4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6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bl>
    <w:p>
      <w:pPr>
        <w:pStyle w:val="null3"/>
        <w:ind w:firstLine="480"/>
        <w:jc w:val="both"/>
      </w:pPr>
    </w:p>
    <w:p>
      <w:pPr>
        <w:pStyle w:val="null3"/>
        <w:ind w:firstLine="480"/>
        <w:jc w:val="both"/>
      </w:pPr>
      <w:r>
        <w:rPr>
          <w:sz w:val="24"/>
        </w:rPr>
        <w:t>其中，数据处理服务需求如下表：</w:t>
      </w:r>
    </w:p>
    <w:tbl>
      <w:tblPr>
        <w:tblW w:w="0" w:type="auto"/>
        <w:tblBorders>
          <w:top w:val="none" w:color="000000" w:sz="4"/>
          <w:left w:val="none" w:color="000000" w:sz="4"/>
          <w:bottom w:val="none" w:color="000000" w:sz="4"/>
          <w:right w:val="none" w:color="000000" w:sz="4"/>
          <w:insideH w:val="none"/>
          <w:insideV w:val="none"/>
        </w:tblBorders>
      </w:tblPr>
      <w:tblGrid>
        <w:gridCol w:w="1162"/>
        <w:gridCol w:w="7144"/>
      </w:tblGrid>
      <w:tr>
        <w:tc>
          <w:tcPr>
            <w:tcW w:type="dxa" w:w="1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sz w:val="24"/>
              </w:rPr>
              <w:t>序号</w:t>
            </w:r>
          </w:p>
        </w:tc>
        <w:tc>
          <w:tcPr>
            <w:tcW w:type="dxa" w:w="7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sz w:val="24"/>
              </w:rPr>
              <w:t>数据处理内容</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1</w:t>
            </w:r>
          </w:p>
        </w:tc>
        <w:tc>
          <w:tcPr>
            <w:tcW w:type="dxa" w:w="7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外部数据接口开发：开发视频流国标共享接口，满足</w:t>
            </w:r>
            <w:r>
              <w:rPr>
                <w:sz w:val="21"/>
              </w:rPr>
              <w:t>28181</w:t>
            </w:r>
            <w:r>
              <w:rPr>
                <w:sz w:val="21"/>
              </w:rPr>
              <w:t>国标级联共享要求的接口开发；档案共享接口，一机一档数据对外共享接口开发，并发布数据接口规范。</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2</w:t>
            </w:r>
          </w:p>
        </w:tc>
        <w:tc>
          <w:tcPr>
            <w:tcW w:type="dxa" w:w="7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数据迁移：用户账号、权限数据迁移，通过统一组织、发布通知，组织相关培训及准备工作，完成本次的数据迁移工作。为保证用户数据的平稳迁移及数据的安全，采用专门人员配合试点用户进行数据迁移，同时对迁移后的使用进行跟踪，保证用户数据的安全、平稳迁移；视频接入汇聚、视频共享转发数据对接迁移，将广州市社会重点单位视频资源整合平台接入汇聚的视频设备资源和城市管理视频云平台共享转发的资源迁移接入智感系统。</w:t>
            </w:r>
          </w:p>
        </w:tc>
      </w:tr>
    </w:tbl>
    <w:p>
      <w:pPr>
        <w:pStyle w:val="null3"/>
        <w:ind w:firstLine="480"/>
        <w:jc w:val="both"/>
      </w:pPr>
    </w:p>
    <w:p>
      <w:pPr>
        <w:pStyle w:val="null3"/>
        <w:ind w:firstLine="480"/>
        <w:jc w:val="both"/>
      </w:pPr>
      <w:r>
        <w:rPr>
          <w:sz w:val="24"/>
        </w:rPr>
        <w:t>2</w:t>
      </w:r>
      <w:r>
        <w:rPr>
          <w:sz w:val="24"/>
        </w:rPr>
        <w:t>、信息化基础设施建设要求</w:t>
      </w:r>
      <w:r>
        <w:rPr>
          <w:sz w:val="24"/>
        </w:rPr>
        <w:t>,</w:t>
      </w:r>
      <w:r>
        <w:rPr>
          <w:sz w:val="24"/>
        </w:rPr>
        <w:t>具体如下表：</w:t>
      </w:r>
    </w:p>
    <w:tbl>
      <w:tblPr>
        <w:tblW w:w="0" w:type="auto"/>
        <w:tblBorders>
          <w:top w:val="none" w:color="000000" w:sz="4"/>
          <w:left w:val="none" w:color="000000" w:sz="4"/>
          <w:bottom w:val="none" w:color="000000" w:sz="4"/>
          <w:right w:val="none" w:color="000000" w:sz="4"/>
          <w:insideH w:val="none"/>
          <w:insideV w:val="none"/>
        </w:tblBorders>
      </w:tblPr>
      <w:tblGrid>
        <w:gridCol w:w="769"/>
        <w:gridCol w:w="1366"/>
        <w:gridCol w:w="4208"/>
        <w:gridCol w:w="769"/>
        <w:gridCol w:w="1193"/>
      </w:tblGrid>
      <w:tr>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序号</w:t>
            </w:r>
          </w:p>
        </w:tc>
        <w:tc>
          <w:tcPr>
            <w:tcW w:type="dxa" w:w="1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产品名称</w:t>
            </w:r>
          </w:p>
        </w:tc>
        <w:tc>
          <w:tcPr>
            <w:tcW w:type="dxa" w:w="4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规格参数</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单位</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数量</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一</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无形资产</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1.1.2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基础软件及授权许可</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视频联网接入网关要求，满足：</w:t>
            </w:r>
          </w:p>
          <w:p>
            <w:pPr>
              <w:pStyle w:val="null3"/>
              <w:ind w:firstLine="420"/>
              <w:jc w:val="left"/>
            </w:pPr>
            <w:r>
              <w:rPr>
                <w:sz w:val="21"/>
              </w:rPr>
              <w:t>▲满足视频设备接入不少于</w:t>
            </w:r>
            <w:r>
              <w:rPr>
                <w:sz w:val="21"/>
              </w:rPr>
              <w:t>10</w:t>
            </w:r>
            <w:r>
              <w:rPr>
                <w:sz w:val="21"/>
              </w:rPr>
              <w:t>万路（至少包含非标视频</w:t>
            </w:r>
            <w:r>
              <w:rPr>
                <w:sz w:val="21"/>
              </w:rPr>
              <w:t>3</w:t>
            </w:r>
            <w:r>
              <w:rPr>
                <w:sz w:val="21"/>
              </w:rPr>
              <w:t>万路）；视频设备平台级连接入不少于</w:t>
            </w:r>
            <w:r>
              <w:rPr>
                <w:sz w:val="21"/>
              </w:rPr>
              <w:t>40</w:t>
            </w:r>
            <w:r>
              <w:rPr>
                <w:sz w:val="21"/>
              </w:rPr>
              <w:t>万路（预留</w:t>
            </w:r>
            <w:r>
              <w:rPr>
                <w:sz w:val="21"/>
              </w:rPr>
              <w:t>50</w:t>
            </w:r>
            <w:r>
              <w:rPr>
                <w:sz w:val="21"/>
              </w:rPr>
              <w:t>个下级级联平台）；标准视频流最大并发授权许可</w:t>
            </w:r>
            <w:r>
              <w:rPr>
                <w:sz w:val="21"/>
              </w:rPr>
              <w:t>4000</w:t>
            </w:r>
            <w:r>
              <w:rPr>
                <w:sz w:val="21"/>
              </w:rPr>
              <w:t>路；支持信令服务双机热备；</w:t>
            </w:r>
          </w:p>
          <w:p>
            <w:pPr>
              <w:pStyle w:val="null3"/>
              <w:ind w:firstLine="420"/>
              <w:jc w:val="left"/>
            </w:pPr>
            <w:r>
              <w:rPr>
                <w:sz w:val="21"/>
              </w:rPr>
              <w:t>感知数据汇聚网关要求，满足：</w:t>
            </w:r>
          </w:p>
          <w:p>
            <w:pPr>
              <w:pStyle w:val="null3"/>
              <w:ind w:firstLine="420"/>
              <w:jc w:val="left"/>
            </w:pPr>
            <w:r>
              <w:rPr>
                <w:sz w:val="21"/>
              </w:rPr>
              <w:t>▲感知设备直连接入不少于</w:t>
            </w:r>
            <w:r>
              <w:rPr>
                <w:sz w:val="21"/>
              </w:rPr>
              <w:t>2</w:t>
            </w:r>
            <w:r>
              <w:rPr>
                <w:sz w:val="21"/>
              </w:rPr>
              <w:t>万路；感知设备平台级联接入不少于</w:t>
            </w:r>
            <w:r>
              <w:rPr>
                <w:sz w:val="21"/>
              </w:rPr>
              <w:t>3</w:t>
            </w:r>
            <w:r>
              <w:rPr>
                <w:sz w:val="21"/>
              </w:rPr>
              <w:t>万路（预留</w:t>
            </w:r>
            <w:r>
              <w:rPr>
                <w:sz w:val="21"/>
              </w:rPr>
              <w:t>50</w:t>
            </w:r>
            <w:r>
              <w:rPr>
                <w:sz w:val="21"/>
              </w:rPr>
              <w:t>个下级级联平台，预计</w:t>
            </w:r>
            <w:r>
              <w:rPr>
                <w:sz w:val="21"/>
              </w:rPr>
              <w:t>1000</w:t>
            </w:r>
            <w:r>
              <w:rPr>
                <w:sz w:val="21"/>
              </w:rPr>
              <w:t>万张</w:t>
            </w:r>
            <w:r>
              <w:rPr>
                <w:sz w:val="21"/>
              </w:rPr>
              <w:t>/</w:t>
            </w:r>
            <w:r>
              <w:rPr>
                <w:sz w:val="21"/>
              </w:rPr>
              <w:t>天图片接入量）。</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项</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1.1.2.1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视频联网接入网关及授权</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▲视频联网接入网关，支持对视频监视设备的统一接入和协议转换。支持按照设备厂商提供的</w:t>
            </w:r>
            <w:r>
              <w:rPr>
                <w:sz w:val="21"/>
              </w:rPr>
              <w:t>SDK</w:t>
            </w:r>
            <w:r>
              <w:rPr>
                <w:sz w:val="21"/>
              </w:rPr>
              <w:t>开发包、</w:t>
            </w:r>
            <w:r>
              <w:rPr>
                <w:sz w:val="21"/>
              </w:rPr>
              <w:t>Onvif</w:t>
            </w:r>
            <w:r>
              <w:rPr>
                <w:sz w:val="21"/>
              </w:rPr>
              <w:t>协议、</w:t>
            </w:r>
            <w:r>
              <w:rPr>
                <w:sz w:val="21"/>
              </w:rPr>
              <w:t>RTSP</w:t>
            </w:r>
            <w:r>
              <w:rPr>
                <w:sz w:val="21"/>
              </w:rPr>
              <w:t>流、</w:t>
            </w:r>
            <w:r>
              <w:rPr>
                <w:sz w:val="21"/>
              </w:rPr>
              <w:t>RTMP</w:t>
            </w:r>
            <w:r>
              <w:rPr>
                <w:sz w:val="21"/>
              </w:rPr>
              <w:t>流、</w:t>
            </w:r>
            <w:r>
              <w:rPr>
                <w:sz w:val="21"/>
              </w:rPr>
              <w:t>FLV</w:t>
            </w:r>
            <w:r>
              <w:rPr>
                <w:sz w:val="21"/>
              </w:rPr>
              <w:t>流、</w:t>
            </w:r>
            <w:r>
              <w:rPr>
                <w:sz w:val="21"/>
              </w:rPr>
              <w:t>HLS</w:t>
            </w:r>
            <w:r>
              <w:rPr>
                <w:sz w:val="21"/>
              </w:rPr>
              <w:t>流、视频文件或者按照国标</w:t>
            </w:r>
            <w:r>
              <w:rPr>
                <w:sz w:val="21"/>
              </w:rPr>
              <w:t>GB/T28181</w:t>
            </w:r>
            <w:r>
              <w:rPr>
                <w:sz w:val="21"/>
              </w:rPr>
              <w:t>标准协议接入系统。同时，提供视频流转发、视频流转码等功能。</w:t>
            </w:r>
          </w:p>
          <w:p>
            <w:pPr>
              <w:pStyle w:val="null3"/>
              <w:ind w:firstLine="420"/>
              <w:jc w:val="left"/>
            </w:pPr>
            <w:r>
              <w:rPr>
                <w:sz w:val="21"/>
              </w:rPr>
              <w:t>视频联网接入主要包含标准视频流接入、非标视频流接入和视频平台级联接入等模块。视频联网接入网关软件需要配套相关授权才能形成视频联网接入能力。</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项</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1.1.2.1.1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视频联网接入网关软件</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视频联网接入网关，支持对视频监视设备的统一接入和协议转换，支持按照设备厂商提供的</w:t>
            </w:r>
            <w:r>
              <w:rPr>
                <w:sz w:val="21"/>
              </w:rPr>
              <w:t>SDK</w:t>
            </w:r>
            <w:r>
              <w:rPr>
                <w:sz w:val="21"/>
              </w:rPr>
              <w:t>开发包或者按照国标</w:t>
            </w:r>
            <w:r>
              <w:rPr>
                <w:sz w:val="21"/>
              </w:rPr>
              <w:t>GB/T28181</w:t>
            </w:r>
            <w:r>
              <w:rPr>
                <w:sz w:val="21"/>
              </w:rPr>
              <w:t>标准协议接入系统。同时，提供视频流转发、视频流转码等功能。视频联网接入主要包含标准视频流接入、非标视频流接入和视频平台级联接入等模块。</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套</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1.1.2.1.2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视频设备直连接入授权许可</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满足视频设备接入不少于</w:t>
            </w:r>
            <w:r>
              <w:rPr>
                <w:sz w:val="21"/>
              </w:rPr>
              <w:t>10</w:t>
            </w:r>
            <w:r>
              <w:rPr>
                <w:sz w:val="21"/>
              </w:rPr>
              <w:t>万路（包含非标视频</w:t>
            </w:r>
            <w:r>
              <w:rPr>
                <w:sz w:val="21"/>
              </w:rPr>
              <w:t>3</w:t>
            </w:r>
            <w:r>
              <w:rPr>
                <w:sz w:val="21"/>
              </w:rPr>
              <w:t>万路）</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路</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100,000</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1.1.2.1.3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视频设备平台级连接入授权许可</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视频设备平台级连接入不少于</w:t>
            </w:r>
            <w:r>
              <w:rPr>
                <w:sz w:val="21"/>
              </w:rPr>
              <w:t>40</w:t>
            </w:r>
            <w:r>
              <w:rPr>
                <w:sz w:val="21"/>
              </w:rPr>
              <w:t>万路（预留</w:t>
            </w:r>
            <w:r>
              <w:rPr>
                <w:sz w:val="21"/>
              </w:rPr>
              <w:t>50</w:t>
            </w:r>
            <w:r>
              <w:rPr>
                <w:sz w:val="21"/>
              </w:rPr>
              <w:t>个下级级联平台）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路</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400,000</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1.1.2.1.4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视频流并发许可</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视频流最大并发授权许可</w:t>
            </w:r>
            <w:r>
              <w:rPr>
                <w:sz w:val="21"/>
              </w:rPr>
              <w:t>4000</w:t>
            </w:r>
            <w:r>
              <w:rPr>
                <w:sz w:val="21"/>
              </w:rPr>
              <w:t>路</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路</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4,000</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1.1.2.2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感知数据汇聚网关及授权</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感知数据汇聚网关，支持接入图片等感知数据，同步包括平台级联和设备直连接入的模式。主要包括设备数据采集管理、平台数据采集管理、感知数据缓存、感知数据安全边界摆渡模块。感知数据汇聚网关软件需要配套相关许可采购构建感知数据采集能力。</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套</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1.1.2.2.1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感知数据汇聚网关软件</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感知数据汇聚网关，支持接入图片等感知数据，同步包括平台级联和设备直连接入的模式。主要包括设备数据采集管理、平台数据采集管理、感知数据缓存、感知数据安全边界摆渡模块。</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套</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1.1.2.2.2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感知设备直连接入授权许可</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感知设备直连接入不少于</w:t>
            </w:r>
            <w:r>
              <w:rPr>
                <w:sz w:val="21"/>
              </w:rPr>
              <w:t>2</w:t>
            </w:r>
            <w:r>
              <w:rPr>
                <w:sz w:val="21"/>
              </w:rPr>
              <w:t>万路</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路</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20,000</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1.1.2.2.3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感知设备平台级联接入授权许可</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感知设备平台级联接入不少于</w:t>
            </w:r>
            <w:r>
              <w:rPr>
                <w:sz w:val="21"/>
              </w:rPr>
              <w:t>3</w:t>
            </w:r>
            <w:r>
              <w:rPr>
                <w:sz w:val="21"/>
              </w:rPr>
              <w:t>万路（预留</w:t>
            </w:r>
            <w:r>
              <w:rPr>
                <w:sz w:val="21"/>
              </w:rPr>
              <w:t>50</w:t>
            </w:r>
            <w:r>
              <w:rPr>
                <w:sz w:val="21"/>
              </w:rPr>
              <w:t>个下级级联平台，预计</w:t>
            </w:r>
            <w:r>
              <w:rPr>
                <w:sz w:val="21"/>
              </w:rPr>
              <w:t>1000</w:t>
            </w:r>
            <w:r>
              <w:rPr>
                <w:sz w:val="21"/>
              </w:rPr>
              <w:t>万张</w:t>
            </w:r>
            <w:r>
              <w:rPr>
                <w:sz w:val="21"/>
              </w:rPr>
              <w:t>/</w:t>
            </w:r>
            <w:r>
              <w:rPr>
                <w:sz w:val="21"/>
              </w:rPr>
              <w:t>天图片接入量）</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路</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30,000</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二</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基础设施设备</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2.4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安全设备</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2.4.2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核心接入防火墙</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w:t>
            </w:r>
            <w:r>
              <w:rPr>
                <w:sz w:val="21"/>
              </w:rPr>
              <w:t>1.</w:t>
            </w:r>
            <w:r>
              <w:rPr>
                <w:sz w:val="21"/>
              </w:rPr>
              <w:t>防火墙吞吐量≥</w:t>
            </w:r>
            <w:r>
              <w:rPr>
                <w:sz w:val="21"/>
              </w:rPr>
              <w:t>80Gbps</w:t>
            </w:r>
            <w:r>
              <w:rPr>
                <w:sz w:val="21"/>
              </w:rPr>
              <w:t>，最大并发连接数≥</w:t>
            </w:r>
            <w:r>
              <w:rPr>
                <w:sz w:val="21"/>
              </w:rPr>
              <w:t>2500</w:t>
            </w:r>
            <w:r>
              <w:rPr>
                <w:sz w:val="21"/>
              </w:rPr>
              <w:t>万，每秒新建连接数≥</w:t>
            </w:r>
            <w:r>
              <w:rPr>
                <w:sz w:val="21"/>
              </w:rPr>
              <w:t>70</w:t>
            </w:r>
            <w:r>
              <w:rPr>
                <w:sz w:val="21"/>
              </w:rPr>
              <w:t>万，小包吞吐量相比大包吞吐量下降不超过</w:t>
            </w:r>
            <w:r>
              <w:rPr>
                <w:sz w:val="21"/>
              </w:rPr>
              <w:t>50%</w:t>
            </w:r>
            <w:r>
              <w:rPr>
                <w:sz w:val="21"/>
              </w:rPr>
              <w:t>，采用自主研发的关键芯片</w:t>
            </w:r>
            <w:r>
              <w:rPr>
                <w:sz w:val="21"/>
              </w:rPr>
              <w:t>(CPU )</w:t>
            </w:r>
            <w:r>
              <w:rPr>
                <w:sz w:val="21"/>
              </w:rPr>
              <w:t>，提供国家相关部委认可的第三方实验室测试报告证明，提供报告复印件。支持</w:t>
            </w:r>
            <w:r>
              <w:rPr>
                <w:sz w:val="21"/>
              </w:rPr>
              <w:t>web</w:t>
            </w:r>
            <w:r>
              <w:rPr>
                <w:sz w:val="21"/>
              </w:rPr>
              <w:t>应用防护，对访问</w:t>
            </w:r>
            <w:r>
              <w:rPr>
                <w:sz w:val="21"/>
              </w:rPr>
              <w:t>web</w:t>
            </w:r>
            <w:r>
              <w:rPr>
                <w:sz w:val="21"/>
              </w:rPr>
              <w:t>应用服务器的流量进行精细的管控和威胁检测（提供设备功能截图）。</w:t>
            </w:r>
          </w:p>
          <w:p>
            <w:pPr>
              <w:pStyle w:val="null3"/>
              <w:ind w:firstLine="420"/>
              <w:jc w:val="left"/>
            </w:pPr>
            <w:r>
              <w:rPr>
                <w:sz w:val="21"/>
              </w:rPr>
              <w:t>▲</w:t>
            </w:r>
            <w:r>
              <w:rPr>
                <w:sz w:val="21"/>
              </w:rPr>
              <w:t>2.</w:t>
            </w:r>
            <w:r>
              <w:rPr>
                <w:sz w:val="21"/>
              </w:rPr>
              <w:t>受限于机房机柜空间，设备高度≤</w:t>
            </w:r>
            <w:r>
              <w:rPr>
                <w:sz w:val="21"/>
              </w:rPr>
              <w:t>1U</w:t>
            </w:r>
            <w:r>
              <w:rPr>
                <w:sz w:val="21"/>
              </w:rPr>
              <w:t>，配置千兆</w:t>
            </w:r>
            <w:r>
              <w:rPr>
                <w:sz w:val="21"/>
              </w:rPr>
              <w:t>Combo</w:t>
            </w:r>
            <w:r>
              <w:rPr>
                <w:sz w:val="21"/>
              </w:rPr>
              <w:t>接口≥</w:t>
            </w:r>
            <w:r>
              <w:rPr>
                <w:sz w:val="21"/>
              </w:rPr>
              <w:t>8</w:t>
            </w:r>
            <w:r>
              <w:rPr>
                <w:sz w:val="21"/>
              </w:rPr>
              <w:t>，千兆电口≥</w:t>
            </w:r>
            <w:r>
              <w:rPr>
                <w:sz w:val="21"/>
              </w:rPr>
              <w:t>4</w:t>
            </w:r>
            <w:r>
              <w:rPr>
                <w:sz w:val="21"/>
              </w:rPr>
              <w:t>，万兆光口≥</w:t>
            </w:r>
            <w:r>
              <w:rPr>
                <w:sz w:val="21"/>
              </w:rPr>
              <w:t>10</w:t>
            </w:r>
            <w:r>
              <w:rPr>
                <w:sz w:val="21"/>
              </w:rPr>
              <w:t>，配置</w:t>
            </w:r>
            <w:r>
              <w:rPr>
                <w:sz w:val="21"/>
              </w:rPr>
              <w:t>2</w:t>
            </w:r>
            <w:r>
              <w:rPr>
                <w:sz w:val="21"/>
              </w:rPr>
              <w:t>个电源；配置</w:t>
            </w:r>
            <w:r>
              <w:rPr>
                <w:sz w:val="21"/>
              </w:rPr>
              <w:t>4</w:t>
            </w:r>
            <w:r>
              <w:rPr>
                <w:sz w:val="21"/>
              </w:rPr>
              <w:t>个风扇，形成</w:t>
            </w:r>
            <w:r>
              <w:rPr>
                <w:sz w:val="21"/>
              </w:rPr>
              <w:t>3+1</w:t>
            </w:r>
            <w:r>
              <w:rPr>
                <w:sz w:val="21"/>
              </w:rPr>
              <w:t>冗余备份，提供官网产品文档截图说明。</w:t>
            </w:r>
          </w:p>
          <w:p>
            <w:pPr>
              <w:pStyle w:val="null3"/>
              <w:ind w:firstLine="420"/>
              <w:jc w:val="left"/>
            </w:pPr>
            <w:r>
              <w:rPr>
                <w:sz w:val="21"/>
              </w:rPr>
              <w:t>3.</w:t>
            </w:r>
            <w:r>
              <w:rPr>
                <w:sz w:val="21"/>
              </w:rPr>
              <w:t>支持在设备的</w:t>
            </w:r>
            <w:r>
              <w:rPr>
                <w:sz w:val="21"/>
              </w:rPr>
              <w:t>WEB</w:t>
            </w:r>
            <w:r>
              <w:rPr>
                <w:sz w:val="21"/>
              </w:rPr>
              <w:t>管理页面中直接打开</w:t>
            </w:r>
            <w:r>
              <w:rPr>
                <w:sz w:val="21"/>
              </w:rPr>
              <w:t>CLI</w:t>
            </w:r>
            <w:r>
              <w:rPr>
                <w:sz w:val="21"/>
              </w:rPr>
              <w:t>控制命令；支持对常见应用服务</w:t>
            </w:r>
            <w:r>
              <w:rPr>
                <w:sz w:val="21"/>
              </w:rPr>
              <w:t>(HTTP</w:t>
            </w:r>
            <w:r>
              <w:rPr>
                <w:sz w:val="21"/>
              </w:rPr>
              <w:t>、</w:t>
            </w:r>
            <w:r>
              <w:rPr>
                <w:sz w:val="21"/>
              </w:rPr>
              <w:t>FTP</w:t>
            </w:r>
            <w:r>
              <w:rPr>
                <w:sz w:val="21"/>
              </w:rPr>
              <w:t>、</w:t>
            </w:r>
            <w:r>
              <w:rPr>
                <w:sz w:val="21"/>
              </w:rPr>
              <w:t>SSH</w:t>
            </w:r>
            <w:r>
              <w:rPr>
                <w:sz w:val="21"/>
              </w:rPr>
              <w:t>、</w:t>
            </w:r>
            <w:r>
              <w:rPr>
                <w:sz w:val="21"/>
              </w:rPr>
              <w:t>SMTP</w:t>
            </w:r>
            <w:r>
              <w:rPr>
                <w:sz w:val="21"/>
              </w:rPr>
              <w:t>、</w:t>
            </w:r>
            <w:r>
              <w:rPr>
                <w:sz w:val="21"/>
              </w:rPr>
              <w:t>IMAP)</w:t>
            </w:r>
            <w:r>
              <w:rPr>
                <w:sz w:val="21"/>
              </w:rPr>
              <w:t>和数据库软件</w:t>
            </w:r>
            <w:r>
              <w:rPr>
                <w:sz w:val="21"/>
              </w:rPr>
              <w:t>(MySQL</w:t>
            </w:r>
            <w:r>
              <w:rPr>
                <w:sz w:val="21"/>
              </w:rPr>
              <w:t>、</w:t>
            </w:r>
            <w:r>
              <w:rPr>
                <w:sz w:val="21"/>
              </w:rPr>
              <w:t>Oracle</w:t>
            </w:r>
            <w:r>
              <w:rPr>
                <w:sz w:val="21"/>
              </w:rPr>
              <w:t>、</w:t>
            </w:r>
            <w:r>
              <w:rPr>
                <w:sz w:val="21"/>
              </w:rPr>
              <w:t>MSSQL)</w:t>
            </w:r>
            <w:r>
              <w:rPr>
                <w:sz w:val="21"/>
              </w:rPr>
              <w:t>的口令暴力破解防护功能。</w:t>
            </w:r>
          </w:p>
          <w:p>
            <w:pPr>
              <w:pStyle w:val="null3"/>
              <w:ind w:firstLine="420"/>
              <w:jc w:val="left"/>
            </w:pPr>
            <w:r>
              <w:rPr>
                <w:sz w:val="21"/>
              </w:rPr>
              <w:t>4.</w:t>
            </w:r>
            <w:r>
              <w:rPr>
                <w:sz w:val="21"/>
              </w:rPr>
              <w:t>支持扩展硬盘功能，实配</w:t>
            </w:r>
            <w:r>
              <w:rPr>
                <w:sz w:val="21"/>
              </w:rPr>
              <w:t>960G</w:t>
            </w:r>
            <w:r>
              <w:rPr>
                <w:sz w:val="21"/>
              </w:rPr>
              <w:t>硬盘</w:t>
            </w:r>
          </w:p>
          <w:p>
            <w:pPr>
              <w:pStyle w:val="null3"/>
              <w:ind w:firstLine="420"/>
              <w:jc w:val="left"/>
            </w:pPr>
            <w:r>
              <w:rPr>
                <w:sz w:val="21"/>
              </w:rPr>
              <w:t>5.</w:t>
            </w:r>
            <w:r>
              <w:rPr>
                <w:sz w:val="21"/>
              </w:rPr>
              <w:t>支持</w:t>
            </w:r>
            <w:r>
              <w:rPr>
                <w:sz w:val="21"/>
              </w:rPr>
              <w:t>NAT</w:t>
            </w:r>
            <w:r>
              <w:rPr>
                <w:sz w:val="21"/>
              </w:rPr>
              <w:t>地址复用技术，可实现单个公网</w:t>
            </w:r>
            <w:r>
              <w:rPr>
                <w:sz w:val="21"/>
              </w:rPr>
              <w:t>IP</w:t>
            </w:r>
            <w:r>
              <w:rPr>
                <w:sz w:val="21"/>
              </w:rPr>
              <w:t>地址的无限制端口转换，可有效解决地址短缺问题。</w:t>
            </w:r>
          </w:p>
          <w:p>
            <w:pPr>
              <w:pStyle w:val="null3"/>
              <w:ind w:firstLine="420"/>
              <w:jc w:val="left"/>
            </w:pPr>
            <w:r>
              <w:rPr>
                <w:sz w:val="21"/>
              </w:rPr>
              <w:t>6.</w:t>
            </w:r>
            <w:r>
              <w:rPr>
                <w:sz w:val="21"/>
              </w:rPr>
              <w:t>为满足电信级可靠性，支持</w:t>
            </w:r>
            <w:r>
              <w:rPr>
                <w:sz w:val="21"/>
              </w:rPr>
              <w:t>2</w:t>
            </w:r>
            <w:r>
              <w:rPr>
                <w:sz w:val="21"/>
              </w:rPr>
              <w:t>条万兆光</w:t>
            </w:r>
            <w:r>
              <w:rPr>
                <w:sz w:val="21"/>
              </w:rPr>
              <w:t>Bypass</w:t>
            </w:r>
            <w:r>
              <w:rPr>
                <w:sz w:val="21"/>
              </w:rPr>
              <w:t>链路</w:t>
            </w:r>
          </w:p>
          <w:p>
            <w:pPr>
              <w:pStyle w:val="null3"/>
              <w:ind w:firstLine="420"/>
              <w:jc w:val="left"/>
            </w:pPr>
            <w:r>
              <w:rPr>
                <w:sz w:val="21"/>
              </w:rPr>
              <w:t>7.</w:t>
            </w:r>
            <w:r>
              <w:rPr>
                <w:sz w:val="21"/>
              </w:rPr>
              <w:t>支持通过</w:t>
            </w:r>
            <w:r>
              <w:rPr>
                <w:sz w:val="21"/>
              </w:rPr>
              <w:t>telemetry</w:t>
            </w:r>
            <w:r>
              <w:rPr>
                <w:sz w:val="21"/>
              </w:rPr>
              <w:t>功能，设备通主动向采集器上送设备的接口流量统计、</w:t>
            </w:r>
            <w:r>
              <w:rPr>
                <w:sz w:val="21"/>
              </w:rPr>
              <w:t>CPU</w:t>
            </w:r>
            <w:r>
              <w:rPr>
                <w:sz w:val="21"/>
              </w:rPr>
              <w:t>或内存数据等信息。</w:t>
            </w:r>
          </w:p>
          <w:p>
            <w:pPr>
              <w:pStyle w:val="null3"/>
              <w:ind w:firstLine="420"/>
              <w:jc w:val="left"/>
            </w:pPr>
            <w:r>
              <w:rPr>
                <w:sz w:val="21"/>
              </w:rPr>
              <w:t>8.</w:t>
            </w:r>
            <w:r>
              <w:rPr>
                <w:sz w:val="21"/>
              </w:rPr>
              <w:t>系统预定义</w:t>
            </w:r>
            <w:r>
              <w:rPr>
                <w:sz w:val="21"/>
              </w:rPr>
              <w:t>IPS</w:t>
            </w:r>
            <w:r>
              <w:rPr>
                <w:sz w:val="21"/>
              </w:rPr>
              <w:t>签名数量≥</w:t>
            </w:r>
            <w:r>
              <w:rPr>
                <w:sz w:val="21"/>
              </w:rPr>
              <w:t>20000</w:t>
            </w:r>
            <w:r>
              <w:rPr>
                <w:sz w:val="21"/>
              </w:rPr>
              <w:t>，</w:t>
            </w:r>
            <w:r>
              <w:rPr>
                <w:sz w:val="21"/>
              </w:rPr>
              <w:t>CVE</w:t>
            </w:r>
            <w:r>
              <w:rPr>
                <w:sz w:val="21"/>
              </w:rPr>
              <w:t>和</w:t>
            </w:r>
            <w:r>
              <w:rPr>
                <w:sz w:val="21"/>
              </w:rPr>
              <w:t>CNNVD</w:t>
            </w:r>
            <w:r>
              <w:rPr>
                <w:sz w:val="21"/>
              </w:rPr>
              <w:t>编号的签名条目数不得少于</w:t>
            </w:r>
            <w:r>
              <w:rPr>
                <w:sz w:val="21"/>
              </w:rPr>
              <w:t>11000</w:t>
            </w:r>
            <w:r>
              <w:rPr>
                <w:sz w:val="21"/>
              </w:rPr>
              <w:t>，支持用户自定义签名规则，支持正则表达式</w:t>
            </w:r>
          </w:p>
          <w:p>
            <w:pPr>
              <w:pStyle w:val="null3"/>
              <w:ind w:firstLine="420"/>
              <w:jc w:val="left"/>
            </w:pPr>
            <w:r>
              <w:rPr>
                <w:sz w:val="21"/>
              </w:rPr>
              <w:t>▲</w:t>
            </w:r>
            <w:r>
              <w:rPr>
                <w:sz w:val="21"/>
              </w:rPr>
              <w:t>9.</w:t>
            </w:r>
            <w:r>
              <w:rPr>
                <w:sz w:val="21"/>
              </w:rPr>
              <w:t>投标人须提供核心接入防火墙的原厂维保服务承诺，在签订合同前提供原厂针对本项目的原厂服务承诺函扫描件。</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台</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2</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2.4.3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万兆多模光模块</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万兆多模光模块</w:t>
            </w:r>
            <w:r>
              <w:rPr>
                <w:sz w:val="21"/>
              </w:rPr>
              <w:t>(850nm,0.3km,LC)</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个</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16</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2.4.4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40G</w:t>
            </w:r>
            <w:r>
              <w:rPr>
                <w:sz w:val="21"/>
              </w:rPr>
              <w:t>万兆多模光模块</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40G</w:t>
            </w:r>
            <w:r>
              <w:rPr>
                <w:sz w:val="21"/>
              </w:rPr>
              <w:t>万兆多模光模块</w:t>
            </w:r>
            <w:r>
              <w:rPr>
                <w:sz w:val="21"/>
              </w:rPr>
              <w:t>(0.3km)</w:t>
            </w:r>
            <w:r>
              <w:rPr>
                <w:sz w:val="21"/>
              </w:rPr>
              <w:t>，可以堆叠、支持一分四使用；</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个</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2</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2.4.5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万兆单模光模块</w:t>
            </w:r>
          </w:p>
        </w:tc>
        <w:tc>
          <w:tcPr>
            <w:tcW w:type="dxa" w:w="4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万兆单模光模块</w:t>
            </w:r>
            <w:r>
              <w:rPr>
                <w:sz w:val="21"/>
              </w:rPr>
              <w:t>(40km,LC)</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个</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4</w:t>
            </w:r>
          </w:p>
        </w:tc>
      </w:tr>
    </w:tbl>
    <w:p>
      <w:pPr>
        <w:pStyle w:val="null3"/>
        <w:ind w:firstLine="480"/>
        <w:jc w:val="both"/>
      </w:pPr>
    </w:p>
    <w:p>
      <w:pPr>
        <w:pStyle w:val="null3"/>
        <w:ind w:firstLine="480"/>
        <w:jc w:val="both"/>
      </w:pPr>
      <w:r>
        <w:rPr>
          <w:sz w:val="24"/>
        </w:rPr>
        <w:t>3</w:t>
      </w:r>
      <w:r>
        <w:rPr>
          <w:sz w:val="24"/>
        </w:rPr>
        <w:t>、系统租赁服务要求：本项目云资源服务由市政数局统筹提供，不计算费用</w:t>
      </w:r>
      <w:r>
        <w:rPr>
          <w:sz w:val="24"/>
        </w:rPr>
        <w:t>;</w:t>
      </w:r>
      <w:r>
        <w:rPr>
          <w:sz w:val="24"/>
        </w:rPr>
        <w:t>链路租赁包含两条</w:t>
      </w:r>
      <w:r>
        <w:rPr>
          <w:sz w:val="24"/>
        </w:rPr>
        <w:t>20G</w:t>
      </w:r>
      <w:r>
        <w:rPr>
          <w:sz w:val="24"/>
        </w:rPr>
        <w:t>网络链路用于城市视频网连通政务外网的主备链路租赁，根据广州市政务服务数据管理局广州市财政局关于印发</w:t>
      </w:r>
      <w:r>
        <w:rPr>
          <w:sz w:val="24"/>
        </w:rPr>
        <w:t>2024</w:t>
      </w:r>
      <w:r>
        <w:rPr>
          <w:sz w:val="24"/>
        </w:rPr>
        <w:t>年广州市政务信息化项目申报指南的通知（穗政数</w:t>
      </w:r>
      <w:r>
        <w:rPr>
          <w:sz w:val="24"/>
        </w:rPr>
        <w:t>[2023]17</w:t>
      </w:r>
      <w:r>
        <w:rPr>
          <w:sz w:val="24"/>
        </w:rPr>
        <w:t>号）规定，租赁时间满足开发调试</w:t>
      </w:r>
      <w:r>
        <w:rPr>
          <w:sz w:val="24"/>
        </w:rPr>
        <w:t>12</w:t>
      </w:r>
      <w:r>
        <w:rPr>
          <w:sz w:val="24"/>
        </w:rPr>
        <w:t>个月（含平台试运行</w:t>
      </w:r>
      <w:r>
        <w:rPr>
          <w:sz w:val="24"/>
        </w:rPr>
        <w:t>3</w:t>
      </w:r>
      <w:r>
        <w:rPr>
          <w:sz w:val="24"/>
        </w:rPr>
        <w:t>个月）的使用，后续租赁由市政数局统筹安排。具体要求如下表：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015"/>
        <w:gridCol w:w="1530"/>
        <w:gridCol w:w="2982"/>
        <w:gridCol w:w="593"/>
        <w:gridCol w:w="671"/>
        <w:gridCol w:w="671"/>
        <w:gridCol w:w="843"/>
      </w:tblGrid>
      <w:tr>
        <w:tc>
          <w:tcPr>
            <w:tcW w:type="dxa" w:w="101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b/>
                <w:sz w:val="24"/>
              </w:rPr>
              <w:t>序号</w:t>
            </w:r>
          </w:p>
        </w:tc>
        <w:tc>
          <w:tcPr>
            <w:tcW w:type="dxa" w:w="153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left"/>
            </w:pPr>
            <w:r>
              <w:rPr>
                <w:b/>
                <w:sz w:val="24"/>
              </w:rPr>
              <w:t>服务器名称</w:t>
            </w:r>
          </w:p>
        </w:tc>
        <w:tc>
          <w:tcPr>
            <w:tcW w:type="dxa" w:w="29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b/>
                <w:sz w:val="24"/>
              </w:rPr>
              <w:t>功能或规格参数</w:t>
            </w:r>
          </w:p>
        </w:tc>
        <w:tc>
          <w:tcPr>
            <w:tcW w:type="dxa" w:w="59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b/>
                <w:sz w:val="24"/>
              </w:rPr>
              <w:t>数量</w:t>
            </w:r>
          </w:p>
        </w:tc>
        <w:tc>
          <w:tcPr>
            <w:tcW w:type="dxa" w:w="67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b/>
                <w:sz w:val="24"/>
              </w:rPr>
              <w:t>单位</w:t>
            </w:r>
          </w:p>
        </w:tc>
        <w:tc>
          <w:tcPr>
            <w:tcW w:type="dxa" w:w="67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b/>
                <w:sz w:val="24"/>
              </w:rPr>
              <w:t>租赁</w:t>
            </w:r>
          </w:p>
          <w:p>
            <w:pPr>
              <w:pStyle w:val="null3"/>
              <w:ind w:firstLine="480"/>
              <w:jc w:val="center"/>
            </w:pPr>
            <w:r>
              <w:rPr>
                <w:b/>
                <w:sz w:val="24"/>
              </w:rPr>
              <w:t>周期</w:t>
            </w:r>
          </w:p>
        </w:tc>
        <w:tc>
          <w:tcPr>
            <w:tcW w:type="dxa" w:w="8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b/>
                <w:sz w:val="24"/>
              </w:rPr>
              <w:t>备注</w:t>
            </w:r>
          </w:p>
        </w:tc>
      </w:tr>
      <w:tr>
        <w:tc>
          <w:tcPr>
            <w:tcW w:type="dxa" w:w="10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一</w:t>
            </w:r>
          </w:p>
        </w:tc>
        <w:tc>
          <w:tcPr>
            <w:tcW w:type="dxa" w:w="15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软件租赁</w:t>
            </w:r>
          </w:p>
        </w:tc>
        <w:tc>
          <w:tcPr>
            <w:tcW w:type="dxa" w:w="29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w:t>
            </w:r>
          </w:p>
        </w:tc>
        <w:tc>
          <w:tcPr>
            <w:tcW w:type="dxa" w:w="5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w:t>
            </w:r>
          </w:p>
        </w:tc>
        <w:tc>
          <w:tcPr>
            <w:tcW w:type="dxa" w:w="6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w:t>
            </w:r>
          </w:p>
        </w:tc>
        <w:tc>
          <w:tcPr>
            <w:tcW w:type="dxa" w:w="6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w:t>
            </w:r>
          </w:p>
        </w:tc>
        <w:tc>
          <w:tcPr>
            <w:tcW w:type="dxa" w:w="8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w:t>
            </w:r>
          </w:p>
        </w:tc>
      </w:tr>
      <w:tr>
        <w:tc>
          <w:tcPr>
            <w:tcW w:type="dxa" w:w="10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二</w:t>
            </w:r>
          </w:p>
        </w:tc>
        <w:tc>
          <w:tcPr>
            <w:tcW w:type="dxa" w:w="15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信息化基础设施租赁</w:t>
            </w:r>
          </w:p>
        </w:tc>
        <w:tc>
          <w:tcPr>
            <w:tcW w:type="dxa" w:w="29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w:t>
            </w:r>
          </w:p>
        </w:tc>
        <w:tc>
          <w:tcPr>
            <w:tcW w:type="dxa" w:w="5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w:t>
            </w:r>
          </w:p>
        </w:tc>
        <w:tc>
          <w:tcPr>
            <w:tcW w:type="dxa" w:w="6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w:t>
            </w:r>
          </w:p>
        </w:tc>
        <w:tc>
          <w:tcPr>
            <w:tcW w:type="dxa" w:w="6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w:t>
            </w:r>
          </w:p>
        </w:tc>
        <w:tc>
          <w:tcPr>
            <w:tcW w:type="dxa" w:w="8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w:t>
            </w:r>
          </w:p>
        </w:tc>
      </w:tr>
      <w:tr>
        <w:tc>
          <w:tcPr>
            <w:tcW w:type="dxa" w:w="10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三</w:t>
            </w:r>
          </w:p>
        </w:tc>
        <w:tc>
          <w:tcPr>
            <w:tcW w:type="dxa" w:w="15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链路租赁</w:t>
            </w:r>
          </w:p>
        </w:tc>
        <w:tc>
          <w:tcPr>
            <w:tcW w:type="dxa" w:w="29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20G</w:t>
            </w:r>
            <w:r>
              <w:rPr>
                <w:sz w:val="21"/>
              </w:rPr>
              <w:t>两条网络链路租赁</w:t>
            </w:r>
          </w:p>
        </w:tc>
        <w:tc>
          <w:tcPr>
            <w:tcW w:type="dxa" w:w="5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路</w:t>
            </w:r>
          </w:p>
        </w:tc>
        <w:tc>
          <w:tcPr>
            <w:tcW w:type="dxa" w:w="6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w:t>
            </w:r>
          </w:p>
        </w:tc>
        <w:tc>
          <w:tcPr>
            <w:tcW w:type="dxa" w:w="6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w:t>
            </w:r>
            <w:r>
              <w:rPr>
                <w:sz w:val="21"/>
              </w:rPr>
              <w:t>年</w:t>
            </w:r>
          </w:p>
        </w:tc>
        <w:tc>
          <w:tcPr>
            <w:tcW w:type="dxa" w:w="8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p>
        </w:tc>
      </w:tr>
      <w:tr>
        <w:tc>
          <w:tcPr>
            <w:tcW w:type="dxa" w:w="10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3.1</w:t>
            </w:r>
          </w:p>
        </w:tc>
        <w:tc>
          <w:tcPr>
            <w:tcW w:type="dxa" w:w="15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链路租赁</w:t>
            </w:r>
          </w:p>
        </w:tc>
        <w:tc>
          <w:tcPr>
            <w:tcW w:type="dxa" w:w="29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▲提供相应的网络链路规划方案，用于城市视频网连通政务外网的冗余（</w:t>
            </w:r>
            <w:r>
              <w:rPr>
                <w:sz w:val="21"/>
              </w:rPr>
              <w:t>2</w:t>
            </w:r>
            <w:r>
              <w:rPr>
                <w:sz w:val="21"/>
              </w:rPr>
              <w:t>条）</w:t>
            </w:r>
            <w:r>
              <w:rPr>
                <w:sz w:val="21"/>
              </w:rPr>
              <w:t>20G</w:t>
            </w:r>
            <w:r>
              <w:rPr>
                <w:sz w:val="21"/>
              </w:rPr>
              <w:t>主备链路租赁服务，租赁时间满足开发调试</w:t>
            </w:r>
            <w:r>
              <w:rPr>
                <w:sz w:val="21"/>
              </w:rPr>
              <w:t>12</w:t>
            </w:r>
            <w:r>
              <w:rPr>
                <w:sz w:val="21"/>
              </w:rPr>
              <w:t>个月（含平台试运行</w:t>
            </w:r>
            <w:r>
              <w:rPr>
                <w:sz w:val="21"/>
              </w:rPr>
              <w:t>3</w:t>
            </w:r>
            <w:r>
              <w:rPr>
                <w:sz w:val="21"/>
              </w:rPr>
              <w:t>个月）的链路，投标人承诺签订合同后提供运营商服务保障证明。</w:t>
            </w:r>
          </w:p>
        </w:tc>
        <w:tc>
          <w:tcPr>
            <w:tcW w:type="dxa" w:w="5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路</w:t>
            </w:r>
          </w:p>
        </w:tc>
        <w:tc>
          <w:tcPr>
            <w:tcW w:type="dxa" w:w="6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w:t>
            </w:r>
          </w:p>
        </w:tc>
        <w:tc>
          <w:tcPr>
            <w:tcW w:type="dxa" w:w="6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w:t>
            </w:r>
            <w:r>
              <w:rPr>
                <w:sz w:val="21"/>
              </w:rPr>
              <w:t>年</w:t>
            </w:r>
          </w:p>
        </w:tc>
        <w:tc>
          <w:tcPr>
            <w:tcW w:type="dxa" w:w="8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p>
        </w:tc>
      </w:tr>
    </w:tbl>
    <w:p>
      <w:pPr>
        <w:pStyle w:val="null3"/>
        <w:ind w:firstLine="480"/>
        <w:jc w:val="both"/>
      </w:pPr>
    </w:p>
    <w:p>
      <w:pPr>
        <w:pStyle w:val="null3"/>
        <w:ind w:firstLine="480"/>
        <w:jc w:val="both"/>
      </w:pPr>
      <w:r>
        <w:rPr>
          <w:sz w:val="24"/>
        </w:rPr>
        <w:t>（二）数据治理服务要求</w:t>
      </w:r>
    </w:p>
    <w:p>
      <w:pPr>
        <w:pStyle w:val="null3"/>
        <w:ind w:firstLine="480"/>
        <w:jc w:val="both"/>
      </w:pPr>
      <w:r>
        <w:rPr>
          <w:sz w:val="24"/>
        </w:rPr>
        <w:t>数据治理服务具体要求如下表，服务期</w:t>
      </w:r>
      <w:r>
        <w:rPr>
          <w:sz w:val="24"/>
        </w:rPr>
        <w:t>2</w:t>
      </w:r>
      <w:r>
        <w:rPr>
          <w:sz w:val="24"/>
        </w:rPr>
        <w:t>年：</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87"/>
        <w:gridCol w:w="4920"/>
        <w:gridCol w:w="1610"/>
        <w:gridCol w:w="1189"/>
      </w:tblGrid>
      <w:tr>
        <w:tc>
          <w:tcPr>
            <w:tcW w:type="dxa" w:w="58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b/>
                <w:sz w:val="24"/>
              </w:rPr>
              <w:t>序号</w:t>
            </w:r>
          </w:p>
        </w:tc>
        <w:tc>
          <w:tcPr>
            <w:tcW w:type="dxa" w:w="492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b/>
                <w:sz w:val="24"/>
              </w:rPr>
              <w:t>数据治理服务内容</w:t>
            </w:r>
          </w:p>
        </w:tc>
        <w:tc>
          <w:tcPr>
            <w:tcW w:type="dxa" w:w="16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b/>
                <w:sz w:val="24"/>
              </w:rPr>
              <w:t>数据规模</w:t>
            </w:r>
          </w:p>
        </w:tc>
        <w:tc>
          <w:tcPr>
            <w:tcW w:type="dxa" w:w="11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b/>
                <w:sz w:val="24"/>
              </w:rPr>
              <w:t>主要交付成果</w:t>
            </w:r>
          </w:p>
        </w:tc>
      </w:tr>
      <w:tr>
        <w:tc>
          <w:tcPr>
            <w:tcW w:type="dxa" w:w="58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w:t>
            </w:r>
          </w:p>
        </w:tc>
        <w:tc>
          <w:tcPr>
            <w:tcW w:type="dxa" w:w="4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▲视频资源编目服务：按照《广东省视频数据资源编目指南》对汇聚接入的视频图像设备进行编目，并定期完成设备的网络状态探查，及时对视频资源目录进行调整和维护，服务需要使用到专业的巡检工具。</w:t>
            </w:r>
          </w:p>
          <w:p>
            <w:pPr>
              <w:pStyle w:val="null3"/>
              <w:ind w:firstLine="420"/>
              <w:jc w:val="left"/>
            </w:pPr>
            <w:r>
              <w:rPr>
                <w:sz w:val="21"/>
              </w:rPr>
              <w:t>治理内容包括：</w:t>
            </w:r>
            <w:r>
              <w:br/>
            </w:r>
            <w:r>
              <w:rPr>
                <w:sz w:val="21"/>
              </w:rPr>
              <w:t>1</w:t>
            </w:r>
            <w:r>
              <w:rPr>
                <w:sz w:val="21"/>
              </w:rPr>
              <w:t>、接入的设备信息：按需完成全量设备网络状态探查；</w:t>
            </w:r>
          </w:p>
          <w:p>
            <w:pPr>
              <w:pStyle w:val="null3"/>
              <w:ind w:firstLine="420"/>
              <w:jc w:val="left"/>
            </w:pPr>
            <w:r>
              <w:rPr>
                <w:sz w:val="21"/>
              </w:rPr>
              <w:t>2</w:t>
            </w:r>
            <w:r>
              <w:rPr>
                <w:sz w:val="21"/>
              </w:rPr>
              <w:t>、接入设备档案编目：按设备类型、单位、专题划分，形成目录的编制，开展数据目录的编目、统计和查询等服务。</w:t>
            </w:r>
          </w:p>
        </w:tc>
        <w:tc>
          <w:tcPr>
            <w:tcW w:type="dxa" w:w="16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307340000</w:t>
            </w:r>
          </w:p>
        </w:tc>
        <w:tc>
          <w:tcPr>
            <w:tcW w:type="dxa" w:w="11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w:t>
            </w:r>
            <w:r>
              <w:rPr>
                <w:sz w:val="21"/>
              </w:rPr>
              <w:t>、目录标准表</w:t>
            </w:r>
            <w:r>
              <w:br/>
            </w:r>
            <w:r>
              <w:rPr>
                <w:sz w:val="21"/>
              </w:rPr>
              <w:t>2</w:t>
            </w:r>
            <w:r>
              <w:rPr>
                <w:sz w:val="21"/>
              </w:rPr>
              <w:t>、目录查询页面</w:t>
            </w:r>
            <w:r>
              <w:br/>
            </w:r>
            <w:r>
              <w:rPr>
                <w:sz w:val="21"/>
              </w:rPr>
              <w:t>3</w:t>
            </w:r>
            <w:r>
              <w:rPr>
                <w:sz w:val="21"/>
              </w:rPr>
              <w:t>、对外共享接口</w:t>
            </w:r>
          </w:p>
        </w:tc>
      </w:tr>
      <w:tr>
        <w:tc>
          <w:tcPr>
            <w:tcW w:type="dxa" w:w="58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2</w:t>
            </w:r>
          </w:p>
        </w:tc>
        <w:tc>
          <w:tcPr>
            <w:tcW w:type="dxa" w:w="4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设备接入汇聚服务：根据《广东省数据资源</w:t>
            </w:r>
            <w:r>
              <w:rPr>
                <w:sz w:val="21"/>
              </w:rPr>
              <w:t>“一网共享”视频数据共享管理平台对接规范》对接入设备做汇聚治理，采集不同渠道、不同完整度的设备信息，开展关键字段提取、字段表转换、信息录入及维护更新操作。根据接入设备的信息实际情况，制定设备标准表，按照标准表逐步规范设备接入。对重要事项，围绕设备的位置、归属单位、所属区划做主题治理，专项治理设备信息、网络状态、调阅稳定性等内容，形成主题设备分析报告。治理内容包括：</w:t>
            </w:r>
            <w:r>
              <w:br/>
            </w:r>
            <w:r>
              <w:rPr>
                <w:sz w:val="21"/>
              </w:rPr>
              <w:t>1</w:t>
            </w:r>
            <w:r>
              <w:rPr>
                <w:sz w:val="21"/>
              </w:rPr>
              <w:t>、接入设备建档：根据档案信息，创建一机一档；</w:t>
            </w:r>
          </w:p>
          <w:p>
            <w:pPr>
              <w:pStyle w:val="null3"/>
              <w:ind w:firstLine="420"/>
              <w:jc w:val="left"/>
            </w:pPr>
            <w:r>
              <w:rPr>
                <w:sz w:val="21"/>
              </w:rPr>
              <w:t>2</w:t>
            </w:r>
            <w:r>
              <w:rPr>
                <w:sz w:val="21"/>
              </w:rPr>
              <w:t>、接入设备联网：对已建档设备进行联网配置，配置路由、流媒体信息，根据业务需要执行目录挂载；</w:t>
            </w:r>
          </w:p>
          <w:p>
            <w:pPr>
              <w:pStyle w:val="null3"/>
              <w:ind w:firstLine="420"/>
              <w:jc w:val="left"/>
            </w:pPr>
            <w:r>
              <w:rPr>
                <w:sz w:val="21"/>
              </w:rPr>
              <w:t>3</w:t>
            </w:r>
            <w:r>
              <w:rPr>
                <w:sz w:val="21"/>
              </w:rPr>
              <w:t>、设备标准表：形成一套设备标准表，即一机一档的设备基础信息。</w:t>
            </w:r>
          </w:p>
        </w:tc>
        <w:tc>
          <w:tcPr>
            <w:tcW w:type="dxa" w:w="16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2200000</w:t>
            </w:r>
          </w:p>
        </w:tc>
        <w:tc>
          <w:tcPr>
            <w:tcW w:type="dxa" w:w="11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w:t>
            </w:r>
            <w:r>
              <w:rPr>
                <w:sz w:val="21"/>
              </w:rPr>
              <w:t>、设备基础信息</w:t>
            </w:r>
          </w:p>
        </w:tc>
      </w:tr>
      <w:tr>
        <w:tc>
          <w:tcPr>
            <w:tcW w:type="dxa" w:w="58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3</w:t>
            </w:r>
          </w:p>
        </w:tc>
        <w:tc>
          <w:tcPr>
            <w:tcW w:type="dxa" w:w="4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档案信息综合治理：即根据《广东省数据资源“一网共享”视频图像信息资源点位治理规范》，针对档案信息进行综合治理，根据档案信息二次核验规则，定期监测信息不完整、错误的部分的档案，借助程序对档案信息进行补充或修改。并提供专项档案清洗治理服务，满足某段时期重点行业、重点区域开展的专项档案治理。</w:t>
            </w:r>
          </w:p>
        </w:tc>
        <w:tc>
          <w:tcPr>
            <w:tcW w:type="dxa" w:w="16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16000000</w:t>
            </w:r>
          </w:p>
        </w:tc>
        <w:tc>
          <w:tcPr>
            <w:tcW w:type="dxa" w:w="11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w:t>
            </w:r>
            <w:r>
              <w:rPr>
                <w:sz w:val="21"/>
              </w:rPr>
              <w:t>、档案数据校验规则</w:t>
            </w:r>
            <w:r>
              <w:br/>
            </w:r>
            <w:r>
              <w:rPr>
                <w:sz w:val="21"/>
              </w:rPr>
              <w:t>2</w:t>
            </w:r>
            <w:r>
              <w:rPr>
                <w:sz w:val="21"/>
              </w:rPr>
              <w:t>、档案信息的校正记录</w:t>
            </w:r>
          </w:p>
        </w:tc>
      </w:tr>
      <w:tr>
        <w:tc>
          <w:tcPr>
            <w:tcW w:type="dxa" w:w="58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4</w:t>
            </w:r>
          </w:p>
        </w:tc>
        <w:tc>
          <w:tcPr>
            <w:tcW w:type="dxa" w:w="4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感知数据综合治理：根据《全国视频图像数据治理工作方案》开展图像数据治理。按照数据接入环节的数据定义，针对汇聚接入的视图感知数据，对原始库中的视图感知数据资源开展提取、清洗等规范化处理，实现对视频图像数据资源全生命周期的规划设计、过程控制和质量监督。</w:t>
            </w:r>
            <w:r>
              <w:br/>
            </w:r>
            <w:r>
              <w:rPr>
                <w:sz w:val="21"/>
              </w:rPr>
              <w:t>1</w:t>
            </w:r>
            <w:r>
              <w:rPr>
                <w:sz w:val="21"/>
              </w:rPr>
              <w:t>、针对汇聚接入的视图数据进行数据处理，实现要素提取、数据清洗、数据分发等，支撑数据库表构建。</w:t>
            </w:r>
            <w:r>
              <w:br/>
            </w:r>
            <w:r>
              <w:rPr>
                <w:sz w:val="21"/>
              </w:rPr>
              <w:t>2</w:t>
            </w:r>
            <w:r>
              <w:rPr>
                <w:sz w:val="21"/>
              </w:rPr>
              <w:t>、针对形成的数据库开展治理。</w:t>
            </w:r>
            <w:r>
              <w:br/>
            </w:r>
            <w:r>
              <w:rPr>
                <w:sz w:val="21"/>
              </w:rPr>
              <w:t>包括数据标准管理（数据源管理、数据标准表制定、数据标准表管理）、元数据管理和数据安全管理（据分级分类管理）工作。</w:t>
            </w:r>
          </w:p>
        </w:tc>
        <w:tc>
          <w:tcPr>
            <w:tcW w:type="dxa" w:w="16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5475000000</w:t>
            </w:r>
          </w:p>
        </w:tc>
        <w:tc>
          <w:tcPr>
            <w:tcW w:type="dxa" w:w="11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w:t>
            </w:r>
            <w:r>
              <w:rPr>
                <w:sz w:val="21"/>
              </w:rPr>
              <w:t>、标准感知数据库表</w:t>
            </w:r>
            <w:r>
              <w:br/>
            </w:r>
            <w:r>
              <w:rPr>
                <w:sz w:val="21"/>
              </w:rPr>
              <w:t>2</w:t>
            </w:r>
            <w:r>
              <w:rPr>
                <w:sz w:val="21"/>
              </w:rPr>
              <w:t>、查询接口</w:t>
            </w:r>
            <w:r>
              <w:br/>
            </w:r>
            <w:r>
              <w:rPr>
                <w:sz w:val="21"/>
              </w:rPr>
              <w:t>3</w:t>
            </w:r>
            <w:r>
              <w:rPr>
                <w:sz w:val="21"/>
              </w:rPr>
              <w:t>、治理明细表</w:t>
            </w:r>
          </w:p>
        </w:tc>
      </w:tr>
      <w:tr>
        <w:tc>
          <w:tcPr>
            <w:tcW w:type="dxa" w:w="58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5</w:t>
            </w:r>
          </w:p>
        </w:tc>
        <w:tc>
          <w:tcPr>
            <w:tcW w:type="dxa" w:w="4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视频流数据综合治理：即根据《广东省数据资源</w:t>
            </w:r>
            <w:r>
              <w:rPr>
                <w:sz w:val="21"/>
              </w:rPr>
              <w:t>“一网共享”视频图像信息资源点位治理规范》要求开展视频流治理和视频质量治理，对平台对接链路、视频成像质量进行综合监测治理和异常分析。</w:t>
            </w:r>
          </w:p>
          <w:p>
            <w:pPr>
              <w:pStyle w:val="null3"/>
              <w:ind w:firstLine="420"/>
              <w:jc w:val="left"/>
            </w:pPr>
            <w:r>
              <w:rPr>
                <w:sz w:val="21"/>
              </w:rPr>
              <w:t>1</w:t>
            </w:r>
            <w:r>
              <w:rPr>
                <w:sz w:val="21"/>
              </w:rPr>
              <w:t>、平台对接链路治理：根据视频流数据的数据流程，制定巡检、监测机制，并按机制开展巡检、监测工作。提供级联平台和共享平台的对接状态监测；按需完成全量设备巡检报告分析。</w:t>
            </w:r>
          </w:p>
          <w:p>
            <w:pPr>
              <w:pStyle w:val="null3"/>
              <w:ind w:firstLine="420"/>
              <w:jc w:val="left"/>
            </w:pPr>
            <w:r>
              <w:rPr>
                <w:sz w:val="21"/>
              </w:rPr>
              <w:t>2</w:t>
            </w:r>
            <w:r>
              <w:rPr>
                <w:sz w:val="21"/>
              </w:rPr>
              <w:t>、视频质量治理：利用视频质量巡检工具对视频成像质量做检测，对视频质量存在视频丢失、色彩失真、颜色偏差等异常情况进行分析，及时发现并处理。视频质量巡检分析服务：按需完成全量设备巡检分析。</w:t>
            </w:r>
          </w:p>
        </w:tc>
        <w:tc>
          <w:tcPr>
            <w:tcW w:type="dxa" w:w="16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194670000</w:t>
            </w:r>
          </w:p>
        </w:tc>
        <w:tc>
          <w:tcPr>
            <w:tcW w:type="dxa" w:w="11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w:t>
            </w:r>
            <w:r>
              <w:rPr>
                <w:sz w:val="21"/>
              </w:rPr>
              <w:t>、巡检记录表</w:t>
            </w:r>
            <w:r>
              <w:br/>
            </w:r>
            <w:r>
              <w:rPr>
                <w:sz w:val="21"/>
              </w:rPr>
              <w:t>2</w:t>
            </w:r>
            <w:r>
              <w:rPr>
                <w:sz w:val="21"/>
              </w:rPr>
              <w:t>、查询接口</w:t>
            </w:r>
            <w:r>
              <w:br/>
            </w:r>
            <w:r>
              <w:rPr>
                <w:sz w:val="21"/>
              </w:rPr>
              <w:t>3</w:t>
            </w:r>
            <w:r>
              <w:rPr>
                <w:sz w:val="21"/>
              </w:rPr>
              <w:t>、治理明细表</w:t>
            </w:r>
          </w:p>
        </w:tc>
      </w:tr>
      <w:tr>
        <w:tc>
          <w:tcPr>
            <w:tcW w:type="dxa" w:w="58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6</w:t>
            </w:r>
          </w:p>
        </w:tc>
        <w:tc>
          <w:tcPr>
            <w:tcW w:type="dxa" w:w="4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推送共享管理服务：即根据《广东省数据资源</w:t>
            </w:r>
            <w:r>
              <w:rPr>
                <w:sz w:val="21"/>
              </w:rPr>
              <w:t>“一网共享”视频数据共享管理平台对接规范》开展联网共享，并根据业务需要提供级联平台和共享平台的对接状态全链路监测服务和推送点位动态授权更新服务。推送共享管理服务内容包括：</w:t>
            </w:r>
          </w:p>
          <w:p>
            <w:pPr>
              <w:pStyle w:val="null3"/>
              <w:ind w:firstLine="420"/>
              <w:jc w:val="left"/>
            </w:pPr>
            <w:r>
              <w:rPr>
                <w:sz w:val="21"/>
              </w:rPr>
              <w:t>1</w:t>
            </w:r>
            <w:r>
              <w:rPr>
                <w:sz w:val="21"/>
              </w:rPr>
              <w:t>、确认推送共享的上级平台信息；</w:t>
            </w:r>
          </w:p>
          <w:p>
            <w:pPr>
              <w:pStyle w:val="null3"/>
              <w:ind w:firstLine="420"/>
              <w:jc w:val="left"/>
            </w:pPr>
            <w:r>
              <w:rPr>
                <w:sz w:val="21"/>
              </w:rPr>
              <w:t>2</w:t>
            </w:r>
            <w:r>
              <w:rPr>
                <w:sz w:val="21"/>
              </w:rPr>
              <w:t>、选择确定共享的点位设备；</w:t>
            </w:r>
          </w:p>
          <w:p>
            <w:pPr>
              <w:pStyle w:val="null3"/>
              <w:ind w:firstLine="420"/>
              <w:jc w:val="left"/>
            </w:pPr>
            <w:r>
              <w:rPr>
                <w:sz w:val="21"/>
              </w:rPr>
              <w:t>3</w:t>
            </w:r>
            <w:r>
              <w:rPr>
                <w:sz w:val="21"/>
              </w:rPr>
              <w:t>、设置共享挂载节点、共享数据推送及异常监测分析；</w:t>
            </w:r>
          </w:p>
          <w:p>
            <w:pPr>
              <w:pStyle w:val="null3"/>
              <w:ind w:firstLine="420"/>
              <w:jc w:val="left"/>
            </w:pPr>
            <w:r>
              <w:rPr>
                <w:sz w:val="21"/>
              </w:rPr>
              <w:t>4</w:t>
            </w:r>
            <w:r>
              <w:rPr>
                <w:sz w:val="21"/>
              </w:rPr>
              <w:t>、横向共享：全市各委办局按需共享；</w:t>
            </w:r>
          </w:p>
          <w:p>
            <w:pPr>
              <w:pStyle w:val="null3"/>
              <w:ind w:firstLine="420"/>
              <w:jc w:val="left"/>
            </w:pPr>
            <w:r>
              <w:rPr>
                <w:sz w:val="21"/>
              </w:rPr>
              <w:t>5</w:t>
            </w:r>
            <w:r>
              <w:rPr>
                <w:sz w:val="21"/>
              </w:rPr>
              <w:t>、纵向共享：省雪亮按需共享。</w:t>
            </w:r>
          </w:p>
          <w:p>
            <w:pPr>
              <w:pStyle w:val="null3"/>
              <w:ind w:firstLine="420"/>
              <w:jc w:val="left"/>
            </w:pPr>
            <w:r>
              <w:rPr>
                <w:sz w:val="21"/>
              </w:rPr>
              <w:t>实时监测各级联平台和共享平台的对接状态，按需形成共享管理监测记录和异常情况检测分析。</w:t>
            </w:r>
          </w:p>
        </w:tc>
        <w:tc>
          <w:tcPr>
            <w:tcW w:type="dxa" w:w="16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220800000</w:t>
            </w:r>
          </w:p>
        </w:tc>
        <w:tc>
          <w:tcPr>
            <w:tcW w:type="dxa" w:w="11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w:t>
            </w:r>
            <w:r>
              <w:rPr>
                <w:sz w:val="21"/>
              </w:rPr>
              <w:t>、专项分析报告</w:t>
            </w:r>
          </w:p>
          <w:p>
            <w:pPr>
              <w:pStyle w:val="null3"/>
              <w:ind w:firstLine="420"/>
              <w:jc w:val="left"/>
            </w:pPr>
            <w:r>
              <w:rPr>
                <w:sz w:val="21"/>
              </w:rPr>
              <w:t>2</w:t>
            </w:r>
            <w:r>
              <w:rPr>
                <w:sz w:val="21"/>
              </w:rPr>
              <w:t>、统计报表</w:t>
            </w:r>
          </w:p>
        </w:tc>
      </w:tr>
      <w:tr>
        <w:tc>
          <w:tcPr>
            <w:tcW w:type="dxa" w:w="58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7</w:t>
            </w:r>
          </w:p>
        </w:tc>
        <w:tc>
          <w:tcPr>
            <w:tcW w:type="dxa" w:w="49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统计考核分析服务：即根据平安广东、市域社会治理等专项工作设计视频考核情况，阶段性对业务上的统计需要，进行专项巡检和异常分析，对设备的接入量、查验高清率、覆盖率、联网率、完好率、在线率、出图率、档案完整率等指标进行监测。结合上级考核要求，梳理考核指标，并对指标做周期性统计，及时有效地跟进考核情况。对下级的考核要求，同样确定考核指标及统计方式，输出周期性统计。</w:t>
            </w:r>
          </w:p>
          <w:p>
            <w:pPr>
              <w:pStyle w:val="null3"/>
              <w:ind w:firstLine="420"/>
              <w:jc w:val="left"/>
            </w:pPr>
            <w:r>
              <w:rPr>
                <w:sz w:val="21"/>
              </w:rPr>
              <w:t>考核分析服务包括：</w:t>
            </w:r>
          </w:p>
          <w:p>
            <w:pPr>
              <w:pStyle w:val="null3"/>
              <w:ind w:firstLine="420"/>
              <w:jc w:val="left"/>
            </w:pPr>
            <w:r>
              <w:rPr>
                <w:sz w:val="21"/>
              </w:rPr>
              <w:t>1</w:t>
            </w:r>
            <w:r>
              <w:rPr>
                <w:sz w:val="21"/>
              </w:rPr>
              <w:t>、针对上级考核情况提供分析服务，提供省级平台每日、每月、每年的考核成绩分析服务，按照设备全量与上级平台级联，纳入考核范围进行估算。</w:t>
            </w:r>
          </w:p>
          <w:p>
            <w:pPr>
              <w:pStyle w:val="null3"/>
              <w:ind w:firstLine="420"/>
              <w:jc w:val="left"/>
            </w:pPr>
            <w:r>
              <w:rPr>
                <w:sz w:val="21"/>
              </w:rPr>
              <w:t>2</w:t>
            </w:r>
            <w:r>
              <w:rPr>
                <w:sz w:val="21"/>
              </w:rPr>
              <w:t>、对下级的考核要求，同样确定考核指标及统计方式，输出周期性统计。</w:t>
            </w:r>
          </w:p>
        </w:tc>
        <w:tc>
          <w:tcPr>
            <w:tcW w:type="dxa" w:w="16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608000000</w:t>
            </w:r>
          </w:p>
        </w:tc>
        <w:tc>
          <w:tcPr>
            <w:tcW w:type="dxa" w:w="11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sz w:val="21"/>
              </w:rPr>
              <w:t>1</w:t>
            </w:r>
            <w:r>
              <w:rPr>
                <w:sz w:val="21"/>
              </w:rPr>
              <w:t>、考核分析报告</w:t>
            </w:r>
          </w:p>
          <w:p>
            <w:pPr>
              <w:pStyle w:val="null3"/>
              <w:ind w:firstLine="420"/>
              <w:jc w:val="left"/>
            </w:pPr>
            <w:r>
              <w:rPr>
                <w:sz w:val="21"/>
              </w:rPr>
              <w:t>2</w:t>
            </w:r>
            <w:r>
              <w:rPr>
                <w:sz w:val="21"/>
              </w:rPr>
              <w:t>、查询记录表</w:t>
            </w:r>
          </w:p>
          <w:p>
            <w:pPr>
              <w:pStyle w:val="null3"/>
              <w:ind w:firstLine="420"/>
              <w:jc w:val="left"/>
            </w:pPr>
            <w:r>
              <w:rPr>
                <w:sz w:val="21"/>
              </w:rPr>
              <w:t>3</w:t>
            </w:r>
            <w:r>
              <w:rPr>
                <w:sz w:val="21"/>
              </w:rPr>
              <w:t>、治理明细表</w:t>
            </w:r>
          </w:p>
        </w:tc>
      </w:tr>
    </w:tbl>
    <w:p>
      <w:pPr>
        <w:pStyle w:val="null3"/>
        <w:ind w:firstLine="480"/>
        <w:jc w:val="both"/>
      </w:pPr>
    </w:p>
    <w:p>
      <w:pPr>
        <w:pStyle w:val="null3"/>
        <w:ind w:firstLine="480"/>
        <w:jc w:val="both"/>
      </w:pPr>
      <w:r>
        <w:rPr>
          <w:b/>
        </w:rPr>
        <w:t xml:space="preserve">   </w:t>
      </w:r>
      <w:r>
        <w:rPr>
          <w:b/>
          <w:sz w:val="24"/>
        </w:rPr>
        <w:t>七、系统非功能性要求</w:t>
      </w:r>
    </w:p>
    <w:p>
      <w:pPr>
        <w:pStyle w:val="null3"/>
        <w:ind w:firstLine="480"/>
        <w:jc w:val="both"/>
      </w:pPr>
      <w:r>
        <w:rPr>
          <w:sz w:val="24"/>
        </w:rPr>
        <w:t>（一）产品标准符合性</w:t>
      </w:r>
    </w:p>
    <w:p>
      <w:pPr>
        <w:pStyle w:val="null3"/>
        <w:ind w:firstLine="480"/>
        <w:jc w:val="both"/>
      </w:pPr>
      <w:r>
        <w:rPr>
          <w:sz w:val="24"/>
        </w:rPr>
        <w:t>平台软件需具备视频安全可靠联网能力，保证视频信息及控制信令等相关数据的无泄漏和安全管控。</w:t>
      </w:r>
    </w:p>
    <w:p>
      <w:pPr>
        <w:pStyle w:val="null3"/>
        <w:ind w:firstLine="480"/>
        <w:jc w:val="both"/>
      </w:pPr>
      <w:r>
        <w:rPr>
          <w:sz w:val="24"/>
        </w:rPr>
        <w:t>为保证视频平台的接入、兼容能力符合项目要求，所用视频平台软件应满足国家标准</w:t>
      </w:r>
      <w:r>
        <w:rPr>
          <w:sz w:val="24"/>
        </w:rPr>
        <w:t>GB/T 28181</w:t>
      </w:r>
      <w:r>
        <w:rPr>
          <w:sz w:val="24"/>
        </w:rPr>
        <w:t>协议，视频编解码能力应满足</w:t>
      </w:r>
      <w:r>
        <w:rPr>
          <w:sz w:val="24"/>
        </w:rPr>
        <w:t>H.264</w:t>
      </w:r>
      <w:r>
        <w:rPr>
          <w:sz w:val="24"/>
        </w:rPr>
        <w:t>、</w:t>
      </w:r>
      <w:r>
        <w:rPr>
          <w:sz w:val="24"/>
        </w:rPr>
        <w:t>H.265</w:t>
      </w:r>
      <w:r>
        <w:rPr>
          <w:sz w:val="24"/>
        </w:rPr>
        <w:t>、</w:t>
      </w:r>
      <w:r>
        <w:rPr>
          <w:sz w:val="24"/>
        </w:rPr>
        <w:t>MPEG</w:t>
      </w:r>
      <w:r>
        <w:rPr>
          <w:sz w:val="24"/>
        </w:rPr>
        <w:t>视频格式。</w:t>
      </w:r>
    </w:p>
    <w:p>
      <w:pPr>
        <w:pStyle w:val="null3"/>
        <w:ind w:firstLine="480"/>
        <w:jc w:val="both"/>
      </w:pPr>
      <w:r>
        <w:rPr>
          <w:sz w:val="24"/>
        </w:rPr>
        <w:t>（二）系统性能</w:t>
      </w:r>
    </w:p>
    <w:p>
      <w:pPr>
        <w:pStyle w:val="null3"/>
        <w:ind w:firstLine="480"/>
        <w:jc w:val="both"/>
      </w:pPr>
      <w:r>
        <w:rPr>
          <w:sz w:val="24"/>
        </w:rPr>
        <w:t>1</w:t>
      </w:r>
      <w:r>
        <w:rPr>
          <w:sz w:val="24"/>
        </w:rPr>
        <w:t>、系统可接入管理视频数：不低于可支持接入管理</w:t>
      </w:r>
      <w:r>
        <w:rPr>
          <w:sz w:val="24"/>
        </w:rPr>
        <w:t>50</w:t>
      </w:r>
      <w:r>
        <w:rPr>
          <w:sz w:val="24"/>
        </w:rPr>
        <w:t>万路视频。</w:t>
      </w:r>
    </w:p>
    <w:p>
      <w:pPr>
        <w:pStyle w:val="null3"/>
        <w:ind w:firstLine="480"/>
        <w:jc w:val="both"/>
      </w:pPr>
      <w:r>
        <w:rPr>
          <w:sz w:val="24"/>
        </w:rPr>
        <w:t>2</w:t>
      </w:r>
      <w:r>
        <w:rPr>
          <w:sz w:val="24"/>
        </w:rPr>
        <w:t>、系统转发视频数：可支持视频转发并行</w:t>
      </w:r>
      <w:r>
        <w:rPr>
          <w:sz w:val="24"/>
        </w:rPr>
        <w:t>4000</w:t>
      </w:r>
      <w:r>
        <w:rPr>
          <w:sz w:val="24"/>
        </w:rPr>
        <w:t>路</w:t>
      </w:r>
      <w:r>
        <w:rPr>
          <w:sz w:val="24"/>
        </w:rPr>
        <w:t>4Mbps</w:t>
      </w:r>
      <w:r>
        <w:rPr>
          <w:sz w:val="24"/>
        </w:rPr>
        <w:t>（</w:t>
      </w:r>
      <w:r>
        <w:rPr>
          <w:sz w:val="24"/>
        </w:rPr>
        <w:t>1080P</w:t>
      </w:r>
      <w:r>
        <w:rPr>
          <w:sz w:val="24"/>
        </w:rPr>
        <w:t>）视频。</w:t>
      </w:r>
    </w:p>
    <w:p>
      <w:pPr>
        <w:pStyle w:val="null3"/>
        <w:ind w:firstLine="480"/>
        <w:jc w:val="both"/>
      </w:pPr>
      <w:r>
        <w:rPr>
          <w:sz w:val="24"/>
        </w:rPr>
        <w:t>3</w:t>
      </w:r>
      <w:r>
        <w:rPr>
          <w:sz w:val="24"/>
        </w:rPr>
        <w:t>、系统并发数：用户并发数不少于</w:t>
      </w:r>
      <w:r>
        <w:rPr>
          <w:sz w:val="24"/>
        </w:rPr>
        <w:t>300</w:t>
      </w:r>
      <w:r>
        <w:rPr>
          <w:sz w:val="24"/>
        </w:rPr>
        <w:t>个</w:t>
      </w:r>
    </w:p>
    <w:p>
      <w:pPr>
        <w:pStyle w:val="null3"/>
        <w:ind w:firstLine="480"/>
        <w:jc w:val="both"/>
      </w:pPr>
      <w:r>
        <w:rPr>
          <w:sz w:val="24"/>
        </w:rPr>
        <w:t>4</w:t>
      </w:r>
      <w:r>
        <w:rPr>
          <w:sz w:val="24"/>
        </w:rPr>
        <w:t>、响应时间：不大于</w:t>
      </w:r>
      <w:r>
        <w:rPr>
          <w:sz w:val="24"/>
        </w:rPr>
        <w:t>5</w:t>
      </w:r>
      <w:r>
        <w:rPr>
          <w:sz w:val="24"/>
        </w:rPr>
        <w:t>秒</w:t>
      </w:r>
    </w:p>
    <w:p>
      <w:pPr>
        <w:pStyle w:val="null3"/>
        <w:ind w:firstLine="480"/>
        <w:jc w:val="both"/>
      </w:pPr>
      <w:r>
        <w:rPr>
          <w:sz w:val="24"/>
        </w:rPr>
        <w:t>（三）兼容性</w:t>
      </w:r>
    </w:p>
    <w:p>
      <w:pPr>
        <w:pStyle w:val="null3"/>
        <w:ind w:firstLine="480"/>
        <w:jc w:val="both"/>
      </w:pPr>
      <w:r>
        <w:rPr>
          <w:sz w:val="24"/>
        </w:rPr>
        <w:t>通过兼容性设计，应确保系统能够在不同的平台和环境下正常运行，提供无缝的用户体验。在进行兼容性设计时，应遵循一些原则和最佳实践，以确保系统的兼容性和稳定性。兼容性设计是现代软件开发中不可或缺的一部分，可以提供更好的用户体验。</w:t>
      </w:r>
    </w:p>
    <w:p>
      <w:pPr>
        <w:pStyle w:val="null3"/>
        <w:ind w:firstLine="480"/>
        <w:jc w:val="both"/>
      </w:pPr>
      <w:r>
        <w:rPr>
          <w:sz w:val="24"/>
        </w:rPr>
        <w:t>平台软件需具备信息创新兼容性能力，能够在自主可控国产的服务器设备或云端进行运行。</w:t>
      </w:r>
    </w:p>
    <w:p>
      <w:pPr>
        <w:pStyle w:val="null3"/>
        <w:ind w:firstLine="480"/>
        <w:jc w:val="both"/>
      </w:pPr>
      <w:r>
        <w:rPr>
          <w:sz w:val="24"/>
        </w:rPr>
        <w:t>（四）易维护性</w:t>
      </w:r>
    </w:p>
    <w:p>
      <w:pPr>
        <w:pStyle w:val="null3"/>
        <w:ind w:firstLine="480"/>
        <w:jc w:val="both"/>
      </w:pPr>
      <w:r>
        <w:rPr>
          <w:sz w:val="24"/>
        </w:rPr>
        <w:t>任何信息系统都牵涉到系统维护的问题，所以在设计和开发系统时，就要把减少系统维护放在重要的地位。通过开发高质量的应用系统，把系统维护量控制在最低水平。对用户提出的系统修改意见能够及时、有效、正确地反馈，将修改后的软件程序及时发布到客户端。</w:t>
      </w:r>
    </w:p>
    <w:p>
      <w:pPr>
        <w:pStyle w:val="null3"/>
        <w:ind w:firstLine="480"/>
        <w:jc w:val="both"/>
      </w:pPr>
      <w:r>
        <w:rPr>
          <w:sz w:val="24"/>
        </w:rPr>
        <w:t>（五）安全可靠性</w:t>
      </w:r>
    </w:p>
    <w:p>
      <w:pPr>
        <w:pStyle w:val="null3"/>
        <w:ind w:firstLine="480"/>
        <w:jc w:val="both"/>
      </w:pPr>
      <w:r>
        <w:rPr>
          <w:sz w:val="24"/>
        </w:rPr>
        <w:t>为保证本项目平台安全性、可靠性等符合项目要求，所用的视频平台软件产品需满足病毒检查、功能性、可靠性、适应性。</w:t>
      </w:r>
    </w:p>
    <w:p>
      <w:pPr>
        <w:pStyle w:val="null3"/>
        <w:ind w:firstLine="480"/>
        <w:jc w:val="both"/>
      </w:pPr>
      <w:r>
        <w:rPr>
          <w:sz w:val="24"/>
        </w:rPr>
        <w:t>（六）自主性</w:t>
      </w:r>
    </w:p>
    <w:p>
      <w:pPr>
        <w:pStyle w:val="null3"/>
        <w:ind w:firstLine="480"/>
        <w:jc w:val="both"/>
      </w:pPr>
      <w:r>
        <w:rPr>
          <w:sz w:val="24"/>
        </w:rPr>
        <w:t>平台软件需为自主研发产品，所用中间件及配套软件需为国产化软件，如国产化软件无法提供或性能不足，可用开源软件。</w:t>
      </w:r>
    </w:p>
    <w:p>
      <w:pPr>
        <w:pStyle w:val="null3"/>
        <w:ind w:firstLine="480"/>
        <w:jc w:val="both"/>
      </w:pPr>
    </w:p>
    <w:p>
      <w:pPr>
        <w:pStyle w:val="null3"/>
        <w:ind w:firstLine="480"/>
        <w:jc w:val="both"/>
      </w:pPr>
      <w:r>
        <w:rPr>
          <w:b/>
        </w:rPr>
        <w:t xml:space="preserve">   </w:t>
      </w:r>
      <w:r>
        <w:rPr>
          <w:b/>
          <w:sz w:val="24"/>
        </w:rPr>
        <w:t>八、项目管理要求</w:t>
      </w:r>
    </w:p>
    <w:p>
      <w:pPr>
        <w:pStyle w:val="null3"/>
        <w:ind w:firstLine="480"/>
        <w:jc w:val="both"/>
      </w:pPr>
      <w:r>
        <w:rPr>
          <w:sz w:val="24"/>
        </w:rPr>
        <w:t>（一）实施进度</w:t>
      </w:r>
    </w:p>
    <w:p>
      <w:pPr>
        <w:pStyle w:val="null3"/>
        <w:ind w:firstLine="480"/>
        <w:jc w:val="both"/>
      </w:pPr>
      <w:r>
        <w:rPr>
          <w:sz w:val="24"/>
        </w:rPr>
        <w:t>项目周期为</w:t>
      </w:r>
      <w:r>
        <w:rPr>
          <w:sz w:val="24"/>
        </w:rPr>
        <w:t>10</w:t>
      </w:r>
      <w:r>
        <w:rPr>
          <w:sz w:val="24"/>
        </w:rPr>
        <w:t>个月。</w:t>
      </w:r>
    </w:p>
    <w:p>
      <w:pPr>
        <w:pStyle w:val="null3"/>
        <w:ind w:firstLine="480"/>
        <w:jc w:val="both"/>
      </w:pPr>
      <w:r>
        <w:rPr>
          <w:sz w:val="24"/>
        </w:rPr>
        <w:t>项目里程碑计划严格按照本项目的建设任务和进度要求，通过关键节点、里程碑事件的监控，来控制项目工作的进展和保证实现总目标。本项目里程碑计划如下：（</w:t>
      </w:r>
      <w:r>
        <w:rPr>
          <w:sz w:val="24"/>
        </w:rPr>
        <w:t>T</w:t>
      </w:r>
      <w:r>
        <w:rPr>
          <w:sz w:val="24"/>
        </w:rPr>
        <w:t>表示项目合同签订日期）</w:t>
      </w:r>
    </w:p>
    <w:p>
      <w:pPr>
        <w:pStyle w:val="null3"/>
        <w:ind w:firstLine="480"/>
        <w:jc w:val="both"/>
      </w:pPr>
      <w:r>
        <w:rPr>
          <w:sz w:val="24"/>
        </w:rPr>
        <w:t>里程碑计划：</w:t>
      </w:r>
    </w:p>
    <w:tbl>
      <w:tblPr>
        <w:tblW w:w="0" w:type="auto"/>
        <w:tblInd w:type="dxa" w:w="810"/>
        <w:tblBorders>
          <w:top w:val="none" w:color="000000" w:sz="4"/>
          <w:left w:val="none" w:color="000000" w:sz="4"/>
          <w:bottom w:val="none" w:color="000000" w:sz="4"/>
          <w:right w:val="none" w:color="000000" w:sz="4"/>
          <w:insideH w:val="none"/>
          <w:insideV w:val="none"/>
        </w:tblBorders>
      </w:tblPr>
      <w:tblGrid>
        <w:gridCol w:w="3220"/>
        <w:gridCol w:w="3733"/>
        <w:gridCol w:w="1353"/>
      </w:tblGrid>
      <w:tr>
        <w:tc>
          <w:tcPr>
            <w:tcW w:type="dxa" w:w="3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工作内容</w:t>
            </w:r>
          </w:p>
        </w:tc>
        <w:tc>
          <w:tcPr>
            <w:tcW w:type="dxa" w:w="3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里程碑事件</w:t>
            </w:r>
          </w:p>
        </w:tc>
        <w:tc>
          <w:tcPr>
            <w:tcW w:type="dxa" w:w="1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时间</w:t>
            </w:r>
            <w:r>
              <w:rPr>
                <w:sz w:val="24"/>
              </w:rPr>
              <w:t>(</w:t>
            </w:r>
            <w:r>
              <w:rPr>
                <w:sz w:val="24"/>
              </w:rPr>
              <w:t>天</w:t>
            </w:r>
            <w:r>
              <w:rPr>
                <w:sz w:val="24"/>
              </w:rPr>
              <w:t>)</w:t>
            </w:r>
          </w:p>
        </w:tc>
      </w:tr>
      <w:tr>
        <w:tc>
          <w:tcPr>
            <w:tcW w:type="dxa" w:w="3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项目启动</w:t>
            </w:r>
          </w:p>
        </w:tc>
        <w:tc>
          <w:tcPr>
            <w:tcW w:type="dxa" w:w="3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项目正式启动</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T+0</w:t>
            </w:r>
          </w:p>
        </w:tc>
      </w:tr>
      <w:tr>
        <w:tc>
          <w:tcPr>
            <w:tcW w:type="dxa" w:w="3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需求分析</w:t>
            </w:r>
          </w:p>
        </w:tc>
        <w:tc>
          <w:tcPr>
            <w:tcW w:type="dxa" w:w="3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完成需求规格说明书评审</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T+30</w:t>
            </w:r>
          </w:p>
        </w:tc>
      </w:tr>
      <w:tr>
        <w:tc>
          <w:tcPr>
            <w:tcW w:type="dxa" w:w="3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系统开发</w:t>
            </w:r>
          </w:p>
        </w:tc>
        <w:tc>
          <w:tcPr>
            <w:tcW w:type="dxa" w:w="3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完成系统主体功能开发</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T+180</w:t>
            </w:r>
          </w:p>
        </w:tc>
      </w:tr>
      <w:tr>
        <w:tc>
          <w:tcPr>
            <w:tcW w:type="dxa" w:w="3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试运行</w:t>
            </w:r>
          </w:p>
        </w:tc>
        <w:tc>
          <w:tcPr>
            <w:tcW w:type="dxa" w:w="3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系统上线试运行</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T+210</w:t>
            </w:r>
          </w:p>
        </w:tc>
      </w:tr>
      <w:tr>
        <w:tc>
          <w:tcPr>
            <w:tcW w:type="dxa" w:w="3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正式上线</w:t>
            </w:r>
          </w:p>
        </w:tc>
        <w:tc>
          <w:tcPr>
            <w:tcW w:type="dxa" w:w="3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系统正式上线</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T+300</w:t>
            </w:r>
          </w:p>
        </w:tc>
      </w:tr>
    </w:tbl>
    <w:p>
      <w:pPr>
        <w:pStyle w:val="null3"/>
        <w:ind w:firstLine="480"/>
        <w:jc w:val="both"/>
      </w:pPr>
    </w:p>
    <w:p>
      <w:pPr>
        <w:pStyle w:val="null3"/>
        <w:ind w:firstLine="480"/>
        <w:jc w:val="both"/>
      </w:pPr>
      <w:r>
        <w:rPr>
          <w:sz w:val="24"/>
        </w:rPr>
        <w:t>（二）项目变更管理</w:t>
      </w:r>
    </w:p>
    <w:p>
      <w:pPr>
        <w:pStyle w:val="null3"/>
        <w:ind w:firstLine="480"/>
        <w:jc w:val="both"/>
      </w:pPr>
      <w:r>
        <w:rPr>
          <w:sz w:val="24"/>
        </w:rPr>
        <w:t>1</w:t>
      </w:r>
      <w:r>
        <w:rPr>
          <w:sz w:val="24"/>
        </w:rPr>
        <w:t>、采购前变更管理</w:t>
      </w:r>
    </w:p>
    <w:p>
      <w:pPr>
        <w:pStyle w:val="null3"/>
        <w:ind w:firstLine="480"/>
        <w:jc w:val="both"/>
      </w:pPr>
      <w:r>
        <w:rPr>
          <w:sz w:val="24"/>
        </w:rPr>
        <w:t>（</w:t>
      </w:r>
      <w:r>
        <w:rPr>
          <w:sz w:val="24"/>
        </w:rPr>
        <w:t>1</w:t>
      </w:r>
      <w:r>
        <w:rPr>
          <w:sz w:val="24"/>
        </w:rPr>
        <w:t>）项目方案需变更（含取消部分实施内容）的，报送市政务服务数据管理部门审核并备案。</w:t>
      </w:r>
    </w:p>
    <w:p>
      <w:pPr>
        <w:pStyle w:val="null3"/>
        <w:ind w:firstLine="480"/>
        <w:jc w:val="both"/>
      </w:pPr>
      <w:r>
        <w:rPr>
          <w:sz w:val="24"/>
        </w:rPr>
        <w:t>（</w:t>
      </w:r>
      <w:r>
        <w:rPr>
          <w:sz w:val="24"/>
        </w:rPr>
        <w:t>2</w:t>
      </w:r>
      <w:r>
        <w:rPr>
          <w:sz w:val="24"/>
        </w:rPr>
        <w:t>）变更后的投资概算不得超过立项批复的投资概算，变更后增加采购的系统、软硬件设备，应符合本项目建设目标，并属于信息化项目管理范畴。</w:t>
      </w:r>
    </w:p>
    <w:p>
      <w:pPr>
        <w:pStyle w:val="null3"/>
        <w:ind w:firstLine="480"/>
        <w:jc w:val="both"/>
      </w:pPr>
      <w:r>
        <w:rPr>
          <w:sz w:val="24"/>
        </w:rPr>
        <w:t>（</w:t>
      </w:r>
      <w:r>
        <w:rPr>
          <w:sz w:val="24"/>
        </w:rPr>
        <w:t>3</w:t>
      </w:r>
      <w:r>
        <w:rPr>
          <w:sz w:val="24"/>
        </w:rPr>
        <w:t>）仅取消部分实施内容且无其他变更的，项目单位应修改项目方案，核减对应投资概算，并编制变更说明报市政务服务数据管理部门备案。</w:t>
      </w:r>
    </w:p>
    <w:p>
      <w:pPr>
        <w:pStyle w:val="null3"/>
        <w:ind w:firstLine="480"/>
        <w:jc w:val="both"/>
      </w:pPr>
      <w:r>
        <w:rPr>
          <w:sz w:val="24"/>
        </w:rPr>
        <w:t>（</w:t>
      </w:r>
      <w:r>
        <w:rPr>
          <w:sz w:val="24"/>
        </w:rPr>
        <w:t>4</w:t>
      </w:r>
      <w:r>
        <w:rPr>
          <w:sz w:val="24"/>
        </w:rPr>
        <w:t>）需增减变更的，如变更内容涉及金额不超过项目立项批复金额的</w:t>
      </w:r>
      <w:r>
        <w:rPr>
          <w:sz w:val="24"/>
        </w:rPr>
        <w:t>15%</w:t>
      </w:r>
      <w:r>
        <w:rPr>
          <w:sz w:val="24"/>
        </w:rPr>
        <w:t>（不含）的，项目单位应对项目方案进行修改并编制变更说明报市政府服务数据管理部门备案。（变更内容涉及金额的计算方式：以各子项目所有建设内容为单位叠加计算，云资源租赁服务不做叠加计算，但需编制变更说明报备。）</w:t>
      </w:r>
    </w:p>
    <w:p>
      <w:pPr>
        <w:pStyle w:val="null3"/>
        <w:ind w:firstLine="480"/>
        <w:jc w:val="both"/>
      </w:pPr>
      <w:r>
        <w:rPr>
          <w:sz w:val="24"/>
        </w:rPr>
        <w:t>（</w:t>
      </w:r>
      <w:r>
        <w:rPr>
          <w:sz w:val="24"/>
        </w:rPr>
        <w:t>5</w:t>
      </w:r>
      <w:r>
        <w:rPr>
          <w:sz w:val="24"/>
        </w:rPr>
        <w:t>）需增减变更的，如变更内容涉及金额超过项目立项批复金额的</w:t>
      </w:r>
      <w:r>
        <w:rPr>
          <w:sz w:val="24"/>
        </w:rPr>
        <w:t>15%</w:t>
      </w:r>
      <w:r>
        <w:rPr>
          <w:sz w:val="24"/>
        </w:rPr>
        <w:t>（含）的，项目单位应对项目方案进行修改并编制变更说明报市政府服务数据管理部门审核。参照立项审核流程安排项目方案评审及审核备案，相关费用由项目单位承担。（变更内容涉及金额的计算方式：以各子项目所有建设内容为单位叠加计算，云资源租赁服务不做叠加计算，但需编制变更说明报备。）</w:t>
      </w:r>
    </w:p>
    <w:p>
      <w:pPr>
        <w:pStyle w:val="null3"/>
        <w:ind w:firstLine="480"/>
        <w:jc w:val="both"/>
      </w:pPr>
      <w:r>
        <w:rPr>
          <w:sz w:val="24"/>
        </w:rPr>
        <w:t>（</w:t>
      </w:r>
      <w:r>
        <w:rPr>
          <w:sz w:val="24"/>
        </w:rPr>
        <w:t>6</w:t>
      </w:r>
      <w:r>
        <w:rPr>
          <w:sz w:val="24"/>
        </w:rPr>
        <w:t>） 批复有效期内的项目如需取消，项目单位应在采购前报市政务服务数据管理部门备案，市政务服务数据管理部门函复备案意见。</w:t>
      </w:r>
    </w:p>
    <w:p>
      <w:pPr>
        <w:pStyle w:val="null3"/>
        <w:ind w:firstLine="480"/>
        <w:jc w:val="both"/>
      </w:pPr>
      <w:r>
        <w:rPr>
          <w:sz w:val="24"/>
        </w:rPr>
        <w:t>2</w:t>
      </w:r>
      <w:r>
        <w:rPr>
          <w:sz w:val="24"/>
        </w:rPr>
        <w:t>、采购后变更管理</w:t>
      </w:r>
    </w:p>
    <w:p>
      <w:pPr>
        <w:pStyle w:val="null3"/>
        <w:ind w:firstLine="480"/>
        <w:jc w:val="both"/>
      </w:pPr>
      <w:r>
        <w:rPr>
          <w:sz w:val="24"/>
        </w:rPr>
        <w:t>（</w:t>
      </w:r>
      <w:r>
        <w:rPr>
          <w:sz w:val="24"/>
        </w:rPr>
        <w:t>1</w:t>
      </w:r>
      <w:r>
        <w:rPr>
          <w:sz w:val="24"/>
        </w:rPr>
        <w:t>）变更条件</w:t>
      </w:r>
    </w:p>
    <w:p>
      <w:pPr>
        <w:pStyle w:val="null3"/>
        <w:ind w:firstLine="480"/>
        <w:jc w:val="both"/>
      </w:pPr>
      <w:r>
        <w:rPr>
          <w:sz w:val="24"/>
        </w:rPr>
        <w:t>采购后变更管理一般指施工过程中的变更，即因法律法规和政策调整、项目实施条件变化、用户业务需求新增或调整等，使项目或其部分内容的形式、质量或数量发生变更。项目变更主要涉及以下几种情况：</w:t>
      </w:r>
    </w:p>
    <w:p>
      <w:pPr>
        <w:pStyle w:val="null3"/>
        <w:ind w:firstLine="480"/>
        <w:jc w:val="both"/>
      </w:pPr>
      <w:r>
        <w:rPr>
          <w:sz w:val="24"/>
        </w:rPr>
        <w:t>1</w:t>
      </w:r>
      <w:r>
        <w:rPr>
          <w:sz w:val="24"/>
        </w:rPr>
        <w:t>）法律法规和政策变动。在项目建设过程中，由于相关法律法规和政策的变动，如新政策的发布、原有政策的废止等，以及政策原因导致的业务工作调整等，引起的项目建设内容中对应功能需求的变化。</w:t>
      </w:r>
    </w:p>
    <w:p>
      <w:pPr>
        <w:pStyle w:val="null3"/>
        <w:ind w:firstLine="480"/>
        <w:jc w:val="both"/>
      </w:pPr>
      <w:r>
        <w:rPr>
          <w:sz w:val="24"/>
        </w:rPr>
        <w:t>2</w:t>
      </w:r>
      <w:r>
        <w:rPr>
          <w:sz w:val="24"/>
        </w:rPr>
        <w:t>）业务需求变化。在项目建设过程中，由于用户需求或外部环境变化引起的项目建设内容变化，包括软件系统功能、设备的选型、设备数量等。</w:t>
      </w:r>
    </w:p>
    <w:p>
      <w:pPr>
        <w:pStyle w:val="null3"/>
        <w:ind w:firstLine="480"/>
        <w:jc w:val="both"/>
      </w:pPr>
      <w:r>
        <w:rPr>
          <w:sz w:val="24"/>
        </w:rPr>
        <w:t>3</w:t>
      </w:r>
      <w:r>
        <w:rPr>
          <w:sz w:val="24"/>
        </w:rPr>
        <w:t>）实施条件变化。发生不可预见、不可抗力情况或实施条件发生实质性变化（如外部客观环境变化或约束等，但不包括由于承建单位实施操作不当而引起变化</w:t>
      </w:r>
      <w:r>
        <w:rPr>
          <w:sz w:val="24"/>
        </w:rPr>
        <w:t>)</w:t>
      </w:r>
      <w:r>
        <w:rPr>
          <w:sz w:val="24"/>
        </w:rPr>
        <w:t>，无法按原项目实施方案进行实施，必须采取变更的、可能造成工程量的变化。</w:t>
      </w:r>
    </w:p>
    <w:p>
      <w:pPr>
        <w:pStyle w:val="null3"/>
        <w:ind w:firstLine="480"/>
        <w:jc w:val="both"/>
      </w:pPr>
      <w:r>
        <w:rPr>
          <w:sz w:val="24"/>
        </w:rPr>
        <w:t>4</w:t>
      </w:r>
      <w:r>
        <w:rPr>
          <w:sz w:val="24"/>
        </w:rPr>
        <w:t>）建设单位要求。建设单位根据实际需要（如主管部门要求变化等），在规定范围内，提出的对项目需求等方面的变更要求。</w:t>
      </w:r>
    </w:p>
    <w:p>
      <w:pPr>
        <w:pStyle w:val="null3"/>
        <w:ind w:firstLine="480"/>
        <w:jc w:val="both"/>
      </w:pPr>
      <w:r>
        <w:rPr>
          <w:sz w:val="24"/>
        </w:rPr>
        <w:t>（</w:t>
      </w:r>
      <w:r>
        <w:rPr>
          <w:sz w:val="24"/>
        </w:rPr>
        <w:t>2</w:t>
      </w:r>
      <w:r>
        <w:rPr>
          <w:sz w:val="24"/>
        </w:rPr>
        <w:t>）变更发起</w:t>
      </w:r>
    </w:p>
    <w:p>
      <w:pPr>
        <w:pStyle w:val="null3"/>
        <w:ind w:firstLine="480"/>
        <w:jc w:val="both"/>
      </w:pPr>
      <w:r>
        <w:rPr>
          <w:sz w:val="24"/>
        </w:rPr>
        <w:t>建设单位、监理服务机构、承建单位均可根据项目需要和实际情况发起项目变更。由三方共同对变更内容进行讨论，形成初步一致意见。</w:t>
      </w:r>
    </w:p>
    <w:p>
      <w:pPr>
        <w:pStyle w:val="null3"/>
        <w:ind w:firstLine="480"/>
        <w:jc w:val="both"/>
      </w:pPr>
      <w:r>
        <w:rPr>
          <w:sz w:val="24"/>
        </w:rPr>
        <w:t>（</w:t>
      </w:r>
      <w:r>
        <w:rPr>
          <w:sz w:val="24"/>
        </w:rPr>
        <w:t>3</w:t>
      </w:r>
      <w:r>
        <w:rPr>
          <w:sz w:val="24"/>
        </w:rPr>
        <w:t>）变更申请编制与提交</w:t>
      </w:r>
    </w:p>
    <w:p>
      <w:pPr>
        <w:pStyle w:val="null3"/>
        <w:ind w:firstLine="480"/>
        <w:jc w:val="both"/>
      </w:pPr>
      <w:r>
        <w:rPr>
          <w:sz w:val="24"/>
        </w:rPr>
        <w:t>由承建单位根据变更初步意见编制《变更申请表》及相关变更说明文件，提交至项目监理服务机构。《变更申请表》必须有业务主管部门意见，变更说明文件主要包括但不限于以下内容：</w:t>
      </w:r>
    </w:p>
    <w:p>
      <w:pPr>
        <w:pStyle w:val="null3"/>
        <w:ind w:firstLine="480"/>
        <w:jc w:val="both"/>
      </w:pPr>
      <w:r>
        <w:rPr>
          <w:sz w:val="24"/>
        </w:rPr>
        <w:t>1</w:t>
      </w:r>
      <w:r>
        <w:rPr>
          <w:sz w:val="24"/>
        </w:rPr>
        <w:t>）变更的原因及依据；</w:t>
      </w:r>
    </w:p>
    <w:p>
      <w:pPr>
        <w:pStyle w:val="null3"/>
        <w:ind w:firstLine="480"/>
        <w:jc w:val="both"/>
      </w:pPr>
      <w:r>
        <w:rPr>
          <w:sz w:val="24"/>
        </w:rPr>
        <w:t>2</w:t>
      </w:r>
      <w:r>
        <w:rPr>
          <w:sz w:val="24"/>
        </w:rPr>
        <w:t>）变更的内容及范围；</w:t>
      </w:r>
    </w:p>
    <w:p>
      <w:pPr>
        <w:pStyle w:val="null3"/>
        <w:ind w:firstLine="480"/>
        <w:jc w:val="both"/>
      </w:pPr>
      <w:r>
        <w:rPr>
          <w:sz w:val="24"/>
        </w:rPr>
        <w:t>3</w:t>
      </w:r>
      <w:r>
        <w:rPr>
          <w:sz w:val="24"/>
        </w:rPr>
        <w:t>）变更引起的合同总价增加或减少；</w:t>
      </w:r>
    </w:p>
    <w:p>
      <w:pPr>
        <w:pStyle w:val="null3"/>
        <w:ind w:firstLine="480"/>
        <w:jc w:val="both"/>
      </w:pPr>
      <w:r>
        <w:rPr>
          <w:sz w:val="24"/>
        </w:rPr>
        <w:t>4</w:t>
      </w:r>
      <w:r>
        <w:rPr>
          <w:sz w:val="24"/>
        </w:rPr>
        <w:t>）变更引起的合同工期提前或缩短；</w:t>
      </w:r>
    </w:p>
    <w:p>
      <w:pPr>
        <w:pStyle w:val="null3"/>
        <w:ind w:firstLine="480"/>
        <w:jc w:val="both"/>
      </w:pPr>
      <w:r>
        <w:rPr>
          <w:sz w:val="24"/>
        </w:rPr>
        <w:t>5</w:t>
      </w:r>
      <w:r>
        <w:rPr>
          <w:sz w:val="24"/>
        </w:rPr>
        <w:t>）为审查所提交的附件及计算资料等。</w:t>
      </w:r>
    </w:p>
    <w:p>
      <w:pPr>
        <w:pStyle w:val="null3"/>
        <w:ind w:firstLine="480"/>
        <w:jc w:val="both"/>
      </w:pPr>
      <w:r>
        <w:rPr>
          <w:sz w:val="24"/>
        </w:rPr>
        <w:t>涉及合同变更的，须组织专家评审变更后的方案及价格，评审结果作为变更申请的必要文件。</w:t>
      </w:r>
    </w:p>
    <w:p>
      <w:pPr>
        <w:pStyle w:val="null3"/>
        <w:ind w:firstLine="480"/>
        <w:jc w:val="both"/>
      </w:pPr>
      <w:r>
        <w:rPr>
          <w:sz w:val="24"/>
        </w:rPr>
        <w:t>（</w:t>
      </w:r>
      <w:r>
        <w:rPr>
          <w:sz w:val="24"/>
        </w:rPr>
        <w:t>4</w:t>
      </w:r>
      <w:r>
        <w:rPr>
          <w:sz w:val="24"/>
        </w:rPr>
        <w:t>）变更初步审查</w:t>
      </w:r>
    </w:p>
    <w:p>
      <w:pPr>
        <w:pStyle w:val="null3"/>
        <w:ind w:firstLine="480"/>
        <w:jc w:val="both"/>
      </w:pPr>
      <w:r>
        <w:rPr>
          <w:sz w:val="24"/>
        </w:rPr>
        <w:t>监理服务机构对承建单位提交的变更申请及相关文件进行初审，监理服务机构提出审核意见，并按照项目报审流程提交建设单位审核确认。</w:t>
      </w:r>
    </w:p>
    <w:p>
      <w:pPr>
        <w:pStyle w:val="null3"/>
        <w:ind w:firstLine="480"/>
        <w:jc w:val="both"/>
      </w:pPr>
      <w:r>
        <w:rPr>
          <w:sz w:val="24"/>
        </w:rPr>
        <w:t>对于涉及合同变更或变更较为复杂的，需邀请专家参与，由监理服务机构协助组织项目变更专家评审会；专家评审意见将作为变更申请的基础文件。</w:t>
      </w:r>
    </w:p>
    <w:p>
      <w:pPr>
        <w:pStyle w:val="null3"/>
        <w:ind w:firstLine="480"/>
        <w:jc w:val="both"/>
      </w:pPr>
      <w:r>
        <w:rPr>
          <w:sz w:val="24"/>
        </w:rPr>
        <w:t>（</w:t>
      </w:r>
      <w:r>
        <w:rPr>
          <w:sz w:val="24"/>
        </w:rPr>
        <w:t>5</w:t>
      </w:r>
      <w:r>
        <w:rPr>
          <w:sz w:val="24"/>
        </w:rPr>
        <w:t>）变更审核与批准</w:t>
      </w:r>
    </w:p>
    <w:p>
      <w:pPr>
        <w:pStyle w:val="null3"/>
        <w:ind w:firstLine="480"/>
        <w:jc w:val="both"/>
      </w:pPr>
      <w:r>
        <w:rPr>
          <w:sz w:val="24"/>
        </w:rPr>
        <w:t>建设单位提出最终审批意见，意见为</w:t>
      </w:r>
      <w:r>
        <w:rPr>
          <w:sz w:val="24"/>
        </w:rPr>
        <w:t>“同意”，则本次变更申请通过审核，三方按照批准后的变更实施；意见为“不同意”，则变更终止，承建单位应按照原计划实施。</w:t>
      </w:r>
    </w:p>
    <w:p>
      <w:pPr>
        <w:pStyle w:val="null3"/>
        <w:ind w:firstLine="480"/>
        <w:jc w:val="both"/>
      </w:pPr>
      <w:r>
        <w:rPr>
          <w:sz w:val="24"/>
        </w:rPr>
        <w:t>（</w:t>
      </w:r>
      <w:r>
        <w:rPr>
          <w:sz w:val="24"/>
        </w:rPr>
        <w:t>6</w:t>
      </w:r>
      <w:r>
        <w:rPr>
          <w:sz w:val="24"/>
        </w:rPr>
        <w:t>）变更执行</w:t>
      </w:r>
    </w:p>
    <w:p>
      <w:pPr>
        <w:pStyle w:val="null3"/>
        <w:ind w:firstLine="480"/>
        <w:jc w:val="both"/>
      </w:pPr>
      <w:r>
        <w:rPr>
          <w:sz w:val="24"/>
        </w:rPr>
        <w:t>各方按照变更审批意见开展相关工作。承建单位按照变更后的项目实施方案执行项目，监理服务机构和建设单位按照变更后的项目实施方案对项目进行监督管理。对于合同变更的，则按照批准的变更申请和方案，以及本项目合同有关条款，签订合同补充协议，作为本项目合同执行不可分割部分。</w:t>
      </w:r>
    </w:p>
    <w:p>
      <w:pPr>
        <w:pStyle w:val="null3"/>
        <w:ind w:firstLine="480"/>
        <w:jc w:val="both"/>
      </w:pPr>
      <w:r>
        <w:rPr>
          <w:sz w:val="24"/>
        </w:rPr>
        <w:t>（</w:t>
      </w:r>
      <w:r>
        <w:rPr>
          <w:sz w:val="24"/>
        </w:rPr>
        <w:t>7</w:t>
      </w:r>
      <w:r>
        <w:rPr>
          <w:sz w:val="24"/>
        </w:rPr>
        <w:t>）变更后实施检查</w:t>
      </w:r>
    </w:p>
    <w:p>
      <w:pPr>
        <w:pStyle w:val="null3"/>
        <w:ind w:firstLine="480"/>
        <w:jc w:val="both"/>
      </w:pPr>
      <w:r>
        <w:rPr>
          <w:sz w:val="24"/>
        </w:rPr>
        <w:t>变更完成后，承建单位按照变更后的项目实施方案进行实施工作。实施完成后，承建单位提交变更执行报告，项目三方检查变更方案中相关工作完成情况，监理服务机构和建设单位审核变更执行报告提出变更内容完成意见，形成工作闭环。</w:t>
      </w:r>
    </w:p>
    <w:p>
      <w:pPr>
        <w:pStyle w:val="null3"/>
        <w:ind w:firstLine="480"/>
        <w:jc w:val="both"/>
      </w:pPr>
      <w:r>
        <w:rPr>
          <w:sz w:val="24"/>
        </w:rPr>
        <w:t>（三）风险分析与对策</w:t>
      </w:r>
    </w:p>
    <w:p>
      <w:pPr>
        <w:pStyle w:val="null3"/>
        <w:ind w:firstLine="480"/>
        <w:jc w:val="both"/>
      </w:pPr>
      <w:r>
        <w:rPr>
          <w:sz w:val="24"/>
        </w:rPr>
        <w:t>1</w:t>
      </w:r>
      <w:r>
        <w:rPr>
          <w:sz w:val="24"/>
        </w:rPr>
        <w:t>、组织风险与分析</w:t>
      </w:r>
    </w:p>
    <w:p>
      <w:pPr>
        <w:pStyle w:val="null3"/>
        <w:ind w:firstLine="480"/>
        <w:jc w:val="both"/>
      </w:pPr>
      <w:r>
        <w:rPr>
          <w:sz w:val="24"/>
        </w:rPr>
        <w:t>（</w:t>
      </w:r>
      <w:r>
        <w:rPr>
          <w:sz w:val="24"/>
        </w:rPr>
        <w:t>1</w:t>
      </w:r>
      <w:r>
        <w:rPr>
          <w:sz w:val="24"/>
        </w:rPr>
        <w:t>）风险分析</w:t>
      </w:r>
    </w:p>
    <w:p>
      <w:pPr>
        <w:pStyle w:val="null3"/>
        <w:ind w:firstLine="480"/>
        <w:jc w:val="both"/>
      </w:pPr>
      <w:r>
        <w:rPr>
          <w:sz w:val="24"/>
        </w:rPr>
        <w:t>组织风险是指运行过程中因为组织的决策、组织、协调和实施等行为失当及偏误所造成的风险。本项目中的存在的组织风险包含项目范围改变风险、项目进度改变风险、计划风险。</w:t>
      </w:r>
    </w:p>
    <w:p>
      <w:pPr>
        <w:pStyle w:val="null3"/>
        <w:ind w:firstLine="480"/>
        <w:jc w:val="both"/>
      </w:pPr>
      <w:r>
        <w:rPr>
          <w:sz w:val="24"/>
        </w:rPr>
        <w:t>项目范围改变风险：已经开始实施后用户突然要增加或变更一些结构性的功能，需要重新考虑架构设计。</w:t>
      </w:r>
    </w:p>
    <w:p>
      <w:pPr>
        <w:pStyle w:val="null3"/>
        <w:ind w:firstLine="480"/>
        <w:jc w:val="both"/>
      </w:pPr>
      <w:r>
        <w:rPr>
          <w:sz w:val="24"/>
        </w:rPr>
        <w:t>项目进度改变风险：由于特殊事件或得到上级领导指示，业主方要求提前完成任务。</w:t>
      </w:r>
    </w:p>
    <w:p>
      <w:pPr>
        <w:pStyle w:val="null3"/>
        <w:ind w:firstLine="480"/>
        <w:jc w:val="both"/>
      </w:pPr>
      <w:r>
        <w:rPr>
          <w:sz w:val="24"/>
        </w:rPr>
        <w:t>计划风险：仓促计划，盲目制定工期，造成进度无法控制。</w:t>
      </w:r>
    </w:p>
    <w:p>
      <w:pPr>
        <w:pStyle w:val="null3"/>
        <w:ind w:firstLine="480"/>
        <w:jc w:val="both"/>
      </w:pPr>
      <w:r>
        <w:rPr>
          <w:sz w:val="24"/>
        </w:rPr>
        <w:t>（</w:t>
      </w:r>
      <w:r>
        <w:rPr>
          <w:sz w:val="24"/>
        </w:rPr>
        <w:t>2</w:t>
      </w:r>
      <w:r>
        <w:rPr>
          <w:sz w:val="24"/>
        </w:rPr>
        <w:t>）风险对策</w:t>
      </w:r>
    </w:p>
    <w:p>
      <w:pPr>
        <w:pStyle w:val="null3"/>
        <w:ind w:firstLine="480"/>
        <w:jc w:val="both"/>
      </w:pPr>
      <w:r>
        <w:rPr>
          <w:sz w:val="24"/>
        </w:rPr>
        <w:t>重点加强与客户的沟通联系，深入挖掘了解客户需求，沟通解决突发的、计划外的需求，定时汇报项目开展最新情况的保证客户对项目实时的信心。及时沟通跟进政府部门的政策、法规、条款等要求，确保项目能够顺利开展。与供应商保持沟通，及时掌握供应商产品信息，确保产品能够按时提供。</w:t>
      </w:r>
    </w:p>
    <w:p>
      <w:pPr>
        <w:pStyle w:val="null3"/>
        <w:ind w:firstLine="480"/>
        <w:jc w:val="both"/>
      </w:pPr>
      <w:r>
        <w:rPr>
          <w:sz w:val="24"/>
        </w:rPr>
        <w:t>2</w:t>
      </w:r>
      <w:r>
        <w:rPr>
          <w:sz w:val="24"/>
        </w:rPr>
        <w:t>、管理风险与分析</w:t>
      </w:r>
    </w:p>
    <w:p>
      <w:pPr>
        <w:pStyle w:val="null3"/>
        <w:ind w:firstLine="480"/>
        <w:jc w:val="both"/>
      </w:pPr>
      <w:r>
        <w:rPr>
          <w:sz w:val="24"/>
        </w:rPr>
        <w:t>（</w:t>
      </w:r>
      <w:r>
        <w:rPr>
          <w:sz w:val="24"/>
        </w:rPr>
        <w:t>1</w:t>
      </w:r>
      <w:r>
        <w:rPr>
          <w:sz w:val="24"/>
        </w:rPr>
        <w:t>）风险分析</w:t>
      </w:r>
    </w:p>
    <w:p>
      <w:pPr>
        <w:pStyle w:val="null3"/>
        <w:ind w:firstLine="480"/>
        <w:jc w:val="both"/>
      </w:pPr>
      <w:r>
        <w:rPr>
          <w:sz w:val="24"/>
        </w:rPr>
        <w:t>本项目建设涉及众多部门、各类用户，协调和沟通工作复杂，这些对项目建设提出了很高的要求。在项目规划和建设过程中，要合理进行总体规划和分步实施。制定严密的进度计划、实施计划，实现分步骤有计划的建设和实施；严格按照项目实施计划对项目进行监督管理，保障项目按预计时间运作；调用技术骨干人员成立专门的项目实施团队，做好项目实施人员的保障工作，确保项目高效完成。</w:t>
      </w:r>
    </w:p>
    <w:p>
      <w:pPr>
        <w:pStyle w:val="null3"/>
        <w:ind w:firstLine="480"/>
        <w:jc w:val="both"/>
      </w:pPr>
      <w:r>
        <w:rPr>
          <w:sz w:val="24"/>
        </w:rPr>
        <w:t>（</w:t>
      </w:r>
      <w:r>
        <w:rPr>
          <w:sz w:val="24"/>
        </w:rPr>
        <w:t>2</w:t>
      </w:r>
      <w:r>
        <w:rPr>
          <w:sz w:val="24"/>
        </w:rPr>
        <w:t>）风险对策</w:t>
      </w:r>
    </w:p>
    <w:p>
      <w:pPr>
        <w:pStyle w:val="null3"/>
        <w:ind w:firstLine="480"/>
        <w:jc w:val="both"/>
      </w:pPr>
      <w:r>
        <w:rPr>
          <w:sz w:val="24"/>
        </w:rPr>
        <w:t>针对业务部门协调，要加强沟通和协调，提高业务部门的认识，因为从根本上说本项目是业务部门而开展实施的。某些情况下，行政协调还需要高层推进。</w:t>
      </w:r>
    </w:p>
    <w:p>
      <w:pPr>
        <w:pStyle w:val="null3"/>
        <w:ind w:firstLine="480"/>
        <w:jc w:val="both"/>
      </w:pPr>
      <w:r>
        <w:rPr>
          <w:sz w:val="24"/>
        </w:rPr>
        <w:t>针对项目组问题，可以从加强项目沟通、防止主要项目人员缺位、科学的安排项目人员更换和确保项目人员的技术水平四个方面着手解决。</w:t>
      </w:r>
    </w:p>
    <w:p>
      <w:pPr>
        <w:pStyle w:val="null3"/>
        <w:ind w:firstLine="480"/>
        <w:jc w:val="both"/>
      </w:pPr>
      <w:r>
        <w:rPr>
          <w:sz w:val="24"/>
        </w:rPr>
        <w:t>1)</w:t>
      </w:r>
      <w:r>
        <w:rPr>
          <w:sz w:val="24"/>
        </w:rPr>
        <w:t>项目沟通</w:t>
      </w:r>
    </w:p>
    <w:p>
      <w:pPr>
        <w:pStyle w:val="null3"/>
        <w:ind w:firstLine="480"/>
        <w:jc w:val="both"/>
      </w:pPr>
      <w:r>
        <w:rPr>
          <w:sz w:val="24"/>
        </w:rPr>
        <w:t>建立沟通机制，确保沟通渠道畅通；设立问题汇报和解决的工作流程，确保沟通问题得到有效解决；建立档案机制，确保成果的积累和良好管理。</w:t>
      </w:r>
    </w:p>
    <w:p>
      <w:pPr>
        <w:pStyle w:val="null3"/>
        <w:ind w:firstLine="480"/>
        <w:jc w:val="both"/>
      </w:pPr>
      <w:r>
        <w:rPr>
          <w:sz w:val="24"/>
        </w:rPr>
        <w:t>2)</w:t>
      </w:r>
      <w:r>
        <w:rPr>
          <w:sz w:val="24"/>
        </w:rPr>
        <w:t>主要项目人员</w:t>
      </w:r>
    </w:p>
    <w:p>
      <w:pPr>
        <w:pStyle w:val="null3"/>
        <w:ind w:firstLine="480"/>
        <w:jc w:val="both"/>
      </w:pPr>
      <w:r>
        <w:rPr>
          <w:sz w:val="24"/>
        </w:rPr>
        <w:t>从严审核项目主要人员的专业能力和质量，确保关键岗位人员的项目管理、实施能力；建立</w:t>
      </w:r>
      <w:r>
        <w:rPr>
          <w:sz w:val="24"/>
        </w:rPr>
        <w:t>A</w:t>
      </w:r>
      <w:r>
        <w:rPr>
          <w:sz w:val="24"/>
        </w:rPr>
        <w:t>、</w:t>
      </w:r>
      <w:r>
        <w:rPr>
          <w:sz w:val="24"/>
        </w:rPr>
        <w:t>B</w:t>
      </w:r>
      <w:r>
        <w:rPr>
          <w:sz w:val="24"/>
        </w:rPr>
        <w:t>角色工作机制，确保项目实施过程中的全面支持能力和工作保证；实施对主要项目人员的工作内容知识跟踪和积累，确保工作安排可追溯，不损失，保障项目实施开展。</w:t>
      </w:r>
    </w:p>
    <w:p>
      <w:pPr>
        <w:pStyle w:val="null3"/>
        <w:ind w:firstLine="480"/>
        <w:jc w:val="both"/>
      </w:pPr>
      <w:r>
        <w:rPr>
          <w:sz w:val="24"/>
        </w:rPr>
        <w:t>3)</w:t>
      </w:r>
      <w:r>
        <w:rPr>
          <w:sz w:val="24"/>
        </w:rPr>
        <w:t>项目人员更换</w:t>
      </w:r>
    </w:p>
    <w:p>
      <w:pPr>
        <w:pStyle w:val="null3"/>
        <w:ind w:firstLine="480"/>
        <w:jc w:val="both"/>
      </w:pPr>
      <w:r>
        <w:rPr>
          <w:sz w:val="24"/>
        </w:rPr>
        <w:t>依照科学合理的项目实施制度、工作激励制度来安排项目人员更换，确保项目顺利开展，提高整体工作效率。</w:t>
      </w:r>
    </w:p>
    <w:p>
      <w:pPr>
        <w:pStyle w:val="null3"/>
        <w:ind w:firstLine="480"/>
        <w:jc w:val="both"/>
      </w:pPr>
      <w:r>
        <w:rPr>
          <w:sz w:val="24"/>
        </w:rPr>
        <w:t>4)</w:t>
      </w:r>
      <w:r>
        <w:rPr>
          <w:sz w:val="24"/>
        </w:rPr>
        <w:t>项目人员的专业水平</w:t>
      </w:r>
    </w:p>
    <w:p>
      <w:pPr>
        <w:pStyle w:val="null3"/>
        <w:ind w:firstLine="480"/>
        <w:jc w:val="both"/>
      </w:pPr>
      <w:r>
        <w:rPr>
          <w:sz w:val="24"/>
        </w:rPr>
        <w:t>严格审阅项目实施人员的专业能力、技能和经验，落实其具体责任。通过项目开展，不断提高其专业水平。</w:t>
      </w:r>
    </w:p>
    <w:p>
      <w:pPr>
        <w:pStyle w:val="null3"/>
        <w:ind w:firstLine="480"/>
        <w:jc w:val="both"/>
      </w:pPr>
      <w:r>
        <w:rPr>
          <w:sz w:val="24"/>
        </w:rPr>
        <w:t>3</w:t>
      </w:r>
      <w:r>
        <w:rPr>
          <w:sz w:val="24"/>
        </w:rPr>
        <w:t>、技术风险与分析</w:t>
      </w:r>
    </w:p>
    <w:p>
      <w:pPr>
        <w:pStyle w:val="null3"/>
        <w:ind w:firstLine="480"/>
        <w:jc w:val="both"/>
      </w:pPr>
      <w:r>
        <w:rPr>
          <w:sz w:val="24"/>
        </w:rPr>
        <w:t>（</w:t>
      </w:r>
      <w:r>
        <w:rPr>
          <w:sz w:val="24"/>
        </w:rPr>
        <w:t>1</w:t>
      </w:r>
      <w:r>
        <w:rPr>
          <w:sz w:val="24"/>
        </w:rPr>
        <w:t>）风险分析</w:t>
      </w:r>
    </w:p>
    <w:p>
      <w:pPr>
        <w:pStyle w:val="null3"/>
        <w:ind w:firstLine="480"/>
        <w:jc w:val="both"/>
      </w:pPr>
      <w:r>
        <w:rPr>
          <w:sz w:val="24"/>
        </w:rPr>
        <w:t>技术风险主要体现在本项目业务范围广，涉及到的业务系统较多，项目开展过程中容易出现系统对接联调、系统程序调用困难等问题。在和转隶部门进行系统对接，从气象、水利、公安等部门对接获取数据时也要依照数据交换校准进行，保障接口的兼容性以应对后续的对接业务需求。此外，项目开展过程中也要综合考虑数据中心、平台、系统等的数据安全。</w:t>
      </w:r>
    </w:p>
    <w:p>
      <w:pPr>
        <w:pStyle w:val="null3"/>
        <w:ind w:firstLine="480"/>
        <w:jc w:val="both"/>
      </w:pPr>
      <w:r>
        <w:rPr>
          <w:sz w:val="24"/>
        </w:rPr>
        <w:t>（</w:t>
      </w:r>
      <w:r>
        <w:rPr>
          <w:sz w:val="24"/>
        </w:rPr>
        <w:t>2</w:t>
      </w:r>
      <w:r>
        <w:rPr>
          <w:sz w:val="24"/>
        </w:rPr>
        <w:t>）风险对策</w:t>
      </w:r>
    </w:p>
    <w:p>
      <w:pPr>
        <w:pStyle w:val="null3"/>
        <w:ind w:firstLine="480"/>
        <w:jc w:val="both"/>
      </w:pPr>
      <w:r>
        <w:rPr>
          <w:sz w:val="24"/>
        </w:rPr>
        <w:t>本项目涉及众多政府部门的业务工作，做好信息系统的的对接和安全保障工作非常重要。制定相关标准体系，如接口标准，要求各相关单位按照规定的接口标准，进行系统和数据对接工作并预留相应对接费用和存储容量。按照等保二级的要求去实施项目工作，保证项目的信息系统安全。</w:t>
      </w:r>
    </w:p>
    <w:p>
      <w:pPr>
        <w:pStyle w:val="null3"/>
        <w:ind w:firstLine="480"/>
        <w:jc w:val="both"/>
      </w:pPr>
      <w:r>
        <w:rPr>
          <w:sz w:val="24"/>
        </w:rPr>
        <w:t>4</w:t>
      </w:r>
      <w:r>
        <w:rPr>
          <w:sz w:val="24"/>
        </w:rPr>
        <w:t>、环境风险与分析</w:t>
      </w:r>
    </w:p>
    <w:p>
      <w:pPr>
        <w:pStyle w:val="null3"/>
        <w:ind w:firstLine="480"/>
        <w:jc w:val="both"/>
      </w:pPr>
      <w:r>
        <w:rPr>
          <w:sz w:val="24"/>
        </w:rPr>
        <w:t>（</w:t>
      </w:r>
      <w:r>
        <w:rPr>
          <w:sz w:val="24"/>
        </w:rPr>
        <w:t>1</w:t>
      </w:r>
      <w:r>
        <w:rPr>
          <w:sz w:val="24"/>
        </w:rPr>
        <w:t>）风险分析</w:t>
      </w:r>
    </w:p>
    <w:p>
      <w:pPr>
        <w:pStyle w:val="null3"/>
        <w:ind w:firstLine="480"/>
        <w:jc w:val="both"/>
      </w:pPr>
      <w:r>
        <w:rPr>
          <w:sz w:val="24"/>
        </w:rPr>
        <w:t>环境风险主要有系统运行环境、工作环境两个方面。软件系统赖以运行的硬件环境和网络环境建设进度及建设情况会对软件系统能否顺利实施具有相当大的影响。工作环境的好坏直接影响项目成员的工作情绪和工作效率，进而影响整个项目的进展与质量。</w:t>
      </w:r>
    </w:p>
    <w:p>
      <w:pPr>
        <w:pStyle w:val="null3"/>
        <w:ind w:firstLine="480"/>
        <w:jc w:val="both"/>
      </w:pPr>
      <w:r>
        <w:rPr>
          <w:sz w:val="24"/>
        </w:rPr>
        <w:t>（</w:t>
      </w:r>
      <w:r>
        <w:rPr>
          <w:sz w:val="24"/>
        </w:rPr>
        <w:t>2</w:t>
      </w:r>
      <w:r>
        <w:rPr>
          <w:sz w:val="24"/>
        </w:rPr>
        <w:t>）风险对策</w:t>
      </w:r>
    </w:p>
    <w:p>
      <w:pPr>
        <w:pStyle w:val="null3"/>
        <w:ind w:firstLine="480"/>
        <w:jc w:val="both"/>
      </w:pPr>
      <w:r>
        <w:rPr>
          <w:sz w:val="24"/>
        </w:rPr>
        <w:t>针对系统运行环境风险，系统集成商及软件开发商及时进行沟通联系，跟进系统集成部门实施进度，签订相关协议等，共同协调完成系统运行环境的建设，确保软件系统正常运行，项目顺利实施。</w:t>
      </w:r>
    </w:p>
    <w:p>
      <w:pPr>
        <w:pStyle w:val="null3"/>
        <w:ind w:firstLine="480"/>
        <w:jc w:val="both"/>
      </w:pPr>
      <w:r>
        <w:rPr>
          <w:sz w:val="24"/>
        </w:rPr>
        <w:t>针对工作环境风险，可以选择和建设好适合项目特点和满足项目成员期待的办公环境，在项目建设过程中不断培育和调整和谐的工作环境。</w:t>
      </w:r>
    </w:p>
    <w:p>
      <w:pPr>
        <w:pStyle w:val="null3"/>
        <w:ind w:firstLine="480"/>
        <w:jc w:val="both"/>
      </w:pPr>
      <w:r>
        <w:rPr>
          <w:sz w:val="24"/>
        </w:rPr>
        <w:t>（四）质量保障</w:t>
      </w:r>
    </w:p>
    <w:p>
      <w:pPr>
        <w:pStyle w:val="null3"/>
        <w:ind w:firstLine="480"/>
        <w:jc w:val="both"/>
      </w:pPr>
      <w:r>
        <w:rPr>
          <w:sz w:val="24"/>
        </w:rPr>
        <w:t>1</w:t>
      </w:r>
      <w:r>
        <w:rPr>
          <w:sz w:val="24"/>
        </w:rPr>
        <w:t>、监理服务</w:t>
      </w:r>
    </w:p>
    <w:p>
      <w:pPr>
        <w:pStyle w:val="null3"/>
        <w:ind w:firstLine="480"/>
        <w:jc w:val="both"/>
      </w:pPr>
      <w:r>
        <w:rPr>
          <w:sz w:val="24"/>
        </w:rPr>
        <w:t>为保证项目能够顺利的开展，在项目实施期间须采购监理服务，监理方主要以</w:t>
      </w:r>
      <w:r>
        <w:rPr>
          <w:sz w:val="24"/>
        </w:rPr>
        <w:t>“质量第一，预防为主，用科学、规范、诚信”作为监理原则，安排工作人员现场办公做好工程和项目进度和质量控制管理，协助单位完成工程任务并提供管理和技术咨询。项目要求以现场监理为主要监理方式，监理公司应派总监理工程师和监理工程师按采购人要求驻场，建立工程咨询组和项目监理组，负责整个工程的全程监理工作。监理服务的主要内容包括：</w:t>
      </w:r>
    </w:p>
    <w:p>
      <w:pPr>
        <w:pStyle w:val="null3"/>
        <w:ind w:firstLine="480"/>
        <w:jc w:val="both"/>
      </w:pPr>
      <w:r>
        <w:rPr>
          <w:sz w:val="24"/>
        </w:rPr>
        <w:t>（</w:t>
      </w:r>
      <w:r>
        <w:rPr>
          <w:sz w:val="24"/>
        </w:rPr>
        <w:t>1</w:t>
      </w:r>
      <w:r>
        <w:rPr>
          <w:sz w:val="24"/>
        </w:rPr>
        <w:t>）总体把控：对项目的组织和实施计划安排、质量保证计划、进度控制计划等进行。</w:t>
      </w:r>
    </w:p>
    <w:p>
      <w:pPr>
        <w:pStyle w:val="null3"/>
        <w:ind w:firstLine="480"/>
        <w:jc w:val="both"/>
      </w:pPr>
      <w:r>
        <w:rPr>
          <w:sz w:val="24"/>
        </w:rPr>
        <w:t>（</w:t>
      </w:r>
      <w:r>
        <w:rPr>
          <w:sz w:val="24"/>
        </w:rPr>
        <w:t>2</w:t>
      </w:r>
      <w:r>
        <w:rPr>
          <w:sz w:val="24"/>
        </w:rPr>
        <w:t>）质量控制：依据合同要求和有关技术标准，审查、监督、控制本工程设备采购及设备安装的质量。</w:t>
      </w:r>
    </w:p>
    <w:p>
      <w:pPr>
        <w:pStyle w:val="null3"/>
        <w:ind w:firstLine="480"/>
        <w:jc w:val="both"/>
      </w:pPr>
      <w:r>
        <w:rPr>
          <w:sz w:val="24"/>
        </w:rPr>
        <w:t>（</w:t>
      </w:r>
      <w:r>
        <w:rPr>
          <w:sz w:val="24"/>
        </w:rPr>
        <w:t>3</w:t>
      </w:r>
      <w:r>
        <w:rPr>
          <w:sz w:val="24"/>
        </w:rPr>
        <w:t>）进度控制：审核承建单位的进度分解计划，确认分解计划可以保证总体计划目标，监督检查项目进度执行情况。</w:t>
      </w:r>
    </w:p>
    <w:p>
      <w:pPr>
        <w:pStyle w:val="null3"/>
        <w:ind w:firstLine="480"/>
        <w:jc w:val="both"/>
      </w:pPr>
      <w:r>
        <w:rPr>
          <w:sz w:val="24"/>
        </w:rPr>
        <w:t>（</w:t>
      </w:r>
      <w:r>
        <w:rPr>
          <w:sz w:val="24"/>
        </w:rPr>
        <w:t>4</w:t>
      </w:r>
      <w:r>
        <w:rPr>
          <w:sz w:val="24"/>
        </w:rPr>
        <w:t>）投资控制：通过对项目实施方案的优化，确保投资控制在合理、性价比高的范围内。</w:t>
      </w:r>
    </w:p>
    <w:p>
      <w:pPr>
        <w:pStyle w:val="null3"/>
        <w:ind w:firstLine="480"/>
        <w:jc w:val="both"/>
      </w:pPr>
      <w:r>
        <w:rPr>
          <w:sz w:val="24"/>
        </w:rPr>
        <w:t>（</w:t>
      </w:r>
      <w:r>
        <w:rPr>
          <w:sz w:val="24"/>
        </w:rPr>
        <w:t>5</w:t>
      </w:r>
      <w:r>
        <w:rPr>
          <w:sz w:val="24"/>
        </w:rPr>
        <w:t>）合同管理：对合同工期的延误和延期进行解释，协助业主处理项目实施的每个过程出现的合同变更、违约、索赔、延期、分包、纠纷调解及仲裁等问题。</w:t>
      </w:r>
    </w:p>
    <w:p>
      <w:pPr>
        <w:pStyle w:val="null3"/>
        <w:ind w:firstLine="480"/>
        <w:jc w:val="both"/>
      </w:pPr>
      <w:r>
        <w:rPr>
          <w:sz w:val="24"/>
        </w:rPr>
        <w:t>（</w:t>
      </w:r>
      <w:r>
        <w:rPr>
          <w:sz w:val="24"/>
        </w:rPr>
        <w:t>6</w:t>
      </w:r>
      <w:r>
        <w:rPr>
          <w:sz w:val="24"/>
        </w:rPr>
        <w:t>）信息管理：建立全面、准确反映项目各阶段工程状况的图表、文档，收集、管理项目各类文档和资料。</w:t>
      </w:r>
    </w:p>
    <w:p>
      <w:pPr>
        <w:pStyle w:val="null3"/>
        <w:ind w:firstLine="480"/>
        <w:jc w:val="both"/>
      </w:pPr>
      <w:r>
        <w:rPr>
          <w:sz w:val="24"/>
        </w:rPr>
        <w:t>（</w:t>
      </w:r>
      <w:r>
        <w:rPr>
          <w:sz w:val="24"/>
        </w:rPr>
        <w:t>7</w:t>
      </w:r>
      <w:r>
        <w:rPr>
          <w:sz w:val="24"/>
        </w:rPr>
        <w:t>）会议制度：为保证监理工作的开展和实施协调，监理方需组织必要的会议。</w:t>
      </w:r>
    </w:p>
    <w:p>
      <w:pPr>
        <w:pStyle w:val="null3"/>
        <w:ind w:firstLine="480"/>
        <w:jc w:val="both"/>
      </w:pPr>
      <w:r>
        <w:rPr>
          <w:sz w:val="24"/>
        </w:rPr>
        <w:t>（</w:t>
      </w:r>
      <w:r>
        <w:rPr>
          <w:sz w:val="24"/>
        </w:rPr>
        <w:t>8</w:t>
      </w:r>
      <w:r>
        <w:rPr>
          <w:sz w:val="24"/>
        </w:rPr>
        <w:t>）组织协调：建立畅通的沟通平台和沟通渠道，采取有效措施使项目信息在有关各方之间保持顺畅流通，积极协调项目各方之间的关系，推动项目实施过程中问题的解决。</w:t>
      </w:r>
    </w:p>
    <w:p>
      <w:pPr>
        <w:pStyle w:val="null3"/>
        <w:ind w:firstLine="480"/>
        <w:jc w:val="both"/>
      </w:pPr>
      <w:r>
        <w:rPr>
          <w:sz w:val="24"/>
        </w:rPr>
        <w:t>2</w:t>
      </w:r>
      <w:r>
        <w:rPr>
          <w:sz w:val="24"/>
        </w:rPr>
        <w:t>、验收测评服务</w:t>
      </w:r>
    </w:p>
    <w:p>
      <w:pPr>
        <w:pStyle w:val="null3"/>
        <w:ind w:firstLine="480"/>
        <w:jc w:val="both"/>
      </w:pPr>
      <w:r>
        <w:rPr>
          <w:sz w:val="24"/>
        </w:rPr>
        <w:t>验收测评服务主要包括软件成本度量及软件测试，测试方应以确保测试工作的客观性、公正性、专业性、权威性为原则。</w:t>
      </w:r>
    </w:p>
    <w:p>
      <w:pPr>
        <w:pStyle w:val="null3"/>
        <w:ind w:firstLine="480"/>
        <w:jc w:val="both"/>
      </w:pPr>
      <w:r>
        <w:rPr>
          <w:sz w:val="24"/>
        </w:rPr>
        <w:t>（</w:t>
      </w:r>
      <w:r>
        <w:rPr>
          <w:sz w:val="24"/>
        </w:rPr>
        <w:t>1</w:t>
      </w:r>
      <w:r>
        <w:rPr>
          <w:sz w:val="24"/>
        </w:rPr>
        <w:t>）软件成本度量</w:t>
      </w:r>
    </w:p>
    <w:p>
      <w:pPr>
        <w:pStyle w:val="null3"/>
        <w:ind w:firstLine="480"/>
        <w:jc w:val="both"/>
      </w:pPr>
      <w:r>
        <w:rPr>
          <w:sz w:val="24"/>
        </w:rPr>
        <w:t>软件成本度量依据为国家标准</w:t>
      </w:r>
      <w:r>
        <w:rPr>
          <w:sz w:val="24"/>
        </w:rPr>
        <w:t>GB/T 32911-2016</w:t>
      </w:r>
      <w:r>
        <w:rPr>
          <w:sz w:val="24"/>
        </w:rPr>
        <w:t>《软件测试成本度量规范》，具体内容如下：</w:t>
      </w:r>
    </w:p>
    <w:p>
      <w:pPr>
        <w:pStyle w:val="null3"/>
        <w:ind w:firstLine="480"/>
        <w:jc w:val="both"/>
      </w:pPr>
      <w:r>
        <w:rPr>
          <w:sz w:val="24"/>
        </w:rPr>
        <w:t>1</w:t>
      </w:r>
      <w:r>
        <w:rPr>
          <w:sz w:val="24"/>
        </w:rPr>
        <w:t>） 识别系统边界：从用户视角出发，不受系统实现影响；事务功能应穿越识别的系统边界。</w:t>
      </w:r>
    </w:p>
    <w:p>
      <w:pPr>
        <w:pStyle w:val="null3"/>
        <w:ind w:firstLine="480"/>
        <w:jc w:val="both"/>
      </w:pPr>
      <w:r>
        <w:rPr>
          <w:sz w:val="24"/>
        </w:rPr>
        <w:t>2</w:t>
      </w:r>
      <w:r>
        <w:rPr>
          <w:sz w:val="24"/>
        </w:rPr>
        <w:t>）识别功能点计数项：根据需求或项目文档，确定功能点计数项。</w:t>
      </w:r>
    </w:p>
    <w:p>
      <w:pPr>
        <w:pStyle w:val="null3"/>
        <w:ind w:firstLine="480"/>
        <w:jc w:val="both"/>
      </w:pPr>
      <w:r>
        <w:rPr>
          <w:sz w:val="24"/>
        </w:rPr>
        <w:t>3</w:t>
      </w:r>
      <w:r>
        <w:rPr>
          <w:sz w:val="24"/>
        </w:rPr>
        <w:t>） 确定计数类型：根据需求或项目的类型确定计数类型。计数类型分为三种：新开发、延续开发及已有系统计数。</w:t>
      </w:r>
    </w:p>
    <w:p>
      <w:pPr>
        <w:pStyle w:val="null3"/>
        <w:ind w:left="210" w:firstLine="480"/>
        <w:jc w:val="both"/>
      </w:pPr>
      <w:r>
        <w:rPr>
          <w:sz w:val="24"/>
        </w:rPr>
        <w:t>A</w:t>
      </w:r>
      <w:r>
        <w:rPr>
          <w:sz w:val="24"/>
        </w:rPr>
        <w:t>．对于新开发需求或项目，对预计（或实际）投产的功能进行计数。</w:t>
      </w:r>
    </w:p>
    <w:p>
      <w:pPr>
        <w:pStyle w:val="null3"/>
        <w:ind w:left="210" w:firstLine="480"/>
        <w:jc w:val="both"/>
      </w:pPr>
      <w:r>
        <w:rPr>
          <w:sz w:val="24"/>
        </w:rPr>
        <w:t>B</w:t>
      </w:r>
      <w:r>
        <w:rPr>
          <w:sz w:val="24"/>
        </w:rPr>
        <w:t>．对于延续开发需求或项目，对预计（或实际）新增、修改及删除的功能均进行计数。</w:t>
      </w:r>
    </w:p>
    <w:p>
      <w:pPr>
        <w:pStyle w:val="null3"/>
        <w:ind w:left="210" w:firstLine="480"/>
        <w:jc w:val="both"/>
      </w:pPr>
      <w:r>
        <w:rPr>
          <w:sz w:val="24"/>
        </w:rPr>
        <w:t>C</w:t>
      </w:r>
      <w:r>
        <w:rPr>
          <w:sz w:val="24"/>
        </w:rPr>
        <w:t>．对于已有系统，对实际的功能进行计数。</w:t>
      </w:r>
    </w:p>
    <w:p>
      <w:pPr>
        <w:pStyle w:val="null3"/>
        <w:ind w:firstLine="480"/>
        <w:jc w:val="both"/>
      </w:pPr>
      <w:r>
        <w:rPr>
          <w:sz w:val="24"/>
        </w:rPr>
        <w:t>（</w:t>
      </w:r>
      <w:r>
        <w:rPr>
          <w:sz w:val="24"/>
        </w:rPr>
        <w:t>2</w:t>
      </w:r>
      <w:r>
        <w:rPr>
          <w:sz w:val="24"/>
        </w:rPr>
        <w:t>）软件内容测试</w:t>
      </w:r>
    </w:p>
    <w:p>
      <w:pPr>
        <w:pStyle w:val="null3"/>
        <w:ind w:firstLine="480"/>
        <w:jc w:val="both"/>
      </w:pPr>
      <w:r>
        <w:rPr>
          <w:sz w:val="24"/>
        </w:rPr>
        <w:t>软件内容测试测评依据为</w:t>
      </w:r>
      <w:r>
        <w:rPr>
          <w:sz w:val="24"/>
        </w:rPr>
        <w:t>GB/T 25000.51-2016</w:t>
      </w:r>
      <w:r>
        <w:rPr>
          <w:sz w:val="24"/>
        </w:rPr>
        <w:t>系统与软件工程 系统与软件质量要求和评价（</w:t>
      </w:r>
      <w:r>
        <w:rPr>
          <w:sz w:val="24"/>
        </w:rPr>
        <w:t>SQuaRE</w:t>
      </w:r>
      <w:r>
        <w:rPr>
          <w:sz w:val="24"/>
        </w:rPr>
        <w:t>）第</w:t>
      </w:r>
      <w:r>
        <w:rPr>
          <w:sz w:val="24"/>
        </w:rPr>
        <w:t>51</w:t>
      </w:r>
      <w:r>
        <w:rPr>
          <w:sz w:val="24"/>
        </w:rPr>
        <w:t>部分：就绪可用软件产品（</w:t>
      </w:r>
      <w:r>
        <w:rPr>
          <w:sz w:val="24"/>
        </w:rPr>
        <w:t>RUSP</w:t>
      </w:r>
      <w:r>
        <w:rPr>
          <w:sz w:val="24"/>
        </w:rPr>
        <w:t>）的质量要求和评测细则，软件测试内容包括软件功能性、可靠性、易用性、效率、维护性、移植性等质量特性。具体测评内容如下：</w:t>
      </w:r>
    </w:p>
    <w:p>
      <w:pPr>
        <w:pStyle w:val="null3"/>
        <w:ind w:firstLine="480"/>
        <w:jc w:val="both"/>
      </w:pPr>
      <w:r>
        <w:rPr>
          <w:sz w:val="24"/>
        </w:rPr>
        <w:t>1</w:t>
      </w:r>
      <w:r>
        <w:rPr>
          <w:sz w:val="24"/>
        </w:rPr>
        <w:t>）功能性测试</w:t>
      </w:r>
    </w:p>
    <w:p>
      <w:pPr>
        <w:pStyle w:val="null3"/>
        <w:ind w:firstLine="480"/>
        <w:jc w:val="both"/>
      </w:pPr>
      <w:r>
        <w:rPr>
          <w:sz w:val="24"/>
        </w:rPr>
        <w:t>软件产品满足明确和隐含要求功能的能力。具体内容包括：完备性、正确性、恰当性、互操作性、安全保密性等。</w:t>
      </w:r>
    </w:p>
    <w:p>
      <w:pPr>
        <w:pStyle w:val="null3"/>
        <w:ind w:firstLine="480"/>
        <w:jc w:val="both"/>
      </w:pPr>
      <w:r>
        <w:rPr>
          <w:sz w:val="24"/>
        </w:rPr>
        <w:t>2</w:t>
      </w:r>
      <w:r>
        <w:rPr>
          <w:sz w:val="24"/>
        </w:rPr>
        <w:t>）可靠性测试</w:t>
      </w:r>
    </w:p>
    <w:p>
      <w:pPr>
        <w:pStyle w:val="null3"/>
        <w:ind w:firstLine="480"/>
        <w:jc w:val="both"/>
      </w:pPr>
      <w:r>
        <w:rPr>
          <w:sz w:val="24"/>
        </w:rPr>
        <w:t>软件产品维持规定的可靠性级别的能力。按照软件运行剖面对软件进行随机测试的测试方法。具体内容包括：成熟性、容错性、易恢复性等。</w:t>
      </w:r>
    </w:p>
    <w:p>
      <w:pPr>
        <w:pStyle w:val="null3"/>
        <w:ind w:firstLine="480"/>
        <w:jc w:val="both"/>
      </w:pPr>
      <w:r>
        <w:rPr>
          <w:sz w:val="24"/>
        </w:rPr>
        <w:t>3</w:t>
      </w:r>
      <w:r>
        <w:rPr>
          <w:sz w:val="24"/>
        </w:rPr>
        <w:t>）易用性测试</w:t>
      </w:r>
    </w:p>
    <w:p>
      <w:pPr>
        <w:pStyle w:val="null3"/>
        <w:ind w:firstLine="480"/>
        <w:jc w:val="both"/>
      </w:pPr>
      <w:r>
        <w:rPr>
          <w:sz w:val="24"/>
        </w:rPr>
        <w:t>软件产品被理解、学习、使用和吸引用户的能力。关注软件使用时是否感觉方便，能否通过简单的操作达到用户的目的，界面是否美观，排版是否合理等。具体内容包括：易理解性、易学性、易操作性、吸引性等。</w:t>
      </w:r>
    </w:p>
    <w:p>
      <w:pPr>
        <w:pStyle w:val="null3"/>
        <w:ind w:firstLine="480"/>
        <w:jc w:val="both"/>
      </w:pPr>
      <w:r>
        <w:rPr>
          <w:sz w:val="24"/>
        </w:rPr>
        <w:t>4</w:t>
      </w:r>
      <w:r>
        <w:rPr>
          <w:sz w:val="24"/>
        </w:rPr>
        <w:t>）维护性测试</w:t>
      </w:r>
    </w:p>
    <w:p>
      <w:pPr>
        <w:pStyle w:val="null3"/>
        <w:ind w:firstLine="480"/>
        <w:jc w:val="both"/>
      </w:pPr>
      <w:r>
        <w:rPr>
          <w:sz w:val="24"/>
        </w:rPr>
        <w:t>软件产品可被修改的能力。修改可能包括修正、改进或软件适应环境、需求和功能规格说明中的变化。具体内容包括：易分析性、易改变性、稳定性、易测试性、维护性依从性。</w:t>
      </w:r>
    </w:p>
    <w:p>
      <w:pPr>
        <w:pStyle w:val="null3"/>
        <w:ind w:firstLine="480"/>
        <w:jc w:val="both"/>
      </w:pPr>
      <w:r>
        <w:rPr>
          <w:sz w:val="24"/>
        </w:rPr>
        <w:t>5</w:t>
      </w:r>
      <w:r>
        <w:rPr>
          <w:sz w:val="24"/>
        </w:rPr>
        <w:t>）移植性测试</w:t>
      </w:r>
    </w:p>
    <w:p>
      <w:pPr>
        <w:pStyle w:val="null3"/>
        <w:ind w:firstLine="480"/>
        <w:jc w:val="both"/>
      </w:pPr>
      <w:r>
        <w:rPr>
          <w:sz w:val="24"/>
        </w:rPr>
        <w:t>软件产品从一种环境迁移到另外一种环境的能力。具体内容包括：适应性、易安装性、共存性、易替换性、可移植性依从性等。</w:t>
      </w:r>
    </w:p>
    <w:p>
      <w:pPr>
        <w:pStyle w:val="null3"/>
        <w:ind w:firstLine="480"/>
        <w:jc w:val="both"/>
      </w:pPr>
      <w:r>
        <w:rPr>
          <w:sz w:val="24"/>
        </w:rPr>
        <w:t>6</w:t>
      </w:r>
      <w:r>
        <w:rPr>
          <w:sz w:val="24"/>
        </w:rPr>
        <w:t>）产品说明要求测试</w:t>
      </w:r>
    </w:p>
    <w:p>
      <w:pPr>
        <w:pStyle w:val="null3"/>
        <w:ind w:firstLine="480"/>
        <w:jc w:val="both"/>
      </w:pPr>
      <w:r>
        <w:rPr>
          <w:sz w:val="24"/>
        </w:rPr>
        <w:t>软件产品说明中所涉及的系统说明如：性能、接口、所需的软件和硬件环境、产品所提供的支持服务等是否与软件实际、设计文档、用户需求等相符。</w:t>
      </w:r>
    </w:p>
    <w:p>
      <w:pPr>
        <w:pStyle w:val="null3"/>
        <w:ind w:firstLine="480"/>
        <w:jc w:val="both"/>
      </w:pPr>
      <w:r>
        <w:rPr>
          <w:sz w:val="24"/>
        </w:rPr>
        <w:t>7</w:t>
      </w:r>
      <w:r>
        <w:rPr>
          <w:sz w:val="24"/>
        </w:rPr>
        <w:t>）用户文档测试</w:t>
      </w:r>
    </w:p>
    <w:p>
      <w:pPr>
        <w:pStyle w:val="null3"/>
        <w:ind w:firstLine="480"/>
        <w:jc w:val="both"/>
      </w:pPr>
      <w:r>
        <w:rPr>
          <w:sz w:val="24"/>
        </w:rPr>
        <w:t>用户文档是否包含使用该软件所必须要的信息、所陈述的功能以及最终用户能调用的功能、可靠性特征及其操作、可能导致数据丢失的系统终止或结束条件、是否给出必要数据的备份和恢复指南、对所有关键功能是否提供完备的细则信息和参考信息等，便于用户使用、操作、维护等。用户文档及相关材料是否有软件实际相符。</w:t>
      </w:r>
    </w:p>
    <w:p>
      <w:pPr>
        <w:pStyle w:val="null3"/>
        <w:ind w:left="480" w:firstLine="480"/>
        <w:jc w:val="both"/>
      </w:pPr>
      <w:r>
        <w:rPr>
          <w:sz w:val="24"/>
        </w:rPr>
        <w:t>九、</w:t>
      </w:r>
      <w:r>
        <w:rPr>
          <w:b/>
          <w:sz w:val="24"/>
        </w:rPr>
        <w:t>人员要求</w:t>
      </w:r>
    </w:p>
    <w:p>
      <w:pPr>
        <w:pStyle w:val="null3"/>
        <w:ind w:left="420" w:firstLine="480"/>
        <w:jc w:val="both"/>
      </w:pPr>
      <w:r>
        <w:rPr>
          <w:sz w:val="24"/>
        </w:rPr>
        <w:t>1</w:t>
      </w:r>
      <w:r>
        <w:rPr>
          <w:sz w:val="24"/>
        </w:rPr>
        <w:t>、项目经理需具备：拟投入的项目经理</w:t>
      </w:r>
      <w:r>
        <w:rPr>
          <w:sz w:val="24"/>
        </w:rPr>
        <w:t>1</w:t>
      </w:r>
      <w:r>
        <w:rPr>
          <w:sz w:val="24"/>
        </w:rPr>
        <w:t>人，具有硕士或以上学位；具有计算机技术与软件专业技术资格（水平）考试相关专业资格证书</w:t>
      </w:r>
      <w:r>
        <w:rPr>
          <w:sz w:val="24"/>
        </w:rPr>
        <w:t>(</w:t>
      </w:r>
      <w:r>
        <w:rPr>
          <w:sz w:val="24"/>
        </w:rPr>
        <w:t>如信息系统项目管理师证书、系统规划与管理师、系统分析师等</w:t>
      </w:r>
      <w:r>
        <w:rPr>
          <w:sz w:val="24"/>
        </w:rPr>
        <w:t>)</w:t>
      </w:r>
      <w:r>
        <w:rPr>
          <w:sz w:val="24"/>
        </w:rPr>
        <w:t>；具备</w:t>
      </w:r>
      <w:r>
        <w:rPr>
          <w:sz w:val="24"/>
        </w:rPr>
        <w:t>3</w:t>
      </w:r>
      <w:r>
        <w:rPr>
          <w:sz w:val="24"/>
        </w:rPr>
        <w:t>年（含）以上项目管理经验，沟通协调能力强。</w:t>
      </w:r>
    </w:p>
    <w:p>
      <w:pPr>
        <w:pStyle w:val="null3"/>
        <w:ind w:left="420" w:firstLine="480"/>
        <w:jc w:val="both"/>
      </w:pPr>
    </w:p>
    <w:p>
      <w:pPr>
        <w:pStyle w:val="null3"/>
        <w:ind w:left="420" w:firstLine="480"/>
        <w:jc w:val="both"/>
      </w:pPr>
      <w:r>
        <w:rPr>
          <w:sz w:val="24"/>
        </w:rPr>
        <w:t>2</w:t>
      </w:r>
      <w:r>
        <w:rPr>
          <w:sz w:val="24"/>
        </w:rPr>
        <w:t>、技术负责人员需具备：拟投入的技术负责人</w:t>
      </w:r>
      <w:r>
        <w:rPr>
          <w:sz w:val="24"/>
        </w:rPr>
        <w:t>1</w:t>
      </w:r>
      <w:r>
        <w:rPr>
          <w:sz w:val="24"/>
        </w:rPr>
        <w:t>人，具有计算机软件相关专业的硕士或以上学位；具有计算机技术与软件专业技术资格（水平）考试相关专业资格证书</w:t>
      </w:r>
      <w:r>
        <w:rPr>
          <w:sz w:val="24"/>
        </w:rPr>
        <w:t>(</w:t>
      </w:r>
      <w:r>
        <w:rPr>
          <w:sz w:val="24"/>
        </w:rPr>
        <w:t>如信息系统项目管理师、系统分析师等</w:t>
      </w:r>
      <w:r>
        <w:rPr>
          <w:sz w:val="24"/>
        </w:rPr>
        <w:t>)</w:t>
      </w:r>
      <w:r>
        <w:rPr>
          <w:sz w:val="24"/>
        </w:rPr>
        <w:t>；经验丰富，沟通协调能力强。</w:t>
      </w:r>
    </w:p>
    <w:p>
      <w:pPr>
        <w:pStyle w:val="null3"/>
        <w:ind w:firstLine="480"/>
        <w:jc w:val="both"/>
      </w:pPr>
    </w:p>
    <w:p>
      <w:pPr>
        <w:pStyle w:val="null3"/>
        <w:ind w:left="420" w:firstLine="480"/>
        <w:jc w:val="both"/>
      </w:pPr>
      <w:r>
        <w:rPr>
          <w:sz w:val="24"/>
        </w:rPr>
        <w:t>3</w:t>
      </w:r>
      <w:r>
        <w:rPr>
          <w:sz w:val="24"/>
        </w:rPr>
        <w:t>、其他人员需具备：技术团队人员不少于</w:t>
      </w:r>
      <w:r>
        <w:rPr>
          <w:sz w:val="24"/>
        </w:rPr>
        <w:t>10</w:t>
      </w:r>
      <w:r>
        <w:rPr>
          <w:sz w:val="24"/>
        </w:rPr>
        <w:t>人，其中不少于</w:t>
      </w:r>
      <w:r>
        <w:rPr>
          <w:sz w:val="24"/>
        </w:rPr>
        <w:t>6</w:t>
      </w:r>
      <w:r>
        <w:rPr>
          <w:sz w:val="24"/>
        </w:rPr>
        <w:t>人具有计算机技术与软件专业技术资格（水平）考试的中级或以上证书，团队人员要求具有较强的执行能力。</w:t>
      </w:r>
    </w:p>
    <w:p>
      <w:pPr>
        <w:pStyle w:val="null3"/>
        <w:ind w:left="375" w:firstLine="480"/>
        <w:jc w:val="both"/>
      </w:pPr>
    </w:p>
    <w:p>
      <w:pPr>
        <w:pStyle w:val="null3"/>
        <w:ind w:left="420" w:firstLine="480"/>
        <w:jc w:val="both"/>
      </w:pPr>
      <w:r>
        <w:rPr>
          <w:sz w:val="24"/>
        </w:rPr>
        <w:t>4</w:t>
      </w:r>
      <w:r>
        <w:rPr>
          <w:sz w:val="24"/>
        </w:rPr>
        <w:t>、项目实施期间驻场要求：项目需要安排项目经理</w:t>
      </w:r>
      <w:r>
        <w:rPr>
          <w:sz w:val="24"/>
        </w:rPr>
        <w:t>1</w:t>
      </w:r>
      <w:r>
        <w:rPr>
          <w:sz w:val="24"/>
        </w:rPr>
        <w:t>人，并安排驻场实施人员</w:t>
      </w:r>
      <w:r>
        <w:rPr>
          <w:sz w:val="24"/>
        </w:rPr>
        <w:t>3</w:t>
      </w:r>
      <w:r>
        <w:rPr>
          <w:sz w:val="24"/>
        </w:rPr>
        <w:t>人或以上（不含项目经理）。</w:t>
      </w:r>
    </w:p>
    <w:p>
      <w:pPr>
        <w:pStyle w:val="null3"/>
        <w:ind w:firstLine="480"/>
        <w:jc w:val="both"/>
      </w:pPr>
      <w:r>
        <w:rPr>
          <w:b/>
        </w:rPr>
        <w:t xml:space="preserve">   </w:t>
      </w:r>
    </w:p>
    <w:p>
      <w:pPr>
        <w:pStyle w:val="null3"/>
        <w:ind w:firstLine="482"/>
        <w:jc w:val="both"/>
      </w:pPr>
      <w:r>
        <w:rPr>
          <w:b/>
          <w:sz w:val="24"/>
        </w:rPr>
        <w:t>十、知识产权要求</w:t>
      </w:r>
    </w:p>
    <w:p>
      <w:pPr>
        <w:pStyle w:val="null3"/>
        <w:ind w:firstLine="480"/>
        <w:jc w:val="both"/>
      </w:pPr>
      <w:r>
        <w:rPr>
          <w:sz w:val="24"/>
        </w:rPr>
        <w:t>（</w:t>
      </w:r>
      <w:r>
        <w:rPr>
          <w:sz w:val="24"/>
        </w:rPr>
        <w:t>P</w:t>
      </w:r>
      <w:r>
        <w:rPr>
          <w:sz w:val="24"/>
        </w:rPr>
        <w:t>）中标人需对所有成果、产品的知识产权负有瑕疵担保责任，因使用未被授权使用的技术、组件、系统软件、通用软件等知识产权问题引起的纠纷所产生的所有责任及费用由供应商自行承担；</w:t>
      </w:r>
    </w:p>
    <w:p>
      <w:pPr>
        <w:pStyle w:val="null3"/>
        <w:ind w:firstLine="480"/>
        <w:jc w:val="both"/>
      </w:pPr>
      <w:r>
        <w:rPr>
          <w:b/>
        </w:rPr>
        <w:t xml:space="preserve">   </w:t>
      </w:r>
      <w:r>
        <w:rPr>
          <w:b/>
          <w:sz w:val="24"/>
        </w:rPr>
        <w:t>十一、系统测试要求</w:t>
      </w:r>
    </w:p>
    <w:p>
      <w:pPr>
        <w:pStyle w:val="null3"/>
        <w:ind w:firstLine="480"/>
        <w:jc w:val="both"/>
      </w:pPr>
      <w:r>
        <w:rPr>
          <w:sz w:val="24"/>
        </w:rPr>
        <w:t>中标人要对系统实际运行情况进行下列测试，其中系统测试、验收测试由采购人、监理公司和中标人三方共同成立项目测试组。</w:t>
      </w:r>
    </w:p>
    <w:p>
      <w:pPr>
        <w:pStyle w:val="null3"/>
        <w:ind w:left="420" w:firstLine="480"/>
        <w:jc w:val="both"/>
      </w:pPr>
      <w:r>
        <w:rPr>
          <w:sz w:val="24"/>
        </w:rPr>
        <w:t>（</w:t>
      </w:r>
      <w:r>
        <w:rPr>
          <w:sz w:val="24"/>
        </w:rPr>
        <w:t>P</w:t>
      </w:r>
      <w:r>
        <w:rPr>
          <w:sz w:val="24"/>
        </w:rPr>
        <w:t>）单元测试；</w:t>
      </w:r>
    </w:p>
    <w:p>
      <w:pPr>
        <w:pStyle w:val="null3"/>
        <w:ind w:left="420" w:firstLine="480"/>
        <w:jc w:val="both"/>
      </w:pPr>
      <w:r>
        <w:rPr>
          <w:sz w:val="24"/>
        </w:rPr>
        <w:t>（</w:t>
      </w:r>
      <w:r>
        <w:rPr>
          <w:sz w:val="24"/>
        </w:rPr>
        <w:t>P</w:t>
      </w:r>
      <w:r>
        <w:rPr>
          <w:sz w:val="24"/>
        </w:rPr>
        <w:t>）集成测试；</w:t>
      </w:r>
    </w:p>
    <w:p>
      <w:pPr>
        <w:pStyle w:val="null3"/>
        <w:ind w:left="420" w:firstLine="480"/>
        <w:jc w:val="both"/>
      </w:pPr>
      <w:r>
        <w:rPr>
          <w:sz w:val="24"/>
        </w:rPr>
        <w:t>（</w:t>
      </w:r>
      <w:r>
        <w:rPr>
          <w:sz w:val="24"/>
        </w:rPr>
        <w:t>P</w:t>
      </w:r>
      <w:r>
        <w:rPr>
          <w:sz w:val="24"/>
        </w:rPr>
        <w:t>）配置项测试；</w:t>
      </w:r>
    </w:p>
    <w:p>
      <w:pPr>
        <w:pStyle w:val="null3"/>
        <w:ind w:left="420" w:firstLine="480"/>
        <w:jc w:val="both"/>
      </w:pPr>
      <w:r>
        <w:rPr>
          <w:sz w:val="24"/>
        </w:rPr>
        <w:t>（</w:t>
      </w:r>
      <w:r>
        <w:rPr>
          <w:sz w:val="24"/>
        </w:rPr>
        <w:t>P</w:t>
      </w:r>
      <w:r>
        <w:rPr>
          <w:sz w:val="24"/>
        </w:rPr>
        <w:t>）系统测试；</w:t>
      </w:r>
    </w:p>
    <w:p>
      <w:pPr>
        <w:pStyle w:val="null3"/>
        <w:ind w:left="420" w:firstLine="480"/>
        <w:jc w:val="both"/>
      </w:pPr>
      <w:r>
        <w:rPr>
          <w:sz w:val="24"/>
        </w:rPr>
        <w:t>（</w:t>
      </w:r>
      <w:r>
        <w:rPr>
          <w:sz w:val="24"/>
        </w:rPr>
        <w:t>P</w:t>
      </w:r>
      <w:r>
        <w:rPr>
          <w:sz w:val="24"/>
        </w:rPr>
        <w:t>）验收测试；</w:t>
      </w:r>
    </w:p>
    <w:p>
      <w:pPr>
        <w:pStyle w:val="null3"/>
        <w:ind w:left="420" w:firstLine="480"/>
        <w:jc w:val="both"/>
      </w:pPr>
      <w:r>
        <w:rPr>
          <w:sz w:val="24"/>
        </w:rPr>
        <w:t>（</w:t>
      </w:r>
      <w:r>
        <w:rPr>
          <w:sz w:val="24"/>
        </w:rPr>
        <w:t>P</w:t>
      </w:r>
      <w:r>
        <w:rPr>
          <w:sz w:val="24"/>
        </w:rPr>
        <w:t>）回归测试。</w:t>
      </w:r>
    </w:p>
    <w:p>
      <w:pPr>
        <w:pStyle w:val="null3"/>
        <w:ind w:firstLine="480"/>
        <w:jc w:val="both"/>
      </w:pPr>
      <w:r>
        <w:rPr>
          <w:b/>
        </w:rPr>
        <w:t xml:space="preserve">   </w:t>
      </w:r>
      <w:r>
        <w:rPr>
          <w:b/>
          <w:sz w:val="24"/>
        </w:rPr>
        <w:t>十二、交付使用要求</w:t>
      </w:r>
    </w:p>
    <w:p>
      <w:pPr>
        <w:pStyle w:val="null3"/>
        <w:ind w:firstLine="425"/>
        <w:jc w:val="both"/>
      </w:pPr>
      <w:r>
        <w:rPr>
          <w:sz w:val="24"/>
        </w:rPr>
        <w:t>（一）交付使用期：合同签订后</w:t>
      </w:r>
      <w:r>
        <w:rPr>
          <w:sz w:val="24"/>
          <w:u w:val="single"/>
        </w:rPr>
        <w:t xml:space="preserve"> </w:t>
      </w:r>
      <w:r>
        <w:rPr>
          <w:sz w:val="24"/>
          <w:u w:val="single"/>
        </w:rPr>
        <w:t>210</w:t>
      </w:r>
      <w:r>
        <w:rPr>
          <w:sz w:val="24"/>
        </w:rPr>
        <w:t>日历日内完成开发、调试，上线试运行三个月</w:t>
      </w:r>
      <w:r>
        <w:rPr>
          <w:sz w:val="24"/>
        </w:rPr>
        <w:t>，并通过验收测评</w:t>
      </w:r>
      <w:r>
        <w:rPr>
          <w:sz w:val="24"/>
        </w:rPr>
        <w:t>后进行合同验收；</w:t>
      </w:r>
    </w:p>
    <w:p>
      <w:pPr>
        <w:pStyle w:val="null3"/>
        <w:ind w:firstLine="425"/>
        <w:jc w:val="both"/>
      </w:pPr>
      <w:r>
        <w:rPr>
          <w:sz w:val="24"/>
        </w:rPr>
        <w:t>（二）交货地点：按照采购人指定的地点。</w:t>
      </w:r>
    </w:p>
    <w:p>
      <w:pPr>
        <w:pStyle w:val="null3"/>
        <w:ind w:firstLine="480"/>
        <w:jc w:val="both"/>
      </w:pPr>
      <w:r>
        <w:rPr>
          <w:b/>
        </w:rPr>
        <w:t xml:space="preserve">   </w:t>
      </w:r>
      <w:r>
        <w:rPr>
          <w:b/>
          <w:sz w:val="24"/>
        </w:rPr>
        <w:t>十三、验收要求</w:t>
      </w:r>
    </w:p>
    <w:p>
      <w:pPr>
        <w:pStyle w:val="null3"/>
        <w:ind w:firstLine="480"/>
        <w:jc w:val="both"/>
      </w:pPr>
      <w:r>
        <w:rPr>
          <w:sz w:val="24"/>
        </w:rPr>
        <w:t>软件系统的验收属于项目的合同验收，需符合广州市信息化项目相关验收管理办法的要求，同时需符合下列要求：</w:t>
      </w:r>
    </w:p>
    <w:p>
      <w:pPr>
        <w:pStyle w:val="null3"/>
        <w:ind w:firstLine="480"/>
        <w:jc w:val="both"/>
      </w:pPr>
      <w:r>
        <w:rPr>
          <w:sz w:val="24"/>
        </w:rPr>
        <w:t>1</w:t>
      </w:r>
      <w:r>
        <w:rPr>
          <w:sz w:val="24"/>
        </w:rPr>
        <w:t>、满足合同和招标文件中列举的全部要求。</w:t>
      </w:r>
    </w:p>
    <w:p>
      <w:pPr>
        <w:pStyle w:val="null3"/>
        <w:ind w:firstLine="480"/>
        <w:jc w:val="both"/>
      </w:pPr>
      <w:r>
        <w:rPr>
          <w:sz w:val="24"/>
        </w:rPr>
        <w:t>2</w:t>
      </w:r>
      <w:r>
        <w:rPr>
          <w:sz w:val="24"/>
        </w:rPr>
        <w:t>、实现合同和招标文件中列举的全部功能和非功能要求。</w:t>
      </w:r>
    </w:p>
    <w:p>
      <w:pPr>
        <w:pStyle w:val="null3"/>
        <w:ind w:firstLine="480"/>
        <w:jc w:val="both"/>
      </w:pPr>
      <w:r>
        <w:rPr>
          <w:sz w:val="24"/>
        </w:rPr>
        <w:t>3</w:t>
      </w:r>
      <w:r>
        <w:rPr>
          <w:sz w:val="24"/>
        </w:rPr>
        <w:t>、达到合同和招标文件中列举的全部指标。</w:t>
      </w:r>
    </w:p>
    <w:p>
      <w:pPr>
        <w:pStyle w:val="null3"/>
        <w:ind w:firstLine="480"/>
        <w:jc w:val="both"/>
      </w:pPr>
      <w:r>
        <w:rPr>
          <w:sz w:val="24"/>
        </w:rPr>
        <w:t>4</w:t>
      </w:r>
      <w:r>
        <w:rPr>
          <w:sz w:val="24"/>
        </w:rPr>
        <w:t>、文档齐全，符合合同和招标文件及相关标准要求，包括但不限于下列文档</w:t>
      </w:r>
      <w:r>
        <w:rPr>
          <w:sz w:val="24"/>
        </w:rPr>
        <w:t>;</w:t>
      </w:r>
      <w:r>
        <w:rPr>
          <w:sz w:val="24"/>
        </w:rPr>
        <w:t>需求说明书、概要设计说明书、详细设计说明书、数据库设计说明书、测试计划、测试报告、用户手册、项目计划书、用户培训计划、会议记录和开发进度月报等。</w:t>
      </w:r>
    </w:p>
    <w:p>
      <w:pPr>
        <w:pStyle w:val="null3"/>
        <w:ind w:firstLine="480"/>
        <w:jc w:val="both"/>
      </w:pPr>
      <w:r>
        <w:rPr>
          <w:sz w:val="24"/>
        </w:rPr>
        <w:t>5</w:t>
      </w:r>
      <w:r>
        <w:rPr>
          <w:sz w:val="24"/>
        </w:rPr>
        <w:t>、验收项目包括按照合同和招标文件中所标明的软件系统，及相关的技术维护文档、培训教材、使用说明书等。</w:t>
      </w:r>
    </w:p>
    <w:p>
      <w:pPr>
        <w:pStyle w:val="null3"/>
        <w:ind w:firstLine="480"/>
        <w:jc w:val="both"/>
      </w:pPr>
      <w:r>
        <w:rPr>
          <w:b/>
        </w:rPr>
        <w:t xml:space="preserve">  </w:t>
      </w:r>
      <w:r>
        <w:rPr>
          <w:b/>
          <w:sz w:val="24"/>
        </w:rPr>
        <w:t>十四、培训</w:t>
      </w:r>
    </w:p>
    <w:p>
      <w:pPr>
        <w:pStyle w:val="null3"/>
        <w:ind w:firstLine="480"/>
        <w:jc w:val="both"/>
      </w:pPr>
      <w:r>
        <w:rPr>
          <w:sz w:val="24"/>
        </w:rPr>
        <w:t>为了保证培训与实际应用的结合，要求中标人负责派出专业技术工程师在系统实施现场对采购人进行</w:t>
      </w:r>
      <w:r>
        <w:rPr>
          <w:sz w:val="24"/>
          <w:u w:val="single"/>
        </w:rPr>
        <w:t>3</w:t>
      </w:r>
      <w:r>
        <w:rPr>
          <w:sz w:val="24"/>
        </w:rPr>
        <w:t>次免费现场培训，培训内容包括：</w:t>
      </w:r>
    </w:p>
    <w:p>
      <w:pPr>
        <w:pStyle w:val="null3"/>
        <w:ind w:firstLine="480"/>
        <w:jc w:val="both"/>
      </w:pPr>
      <w:r>
        <w:rPr>
          <w:sz w:val="24"/>
        </w:rPr>
        <w:t>1</w:t>
      </w:r>
      <w:r>
        <w:rPr>
          <w:sz w:val="24"/>
        </w:rPr>
        <w:t>、培训业务人员，使他们熟练操作软件的各项功能</w:t>
      </w:r>
      <w:r>
        <w:rPr>
          <w:sz w:val="24"/>
        </w:rPr>
        <w:t>,</w:t>
      </w:r>
      <w:r>
        <w:rPr>
          <w:sz w:val="24"/>
        </w:rPr>
        <w:t>掌握数字证书业务的操作技能；</w:t>
      </w:r>
    </w:p>
    <w:p>
      <w:pPr>
        <w:pStyle w:val="null3"/>
        <w:ind w:firstLine="480"/>
        <w:jc w:val="both"/>
      </w:pPr>
      <w:r>
        <w:rPr>
          <w:sz w:val="24"/>
        </w:rPr>
        <w:t>2</w:t>
      </w:r>
      <w:r>
        <w:rPr>
          <w:sz w:val="24"/>
        </w:rPr>
        <w:t>、培训技术人员，为用户培训相应的维护人员，便于维护日常系统，包括系统网络、系统软件、系统维护及相关技术。</w:t>
      </w:r>
    </w:p>
    <w:p>
      <w:pPr>
        <w:pStyle w:val="null3"/>
        <w:ind w:firstLine="480"/>
        <w:jc w:val="both"/>
      </w:pPr>
      <w:r>
        <w:rPr>
          <w:sz w:val="24"/>
        </w:rPr>
        <w:t>3</w:t>
      </w:r>
      <w:r>
        <w:rPr>
          <w:sz w:val="24"/>
        </w:rPr>
        <w:t>、推广培训，进行与此系统相关的推广应用工作，包括但不限于前往相关单位进行沟通、提供与此系统相关的培训等，以确保此系统的推广普及。</w:t>
      </w:r>
    </w:p>
    <w:p>
      <w:pPr>
        <w:pStyle w:val="null3"/>
        <w:ind w:firstLine="480"/>
        <w:jc w:val="left"/>
      </w:pPr>
      <w:r>
        <w:rPr>
          <w:b/>
        </w:rPr>
        <w:t xml:space="preserve">   </w:t>
      </w:r>
      <w:r>
        <w:rPr>
          <w:b/>
          <w:sz w:val="24"/>
        </w:rPr>
        <w:t>十五、售后服务要求</w:t>
      </w:r>
    </w:p>
    <w:p>
      <w:pPr>
        <w:pStyle w:val="null3"/>
        <w:ind w:firstLine="480"/>
        <w:jc w:val="both"/>
      </w:pPr>
      <w:r>
        <w:rPr>
          <w:sz w:val="24"/>
        </w:rPr>
        <w:t>（一）合同验收后，软件系统提供</w:t>
      </w:r>
      <w:r>
        <w:rPr>
          <w:sz w:val="24"/>
        </w:rPr>
        <w:t>3</w:t>
      </w:r>
      <w:r>
        <w:rPr>
          <w:sz w:val="24"/>
        </w:rPr>
        <w:t>年免费升级及维护服务。</w:t>
      </w:r>
    </w:p>
    <w:p>
      <w:pPr>
        <w:pStyle w:val="null3"/>
        <w:ind w:firstLine="480"/>
        <w:jc w:val="both"/>
      </w:pPr>
      <w:r>
        <w:rPr>
          <w:sz w:val="24"/>
        </w:rPr>
        <w:t>（二）保修期内，所有软件系统维护均为免费。</w:t>
      </w:r>
    </w:p>
    <w:p>
      <w:pPr>
        <w:pStyle w:val="null3"/>
        <w:ind w:firstLine="480"/>
        <w:jc w:val="both"/>
      </w:pPr>
      <w:r>
        <w:rPr>
          <w:sz w:val="24"/>
        </w:rPr>
        <w:t>（三）中标人需设置售后服务机构，并配置服务人员。故障报修的响应时间：周一至周五</w:t>
      </w:r>
      <w:r>
        <w:rPr>
          <w:sz w:val="24"/>
        </w:rPr>
        <w:t>8</w:t>
      </w:r>
      <w:r>
        <w:rPr>
          <w:sz w:val="24"/>
        </w:rPr>
        <w:t>：</w:t>
      </w:r>
      <w:r>
        <w:rPr>
          <w:sz w:val="24"/>
        </w:rPr>
        <w:t>30</w:t>
      </w:r>
      <w:r>
        <w:rPr>
          <w:sz w:val="24"/>
        </w:rPr>
        <w:t>～</w:t>
      </w:r>
      <w:r>
        <w:rPr>
          <w:sz w:val="24"/>
        </w:rPr>
        <w:t>18:00</w:t>
      </w:r>
      <w:r>
        <w:rPr>
          <w:sz w:val="24"/>
        </w:rPr>
        <w:t>期间为</w:t>
      </w:r>
      <w:r>
        <w:rPr>
          <w:sz w:val="24"/>
        </w:rPr>
        <w:t>2</w:t>
      </w:r>
      <w:r>
        <w:rPr>
          <w:sz w:val="24"/>
        </w:rPr>
        <w:t>小时。若电话中无法解决，</w:t>
      </w:r>
      <w:r>
        <w:rPr>
          <w:sz w:val="24"/>
        </w:rPr>
        <w:t>4</w:t>
      </w:r>
      <w:r>
        <w:rPr>
          <w:sz w:val="24"/>
        </w:rPr>
        <w:t>小时内到达现场进行维护。其余期间为</w:t>
      </w:r>
      <w:r>
        <w:rPr>
          <w:sz w:val="24"/>
        </w:rPr>
        <w:t>15</w:t>
      </w:r>
      <w:r>
        <w:rPr>
          <w:sz w:val="24"/>
        </w:rPr>
        <w:t>小时。</w:t>
      </w:r>
    </w:p>
    <w:p>
      <w:pPr>
        <w:pStyle w:val="null3"/>
        <w:ind w:firstLine="480"/>
        <w:jc w:val="both"/>
      </w:pPr>
      <w:r>
        <w:rPr>
          <w:sz w:val="24"/>
        </w:rPr>
        <w:t>（四）保修期内，所有设备维修服务均为上门服务，由此产生的费用均不再收取。</w:t>
      </w:r>
    </w:p>
    <w:p>
      <w:pPr>
        <w:pStyle w:val="null3"/>
        <w:ind w:firstLine="480"/>
        <w:jc w:val="both"/>
      </w:pPr>
      <w:r>
        <w:rPr/>
        <w:t xml:space="preserve">   </w:t>
      </w:r>
      <w:r>
        <w:rPr>
          <w:sz w:val="24"/>
        </w:rPr>
        <w:t>（五）需提供系统扩充、升级方面的技术支持服务。</w:t>
      </w:r>
    </w:p>
    <w:p>
      <w:pPr>
        <w:pStyle w:val="null3"/>
        <w:ind w:firstLine="480"/>
        <w:jc w:val="both"/>
      </w:pPr>
    </w:p>
    <w:p>
      <w:pPr>
        <w:pStyle w:val="null3"/>
        <w:ind w:firstLine="482"/>
        <w:jc w:val="both"/>
      </w:pPr>
      <w:r>
        <w:rPr>
          <w:b/>
          <w:sz w:val="24"/>
        </w:rPr>
        <w:t>十六、信息安全及保密要求</w:t>
      </w:r>
    </w:p>
    <w:p>
      <w:pPr>
        <w:pStyle w:val="null3"/>
        <w:ind w:firstLine="480"/>
        <w:jc w:val="both"/>
      </w:pPr>
      <w:r>
        <w:rPr/>
        <w:t xml:space="preserve">   </w:t>
      </w:r>
      <w:r>
        <w:rPr>
          <w:sz w:val="24"/>
        </w:rPr>
        <w:t>（一）中标人应严格遵守信息安全方面的规定，自觉保守信息资源秘密。项目成果以及采购人为方便项目实施所提供给中标人的相关资料文档，实施过程中所产生的资料、文档、数据、相关附属品均属于信息资源，中标人应保证这些信息在项目期间及项目完成后规定时间内的安全。中标人应建立并实际运行项目进展期间的信息安全管理规范，以确保项目启动、实施及完成后的信息安全。</w:t>
      </w:r>
    </w:p>
    <w:p>
      <w:pPr>
        <w:pStyle w:val="null3"/>
        <w:ind w:firstLine="480"/>
        <w:jc w:val="both"/>
      </w:pPr>
      <w:r>
        <w:rPr/>
        <w:t xml:space="preserve">   </w:t>
      </w:r>
      <w:r>
        <w:rPr>
          <w:sz w:val="24"/>
        </w:rPr>
        <w:t>（二）非经采购人书面许可，中标人不得以任何形式泄漏以上材料。因中标人原因导致上述资料、文档、数据安全受到威胁的，采购人有权要求中标人采取措施消除影响，并赔偿相应损失。</w:t>
      </w:r>
    </w:p>
    <w:p>
      <w:pPr>
        <w:pStyle w:val="null3"/>
        <w:ind w:firstLine="480"/>
        <w:jc w:val="both"/>
      </w:pPr>
      <w:r>
        <w:rPr/>
        <w:t xml:space="preserve">   </w:t>
      </w:r>
      <w:r>
        <w:rPr>
          <w:sz w:val="24"/>
        </w:rPr>
        <w:t>（三）中标人要承担合同履行时所要尽的一切保密义务。中标人对项目实施过程中的资料、数据进行保密，未经采购人书面同意不得泄露，且保密责任不因合同的终止或解除而失效。</w:t>
      </w:r>
    </w:p>
    <w:p>
      <w:pPr>
        <w:pStyle w:val="null3"/>
        <w:ind w:firstLine="480"/>
        <w:jc w:val="both"/>
      </w:pPr>
    </w:p>
    <w:p>
      <w:pPr>
        <w:pStyle w:val="null3"/>
        <w:ind w:firstLine="482"/>
        <w:jc w:val="both"/>
      </w:pPr>
      <w:r>
        <w:rPr>
          <w:b/>
          <w:sz w:val="24"/>
        </w:rPr>
        <w:t>十七、付款方式</w:t>
      </w:r>
    </w:p>
    <w:p>
      <w:pPr>
        <w:pStyle w:val="null3"/>
        <w:ind w:firstLine="480"/>
        <w:jc w:val="both"/>
      </w:pPr>
      <w:r>
        <w:rPr>
          <w:sz w:val="24"/>
        </w:rPr>
        <w:t>（</w:t>
      </w:r>
      <w:r>
        <w:rPr>
          <w:sz w:val="24"/>
        </w:rPr>
        <w:t>1</w:t>
      </w:r>
      <w:r>
        <w:rPr>
          <w:sz w:val="24"/>
        </w:rPr>
        <w:t>）合同签订并且收到中标人开具的等额发票后</w:t>
      </w:r>
      <w:r>
        <w:rPr>
          <w:sz w:val="24"/>
        </w:rPr>
        <w:t>5</w:t>
      </w:r>
      <w:r>
        <w:rPr>
          <w:sz w:val="24"/>
        </w:rPr>
        <w:t>个工作日内，采购人向中标人支付合同总价的</w:t>
      </w:r>
      <w:r>
        <w:rPr>
          <w:sz w:val="24"/>
        </w:rPr>
        <w:t>30%</w:t>
      </w:r>
      <w:r>
        <w:rPr>
          <w:sz w:val="24"/>
        </w:rPr>
        <w:t>，即</w:t>
      </w:r>
      <w:r>
        <w:rPr>
          <w:sz w:val="24"/>
        </w:rPr>
        <w:t xml:space="preserve">¥      </w:t>
      </w:r>
      <w:r>
        <w:rPr>
          <w:sz w:val="24"/>
        </w:rPr>
        <w:t>（人民币     ）。</w:t>
      </w:r>
    </w:p>
    <w:p>
      <w:pPr>
        <w:pStyle w:val="null3"/>
        <w:ind w:firstLine="480"/>
        <w:jc w:val="both"/>
      </w:pPr>
      <w:r>
        <w:rPr>
          <w:sz w:val="24"/>
        </w:rPr>
        <w:t>（</w:t>
      </w:r>
      <w:r>
        <w:rPr>
          <w:sz w:val="24"/>
        </w:rPr>
        <w:t>2</w:t>
      </w:r>
      <w:r>
        <w:rPr>
          <w:sz w:val="24"/>
        </w:rPr>
        <w:t>）中标人提交《项目需求规格说明书》，经采购人确认后，收到中标人开具的等额发票后</w:t>
      </w:r>
      <w:r>
        <w:rPr>
          <w:sz w:val="24"/>
        </w:rPr>
        <w:t>5</w:t>
      </w:r>
      <w:r>
        <w:rPr>
          <w:sz w:val="24"/>
        </w:rPr>
        <w:t>个工作日内，采购人向中标人支付合同总价的</w:t>
      </w:r>
      <w:r>
        <w:rPr>
          <w:sz w:val="24"/>
        </w:rPr>
        <w:t>20%</w:t>
      </w:r>
      <w:r>
        <w:rPr>
          <w:sz w:val="24"/>
        </w:rPr>
        <w:t>，即</w:t>
      </w:r>
      <w:r>
        <w:rPr>
          <w:sz w:val="24"/>
        </w:rPr>
        <w:t xml:space="preserve">¥      </w:t>
      </w:r>
      <w:r>
        <w:rPr>
          <w:sz w:val="24"/>
        </w:rPr>
        <w:t>（人民币     ），实际金额应根据合同相应条款扣除违约金及相关赔偿、费用后按实际支付；</w:t>
      </w:r>
    </w:p>
    <w:p>
      <w:pPr>
        <w:pStyle w:val="null3"/>
        <w:ind w:firstLine="480"/>
        <w:jc w:val="both"/>
      </w:pPr>
      <w:r>
        <w:rPr>
          <w:sz w:val="24"/>
        </w:rPr>
        <w:t>（</w:t>
      </w:r>
      <w:r>
        <w:rPr>
          <w:sz w:val="24"/>
        </w:rPr>
        <w:t>3</w:t>
      </w:r>
      <w:r>
        <w:rPr>
          <w:sz w:val="24"/>
        </w:rPr>
        <w:t>）中标人提交上线试运行申请，经采购人确认后，收到中标人开具的等额发票后</w:t>
      </w:r>
      <w:r>
        <w:rPr>
          <w:sz w:val="24"/>
        </w:rPr>
        <w:t>5</w:t>
      </w:r>
      <w:r>
        <w:rPr>
          <w:sz w:val="24"/>
        </w:rPr>
        <w:t>个工作日内，采购人向中标人支付合同总价的</w:t>
      </w:r>
      <w:r>
        <w:rPr>
          <w:sz w:val="24"/>
        </w:rPr>
        <w:t>40%</w:t>
      </w:r>
      <w:r>
        <w:rPr>
          <w:sz w:val="24"/>
        </w:rPr>
        <w:t>，即</w:t>
      </w:r>
      <w:r>
        <w:rPr>
          <w:sz w:val="24"/>
        </w:rPr>
        <w:t xml:space="preserve">¥      </w:t>
      </w:r>
      <w:r>
        <w:rPr>
          <w:sz w:val="24"/>
        </w:rPr>
        <w:t>（人民币     ），实际金额应根据合同相应条款扣除违约金及相关赔偿、费用后按实际支付；</w:t>
      </w:r>
    </w:p>
    <w:p>
      <w:pPr>
        <w:pStyle w:val="null3"/>
        <w:ind w:firstLine="480"/>
        <w:jc w:val="both"/>
      </w:pPr>
      <w:r>
        <w:rPr>
          <w:sz w:val="24"/>
        </w:rPr>
        <w:t>（</w:t>
      </w:r>
      <w:r>
        <w:rPr>
          <w:sz w:val="24"/>
        </w:rPr>
        <w:t>4</w:t>
      </w:r>
      <w:r>
        <w:rPr>
          <w:sz w:val="24"/>
        </w:rPr>
        <w:t>）项目上线试运行三个月期满，通过采购人组织的合同验收后，收到中标人开具的等额发票后</w:t>
      </w:r>
      <w:r>
        <w:rPr>
          <w:sz w:val="24"/>
        </w:rPr>
        <w:t>5</w:t>
      </w:r>
      <w:r>
        <w:rPr>
          <w:sz w:val="24"/>
        </w:rPr>
        <w:t>个工作日内，采购人向中标人支付合同总价的</w:t>
      </w:r>
      <w:r>
        <w:rPr>
          <w:sz w:val="24"/>
        </w:rPr>
        <w:t>10%</w:t>
      </w:r>
      <w:r>
        <w:rPr>
          <w:sz w:val="24"/>
        </w:rPr>
        <w:t>，即</w:t>
      </w:r>
      <w:r>
        <w:rPr>
          <w:sz w:val="24"/>
        </w:rPr>
        <w:t xml:space="preserve">¥      </w:t>
      </w:r>
      <w:r>
        <w:rPr>
          <w:sz w:val="24"/>
        </w:rPr>
        <w:t>（人民币     ），实际金额应根据合同相应条款扣除违约金及相关赔偿、费用后按实际支付。</w:t>
      </w:r>
    </w:p>
    <w:p>
      <w:pPr>
        <w:pStyle w:val="null3"/>
        <w:ind w:firstLine="482"/>
        <w:jc w:val="both"/>
      </w:pPr>
      <w:r>
        <w:rPr>
          <w:b/>
          <w:sz w:val="24"/>
        </w:rPr>
        <w:t>说明：</w:t>
      </w:r>
    </w:p>
    <w:p>
      <w:pPr>
        <w:pStyle w:val="null3"/>
        <w:ind w:firstLine="420"/>
      </w:pPr>
      <w:r>
        <w:rPr>
          <w:sz w:val="24"/>
        </w:rPr>
        <w:t>项目所涉及经费为广州市政务信息化项目建设经费，付款时间需以收到财政经费为准。如因政府财政部门审查、财政支付管理流程及预算下达导致支付延期，或当年广州市财政投资安排经费不足以支付当期全额应付款时，甲方应先告知乙方情况及当期可支付金额，在乙方提供可支付金额的等额发票后支付等额费用予乙方，差额部分甲方应在收到财政经费后予以支付（无息），甲方不承担违约责任，乙方不得以此为由迟延履行或不履行合同义务。</w:t>
      </w:r>
    </w:p>
    <w:p>
      <w:pPr>
        <w:pStyle w:val="null3"/>
        <w:ind w:firstLine="482"/>
        <w:jc w:val="left"/>
      </w:pPr>
      <w:r>
        <w:rPr>
          <w:b/>
          <w:sz w:val="24"/>
        </w:rPr>
        <w:t>原型演示要求</w:t>
      </w:r>
    </w:p>
    <w:p>
      <w:pPr>
        <w:pStyle w:val="null3"/>
        <w:ind w:firstLine="567"/>
      </w:pPr>
      <w:r>
        <w:rPr>
          <w:color w:val="000000"/>
          <w:sz w:val="24"/>
        </w:rPr>
        <w:t>本项目要求在评审过程中进行原型演示，建议供应商在投标文件（首次响应文件）解密时间截止后</w:t>
      </w:r>
      <w:r>
        <w:rPr>
          <w:color w:val="000000"/>
          <w:sz w:val="24"/>
        </w:rPr>
        <w:t>1</w:t>
      </w:r>
      <w:r>
        <w:rPr>
          <w:color w:val="000000"/>
          <w:sz w:val="24"/>
        </w:rPr>
        <w:t>小时内到达广州市政府采购中心等候。原型演示开始时间由评审委员会确定，如供应商未在评审委员会规定的时间内到达原型演示地点进行原型演示，评审委员会有权视其放弃原型演示。等候地点：广州市天河区天润路</w:t>
      </w:r>
      <w:r>
        <w:rPr>
          <w:color w:val="000000"/>
          <w:sz w:val="24"/>
        </w:rPr>
        <w:t>445</w:t>
      </w:r>
      <w:r>
        <w:rPr>
          <w:color w:val="000000"/>
          <w:sz w:val="24"/>
        </w:rPr>
        <w:t>号广州市政府采购中心（太阳广场）四楼。</w:t>
      </w:r>
    </w:p>
    <w:p>
      <w:pPr>
        <w:pStyle w:val="null3"/>
        <w:ind w:firstLine="567"/>
      </w:pPr>
      <w:r>
        <w:rPr>
          <w:color w:val="000000"/>
          <w:sz w:val="24"/>
        </w:rPr>
        <w:t>（一）本项目由有效投标人于评标过程中进行原型演示，请投标人自行准备相关文件。</w:t>
      </w:r>
    </w:p>
    <w:p>
      <w:pPr>
        <w:pStyle w:val="null3"/>
        <w:ind w:firstLine="567"/>
      </w:pPr>
      <w:r>
        <w:rPr>
          <w:color w:val="000000"/>
          <w:sz w:val="24"/>
        </w:rPr>
        <w:t>（二）授权委托代理人须凭身份证原件参加原型演示，参加人数不超过</w:t>
      </w:r>
      <w:r>
        <w:rPr>
          <w:color w:val="000000"/>
          <w:sz w:val="24"/>
        </w:rPr>
        <w:t>3</w:t>
      </w:r>
      <w:r>
        <w:rPr>
          <w:color w:val="000000"/>
          <w:sz w:val="24"/>
        </w:rPr>
        <w:t>人（含授权委托代理人在内）。</w:t>
      </w:r>
    </w:p>
    <w:p>
      <w:pPr>
        <w:pStyle w:val="null3"/>
        <w:ind w:firstLine="567"/>
      </w:pPr>
      <w:r>
        <w:rPr>
          <w:color w:val="000000"/>
          <w:sz w:val="24"/>
        </w:rPr>
        <w:t>（三）如原型演示过程中需要用到电脑等设备（设备不能共用），请投标人自带，评标现场仅提供电源和投影设备。</w:t>
      </w:r>
    </w:p>
    <w:p>
      <w:pPr>
        <w:pStyle w:val="null3"/>
        <w:ind w:firstLine="567"/>
      </w:pPr>
      <w:r>
        <w:rPr>
          <w:color w:val="000000"/>
          <w:sz w:val="24"/>
        </w:rPr>
        <w:t>（四）原型演示时间约</w:t>
      </w:r>
      <w:r>
        <w:rPr>
          <w:color w:val="000000"/>
          <w:sz w:val="24"/>
        </w:rPr>
        <w:t>20</w:t>
      </w:r>
      <w:r>
        <w:rPr>
          <w:color w:val="000000"/>
          <w:sz w:val="24"/>
        </w:rPr>
        <w:t>分钟，</w:t>
      </w:r>
      <w:r>
        <w:rPr>
          <w:sz w:val="24"/>
        </w:rPr>
        <w:t>所有功能演示须以实际系统演示，为满足符合项目后续实际使用场景，演示系统所使用的软硬件环境必须使用国产化环境，否则视为无效演示</w:t>
      </w:r>
      <w:r>
        <w:rPr>
          <w:color w:val="000000"/>
          <w:sz w:val="24"/>
        </w:rPr>
        <w:t>。</w:t>
      </w:r>
    </w:p>
    <w:p>
      <w:pPr>
        <w:pStyle w:val="null3"/>
        <w:ind w:firstLine="567"/>
      </w:pPr>
      <w:r>
        <w:rPr>
          <w:color w:val="000000"/>
          <w:sz w:val="24"/>
        </w:rPr>
        <w:t>（五）演示内容：</w:t>
      </w:r>
    </w:p>
    <w:p>
      <w:pPr>
        <w:pStyle w:val="null3"/>
        <w:ind w:firstLine="480"/>
        <w:jc w:val="both"/>
      </w:pPr>
    </w:p>
    <w:p>
      <w:pPr>
        <w:pStyle w:val="null3"/>
        <w:ind w:firstLine="480"/>
        <w:jc w:val="both"/>
      </w:pPr>
      <w:r>
        <w:rPr>
          <w:sz w:val="21"/>
        </w:rPr>
        <w:t>.</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74"/>
        <w:gridCol w:w="7332"/>
      </w:tblGrid>
      <w:tr>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序号</w:t>
            </w:r>
          </w:p>
        </w:tc>
        <w:tc>
          <w:tcPr>
            <w:tcW w:type="dxa" w:w="7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演示内容</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1</w:t>
            </w:r>
          </w:p>
        </w:tc>
        <w:tc>
          <w:tcPr>
            <w:tcW w:type="dxa" w:w="7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一、视频接入、共享及管理能力考察</w:t>
            </w:r>
            <w:r>
              <w:br/>
            </w:r>
            <w:r>
              <w:rPr>
                <w:sz w:val="21"/>
              </w:rPr>
              <w:t>1</w:t>
            </w:r>
            <w:r>
              <w:rPr>
                <w:sz w:val="21"/>
              </w:rPr>
              <w:t>、支持对视频监视设备的统一接入和协议转换：视频接入支持接入</w:t>
            </w:r>
            <w:r>
              <w:rPr>
                <w:sz w:val="21"/>
              </w:rPr>
              <w:t>HLS</w:t>
            </w:r>
            <w:r>
              <w:rPr>
                <w:sz w:val="21"/>
              </w:rPr>
              <w:t>格式（模拟无人机等流媒体设备接入）的直播流和视频文件，支持设置该通道的国标编码、传输协议、叠加水印信息、经纬度、视频分辨率、视频码率，配置完成后，可通过</w:t>
            </w:r>
            <w:r>
              <w:rPr>
                <w:sz w:val="21"/>
              </w:rPr>
              <w:t>WebRTC</w:t>
            </w:r>
            <w:r>
              <w:rPr>
                <w:sz w:val="21"/>
              </w:rPr>
              <w:t>格式进行该视频的调阅。</w:t>
            </w:r>
            <w:r>
              <w:br/>
            </w:r>
            <w:r>
              <w:rPr>
                <w:sz w:val="21"/>
              </w:rPr>
              <w:t>2</w:t>
            </w:r>
            <w:r>
              <w:rPr>
                <w:sz w:val="21"/>
              </w:rPr>
              <w:t>、视频播放控制功能支持多协议调阅：在国产化电脑上面通过</w:t>
            </w:r>
            <w:r>
              <w:rPr>
                <w:sz w:val="21"/>
              </w:rPr>
              <w:t>B/S</w:t>
            </w:r>
            <w:r>
              <w:rPr>
                <w:sz w:val="21"/>
              </w:rPr>
              <w:t>模式进行视频调阅，支持</w:t>
            </w:r>
            <w:r>
              <w:rPr>
                <w:sz w:val="21"/>
              </w:rPr>
              <w:t>FLV</w:t>
            </w:r>
            <w:r>
              <w:rPr>
                <w:sz w:val="21"/>
              </w:rPr>
              <w:t>、</w:t>
            </w:r>
            <w:r>
              <w:rPr>
                <w:sz w:val="21"/>
              </w:rPr>
              <w:t>WS_FLV</w:t>
            </w:r>
            <w:r>
              <w:rPr>
                <w:sz w:val="21"/>
              </w:rPr>
              <w:t>、</w:t>
            </w:r>
            <w:r>
              <w:rPr>
                <w:sz w:val="21"/>
              </w:rPr>
              <w:t>WebRTC</w:t>
            </w:r>
            <w:r>
              <w:rPr>
                <w:sz w:val="21"/>
              </w:rPr>
              <w:t>、</w:t>
            </w:r>
            <w:r>
              <w:rPr>
                <w:sz w:val="21"/>
              </w:rPr>
              <w:t>HLS</w:t>
            </w:r>
            <w:r>
              <w:rPr>
                <w:sz w:val="21"/>
              </w:rPr>
              <w:t>多种协议流调阅方式。支持视频调阅时点击名称旁边图标查看视频流信息，包括分辨率、帧率、码率、丢包率、视频编码、音频编码、传输模式、持续时长。</w:t>
            </w:r>
            <w:r>
              <w:br/>
            </w:r>
            <w:r>
              <w:rPr>
                <w:sz w:val="21"/>
              </w:rPr>
              <w:t>3</w:t>
            </w:r>
            <w:r>
              <w:rPr>
                <w:sz w:val="21"/>
              </w:rPr>
              <w:t>、视频接入管理展示：具备</w:t>
            </w:r>
            <w:r>
              <w:rPr>
                <w:sz w:val="21"/>
              </w:rPr>
              <w:t>B/S</w:t>
            </w:r>
            <w:r>
              <w:rPr>
                <w:sz w:val="21"/>
              </w:rPr>
              <w:t>架构的管理后台，后台界面展示出系统整体接入服务情况概览，左上方展示通道信息，包括在线数、总设备、总通道情况；中上方展示负载信息，点击负载的情况可以看到具体的负载会话列表情况，包括具体的负载通道国标编号、通道名称、会话类型、开始时间、持续时间、收流大小、收流码率、在线人数等；右上方展示</w:t>
            </w:r>
            <w:r>
              <w:rPr>
                <w:sz w:val="21"/>
              </w:rPr>
              <w:t>CPU</w:t>
            </w:r>
            <w:r>
              <w:rPr>
                <w:sz w:val="21"/>
              </w:rPr>
              <w:t>使用信息折线图展示；左下方展示存储使用信息柱状图展示；中下方展示带宽使用信息曲线图展示；右下方展示内存使用信息曲线图展示。</w:t>
            </w:r>
            <w:r>
              <w:br/>
            </w:r>
            <w:r>
              <w:rPr>
                <w:sz w:val="21"/>
              </w:rPr>
              <w:t>4</w:t>
            </w:r>
            <w:r>
              <w:rPr>
                <w:sz w:val="21"/>
              </w:rPr>
              <w:t>、视频级联共享能力：针对视频共享平台级联时，支持本地</w:t>
            </w:r>
            <w:r>
              <w:rPr>
                <w:sz w:val="21"/>
              </w:rPr>
              <w:t>IP</w:t>
            </w:r>
            <w:r>
              <w:rPr>
                <w:sz w:val="21"/>
              </w:rPr>
              <w:t>设置、本地端口设置、流并发数限制、云台控制权限设置、共享录像权限设置、</w:t>
            </w:r>
            <w:r>
              <w:rPr>
                <w:sz w:val="21"/>
              </w:rPr>
              <w:t>RTCP</w:t>
            </w:r>
            <w:r>
              <w:rPr>
                <w:sz w:val="21"/>
              </w:rPr>
              <w:t>流保活设置、强制推送</w:t>
            </w:r>
            <w:r>
              <w:rPr>
                <w:sz w:val="21"/>
              </w:rPr>
              <w:t>H264</w:t>
            </w:r>
            <w:r>
              <w:rPr>
                <w:sz w:val="21"/>
              </w:rPr>
              <w:t>媒体流设置；在上级平台上接收强制推送</w:t>
            </w:r>
            <w:r>
              <w:rPr>
                <w:sz w:val="21"/>
              </w:rPr>
              <w:t>H264</w:t>
            </w:r>
            <w:r>
              <w:rPr>
                <w:sz w:val="21"/>
              </w:rPr>
              <w:t>媒体流通道并可看到视频画面。</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2</w:t>
            </w:r>
          </w:p>
        </w:tc>
        <w:tc>
          <w:tcPr>
            <w:tcW w:type="dxa" w:w="7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二、视频应用功能考察</w:t>
            </w:r>
            <w:r>
              <w:br/>
            </w:r>
            <w:r>
              <w:rPr>
                <w:sz w:val="21"/>
              </w:rPr>
              <w:t>1</w:t>
            </w:r>
            <w:r>
              <w:rPr>
                <w:sz w:val="21"/>
              </w:rPr>
              <w:t>、视频目录及地图功能：用户登录系统后，在用户端“首页”上展示出广州市电子地图，默认展示聚合层级图标；“设备列表”功能展示基础资源目录及公共标签目录，在目录中点击视频点位可自动定位在电子地图的位置。</w:t>
            </w:r>
            <w:r>
              <w:br/>
            </w:r>
            <w:r>
              <w:rPr>
                <w:sz w:val="21"/>
              </w:rPr>
              <w:t>2</w:t>
            </w:r>
            <w:r>
              <w:rPr>
                <w:sz w:val="21"/>
              </w:rPr>
              <w:t>、视频标签管理：用户支持自定义创建个人标签，在地图上点击视频点位预览视频，可针对该点位自行添加个人标签，添加完成后可在个人标签分组内查看标签下的点位信息。</w:t>
            </w:r>
            <w:r>
              <w:br/>
            </w:r>
            <w:r>
              <w:rPr>
                <w:sz w:val="21"/>
              </w:rPr>
              <w:t>3</w:t>
            </w:r>
            <w:r>
              <w:rPr>
                <w:sz w:val="21"/>
              </w:rPr>
              <w:t>、视频分组轮询功能：在国产化电脑上，通过“首页”点击左侧的“区域飞巡”功能按钮可按“中心点”、“轴心线”、“多边形”绘制飞巡范围，“巡查线”默认巡查半径范围为</w:t>
            </w:r>
            <w:r>
              <w:rPr>
                <w:sz w:val="21"/>
              </w:rPr>
              <w:t>1km</w:t>
            </w:r>
            <w:r>
              <w:rPr>
                <w:sz w:val="21"/>
              </w:rPr>
              <w:t>，在区域巡查范围内的视频点位结果自动列出列表，勾选需要巡检的监控设置停留时长、飞巡模式等，选择地图飞巡模式，显示出飞巡的起点至终点的范围，点击“确定”功能，在地图上依次自动针对选择的点位进行自动巡查，巡查时视角跟随点位进行移动，并展示出飞巡中、已飞巡的状态信息。</w:t>
            </w:r>
            <w:r>
              <w:br/>
            </w:r>
            <w:r>
              <w:rPr>
                <w:sz w:val="21"/>
              </w:rPr>
              <w:t>4</w:t>
            </w:r>
            <w:r>
              <w:rPr>
                <w:sz w:val="21"/>
              </w:rPr>
              <w:t>、视频飞巡功能：在国产化电脑上，通过“首页”左侧的“飞巡记录”功能按钮，点击飞巡记录任务，可查询飞巡的记录信息，包括飞巡的任务名称、飞巡时间、飞巡模式、选择方式，并列出飞巡对象及飞巡区域，点击再次飞巡，可重新执行该飞巡记录的任务。</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3</w:t>
            </w:r>
          </w:p>
        </w:tc>
        <w:tc>
          <w:tcPr>
            <w:tcW w:type="dxa" w:w="7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三、视频平台管理及稳定性考察</w:t>
            </w:r>
            <w:r>
              <w:br/>
            </w:r>
            <w:r>
              <w:rPr>
                <w:sz w:val="21"/>
              </w:rPr>
              <w:t>1</w:t>
            </w:r>
            <w:r>
              <w:rPr>
                <w:sz w:val="21"/>
              </w:rPr>
              <w:t>、视频安全审计：系统用户端调阅视频时，默认打上视频安全水印信息，水印信息自动打上登录的用户名信息；系统管理台支持查询用户审计信息，包括操作信息及登录信息，操作信息包括操作名称、远端地址、操作结果、操作人、操作时间；登录日志包括用户名称、</w:t>
            </w:r>
            <w:r>
              <w:rPr>
                <w:sz w:val="21"/>
              </w:rPr>
              <w:t>IP</w:t>
            </w:r>
            <w:r>
              <w:rPr>
                <w:sz w:val="21"/>
              </w:rPr>
              <w:t>地址、状态、访问时间。</w:t>
            </w:r>
            <w:r>
              <w:br/>
            </w:r>
            <w:r>
              <w:rPr>
                <w:sz w:val="21"/>
              </w:rPr>
              <w:t>2</w:t>
            </w:r>
            <w:r>
              <w:rPr>
                <w:sz w:val="21"/>
              </w:rPr>
              <w:t>、流媒体服务配置支持基于</w:t>
            </w:r>
            <w:r>
              <w:rPr>
                <w:sz w:val="21"/>
              </w:rPr>
              <w:t>Web</w:t>
            </w:r>
            <w:r>
              <w:rPr>
                <w:sz w:val="21"/>
              </w:rPr>
              <w:t>方式进行修改：流媒体服务修改支持云录像目录配置、</w:t>
            </w:r>
            <w:r>
              <w:rPr>
                <w:sz w:val="21"/>
              </w:rPr>
              <w:t>RTSP</w:t>
            </w:r>
            <w:r>
              <w:rPr>
                <w:sz w:val="21"/>
              </w:rPr>
              <w:t>端口配置、</w:t>
            </w:r>
            <w:r>
              <w:rPr>
                <w:sz w:val="21"/>
              </w:rPr>
              <w:t>RTMP</w:t>
            </w:r>
            <w:r>
              <w:rPr>
                <w:sz w:val="21"/>
              </w:rPr>
              <w:t>端口配置、录像保存天数设置、收流端口区间</w:t>
            </w:r>
            <w:r>
              <w:rPr>
                <w:sz w:val="21"/>
              </w:rPr>
              <w:t>(TCP)</w:t>
            </w:r>
            <w:r>
              <w:rPr>
                <w:sz w:val="21"/>
              </w:rPr>
              <w:t>配置、收流端口区间</w:t>
            </w:r>
            <w:r>
              <w:rPr>
                <w:sz w:val="21"/>
              </w:rPr>
              <w:t>(UDP)</w:t>
            </w:r>
            <w:r>
              <w:rPr>
                <w:sz w:val="21"/>
              </w:rPr>
              <w:t>配置、</w:t>
            </w:r>
            <w:r>
              <w:rPr>
                <w:sz w:val="21"/>
              </w:rPr>
              <w:t>WebRTC</w:t>
            </w:r>
            <w:r>
              <w:rPr>
                <w:sz w:val="21"/>
              </w:rPr>
              <w:t>端口区间配置。</w:t>
            </w:r>
            <w:r>
              <w:br/>
            </w:r>
            <w:r>
              <w:rPr>
                <w:sz w:val="21"/>
              </w:rPr>
              <w:t>3</w:t>
            </w:r>
            <w:r>
              <w:rPr>
                <w:sz w:val="21"/>
              </w:rPr>
              <w:t>、视频平台双机热备稳定性：视频联网接入支持信令服务双机热备，当其中运行着的一台服务器出现故障无法启动时，另一台备份服务器支持自动启动并运行切换服务，在</w:t>
            </w:r>
            <w:r>
              <w:rPr>
                <w:sz w:val="21"/>
              </w:rPr>
              <w:t>30</w:t>
            </w:r>
            <w:r>
              <w:rPr>
                <w:sz w:val="21"/>
              </w:rPr>
              <w:t>秒内完成故障自动恢复能力，恢复视频调阅。</w:t>
            </w:r>
          </w:p>
        </w:tc>
      </w:tr>
    </w:tbl>
    <w:p>
      <w:pPr>
        <w:pStyle w:val="null3"/>
      </w:pPr>
    </w:p>
    <w:p>
      <w:pPr>
        <w:pStyle w:val="null3"/>
      </w:pPr>
      <w:r>
        <w:rPr/>
        <w:t>采购包1（广州市数字政府运营中心2023年广州市智慧城市视频感知系统建设项目）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合同签订后  210  日历日内完成开发、调试，上线试运行三个月后进行合同验收</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1期：支付比例30%,合同签订后5个工作日内，采购人向中标人支付合同总价的30%</w:t>
            </w:r>
          </w:p>
          <w:p>
            <w:pPr>
              <w:pStyle w:val="null3"/>
            </w:pPr>
          </w:p>
          <w:p>
            <w:pPr>
              <w:pStyle w:val="null3"/>
            </w:pPr>
            <w:r>
              <w:rPr/>
              <w:t>2期：支付比例20%,中标人提交《项目需求规格说明书》，并经采购人确认后5个工作日内，采购人向中标人支付合同总价的20%</w:t>
            </w:r>
          </w:p>
          <w:p>
            <w:pPr>
              <w:pStyle w:val="null3"/>
            </w:pPr>
          </w:p>
          <w:p>
            <w:pPr>
              <w:pStyle w:val="null3"/>
            </w:pPr>
            <w:r>
              <w:rPr/>
              <w:t>3期：支付比例40%,中标人提交上线试运行申请，并经采购人确认后5个工作日内，采购人向中标人支付合同总价的40%</w:t>
            </w:r>
          </w:p>
          <w:p>
            <w:pPr>
              <w:pStyle w:val="null3"/>
            </w:pPr>
          </w:p>
          <w:p>
            <w:pPr>
              <w:pStyle w:val="null3"/>
            </w:pPr>
            <w:r>
              <w:rPr/>
              <w:t>4期：支付比例10%,项目上线试运行三个月期满，通过采购人组织的合同验收后5个工作日内，采购人向中标人支付合同总价的 10%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1期：详见第二章采购需求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广州市智慧城市视频感知系统开发服务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9,881,000.00</w:t>
            </w:r>
          </w:p>
        </w:tc>
        <w:tc>
          <w:tcPr>
            <w:tcW w:type="dxa" w:w="933"/>
          </w:tcPr>
          <w:p>
            <w:pPr>
              <w:pStyle w:val="null3"/>
              <w:jc w:val="right"/>
            </w:pPr>
            <w:r>
              <w:rPr/>
              <w:t>9,881,000.00</w:t>
            </w:r>
          </w:p>
        </w:tc>
        <w:tc>
          <w:tcPr>
            <w:tcW w:type="dxa" w:w="840"/>
          </w:tcPr>
          <w:p>
            <w:pPr>
              <w:pStyle w:val="null3"/>
            </w:pPr>
            <w:r>
              <w:rPr/>
              <w:t>软件和信息技术服务业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网络接入服务</w:t>
            </w:r>
          </w:p>
        </w:tc>
        <w:tc>
          <w:tcPr>
            <w:tcW w:type="dxa" w:w="933"/>
          </w:tcPr>
          <w:p>
            <w:pPr>
              <w:pStyle w:val="null3"/>
              <w:jc w:val="left"/>
            </w:pPr>
            <w:r>
              <w:rPr/>
              <w:t>城市视频传输网与政务外网连接专线</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492,963.00</w:t>
            </w:r>
          </w:p>
        </w:tc>
        <w:tc>
          <w:tcPr>
            <w:tcW w:type="dxa" w:w="933"/>
          </w:tcPr>
          <w:p>
            <w:pPr>
              <w:pStyle w:val="null3"/>
              <w:jc w:val="right"/>
            </w:pPr>
            <w:r>
              <w:rPr/>
              <w:t>492,963.00</w:t>
            </w:r>
          </w:p>
        </w:tc>
        <w:tc>
          <w:tcPr>
            <w:tcW w:type="dxa" w:w="840"/>
          </w:tcPr>
          <w:p>
            <w:pPr>
              <w:pStyle w:val="null3"/>
            </w:pPr>
            <w:r>
              <w:rPr/>
              <w:t>软件和信息技术服务业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数据加工处理服务</w:t>
            </w:r>
          </w:p>
        </w:tc>
        <w:tc>
          <w:tcPr>
            <w:tcW w:type="dxa" w:w="933"/>
          </w:tcPr>
          <w:p>
            <w:pPr>
              <w:pStyle w:val="null3"/>
              <w:jc w:val="left"/>
            </w:pPr>
            <w:r>
              <w:rPr/>
              <w:t>数据治理服务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2,856,000.00</w:t>
            </w:r>
          </w:p>
        </w:tc>
        <w:tc>
          <w:tcPr>
            <w:tcW w:type="dxa" w:w="933"/>
          </w:tcPr>
          <w:p>
            <w:pPr>
              <w:pStyle w:val="null3"/>
              <w:jc w:val="right"/>
            </w:pPr>
            <w:r>
              <w:rPr/>
              <w:t>2,856,000.00</w:t>
            </w:r>
          </w:p>
        </w:tc>
        <w:tc>
          <w:tcPr>
            <w:tcW w:type="dxa" w:w="840"/>
          </w:tcPr>
          <w:p>
            <w:pPr>
              <w:pStyle w:val="null3"/>
            </w:pPr>
            <w:r>
              <w:rPr/>
              <w:t>软件和信息技术服务业</w:t>
            </w:r>
          </w:p>
        </w:tc>
        <w:tc>
          <w:tcPr>
            <w:tcW w:type="dxa" w:w="933"/>
          </w:tcPr>
          <w:p>
            <w:pPr>
              <w:pStyle w:val="null3"/>
            </w:pPr>
            <w:r>
              <w:rPr/>
              <w:t>详见附表三</w:t>
            </w:r>
          </w:p>
        </w:tc>
      </w:tr>
    </w:tbl>
    <w:p>
      <w:pPr>
        <w:pStyle w:val="null3"/>
      </w:pPr>
    </w:p>
    <w:p>
      <w:pPr>
        <w:pStyle w:val="null3"/>
      </w:pPr>
      <w:r>
        <w:rPr>
          <w:b/>
        </w:rPr>
        <w:t>附表</w:t>
      </w:r>
      <w:r>
        <w:rPr>
          <w:b/>
        </w:rPr>
        <w:t>一</w:t>
      </w:r>
      <w:r>
        <w:rPr>
          <w:b/>
        </w:rPr>
        <w:t>：</w:t>
      </w:r>
      <w:r>
        <w:rPr>
          <w:b/>
        </w:rPr>
        <w:t>广州市智慧城市视频感知系统开发服务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城市视频传输网与政务外网连接专线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数据治理服务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2.采购人：本项目是指</w:t>
      </w:r>
      <w:r>
        <w:rPr/>
        <w:t>广州市数字政府运营中心（广州市政务大数据管理中心、广州市政府门户网站编辑部、广州市智慧城市运行中心）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市政府采购中心大厅西侧建设银行天润路支行交款，交款后前往财务专窗办理支付确认。（2）汇款支付：中标人将公共资源交易服务费转账（汇款）至公共资源交易服务费结算账户（如下所示）后，到账后凭转账（汇款）凭证前往市政府采购中心一楼大厅44号财务专窗办理支付确认或使用公共资源交易服务费转账凭证上传确认系统进行支付确认。公共资源交易服务费结算账户信息：收款单位：广州市政府采购中心，开户银行：中国建设银行广州天润路支行，账号：44050158340409202288（注：公共资源交易服务费增值税电子普通发票待中标人支付公共资源交易服务费并确认后，向中标人的经办人手机号推送电子发票用于报账。使用汇款支付过程中，请在摘要或用途中注明项目编号交易服务费，例如：CZ2022-0001交易服务费。当交易服务费到账的银行回单中单位名称、应缴交易服务费金额、中标项目编号三项信息匹配都一致时，系统会自动进行支付确认。）4.公共资源交易服务费以采购额按差额定率累进法计算。详见《广州市政府采购中心关于代理采购类项目公共资源交易服务费收费标准的通知》（http://www.gzggzy.cn/jtgg/874864.jhtml）（注：本项目为纳入集中采购目录的项目，采购额为中标金额。）</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一、信用评价，（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w:t>
            </w:r>
          </w:p>
          <w:p>
            <w:pPr>
              <w:pStyle w:val="null3"/>
              <w:ind w:firstLine="480"/>
              <w:jc w:val="left"/>
            </w:pPr>
            <w:r>
              <w:rPr/>
              <w:t>二、履约评价，采购人负责对中标人的履约行为进行评价，评价标准详见《广州市财政局关于在政府采购项目中应用公共资源交易信用的通知》(穗财采〔2023〕55 号)。采购人在合同备案后可通过广东政府采购智慧云平台-诚信管理-评价管理进行评价。评价结果会影响供应商的综合信用得分。</w:t>
            </w:r>
          </w:p>
          <w:p>
            <w:pPr>
              <w:pStyle w:val="null3"/>
              <w:ind w:firstLine="480"/>
              <w:jc w:val="left"/>
            </w:pPr>
            <w:r>
              <w:rPr/>
              <w:t>三、关于提供前期服务的供应商，为采购项目提供整体设计、规范编制或者项目管理、监理、检测等服务的供应商，不得再参加该采购项目的其他采购活动。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、广州交易集团有限公司（http://www.gzggzy.cn）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020-28866163</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广州市天河区天润路333号广州市政府采购中心4楼综合管理部</w:t>
      </w:r>
    </w:p>
    <w:p>
      <w:pPr>
        <w:pStyle w:val="null3"/>
        <w:ind w:firstLine="480"/>
      </w:pPr>
      <w:r>
        <w:rPr/>
        <w:t>邮编：</w:t>
      </w:r>
      <w:r>
        <w:rPr/>
        <w:t>-</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州市数字政府运营中心2023年广州市智慧城市视频感知系统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采购包1（广州市数字政府运营中心2023年广州市智慧城市视频感知系统建设项目）：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型或微型企业承接，即提供服务的人员为小型或微型企业依照《中华人民共和国劳动合同法》订立劳动合同的从业人员时，给予10%的价格扣除C1，即：评标价=供应商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采购包1（广州市数字政府运营中心2023年广州市智慧城市视频感知系统建设项目）：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其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p>
    <w:p>
      <w:pPr>
        <w:pStyle w:val="null3"/>
      </w:pPr>
      <w:r>
        <w:rPr/>
        <w:t>采购包1（广州市数字政府运营中心2023年广州市智慧城市视频感知系统建设项目）：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1.报价确定且不高于预算金额。2.有盖章、签署要求的格式文件已按要求盖章、签署。 3.投标文件完全满足招标文件中带★号的条款和指标 (审查《实质性响应一览表》)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评标委员会的要求提交法定代表人或其委托代理人签字的澄清、说明、补正或改变了投标文件的实质性内容的。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采购包1(广州市数字政府运营中心2023年广州市智慧城市视频感知系统建设项目):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投标人对本项目的理解① (1.0分)</w:t>
            </w:r>
          </w:p>
        </w:tc>
        <w:tc>
          <w:tcPr>
            <w:tcW w:type="dxa" w:w="5076"/>
          </w:tcPr>
          <w:p>
            <w:pPr>
              <w:pStyle w:val="null3"/>
              <w:jc w:val="left"/>
            </w:pPr>
            <w:r>
              <w:rPr/>
              <w:t>根据投标人针对本项目制定的对项目的理解进行综合评分：能提供对整体项目系统现状分析、问题分析、需求分析、数据来源分析以及技术路线方案，得1分；如未能提供对项目的理解方案或缺少内容的，本项及以下评分项“对项目的理解方案②”均不得分。</w:t>
            </w:r>
          </w:p>
        </w:tc>
      </w:tr>
      <w:tr>
        <w:tc>
          <w:tcPr>
            <w:tcW w:type="dxa" w:w="922"/>
            <w:gridSpan w:val="2"/>
            <w:vMerge/>
          </w:tcPr>
          <w:p/>
        </w:tc>
        <w:tc>
          <w:tcPr>
            <w:tcW w:type="dxa" w:w="2307"/>
          </w:tcPr>
          <w:p>
            <w:pPr>
              <w:pStyle w:val="null3"/>
              <w:jc w:val="left"/>
            </w:pPr>
            <w:r>
              <w:rPr/>
              <w:t>投标人对本项目的理解② (3.0分)</w:t>
            </w:r>
          </w:p>
        </w:tc>
        <w:tc>
          <w:tcPr>
            <w:tcW w:type="dxa" w:w="5076"/>
          </w:tcPr>
          <w:p>
            <w:pPr>
              <w:pStyle w:val="null3"/>
              <w:jc w:val="left"/>
            </w:pPr>
            <w:r>
              <w:rPr/>
              <w:t>投标人所提供的对本项目的理解能优于采购需求，得3分；满足采购需求的得2分，不满足不得分。</w:t>
            </w:r>
          </w:p>
        </w:tc>
      </w:tr>
      <w:tr>
        <w:tc>
          <w:tcPr>
            <w:tcW w:type="dxa" w:w="922"/>
            <w:gridSpan w:val="2"/>
            <w:vMerge/>
          </w:tcPr>
          <w:p/>
        </w:tc>
        <w:tc>
          <w:tcPr>
            <w:tcW w:type="dxa" w:w="2307"/>
          </w:tcPr>
          <w:p>
            <w:pPr>
              <w:pStyle w:val="null3"/>
              <w:jc w:val="left"/>
            </w:pPr>
            <w:r>
              <w:rPr/>
              <w:t>技术方案总体情况① (1.0分)</w:t>
            </w:r>
          </w:p>
        </w:tc>
        <w:tc>
          <w:tcPr>
            <w:tcW w:type="dxa" w:w="5076"/>
          </w:tcPr>
          <w:p>
            <w:pPr>
              <w:pStyle w:val="null3"/>
              <w:jc w:val="left"/>
            </w:pPr>
            <w:r>
              <w:rPr/>
              <w:t>根据投标人针对本项目制定的技术方案总体情况进行综合评分： 能提供从系统整体架构设计和数据之类服务内容两方面进行综合分析，得1分；如未能提供对本项目的技术方案总体情况或缺少内容的，本项及以下评分项“技术方案总体情况②”均不得分。</w:t>
            </w:r>
          </w:p>
        </w:tc>
      </w:tr>
      <w:tr>
        <w:tc>
          <w:tcPr>
            <w:tcW w:type="dxa" w:w="922"/>
            <w:gridSpan w:val="2"/>
            <w:vMerge/>
          </w:tcPr>
          <w:p/>
        </w:tc>
        <w:tc>
          <w:tcPr>
            <w:tcW w:type="dxa" w:w="2307"/>
          </w:tcPr>
          <w:p>
            <w:pPr>
              <w:pStyle w:val="null3"/>
              <w:jc w:val="left"/>
            </w:pPr>
            <w:r>
              <w:rPr/>
              <w:t>技术方案总体情况② (3.0分)</w:t>
            </w:r>
          </w:p>
        </w:tc>
        <w:tc>
          <w:tcPr>
            <w:tcW w:type="dxa" w:w="5076"/>
          </w:tcPr>
          <w:p>
            <w:pPr>
              <w:pStyle w:val="null3"/>
              <w:jc w:val="left"/>
            </w:pPr>
            <w:r>
              <w:rPr/>
              <w:t>投标人所提供的技术方案总体情况能优于采购需求，得3分，满足采购需求的得2分，不满足不得分。</w:t>
            </w:r>
          </w:p>
        </w:tc>
      </w:tr>
      <w:tr>
        <w:tc>
          <w:tcPr>
            <w:tcW w:type="dxa" w:w="922"/>
            <w:gridSpan w:val="2"/>
            <w:vMerge/>
          </w:tcPr>
          <w:p/>
        </w:tc>
        <w:tc>
          <w:tcPr>
            <w:tcW w:type="dxa" w:w="2307"/>
          </w:tcPr>
          <w:p>
            <w:pPr>
              <w:pStyle w:val="null3"/>
              <w:jc w:val="left"/>
            </w:pPr>
            <w:r>
              <w:rPr/>
              <w:t>平台功能设计响应情况① (2.0分)</w:t>
            </w:r>
          </w:p>
        </w:tc>
        <w:tc>
          <w:tcPr>
            <w:tcW w:type="dxa" w:w="5076"/>
          </w:tcPr>
          <w:p>
            <w:pPr>
              <w:pStyle w:val="null3"/>
              <w:jc w:val="left"/>
            </w:pPr>
            <w:r>
              <w:rPr/>
              <w:t>根据投标人针对本项目制定的平台功能设计响应情况进行综合评分： 能提供从目录管理、一机一档、共享服务门户、申请审批、视频应用、APP应用、考核评价、平台管理、运维管理、数据处理服务、已建或在建信息系统对接等维度进行综合评估，得2分；如未能提供对本项目的平台功能设计响应情况或缺少内容的，本项及以下评分项“平台功能设计响应情况②”均不得分。</w:t>
            </w:r>
          </w:p>
        </w:tc>
      </w:tr>
      <w:tr>
        <w:tc>
          <w:tcPr>
            <w:tcW w:type="dxa" w:w="922"/>
            <w:gridSpan w:val="2"/>
            <w:vMerge/>
          </w:tcPr>
          <w:p/>
        </w:tc>
        <w:tc>
          <w:tcPr>
            <w:tcW w:type="dxa" w:w="2307"/>
          </w:tcPr>
          <w:p>
            <w:pPr>
              <w:pStyle w:val="null3"/>
              <w:jc w:val="left"/>
            </w:pPr>
            <w:r>
              <w:rPr/>
              <w:t>平台功能设计响应情况② (4.0分)</w:t>
            </w:r>
          </w:p>
        </w:tc>
        <w:tc>
          <w:tcPr>
            <w:tcW w:type="dxa" w:w="5076"/>
          </w:tcPr>
          <w:p>
            <w:pPr>
              <w:pStyle w:val="null3"/>
              <w:jc w:val="left"/>
            </w:pPr>
            <w:r>
              <w:rPr/>
              <w:t>投标人所提供的平台功能设计响应情况能优于采购需求，得4分，满足采购需求的得2分，不满足不得分。</w:t>
            </w:r>
          </w:p>
        </w:tc>
      </w:tr>
      <w:tr>
        <w:tc>
          <w:tcPr>
            <w:tcW w:type="dxa" w:w="922"/>
            <w:gridSpan w:val="2"/>
            <w:vMerge/>
          </w:tcPr>
          <w:p/>
        </w:tc>
        <w:tc>
          <w:tcPr>
            <w:tcW w:type="dxa" w:w="2307"/>
          </w:tcPr>
          <w:p>
            <w:pPr>
              <w:pStyle w:val="null3"/>
              <w:jc w:val="left"/>
            </w:pPr>
            <w:r>
              <w:rPr/>
              <w:t>技术参数响应情况 (13.0分)</w:t>
            </w:r>
          </w:p>
        </w:tc>
        <w:tc>
          <w:tcPr>
            <w:tcW w:type="dxa" w:w="5076"/>
          </w:tcPr>
          <w:p>
            <w:pPr>
              <w:pStyle w:val="null3"/>
              <w:jc w:val="left"/>
            </w:pPr>
            <w:r>
              <w:rPr/>
              <w:t>1、视频感知系统功能重要▲技术指标响应情况，完全响应4分，每个不响应项扣1分，扣完为止。 2、信息化基础设施重要▲技术指标响应情况，完全响应6分，每个不响应项扣1分，扣完为止。 3、系统租赁服务重要▲技术指标响应情况，完全响应1分，每个不响应项扣1分，扣完为止。 4、数据治理服务重要▲技术指标响应情况，完全响应2分，每个不响应项扣1分，扣完为止。</w:t>
            </w:r>
          </w:p>
        </w:tc>
      </w:tr>
      <w:tr>
        <w:tc>
          <w:tcPr>
            <w:tcW w:type="dxa" w:w="922"/>
            <w:gridSpan w:val="2"/>
            <w:vMerge/>
          </w:tcPr>
          <w:p/>
        </w:tc>
        <w:tc>
          <w:tcPr>
            <w:tcW w:type="dxa" w:w="2307"/>
          </w:tcPr>
          <w:p>
            <w:pPr>
              <w:pStyle w:val="null3"/>
              <w:jc w:val="left"/>
            </w:pPr>
            <w:r>
              <w:rPr/>
              <w:t>平滑过渡方案① (2.0分)</w:t>
            </w:r>
          </w:p>
        </w:tc>
        <w:tc>
          <w:tcPr>
            <w:tcW w:type="dxa" w:w="5076"/>
          </w:tcPr>
          <w:p>
            <w:pPr>
              <w:pStyle w:val="null3"/>
              <w:jc w:val="left"/>
            </w:pPr>
            <w:r>
              <w:rPr/>
              <w:t>根据投标人针对本项目制定的平滑过渡方案进行综合评分： 1、 能提供现有各视频平台的接入、调阅、共享服务能力的平滑过渡方案，保障全市各业务部门的正常使用，得0.5分；如未能提供现有各视频平台的接入、调阅、共享服务能力的平滑过渡方案或缺少内容的，本项及以下评分项“平滑过渡方案及应急预案响应情况②”均不得分。 2、能提供电子政务外网、城市视频传输网、公安视频传输网等关键业务网络平滑过渡及迁移保障方案，得0.5分；如未能提供电子政务外网、城市视频传输网、公安视频传输网等关键业务网络平滑过渡及迁移保障方案或缺少内容的，本项及以下评分项“平滑过渡方案及应急预案响应情况②”均不得分。 3.、能提供城市视频传输网中已建设二类点视频资源接入的平滑过渡方案，得0.5分；如未能提供城市视频传输网中已建设二类点视频资源接入的平滑过渡方案或缺少内容的，本项及以下评分项“平滑过渡方案及应急预案响应情况②”均不得分。 4、能提供外部私网及互联网视频资源接入的平滑过渡方案，得0.5分；如未能提供能提供外部私网及互联网视频资源接入的平滑过渡方案或缺少内容的，本项及以下评分项“平滑过渡方案及应急预案响应情况②”均不得分。</w:t>
            </w:r>
          </w:p>
        </w:tc>
      </w:tr>
      <w:tr>
        <w:tc>
          <w:tcPr>
            <w:tcW w:type="dxa" w:w="922"/>
            <w:gridSpan w:val="2"/>
            <w:vMerge/>
          </w:tcPr>
          <w:p/>
        </w:tc>
        <w:tc>
          <w:tcPr>
            <w:tcW w:type="dxa" w:w="2307"/>
          </w:tcPr>
          <w:p>
            <w:pPr>
              <w:pStyle w:val="null3"/>
              <w:jc w:val="left"/>
            </w:pPr>
            <w:r>
              <w:rPr/>
              <w:t>平滑过渡方案② (4.0分)</w:t>
            </w:r>
          </w:p>
        </w:tc>
        <w:tc>
          <w:tcPr>
            <w:tcW w:type="dxa" w:w="5076"/>
          </w:tcPr>
          <w:p>
            <w:pPr>
              <w:pStyle w:val="null3"/>
              <w:jc w:val="left"/>
            </w:pPr>
            <w:r>
              <w:rPr/>
              <w:t>投标人所提供的平滑过渡方案及应急预案响应情况能优于采购需求，得4分，满足采购需求的得2分，不满足不得分。</w:t>
            </w:r>
          </w:p>
        </w:tc>
      </w:tr>
      <w:tr>
        <w:tc>
          <w:tcPr>
            <w:tcW w:type="dxa" w:w="922"/>
            <w:gridSpan w:val="2"/>
            <w:vMerge/>
          </w:tcPr>
          <w:p/>
        </w:tc>
        <w:tc>
          <w:tcPr>
            <w:tcW w:type="dxa" w:w="2307"/>
          </w:tcPr>
          <w:p>
            <w:pPr>
              <w:pStyle w:val="null3"/>
              <w:jc w:val="left"/>
            </w:pPr>
            <w:r>
              <w:rPr/>
              <w:t>数据治理服务响应情况① (1.0分)</w:t>
            </w:r>
          </w:p>
        </w:tc>
        <w:tc>
          <w:tcPr>
            <w:tcW w:type="dxa" w:w="5076"/>
          </w:tcPr>
          <w:p>
            <w:pPr>
              <w:pStyle w:val="null3"/>
              <w:jc w:val="left"/>
            </w:pPr>
            <w:r>
              <w:rPr/>
              <w:t>根据投标人针对本项目制定的数据治理服务响应情况进行综合评分： 能提供针对本项目的数据治理服务响应情况，包括设备接入汇聚、感知数据综合治理、推送共享管理、统计考核分析4个服务治理方向，得1分；如未能提供对本项目的系数据治理服务响应情况或缺少内容的，本项及以下评分项“数据治理服务响应情况②”均不得分。</w:t>
            </w:r>
          </w:p>
        </w:tc>
      </w:tr>
      <w:tr>
        <w:tc>
          <w:tcPr>
            <w:tcW w:type="dxa" w:w="922"/>
            <w:gridSpan w:val="2"/>
            <w:vMerge/>
          </w:tcPr>
          <w:p/>
        </w:tc>
        <w:tc>
          <w:tcPr>
            <w:tcW w:type="dxa" w:w="2307"/>
          </w:tcPr>
          <w:p>
            <w:pPr>
              <w:pStyle w:val="null3"/>
              <w:jc w:val="left"/>
            </w:pPr>
            <w:r>
              <w:rPr/>
              <w:t>数据治理服务响应情况② (1.0分)</w:t>
            </w:r>
          </w:p>
        </w:tc>
        <w:tc>
          <w:tcPr>
            <w:tcW w:type="dxa" w:w="5076"/>
          </w:tcPr>
          <w:p>
            <w:pPr>
              <w:pStyle w:val="null3"/>
              <w:jc w:val="left"/>
            </w:pPr>
            <w:r>
              <w:rPr/>
              <w:t>投标人所提供的数据治理服务响应情况能优于采购需求，得1分，满足采购需求的得0.5分，不满足不得分。</w:t>
            </w:r>
          </w:p>
        </w:tc>
      </w:tr>
      <w:tr>
        <w:tc>
          <w:tcPr>
            <w:tcW w:type="dxa" w:w="922"/>
            <w:gridSpan w:val="2"/>
            <w:vMerge/>
          </w:tcPr>
          <w:p/>
        </w:tc>
        <w:tc>
          <w:tcPr>
            <w:tcW w:type="dxa" w:w="2307"/>
          </w:tcPr>
          <w:p>
            <w:pPr>
              <w:pStyle w:val="null3"/>
              <w:jc w:val="left"/>
            </w:pPr>
            <w:r>
              <w:rPr/>
              <w:t>实施方案（项目团队、质量管理、实施进度等）① (1.0分)</w:t>
            </w:r>
          </w:p>
        </w:tc>
        <w:tc>
          <w:tcPr>
            <w:tcW w:type="dxa" w:w="5076"/>
          </w:tcPr>
          <w:p>
            <w:pPr>
              <w:pStyle w:val="null3"/>
              <w:jc w:val="left"/>
            </w:pPr>
            <w:r>
              <w:rPr/>
              <w:t>根据投标人针对本项目制定的实施方案（项目团队、质量管理、实施进度等）进行综合评分： 能提供针对本项目的实施方案（项目团队、质量管理、实施进度等），得1分；如未能提供对本项目的实施方案（项目团队、质量管理、实施进度等）或缺少内容的，本项及以下评分项“数据治理服务响应情况②”均不得分。</w:t>
            </w:r>
          </w:p>
        </w:tc>
      </w:tr>
      <w:tr>
        <w:tc>
          <w:tcPr>
            <w:tcW w:type="dxa" w:w="922"/>
            <w:gridSpan w:val="2"/>
            <w:vMerge/>
          </w:tcPr>
          <w:p/>
        </w:tc>
        <w:tc>
          <w:tcPr>
            <w:tcW w:type="dxa" w:w="2307"/>
          </w:tcPr>
          <w:p>
            <w:pPr>
              <w:pStyle w:val="null3"/>
              <w:jc w:val="left"/>
            </w:pPr>
            <w:r>
              <w:rPr/>
              <w:t>实施方案（项目团队、质量管理、实施进度等）② (4.0分)</w:t>
            </w:r>
          </w:p>
        </w:tc>
        <w:tc>
          <w:tcPr>
            <w:tcW w:type="dxa" w:w="5076"/>
          </w:tcPr>
          <w:p>
            <w:pPr>
              <w:pStyle w:val="null3"/>
              <w:jc w:val="left"/>
            </w:pPr>
            <w:r>
              <w:rPr/>
              <w:t>投标人所提供的实施方案（项目团队、质量管理、实施进度等）能优于采购需求，得4分，满足采购需求的得2分，不满足不得分。</w:t>
            </w:r>
          </w:p>
        </w:tc>
      </w:tr>
      <w:tr>
        <w:tc>
          <w:tcPr>
            <w:tcW w:type="dxa" w:w="922"/>
            <w:gridSpan w:val="2"/>
            <w:vMerge/>
          </w:tcPr>
          <w:p/>
        </w:tc>
        <w:tc>
          <w:tcPr>
            <w:tcW w:type="dxa" w:w="2307"/>
          </w:tcPr>
          <w:p>
            <w:pPr>
              <w:pStyle w:val="null3"/>
              <w:jc w:val="left"/>
            </w:pPr>
            <w:r>
              <w:rPr/>
              <w:t>视频接入、共享及管理能力演示考察 (7.0分)</w:t>
            </w:r>
          </w:p>
        </w:tc>
        <w:tc>
          <w:tcPr>
            <w:tcW w:type="dxa" w:w="5076"/>
          </w:tcPr>
          <w:p>
            <w:pPr>
              <w:pStyle w:val="null3"/>
              <w:jc w:val="left"/>
            </w:pPr>
            <w:r>
              <w:rPr/>
              <w:t>一、视频接入、共享及管理能力考察（7.0分） 1、支持对视频监视设备的统一接入和协议转换：视频接入支持接入HLS格式（模拟无人机等流媒体设备接入）的直播流和视频文件，支持设置该通道的国标编码、传输协议、叠加水印信息、经纬度、视频分辨率、视频码率，配置完成后，可通过WebRTC格式进行该视频的调阅，此项满足得2分，任一功能点不满足不得分；注：要用系统演示，通过图片、PPT、静态页面、录屏演示不得分。 2、视频播放控制功能支持多协议调阅：在国产化电脑上面通过B/S模式进行视频调阅，支持FLV、WS_FLV、WebRTC、HLS多种协议流调阅方式。支持视频调阅时点击名称旁边图标查看视频流信息，包括分辨率、帧率、码率、丢包率、视频编码、音频编码、传输模式、持续时长，此项满足得2分，任一功能点不满足不得分；注：要用系统演示，通过图片、PPT、静态页面、录屏演示不得分。 3、视频接入管理展示：具备B/S架构的管理后台，后台界面展示出系统整体接入服务情况概览，左上方展示通道信息，包括在线数、总设备、总通道情况；中上方展示负载信息，点击负载的情况可以看到具体的负载会话列表情况，包括具体的负载通道国标编号、通道名称、会话类型、开始时间、持续时间、收流大小、收流码率、在线人数等；右上方展示CPU使用信息折线图展示；左下方展示存储使用信息柱状图展示；中下方展示带宽使用信息曲线图展示；右下方展示内存使用信息曲线图展示，此项满足得1分，任一功能点不满足不得分；注：要用系统演示，通过图片、PPT、静态页面、录屏演示不得分。 4、视频级联共享能力：针对视频共享平台级联时，支持本地IP设置、本地端口设置、流并发数限制、云台控制权限设置、共享录像权限设置、RTCP流保活设置、强制推送H264媒体流设置；在上级平台上接收强制推送H264媒体流通道并可看到视频画面，此项满足得2分，任一功能点不满足不得分；注：要用系统演示，通过图片、PPT、静态页面、录屏演示不得分。</w:t>
            </w:r>
          </w:p>
        </w:tc>
      </w:tr>
      <w:tr>
        <w:tc>
          <w:tcPr>
            <w:tcW w:type="dxa" w:w="922"/>
            <w:gridSpan w:val="2"/>
            <w:vMerge/>
          </w:tcPr>
          <w:p/>
        </w:tc>
        <w:tc>
          <w:tcPr>
            <w:tcW w:type="dxa" w:w="2307"/>
          </w:tcPr>
          <w:p>
            <w:pPr>
              <w:pStyle w:val="null3"/>
              <w:jc w:val="left"/>
            </w:pPr>
            <w:r>
              <w:rPr/>
              <w:t>视频应用功能演示考察 (4.0分)</w:t>
            </w:r>
          </w:p>
        </w:tc>
        <w:tc>
          <w:tcPr>
            <w:tcW w:type="dxa" w:w="5076"/>
          </w:tcPr>
          <w:p>
            <w:pPr>
              <w:pStyle w:val="null3"/>
              <w:jc w:val="left"/>
            </w:pPr>
            <w:r>
              <w:rPr/>
              <w:t>二、视频应用功能考察（4.0分） 1、视频目录及地图功能：用户登录系统后，在用户端“首页”上展示出广州市电子地图，默认展示聚合层级图标；“设备列表”功能展示基础资源目录及公共标签目录，在目录中点击视频点位可自动定位在电子地图的位置，此项满足得1分，任一功能点不满足不得分；注：要用系统演示，通过图片、PPT、静态页面、录屏演示不得分。 2、视频标签管理：用户支持自定义创建个人标签，在地图上点击视频点位预览视频，可针对该点位自行添加个人标签，添加完成后可在个人标签分组内查看标签下的点位信息，此项满足得1分，任一功能点不满足不得分；注：要用系统演示，通过图片、PPT、静态页面、录屏演示不得分。 3、视频分组轮询功能：在国产化电脑上，通过“首页”点击左侧的“区域飞巡”功能按钮可按“中心点”、“轴心线”、“多边形”绘制飞巡范围，“巡查线”默认巡查半径范围为1km，在区域巡查范围内的视频点位结果自动列出列表，勾选需要巡检的监控设置停留时长、飞巡模式等，选择地图飞巡模式，显示出飞巡的起点至终点的范围，点击“确定”功能，在地图上依次自动针对选择的点位进行自动巡查，巡查时视角跟随点位进行移动，并展示出飞巡中、已飞巡的状态信息，此项满足得1分，任一功能点不满足不得分；注：要用系统演示，通过图片、PPT、静态页面、录屏演示不得分。 4、视频飞巡功能：在国产化电脑上，通过“首页”左侧的“飞巡记录”功能按钮，点击飞巡记录任务，可查询飞巡的记录信息，包括飞巡的任务名称、飞巡时间、飞巡模式、选择方式，并列出飞巡对象及飞巡区域，点击再次飞巡，可重新执行该飞巡记录的任务，此项满足得1分，任一功能点不满足不得分；注：要用系统演示，通过图片、PPT、静态页面、录屏演示不得分。</w:t>
            </w:r>
          </w:p>
        </w:tc>
      </w:tr>
      <w:tr>
        <w:tc>
          <w:tcPr>
            <w:tcW w:type="dxa" w:w="922"/>
            <w:gridSpan w:val="2"/>
            <w:vMerge/>
          </w:tcPr>
          <w:p/>
        </w:tc>
        <w:tc>
          <w:tcPr>
            <w:tcW w:type="dxa" w:w="2307"/>
          </w:tcPr>
          <w:p>
            <w:pPr>
              <w:pStyle w:val="null3"/>
              <w:jc w:val="left"/>
            </w:pPr>
            <w:r>
              <w:rPr/>
              <w:t>视频平台安全管理及稳定性演示考察 (4.0分)</w:t>
            </w:r>
          </w:p>
        </w:tc>
        <w:tc>
          <w:tcPr>
            <w:tcW w:type="dxa" w:w="5076"/>
          </w:tcPr>
          <w:p>
            <w:pPr>
              <w:pStyle w:val="null3"/>
              <w:jc w:val="left"/>
            </w:pPr>
            <w:r>
              <w:rPr/>
              <w:t>三、视频平台管理及稳定性考察（4.0分） 1、视频安全审计：系统用户端调阅视频时，默认打上视频安全水印信息，水印信息自动打上登录的用户名信息；系统管理台支持查询用户审计信息，包括操作信息及登录信息，操作信息包括操作名称、远端地址、操作结果、操作人、操作时间；登录日志包括用户名称、IP地址、状态、访问时间，此项满足得1分，任一功能点不满足不得分；注：要用系统演示，通过图片、PPT、静态页面、录屏演示不得分。 2、流媒体服务配置支持基于Web方式进行修改：流媒体服务修改支持云录像目录配置、RTSP端口配置、RTMP端口配置、录像保存天数设置、收流端口区间(TCP)配置、收流端口区间(UDP)配置、WebRTC端口区间配置，此项满足得1分，任一功能点不满足不得分；注：要用系统演示，通过图片、PPT、静态页面、录屏演示不得分。 3、视频平台双机热备稳定性：视频联网接入支持信令服务双机热备，当其中运行着的一台服务器出现故障无法启动时，另一台备份服务器支持自动启动并运行切换服务，在30秒内完成故障自动恢复能力，恢复视频调阅，此项满足得2分，任一功能点不满足不得分；注：要用系统演示，通过图片、PPT、静态页面、录屏演示不得分。</w:t>
            </w:r>
          </w:p>
        </w:tc>
      </w:tr>
      <w:tr>
        <w:tc>
          <w:tcPr>
            <w:tcW w:type="dxa" w:w="922"/>
            <w:gridSpan w:val="2"/>
            <w:vMerge w:val="restart"/>
          </w:tcPr>
          <w:p>
            <w:pPr>
              <w:pStyle w:val="null3"/>
              <w:jc w:val="center"/>
            </w:pPr>
            <w:r>
              <w:rPr/>
              <w:t>商务部分</w:t>
            </w:r>
          </w:p>
        </w:tc>
        <w:tc>
          <w:tcPr>
            <w:tcW w:type="dxa" w:w="2307"/>
          </w:tcPr>
          <w:p>
            <w:pPr>
              <w:pStyle w:val="null3"/>
              <w:jc w:val="left"/>
            </w:pPr>
            <w:r>
              <w:rPr/>
              <w:t>本项目项目经理的资质情况 (6.0分)</w:t>
            </w:r>
          </w:p>
        </w:tc>
        <w:tc>
          <w:tcPr>
            <w:tcW w:type="dxa" w:w="5076"/>
          </w:tcPr>
          <w:p>
            <w:pPr>
              <w:pStyle w:val="null3"/>
              <w:jc w:val="left"/>
            </w:pPr>
            <w:r>
              <w:rPr/>
              <w:t>拟投入本项目的项目经理： 1、具有软考的信息系统项目管理师证书，得2分； 2、具有软考的系统规划与管理师证书，得1分； 3、具有软考的系统分析师证书，得1分； 4、具有硕士或以上学位，得1分； 5、具备3年（含）以上项目管理经验，得1分。 注:1、需提供以上资质和学位证书扫描件及项目经理在投标人任职的外部证明材料扫描件（如加盖政府有关部门印章的日期在本项目投标截止日之前六个月以内的任意月份《投保单》或《社会保险参保人员证明》，或单位代缴个人所得税税单等），不提供不得分；2、相关项目管理经验提供由投标人出具的声明文件（声明内容应包含该人员从事对应工作的起止时间及所负责的工作内容）和不少于36个月社保缴费记录资料为证明材料，社保资料不同单位可累计。</w:t>
            </w:r>
          </w:p>
        </w:tc>
      </w:tr>
      <w:tr>
        <w:tc>
          <w:tcPr>
            <w:tcW w:type="dxa" w:w="922"/>
            <w:gridSpan w:val="2"/>
            <w:vMerge/>
          </w:tcPr>
          <w:p/>
        </w:tc>
        <w:tc>
          <w:tcPr>
            <w:tcW w:type="dxa" w:w="2307"/>
          </w:tcPr>
          <w:p>
            <w:pPr>
              <w:pStyle w:val="null3"/>
              <w:jc w:val="left"/>
            </w:pPr>
            <w:r>
              <w:rPr/>
              <w:t>本项目技术负责人（非项目经理）的资质情况 (5.0分)</w:t>
            </w:r>
          </w:p>
        </w:tc>
        <w:tc>
          <w:tcPr>
            <w:tcW w:type="dxa" w:w="5076"/>
          </w:tcPr>
          <w:p>
            <w:pPr>
              <w:pStyle w:val="null3"/>
              <w:jc w:val="left"/>
            </w:pPr>
            <w:r>
              <w:rPr/>
              <w:t>拟投入本项目的技术负责人（项目经理除外）： 1、具有软考的信息系统项目管理师证书，得2分； 2、具有软考的系统分析师证书，得2分； 3、具有计算机软件相关专业的硕士或以上学位，得1分； 注: 需提供以上资质和学位证书扫描件及技术负责人在投标人任职的外部证明材料扫描件（如加盖政府有关部门印章的日期在本项目投标截止日之前六个月以内的任意月份《投保单》或《社会保险参保人员证明》，或单位代缴个人所得税税单等），不提供不得分。</w:t>
            </w:r>
          </w:p>
        </w:tc>
      </w:tr>
      <w:tr>
        <w:tc>
          <w:tcPr>
            <w:tcW w:type="dxa" w:w="922"/>
            <w:gridSpan w:val="2"/>
            <w:vMerge/>
          </w:tcPr>
          <w:p/>
        </w:tc>
        <w:tc>
          <w:tcPr>
            <w:tcW w:type="dxa" w:w="2307"/>
          </w:tcPr>
          <w:p>
            <w:pPr>
              <w:pStyle w:val="null3"/>
              <w:jc w:val="left"/>
            </w:pPr>
            <w:r>
              <w:rPr/>
              <w:t>本项目团队人员（非项目经理、非技术负责人）资质情况 (6.0分)</w:t>
            </w:r>
          </w:p>
        </w:tc>
        <w:tc>
          <w:tcPr>
            <w:tcW w:type="dxa" w:w="5076"/>
          </w:tcPr>
          <w:p>
            <w:pPr>
              <w:pStyle w:val="null3"/>
              <w:jc w:val="left"/>
            </w:pPr>
            <w:r>
              <w:rPr/>
              <w:t>具有计算机技术与软件专业技术资格（水平）考试的中级或以上证书，每提供一个得1分； 上述证书，每证1分，最高6分。一人具备多证的，不重复计分。 注:投标人须提供上述人员证书扫描件，以及团队人员在投标人服务的外部证明材料扫描件，如投标截止日之前六个月以内任意月份的代缴个税税单或参加社会保险的《投保单》或《社会保险参保人员证明》等。未同时提供不得分。</w:t>
            </w:r>
          </w:p>
        </w:tc>
      </w:tr>
      <w:tr>
        <w:tc>
          <w:tcPr>
            <w:tcW w:type="dxa" w:w="922"/>
            <w:gridSpan w:val="2"/>
            <w:vMerge/>
          </w:tcPr>
          <w:p/>
        </w:tc>
        <w:tc>
          <w:tcPr>
            <w:tcW w:type="dxa" w:w="2307"/>
          </w:tcPr>
          <w:p>
            <w:pPr>
              <w:pStyle w:val="null3"/>
              <w:jc w:val="left"/>
            </w:pPr>
            <w:r>
              <w:rPr/>
              <w:t>投标人具有的管理体系认证情况 (3.0分)</w:t>
            </w:r>
          </w:p>
        </w:tc>
        <w:tc>
          <w:tcPr>
            <w:tcW w:type="dxa" w:w="5076"/>
          </w:tcPr>
          <w:p>
            <w:pPr>
              <w:pStyle w:val="null3"/>
              <w:jc w:val="left"/>
            </w:pPr>
            <w:r>
              <w:rPr/>
              <w:t>投标人具有质量管理体系认证证书，认证范围须包含与系统集成类及数据管理（或数据治理）类相关内容，得 3分。 注:1、提供证书扫描件及在全国认证认可信息公共服务平台上对证书的查询结果截图为证明材料；2、如因投标人（供应商）成立时间不足，导致未能取得相关认证且提供书面说明的，对应证书可得分；3、不提供或信息不符，不得分。</w:t>
            </w:r>
          </w:p>
        </w:tc>
      </w:tr>
      <w:tr>
        <w:tc>
          <w:tcPr>
            <w:tcW w:type="dxa" w:w="922"/>
            <w:gridSpan w:val="2"/>
            <w:vMerge/>
          </w:tcPr>
          <w:p/>
        </w:tc>
        <w:tc>
          <w:tcPr>
            <w:tcW w:type="dxa" w:w="2307"/>
          </w:tcPr>
          <w:p>
            <w:pPr>
              <w:pStyle w:val="null3"/>
              <w:jc w:val="left"/>
            </w:pPr>
            <w:r>
              <w:rPr/>
              <w:t>关键技术能力要求 (6.0分)</w:t>
            </w:r>
          </w:p>
        </w:tc>
        <w:tc>
          <w:tcPr>
            <w:tcW w:type="dxa" w:w="5076"/>
          </w:tcPr>
          <w:p>
            <w:pPr>
              <w:pStyle w:val="null3"/>
              <w:jc w:val="left"/>
            </w:pPr>
            <w:r>
              <w:rPr/>
              <w:t>投标人自主具有视频监控类、数据信息采集类、数据采集治理类、数据质量控制类类别等与本项目内容相关的计算机软件著作权登记证书的，每提供一类软著得1.5分，本项最高得6分。 注：以提供的证件扫描件以及中国版权保护中心网站查询页面截图为准。</w:t>
            </w:r>
          </w:p>
        </w:tc>
      </w:tr>
      <w:tr>
        <w:tc>
          <w:tcPr>
            <w:tcW w:type="dxa" w:w="922"/>
            <w:gridSpan w:val="2"/>
            <w:vMerge/>
          </w:tcPr>
          <w:p/>
        </w:tc>
        <w:tc>
          <w:tcPr>
            <w:tcW w:type="dxa" w:w="2307"/>
          </w:tcPr>
          <w:p>
            <w:pPr>
              <w:pStyle w:val="null3"/>
              <w:jc w:val="left"/>
            </w:pPr>
            <w:r>
              <w:rPr/>
              <w:t>同类项目经验（分支机构投标的，总公司（总所）业绩可纳入评审） (3.0分)</w:t>
            </w:r>
          </w:p>
        </w:tc>
        <w:tc>
          <w:tcPr>
            <w:tcW w:type="dxa" w:w="5076"/>
          </w:tcPr>
          <w:p>
            <w:pPr>
              <w:pStyle w:val="null3"/>
              <w:jc w:val="left"/>
            </w:pPr>
            <w:r>
              <w:rPr/>
              <w:t>提供2021年以来具有视频类系统集成或软件开发项目经验，提供合同关键页复印件（包括项目名称，甲乙双方名称，甲乙双方盖章，合同签订时间）。每提供一个得1分，最高3分。（请投标人严格按照要求提交相关证明材料，否则有可能影响评审结果。）</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 “信用中国”（www.creditchina.gov.cn）网站为查询渠道：对列入行政处罚或失信惩戒的投标人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ind w:firstLine="480"/>
        <w:jc w:val="both"/>
      </w:pPr>
    </w:p>
    <w:p>
      <w:pPr>
        <w:pStyle w:val="null3"/>
        <w:ind w:firstLine="480"/>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61"/>
        <w:gridCol w:w="461"/>
        <w:gridCol w:w="461"/>
        <w:gridCol w:w="461"/>
        <w:gridCol w:w="461"/>
        <w:gridCol w:w="461"/>
        <w:gridCol w:w="461"/>
        <w:gridCol w:w="461"/>
        <w:gridCol w:w="461"/>
        <w:gridCol w:w="461"/>
        <w:gridCol w:w="461"/>
        <w:gridCol w:w="461"/>
        <w:gridCol w:w="461"/>
        <w:gridCol w:w="461"/>
        <w:gridCol w:w="461"/>
        <w:gridCol w:w="461"/>
        <w:gridCol w:w="461"/>
        <w:gridCol w:w="461"/>
      </w:tblGrid>
      <w:tr>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r>
    </w:tbl>
    <w:p>
      <w:pPr>
        <w:pStyle w:val="null3"/>
        <w:ind w:firstLine="480"/>
      </w:pPr>
    </w:p>
    <w:p>
      <w:pPr>
        <w:pStyle w:val="null3"/>
        <w:ind w:firstLine="480"/>
      </w:pPr>
      <w:r>
        <w:rPr>
          <w:sz w:val="28"/>
        </w:rPr>
        <w:t>合同</w:t>
      </w:r>
    </w:p>
    <w:p>
      <w:pPr>
        <w:pStyle w:val="null3"/>
        <w:ind w:firstLine="480"/>
      </w:pPr>
      <w:r>
        <w:rPr>
          <w:sz w:val="28"/>
        </w:rPr>
        <w:t>编号：</w:t>
      </w:r>
    </w:p>
    <w:p>
      <w:pPr>
        <w:pStyle w:val="null3"/>
        <w:ind w:firstLine="480"/>
      </w:pPr>
    </w:p>
    <w:p>
      <w:pPr>
        <w:pStyle w:val="null3"/>
        <w:ind w:firstLine="480"/>
      </w:pPr>
    </w:p>
    <w:p>
      <w:pPr>
        <w:pStyle w:val="null3"/>
        <w:ind w:firstLine="480"/>
        <w:jc w:val="both"/>
      </w:pPr>
    </w:p>
    <w:p>
      <w:pPr>
        <w:pStyle w:val="null3"/>
        <w:ind w:firstLine="480"/>
      </w:pPr>
    </w:p>
    <w:p>
      <w:pPr>
        <w:pStyle w:val="null3"/>
        <w:ind w:left="-15" w:firstLine="480"/>
        <w:jc w:val="center"/>
      </w:pPr>
      <w:r>
        <w:rPr>
          <w:b/>
          <w:sz w:val="44"/>
        </w:rPr>
        <w:t>广州市政府采购合同</w:t>
      </w:r>
    </w:p>
    <w:p>
      <w:pPr>
        <w:pStyle w:val="null3"/>
        <w:ind w:left="-15" w:firstLine="480"/>
        <w:jc w:val="center"/>
      </w:pPr>
    </w:p>
    <w:p>
      <w:pPr>
        <w:pStyle w:val="null3"/>
        <w:ind w:left="-15" w:firstLine="480"/>
        <w:jc w:val="center"/>
      </w:pPr>
      <w:r>
        <w:rPr>
          <w:b/>
          <w:sz w:val="44"/>
        </w:rPr>
        <w:t>技术开发服务</w:t>
      </w:r>
    </w:p>
    <w:p>
      <w:pPr>
        <w:pStyle w:val="null3"/>
        <w:ind w:firstLine="480"/>
      </w:pPr>
    </w:p>
    <w:p>
      <w:pPr>
        <w:pStyle w:val="null3"/>
        <w:ind w:firstLine="480"/>
      </w:pPr>
    </w:p>
    <w:p>
      <w:pPr>
        <w:pStyle w:val="null3"/>
        <w:ind w:firstLine="480"/>
      </w:pPr>
    </w:p>
    <w:p>
      <w:pPr>
        <w:pStyle w:val="null3"/>
        <w:ind w:firstLine="480"/>
      </w:pPr>
    </w:p>
    <w:p>
      <w:pPr>
        <w:pStyle w:val="null3"/>
        <w:spacing w:before="120" w:after="120"/>
        <w:ind w:left="1605" w:firstLine="480"/>
      </w:pPr>
      <w:r>
        <w:rPr>
          <w:sz w:val="32"/>
        </w:rPr>
        <w:t>项目名称：</w:t>
      </w:r>
      <w:r>
        <w:rPr>
          <w:u w:val="single"/>
        </w:rPr>
        <w:t xml:space="preserve">                               </w:t>
      </w:r>
    </w:p>
    <w:p>
      <w:pPr>
        <w:pStyle w:val="null3"/>
        <w:ind w:firstLine="480"/>
      </w:pPr>
    </w:p>
    <w:p>
      <w:pPr>
        <w:pStyle w:val="null3"/>
        <w:ind w:firstLine="480"/>
      </w:pPr>
    </w:p>
    <w:p>
      <w:pPr>
        <w:pStyle w:val="null3"/>
        <w:ind w:firstLine="480"/>
      </w:pPr>
    </w:p>
    <w:p>
      <w:pPr>
        <w:pStyle w:val="null3"/>
        <w:ind w:firstLine="480"/>
      </w:pPr>
    </w:p>
    <w:p>
      <w:pPr>
        <w:pStyle w:val="null3"/>
        <w:ind w:firstLine="480"/>
        <w:jc w:val="both"/>
      </w:pPr>
      <w:r>
        <w:rPr>
          <w:sz w:val="32"/>
        </w:rPr>
        <w:t>甲方（采购人）：</w:t>
      </w:r>
      <w:r>
        <w:rPr>
          <w:u w:val="single"/>
        </w:rPr>
        <w:t xml:space="preserve">                          </w:t>
      </w:r>
    </w:p>
    <w:p>
      <w:pPr>
        <w:pStyle w:val="null3"/>
        <w:ind w:firstLine="480"/>
        <w:jc w:val="both"/>
      </w:pPr>
    </w:p>
    <w:p>
      <w:pPr>
        <w:pStyle w:val="null3"/>
        <w:ind w:firstLine="480"/>
        <w:jc w:val="both"/>
      </w:pPr>
    </w:p>
    <w:p>
      <w:pPr>
        <w:pStyle w:val="null3"/>
        <w:ind w:firstLine="480"/>
        <w:jc w:val="both"/>
      </w:pPr>
    </w:p>
    <w:p>
      <w:pPr>
        <w:pStyle w:val="null3"/>
        <w:ind w:firstLine="480"/>
      </w:pPr>
      <w:r>
        <w:rPr>
          <w:sz w:val="32"/>
        </w:rPr>
        <w:t>乙方（中标供应商）：</w:t>
      </w:r>
      <w:r>
        <w:rPr>
          <w:u w:val="single"/>
        </w:rPr>
        <w:t xml:space="preserve">                      </w:t>
      </w:r>
    </w:p>
    <w:p>
      <w:pPr>
        <w:pStyle w:val="null3"/>
        <w:ind w:firstLine="480"/>
      </w:pPr>
    </w:p>
    <w:p>
      <w:pPr>
        <w:pStyle w:val="null3"/>
        <w:ind w:firstLine="480"/>
      </w:pPr>
    </w:p>
    <w:p>
      <w:pPr>
        <w:pStyle w:val="null3"/>
        <w:spacing w:before="120" w:after="120"/>
        <w:ind w:firstLine="480"/>
      </w:pPr>
      <w:r>
        <w:rPr>
          <w:sz w:val="32"/>
        </w:rPr>
        <w:t>签订地点：</w:t>
      </w:r>
      <w:r>
        <w:rPr/>
        <w:t xml:space="preserve"> </w:t>
      </w:r>
      <w:r>
        <w:rPr>
          <w:sz w:val="32"/>
        </w:rPr>
        <w:t>广州市天河区</w:t>
      </w:r>
    </w:p>
    <w:p>
      <w:pPr>
        <w:pStyle w:val="null3"/>
        <w:ind w:firstLine="480"/>
        <w:jc w:val="both"/>
      </w:pPr>
      <w:r>
        <w:rPr>
          <w:sz w:val="32"/>
        </w:rPr>
        <w:t>签订日期：</w:t>
      </w:r>
      <w:r>
        <w:rPr>
          <w:u w:val="single"/>
        </w:rPr>
        <w:t xml:space="preserve">    </w:t>
      </w:r>
      <w:r>
        <w:rPr>
          <w:sz w:val="32"/>
        </w:rPr>
        <w:t>年</w:t>
      </w:r>
      <w:r>
        <w:rPr>
          <w:u w:val="single"/>
        </w:rPr>
        <w:t xml:space="preserve">  </w:t>
      </w:r>
      <w:r>
        <w:rPr>
          <w:sz w:val="32"/>
        </w:rPr>
        <w:t>月</w:t>
      </w:r>
      <w:r>
        <w:rPr>
          <w:u w:val="single"/>
        </w:rPr>
        <w:t xml:space="preserve"> </w:t>
      </w:r>
      <w:r>
        <w:rPr>
          <w:sz w:val="32"/>
        </w:rPr>
        <w:t>日</w:t>
      </w:r>
    </w:p>
    <w:p>
      <w:pPr>
        <w:pStyle w:val="null3"/>
      </w:pPr>
    </w:p>
    <w:p>
      <w:pPr>
        <w:pStyle w:val="null3"/>
        <w:ind w:firstLine="480"/>
        <w:jc w:val="both"/>
      </w:pPr>
    </w:p>
    <w:p>
      <w:pPr>
        <w:pStyle w:val="null3"/>
        <w:ind w:firstLine="480"/>
        <w:jc w:val="both"/>
      </w:pPr>
      <w:r>
        <w:rPr>
          <w:sz w:val="24"/>
        </w:rPr>
        <w:t>依据《中华人民共和国民法典》及相关法律的规定，合同双方就</w:t>
      </w:r>
      <w:r>
        <w:rPr>
          <w:u w:val="single"/>
        </w:rPr>
        <w:t xml:space="preserve">     </w:t>
      </w:r>
      <w:r>
        <w:rPr>
          <w:sz w:val="24"/>
        </w:rPr>
        <w:t>项目（项目采购编号：</w:t>
      </w:r>
      <w:r>
        <w:rPr>
          <w:u w:val="single"/>
        </w:rPr>
        <w:t xml:space="preserve">   </w:t>
      </w:r>
      <w:r>
        <w:rPr>
          <w:sz w:val="24"/>
        </w:rPr>
        <w:t>，以下简称项目）的技术开发，经协商一致，签订本合同。</w:t>
      </w:r>
    </w:p>
    <w:p>
      <w:pPr>
        <w:pStyle w:val="null3"/>
        <w:ind w:firstLine="420"/>
      </w:pPr>
      <w:r>
        <w:rPr>
          <w:sz w:val="24"/>
        </w:rPr>
        <w:t>本合同根据项目招标文件和该项目的中标通知书由甲方与乙方签订，并经甲乙双方协商同意下列条款：</w:t>
      </w:r>
    </w:p>
    <w:p>
      <w:pPr>
        <w:pStyle w:val="null3"/>
        <w:ind w:firstLine="482"/>
        <w:jc w:val="both"/>
      </w:pPr>
      <w:r>
        <w:rPr>
          <w:b/>
          <w:sz w:val="24"/>
        </w:rPr>
        <w:t>一、说明</w:t>
      </w:r>
    </w:p>
    <w:p>
      <w:pPr>
        <w:pStyle w:val="null3"/>
        <w:ind w:firstLine="480"/>
        <w:jc w:val="both"/>
      </w:pPr>
      <w:r>
        <w:rPr>
          <w:sz w:val="24"/>
        </w:rPr>
        <w:t>（一）下列文件均为本合同不可分割部分</w:t>
      </w:r>
    </w:p>
    <w:p>
      <w:pPr>
        <w:pStyle w:val="null3"/>
        <w:ind w:firstLine="480"/>
        <w:jc w:val="both"/>
      </w:pPr>
      <w:r>
        <w:rPr>
          <w:sz w:val="24"/>
        </w:rPr>
        <w:t>1.</w:t>
      </w:r>
      <w:r>
        <w:rPr>
          <w:sz w:val="24"/>
        </w:rPr>
        <w:t>中标通知书或成交通知书；</w:t>
      </w:r>
    </w:p>
    <w:p>
      <w:pPr>
        <w:pStyle w:val="null3"/>
        <w:ind w:firstLine="480"/>
        <w:jc w:val="both"/>
      </w:pPr>
      <w:r>
        <w:rPr>
          <w:sz w:val="24"/>
        </w:rPr>
        <w:t>2.</w:t>
      </w:r>
      <w:r>
        <w:rPr>
          <w:sz w:val="24"/>
        </w:rPr>
        <w:t>本项目招标采购文件；</w:t>
      </w:r>
    </w:p>
    <w:p>
      <w:pPr>
        <w:pStyle w:val="null3"/>
        <w:ind w:firstLine="480"/>
        <w:jc w:val="both"/>
      </w:pPr>
      <w:r>
        <w:rPr>
          <w:sz w:val="24"/>
        </w:rPr>
        <w:t>3.</w:t>
      </w:r>
      <w:r>
        <w:rPr>
          <w:sz w:val="24"/>
        </w:rPr>
        <w:t>乙方中标的投标文件。</w:t>
      </w:r>
    </w:p>
    <w:p>
      <w:pPr>
        <w:pStyle w:val="null3"/>
        <w:ind w:firstLine="480"/>
        <w:jc w:val="both"/>
      </w:pPr>
      <w:r>
        <w:rPr>
          <w:sz w:val="24"/>
        </w:rPr>
        <w:t>以上文件与合同附件具有同等法律效力，本合同未约定之内容按照前述文件约定内容执行。</w:t>
      </w:r>
    </w:p>
    <w:p>
      <w:pPr>
        <w:pStyle w:val="null3"/>
        <w:ind w:firstLine="480"/>
        <w:jc w:val="both"/>
      </w:pPr>
      <w:r>
        <w:rPr>
          <w:sz w:val="24"/>
        </w:rPr>
        <w:t>（二）关于转、分包</w:t>
      </w:r>
    </w:p>
    <w:p>
      <w:pPr>
        <w:pStyle w:val="null3"/>
        <w:ind w:firstLine="480"/>
        <w:jc w:val="both"/>
      </w:pPr>
      <w:r>
        <w:rPr>
          <w:sz w:val="24"/>
        </w:rPr>
        <w:t>乙方不得将本合同项目转包，不得将本项目关键性工作分包，未经甲方书面同意，乙方不得将本合同项目非关键性工作分包。</w:t>
      </w:r>
    </w:p>
    <w:p>
      <w:pPr>
        <w:pStyle w:val="null3"/>
        <w:ind w:firstLine="482"/>
        <w:jc w:val="both"/>
      </w:pPr>
      <w:r>
        <w:rPr>
          <w:b/>
          <w:sz w:val="24"/>
        </w:rPr>
        <w:t>二、标的技术的内容、形式和要求</w:t>
      </w:r>
    </w:p>
    <w:p>
      <w:pPr>
        <w:pStyle w:val="null3"/>
        <w:ind w:firstLine="480"/>
        <w:jc w:val="both"/>
      </w:pPr>
      <w:r>
        <w:rPr>
          <w:sz w:val="24"/>
        </w:rPr>
        <w:t>（一）项目的主要技术内容主要是完成建设方案中有关项目明确的软件系统的开发、测试、安装等。</w:t>
      </w:r>
    </w:p>
    <w:p>
      <w:pPr>
        <w:pStyle w:val="null3"/>
        <w:ind w:firstLine="480"/>
        <w:jc w:val="both"/>
      </w:pPr>
      <w:r>
        <w:rPr>
          <w:sz w:val="24"/>
        </w:rPr>
        <w:t>（二）甲方、乙方与监理方共同组成项目管理委员会作为项目有关争议协调的最终决定机构，三方共同协商并指定专门接口人员负责协调事宜，并负责除合同本身之外的项目实施相关其他事宜的确认。</w:t>
      </w:r>
    </w:p>
    <w:p>
      <w:pPr>
        <w:pStyle w:val="null3"/>
        <w:ind w:firstLine="480"/>
        <w:jc w:val="both"/>
      </w:pPr>
      <w:r>
        <w:rPr>
          <w:sz w:val="24"/>
        </w:rPr>
        <w:t>（三）由乙方根据甲方需求框架充分调查并与甲方协商后于</w:t>
      </w:r>
      <w:r>
        <w:rPr>
          <w:b/>
          <w:sz w:val="24"/>
          <w:u w:val="single"/>
        </w:rPr>
        <w:t>本合同生效后</w:t>
      </w:r>
    </w:p>
    <w:p>
      <w:pPr>
        <w:pStyle w:val="null3"/>
        <w:ind w:firstLine="480"/>
        <w:jc w:val="both"/>
      </w:pPr>
      <w:r>
        <w:rPr>
          <w:b/>
          <w:sz w:val="24"/>
          <w:u w:val="single"/>
        </w:rPr>
        <w:t>30</w:t>
      </w:r>
      <w:r>
        <w:rPr>
          <w:b/>
          <w:sz w:val="24"/>
          <w:u w:val="single"/>
        </w:rPr>
        <w:t>个日历日内</w:t>
      </w:r>
      <w:r>
        <w:rPr>
          <w:sz w:val="24"/>
        </w:rPr>
        <w:t>完成</w:t>
      </w:r>
      <w:r>
        <w:rPr>
          <w:b/>
          <w:sz w:val="24"/>
          <w:u w:val="single"/>
        </w:rPr>
        <w:t>《项目需求规格说明书》</w:t>
      </w:r>
      <w:r>
        <w:rPr>
          <w:sz w:val="24"/>
        </w:rPr>
        <w:t>，应明确系统需要具备的功能、性能指标和对应解决甲方的应用需求，经乙方提交、监理审核、甲方审定，三方签字确认的</w:t>
      </w:r>
      <w:r>
        <w:rPr>
          <w:b/>
          <w:sz w:val="24"/>
          <w:u w:val="single"/>
        </w:rPr>
        <w:t>《项目需求规格说明书》</w:t>
      </w:r>
      <w:r>
        <w:rPr>
          <w:sz w:val="24"/>
        </w:rPr>
        <w:t>将作为本合同执行不可分割的部分。</w:t>
      </w:r>
    </w:p>
    <w:p>
      <w:pPr>
        <w:pStyle w:val="null3"/>
        <w:ind w:firstLine="480"/>
        <w:jc w:val="both"/>
      </w:pPr>
      <w:r>
        <w:rPr>
          <w:sz w:val="24"/>
        </w:rPr>
        <w:t>乙方开发的系统应具备以下条件包括但不限于：</w:t>
      </w:r>
    </w:p>
    <w:p>
      <w:pPr>
        <w:pStyle w:val="null3"/>
        <w:ind w:firstLine="480"/>
        <w:jc w:val="both"/>
      </w:pPr>
      <w:r>
        <w:rPr>
          <w:sz w:val="24"/>
        </w:rPr>
        <w:t>1.</w:t>
      </w:r>
      <w:r>
        <w:rPr>
          <w:sz w:val="24"/>
        </w:rPr>
        <w:t>具有功能先进、实用、安全、可靠、可扩展以及界面美观、大方的特点；</w:t>
      </w:r>
    </w:p>
    <w:p>
      <w:pPr>
        <w:pStyle w:val="null3"/>
        <w:ind w:firstLine="480"/>
        <w:jc w:val="both"/>
      </w:pPr>
      <w:r>
        <w:rPr>
          <w:sz w:val="24"/>
        </w:rPr>
        <w:t>2.</w:t>
      </w:r>
      <w:r>
        <w:rPr>
          <w:sz w:val="24"/>
        </w:rPr>
        <w:t>为后期工程预留接口，并为后期工程的顺利开展作技术准备，而且在软件系统设计、数据库设计等方面具有灵活性，方便以后能够扩充新的系统；</w:t>
      </w:r>
    </w:p>
    <w:p>
      <w:pPr>
        <w:pStyle w:val="null3"/>
        <w:ind w:firstLine="480"/>
        <w:jc w:val="both"/>
      </w:pPr>
      <w:r>
        <w:rPr>
          <w:sz w:val="24"/>
        </w:rPr>
        <w:t>3.</w:t>
      </w:r>
      <w:r>
        <w:rPr>
          <w:sz w:val="24"/>
        </w:rPr>
        <w:t>系统设计要做到代码标准化、模块标准化、文档标准化、测试标准化以及信息标准化。具体要求以三方确认的</w:t>
      </w:r>
      <w:r>
        <w:rPr>
          <w:b/>
          <w:sz w:val="24"/>
          <w:u w:val="single"/>
        </w:rPr>
        <w:t>《项目需求规格说明书》</w:t>
      </w:r>
      <w:r>
        <w:rPr>
          <w:sz w:val="24"/>
        </w:rPr>
        <w:t>为准。</w:t>
      </w:r>
    </w:p>
    <w:p>
      <w:pPr>
        <w:pStyle w:val="null3"/>
        <w:ind w:firstLine="480"/>
        <w:jc w:val="both"/>
      </w:pPr>
      <w:r>
        <w:rPr>
          <w:sz w:val="24"/>
        </w:rPr>
        <w:t>（四）若甲方的项目需求发生变更，变更后的需求同样经三方签字确认后，以需求变更补充文件的形式，同样作为本合同执行不可分割的部分。</w:t>
      </w:r>
    </w:p>
    <w:p>
      <w:pPr>
        <w:pStyle w:val="null3"/>
        <w:ind w:firstLine="480"/>
        <w:jc w:val="both"/>
      </w:pPr>
      <w:r>
        <w:rPr>
          <w:sz w:val="24"/>
        </w:rPr>
        <w:t>（五）提交的成果：</w:t>
      </w:r>
    </w:p>
    <w:p>
      <w:pPr>
        <w:pStyle w:val="null3"/>
        <w:ind w:firstLine="480"/>
        <w:jc w:val="both"/>
      </w:pPr>
      <w:r>
        <w:rPr>
          <w:sz w:val="24"/>
        </w:rPr>
        <w:t>乙方在规定时间内按照本合同约定或招标文件的要求完成系统的设计、研发、安装实施、测试、调试、验收等工作，并同时以光盘形式向甲方提供本项目全套应用软件，即系统的源代码（投标前已获得知识产权保护的软件源代码除外）及可执行程序。</w:t>
      </w:r>
    </w:p>
    <w:p>
      <w:pPr>
        <w:pStyle w:val="null3"/>
        <w:ind w:firstLine="480"/>
        <w:jc w:val="both"/>
      </w:pPr>
      <w:r>
        <w:rPr>
          <w:sz w:val="24"/>
        </w:rPr>
        <w:t>（六）提交的技术文档包括但不限于：</w:t>
      </w:r>
    </w:p>
    <w:p>
      <w:pPr>
        <w:pStyle w:val="null3"/>
        <w:ind w:firstLine="480"/>
        <w:jc w:val="both"/>
      </w:pPr>
      <w:r>
        <w:rPr>
          <w:sz w:val="24"/>
        </w:rPr>
        <w:t>1.</w:t>
      </w:r>
      <w:r>
        <w:rPr>
          <w:sz w:val="24"/>
        </w:rPr>
        <w:t>项目需求规格说明书</w:t>
      </w:r>
    </w:p>
    <w:p>
      <w:pPr>
        <w:pStyle w:val="null3"/>
        <w:ind w:firstLine="480"/>
        <w:jc w:val="both"/>
      </w:pPr>
      <w:r>
        <w:rPr>
          <w:sz w:val="24"/>
        </w:rPr>
        <w:t>2.</w:t>
      </w:r>
      <w:r>
        <w:rPr>
          <w:sz w:val="24"/>
        </w:rPr>
        <w:t>系统概要设计说明书</w:t>
      </w:r>
    </w:p>
    <w:p>
      <w:pPr>
        <w:pStyle w:val="null3"/>
        <w:ind w:firstLine="480"/>
        <w:jc w:val="both"/>
      </w:pPr>
      <w:r>
        <w:rPr>
          <w:sz w:val="24"/>
        </w:rPr>
        <w:t>3.</w:t>
      </w:r>
      <w:r>
        <w:rPr>
          <w:sz w:val="24"/>
        </w:rPr>
        <w:t>系统详细设计说明书</w:t>
      </w:r>
    </w:p>
    <w:p>
      <w:pPr>
        <w:pStyle w:val="null3"/>
        <w:ind w:firstLine="480"/>
        <w:jc w:val="both"/>
      </w:pPr>
      <w:r>
        <w:rPr>
          <w:sz w:val="24"/>
        </w:rPr>
        <w:t>4.</w:t>
      </w:r>
      <w:r>
        <w:rPr>
          <w:sz w:val="24"/>
        </w:rPr>
        <w:t>系统模块设计说明书</w:t>
      </w:r>
    </w:p>
    <w:p>
      <w:pPr>
        <w:pStyle w:val="null3"/>
        <w:ind w:firstLine="480"/>
        <w:jc w:val="both"/>
      </w:pPr>
      <w:r>
        <w:rPr>
          <w:sz w:val="24"/>
        </w:rPr>
        <w:t>5.</w:t>
      </w:r>
      <w:r>
        <w:rPr>
          <w:sz w:val="24"/>
        </w:rPr>
        <w:t>数据库设计说明（包含编码方案）</w:t>
      </w:r>
    </w:p>
    <w:p>
      <w:pPr>
        <w:pStyle w:val="null3"/>
        <w:ind w:firstLine="480"/>
        <w:jc w:val="both"/>
      </w:pPr>
      <w:r>
        <w:rPr>
          <w:sz w:val="24"/>
        </w:rPr>
        <w:t>6.</w:t>
      </w:r>
      <w:r>
        <w:rPr>
          <w:sz w:val="24"/>
        </w:rPr>
        <w:t>系统维护手册</w:t>
      </w:r>
    </w:p>
    <w:p>
      <w:pPr>
        <w:pStyle w:val="null3"/>
        <w:ind w:firstLine="480"/>
        <w:jc w:val="both"/>
      </w:pPr>
      <w:r>
        <w:rPr>
          <w:sz w:val="24"/>
        </w:rPr>
        <w:t>7.</w:t>
      </w:r>
      <w:r>
        <w:rPr>
          <w:sz w:val="24"/>
        </w:rPr>
        <w:t>用户操作手册</w:t>
      </w:r>
    </w:p>
    <w:p>
      <w:pPr>
        <w:pStyle w:val="null3"/>
        <w:ind w:firstLine="480"/>
        <w:jc w:val="both"/>
      </w:pPr>
      <w:r>
        <w:rPr>
          <w:sz w:val="24"/>
        </w:rPr>
        <w:t>8.</w:t>
      </w:r>
      <w:r>
        <w:rPr>
          <w:sz w:val="24"/>
        </w:rPr>
        <w:t>测试报告</w:t>
      </w:r>
    </w:p>
    <w:p>
      <w:pPr>
        <w:pStyle w:val="null3"/>
        <w:ind w:firstLine="480"/>
        <w:jc w:val="both"/>
      </w:pPr>
      <w:r>
        <w:rPr>
          <w:sz w:val="24"/>
        </w:rPr>
        <w:t>9.</w:t>
      </w:r>
      <w:r>
        <w:rPr>
          <w:sz w:val="24"/>
        </w:rPr>
        <w:t>项目总结报告</w:t>
      </w:r>
    </w:p>
    <w:p>
      <w:pPr>
        <w:pStyle w:val="null3"/>
        <w:ind w:firstLine="480"/>
        <w:jc w:val="both"/>
      </w:pPr>
      <w:r>
        <w:rPr>
          <w:sz w:val="24"/>
        </w:rPr>
        <w:t>（七）培训</w:t>
      </w:r>
    </w:p>
    <w:p>
      <w:pPr>
        <w:pStyle w:val="null3"/>
        <w:ind w:firstLine="480"/>
        <w:jc w:val="both"/>
      </w:pPr>
      <w:r>
        <w:rPr>
          <w:sz w:val="24"/>
        </w:rPr>
        <w:t>乙方为甲方及相关使用方提供必要的培训服务，包括：</w:t>
      </w:r>
    </w:p>
    <w:p>
      <w:pPr>
        <w:pStyle w:val="null3"/>
        <w:ind w:firstLine="480"/>
        <w:jc w:val="both"/>
      </w:pPr>
      <w:r>
        <w:rPr>
          <w:sz w:val="24"/>
        </w:rPr>
        <w:t>1.</w:t>
      </w:r>
      <w:r>
        <w:rPr>
          <w:sz w:val="24"/>
        </w:rPr>
        <w:t>系统开发期间，乙方提供必要的师资、教材、实践环境，为甲方培训系统开发、系统维护人员，使甲方的技术人员能够自己维护和扩展系统的功能，培训次数不少于</w:t>
      </w:r>
      <w:r>
        <w:rPr>
          <w:sz w:val="24"/>
        </w:rPr>
        <w:t>1</w:t>
      </w:r>
      <w:r>
        <w:rPr>
          <w:sz w:val="24"/>
        </w:rPr>
        <w:t>次。</w:t>
      </w:r>
    </w:p>
    <w:p>
      <w:pPr>
        <w:pStyle w:val="null3"/>
        <w:ind w:firstLine="480"/>
        <w:jc w:val="both"/>
      </w:pPr>
      <w:r>
        <w:rPr>
          <w:sz w:val="24"/>
        </w:rPr>
        <w:t>2.</w:t>
      </w:r>
      <w:r>
        <w:rPr>
          <w:sz w:val="24"/>
        </w:rPr>
        <w:t>乙方负责</w:t>
      </w:r>
      <w:r>
        <w:rPr>
          <w:b/>
          <w:sz w:val="24"/>
          <w:u w:val="single"/>
        </w:rPr>
        <w:t>合同验收前完成</w:t>
      </w:r>
      <w:r>
        <w:rPr>
          <w:sz w:val="24"/>
        </w:rPr>
        <w:t>对甲方的系统用户的各种培训，培训内容为</w:t>
      </w:r>
      <w:r>
        <w:rPr>
          <w:sz w:val="24"/>
          <w:u w:val="single"/>
        </w:rPr>
        <w:t>乙方开发的系统等</w:t>
      </w:r>
      <w:r>
        <w:rPr>
          <w:sz w:val="24"/>
        </w:rPr>
        <w:t>，确保用户能够正确熟练地使用、管理和维护系统，培训次数不少于</w:t>
      </w:r>
      <w:r>
        <w:rPr>
          <w:sz w:val="24"/>
        </w:rPr>
        <w:t>2</w:t>
      </w:r>
      <w:r>
        <w:rPr>
          <w:sz w:val="24"/>
        </w:rPr>
        <w:t>次。</w:t>
      </w:r>
    </w:p>
    <w:p>
      <w:pPr>
        <w:pStyle w:val="null3"/>
        <w:ind w:firstLine="480"/>
        <w:jc w:val="both"/>
      </w:pPr>
      <w:r>
        <w:rPr>
          <w:sz w:val="24"/>
        </w:rPr>
        <w:t>3.</w:t>
      </w:r>
      <w:r>
        <w:rPr>
          <w:sz w:val="24"/>
        </w:rPr>
        <w:t>以上所有</w:t>
      </w:r>
      <w:r>
        <w:rPr>
          <w:b/>
          <w:sz w:val="24"/>
        </w:rPr>
        <w:t>培训费用均</w:t>
      </w:r>
      <w:r>
        <w:rPr>
          <w:sz w:val="24"/>
        </w:rPr>
        <w:t>包含在</w:t>
      </w:r>
      <w:r>
        <w:rPr>
          <w:b/>
          <w:sz w:val="24"/>
          <w:u w:val="single"/>
        </w:rPr>
        <w:t>合同总价中</w:t>
      </w:r>
      <w:r>
        <w:rPr>
          <w:sz w:val="24"/>
        </w:rPr>
        <w:t>。培训的具体方式及安排经甲方确认后，另行通知乙方进行。</w:t>
      </w:r>
    </w:p>
    <w:p>
      <w:pPr>
        <w:pStyle w:val="null3"/>
        <w:ind w:firstLine="480"/>
        <w:jc w:val="both"/>
      </w:pPr>
      <w:r>
        <w:rPr>
          <w:sz w:val="24"/>
        </w:rPr>
        <w:t>（八）售后服务承诺</w:t>
      </w:r>
    </w:p>
    <w:p>
      <w:pPr>
        <w:pStyle w:val="null3"/>
        <w:ind w:firstLine="480"/>
        <w:jc w:val="both"/>
      </w:pPr>
      <w:r>
        <w:rPr>
          <w:sz w:val="24"/>
        </w:rPr>
        <w:t>1.</w:t>
      </w:r>
      <w:r>
        <w:rPr>
          <w:sz w:val="24"/>
        </w:rPr>
        <w:t>乙方开发的应用软件在合同验收后，应提供</w:t>
      </w:r>
      <w:r>
        <w:rPr>
          <w:sz w:val="24"/>
        </w:rPr>
        <w:t>3</w:t>
      </w:r>
      <w:r>
        <w:rPr>
          <w:sz w:val="24"/>
        </w:rPr>
        <w:t>年免费维护服务，期间需派</w:t>
      </w:r>
      <w:r>
        <w:rPr>
          <w:b/>
          <w:sz w:val="24"/>
          <w:u w:val="single"/>
        </w:rPr>
        <w:t>1</w:t>
      </w:r>
      <w:r>
        <w:rPr>
          <w:b/>
          <w:sz w:val="24"/>
        </w:rPr>
        <w:t>人</w:t>
      </w:r>
      <w:r>
        <w:rPr>
          <w:sz w:val="24"/>
        </w:rPr>
        <w:t>或以上驻现场提供系统维护和升级服务，其中</w:t>
      </w:r>
      <w:r>
        <w:rPr>
          <w:b/>
          <w:sz w:val="24"/>
          <w:u w:val="single"/>
        </w:rPr>
        <w:t>1</w:t>
      </w:r>
      <w:r>
        <w:rPr>
          <w:b/>
          <w:sz w:val="24"/>
        </w:rPr>
        <w:t>人</w:t>
      </w:r>
      <w:r>
        <w:rPr>
          <w:sz w:val="24"/>
        </w:rPr>
        <w:t>须为原项目组开发人员或者实施人员。</w:t>
      </w:r>
    </w:p>
    <w:p>
      <w:pPr>
        <w:pStyle w:val="null3"/>
        <w:ind w:firstLine="480"/>
        <w:jc w:val="both"/>
      </w:pPr>
      <w:r>
        <w:rPr>
          <w:sz w:val="24"/>
        </w:rPr>
        <w:t>2.</w:t>
      </w:r>
      <w:r>
        <w:rPr>
          <w:sz w:val="24"/>
        </w:rPr>
        <w:t>在免费维护期内，若系统出现故障，乙方应在</w:t>
      </w:r>
      <w:r>
        <w:rPr>
          <w:sz w:val="24"/>
        </w:rPr>
        <w:t>30</w:t>
      </w:r>
      <w:r>
        <w:rPr>
          <w:sz w:val="24"/>
        </w:rPr>
        <w:t>分钟内做出明确响应和安排，并安排专业人员须在</w:t>
      </w:r>
      <w:r>
        <w:rPr>
          <w:sz w:val="24"/>
        </w:rPr>
        <w:t>2</w:t>
      </w:r>
      <w:r>
        <w:rPr>
          <w:sz w:val="24"/>
        </w:rPr>
        <w:t>小时内到达现场，</w:t>
      </w:r>
      <w:r>
        <w:rPr>
          <w:sz w:val="24"/>
        </w:rPr>
        <w:t>4</w:t>
      </w:r>
      <w:r>
        <w:rPr>
          <w:sz w:val="24"/>
        </w:rPr>
        <w:t>小时内解决问题；如果故障在检修</w:t>
      </w:r>
      <w:r>
        <w:rPr>
          <w:sz w:val="24"/>
        </w:rPr>
        <w:t>8</w:t>
      </w:r>
      <w:r>
        <w:rPr>
          <w:sz w:val="24"/>
        </w:rPr>
        <w:t>小时后仍无法排除，乙方应在</w:t>
      </w:r>
      <w:r>
        <w:rPr>
          <w:sz w:val="24"/>
        </w:rPr>
        <w:t>24</w:t>
      </w:r>
      <w:r>
        <w:rPr>
          <w:sz w:val="24"/>
        </w:rPr>
        <w:t>小时内提供采用备份系统进行修复供甲方使用。乙方同时提供</w:t>
      </w:r>
      <w:r>
        <w:rPr>
          <w:sz w:val="24"/>
        </w:rPr>
        <w:t>7</w:t>
      </w:r>
      <w:r>
        <w:rPr>
          <w:sz w:val="24"/>
        </w:rPr>
        <w:t>×</w:t>
      </w:r>
      <w:r>
        <w:rPr>
          <w:sz w:val="24"/>
        </w:rPr>
        <w:t>24</w:t>
      </w:r>
      <w:r>
        <w:rPr>
          <w:sz w:val="24"/>
        </w:rPr>
        <w:t>小时服务保障，保证甲方顺利运行系统。</w:t>
      </w:r>
    </w:p>
    <w:p>
      <w:pPr>
        <w:pStyle w:val="null3"/>
        <w:ind w:firstLine="480"/>
        <w:jc w:val="both"/>
      </w:pPr>
      <w:r>
        <w:rPr>
          <w:sz w:val="24"/>
        </w:rPr>
        <w:t>3.</w:t>
      </w:r>
      <w:r>
        <w:rPr>
          <w:sz w:val="24"/>
        </w:rPr>
        <w:t>对于在短时间内不能解决的问题，乙方需要立即提供应急措施和应急方案。此项工作属于免费维护范围，不得另行收费。</w:t>
      </w:r>
    </w:p>
    <w:p>
      <w:pPr>
        <w:pStyle w:val="null3"/>
        <w:ind w:firstLine="482"/>
        <w:jc w:val="both"/>
      </w:pPr>
      <w:r>
        <w:rPr>
          <w:b/>
          <w:sz w:val="24"/>
        </w:rPr>
        <w:t>三、双方的权利和义务</w:t>
      </w:r>
    </w:p>
    <w:p>
      <w:pPr>
        <w:pStyle w:val="null3"/>
        <w:ind w:firstLine="480"/>
        <w:jc w:val="both"/>
      </w:pPr>
      <w:r>
        <w:rPr>
          <w:sz w:val="24"/>
        </w:rPr>
        <w:t>（一）甲方的权利与义务：</w:t>
      </w:r>
    </w:p>
    <w:p>
      <w:pPr>
        <w:pStyle w:val="null3"/>
        <w:ind w:firstLine="480"/>
        <w:jc w:val="both"/>
      </w:pPr>
      <w:r>
        <w:rPr>
          <w:sz w:val="24"/>
        </w:rPr>
        <w:t>1.</w:t>
      </w:r>
      <w:r>
        <w:rPr>
          <w:sz w:val="24"/>
        </w:rPr>
        <w:t>甲方根据实际情况指派业务人员配合乙方完成本系统的业务需求分析。</w:t>
      </w:r>
    </w:p>
    <w:p>
      <w:pPr>
        <w:pStyle w:val="null3"/>
        <w:ind w:firstLine="480"/>
        <w:jc w:val="both"/>
      </w:pPr>
      <w:r>
        <w:rPr>
          <w:sz w:val="24"/>
        </w:rPr>
        <w:t>2.</w:t>
      </w:r>
      <w:r>
        <w:rPr>
          <w:sz w:val="24"/>
        </w:rPr>
        <w:t>甲方负责系统开发的主要系统管理工作，并有权要求乙方提供本系统的技术资料，包括但不限于接口等。</w:t>
      </w:r>
    </w:p>
    <w:p>
      <w:pPr>
        <w:pStyle w:val="null3"/>
        <w:ind w:firstLine="480"/>
        <w:jc w:val="both"/>
      </w:pPr>
      <w:r>
        <w:rPr>
          <w:sz w:val="24"/>
        </w:rPr>
        <w:t>3.</w:t>
      </w:r>
      <w:r>
        <w:rPr>
          <w:sz w:val="24"/>
        </w:rPr>
        <w:t>甲方有权在系统开发过程中对乙方的开发工作进行督导，并有权提出整改意见，乙方应当在收到甲方整改意见之日起</w:t>
      </w:r>
      <w:r>
        <w:rPr>
          <w:b/>
          <w:sz w:val="24"/>
          <w:u w:val="single"/>
        </w:rPr>
        <w:t>3</w:t>
      </w:r>
      <w:r>
        <w:rPr>
          <w:sz w:val="24"/>
        </w:rPr>
        <w:t>个工作日内明确答复甲方并提出相应解决方案；甲方有权了解所有系统（含子功能和模块）整改、更新、回滚情况。</w:t>
      </w:r>
    </w:p>
    <w:p>
      <w:pPr>
        <w:pStyle w:val="null3"/>
        <w:ind w:firstLine="480"/>
        <w:jc w:val="both"/>
      </w:pPr>
      <w:r>
        <w:rPr>
          <w:sz w:val="24"/>
        </w:rPr>
        <w:t>4.</w:t>
      </w:r>
      <w:r>
        <w:rPr>
          <w:sz w:val="24"/>
        </w:rPr>
        <w:t>对于系统测试、使用过程中发现的临时性、偶发性问题，经甲方提出后，乙方应在</w:t>
      </w:r>
      <w:r>
        <w:rPr>
          <w:b/>
          <w:sz w:val="24"/>
          <w:u w:val="single"/>
        </w:rPr>
        <w:t>2</w:t>
      </w:r>
      <w:r>
        <w:rPr>
          <w:sz w:val="24"/>
        </w:rPr>
        <w:t>个工作日内查明问题原因并答复甲方，同时在双方另行商定的时间内予以解决。</w:t>
      </w:r>
    </w:p>
    <w:p>
      <w:pPr>
        <w:pStyle w:val="null3"/>
        <w:ind w:firstLine="480"/>
        <w:jc w:val="both"/>
      </w:pPr>
      <w:r>
        <w:rPr>
          <w:sz w:val="24"/>
        </w:rPr>
        <w:t>5.</w:t>
      </w:r>
      <w:r>
        <w:rPr>
          <w:sz w:val="24"/>
        </w:rPr>
        <w:t>甲方负责与系统开发相关的其他方面业务和技术资料交流的牵头组织工作，乙方具有协助的义务；乙方向第三方提供技术资料时需先经甲方书面确认并同意。</w:t>
      </w:r>
    </w:p>
    <w:p>
      <w:pPr>
        <w:pStyle w:val="null3"/>
        <w:ind w:firstLine="480"/>
        <w:jc w:val="both"/>
      </w:pPr>
      <w:r>
        <w:rPr>
          <w:sz w:val="24"/>
        </w:rPr>
        <w:t>6.</w:t>
      </w:r>
      <w:r>
        <w:rPr>
          <w:sz w:val="24"/>
        </w:rPr>
        <w:t>经乙方书面申请，甲方根据实际技术开发需要，向乙方提供与系统开发相关的业务及技术资料，如因甲方故意或重大过失导致开发工作延迟或停顿的，由甲方承担责任。</w:t>
      </w:r>
    </w:p>
    <w:p>
      <w:pPr>
        <w:pStyle w:val="null3"/>
        <w:ind w:firstLine="480"/>
        <w:jc w:val="both"/>
      </w:pPr>
      <w:r>
        <w:rPr>
          <w:sz w:val="24"/>
        </w:rPr>
        <w:t>7.</w:t>
      </w:r>
      <w:r>
        <w:rPr>
          <w:sz w:val="24"/>
        </w:rPr>
        <w:t>根据项目实际情况修改项目需求规格说明书并由乙方贯彻执行。</w:t>
      </w:r>
    </w:p>
    <w:p>
      <w:pPr>
        <w:pStyle w:val="null3"/>
        <w:ind w:firstLine="480"/>
        <w:jc w:val="both"/>
      </w:pPr>
      <w:r>
        <w:rPr>
          <w:sz w:val="24"/>
        </w:rPr>
        <w:t>（二）乙方的权利和义务</w:t>
      </w:r>
    </w:p>
    <w:p>
      <w:pPr>
        <w:pStyle w:val="null3"/>
        <w:ind w:firstLine="480"/>
        <w:jc w:val="both"/>
      </w:pPr>
      <w:r>
        <w:rPr>
          <w:sz w:val="24"/>
        </w:rPr>
        <w:t>1.</w:t>
      </w:r>
      <w:r>
        <w:rPr>
          <w:sz w:val="24"/>
        </w:rPr>
        <w:t>乙方保证投入有资质的、充足的技术开发人员进行系统开发，提供所承担开发任务的全部软硬件环境，包括开发工具、研发场所等。项目需要安排项目经理</w:t>
      </w:r>
      <w:r>
        <w:rPr>
          <w:b/>
          <w:sz w:val="24"/>
          <w:u w:val="single"/>
        </w:rPr>
        <w:t>1</w:t>
      </w:r>
      <w:r>
        <w:rPr>
          <w:sz w:val="24"/>
        </w:rPr>
        <w:t>人，并安排驻场实施人员</w:t>
      </w:r>
      <w:r>
        <w:rPr>
          <w:sz w:val="24"/>
        </w:rPr>
        <w:t>3</w:t>
      </w:r>
      <w:r>
        <w:rPr>
          <w:sz w:val="24"/>
        </w:rPr>
        <w:t>人或以上（不含项目经理）。乙方承诺具备履行本合同所需的人员、设备和场所等条件，否则甲方有权要求乙方整改或者解除合同。</w:t>
      </w:r>
    </w:p>
    <w:p>
      <w:pPr>
        <w:pStyle w:val="null3"/>
        <w:ind w:firstLine="480"/>
        <w:jc w:val="both"/>
      </w:pPr>
      <w:r>
        <w:rPr>
          <w:sz w:val="24"/>
        </w:rPr>
        <w:t>2.</w:t>
      </w:r>
      <w:r>
        <w:rPr>
          <w:sz w:val="24"/>
        </w:rPr>
        <w:t>乙方负责与甲方协商后完成《项目需求规格说明书》，经甲方同意后，乙方根据本合同第六条约定的“研究开发计划”，制定分阶段完成的工作项目、时间和交付阶段性成果的《工作计划表》，并按期按质进行开发工作。如因乙方原因导致开发工作延迟或停顿的，由乙方承担由此产生的一切责任。</w:t>
      </w:r>
    </w:p>
    <w:p>
      <w:pPr>
        <w:pStyle w:val="null3"/>
        <w:ind w:firstLine="480"/>
        <w:jc w:val="both"/>
      </w:pPr>
      <w:r>
        <w:rPr>
          <w:sz w:val="24"/>
        </w:rPr>
        <w:t>3.</w:t>
      </w:r>
      <w:r>
        <w:rPr>
          <w:sz w:val="24"/>
        </w:rPr>
        <w:t>乙方应按本合同的规定或甲方的具体指示向甲方公开本系统有关技术细节，提供必要的技术资料，并向甲方开发人员提供培训和技术支持，并保证甲方受训人员能够理解并掌握操作、管理和维护乙方按本合同提供的开发系统的技术。</w:t>
      </w:r>
    </w:p>
    <w:p>
      <w:pPr>
        <w:pStyle w:val="null3"/>
        <w:ind w:firstLine="480"/>
        <w:jc w:val="both"/>
      </w:pPr>
      <w:r>
        <w:rPr>
          <w:sz w:val="24"/>
        </w:rPr>
        <w:t>4.</w:t>
      </w:r>
      <w:r>
        <w:rPr>
          <w:sz w:val="24"/>
        </w:rPr>
        <w:t>系统提交甲方或用户测试、使用期间，乙方对系统（含子功能和模块）的整改、更新、回滚动作需提前</w:t>
      </w:r>
      <w:r>
        <w:rPr>
          <w:b/>
          <w:sz w:val="24"/>
          <w:u w:val="single"/>
        </w:rPr>
        <w:t>1</w:t>
      </w:r>
      <w:r>
        <w:rPr>
          <w:b/>
          <w:sz w:val="24"/>
          <w:u w:val="single"/>
        </w:rPr>
        <w:t>个</w:t>
      </w:r>
      <w:r>
        <w:rPr>
          <w:sz w:val="24"/>
        </w:rPr>
        <w:t>工作日向甲方报备。</w:t>
      </w:r>
    </w:p>
    <w:p>
      <w:pPr>
        <w:pStyle w:val="null3"/>
        <w:ind w:firstLine="480"/>
        <w:jc w:val="both"/>
      </w:pPr>
      <w:r>
        <w:rPr>
          <w:sz w:val="24"/>
        </w:rPr>
        <w:t>5.</w:t>
      </w:r>
      <w:r>
        <w:rPr>
          <w:sz w:val="24"/>
        </w:rPr>
        <w:t>乙方应当保证其交付给甲方的研究开发成果不侵犯任何第三人的合法权益。如发生第三人指控甲方实施的技术侵权的，乙方应当承担相应的法律责任，并承担由此给甲方造成的一切损失；若甲方因此承担了责任，甲方有权从应付乙方的合同款项中直接扣减相应金额或者另行向乙方进行追偿。</w:t>
      </w:r>
    </w:p>
    <w:p>
      <w:pPr>
        <w:pStyle w:val="null3"/>
        <w:ind w:firstLine="480"/>
        <w:jc w:val="both"/>
      </w:pPr>
      <w:r>
        <w:rPr>
          <w:sz w:val="24"/>
        </w:rPr>
        <w:t>6.</w:t>
      </w:r>
      <w:r>
        <w:rPr>
          <w:sz w:val="24"/>
        </w:rPr>
        <w:t>乙方应</w:t>
      </w:r>
      <w:r>
        <w:rPr>
          <w:sz w:val="24"/>
          <w:u w:val="single"/>
        </w:rPr>
        <w:t>每周</w:t>
      </w:r>
      <w:r>
        <w:rPr>
          <w:sz w:val="24"/>
        </w:rPr>
        <w:t>召开项目例会，对照《工作计划表》向甲方通报开发进度。</w:t>
      </w:r>
    </w:p>
    <w:p>
      <w:pPr>
        <w:pStyle w:val="null3"/>
        <w:ind w:firstLine="480"/>
        <w:jc w:val="both"/>
      </w:pPr>
      <w:r>
        <w:rPr>
          <w:sz w:val="24"/>
        </w:rPr>
        <w:t>7.</w:t>
      </w:r>
      <w:r>
        <w:rPr>
          <w:sz w:val="24"/>
        </w:rPr>
        <w:t>项目主体合同验收后，乙方免费提供</w:t>
      </w:r>
      <w:r>
        <w:rPr>
          <w:b/>
          <w:sz w:val="24"/>
          <w:u w:val="single"/>
        </w:rPr>
        <w:t>3</w:t>
      </w:r>
      <w:r>
        <w:rPr>
          <w:b/>
          <w:sz w:val="24"/>
        </w:rPr>
        <w:t>年</w:t>
      </w:r>
      <w:r>
        <w:rPr>
          <w:sz w:val="24"/>
        </w:rPr>
        <w:t>的应用系统维护及纠错性服务。</w:t>
      </w:r>
    </w:p>
    <w:p>
      <w:pPr>
        <w:pStyle w:val="null3"/>
        <w:ind w:firstLine="480"/>
        <w:jc w:val="both"/>
      </w:pPr>
      <w:r>
        <w:rPr>
          <w:sz w:val="24"/>
        </w:rPr>
        <w:t>8.</w:t>
      </w:r>
      <w:r>
        <w:rPr>
          <w:sz w:val="24"/>
        </w:rPr>
        <w:t>乙方负责协助甲方进行与此系统相关的推广应用工作，包括但不限于前往相关机构进行沟通、提供与此系统相关的培训等，以确保此系统的推广普及，相关开支计入合同总费用。乙方怠于履行此职责的，甲方有权要求乙方于</w:t>
      </w:r>
      <w:r>
        <w:rPr>
          <w:b/>
          <w:sz w:val="24"/>
          <w:u w:val="single"/>
        </w:rPr>
        <w:t>1</w:t>
      </w:r>
      <w:r>
        <w:rPr>
          <w:b/>
          <w:sz w:val="24"/>
          <w:u w:val="single"/>
        </w:rPr>
        <w:t>个月</w:t>
      </w:r>
      <w:r>
        <w:rPr>
          <w:sz w:val="24"/>
        </w:rPr>
        <w:t>内履行，逾期仍不履行或怠于履行的，甲方可交由第三方开展相应工作，因此产生的费用和损失，从合同第七条中约定的乙方应付未付合同余款中扣除。合同余款不足以弥补甲方损失的，甲方有权要求乙方予以赔偿。</w:t>
      </w:r>
    </w:p>
    <w:p>
      <w:pPr>
        <w:pStyle w:val="null3"/>
        <w:ind w:firstLine="480"/>
        <w:jc w:val="both"/>
      </w:pPr>
      <w:r>
        <w:rPr>
          <w:sz w:val="24"/>
        </w:rPr>
        <w:t>9.</w:t>
      </w:r>
      <w:r>
        <w:rPr>
          <w:sz w:val="24"/>
        </w:rPr>
        <w:t>乙方须守完全遵《中华人民共和国劳动合同法》有关规定和《中华人民共和国妇女权益保障法》中关于“劳动和社会保障权益”的有关要求。</w:t>
      </w:r>
    </w:p>
    <w:p>
      <w:pPr>
        <w:pStyle w:val="null3"/>
        <w:ind w:firstLine="482"/>
        <w:jc w:val="both"/>
      </w:pPr>
      <w:r>
        <w:rPr>
          <w:b/>
          <w:sz w:val="24"/>
        </w:rPr>
        <w:t>四、应达到的技术指标和参数</w:t>
      </w:r>
    </w:p>
    <w:p>
      <w:pPr>
        <w:pStyle w:val="null3"/>
        <w:ind w:firstLine="480"/>
        <w:jc w:val="both"/>
      </w:pPr>
      <w:r>
        <w:rPr>
          <w:sz w:val="24"/>
        </w:rPr>
        <w:t>（一）合同验收以双方签字认可的项目</w:t>
      </w:r>
      <w:r>
        <w:rPr>
          <w:b/>
          <w:sz w:val="24"/>
          <w:u w:val="single"/>
        </w:rPr>
        <w:t>《项目需求规格说明书》</w:t>
      </w:r>
      <w:r>
        <w:rPr>
          <w:sz w:val="24"/>
        </w:rPr>
        <w:t>为验收依据。</w:t>
      </w:r>
    </w:p>
    <w:p>
      <w:pPr>
        <w:pStyle w:val="null3"/>
        <w:ind w:firstLine="480"/>
        <w:jc w:val="both"/>
      </w:pPr>
      <w:r>
        <w:rPr>
          <w:sz w:val="24"/>
        </w:rPr>
        <w:t>（二）《项目需求规格说明书》的内容包括但不限于招标文件所要求的所有系统功能需求，如有变更须有专门说明，并经双方书面确认才能生效，但乙方无正当理由故意拒不确认的除外，自甲方书面通知乙方确认期限届满之日即视为双方已经确认。</w:t>
      </w:r>
    </w:p>
    <w:p>
      <w:pPr>
        <w:pStyle w:val="null3"/>
        <w:ind w:firstLine="480"/>
        <w:jc w:val="both"/>
      </w:pPr>
      <w:r>
        <w:rPr>
          <w:sz w:val="24"/>
          <w:u w:val="single"/>
        </w:rPr>
        <w:t>（三）按项目实际需要补充</w:t>
      </w:r>
    </w:p>
    <w:p>
      <w:pPr>
        <w:pStyle w:val="null3"/>
        <w:ind w:firstLine="420"/>
        <w:jc w:val="both"/>
      </w:pPr>
      <w:r>
        <w:rPr>
          <w:b/>
          <w:sz w:val="24"/>
        </w:rPr>
        <w:t>五、试运行和项目终验的约定</w:t>
      </w:r>
    </w:p>
    <w:p>
      <w:pPr>
        <w:pStyle w:val="null3"/>
        <w:ind w:firstLine="420"/>
        <w:jc w:val="both"/>
      </w:pPr>
      <w:r>
        <w:rPr>
          <w:sz w:val="24"/>
        </w:rPr>
        <w:t>（一）</w:t>
      </w:r>
      <w:r>
        <w:rPr>
          <w:sz w:val="24"/>
        </w:rPr>
        <w:t>“试运行”：乙方完成系统开发建设、系统测试及安装、部署、调试等全部工作，并组织由具有相关资质的第三方出具的功能、性能、安全测评报告后，向甲方书面提出试运行申请，甲方同意后，系统进入试运行期。</w:t>
      </w:r>
    </w:p>
    <w:p>
      <w:pPr>
        <w:pStyle w:val="null3"/>
        <w:ind w:firstLine="420"/>
        <w:jc w:val="both"/>
      </w:pPr>
      <w:r>
        <w:rPr>
          <w:sz w:val="24"/>
        </w:rPr>
        <w:t>（二）</w:t>
      </w:r>
      <w:r>
        <w:rPr>
          <w:sz w:val="24"/>
        </w:rPr>
        <w:t>“合同验收”：如试运行期间系统运行正常，且满足本合同第四条要求，乙方需向甲方提交试运行报告、合同验收申请，由甲方开展对系统进行检验，若达到用户要求，满足合同及附件的所有要求，且通过安全评估和验收测评后，则组织合同验收。</w:t>
      </w:r>
    </w:p>
    <w:p>
      <w:pPr>
        <w:pStyle w:val="null3"/>
        <w:ind w:firstLine="420"/>
        <w:jc w:val="both"/>
      </w:pPr>
      <w:r>
        <w:rPr>
          <w:sz w:val="24"/>
        </w:rPr>
        <w:t>（三）</w:t>
      </w:r>
      <w:r>
        <w:rPr>
          <w:sz w:val="24"/>
        </w:rPr>
        <w:t>“项目终验”：合同验收通过后，向市政务服务数据管理部门申请对项目进行终验，乙方应配合至项目通过终验为止。</w:t>
      </w:r>
    </w:p>
    <w:p>
      <w:pPr>
        <w:pStyle w:val="null3"/>
        <w:ind w:firstLine="420"/>
        <w:jc w:val="both"/>
      </w:pPr>
      <w:r>
        <w:rPr>
          <w:sz w:val="24"/>
        </w:rPr>
        <w:t>具体验收规范以市政务服务数据管理部门发布的验收规范和要求为准。</w:t>
      </w:r>
    </w:p>
    <w:p>
      <w:pPr>
        <w:pStyle w:val="null3"/>
        <w:ind w:firstLine="420"/>
        <w:jc w:val="both"/>
      </w:pPr>
      <w:r>
        <w:rPr>
          <w:sz w:val="24"/>
        </w:rPr>
        <w:t>说明：上述条款第</w:t>
      </w:r>
      <w:r>
        <w:rPr>
          <w:sz w:val="24"/>
        </w:rPr>
        <w:t>2</w:t>
      </w:r>
      <w:r>
        <w:rPr>
          <w:sz w:val="24"/>
        </w:rPr>
        <w:t>点“合同验收”中安全评估和验收测评是指按市政务服务数据管理部门项目管理要求开展的相关测评，费用不包含在本合同中</w:t>
      </w:r>
      <w:r>
        <w:rPr>
          <w:sz w:val="24"/>
        </w:rPr>
        <w:t>，由甲方另行支付</w:t>
      </w:r>
      <w:r>
        <w:rPr>
          <w:sz w:val="24"/>
        </w:rPr>
        <w:t>。如项目根据实际需要开展其他测评，费用由乙方负责。</w:t>
      </w:r>
    </w:p>
    <w:p>
      <w:pPr>
        <w:pStyle w:val="null3"/>
        <w:ind w:firstLine="482"/>
        <w:jc w:val="both"/>
      </w:pPr>
      <w:r>
        <w:rPr>
          <w:b/>
          <w:sz w:val="24"/>
        </w:rPr>
        <w:t>六、乙方需完成的研究开发计划</w:t>
      </w:r>
    </w:p>
    <w:p>
      <w:pPr>
        <w:pStyle w:val="null3"/>
        <w:ind w:firstLine="480"/>
        <w:jc w:val="both"/>
      </w:pPr>
      <w:r>
        <w:rPr>
          <w:sz w:val="24"/>
        </w:rPr>
        <w:t>（一）合同生效后</w:t>
      </w:r>
      <w:r>
        <w:rPr>
          <w:b/>
          <w:sz w:val="24"/>
          <w:u w:val="single"/>
        </w:rPr>
        <w:t>30</w:t>
      </w:r>
      <w:r>
        <w:rPr>
          <w:sz w:val="24"/>
        </w:rPr>
        <w:t>个日历日内，完成《项目需求规格说明书》；</w:t>
      </w:r>
    </w:p>
    <w:p>
      <w:pPr>
        <w:pStyle w:val="null3"/>
        <w:ind w:firstLine="480"/>
        <w:jc w:val="both"/>
      </w:pPr>
      <w:r>
        <w:rPr>
          <w:sz w:val="24"/>
        </w:rPr>
        <w:t>（二）完成《项目需求规格说明书》后</w:t>
      </w:r>
      <w:r>
        <w:rPr>
          <w:b/>
          <w:sz w:val="24"/>
          <w:u w:val="single"/>
        </w:rPr>
        <w:t>180</w:t>
      </w:r>
      <w:r>
        <w:rPr>
          <w:sz w:val="24"/>
        </w:rPr>
        <w:t>个日历日内，完成系统的建设、测试、部署、联调，然后进行</w:t>
      </w:r>
      <w:r>
        <w:rPr>
          <w:b/>
          <w:sz w:val="24"/>
          <w:u w:val="single"/>
        </w:rPr>
        <w:t>3</w:t>
      </w:r>
      <w:r>
        <w:rPr>
          <w:sz w:val="24"/>
        </w:rPr>
        <w:t>个月的系统试运行；</w:t>
      </w:r>
    </w:p>
    <w:p>
      <w:pPr>
        <w:pStyle w:val="null3"/>
        <w:ind w:firstLine="480"/>
        <w:jc w:val="both"/>
      </w:pPr>
      <w:r>
        <w:rPr>
          <w:sz w:val="24"/>
        </w:rPr>
        <w:t>（三）项目试运行期间，乙方完成对甲方使用用户、相关业务人员、系统软件管理人员、各接口方技术人员的培训工作。试运行结束后，系统需达到用户要求，达到设计标准。</w:t>
      </w:r>
    </w:p>
    <w:p>
      <w:pPr>
        <w:pStyle w:val="null3"/>
        <w:ind w:firstLine="480"/>
        <w:jc w:val="both"/>
      </w:pPr>
      <w:r>
        <w:rPr>
          <w:sz w:val="24"/>
        </w:rPr>
        <w:t>（四）项目完成试运行结束并通过后，向甲方提出合同验收申请，由甲方组织合同验收。</w:t>
      </w:r>
    </w:p>
    <w:p>
      <w:pPr>
        <w:pStyle w:val="null3"/>
        <w:ind w:firstLine="480"/>
        <w:jc w:val="both"/>
      </w:pPr>
      <w:r>
        <w:rPr>
          <w:sz w:val="24"/>
        </w:rPr>
        <w:t>（五）项目整体工作完成后，甲方向市政务服务数据管理部门提出项目终验申请，并组织项目终验。</w:t>
      </w:r>
    </w:p>
    <w:p>
      <w:pPr>
        <w:pStyle w:val="null3"/>
        <w:ind w:firstLine="480"/>
        <w:jc w:val="both"/>
      </w:pPr>
      <w:r>
        <w:rPr>
          <w:sz w:val="24"/>
        </w:rPr>
        <w:t>（六）如因甲方原因导致拖延签署合同，以上开发计划中的时间应相应顺延，双方不承担任何责任。</w:t>
      </w:r>
    </w:p>
    <w:p>
      <w:pPr>
        <w:pStyle w:val="null3"/>
        <w:ind w:firstLine="482"/>
        <w:jc w:val="both"/>
      </w:pPr>
      <w:r>
        <w:rPr>
          <w:b/>
          <w:sz w:val="24"/>
        </w:rPr>
        <w:t>七、支付或结算方式</w:t>
      </w:r>
    </w:p>
    <w:p>
      <w:pPr>
        <w:pStyle w:val="null3"/>
        <w:ind w:firstLine="480"/>
        <w:jc w:val="both"/>
      </w:pPr>
      <w:r>
        <w:rPr>
          <w:sz w:val="24"/>
        </w:rPr>
        <w:t>（一）本项目的总投资（即合同总金额）共计</w:t>
      </w:r>
      <w:r>
        <w:rPr>
          <w:b/>
          <w:sz w:val="24"/>
        </w:rPr>
        <w:t>¥</w:t>
      </w:r>
      <w:r>
        <w:rPr>
          <w:b/>
          <w:u w:val="single"/>
        </w:rPr>
        <w:t xml:space="preserve">      </w:t>
      </w:r>
      <w:r>
        <w:rPr>
          <w:b/>
          <w:sz w:val="24"/>
        </w:rPr>
        <w:t>（人民币</w:t>
      </w:r>
      <w:r>
        <w:rPr>
          <w:b/>
        </w:rPr>
        <w:t xml:space="preserve">    </w:t>
      </w:r>
      <w:r>
        <w:rPr>
          <w:b/>
          <w:sz w:val="24"/>
        </w:rPr>
        <w:t>）</w:t>
      </w:r>
      <w:r>
        <w:rPr>
          <w:sz w:val="24"/>
        </w:rPr>
        <w:t>。该金额为含税金额，甲方除支付该合同总金额外，无需向乙方支付任何其他费用。</w:t>
      </w:r>
    </w:p>
    <w:p>
      <w:pPr>
        <w:pStyle w:val="null3"/>
        <w:ind w:firstLine="480"/>
        <w:jc w:val="both"/>
      </w:pPr>
      <w:r>
        <w:rPr>
          <w:sz w:val="24"/>
        </w:rPr>
        <w:t>（二）支付安排：</w:t>
      </w:r>
    </w:p>
    <w:p>
      <w:pPr>
        <w:pStyle w:val="null3"/>
        <w:ind w:firstLine="480"/>
        <w:jc w:val="both"/>
      </w:pPr>
      <w:r>
        <w:rPr>
          <w:sz w:val="24"/>
        </w:rPr>
        <w:t>1.</w:t>
      </w:r>
      <w:r>
        <w:rPr>
          <w:sz w:val="24"/>
        </w:rPr>
        <w:t>合同签订并且收到乙方开具的等额发票后</w:t>
      </w:r>
      <w:r>
        <w:rPr>
          <w:sz w:val="24"/>
        </w:rPr>
        <w:t>5</w:t>
      </w:r>
      <w:r>
        <w:rPr>
          <w:sz w:val="24"/>
        </w:rPr>
        <w:t>个工作日内，甲方向乙方支付合同总价的</w:t>
      </w:r>
      <w:r>
        <w:rPr>
          <w:sz w:val="24"/>
        </w:rPr>
        <w:t>30%</w:t>
      </w:r>
      <w:r>
        <w:rPr>
          <w:sz w:val="24"/>
        </w:rPr>
        <w:t>，即</w:t>
      </w:r>
      <w:r>
        <w:rPr>
          <w:sz w:val="24"/>
        </w:rPr>
        <w:t xml:space="preserve">¥     </w:t>
      </w:r>
      <w:r>
        <w:rPr>
          <w:sz w:val="24"/>
        </w:rPr>
        <w:t>（人民币</w:t>
      </w:r>
      <w:r>
        <w:rPr/>
        <w:t xml:space="preserve">    </w:t>
      </w:r>
      <w:r>
        <w:rPr>
          <w:sz w:val="24"/>
        </w:rPr>
        <w:t>）。</w:t>
      </w:r>
    </w:p>
    <w:p>
      <w:pPr>
        <w:pStyle w:val="null3"/>
        <w:ind w:firstLine="480"/>
        <w:jc w:val="both"/>
      </w:pPr>
      <w:r>
        <w:rPr>
          <w:sz w:val="24"/>
        </w:rPr>
        <w:t>2.</w:t>
      </w:r>
      <w:r>
        <w:rPr>
          <w:sz w:val="24"/>
        </w:rPr>
        <w:t>乙方提交《项目需求规格说明书》，经甲方确认后，收到乙方开具的等额发票后</w:t>
      </w:r>
      <w:r>
        <w:rPr>
          <w:sz w:val="24"/>
        </w:rPr>
        <w:t>5</w:t>
      </w:r>
      <w:r>
        <w:rPr>
          <w:sz w:val="24"/>
        </w:rPr>
        <w:t>个工作日内，甲方向乙方支付合同总价的</w:t>
      </w:r>
      <w:r>
        <w:rPr>
          <w:sz w:val="24"/>
        </w:rPr>
        <w:t>20%</w:t>
      </w:r>
      <w:r>
        <w:rPr>
          <w:sz w:val="24"/>
        </w:rPr>
        <w:t>，即</w:t>
      </w:r>
      <w:r>
        <w:rPr>
          <w:sz w:val="24"/>
        </w:rPr>
        <w:t xml:space="preserve">¥     </w:t>
      </w:r>
      <w:r>
        <w:rPr>
          <w:sz w:val="24"/>
        </w:rPr>
        <w:t>（人民币</w:t>
      </w:r>
      <w:r>
        <w:rPr/>
        <w:t xml:space="preserve">    </w:t>
      </w:r>
      <w:r>
        <w:rPr>
          <w:sz w:val="24"/>
        </w:rPr>
        <w:t>），实际金额应根据合同相应条款扣除违约金及相关赔偿、费用后按实际支付。</w:t>
      </w:r>
    </w:p>
    <w:p>
      <w:pPr>
        <w:pStyle w:val="null3"/>
        <w:ind w:firstLine="480"/>
        <w:jc w:val="both"/>
      </w:pPr>
      <w:r>
        <w:rPr>
          <w:sz w:val="24"/>
        </w:rPr>
        <w:t>3.</w:t>
      </w:r>
      <w:r>
        <w:rPr>
          <w:sz w:val="24"/>
        </w:rPr>
        <w:t>乙方提交上线试运行申请，经甲方确认后，收到乙方开具的等额发票后</w:t>
      </w:r>
      <w:r>
        <w:rPr>
          <w:sz w:val="24"/>
        </w:rPr>
        <w:t>5</w:t>
      </w:r>
      <w:r>
        <w:rPr>
          <w:sz w:val="24"/>
        </w:rPr>
        <w:t>个工作日内，甲方向乙方支付合同总价的</w:t>
      </w:r>
      <w:r>
        <w:rPr>
          <w:sz w:val="24"/>
        </w:rPr>
        <w:t>40%</w:t>
      </w:r>
      <w:r>
        <w:rPr>
          <w:sz w:val="24"/>
        </w:rPr>
        <w:t>，即</w:t>
      </w:r>
      <w:r>
        <w:rPr>
          <w:sz w:val="24"/>
        </w:rPr>
        <w:t xml:space="preserve">¥     </w:t>
      </w:r>
      <w:r>
        <w:rPr>
          <w:sz w:val="24"/>
        </w:rPr>
        <w:t>（人民币</w:t>
      </w:r>
      <w:r>
        <w:rPr/>
        <w:t xml:space="preserve">    </w:t>
      </w:r>
      <w:r>
        <w:rPr>
          <w:sz w:val="24"/>
        </w:rPr>
        <w:t>），实际金额应根据合同相应条款扣除违约金及相关赔偿、费用后按实际支付。</w:t>
      </w:r>
    </w:p>
    <w:p>
      <w:pPr>
        <w:pStyle w:val="null3"/>
        <w:ind w:firstLine="480"/>
        <w:jc w:val="both"/>
      </w:pPr>
      <w:r>
        <w:rPr>
          <w:sz w:val="24"/>
        </w:rPr>
        <w:t>4.</w:t>
      </w:r>
      <w:r>
        <w:rPr>
          <w:sz w:val="24"/>
        </w:rPr>
        <w:t>项目上线试运行三个月期满，通过甲方组织的合同验收后，收到乙方开具的等额发票后</w:t>
      </w:r>
      <w:r>
        <w:rPr>
          <w:sz w:val="24"/>
        </w:rPr>
        <w:t>5</w:t>
      </w:r>
      <w:r>
        <w:rPr>
          <w:sz w:val="24"/>
        </w:rPr>
        <w:t>个工作日内，甲方向乙方支付合同总价的</w:t>
      </w:r>
      <w:r>
        <w:rPr>
          <w:sz w:val="24"/>
        </w:rPr>
        <w:t>10%</w:t>
      </w:r>
      <w:r>
        <w:rPr>
          <w:sz w:val="24"/>
        </w:rPr>
        <w:t>，即</w:t>
      </w:r>
      <w:r>
        <w:rPr>
          <w:sz w:val="24"/>
        </w:rPr>
        <w:t xml:space="preserve">¥     </w:t>
      </w:r>
      <w:r>
        <w:rPr>
          <w:sz w:val="24"/>
        </w:rPr>
        <w:t>（人民币</w:t>
      </w:r>
      <w:r>
        <w:rPr/>
        <w:t xml:space="preserve">    </w:t>
      </w:r>
      <w:r>
        <w:rPr>
          <w:sz w:val="24"/>
        </w:rPr>
        <w:t>），实际金额应根据合同相应条款扣除违约金及相关赔偿、费用后按实际支付。</w:t>
      </w:r>
    </w:p>
    <w:p>
      <w:pPr>
        <w:pStyle w:val="null3"/>
        <w:ind w:firstLine="482"/>
        <w:jc w:val="both"/>
      </w:pPr>
      <w:r>
        <w:rPr>
          <w:b/>
          <w:sz w:val="24"/>
        </w:rPr>
        <w:t>说明：</w:t>
      </w:r>
    </w:p>
    <w:p>
      <w:pPr>
        <w:pStyle w:val="null3"/>
        <w:ind w:firstLine="420"/>
      </w:pPr>
      <w:r>
        <w:rPr>
          <w:sz w:val="24"/>
        </w:rPr>
        <w:t>项目所涉及经费为广州市政务信息化项目建设经费，付款时间需以收到财政经费为准。如因政府财政部门审查、财政支付管理流程及预算下达导致支付延期，或当年广州市财政投资安排经费不足以支付当期全额应付款时，甲方应先告知乙方情况及当期可支付金额，双方协商后确定支付延期期限，并在乙方提供可支付金额发票后支付等额费用予乙方，差额部分甲方应在收到财政经费后予以支付（无息）。在确认延期期限内，甲方不承担责任，乙方不得以此为由迟延履行或不履行合同义务。</w:t>
      </w:r>
    </w:p>
    <w:p>
      <w:pPr>
        <w:pStyle w:val="null3"/>
        <w:ind w:firstLine="480"/>
        <w:jc w:val="both"/>
      </w:pPr>
      <w:r>
        <w:rPr>
          <w:sz w:val="24"/>
        </w:rPr>
        <w:t>（三）甲方向以下乙方指定收款账号汇出款项，即视为甲方已履行付款义务。因乙方账户的原因（包括但不限于账号被注销、被冻结等）导致乙方无法收取款项的，由乙方承担相应后果。</w:t>
      </w:r>
    </w:p>
    <w:p>
      <w:pPr>
        <w:pStyle w:val="null3"/>
        <w:ind w:firstLine="480"/>
        <w:jc w:val="both"/>
      </w:pPr>
      <w:r>
        <w:rPr>
          <w:sz w:val="24"/>
        </w:rPr>
        <w:t>开户银行名称：</w:t>
      </w:r>
      <w:r>
        <w:rPr>
          <w:u w:val="single"/>
        </w:rPr>
        <w:t xml:space="preserve">                            </w:t>
      </w:r>
    </w:p>
    <w:p>
      <w:pPr>
        <w:pStyle w:val="null3"/>
        <w:ind w:firstLine="480"/>
        <w:jc w:val="both"/>
      </w:pPr>
      <w:r>
        <w:rPr>
          <w:sz w:val="24"/>
        </w:rPr>
        <w:t>开户名：</w:t>
      </w:r>
      <w:r>
        <w:rPr>
          <w:u w:val="single"/>
        </w:rPr>
        <w:t xml:space="preserve">                            </w:t>
      </w:r>
      <w:r>
        <w:rPr/>
        <w:t xml:space="preserve"> </w:t>
      </w:r>
    </w:p>
    <w:p>
      <w:pPr>
        <w:pStyle w:val="null3"/>
        <w:ind w:firstLine="480"/>
        <w:jc w:val="both"/>
      </w:pPr>
      <w:r>
        <w:rPr>
          <w:sz w:val="24"/>
        </w:rPr>
        <w:t>开户银行账号：</w:t>
      </w:r>
      <w:r>
        <w:rPr>
          <w:u w:val="single"/>
        </w:rPr>
        <w:t xml:space="preserve">                            </w:t>
      </w:r>
      <w:r>
        <w:rPr/>
        <w:t xml:space="preserve"> </w:t>
      </w:r>
    </w:p>
    <w:p>
      <w:pPr>
        <w:pStyle w:val="null3"/>
        <w:ind w:firstLine="482"/>
        <w:jc w:val="both"/>
      </w:pPr>
      <w:r>
        <w:rPr>
          <w:b/>
          <w:sz w:val="24"/>
        </w:rPr>
        <w:t>八、利用项目经费购置的第三方软件、系统、中间件、设备、器材、资料等的所有权归甲方。</w:t>
      </w:r>
    </w:p>
    <w:p>
      <w:pPr>
        <w:pStyle w:val="null3"/>
        <w:ind w:firstLine="482"/>
        <w:jc w:val="both"/>
      </w:pPr>
      <w:r>
        <w:rPr>
          <w:b/>
          <w:sz w:val="24"/>
        </w:rPr>
        <w:t>九、履行期限和地点</w:t>
      </w:r>
    </w:p>
    <w:p>
      <w:pPr>
        <w:pStyle w:val="null3"/>
        <w:ind w:firstLine="480"/>
        <w:jc w:val="both"/>
      </w:pPr>
      <w:r>
        <w:rPr>
          <w:sz w:val="24"/>
        </w:rPr>
        <w:t>（一）本合同在签订之日起在</w:t>
      </w:r>
      <w:r>
        <w:rPr>
          <w:sz w:val="24"/>
          <w:u w:val="single"/>
        </w:rPr>
        <w:t>广州市</w:t>
      </w:r>
      <w:r>
        <w:rPr>
          <w:sz w:val="24"/>
        </w:rPr>
        <w:t>履行。软件开发服务期限为</w:t>
      </w:r>
      <w:r>
        <w:rPr>
          <w:sz w:val="24"/>
        </w:rPr>
        <w:t>10</w:t>
      </w:r>
      <w:r>
        <w:rPr>
          <w:sz w:val="24"/>
        </w:rPr>
        <w:t>个月，从合同签订之日起计算；链路租赁服务期为</w:t>
      </w:r>
      <w:r>
        <w:rPr>
          <w:sz w:val="24"/>
        </w:rPr>
        <w:t>1</w:t>
      </w:r>
      <w:r>
        <w:rPr>
          <w:sz w:val="24"/>
        </w:rPr>
        <w:t>年，从通信链路交付之日起计算；数据治理服务期为</w:t>
      </w:r>
      <w:r>
        <w:rPr>
          <w:sz w:val="24"/>
        </w:rPr>
        <w:t>2</w:t>
      </w:r>
      <w:r>
        <w:rPr>
          <w:sz w:val="24"/>
        </w:rPr>
        <w:t>年，从提供数据治理服务之日起开始计算；合同验收后，提供</w:t>
      </w:r>
      <w:r>
        <w:rPr>
          <w:sz w:val="24"/>
        </w:rPr>
        <w:t>3</w:t>
      </w:r>
      <w:r>
        <w:rPr>
          <w:sz w:val="24"/>
        </w:rPr>
        <w:t>年系统免费维保。</w:t>
      </w:r>
    </w:p>
    <w:p>
      <w:pPr>
        <w:pStyle w:val="null3"/>
        <w:ind w:firstLine="480"/>
        <w:jc w:val="both"/>
      </w:pPr>
      <w:r>
        <w:rPr>
          <w:sz w:val="24"/>
        </w:rPr>
        <w:t>（二）本合同标的系统研发地点由乙方承担，验收地点在甲方使用地。</w:t>
      </w:r>
    </w:p>
    <w:p>
      <w:pPr>
        <w:pStyle w:val="null3"/>
        <w:ind w:firstLine="482"/>
        <w:jc w:val="both"/>
      </w:pPr>
      <w:r>
        <w:rPr>
          <w:b/>
          <w:sz w:val="24"/>
        </w:rPr>
        <w:t>十、技术情报和资料的保密</w:t>
      </w:r>
    </w:p>
    <w:p>
      <w:pPr>
        <w:pStyle w:val="null3"/>
        <w:ind w:firstLine="480"/>
        <w:jc w:val="both"/>
      </w:pPr>
      <w:r>
        <w:rPr>
          <w:sz w:val="24"/>
        </w:rPr>
        <w:t>乙方必须采取措施</w:t>
      </w:r>
      <w:r>
        <w:rPr>
          <w:sz w:val="24"/>
        </w:rPr>
        <w:t>,</w:t>
      </w:r>
      <w:r>
        <w:rPr>
          <w:sz w:val="24"/>
        </w:rPr>
        <w:t>对项目系统、数据、源代码、技术文档等资料保密，非经甲方同意乙方不得泄漏给任何第三方或向第三方演示，否则，由乙方承担一切责任。</w:t>
      </w:r>
    </w:p>
    <w:p>
      <w:pPr>
        <w:pStyle w:val="null3"/>
        <w:ind w:firstLine="482"/>
        <w:jc w:val="both"/>
      </w:pPr>
      <w:r>
        <w:rPr>
          <w:b/>
          <w:sz w:val="24"/>
        </w:rPr>
        <w:t>十一、风险责任的承担</w:t>
      </w:r>
    </w:p>
    <w:p>
      <w:pPr>
        <w:pStyle w:val="null3"/>
        <w:ind w:firstLine="480"/>
        <w:jc w:val="both"/>
      </w:pPr>
      <w:r>
        <w:rPr>
          <w:sz w:val="24"/>
        </w:rPr>
        <w:t>如因不可抗力造成的系统研究开发受到影响，甲乙双方应本着友好合作的态度共同协商调整开发工作进度。</w:t>
      </w:r>
    </w:p>
    <w:p>
      <w:pPr>
        <w:pStyle w:val="null3"/>
        <w:ind w:firstLine="482"/>
        <w:jc w:val="both"/>
      </w:pPr>
      <w:r>
        <w:rPr>
          <w:b/>
          <w:sz w:val="24"/>
        </w:rPr>
        <w:t>十二、技术成果的归属和分享</w:t>
      </w:r>
    </w:p>
    <w:p>
      <w:pPr>
        <w:pStyle w:val="null3"/>
        <w:ind w:firstLine="480"/>
        <w:jc w:val="both"/>
      </w:pPr>
      <w:r>
        <w:rPr>
          <w:sz w:val="24"/>
        </w:rPr>
        <w:t>乙方在本合同中接受甲方委托开发完成的技术成果和所提供给甲方的系统、数据、源代码、技术文档及其技术文档等所有研究开发成果的所有权、知识产权等由甲方享有；未经甲方许可，乙方不得透露给任何第三方，不得自行使用或者许可任何第三方使用。同时，乙方对该技术后续的改进与升级均应免费提供给甲方使用。</w:t>
      </w:r>
    </w:p>
    <w:p>
      <w:pPr>
        <w:pStyle w:val="null3"/>
        <w:ind w:firstLine="482"/>
        <w:jc w:val="both"/>
      </w:pPr>
      <w:r>
        <w:rPr>
          <w:b/>
          <w:sz w:val="24"/>
        </w:rPr>
        <w:t>十三、验收标准和方式</w:t>
      </w:r>
    </w:p>
    <w:p>
      <w:pPr>
        <w:pStyle w:val="null3"/>
        <w:ind w:firstLine="480"/>
        <w:jc w:val="both"/>
      </w:pPr>
      <w:r>
        <w:rPr>
          <w:sz w:val="24"/>
        </w:rPr>
        <w:t>为了保证系统的设计质量：</w:t>
      </w:r>
    </w:p>
    <w:p>
      <w:pPr>
        <w:pStyle w:val="null3"/>
        <w:ind w:firstLine="480"/>
        <w:jc w:val="both"/>
      </w:pPr>
      <w:r>
        <w:rPr>
          <w:sz w:val="24"/>
        </w:rPr>
        <w:t>（一）乙方必须保证足够的技术人员和时间投入系统设计与开发中，未经甲方许可，乙方不得随意变更该项目执行过程中的项目负责人和主要开发人员。</w:t>
      </w:r>
    </w:p>
    <w:p>
      <w:pPr>
        <w:pStyle w:val="null3"/>
        <w:ind w:firstLine="480"/>
        <w:jc w:val="both"/>
      </w:pPr>
      <w:r>
        <w:rPr>
          <w:sz w:val="24"/>
        </w:rPr>
        <w:t>（二）在系统开发和试运行期间，甲方有权对项目进行定期审计和阶段评估，乙方有协助配合的义务。</w:t>
      </w:r>
    </w:p>
    <w:p>
      <w:pPr>
        <w:pStyle w:val="null3"/>
        <w:ind w:left="105" w:firstLine="360"/>
        <w:jc w:val="both"/>
      </w:pPr>
      <w:r>
        <w:rPr>
          <w:sz w:val="24"/>
        </w:rPr>
        <w:t>（三）双方确认，研究开发所完成的技术成果按《项目需求规格说明书》及招标文件的标准进行验收，验收小组由双方确认的专家组成；经验收达到了本合同第二条所列技术指标的，由甲方出具技术项目验收证明。</w:t>
      </w:r>
    </w:p>
    <w:p>
      <w:pPr>
        <w:pStyle w:val="null3"/>
        <w:ind w:firstLine="482"/>
        <w:jc w:val="both"/>
      </w:pPr>
      <w:r>
        <w:rPr>
          <w:b/>
          <w:sz w:val="24"/>
        </w:rPr>
        <w:t>十四、违约责任</w:t>
      </w:r>
    </w:p>
    <w:p>
      <w:pPr>
        <w:pStyle w:val="null3"/>
        <w:ind w:firstLine="482"/>
        <w:jc w:val="both"/>
      </w:pPr>
      <w:r>
        <w:rPr>
          <w:b/>
          <w:sz w:val="24"/>
        </w:rPr>
        <w:t>甲方应对下列违约行为承担相应责任：</w:t>
      </w:r>
    </w:p>
    <w:p>
      <w:pPr>
        <w:pStyle w:val="null3"/>
        <w:ind w:firstLine="480"/>
        <w:jc w:val="both"/>
      </w:pPr>
      <w:r>
        <w:rPr>
          <w:sz w:val="24"/>
        </w:rPr>
        <w:t>（一）经双方确认，并经监理方审核确认因甲方原因导致项目实施内容不能按</w:t>
      </w:r>
      <w:r>
        <w:rPr>
          <w:b/>
          <w:sz w:val="24"/>
          <w:u w:val="single"/>
        </w:rPr>
        <w:t>《项目需求规格说明书》</w:t>
      </w:r>
      <w:r>
        <w:rPr>
          <w:sz w:val="24"/>
        </w:rPr>
        <w:t>开展建设，或实施过程不能按</w:t>
      </w:r>
      <w:r>
        <w:rPr>
          <w:b/>
          <w:sz w:val="24"/>
          <w:u w:val="single"/>
        </w:rPr>
        <w:t>《工作计划表》</w:t>
      </w:r>
      <w:r>
        <w:rPr>
          <w:sz w:val="24"/>
        </w:rPr>
        <w:t>进度如期进行，或者项目验收不能通过，则甲方需根据双方协商的结果给予乙方宽限期。</w:t>
      </w:r>
    </w:p>
    <w:p>
      <w:pPr>
        <w:pStyle w:val="null3"/>
        <w:ind w:firstLine="480"/>
        <w:jc w:val="both"/>
      </w:pPr>
      <w:r>
        <w:rPr>
          <w:sz w:val="24"/>
        </w:rPr>
        <w:t>（二）如甲方因自身过错未按合同规定时间付款，经乙方书面催告后，给予甲方</w:t>
      </w:r>
      <w:r>
        <w:rPr>
          <w:b/>
          <w:sz w:val="24"/>
          <w:u w:val="single"/>
        </w:rPr>
        <w:t>7</w:t>
      </w:r>
      <w:r>
        <w:rPr>
          <w:b/>
          <w:sz w:val="24"/>
          <w:u w:val="single"/>
        </w:rPr>
        <w:t>个</w:t>
      </w:r>
      <w:r>
        <w:rPr>
          <w:sz w:val="24"/>
        </w:rPr>
        <w:t>自然日的宽限期，超过</w:t>
      </w:r>
      <w:r>
        <w:rPr>
          <w:b/>
          <w:sz w:val="24"/>
          <w:u w:val="single"/>
        </w:rPr>
        <w:t>7</w:t>
      </w:r>
      <w:r>
        <w:rPr>
          <w:b/>
          <w:sz w:val="24"/>
          <w:u w:val="single"/>
        </w:rPr>
        <w:t>个</w:t>
      </w:r>
      <w:r>
        <w:rPr>
          <w:sz w:val="24"/>
        </w:rPr>
        <w:t>自然日宽限期的，每逾期一天向乙方支付逾期付款总额</w:t>
      </w:r>
      <w:r>
        <w:rPr>
          <w:b/>
          <w:sz w:val="24"/>
          <w:u w:val="single"/>
        </w:rPr>
        <w:t>0.3</w:t>
      </w:r>
      <w:r>
        <w:rPr>
          <w:b/>
          <w:sz w:val="24"/>
          <w:u w:val="single"/>
        </w:rPr>
        <w:t>‰</w:t>
      </w:r>
      <w:r>
        <w:rPr>
          <w:sz w:val="24"/>
        </w:rPr>
        <w:t>的违约金，违约金总额最高不超过应付未付款项的</w:t>
      </w:r>
      <w:r>
        <w:rPr>
          <w:sz w:val="24"/>
        </w:rPr>
        <w:t>5%</w:t>
      </w:r>
      <w:r>
        <w:rPr>
          <w:sz w:val="24"/>
        </w:rPr>
        <w:t>，但由于财政拨付安排等非甲方原因，导致甲方逾期付款的，甲方不承担违约责任，并且此情况不能成为乙方逾期履行合同义务的理由。</w:t>
      </w:r>
    </w:p>
    <w:p>
      <w:pPr>
        <w:pStyle w:val="null3"/>
        <w:ind w:firstLine="482"/>
        <w:jc w:val="both"/>
      </w:pPr>
      <w:r>
        <w:rPr>
          <w:b/>
          <w:sz w:val="24"/>
        </w:rPr>
        <w:t>乙方应对下列违约行为承担相应责任：</w:t>
      </w:r>
    </w:p>
    <w:p>
      <w:pPr>
        <w:pStyle w:val="null3"/>
        <w:ind w:firstLine="480"/>
        <w:jc w:val="both"/>
      </w:pPr>
      <w:r>
        <w:rPr>
          <w:sz w:val="24"/>
        </w:rPr>
        <w:t>（一）项目实施过程中，乙方不能按合同约定安排人员驻场，则按照</w:t>
      </w:r>
      <w:r>
        <w:rPr>
          <w:b/>
          <w:sz w:val="24"/>
          <w:u w:val="single"/>
        </w:rPr>
        <w:t>每人每周</w:t>
      </w:r>
      <w:r>
        <w:rPr>
          <w:b/>
          <w:sz w:val="24"/>
          <w:u w:val="single"/>
        </w:rPr>
        <w:t>5000</w:t>
      </w:r>
      <w:r>
        <w:rPr>
          <w:b/>
          <w:sz w:val="24"/>
          <w:u w:val="single"/>
        </w:rPr>
        <w:t>元</w:t>
      </w:r>
      <w:r>
        <w:rPr>
          <w:sz w:val="24"/>
        </w:rPr>
        <w:t>的标准向甲方支付违约金。</w:t>
      </w:r>
    </w:p>
    <w:p>
      <w:pPr>
        <w:pStyle w:val="null3"/>
        <w:ind w:firstLine="480"/>
        <w:jc w:val="both"/>
      </w:pPr>
      <w:r>
        <w:rPr>
          <w:sz w:val="24"/>
        </w:rPr>
        <w:t>（二）如乙方未按</w:t>
      </w:r>
      <w:r>
        <w:rPr>
          <w:b/>
          <w:sz w:val="24"/>
          <w:u w:val="single"/>
        </w:rPr>
        <w:t>《工作计划表》</w:t>
      </w:r>
      <w:r>
        <w:rPr>
          <w:sz w:val="24"/>
        </w:rPr>
        <w:t>中的项目进度安排按时进行建设，经甲方双方商议，可给予</w:t>
      </w:r>
      <w:r>
        <w:rPr>
          <w:b/>
          <w:sz w:val="24"/>
          <w:u w:val="single"/>
        </w:rPr>
        <w:t>7</w:t>
      </w:r>
      <w:r>
        <w:rPr>
          <w:b/>
          <w:sz w:val="24"/>
          <w:u w:val="single"/>
        </w:rPr>
        <w:t>个</w:t>
      </w:r>
      <w:r>
        <w:rPr>
          <w:sz w:val="24"/>
        </w:rPr>
        <w:t>自然日的宽限期，超过</w:t>
      </w:r>
      <w:r>
        <w:rPr>
          <w:b/>
          <w:sz w:val="24"/>
          <w:u w:val="single"/>
        </w:rPr>
        <w:t>7</w:t>
      </w:r>
      <w:r>
        <w:rPr>
          <w:b/>
          <w:sz w:val="24"/>
          <w:u w:val="single"/>
        </w:rPr>
        <w:t>个</w:t>
      </w:r>
      <w:r>
        <w:rPr>
          <w:sz w:val="24"/>
        </w:rPr>
        <w:t>自然日后，乙方没有合理理由的，每天应支付给甲方的违约金为合同总额的</w:t>
      </w:r>
      <w:r>
        <w:rPr>
          <w:b/>
          <w:sz w:val="24"/>
          <w:u w:val="single"/>
        </w:rPr>
        <w:t>0.5</w:t>
      </w:r>
      <w:r>
        <w:rPr>
          <w:b/>
          <w:sz w:val="24"/>
          <w:u w:val="single"/>
        </w:rPr>
        <w:t>‰</w:t>
      </w:r>
      <w:r>
        <w:rPr>
          <w:sz w:val="24"/>
        </w:rPr>
        <w:t>，同时，甲方有权根据项目实际情况解除合同、要求乙方退还已支付的全部款项，由此产生的损失由乙方承担。</w:t>
      </w:r>
    </w:p>
    <w:p>
      <w:pPr>
        <w:pStyle w:val="null3"/>
        <w:ind w:firstLine="480"/>
        <w:jc w:val="both"/>
      </w:pPr>
      <w:r>
        <w:rPr>
          <w:sz w:val="24"/>
        </w:rPr>
        <w:t>（三）若因乙方原因导致系统未能按本合同中所规定的时间按时上线的，经甲方双方商议，可给予</w:t>
      </w:r>
      <w:r>
        <w:rPr>
          <w:sz w:val="24"/>
        </w:rPr>
        <w:t>7</w:t>
      </w:r>
      <w:r>
        <w:rPr>
          <w:sz w:val="24"/>
        </w:rPr>
        <w:t>个自然日的宽限期，从超过宽限期之日起，乙方没有合理理由的，每天应支付给甲方的违约金为合同总额的</w:t>
      </w:r>
      <w:r>
        <w:rPr>
          <w:sz w:val="24"/>
        </w:rPr>
        <w:t>0.5</w:t>
      </w:r>
      <w:r>
        <w:rPr>
          <w:sz w:val="24"/>
        </w:rPr>
        <w:t>‰，同时，甲方有权根据项目实际情况解除合同、要求乙方退还已支付的全部款项，由此产生的损失由乙方承担”。</w:t>
      </w:r>
    </w:p>
    <w:p>
      <w:pPr>
        <w:pStyle w:val="null3"/>
        <w:ind w:firstLine="480"/>
        <w:jc w:val="both"/>
      </w:pPr>
      <w:r>
        <w:rPr>
          <w:sz w:val="24"/>
        </w:rPr>
        <w:t>（四）如乙方开发的系统功能不能通过合同验收或项目终验中的任何一种验收的，经甲方双方商议，可给予</w:t>
      </w:r>
      <w:r>
        <w:rPr>
          <w:sz w:val="24"/>
        </w:rPr>
        <w:t>7</w:t>
      </w:r>
      <w:r>
        <w:rPr>
          <w:sz w:val="24"/>
        </w:rPr>
        <w:t>个自然日时间由乙方进行整改；</w:t>
      </w:r>
      <w:r>
        <w:rPr>
          <w:sz w:val="24"/>
        </w:rPr>
        <w:t>7</w:t>
      </w:r>
      <w:r>
        <w:rPr>
          <w:sz w:val="24"/>
        </w:rPr>
        <w:t>个自然日后仍无法通过验收，乙方没有合理理由的，甲方有权解除合同、要求乙方退还已支付的全部款项，并要求乙方按照合同总额的</w:t>
      </w:r>
      <w:r>
        <w:rPr>
          <w:sz w:val="24"/>
        </w:rPr>
        <w:t>20%</w:t>
      </w:r>
      <w:r>
        <w:rPr>
          <w:sz w:val="24"/>
        </w:rPr>
        <w:t>支付违约金，违约金不足以弥补甲方损失的，乙方还应承担不足部分的赔偿责任。</w:t>
      </w:r>
    </w:p>
    <w:p>
      <w:pPr>
        <w:pStyle w:val="null3"/>
        <w:ind w:firstLine="480"/>
        <w:jc w:val="both"/>
      </w:pPr>
      <w:r>
        <w:rPr>
          <w:sz w:val="24"/>
        </w:rPr>
        <w:t>（五）项目试运行期间，如因乙方原因导致系统发生重大事故，每次事故按合同总额的</w:t>
      </w:r>
      <w:r>
        <w:rPr>
          <w:b/>
          <w:sz w:val="24"/>
          <w:u w:val="single"/>
        </w:rPr>
        <w:t>2%</w:t>
      </w:r>
      <w:r>
        <w:rPr>
          <w:sz w:val="24"/>
        </w:rPr>
        <w:t>支付违约金予甲方；发生特大事故，按合同总额的</w:t>
      </w:r>
      <w:r>
        <w:rPr>
          <w:b/>
          <w:sz w:val="24"/>
          <w:u w:val="single"/>
        </w:rPr>
        <w:t>5</w:t>
      </w:r>
      <w:r>
        <w:rPr>
          <w:b/>
          <w:sz w:val="24"/>
          <w:u w:val="single"/>
        </w:rPr>
        <w:t>％</w:t>
      </w:r>
      <w:r>
        <w:rPr>
          <w:sz w:val="24"/>
        </w:rPr>
        <w:t>支付违约金予甲方。违约金不足以弥补甲方损失的，乙方还应承担不足部分的赔偿责任。</w:t>
      </w:r>
    </w:p>
    <w:p>
      <w:pPr>
        <w:pStyle w:val="null3"/>
        <w:ind w:firstLine="480"/>
        <w:jc w:val="both"/>
      </w:pPr>
      <w:r>
        <w:rPr>
          <w:sz w:val="24"/>
        </w:rPr>
        <w:t>项目通过合同验收后到免费维护期内（含），如因乙方原因导致系统单周累积故障时长达到</w:t>
      </w:r>
      <w:r>
        <w:rPr>
          <w:b/>
          <w:sz w:val="24"/>
        </w:rPr>
        <w:t>20</w:t>
      </w:r>
      <w:r>
        <w:rPr>
          <w:b/>
          <w:sz w:val="24"/>
        </w:rPr>
        <w:t>分钟</w:t>
      </w:r>
      <w:r>
        <w:rPr>
          <w:sz w:val="24"/>
        </w:rPr>
        <w:t>的，乙方按合同总额的</w:t>
      </w:r>
      <w:r>
        <w:rPr>
          <w:b/>
          <w:sz w:val="24"/>
        </w:rPr>
        <w:t>0.2</w:t>
      </w:r>
      <w:r>
        <w:rPr>
          <w:b/>
          <w:sz w:val="24"/>
        </w:rPr>
        <w:t>％</w:t>
      </w:r>
      <w:r>
        <w:rPr>
          <w:sz w:val="24"/>
        </w:rPr>
        <w:t>支付违约金予甲方；超过</w:t>
      </w:r>
      <w:r>
        <w:rPr>
          <w:b/>
          <w:sz w:val="24"/>
        </w:rPr>
        <w:t>20</w:t>
      </w:r>
      <w:r>
        <w:rPr>
          <w:sz w:val="24"/>
        </w:rPr>
        <w:t>分钟的，每超过</w:t>
      </w:r>
      <w:r>
        <w:rPr>
          <w:b/>
          <w:sz w:val="24"/>
        </w:rPr>
        <w:t>10</w:t>
      </w:r>
      <w:r>
        <w:rPr>
          <w:sz w:val="24"/>
        </w:rPr>
        <w:t>分钟，增加</w:t>
      </w:r>
      <w:r>
        <w:rPr>
          <w:b/>
          <w:sz w:val="24"/>
        </w:rPr>
        <w:t>0.1%</w:t>
      </w:r>
      <w:r>
        <w:rPr>
          <w:sz w:val="24"/>
        </w:rPr>
        <w:t>违约金。如因乙方原因导致系统发生重大事故，每次事故按合同总额的</w:t>
      </w:r>
      <w:r>
        <w:rPr>
          <w:b/>
          <w:sz w:val="24"/>
        </w:rPr>
        <w:t>5</w:t>
      </w:r>
      <w:r>
        <w:rPr>
          <w:b/>
          <w:sz w:val="24"/>
        </w:rPr>
        <w:t>％</w:t>
      </w:r>
      <w:r>
        <w:rPr>
          <w:sz w:val="24"/>
        </w:rPr>
        <w:t>支付违约金予甲方；发生特大事故，按合同总额的</w:t>
      </w:r>
      <w:r>
        <w:rPr>
          <w:b/>
          <w:sz w:val="24"/>
        </w:rPr>
        <w:t>10</w:t>
      </w:r>
      <w:r>
        <w:rPr>
          <w:b/>
          <w:sz w:val="24"/>
        </w:rPr>
        <w:t>％</w:t>
      </w:r>
      <w:r>
        <w:rPr>
          <w:sz w:val="24"/>
        </w:rPr>
        <w:t>支付违约金予甲方，同时甲方有权选择直接解除本合同。违约金不足以弥补甲方损失的，乙方还应承担不足部分的赔偿责任。同时建立重大、特大故障分析报告制度。在故障发生后</w:t>
      </w:r>
      <w:r>
        <w:rPr>
          <w:sz w:val="24"/>
        </w:rPr>
        <w:t>15</w:t>
      </w:r>
      <w:r>
        <w:rPr>
          <w:sz w:val="24"/>
        </w:rPr>
        <w:t>个自然日前，向甲方报送书面故障分析报告，违反报送规定的，乙方每次按合同总额的</w:t>
      </w:r>
      <w:r>
        <w:rPr>
          <w:b/>
          <w:sz w:val="24"/>
        </w:rPr>
        <w:t>0.2</w:t>
      </w:r>
      <w:r>
        <w:rPr>
          <w:b/>
          <w:sz w:val="24"/>
        </w:rPr>
        <w:t>％</w:t>
      </w:r>
      <w:r>
        <w:rPr>
          <w:sz w:val="24"/>
        </w:rPr>
        <w:t>支付违约金予甲方。</w:t>
      </w:r>
    </w:p>
    <w:p>
      <w:pPr>
        <w:pStyle w:val="null3"/>
        <w:ind w:firstLine="480"/>
        <w:jc w:val="both"/>
      </w:pPr>
      <w:r>
        <w:rPr>
          <w:sz w:val="24"/>
        </w:rPr>
        <w:t>累积故障时长：由甲方和监理方共同确认的。</w:t>
      </w:r>
    </w:p>
    <w:p>
      <w:pPr>
        <w:pStyle w:val="null3"/>
        <w:ind w:firstLine="480"/>
        <w:jc w:val="both"/>
      </w:pPr>
      <w:r>
        <w:rPr>
          <w:sz w:val="24"/>
        </w:rPr>
        <w:t>重大事故：指由甲方和监理方共同确认的，故障导致系统无法正常使用达到</w:t>
      </w:r>
      <w:r>
        <w:rPr>
          <w:sz w:val="24"/>
        </w:rPr>
        <w:t>2</w:t>
      </w:r>
      <w:r>
        <w:rPr>
          <w:sz w:val="24"/>
        </w:rPr>
        <w:t>小时，或影响到</w:t>
      </w:r>
      <w:r>
        <w:rPr>
          <w:sz w:val="24"/>
        </w:rPr>
        <w:t>6</w:t>
      </w:r>
      <w:r>
        <w:rPr>
          <w:sz w:val="24"/>
        </w:rPr>
        <w:t>个以上使用单元或受理窗口，或处理解决时间超过</w:t>
      </w:r>
      <w:r>
        <w:rPr>
          <w:sz w:val="24"/>
        </w:rPr>
        <w:t>0.5</w:t>
      </w:r>
      <w:r>
        <w:rPr>
          <w:sz w:val="24"/>
        </w:rPr>
        <w:t>个工作日的故障，或因同一原因连续</w:t>
      </w:r>
      <w:r>
        <w:rPr>
          <w:sz w:val="24"/>
        </w:rPr>
        <w:t>2</w:t>
      </w:r>
      <w:r>
        <w:rPr>
          <w:sz w:val="24"/>
        </w:rPr>
        <w:t>个工作日内引发</w:t>
      </w:r>
      <w:r>
        <w:rPr>
          <w:sz w:val="24"/>
        </w:rPr>
        <w:t>6</w:t>
      </w:r>
      <w:r>
        <w:rPr>
          <w:sz w:val="24"/>
        </w:rPr>
        <w:t>个窗口单元或同类问题收到群众投诉达到</w:t>
      </w:r>
      <w:r>
        <w:rPr>
          <w:sz w:val="24"/>
        </w:rPr>
        <w:t>10</w:t>
      </w:r>
      <w:r>
        <w:rPr>
          <w:sz w:val="24"/>
        </w:rPr>
        <w:t>次以上的。</w:t>
      </w:r>
    </w:p>
    <w:p>
      <w:pPr>
        <w:pStyle w:val="null3"/>
        <w:ind w:firstLine="480"/>
        <w:jc w:val="both"/>
      </w:pPr>
      <w:r>
        <w:rPr>
          <w:sz w:val="24"/>
        </w:rPr>
        <w:t>特大事故：指由甲方和监理方共同确认的，故障导致客户资料或设备损毁，或导致系统无法正常使用超过</w:t>
      </w:r>
      <w:r>
        <w:rPr>
          <w:sz w:val="24"/>
        </w:rPr>
        <w:t>4</w:t>
      </w:r>
      <w:r>
        <w:rPr>
          <w:sz w:val="24"/>
        </w:rPr>
        <w:t>个小时，或影响到</w:t>
      </w:r>
      <w:r>
        <w:rPr>
          <w:sz w:val="24"/>
        </w:rPr>
        <w:t>12</w:t>
      </w:r>
      <w:r>
        <w:rPr>
          <w:sz w:val="24"/>
        </w:rPr>
        <w:t>个以上窗口单元，或导致数据丢失超过</w:t>
      </w:r>
      <w:r>
        <w:rPr>
          <w:sz w:val="24"/>
        </w:rPr>
        <w:t>2</w:t>
      </w:r>
      <w:r>
        <w:rPr>
          <w:sz w:val="24"/>
        </w:rPr>
        <w:t>个工作日未恢复的，或故障处理解决时间超过</w:t>
      </w:r>
      <w:r>
        <w:rPr>
          <w:sz w:val="24"/>
        </w:rPr>
        <w:t>2</w:t>
      </w:r>
      <w:r>
        <w:rPr>
          <w:sz w:val="24"/>
        </w:rPr>
        <w:t>个自然日的故障，或因同一原因连续</w:t>
      </w:r>
      <w:r>
        <w:rPr>
          <w:sz w:val="24"/>
        </w:rPr>
        <w:t>4</w:t>
      </w:r>
      <w:r>
        <w:rPr>
          <w:sz w:val="24"/>
        </w:rPr>
        <w:t>个工作日内</w:t>
      </w:r>
      <w:r>
        <w:rPr>
          <w:sz w:val="24"/>
        </w:rPr>
        <w:t>12</w:t>
      </w:r>
      <w:r>
        <w:rPr>
          <w:sz w:val="24"/>
        </w:rPr>
        <w:t>个窗口单元或同一问题收到群众投诉达到</w:t>
      </w:r>
      <w:r>
        <w:rPr>
          <w:sz w:val="24"/>
        </w:rPr>
        <w:t>20</w:t>
      </w:r>
      <w:r>
        <w:rPr>
          <w:sz w:val="24"/>
        </w:rPr>
        <w:t>次以上的。</w:t>
      </w:r>
    </w:p>
    <w:p>
      <w:pPr>
        <w:pStyle w:val="null3"/>
        <w:ind w:firstLine="480"/>
        <w:jc w:val="both"/>
      </w:pPr>
      <w:r>
        <w:rPr>
          <w:sz w:val="24"/>
        </w:rPr>
        <w:t>（六）乙方应尽到相关注意义务，避免造成不良影响。因乙方原因对甲方造成不良影响的，由乙方承担一切损失，负责消除不良影响并负担由此产生的一切费用。不良影响首次发生的，乙方按合同总额</w:t>
      </w:r>
      <w:r>
        <w:rPr>
          <w:b/>
          <w:sz w:val="24"/>
          <w:u w:val="single"/>
        </w:rPr>
        <w:t>2%</w:t>
      </w:r>
      <w:r>
        <w:rPr>
          <w:sz w:val="24"/>
        </w:rPr>
        <w:t>支付违约金予甲方；第二次发生，乙方按合同总额的</w:t>
      </w:r>
      <w:r>
        <w:rPr>
          <w:b/>
          <w:sz w:val="24"/>
          <w:u w:val="single"/>
        </w:rPr>
        <w:t>5</w:t>
      </w:r>
      <w:r>
        <w:rPr>
          <w:b/>
          <w:sz w:val="24"/>
          <w:u w:val="single"/>
        </w:rPr>
        <w:t>％</w:t>
      </w:r>
      <w:r>
        <w:rPr>
          <w:sz w:val="24"/>
        </w:rPr>
        <w:t>支付违约金予甲方；自第三次发生起，乙方每次按合同总额的</w:t>
      </w:r>
      <w:r>
        <w:rPr>
          <w:b/>
          <w:sz w:val="24"/>
          <w:u w:val="single"/>
        </w:rPr>
        <w:t>10</w:t>
      </w:r>
      <w:r>
        <w:rPr>
          <w:b/>
          <w:sz w:val="24"/>
          <w:u w:val="single"/>
        </w:rPr>
        <w:t>％</w:t>
      </w:r>
      <w:r>
        <w:rPr>
          <w:sz w:val="24"/>
        </w:rPr>
        <w:t>支付违约金予甲方。</w:t>
      </w:r>
    </w:p>
    <w:p>
      <w:pPr>
        <w:pStyle w:val="null3"/>
        <w:ind w:firstLine="480"/>
        <w:jc w:val="both"/>
      </w:pPr>
      <w:r>
        <w:rPr>
          <w:sz w:val="24"/>
        </w:rPr>
        <w:t>不良影响：指经甲方与监理方共同确认，因不当使用信息、数据泄露或其他原因导致，造成甲方遭到投诉，或损害影响第三方（含系统使用者及社会公众）利益引发不满，或被</w:t>
      </w:r>
      <w:r>
        <w:rPr>
          <w:sz w:val="24"/>
        </w:rPr>
        <w:t>3</w:t>
      </w:r>
      <w:r>
        <w:rPr>
          <w:sz w:val="24"/>
        </w:rPr>
        <w:t>家以上媒体（含网络媒体）报道扩散。</w:t>
      </w:r>
    </w:p>
    <w:p>
      <w:pPr>
        <w:pStyle w:val="null3"/>
        <w:ind w:firstLine="480"/>
        <w:jc w:val="both"/>
      </w:pPr>
      <w:r>
        <w:rPr>
          <w:sz w:val="24"/>
        </w:rPr>
        <w:t>（七）建立季度、年度定期分析运行报告制度。乙方须在年度期满后次年次月底前，每季度期满次月</w:t>
      </w:r>
      <w:r>
        <w:rPr>
          <w:sz w:val="24"/>
        </w:rPr>
        <w:t>15</w:t>
      </w:r>
      <w:r>
        <w:rPr>
          <w:sz w:val="24"/>
        </w:rPr>
        <w:t>个自然日前，分别将年度或季度运行分析报告书面形式出具。若乙方未履行的，每发生一次乙方按合同总额的</w:t>
      </w:r>
      <w:r>
        <w:rPr>
          <w:b/>
          <w:sz w:val="24"/>
          <w:u w:val="single"/>
        </w:rPr>
        <w:t>0.2</w:t>
      </w:r>
      <w:r>
        <w:rPr>
          <w:b/>
          <w:sz w:val="24"/>
          <w:u w:val="single"/>
        </w:rPr>
        <w:t>％</w:t>
      </w:r>
      <w:r>
        <w:rPr>
          <w:sz w:val="24"/>
        </w:rPr>
        <w:t>支付违约金予甲方。</w:t>
      </w:r>
    </w:p>
    <w:p>
      <w:pPr>
        <w:pStyle w:val="null3"/>
        <w:ind w:firstLine="480"/>
        <w:jc w:val="both"/>
      </w:pPr>
      <w:r>
        <w:rPr>
          <w:sz w:val="24"/>
        </w:rPr>
        <w:t>（八）项目驻场人员工作机制。乙方应按甲乙双方约定，明确项目驻场人员人数、资质，区分与其他相关项目人员。驻场人员除项目经理可存在交叉外，每发生一人或一起，乙方没有合理理由的，按合同总额的</w:t>
      </w:r>
      <w:r>
        <w:rPr>
          <w:sz w:val="24"/>
        </w:rPr>
        <w:t>0.2</w:t>
      </w:r>
      <w:r>
        <w:rPr>
          <w:sz w:val="24"/>
        </w:rPr>
        <w:t>％支付违约金予甲方。</w:t>
      </w:r>
    </w:p>
    <w:p>
      <w:pPr>
        <w:pStyle w:val="null3"/>
        <w:ind w:firstLine="480"/>
        <w:jc w:val="both"/>
      </w:pPr>
      <w:r>
        <w:rPr>
          <w:sz w:val="24"/>
        </w:rPr>
        <w:t>（九）建立驻场人员系统应用和故障排查排障考核机制。乙方要接受甲方在系统应用、故障排查、功能完善等方面的月、季、年度考核，考核分优秀、合格和不合格，相关考核办法及奖惩规定双方另行约定。</w:t>
      </w:r>
    </w:p>
    <w:p>
      <w:pPr>
        <w:pStyle w:val="null3"/>
        <w:ind w:firstLine="480"/>
        <w:jc w:val="both"/>
      </w:pPr>
      <w:r>
        <w:rPr>
          <w:sz w:val="24"/>
        </w:rPr>
        <w:t>（十）乙方将项目转包，或违规对本合同项目进行分包，本合同立即终止。甲方有权要求乙方返还已支付的费用，并要求乙方按照合同总额的</w:t>
      </w:r>
      <w:r>
        <w:rPr>
          <w:sz w:val="24"/>
        </w:rPr>
        <w:t>30%</w:t>
      </w:r>
      <w:r>
        <w:rPr>
          <w:sz w:val="24"/>
        </w:rPr>
        <w:t>支付违约金，违约金不足以弥补甲方损失的，乙方还应承担不足部分的赔偿责任。</w:t>
      </w:r>
    </w:p>
    <w:p>
      <w:pPr>
        <w:pStyle w:val="null3"/>
        <w:ind w:firstLine="480"/>
        <w:jc w:val="both"/>
      </w:pPr>
      <w:r>
        <w:rPr>
          <w:sz w:val="24"/>
        </w:rPr>
        <w:t>（十一）除本合同另有约定外，因乙方原因造成合同终止或解除的，则乙方需将前期甲方支付给乙方的款项退还给甲方，并向甲方支付合同总额的</w:t>
      </w:r>
      <w:r>
        <w:rPr>
          <w:sz w:val="24"/>
        </w:rPr>
        <w:t>5%</w:t>
      </w:r>
      <w:r>
        <w:rPr>
          <w:sz w:val="24"/>
        </w:rPr>
        <w:t>的违约金，违约金不足以弥补甲方损失的甲方有权追偿。</w:t>
      </w:r>
    </w:p>
    <w:p>
      <w:pPr>
        <w:pStyle w:val="null3"/>
        <w:ind w:firstLine="480"/>
        <w:jc w:val="both"/>
      </w:pPr>
      <w:r>
        <w:rPr>
          <w:sz w:val="24"/>
        </w:rPr>
        <w:t>（十二）上述乙方违约行为承担相应责任中第一至十一条中所指的数均包含本数，所涉及违约金、赔偿金及其他应承担的费用甲方均有权从未付合同款中直接扣除。</w:t>
      </w:r>
    </w:p>
    <w:p>
      <w:pPr>
        <w:pStyle w:val="null3"/>
        <w:ind w:firstLine="482"/>
        <w:jc w:val="both"/>
      </w:pPr>
      <w:r>
        <w:rPr>
          <w:b/>
          <w:sz w:val="24"/>
        </w:rPr>
        <w:t>十五、争议的解决办法</w:t>
      </w:r>
    </w:p>
    <w:p>
      <w:pPr>
        <w:pStyle w:val="null3"/>
        <w:ind w:firstLine="480"/>
        <w:jc w:val="both"/>
      </w:pPr>
      <w:r>
        <w:rPr>
          <w:sz w:val="24"/>
        </w:rPr>
        <w:t>（一）合同履行过程中如一方提议对合同做修改或补充，必须提前十天以书面形式向另一方提出，并经另一方同意且双方签订补充合同书后进行。</w:t>
      </w:r>
    </w:p>
    <w:p>
      <w:pPr>
        <w:pStyle w:val="null3"/>
        <w:ind w:firstLine="480"/>
        <w:jc w:val="both"/>
      </w:pPr>
      <w:r>
        <w:rPr>
          <w:sz w:val="24"/>
        </w:rPr>
        <w:t>（二）合同执行过程中双方如有争议，应友好协商解决，协商不成，双方同意向甲方所在地的人民法院提起诉讼。</w:t>
      </w:r>
    </w:p>
    <w:p>
      <w:pPr>
        <w:pStyle w:val="null3"/>
        <w:ind w:firstLine="482"/>
        <w:jc w:val="both"/>
      </w:pPr>
      <w:r>
        <w:rPr>
          <w:b/>
          <w:sz w:val="24"/>
        </w:rPr>
        <w:t>十六、关于廉洁</w:t>
      </w:r>
    </w:p>
    <w:p>
      <w:pPr>
        <w:pStyle w:val="null3"/>
        <w:ind w:firstLine="480"/>
        <w:jc w:val="both"/>
      </w:pPr>
      <w:r>
        <w:rPr>
          <w:sz w:val="24"/>
        </w:rPr>
        <w:t>甲乙双方应当自觉遵守法律法规，在本合同的签订、履行过程中做到廉洁自律：</w:t>
      </w:r>
      <w:r>
        <w:br/>
      </w:r>
      <w:r>
        <w:rPr>
          <w:sz w:val="24"/>
        </w:rPr>
        <w:t>　　（一）甲方人员不得索要或接受乙方的现金、有价证券、实物和其他利益；不得参加乙方安排的宴请和娱乐活动；不得以任何理由向乙方提出推荐项目分包单位、工程材料、设备供应、劳务等经济活动要求。</w:t>
      </w:r>
      <w:r>
        <w:br/>
      </w:r>
      <w:r>
        <w:rPr>
          <w:sz w:val="24"/>
        </w:rPr>
        <w:t>　　（二）乙方人员不得以任何理由向甲方人员给付现金、有价证券、实物和其他利益；不得以任何理由安排甲方人员参加宴请及娱乐活动；不得以任何形式接受甲方人员提供工程材料和设备供应商，以及劳务等经济活动的要求。</w:t>
      </w:r>
      <w:r>
        <w:br/>
      </w:r>
      <w:r>
        <w:rPr>
          <w:sz w:val="24"/>
        </w:rPr>
        <w:t>　　（三）甲方人员违反上述廉洁条款规定的，按照管理权限，依据有关法律和规定给予党纪、政纪或组织处理或追究刑事责任。乙方人员违反上述廉洁条款规定的，一经发现，甲方有权立即解除合同且无需承担任何违约责任，并按照有关规定追究相关人员责任，给甲方造成的经济损失，乙方应予赔偿。</w:t>
      </w:r>
    </w:p>
    <w:p>
      <w:pPr>
        <w:pStyle w:val="null3"/>
        <w:ind w:firstLine="482"/>
        <w:jc w:val="both"/>
      </w:pPr>
      <w:r>
        <w:rPr>
          <w:b/>
          <w:sz w:val="24"/>
        </w:rPr>
        <w:t>十七、其他</w:t>
      </w:r>
    </w:p>
    <w:p>
      <w:pPr>
        <w:pStyle w:val="null3"/>
        <w:ind w:firstLine="480"/>
        <w:jc w:val="both"/>
      </w:pPr>
      <w:r>
        <w:rPr>
          <w:sz w:val="24"/>
        </w:rPr>
        <w:t>（一）合同的生效：本合同自双方授权代表签字盖章之日起生效。</w:t>
      </w:r>
    </w:p>
    <w:p>
      <w:pPr>
        <w:pStyle w:val="null3"/>
        <w:ind w:firstLine="480"/>
        <w:jc w:val="both"/>
      </w:pPr>
      <w:r>
        <w:rPr>
          <w:sz w:val="24"/>
        </w:rPr>
        <w:t>（二）如遇不可抗力导致本合同部分或全部无法继续履行，双方互不负任何责任，并可协商是否终止本合同。（不可抗力指双方在订立合同时不能预见、对其发生和后果不能避免且不能克服的事件）</w:t>
      </w:r>
    </w:p>
    <w:p>
      <w:pPr>
        <w:pStyle w:val="null3"/>
        <w:ind w:firstLine="480"/>
        <w:jc w:val="both"/>
      </w:pPr>
      <w:r>
        <w:rPr>
          <w:sz w:val="24"/>
        </w:rPr>
        <w:t>（三）本合同正本一式</w:t>
      </w:r>
      <w:r>
        <w:rPr>
          <w:b/>
          <w:sz w:val="24"/>
          <w:u w:val="single"/>
        </w:rPr>
        <w:t>陆</w:t>
      </w:r>
      <w:r>
        <w:rPr>
          <w:sz w:val="24"/>
        </w:rPr>
        <w:t>份，甲乙双方各执</w:t>
      </w:r>
      <w:r>
        <w:rPr>
          <w:b/>
          <w:sz w:val="24"/>
          <w:u w:val="single"/>
        </w:rPr>
        <w:t>叁</w:t>
      </w:r>
      <w:r>
        <w:rPr>
          <w:sz w:val="24"/>
        </w:rPr>
        <w:t>份，具有同等法律效力。</w:t>
      </w:r>
    </w:p>
    <w:p>
      <w:pPr>
        <w:pStyle w:val="null3"/>
        <w:ind w:firstLine="480"/>
      </w:pPr>
      <w:r>
        <w:rPr/>
        <w:t xml:space="preserve">  </w:t>
      </w:r>
      <w:r>
        <w:rPr>
          <w:sz w:val="24"/>
        </w:rPr>
        <w:t>（四）一方在合同履行过程中向另一方发出或者提供的所有通知、文件、文书、资料等，均可以合同所列明的地址送达；一方如果迁址或者变更电话，应当及时书面通知另一方，未履行通知义务的，另一方按原地址邮寄相关材料即视为已履行送达义务；当面交付上述材料的，在交付之时视为送达。</w:t>
      </w:r>
    </w:p>
    <w:p>
      <w:pPr>
        <w:pStyle w:val="null3"/>
        <w:ind w:firstLine="480"/>
      </w:pPr>
      <w:r>
        <w:rPr>
          <w:sz w:val="24"/>
        </w:rPr>
        <w:t>甲方地址：</w:t>
      </w:r>
      <w:r>
        <w:rPr>
          <w:u w:val="single"/>
        </w:rPr>
        <w:t xml:space="preserve">                   </w:t>
      </w:r>
    </w:p>
    <w:p>
      <w:pPr>
        <w:pStyle w:val="null3"/>
        <w:ind w:firstLine="480"/>
        <w:jc w:val="both"/>
      </w:pPr>
      <w:r>
        <w:rPr>
          <w:sz w:val="24"/>
        </w:rPr>
        <w:t>甲方电话：</w:t>
      </w:r>
      <w:r>
        <w:rPr>
          <w:u w:val="single"/>
        </w:rPr>
        <w:t xml:space="preserve">                   </w:t>
      </w:r>
    </w:p>
    <w:p>
      <w:pPr>
        <w:pStyle w:val="null3"/>
        <w:ind w:firstLine="480"/>
      </w:pPr>
      <w:r>
        <w:rPr>
          <w:sz w:val="24"/>
        </w:rPr>
        <w:t>乙方地址：</w:t>
      </w:r>
      <w:r>
        <w:rPr>
          <w:u w:val="single"/>
        </w:rPr>
        <w:t xml:space="preserve">                   </w:t>
      </w:r>
    </w:p>
    <w:p>
      <w:pPr>
        <w:pStyle w:val="null3"/>
        <w:ind w:firstLine="480"/>
        <w:jc w:val="both"/>
      </w:pPr>
      <w:r>
        <w:rPr>
          <w:sz w:val="24"/>
        </w:rPr>
        <w:t>乙方电话：</w:t>
      </w:r>
      <w:r>
        <w:rPr>
          <w:u w:val="single"/>
        </w:rPr>
        <w:t xml:space="preserve">                   </w:t>
      </w:r>
    </w:p>
    <w:p>
      <w:pPr>
        <w:pStyle w:val="null3"/>
        <w:ind w:left="210" w:firstLine="480"/>
        <w:jc w:val="both"/>
      </w:pPr>
    </w:p>
    <w:p>
      <w:pPr>
        <w:pStyle w:val="null3"/>
        <w:ind w:firstLine="480"/>
        <w:jc w:val="both"/>
      </w:pPr>
    </w:p>
    <w:p>
      <w:pPr>
        <w:pStyle w:val="null3"/>
        <w:ind w:firstLine="480"/>
        <w:jc w:val="both"/>
      </w:pPr>
      <w:r>
        <w:rPr>
          <w:sz w:val="24"/>
        </w:rPr>
        <w:t>（以下无正文）</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4176"/>
        <w:gridCol w:w="4130"/>
      </w:tblGrid>
      <w:tr>
        <w:tc>
          <w:tcPr>
            <w:tcW w:type="dxa" w:w="4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24"/>
              </w:rPr>
              <w:t>甲方：</w:t>
            </w:r>
            <w:r>
              <w:rPr>
                <w:b/>
                <w:sz w:val="19"/>
                <w:u w:val="single"/>
              </w:rPr>
              <w:t xml:space="preserve">                          </w:t>
            </w:r>
          </w:p>
          <w:p>
            <w:pPr>
              <w:pStyle w:val="null3"/>
              <w:spacing w:before="150"/>
              <w:ind w:firstLine="240"/>
            </w:pPr>
            <w:r>
              <w:rPr>
                <w:sz w:val="24"/>
              </w:rPr>
              <w:t>（签章）</w:t>
            </w:r>
          </w:p>
          <w:p>
            <w:pPr>
              <w:pStyle w:val="null3"/>
              <w:spacing w:before="150"/>
              <w:ind w:firstLine="240"/>
            </w:pPr>
            <w:r>
              <w:rPr>
                <w:sz w:val="24"/>
              </w:rPr>
              <w:t>授权代表签字：</w:t>
            </w:r>
            <w:r>
              <w:rPr>
                <w:sz w:val="19"/>
              </w:rPr>
              <w:t xml:space="preserve">                   </w:t>
            </w:r>
          </w:p>
          <w:p>
            <w:pPr>
              <w:pStyle w:val="null3"/>
              <w:spacing w:before="150"/>
              <w:ind w:firstLine="240"/>
            </w:pPr>
            <w:r>
              <w:rPr>
                <w:sz w:val="24"/>
              </w:rPr>
              <w:t>（签字）</w:t>
            </w:r>
            <w:r>
              <w:rPr>
                <w:sz w:val="19"/>
              </w:rPr>
              <w:t xml:space="preserve">                         </w:t>
            </w:r>
          </w:p>
          <w:p>
            <w:pPr>
              <w:pStyle w:val="null3"/>
              <w:ind w:firstLine="360"/>
            </w:pPr>
            <w:r>
              <w:rPr>
                <w:sz w:val="24"/>
              </w:rPr>
              <w:t>日期：</w:t>
            </w:r>
            <w:r>
              <w:rPr>
                <w:sz w:val="19"/>
              </w:rPr>
              <w:t xml:space="preserve">  </w:t>
            </w:r>
          </w:p>
        </w:tc>
        <w:tc>
          <w:tcPr>
            <w:tcW w:type="dxa" w:w="4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24"/>
              </w:rPr>
              <w:t>乙方：</w:t>
            </w:r>
            <w:r>
              <w:rPr>
                <w:b/>
                <w:sz w:val="19"/>
                <w:u w:val="single"/>
              </w:rPr>
              <w:t xml:space="preserve">                          </w:t>
            </w:r>
          </w:p>
          <w:p>
            <w:pPr>
              <w:pStyle w:val="null3"/>
              <w:spacing w:before="150"/>
              <w:ind w:firstLine="240"/>
            </w:pPr>
            <w:r>
              <w:rPr>
                <w:sz w:val="24"/>
              </w:rPr>
              <w:t>（签章）</w:t>
            </w:r>
          </w:p>
          <w:p>
            <w:pPr>
              <w:pStyle w:val="null3"/>
              <w:spacing w:before="150"/>
              <w:ind w:firstLine="240"/>
            </w:pPr>
            <w:r>
              <w:rPr>
                <w:sz w:val="24"/>
              </w:rPr>
              <w:t>授权代表签字：</w:t>
            </w:r>
            <w:r>
              <w:rPr>
                <w:sz w:val="19"/>
              </w:rPr>
              <w:t xml:space="preserve">                   </w:t>
            </w:r>
          </w:p>
          <w:p>
            <w:pPr>
              <w:pStyle w:val="null3"/>
              <w:spacing w:before="150"/>
              <w:ind w:firstLine="240"/>
            </w:pPr>
            <w:r>
              <w:rPr>
                <w:sz w:val="24"/>
              </w:rPr>
              <w:t>（签字）</w:t>
            </w:r>
            <w:r>
              <w:rPr>
                <w:sz w:val="19"/>
              </w:rPr>
              <w:t xml:space="preserve">                         </w:t>
            </w:r>
          </w:p>
          <w:p>
            <w:pPr>
              <w:pStyle w:val="null3"/>
              <w:ind w:firstLine="360"/>
            </w:pPr>
            <w:r>
              <w:rPr>
                <w:sz w:val="24"/>
              </w:rPr>
              <w:t>日期：</w:t>
            </w:r>
            <w:r>
              <w:rPr>
                <w:sz w:val="19"/>
              </w:rPr>
              <w:t xml:space="preserve">  </w:t>
            </w:r>
          </w:p>
        </w:tc>
      </w:tr>
    </w:tbl>
    <w:p>
      <w:pPr>
        <w:pStyle w:val="null3"/>
      </w:pPr>
    </w:p>
    <w:p>
      <w:pPr>
        <w:pStyle w:val="null3"/>
        <w:ind w:firstLine="480"/>
        <w:jc w:val="both"/>
      </w:pPr>
      <w:r>
        <w:rPr>
          <w:sz w:val="28"/>
        </w:rPr>
        <w:t>合同附件：保密协议书</w:t>
      </w:r>
    </w:p>
    <w:p>
      <w:pPr>
        <w:pStyle w:val="null3"/>
        <w:ind w:left="-15" w:firstLine="480"/>
        <w:jc w:val="center"/>
      </w:pPr>
    </w:p>
    <w:p>
      <w:pPr>
        <w:pStyle w:val="null3"/>
        <w:ind w:left="-15" w:firstLine="480"/>
        <w:jc w:val="center"/>
      </w:pPr>
    </w:p>
    <w:p>
      <w:pPr>
        <w:pStyle w:val="null3"/>
        <w:ind w:left="-15" w:firstLine="480"/>
        <w:jc w:val="center"/>
      </w:pPr>
    </w:p>
    <w:p>
      <w:pPr>
        <w:pStyle w:val="null3"/>
        <w:ind w:left="-15" w:firstLine="480"/>
        <w:jc w:val="center"/>
      </w:pPr>
    </w:p>
    <w:p>
      <w:pPr>
        <w:pStyle w:val="null3"/>
        <w:ind w:left="-15" w:firstLine="480"/>
        <w:jc w:val="center"/>
      </w:pPr>
    </w:p>
    <w:p>
      <w:pPr>
        <w:pStyle w:val="null3"/>
        <w:ind w:left="-15" w:firstLine="480"/>
        <w:jc w:val="center"/>
      </w:pPr>
      <w:r>
        <w:rPr>
          <w:b/>
          <w:u w:val="single"/>
        </w:rPr>
        <w:t xml:space="preserve">                   </w:t>
      </w:r>
      <w:r>
        <w:rPr>
          <w:b/>
          <w:sz w:val="44"/>
        </w:rPr>
        <w:t>项目</w:t>
      </w:r>
    </w:p>
    <w:p>
      <w:pPr>
        <w:pStyle w:val="null3"/>
        <w:ind w:left="-15" w:firstLine="480"/>
        <w:jc w:val="center"/>
      </w:pPr>
      <w:r>
        <w:rPr>
          <w:b/>
        </w:rPr>
        <w:t xml:space="preserve">  </w:t>
      </w:r>
      <w:r>
        <w:rPr>
          <w:b/>
          <w:sz w:val="44"/>
        </w:rPr>
        <w:t>保密协议</w:t>
      </w:r>
    </w:p>
    <w:p>
      <w:pPr>
        <w:pStyle w:val="null3"/>
        <w:ind w:firstLine="480"/>
      </w:pPr>
    </w:p>
    <w:p>
      <w:pPr>
        <w:pStyle w:val="null3"/>
        <w:ind w:firstLine="480"/>
      </w:pPr>
    </w:p>
    <w:p>
      <w:pPr>
        <w:pStyle w:val="null3"/>
        <w:ind w:firstLine="480"/>
      </w:pPr>
    </w:p>
    <w:p>
      <w:pPr>
        <w:pStyle w:val="null3"/>
        <w:ind w:firstLine="480"/>
      </w:pPr>
    </w:p>
    <w:p>
      <w:pPr>
        <w:pStyle w:val="null3"/>
        <w:ind w:firstLine="480"/>
      </w:pPr>
    </w:p>
    <w:p>
      <w:pPr>
        <w:pStyle w:val="null3"/>
        <w:ind w:firstLine="480"/>
      </w:pPr>
    </w:p>
    <w:p>
      <w:pPr>
        <w:pStyle w:val="null3"/>
        <w:ind w:firstLine="480"/>
        <w:jc w:val="both"/>
      </w:pPr>
      <w:r>
        <w:rPr>
          <w:sz w:val="32"/>
        </w:rPr>
        <w:t>甲方：</w:t>
      </w:r>
      <w:r>
        <w:rPr>
          <w:u w:val="single"/>
        </w:rPr>
        <w:t xml:space="preserve">                          </w:t>
      </w:r>
    </w:p>
    <w:p>
      <w:pPr>
        <w:pStyle w:val="null3"/>
        <w:ind w:firstLine="480"/>
        <w:jc w:val="both"/>
      </w:pPr>
    </w:p>
    <w:p>
      <w:pPr>
        <w:pStyle w:val="null3"/>
        <w:ind w:firstLine="480"/>
      </w:pPr>
    </w:p>
    <w:p>
      <w:pPr>
        <w:pStyle w:val="null3"/>
        <w:ind w:firstLine="480"/>
      </w:pPr>
    </w:p>
    <w:p>
      <w:pPr>
        <w:pStyle w:val="null3"/>
        <w:ind w:firstLine="480"/>
      </w:pPr>
    </w:p>
    <w:p>
      <w:pPr>
        <w:pStyle w:val="null3"/>
        <w:ind w:firstLine="480"/>
      </w:pPr>
      <w:r>
        <w:rPr>
          <w:sz w:val="32"/>
        </w:rPr>
        <w:t>乙方：</w:t>
      </w:r>
      <w:r>
        <w:rPr>
          <w:u w:val="single"/>
        </w:rPr>
        <w:t xml:space="preserve">                          </w:t>
      </w:r>
    </w:p>
    <w:p>
      <w:pPr>
        <w:pStyle w:val="null3"/>
        <w:ind w:firstLine="480"/>
      </w:pPr>
    </w:p>
    <w:p>
      <w:pPr>
        <w:pStyle w:val="null3"/>
        <w:ind w:firstLine="480"/>
      </w:pPr>
    </w:p>
    <w:p>
      <w:pPr>
        <w:pStyle w:val="null3"/>
        <w:ind w:firstLine="480"/>
      </w:pPr>
    </w:p>
    <w:p>
      <w:pPr>
        <w:pStyle w:val="null3"/>
        <w:ind w:firstLine="480"/>
      </w:pPr>
    </w:p>
    <w:p>
      <w:pPr>
        <w:pStyle w:val="null3"/>
        <w:ind w:firstLine="480"/>
      </w:pPr>
    </w:p>
    <w:p>
      <w:pPr>
        <w:pStyle w:val="null3"/>
        <w:spacing w:before="120" w:after="120"/>
        <w:ind w:firstLine="480"/>
      </w:pPr>
      <w:r>
        <w:rPr>
          <w:sz w:val="32"/>
        </w:rPr>
        <w:t>签订地点：</w:t>
      </w:r>
      <w:r>
        <w:rPr/>
        <w:t xml:space="preserve"> </w:t>
      </w:r>
      <w:r>
        <w:rPr>
          <w:sz w:val="32"/>
        </w:rPr>
        <w:t>广州市天河区</w:t>
      </w:r>
    </w:p>
    <w:p>
      <w:pPr>
        <w:pStyle w:val="null3"/>
        <w:ind w:firstLine="480"/>
        <w:jc w:val="both"/>
      </w:pPr>
      <w:r>
        <w:rPr>
          <w:sz w:val="32"/>
        </w:rPr>
        <w:t>签订日期：</w:t>
      </w:r>
      <w:r>
        <w:rPr>
          <w:u w:val="single"/>
        </w:rPr>
        <w:t xml:space="preserve">    </w:t>
      </w:r>
      <w:r>
        <w:rPr>
          <w:sz w:val="32"/>
        </w:rPr>
        <w:t>年</w:t>
      </w:r>
      <w:r>
        <w:rPr>
          <w:u w:val="single"/>
        </w:rPr>
        <w:t xml:space="preserve">  </w:t>
      </w:r>
      <w:r>
        <w:rPr>
          <w:sz w:val="32"/>
        </w:rPr>
        <w:t>月</w:t>
      </w:r>
      <w:r>
        <w:rPr>
          <w:u w:val="single"/>
        </w:rPr>
        <w:t xml:space="preserve"> </w:t>
      </w:r>
      <w:r>
        <w:rPr>
          <w:sz w:val="32"/>
        </w:rPr>
        <w:t>日</w:t>
      </w:r>
    </w:p>
    <w:p>
      <w:pPr>
        <w:pStyle w:val="null3"/>
      </w:pPr>
    </w:p>
    <w:p>
      <w:pPr>
        <w:pStyle w:val="null3"/>
        <w:ind w:firstLine="640"/>
      </w:pPr>
      <w:r>
        <w:rPr>
          <w:sz w:val="24"/>
        </w:rPr>
        <w:t>根据</w:t>
      </w:r>
      <w:r>
        <w:rPr>
          <w:u w:val="single"/>
        </w:rPr>
        <w:t xml:space="preserve">                    </w:t>
      </w:r>
      <w:r>
        <w:rPr>
          <w:sz w:val="24"/>
        </w:rPr>
        <w:t>项目（以下简称</w:t>
      </w:r>
      <w:r>
        <w:rPr>
          <w:sz w:val="24"/>
        </w:rPr>
        <w:t>“项目”）合同规定和要求，乙方在项目建设实施过程中产生或使用到的所有资料及数据，甲方有权要求乙方严格遵守国家相关的保密法律、法规和相关规定，确保信息安全。乙方应加强保密意识并严格遵守以下协议：</w:t>
      </w:r>
    </w:p>
    <w:p>
      <w:pPr>
        <w:pStyle w:val="null3"/>
        <w:ind w:firstLine="480"/>
      </w:pPr>
      <w:r>
        <w:rPr>
          <w:sz w:val="24"/>
        </w:rPr>
        <w:t>一、本协议以乙方为责任方，参与项目建设的乙方及乙方所有人员均为责任人，承担共同的保密责任。</w:t>
      </w:r>
    </w:p>
    <w:p>
      <w:pPr>
        <w:pStyle w:val="null3"/>
        <w:ind w:firstLine="480"/>
      </w:pPr>
      <w:r>
        <w:rPr>
          <w:sz w:val="24"/>
        </w:rPr>
        <w:t>二、保密内容包括但不限于项目实施过程中产生或使用到的书面资料、电子版资料、数据、图片、照片和由此派生的相关资料的内容。</w:t>
      </w:r>
    </w:p>
    <w:p>
      <w:pPr>
        <w:pStyle w:val="null3"/>
        <w:ind w:firstLine="480"/>
      </w:pPr>
      <w:r>
        <w:rPr>
          <w:sz w:val="24"/>
        </w:rPr>
        <w:t>三、对本协议所述的所有保密内容，未经甲方明确书面许可，不得擅自对外泄露、转让、租借等。</w:t>
      </w:r>
    </w:p>
    <w:p>
      <w:pPr>
        <w:pStyle w:val="null3"/>
        <w:ind w:firstLine="480"/>
      </w:pPr>
      <w:r>
        <w:rPr>
          <w:sz w:val="24"/>
        </w:rPr>
        <w:t>四、乙方不得擅自记录、复制、拍摄、摘抄、收藏项目所涉及数据，以及由此派生的相关资料的内容；严禁将数据泄露给无关人员；严禁将项目实施中涉及的相关项目技术方案及实施规划中含有数据字典的内容透露给无关人员；未经甲方允许，乙方不得擅自将此项目涉及的系统向他人演示与展示，并严禁提供给第三方使用。</w:t>
      </w:r>
    </w:p>
    <w:p>
      <w:pPr>
        <w:pStyle w:val="null3"/>
        <w:ind w:firstLine="480"/>
      </w:pPr>
      <w:r>
        <w:rPr>
          <w:sz w:val="24"/>
        </w:rPr>
        <w:t>五、乙方应服从甲方的安排，依照有关法律、法规和协议工作，不得将项目涉及到的数据以及相关内容泄露给无关人员。</w:t>
      </w:r>
    </w:p>
    <w:p>
      <w:pPr>
        <w:pStyle w:val="null3"/>
        <w:ind w:firstLine="480"/>
      </w:pPr>
      <w:r>
        <w:rPr>
          <w:sz w:val="24"/>
        </w:rPr>
        <w:t>六、乙方在项目实施过程中使用到的数据等相关资料必须由本项目人员因本项目工作需要而使用与保管，不得借给无关人员。</w:t>
      </w:r>
    </w:p>
    <w:p>
      <w:pPr>
        <w:pStyle w:val="null3"/>
        <w:ind w:firstLine="480"/>
      </w:pPr>
      <w:r>
        <w:rPr>
          <w:sz w:val="24"/>
        </w:rPr>
        <w:t>七、为配合乙方实施项目，甲方提供给其的数据以及含有其内容的相关资料不得应用于除本项目以外的项目活动以及其他商业行为。</w:t>
      </w:r>
    </w:p>
    <w:p>
      <w:pPr>
        <w:pStyle w:val="null3"/>
        <w:ind w:firstLine="480"/>
      </w:pPr>
      <w:r>
        <w:rPr>
          <w:sz w:val="24"/>
        </w:rPr>
        <w:t>八、乙方必须向甲方提供参与本项目建设的乙方人员名单，与参与项目人员签订保密协议（含离职保密条款），并报甲方备案。如有变更，需及时书面通知甲方，并经甲方确认同意。</w:t>
      </w:r>
    </w:p>
    <w:p>
      <w:pPr>
        <w:pStyle w:val="null3"/>
        <w:ind w:firstLine="480"/>
      </w:pPr>
      <w:r>
        <w:rPr>
          <w:sz w:val="24"/>
        </w:rPr>
        <w:t>九、无论乙方今后完成本项目或因任何原因中途退出，均不得泄露所知悉的项目涉及的数据以及由此派生的其他相关资料。</w:t>
      </w:r>
    </w:p>
    <w:p>
      <w:pPr>
        <w:pStyle w:val="null3"/>
        <w:ind w:firstLine="480"/>
      </w:pPr>
      <w:r>
        <w:rPr>
          <w:sz w:val="24"/>
        </w:rPr>
        <w:t>十、如发生信息泄露，乙方应立即向甲方报告，并积极协助甲方及有关保密部门进行查处、证据保全、寻求司法救济等。</w:t>
      </w:r>
    </w:p>
    <w:p>
      <w:pPr>
        <w:pStyle w:val="null3"/>
        <w:ind w:firstLine="480"/>
      </w:pPr>
      <w:r>
        <w:rPr>
          <w:sz w:val="24"/>
        </w:rPr>
        <w:t>十一、乙方如未能遵守本协议，有违反保密规定行为而泄密的，乙方应向甲方支付本协议约定的违约金，如违约金无法弥补甲方经济损失的，乙方应承担甲方全部经济损失，构成犯罪的，将依法追究乙方刑事责任。</w:t>
      </w:r>
    </w:p>
    <w:p>
      <w:pPr>
        <w:pStyle w:val="null3"/>
      </w:pPr>
      <w:r>
        <w:rPr>
          <w:b/>
        </w:rPr>
        <w:t xml:space="preserve">  </w:t>
      </w:r>
      <w:r>
        <w:rPr>
          <w:sz w:val="24"/>
        </w:rPr>
        <w:t>十二、适用法律</w:t>
      </w:r>
    </w:p>
    <w:p>
      <w:pPr>
        <w:pStyle w:val="null3"/>
        <w:ind w:firstLine="480"/>
      </w:pPr>
      <w:r>
        <w:rPr>
          <w:sz w:val="24"/>
        </w:rPr>
        <w:t>本协议应受中华人民共和国法律约束并按其解释，而不适用其他冲突法规范。</w:t>
      </w:r>
    </w:p>
    <w:p>
      <w:pPr>
        <w:pStyle w:val="null3"/>
        <w:ind w:firstLine="480"/>
      </w:pPr>
      <w:r>
        <w:rPr>
          <w:sz w:val="24"/>
        </w:rPr>
        <w:t>十三、违约责任</w:t>
      </w:r>
    </w:p>
    <w:p>
      <w:pPr>
        <w:pStyle w:val="null3"/>
        <w:ind w:firstLine="434"/>
      </w:pPr>
      <w:r>
        <w:rPr>
          <w:sz w:val="24"/>
        </w:rPr>
        <w:t>乙方应尽到相关注意义务，避免造成不良影响。因乙方违约或使用信息不当而造成不良影响的，由乙方承担一切经济损失，负责消除不良影响并负担由此产生的一切费用。乙方违约或不良影响情况首次发生的，乙方按项目合同总价</w:t>
      </w:r>
      <w:r>
        <w:rPr>
          <w:b/>
          <w:sz w:val="24"/>
          <w:u w:val="single"/>
        </w:rPr>
        <w:t>2%</w:t>
      </w:r>
      <w:r>
        <w:rPr>
          <w:sz w:val="24"/>
        </w:rPr>
        <w:t>支付违约金予甲方；乙方违约或不良影响情况第二次发生的，乙方按项目合同总价的</w:t>
      </w:r>
      <w:r>
        <w:rPr>
          <w:b/>
          <w:sz w:val="24"/>
          <w:u w:val="single"/>
        </w:rPr>
        <w:t>5</w:t>
      </w:r>
      <w:r>
        <w:rPr>
          <w:b/>
          <w:sz w:val="24"/>
          <w:u w:val="single"/>
        </w:rPr>
        <w:t>％</w:t>
      </w:r>
      <w:r>
        <w:rPr>
          <w:sz w:val="24"/>
        </w:rPr>
        <w:t>支付违约金予甲方；乙方违约或不良影响情况第三次发生的，从第三次发生起，乙方每次按项目合同总价的</w:t>
      </w:r>
      <w:r>
        <w:rPr>
          <w:b/>
          <w:sz w:val="24"/>
          <w:u w:val="single"/>
        </w:rPr>
        <w:t>10</w:t>
      </w:r>
      <w:r>
        <w:rPr>
          <w:b/>
          <w:sz w:val="24"/>
          <w:u w:val="single"/>
        </w:rPr>
        <w:t>％</w:t>
      </w:r>
      <w:r>
        <w:rPr>
          <w:sz w:val="24"/>
        </w:rPr>
        <w:t>支付违约金予甲方。每次同时出现违约和不良影响情况的，累计计算该次的违约金。</w:t>
      </w:r>
    </w:p>
    <w:p>
      <w:pPr>
        <w:pStyle w:val="null3"/>
        <w:ind w:firstLine="434"/>
      </w:pPr>
      <w:r>
        <w:rPr>
          <w:sz w:val="24"/>
        </w:rPr>
        <w:t>不良影响：指经甲方与监理方共同确认，因不当使用信息、数据泄露或其他原因导致，造成甲方遭到投诉，或损害影响第三方（含系统使用者及社会公众）利益引发不满，或被</w:t>
      </w:r>
      <w:r>
        <w:rPr>
          <w:sz w:val="24"/>
        </w:rPr>
        <w:t>3</w:t>
      </w:r>
      <w:r>
        <w:rPr>
          <w:sz w:val="24"/>
        </w:rPr>
        <w:t>家以上媒体（含网络媒体）报道扩散。</w:t>
      </w:r>
    </w:p>
    <w:p>
      <w:pPr>
        <w:pStyle w:val="null3"/>
        <w:ind w:firstLine="480"/>
      </w:pPr>
      <w:r>
        <w:rPr>
          <w:sz w:val="24"/>
        </w:rPr>
        <w:t>十四、争议解决</w:t>
      </w:r>
    </w:p>
    <w:p>
      <w:pPr>
        <w:pStyle w:val="null3"/>
        <w:ind w:firstLine="480"/>
      </w:pPr>
      <w:r>
        <w:rPr>
          <w:sz w:val="24"/>
        </w:rPr>
        <w:t>与本协议有关的任何纠纷或争议应通过友好协商解决。如不能协商解决，任何一方可提交甲方所在地人民法院诉讼解决。因乙方违约导致甲方为追究违约责任而产生的所有费用（包括但不限于律师费、诉讼费、仲裁费及处理费、保全费及因保全而支付的担保费、执行费、公证费、鉴定费、差旅费等）均由乙方承担。</w:t>
      </w:r>
    </w:p>
    <w:p>
      <w:pPr>
        <w:pStyle w:val="null3"/>
        <w:ind w:firstLine="480"/>
      </w:pPr>
      <w:r>
        <w:rPr>
          <w:sz w:val="24"/>
        </w:rPr>
        <w:t>十五、协议的生效及副本</w:t>
      </w:r>
    </w:p>
    <w:p>
      <w:pPr>
        <w:pStyle w:val="null3"/>
        <w:ind w:firstLine="480"/>
      </w:pPr>
      <w:r>
        <w:rPr>
          <w:sz w:val="24"/>
        </w:rPr>
        <w:t>1.</w:t>
      </w:r>
      <w:r>
        <w:rPr>
          <w:sz w:val="24"/>
        </w:rPr>
        <w:t>本协议自双方签字盖章之日生效。</w:t>
      </w:r>
    </w:p>
    <w:p>
      <w:pPr>
        <w:pStyle w:val="null3"/>
        <w:ind w:firstLine="480"/>
      </w:pPr>
      <w:r>
        <w:rPr>
          <w:sz w:val="24"/>
        </w:rPr>
        <w:t>2.</w:t>
      </w:r>
      <w:r>
        <w:rPr>
          <w:sz w:val="24"/>
        </w:rPr>
        <w:t>本协议一式【陆】份，甲方执【叁】份，乙方执【叁】份，具有同等法律效力。</w:t>
      </w:r>
    </w:p>
    <w:p>
      <w:pPr>
        <w:pStyle w:val="null3"/>
        <w:ind w:firstLine="480"/>
      </w:pPr>
      <w:r>
        <w:rPr>
          <w:sz w:val="24"/>
        </w:rPr>
        <w:t>十六、保密期限：从本协议签订之日起至本协议终止之后长期有效（即</w:t>
      </w:r>
      <w:r>
        <w:rPr>
          <w:b/>
          <w:sz w:val="24"/>
          <w:u w:val="single"/>
        </w:rPr>
        <w:t>永久）</w:t>
      </w:r>
      <w:r>
        <w:rPr>
          <w:sz w:val="24"/>
        </w:rPr>
        <w:t>，不因协议及项目合同的变更、解除、终止而免除乙方合同保密义务。甲方除应支付项目合同总金额外，无需另行支付乙方保密费用。</w:t>
      </w:r>
    </w:p>
    <w:tbl>
      <w:tblPr>
        <w:tblW w:w="0" w:type="auto"/>
        <w:tblBorders>
          <w:top w:val="none" w:color="000000" w:sz="4"/>
          <w:left w:val="none" w:color="000000" w:sz="4"/>
          <w:bottom w:val="none" w:color="000000" w:sz="4"/>
          <w:right w:val="none" w:color="000000" w:sz="4"/>
          <w:insideH w:val="none"/>
          <w:insideV w:val="none"/>
        </w:tblBorders>
      </w:tblPr>
      <w:tblGrid>
        <w:gridCol w:w="4176"/>
        <w:gridCol w:w="4130"/>
      </w:tblGrid>
      <w:tr>
        <w:tc>
          <w:tcPr>
            <w:tcW w:type="dxa" w:w="4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24"/>
              </w:rPr>
              <w:t>甲方：</w:t>
            </w:r>
            <w:r>
              <w:rPr>
                <w:b/>
                <w:sz w:val="19"/>
                <w:u w:val="single"/>
              </w:rPr>
              <w:t xml:space="preserve">                       </w:t>
            </w:r>
          </w:p>
          <w:p>
            <w:pPr>
              <w:pStyle w:val="null3"/>
              <w:spacing w:before="150"/>
              <w:ind w:firstLine="240"/>
            </w:pPr>
            <w:r>
              <w:rPr>
                <w:sz w:val="24"/>
              </w:rPr>
              <w:t>（签章）</w:t>
            </w:r>
          </w:p>
          <w:p>
            <w:pPr>
              <w:pStyle w:val="null3"/>
              <w:spacing w:before="150"/>
              <w:ind w:firstLine="240"/>
            </w:pPr>
            <w:r>
              <w:rPr>
                <w:sz w:val="24"/>
              </w:rPr>
              <w:t>授权代表签字：</w:t>
            </w:r>
            <w:r>
              <w:rPr>
                <w:sz w:val="19"/>
              </w:rPr>
              <w:t xml:space="preserve">                   </w:t>
            </w:r>
          </w:p>
          <w:p>
            <w:pPr>
              <w:pStyle w:val="null3"/>
              <w:spacing w:before="150"/>
              <w:ind w:firstLine="240"/>
            </w:pPr>
            <w:r>
              <w:rPr>
                <w:sz w:val="24"/>
              </w:rPr>
              <w:t>（签字）</w:t>
            </w:r>
            <w:r>
              <w:rPr>
                <w:sz w:val="19"/>
              </w:rPr>
              <w:t xml:space="preserve">                         </w:t>
            </w:r>
          </w:p>
          <w:p>
            <w:pPr>
              <w:pStyle w:val="null3"/>
              <w:ind w:firstLine="360"/>
            </w:pPr>
            <w:r>
              <w:rPr>
                <w:sz w:val="24"/>
              </w:rPr>
              <w:t>日期：</w:t>
            </w:r>
            <w:r>
              <w:rPr>
                <w:sz w:val="19"/>
              </w:rPr>
              <w:t xml:space="preserve">  </w:t>
            </w:r>
          </w:p>
        </w:tc>
        <w:tc>
          <w:tcPr>
            <w:tcW w:type="dxa" w:w="4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24"/>
              </w:rPr>
              <w:t>乙方：</w:t>
            </w:r>
            <w:r>
              <w:rPr>
                <w:b/>
                <w:sz w:val="19"/>
                <w:u w:val="single"/>
              </w:rPr>
              <w:t xml:space="preserve">                           </w:t>
            </w:r>
          </w:p>
          <w:p>
            <w:pPr>
              <w:pStyle w:val="null3"/>
              <w:spacing w:before="150"/>
              <w:ind w:firstLine="240"/>
            </w:pPr>
            <w:r>
              <w:rPr>
                <w:sz w:val="24"/>
              </w:rPr>
              <w:t>（签章）</w:t>
            </w:r>
          </w:p>
          <w:p>
            <w:pPr>
              <w:pStyle w:val="null3"/>
              <w:spacing w:before="150"/>
              <w:ind w:firstLine="240"/>
            </w:pPr>
            <w:r>
              <w:rPr>
                <w:sz w:val="24"/>
              </w:rPr>
              <w:t>授权代表签字：</w:t>
            </w:r>
            <w:r>
              <w:rPr>
                <w:sz w:val="19"/>
              </w:rPr>
              <w:t xml:space="preserve">                   </w:t>
            </w:r>
          </w:p>
          <w:p>
            <w:pPr>
              <w:pStyle w:val="null3"/>
              <w:spacing w:before="150"/>
              <w:ind w:firstLine="240"/>
            </w:pPr>
            <w:r>
              <w:rPr>
                <w:sz w:val="24"/>
              </w:rPr>
              <w:t>（签字）</w:t>
            </w:r>
            <w:r>
              <w:rPr>
                <w:sz w:val="19"/>
              </w:rPr>
              <w:t xml:space="preserve">                         </w:t>
            </w:r>
          </w:p>
          <w:p>
            <w:pPr>
              <w:pStyle w:val="null3"/>
              <w:ind w:firstLine="360"/>
            </w:pPr>
            <w:r>
              <w:rPr>
                <w:sz w:val="24"/>
              </w:rPr>
              <w:t>日期：</w:t>
            </w:r>
            <w:r>
              <w:rPr>
                <w:sz w:val="19"/>
              </w:rPr>
              <w:t xml:space="preserve">  </w:t>
            </w:r>
          </w:p>
        </w:tc>
      </w:tr>
    </w:tbl>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440101-2024-04122</w:t>
      </w:r>
    </w:p>
    <w:p>
      <w:pPr>
        <w:pStyle w:val="null3"/>
        <w:ind w:firstLine="480"/>
        <w:jc w:val="center"/>
        <w:outlineLvl w:val="3"/>
      </w:pPr>
      <w:r>
        <w:rPr>
          <w:b/>
          <w:sz w:val="24"/>
        </w:rPr>
        <w:t>采购项目编号：</w:t>
      </w:r>
      <w:r>
        <w:rPr>
          <w:b/>
          <w:sz w:val="24"/>
        </w:rPr>
        <w:t>CZ2024-0352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广州市政府采购中心</w:t>
      </w:r>
    </w:p>
    <w:p>
      <w:pPr>
        <w:pStyle w:val="null3"/>
        <w:ind w:firstLine="480"/>
      </w:pPr>
      <w:r>
        <w:rPr/>
        <w:t>你方组织的</w:t>
      </w:r>
      <w:r>
        <w:rPr>
          <w:u w:val="single"/>
        </w:rPr>
        <w:t>“</w:t>
      </w:r>
      <w:r>
        <w:rPr>
          <w:u w:val="single"/>
        </w:rPr>
        <w:t>广州市数字政府运营中心2023年广州市智慧城市视频感知系统建设项目</w:t>
      </w:r>
      <w:r>
        <w:rPr>
          <w:u w:val="single"/>
        </w:rPr>
        <w:t>”</w:t>
      </w:r>
      <w:r>
        <w:rPr/>
        <w:t>项目的招标[采购项目编号为：</w:t>
      </w:r>
      <w:r>
        <w:rPr>
          <w:u w:val="single"/>
        </w:rPr>
        <w:t>CZ2024-0352</w:t>
      </w:r>
      <w:r>
        <w:rPr/>
        <w:t>]，我方愿参与投标。</w:t>
      </w:r>
    </w:p>
    <w:p>
      <w:pPr>
        <w:pStyle w:val="null3"/>
        <w:ind w:firstLine="480"/>
      </w:pPr>
      <w:r>
        <w:rPr/>
        <w:t>我方确认收到贵方提供的</w:t>
      </w:r>
      <w:r>
        <w:rPr>
          <w:u w:val="single"/>
        </w:rPr>
        <w:t>“</w:t>
      </w:r>
      <w:r>
        <w:rPr>
          <w:u w:val="single"/>
        </w:rPr>
        <w:t>广州市数字政府运营中心2023年广州市智慧城市视频感知系统建设项目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广州市政府采购中心</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广州市数字政府运营中心2023年广州市智慧城市视频感知系统建设项目</w:t>
      </w:r>
      <w:r>
        <w:rPr/>
        <w:t>”项目采购[采购项目编号为</w:t>
      </w:r>
      <w:r>
        <w:rPr/>
        <w:t>CZ2024-0352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广州市数字政府运营中心（广州市政务大数据管理中心、广州市政府门户网站编辑部、广州市智慧城市运行中心）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广州市政府采购中心</w:t>
      </w:r>
    </w:p>
    <w:p>
      <w:pPr>
        <w:pStyle w:val="null3"/>
        <w:ind w:firstLine="480"/>
      </w:pPr>
      <w:r>
        <w:rPr/>
        <w:t>如果我方在贵采购代理机构组织的</w:t>
      </w:r>
      <w:r>
        <w:rPr/>
        <w:t>广州市数字政府运营中心2023年广州市智慧城市视频感知系统建设项目</w:t>
      </w:r>
      <w:r>
        <w:rPr/>
        <w:t>招标中获中标（采购项目编号：</w:t>
      </w:r>
      <w:r>
        <w:rPr/>
        <w:t>CZ2024-0352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