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360" w:lineRule="auto"/>
        <w:jc w:val="center"/>
        <w:rPr>
          <w:rFonts w:hint="eastAsia" w:ascii="仿宋" w:hAnsi="仿宋" w:eastAsia="仿宋" w:cs="仿宋"/>
          <w:b/>
          <w:bCs/>
          <w:color w:val="auto"/>
          <w:sz w:val="44"/>
          <w:szCs w:val="44"/>
        </w:rPr>
      </w:pPr>
      <w:r>
        <w:rPr>
          <w:rFonts w:hint="eastAsia" w:ascii="仿宋" w:hAnsi="仿宋" w:eastAsia="仿宋" w:cs="仿宋"/>
          <w:b/>
          <w:bCs/>
          <w:color w:val="auto"/>
          <w:sz w:val="32"/>
          <w:szCs w:val="32"/>
        </w:rPr>
        <w:t>招</w:t>
      </w:r>
      <w:r>
        <w:rPr>
          <w:rFonts w:hint="eastAsia" w:ascii="仿宋" w:hAnsi="仿宋" w:eastAsia="仿宋" w:cs="仿宋"/>
          <w:b/>
          <w:bCs/>
          <w:color w:val="auto"/>
          <w:sz w:val="32"/>
          <w:szCs w:val="32"/>
          <w:lang w:val="en-US" w:eastAsia="zh-CN"/>
        </w:rPr>
        <w:t xml:space="preserve"> </w:t>
      </w:r>
      <w:r>
        <w:rPr>
          <w:rFonts w:hint="eastAsia" w:ascii="仿宋" w:hAnsi="仿宋" w:eastAsia="仿宋" w:cs="仿宋"/>
          <w:b/>
          <w:bCs/>
          <w:color w:val="auto"/>
          <w:sz w:val="32"/>
          <w:szCs w:val="32"/>
        </w:rPr>
        <w:t>标</w:t>
      </w:r>
      <w:r>
        <w:rPr>
          <w:rFonts w:hint="eastAsia" w:ascii="仿宋" w:hAnsi="仿宋" w:eastAsia="仿宋" w:cs="仿宋"/>
          <w:b/>
          <w:bCs/>
          <w:color w:val="auto"/>
          <w:sz w:val="32"/>
          <w:szCs w:val="32"/>
          <w:lang w:val="en-US" w:eastAsia="zh-CN"/>
        </w:rPr>
        <w:t xml:space="preserve"> </w:t>
      </w:r>
      <w:r>
        <w:rPr>
          <w:rFonts w:hint="eastAsia" w:ascii="仿宋" w:hAnsi="仿宋" w:eastAsia="仿宋" w:cs="仿宋"/>
          <w:b/>
          <w:bCs/>
          <w:color w:val="auto"/>
          <w:sz w:val="32"/>
          <w:szCs w:val="32"/>
        </w:rPr>
        <w:t>公</w:t>
      </w:r>
      <w:r>
        <w:rPr>
          <w:rFonts w:hint="eastAsia" w:ascii="仿宋" w:hAnsi="仿宋" w:eastAsia="仿宋" w:cs="仿宋"/>
          <w:b/>
          <w:bCs/>
          <w:color w:val="auto"/>
          <w:sz w:val="32"/>
          <w:szCs w:val="32"/>
          <w:lang w:val="en-US" w:eastAsia="zh-CN"/>
        </w:rPr>
        <w:t xml:space="preserve"> </w:t>
      </w:r>
      <w:r>
        <w:rPr>
          <w:rFonts w:hint="eastAsia" w:ascii="仿宋" w:hAnsi="仿宋" w:eastAsia="仿宋" w:cs="仿宋"/>
          <w:b/>
          <w:bCs/>
          <w:color w:val="auto"/>
          <w:sz w:val="32"/>
          <w:szCs w:val="32"/>
        </w:rPr>
        <w:t>告</w:t>
      </w:r>
    </w:p>
    <w:p>
      <w:pPr>
        <w:spacing w:line="360" w:lineRule="auto"/>
        <w:ind w:left="3780" w:hanging="3780" w:hangingChars="1350"/>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bookmarkStart w:id="37" w:name="_GoBack"/>
      <w:bookmarkStart w:id="0" w:name="_Toc389065121"/>
      <w:r>
        <w:rPr>
          <w:rFonts w:hint="eastAsia" w:ascii="仿宋" w:hAnsi="仿宋" w:eastAsia="仿宋" w:cs="仿宋"/>
          <w:color w:val="auto"/>
          <w:sz w:val="28"/>
          <w:szCs w:val="28"/>
          <w:u w:val="single"/>
          <w:lang w:val="en-US" w:eastAsia="zh-CN"/>
        </w:rPr>
        <w:t xml:space="preserve"> 向阳路南段高压管道新建工程</w:t>
      </w:r>
      <w:bookmarkEnd w:id="37"/>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8"/>
          <w:szCs w:val="28"/>
        </w:rPr>
        <w:t>施工招标公告</w:t>
      </w:r>
      <w:bookmarkEnd w:id="0"/>
    </w:p>
    <w:p>
      <w:pPr>
        <w:pStyle w:val="3"/>
        <w:adjustRightInd w:val="0"/>
        <w:snapToGrid w:val="0"/>
        <w:spacing w:before="0" w:after="0" w:line="360" w:lineRule="auto"/>
        <w:rPr>
          <w:rFonts w:hint="eastAsia" w:ascii="仿宋" w:hAnsi="仿宋" w:eastAsia="仿宋" w:cs="仿宋"/>
          <w:color w:val="auto"/>
          <w:sz w:val="24"/>
          <w:szCs w:val="24"/>
        </w:rPr>
      </w:pPr>
      <w:bookmarkStart w:id="1" w:name="_Toc9914"/>
      <w:bookmarkStart w:id="2" w:name="_Toc13506"/>
      <w:bookmarkStart w:id="3" w:name="_Toc389065122"/>
      <w:bookmarkStart w:id="4" w:name="_Toc498006632"/>
      <w:r>
        <w:rPr>
          <w:rFonts w:hint="eastAsia" w:ascii="仿宋" w:hAnsi="仿宋" w:eastAsia="仿宋" w:cs="仿宋"/>
          <w:color w:val="auto"/>
          <w:sz w:val="24"/>
          <w:szCs w:val="24"/>
        </w:rPr>
        <w:t>1. 招标条件</w:t>
      </w:r>
      <w:bookmarkEnd w:id="1"/>
      <w:bookmarkEnd w:id="2"/>
      <w:bookmarkEnd w:id="3"/>
      <w:bookmarkEnd w:id="4"/>
    </w:p>
    <w:p>
      <w:pPr>
        <w:adjustRightInd w:val="0"/>
        <w:snapToGrid w:val="0"/>
        <w:spacing w:line="360" w:lineRule="auto"/>
        <w:ind w:left="400" w:leftChars="200" w:firstLine="420" w:firstLineChars="0"/>
        <w:rPr>
          <w:rFonts w:hint="eastAsia" w:ascii="仿宋" w:hAnsi="仿宋" w:eastAsia="仿宋" w:cs="仿宋"/>
          <w:color w:val="auto"/>
          <w:sz w:val="24"/>
          <w:szCs w:val="24"/>
        </w:rPr>
      </w:pPr>
      <w:r>
        <w:rPr>
          <w:rFonts w:hint="eastAsia" w:ascii="仿宋" w:hAnsi="仿宋" w:eastAsia="仿宋" w:cs="仿宋"/>
          <w:color w:val="auto"/>
          <w:sz w:val="24"/>
          <w:szCs w:val="24"/>
        </w:rPr>
        <w:t>本招标项目</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向阳路南段高压管道新建工程  </w:t>
      </w:r>
      <w:r>
        <w:rPr>
          <w:rFonts w:hint="eastAsia" w:ascii="仿宋" w:hAnsi="仿宋" w:eastAsia="仿宋" w:cs="仿宋"/>
          <w:color w:val="auto"/>
          <w:sz w:val="24"/>
          <w:szCs w:val="24"/>
        </w:rPr>
        <w:t xml:space="preserve"> （项目名称）已由</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（项目审批、核准或备案机关名称）以</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（批文名称及编号）批准建设，项目业主为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仪征市大仪镇人民政府</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，建设资金来自</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财政 </w:t>
      </w:r>
      <w:r>
        <w:rPr>
          <w:rFonts w:hint="eastAsia" w:ascii="仿宋" w:hAnsi="仿宋" w:eastAsia="仿宋" w:cs="仿宋"/>
          <w:color w:val="auto"/>
          <w:sz w:val="24"/>
          <w:szCs w:val="24"/>
        </w:rPr>
        <w:t>，项目出资比例为</w:t>
      </w:r>
      <w:r>
        <w:rPr>
          <w:rFonts w:hint="eastAsia" w:ascii="仿宋" w:hAnsi="仿宋" w:eastAsia="仿宋" w:cs="仿宋"/>
          <w:color w:val="auto"/>
          <w:sz w:val="24"/>
          <w:szCs w:val="24"/>
          <w:u w:val="single"/>
        </w:rPr>
        <w:t xml:space="preserve">  100%  </w:t>
      </w:r>
      <w:r>
        <w:rPr>
          <w:rFonts w:hint="eastAsia" w:ascii="仿宋" w:hAnsi="仿宋" w:eastAsia="仿宋" w:cs="仿宋"/>
          <w:color w:val="auto"/>
          <w:sz w:val="24"/>
          <w:szCs w:val="24"/>
        </w:rPr>
        <w:t>。项目已具备招标条件，现对该项目</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向阳路南段高压管道新建工程</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标段）的施工进行</w:t>
      </w:r>
      <w:r>
        <w:rPr>
          <w:rFonts w:hint="eastAsia" w:ascii="仿宋" w:hAnsi="仿宋" w:eastAsia="仿宋" w:cs="仿宋"/>
          <w:color w:val="auto"/>
          <w:sz w:val="24"/>
          <w:szCs w:val="24"/>
          <w:u w:val="single"/>
          <w:lang w:val="en-US" w:eastAsia="zh-CN"/>
        </w:rPr>
        <w:t xml:space="preserve"> 公开</w:t>
      </w:r>
      <w:r>
        <w:rPr>
          <w:rFonts w:hint="eastAsia" w:ascii="仿宋" w:hAnsi="仿宋" w:eastAsia="仿宋" w:cs="仿宋"/>
          <w:color w:val="auto"/>
          <w:sz w:val="24"/>
          <w:szCs w:val="24"/>
          <w:u w:val="single"/>
        </w:rPr>
        <w:t>招标</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，特邀请有兴趣的潜在投标人参加投标。</w:t>
      </w:r>
    </w:p>
    <w:p>
      <w:pPr>
        <w:pStyle w:val="3"/>
        <w:adjustRightInd w:val="0"/>
        <w:snapToGrid w:val="0"/>
        <w:spacing w:before="0" w:after="0" w:line="360" w:lineRule="auto"/>
        <w:rPr>
          <w:rFonts w:hint="eastAsia" w:ascii="仿宋" w:hAnsi="仿宋" w:eastAsia="仿宋" w:cs="仿宋"/>
          <w:b/>
          <w:bCs/>
          <w:color w:val="auto"/>
          <w:sz w:val="24"/>
          <w:szCs w:val="24"/>
        </w:rPr>
      </w:pPr>
      <w:bookmarkStart w:id="5" w:name="_Toc23565"/>
      <w:bookmarkStart w:id="6" w:name="_Toc498006633"/>
      <w:bookmarkStart w:id="7" w:name="_Toc389065123"/>
      <w:bookmarkStart w:id="8" w:name="_Toc32733"/>
      <w:r>
        <w:rPr>
          <w:rFonts w:hint="eastAsia" w:ascii="仿宋" w:hAnsi="仿宋" w:eastAsia="仿宋" w:cs="仿宋"/>
          <w:b/>
          <w:bCs/>
          <w:color w:val="auto"/>
          <w:sz w:val="24"/>
          <w:szCs w:val="24"/>
        </w:rPr>
        <w:t>2. 项目概况与招标范围</w:t>
      </w:r>
      <w:bookmarkEnd w:id="5"/>
      <w:bookmarkEnd w:id="6"/>
      <w:bookmarkEnd w:id="7"/>
      <w:bookmarkEnd w:id="8"/>
    </w:p>
    <w:p>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2.1项目概况</w:t>
      </w:r>
    </w:p>
    <w:p>
      <w:pPr>
        <w:adjustRightInd w:val="0"/>
        <w:snapToGrid w:val="0"/>
        <w:spacing w:line="360" w:lineRule="auto"/>
        <w:ind w:firstLine="480" w:firstLineChars="200"/>
        <w:rPr>
          <w:rFonts w:hint="default" w:ascii="仿宋" w:hAnsi="仿宋" w:eastAsia="仿宋" w:cs="仿宋"/>
          <w:color w:val="auto"/>
          <w:sz w:val="24"/>
          <w:szCs w:val="24"/>
          <w:u w:val="single"/>
          <w:lang w:val="en-US" w:eastAsia="zh-CN"/>
        </w:rPr>
      </w:pPr>
      <w:r>
        <w:rPr>
          <w:rFonts w:hint="eastAsia" w:ascii="仿宋" w:hAnsi="仿宋" w:eastAsia="仿宋" w:cs="仿宋"/>
          <w:color w:val="auto"/>
          <w:sz w:val="24"/>
          <w:szCs w:val="24"/>
        </w:rPr>
        <w:t>2.1.1建设地点：</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仪征市大仪镇</w:t>
      </w:r>
      <w:r>
        <w:rPr>
          <w:rFonts w:hint="eastAsia" w:ascii="仿宋" w:hAnsi="仿宋" w:eastAsia="仿宋" w:cs="仿宋"/>
          <w:color w:val="auto"/>
          <w:sz w:val="24"/>
          <w:szCs w:val="24"/>
          <w:u w:val="single"/>
          <w:lang w:eastAsia="zh-CN"/>
        </w:rPr>
        <w:t>向阳路</w:t>
      </w:r>
      <w:r>
        <w:rPr>
          <w:rFonts w:hint="eastAsia" w:ascii="仿宋" w:hAnsi="仿宋" w:eastAsia="仿宋" w:cs="仿宋"/>
          <w:color w:val="auto"/>
          <w:sz w:val="24"/>
          <w:szCs w:val="24"/>
          <w:u w:val="single"/>
        </w:rPr>
        <w:t xml:space="preserve">      </w:t>
      </w:r>
    </w:p>
    <w:p>
      <w:pPr>
        <w:adjustRightInd w:val="0"/>
        <w:snapToGrid w:val="0"/>
        <w:spacing w:line="360" w:lineRule="auto"/>
        <w:ind w:firstLine="480" w:firstLineChars="200"/>
        <w:rPr>
          <w:rFonts w:hint="eastAsia" w:ascii="仿宋" w:hAnsi="仿宋" w:eastAsia="仿宋" w:cs="仿宋"/>
          <w:color w:val="auto"/>
          <w:sz w:val="24"/>
          <w:szCs w:val="24"/>
          <w:u w:val="single"/>
          <w:lang w:val="en-US" w:eastAsia="zh-CN"/>
        </w:rPr>
      </w:pPr>
      <w:r>
        <w:rPr>
          <w:rFonts w:hint="eastAsia" w:ascii="仿宋" w:hAnsi="仿宋" w:eastAsia="仿宋" w:cs="仿宋"/>
          <w:color w:val="auto"/>
          <w:sz w:val="24"/>
          <w:szCs w:val="24"/>
        </w:rPr>
        <w:t>2.1.2建设</w:t>
      </w:r>
      <w:r>
        <w:rPr>
          <w:rFonts w:hint="eastAsia" w:ascii="仿宋" w:hAnsi="仿宋" w:eastAsia="仿宋" w:cs="仿宋"/>
          <w:color w:val="auto"/>
          <w:sz w:val="24"/>
          <w:szCs w:val="24"/>
          <w:lang w:eastAsia="zh-CN"/>
        </w:rPr>
        <w:t>内容</w:t>
      </w:r>
      <w:r>
        <w:rPr>
          <w:rFonts w:hint="eastAsia" w:ascii="仿宋" w:hAnsi="仿宋" w:eastAsia="仿宋" w:cs="仿宋"/>
          <w:color w:val="auto"/>
          <w:sz w:val="24"/>
          <w:szCs w:val="24"/>
        </w:rPr>
        <w:t>：</w:t>
      </w:r>
      <w:r>
        <w:rPr>
          <w:rFonts w:hint="eastAsia" w:ascii="仿宋" w:hAnsi="仿宋" w:eastAsia="仿宋" w:cs="仿宋"/>
          <w:color w:val="auto"/>
          <w:sz w:val="24"/>
          <w:szCs w:val="24"/>
          <w:u w:val="single"/>
          <w:lang w:val="en-US" w:eastAsia="zh-CN"/>
        </w:rPr>
        <w:t xml:space="preserve"> 向阳路南段高压管道新建工程，主要施工内容电缆排管、直线井、三通井、防雷接地装置及拆除道路恢复等。</w:t>
      </w:r>
    </w:p>
    <w:p>
      <w:pPr>
        <w:adjustRightInd w:val="0"/>
        <w:snapToGrid w:val="0"/>
        <w:spacing w:line="360" w:lineRule="auto"/>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2.1.3</w:t>
      </w:r>
      <w:r>
        <w:rPr>
          <w:rFonts w:hint="eastAsia" w:ascii="仿宋" w:hAnsi="仿宋" w:eastAsia="仿宋" w:cs="仿宋"/>
          <w:color w:val="auto"/>
          <w:sz w:val="24"/>
          <w:szCs w:val="24"/>
          <w:lang w:eastAsia="zh-CN"/>
        </w:rPr>
        <w:t>最高限价</w:t>
      </w:r>
      <w:r>
        <w:rPr>
          <w:rFonts w:hint="eastAsia" w:ascii="仿宋" w:hAnsi="仿宋" w:eastAsia="仿宋" w:cs="仿宋"/>
          <w:color w:val="auto"/>
          <w:sz w:val="24"/>
          <w:szCs w:val="24"/>
        </w:rPr>
        <w:t>：</w:t>
      </w:r>
      <w:r>
        <w:rPr>
          <w:rFonts w:hint="eastAsia" w:ascii="仿宋" w:hAnsi="仿宋" w:eastAsia="仿宋" w:cs="仿宋"/>
          <w:color w:val="auto"/>
          <w:sz w:val="24"/>
          <w:szCs w:val="24"/>
          <w:u w:val="single"/>
          <w:lang w:val="en-US" w:eastAsia="zh-CN"/>
        </w:rPr>
        <w:t xml:space="preserve"> 1433162.66元 ，超过最高限价为无效投标。</w:t>
      </w:r>
    </w:p>
    <w:p>
      <w:pPr>
        <w:adjustRightInd w:val="0"/>
        <w:snapToGrid w:val="0"/>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2.1.4工期要求：</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60</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日历天</w:t>
      </w:r>
      <w:r>
        <w:rPr>
          <w:rFonts w:hint="eastAsia" w:ascii="仿宋" w:hAnsi="仿宋" w:eastAsia="仿宋" w:cs="仿宋"/>
          <w:color w:val="auto"/>
          <w:sz w:val="24"/>
          <w:szCs w:val="24"/>
          <w:lang w:eastAsia="zh-CN"/>
        </w:rPr>
        <w:t>。</w:t>
      </w:r>
    </w:p>
    <w:p>
      <w:pPr>
        <w:adjustRightInd w:val="0"/>
        <w:snapToGrid w:val="0"/>
        <w:spacing w:line="360" w:lineRule="auto"/>
        <w:ind w:firstLine="420" w:firstLineChars="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计划开工日期：</w:t>
      </w:r>
      <w:r>
        <w:rPr>
          <w:rFonts w:hint="eastAsia" w:ascii="仿宋" w:hAnsi="仿宋" w:eastAsia="仿宋" w:cs="仿宋"/>
          <w:color w:val="auto"/>
          <w:sz w:val="24"/>
          <w:szCs w:val="24"/>
          <w:u w:val="single"/>
        </w:rPr>
        <w:t xml:space="preserve"> 202</w:t>
      </w:r>
      <w:r>
        <w:rPr>
          <w:rFonts w:hint="eastAsia" w:ascii="仿宋" w:hAnsi="仿宋" w:eastAsia="仿宋" w:cs="仿宋"/>
          <w:color w:val="auto"/>
          <w:sz w:val="24"/>
          <w:szCs w:val="24"/>
          <w:u w:val="single"/>
          <w:lang w:val="en-US" w:eastAsia="zh-CN"/>
        </w:rPr>
        <w:t>4</w:t>
      </w:r>
      <w:r>
        <w:rPr>
          <w:rFonts w:hint="eastAsia" w:ascii="仿宋" w:hAnsi="仿宋" w:eastAsia="仿宋" w:cs="仿宋"/>
          <w:color w:val="auto"/>
          <w:sz w:val="24"/>
          <w:szCs w:val="24"/>
          <w:u w:val="single"/>
        </w:rPr>
        <w:t xml:space="preserve"> 年</w:t>
      </w:r>
      <w:r>
        <w:rPr>
          <w:rFonts w:hint="eastAsia" w:ascii="仿宋" w:hAnsi="仿宋" w:eastAsia="仿宋" w:cs="仿宋"/>
          <w:color w:val="auto"/>
          <w:sz w:val="24"/>
          <w:szCs w:val="24"/>
          <w:u w:val="single"/>
          <w:lang w:val="en-US" w:eastAsia="zh-CN"/>
        </w:rPr>
        <w:t>3</w:t>
      </w:r>
      <w:r>
        <w:rPr>
          <w:rFonts w:hint="eastAsia" w:ascii="仿宋" w:hAnsi="仿宋" w:eastAsia="仿宋" w:cs="仿宋"/>
          <w:color w:val="auto"/>
          <w:sz w:val="24"/>
          <w:szCs w:val="24"/>
          <w:u w:val="single"/>
        </w:rPr>
        <w:t>月</w:t>
      </w:r>
      <w:r>
        <w:rPr>
          <w:rFonts w:hint="eastAsia" w:ascii="仿宋" w:hAnsi="仿宋" w:eastAsia="仿宋" w:cs="仿宋"/>
          <w:color w:val="auto"/>
          <w:sz w:val="24"/>
          <w:szCs w:val="24"/>
          <w:u w:val="single"/>
          <w:lang w:val="en-US" w:eastAsia="zh-CN"/>
        </w:rPr>
        <w:t>8</w:t>
      </w:r>
      <w:r>
        <w:rPr>
          <w:rFonts w:hint="eastAsia" w:ascii="仿宋" w:hAnsi="仿宋" w:eastAsia="仿宋" w:cs="仿宋"/>
          <w:color w:val="auto"/>
          <w:sz w:val="24"/>
          <w:szCs w:val="24"/>
          <w:u w:val="single"/>
        </w:rPr>
        <w:t xml:space="preserve"> 日</w:t>
      </w:r>
      <w:r>
        <w:rPr>
          <w:rFonts w:hint="eastAsia" w:ascii="仿宋" w:hAnsi="仿宋" w:eastAsia="仿宋" w:cs="仿宋"/>
          <w:color w:val="auto"/>
          <w:sz w:val="24"/>
          <w:szCs w:val="24"/>
          <w:u w:val="none"/>
          <w:lang w:eastAsia="zh-CN"/>
        </w:rPr>
        <w:t>，</w:t>
      </w:r>
      <w:r>
        <w:rPr>
          <w:rFonts w:hint="eastAsia" w:ascii="仿宋" w:hAnsi="仿宋" w:eastAsia="仿宋" w:cs="仿宋"/>
          <w:color w:val="auto"/>
          <w:sz w:val="24"/>
          <w:szCs w:val="24"/>
          <w:u w:val="none"/>
        </w:rPr>
        <w:t>竣工日期：</w:t>
      </w:r>
      <w:r>
        <w:rPr>
          <w:rFonts w:hint="eastAsia" w:ascii="仿宋" w:hAnsi="仿宋" w:eastAsia="仿宋" w:cs="仿宋"/>
          <w:color w:val="auto"/>
          <w:sz w:val="24"/>
          <w:szCs w:val="24"/>
          <w:u w:val="single"/>
        </w:rPr>
        <w:t xml:space="preserve"> 202</w:t>
      </w:r>
      <w:r>
        <w:rPr>
          <w:rFonts w:hint="eastAsia" w:ascii="仿宋" w:hAnsi="仿宋" w:eastAsia="仿宋" w:cs="仿宋"/>
          <w:color w:val="auto"/>
          <w:sz w:val="24"/>
          <w:szCs w:val="24"/>
          <w:u w:val="single"/>
          <w:lang w:val="en-US" w:eastAsia="zh-CN"/>
        </w:rPr>
        <w:t>4</w:t>
      </w:r>
      <w:r>
        <w:rPr>
          <w:rFonts w:hint="eastAsia" w:ascii="仿宋" w:hAnsi="仿宋" w:eastAsia="仿宋" w:cs="仿宋"/>
          <w:color w:val="auto"/>
          <w:sz w:val="24"/>
          <w:szCs w:val="24"/>
          <w:u w:val="single"/>
        </w:rPr>
        <w:t xml:space="preserve"> 年</w:t>
      </w:r>
      <w:r>
        <w:rPr>
          <w:rFonts w:hint="eastAsia" w:ascii="仿宋" w:hAnsi="仿宋" w:eastAsia="仿宋" w:cs="仿宋"/>
          <w:color w:val="auto"/>
          <w:sz w:val="24"/>
          <w:szCs w:val="24"/>
          <w:u w:val="single"/>
          <w:lang w:val="en-US" w:eastAsia="zh-CN"/>
        </w:rPr>
        <w:t>5</w:t>
      </w:r>
      <w:r>
        <w:rPr>
          <w:rFonts w:hint="eastAsia" w:ascii="仿宋" w:hAnsi="仿宋" w:eastAsia="仿宋" w:cs="仿宋"/>
          <w:color w:val="auto"/>
          <w:sz w:val="24"/>
          <w:szCs w:val="24"/>
          <w:u w:val="single"/>
        </w:rPr>
        <w:t>月</w:t>
      </w:r>
      <w:r>
        <w:rPr>
          <w:rFonts w:hint="eastAsia" w:ascii="仿宋" w:hAnsi="仿宋" w:eastAsia="仿宋" w:cs="仿宋"/>
          <w:color w:val="auto"/>
          <w:sz w:val="24"/>
          <w:szCs w:val="24"/>
          <w:u w:val="single"/>
          <w:lang w:val="en-US" w:eastAsia="zh-CN"/>
        </w:rPr>
        <w:t>8</w:t>
      </w:r>
      <w:r>
        <w:rPr>
          <w:rFonts w:hint="eastAsia" w:ascii="仿宋" w:hAnsi="仿宋" w:eastAsia="仿宋" w:cs="仿宋"/>
          <w:color w:val="auto"/>
          <w:sz w:val="24"/>
          <w:szCs w:val="24"/>
          <w:u w:val="single"/>
        </w:rPr>
        <w:t xml:space="preserve"> 日</w:t>
      </w:r>
      <w:r>
        <w:rPr>
          <w:rFonts w:hint="eastAsia" w:ascii="仿宋" w:hAnsi="仿宋" w:eastAsia="仿宋" w:cs="仿宋"/>
          <w:color w:val="auto"/>
          <w:sz w:val="24"/>
          <w:szCs w:val="24"/>
        </w:rPr>
        <w:t>（实际开工时间以开工报告为准）</w:t>
      </w:r>
    </w:p>
    <w:p>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2.1.5 其他:</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p>
    <w:p>
      <w:pPr>
        <w:adjustRightInd w:val="0"/>
        <w:snapToGrid w:val="0"/>
        <w:spacing w:line="360" w:lineRule="auto"/>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2.2招标范围：</w:t>
      </w:r>
      <w:r>
        <w:rPr>
          <w:rFonts w:hint="eastAsia" w:ascii="仿宋" w:hAnsi="仿宋" w:eastAsia="仿宋" w:cs="仿宋"/>
          <w:color w:val="auto"/>
          <w:sz w:val="24"/>
          <w:szCs w:val="24"/>
          <w:u w:val="single"/>
          <w:lang w:val="en-US" w:eastAsia="zh-CN"/>
        </w:rPr>
        <w:t>大仪镇向阳路南段高压管道新建工程招标</w:t>
      </w:r>
      <w:r>
        <w:rPr>
          <w:rFonts w:hint="eastAsia" w:ascii="仿宋" w:hAnsi="仿宋" w:eastAsia="仿宋" w:cs="仿宋"/>
          <w:color w:val="auto"/>
          <w:sz w:val="24"/>
          <w:szCs w:val="24"/>
          <w:u w:val="single"/>
        </w:rPr>
        <w:t>工程量清单</w:t>
      </w:r>
      <w:r>
        <w:rPr>
          <w:rFonts w:hint="eastAsia" w:ascii="仿宋" w:hAnsi="仿宋" w:eastAsia="仿宋" w:cs="仿宋"/>
          <w:color w:val="auto"/>
          <w:sz w:val="24"/>
          <w:szCs w:val="24"/>
          <w:u w:val="single"/>
          <w:lang w:eastAsia="zh-CN"/>
        </w:rPr>
        <w:t>所含全部内容</w:t>
      </w:r>
      <w:r>
        <w:rPr>
          <w:rFonts w:hint="eastAsia" w:ascii="仿宋" w:hAnsi="仿宋" w:eastAsia="仿宋" w:cs="仿宋"/>
          <w:color w:val="auto"/>
          <w:sz w:val="24"/>
          <w:szCs w:val="24"/>
          <w:u w:val="single"/>
        </w:rPr>
        <w:t>。</w:t>
      </w:r>
    </w:p>
    <w:p>
      <w:pPr>
        <w:pStyle w:val="3"/>
        <w:adjustRightInd w:val="0"/>
        <w:snapToGrid w:val="0"/>
        <w:spacing w:before="0" w:after="0" w:line="360" w:lineRule="auto"/>
        <w:rPr>
          <w:rFonts w:hint="eastAsia" w:ascii="仿宋" w:hAnsi="仿宋" w:eastAsia="仿宋" w:cs="仿宋"/>
          <w:b/>
          <w:bCs/>
          <w:color w:val="auto"/>
          <w:sz w:val="24"/>
          <w:szCs w:val="24"/>
        </w:rPr>
      </w:pPr>
      <w:bookmarkStart w:id="9" w:name="_Toc17923"/>
      <w:bookmarkStart w:id="10" w:name="_Toc498006634"/>
      <w:bookmarkStart w:id="11" w:name="_Toc12267"/>
      <w:bookmarkStart w:id="12" w:name="_Toc389065124"/>
      <w:r>
        <w:rPr>
          <w:rFonts w:hint="eastAsia" w:ascii="仿宋" w:hAnsi="仿宋" w:eastAsia="仿宋" w:cs="仿宋"/>
          <w:b/>
          <w:bCs/>
          <w:color w:val="auto"/>
          <w:sz w:val="24"/>
          <w:szCs w:val="24"/>
        </w:rPr>
        <w:t>3. 投标人资格要求</w:t>
      </w:r>
      <w:bookmarkEnd w:id="9"/>
      <w:bookmarkEnd w:id="10"/>
      <w:bookmarkEnd w:id="11"/>
      <w:bookmarkEnd w:id="12"/>
    </w:p>
    <w:p>
      <w:pPr>
        <w:adjustRightInd w:val="0"/>
        <w:snapToGrid w:val="0"/>
        <w:spacing w:line="360" w:lineRule="auto"/>
        <w:ind w:firstLine="420" w:firstLineChars="0"/>
        <w:rPr>
          <w:rFonts w:hint="eastAsia" w:ascii="仿宋" w:hAnsi="仿宋" w:eastAsia="仿宋" w:cs="仿宋"/>
          <w:color w:val="auto"/>
          <w:sz w:val="24"/>
          <w:szCs w:val="24"/>
        </w:rPr>
      </w:pPr>
      <w:r>
        <w:rPr>
          <w:rFonts w:hint="eastAsia" w:ascii="仿宋" w:hAnsi="仿宋" w:eastAsia="仿宋" w:cs="仿宋"/>
          <w:color w:val="auto"/>
          <w:sz w:val="24"/>
          <w:szCs w:val="24"/>
        </w:rPr>
        <w:t xml:space="preserve">3.1投标人须具备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市政公用工程施工总承包叁级及以上</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资质），并满足以下要求：1、有独立订立合同的能力；2、企业的资质类别、等级和项目负责人注册专业、资格等级符合国家有关规定；</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、企业具备安全生产条件，并取得安全生产许可证（相关规定不作要求的除外）。</w:t>
      </w:r>
    </w:p>
    <w:p>
      <w:pPr>
        <w:adjustRightInd w:val="0"/>
        <w:snapToGrid w:val="0"/>
        <w:spacing w:line="360" w:lineRule="auto"/>
        <w:ind w:firstLine="420" w:firstLineChars="0"/>
        <w:rPr>
          <w:rFonts w:hint="eastAsia" w:ascii="仿宋" w:hAnsi="仿宋" w:eastAsia="仿宋" w:cs="仿宋"/>
          <w:color w:val="auto"/>
          <w:sz w:val="24"/>
          <w:szCs w:val="24"/>
        </w:rPr>
      </w:pPr>
      <w:r>
        <w:rPr>
          <w:rFonts w:hint="eastAsia" w:ascii="仿宋" w:hAnsi="仿宋" w:eastAsia="仿宋" w:cs="仿宋"/>
          <w:color w:val="auto"/>
          <w:sz w:val="24"/>
          <w:szCs w:val="24"/>
        </w:rPr>
        <w:t>3.2投标人拟派项目负责人须具备</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市政</w:t>
      </w:r>
      <w:r>
        <w:rPr>
          <w:rFonts w:hint="eastAsia" w:ascii="仿宋" w:hAnsi="仿宋" w:eastAsia="仿宋" w:cs="仿宋"/>
          <w:color w:val="auto"/>
          <w:sz w:val="24"/>
          <w:szCs w:val="24"/>
          <w:u w:val="single"/>
        </w:rPr>
        <w:t>工程专业贰级建造师及以上 （</w:t>
      </w:r>
      <w:r>
        <w:rPr>
          <w:rFonts w:hint="eastAsia" w:ascii="仿宋" w:hAnsi="仿宋" w:eastAsia="仿宋" w:cs="仿宋"/>
          <w:color w:val="auto"/>
          <w:sz w:val="24"/>
          <w:szCs w:val="24"/>
        </w:rPr>
        <w:t>资格）具备有效的安全生产考核合格证书（B证），且必须满足下列条件：</w:t>
      </w:r>
    </w:p>
    <w:p>
      <w:pPr>
        <w:adjustRightInd w:val="0"/>
        <w:snapToGrid w:val="0"/>
        <w:spacing w:line="360" w:lineRule="auto"/>
        <w:ind w:firstLine="484" w:firstLineChars="202"/>
        <w:rPr>
          <w:rFonts w:hint="eastAsia" w:ascii="仿宋" w:hAnsi="仿宋" w:eastAsia="仿宋" w:cs="仿宋"/>
          <w:color w:val="auto"/>
          <w:sz w:val="24"/>
          <w:szCs w:val="24"/>
        </w:rPr>
      </w:pPr>
      <w:r>
        <w:rPr>
          <w:rFonts w:hint="eastAsia" w:ascii="仿宋" w:hAnsi="仿宋" w:eastAsia="仿宋" w:cs="仿宋"/>
          <w:color w:val="auto"/>
          <w:sz w:val="24"/>
          <w:szCs w:val="24"/>
        </w:rPr>
        <w:t>（1）项目负责人不得同时在两个或者两个以上单位受聘或者执业。</w:t>
      </w:r>
    </w:p>
    <w:p>
      <w:pPr>
        <w:adjustRightInd w:val="0"/>
        <w:snapToGrid w:val="0"/>
        <w:spacing w:line="360" w:lineRule="auto"/>
        <w:ind w:firstLine="484" w:firstLineChars="202"/>
        <w:rPr>
          <w:rFonts w:hint="eastAsia" w:ascii="仿宋" w:hAnsi="仿宋" w:eastAsia="仿宋" w:cs="仿宋"/>
          <w:color w:val="auto"/>
          <w:sz w:val="24"/>
          <w:szCs w:val="24"/>
        </w:rPr>
      </w:pPr>
      <w:r>
        <w:rPr>
          <w:rFonts w:hint="eastAsia" w:ascii="仿宋" w:hAnsi="仿宋" w:eastAsia="仿宋" w:cs="仿宋"/>
          <w:color w:val="auto"/>
          <w:sz w:val="24"/>
          <w:szCs w:val="24"/>
        </w:rPr>
        <w:t>（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pPr>
        <w:adjustRightInd w:val="0"/>
        <w:snapToGrid w:val="0"/>
        <w:spacing w:line="360" w:lineRule="auto"/>
        <w:ind w:firstLine="484" w:firstLineChars="202"/>
        <w:rPr>
          <w:rFonts w:hint="eastAsia" w:ascii="仿宋" w:hAnsi="仿宋" w:eastAsia="仿宋" w:cs="仿宋"/>
          <w:color w:val="auto"/>
          <w:sz w:val="24"/>
          <w:szCs w:val="24"/>
        </w:rPr>
      </w:pPr>
      <w:r>
        <w:rPr>
          <w:rFonts w:hint="eastAsia" w:ascii="仿宋" w:hAnsi="仿宋" w:eastAsia="仿宋" w:cs="仿宋"/>
          <w:color w:val="auto"/>
          <w:sz w:val="24"/>
          <w:szCs w:val="24"/>
        </w:rPr>
        <w:t>注：以上在建工程是指在其他项目担任项目负责人职务。</w:t>
      </w:r>
    </w:p>
    <w:p>
      <w:pPr>
        <w:adjustRightInd w:val="0"/>
        <w:snapToGrid w:val="0"/>
        <w:spacing w:line="360" w:lineRule="auto"/>
        <w:ind w:firstLine="484" w:firstLineChars="202"/>
        <w:rPr>
          <w:rFonts w:hint="eastAsia" w:ascii="仿宋" w:hAnsi="仿宋" w:eastAsia="仿宋" w:cs="仿宋"/>
          <w:color w:val="auto"/>
          <w:sz w:val="24"/>
          <w:szCs w:val="24"/>
        </w:rPr>
      </w:pPr>
      <w:r>
        <w:rPr>
          <w:rFonts w:hint="eastAsia" w:ascii="仿宋" w:hAnsi="仿宋" w:eastAsia="仿宋" w:cs="仿宋"/>
          <w:color w:val="auto"/>
          <w:sz w:val="24"/>
          <w:szCs w:val="24"/>
        </w:rPr>
        <w:t>（3）项目负责人无行贿犯罪行为记录；或有行贿犯罪行为记录，但自记录之日起已超过5年的。</w:t>
      </w:r>
    </w:p>
    <w:p>
      <w:pPr>
        <w:adjustRightInd w:val="0"/>
        <w:snapToGrid w:val="0"/>
        <w:spacing w:line="360" w:lineRule="auto"/>
        <w:ind w:firstLine="420" w:firstLineChars="0"/>
        <w:rPr>
          <w:rFonts w:hint="eastAsia" w:ascii="仿宋" w:hAnsi="仿宋" w:eastAsia="仿宋" w:cs="仿宋"/>
          <w:color w:val="auto"/>
          <w:sz w:val="24"/>
          <w:szCs w:val="24"/>
        </w:rPr>
      </w:pPr>
      <w:r>
        <w:rPr>
          <w:rFonts w:hint="eastAsia" w:ascii="仿宋" w:hAnsi="仿宋" w:eastAsia="仿宋" w:cs="仿宋"/>
          <w:color w:val="auto"/>
          <w:sz w:val="24"/>
          <w:szCs w:val="24"/>
        </w:rPr>
        <w:t>3.3 投标人及拟派项目负责人应具备其他要求：</w:t>
      </w:r>
    </w:p>
    <w:p>
      <w:pPr>
        <w:spacing w:line="360" w:lineRule="auto"/>
        <w:ind w:firstLine="48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4"/>
          <w:szCs w:val="24"/>
        </w:rPr>
        <w:t xml:space="preserve">3.3.1 </w:t>
      </w:r>
      <w:r>
        <w:rPr>
          <w:rFonts w:hint="eastAsia" w:ascii="仿宋" w:hAnsi="仿宋" w:eastAsia="仿宋" w:cs="仿宋"/>
          <w:color w:val="auto"/>
          <w:sz w:val="24"/>
          <w:szCs w:val="24"/>
          <w:lang w:val="en-US" w:eastAsia="zh-CN"/>
        </w:rPr>
        <w:t>投标人在投标文件递交截止时间当日，建筑业企业资质动态监管结果不处于不合格状态；</w:t>
      </w:r>
    </w:p>
    <w:p>
      <w:pPr>
        <w:adjustRightInd w:val="0"/>
        <w:snapToGrid w:val="0"/>
        <w:spacing w:line="360" w:lineRule="auto"/>
        <w:ind w:firstLine="420" w:firstLineChars="0"/>
        <w:rPr>
          <w:rFonts w:hint="eastAsia" w:ascii="仿宋" w:hAnsi="仿宋" w:eastAsia="仿宋" w:cs="仿宋"/>
          <w:color w:val="auto"/>
          <w:sz w:val="24"/>
          <w:szCs w:val="24"/>
        </w:rPr>
      </w:pPr>
      <w:r>
        <w:rPr>
          <w:rFonts w:hint="eastAsia" w:ascii="仿宋" w:hAnsi="仿宋" w:eastAsia="仿宋" w:cs="仿宋"/>
          <w:color w:val="auto"/>
          <w:sz w:val="24"/>
          <w:szCs w:val="24"/>
        </w:rPr>
        <w:t>3.3.</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投标人为授权委托人及拟派项目负责人缴纳近3个月养老保险（提供社保部门出具的</w:t>
      </w:r>
      <w:r>
        <w:rPr>
          <w:rFonts w:hint="eastAsia" w:ascii="仿宋" w:hAnsi="仿宋" w:eastAsia="仿宋" w:cs="仿宋"/>
          <w:color w:val="auto"/>
          <w:sz w:val="24"/>
          <w:szCs w:val="24"/>
          <w:lang w:eastAsia="zh-CN"/>
        </w:rPr>
        <w:t>近三个月任意一个月</w:t>
      </w:r>
      <w:r>
        <w:rPr>
          <w:rFonts w:hint="eastAsia" w:ascii="仿宋" w:hAnsi="仿宋" w:eastAsia="仿宋" w:cs="仿宋"/>
          <w:color w:val="auto"/>
          <w:sz w:val="24"/>
          <w:szCs w:val="24"/>
        </w:rPr>
        <w:t>在职职工养老保险的证明材料；采用网上自助查询方式的，如当地社保管理部门明确的最大查询期与招标文件规定的月份不一致时，须提供社保管理部门的文件）；</w:t>
      </w:r>
    </w:p>
    <w:p>
      <w:pPr>
        <w:adjustRightInd w:val="0"/>
        <w:snapToGrid w:val="0"/>
        <w:spacing w:line="360" w:lineRule="auto"/>
        <w:ind w:firstLine="420" w:firstLineChars="0"/>
        <w:rPr>
          <w:rFonts w:hint="eastAsia" w:ascii="仿宋" w:hAnsi="仿宋" w:eastAsia="仿宋" w:cs="仿宋"/>
          <w:color w:val="auto"/>
          <w:sz w:val="24"/>
          <w:szCs w:val="24"/>
        </w:rPr>
      </w:pPr>
      <w:r>
        <w:rPr>
          <w:rFonts w:hint="eastAsia" w:ascii="仿宋" w:hAnsi="仿宋" w:eastAsia="仿宋" w:cs="仿宋"/>
          <w:color w:val="auto"/>
          <w:sz w:val="24"/>
          <w:szCs w:val="24"/>
        </w:rPr>
        <w:t>3.3.</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 xml:space="preserve"> 投标人没有在招投标活动中存在失信行为被招投标监管机构在“江苏建设工程招标网”等指定媒介上公示并在公示期限内；</w:t>
      </w:r>
    </w:p>
    <w:p>
      <w:pPr>
        <w:adjustRightInd w:val="0"/>
        <w:snapToGrid w:val="0"/>
        <w:spacing w:line="360" w:lineRule="auto"/>
        <w:ind w:firstLine="420" w:firstLineChars="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3.3.</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投标单位应当慎重考虑选派一名项目经理同时参加多个工程项目投标竞争的数量，其所选派的项目经理在多个工程项目均中标的，只能按照不同工程项目中标通知书发出的时间先后，担任本企业最先中标项目的项目经理。后确定该企业为中标人的工程项目的招标人应当取消其中标资格</w:t>
      </w:r>
      <w:r>
        <w:rPr>
          <w:rFonts w:hint="eastAsia" w:ascii="仿宋" w:hAnsi="仿宋" w:eastAsia="仿宋" w:cs="仿宋"/>
          <w:color w:val="auto"/>
          <w:sz w:val="24"/>
          <w:szCs w:val="24"/>
          <w:lang w:eastAsia="zh-CN"/>
        </w:rPr>
        <w:t>。</w:t>
      </w:r>
    </w:p>
    <w:p>
      <w:pPr>
        <w:adjustRightInd w:val="0"/>
        <w:snapToGrid w:val="0"/>
        <w:spacing w:line="360" w:lineRule="auto"/>
        <w:ind w:firstLine="420" w:firstLineChars="0"/>
        <w:rPr>
          <w:rFonts w:hint="eastAsia" w:ascii="仿宋" w:hAnsi="仿宋" w:eastAsia="仿宋" w:cs="仿宋"/>
          <w:color w:val="auto"/>
          <w:sz w:val="24"/>
          <w:szCs w:val="24"/>
        </w:rPr>
      </w:pPr>
      <w:r>
        <w:rPr>
          <w:rFonts w:hint="eastAsia" w:ascii="仿宋" w:hAnsi="仿宋" w:eastAsia="仿宋" w:cs="仿宋"/>
          <w:color w:val="auto"/>
          <w:sz w:val="24"/>
          <w:szCs w:val="24"/>
        </w:rPr>
        <w:t>3.5 本次招标</w:t>
      </w:r>
      <w:r>
        <w:rPr>
          <w:rFonts w:hint="eastAsia" w:ascii="仿宋" w:hAnsi="仿宋" w:eastAsia="仿宋" w:cs="仿宋"/>
          <w:color w:val="auto"/>
          <w:sz w:val="24"/>
          <w:szCs w:val="24"/>
          <w:u w:val="single"/>
        </w:rPr>
        <w:t xml:space="preserve">   不接受     </w:t>
      </w:r>
      <w:r>
        <w:rPr>
          <w:rFonts w:hint="eastAsia" w:ascii="仿宋" w:hAnsi="仿宋" w:eastAsia="仿宋" w:cs="仿宋"/>
          <w:color w:val="auto"/>
          <w:sz w:val="24"/>
          <w:szCs w:val="24"/>
          <w:u w:val="none"/>
          <w:lang w:eastAsia="zh-CN"/>
        </w:rPr>
        <w:t>联合体投标</w:t>
      </w:r>
      <w:r>
        <w:rPr>
          <w:rFonts w:hint="eastAsia" w:ascii="仿宋" w:hAnsi="仿宋" w:eastAsia="仿宋" w:cs="仿宋"/>
          <w:color w:val="auto"/>
          <w:sz w:val="24"/>
          <w:szCs w:val="24"/>
        </w:rPr>
        <w:t>（接受/不接受）。</w:t>
      </w:r>
    </w:p>
    <w:p>
      <w:pPr>
        <w:pStyle w:val="3"/>
        <w:adjustRightInd w:val="0"/>
        <w:snapToGrid w:val="0"/>
        <w:spacing w:before="0" w:after="0" w:line="360" w:lineRule="auto"/>
        <w:rPr>
          <w:rFonts w:hint="eastAsia" w:ascii="仿宋" w:hAnsi="仿宋" w:eastAsia="仿宋" w:cs="仿宋"/>
          <w:b/>
          <w:bCs/>
          <w:color w:val="auto"/>
          <w:sz w:val="24"/>
          <w:szCs w:val="24"/>
        </w:rPr>
      </w:pPr>
      <w:bookmarkStart w:id="13" w:name="_Toc389065125"/>
      <w:bookmarkStart w:id="14" w:name="_Toc11426"/>
      <w:bookmarkStart w:id="15" w:name="_Toc498006635"/>
      <w:bookmarkStart w:id="16" w:name="_Toc10832"/>
      <w:r>
        <w:rPr>
          <w:rFonts w:hint="eastAsia" w:ascii="仿宋" w:hAnsi="仿宋" w:eastAsia="仿宋" w:cs="仿宋"/>
          <w:b/>
          <w:bCs/>
          <w:color w:val="auto"/>
          <w:sz w:val="24"/>
          <w:szCs w:val="24"/>
        </w:rPr>
        <w:t xml:space="preserve">4. </w:t>
      </w:r>
      <w:bookmarkEnd w:id="13"/>
      <w:bookmarkStart w:id="17" w:name="_Toc389065126"/>
      <w:r>
        <w:rPr>
          <w:rFonts w:hint="eastAsia" w:ascii="仿宋" w:hAnsi="仿宋" w:eastAsia="仿宋" w:cs="仿宋"/>
          <w:b/>
          <w:bCs/>
          <w:color w:val="auto"/>
          <w:sz w:val="24"/>
          <w:szCs w:val="24"/>
        </w:rPr>
        <w:t>招标文件的获取</w:t>
      </w:r>
      <w:bookmarkEnd w:id="14"/>
      <w:bookmarkEnd w:id="15"/>
      <w:bookmarkEnd w:id="16"/>
      <w:bookmarkEnd w:id="17"/>
    </w:p>
    <w:p>
      <w:pPr>
        <w:adjustRightInd w:val="0"/>
        <w:snapToGrid w:val="0"/>
        <w:spacing w:line="360" w:lineRule="auto"/>
        <w:ind w:firstLine="480" w:firstLineChars="200"/>
        <w:rPr>
          <w:rFonts w:hint="eastAsia" w:ascii="宋体" w:hAnsi="宋体" w:cs="宋体"/>
          <w:color w:val="auto"/>
          <w:kern w:val="0"/>
          <w:szCs w:val="21"/>
        </w:rPr>
      </w:pPr>
      <w:r>
        <w:rPr>
          <w:rFonts w:hint="eastAsia" w:ascii="仿宋" w:hAnsi="仿宋" w:eastAsia="仿宋" w:cs="仿宋"/>
          <w:color w:val="auto"/>
          <w:kern w:val="0"/>
          <w:sz w:val="24"/>
          <w:szCs w:val="24"/>
        </w:rPr>
        <w:t>4.1招标文件获取时间为：</w:t>
      </w:r>
      <w:r>
        <w:rPr>
          <w:rFonts w:hint="eastAsia" w:ascii="仿宋" w:hAnsi="仿宋" w:eastAsia="仿宋" w:cs="仿宋"/>
          <w:color w:val="auto"/>
          <w:kern w:val="0"/>
          <w:sz w:val="24"/>
          <w:szCs w:val="24"/>
          <w:u w:val="single"/>
        </w:rPr>
        <w:t xml:space="preserve">  202</w:t>
      </w:r>
      <w:r>
        <w:rPr>
          <w:rFonts w:hint="eastAsia" w:ascii="仿宋" w:hAnsi="仿宋" w:eastAsia="仿宋" w:cs="仿宋"/>
          <w:color w:val="auto"/>
          <w:kern w:val="0"/>
          <w:sz w:val="24"/>
          <w:szCs w:val="24"/>
          <w:u w:val="single"/>
          <w:lang w:val="en-US" w:eastAsia="zh-CN"/>
        </w:rPr>
        <w:t>4</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rPr>
        <w:t>年</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u w:val="single"/>
          <w:lang w:val="en-US" w:eastAsia="zh-CN"/>
        </w:rPr>
        <w:t>2</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rPr>
        <w:t>月</w:t>
      </w:r>
      <w:r>
        <w:rPr>
          <w:rFonts w:hint="eastAsia" w:ascii="仿宋" w:hAnsi="仿宋" w:eastAsia="仿宋" w:cs="仿宋"/>
          <w:color w:val="auto"/>
          <w:kern w:val="0"/>
          <w:sz w:val="24"/>
          <w:szCs w:val="24"/>
          <w:u w:val="single"/>
          <w:lang w:val="en-US" w:eastAsia="zh-CN"/>
        </w:rPr>
        <w:t xml:space="preserve"> 20</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rPr>
        <w:t>日</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u w:val="single"/>
          <w:lang w:val="en-US" w:eastAsia="zh-CN"/>
        </w:rPr>
        <w:t>16</w:t>
      </w:r>
      <w:r>
        <w:rPr>
          <w:rFonts w:hint="eastAsia" w:ascii="仿宋" w:hAnsi="仿宋" w:eastAsia="仿宋" w:cs="仿宋"/>
          <w:color w:val="auto"/>
          <w:kern w:val="0"/>
          <w:sz w:val="24"/>
          <w:szCs w:val="24"/>
          <w:u w:val="single"/>
        </w:rPr>
        <w:t xml:space="preserve">  时 00 分</w:t>
      </w:r>
      <w:r>
        <w:rPr>
          <w:rFonts w:hint="eastAsia" w:ascii="仿宋" w:hAnsi="仿宋" w:eastAsia="仿宋" w:cs="仿宋"/>
          <w:color w:val="auto"/>
          <w:kern w:val="0"/>
          <w:sz w:val="24"/>
          <w:szCs w:val="24"/>
        </w:rPr>
        <w:t>至</w:t>
      </w:r>
      <w:r>
        <w:rPr>
          <w:rFonts w:hint="eastAsia" w:ascii="仿宋" w:hAnsi="仿宋" w:eastAsia="仿宋" w:cs="仿宋"/>
          <w:color w:val="auto"/>
          <w:kern w:val="0"/>
          <w:sz w:val="24"/>
          <w:szCs w:val="24"/>
          <w:u w:val="single"/>
        </w:rPr>
        <w:t xml:space="preserve"> 202</w:t>
      </w:r>
      <w:r>
        <w:rPr>
          <w:rFonts w:hint="eastAsia" w:ascii="仿宋" w:hAnsi="仿宋" w:eastAsia="仿宋" w:cs="仿宋"/>
          <w:color w:val="auto"/>
          <w:kern w:val="0"/>
          <w:sz w:val="24"/>
          <w:szCs w:val="24"/>
          <w:u w:val="single"/>
          <w:lang w:val="en-US" w:eastAsia="zh-CN"/>
        </w:rPr>
        <w:t>4</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rPr>
        <w:t>年</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u w:val="single"/>
          <w:lang w:val="en-US" w:eastAsia="zh-CN"/>
        </w:rPr>
        <w:t>2</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rPr>
        <w:t>月</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u w:val="single"/>
          <w:lang w:val="en-US" w:eastAsia="zh-CN"/>
        </w:rPr>
        <w:t xml:space="preserve">27 </w:t>
      </w:r>
      <w:r>
        <w:rPr>
          <w:rFonts w:hint="eastAsia" w:ascii="仿宋" w:hAnsi="仿宋" w:eastAsia="仿宋" w:cs="仿宋"/>
          <w:color w:val="auto"/>
          <w:kern w:val="0"/>
          <w:sz w:val="24"/>
          <w:szCs w:val="24"/>
        </w:rPr>
        <w:t>日</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u w:val="single"/>
          <w:lang w:val="en-US" w:eastAsia="zh-CN"/>
        </w:rPr>
        <w:t>16</w:t>
      </w:r>
      <w:r>
        <w:rPr>
          <w:rFonts w:hint="eastAsia" w:ascii="仿宋" w:hAnsi="仿宋" w:eastAsia="仿宋" w:cs="仿宋"/>
          <w:color w:val="auto"/>
          <w:kern w:val="0"/>
          <w:sz w:val="24"/>
          <w:szCs w:val="24"/>
          <w:u w:val="single"/>
        </w:rPr>
        <w:t xml:space="preserve"> 时 00 分</w:t>
      </w:r>
      <w:r>
        <w:rPr>
          <w:rFonts w:hint="eastAsia" w:ascii="仿宋" w:hAnsi="仿宋" w:eastAsia="仿宋" w:cs="仿宋"/>
          <w:color w:val="auto"/>
          <w:kern w:val="0"/>
          <w:sz w:val="24"/>
          <w:szCs w:val="24"/>
        </w:rPr>
        <w:t>； (节假日除外)（注： 逾期将不予接受报名）</w:t>
      </w:r>
    </w:p>
    <w:p>
      <w:pPr>
        <w:adjustRightInd w:val="0"/>
        <w:snapToGrid w:val="0"/>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4.2招标文件获取方式：报名时现场获取（报名地址：</w:t>
      </w:r>
      <w:r>
        <w:rPr>
          <w:rFonts w:hint="eastAsia" w:ascii="仿宋" w:hAnsi="仿宋" w:eastAsia="仿宋" w:cs="仿宋"/>
          <w:color w:val="auto"/>
          <w:kern w:val="0"/>
          <w:sz w:val="24"/>
          <w:szCs w:val="24"/>
          <w:lang w:val="en-US" w:eastAsia="zh-CN"/>
        </w:rPr>
        <w:t>仪征市真州镇万年大道北路322号和324号</w:t>
      </w:r>
      <w:r>
        <w:rPr>
          <w:rFonts w:hint="eastAsia" w:ascii="仿宋" w:hAnsi="仿宋" w:eastAsia="仿宋" w:cs="仿宋"/>
          <w:color w:val="auto"/>
          <w:kern w:val="0"/>
          <w:sz w:val="24"/>
          <w:szCs w:val="24"/>
        </w:rPr>
        <w:t>）；</w:t>
      </w:r>
    </w:p>
    <w:p>
      <w:pPr>
        <w:adjustRightInd w:val="0"/>
        <w:snapToGrid w:val="0"/>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4.3招标文件每套售价</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u w:val="single"/>
          <w:lang w:val="en-US" w:eastAsia="zh-CN"/>
        </w:rPr>
        <w:t>3</w:t>
      </w:r>
      <w:r>
        <w:rPr>
          <w:rFonts w:hint="eastAsia" w:ascii="仿宋" w:hAnsi="仿宋" w:eastAsia="仿宋" w:cs="仿宋"/>
          <w:color w:val="auto"/>
          <w:kern w:val="0"/>
          <w:sz w:val="24"/>
          <w:szCs w:val="24"/>
          <w:u w:val="single"/>
        </w:rPr>
        <w:t xml:space="preserve">00  </w:t>
      </w:r>
      <w:r>
        <w:rPr>
          <w:rFonts w:hint="eastAsia" w:ascii="仿宋" w:hAnsi="仿宋" w:eastAsia="仿宋" w:cs="仿宋"/>
          <w:color w:val="auto"/>
          <w:kern w:val="0"/>
          <w:sz w:val="24"/>
          <w:szCs w:val="24"/>
        </w:rPr>
        <w:t>元，售后不退。</w:t>
      </w:r>
    </w:p>
    <w:p>
      <w:pPr>
        <w:adjustRightInd w:val="0"/>
        <w:snapToGrid w:val="0"/>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4.4报名要求：报名现场需提供以下资料：（1）授权委托书</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（2）经办人身份证复印件；（3) 社保部门出具的</w:t>
      </w:r>
      <w:r>
        <w:rPr>
          <w:rFonts w:hint="eastAsia" w:ascii="仿宋" w:hAnsi="仿宋" w:eastAsia="仿宋" w:cs="仿宋"/>
          <w:color w:val="auto"/>
          <w:sz w:val="24"/>
          <w:szCs w:val="24"/>
          <w:lang w:eastAsia="zh-CN"/>
        </w:rPr>
        <w:t>近三个月任意一个月</w:t>
      </w:r>
      <w:r>
        <w:rPr>
          <w:rFonts w:hint="eastAsia" w:ascii="仿宋" w:hAnsi="仿宋" w:eastAsia="仿宋" w:cs="仿宋"/>
          <w:color w:val="auto"/>
          <w:sz w:val="24"/>
          <w:szCs w:val="24"/>
        </w:rPr>
        <w:t>投标人为经办人缴纳在职职工养老保险的证明材料材料</w:t>
      </w:r>
      <w:r>
        <w:rPr>
          <w:rFonts w:hint="eastAsia" w:ascii="仿宋" w:hAnsi="仿宋" w:eastAsia="仿宋" w:cs="仿宋"/>
          <w:color w:val="auto"/>
          <w:sz w:val="24"/>
          <w:szCs w:val="24"/>
          <w:lang w:eastAsia="zh-CN"/>
        </w:rPr>
        <w:t>。</w:t>
      </w:r>
    </w:p>
    <w:p>
      <w:pPr>
        <w:pStyle w:val="3"/>
        <w:adjustRightInd w:val="0"/>
        <w:snapToGrid w:val="0"/>
        <w:spacing w:before="0" w:after="0" w:line="360" w:lineRule="auto"/>
        <w:rPr>
          <w:rFonts w:hint="eastAsia" w:ascii="仿宋" w:hAnsi="仿宋" w:eastAsia="仿宋" w:cs="仿宋"/>
          <w:b/>
          <w:bCs/>
          <w:color w:val="auto"/>
          <w:sz w:val="24"/>
          <w:szCs w:val="24"/>
        </w:rPr>
      </w:pPr>
      <w:bookmarkStart w:id="18" w:name="_Toc389065127"/>
      <w:bookmarkStart w:id="19" w:name="_Toc8034"/>
      <w:bookmarkStart w:id="20" w:name="_Toc15603"/>
      <w:bookmarkStart w:id="21" w:name="_Toc498006636"/>
      <w:r>
        <w:rPr>
          <w:rFonts w:hint="eastAsia" w:ascii="仿宋" w:hAnsi="仿宋" w:eastAsia="仿宋" w:cs="仿宋"/>
          <w:b/>
          <w:bCs/>
          <w:color w:val="auto"/>
          <w:sz w:val="24"/>
          <w:szCs w:val="24"/>
          <w:lang w:val="en-US" w:eastAsia="zh-CN"/>
        </w:rPr>
        <w:t>5</w:t>
      </w:r>
      <w:r>
        <w:rPr>
          <w:rFonts w:hint="eastAsia" w:ascii="仿宋" w:hAnsi="仿宋" w:eastAsia="仿宋" w:cs="仿宋"/>
          <w:b/>
          <w:bCs/>
          <w:color w:val="auto"/>
          <w:sz w:val="24"/>
          <w:szCs w:val="24"/>
        </w:rPr>
        <w:t>. 投标</w:t>
      </w:r>
      <w:bookmarkEnd w:id="18"/>
      <w:r>
        <w:rPr>
          <w:rFonts w:hint="eastAsia" w:ascii="仿宋" w:hAnsi="仿宋" w:eastAsia="仿宋" w:cs="仿宋"/>
          <w:b/>
          <w:bCs/>
          <w:color w:val="auto"/>
          <w:sz w:val="24"/>
          <w:szCs w:val="24"/>
          <w:lang w:eastAsia="zh-CN"/>
        </w:rPr>
        <w:t>截止时间</w:t>
      </w:r>
      <w:bookmarkEnd w:id="19"/>
      <w:bookmarkEnd w:id="20"/>
      <w:bookmarkEnd w:id="21"/>
    </w:p>
    <w:p>
      <w:pPr>
        <w:adjustRightInd w:val="0"/>
        <w:snapToGrid w:val="0"/>
        <w:spacing w:line="360" w:lineRule="auto"/>
        <w:ind w:firstLine="480" w:firstLineChars="200"/>
        <w:rPr>
          <w:rFonts w:hint="eastAsia" w:ascii="仿宋" w:hAnsi="仿宋" w:eastAsia="仿宋" w:cs="仿宋"/>
          <w:color w:val="auto"/>
          <w:sz w:val="24"/>
          <w:szCs w:val="24"/>
        </w:rPr>
      </w:pPr>
      <w:bookmarkStart w:id="22" w:name="_Toc389065128"/>
      <w:r>
        <w:rPr>
          <w:rFonts w:hint="eastAsia" w:ascii="仿宋" w:hAnsi="仿宋" w:eastAsia="仿宋" w:cs="仿宋"/>
          <w:color w:val="auto"/>
          <w:sz w:val="24"/>
          <w:szCs w:val="24"/>
        </w:rPr>
        <w:t>5.1 投标截止时间为</w:t>
      </w:r>
      <w:r>
        <w:rPr>
          <w:rFonts w:hint="eastAsia" w:ascii="仿宋" w:hAnsi="仿宋" w:eastAsia="仿宋" w:cs="仿宋"/>
          <w:color w:val="auto"/>
          <w:kern w:val="0"/>
          <w:sz w:val="24"/>
          <w:szCs w:val="24"/>
        </w:rPr>
        <w:t xml:space="preserve"> ：</w:t>
      </w:r>
      <w:r>
        <w:rPr>
          <w:rFonts w:hint="eastAsia" w:ascii="仿宋" w:hAnsi="仿宋" w:eastAsia="仿宋" w:cs="仿宋"/>
          <w:color w:val="auto"/>
          <w:sz w:val="24"/>
          <w:szCs w:val="24"/>
          <w:u w:val="single"/>
        </w:rPr>
        <w:t xml:space="preserve">  202</w:t>
      </w:r>
      <w:r>
        <w:rPr>
          <w:rFonts w:hint="eastAsia" w:ascii="仿宋" w:hAnsi="仿宋" w:eastAsia="仿宋" w:cs="仿宋"/>
          <w:color w:val="auto"/>
          <w:sz w:val="24"/>
          <w:szCs w:val="24"/>
          <w:u w:val="single"/>
          <w:lang w:val="en-US" w:eastAsia="zh-CN"/>
        </w:rPr>
        <w:t>4</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3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4 </w:t>
      </w:r>
      <w:r>
        <w:rPr>
          <w:rFonts w:hint="eastAsia" w:ascii="仿宋" w:hAnsi="仿宋" w:eastAsia="仿宋" w:cs="仿宋"/>
          <w:color w:val="auto"/>
          <w:sz w:val="24"/>
          <w:szCs w:val="24"/>
        </w:rPr>
        <w:t>日</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9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时</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3</w:t>
      </w:r>
      <w:r>
        <w:rPr>
          <w:rFonts w:hint="eastAsia" w:ascii="仿宋" w:hAnsi="仿宋" w:eastAsia="仿宋" w:cs="仿宋"/>
          <w:color w:val="auto"/>
          <w:sz w:val="24"/>
          <w:szCs w:val="24"/>
          <w:u w:val="single"/>
        </w:rPr>
        <w:t xml:space="preserve">0  </w:t>
      </w:r>
      <w:r>
        <w:rPr>
          <w:rFonts w:hint="eastAsia" w:ascii="仿宋" w:hAnsi="仿宋" w:eastAsia="仿宋" w:cs="仿宋"/>
          <w:color w:val="auto"/>
          <w:sz w:val="24"/>
          <w:szCs w:val="24"/>
        </w:rPr>
        <w:t>分。</w:t>
      </w:r>
    </w:p>
    <w:p>
      <w:pPr>
        <w:topLinePunct/>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5.2逾期送达的投标文件，招标人不予受理。</w:t>
      </w:r>
    </w:p>
    <w:p>
      <w:pPr>
        <w:pStyle w:val="3"/>
        <w:adjustRightInd w:val="0"/>
        <w:snapToGrid w:val="0"/>
        <w:spacing w:before="0" w:after="0" w:line="360" w:lineRule="auto"/>
        <w:rPr>
          <w:rFonts w:hint="eastAsia" w:ascii="仿宋" w:hAnsi="仿宋" w:eastAsia="仿宋" w:cs="仿宋"/>
          <w:b/>
          <w:bCs/>
          <w:color w:val="auto"/>
          <w:sz w:val="24"/>
          <w:szCs w:val="24"/>
          <w:lang w:val="en-US" w:eastAsia="zh-CN"/>
        </w:rPr>
      </w:pPr>
      <w:bookmarkStart w:id="23" w:name="_Toc27237"/>
      <w:bookmarkStart w:id="24" w:name="_Toc18335"/>
      <w:bookmarkStart w:id="25" w:name="_Toc498006637"/>
      <w:r>
        <w:rPr>
          <w:rFonts w:hint="eastAsia" w:ascii="仿宋" w:hAnsi="仿宋" w:eastAsia="仿宋" w:cs="仿宋"/>
          <w:b/>
          <w:bCs/>
          <w:color w:val="auto"/>
          <w:sz w:val="24"/>
          <w:szCs w:val="24"/>
          <w:lang w:val="en-US" w:eastAsia="zh-CN"/>
        </w:rPr>
        <w:t>6. 资格审查</w:t>
      </w:r>
      <w:bookmarkEnd w:id="23"/>
      <w:bookmarkEnd w:id="24"/>
      <w:bookmarkEnd w:id="25"/>
    </w:p>
    <w:p>
      <w:pPr>
        <w:topLinePunct/>
        <w:adjustRightInd w:val="0"/>
        <w:snapToGrid w:val="0"/>
        <w:spacing w:line="360" w:lineRule="auto"/>
        <w:ind w:firstLine="484" w:firstLineChars="202"/>
        <w:rPr>
          <w:rFonts w:hint="eastAsia" w:ascii="仿宋" w:hAnsi="仿宋" w:eastAsia="仿宋" w:cs="仿宋"/>
          <w:color w:val="auto"/>
          <w:sz w:val="24"/>
          <w:szCs w:val="24"/>
        </w:rPr>
      </w:pPr>
      <w:r>
        <w:rPr>
          <w:rFonts w:hint="eastAsia" w:ascii="仿宋" w:hAnsi="仿宋" w:eastAsia="仿宋" w:cs="仿宋"/>
          <w:color w:val="auto"/>
          <w:sz w:val="24"/>
          <w:szCs w:val="24"/>
        </w:rPr>
        <w:t xml:space="preserve">资格评审标准详见招标文件第三章。   </w:t>
      </w:r>
    </w:p>
    <w:p>
      <w:pPr>
        <w:pStyle w:val="3"/>
        <w:adjustRightInd w:val="0"/>
        <w:snapToGrid w:val="0"/>
        <w:spacing w:before="0" w:after="0" w:line="360" w:lineRule="auto"/>
        <w:rPr>
          <w:rFonts w:hint="eastAsia" w:ascii="仿宋" w:hAnsi="仿宋" w:eastAsia="仿宋" w:cs="仿宋"/>
          <w:b/>
          <w:bCs/>
          <w:color w:val="auto"/>
          <w:sz w:val="24"/>
          <w:szCs w:val="24"/>
          <w:lang w:val="en-US" w:eastAsia="zh-CN"/>
        </w:rPr>
      </w:pPr>
      <w:bookmarkStart w:id="26" w:name="_Toc23553"/>
      <w:bookmarkStart w:id="27" w:name="_Toc1549"/>
      <w:bookmarkStart w:id="28" w:name="_Toc498006638"/>
      <w:r>
        <w:rPr>
          <w:rFonts w:hint="eastAsia" w:ascii="仿宋" w:hAnsi="仿宋" w:eastAsia="仿宋" w:cs="仿宋"/>
          <w:b/>
          <w:bCs/>
          <w:color w:val="auto"/>
          <w:sz w:val="24"/>
          <w:szCs w:val="24"/>
          <w:lang w:val="en-US" w:eastAsia="zh-CN"/>
        </w:rPr>
        <w:t>7. 评标</w:t>
      </w:r>
      <w:bookmarkEnd w:id="22"/>
      <w:r>
        <w:rPr>
          <w:rFonts w:hint="eastAsia" w:ascii="仿宋" w:hAnsi="仿宋" w:eastAsia="仿宋" w:cs="仿宋"/>
          <w:b/>
          <w:bCs/>
          <w:color w:val="auto"/>
          <w:sz w:val="24"/>
          <w:szCs w:val="24"/>
          <w:lang w:val="en-US" w:eastAsia="zh-CN"/>
        </w:rPr>
        <w:t>方法</w:t>
      </w:r>
      <w:bookmarkEnd w:id="26"/>
      <w:bookmarkEnd w:id="27"/>
      <w:bookmarkEnd w:id="28"/>
    </w:p>
    <w:p>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本次招标采用</w:t>
      </w:r>
      <w:r>
        <w:rPr>
          <w:rFonts w:hint="eastAsia" w:ascii="仿宋" w:hAnsi="仿宋" w:eastAsia="仿宋" w:cs="仿宋"/>
          <w:color w:val="auto"/>
          <w:sz w:val="24"/>
          <w:szCs w:val="24"/>
          <w:u w:val="single"/>
        </w:rPr>
        <w:t xml:space="preserve">  </w:t>
      </w:r>
      <w:r>
        <w:rPr>
          <w:rFonts w:hint="eastAsia" w:ascii="仿宋" w:hAnsi="仿宋" w:eastAsia="仿宋" w:cs="仿宋"/>
          <w:b/>
          <w:bCs/>
          <w:color w:val="auto"/>
          <w:sz w:val="24"/>
          <w:szCs w:val="24"/>
          <w:u w:val="single"/>
        </w:rPr>
        <w:t>合理低价法</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评标标准和方法详见招标文件第三章。</w:t>
      </w:r>
    </w:p>
    <w:p>
      <w:pPr>
        <w:pStyle w:val="3"/>
        <w:numPr>
          <w:ilvl w:val="0"/>
          <w:numId w:val="1"/>
        </w:numPr>
        <w:adjustRightInd w:val="0"/>
        <w:snapToGrid w:val="0"/>
        <w:spacing w:before="0" w:after="0" w:line="360" w:lineRule="auto"/>
        <w:rPr>
          <w:rFonts w:hint="eastAsia" w:ascii="仿宋" w:hAnsi="仿宋" w:eastAsia="仿宋" w:cs="仿宋"/>
          <w:b/>
          <w:bCs/>
          <w:color w:val="auto"/>
          <w:sz w:val="24"/>
          <w:szCs w:val="24"/>
          <w:lang w:val="en-US" w:eastAsia="zh-CN"/>
        </w:rPr>
      </w:pPr>
      <w:bookmarkStart w:id="29" w:name="_Toc18826"/>
      <w:bookmarkStart w:id="30" w:name="_Toc19774"/>
      <w:bookmarkStart w:id="31" w:name="_Toc498006639"/>
      <w:r>
        <w:rPr>
          <w:rFonts w:hint="eastAsia" w:ascii="仿宋" w:hAnsi="仿宋" w:eastAsia="仿宋" w:cs="仿宋"/>
          <w:b/>
          <w:bCs/>
          <w:color w:val="auto"/>
          <w:sz w:val="24"/>
          <w:szCs w:val="24"/>
          <w:lang w:val="en-US" w:eastAsia="zh-CN"/>
        </w:rPr>
        <w:t>发布公告的媒介</w:t>
      </w:r>
      <w:bookmarkEnd w:id="29"/>
      <w:bookmarkEnd w:id="30"/>
      <w:bookmarkEnd w:id="31"/>
    </w:p>
    <w:p>
      <w:pPr>
        <w:adjustRightInd w:val="0"/>
        <w:snapToGrid w:val="0"/>
        <w:spacing w:line="360" w:lineRule="auto"/>
        <w:ind w:firstLine="480" w:firstLineChars="2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本次招标公告在招投标网平台（http://www.infobidding.com/）及</w:t>
      </w:r>
      <w:r>
        <w:rPr>
          <w:rFonts w:hint="eastAsia" w:ascii="仿宋" w:hAnsi="仿宋" w:eastAsia="仿宋" w:cs="仿宋"/>
          <w:sz w:val="24"/>
          <w:szCs w:val="24"/>
          <w:u w:val="none"/>
          <w:lang w:val="en-US" w:eastAsia="zh-CN"/>
        </w:rPr>
        <w:t>中国政府采购网（https://www.ccgp.gov.cn/）</w:t>
      </w:r>
      <w:r>
        <w:rPr>
          <w:rFonts w:hint="eastAsia" w:ascii="仿宋" w:hAnsi="仿宋" w:eastAsia="仿宋" w:cs="仿宋"/>
          <w:color w:val="auto"/>
          <w:sz w:val="24"/>
          <w:szCs w:val="24"/>
          <w:u w:val="none"/>
          <w:lang w:val="en-US" w:eastAsia="zh-CN"/>
        </w:rPr>
        <w:t>上发布。</w:t>
      </w:r>
    </w:p>
    <w:p>
      <w:pPr>
        <w:pStyle w:val="3"/>
        <w:adjustRightInd w:val="0"/>
        <w:snapToGrid w:val="0"/>
        <w:spacing w:before="0" w:after="0" w:line="360" w:lineRule="auto"/>
        <w:rPr>
          <w:rFonts w:hint="eastAsia" w:ascii="仿宋" w:hAnsi="仿宋" w:eastAsia="仿宋" w:cs="仿宋"/>
          <w:b/>
          <w:bCs/>
          <w:color w:val="auto"/>
          <w:sz w:val="24"/>
          <w:szCs w:val="24"/>
          <w:lang w:val="en-US" w:eastAsia="zh-CN"/>
        </w:rPr>
      </w:pPr>
      <w:bookmarkStart w:id="32" w:name="_Toc32718"/>
      <w:bookmarkStart w:id="33" w:name="_Toc389065130"/>
      <w:bookmarkStart w:id="34" w:name="_Toc11597"/>
      <w:bookmarkStart w:id="35" w:name="_Toc498006640"/>
      <w:bookmarkStart w:id="36" w:name="_Toc29792"/>
      <w:r>
        <w:rPr>
          <w:rFonts w:hint="eastAsia" w:ascii="仿宋" w:hAnsi="仿宋" w:eastAsia="仿宋" w:cs="仿宋"/>
          <w:b/>
          <w:bCs/>
          <w:color w:val="auto"/>
          <w:sz w:val="24"/>
          <w:szCs w:val="24"/>
          <w:lang w:val="en-US" w:eastAsia="zh-CN"/>
        </w:rPr>
        <w:t>9.</w:t>
      </w:r>
      <w:bookmarkEnd w:id="32"/>
      <w:bookmarkEnd w:id="33"/>
      <w:r>
        <w:rPr>
          <w:rFonts w:hint="eastAsia" w:ascii="仿宋" w:hAnsi="仿宋" w:eastAsia="仿宋" w:cs="仿宋"/>
          <w:b/>
          <w:bCs/>
          <w:color w:val="auto"/>
          <w:sz w:val="24"/>
          <w:szCs w:val="24"/>
          <w:lang w:val="en-US" w:eastAsia="zh-CN"/>
        </w:rPr>
        <w:t xml:space="preserve"> 联系方式</w:t>
      </w:r>
      <w:bookmarkEnd w:id="34"/>
      <w:bookmarkEnd w:id="35"/>
      <w:bookmarkEnd w:id="36"/>
    </w:p>
    <w:p>
      <w:pPr>
        <w:adjustRightInd w:val="0"/>
        <w:snapToGrid w:val="0"/>
        <w:spacing w:line="360" w:lineRule="auto"/>
        <w:ind w:left="5040" w:leftChars="240" w:hanging="4560" w:hangingChars="1900"/>
        <w:rPr>
          <w:rFonts w:hint="eastAsia" w:ascii="仿宋" w:hAnsi="仿宋" w:eastAsia="仿宋" w:cs="仿宋"/>
          <w:color w:val="auto"/>
          <w:sz w:val="24"/>
          <w:szCs w:val="24"/>
          <w:u w:val="single"/>
          <w:lang w:val="en-US" w:eastAsia="zh-CN"/>
        </w:rPr>
      </w:pPr>
      <w:r>
        <w:rPr>
          <w:rFonts w:hint="eastAsia" w:ascii="仿宋" w:hAnsi="仿宋" w:eastAsia="仿宋" w:cs="仿宋"/>
          <w:color w:val="auto"/>
          <w:sz w:val="24"/>
          <w:szCs w:val="24"/>
        </w:rPr>
        <w:t>招 标 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仪征市大仪镇人民政府</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招标代理机构：</w:t>
      </w:r>
      <w:r>
        <w:rPr>
          <w:rFonts w:hint="eastAsia" w:ascii="仿宋" w:hAnsi="仿宋" w:eastAsia="仿宋" w:cs="仿宋"/>
          <w:color w:val="auto"/>
          <w:sz w:val="24"/>
          <w:szCs w:val="24"/>
          <w:u w:val="single"/>
          <w:lang w:val="en-US" w:eastAsia="zh-CN"/>
        </w:rPr>
        <w:t xml:space="preserve">江苏中瑞建设项目管理有限公司                       </w:t>
      </w:r>
    </w:p>
    <w:p>
      <w:pPr>
        <w:adjustRightInd w:val="0"/>
        <w:snapToGrid w:val="0"/>
        <w:spacing w:line="360" w:lineRule="auto"/>
        <w:ind w:left="6160" w:leftChars="200" w:hanging="5760" w:hangingChars="2400"/>
        <w:rPr>
          <w:rFonts w:hint="eastAsia" w:ascii="仿宋" w:hAnsi="仿宋" w:eastAsia="仿宋" w:cs="仿宋"/>
          <w:color w:val="auto"/>
          <w:sz w:val="24"/>
          <w:szCs w:val="24"/>
          <w:u w:val="single"/>
          <w:lang w:val="en-US" w:eastAsia="zh-CN"/>
        </w:rPr>
      </w:pPr>
      <w:r>
        <w:rPr>
          <w:rFonts w:hint="eastAsia" w:ascii="仿宋" w:hAnsi="仿宋" w:eastAsia="仿宋" w:cs="仿宋"/>
          <w:color w:val="auto"/>
          <w:sz w:val="24"/>
          <w:szCs w:val="24"/>
        </w:rPr>
        <w:t>地    址：</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仪征市大仪镇</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地    址：</w:t>
      </w:r>
      <w:r>
        <w:rPr>
          <w:rFonts w:hint="eastAsia" w:ascii="仿宋" w:hAnsi="仿宋" w:eastAsia="仿宋" w:cs="仿宋"/>
          <w:color w:val="auto"/>
          <w:sz w:val="24"/>
          <w:szCs w:val="24"/>
          <w:u w:val="single"/>
          <w:lang w:val="en-US" w:eastAsia="zh-CN"/>
        </w:rPr>
        <w:t>仪征市真州镇万年大道北路322号和324号</w:t>
      </w:r>
      <w:r>
        <w:rPr>
          <w:rFonts w:hint="eastAsia" w:ascii="仿宋" w:hAnsi="仿宋" w:eastAsia="仿宋" w:cs="仿宋"/>
          <w:color w:val="auto"/>
          <w:sz w:val="24"/>
          <w:szCs w:val="24"/>
          <w:u w:val="single"/>
        </w:rPr>
        <w:t xml:space="preserve">                       </w:t>
      </w:r>
    </w:p>
    <w:p>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邮    编：</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邮    编：</w:t>
      </w:r>
      <w:r>
        <w:rPr>
          <w:rFonts w:hint="eastAsia" w:ascii="仿宋" w:hAnsi="仿宋" w:eastAsia="仿宋" w:cs="仿宋"/>
          <w:color w:val="auto"/>
          <w:sz w:val="24"/>
          <w:szCs w:val="24"/>
          <w:u w:val="single"/>
        </w:rPr>
        <w:t xml:space="preserve">                            </w:t>
      </w:r>
    </w:p>
    <w:p>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联 系 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李主任</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联 系 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张</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lang w:eastAsia="zh-CN"/>
        </w:rPr>
        <w:t>工</w:t>
      </w:r>
      <w:r>
        <w:rPr>
          <w:rFonts w:hint="eastAsia" w:ascii="仿宋" w:hAnsi="仿宋" w:eastAsia="仿宋" w:cs="仿宋"/>
          <w:color w:val="auto"/>
          <w:sz w:val="24"/>
          <w:szCs w:val="24"/>
          <w:u w:val="single"/>
        </w:rPr>
        <w:t xml:space="preserve">                  </w:t>
      </w:r>
    </w:p>
    <w:p>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电    话：</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0514-83862242</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电    话：</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15861336236</w:t>
      </w:r>
      <w:r>
        <w:rPr>
          <w:rFonts w:hint="eastAsia" w:ascii="仿宋" w:hAnsi="仿宋" w:eastAsia="仿宋" w:cs="仿宋"/>
          <w:color w:val="auto"/>
          <w:sz w:val="24"/>
          <w:szCs w:val="24"/>
          <w:u w:val="single"/>
        </w:rPr>
        <w:t xml:space="preserve">                  </w:t>
      </w:r>
    </w:p>
    <w:p>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传    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传    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u w:val="single"/>
        </w:rPr>
        <w:t xml:space="preserve">                           </w:t>
      </w:r>
    </w:p>
    <w:p>
      <w:pPr>
        <w:adjustRightInd w:val="0"/>
        <w:snapToGrid w:val="0"/>
        <w:spacing w:line="360" w:lineRule="auto"/>
        <w:ind w:right="420"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电子邮箱：</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电子邮箱：</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p>
    <w:p>
      <w:pPr>
        <w:adjustRightInd w:val="0"/>
        <w:snapToGrid w:val="0"/>
        <w:spacing w:line="360" w:lineRule="auto"/>
        <w:ind w:right="420" w:firstLine="480" w:firstLineChars="200"/>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u w:val="none"/>
        </w:rPr>
        <w:t xml:space="preserve"> </w:t>
      </w:r>
    </w:p>
    <w:p>
      <w:pPr>
        <w:adjustRightInd w:val="0"/>
        <w:snapToGrid w:val="0"/>
        <w:spacing w:line="360" w:lineRule="auto"/>
        <w:jc w:val="right"/>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202</w:t>
      </w:r>
      <w:r>
        <w:rPr>
          <w:rFonts w:hint="eastAsia" w:ascii="仿宋" w:hAnsi="仿宋" w:eastAsia="仿宋" w:cs="仿宋"/>
          <w:color w:val="auto"/>
          <w:sz w:val="24"/>
          <w:szCs w:val="24"/>
          <w:u w:val="single"/>
          <w:lang w:val="en-US" w:eastAsia="zh-CN"/>
        </w:rPr>
        <w:t>4</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2</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20</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pPr>
        <w:adjustRightInd w:val="0"/>
        <w:snapToGrid w:val="0"/>
        <w:spacing w:line="360" w:lineRule="auto"/>
        <w:jc w:val="right"/>
        <w:rPr>
          <w:rFonts w:hint="eastAsia" w:ascii="仿宋" w:hAnsi="仿宋" w:eastAsia="仿宋" w:cs="仿宋"/>
          <w:color w:val="auto"/>
          <w:szCs w:val="21"/>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8824EA8"/>
    <w:multiLevelType w:val="singleLevel"/>
    <w:tmpl w:val="48824EA8"/>
    <w:lvl w:ilvl="0" w:tentative="0">
      <w:start w:val="8"/>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kyMmU5NzNhMGY3NTUwMDY4OGU3NzVhZDFhOTQwMTgifQ=="/>
    <w:docVar w:name="KSO_WPS_MARK_KEY" w:val="4d51dc17-e059-43db-bb71-f0e835aecc26"/>
  </w:docVars>
  <w:rsids>
    <w:rsidRoot w:val="551C25DF"/>
    <w:rsid w:val="058F6A5F"/>
    <w:rsid w:val="148E1700"/>
    <w:rsid w:val="1C18466A"/>
    <w:rsid w:val="2BD7609A"/>
    <w:rsid w:val="35CF0E37"/>
    <w:rsid w:val="49C65B36"/>
    <w:rsid w:val="4EE22BF1"/>
    <w:rsid w:val="551C25DF"/>
    <w:rsid w:val="7E5C3A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lang w:val="en-US" w:eastAsia="zh-CN" w:bidi="ar-SA"/>
    </w:rPr>
  </w:style>
  <w:style w:type="paragraph" w:styleId="2">
    <w:name w:val="heading 1"/>
    <w:basedOn w:val="1"/>
    <w:next w:val="1"/>
    <w:qFormat/>
    <w:uiPriority w:val="0"/>
    <w:pPr>
      <w:keepNext/>
      <w:keepLines/>
      <w:widowControl w:val="0"/>
      <w:spacing w:before="340" w:after="330" w:line="576" w:lineRule="auto"/>
      <w:jc w:val="both"/>
      <w:outlineLvl w:val="0"/>
    </w:pPr>
    <w:rPr>
      <w:b/>
      <w:bCs/>
      <w:kern w:val="44"/>
      <w:sz w:val="44"/>
      <w:szCs w:val="44"/>
    </w:rPr>
  </w:style>
  <w:style w:type="paragraph" w:styleId="3">
    <w:name w:val="heading 2"/>
    <w:basedOn w:val="1"/>
    <w:next w:val="1"/>
    <w:qFormat/>
    <w:uiPriority w:val="0"/>
    <w:pPr>
      <w:keepNext/>
      <w:keepLines/>
      <w:widowControl w:val="0"/>
      <w:spacing w:before="260" w:after="260" w:line="413" w:lineRule="auto"/>
      <w:jc w:val="both"/>
      <w:outlineLvl w:val="1"/>
    </w:pPr>
    <w:rPr>
      <w:rFonts w:ascii="Cambria" w:hAnsi="Cambria"/>
      <w:b/>
      <w:bCs/>
      <w:kern w:val="2"/>
      <w:sz w:val="32"/>
      <w:szCs w:val="32"/>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2024-02-20T07:44:00Z</dcterms:created>
  <dc:creator>李雪梅</dc:creator>
  <cp:lastModifiedBy>李雪梅</cp:lastModifiedBy>
  <dcterms:modified xsi:type="dcterms:W3CDTF">2024-02-20T07:45:00Z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8549690018044F42AFB8A878D3CA450B_11</vt:lpwstr>
  </property>
</Properties>
</file>