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spacing w:before="936" w:beforeLines="300"/>
        <w:jc w:val="center"/>
        <w:rPr>
          <w:rFonts w:hint="eastAsia" w:ascii="黑体" w:eastAsia="黑体"/>
          <w:b/>
          <w:color w:val="auto"/>
          <w:kern w:val="44"/>
          <w:sz w:val="48"/>
          <w:szCs w:val="20"/>
          <w:highlight w:val="none"/>
        </w:rPr>
      </w:pPr>
      <w:r>
        <w:rPr>
          <w:rFonts w:hint="eastAsia" w:ascii="黑体" w:eastAsia="黑体"/>
          <w:b/>
          <w:color w:val="auto"/>
          <w:kern w:val="44"/>
          <w:sz w:val="48"/>
          <w:szCs w:val="20"/>
          <w:highlight w:val="none"/>
        </w:rPr>
        <w:t>第八部分  采购需求</w:t>
      </w:r>
      <w:r>
        <w:rPr>
          <w:rFonts w:ascii="黑体" w:eastAsia="黑体"/>
          <w:b/>
          <w:color w:val="auto"/>
          <w:kern w:val="44"/>
          <w:sz w:val="48"/>
          <w:szCs w:val="20"/>
          <w:highlight w:val="none"/>
        </w:rPr>
        <w:br w:type="page"/>
      </w:r>
    </w:p>
    <w:p>
      <w:pPr>
        <w:numPr>
          <w:ilvl w:val="2"/>
          <w:numId w:val="1"/>
        </w:num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  <w:r>
        <w:rPr>
          <w:rFonts w:hint="eastAsia" w:ascii="宋体" w:hAnsi="宋体"/>
          <w:b/>
          <w:color w:val="auto"/>
          <w:sz w:val="30"/>
          <w:szCs w:val="30"/>
          <w:highlight w:val="none"/>
        </w:rPr>
        <w:t>货物需求一览表</w:t>
      </w: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tbl>
      <w:tblPr>
        <w:tblStyle w:val="3"/>
        <w:tblW w:w="964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2"/>
        <w:gridCol w:w="2640"/>
        <w:gridCol w:w="635"/>
        <w:gridCol w:w="1320"/>
        <w:gridCol w:w="1765"/>
        <w:gridCol w:w="252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62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包号</w:t>
            </w:r>
          </w:p>
        </w:tc>
        <w:tc>
          <w:tcPr>
            <w:tcW w:w="2640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货物名称</w:t>
            </w:r>
          </w:p>
        </w:tc>
        <w:tc>
          <w:tcPr>
            <w:tcW w:w="635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交货期</w:t>
            </w:r>
          </w:p>
        </w:tc>
        <w:tc>
          <w:tcPr>
            <w:tcW w:w="1765" w:type="dxa"/>
            <w:noWrap w:val="0"/>
            <w:vAlign w:val="center"/>
          </w:tcPr>
          <w:p>
            <w:pPr>
              <w:jc w:val="center"/>
              <w:rPr>
                <w:rFonts w:hint="eastAsia"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指定到货港</w:t>
            </w:r>
          </w:p>
        </w:tc>
        <w:tc>
          <w:tcPr>
            <w:tcW w:w="2520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  <w:shd w:val="pct10" w:color="auto" w:fill="FFFFFF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项目现场（交货地点）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62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color w:val="auto"/>
                <w:sz w:val="24"/>
                <w:highlight w:val="none"/>
              </w:rPr>
            </w:pPr>
            <w:r>
              <w:rPr>
                <w:rFonts w:hint="eastAsia" w:ascii="宋体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2640" w:type="dxa"/>
            <w:noWrap w:val="0"/>
            <w:vAlign w:val="center"/>
          </w:tcPr>
          <w:p>
            <w:pPr>
              <w:jc w:val="center"/>
              <w:rPr>
                <w:rFonts w:hint="eastAsia" w:ascii="Bookman Old Style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Bookman Old Style" w:hAnsi="Bookman Old Style"/>
                <w:color w:val="auto"/>
                <w:sz w:val="24"/>
                <w:highlight w:val="none"/>
              </w:rPr>
              <w:t>核磁共振波谱仪</w:t>
            </w:r>
          </w:p>
        </w:tc>
        <w:tc>
          <w:tcPr>
            <w:tcW w:w="635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1套</w:t>
            </w:r>
          </w:p>
        </w:tc>
        <w:tc>
          <w:tcPr>
            <w:tcW w:w="560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详见具体技术规格</w:t>
            </w:r>
          </w:p>
        </w:tc>
      </w:tr>
    </w:tbl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p>
      <w:pPr>
        <w:rPr>
          <w:rFonts w:hint="eastAsia" w:ascii="Bookman Old Style" w:hAnsi="Bookman Old Style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注：投标人须对上述投标内容中完整的一包或几包进行投标，</w:t>
      </w:r>
      <w:r>
        <w:rPr>
          <w:rFonts w:hint="eastAsia" w:ascii="Bookman Old Style" w:hAnsi="Bookman Old Style"/>
          <w:color w:val="auto"/>
          <w:sz w:val="24"/>
          <w:highlight w:val="none"/>
        </w:rPr>
        <w:t>不完整的投标将视为非响应性投标予以拒绝。</w:t>
      </w: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b/>
          <w:color w:val="auto"/>
          <w:sz w:val="30"/>
          <w:szCs w:val="30"/>
          <w:highlight w:val="none"/>
        </w:rPr>
      </w:pPr>
      <w:r>
        <w:rPr>
          <w:rFonts w:ascii="宋体" w:hAnsi="宋体"/>
          <w:b/>
          <w:color w:val="auto"/>
          <w:sz w:val="30"/>
          <w:szCs w:val="30"/>
          <w:highlight w:val="none"/>
        </w:rPr>
        <w:br w:type="page"/>
      </w:r>
    </w:p>
    <w:p>
      <w:pPr>
        <w:numPr>
          <w:ilvl w:val="2"/>
          <w:numId w:val="1"/>
        </w:numPr>
        <w:tabs>
          <w:tab w:val="left" w:pos="720"/>
          <w:tab w:val="clear" w:pos="1560"/>
        </w:tabs>
        <w:adjustRightInd w:val="0"/>
        <w:snapToGrid w:val="0"/>
        <w:ind w:hanging="1560"/>
        <w:jc w:val="center"/>
        <w:rPr>
          <w:rFonts w:ascii="宋体" w:hAnsi="宋体"/>
          <w:b/>
          <w:color w:val="auto"/>
          <w:sz w:val="30"/>
          <w:szCs w:val="30"/>
          <w:highlight w:val="none"/>
        </w:rPr>
      </w:pPr>
      <w:r>
        <w:rPr>
          <w:rFonts w:hint="eastAsia" w:ascii="宋体" w:hAnsi="宋体"/>
          <w:b/>
          <w:color w:val="auto"/>
          <w:sz w:val="30"/>
          <w:szCs w:val="30"/>
          <w:highlight w:val="none"/>
        </w:rPr>
        <w:t>总则</w:t>
      </w:r>
    </w:p>
    <w:p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1、工作条件</w:t>
      </w:r>
    </w:p>
    <w:p>
      <w:pPr>
        <w:spacing w:after="312" w:afterLines="100" w:line="36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除非在技术规格中另有说明，所有仪器、设备和系统都应符合下列要求：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1.1  适于在气温为摄氏</w:t>
      </w:r>
      <w:r>
        <w:rPr>
          <w:rFonts w:ascii="宋体" w:hAnsi="宋体"/>
          <w:b/>
          <w:color w:val="auto"/>
          <w:sz w:val="24"/>
          <w:highlight w:val="none"/>
        </w:rPr>
        <w:t>-40</w:t>
      </w:r>
      <w:r>
        <w:rPr>
          <w:rFonts w:hint="eastAsia" w:ascii="宋体" w:hAnsi="宋体"/>
          <w:b/>
          <w:color w:val="auto"/>
          <w:sz w:val="24"/>
          <w:highlight w:val="none"/>
        </w:rPr>
        <w:t>℃～＋</w:t>
      </w:r>
      <w:r>
        <w:rPr>
          <w:rFonts w:ascii="宋体" w:hAnsi="宋体"/>
          <w:b/>
          <w:color w:val="auto"/>
          <w:sz w:val="24"/>
          <w:highlight w:val="none"/>
        </w:rPr>
        <w:t>50</w:t>
      </w:r>
      <w:r>
        <w:rPr>
          <w:rFonts w:hint="eastAsia" w:ascii="宋体" w:hAnsi="宋体"/>
          <w:b/>
          <w:color w:val="auto"/>
          <w:sz w:val="24"/>
          <w:highlight w:val="none"/>
        </w:rPr>
        <w:t>℃</w:t>
      </w:r>
      <w:r>
        <w:rPr>
          <w:rFonts w:hint="eastAsia" w:ascii="宋体" w:hAnsi="宋体"/>
          <w:color w:val="auto"/>
          <w:sz w:val="24"/>
          <w:highlight w:val="none"/>
        </w:rPr>
        <w:t>和相对湿度为</w:t>
      </w:r>
      <w:r>
        <w:rPr>
          <w:rFonts w:ascii="宋体" w:hAnsi="宋体"/>
          <w:b/>
          <w:color w:val="auto"/>
          <w:sz w:val="24"/>
          <w:highlight w:val="none"/>
        </w:rPr>
        <w:t>90</w:t>
      </w:r>
      <w:r>
        <w:rPr>
          <w:rFonts w:hint="eastAsia" w:ascii="宋体" w:hAnsi="宋体"/>
          <w:b/>
          <w:color w:val="auto"/>
          <w:sz w:val="24"/>
          <w:highlight w:val="none"/>
        </w:rPr>
        <w:t>％</w:t>
      </w:r>
      <w:r>
        <w:rPr>
          <w:rFonts w:hint="eastAsia" w:ascii="宋体" w:hAnsi="宋体"/>
          <w:color w:val="auto"/>
          <w:sz w:val="24"/>
          <w:highlight w:val="none"/>
        </w:rPr>
        <w:t>的环境条件下运输和贮存。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1.2  适于在电源</w:t>
      </w:r>
      <w:r>
        <w:rPr>
          <w:rFonts w:ascii="宋体" w:hAnsi="宋体"/>
          <w:b/>
          <w:color w:val="auto"/>
          <w:sz w:val="24"/>
          <w:highlight w:val="none"/>
        </w:rPr>
        <w:t>220V</w:t>
      </w:r>
      <w:r>
        <w:rPr>
          <w:rFonts w:hint="eastAsia" w:ascii="宋体" w:hAnsi="宋体"/>
          <w:b/>
          <w:color w:val="auto"/>
          <w:sz w:val="24"/>
          <w:highlight w:val="none"/>
        </w:rPr>
        <w:t>（</w:t>
      </w:r>
      <w:r>
        <w:rPr>
          <w:rFonts w:ascii="宋体" w:hAnsi="宋体"/>
          <w:b/>
          <w:color w:val="auto"/>
          <w:sz w:val="24"/>
          <w:highlight w:val="none"/>
        </w:rPr>
        <w:sym w:font="Symbol" w:char="F0B1"/>
      </w:r>
      <w:r>
        <w:rPr>
          <w:rFonts w:ascii="宋体" w:hAnsi="宋体"/>
          <w:b/>
          <w:color w:val="auto"/>
          <w:sz w:val="24"/>
          <w:highlight w:val="none"/>
        </w:rPr>
        <w:t>10</w:t>
      </w:r>
      <w:r>
        <w:rPr>
          <w:rFonts w:hint="eastAsia" w:ascii="宋体" w:hAnsi="宋体"/>
          <w:b/>
          <w:color w:val="auto"/>
          <w:sz w:val="24"/>
          <w:highlight w:val="none"/>
        </w:rPr>
        <w:t>％）</w:t>
      </w:r>
      <w:r>
        <w:rPr>
          <w:rFonts w:ascii="宋体" w:hAnsi="宋体"/>
          <w:b/>
          <w:color w:val="auto"/>
          <w:sz w:val="24"/>
          <w:highlight w:val="none"/>
        </w:rPr>
        <w:t>/50Hz</w:t>
      </w:r>
      <w:r>
        <w:rPr>
          <w:rFonts w:hint="eastAsia" w:ascii="宋体" w:hAnsi="宋体"/>
          <w:color w:val="auto"/>
          <w:sz w:val="24"/>
          <w:highlight w:val="none"/>
        </w:rPr>
        <w:t>、气温摄氏</w:t>
      </w:r>
      <w:r>
        <w:rPr>
          <w:rFonts w:hint="eastAsia" w:ascii="宋体" w:hAnsi="宋体"/>
          <w:b/>
          <w:color w:val="auto"/>
          <w:sz w:val="24"/>
          <w:highlight w:val="none"/>
        </w:rPr>
        <w:t>+1</w:t>
      </w:r>
      <w:r>
        <w:rPr>
          <w:rFonts w:ascii="宋体" w:hAnsi="宋体"/>
          <w:b/>
          <w:color w:val="auto"/>
          <w:sz w:val="24"/>
          <w:highlight w:val="none"/>
        </w:rPr>
        <w:t>5</w:t>
      </w:r>
      <w:r>
        <w:rPr>
          <w:rFonts w:hint="eastAsia" w:ascii="宋体" w:hAnsi="宋体"/>
          <w:b/>
          <w:color w:val="auto"/>
          <w:sz w:val="24"/>
          <w:highlight w:val="none"/>
        </w:rPr>
        <w:t>℃～＋3</w:t>
      </w:r>
      <w:r>
        <w:rPr>
          <w:rFonts w:ascii="宋体" w:hAnsi="宋体"/>
          <w:b/>
          <w:color w:val="auto"/>
          <w:sz w:val="24"/>
          <w:highlight w:val="none"/>
        </w:rPr>
        <w:t>0</w:t>
      </w:r>
      <w:r>
        <w:rPr>
          <w:rFonts w:hint="eastAsia" w:ascii="宋体" w:hAnsi="宋体"/>
          <w:b/>
          <w:color w:val="auto"/>
          <w:sz w:val="24"/>
          <w:highlight w:val="none"/>
        </w:rPr>
        <w:t>℃</w:t>
      </w:r>
      <w:r>
        <w:rPr>
          <w:rFonts w:hint="eastAsia" w:ascii="宋体" w:hAnsi="宋体"/>
          <w:color w:val="auto"/>
          <w:sz w:val="24"/>
          <w:highlight w:val="none"/>
        </w:rPr>
        <w:t>和相对湿度小于</w:t>
      </w:r>
      <w:r>
        <w:rPr>
          <w:rFonts w:ascii="宋体" w:hAnsi="宋体"/>
          <w:b/>
          <w:color w:val="auto"/>
          <w:sz w:val="24"/>
          <w:highlight w:val="none"/>
        </w:rPr>
        <w:t>8</w:t>
      </w:r>
      <w:r>
        <w:rPr>
          <w:rFonts w:hint="eastAsia" w:ascii="宋体" w:hAnsi="宋体"/>
          <w:b/>
          <w:color w:val="auto"/>
          <w:sz w:val="24"/>
          <w:highlight w:val="none"/>
        </w:rPr>
        <w:t>0％</w:t>
      </w:r>
      <w:r>
        <w:rPr>
          <w:rFonts w:hint="eastAsia" w:ascii="宋体" w:hAnsi="宋体"/>
          <w:color w:val="auto"/>
          <w:sz w:val="24"/>
          <w:highlight w:val="none"/>
        </w:rPr>
        <w:t>的环境条件下运行。</w:t>
      </w:r>
      <w:r>
        <w:rPr>
          <w:rFonts w:hint="eastAsia" w:ascii="宋体" w:hAnsi="宋体"/>
          <w:b/>
          <w:color w:val="auto"/>
          <w:sz w:val="24"/>
          <w:highlight w:val="none"/>
        </w:rPr>
        <w:t>能够连续正常工作。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1.3  配置符合中国有关标准要求的插头，如果没有这样的插头，则需</w:t>
      </w:r>
      <w:r>
        <w:rPr>
          <w:rFonts w:hint="eastAsia" w:ascii="宋体"/>
          <w:color w:val="auto"/>
          <w:sz w:val="24"/>
          <w:highlight w:val="none"/>
        </w:rPr>
        <w:t>提供适当的转</w:t>
      </w:r>
      <w:r>
        <w:rPr>
          <w:rFonts w:hint="eastAsia" w:ascii="宋体" w:hAnsi="宋体"/>
          <w:color w:val="auto"/>
          <w:sz w:val="24"/>
          <w:highlight w:val="none"/>
        </w:rPr>
        <w:t>换插座。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1.4  如产品达不到上述要求，投标人应注明其偏差。如仪器设备需要特殊工作条件（如水、电源、磁场强度、温度、湿度、动强度等）投标人应在投标书中加以说明。</w:t>
      </w:r>
    </w:p>
    <w:p>
      <w:pPr>
        <w:rPr>
          <w:rFonts w:hint="eastAsia" w:eastAsia="黑体"/>
          <w:b/>
          <w:bCs/>
          <w:color w:val="auto"/>
          <w:kern w:val="44"/>
          <w:sz w:val="24"/>
          <w:highlight w:val="none"/>
        </w:rPr>
      </w:pPr>
    </w:p>
    <w:p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2、验收标准</w:t>
      </w:r>
    </w:p>
    <w:p>
      <w:pPr>
        <w:spacing w:after="312" w:afterLines="100" w:line="36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除非在技术规格中另有说明，所有仪器、设备和系统按下列要求进行验收：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2.1  仪器设备运抵安装现场后，买方将与卖方共同开箱验收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如卖方届时不派人来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则验收结果应以买方的验收报告为最终验收结果。验收时发现短缺、破损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买方有权要求卖方负责更换。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2.2  </w:t>
      </w:r>
      <w:r>
        <w:rPr>
          <w:rFonts w:hint="eastAsia"/>
          <w:color w:val="auto"/>
          <w:sz w:val="24"/>
          <w:highlight w:val="none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2.3  </w:t>
      </w:r>
      <w:r>
        <w:rPr>
          <w:rFonts w:ascii="宋体" w:hAnsi="宋体"/>
          <w:color w:val="auto"/>
          <w:sz w:val="24"/>
          <w:highlight w:val="none"/>
        </w:rPr>
        <w:t>验收由采购人、中标人及相关人员依国家有关标准、合同及有关附件要求进行，验收完毕由采购人及中标人在验收报告上签名。</w:t>
      </w:r>
    </w:p>
    <w:p>
      <w:pPr>
        <w:pStyle w:val="2"/>
        <w:spacing w:line="360" w:lineRule="auto"/>
        <w:ind w:left="410" w:hanging="410" w:hangingChars="170"/>
        <w:rPr>
          <w:rFonts w:hint="eastAsia" w:hAnsi="宋体"/>
          <w:b/>
          <w:color w:val="auto"/>
          <w:sz w:val="24"/>
          <w:szCs w:val="24"/>
          <w:highlight w:val="none"/>
        </w:rPr>
      </w:pPr>
    </w:p>
    <w:p>
      <w:pPr>
        <w:pStyle w:val="2"/>
        <w:spacing w:line="360" w:lineRule="auto"/>
        <w:ind w:left="410" w:hanging="410" w:hangingChars="170"/>
        <w:rPr>
          <w:rFonts w:hint="eastAsia" w:hAnsi="宋体"/>
          <w:b/>
          <w:color w:val="auto"/>
          <w:sz w:val="24"/>
          <w:szCs w:val="24"/>
          <w:highlight w:val="none"/>
        </w:rPr>
      </w:pPr>
      <w:r>
        <w:rPr>
          <w:rFonts w:hint="eastAsia" w:hAnsi="宋体"/>
          <w:b/>
          <w:color w:val="auto"/>
          <w:sz w:val="24"/>
          <w:szCs w:val="24"/>
          <w:highlight w:val="none"/>
        </w:rPr>
        <w:t>3、本技术规格书中标注“*”号的为实质性要求，不满足其投标将被拒绝。</w:t>
      </w:r>
    </w:p>
    <w:p>
      <w:pPr>
        <w:pStyle w:val="2"/>
        <w:spacing w:line="360" w:lineRule="auto"/>
        <w:rPr>
          <w:rFonts w:hint="eastAsia" w:hAnsi="宋体"/>
          <w:b/>
          <w:color w:val="auto"/>
          <w:sz w:val="24"/>
          <w:szCs w:val="24"/>
          <w:highlight w:val="none"/>
        </w:rPr>
      </w:pPr>
    </w:p>
    <w:p>
      <w:pPr>
        <w:pStyle w:val="2"/>
        <w:spacing w:line="360" w:lineRule="auto"/>
        <w:rPr>
          <w:rFonts w:hint="eastAsia" w:hAnsi="宋体"/>
          <w:b/>
          <w:color w:val="auto"/>
          <w:sz w:val="24"/>
          <w:szCs w:val="24"/>
          <w:highlight w:val="none"/>
        </w:rPr>
      </w:pPr>
      <w:r>
        <w:rPr>
          <w:rFonts w:hint="eastAsia" w:hAnsi="宋体"/>
          <w:b/>
          <w:color w:val="auto"/>
          <w:sz w:val="24"/>
          <w:szCs w:val="24"/>
          <w:highlight w:val="none"/>
        </w:rPr>
        <w:t>4、如在具体技术规格中有本总则不一致之处，以具体技术规格中的要求为准。</w:t>
      </w:r>
    </w:p>
    <w:p>
      <w:pPr>
        <w:spacing w:after="156" w:afterLines="50"/>
        <w:ind w:left="601" w:hanging="601"/>
        <w:rPr>
          <w:rFonts w:hint="eastAsia" w:ascii="宋体" w:hAnsi="宋体"/>
          <w:b/>
          <w:color w:val="auto"/>
          <w:sz w:val="28"/>
          <w:highlight w:val="none"/>
        </w:rPr>
      </w:pPr>
      <w:r>
        <w:rPr>
          <w:rFonts w:ascii="宋体" w:hAnsi="宋体"/>
          <w:b/>
          <w:color w:val="auto"/>
          <w:sz w:val="28"/>
          <w:highlight w:val="none"/>
        </w:rPr>
        <w:br w:type="page"/>
      </w:r>
      <w:r>
        <w:rPr>
          <w:rFonts w:hint="eastAsia" w:ascii="宋体" w:hAnsi="宋体"/>
          <w:b/>
          <w:color w:val="auto"/>
          <w:sz w:val="28"/>
          <w:highlight w:val="none"/>
        </w:rPr>
        <w:t>三、具体技术规格</w:t>
      </w:r>
    </w:p>
    <w:p>
      <w:pPr>
        <w:rPr>
          <w:rFonts w:hint="eastAsia"/>
          <w:color w:val="auto"/>
          <w:sz w:val="24"/>
          <w:highlight w:val="none"/>
        </w:rPr>
      </w:pPr>
    </w:p>
    <w:p>
      <w:pPr>
        <w:jc w:val="center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第1包 核磁共振波谱仪</w:t>
      </w:r>
    </w:p>
    <w:p>
      <w:pPr>
        <w:rPr>
          <w:rFonts w:hint="eastAsia"/>
          <w:b/>
          <w:color w:val="auto"/>
          <w:sz w:val="24"/>
          <w:highlight w:val="none"/>
        </w:rPr>
      </w:pPr>
    </w:p>
    <w:p>
      <w:pPr>
        <w:rPr>
          <w:rFonts w:hint="eastAsia"/>
          <w:b/>
          <w:color w:val="auto"/>
          <w:sz w:val="24"/>
          <w:highlight w:val="none"/>
        </w:rPr>
      </w:pPr>
    </w:p>
    <w:p>
      <w:pPr>
        <w:numPr>
          <w:ilvl w:val="0"/>
          <w:numId w:val="2"/>
        </w:numPr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技术要求：</w:t>
      </w:r>
    </w:p>
    <w:p>
      <w:pPr>
        <w:rPr>
          <w:b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1.工作条件：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1.1 工作环境温度：17—25℃，温度波动应小于1℃/h。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1.2 工作环境湿度：40%—70%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1.3 电源：单相电源&gt;3KVA，插座额定电流&gt;16安培，电源波动&lt;5%。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2.设备用途：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2.1  进行化学品分子结构分析表征       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numPr>
          <w:ilvl w:val="0"/>
          <w:numId w:val="3"/>
        </w:num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技术规格：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  射频发射部分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3.1.1 要求：各通道为全宽带射频发射通道，谱仪可扩充升级到4个通道，并具有观察及去偶功能；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*3.1.2 频率分辨率：≤0.001 Hz；相位分辨率：≤0.005度；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3.1.3 频率稳定度：≤1.0x10-12；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3.1.4 脉冲发射功率：质子≥100W，杂核≥330W；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#3.1.5 高中频频率：≤877.5 MHz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3.2 射频接收系统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3.2.1 要求：应具有高动态范围、低噪音、快速恢复、多核放大器的特点，数字滤波器，任意数字抽取，数字化正交检测系统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3.2.2 接收系统：要求具有实时的进行在线数字滤波和数据压缩。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3.2.3 数字分辨率：14bit。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3.2.4 采样谱宽：2MHz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3.3 变温控制系统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变温范围：-150℃—+200℃，精度±0.1℃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3.4 Z脉冲梯度场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梯度场强度：≥50 G/cm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梯度场功率放大器：≥10A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3.5 探头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3.5.1 液体正式探头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*3.5.1.1 检测核：1H，13C，15N，31P，19F等核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*3.5.1.2 灵敏度： 1H≥800（0.1% EB）</w:t>
      </w:r>
    </w:p>
    <w:p>
      <w:pPr>
        <w:spacing w:line="360" w:lineRule="auto"/>
        <w:ind w:left="1680" w:firstLine="42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13C≥330(10% EB)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               </w:t>
      </w:r>
      <w:r>
        <w:rPr>
          <w:rFonts w:hint="eastAsia"/>
          <w:color w:val="auto"/>
          <w:sz w:val="24"/>
          <w:highlight w:val="none"/>
        </w:rPr>
        <w:tab/>
      </w:r>
      <w:r>
        <w:rPr>
          <w:rFonts w:hint="eastAsia"/>
          <w:color w:val="auto"/>
          <w:sz w:val="24"/>
          <w:highlight w:val="none"/>
        </w:rPr>
        <w:t>31P≥200(0.0485% TPP)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               </w:t>
      </w:r>
      <w:r>
        <w:rPr>
          <w:rFonts w:hint="eastAsia"/>
          <w:color w:val="auto"/>
          <w:sz w:val="24"/>
          <w:highlight w:val="none"/>
        </w:rPr>
        <w:tab/>
      </w:r>
      <w:r>
        <w:rPr>
          <w:rFonts w:hint="eastAsia"/>
          <w:color w:val="auto"/>
          <w:sz w:val="24"/>
          <w:highlight w:val="none"/>
        </w:rPr>
        <w:t>15N≥45(90% Formamide)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                 19F≥650(TFT)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3.5.1.3 90°脉宽:</w:t>
      </w:r>
      <w:r>
        <w:rPr>
          <w:rFonts w:hint="eastAsia"/>
          <w:color w:val="auto"/>
          <w:sz w:val="24"/>
          <w:highlight w:val="none"/>
        </w:rPr>
        <w:tab/>
      </w:r>
      <w:r>
        <w:rPr>
          <w:rFonts w:hint="eastAsia"/>
          <w:color w:val="auto"/>
          <w:sz w:val="24"/>
          <w:highlight w:val="none"/>
        </w:rPr>
        <w:t xml:space="preserve"> 1H≤10us（0.1% EB）</w:t>
      </w:r>
    </w:p>
    <w:p>
      <w:pPr>
        <w:spacing w:line="360" w:lineRule="auto"/>
        <w:ind w:left="1680" w:firstLine="42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13C≤12.5us(ASTM)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               </w:t>
      </w:r>
      <w:r>
        <w:rPr>
          <w:rFonts w:hint="eastAsia"/>
          <w:color w:val="auto"/>
          <w:sz w:val="24"/>
          <w:highlight w:val="none"/>
        </w:rPr>
        <w:tab/>
      </w:r>
      <w:r>
        <w:rPr>
          <w:rFonts w:hint="eastAsia"/>
          <w:color w:val="auto"/>
          <w:sz w:val="24"/>
          <w:highlight w:val="none"/>
        </w:rPr>
        <w:t>31P≤14us(0.0485% TPP)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               </w:t>
      </w:r>
      <w:r>
        <w:rPr>
          <w:rFonts w:hint="eastAsia"/>
          <w:color w:val="auto"/>
          <w:sz w:val="24"/>
          <w:highlight w:val="none"/>
        </w:rPr>
        <w:tab/>
      </w:r>
      <w:r>
        <w:rPr>
          <w:rFonts w:hint="eastAsia"/>
          <w:color w:val="auto"/>
          <w:sz w:val="24"/>
          <w:highlight w:val="none"/>
        </w:rPr>
        <w:t>15N≤25us(90% Formamide)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                 19F≤14us(TFT)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3.5.1.4 1H线型 不旋转≤ 0.8/7/14 Hz (1% CHCl3 in Acetone-D6 sample)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#3.5.1.5 变温范围：-100℃—+150℃；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3.5.1.6 Z-梯度场强度：≥50G/cm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3.5.1.7 探头具有自动调谐功能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#3.5.1.8 探头具有19F/13C相关实验的功能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3.6 软件及数据处理系统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3.6.1 操作系统：Windows操作系统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3.6.2 NMR控制及处理软件包终身免费使用，免费升级；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3.6.3 支持中英双语言；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3.6.4 具备自动相位和自动基线校正功能；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3.6.5支持一维及多维核磁实验；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  超导磁体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3.7.1 要求：自屏蔽磁体，液氦和液氮消耗低、高稳定性、高均匀性、抗干扰强；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#3.7.2 磁场强度：14.1特斯拉；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3.7.3 低温匀场线圈：≥9组；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3.7.4 室温匀场：≥40组；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3.7.5 磁场漂移：≤ 10Hz/h；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3.7.6 横向5高斯线：≤ 1.75米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3.7.7 液氦保持时间：≥120天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3.7.8 包括置于磁体顶端的外置液氦及液氮监视器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4.产品配置要求</w:t>
      </w:r>
    </w:p>
    <w:p>
      <w:pPr>
        <w:spacing w:line="360" w:lineRule="auto"/>
        <w:rPr>
          <w:rFonts w:hint="eastAsia" w:ascii="inherit" w:hAnsi="inherit" w:cs="宋体"/>
          <w:color w:val="auto"/>
          <w:kern w:val="0"/>
          <w:sz w:val="24"/>
          <w:highlight w:val="none"/>
        </w:rPr>
      </w:pPr>
      <w:r>
        <w:rPr>
          <w:rFonts w:hint="eastAsia" w:ascii="inherit" w:hAnsi="inherit" w:cs="宋体"/>
          <w:color w:val="auto"/>
          <w:kern w:val="0"/>
          <w:sz w:val="24"/>
          <w:highlight w:val="none"/>
        </w:rPr>
        <w:t>UPS、日立机头的空压机、24位自动进样器等</w:t>
      </w:r>
    </w:p>
    <w:p>
      <w:pPr>
        <w:tabs>
          <w:tab w:val="left" w:pos="257"/>
        </w:tabs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5</w:t>
      </w:r>
      <w:r>
        <w:rPr>
          <w:b/>
          <w:color w:val="auto"/>
          <w:sz w:val="24"/>
          <w:highlight w:val="none"/>
        </w:rPr>
        <w:t xml:space="preserve">. </w:t>
      </w:r>
      <w:r>
        <w:rPr>
          <w:rFonts w:hint="eastAsia"/>
          <w:b/>
          <w:color w:val="auto"/>
          <w:sz w:val="24"/>
          <w:highlight w:val="none"/>
        </w:rPr>
        <w:t>选购附件、备件及消耗品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无          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（二）质保及售后服务：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1.1免费安装调试。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1.2 安装调试经用户验收合格当天起，免费保修一年。 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1.3 维修相应时间一般情况≤8小时，到现场时间48小时。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1.4 安装工程师提供2天现场基本操作培训。使用一段时间后，公司应用专家现场培训3天。</w:t>
      </w: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（三） 订货数量：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核磁共振波谱仪1台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（四） 交货地点：</w:t>
      </w:r>
    </w:p>
    <w:p>
      <w:pPr>
        <w:spacing w:line="360" w:lineRule="auto"/>
        <w:ind w:firstLine="24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用户指定地点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（五）交货日期：</w:t>
      </w:r>
    </w:p>
    <w:p>
      <w:r>
        <w:rPr>
          <w:rFonts w:hint="eastAsia"/>
          <w:color w:val="auto"/>
          <w:sz w:val="24"/>
          <w:highlight w:val="none"/>
        </w:rPr>
        <w:t xml:space="preserve">  12个月                         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85B104"/>
    <w:multiLevelType w:val="singleLevel"/>
    <w:tmpl w:val="D785B10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0D688B90"/>
    <w:multiLevelType w:val="singleLevel"/>
    <w:tmpl w:val="0D688B90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68F84946"/>
    <w:multiLevelType w:val="multilevel"/>
    <w:tmpl w:val="68F84946"/>
    <w:lvl w:ilvl="0" w:tentative="0">
      <w:start w:val="1"/>
      <w:numFmt w:val="decimal"/>
      <w:lvlText w:val="%1）"/>
      <w:lvlJc w:val="left"/>
      <w:pPr>
        <w:tabs>
          <w:tab w:val="left" w:pos="1896"/>
        </w:tabs>
        <w:ind w:left="1896" w:hanging="396"/>
      </w:pPr>
      <w:rPr>
        <w:rFonts w:hint="eastAsia" w:eastAsia="仿宋_GB2312"/>
        <w:b w:val="0"/>
        <w:i w:val="0"/>
        <w:color w:val="auto"/>
      </w:rPr>
    </w:lvl>
    <w:lvl w:ilvl="1" w:tentative="0">
      <w:start w:val="8"/>
      <w:numFmt w:val="japaneseCounting"/>
      <w:lvlText w:val="第%2章"/>
      <w:lvlJc w:val="left"/>
      <w:pPr>
        <w:tabs>
          <w:tab w:val="left" w:pos="1935"/>
        </w:tabs>
        <w:ind w:left="1935" w:hanging="1515"/>
      </w:pPr>
      <w:rPr>
        <w:rFonts w:hint="default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kYzdjODk4ZWI5MDNiZmQ2YmU5MDUyNmUyYTY1OWUifQ=="/>
  </w:docVars>
  <w:rsids>
    <w:rsidRoot w:val="34972F72"/>
    <w:rsid w:val="3497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2023-07-24T06:49:00Z</dcterms:created>
  <dc:creator>godjiao</dc:creator>
  <cp:lastModifiedBy>godjiao</cp:lastModifiedBy>
  <dcterms:modified xsi:type="dcterms:W3CDTF">2023-07-24T06:50:26Z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04382D3303D64782A77D726E8BDAB808_11</vt:lpwstr>
  </property>
</Properties>
</file>