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489A2D">
      <w:pPr>
        <w:spacing w:line="360" w:lineRule="auto"/>
        <w:rPr>
          <w:rFonts w:ascii="Times New Roman" w:hAnsi="Times New Roman" w:eastAsia="宋体" w:cs="Times New Roman"/>
          <w:b/>
          <w:szCs w:val="21"/>
        </w:rPr>
      </w:pPr>
      <w:r>
        <w:rPr>
          <w:rFonts w:ascii="Times New Roman" w:hAnsi="Times New Roman" w:eastAsia="宋体" w:cs="Times New Roman"/>
          <w:b/>
          <w:szCs w:val="21"/>
        </w:rPr>
        <w:t>一、采购清单</w:t>
      </w:r>
    </w:p>
    <w:tbl>
      <w:tblPr>
        <w:tblStyle w:val="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2"/>
        <w:gridCol w:w="3883"/>
        <w:gridCol w:w="1093"/>
        <w:gridCol w:w="2321"/>
      </w:tblGrid>
      <w:tr w14:paraId="139B0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7" w:type="pct"/>
            <w:tcBorders>
              <w:top w:val="single" w:color="auto" w:sz="4" w:space="0"/>
              <w:left w:val="single" w:color="auto" w:sz="4" w:space="0"/>
              <w:bottom w:val="single" w:color="auto" w:sz="4" w:space="0"/>
              <w:right w:val="single" w:color="auto" w:sz="4" w:space="0"/>
            </w:tcBorders>
            <w:vAlign w:val="center"/>
          </w:tcPr>
          <w:p w14:paraId="2CF00C3E">
            <w:pPr>
              <w:widowControl/>
              <w:jc w:val="center"/>
              <w:rPr>
                <w:rFonts w:ascii="宋体" w:hAnsi="宋体" w:eastAsia="宋体"/>
                <w:kern w:val="0"/>
                <w:szCs w:val="21"/>
              </w:rPr>
            </w:pPr>
            <w:r>
              <w:rPr>
                <w:rFonts w:hint="eastAsia" w:ascii="宋体" w:hAnsi="宋体" w:eastAsia="宋体"/>
                <w:kern w:val="0"/>
                <w:szCs w:val="21"/>
              </w:rPr>
              <w:t>序号</w:t>
            </w:r>
          </w:p>
        </w:tc>
        <w:tc>
          <w:tcPr>
            <w:tcW w:w="2278" w:type="pct"/>
            <w:tcBorders>
              <w:top w:val="single" w:color="auto" w:sz="4" w:space="0"/>
              <w:left w:val="single" w:color="auto" w:sz="4" w:space="0"/>
              <w:bottom w:val="single" w:color="auto" w:sz="4" w:space="0"/>
              <w:right w:val="single" w:color="auto" w:sz="4" w:space="0"/>
            </w:tcBorders>
            <w:vAlign w:val="center"/>
          </w:tcPr>
          <w:p w14:paraId="42CFBB60">
            <w:pPr>
              <w:widowControl/>
              <w:jc w:val="center"/>
              <w:rPr>
                <w:rFonts w:ascii="宋体" w:hAnsi="宋体" w:eastAsia="宋体"/>
                <w:kern w:val="0"/>
                <w:szCs w:val="21"/>
              </w:rPr>
            </w:pPr>
            <w:r>
              <w:rPr>
                <w:rFonts w:hint="eastAsia" w:ascii="宋体" w:hAnsi="宋体" w:eastAsia="宋体"/>
                <w:kern w:val="0"/>
                <w:szCs w:val="21"/>
              </w:rPr>
              <w:t>名称</w:t>
            </w:r>
          </w:p>
        </w:tc>
        <w:tc>
          <w:tcPr>
            <w:tcW w:w="641" w:type="pct"/>
            <w:tcBorders>
              <w:top w:val="single" w:color="auto" w:sz="4" w:space="0"/>
              <w:left w:val="single" w:color="auto" w:sz="4" w:space="0"/>
              <w:bottom w:val="single" w:color="auto" w:sz="4" w:space="0"/>
              <w:right w:val="single" w:color="auto" w:sz="4" w:space="0"/>
            </w:tcBorders>
            <w:vAlign w:val="center"/>
          </w:tcPr>
          <w:p w14:paraId="22AD108C">
            <w:pPr>
              <w:widowControl/>
              <w:jc w:val="center"/>
              <w:rPr>
                <w:rFonts w:ascii="宋体" w:hAnsi="宋体" w:eastAsia="宋体"/>
                <w:kern w:val="0"/>
                <w:szCs w:val="21"/>
              </w:rPr>
            </w:pPr>
            <w:r>
              <w:rPr>
                <w:rFonts w:hint="eastAsia" w:ascii="宋体" w:hAnsi="宋体" w:eastAsia="宋体"/>
                <w:kern w:val="0"/>
                <w:szCs w:val="21"/>
              </w:rPr>
              <w:t>数量</w:t>
            </w:r>
          </w:p>
        </w:tc>
        <w:tc>
          <w:tcPr>
            <w:tcW w:w="1362" w:type="pct"/>
            <w:tcBorders>
              <w:top w:val="single" w:color="auto" w:sz="4" w:space="0"/>
              <w:left w:val="single" w:color="auto" w:sz="4" w:space="0"/>
              <w:bottom w:val="single" w:color="auto" w:sz="4" w:space="0"/>
              <w:right w:val="single" w:color="auto" w:sz="4" w:space="0"/>
            </w:tcBorders>
            <w:vAlign w:val="center"/>
          </w:tcPr>
          <w:p w14:paraId="3B9DB361">
            <w:pPr>
              <w:widowControl/>
              <w:jc w:val="center"/>
              <w:rPr>
                <w:rFonts w:ascii="宋体" w:hAnsi="宋体" w:eastAsia="宋体"/>
                <w:kern w:val="0"/>
                <w:szCs w:val="21"/>
              </w:rPr>
            </w:pPr>
            <w:r>
              <w:rPr>
                <w:rFonts w:hint="eastAsia" w:ascii="宋体" w:hAnsi="宋体" w:eastAsia="宋体"/>
                <w:kern w:val="0"/>
                <w:szCs w:val="21"/>
              </w:rPr>
              <w:t>备注</w:t>
            </w:r>
          </w:p>
        </w:tc>
      </w:tr>
      <w:tr w14:paraId="0FB88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7" w:type="pct"/>
            <w:tcBorders>
              <w:top w:val="single" w:color="auto" w:sz="4" w:space="0"/>
              <w:left w:val="single" w:color="auto" w:sz="4" w:space="0"/>
              <w:bottom w:val="single" w:color="auto" w:sz="4" w:space="0"/>
              <w:right w:val="single" w:color="auto" w:sz="4" w:space="0"/>
            </w:tcBorders>
            <w:vAlign w:val="center"/>
          </w:tcPr>
          <w:p w14:paraId="395DF2A9">
            <w:pPr>
              <w:jc w:val="center"/>
              <w:rPr>
                <w:rFonts w:ascii="宋体" w:hAnsi="宋体" w:eastAsia="宋体"/>
                <w:szCs w:val="21"/>
              </w:rPr>
            </w:pPr>
            <w:r>
              <w:rPr>
                <w:rFonts w:hint="eastAsia" w:ascii="宋体" w:hAnsi="宋体" w:eastAsia="宋体"/>
                <w:szCs w:val="21"/>
              </w:rPr>
              <w:t>1</w:t>
            </w:r>
          </w:p>
        </w:tc>
        <w:tc>
          <w:tcPr>
            <w:tcW w:w="2278" w:type="pct"/>
            <w:tcBorders>
              <w:top w:val="single" w:color="auto" w:sz="4" w:space="0"/>
              <w:left w:val="single" w:color="auto" w:sz="4" w:space="0"/>
              <w:bottom w:val="single" w:color="auto" w:sz="4" w:space="0"/>
              <w:right w:val="single" w:color="auto" w:sz="4" w:space="0"/>
            </w:tcBorders>
            <w:vAlign w:val="center"/>
          </w:tcPr>
          <w:p w14:paraId="7E0D79F3">
            <w:pPr>
              <w:jc w:val="center"/>
              <w:rPr>
                <w:rFonts w:ascii="宋体" w:hAnsi="宋体" w:eastAsia="宋体"/>
                <w:szCs w:val="21"/>
              </w:rPr>
            </w:pPr>
            <w:r>
              <w:rPr>
                <w:rFonts w:hint="eastAsia" w:ascii="宋体" w:hAnsi="宋体" w:eastAsia="宋体"/>
                <w:szCs w:val="21"/>
              </w:rPr>
              <w:t>多功能酶标仪</w:t>
            </w:r>
          </w:p>
        </w:tc>
        <w:tc>
          <w:tcPr>
            <w:tcW w:w="641" w:type="pct"/>
            <w:tcBorders>
              <w:top w:val="single" w:color="auto" w:sz="4" w:space="0"/>
              <w:left w:val="single" w:color="auto" w:sz="4" w:space="0"/>
              <w:bottom w:val="single" w:color="auto" w:sz="4" w:space="0"/>
              <w:right w:val="single" w:color="auto" w:sz="4" w:space="0"/>
            </w:tcBorders>
            <w:vAlign w:val="center"/>
          </w:tcPr>
          <w:p w14:paraId="3BDE1A24">
            <w:pPr>
              <w:jc w:val="center"/>
              <w:rPr>
                <w:rFonts w:ascii="宋体" w:hAnsi="宋体" w:eastAsia="宋体"/>
                <w:szCs w:val="21"/>
              </w:rPr>
            </w:pPr>
            <w:r>
              <w:rPr>
                <w:rFonts w:hint="eastAsia" w:ascii="宋体" w:hAnsi="宋体" w:eastAsia="宋体"/>
                <w:szCs w:val="21"/>
              </w:rPr>
              <w:t>1台</w:t>
            </w:r>
          </w:p>
        </w:tc>
        <w:tc>
          <w:tcPr>
            <w:tcW w:w="1362" w:type="pct"/>
            <w:tcBorders>
              <w:top w:val="single" w:color="auto" w:sz="4" w:space="0"/>
              <w:left w:val="single" w:color="auto" w:sz="4" w:space="0"/>
              <w:bottom w:val="single" w:color="auto" w:sz="4" w:space="0"/>
              <w:right w:val="single" w:color="auto" w:sz="4" w:space="0"/>
            </w:tcBorders>
            <w:vAlign w:val="center"/>
          </w:tcPr>
          <w:p w14:paraId="74222A37">
            <w:pPr>
              <w:jc w:val="center"/>
              <w:rPr>
                <w:rFonts w:ascii="宋体" w:hAnsi="宋体" w:eastAsia="宋体"/>
                <w:kern w:val="0"/>
                <w:szCs w:val="21"/>
              </w:rPr>
            </w:pPr>
            <w:r>
              <w:rPr>
                <w:rFonts w:hint="eastAsia" w:ascii="宋体" w:hAnsi="宋体" w:eastAsia="宋体"/>
                <w:szCs w:val="21"/>
              </w:rPr>
              <w:t>允许进口</w:t>
            </w:r>
          </w:p>
        </w:tc>
      </w:tr>
      <w:tr w14:paraId="69621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7" w:type="pct"/>
            <w:tcBorders>
              <w:top w:val="single" w:color="auto" w:sz="4" w:space="0"/>
              <w:left w:val="single" w:color="auto" w:sz="4" w:space="0"/>
              <w:bottom w:val="single" w:color="auto" w:sz="4" w:space="0"/>
              <w:right w:val="single" w:color="auto" w:sz="4" w:space="0"/>
            </w:tcBorders>
            <w:vAlign w:val="center"/>
          </w:tcPr>
          <w:p w14:paraId="7E636F10">
            <w:pPr>
              <w:jc w:val="center"/>
              <w:rPr>
                <w:rFonts w:ascii="宋体" w:hAnsi="宋体" w:eastAsia="宋体"/>
                <w:szCs w:val="21"/>
              </w:rPr>
            </w:pPr>
            <w:r>
              <w:rPr>
                <w:rFonts w:hint="eastAsia" w:ascii="宋体" w:hAnsi="宋体" w:eastAsia="宋体"/>
                <w:szCs w:val="21"/>
              </w:rPr>
              <w:t>2</w:t>
            </w:r>
          </w:p>
        </w:tc>
        <w:tc>
          <w:tcPr>
            <w:tcW w:w="2278" w:type="pct"/>
            <w:tcBorders>
              <w:top w:val="single" w:color="auto" w:sz="4" w:space="0"/>
              <w:left w:val="single" w:color="auto" w:sz="4" w:space="0"/>
              <w:bottom w:val="single" w:color="auto" w:sz="4" w:space="0"/>
              <w:right w:val="single" w:color="auto" w:sz="4" w:space="0"/>
            </w:tcBorders>
            <w:vAlign w:val="center"/>
          </w:tcPr>
          <w:p w14:paraId="7F511C2B">
            <w:pPr>
              <w:jc w:val="center"/>
              <w:rPr>
                <w:rFonts w:ascii="宋体" w:hAnsi="宋体" w:eastAsia="宋体"/>
                <w:szCs w:val="21"/>
              </w:rPr>
            </w:pPr>
            <w:r>
              <w:rPr>
                <w:rFonts w:hint="eastAsia" w:ascii="宋体" w:hAnsi="宋体" w:eastAsia="宋体"/>
                <w:szCs w:val="21"/>
              </w:rPr>
              <w:t>显微操作仪</w:t>
            </w:r>
          </w:p>
        </w:tc>
        <w:tc>
          <w:tcPr>
            <w:tcW w:w="641" w:type="pct"/>
            <w:tcBorders>
              <w:top w:val="single" w:color="auto" w:sz="4" w:space="0"/>
              <w:left w:val="single" w:color="auto" w:sz="4" w:space="0"/>
              <w:bottom w:val="single" w:color="auto" w:sz="4" w:space="0"/>
              <w:right w:val="single" w:color="auto" w:sz="4" w:space="0"/>
            </w:tcBorders>
            <w:vAlign w:val="center"/>
          </w:tcPr>
          <w:p w14:paraId="001FBA09">
            <w:pPr>
              <w:jc w:val="center"/>
              <w:rPr>
                <w:rFonts w:ascii="宋体" w:hAnsi="宋体" w:eastAsia="宋体"/>
                <w:szCs w:val="21"/>
              </w:rPr>
            </w:pPr>
            <w:r>
              <w:rPr>
                <w:rFonts w:hint="eastAsia" w:ascii="宋体" w:hAnsi="宋体" w:eastAsia="宋体"/>
                <w:szCs w:val="21"/>
              </w:rPr>
              <w:t>1台</w:t>
            </w:r>
          </w:p>
        </w:tc>
        <w:tc>
          <w:tcPr>
            <w:tcW w:w="1362" w:type="pct"/>
            <w:tcBorders>
              <w:top w:val="single" w:color="auto" w:sz="4" w:space="0"/>
              <w:left w:val="single" w:color="auto" w:sz="4" w:space="0"/>
              <w:bottom w:val="single" w:color="auto" w:sz="4" w:space="0"/>
              <w:right w:val="single" w:color="auto" w:sz="4" w:space="0"/>
            </w:tcBorders>
            <w:vAlign w:val="center"/>
          </w:tcPr>
          <w:p w14:paraId="7273FB8B">
            <w:pPr>
              <w:jc w:val="center"/>
              <w:rPr>
                <w:rFonts w:ascii="宋体" w:hAnsi="宋体" w:eastAsia="宋体"/>
                <w:szCs w:val="21"/>
              </w:rPr>
            </w:pPr>
            <w:r>
              <w:rPr>
                <w:rFonts w:hint="eastAsia" w:ascii="宋体" w:hAnsi="宋体" w:eastAsia="宋体"/>
                <w:szCs w:val="21"/>
              </w:rPr>
              <w:t>允许进口</w:t>
            </w:r>
          </w:p>
        </w:tc>
      </w:tr>
      <w:tr w14:paraId="16B1E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717" w:type="pct"/>
            <w:tcBorders>
              <w:top w:val="single" w:color="auto" w:sz="4" w:space="0"/>
              <w:left w:val="single" w:color="auto" w:sz="4" w:space="0"/>
              <w:bottom w:val="single" w:color="auto" w:sz="4" w:space="0"/>
              <w:right w:val="single" w:color="auto" w:sz="4" w:space="0"/>
            </w:tcBorders>
            <w:vAlign w:val="center"/>
          </w:tcPr>
          <w:p w14:paraId="481F3090">
            <w:pPr>
              <w:jc w:val="center"/>
              <w:rPr>
                <w:rFonts w:ascii="宋体" w:hAnsi="宋体" w:eastAsia="宋体"/>
                <w:szCs w:val="21"/>
              </w:rPr>
            </w:pPr>
            <w:r>
              <w:rPr>
                <w:rFonts w:hint="eastAsia" w:ascii="宋体" w:hAnsi="宋体" w:eastAsia="宋体"/>
                <w:szCs w:val="21"/>
              </w:rPr>
              <w:t>3</w:t>
            </w:r>
          </w:p>
        </w:tc>
        <w:tc>
          <w:tcPr>
            <w:tcW w:w="2278" w:type="pct"/>
            <w:tcBorders>
              <w:top w:val="single" w:color="auto" w:sz="4" w:space="0"/>
              <w:left w:val="single" w:color="auto" w:sz="4" w:space="0"/>
              <w:bottom w:val="single" w:color="auto" w:sz="4" w:space="0"/>
              <w:right w:val="single" w:color="auto" w:sz="4" w:space="0"/>
            </w:tcBorders>
            <w:vAlign w:val="center"/>
          </w:tcPr>
          <w:p w14:paraId="492ECEE1">
            <w:pPr>
              <w:jc w:val="center"/>
              <w:rPr>
                <w:rFonts w:ascii="宋体" w:hAnsi="宋体" w:eastAsia="宋体"/>
                <w:szCs w:val="21"/>
              </w:rPr>
            </w:pPr>
            <w:r>
              <w:rPr>
                <w:rFonts w:hint="eastAsia" w:ascii="宋体" w:hAnsi="宋体" w:eastAsia="宋体"/>
                <w:szCs w:val="21"/>
              </w:rPr>
              <w:t>正置荧光显微镜系统</w:t>
            </w:r>
          </w:p>
        </w:tc>
        <w:tc>
          <w:tcPr>
            <w:tcW w:w="641" w:type="pct"/>
            <w:tcBorders>
              <w:top w:val="single" w:color="auto" w:sz="4" w:space="0"/>
              <w:left w:val="single" w:color="auto" w:sz="4" w:space="0"/>
              <w:bottom w:val="single" w:color="auto" w:sz="4" w:space="0"/>
              <w:right w:val="single" w:color="auto" w:sz="4" w:space="0"/>
            </w:tcBorders>
            <w:vAlign w:val="center"/>
          </w:tcPr>
          <w:p w14:paraId="0582D660">
            <w:pPr>
              <w:jc w:val="center"/>
              <w:rPr>
                <w:rFonts w:ascii="宋体" w:hAnsi="宋体" w:eastAsia="宋体"/>
                <w:szCs w:val="21"/>
              </w:rPr>
            </w:pPr>
            <w:r>
              <w:rPr>
                <w:rFonts w:hint="eastAsia" w:ascii="宋体" w:hAnsi="宋体" w:eastAsia="宋体"/>
                <w:szCs w:val="21"/>
              </w:rPr>
              <w:t>1台</w:t>
            </w:r>
          </w:p>
        </w:tc>
        <w:tc>
          <w:tcPr>
            <w:tcW w:w="1362" w:type="pct"/>
            <w:tcBorders>
              <w:top w:val="single" w:color="auto" w:sz="4" w:space="0"/>
              <w:left w:val="single" w:color="auto" w:sz="4" w:space="0"/>
              <w:bottom w:val="single" w:color="auto" w:sz="4" w:space="0"/>
              <w:right w:val="single" w:color="auto" w:sz="4" w:space="0"/>
            </w:tcBorders>
            <w:vAlign w:val="center"/>
          </w:tcPr>
          <w:p w14:paraId="06FC4D56">
            <w:pPr>
              <w:jc w:val="center"/>
              <w:rPr>
                <w:rFonts w:ascii="宋体" w:hAnsi="宋体" w:eastAsia="宋体"/>
                <w:szCs w:val="21"/>
              </w:rPr>
            </w:pPr>
            <w:r>
              <w:rPr>
                <w:rFonts w:hint="eastAsia" w:ascii="宋体" w:hAnsi="宋体" w:eastAsia="宋体"/>
                <w:szCs w:val="21"/>
              </w:rPr>
              <w:t>允许进口</w:t>
            </w:r>
          </w:p>
        </w:tc>
      </w:tr>
      <w:tr w14:paraId="78C05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7" w:type="pct"/>
            <w:tcBorders>
              <w:top w:val="single" w:color="auto" w:sz="4" w:space="0"/>
              <w:left w:val="single" w:color="auto" w:sz="4" w:space="0"/>
              <w:bottom w:val="single" w:color="auto" w:sz="4" w:space="0"/>
              <w:right w:val="single" w:color="auto" w:sz="4" w:space="0"/>
            </w:tcBorders>
            <w:vAlign w:val="center"/>
          </w:tcPr>
          <w:p w14:paraId="5A4DB77F">
            <w:pPr>
              <w:jc w:val="center"/>
              <w:rPr>
                <w:rFonts w:ascii="宋体" w:hAnsi="宋体" w:eastAsia="宋体"/>
                <w:szCs w:val="21"/>
              </w:rPr>
            </w:pPr>
            <w:r>
              <w:rPr>
                <w:rFonts w:hint="eastAsia" w:ascii="宋体" w:hAnsi="宋体" w:eastAsia="宋体"/>
                <w:szCs w:val="21"/>
              </w:rPr>
              <w:t>4</w:t>
            </w:r>
          </w:p>
        </w:tc>
        <w:tc>
          <w:tcPr>
            <w:tcW w:w="2278" w:type="pct"/>
            <w:tcBorders>
              <w:top w:val="single" w:color="auto" w:sz="4" w:space="0"/>
              <w:left w:val="single" w:color="auto" w:sz="4" w:space="0"/>
              <w:bottom w:val="single" w:color="auto" w:sz="4" w:space="0"/>
              <w:right w:val="single" w:color="auto" w:sz="4" w:space="0"/>
            </w:tcBorders>
            <w:vAlign w:val="center"/>
          </w:tcPr>
          <w:p w14:paraId="1812EE8C">
            <w:pPr>
              <w:jc w:val="center"/>
              <w:rPr>
                <w:rFonts w:ascii="宋体" w:hAnsi="宋体" w:eastAsia="宋体"/>
                <w:szCs w:val="21"/>
              </w:rPr>
            </w:pPr>
            <w:r>
              <w:rPr>
                <w:rFonts w:hint="eastAsia" w:ascii="宋体" w:hAnsi="宋体" w:eastAsia="宋体"/>
                <w:szCs w:val="21"/>
              </w:rPr>
              <w:t>精确称量系统</w:t>
            </w:r>
          </w:p>
        </w:tc>
        <w:tc>
          <w:tcPr>
            <w:tcW w:w="641" w:type="pct"/>
            <w:tcBorders>
              <w:top w:val="single" w:color="auto" w:sz="4" w:space="0"/>
              <w:left w:val="single" w:color="auto" w:sz="4" w:space="0"/>
              <w:bottom w:val="single" w:color="auto" w:sz="4" w:space="0"/>
              <w:right w:val="single" w:color="auto" w:sz="4" w:space="0"/>
            </w:tcBorders>
            <w:vAlign w:val="center"/>
          </w:tcPr>
          <w:p w14:paraId="519914B4">
            <w:pPr>
              <w:jc w:val="center"/>
              <w:rPr>
                <w:rFonts w:ascii="宋体" w:hAnsi="宋体" w:eastAsia="宋体"/>
                <w:szCs w:val="21"/>
              </w:rPr>
            </w:pPr>
            <w:r>
              <w:rPr>
                <w:rFonts w:hint="eastAsia" w:ascii="宋体" w:hAnsi="宋体" w:eastAsia="宋体"/>
                <w:szCs w:val="21"/>
              </w:rPr>
              <w:t>1台</w:t>
            </w:r>
          </w:p>
        </w:tc>
        <w:tc>
          <w:tcPr>
            <w:tcW w:w="1362" w:type="pct"/>
            <w:tcBorders>
              <w:top w:val="single" w:color="auto" w:sz="4" w:space="0"/>
              <w:left w:val="single" w:color="auto" w:sz="4" w:space="0"/>
              <w:bottom w:val="single" w:color="auto" w:sz="4" w:space="0"/>
              <w:right w:val="single" w:color="auto" w:sz="4" w:space="0"/>
            </w:tcBorders>
            <w:vAlign w:val="center"/>
          </w:tcPr>
          <w:p w14:paraId="3411D226">
            <w:pPr>
              <w:jc w:val="center"/>
              <w:rPr>
                <w:rFonts w:ascii="宋体" w:hAnsi="宋体" w:eastAsia="宋体"/>
                <w:szCs w:val="21"/>
              </w:rPr>
            </w:pPr>
            <w:r>
              <w:rPr>
                <w:rFonts w:hint="eastAsia" w:ascii="宋体" w:hAnsi="宋体" w:eastAsia="宋体"/>
                <w:szCs w:val="21"/>
              </w:rPr>
              <w:t>允许进口</w:t>
            </w:r>
          </w:p>
        </w:tc>
      </w:tr>
      <w:tr w14:paraId="79E71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717" w:type="pct"/>
            <w:tcBorders>
              <w:top w:val="single" w:color="auto" w:sz="4" w:space="0"/>
              <w:left w:val="single" w:color="auto" w:sz="4" w:space="0"/>
              <w:bottom w:val="single" w:color="auto" w:sz="4" w:space="0"/>
              <w:right w:val="single" w:color="auto" w:sz="4" w:space="0"/>
            </w:tcBorders>
            <w:vAlign w:val="center"/>
          </w:tcPr>
          <w:p w14:paraId="6AE1CEF3">
            <w:pPr>
              <w:jc w:val="center"/>
              <w:rPr>
                <w:rFonts w:ascii="宋体" w:hAnsi="宋体" w:eastAsia="宋体"/>
                <w:szCs w:val="21"/>
              </w:rPr>
            </w:pPr>
            <w:r>
              <w:rPr>
                <w:rFonts w:hint="eastAsia" w:ascii="宋体" w:hAnsi="宋体" w:eastAsia="宋体"/>
                <w:szCs w:val="21"/>
              </w:rPr>
              <w:t>5</w:t>
            </w:r>
          </w:p>
        </w:tc>
        <w:tc>
          <w:tcPr>
            <w:tcW w:w="2278" w:type="pct"/>
            <w:tcBorders>
              <w:top w:val="single" w:color="auto" w:sz="4" w:space="0"/>
              <w:left w:val="single" w:color="auto" w:sz="4" w:space="0"/>
              <w:bottom w:val="single" w:color="auto" w:sz="4" w:space="0"/>
              <w:right w:val="single" w:color="auto" w:sz="4" w:space="0"/>
            </w:tcBorders>
            <w:vAlign w:val="center"/>
          </w:tcPr>
          <w:p w14:paraId="7BBE1484">
            <w:pPr>
              <w:jc w:val="center"/>
              <w:rPr>
                <w:rFonts w:ascii="宋体" w:hAnsi="宋体" w:eastAsia="宋体"/>
                <w:szCs w:val="21"/>
              </w:rPr>
            </w:pPr>
            <w:r>
              <w:rPr>
                <w:rFonts w:hint="eastAsia" w:ascii="宋体" w:hAnsi="宋体" w:eastAsia="宋体"/>
                <w:szCs w:val="21"/>
              </w:rPr>
              <w:t>电化学热分析工作站</w:t>
            </w:r>
          </w:p>
        </w:tc>
        <w:tc>
          <w:tcPr>
            <w:tcW w:w="641" w:type="pct"/>
            <w:tcBorders>
              <w:top w:val="single" w:color="auto" w:sz="4" w:space="0"/>
              <w:left w:val="single" w:color="auto" w:sz="4" w:space="0"/>
              <w:bottom w:val="single" w:color="auto" w:sz="4" w:space="0"/>
              <w:right w:val="single" w:color="auto" w:sz="4" w:space="0"/>
            </w:tcBorders>
            <w:vAlign w:val="center"/>
          </w:tcPr>
          <w:p w14:paraId="1336C1C6">
            <w:pPr>
              <w:jc w:val="center"/>
              <w:rPr>
                <w:rFonts w:ascii="宋体" w:hAnsi="宋体" w:eastAsia="宋体"/>
                <w:szCs w:val="21"/>
              </w:rPr>
            </w:pPr>
            <w:r>
              <w:rPr>
                <w:rFonts w:hint="eastAsia" w:ascii="宋体" w:hAnsi="宋体" w:eastAsia="宋体"/>
                <w:szCs w:val="21"/>
              </w:rPr>
              <w:t>1台</w:t>
            </w:r>
          </w:p>
        </w:tc>
        <w:tc>
          <w:tcPr>
            <w:tcW w:w="1362" w:type="pct"/>
            <w:tcBorders>
              <w:top w:val="single" w:color="auto" w:sz="4" w:space="0"/>
              <w:left w:val="single" w:color="auto" w:sz="4" w:space="0"/>
              <w:bottom w:val="single" w:color="auto" w:sz="4" w:space="0"/>
              <w:right w:val="single" w:color="auto" w:sz="4" w:space="0"/>
            </w:tcBorders>
            <w:vAlign w:val="center"/>
          </w:tcPr>
          <w:p w14:paraId="3A21CDC5">
            <w:pPr>
              <w:jc w:val="center"/>
              <w:rPr>
                <w:rFonts w:ascii="宋体" w:hAnsi="宋体" w:eastAsia="宋体"/>
                <w:szCs w:val="21"/>
              </w:rPr>
            </w:pPr>
            <w:r>
              <w:rPr>
                <w:rFonts w:hint="eastAsia" w:ascii="宋体" w:hAnsi="宋体" w:eastAsia="宋体"/>
                <w:szCs w:val="21"/>
              </w:rPr>
              <w:t>允许进口</w:t>
            </w:r>
          </w:p>
        </w:tc>
      </w:tr>
    </w:tbl>
    <w:p w14:paraId="14DF812F">
      <w:pPr>
        <w:spacing w:line="360" w:lineRule="auto"/>
        <w:rPr>
          <w:rFonts w:ascii="Times New Roman" w:hAnsi="Times New Roman" w:eastAsia="宋体" w:cs="Times New Roman"/>
          <w:bCs/>
          <w:szCs w:val="21"/>
        </w:rPr>
      </w:pPr>
      <w:r>
        <w:rPr>
          <w:rFonts w:hint="eastAsia" w:ascii="Times New Roman" w:hAnsi="Times New Roman" w:eastAsia="宋体" w:cs="Times New Roman"/>
          <w:b/>
          <w:szCs w:val="21"/>
        </w:rPr>
        <w:t>二、详细技术参数及要求</w:t>
      </w:r>
    </w:p>
    <w:tbl>
      <w:tblPr>
        <w:tblStyle w:val="3"/>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4"/>
        <w:gridCol w:w="862"/>
        <w:gridCol w:w="6375"/>
        <w:gridCol w:w="552"/>
      </w:tblGrid>
      <w:tr w14:paraId="21D760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425" w:type="pct"/>
            <w:vAlign w:val="center"/>
          </w:tcPr>
          <w:p w14:paraId="02A9F2FB">
            <w:pPr>
              <w:jc w:val="center"/>
              <w:rPr>
                <w:rFonts w:ascii="宋体" w:hAnsi="宋体" w:eastAsia="宋体"/>
                <w:szCs w:val="21"/>
              </w:rPr>
            </w:pPr>
            <w:r>
              <w:rPr>
                <w:rFonts w:hint="eastAsia" w:ascii="宋体" w:hAnsi="宋体" w:eastAsia="宋体"/>
                <w:szCs w:val="21"/>
              </w:rPr>
              <w:t>品目</w:t>
            </w:r>
          </w:p>
        </w:tc>
        <w:tc>
          <w:tcPr>
            <w:tcW w:w="506" w:type="pct"/>
            <w:vAlign w:val="center"/>
          </w:tcPr>
          <w:p w14:paraId="281D6F60">
            <w:pPr>
              <w:jc w:val="center"/>
              <w:rPr>
                <w:rFonts w:ascii="宋体" w:hAnsi="宋体" w:eastAsia="宋体"/>
                <w:szCs w:val="21"/>
              </w:rPr>
            </w:pPr>
            <w:r>
              <w:rPr>
                <w:rFonts w:hint="eastAsia" w:ascii="宋体" w:hAnsi="宋体" w:eastAsia="宋体"/>
                <w:szCs w:val="21"/>
              </w:rPr>
              <w:t>货物</w:t>
            </w:r>
          </w:p>
          <w:p w14:paraId="54B9C5D1">
            <w:pPr>
              <w:jc w:val="center"/>
              <w:rPr>
                <w:rFonts w:ascii="宋体" w:hAnsi="宋体" w:eastAsia="宋体"/>
                <w:szCs w:val="21"/>
              </w:rPr>
            </w:pPr>
            <w:r>
              <w:rPr>
                <w:rFonts w:hint="eastAsia" w:ascii="宋体" w:hAnsi="宋体" w:eastAsia="宋体"/>
                <w:szCs w:val="21"/>
              </w:rPr>
              <w:t>名称</w:t>
            </w:r>
          </w:p>
        </w:tc>
        <w:tc>
          <w:tcPr>
            <w:tcW w:w="3743" w:type="pct"/>
            <w:vAlign w:val="center"/>
          </w:tcPr>
          <w:p w14:paraId="0C959527">
            <w:pPr>
              <w:jc w:val="center"/>
              <w:rPr>
                <w:rFonts w:ascii="宋体" w:hAnsi="宋体" w:eastAsia="宋体"/>
                <w:szCs w:val="21"/>
              </w:rPr>
            </w:pPr>
            <w:r>
              <w:rPr>
                <w:rFonts w:hint="eastAsia" w:ascii="宋体" w:hAnsi="宋体" w:eastAsia="宋体"/>
                <w:szCs w:val="21"/>
              </w:rPr>
              <w:t>招标规格及技术参数</w:t>
            </w:r>
          </w:p>
        </w:tc>
        <w:tc>
          <w:tcPr>
            <w:tcW w:w="324" w:type="pct"/>
            <w:vAlign w:val="center"/>
          </w:tcPr>
          <w:p w14:paraId="4619E542">
            <w:pPr>
              <w:jc w:val="center"/>
              <w:rPr>
                <w:rFonts w:ascii="宋体" w:hAnsi="宋体" w:eastAsia="宋体"/>
                <w:szCs w:val="21"/>
              </w:rPr>
            </w:pPr>
            <w:r>
              <w:rPr>
                <w:rFonts w:hint="eastAsia" w:ascii="宋体" w:hAnsi="宋体" w:eastAsia="宋体"/>
                <w:szCs w:val="21"/>
              </w:rPr>
              <w:t>数量</w:t>
            </w:r>
          </w:p>
        </w:tc>
      </w:tr>
      <w:tr w14:paraId="675A0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vAlign w:val="center"/>
          </w:tcPr>
          <w:p w14:paraId="6FB922DF">
            <w:pPr>
              <w:jc w:val="center"/>
              <w:rPr>
                <w:rFonts w:ascii="宋体" w:hAnsi="宋体" w:eastAsia="宋体"/>
                <w:szCs w:val="21"/>
              </w:rPr>
            </w:pPr>
            <w:r>
              <w:rPr>
                <w:rFonts w:hint="eastAsia" w:ascii="宋体" w:hAnsi="宋体" w:eastAsia="宋体"/>
                <w:szCs w:val="21"/>
              </w:rPr>
              <w:t>1</w:t>
            </w:r>
          </w:p>
        </w:tc>
        <w:tc>
          <w:tcPr>
            <w:tcW w:w="506" w:type="pct"/>
            <w:vAlign w:val="center"/>
          </w:tcPr>
          <w:p w14:paraId="35DB859C">
            <w:pPr>
              <w:jc w:val="center"/>
              <w:rPr>
                <w:rFonts w:ascii="宋体" w:hAnsi="宋体" w:eastAsia="宋体"/>
                <w:szCs w:val="21"/>
              </w:rPr>
            </w:pPr>
            <w:r>
              <w:rPr>
                <w:rFonts w:hint="eastAsia" w:ascii="宋体" w:hAnsi="宋体" w:eastAsia="宋体"/>
                <w:szCs w:val="21"/>
              </w:rPr>
              <w:t>多功能酶标仪</w:t>
            </w:r>
          </w:p>
        </w:tc>
        <w:tc>
          <w:tcPr>
            <w:tcW w:w="3743" w:type="pct"/>
            <w:vAlign w:val="center"/>
          </w:tcPr>
          <w:p w14:paraId="49C59DBC">
            <w:pPr>
              <w:jc w:val="left"/>
              <w:rPr>
                <w:rFonts w:ascii="宋体" w:hAnsi="宋体" w:eastAsia="宋体"/>
                <w:szCs w:val="21"/>
              </w:rPr>
            </w:pPr>
            <w:r>
              <w:rPr>
                <w:rFonts w:hint="eastAsia" w:ascii="宋体" w:hAnsi="宋体" w:eastAsia="宋体"/>
                <w:szCs w:val="21"/>
              </w:rPr>
              <w:t>1、酶标功能模块</w:t>
            </w:r>
          </w:p>
          <w:p w14:paraId="1B01C614">
            <w:pPr>
              <w:jc w:val="left"/>
              <w:rPr>
                <w:rFonts w:ascii="宋体" w:hAnsi="宋体" w:eastAsia="宋体"/>
                <w:szCs w:val="21"/>
              </w:rPr>
            </w:pPr>
            <w:r>
              <w:rPr>
                <w:rFonts w:hint="eastAsia" w:ascii="宋体" w:hAnsi="宋体" w:eastAsia="宋体"/>
                <w:szCs w:val="21"/>
              </w:rPr>
              <w:t>1.1检测类型：6-384孔微孔板，24孔或64孔超微量检测板（2μl或4μl）</w:t>
            </w:r>
          </w:p>
          <w:p w14:paraId="5846C4F4">
            <w:pPr>
              <w:jc w:val="left"/>
              <w:rPr>
                <w:rFonts w:ascii="宋体" w:hAnsi="宋体" w:eastAsia="宋体"/>
                <w:szCs w:val="21"/>
              </w:rPr>
            </w:pPr>
            <w:r>
              <w:rPr>
                <w:rFonts w:hint="eastAsia" w:ascii="宋体" w:hAnsi="宋体" w:eastAsia="宋体"/>
                <w:szCs w:val="21"/>
              </w:rPr>
              <w:t>1.2、应用范围：四光栅+滤光片：吸收光(Abs)、荧光强度(FL)、化学发光（Lum）、时间分辨荧光（TRF）、荧光偏振（FP）、荧光共振能量转移（FRET）、均相时间分辨荧光（HTRF）、时间分辨荧光共振能量转移（TR-FRET）、生物发光共振能量转移（BRET）、Western Blot</w:t>
            </w:r>
          </w:p>
          <w:p w14:paraId="31AAD03E">
            <w:pPr>
              <w:jc w:val="left"/>
              <w:rPr>
                <w:rFonts w:ascii="宋体" w:hAnsi="宋体" w:eastAsia="宋体"/>
                <w:szCs w:val="21"/>
              </w:rPr>
            </w:pPr>
            <w:r>
              <w:rPr>
                <w:rFonts w:hint="eastAsia" w:ascii="宋体" w:hAnsi="宋体" w:eastAsia="宋体"/>
                <w:szCs w:val="21"/>
              </w:rPr>
              <w:t>1.3、光源：高能氙闪灯光</w:t>
            </w:r>
          </w:p>
          <w:p w14:paraId="6BF71537">
            <w:pPr>
              <w:jc w:val="left"/>
              <w:rPr>
                <w:rFonts w:ascii="宋体" w:hAnsi="宋体" w:eastAsia="宋体"/>
                <w:szCs w:val="21"/>
              </w:rPr>
            </w:pPr>
            <w:r>
              <w:rPr>
                <w:rFonts w:hint="eastAsia" w:ascii="宋体" w:hAnsi="宋体" w:eastAsia="宋体"/>
                <w:szCs w:val="21"/>
              </w:rPr>
              <w:t xml:space="preserve">★1.4、温度控制：室温+5℃---66℃ </w:t>
            </w:r>
          </w:p>
          <w:p w14:paraId="1E970A8D">
            <w:pPr>
              <w:jc w:val="left"/>
              <w:rPr>
                <w:rFonts w:ascii="宋体" w:hAnsi="宋体" w:eastAsia="宋体"/>
                <w:szCs w:val="21"/>
              </w:rPr>
            </w:pPr>
            <w:r>
              <w:rPr>
                <w:rFonts w:hint="eastAsia" w:ascii="宋体" w:hAnsi="宋体" w:eastAsia="宋体"/>
                <w:szCs w:val="21"/>
              </w:rPr>
              <w:t>1.5、温度均一性：± 0.75°C</w:t>
            </w:r>
          </w:p>
          <w:p w14:paraId="3B15A5A1">
            <w:pPr>
              <w:jc w:val="left"/>
              <w:rPr>
                <w:rFonts w:ascii="宋体" w:hAnsi="宋体" w:eastAsia="宋体"/>
                <w:szCs w:val="21"/>
              </w:rPr>
            </w:pPr>
            <w:r>
              <w:rPr>
                <w:rFonts w:hint="eastAsia" w:ascii="宋体" w:hAnsi="宋体" w:eastAsia="宋体"/>
                <w:szCs w:val="21"/>
              </w:rPr>
              <w:t>1.6、震荡方式：线性、圆周、双圆周（强度和时间可调）</w:t>
            </w:r>
          </w:p>
          <w:p w14:paraId="61E98A98">
            <w:pPr>
              <w:jc w:val="left"/>
              <w:rPr>
                <w:rFonts w:ascii="宋体" w:hAnsi="宋体" w:eastAsia="宋体"/>
                <w:szCs w:val="21"/>
              </w:rPr>
            </w:pPr>
            <w:r>
              <w:rPr>
                <w:rFonts w:hint="eastAsia" w:ascii="宋体" w:hAnsi="宋体" w:eastAsia="宋体"/>
                <w:szCs w:val="21"/>
              </w:rPr>
              <w:t>1.7、检测器：-5℃制冷PMT</w:t>
            </w:r>
          </w:p>
          <w:p w14:paraId="224FAAEB">
            <w:pPr>
              <w:jc w:val="left"/>
              <w:rPr>
                <w:rFonts w:ascii="宋体" w:hAnsi="宋体" w:eastAsia="宋体"/>
                <w:szCs w:val="21"/>
              </w:rPr>
            </w:pPr>
            <w:r>
              <w:rPr>
                <w:rFonts w:hint="eastAsia" w:ascii="宋体" w:hAnsi="宋体" w:eastAsia="宋体"/>
                <w:szCs w:val="21"/>
              </w:rPr>
              <w:t>1.8、检测模式：终点法（所有模式），动力学（所有模式），全波长扫描（吸收光、荧光、化学发光、时间分辨荧光），区域扫描（可达20X20密度/孔）</w:t>
            </w:r>
          </w:p>
          <w:p w14:paraId="366EB524">
            <w:pPr>
              <w:jc w:val="left"/>
              <w:rPr>
                <w:rFonts w:ascii="宋体" w:hAnsi="宋体" w:eastAsia="宋体"/>
                <w:szCs w:val="21"/>
              </w:rPr>
            </w:pPr>
            <w:r>
              <w:rPr>
                <w:rFonts w:hint="eastAsia" w:ascii="宋体" w:hAnsi="宋体" w:eastAsia="宋体"/>
                <w:szCs w:val="21"/>
              </w:rPr>
              <w:t xml:space="preserve">1.9、光吸收：波长范围230nm-1000nm，1nm可调，波长带宽4.0nm </w:t>
            </w:r>
          </w:p>
          <w:p w14:paraId="79A8C7AE">
            <w:pPr>
              <w:jc w:val="left"/>
              <w:rPr>
                <w:rFonts w:ascii="宋体" w:hAnsi="宋体" w:eastAsia="宋体"/>
                <w:szCs w:val="21"/>
              </w:rPr>
            </w:pPr>
            <w:r>
              <w:rPr>
                <w:rFonts w:hint="eastAsia" w:ascii="宋体" w:hAnsi="宋体" w:eastAsia="宋体"/>
                <w:szCs w:val="21"/>
              </w:rPr>
              <w:t>1.10、荧光强度：波长范围250nm—850nm，1nm可调，动态学范围&gt;6个数量级</w:t>
            </w:r>
          </w:p>
          <w:p w14:paraId="36DB93FE">
            <w:pPr>
              <w:jc w:val="left"/>
              <w:rPr>
                <w:rFonts w:ascii="宋体" w:hAnsi="宋体" w:eastAsia="宋体"/>
                <w:szCs w:val="21"/>
              </w:rPr>
            </w:pPr>
            <w:r>
              <w:rPr>
                <w:rFonts w:hint="eastAsia" w:ascii="宋体" w:hAnsi="宋体" w:eastAsia="宋体"/>
                <w:szCs w:val="21"/>
              </w:rPr>
              <w:t>1.11、化学发光：波长范围300nm—850nm，1nm可调，动态学范围&gt;7个数量级</w:t>
            </w:r>
          </w:p>
          <w:p w14:paraId="4A800F27">
            <w:pPr>
              <w:jc w:val="left"/>
              <w:rPr>
                <w:rFonts w:ascii="宋体" w:hAnsi="宋体" w:eastAsia="宋体"/>
                <w:szCs w:val="21"/>
              </w:rPr>
            </w:pPr>
            <w:r>
              <w:rPr>
                <w:rFonts w:hint="eastAsia" w:ascii="宋体" w:hAnsi="宋体" w:eastAsia="宋体"/>
                <w:szCs w:val="21"/>
              </w:rPr>
              <w:t>1.12、时间分辨荧光：波长范围EX 滤光片350nm（带宽60nm），EM光栅：450-750nm</w:t>
            </w:r>
          </w:p>
          <w:p w14:paraId="1A9EB34E">
            <w:pPr>
              <w:jc w:val="left"/>
              <w:rPr>
                <w:rFonts w:ascii="宋体" w:hAnsi="宋体" w:eastAsia="宋体"/>
                <w:szCs w:val="21"/>
              </w:rPr>
            </w:pPr>
            <w:r>
              <w:rPr>
                <w:rFonts w:hint="eastAsia" w:ascii="宋体" w:hAnsi="宋体" w:eastAsia="宋体"/>
                <w:szCs w:val="21"/>
              </w:rPr>
              <w:t>1.13、荧光偏振：波长范围300-750nm，检测灵敏度 滤光片&lt; 1mP标准偏差 (1nM荧光素，96孔板)，光栅&lt; 2mP标准偏差 (10nM荧光素，96孔板)</w:t>
            </w:r>
          </w:p>
          <w:p w14:paraId="57FC7DAA">
            <w:pPr>
              <w:jc w:val="left"/>
              <w:rPr>
                <w:rFonts w:ascii="宋体" w:hAnsi="宋体" w:eastAsia="宋体"/>
                <w:szCs w:val="21"/>
              </w:rPr>
            </w:pPr>
            <w:r>
              <w:rPr>
                <w:rFonts w:hint="eastAsia" w:ascii="宋体" w:hAnsi="宋体" w:eastAsia="宋体"/>
                <w:szCs w:val="21"/>
              </w:rPr>
              <w:t>★1.14、近场芯片感应通讯和身份识别功能（NFC）：配备用户身份识别卡，内置感应芯片，使用前用户只需进行识别卡扫描，仪器即会自动识别用户身份，进入到该用户的个性化界面，调出所有此用户账户下的已建立的程序，然后点击运行即可，达到无纸化化的仪器登记使用管理。</w:t>
            </w:r>
          </w:p>
          <w:p w14:paraId="5F352101">
            <w:pPr>
              <w:jc w:val="left"/>
              <w:rPr>
                <w:rFonts w:ascii="宋体" w:hAnsi="宋体" w:eastAsia="宋体"/>
                <w:szCs w:val="21"/>
              </w:rPr>
            </w:pPr>
            <w:r>
              <w:rPr>
                <w:rFonts w:hint="eastAsia" w:ascii="宋体" w:hAnsi="宋体" w:eastAsia="宋体"/>
                <w:szCs w:val="21"/>
              </w:rPr>
              <w:t>★1.15、仪器主机面板具有嵌入式大屏幕触摸屏：无需电脑，直接使用在线触屏，即可进行程序、参数设置、读板、存储数据（至USB或网络路径）、数据展示和浏览；同时机器内置培训视频可在线可调用观看；</w:t>
            </w:r>
          </w:p>
          <w:p w14:paraId="1D39634F">
            <w:pPr>
              <w:jc w:val="left"/>
              <w:rPr>
                <w:rFonts w:ascii="宋体" w:hAnsi="宋体" w:eastAsia="宋体"/>
                <w:szCs w:val="21"/>
              </w:rPr>
            </w:pPr>
            <w:r>
              <w:rPr>
                <w:rFonts w:hint="eastAsia" w:ascii="宋体" w:hAnsi="宋体" w:eastAsia="宋体"/>
                <w:szCs w:val="21"/>
              </w:rPr>
              <w:t>1.16、软件：配备专业数据分析软件，可自动进行数据的运算及存储；可完成图表曲线制作，并可完成坐标轴的自由定义和转换，24种曲线拟合方式；完成自编公式和程序的存储及运行；仪器的各种功能均可通过计算机控制完成；软件符合GLP/GMP规范要求，数据不得修改（SoftMax Pro验证包、IQ/OQ/PQ验证手册可选），兼容Windows 10/11专业版或企业版系统。数据导入支持：Excel或XML格式的外部数据导入功能（可选），支持模板分组导入功能、支持多种模式（ABS\FI）检测导入到同一程序；支持多种数据导出格式：Excel、TXT、XML和PDF。</w:t>
            </w:r>
          </w:p>
          <w:p w14:paraId="22E38636">
            <w:pPr>
              <w:jc w:val="left"/>
              <w:rPr>
                <w:rFonts w:ascii="宋体" w:hAnsi="宋体" w:eastAsia="宋体"/>
                <w:szCs w:val="21"/>
              </w:rPr>
            </w:pPr>
            <w:r>
              <w:rPr>
                <w:rFonts w:hint="eastAsia" w:ascii="宋体" w:hAnsi="宋体" w:eastAsia="宋体"/>
                <w:szCs w:val="21"/>
              </w:rPr>
              <w:t>2、成像功能模块：</w:t>
            </w:r>
          </w:p>
          <w:p w14:paraId="1CE24765">
            <w:pPr>
              <w:jc w:val="left"/>
              <w:rPr>
                <w:rFonts w:ascii="宋体" w:hAnsi="宋体" w:eastAsia="宋体"/>
                <w:szCs w:val="21"/>
              </w:rPr>
            </w:pPr>
            <w:r>
              <w:rPr>
                <w:rFonts w:hint="eastAsia" w:ascii="宋体" w:hAnsi="宋体" w:eastAsia="宋体"/>
                <w:szCs w:val="21"/>
              </w:rPr>
              <w:t>2.1.物镜：采用平场高级半复消色差物镜，物镜倍数支持4倍-63倍可选（4X/NA 0.13、10X/NA0.32、20X/NA0.4、40X/NA0.6、63X/NA0.7）</w:t>
            </w:r>
          </w:p>
          <w:p w14:paraId="1441FA25">
            <w:pPr>
              <w:jc w:val="left"/>
              <w:rPr>
                <w:rFonts w:ascii="宋体" w:hAnsi="宋体" w:eastAsia="宋体"/>
                <w:szCs w:val="21"/>
              </w:rPr>
            </w:pPr>
            <w:r>
              <w:rPr>
                <w:rFonts w:hint="eastAsia" w:ascii="宋体" w:hAnsi="宋体" w:eastAsia="宋体"/>
                <w:szCs w:val="21"/>
              </w:rPr>
              <w:t>2.2.物镜转盘：采用6位转轮方式切换，可根据用户需要随时进行物镜更换</w:t>
            </w:r>
          </w:p>
          <w:p w14:paraId="5E3F27B3">
            <w:pPr>
              <w:jc w:val="left"/>
              <w:rPr>
                <w:rFonts w:ascii="宋体" w:hAnsi="宋体" w:eastAsia="宋体"/>
                <w:szCs w:val="21"/>
              </w:rPr>
            </w:pPr>
            <w:r>
              <w:rPr>
                <w:rFonts w:hint="eastAsia" w:ascii="宋体" w:hAnsi="宋体" w:eastAsia="宋体"/>
                <w:szCs w:val="21"/>
              </w:rPr>
              <w:t>2.3.成像模式：白光/明场、RGB彩色成像、荧光、导航定位拍摄（玻片）、数字共聚焦、Z-stack成像模式</w:t>
            </w:r>
          </w:p>
          <w:p w14:paraId="54D0CF5E">
            <w:pPr>
              <w:jc w:val="left"/>
              <w:rPr>
                <w:rFonts w:ascii="宋体" w:hAnsi="宋体" w:eastAsia="宋体"/>
                <w:szCs w:val="21"/>
              </w:rPr>
            </w:pPr>
            <w:r>
              <w:rPr>
                <w:rFonts w:hint="eastAsia" w:ascii="宋体" w:hAnsi="宋体" w:eastAsia="宋体"/>
                <w:szCs w:val="21"/>
              </w:rPr>
              <w:t xml:space="preserve">2.4.光源：每个通道都采用独立的长寿命固态LED光源（寿命大于2万小时），无需预热，即开即用 </w:t>
            </w:r>
          </w:p>
          <w:p w14:paraId="5EB254D1">
            <w:pPr>
              <w:jc w:val="left"/>
              <w:rPr>
                <w:rFonts w:ascii="宋体" w:hAnsi="宋体" w:eastAsia="宋体"/>
                <w:szCs w:val="21"/>
              </w:rPr>
            </w:pPr>
            <w:r>
              <w:rPr>
                <w:rFonts w:hint="eastAsia" w:ascii="宋体" w:hAnsi="宋体" w:eastAsia="宋体"/>
                <w:szCs w:val="21"/>
              </w:rPr>
              <w:t>2.5.样品适用性：耗材支持完全开放，能使用国产以及进口的各种规格多孔板，包括塑料底材质</w:t>
            </w:r>
          </w:p>
          <w:p w14:paraId="0FB7D502">
            <w:pPr>
              <w:jc w:val="left"/>
              <w:rPr>
                <w:rFonts w:ascii="宋体" w:hAnsi="宋体" w:eastAsia="宋体"/>
                <w:szCs w:val="21"/>
              </w:rPr>
            </w:pPr>
            <w:r>
              <w:rPr>
                <w:rFonts w:hint="eastAsia" w:ascii="宋体" w:hAnsi="宋体" w:eastAsia="宋体"/>
                <w:szCs w:val="21"/>
              </w:rPr>
              <w:t>★2.6.成像系统：标配≥500万像素 大靶面CMOS检测器；4X物镜可单视野拍摄≥384孔板整孔</w:t>
            </w:r>
          </w:p>
          <w:p w14:paraId="5C3FDA6C">
            <w:pPr>
              <w:jc w:val="left"/>
              <w:rPr>
                <w:rFonts w:ascii="宋体" w:hAnsi="宋体" w:eastAsia="宋体"/>
                <w:szCs w:val="21"/>
              </w:rPr>
            </w:pPr>
            <w:r>
              <w:rPr>
                <w:rFonts w:hint="eastAsia" w:ascii="宋体" w:hAnsi="宋体" w:eastAsia="宋体"/>
                <w:szCs w:val="21"/>
              </w:rPr>
              <w:t>2.7.检测器分辨率：分辨率2448X2048，3.45µm pixel，FOV(10x)1.93mm2</w:t>
            </w:r>
          </w:p>
          <w:p w14:paraId="0BD981BA">
            <w:pPr>
              <w:jc w:val="left"/>
              <w:rPr>
                <w:rFonts w:ascii="宋体" w:hAnsi="宋体" w:eastAsia="宋体"/>
                <w:szCs w:val="21"/>
              </w:rPr>
            </w:pPr>
            <w:r>
              <w:rPr>
                <w:rFonts w:hint="eastAsia" w:ascii="宋体" w:hAnsi="宋体" w:eastAsia="宋体"/>
                <w:szCs w:val="21"/>
              </w:rPr>
              <w:t>▲2.8.荧光通道：可同时支持5色荧光通道，共有6种颜色可选，包括DAPI、FITC、TRITC、Cy5、Texas Red、CFP等。</w:t>
            </w:r>
          </w:p>
          <w:p w14:paraId="1E50FEFD">
            <w:pPr>
              <w:jc w:val="left"/>
              <w:rPr>
                <w:rFonts w:ascii="宋体" w:hAnsi="宋体" w:eastAsia="宋体"/>
                <w:szCs w:val="21"/>
              </w:rPr>
            </w:pPr>
            <w:r>
              <w:rPr>
                <w:rFonts w:hint="eastAsia" w:ascii="宋体" w:hAnsi="宋体" w:eastAsia="宋体"/>
                <w:szCs w:val="21"/>
              </w:rPr>
              <w:t>2.9.环境控制：温度控制，室温 +8℃ 至 40℃；O2控制，1 - 15%和环境浓度；CO2控制，环境浓度≥15%，湿度控制：主动湿度控制。样本室控制在85%的标准湿度。</w:t>
            </w:r>
          </w:p>
          <w:p w14:paraId="722AFF22">
            <w:pPr>
              <w:jc w:val="left"/>
              <w:rPr>
                <w:rFonts w:ascii="宋体" w:hAnsi="宋体" w:eastAsia="宋体"/>
                <w:szCs w:val="21"/>
              </w:rPr>
            </w:pPr>
            <w:r>
              <w:rPr>
                <w:rFonts w:hint="eastAsia" w:ascii="宋体" w:hAnsi="宋体" w:eastAsia="宋体"/>
                <w:szCs w:val="21"/>
              </w:rPr>
              <w:t>★2.10.软件：系统软件需具有超过20种预置拍摄protocol，便于操作；分析模块包含图像分析具有模块化流程，如血管生成、细胞凋亡、细胞自噬、无标记细胞计数、无标记细胞形态分析、荧光标记细胞计数、细胞分类、细胞内吞、内化、活细胞检测、溶酶体、线粒体、有丝分裂指数、神经突触追踪（神经细胞生长、神经细胞内突触形成）、细胞吞噬、细胞内点状结构分析（如囊泡、斑点、核小体）、蛋白表达含量分析、核转位分析、病毒感染等，并具有On-the-fly即时分析功能，可以实现边采集图像边同步分析当前实验结果，同时还可以查看和分析过往的实验结果，实现多件事情同时操作。</w:t>
            </w:r>
          </w:p>
        </w:tc>
        <w:tc>
          <w:tcPr>
            <w:tcW w:w="324" w:type="pct"/>
            <w:vAlign w:val="center"/>
          </w:tcPr>
          <w:p w14:paraId="671C31A3">
            <w:pPr>
              <w:jc w:val="center"/>
              <w:rPr>
                <w:rFonts w:ascii="宋体" w:hAnsi="宋体" w:eastAsia="宋体"/>
                <w:szCs w:val="21"/>
              </w:rPr>
            </w:pPr>
            <w:r>
              <w:rPr>
                <w:rFonts w:hint="eastAsia" w:ascii="宋体" w:hAnsi="宋体" w:eastAsia="宋体"/>
                <w:szCs w:val="21"/>
              </w:rPr>
              <w:t>1</w:t>
            </w:r>
          </w:p>
        </w:tc>
      </w:tr>
      <w:tr w14:paraId="5F72E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vAlign w:val="center"/>
          </w:tcPr>
          <w:p w14:paraId="5401BAD6">
            <w:pPr>
              <w:jc w:val="center"/>
              <w:rPr>
                <w:rFonts w:ascii="宋体" w:hAnsi="宋体" w:eastAsia="宋体"/>
                <w:szCs w:val="21"/>
              </w:rPr>
            </w:pPr>
            <w:r>
              <w:rPr>
                <w:rFonts w:hint="eastAsia" w:ascii="宋体" w:hAnsi="宋体" w:eastAsia="宋体"/>
                <w:szCs w:val="21"/>
              </w:rPr>
              <w:t>2</w:t>
            </w:r>
          </w:p>
        </w:tc>
        <w:tc>
          <w:tcPr>
            <w:tcW w:w="506" w:type="pct"/>
            <w:vAlign w:val="center"/>
          </w:tcPr>
          <w:p w14:paraId="4D85D60F">
            <w:pPr>
              <w:jc w:val="center"/>
              <w:rPr>
                <w:rFonts w:ascii="宋体" w:hAnsi="宋体" w:eastAsia="宋体"/>
                <w:szCs w:val="21"/>
              </w:rPr>
            </w:pPr>
            <w:r>
              <w:rPr>
                <w:rFonts w:hint="eastAsia" w:ascii="宋体" w:hAnsi="宋体" w:eastAsia="宋体"/>
                <w:szCs w:val="21"/>
              </w:rPr>
              <w:t>显微操作仪</w:t>
            </w:r>
          </w:p>
        </w:tc>
        <w:tc>
          <w:tcPr>
            <w:tcW w:w="3743" w:type="pct"/>
            <w:vAlign w:val="center"/>
          </w:tcPr>
          <w:p w14:paraId="448C63CE">
            <w:pPr>
              <w:jc w:val="left"/>
              <w:rPr>
                <w:rFonts w:ascii="宋体" w:hAnsi="宋体" w:eastAsia="宋体"/>
                <w:szCs w:val="21"/>
              </w:rPr>
            </w:pPr>
            <w:r>
              <w:rPr>
                <w:rFonts w:hint="eastAsia" w:ascii="宋体" w:hAnsi="宋体" w:eastAsia="宋体"/>
                <w:szCs w:val="21"/>
              </w:rPr>
              <w:t>1.主机：具有明场，荧光，相差、数字成像及分析功能</w:t>
            </w:r>
          </w:p>
          <w:p w14:paraId="39A827D1">
            <w:pPr>
              <w:jc w:val="left"/>
              <w:rPr>
                <w:rFonts w:ascii="宋体" w:hAnsi="宋体" w:eastAsia="宋体"/>
                <w:szCs w:val="21"/>
              </w:rPr>
            </w:pPr>
            <w:r>
              <w:rPr>
                <w:rFonts w:hint="eastAsia" w:ascii="宋体" w:hAnsi="宋体" w:eastAsia="宋体"/>
                <w:szCs w:val="21"/>
              </w:rPr>
              <w:t>1.1机身：研究级金属机身，防震机座，稳定结构，可作明场、暗场、相差、数字成像，可扩展DIC、偏光、共览等观察</w:t>
            </w:r>
          </w:p>
          <w:p w14:paraId="7DA11B2D">
            <w:pPr>
              <w:jc w:val="left"/>
              <w:rPr>
                <w:rFonts w:ascii="宋体" w:hAnsi="宋体" w:eastAsia="宋体"/>
                <w:szCs w:val="21"/>
              </w:rPr>
            </w:pPr>
            <w:r>
              <w:rPr>
                <w:rFonts w:hint="eastAsia" w:ascii="宋体" w:hAnsi="宋体" w:eastAsia="宋体"/>
                <w:szCs w:val="21"/>
              </w:rPr>
              <w:t>1.2放大倍数：25x-400x</w:t>
            </w:r>
          </w:p>
          <w:p w14:paraId="3B6F1DF8">
            <w:pPr>
              <w:jc w:val="left"/>
              <w:rPr>
                <w:rFonts w:ascii="宋体" w:hAnsi="宋体" w:eastAsia="宋体"/>
                <w:szCs w:val="21"/>
              </w:rPr>
            </w:pPr>
            <w:r>
              <w:rPr>
                <w:rFonts w:hint="eastAsia" w:ascii="宋体" w:hAnsi="宋体" w:eastAsia="宋体"/>
                <w:szCs w:val="21"/>
              </w:rPr>
              <w:t>▲1.3光学出口：机身左侧有出口，（0/100）分光，成像视野≥19mm</w:t>
            </w:r>
          </w:p>
          <w:p w14:paraId="6E65D02E">
            <w:pPr>
              <w:jc w:val="left"/>
              <w:rPr>
                <w:rFonts w:ascii="宋体" w:hAnsi="宋体" w:eastAsia="宋体"/>
                <w:szCs w:val="21"/>
              </w:rPr>
            </w:pPr>
            <w:r>
              <w:rPr>
                <w:rFonts w:hint="eastAsia" w:ascii="宋体" w:hAnsi="宋体" w:eastAsia="宋体"/>
                <w:szCs w:val="21"/>
              </w:rPr>
              <w:t>★1.4光学系统：无限远校正光学系统，齐焦距离≥45mm</w:t>
            </w:r>
          </w:p>
          <w:p w14:paraId="17257CAC">
            <w:pPr>
              <w:jc w:val="left"/>
              <w:rPr>
                <w:rFonts w:ascii="宋体" w:hAnsi="宋体" w:eastAsia="宋体"/>
                <w:szCs w:val="21"/>
              </w:rPr>
            </w:pPr>
            <w:r>
              <w:rPr>
                <w:rFonts w:hint="eastAsia" w:ascii="宋体" w:hAnsi="宋体" w:eastAsia="宋体"/>
                <w:szCs w:val="21"/>
              </w:rPr>
              <w:t>1.5物镜转盘：6位物镜转换器</w:t>
            </w:r>
          </w:p>
          <w:p w14:paraId="36CADE10">
            <w:pPr>
              <w:jc w:val="left"/>
              <w:rPr>
                <w:rFonts w:ascii="宋体" w:hAnsi="宋体" w:eastAsia="宋体"/>
                <w:szCs w:val="21"/>
              </w:rPr>
            </w:pPr>
            <w:r>
              <w:rPr>
                <w:rFonts w:hint="eastAsia" w:ascii="宋体" w:hAnsi="宋体" w:eastAsia="宋体"/>
                <w:szCs w:val="21"/>
              </w:rPr>
              <w:t>★1.6调焦：粗微调同轴调节，调焦行程12mm,张力可调，带限位装置，最小精度1um</w:t>
            </w:r>
          </w:p>
          <w:p w14:paraId="698DF703">
            <w:pPr>
              <w:jc w:val="left"/>
              <w:rPr>
                <w:rFonts w:ascii="宋体" w:hAnsi="宋体" w:eastAsia="宋体"/>
                <w:szCs w:val="21"/>
              </w:rPr>
            </w:pPr>
            <w:r>
              <w:rPr>
                <w:rFonts w:hint="eastAsia" w:ascii="宋体" w:hAnsi="宋体" w:eastAsia="宋体"/>
                <w:szCs w:val="21"/>
              </w:rPr>
              <w:t>★1.7照明立柱LED照明灯 功率 ≥10W 寿命≥ 40000 小时带触发式光闸，速度 ≤ 8ms，支持电动控制</w:t>
            </w:r>
          </w:p>
          <w:p w14:paraId="0758F22C">
            <w:pPr>
              <w:jc w:val="left"/>
              <w:rPr>
                <w:rFonts w:ascii="宋体" w:hAnsi="宋体" w:eastAsia="宋体"/>
                <w:szCs w:val="21"/>
              </w:rPr>
            </w:pPr>
            <w:r>
              <w:rPr>
                <w:rFonts w:hint="eastAsia" w:ascii="宋体" w:hAnsi="宋体" w:eastAsia="宋体"/>
                <w:szCs w:val="21"/>
              </w:rPr>
              <w:t>1.8载物台：高抗磨损性陶瓷覆盖层载物台，行程≥248x212MM</w:t>
            </w:r>
          </w:p>
          <w:p w14:paraId="0040DD8F">
            <w:pPr>
              <w:jc w:val="left"/>
              <w:rPr>
                <w:rFonts w:ascii="宋体" w:hAnsi="宋体" w:eastAsia="宋体"/>
                <w:szCs w:val="21"/>
              </w:rPr>
            </w:pPr>
            <w:r>
              <w:rPr>
                <w:rFonts w:hint="eastAsia" w:ascii="宋体" w:hAnsi="宋体" w:eastAsia="宋体"/>
                <w:szCs w:val="21"/>
              </w:rPr>
              <w:t>1.9多功能样夹：适应不同大小的培养皿和玻片。</w:t>
            </w:r>
          </w:p>
          <w:p w14:paraId="3CB3BF97">
            <w:pPr>
              <w:jc w:val="left"/>
              <w:rPr>
                <w:rFonts w:ascii="宋体" w:hAnsi="宋体" w:eastAsia="宋体"/>
                <w:szCs w:val="21"/>
              </w:rPr>
            </w:pPr>
            <w:r>
              <w:rPr>
                <w:rFonts w:hint="eastAsia" w:ascii="宋体" w:hAnsi="宋体" w:eastAsia="宋体"/>
                <w:szCs w:val="21"/>
              </w:rPr>
              <w:t>2.光学部分</w:t>
            </w:r>
          </w:p>
          <w:p w14:paraId="116B1EC0">
            <w:pPr>
              <w:jc w:val="left"/>
              <w:rPr>
                <w:rFonts w:ascii="宋体" w:hAnsi="宋体" w:eastAsia="宋体"/>
                <w:szCs w:val="21"/>
              </w:rPr>
            </w:pPr>
            <w:r>
              <w:rPr>
                <w:rFonts w:hint="eastAsia" w:ascii="宋体" w:hAnsi="宋体" w:eastAsia="宋体"/>
                <w:szCs w:val="21"/>
              </w:rPr>
              <w:t>★2.1观察镜筒：超宽视野倾角可调双目镜筒，支持视野数≥25mm</w:t>
            </w:r>
          </w:p>
          <w:p w14:paraId="4D8AC0C7">
            <w:pPr>
              <w:jc w:val="left"/>
              <w:rPr>
                <w:rFonts w:ascii="宋体" w:hAnsi="宋体" w:eastAsia="宋体"/>
                <w:szCs w:val="21"/>
              </w:rPr>
            </w:pPr>
            <w:r>
              <w:rPr>
                <w:rFonts w:hint="eastAsia" w:ascii="宋体" w:hAnsi="宋体" w:eastAsia="宋体"/>
                <w:szCs w:val="21"/>
              </w:rPr>
              <w:t>★2.2万能聚光镜，工作距离≥70mm，可实现明场、相差、荧光等多种观察方式的转换</w:t>
            </w:r>
          </w:p>
          <w:p w14:paraId="10FB312F">
            <w:pPr>
              <w:jc w:val="left"/>
              <w:rPr>
                <w:rFonts w:ascii="宋体" w:hAnsi="宋体" w:eastAsia="宋体"/>
                <w:szCs w:val="21"/>
              </w:rPr>
            </w:pPr>
            <w:r>
              <w:rPr>
                <w:rFonts w:hint="eastAsia" w:ascii="宋体" w:hAnsi="宋体" w:eastAsia="宋体"/>
                <w:szCs w:val="21"/>
              </w:rPr>
              <w:t>2.3 10X宽视野目镜，双目屈光度可调</w:t>
            </w:r>
          </w:p>
          <w:p w14:paraId="0C00AE76">
            <w:pPr>
              <w:jc w:val="left"/>
              <w:rPr>
                <w:rFonts w:ascii="宋体" w:hAnsi="宋体" w:eastAsia="宋体"/>
                <w:szCs w:val="21"/>
              </w:rPr>
            </w:pPr>
            <w:r>
              <w:rPr>
                <w:rFonts w:hint="eastAsia" w:ascii="宋体" w:hAnsi="宋体" w:eastAsia="宋体"/>
                <w:szCs w:val="21"/>
              </w:rPr>
              <w:t>★2.4物镜：2.5X超大视野高反差相差物镜</w:t>
            </w:r>
          </w:p>
          <w:p w14:paraId="4445A211">
            <w:pPr>
              <w:jc w:val="left"/>
              <w:rPr>
                <w:rFonts w:ascii="宋体" w:hAnsi="宋体" w:eastAsia="宋体"/>
                <w:szCs w:val="21"/>
              </w:rPr>
            </w:pPr>
            <w:r>
              <w:rPr>
                <w:rFonts w:hint="eastAsia" w:ascii="宋体" w:hAnsi="宋体" w:eastAsia="宋体"/>
                <w:szCs w:val="21"/>
              </w:rPr>
              <w:t>10X,20X,40X超长工作距离半复消色差相差物镜</w:t>
            </w:r>
          </w:p>
          <w:p w14:paraId="603A6CC9">
            <w:pPr>
              <w:jc w:val="left"/>
              <w:rPr>
                <w:rFonts w:ascii="宋体" w:hAnsi="宋体" w:eastAsia="宋体"/>
                <w:szCs w:val="21"/>
              </w:rPr>
            </w:pPr>
            <w:r>
              <w:rPr>
                <w:rFonts w:hint="eastAsia" w:ascii="宋体" w:hAnsi="宋体" w:eastAsia="宋体"/>
                <w:szCs w:val="21"/>
              </w:rPr>
              <w:t>3荧光：</w:t>
            </w:r>
          </w:p>
          <w:p w14:paraId="07C3B735">
            <w:pPr>
              <w:jc w:val="left"/>
              <w:rPr>
                <w:rFonts w:ascii="宋体" w:hAnsi="宋体" w:eastAsia="宋体"/>
                <w:szCs w:val="21"/>
              </w:rPr>
            </w:pPr>
            <w:r>
              <w:rPr>
                <w:rFonts w:hint="eastAsia" w:ascii="宋体" w:hAnsi="宋体" w:eastAsia="宋体"/>
                <w:szCs w:val="21"/>
              </w:rPr>
              <w:t>3.1 长寿命120W金属卤素荧光光源，寿命大于2000小时，6位旋转式激发滤块转换器,配三色激发块，蓝色，绿色，红色</w:t>
            </w:r>
          </w:p>
          <w:p w14:paraId="177B19E7">
            <w:pPr>
              <w:jc w:val="left"/>
              <w:rPr>
                <w:rFonts w:ascii="宋体" w:hAnsi="宋体" w:eastAsia="宋体"/>
                <w:szCs w:val="21"/>
              </w:rPr>
            </w:pPr>
            <w:r>
              <w:rPr>
                <w:rFonts w:hint="eastAsia" w:ascii="宋体" w:hAnsi="宋体" w:eastAsia="宋体"/>
                <w:szCs w:val="21"/>
              </w:rPr>
              <w:t>★3.2支持荧光滤块在线更换（在不关闭软件状态下更换荧光滤块，并且立即识别）</w:t>
            </w:r>
          </w:p>
          <w:p w14:paraId="50BD004F">
            <w:pPr>
              <w:jc w:val="left"/>
              <w:rPr>
                <w:rFonts w:ascii="宋体" w:hAnsi="宋体" w:eastAsia="宋体"/>
                <w:szCs w:val="21"/>
              </w:rPr>
            </w:pPr>
            <w:r>
              <w:rPr>
                <w:rFonts w:hint="eastAsia" w:ascii="宋体" w:hAnsi="宋体" w:eastAsia="宋体"/>
                <w:szCs w:val="21"/>
              </w:rPr>
              <w:t>3.3机身左右侧均有窗口可以更换荧光滤块，荧光滤块磁性吸入到位</w:t>
            </w:r>
          </w:p>
          <w:p w14:paraId="7BF070B8">
            <w:pPr>
              <w:jc w:val="left"/>
              <w:rPr>
                <w:rFonts w:ascii="宋体" w:hAnsi="宋体" w:eastAsia="宋体"/>
                <w:szCs w:val="21"/>
              </w:rPr>
            </w:pPr>
            <w:r>
              <w:rPr>
                <w:rFonts w:hint="eastAsia" w:ascii="宋体" w:hAnsi="宋体" w:eastAsia="宋体"/>
                <w:szCs w:val="21"/>
              </w:rPr>
              <w:t>3.4硬件具有荧光零漂移技术，保证多通道荧光叠加准确</w:t>
            </w:r>
          </w:p>
          <w:p w14:paraId="3264F6E8">
            <w:pPr>
              <w:jc w:val="left"/>
              <w:rPr>
                <w:rFonts w:ascii="宋体" w:hAnsi="宋体" w:eastAsia="宋体"/>
                <w:szCs w:val="21"/>
              </w:rPr>
            </w:pPr>
            <w:r>
              <w:rPr>
                <w:rFonts w:hint="eastAsia" w:ascii="宋体" w:hAnsi="宋体" w:eastAsia="宋体"/>
                <w:szCs w:val="21"/>
              </w:rPr>
              <w:t>★4数码摄像系统：搭配高灵敏CMOS彩色相机；分辨率≥3200像素 x 2200像素，传感器大小（对角线）≥17.6mm；每秒帧数：全分辨率下≥133帧/秒；曝光时间：1毫秒-30秒；像素大小≥4.5微米 x 4.5微米；读出噪声≤5.7 e-低增益模式；≤2.48 e- 高增益模式；传感器冷却：带风扇的主动热稳定系统；位深/色深：8位、12位、16位；</w:t>
            </w:r>
          </w:p>
          <w:p w14:paraId="020E7D3F">
            <w:pPr>
              <w:jc w:val="left"/>
              <w:rPr>
                <w:rFonts w:ascii="宋体" w:hAnsi="宋体" w:eastAsia="宋体"/>
                <w:szCs w:val="21"/>
              </w:rPr>
            </w:pPr>
            <w:r>
              <w:rPr>
                <w:rFonts w:hint="eastAsia" w:ascii="宋体" w:hAnsi="宋体" w:eastAsia="宋体"/>
                <w:szCs w:val="21"/>
              </w:rPr>
              <w:t>5、电脑工作站以及图像分析软件：可用于相机控制和显微镜控制，进行图像采集和分析。可以进行物镜定标，添加标尺。可以添加直线，箭头，文本框等注释内容，多色荧光的叠加功能。</w:t>
            </w:r>
          </w:p>
        </w:tc>
        <w:tc>
          <w:tcPr>
            <w:tcW w:w="324" w:type="pct"/>
            <w:vAlign w:val="center"/>
          </w:tcPr>
          <w:p w14:paraId="13E037FA">
            <w:pPr>
              <w:jc w:val="center"/>
              <w:rPr>
                <w:rFonts w:ascii="宋体" w:hAnsi="宋体" w:eastAsia="宋体"/>
                <w:szCs w:val="21"/>
              </w:rPr>
            </w:pPr>
            <w:r>
              <w:rPr>
                <w:rFonts w:hint="eastAsia" w:ascii="宋体" w:hAnsi="宋体" w:eastAsia="宋体"/>
                <w:szCs w:val="21"/>
              </w:rPr>
              <w:t>1</w:t>
            </w:r>
          </w:p>
        </w:tc>
      </w:tr>
      <w:tr w14:paraId="3BB645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vAlign w:val="center"/>
          </w:tcPr>
          <w:p w14:paraId="34AA6665">
            <w:pPr>
              <w:jc w:val="center"/>
              <w:rPr>
                <w:rFonts w:ascii="宋体" w:hAnsi="宋体" w:eastAsia="宋体"/>
                <w:szCs w:val="21"/>
              </w:rPr>
            </w:pPr>
            <w:r>
              <w:rPr>
                <w:rFonts w:hint="eastAsia" w:ascii="宋体" w:hAnsi="宋体" w:eastAsia="宋体"/>
                <w:szCs w:val="21"/>
              </w:rPr>
              <w:t>3</w:t>
            </w:r>
          </w:p>
        </w:tc>
        <w:tc>
          <w:tcPr>
            <w:tcW w:w="506" w:type="pct"/>
            <w:vAlign w:val="center"/>
          </w:tcPr>
          <w:p w14:paraId="4ED629CF">
            <w:pPr>
              <w:jc w:val="center"/>
              <w:rPr>
                <w:rFonts w:ascii="宋体" w:hAnsi="宋体" w:eastAsia="宋体"/>
                <w:szCs w:val="21"/>
              </w:rPr>
            </w:pPr>
            <w:r>
              <w:rPr>
                <w:rFonts w:hint="eastAsia" w:ascii="宋体" w:hAnsi="宋体" w:eastAsia="宋体"/>
                <w:szCs w:val="21"/>
              </w:rPr>
              <w:t>正置荧光显微镜系统</w:t>
            </w:r>
          </w:p>
        </w:tc>
        <w:tc>
          <w:tcPr>
            <w:tcW w:w="3743" w:type="pct"/>
            <w:vAlign w:val="center"/>
          </w:tcPr>
          <w:p w14:paraId="59FD96D7">
            <w:pPr>
              <w:jc w:val="left"/>
              <w:rPr>
                <w:rFonts w:ascii="宋体" w:hAnsi="宋体" w:eastAsia="宋体"/>
                <w:szCs w:val="21"/>
              </w:rPr>
            </w:pPr>
            <w:r>
              <w:rPr>
                <w:rFonts w:hint="eastAsia" w:ascii="宋体" w:hAnsi="宋体" w:eastAsia="宋体"/>
                <w:szCs w:val="21"/>
              </w:rPr>
              <w:t>▲1.具有全自动明场，暗场，相衬及荧光观察功能，成像视野19mm</w:t>
            </w:r>
          </w:p>
          <w:p w14:paraId="7EF2D48F">
            <w:pPr>
              <w:jc w:val="left"/>
              <w:rPr>
                <w:rFonts w:ascii="宋体" w:hAnsi="宋体" w:eastAsia="宋体"/>
                <w:szCs w:val="21"/>
              </w:rPr>
            </w:pPr>
            <w:r>
              <w:rPr>
                <w:rFonts w:hint="eastAsia" w:ascii="宋体" w:hAnsi="宋体" w:eastAsia="宋体"/>
                <w:szCs w:val="21"/>
              </w:rPr>
              <w:t>2.电动控制万能聚光镜，具有电动调节科勒照明功能，低倍观察时,顶镜自动摆出。</w:t>
            </w:r>
          </w:p>
          <w:p w14:paraId="7639485B">
            <w:pPr>
              <w:jc w:val="left"/>
              <w:rPr>
                <w:rFonts w:ascii="宋体" w:hAnsi="宋体" w:eastAsia="宋体"/>
                <w:szCs w:val="21"/>
              </w:rPr>
            </w:pPr>
            <w:r>
              <w:rPr>
                <w:rFonts w:hint="eastAsia" w:ascii="宋体" w:hAnsi="宋体" w:eastAsia="宋体"/>
                <w:szCs w:val="21"/>
              </w:rPr>
              <w:t>★3.色温,曝光光强自动平衡调节功能，系统可智能化的设定每一个物镜。</w:t>
            </w:r>
          </w:p>
          <w:p w14:paraId="69824B5A">
            <w:pPr>
              <w:jc w:val="left"/>
              <w:rPr>
                <w:rFonts w:ascii="宋体" w:hAnsi="宋体" w:eastAsia="宋体"/>
                <w:szCs w:val="21"/>
              </w:rPr>
            </w:pPr>
            <w:r>
              <w:rPr>
                <w:rFonts w:hint="eastAsia" w:ascii="宋体" w:hAnsi="宋体" w:eastAsia="宋体"/>
                <w:szCs w:val="21"/>
              </w:rPr>
              <w:t>★4.最优化的光强，视场光阑，孔径光阑，无需手动调节，在不同照明方法中选择如相差/明场/暗场/荧光，只需要按一个键就能完成，所有显微镜参数都量化,并能被存储和复制。</w:t>
            </w:r>
          </w:p>
          <w:p w14:paraId="5C9D845C">
            <w:pPr>
              <w:jc w:val="left"/>
              <w:rPr>
                <w:rFonts w:ascii="宋体" w:hAnsi="宋体" w:eastAsia="宋体"/>
                <w:szCs w:val="21"/>
              </w:rPr>
            </w:pPr>
            <w:r>
              <w:rPr>
                <w:rFonts w:hint="eastAsia" w:ascii="宋体" w:hAnsi="宋体" w:eastAsia="宋体"/>
                <w:szCs w:val="21"/>
              </w:rPr>
              <w:t>★5.主机上带LCD显示屏,显示显微镜各种参数以及所以显微镜功能和状态。</w:t>
            </w:r>
          </w:p>
          <w:p w14:paraId="24EB759E">
            <w:pPr>
              <w:jc w:val="left"/>
              <w:rPr>
                <w:rFonts w:ascii="宋体" w:hAnsi="宋体" w:eastAsia="宋体"/>
                <w:szCs w:val="21"/>
              </w:rPr>
            </w:pPr>
            <w:r>
              <w:rPr>
                <w:rFonts w:hint="eastAsia" w:ascii="宋体" w:hAnsi="宋体" w:eastAsia="宋体"/>
                <w:szCs w:val="21"/>
              </w:rPr>
              <w:t>6.6位编码可记忆物镜转换器；</w:t>
            </w:r>
          </w:p>
          <w:p w14:paraId="77DA7345">
            <w:pPr>
              <w:jc w:val="left"/>
              <w:rPr>
                <w:rFonts w:ascii="宋体" w:hAnsi="宋体" w:eastAsia="宋体"/>
                <w:szCs w:val="21"/>
              </w:rPr>
            </w:pPr>
            <w:r>
              <w:rPr>
                <w:rFonts w:hint="eastAsia" w:ascii="宋体" w:hAnsi="宋体" w:eastAsia="宋体"/>
                <w:szCs w:val="21"/>
              </w:rPr>
              <w:t>7.放大倍数：25~1000X；</w:t>
            </w:r>
          </w:p>
          <w:p w14:paraId="6E1AA02C">
            <w:pPr>
              <w:jc w:val="left"/>
              <w:rPr>
                <w:rFonts w:ascii="宋体" w:hAnsi="宋体" w:eastAsia="宋体"/>
                <w:szCs w:val="21"/>
              </w:rPr>
            </w:pPr>
            <w:r>
              <w:rPr>
                <w:rFonts w:hint="eastAsia" w:ascii="宋体" w:hAnsi="宋体" w:eastAsia="宋体"/>
                <w:szCs w:val="21"/>
              </w:rPr>
              <w:t>8.调焦：带同轴粗,精调焦, 有上限停止位置，高精度微调旋钮（最小微调刻度单位不大于1微米），内置防下滑结构；</w:t>
            </w:r>
          </w:p>
          <w:p w14:paraId="596FDC5A">
            <w:pPr>
              <w:jc w:val="left"/>
              <w:rPr>
                <w:rFonts w:ascii="宋体" w:hAnsi="宋体" w:eastAsia="宋体"/>
                <w:szCs w:val="21"/>
              </w:rPr>
            </w:pPr>
            <w:r>
              <w:rPr>
                <w:rFonts w:hint="eastAsia" w:ascii="宋体" w:hAnsi="宋体" w:eastAsia="宋体"/>
                <w:szCs w:val="21"/>
              </w:rPr>
              <w:t>9.观察镜筒：宽视野三目照相镜筒，具有三档分光位置；</w:t>
            </w:r>
          </w:p>
          <w:p w14:paraId="0C97D06F">
            <w:pPr>
              <w:jc w:val="left"/>
              <w:rPr>
                <w:rFonts w:ascii="宋体" w:hAnsi="宋体" w:eastAsia="宋体"/>
                <w:szCs w:val="21"/>
              </w:rPr>
            </w:pPr>
            <w:r>
              <w:rPr>
                <w:rFonts w:hint="eastAsia" w:ascii="宋体" w:hAnsi="宋体" w:eastAsia="宋体"/>
                <w:szCs w:val="21"/>
              </w:rPr>
              <w:t>10.照明装置：12V100W卤素灯，内装式滤色镜；</w:t>
            </w:r>
          </w:p>
          <w:p w14:paraId="362E48CF">
            <w:pPr>
              <w:jc w:val="left"/>
              <w:rPr>
                <w:rFonts w:ascii="宋体" w:hAnsi="宋体" w:eastAsia="宋体"/>
                <w:szCs w:val="21"/>
              </w:rPr>
            </w:pPr>
            <w:r>
              <w:rPr>
                <w:rFonts w:hint="eastAsia" w:ascii="宋体" w:hAnsi="宋体" w:eastAsia="宋体"/>
                <w:szCs w:val="21"/>
              </w:rPr>
              <w:t>11.目镜：10X宽视野目镜，视场直径为25mm；</w:t>
            </w:r>
          </w:p>
          <w:p w14:paraId="7BBD91A1">
            <w:pPr>
              <w:jc w:val="left"/>
              <w:rPr>
                <w:rFonts w:ascii="宋体" w:hAnsi="宋体" w:eastAsia="宋体"/>
                <w:szCs w:val="21"/>
              </w:rPr>
            </w:pPr>
            <w:r>
              <w:rPr>
                <w:rFonts w:hint="eastAsia" w:ascii="宋体" w:hAnsi="宋体" w:eastAsia="宋体"/>
                <w:szCs w:val="21"/>
              </w:rPr>
              <w:t>12.100%观察条件复制功能，计算机软件控制显微镜；</w:t>
            </w:r>
          </w:p>
          <w:p w14:paraId="5CB1529D">
            <w:pPr>
              <w:jc w:val="left"/>
              <w:rPr>
                <w:rFonts w:ascii="宋体" w:hAnsi="宋体" w:eastAsia="宋体"/>
                <w:szCs w:val="21"/>
              </w:rPr>
            </w:pPr>
            <w:r>
              <w:rPr>
                <w:rFonts w:hint="eastAsia" w:ascii="宋体" w:hAnsi="宋体" w:eastAsia="宋体"/>
                <w:szCs w:val="21"/>
              </w:rPr>
              <w:t>★13.2.5X、5X增强型高反差消色差物镜，10X,20X,40X,63X半复消色差荧光物镜；</w:t>
            </w:r>
          </w:p>
          <w:p w14:paraId="42CDDE58">
            <w:pPr>
              <w:jc w:val="left"/>
              <w:rPr>
                <w:rFonts w:ascii="宋体" w:hAnsi="宋体" w:eastAsia="宋体"/>
                <w:szCs w:val="21"/>
              </w:rPr>
            </w:pPr>
            <w:r>
              <w:rPr>
                <w:rFonts w:hint="eastAsia" w:ascii="宋体" w:hAnsi="宋体" w:eastAsia="宋体"/>
                <w:szCs w:val="21"/>
              </w:rPr>
              <w:t>14.5档荧光光强调节；</w:t>
            </w:r>
          </w:p>
          <w:p w14:paraId="0C90F930">
            <w:pPr>
              <w:jc w:val="left"/>
              <w:rPr>
                <w:rFonts w:ascii="宋体" w:hAnsi="宋体" w:eastAsia="宋体"/>
                <w:szCs w:val="21"/>
              </w:rPr>
            </w:pPr>
            <w:r>
              <w:rPr>
                <w:rFonts w:hint="eastAsia" w:ascii="宋体" w:hAnsi="宋体" w:eastAsia="宋体"/>
                <w:szCs w:val="21"/>
              </w:rPr>
              <w:t>★15.6种圆型荧光视场光栏, 防止荧光淬灭, 6种矩型视场光栏, 提高CCD图像信嘈比；</w:t>
            </w:r>
          </w:p>
          <w:p w14:paraId="22617BA9">
            <w:pPr>
              <w:jc w:val="left"/>
              <w:rPr>
                <w:rFonts w:ascii="宋体" w:hAnsi="宋体" w:eastAsia="宋体"/>
                <w:szCs w:val="21"/>
              </w:rPr>
            </w:pPr>
            <w:r>
              <w:rPr>
                <w:rFonts w:hint="eastAsia" w:ascii="宋体" w:hAnsi="宋体" w:eastAsia="宋体"/>
                <w:szCs w:val="21"/>
              </w:rPr>
              <w:t>★16.6位荧光滤块转盘，支持荧光滤块在线更换（在不关闭软件状态下更换荧光滤块， 并且立即识别），机身左右侧均有窗口可以更换荧光滤块，荧光滤块磁性吸入到位，配置红绿蓝三色荧光滤块；</w:t>
            </w:r>
          </w:p>
          <w:p w14:paraId="418355F9">
            <w:pPr>
              <w:jc w:val="left"/>
              <w:rPr>
                <w:rFonts w:ascii="宋体" w:hAnsi="宋体" w:eastAsia="宋体"/>
                <w:szCs w:val="21"/>
              </w:rPr>
            </w:pPr>
            <w:r>
              <w:rPr>
                <w:rFonts w:hint="eastAsia" w:ascii="宋体" w:hAnsi="宋体" w:eastAsia="宋体"/>
                <w:szCs w:val="21"/>
              </w:rPr>
              <w:t>17.不同颜色荧光激发零漂移功能,保证拍摄照片没有变形；</w:t>
            </w:r>
          </w:p>
          <w:p w14:paraId="79457D45">
            <w:pPr>
              <w:jc w:val="left"/>
              <w:rPr>
                <w:rFonts w:ascii="宋体" w:hAnsi="宋体" w:eastAsia="宋体"/>
                <w:szCs w:val="21"/>
              </w:rPr>
            </w:pPr>
            <w:r>
              <w:rPr>
                <w:rFonts w:hint="eastAsia" w:ascii="宋体" w:hAnsi="宋体" w:eastAsia="宋体"/>
                <w:szCs w:val="21"/>
              </w:rPr>
              <w:t>★18.荧光激发管理,电动荧光激发平衡，快速荧光滤块转换,速度≤0.2S；</w:t>
            </w:r>
          </w:p>
          <w:p w14:paraId="68EE720B">
            <w:pPr>
              <w:jc w:val="left"/>
              <w:rPr>
                <w:rFonts w:ascii="宋体" w:hAnsi="宋体" w:eastAsia="宋体"/>
                <w:szCs w:val="21"/>
              </w:rPr>
            </w:pPr>
            <w:r>
              <w:rPr>
                <w:rFonts w:hint="eastAsia" w:ascii="宋体" w:hAnsi="宋体" w:eastAsia="宋体"/>
                <w:szCs w:val="21"/>
              </w:rPr>
              <w:t>★19.120W金属卤素荧光光源，寿命大于2000小时，6位旋转式激发滤块转换器，具有电调节光强功能，荧光三色激发滤块，荧光滤块内置BG38滤镜提高荧光效率；</w:t>
            </w:r>
          </w:p>
          <w:p w14:paraId="658387D5">
            <w:pPr>
              <w:jc w:val="left"/>
              <w:rPr>
                <w:rFonts w:ascii="宋体" w:hAnsi="宋体" w:eastAsia="宋体"/>
                <w:szCs w:val="21"/>
              </w:rPr>
            </w:pPr>
            <w:r>
              <w:rPr>
                <w:rFonts w:hint="eastAsia" w:ascii="宋体" w:hAnsi="宋体" w:eastAsia="宋体"/>
                <w:szCs w:val="21"/>
              </w:rPr>
              <w:t>★20.数码摄像系统：搭配高灵敏CMOS彩色相机；分辨率≥3200像素 x 2200像素，传感器大小（对角线）≥17.6mm；每秒帧数：全分辨率下≥133帧/秒；曝光时间：1毫秒-30秒；像素大小≥4.5微米 x 4.5微米；读出噪声≤5.7 e-低增益模式；≤2.48 e- 高增益模式；传感器冷却：带风扇的主动热稳定系统；位深/色深：8位、12位、16位；显微</w:t>
            </w:r>
          </w:p>
          <w:p w14:paraId="6F9341DA">
            <w:pPr>
              <w:jc w:val="left"/>
              <w:rPr>
                <w:rFonts w:ascii="宋体" w:hAnsi="宋体" w:eastAsia="宋体"/>
                <w:szCs w:val="21"/>
              </w:rPr>
            </w:pPr>
            <w:r>
              <w:rPr>
                <w:rFonts w:hint="eastAsia" w:ascii="宋体" w:hAnsi="宋体" w:eastAsia="宋体"/>
                <w:szCs w:val="21"/>
              </w:rPr>
              <w:t>21.电脑工作站以及图像分析软件：可用于相机控制和显微镜控制，进行图像采集和分析。可以进行物镜定标，添加标尺。可以添加直线，箭头，文本框等注释内容，多色荧光的叠加功能。</w:t>
            </w:r>
          </w:p>
        </w:tc>
        <w:tc>
          <w:tcPr>
            <w:tcW w:w="324" w:type="pct"/>
            <w:vAlign w:val="center"/>
          </w:tcPr>
          <w:p w14:paraId="0A25C6C2">
            <w:pPr>
              <w:jc w:val="center"/>
              <w:rPr>
                <w:rFonts w:ascii="宋体" w:hAnsi="宋体" w:eastAsia="宋体"/>
                <w:szCs w:val="21"/>
              </w:rPr>
            </w:pPr>
            <w:r>
              <w:rPr>
                <w:rFonts w:hint="eastAsia" w:ascii="宋体" w:hAnsi="宋体" w:eastAsia="宋体"/>
                <w:szCs w:val="21"/>
              </w:rPr>
              <w:t>1</w:t>
            </w:r>
          </w:p>
        </w:tc>
      </w:tr>
      <w:tr w14:paraId="6C7E9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vAlign w:val="center"/>
          </w:tcPr>
          <w:p w14:paraId="438AC393">
            <w:pPr>
              <w:jc w:val="center"/>
              <w:rPr>
                <w:rFonts w:ascii="宋体" w:hAnsi="宋体" w:eastAsia="宋体"/>
                <w:szCs w:val="21"/>
              </w:rPr>
            </w:pPr>
            <w:r>
              <w:rPr>
                <w:rFonts w:hint="eastAsia" w:ascii="宋体" w:hAnsi="宋体" w:eastAsia="宋体"/>
                <w:szCs w:val="21"/>
              </w:rPr>
              <w:t>4</w:t>
            </w:r>
          </w:p>
        </w:tc>
        <w:tc>
          <w:tcPr>
            <w:tcW w:w="506" w:type="pct"/>
            <w:vAlign w:val="center"/>
          </w:tcPr>
          <w:p w14:paraId="5789AD08">
            <w:pPr>
              <w:jc w:val="center"/>
              <w:rPr>
                <w:rFonts w:ascii="宋体" w:hAnsi="宋体" w:eastAsia="宋体"/>
                <w:szCs w:val="21"/>
              </w:rPr>
            </w:pPr>
            <w:r>
              <w:rPr>
                <w:rFonts w:hint="eastAsia" w:ascii="宋体" w:hAnsi="宋体" w:eastAsia="宋体"/>
                <w:szCs w:val="21"/>
              </w:rPr>
              <w:t>精确称量系统</w:t>
            </w:r>
          </w:p>
        </w:tc>
        <w:tc>
          <w:tcPr>
            <w:tcW w:w="3743" w:type="pct"/>
            <w:vAlign w:val="center"/>
          </w:tcPr>
          <w:p w14:paraId="3EFAECC9">
            <w:pPr>
              <w:jc w:val="left"/>
              <w:rPr>
                <w:rFonts w:ascii="宋体" w:hAnsi="宋体" w:eastAsia="宋体"/>
                <w:szCs w:val="21"/>
              </w:rPr>
            </w:pPr>
            <w:r>
              <w:rPr>
                <w:rFonts w:hint="eastAsia" w:ascii="宋体" w:hAnsi="宋体" w:eastAsia="宋体"/>
                <w:szCs w:val="21"/>
              </w:rPr>
              <w:t>1.1、最大称量值≥220g</w:t>
            </w:r>
          </w:p>
          <w:p w14:paraId="5E69768C">
            <w:pPr>
              <w:jc w:val="left"/>
              <w:rPr>
                <w:rFonts w:ascii="宋体" w:hAnsi="宋体" w:eastAsia="宋体"/>
                <w:szCs w:val="21"/>
              </w:rPr>
            </w:pPr>
            <w:r>
              <w:rPr>
                <w:rFonts w:hint="eastAsia" w:ascii="宋体" w:hAnsi="宋体" w:eastAsia="宋体"/>
                <w:szCs w:val="21"/>
              </w:rPr>
              <w:t>1.2、可读性：0.1mg</w:t>
            </w:r>
          </w:p>
          <w:p w14:paraId="37218D90">
            <w:pPr>
              <w:jc w:val="left"/>
              <w:rPr>
                <w:rFonts w:ascii="宋体" w:hAnsi="宋体" w:eastAsia="宋体"/>
                <w:szCs w:val="21"/>
              </w:rPr>
            </w:pPr>
            <w:r>
              <w:rPr>
                <w:rFonts w:hint="eastAsia" w:ascii="宋体" w:hAnsi="宋体" w:eastAsia="宋体"/>
                <w:szCs w:val="21"/>
              </w:rPr>
              <w:t>1.3、校准方式：内校</w:t>
            </w:r>
          </w:p>
          <w:p w14:paraId="22B51D07">
            <w:pPr>
              <w:jc w:val="left"/>
              <w:rPr>
                <w:rFonts w:ascii="宋体" w:hAnsi="宋体" w:eastAsia="宋体"/>
                <w:szCs w:val="21"/>
              </w:rPr>
            </w:pPr>
            <w:r>
              <w:rPr>
                <w:rFonts w:hint="eastAsia" w:ascii="宋体" w:hAnsi="宋体" w:eastAsia="宋体"/>
                <w:szCs w:val="21"/>
              </w:rPr>
              <w:t>★1.4、重复性(sd) ≤0.08mg</w:t>
            </w:r>
          </w:p>
          <w:p w14:paraId="452BA93B">
            <w:pPr>
              <w:jc w:val="left"/>
              <w:rPr>
                <w:rFonts w:ascii="宋体" w:hAnsi="宋体" w:eastAsia="宋体"/>
                <w:szCs w:val="21"/>
              </w:rPr>
            </w:pPr>
            <w:r>
              <w:rPr>
                <w:rFonts w:hint="eastAsia" w:ascii="宋体" w:hAnsi="宋体" w:eastAsia="宋体"/>
                <w:szCs w:val="21"/>
              </w:rPr>
              <w:t>★1.5、线性误差≤0.06mg</w:t>
            </w:r>
          </w:p>
          <w:p w14:paraId="136EF989">
            <w:pPr>
              <w:jc w:val="left"/>
              <w:rPr>
                <w:rFonts w:ascii="宋体" w:hAnsi="宋体" w:eastAsia="宋体"/>
                <w:szCs w:val="21"/>
              </w:rPr>
            </w:pPr>
            <w:r>
              <w:rPr>
                <w:rFonts w:hint="eastAsia" w:ascii="宋体" w:hAnsi="宋体" w:eastAsia="宋体"/>
                <w:szCs w:val="21"/>
              </w:rPr>
              <w:t>★1.6、灵敏度漂移≤2ppm/˚C</w:t>
            </w:r>
          </w:p>
          <w:p w14:paraId="458F0E64">
            <w:pPr>
              <w:jc w:val="left"/>
              <w:rPr>
                <w:rFonts w:ascii="宋体" w:hAnsi="宋体" w:eastAsia="宋体"/>
                <w:szCs w:val="21"/>
              </w:rPr>
            </w:pPr>
            <w:r>
              <w:rPr>
                <w:rFonts w:hint="eastAsia" w:ascii="宋体" w:hAnsi="宋体" w:eastAsia="宋体"/>
                <w:szCs w:val="21"/>
              </w:rPr>
              <w:t>★1.7、稳定时间≤2S</w:t>
            </w:r>
          </w:p>
          <w:p w14:paraId="2294242C">
            <w:pPr>
              <w:jc w:val="left"/>
              <w:rPr>
                <w:rFonts w:ascii="宋体" w:hAnsi="宋体" w:eastAsia="宋体"/>
                <w:szCs w:val="21"/>
              </w:rPr>
            </w:pPr>
            <w:r>
              <w:rPr>
                <w:rFonts w:hint="eastAsia" w:ascii="宋体" w:hAnsi="宋体" w:eastAsia="宋体"/>
                <w:szCs w:val="21"/>
              </w:rPr>
              <w:t>1.8、秤盘外形尺寸≥90mm</w:t>
            </w:r>
          </w:p>
          <w:p w14:paraId="31552878">
            <w:pPr>
              <w:jc w:val="left"/>
              <w:rPr>
                <w:rFonts w:ascii="宋体" w:hAnsi="宋体" w:eastAsia="宋体"/>
                <w:szCs w:val="21"/>
              </w:rPr>
            </w:pPr>
            <w:r>
              <w:rPr>
                <w:rFonts w:hint="eastAsia" w:ascii="宋体" w:hAnsi="宋体" w:eastAsia="宋体"/>
                <w:szCs w:val="21"/>
              </w:rPr>
              <w:t>1.9、金属底座，传感器设计可实现过载保护.</w:t>
            </w:r>
          </w:p>
          <w:p w14:paraId="392099A0">
            <w:pPr>
              <w:jc w:val="left"/>
              <w:rPr>
                <w:rFonts w:ascii="宋体" w:hAnsi="宋体" w:eastAsia="宋体"/>
                <w:szCs w:val="21"/>
              </w:rPr>
            </w:pPr>
            <w:r>
              <w:rPr>
                <w:rFonts w:hint="eastAsia" w:ascii="宋体" w:hAnsi="宋体" w:eastAsia="宋体"/>
                <w:szCs w:val="21"/>
              </w:rPr>
              <w:t>1.10、内部高精度传感器结合整体的抗震设计,可确保天平在非实验室环境中的性能.</w:t>
            </w:r>
          </w:p>
          <w:p w14:paraId="0FA77D33">
            <w:pPr>
              <w:jc w:val="left"/>
              <w:rPr>
                <w:rFonts w:ascii="宋体" w:hAnsi="宋体" w:eastAsia="宋体"/>
                <w:szCs w:val="21"/>
              </w:rPr>
            </w:pPr>
            <w:r>
              <w:rPr>
                <w:rFonts w:hint="eastAsia" w:ascii="宋体" w:hAnsi="宋体" w:eastAsia="宋体"/>
                <w:szCs w:val="21"/>
              </w:rPr>
              <w:t>★1.11、内置的时间与日期标识，确保称量、校准和校正的数据符合ISO/GLP文档的记录要求；密码保护可防止对设置进行未经授权或意外更改。确保所有天平操作人员使用相同的设置并且过程一致。</w:t>
            </w:r>
          </w:p>
          <w:p w14:paraId="0CBC576B">
            <w:pPr>
              <w:jc w:val="left"/>
              <w:rPr>
                <w:rFonts w:ascii="宋体" w:hAnsi="宋体" w:eastAsia="宋体"/>
                <w:szCs w:val="21"/>
              </w:rPr>
            </w:pPr>
            <w:r>
              <w:rPr>
                <w:rFonts w:hint="eastAsia" w:ascii="宋体" w:hAnsi="宋体" w:eastAsia="宋体"/>
                <w:szCs w:val="21"/>
              </w:rPr>
              <w:t>1.12、机身标配保护罩，可有效避免散落样品对操作界面的腐蚀</w:t>
            </w:r>
          </w:p>
          <w:p w14:paraId="03496887">
            <w:pPr>
              <w:jc w:val="left"/>
              <w:rPr>
                <w:rFonts w:ascii="宋体" w:hAnsi="宋体" w:eastAsia="宋体"/>
                <w:szCs w:val="21"/>
              </w:rPr>
            </w:pPr>
            <w:r>
              <w:rPr>
                <w:rFonts w:hint="eastAsia" w:ascii="宋体" w:hAnsi="宋体" w:eastAsia="宋体"/>
                <w:szCs w:val="21"/>
              </w:rPr>
              <w:t>1.13、多级数字滤波和补偿技术，优化天平在不同称量条件下的称量性能。</w:t>
            </w:r>
          </w:p>
          <w:p w14:paraId="1A69A851">
            <w:pPr>
              <w:jc w:val="left"/>
              <w:rPr>
                <w:rFonts w:ascii="宋体" w:hAnsi="宋体" w:eastAsia="宋体"/>
                <w:szCs w:val="21"/>
              </w:rPr>
            </w:pPr>
            <w:r>
              <w:rPr>
                <w:rFonts w:hint="eastAsia" w:ascii="宋体" w:hAnsi="宋体" w:eastAsia="宋体"/>
                <w:szCs w:val="21"/>
              </w:rPr>
              <w:t>1.14、 动态图形显示，直接显示天平已使用的称量范围。</w:t>
            </w:r>
          </w:p>
          <w:p w14:paraId="1F5E9458">
            <w:pPr>
              <w:jc w:val="left"/>
              <w:rPr>
                <w:rFonts w:ascii="宋体" w:hAnsi="宋体" w:eastAsia="宋体"/>
                <w:szCs w:val="21"/>
              </w:rPr>
            </w:pPr>
            <w:r>
              <w:rPr>
                <w:rFonts w:hint="eastAsia" w:ascii="宋体" w:hAnsi="宋体" w:eastAsia="宋体"/>
                <w:szCs w:val="21"/>
              </w:rPr>
              <w:t>1.15、下称钩设计，满足客户特殊应用需求。</w:t>
            </w:r>
          </w:p>
          <w:p w14:paraId="421FF1A5">
            <w:pPr>
              <w:jc w:val="left"/>
              <w:rPr>
                <w:rFonts w:ascii="宋体" w:hAnsi="宋体" w:eastAsia="宋体"/>
                <w:szCs w:val="21"/>
              </w:rPr>
            </w:pPr>
            <w:r>
              <w:rPr>
                <w:rFonts w:hint="eastAsia" w:ascii="宋体" w:hAnsi="宋体" w:eastAsia="宋体"/>
                <w:szCs w:val="21"/>
              </w:rPr>
              <w:t>1.16、丰富的内置应用程序：配方称量、求和称量、动态称量、计件称量、密度测定、百分比称量、检重称量、统计称量、自由因子称量。</w:t>
            </w:r>
          </w:p>
          <w:p w14:paraId="7C073633">
            <w:pPr>
              <w:jc w:val="left"/>
              <w:rPr>
                <w:rFonts w:ascii="宋体" w:hAnsi="宋体" w:eastAsia="宋体"/>
                <w:szCs w:val="21"/>
              </w:rPr>
            </w:pPr>
            <w:r>
              <w:rPr>
                <w:rFonts w:hint="eastAsia" w:ascii="宋体" w:hAnsi="宋体" w:eastAsia="宋体"/>
                <w:szCs w:val="21"/>
              </w:rPr>
              <w:t>1.17、 称量值检索功能，自动存储最近一次的称量结果，方便查看。</w:t>
            </w:r>
          </w:p>
          <w:p w14:paraId="4A76A355">
            <w:pPr>
              <w:jc w:val="left"/>
              <w:rPr>
                <w:rFonts w:ascii="宋体" w:hAnsi="宋体" w:eastAsia="宋体"/>
                <w:szCs w:val="21"/>
              </w:rPr>
            </w:pPr>
            <w:r>
              <w:rPr>
                <w:rFonts w:hint="eastAsia" w:ascii="宋体" w:hAnsi="宋体" w:eastAsia="宋体"/>
                <w:szCs w:val="21"/>
              </w:rPr>
              <w:t>★1.18、可同时连接10台天平实现EasyDirect Balance的数据管理软件,可将称量结果直接传输至Excel等开放式应用程序，传输过程自动开始,无需其它辅助软件。</w:t>
            </w:r>
          </w:p>
          <w:p w14:paraId="0E76C356">
            <w:pPr>
              <w:jc w:val="left"/>
              <w:rPr>
                <w:rFonts w:ascii="宋体" w:hAnsi="宋体" w:eastAsia="宋体"/>
                <w:szCs w:val="21"/>
              </w:rPr>
            </w:pPr>
            <w:r>
              <w:rPr>
                <w:rFonts w:hint="eastAsia" w:ascii="宋体" w:hAnsi="宋体" w:eastAsia="宋体"/>
                <w:szCs w:val="21"/>
              </w:rPr>
              <w:t>1.19、内置RS232通讯接口，方便连接打印机和电脑等外围设备。</w:t>
            </w:r>
          </w:p>
          <w:p w14:paraId="3ED42612">
            <w:pPr>
              <w:jc w:val="left"/>
              <w:rPr>
                <w:rFonts w:ascii="宋体" w:hAnsi="宋体" w:eastAsia="宋体"/>
                <w:szCs w:val="21"/>
              </w:rPr>
            </w:pPr>
            <w:r>
              <w:rPr>
                <w:rFonts w:hint="eastAsia" w:ascii="宋体" w:hAnsi="宋体" w:eastAsia="宋体"/>
                <w:szCs w:val="21"/>
              </w:rPr>
              <w:t>1.20、动态温度补偿，实时修正环境温度波动对称量结果的影响。</w:t>
            </w:r>
          </w:p>
          <w:p w14:paraId="7049EEE8">
            <w:pPr>
              <w:jc w:val="left"/>
              <w:rPr>
                <w:rFonts w:ascii="宋体" w:hAnsi="宋体" w:eastAsia="宋体"/>
                <w:szCs w:val="21"/>
              </w:rPr>
            </w:pPr>
            <w:r>
              <w:rPr>
                <w:rFonts w:hint="eastAsia" w:ascii="宋体" w:hAnsi="宋体" w:eastAsia="宋体"/>
                <w:szCs w:val="21"/>
              </w:rPr>
              <w:t>★1.21、投标人或制造商需具备提供校准服务的能力，能提供中国合格评定国家认可委员会颁发的实验室认可证书。</w:t>
            </w:r>
          </w:p>
          <w:p w14:paraId="370E8F54">
            <w:pPr>
              <w:jc w:val="left"/>
              <w:rPr>
                <w:rFonts w:ascii="宋体" w:hAnsi="宋体" w:eastAsia="宋体"/>
                <w:szCs w:val="21"/>
              </w:rPr>
            </w:pPr>
            <w:r>
              <w:rPr>
                <w:rFonts w:hint="eastAsia" w:ascii="宋体" w:hAnsi="宋体" w:eastAsia="宋体"/>
                <w:szCs w:val="21"/>
              </w:rPr>
              <w:t>1.22、天平主机4套、天平打印机4套</w:t>
            </w:r>
          </w:p>
          <w:p w14:paraId="766C54FC">
            <w:pPr>
              <w:jc w:val="left"/>
              <w:rPr>
                <w:rFonts w:ascii="宋体" w:hAnsi="宋体" w:eastAsia="宋体"/>
                <w:szCs w:val="21"/>
              </w:rPr>
            </w:pPr>
            <w:r>
              <w:rPr>
                <w:rFonts w:hint="eastAsia" w:ascii="宋体" w:hAnsi="宋体" w:eastAsia="宋体"/>
                <w:szCs w:val="21"/>
              </w:rPr>
              <w:t>★2.1、最大称量值0-220g, 0-121g可读性0.01mg，121-220g可读性0.1mg,</w:t>
            </w:r>
          </w:p>
          <w:p w14:paraId="0B67066D">
            <w:pPr>
              <w:jc w:val="left"/>
              <w:rPr>
                <w:rFonts w:ascii="宋体" w:hAnsi="宋体" w:eastAsia="宋体"/>
                <w:szCs w:val="21"/>
              </w:rPr>
            </w:pPr>
            <w:r>
              <w:rPr>
                <w:rFonts w:hint="eastAsia" w:ascii="宋体" w:hAnsi="宋体" w:eastAsia="宋体"/>
                <w:szCs w:val="21"/>
              </w:rPr>
              <w:t>2.2、重复性(5%加载) 0.01mg典型值,</w:t>
            </w:r>
          </w:p>
          <w:p w14:paraId="650B0252">
            <w:pPr>
              <w:jc w:val="left"/>
              <w:rPr>
                <w:rFonts w:ascii="宋体" w:hAnsi="宋体" w:eastAsia="宋体"/>
                <w:szCs w:val="21"/>
              </w:rPr>
            </w:pPr>
            <w:r>
              <w:rPr>
                <w:rFonts w:hint="eastAsia" w:ascii="宋体" w:hAnsi="宋体" w:eastAsia="宋体"/>
                <w:szCs w:val="21"/>
              </w:rPr>
              <w:t xml:space="preserve">2.3、线性偏差0.06mg, </w:t>
            </w:r>
          </w:p>
          <w:p w14:paraId="26D1C12A">
            <w:pPr>
              <w:jc w:val="left"/>
              <w:rPr>
                <w:rFonts w:ascii="宋体" w:hAnsi="宋体" w:eastAsia="宋体"/>
                <w:szCs w:val="21"/>
              </w:rPr>
            </w:pPr>
            <w:r>
              <w:rPr>
                <w:rFonts w:hint="eastAsia" w:ascii="宋体" w:hAnsi="宋体" w:eastAsia="宋体"/>
                <w:szCs w:val="21"/>
              </w:rPr>
              <w:t>★2.4、最小称量值(5%加载，k=2，U=0.10%) 20mg 典型值；</w:t>
            </w:r>
          </w:p>
          <w:p w14:paraId="466049F4">
            <w:pPr>
              <w:jc w:val="left"/>
              <w:rPr>
                <w:rFonts w:ascii="宋体" w:hAnsi="宋体" w:eastAsia="宋体"/>
                <w:szCs w:val="21"/>
              </w:rPr>
            </w:pPr>
            <w:r>
              <w:rPr>
                <w:rFonts w:hint="eastAsia" w:ascii="宋体" w:hAnsi="宋体" w:eastAsia="宋体"/>
                <w:szCs w:val="21"/>
              </w:rPr>
              <w:t>★2.5、Smart网格秤盘，可将气流影响降至最低，获得快速、准确的称量结果；</w:t>
            </w:r>
          </w:p>
          <w:p w14:paraId="0A834512">
            <w:pPr>
              <w:jc w:val="left"/>
              <w:rPr>
                <w:rFonts w:ascii="宋体" w:hAnsi="宋体" w:eastAsia="宋体"/>
                <w:szCs w:val="21"/>
              </w:rPr>
            </w:pPr>
            <w:r>
              <w:rPr>
                <w:rFonts w:hint="eastAsia" w:ascii="宋体" w:hAnsi="宋体" w:eastAsia="宋体"/>
                <w:szCs w:val="21"/>
              </w:rPr>
              <w:t xml:space="preserve">2.6、水平向导，在天平未处于水平时提供警告，并在触摸屏上显示完整的说明和红/绿色实时图形化水平泡 </w:t>
            </w:r>
          </w:p>
          <w:p w14:paraId="28B9C3F4">
            <w:pPr>
              <w:jc w:val="left"/>
              <w:rPr>
                <w:rFonts w:ascii="宋体" w:hAnsi="宋体" w:eastAsia="宋体"/>
                <w:szCs w:val="21"/>
              </w:rPr>
            </w:pPr>
            <w:r>
              <w:rPr>
                <w:rFonts w:hint="eastAsia" w:ascii="宋体" w:hAnsi="宋体" w:eastAsia="宋体"/>
                <w:szCs w:val="21"/>
              </w:rPr>
              <w:t>★2.7、采用高分辨率后置式传感器，内置两组校正砝码，满足用户高精度的称量需求</w:t>
            </w:r>
          </w:p>
          <w:p w14:paraId="7F3C9246">
            <w:pPr>
              <w:jc w:val="left"/>
              <w:rPr>
                <w:rFonts w:ascii="宋体" w:hAnsi="宋体" w:eastAsia="宋体"/>
                <w:szCs w:val="21"/>
              </w:rPr>
            </w:pPr>
            <w:r>
              <w:rPr>
                <w:rFonts w:hint="eastAsia" w:ascii="宋体" w:hAnsi="宋体" w:eastAsia="宋体"/>
                <w:szCs w:val="21"/>
              </w:rPr>
              <w:t xml:space="preserve">2.8、显示屏配备状态指示灯，用红黄绿三色直观显示天平是否处于正常状态； </w:t>
            </w:r>
          </w:p>
          <w:p w14:paraId="6E63F440">
            <w:pPr>
              <w:jc w:val="left"/>
              <w:rPr>
                <w:rFonts w:ascii="宋体" w:hAnsi="宋体" w:eastAsia="宋体"/>
                <w:szCs w:val="21"/>
              </w:rPr>
            </w:pPr>
            <w:r>
              <w:rPr>
                <w:rFonts w:hint="eastAsia" w:ascii="宋体" w:hAnsi="宋体" w:eastAsia="宋体"/>
                <w:szCs w:val="21"/>
              </w:rPr>
              <w:t>2.9、配置7英寸彩色电容式触摸屏</w:t>
            </w:r>
          </w:p>
          <w:p w14:paraId="354BEFE6">
            <w:pPr>
              <w:jc w:val="left"/>
              <w:rPr>
                <w:rFonts w:ascii="宋体" w:hAnsi="宋体" w:eastAsia="宋体"/>
                <w:szCs w:val="21"/>
              </w:rPr>
            </w:pPr>
            <w:r>
              <w:rPr>
                <w:rFonts w:hint="eastAsia" w:ascii="宋体" w:hAnsi="宋体" w:eastAsia="宋体"/>
                <w:szCs w:val="21"/>
              </w:rPr>
              <w:t>2.10、电机驱动的防风门开关时支持电机助力，并可选配红外传感器，实现无需用手接触的天平操作，不仅简化了称量流程，并提升了工作效 率；</w:t>
            </w:r>
          </w:p>
          <w:p w14:paraId="7320AE64">
            <w:pPr>
              <w:jc w:val="left"/>
              <w:rPr>
                <w:rFonts w:ascii="宋体" w:hAnsi="宋体" w:eastAsia="宋体"/>
                <w:szCs w:val="21"/>
              </w:rPr>
            </w:pPr>
            <w:r>
              <w:rPr>
                <w:rFonts w:hint="eastAsia" w:ascii="宋体" w:hAnsi="宋体" w:eastAsia="宋体"/>
                <w:szCs w:val="21"/>
              </w:rPr>
              <w:t>★2.11、专业级全自动校准技术，可由温度漂移和时间设置触发的自动内置砝码校正和线性校正；</w:t>
            </w:r>
          </w:p>
          <w:p w14:paraId="4BC056AE">
            <w:pPr>
              <w:jc w:val="left"/>
              <w:rPr>
                <w:rFonts w:ascii="宋体" w:hAnsi="宋体" w:eastAsia="宋体"/>
                <w:szCs w:val="21"/>
              </w:rPr>
            </w:pPr>
            <w:r>
              <w:rPr>
                <w:rFonts w:hint="eastAsia" w:ascii="宋体" w:hAnsi="宋体" w:eastAsia="宋体"/>
                <w:szCs w:val="21"/>
              </w:rPr>
              <w:t>★2.12、可保存≥500条校准记录，≥500条日常测试记录和≥500条服务记录</w:t>
            </w:r>
          </w:p>
          <w:p w14:paraId="6245C90B">
            <w:pPr>
              <w:jc w:val="left"/>
              <w:rPr>
                <w:rFonts w:ascii="宋体" w:hAnsi="宋体" w:eastAsia="宋体"/>
                <w:szCs w:val="21"/>
              </w:rPr>
            </w:pPr>
            <w:r>
              <w:rPr>
                <w:rFonts w:hint="eastAsia" w:ascii="宋体" w:hAnsi="宋体" w:eastAsia="宋体"/>
                <w:szCs w:val="21"/>
              </w:rPr>
              <w:t>2.13、配备多个端口用于轻松连接和数据导出：4X USB，1 X LAN；</w:t>
            </w:r>
          </w:p>
          <w:p w14:paraId="2CDAE40A">
            <w:pPr>
              <w:jc w:val="left"/>
              <w:rPr>
                <w:rFonts w:ascii="宋体" w:hAnsi="宋体" w:eastAsia="宋体"/>
                <w:szCs w:val="21"/>
              </w:rPr>
            </w:pPr>
            <w:r>
              <w:rPr>
                <w:rFonts w:hint="eastAsia" w:ascii="宋体" w:hAnsi="宋体" w:eastAsia="宋体"/>
                <w:szCs w:val="21"/>
              </w:rPr>
              <w:t>2.14、无需任何工具即可拆卸的防风罩设计，并可用洗碗机直接清洗，实现快速清洁；</w:t>
            </w:r>
          </w:p>
          <w:p w14:paraId="68DF8690">
            <w:pPr>
              <w:jc w:val="left"/>
              <w:rPr>
                <w:rFonts w:ascii="宋体" w:hAnsi="宋体" w:eastAsia="宋体"/>
                <w:szCs w:val="21"/>
              </w:rPr>
            </w:pPr>
            <w:r>
              <w:rPr>
                <w:rFonts w:hint="eastAsia" w:ascii="宋体" w:hAnsi="宋体" w:eastAsia="宋体"/>
                <w:szCs w:val="21"/>
              </w:rPr>
              <w:t>2.15、内置结果记事本，记录称量任务参数和称量结果</w:t>
            </w:r>
          </w:p>
          <w:p w14:paraId="0C11B1F3">
            <w:pPr>
              <w:jc w:val="left"/>
              <w:rPr>
                <w:rFonts w:ascii="宋体" w:hAnsi="宋体" w:eastAsia="宋体"/>
                <w:szCs w:val="21"/>
              </w:rPr>
            </w:pPr>
            <w:r>
              <w:rPr>
                <w:rFonts w:hint="eastAsia" w:ascii="宋体" w:hAnsi="宋体" w:eastAsia="宋体"/>
                <w:szCs w:val="21"/>
              </w:rPr>
              <w:t>★2.16、支持接入LabX,由LabX统一对接到LIMS，实现数据完整性管理</w:t>
            </w:r>
          </w:p>
          <w:p w14:paraId="0033A4F2">
            <w:pPr>
              <w:jc w:val="left"/>
              <w:rPr>
                <w:rFonts w:ascii="宋体" w:hAnsi="宋体" w:eastAsia="宋体"/>
                <w:szCs w:val="21"/>
              </w:rPr>
            </w:pPr>
            <w:r>
              <w:rPr>
                <w:rFonts w:hint="eastAsia" w:ascii="宋体" w:hAnsi="宋体" w:eastAsia="宋体"/>
                <w:szCs w:val="21"/>
              </w:rPr>
              <w:t>2.17、天平主机2套、天平打印机2套</w:t>
            </w:r>
          </w:p>
        </w:tc>
        <w:tc>
          <w:tcPr>
            <w:tcW w:w="324" w:type="pct"/>
            <w:vAlign w:val="center"/>
          </w:tcPr>
          <w:p w14:paraId="487DC62F">
            <w:pPr>
              <w:jc w:val="center"/>
              <w:rPr>
                <w:rFonts w:ascii="宋体" w:hAnsi="宋体" w:eastAsia="宋体"/>
                <w:szCs w:val="21"/>
              </w:rPr>
            </w:pPr>
            <w:r>
              <w:rPr>
                <w:rFonts w:hint="eastAsia" w:ascii="宋体" w:hAnsi="宋体" w:eastAsia="宋体"/>
                <w:szCs w:val="21"/>
              </w:rPr>
              <w:t>1</w:t>
            </w:r>
          </w:p>
        </w:tc>
      </w:tr>
      <w:tr w14:paraId="19D08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5" w:type="pct"/>
            <w:vAlign w:val="center"/>
          </w:tcPr>
          <w:p w14:paraId="36268FC8">
            <w:pPr>
              <w:jc w:val="center"/>
              <w:rPr>
                <w:rFonts w:ascii="宋体" w:hAnsi="宋体" w:eastAsia="宋体"/>
                <w:szCs w:val="21"/>
              </w:rPr>
            </w:pPr>
            <w:r>
              <w:rPr>
                <w:rFonts w:hint="eastAsia" w:ascii="宋体" w:hAnsi="宋体" w:eastAsia="宋体"/>
                <w:szCs w:val="21"/>
              </w:rPr>
              <w:t>5</w:t>
            </w:r>
          </w:p>
        </w:tc>
        <w:tc>
          <w:tcPr>
            <w:tcW w:w="506" w:type="pct"/>
            <w:vAlign w:val="center"/>
          </w:tcPr>
          <w:p w14:paraId="64690667">
            <w:pPr>
              <w:jc w:val="center"/>
              <w:rPr>
                <w:rFonts w:ascii="宋体" w:hAnsi="宋体" w:eastAsia="宋体"/>
                <w:szCs w:val="21"/>
              </w:rPr>
            </w:pPr>
            <w:r>
              <w:rPr>
                <w:rFonts w:hint="eastAsia" w:ascii="宋体" w:hAnsi="宋体" w:eastAsia="宋体"/>
                <w:szCs w:val="21"/>
              </w:rPr>
              <w:t>电化学热分析工作站</w:t>
            </w:r>
          </w:p>
        </w:tc>
        <w:tc>
          <w:tcPr>
            <w:tcW w:w="3743" w:type="pct"/>
            <w:vAlign w:val="center"/>
          </w:tcPr>
          <w:p w14:paraId="7F82DDC2">
            <w:pPr>
              <w:jc w:val="left"/>
              <w:rPr>
                <w:rFonts w:ascii="宋体" w:hAnsi="宋体" w:eastAsia="宋体"/>
                <w:szCs w:val="21"/>
              </w:rPr>
            </w:pPr>
            <w:r>
              <w:rPr>
                <w:rFonts w:hint="eastAsia" w:ascii="宋体" w:hAnsi="宋体" w:eastAsia="宋体"/>
                <w:szCs w:val="21"/>
              </w:rPr>
              <w:t>★1 温度范围：室温~1100℃</w:t>
            </w:r>
          </w:p>
          <w:p w14:paraId="14EDB786">
            <w:pPr>
              <w:jc w:val="left"/>
              <w:rPr>
                <w:rFonts w:ascii="宋体" w:hAnsi="宋体" w:eastAsia="宋体"/>
                <w:szCs w:val="21"/>
              </w:rPr>
            </w:pPr>
            <w:r>
              <w:rPr>
                <w:rFonts w:hint="eastAsia" w:ascii="宋体" w:hAnsi="宋体" w:eastAsia="宋体"/>
                <w:szCs w:val="21"/>
              </w:rPr>
              <w:t>2温度准确性（动态升温，非恒温）：±1℃</w:t>
            </w:r>
          </w:p>
          <w:p w14:paraId="0DFE6B2C">
            <w:pPr>
              <w:jc w:val="left"/>
              <w:rPr>
                <w:rFonts w:ascii="宋体" w:hAnsi="宋体" w:eastAsia="宋体"/>
                <w:szCs w:val="21"/>
              </w:rPr>
            </w:pPr>
            <w:r>
              <w:rPr>
                <w:rFonts w:hint="eastAsia" w:ascii="宋体" w:hAnsi="宋体" w:eastAsia="宋体"/>
                <w:szCs w:val="21"/>
              </w:rPr>
              <w:t xml:space="preserve">3温度精度（动态升温，非恒温）：±0.4℃ </w:t>
            </w:r>
          </w:p>
          <w:p w14:paraId="38572ADA">
            <w:pPr>
              <w:jc w:val="left"/>
              <w:rPr>
                <w:rFonts w:ascii="宋体" w:hAnsi="宋体" w:eastAsia="宋体"/>
                <w:szCs w:val="21"/>
              </w:rPr>
            </w:pPr>
            <w:r>
              <w:rPr>
                <w:rFonts w:hint="eastAsia" w:ascii="宋体" w:hAnsi="宋体" w:eastAsia="宋体"/>
                <w:szCs w:val="21"/>
              </w:rPr>
              <w:t>4冷却时间（最高～100℃，不通任何气体）：≤20min</w:t>
            </w:r>
          </w:p>
          <w:p w14:paraId="4913CDC9">
            <w:pPr>
              <w:jc w:val="left"/>
              <w:rPr>
                <w:rFonts w:ascii="宋体" w:hAnsi="宋体" w:eastAsia="宋体"/>
                <w:szCs w:val="21"/>
              </w:rPr>
            </w:pPr>
            <w:r>
              <w:rPr>
                <w:rFonts w:hint="eastAsia" w:ascii="宋体" w:hAnsi="宋体" w:eastAsia="宋体"/>
                <w:szCs w:val="21"/>
              </w:rPr>
              <w:t>★5炉体冷却方式：循环水浴冷却炉体</w:t>
            </w:r>
          </w:p>
          <w:p w14:paraId="0009B79C">
            <w:pPr>
              <w:jc w:val="left"/>
              <w:rPr>
                <w:rFonts w:ascii="宋体" w:hAnsi="宋体" w:eastAsia="宋体"/>
                <w:szCs w:val="21"/>
              </w:rPr>
            </w:pPr>
            <w:r>
              <w:rPr>
                <w:rFonts w:hint="eastAsia" w:ascii="宋体" w:hAnsi="宋体" w:eastAsia="宋体"/>
                <w:szCs w:val="21"/>
              </w:rPr>
              <w:t>6最大升温速率（全程线性可控）：不低于200℃/min</w:t>
            </w:r>
          </w:p>
          <w:p w14:paraId="435FAD27">
            <w:pPr>
              <w:jc w:val="left"/>
              <w:rPr>
                <w:rFonts w:ascii="宋体" w:hAnsi="宋体" w:eastAsia="宋体"/>
                <w:szCs w:val="21"/>
              </w:rPr>
            </w:pPr>
            <w:r>
              <w:rPr>
                <w:rFonts w:hint="eastAsia" w:ascii="宋体" w:hAnsi="宋体" w:eastAsia="宋体"/>
                <w:szCs w:val="21"/>
              </w:rPr>
              <w:t>★7 炉体材料：水平铂铑炉，保证发热体较快的升温速率的同时，增加发热体的寿命</w:t>
            </w:r>
          </w:p>
          <w:p w14:paraId="55F94D90">
            <w:pPr>
              <w:jc w:val="left"/>
              <w:rPr>
                <w:rFonts w:ascii="宋体" w:hAnsi="宋体" w:eastAsia="宋体"/>
                <w:szCs w:val="21"/>
              </w:rPr>
            </w:pPr>
            <w:r>
              <w:rPr>
                <w:rFonts w:hint="eastAsia" w:ascii="宋体" w:hAnsi="宋体" w:eastAsia="宋体"/>
                <w:szCs w:val="21"/>
              </w:rPr>
              <w:t>★8称重精度：≤0.0025%；最大样品量至1000 mg.</w:t>
            </w:r>
          </w:p>
          <w:p w14:paraId="09B1E203">
            <w:pPr>
              <w:jc w:val="left"/>
              <w:rPr>
                <w:rFonts w:ascii="宋体" w:hAnsi="宋体" w:eastAsia="宋体"/>
                <w:szCs w:val="21"/>
              </w:rPr>
            </w:pPr>
            <w:r>
              <w:rPr>
                <w:rFonts w:hint="eastAsia" w:ascii="宋体" w:hAnsi="宋体" w:eastAsia="宋体"/>
                <w:szCs w:val="21"/>
              </w:rPr>
              <w:t xml:space="preserve">9 天平灵敏度：0.1µg </w:t>
            </w:r>
          </w:p>
          <w:p w14:paraId="5A7A071B">
            <w:pPr>
              <w:jc w:val="left"/>
              <w:rPr>
                <w:rFonts w:ascii="宋体" w:hAnsi="宋体" w:eastAsia="宋体"/>
                <w:szCs w:val="21"/>
              </w:rPr>
            </w:pPr>
            <w:r>
              <w:rPr>
                <w:rFonts w:hint="eastAsia" w:ascii="宋体" w:hAnsi="宋体" w:eastAsia="宋体"/>
                <w:szCs w:val="21"/>
              </w:rPr>
              <w:t>10称量准确度：≤0.01%</w:t>
            </w:r>
          </w:p>
          <w:p w14:paraId="518AAD0F">
            <w:pPr>
              <w:jc w:val="left"/>
              <w:rPr>
                <w:rFonts w:ascii="宋体" w:hAnsi="宋体" w:eastAsia="宋体"/>
                <w:szCs w:val="21"/>
              </w:rPr>
            </w:pPr>
            <w:r>
              <w:rPr>
                <w:rFonts w:hint="eastAsia" w:ascii="宋体" w:hAnsi="宋体" w:eastAsia="宋体"/>
                <w:szCs w:val="21"/>
              </w:rPr>
              <w:t>11称量重复性：≤0.001mg</w:t>
            </w:r>
          </w:p>
          <w:p w14:paraId="53272207">
            <w:pPr>
              <w:jc w:val="left"/>
              <w:rPr>
                <w:rFonts w:ascii="宋体" w:hAnsi="宋体" w:eastAsia="宋体"/>
                <w:szCs w:val="21"/>
              </w:rPr>
            </w:pPr>
            <w:r>
              <w:rPr>
                <w:rFonts w:hint="eastAsia" w:ascii="宋体" w:hAnsi="宋体" w:eastAsia="宋体"/>
                <w:szCs w:val="21"/>
              </w:rPr>
              <w:t>12最小称量值：0.19mg</w:t>
            </w:r>
          </w:p>
          <w:p w14:paraId="53C5F106">
            <w:pPr>
              <w:jc w:val="left"/>
              <w:rPr>
                <w:rFonts w:ascii="宋体" w:hAnsi="宋体" w:eastAsia="宋体"/>
                <w:szCs w:val="21"/>
              </w:rPr>
            </w:pPr>
            <w:r>
              <w:rPr>
                <w:rFonts w:hint="eastAsia" w:ascii="宋体" w:hAnsi="宋体" w:eastAsia="宋体"/>
                <w:szCs w:val="21"/>
              </w:rPr>
              <w:t>★13天平技术：电子天平，且带有内置2个砝码全自动校准技术，平行导向原理，水平吹扫方式避免烟囱效应</w:t>
            </w:r>
          </w:p>
          <w:p w14:paraId="6A89414F">
            <w:pPr>
              <w:jc w:val="left"/>
              <w:rPr>
                <w:rFonts w:ascii="宋体" w:hAnsi="宋体" w:eastAsia="宋体"/>
                <w:szCs w:val="21"/>
              </w:rPr>
            </w:pPr>
            <w:r>
              <w:rPr>
                <w:rFonts w:hint="eastAsia" w:ascii="宋体" w:hAnsi="宋体" w:eastAsia="宋体"/>
                <w:szCs w:val="21"/>
              </w:rPr>
              <w:t>★14 TG动态升温基线漂移：≤10µg（室温 ~1100℃，升温速率20℃/min）</w:t>
            </w:r>
          </w:p>
          <w:p w14:paraId="45FEC3FF">
            <w:pPr>
              <w:jc w:val="left"/>
              <w:rPr>
                <w:rFonts w:ascii="宋体" w:hAnsi="宋体" w:eastAsia="宋体"/>
                <w:szCs w:val="21"/>
              </w:rPr>
            </w:pPr>
            <w:r>
              <w:rPr>
                <w:rFonts w:hint="eastAsia" w:ascii="宋体" w:hAnsi="宋体" w:eastAsia="宋体"/>
                <w:szCs w:val="21"/>
              </w:rPr>
              <w:t>15气氛：气路设计：原装内置质量流量计。气氛为静态或动态；可通氧化、还原、惰性等气体、可抽真空，标配真空接口。</w:t>
            </w:r>
          </w:p>
          <w:p w14:paraId="3FDBEE2F">
            <w:pPr>
              <w:jc w:val="left"/>
              <w:rPr>
                <w:rFonts w:ascii="宋体" w:hAnsi="宋体" w:eastAsia="宋体"/>
                <w:szCs w:val="21"/>
              </w:rPr>
            </w:pPr>
            <w:r>
              <w:rPr>
                <w:rFonts w:hint="eastAsia" w:ascii="宋体" w:hAnsi="宋体" w:eastAsia="宋体"/>
                <w:szCs w:val="21"/>
              </w:rPr>
              <w:t>★16配备标准接口，可扩展与红外、质谱仪、GCMS联用。</w:t>
            </w:r>
          </w:p>
          <w:p w14:paraId="3F6FDA3B">
            <w:pPr>
              <w:jc w:val="left"/>
              <w:rPr>
                <w:rFonts w:ascii="宋体" w:hAnsi="宋体" w:eastAsia="宋体"/>
                <w:szCs w:val="21"/>
              </w:rPr>
            </w:pPr>
            <w:r>
              <w:rPr>
                <w:rFonts w:hint="eastAsia" w:ascii="宋体" w:hAnsi="宋体" w:eastAsia="宋体"/>
                <w:szCs w:val="21"/>
              </w:rPr>
              <w:t>17 联用炉体：配置与FTIR联用的EGA炉体一个</w:t>
            </w:r>
          </w:p>
          <w:p w14:paraId="01EF189D">
            <w:pPr>
              <w:jc w:val="left"/>
              <w:rPr>
                <w:rFonts w:ascii="宋体" w:hAnsi="宋体" w:eastAsia="宋体"/>
                <w:szCs w:val="21"/>
              </w:rPr>
            </w:pPr>
            <w:r>
              <w:rPr>
                <w:rFonts w:hint="eastAsia" w:ascii="宋体" w:hAnsi="宋体" w:eastAsia="宋体"/>
                <w:szCs w:val="21"/>
              </w:rPr>
              <w:t>★18彩色触摸屏显示能实时观察仪器的状态，甚至可以在远处观察仪器，还可通过触摸屏幕对仪器进行控制，实现操作智能化。</w:t>
            </w:r>
          </w:p>
          <w:p w14:paraId="791748C5">
            <w:pPr>
              <w:jc w:val="left"/>
              <w:rPr>
                <w:rFonts w:ascii="宋体" w:hAnsi="宋体" w:eastAsia="宋体"/>
                <w:szCs w:val="21"/>
              </w:rPr>
            </w:pPr>
            <w:r>
              <w:rPr>
                <w:rFonts w:hint="eastAsia" w:ascii="宋体" w:hAnsi="宋体" w:eastAsia="宋体"/>
                <w:szCs w:val="21"/>
              </w:rPr>
              <w:t>19 具有自动浮力补偿功能，不需要扣除背景基线，大大提高测试效率。</w:t>
            </w:r>
          </w:p>
          <w:p w14:paraId="18C88013">
            <w:pPr>
              <w:jc w:val="left"/>
              <w:rPr>
                <w:rFonts w:ascii="宋体" w:hAnsi="宋体" w:eastAsia="宋体"/>
                <w:szCs w:val="21"/>
              </w:rPr>
            </w:pPr>
            <w:r>
              <w:rPr>
                <w:rFonts w:hint="eastAsia" w:ascii="宋体" w:hAnsi="宋体" w:eastAsia="宋体"/>
                <w:szCs w:val="21"/>
              </w:rPr>
              <w:t>20温度标样一套，至少包含3种标样，每种标样至少20个</w:t>
            </w:r>
          </w:p>
        </w:tc>
        <w:tc>
          <w:tcPr>
            <w:tcW w:w="324" w:type="pct"/>
            <w:vAlign w:val="center"/>
          </w:tcPr>
          <w:p w14:paraId="33B4DD58">
            <w:pPr>
              <w:jc w:val="center"/>
              <w:rPr>
                <w:rFonts w:ascii="宋体" w:hAnsi="宋体" w:eastAsia="宋体"/>
                <w:szCs w:val="21"/>
              </w:rPr>
            </w:pPr>
            <w:r>
              <w:rPr>
                <w:rFonts w:hint="eastAsia" w:ascii="宋体" w:hAnsi="宋体" w:eastAsia="宋体"/>
                <w:szCs w:val="21"/>
              </w:rPr>
              <w:t>1</w:t>
            </w:r>
          </w:p>
        </w:tc>
      </w:tr>
    </w:tbl>
    <w:p w14:paraId="469A04B7">
      <w:pPr>
        <w:widowControl/>
        <w:spacing w:line="360" w:lineRule="auto"/>
        <w:ind w:firstLine="422" w:firstLineChars="200"/>
        <w:rPr>
          <w:rFonts w:ascii="Times New Roman" w:hAnsi="Times New Roman" w:eastAsia="宋体" w:cs="Times New Roman"/>
          <w:b/>
          <w:szCs w:val="21"/>
        </w:rPr>
      </w:pPr>
      <w:r>
        <w:rPr>
          <w:rFonts w:ascii="Times New Roman" w:hAnsi="Times New Roman" w:eastAsia="宋体" w:cs="Times New Roman"/>
          <w:b/>
          <w:szCs w:val="21"/>
        </w:rPr>
        <w:t>1.除招标文件中所明确的技术规格和品牌外，欢迎其他能满足本项目技术需求且性能相当于或高于所明确品牌的产品参加投标报价。同时在采购需求偏离表中作出详细对比说明。</w:t>
      </w:r>
    </w:p>
    <w:p w14:paraId="64E1EE56">
      <w:pPr>
        <w:widowControl/>
        <w:spacing w:line="360" w:lineRule="auto"/>
        <w:ind w:firstLine="422" w:firstLineChars="200"/>
        <w:rPr>
          <w:rFonts w:ascii="Times New Roman" w:hAnsi="Times New Roman" w:eastAsia="宋体" w:cs="Times New Roman"/>
          <w:b/>
          <w:szCs w:val="21"/>
        </w:rPr>
      </w:pPr>
      <w:r>
        <w:rPr>
          <w:rFonts w:ascii="Times New Roman" w:hAnsi="Times New Roman" w:eastAsia="宋体" w:cs="Times New Roman"/>
          <w:b/>
          <w:szCs w:val="21"/>
        </w:rPr>
        <w:t>2.如技术要求中未特别注明需执行的国家相关标准、行业标准、地方标准或者其他标准、规范，则统一准、规范。</w:t>
      </w:r>
    </w:p>
    <w:p w14:paraId="28AE834A">
      <w:pPr>
        <w:pStyle w:val="2"/>
        <w:ind w:firstLine="422" w:firstLineChars="200"/>
      </w:pPr>
      <w:r>
        <w:rPr>
          <w:rFonts w:hint="eastAsia" w:ascii="Times New Roman" w:hAnsi="Times New Roman"/>
          <w:b/>
          <w:szCs w:val="21"/>
        </w:rPr>
        <w:t>3、投标单位须在投标文件中承诺中标后在甲方规定的时间内获得厂家授权书等证明文件（提供承诺函，未提供视作负偏离）</w:t>
      </w:r>
    </w:p>
    <w:p w14:paraId="2D4131EF">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62A79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宋体"/>
      <w:kern w:val="2"/>
      <w:sz w:val="21"/>
      <w:szCs w:val="22"/>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next w:val="1"/>
    <w:qFormat/>
    <w:uiPriority w:val="0"/>
    <w:rPr>
      <w:rFonts w:ascii="宋体" w:hAnsi="Courier New" w:eastAsia="宋体" w:cs="Times New Roman"/>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2024-11-27T12:25:03Z</dcterms:created>
  <dc:creator>联想</dc:creator>
  <cp:lastModifiedBy>CarlColeman</cp:lastModifiedBy>
  <dcterms:modified xsi:type="dcterms:W3CDTF">2024-11-27T12:25:05Z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098FDEC536BB45D1BE8B4650A3F6D8EB_12</vt:lpwstr>
  </property>
</Properties>
</file>