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94E23B">
      <w:pPr>
        <w:spacing w:line="700" w:lineRule="exact"/>
        <w:jc w:val="center"/>
        <w:rPr>
          <w:rFonts w:hint="eastAsia" w:ascii="宋体" w:hAnsi="宋体" w:cs="宋体"/>
          <w:b/>
          <w:bCs/>
          <w:color w:val="auto"/>
          <w:sz w:val="48"/>
          <w:szCs w:val="48"/>
          <w:highlight w:val="none"/>
          <w:lang w:eastAsia="zh-CN"/>
        </w:rPr>
      </w:pPr>
    </w:p>
    <w:p w14:paraId="2C6593FA">
      <w:pPr>
        <w:spacing w:line="700" w:lineRule="exact"/>
        <w:jc w:val="center"/>
        <w:rPr>
          <w:rFonts w:hint="eastAsia" w:ascii="宋体" w:hAnsi="宋体" w:eastAsia="宋体" w:cs="宋体"/>
          <w:b/>
          <w:color w:val="auto"/>
          <w:sz w:val="36"/>
          <w:szCs w:val="36"/>
          <w:highlight w:val="none"/>
          <w:lang w:eastAsia="zh-CN"/>
        </w:rPr>
      </w:pPr>
      <w:r>
        <w:rPr>
          <w:rFonts w:hint="eastAsia" w:ascii="宋体" w:hAnsi="宋体" w:cs="宋体"/>
          <w:b/>
          <w:bCs/>
          <w:color w:val="auto"/>
          <w:sz w:val="36"/>
          <w:szCs w:val="36"/>
          <w:highlight w:val="none"/>
          <w:lang w:eastAsia="zh-CN"/>
        </w:rPr>
        <w:t>中华人民共和国畹町出入境边防检查站2025年度公务用车维修服务定点协议单位采购项目（二次）</w:t>
      </w:r>
    </w:p>
    <w:p w14:paraId="6D087591">
      <w:pPr>
        <w:spacing w:line="700" w:lineRule="exact"/>
        <w:ind w:firstLine="2530" w:firstLineChars="900"/>
        <w:rPr>
          <w:rFonts w:hint="eastAsia" w:ascii="宋体" w:hAnsi="宋体" w:cs="宋体"/>
          <w:b/>
          <w:color w:val="auto"/>
          <w:sz w:val="28"/>
          <w:szCs w:val="28"/>
          <w:highlight w:val="none"/>
          <w:lang w:eastAsia="zh-CN"/>
        </w:rPr>
      </w:pPr>
    </w:p>
    <w:p w14:paraId="67963BD2">
      <w:pPr>
        <w:spacing w:line="700" w:lineRule="exact"/>
        <w:jc w:val="center"/>
        <w:rPr>
          <w:rFonts w:hint="eastAsia" w:ascii="宋体" w:hAnsi="宋体" w:eastAsia="宋体" w:cs="宋体"/>
          <w:b/>
          <w:bCs/>
          <w:color w:val="auto"/>
          <w:sz w:val="28"/>
          <w:szCs w:val="28"/>
          <w:highlight w:val="none"/>
          <w:u w:val="single"/>
          <w:lang w:eastAsia="zh-CN"/>
        </w:rPr>
      </w:pPr>
      <w:r>
        <w:rPr>
          <w:rFonts w:hint="eastAsia" w:ascii="宋体" w:hAnsi="宋体" w:cs="宋体"/>
          <w:b/>
          <w:color w:val="auto"/>
          <w:sz w:val="28"/>
          <w:szCs w:val="28"/>
          <w:highlight w:val="none"/>
          <w:lang w:eastAsia="zh-CN"/>
        </w:rPr>
        <w:t>项目编号</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DHZH2025-042</w:t>
      </w:r>
    </w:p>
    <w:p w14:paraId="75DFD735">
      <w:pPr>
        <w:spacing w:line="700" w:lineRule="exact"/>
        <w:ind w:firstLine="2378" w:firstLineChars="846"/>
        <w:rPr>
          <w:rFonts w:hint="eastAsia" w:ascii="宋体" w:hAnsi="宋体" w:eastAsia="宋体" w:cs="宋体"/>
          <w:b/>
          <w:bCs/>
          <w:color w:val="auto"/>
          <w:sz w:val="28"/>
          <w:szCs w:val="28"/>
          <w:highlight w:val="none"/>
          <w:u w:val="single"/>
        </w:rPr>
      </w:pPr>
    </w:p>
    <w:p w14:paraId="3375565D">
      <w:pPr>
        <w:pStyle w:val="15"/>
        <w:ind w:left="0" w:leftChars="0" w:firstLine="0" w:firstLineChars="0"/>
        <w:rPr>
          <w:rFonts w:hint="eastAsia" w:ascii="宋体" w:hAnsi="宋体" w:eastAsia="宋体" w:cs="宋体"/>
          <w:color w:val="auto"/>
          <w:highlight w:val="none"/>
        </w:rPr>
      </w:pPr>
    </w:p>
    <w:p w14:paraId="7F209A8C">
      <w:pPr>
        <w:pStyle w:val="16"/>
        <w:rPr>
          <w:rFonts w:hint="eastAsia" w:ascii="宋体" w:hAnsi="宋体" w:eastAsia="宋体" w:cs="宋体"/>
          <w:color w:val="auto"/>
          <w:highlight w:val="none"/>
        </w:rPr>
      </w:pPr>
    </w:p>
    <w:p w14:paraId="667E6C51">
      <w:pPr>
        <w:rPr>
          <w:rFonts w:hint="eastAsia" w:ascii="宋体" w:hAnsi="宋体" w:eastAsia="宋体" w:cs="宋体"/>
          <w:b/>
          <w:bCs/>
          <w:color w:val="auto"/>
          <w:spacing w:val="28"/>
          <w:sz w:val="44"/>
          <w:szCs w:val="44"/>
          <w:highlight w:val="none"/>
        </w:rPr>
      </w:pPr>
    </w:p>
    <w:p w14:paraId="7CB62897">
      <w:pPr>
        <w:jc w:val="center"/>
        <w:rPr>
          <w:rFonts w:hint="eastAsia" w:ascii="宋体" w:hAnsi="宋体" w:eastAsia="宋体" w:cs="宋体"/>
          <w:b/>
          <w:bCs/>
          <w:color w:val="auto"/>
          <w:spacing w:val="28"/>
          <w:sz w:val="52"/>
          <w:szCs w:val="52"/>
          <w:highlight w:val="none"/>
        </w:rPr>
      </w:pPr>
      <w:r>
        <w:rPr>
          <w:rFonts w:hint="eastAsia" w:ascii="宋体" w:hAnsi="宋体" w:eastAsia="宋体" w:cs="宋体"/>
          <w:b/>
          <w:bCs/>
          <w:color w:val="auto"/>
          <w:spacing w:val="28"/>
          <w:sz w:val="52"/>
          <w:szCs w:val="52"/>
          <w:highlight w:val="none"/>
        </w:rPr>
        <w:t>竞争性磋商文件</w:t>
      </w:r>
    </w:p>
    <w:p w14:paraId="56E693E8">
      <w:pPr>
        <w:pStyle w:val="15"/>
        <w:ind w:left="0" w:leftChars="0" w:firstLine="0" w:firstLineChars="0"/>
        <w:rPr>
          <w:rFonts w:hint="eastAsia" w:ascii="宋体" w:hAnsi="宋体" w:eastAsia="宋体" w:cs="宋体"/>
          <w:b/>
          <w:bCs/>
          <w:color w:val="auto"/>
          <w:spacing w:val="28"/>
          <w:sz w:val="52"/>
          <w:szCs w:val="52"/>
          <w:highlight w:val="none"/>
        </w:rPr>
      </w:pPr>
    </w:p>
    <w:p w14:paraId="12AD72BF">
      <w:pPr>
        <w:rPr>
          <w:rFonts w:hint="eastAsia" w:ascii="宋体" w:hAnsi="宋体" w:eastAsia="宋体" w:cs="宋体"/>
          <w:color w:val="auto"/>
          <w:sz w:val="28"/>
          <w:szCs w:val="28"/>
          <w:highlight w:val="none"/>
        </w:rPr>
      </w:pPr>
    </w:p>
    <w:p w14:paraId="51F7B137">
      <w:pPr>
        <w:pStyle w:val="2"/>
        <w:rPr>
          <w:rFonts w:hint="eastAsia"/>
        </w:rPr>
      </w:pPr>
    </w:p>
    <w:p w14:paraId="27DAB4AD">
      <w:pPr>
        <w:pStyle w:val="2"/>
        <w:rPr>
          <w:rFonts w:hint="eastAsia" w:ascii="宋体" w:hAnsi="宋体" w:eastAsia="宋体" w:cs="宋体"/>
          <w:color w:val="auto"/>
          <w:sz w:val="28"/>
          <w:szCs w:val="28"/>
          <w:highlight w:val="none"/>
        </w:rPr>
      </w:pPr>
    </w:p>
    <w:p w14:paraId="185FB8D7">
      <w:pPr>
        <w:pStyle w:val="2"/>
        <w:rPr>
          <w:rFonts w:hint="eastAsia" w:ascii="宋体" w:hAnsi="宋体" w:eastAsia="宋体" w:cs="宋体"/>
          <w:color w:val="auto"/>
          <w:sz w:val="28"/>
          <w:szCs w:val="28"/>
          <w:highlight w:val="none"/>
        </w:rPr>
      </w:pPr>
    </w:p>
    <w:p w14:paraId="1ED4B00D">
      <w:pPr>
        <w:pStyle w:val="2"/>
        <w:rPr>
          <w:rFonts w:hint="eastAsia" w:ascii="宋体" w:hAnsi="宋体" w:eastAsia="宋体" w:cs="宋体"/>
          <w:color w:val="auto"/>
          <w:sz w:val="28"/>
          <w:szCs w:val="28"/>
          <w:highlight w:val="none"/>
        </w:rPr>
      </w:pPr>
    </w:p>
    <w:p w14:paraId="5C7B4FC4">
      <w:pPr>
        <w:spacing w:line="500" w:lineRule="exact"/>
        <w:jc w:val="cente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采购人:</w:t>
      </w:r>
      <w:r>
        <w:rPr>
          <w:rFonts w:hint="eastAsia" w:ascii="宋体" w:hAnsi="宋体" w:cs="宋体"/>
          <w:color w:val="auto"/>
          <w:sz w:val="30"/>
          <w:szCs w:val="30"/>
          <w:highlight w:val="none"/>
          <w:lang w:eastAsia="zh-CN"/>
        </w:rPr>
        <w:t>中华人民共和国畹町出入境边防检查站</w:t>
      </w:r>
    </w:p>
    <w:p w14:paraId="48217E0F">
      <w:pPr>
        <w:spacing w:line="500" w:lineRule="exact"/>
        <w:rPr>
          <w:rFonts w:hint="eastAsia" w:ascii="宋体" w:hAnsi="宋体" w:eastAsia="宋体" w:cs="宋体"/>
          <w:bCs/>
          <w:color w:val="auto"/>
          <w:sz w:val="30"/>
          <w:szCs w:val="30"/>
          <w:highlight w:val="none"/>
        </w:rPr>
      </w:pPr>
    </w:p>
    <w:p w14:paraId="3C516188">
      <w:pPr>
        <w:spacing w:line="500" w:lineRule="exact"/>
        <w:rPr>
          <w:rFonts w:hint="eastAsia" w:ascii="宋体" w:hAnsi="宋体" w:eastAsia="宋体" w:cs="宋体"/>
          <w:bCs/>
          <w:color w:val="auto"/>
          <w:sz w:val="30"/>
          <w:szCs w:val="30"/>
          <w:highlight w:val="none"/>
        </w:rPr>
      </w:pPr>
    </w:p>
    <w:p w14:paraId="7CC434DD">
      <w:pPr>
        <w:spacing w:line="500" w:lineRule="exact"/>
        <w:rPr>
          <w:rFonts w:hint="eastAsia" w:ascii="宋体" w:hAnsi="宋体" w:eastAsia="宋体" w:cs="宋体"/>
          <w:color w:val="auto"/>
          <w:sz w:val="30"/>
          <w:szCs w:val="30"/>
          <w:highlight w:val="none"/>
        </w:rPr>
      </w:pPr>
    </w:p>
    <w:p w14:paraId="277FB1A6">
      <w:pPr>
        <w:spacing w:line="500" w:lineRule="exact"/>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采购代理机构: </w:t>
      </w:r>
      <w:r>
        <w:rPr>
          <w:rFonts w:hint="eastAsia" w:ascii="宋体" w:hAnsi="宋体" w:eastAsia="宋体" w:cs="宋体"/>
          <w:color w:val="auto"/>
          <w:sz w:val="30"/>
          <w:szCs w:val="30"/>
          <w:highlight w:val="none"/>
          <w:lang w:eastAsia="zh-CN"/>
        </w:rPr>
        <w:t>德宏众恒工程管理有限公司</w:t>
      </w:r>
    </w:p>
    <w:p w14:paraId="2AEEECB3">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p>
    <w:p w14:paraId="3335308A">
      <w:pPr>
        <w:pStyle w:val="15"/>
        <w:tabs>
          <w:tab w:val="center" w:pos="4550"/>
          <w:tab w:val="left" w:pos="7040"/>
        </w:tabs>
        <w:ind w:left="0" w:leftChars="0" w:firstLine="0" w:firstLineChars="0"/>
        <w:jc w:val="left"/>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ab/>
      </w:r>
    </w:p>
    <w:p w14:paraId="19B0CFC5">
      <w:pPr>
        <w:pStyle w:val="15"/>
        <w:tabs>
          <w:tab w:val="center" w:pos="4550"/>
          <w:tab w:val="left" w:pos="7040"/>
        </w:tabs>
        <w:ind w:left="0" w:leftChars="0" w:firstLine="0" w:firstLineChars="0"/>
        <w:jc w:val="left"/>
        <w:rPr>
          <w:rFonts w:hint="eastAsia" w:ascii="宋体" w:hAnsi="宋体" w:eastAsia="宋体" w:cs="宋体"/>
          <w:b/>
          <w:bCs/>
          <w:color w:val="auto"/>
          <w:sz w:val="52"/>
          <w:szCs w:val="52"/>
          <w:highlight w:val="none"/>
        </w:rPr>
      </w:pPr>
    </w:p>
    <w:p w14:paraId="1433C579">
      <w:pPr>
        <w:pStyle w:val="15"/>
        <w:tabs>
          <w:tab w:val="center" w:pos="4550"/>
          <w:tab w:val="left" w:pos="7040"/>
        </w:tabs>
        <w:ind w:left="0" w:leftChars="0" w:firstLine="0" w:firstLineChars="0"/>
        <w:jc w:val="left"/>
        <w:rPr>
          <w:rFonts w:hint="eastAsia" w:ascii="宋体" w:hAnsi="宋体" w:eastAsia="宋体" w:cs="宋体"/>
          <w:b/>
          <w:bCs/>
          <w:color w:val="auto"/>
          <w:sz w:val="52"/>
          <w:szCs w:val="52"/>
          <w:highlight w:val="none"/>
        </w:rPr>
      </w:pPr>
    </w:p>
    <w:p w14:paraId="779FED4B">
      <w:pPr>
        <w:pStyle w:val="15"/>
        <w:tabs>
          <w:tab w:val="center" w:pos="4550"/>
          <w:tab w:val="left" w:pos="7040"/>
        </w:tabs>
        <w:ind w:left="0" w:leftChars="0" w:firstLine="0" w:firstLineChars="0"/>
        <w:jc w:val="left"/>
        <w:rPr>
          <w:rFonts w:hint="eastAsia" w:ascii="宋体" w:hAnsi="宋体" w:eastAsia="宋体" w:cs="宋体"/>
          <w:b/>
          <w:bCs/>
          <w:color w:val="auto"/>
          <w:sz w:val="52"/>
          <w:szCs w:val="52"/>
          <w:highlight w:val="none"/>
        </w:rPr>
      </w:pPr>
    </w:p>
    <w:p w14:paraId="31DC7AFB">
      <w:pPr>
        <w:pStyle w:val="15"/>
        <w:tabs>
          <w:tab w:val="center" w:pos="4550"/>
          <w:tab w:val="left" w:pos="7040"/>
        </w:tabs>
        <w:ind w:left="0" w:leftChars="0" w:firstLine="0" w:firstLineChars="0"/>
        <w:jc w:val="left"/>
        <w:rPr>
          <w:rFonts w:hint="eastAsia" w:ascii="宋体" w:hAnsi="宋体" w:eastAsia="宋体" w:cs="宋体"/>
          <w:b/>
          <w:bCs/>
          <w:color w:val="auto"/>
          <w:sz w:val="52"/>
          <w:szCs w:val="52"/>
          <w:highlight w:val="none"/>
        </w:rPr>
      </w:pPr>
    </w:p>
    <w:p w14:paraId="13D50A0D">
      <w:pPr>
        <w:pStyle w:val="15"/>
        <w:tabs>
          <w:tab w:val="center" w:pos="4550"/>
          <w:tab w:val="left" w:pos="7040"/>
        </w:tabs>
        <w:ind w:left="0" w:leftChars="0" w:firstLine="0" w:firstLineChars="0"/>
        <w:jc w:val="left"/>
        <w:rPr>
          <w:rFonts w:hint="eastAsia" w:ascii="宋体" w:hAnsi="宋体" w:eastAsia="宋体" w:cs="宋体"/>
          <w:b/>
          <w:bCs/>
          <w:color w:val="auto"/>
          <w:sz w:val="52"/>
          <w:szCs w:val="52"/>
          <w:highlight w:val="none"/>
        </w:rPr>
      </w:pPr>
    </w:p>
    <w:p w14:paraId="669E62CD">
      <w:pPr>
        <w:pStyle w:val="15"/>
        <w:tabs>
          <w:tab w:val="center" w:pos="4550"/>
          <w:tab w:val="left" w:pos="7040"/>
        </w:tabs>
        <w:ind w:left="0" w:leftChars="0" w:firstLine="0" w:firstLineChars="0"/>
        <w:jc w:val="left"/>
        <w:rPr>
          <w:rFonts w:hint="eastAsia" w:ascii="宋体" w:hAnsi="宋体" w:eastAsia="宋体" w:cs="宋体"/>
          <w:b/>
          <w:bCs/>
          <w:color w:val="auto"/>
          <w:sz w:val="52"/>
          <w:szCs w:val="52"/>
          <w:highlight w:val="none"/>
        </w:rPr>
      </w:pPr>
    </w:p>
    <w:p w14:paraId="7CDC2BAA">
      <w:pPr>
        <w:pStyle w:val="15"/>
        <w:tabs>
          <w:tab w:val="center" w:pos="4550"/>
          <w:tab w:val="left" w:pos="7040"/>
        </w:tabs>
        <w:ind w:left="0" w:leftChars="0" w:firstLine="0" w:firstLineChars="0"/>
        <w:jc w:val="left"/>
        <w:rPr>
          <w:rFonts w:hint="eastAsia" w:ascii="宋体" w:hAnsi="宋体" w:eastAsia="宋体" w:cs="宋体"/>
          <w:b/>
          <w:bCs/>
          <w:color w:val="auto"/>
          <w:sz w:val="52"/>
          <w:szCs w:val="52"/>
          <w:highlight w:val="none"/>
        </w:rPr>
      </w:pPr>
    </w:p>
    <w:p w14:paraId="7E705534">
      <w:pPr>
        <w:pStyle w:val="15"/>
        <w:tabs>
          <w:tab w:val="center" w:pos="4550"/>
          <w:tab w:val="left" w:pos="7040"/>
        </w:tabs>
        <w:ind w:left="0" w:leftChars="0" w:firstLine="0" w:firstLineChars="0"/>
        <w:jc w:val="left"/>
        <w:rPr>
          <w:rFonts w:hint="eastAsia" w:ascii="宋体" w:hAnsi="宋体" w:eastAsia="宋体" w:cs="宋体"/>
          <w:b/>
          <w:bCs/>
          <w:color w:val="auto"/>
          <w:sz w:val="52"/>
          <w:szCs w:val="52"/>
          <w:highlight w:val="none"/>
        </w:rPr>
      </w:pPr>
    </w:p>
    <w:p w14:paraId="6E942978">
      <w:pPr>
        <w:pStyle w:val="15"/>
        <w:tabs>
          <w:tab w:val="center" w:pos="4550"/>
          <w:tab w:val="left" w:pos="7040"/>
        </w:tabs>
        <w:ind w:left="0" w:leftChars="0" w:firstLine="0" w:firstLineChars="0"/>
        <w:jc w:val="left"/>
        <w:rPr>
          <w:rFonts w:hint="eastAsia" w:ascii="宋体" w:hAnsi="宋体" w:eastAsia="宋体" w:cs="宋体"/>
          <w:b/>
          <w:bCs/>
          <w:color w:val="auto"/>
          <w:sz w:val="52"/>
          <w:szCs w:val="52"/>
          <w:highlight w:val="none"/>
        </w:rPr>
      </w:pPr>
    </w:p>
    <w:p w14:paraId="567605D6">
      <w:pPr>
        <w:pStyle w:val="15"/>
        <w:tabs>
          <w:tab w:val="center" w:pos="4550"/>
          <w:tab w:val="left" w:pos="7040"/>
        </w:tabs>
        <w:ind w:left="0" w:leftChars="0" w:firstLine="0" w:firstLineChars="0"/>
        <w:jc w:val="left"/>
        <w:rPr>
          <w:rFonts w:hint="eastAsia" w:ascii="宋体" w:hAnsi="宋体" w:eastAsia="宋体" w:cs="宋体"/>
          <w:b/>
          <w:bCs/>
          <w:color w:val="auto"/>
          <w:sz w:val="52"/>
          <w:szCs w:val="52"/>
          <w:highlight w:val="none"/>
        </w:rPr>
      </w:pPr>
    </w:p>
    <w:p w14:paraId="3F25DAB6">
      <w:pPr>
        <w:pStyle w:val="15"/>
        <w:tabs>
          <w:tab w:val="center" w:pos="4550"/>
          <w:tab w:val="left" w:pos="7040"/>
        </w:tabs>
        <w:ind w:left="0" w:leftChars="0" w:firstLine="0" w:firstLineChars="0"/>
        <w:jc w:val="left"/>
        <w:rPr>
          <w:rFonts w:hint="eastAsia" w:ascii="宋体" w:hAnsi="宋体" w:eastAsia="宋体" w:cs="宋体"/>
          <w:b/>
          <w:bCs/>
          <w:color w:val="auto"/>
          <w:sz w:val="52"/>
          <w:szCs w:val="52"/>
          <w:highlight w:val="none"/>
        </w:rPr>
      </w:pPr>
    </w:p>
    <w:p w14:paraId="210AF57F">
      <w:pPr>
        <w:pStyle w:val="15"/>
        <w:tabs>
          <w:tab w:val="center" w:pos="4550"/>
          <w:tab w:val="left" w:pos="7040"/>
        </w:tabs>
        <w:ind w:left="0" w:leftChars="0" w:firstLine="0" w:firstLineChars="0"/>
        <w:jc w:val="left"/>
        <w:rPr>
          <w:rFonts w:hint="eastAsia" w:ascii="宋体" w:hAnsi="宋体" w:eastAsia="宋体" w:cs="宋体"/>
          <w:b/>
          <w:bCs/>
          <w:color w:val="auto"/>
          <w:sz w:val="44"/>
          <w:szCs w:val="44"/>
          <w:highlight w:val="none"/>
        </w:rPr>
      </w:pPr>
    </w:p>
    <w:p w14:paraId="033CD6F2">
      <w:pPr>
        <w:pStyle w:val="15"/>
        <w:tabs>
          <w:tab w:val="center" w:pos="4550"/>
          <w:tab w:val="left" w:pos="7040"/>
        </w:tabs>
        <w:ind w:left="0" w:leftChars="0" w:firstLine="0" w:firstLineChars="0"/>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44"/>
          <w:szCs w:val="44"/>
          <w:highlight w:val="none"/>
        </w:rPr>
        <w:t>目  录</w:t>
      </w:r>
    </w:p>
    <w:p w14:paraId="4F963DE0">
      <w:pPr>
        <w:pStyle w:val="27"/>
        <w:tabs>
          <w:tab w:val="right" w:leader="dot" w:pos="9746"/>
        </w:tabs>
      </w:pPr>
      <w:bookmarkStart w:id="0" w:name="_Toc5321"/>
      <w:bookmarkStart w:id="1" w:name="_Toc17793"/>
      <w:bookmarkStart w:id="2" w:name="_Toc23752"/>
      <w:bookmarkStart w:id="3" w:name="_Toc3754"/>
      <w:bookmarkStart w:id="4" w:name="_Toc28523"/>
      <w:bookmarkStart w:id="5" w:name="_Toc32374"/>
      <w:bookmarkStart w:id="6" w:name="_Toc6206"/>
      <w:bookmarkStart w:id="7" w:name="_Toc13925"/>
      <w:bookmarkStart w:id="8" w:name="_Toc5078"/>
    </w:p>
    <w:p w14:paraId="0CAAB648">
      <w:pPr>
        <w:pStyle w:val="27"/>
        <w:tabs>
          <w:tab w:val="right" w:leader="dot" w:pos="9746"/>
        </w:tabs>
        <w:rPr>
          <w:sz w:val="32"/>
          <w:szCs w:val="32"/>
        </w:rPr>
      </w:pPr>
      <w:r>
        <w:fldChar w:fldCharType="begin"/>
      </w:r>
      <w:r>
        <w:instrText xml:space="preserve">TOC \o "1-1" \h \u </w:instrText>
      </w:r>
      <w:r>
        <w:fldChar w:fldCharType="separate"/>
      </w:r>
      <w:r>
        <w:rPr>
          <w:sz w:val="32"/>
          <w:szCs w:val="32"/>
        </w:rPr>
        <w:fldChar w:fldCharType="begin"/>
      </w:r>
      <w:r>
        <w:rPr>
          <w:sz w:val="32"/>
          <w:szCs w:val="32"/>
        </w:rPr>
        <w:instrText xml:space="preserve"> HYPERLINK \l _Toc25814 </w:instrText>
      </w:r>
      <w:r>
        <w:rPr>
          <w:sz w:val="32"/>
          <w:szCs w:val="32"/>
        </w:rPr>
        <w:fldChar w:fldCharType="separate"/>
      </w:r>
      <w:r>
        <w:rPr>
          <w:rFonts w:hint="eastAsia" w:ascii="宋体" w:hAnsi="宋体" w:eastAsia="宋体" w:cs="宋体"/>
          <w:bCs/>
          <w:sz w:val="32"/>
          <w:szCs w:val="32"/>
          <w:highlight w:val="none"/>
        </w:rPr>
        <w:t>第一章  竞争性磋商公告</w:t>
      </w:r>
      <w:r>
        <w:rPr>
          <w:sz w:val="32"/>
          <w:szCs w:val="32"/>
        </w:rPr>
        <w:tab/>
      </w:r>
      <w:r>
        <w:rPr>
          <w:sz w:val="32"/>
          <w:szCs w:val="32"/>
        </w:rPr>
        <w:fldChar w:fldCharType="begin"/>
      </w:r>
      <w:r>
        <w:rPr>
          <w:sz w:val="32"/>
          <w:szCs w:val="32"/>
        </w:rPr>
        <w:instrText xml:space="preserve"> PAGEREF _Toc25814 \h </w:instrText>
      </w:r>
      <w:r>
        <w:rPr>
          <w:sz w:val="32"/>
          <w:szCs w:val="32"/>
        </w:rPr>
        <w:fldChar w:fldCharType="separate"/>
      </w:r>
      <w:r>
        <w:rPr>
          <w:sz w:val="32"/>
          <w:szCs w:val="32"/>
        </w:rPr>
        <w:t>1</w:t>
      </w:r>
      <w:r>
        <w:rPr>
          <w:sz w:val="32"/>
          <w:szCs w:val="32"/>
        </w:rPr>
        <w:fldChar w:fldCharType="end"/>
      </w:r>
      <w:r>
        <w:rPr>
          <w:sz w:val="32"/>
          <w:szCs w:val="32"/>
        </w:rPr>
        <w:fldChar w:fldCharType="end"/>
      </w:r>
    </w:p>
    <w:p w14:paraId="2532B4C1">
      <w:pPr>
        <w:pStyle w:val="27"/>
        <w:tabs>
          <w:tab w:val="right" w:leader="dot" w:pos="9746"/>
        </w:tabs>
        <w:rPr>
          <w:sz w:val="32"/>
          <w:szCs w:val="32"/>
        </w:rPr>
      </w:pPr>
      <w:r>
        <w:rPr>
          <w:sz w:val="32"/>
          <w:szCs w:val="32"/>
        </w:rPr>
        <w:fldChar w:fldCharType="begin"/>
      </w:r>
      <w:r>
        <w:rPr>
          <w:sz w:val="32"/>
          <w:szCs w:val="32"/>
        </w:rPr>
        <w:instrText xml:space="preserve"> HYPERLINK \l _Toc25766 </w:instrText>
      </w:r>
      <w:r>
        <w:rPr>
          <w:sz w:val="32"/>
          <w:szCs w:val="32"/>
        </w:rPr>
        <w:fldChar w:fldCharType="separate"/>
      </w:r>
      <w:r>
        <w:rPr>
          <w:rFonts w:hint="eastAsia" w:ascii="宋体" w:hAnsi="宋体" w:eastAsia="宋体" w:cs="宋体"/>
          <w:bCs/>
          <w:sz w:val="32"/>
          <w:szCs w:val="32"/>
        </w:rPr>
        <w:t xml:space="preserve">第二章 </w:t>
      </w:r>
      <w:r>
        <w:rPr>
          <w:rFonts w:hint="eastAsia" w:ascii="宋体" w:hAnsi="宋体" w:cs="宋体"/>
          <w:bCs/>
          <w:sz w:val="32"/>
          <w:szCs w:val="32"/>
          <w:lang w:val="en-US" w:eastAsia="zh-CN"/>
        </w:rPr>
        <w:t xml:space="preserve"> </w:t>
      </w:r>
      <w:r>
        <w:rPr>
          <w:rFonts w:hint="eastAsia" w:ascii="宋体" w:hAnsi="宋体" w:eastAsia="宋体" w:cs="宋体"/>
          <w:bCs/>
          <w:sz w:val="32"/>
          <w:szCs w:val="32"/>
          <w:highlight w:val="none"/>
        </w:rPr>
        <w:t>供应商须知</w:t>
      </w:r>
      <w:r>
        <w:rPr>
          <w:sz w:val="32"/>
          <w:szCs w:val="32"/>
        </w:rPr>
        <w:tab/>
      </w:r>
      <w:r>
        <w:rPr>
          <w:sz w:val="32"/>
          <w:szCs w:val="32"/>
        </w:rPr>
        <w:fldChar w:fldCharType="begin"/>
      </w:r>
      <w:r>
        <w:rPr>
          <w:sz w:val="32"/>
          <w:szCs w:val="32"/>
        </w:rPr>
        <w:instrText xml:space="preserve"> PAGEREF _Toc25766 \h </w:instrText>
      </w:r>
      <w:r>
        <w:rPr>
          <w:sz w:val="32"/>
          <w:szCs w:val="32"/>
        </w:rPr>
        <w:fldChar w:fldCharType="separate"/>
      </w:r>
      <w:r>
        <w:rPr>
          <w:sz w:val="32"/>
          <w:szCs w:val="32"/>
        </w:rPr>
        <w:t>7</w:t>
      </w:r>
      <w:r>
        <w:rPr>
          <w:sz w:val="32"/>
          <w:szCs w:val="32"/>
        </w:rPr>
        <w:fldChar w:fldCharType="end"/>
      </w:r>
      <w:r>
        <w:rPr>
          <w:sz w:val="32"/>
          <w:szCs w:val="32"/>
        </w:rPr>
        <w:fldChar w:fldCharType="end"/>
      </w:r>
    </w:p>
    <w:p w14:paraId="2FA2F4AC">
      <w:pPr>
        <w:pStyle w:val="27"/>
        <w:tabs>
          <w:tab w:val="right" w:leader="dot" w:pos="9746"/>
        </w:tabs>
        <w:rPr>
          <w:sz w:val="32"/>
          <w:szCs w:val="32"/>
        </w:rPr>
      </w:pPr>
      <w:r>
        <w:rPr>
          <w:sz w:val="32"/>
          <w:szCs w:val="32"/>
        </w:rPr>
        <w:fldChar w:fldCharType="begin"/>
      </w:r>
      <w:r>
        <w:rPr>
          <w:sz w:val="32"/>
          <w:szCs w:val="32"/>
        </w:rPr>
        <w:instrText xml:space="preserve"> HYPERLINK \l _Toc9071 </w:instrText>
      </w:r>
      <w:r>
        <w:rPr>
          <w:sz w:val="32"/>
          <w:szCs w:val="32"/>
        </w:rPr>
        <w:fldChar w:fldCharType="separate"/>
      </w:r>
      <w:r>
        <w:rPr>
          <w:rFonts w:hint="eastAsia" w:ascii="宋体" w:hAnsi="宋体" w:eastAsia="宋体" w:cs="宋体"/>
          <w:kern w:val="44"/>
          <w:sz w:val="32"/>
          <w:szCs w:val="32"/>
          <w:highlight w:val="none"/>
        </w:rPr>
        <w:t>第</w:t>
      </w:r>
      <w:r>
        <w:rPr>
          <w:rFonts w:hint="eastAsia" w:ascii="宋体" w:hAnsi="宋体" w:eastAsia="宋体" w:cs="宋体"/>
          <w:kern w:val="44"/>
          <w:sz w:val="32"/>
          <w:szCs w:val="32"/>
          <w:highlight w:val="none"/>
          <w:lang w:eastAsia="zh-CN"/>
        </w:rPr>
        <w:t>三</w:t>
      </w:r>
      <w:r>
        <w:rPr>
          <w:rFonts w:hint="eastAsia" w:ascii="宋体" w:hAnsi="宋体" w:eastAsia="宋体" w:cs="宋体"/>
          <w:kern w:val="44"/>
          <w:sz w:val="32"/>
          <w:szCs w:val="32"/>
          <w:highlight w:val="none"/>
        </w:rPr>
        <w:t>章</w:t>
      </w:r>
      <w:r>
        <w:rPr>
          <w:rFonts w:hint="eastAsia" w:ascii="宋体" w:hAnsi="宋体" w:eastAsia="宋体" w:cs="宋体"/>
          <w:kern w:val="44"/>
          <w:sz w:val="32"/>
          <w:szCs w:val="32"/>
          <w:highlight w:val="none"/>
          <w:lang w:val="en-US" w:eastAsia="zh-CN"/>
        </w:rPr>
        <w:t xml:space="preserve">  </w:t>
      </w:r>
      <w:r>
        <w:rPr>
          <w:rFonts w:hint="eastAsia" w:ascii="宋体" w:hAnsi="宋体" w:eastAsia="宋体" w:cs="宋体"/>
          <w:kern w:val="44"/>
          <w:sz w:val="32"/>
          <w:szCs w:val="32"/>
          <w:highlight w:val="none"/>
        </w:rPr>
        <w:t>采购项目要求</w:t>
      </w:r>
      <w:r>
        <w:rPr>
          <w:sz w:val="32"/>
          <w:szCs w:val="32"/>
        </w:rPr>
        <w:tab/>
      </w:r>
      <w:r>
        <w:rPr>
          <w:sz w:val="32"/>
          <w:szCs w:val="32"/>
        </w:rPr>
        <w:fldChar w:fldCharType="begin"/>
      </w:r>
      <w:r>
        <w:rPr>
          <w:sz w:val="32"/>
          <w:szCs w:val="32"/>
        </w:rPr>
        <w:instrText xml:space="preserve"> PAGEREF _Toc9071 \h </w:instrText>
      </w:r>
      <w:r>
        <w:rPr>
          <w:sz w:val="32"/>
          <w:szCs w:val="32"/>
        </w:rPr>
        <w:fldChar w:fldCharType="separate"/>
      </w:r>
      <w:r>
        <w:rPr>
          <w:sz w:val="32"/>
          <w:szCs w:val="32"/>
        </w:rPr>
        <w:t>24</w:t>
      </w:r>
      <w:r>
        <w:rPr>
          <w:sz w:val="32"/>
          <w:szCs w:val="32"/>
        </w:rPr>
        <w:fldChar w:fldCharType="end"/>
      </w:r>
      <w:r>
        <w:rPr>
          <w:sz w:val="32"/>
          <w:szCs w:val="32"/>
        </w:rPr>
        <w:fldChar w:fldCharType="end"/>
      </w:r>
    </w:p>
    <w:p w14:paraId="69F50CF6">
      <w:pPr>
        <w:pStyle w:val="27"/>
        <w:tabs>
          <w:tab w:val="right" w:leader="dot" w:pos="9746"/>
        </w:tabs>
        <w:rPr>
          <w:sz w:val="32"/>
          <w:szCs w:val="32"/>
        </w:rPr>
      </w:pPr>
      <w:r>
        <w:rPr>
          <w:sz w:val="32"/>
          <w:szCs w:val="32"/>
        </w:rPr>
        <w:fldChar w:fldCharType="begin"/>
      </w:r>
      <w:r>
        <w:rPr>
          <w:sz w:val="32"/>
          <w:szCs w:val="32"/>
        </w:rPr>
        <w:instrText xml:space="preserve"> HYPERLINK \l _Toc26989 </w:instrText>
      </w:r>
      <w:r>
        <w:rPr>
          <w:sz w:val="32"/>
          <w:szCs w:val="32"/>
        </w:rPr>
        <w:fldChar w:fldCharType="separate"/>
      </w:r>
      <w:r>
        <w:rPr>
          <w:rFonts w:hint="eastAsia" w:ascii="宋体" w:hAnsi="宋体" w:eastAsia="宋体" w:cs="宋体"/>
          <w:bCs/>
          <w:kern w:val="0"/>
          <w:sz w:val="32"/>
          <w:szCs w:val="32"/>
          <w:highlight w:val="none"/>
        </w:rPr>
        <w:t>第</w:t>
      </w:r>
      <w:r>
        <w:rPr>
          <w:rFonts w:hint="eastAsia" w:ascii="宋体" w:hAnsi="宋体" w:eastAsia="宋体" w:cs="宋体"/>
          <w:bCs/>
          <w:kern w:val="0"/>
          <w:sz w:val="32"/>
          <w:szCs w:val="32"/>
          <w:highlight w:val="none"/>
          <w:lang w:eastAsia="zh-CN"/>
        </w:rPr>
        <w:t>四</w:t>
      </w:r>
      <w:r>
        <w:rPr>
          <w:rFonts w:hint="eastAsia" w:ascii="宋体" w:hAnsi="宋体" w:eastAsia="宋体" w:cs="宋体"/>
          <w:bCs/>
          <w:kern w:val="0"/>
          <w:sz w:val="32"/>
          <w:szCs w:val="32"/>
          <w:highlight w:val="none"/>
        </w:rPr>
        <w:t>章</w:t>
      </w:r>
      <w:r>
        <w:rPr>
          <w:rFonts w:hint="eastAsia" w:ascii="宋体" w:hAnsi="宋体" w:eastAsia="宋体" w:cs="宋体"/>
          <w:bCs/>
          <w:kern w:val="0"/>
          <w:sz w:val="32"/>
          <w:szCs w:val="32"/>
          <w:highlight w:val="none"/>
          <w:lang w:val="en-US" w:eastAsia="zh-CN"/>
        </w:rPr>
        <w:t xml:space="preserve">  </w:t>
      </w:r>
      <w:r>
        <w:rPr>
          <w:rFonts w:hint="eastAsia" w:ascii="宋体" w:hAnsi="宋体" w:eastAsia="宋体" w:cs="宋体"/>
          <w:bCs/>
          <w:kern w:val="0"/>
          <w:sz w:val="32"/>
          <w:szCs w:val="32"/>
          <w:highlight w:val="none"/>
        </w:rPr>
        <w:t>评审办法</w:t>
      </w:r>
      <w:r>
        <w:rPr>
          <w:sz w:val="32"/>
          <w:szCs w:val="32"/>
        </w:rPr>
        <w:tab/>
      </w:r>
      <w:r>
        <w:rPr>
          <w:sz w:val="32"/>
          <w:szCs w:val="32"/>
        </w:rPr>
        <w:fldChar w:fldCharType="begin"/>
      </w:r>
      <w:r>
        <w:rPr>
          <w:sz w:val="32"/>
          <w:szCs w:val="32"/>
        </w:rPr>
        <w:instrText xml:space="preserve"> PAGEREF _Toc26989 \h </w:instrText>
      </w:r>
      <w:r>
        <w:rPr>
          <w:sz w:val="32"/>
          <w:szCs w:val="32"/>
        </w:rPr>
        <w:fldChar w:fldCharType="separate"/>
      </w:r>
      <w:r>
        <w:rPr>
          <w:sz w:val="32"/>
          <w:szCs w:val="32"/>
        </w:rPr>
        <w:t>27</w:t>
      </w:r>
      <w:r>
        <w:rPr>
          <w:sz w:val="32"/>
          <w:szCs w:val="32"/>
        </w:rPr>
        <w:fldChar w:fldCharType="end"/>
      </w:r>
      <w:r>
        <w:rPr>
          <w:sz w:val="32"/>
          <w:szCs w:val="32"/>
        </w:rPr>
        <w:fldChar w:fldCharType="end"/>
      </w:r>
    </w:p>
    <w:p w14:paraId="766B377A">
      <w:pPr>
        <w:pStyle w:val="27"/>
        <w:tabs>
          <w:tab w:val="right" w:leader="dot" w:pos="9746"/>
        </w:tabs>
      </w:pPr>
      <w:r>
        <w:rPr>
          <w:sz w:val="32"/>
          <w:szCs w:val="32"/>
        </w:rPr>
        <w:fldChar w:fldCharType="begin"/>
      </w:r>
      <w:r>
        <w:rPr>
          <w:sz w:val="32"/>
          <w:szCs w:val="32"/>
        </w:rPr>
        <w:instrText xml:space="preserve"> HYPERLINK \l _Toc12242 </w:instrText>
      </w:r>
      <w:r>
        <w:rPr>
          <w:sz w:val="32"/>
          <w:szCs w:val="32"/>
        </w:rPr>
        <w:fldChar w:fldCharType="separate"/>
      </w:r>
      <w:r>
        <w:rPr>
          <w:rFonts w:hint="eastAsia" w:ascii="宋体" w:hAnsi="宋体" w:eastAsia="宋体" w:cs="宋体"/>
          <w:bCs w:val="0"/>
          <w:kern w:val="2"/>
          <w:sz w:val="32"/>
          <w:szCs w:val="32"/>
          <w:lang w:val="en-US" w:eastAsia="zh-CN" w:bidi="ar-SA"/>
        </w:rPr>
        <w:t>第</w:t>
      </w:r>
      <w:r>
        <w:rPr>
          <w:rFonts w:hint="eastAsia" w:ascii="宋体" w:hAnsi="宋体" w:cs="宋体"/>
          <w:bCs w:val="0"/>
          <w:kern w:val="2"/>
          <w:sz w:val="32"/>
          <w:szCs w:val="32"/>
          <w:lang w:val="en-US" w:eastAsia="zh-CN" w:bidi="ar-SA"/>
        </w:rPr>
        <w:t>五</w:t>
      </w:r>
      <w:r>
        <w:rPr>
          <w:rFonts w:hint="eastAsia" w:ascii="宋体" w:hAnsi="宋体" w:eastAsia="宋体" w:cs="宋体"/>
          <w:bCs w:val="0"/>
          <w:kern w:val="2"/>
          <w:sz w:val="32"/>
          <w:szCs w:val="32"/>
          <w:lang w:val="en-US" w:eastAsia="zh-CN" w:bidi="ar-SA"/>
        </w:rPr>
        <w:t>章</w:t>
      </w:r>
      <w:r>
        <w:rPr>
          <w:rFonts w:hint="eastAsia" w:ascii="宋体" w:hAnsi="宋体" w:eastAsia="宋体" w:cs="宋体"/>
          <w:bCs w:val="0"/>
          <w:sz w:val="32"/>
          <w:szCs w:val="32"/>
          <w:highlight w:val="none"/>
        </w:rPr>
        <w:t xml:space="preserve">  合同条款</w:t>
      </w:r>
      <w:r>
        <w:rPr>
          <w:sz w:val="32"/>
          <w:szCs w:val="32"/>
        </w:rPr>
        <w:tab/>
      </w:r>
      <w:r>
        <w:rPr>
          <w:sz w:val="32"/>
          <w:szCs w:val="32"/>
        </w:rPr>
        <w:fldChar w:fldCharType="begin"/>
      </w:r>
      <w:r>
        <w:rPr>
          <w:sz w:val="32"/>
          <w:szCs w:val="32"/>
        </w:rPr>
        <w:instrText xml:space="preserve"> PAGEREF _Toc12242 \h </w:instrText>
      </w:r>
      <w:r>
        <w:rPr>
          <w:sz w:val="32"/>
          <w:szCs w:val="32"/>
        </w:rPr>
        <w:fldChar w:fldCharType="separate"/>
      </w:r>
      <w:r>
        <w:rPr>
          <w:sz w:val="32"/>
          <w:szCs w:val="32"/>
        </w:rPr>
        <w:t>38</w:t>
      </w:r>
      <w:r>
        <w:rPr>
          <w:sz w:val="32"/>
          <w:szCs w:val="32"/>
        </w:rPr>
        <w:fldChar w:fldCharType="end"/>
      </w:r>
      <w:r>
        <w:rPr>
          <w:sz w:val="32"/>
          <w:szCs w:val="32"/>
        </w:rPr>
        <w:fldChar w:fldCharType="end"/>
      </w:r>
    </w:p>
    <w:p w14:paraId="31F3B2D2">
      <w:pPr>
        <w:pStyle w:val="27"/>
        <w:tabs>
          <w:tab w:val="right" w:leader="dot" w:pos="9746"/>
        </w:tabs>
      </w:pPr>
    </w:p>
    <w:p w14:paraId="654F1213">
      <w:pPr>
        <w:keepNext w:val="0"/>
        <w:keepLines w:val="0"/>
        <w:pageBreakBefore w:val="0"/>
        <w:kinsoku/>
        <w:wordWrap/>
        <w:overflowPunct/>
        <w:topLinePunct w:val="0"/>
        <w:autoSpaceDE/>
        <w:autoSpaceDN/>
        <w:bidi w:val="0"/>
        <w:adjustRightInd/>
        <w:snapToGrid/>
        <w:spacing w:line="800" w:lineRule="exact"/>
        <w:textAlignment w:val="auto"/>
      </w:pPr>
      <w:r>
        <w:fldChar w:fldCharType="end"/>
      </w:r>
    </w:p>
    <w:p w14:paraId="71DC740A">
      <w:pPr>
        <w:pStyle w:val="20"/>
        <w:tabs>
          <w:tab w:val="left" w:pos="5197"/>
        </w:tabs>
        <w:spacing w:line="480" w:lineRule="auto"/>
        <w:rPr>
          <w:rFonts w:hint="eastAsia" w:ascii="宋体" w:hAnsi="宋体" w:eastAsia="宋体" w:cs="宋体"/>
          <w:color w:val="auto"/>
          <w:highlight w:val="none"/>
          <w:lang w:eastAsia="zh-CN"/>
        </w:rPr>
        <w:sectPr>
          <w:footerReference r:id="rId3" w:type="default"/>
          <w:pgSz w:w="11906" w:h="16838"/>
          <w:pgMar w:top="1440" w:right="1080" w:bottom="1440" w:left="1080" w:header="851" w:footer="1020" w:gutter="0"/>
          <w:pgNumType w:fmt="decimal"/>
          <w:cols w:space="720" w:num="1"/>
          <w:docGrid w:type="lines" w:linePitch="312" w:charSpace="0"/>
        </w:sectPr>
      </w:pPr>
      <w:r>
        <w:rPr>
          <w:rFonts w:hint="eastAsia" w:hAnsi="宋体" w:cs="宋体"/>
          <w:color w:val="auto"/>
          <w:szCs w:val="24"/>
          <w:highlight w:val="none"/>
          <w:lang w:eastAsia="zh-CN"/>
        </w:rPr>
        <w:tab/>
      </w:r>
      <w:bookmarkStart w:id="269" w:name="_GoBack"/>
      <w:bookmarkEnd w:id="269"/>
    </w:p>
    <w:bookmarkEnd w:id="0"/>
    <w:bookmarkEnd w:id="1"/>
    <w:bookmarkEnd w:id="2"/>
    <w:bookmarkEnd w:id="3"/>
    <w:bookmarkEnd w:id="4"/>
    <w:bookmarkEnd w:id="5"/>
    <w:bookmarkEnd w:id="6"/>
    <w:bookmarkEnd w:id="7"/>
    <w:bookmarkEnd w:id="8"/>
    <w:p w14:paraId="14BE2327">
      <w:pPr>
        <w:spacing w:after="156" w:afterLines="50" w:line="360" w:lineRule="auto"/>
        <w:jc w:val="center"/>
        <w:outlineLvl w:val="0"/>
        <w:rPr>
          <w:rFonts w:hint="eastAsia" w:ascii="宋体" w:hAnsi="宋体" w:eastAsia="宋体" w:cs="宋体"/>
          <w:color w:val="auto"/>
          <w:highlight w:val="none"/>
        </w:rPr>
      </w:pPr>
      <w:bookmarkStart w:id="9" w:name="_Toc193"/>
      <w:bookmarkStart w:id="10" w:name="_Toc7991"/>
      <w:bookmarkStart w:id="11" w:name="_Toc5254"/>
      <w:bookmarkStart w:id="12" w:name="_Toc14413"/>
      <w:bookmarkStart w:id="13" w:name="_Toc25814"/>
      <w:bookmarkStart w:id="14" w:name="_Toc10051"/>
      <w:bookmarkStart w:id="15" w:name="_Toc15398"/>
      <w:r>
        <w:rPr>
          <w:rFonts w:hint="eastAsia" w:ascii="宋体" w:hAnsi="宋体" w:eastAsia="宋体" w:cs="宋体"/>
          <w:b/>
          <w:bCs/>
          <w:color w:val="auto"/>
          <w:sz w:val="32"/>
          <w:szCs w:val="32"/>
          <w:highlight w:val="none"/>
        </w:rPr>
        <w:t>第一章  竞争性磋商公告</w:t>
      </w:r>
      <w:bookmarkEnd w:id="9"/>
      <w:bookmarkEnd w:id="10"/>
      <w:bookmarkEnd w:id="11"/>
      <w:bookmarkEnd w:id="12"/>
      <w:bookmarkEnd w:id="13"/>
    </w:p>
    <w:p w14:paraId="1A3F7CB1">
      <w:pPr>
        <w:pBdr>
          <w:top w:val="single" w:color="auto" w:sz="4" w:space="1"/>
          <w:left w:val="single" w:color="auto" w:sz="4" w:space="4"/>
          <w:bottom w:val="single" w:color="auto" w:sz="4" w:space="1"/>
          <w:right w:val="single" w:color="auto" w:sz="4" w:space="4"/>
        </w:pBdr>
        <w:spacing w:line="46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u w:val="single"/>
          <w:lang w:val="en-US" w:eastAsia="zh-CN"/>
        </w:rPr>
        <w:t xml:space="preserve"> 中华人民共和国畹町出入境边防检查站2025年度公务用车维修服务定点协议单位采购项目（二次）</w:t>
      </w:r>
      <w:r>
        <w:rPr>
          <w:rFonts w:hint="eastAsia" w:ascii="宋体" w:hAnsi="宋体" w:eastAsia="宋体" w:cs="宋体"/>
          <w:color w:val="auto"/>
          <w:sz w:val="24"/>
          <w:highlight w:val="none"/>
        </w:rPr>
        <w:t>的潜在供应商应在</w:t>
      </w:r>
      <w:r>
        <w:rPr>
          <w:rFonts w:hint="eastAsia" w:ascii="宋体" w:hAnsi="宋体" w:eastAsia="宋体" w:cs="宋体"/>
          <w:color w:val="auto"/>
          <w:sz w:val="24"/>
          <w:highlight w:val="none"/>
          <w:u w:val="single"/>
        </w:rPr>
        <w:t>德宏众恒工程管理有限公司（德宏州芒市勐焕街道锦华社区胞波路46号4楼）</w:t>
      </w:r>
      <w:r>
        <w:rPr>
          <w:rFonts w:hint="eastAsia" w:ascii="宋体" w:hAnsi="宋体" w:eastAsia="宋体" w:cs="宋体"/>
          <w:color w:val="auto"/>
          <w:sz w:val="24"/>
          <w:highlight w:val="none"/>
        </w:rPr>
        <w:t>获取采购文件，并于</w:t>
      </w:r>
      <w:r>
        <w:rPr>
          <w:rFonts w:hint="eastAsia" w:ascii="宋体" w:hAnsi="宋体" w:eastAsia="宋体" w:cs="宋体"/>
          <w:color w:val="auto"/>
          <w:sz w:val="24"/>
          <w:szCs w:val="24"/>
          <w:highlight w:val="none"/>
          <w:u w:val="single"/>
        </w:rPr>
        <w:t xml:space="preserve"> 202</w:t>
      </w:r>
      <w:r>
        <w:rPr>
          <w:rFonts w:hint="eastAsia" w:ascii="宋体" w:hAnsi="宋体" w:cs="宋体"/>
          <w:color w:val="auto"/>
          <w:sz w:val="24"/>
          <w:szCs w:val="24"/>
          <w:highlight w:val="none"/>
          <w:u w:val="single"/>
          <w:lang w:val="en-US" w:eastAsia="zh-CN"/>
        </w:rPr>
        <w:t>5</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8</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14</w:t>
      </w:r>
      <w:r>
        <w:rPr>
          <w:rFonts w:hint="eastAsia" w:ascii="宋体" w:hAnsi="宋体" w:eastAsia="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09</w:t>
      </w:r>
      <w:r>
        <w:rPr>
          <w:rFonts w:hint="eastAsia" w:ascii="宋体" w:hAnsi="宋体" w:cs="宋体"/>
          <w:bCs/>
          <w:color w:val="auto"/>
          <w:sz w:val="24"/>
          <w:szCs w:val="24"/>
          <w:highlight w:val="none"/>
          <w:u w:val="single"/>
          <w:lang w:eastAsia="zh-CN"/>
        </w:rPr>
        <w:t>时</w:t>
      </w:r>
      <w:r>
        <w:rPr>
          <w:rFonts w:hint="eastAsia" w:ascii="宋体" w:hAnsi="宋体" w:eastAsia="宋体" w:cs="宋体"/>
          <w:bCs/>
          <w:color w:val="auto"/>
          <w:sz w:val="24"/>
          <w:szCs w:val="24"/>
          <w:highlight w:val="none"/>
          <w:u w:val="single"/>
        </w:rPr>
        <w:t>00分</w:t>
      </w:r>
      <w:r>
        <w:rPr>
          <w:rFonts w:hint="eastAsia" w:ascii="宋体" w:hAnsi="宋体" w:eastAsia="宋体" w:cs="宋体"/>
          <w:bCs/>
          <w:color w:val="auto"/>
          <w:sz w:val="24"/>
          <w:highlight w:val="none"/>
        </w:rPr>
        <w:t>（北京时间）前提交响应文件</w:t>
      </w:r>
      <w:r>
        <w:rPr>
          <w:rFonts w:hint="eastAsia" w:ascii="宋体" w:hAnsi="宋体" w:eastAsia="宋体" w:cs="宋体"/>
          <w:color w:val="auto"/>
          <w:sz w:val="24"/>
          <w:highlight w:val="none"/>
        </w:rPr>
        <w:t>。</w:t>
      </w:r>
    </w:p>
    <w:p w14:paraId="58621246">
      <w:pPr>
        <w:pageBreakBefore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b/>
          <w:bCs w:val="0"/>
          <w:color w:val="auto"/>
          <w:sz w:val="24"/>
          <w:szCs w:val="24"/>
          <w:highlight w:val="none"/>
        </w:rPr>
      </w:pPr>
      <w:bookmarkStart w:id="16" w:name="_Toc5201"/>
      <w:bookmarkStart w:id="17" w:name="_Toc35393629"/>
      <w:bookmarkStart w:id="18" w:name="_Toc28359012"/>
      <w:bookmarkStart w:id="19" w:name="_Toc30503"/>
      <w:bookmarkStart w:id="20" w:name="_Toc35393798"/>
      <w:bookmarkStart w:id="21" w:name="_Toc28359089"/>
      <w:r>
        <w:rPr>
          <w:rFonts w:hint="eastAsia" w:ascii="宋体" w:hAnsi="宋体" w:eastAsia="宋体" w:cs="宋体"/>
          <w:b/>
          <w:bCs w:val="0"/>
          <w:color w:val="auto"/>
          <w:sz w:val="24"/>
          <w:szCs w:val="24"/>
          <w:highlight w:val="none"/>
        </w:rPr>
        <w:t>一、项目基本情况</w:t>
      </w:r>
      <w:bookmarkEnd w:id="16"/>
      <w:bookmarkEnd w:id="17"/>
      <w:bookmarkEnd w:id="18"/>
      <w:bookmarkEnd w:id="19"/>
      <w:bookmarkEnd w:id="20"/>
      <w:bookmarkEnd w:id="21"/>
    </w:p>
    <w:p w14:paraId="483F105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highlight w:val="none"/>
          <w:lang w:val="en-US" w:eastAsia="zh-CN"/>
        </w:rPr>
      </w:pPr>
      <w:bookmarkStart w:id="22" w:name="_Toc26665"/>
      <w:bookmarkStart w:id="23" w:name="_Toc35393630"/>
      <w:bookmarkStart w:id="24" w:name="_Toc2604"/>
      <w:bookmarkStart w:id="25" w:name="_Toc28359013"/>
      <w:bookmarkStart w:id="26" w:name="_Toc28359090"/>
      <w:bookmarkStart w:id="27" w:name="_Toc35393799"/>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DHZH2025-042</w:t>
      </w:r>
      <w:r>
        <w:rPr>
          <w:rFonts w:hint="eastAsia" w:ascii="宋体" w:hAnsi="宋体" w:eastAsia="宋体" w:cs="宋体"/>
          <w:color w:val="auto"/>
          <w:sz w:val="24"/>
          <w:highlight w:val="none"/>
          <w:lang w:eastAsia="zh-CN"/>
        </w:rPr>
        <w:t>；</w:t>
      </w:r>
    </w:p>
    <w:p w14:paraId="6E6A8BD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项目名称：</w:t>
      </w:r>
      <w:r>
        <w:rPr>
          <w:rFonts w:hint="eastAsia" w:ascii="宋体" w:hAnsi="宋体" w:cs="宋体"/>
          <w:color w:val="auto"/>
          <w:sz w:val="24"/>
          <w:highlight w:val="none"/>
          <w:lang w:val="en-US" w:eastAsia="zh-CN"/>
        </w:rPr>
        <w:t>中华人民共和国畹町出入境边防检查站2025年度公务用车维修服务定点协议单位采购项目（二次）</w:t>
      </w:r>
      <w:r>
        <w:rPr>
          <w:rFonts w:hint="eastAsia" w:ascii="宋体" w:hAnsi="宋体" w:eastAsia="宋体" w:cs="宋体"/>
          <w:color w:val="auto"/>
          <w:sz w:val="24"/>
          <w:highlight w:val="none"/>
          <w:lang w:val="en-US" w:eastAsia="zh-CN"/>
        </w:rPr>
        <w:t>；</w:t>
      </w:r>
    </w:p>
    <w:p w14:paraId="246ACFF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采购方式：竞争性磋商</w:t>
      </w:r>
      <w:r>
        <w:rPr>
          <w:rFonts w:hint="eastAsia" w:ascii="宋体" w:hAnsi="宋体" w:eastAsia="宋体" w:cs="宋体"/>
          <w:color w:val="auto"/>
          <w:sz w:val="24"/>
          <w:highlight w:val="none"/>
          <w:lang w:eastAsia="zh-CN"/>
        </w:rPr>
        <w:t>；</w:t>
      </w:r>
    </w:p>
    <w:p w14:paraId="2BE72CF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预算金额：</w:t>
      </w:r>
      <w:r>
        <w:rPr>
          <w:rFonts w:hint="eastAsia" w:ascii="宋体" w:hAnsi="宋体" w:cs="宋体"/>
          <w:color w:val="auto"/>
          <w:sz w:val="24"/>
          <w:highlight w:val="none"/>
          <w:lang w:val="en-US" w:eastAsia="zh-CN"/>
        </w:rPr>
        <w:t>280000.00元</w:t>
      </w:r>
      <w:r>
        <w:rPr>
          <w:rFonts w:hint="eastAsia" w:ascii="宋体" w:hAnsi="宋体" w:eastAsia="宋体" w:cs="宋体"/>
          <w:color w:val="auto"/>
          <w:sz w:val="24"/>
          <w:highlight w:val="none"/>
          <w:lang w:val="en-US" w:eastAsia="zh-CN"/>
        </w:rPr>
        <w:t>；</w:t>
      </w:r>
    </w:p>
    <w:p w14:paraId="06240D9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.采购需求：</w:t>
      </w:r>
      <w:r>
        <w:rPr>
          <w:rFonts w:hint="eastAsia" w:ascii="宋体" w:hAnsi="宋体" w:cs="宋体"/>
          <w:color w:val="auto"/>
          <w:sz w:val="24"/>
          <w:highlight w:val="none"/>
          <w:lang w:val="en-US" w:eastAsia="zh-CN"/>
        </w:rPr>
        <w:t>对畹町出入境边防检查站在三个片区内58辆公务车辆提供日常基础保养及维修，并在片区内提供免费救援服务</w:t>
      </w:r>
      <w:r>
        <w:rPr>
          <w:rFonts w:hint="eastAsia" w:ascii="宋体" w:hAnsi="宋体" w:eastAsia="宋体" w:cs="宋体"/>
          <w:color w:val="auto"/>
          <w:sz w:val="24"/>
          <w:highlight w:val="none"/>
          <w:lang w:val="en-US" w:eastAsia="zh-CN"/>
        </w:rPr>
        <w:t>；</w:t>
      </w:r>
    </w:p>
    <w:p w14:paraId="23B76593">
      <w:pPr>
        <w:pageBreakBefore w:val="0"/>
        <w:kinsoku/>
        <w:wordWrap/>
        <w:overflowPunct/>
        <w:autoSpaceDN/>
        <w:bidi w:val="0"/>
        <w:snapToGri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.合同履行期限：</w:t>
      </w:r>
      <w:r>
        <w:rPr>
          <w:rFonts w:hint="eastAsia" w:ascii="宋体" w:hAnsi="宋体" w:cs="宋体"/>
          <w:color w:val="auto"/>
          <w:sz w:val="24"/>
          <w:highlight w:val="none"/>
          <w:lang w:val="en-US" w:eastAsia="zh-CN"/>
        </w:rPr>
        <w:t>合同签订之日起，服务期限满1年(维修费用以实际发生为准)；</w:t>
      </w:r>
    </w:p>
    <w:p w14:paraId="47EA5DA1">
      <w:pPr>
        <w:pageBreakBefore w:val="0"/>
        <w:kinsoku/>
        <w:wordWrap/>
        <w:overflowPunct/>
        <w:autoSpaceDN/>
        <w:bidi w:val="0"/>
        <w:snapToGrid/>
        <w:spacing w:line="460" w:lineRule="exact"/>
        <w:ind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服务质量要求：保证修车质量和快速维修，到店优先修理，片区范围内提供免费救援服务；服务质量须达到现行中华人民共和国以及省、自治区、直辖市或行业的相关标准、规范的要求；严格遵照国家或行业有关标准、规范执行；</w:t>
      </w:r>
    </w:p>
    <w:p w14:paraId="401E1225">
      <w:pPr>
        <w:pageBreakBefore w:val="0"/>
        <w:kinsoku/>
        <w:wordWrap/>
        <w:overflowPunct/>
        <w:autoSpaceDN/>
        <w:bidi w:val="0"/>
        <w:snapToGri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.服务地点：</w:t>
      </w:r>
      <w:r>
        <w:rPr>
          <w:rFonts w:hint="eastAsia" w:ascii="宋体" w:hAnsi="宋体" w:cs="宋体"/>
          <w:color w:val="auto"/>
          <w:sz w:val="24"/>
          <w:highlight w:val="none"/>
          <w:lang w:val="en-US" w:eastAsia="zh-CN"/>
        </w:rPr>
        <w:t>畹町出入境边防检查站三个片区单位（瑞丽片区、芒市片区、盈江片区）</w:t>
      </w:r>
      <w:r>
        <w:rPr>
          <w:rFonts w:hint="eastAsia" w:ascii="宋体" w:hAnsi="宋体" w:eastAsia="宋体" w:cs="宋体"/>
          <w:color w:val="auto"/>
          <w:sz w:val="24"/>
          <w:highlight w:val="none"/>
          <w:lang w:val="en-US" w:eastAsia="zh-CN"/>
        </w:rPr>
        <w:t>；</w:t>
      </w:r>
    </w:p>
    <w:p w14:paraId="57CB532F">
      <w:pPr>
        <w:pageBreakBefore w:val="0"/>
        <w:kinsoku/>
        <w:wordWrap/>
        <w:overflowPunct/>
        <w:autoSpaceDN/>
        <w:bidi w:val="0"/>
        <w:snapToGri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val="en-US" w:eastAsia="zh-CN"/>
        </w:rPr>
        <w:t>.本项目不接受联合体投标。</w:t>
      </w:r>
    </w:p>
    <w:p w14:paraId="777170FC">
      <w:pPr>
        <w:pStyle w:val="4"/>
        <w:keepNext/>
        <w:keepLines/>
        <w:pageBreakBefore w:val="0"/>
        <w:widowControl w:val="0"/>
        <w:kinsoku/>
        <w:wordWrap/>
        <w:overflowPunct/>
        <w:topLinePunct w:val="0"/>
        <w:autoSpaceDE/>
        <w:autoSpaceDN/>
        <w:bidi w:val="0"/>
        <w:adjustRightInd/>
        <w:snapToGrid/>
        <w:spacing w:before="157" w:beforeLines="50" w:after="157" w:afterLines="50" w:line="460" w:lineRule="exact"/>
        <w:textAlignment w:val="auto"/>
        <w:rPr>
          <w:rFonts w:hint="eastAsia" w:ascii="宋体" w:hAnsi="宋体" w:eastAsia="宋体" w:cs="宋体"/>
          <w:bCs w:val="0"/>
          <w:color w:val="auto"/>
          <w:sz w:val="24"/>
          <w:szCs w:val="24"/>
          <w:highlight w:val="none"/>
        </w:rPr>
      </w:pPr>
      <w:bookmarkStart w:id="28" w:name="_Toc681"/>
      <w:r>
        <w:rPr>
          <w:rFonts w:hint="eastAsia" w:ascii="宋体" w:hAnsi="宋体" w:eastAsia="宋体" w:cs="宋体"/>
          <w:b/>
          <w:bCs w:val="0"/>
          <w:i w:val="0"/>
          <w:color w:val="auto"/>
          <w:kern w:val="2"/>
          <w:sz w:val="24"/>
          <w:szCs w:val="24"/>
          <w:highlight w:val="none"/>
          <w:lang w:val="en-US" w:eastAsia="zh-CN" w:bidi="ar-SA"/>
        </w:rPr>
        <w:t>二、供应商的资格要求</w:t>
      </w:r>
      <w:bookmarkEnd w:id="22"/>
      <w:bookmarkEnd w:id="23"/>
      <w:bookmarkEnd w:id="24"/>
      <w:bookmarkEnd w:id="25"/>
      <w:bookmarkEnd w:id="26"/>
      <w:bookmarkEnd w:id="27"/>
      <w:bookmarkEnd w:id="28"/>
    </w:p>
    <w:p w14:paraId="1B18C838">
      <w:pPr>
        <w:pStyle w:val="15"/>
        <w:pageBreakBefore w:val="0"/>
        <w:kinsoku/>
        <w:wordWrap/>
        <w:overflowPunct/>
        <w:topLinePunct w:val="0"/>
        <w:autoSpaceDN/>
        <w:bidi w:val="0"/>
        <w:adjustRightInd w:val="0"/>
        <w:snapToGrid/>
        <w:spacing w:after="0" w:line="500" w:lineRule="exact"/>
        <w:ind w:left="0" w:leftChars="0" w:firstLine="480" w:firstLineChars="200"/>
        <w:textAlignment w:val="auto"/>
        <w:outlineLvl w:val="9"/>
        <w:rPr>
          <w:rFonts w:hint="eastAsia" w:ascii="宋体" w:hAnsi="宋体" w:eastAsia="宋体" w:cs="宋体"/>
          <w:color w:val="auto"/>
          <w:sz w:val="24"/>
          <w:highlight w:val="none"/>
          <w:lang w:val="en-US" w:eastAsia="zh-CN"/>
        </w:rPr>
      </w:pPr>
      <w:bookmarkStart w:id="29" w:name="_Toc28359091"/>
      <w:bookmarkStart w:id="30" w:name="_Toc28359014"/>
      <w:bookmarkStart w:id="31" w:name="_Toc35393800"/>
      <w:bookmarkStart w:id="32" w:name="_Toc10280"/>
      <w:bookmarkStart w:id="33" w:name="_Toc35393631"/>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满足《中华人民共和国政府采购法》第二十二条规定</w:t>
      </w:r>
      <w:r>
        <w:rPr>
          <w:rFonts w:hint="eastAsia" w:ascii="宋体" w:hAnsi="宋体" w:cs="宋体"/>
          <w:color w:val="auto"/>
          <w:sz w:val="24"/>
          <w:highlight w:val="none"/>
          <w:lang w:eastAsia="zh-CN"/>
        </w:rPr>
        <w:t>：</w:t>
      </w:r>
    </w:p>
    <w:p w14:paraId="5ED30139">
      <w:pPr>
        <w:pStyle w:val="15"/>
        <w:pageBreakBefore w:val="0"/>
        <w:kinsoku/>
        <w:wordWrap/>
        <w:overflowPunct/>
        <w:topLinePunct w:val="0"/>
        <w:autoSpaceDN/>
        <w:bidi w:val="0"/>
        <w:adjustRightInd w:val="0"/>
        <w:snapToGrid/>
        <w:spacing w:after="0" w:line="500" w:lineRule="exact"/>
        <w:ind w:left="0" w:leftChars="0" w:firstLine="480" w:firstLineChars="200"/>
        <w:textAlignment w:val="auto"/>
        <w:rPr>
          <w:rFonts w:hint="eastAsia" w:ascii="宋体" w:hAnsi="宋体" w:eastAsia="宋体" w:cs="宋体"/>
          <w:color w:val="auto"/>
          <w:sz w:val="24"/>
          <w:highlight w:val="none"/>
        </w:rPr>
      </w:pPr>
      <w:bookmarkStart w:id="34" w:name="_Toc22996"/>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具有独立承担民事责任的能力</w:t>
      </w:r>
      <w:r>
        <w:rPr>
          <w:rFonts w:hint="eastAsia" w:ascii="宋体" w:hAnsi="宋体" w:eastAsia="宋体" w:cs="宋体"/>
          <w:color w:val="auto"/>
          <w:sz w:val="24"/>
          <w:highlight w:val="none"/>
          <w:lang w:eastAsia="zh-CN"/>
        </w:rPr>
        <w:t>。提供自然人有效身份证或法人或者其他组织有效的营业执照等证明文件</w:t>
      </w:r>
      <w:r>
        <w:rPr>
          <w:rFonts w:hint="eastAsia" w:ascii="宋体" w:hAnsi="宋体" w:eastAsia="宋体" w:cs="宋体"/>
          <w:color w:val="auto"/>
          <w:sz w:val="24"/>
          <w:highlight w:val="none"/>
        </w:rPr>
        <w:t>。</w:t>
      </w:r>
    </w:p>
    <w:p w14:paraId="4AC08A57">
      <w:pPr>
        <w:pStyle w:val="15"/>
        <w:keepNext w:val="0"/>
        <w:keepLines w:val="0"/>
        <w:pageBreakBefore w:val="0"/>
        <w:widowControl w:val="0"/>
        <w:kinsoku/>
        <w:wordWrap/>
        <w:overflowPunct/>
        <w:topLinePunct w:val="0"/>
        <w:autoSpaceDN/>
        <w:bidi w:val="0"/>
        <w:adjustRightInd/>
        <w:snapToGrid/>
        <w:spacing w:after="0" w:line="460" w:lineRule="exact"/>
        <w:ind w:left="0" w:leftChars="0" w:firstLine="482"/>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（2）具有良好的商业信誉和健全的财务会计制度。提供财务状况报告，内容可为以下三者之一：①提供2022年至今任意一年经审计的财务状况报告（至少包含审计报告、资产负债表、利润表、现金流量表</w:t>
      </w:r>
      <w:r>
        <w:rPr>
          <w:rFonts w:hint="eastAsia" w:ascii="宋体" w:hAnsi="宋体" w:cs="宋体"/>
          <w:color w:val="auto"/>
          <w:sz w:val="24"/>
          <w:highlight w:val="none"/>
          <w:lang w:val="en-US" w:eastAsia="zh-CN"/>
        </w:rPr>
        <w:t>、所有者权益表及附注</w:t>
      </w:r>
      <w:r>
        <w:rPr>
          <w:rFonts w:hint="eastAsia" w:ascii="宋体" w:hAnsi="宋体" w:eastAsia="宋体" w:cs="宋体"/>
          <w:color w:val="auto"/>
          <w:sz w:val="24"/>
          <w:highlight w:val="none"/>
          <w:lang w:val="en-US" w:eastAsia="zh-CN"/>
        </w:rPr>
        <w:t>），成立未满1年或成立至今未产生经营活动的供应商提供自成立至今的财务报表或财务情况说明；</w:t>
      </w:r>
    </w:p>
    <w:p w14:paraId="28C9A1DC">
      <w:pPr>
        <w:pStyle w:val="15"/>
        <w:keepNext w:val="0"/>
        <w:keepLines w:val="0"/>
        <w:pageBreakBefore w:val="0"/>
        <w:widowControl w:val="0"/>
        <w:kinsoku/>
        <w:wordWrap/>
        <w:overflowPunct/>
        <w:topLinePunct w:val="0"/>
        <w:autoSpaceDN/>
        <w:bidi w:val="0"/>
        <w:adjustRightInd/>
        <w:snapToGrid/>
        <w:spacing w:after="0" w:line="460" w:lineRule="exact"/>
        <w:ind w:left="0" w:leftChars="0" w:firstLine="482"/>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②提供自响应文件提交截止时间前六个月内基本开户银行出具的资信证明；</w:t>
      </w:r>
    </w:p>
    <w:p w14:paraId="09948477">
      <w:pPr>
        <w:pStyle w:val="15"/>
        <w:keepNext w:val="0"/>
        <w:keepLines w:val="0"/>
        <w:pageBreakBefore w:val="0"/>
        <w:widowControl w:val="0"/>
        <w:kinsoku/>
        <w:wordWrap/>
        <w:overflowPunct/>
        <w:topLinePunct w:val="0"/>
        <w:autoSpaceDN/>
        <w:bidi w:val="0"/>
        <w:adjustRightInd/>
        <w:snapToGrid/>
        <w:spacing w:after="0" w:line="460" w:lineRule="exact"/>
        <w:ind w:left="0" w:leftChars="0" w:firstLine="482"/>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③提供专业担保机构出具的投标担保函。</w:t>
      </w:r>
    </w:p>
    <w:p w14:paraId="06A8BCBC">
      <w:pPr>
        <w:pStyle w:val="15"/>
        <w:pageBreakBefore w:val="0"/>
        <w:kinsoku/>
        <w:wordWrap/>
        <w:overflowPunct/>
        <w:topLinePunct w:val="0"/>
        <w:autoSpaceDN/>
        <w:bidi w:val="0"/>
        <w:adjustRightInd w:val="0"/>
        <w:snapToGrid/>
        <w:spacing w:after="0" w:line="500" w:lineRule="exact"/>
        <w:ind w:left="0" w:leftChars="0" w:firstLine="480" w:firstLineChars="200"/>
        <w:textAlignment w:val="auto"/>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val="en-US" w:eastAsia="zh-CN" w:bidi="ar"/>
        </w:rPr>
        <w:t>（3）</w:t>
      </w:r>
      <w:r>
        <w:rPr>
          <w:rFonts w:hint="eastAsia" w:ascii="宋体" w:hAnsi="宋体" w:eastAsia="宋体" w:cs="宋体"/>
          <w:color w:val="auto"/>
          <w:kern w:val="2"/>
          <w:sz w:val="24"/>
          <w:szCs w:val="24"/>
          <w:highlight w:val="none"/>
          <w:lang w:bidi="ar"/>
        </w:rPr>
        <w:t>具有履行合同所必需的设备和专业技术能力。提供具备履行合同所必需的设备和专业技术能力的证明材料</w:t>
      </w:r>
      <w:r>
        <w:rPr>
          <w:rFonts w:hint="eastAsia" w:ascii="宋体" w:hAnsi="宋体" w:eastAsia="宋体" w:cs="宋体"/>
          <w:color w:val="auto"/>
          <w:kern w:val="2"/>
          <w:sz w:val="24"/>
          <w:szCs w:val="24"/>
          <w:highlight w:val="none"/>
          <w:lang w:eastAsia="zh-CN" w:bidi="ar"/>
        </w:rPr>
        <w:t>或承诺书</w:t>
      </w:r>
      <w:r>
        <w:rPr>
          <w:rFonts w:hint="eastAsia" w:ascii="宋体" w:hAnsi="宋体" w:eastAsia="宋体" w:cs="宋体"/>
          <w:color w:val="auto"/>
          <w:kern w:val="2"/>
          <w:sz w:val="24"/>
          <w:szCs w:val="24"/>
          <w:highlight w:val="none"/>
          <w:lang w:bidi="ar"/>
        </w:rPr>
        <w:t>。</w:t>
      </w:r>
    </w:p>
    <w:p w14:paraId="18C2E8BD">
      <w:pPr>
        <w:pStyle w:val="15"/>
        <w:pageBreakBefore w:val="0"/>
        <w:kinsoku/>
        <w:wordWrap/>
        <w:overflowPunct/>
        <w:topLinePunct w:val="0"/>
        <w:autoSpaceDN/>
        <w:bidi w:val="0"/>
        <w:adjustRightInd w:val="0"/>
        <w:snapToGrid/>
        <w:spacing w:after="0"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bidi="ar"/>
        </w:rPr>
        <w:t>有依法缴纳税收和社会保障资金的良好记录。①</w:t>
      </w:r>
      <w:r>
        <w:rPr>
          <w:rFonts w:hint="eastAsia" w:ascii="宋体" w:hAnsi="宋体" w:cs="宋体"/>
          <w:color w:val="auto"/>
          <w:sz w:val="24"/>
          <w:szCs w:val="24"/>
          <w:highlight w:val="none"/>
          <w:lang w:eastAsia="zh-CN"/>
        </w:rPr>
        <w:t>提供2025年1月至今任意1个月缴纳税收的证明材料</w:t>
      </w:r>
      <w:r>
        <w:rPr>
          <w:rFonts w:hint="eastAsia" w:ascii="宋体" w:hAnsi="宋体" w:eastAsia="宋体" w:cs="宋体"/>
          <w:color w:val="auto"/>
          <w:sz w:val="24"/>
          <w:szCs w:val="24"/>
          <w:highlight w:val="none"/>
        </w:rPr>
        <w:t>，依法免税的，应提供依法免税的相关证明文件</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成立未满1个月或未产生经营活动的供应商自行提供情况说明</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kern w:val="2"/>
          <w:sz w:val="24"/>
          <w:szCs w:val="24"/>
          <w:highlight w:val="none"/>
          <w:lang w:bidi="ar"/>
        </w:rPr>
        <w:t>②</w:t>
      </w:r>
      <w:r>
        <w:rPr>
          <w:rFonts w:hint="eastAsia" w:ascii="宋体" w:hAnsi="宋体" w:cs="宋体"/>
          <w:color w:val="auto"/>
          <w:sz w:val="24"/>
          <w:szCs w:val="24"/>
          <w:highlight w:val="none"/>
          <w:lang w:eastAsia="zh-CN"/>
        </w:rPr>
        <w:t>提供2025年1月至今任意1个月缴纳社会保障资金的证明材料，依法免缴的</w:t>
      </w:r>
      <w:r>
        <w:rPr>
          <w:rFonts w:hint="eastAsia" w:ascii="宋体" w:hAnsi="宋体" w:eastAsia="宋体" w:cs="宋体"/>
          <w:color w:val="auto"/>
          <w:sz w:val="24"/>
          <w:szCs w:val="24"/>
          <w:highlight w:val="none"/>
        </w:rPr>
        <w:t>，应提供依法免缴的相关证明文件</w:t>
      </w:r>
      <w:r>
        <w:rPr>
          <w:rFonts w:hint="eastAsia" w:ascii="宋体" w:hAnsi="宋体" w:eastAsia="宋体" w:cs="宋体"/>
          <w:color w:val="auto"/>
          <w:sz w:val="24"/>
          <w:szCs w:val="24"/>
          <w:highlight w:val="none"/>
          <w:lang w:eastAsia="zh-CN"/>
        </w:rPr>
        <w:t>，成立未满1个月的无需提供</w:t>
      </w:r>
      <w:r>
        <w:rPr>
          <w:rFonts w:hint="eastAsia" w:ascii="宋体" w:hAnsi="宋体" w:eastAsia="宋体" w:cs="宋体"/>
          <w:color w:val="auto"/>
          <w:sz w:val="24"/>
          <w:szCs w:val="24"/>
          <w:highlight w:val="none"/>
          <w:lang w:val="en-US" w:eastAsia="zh-CN"/>
        </w:rPr>
        <w:t>。</w:t>
      </w:r>
    </w:p>
    <w:p w14:paraId="04F1FAD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参加政府采购活动前三年内，在经营活动中没有重大违法记录。提供参加政府采购活动前三年内在经营活动中没有重大违法记录的书面声明。</w:t>
      </w:r>
    </w:p>
    <w:p w14:paraId="45FD0187">
      <w:pPr>
        <w:spacing w:line="360" w:lineRule="auto"/>
        <w:ind w:firstLine="4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法律、行政法规规定的其他条件。</w:t>
      </w:r>
    </w:p>
    <w:p w14:paraId="0D0A06F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①</w:t>
      </w:r>
      <w:r>
        <w:rPr>
          <w:rFonts w:hint="eastAsia" w:ascii="宋体" w:hAnsi="宋体" w:eastAsia="宋体" w:cs="宋体"/>
          <w:color w:val="auto"/>
          <w:sz w:val="24"/>
          <w:szCs w:val="24"/>
          <w:highlight w:val="none"/>
        </w:rPr>
        <w:t>单位负责人为同一人或者存在直接控股、管理关系的不同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，不得参加同一合同项下的政府采购活动。为采购项目提供整体设计、规范编制或者项目管理、监理、检测等服务的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，不得再参加该采购项目的其他采购活动。</w:t>
      </w:r>
    </w:p>
    <w:p w14:paraId="0C639446">
      <w:pPr>
        <w:keepNext w:val="0"/>
        <w:keepLines w:val="0"/>
        <w:pageBreakBefore w:val="0"/>
        <w:kinsoku/>
        <w:wordWrap/>
        <w:overflowPunct/>
        <w:topLinePunct w:val="0"/>
        <w:autoSpaceDN/>
        <w:bidi w:val="0"/>
        <w:snapToGrid/>
        <w:spacing w:line="460" w:lineRule="exact"/>
        <w:ind w:firstLine="480" w:firstLineChars="200"/>
        <w:textAlignment w:val="auto"/>
        <w:outlineLvl w:val="9"/>
        <w:rPr>
          <w:rFonts w:hint="eastAsia" w:ascii="宋体" w:hAnsi="宋体" w:eastAsia="宋体" w:cs="宋体"/>
          <w:b/>
          <w:bCs/>
          <w:color w:val="auto"/>
          <w:sz w:val="24"/>
          <w:highlight w:val="none"/>
          <w:lang w:val="en-US" w:eastAsia="zh-CN"/>
        </w:rPr>
      </w:pPr>
      <w:r>
        <w:rPr>
          <w:rFonts w:hint="eastAsia" w:ascii="宋体" w:hAnsi="宋体" w:eastAsia="宋体" w:cs="宋体"/>
          <w:color w:val="auto"/>
          <w:kern w:val="2"/>
          <w:sz w:val="24"/>
          <w:szCs w:val="24"/>
          <w:highlight w:val="none"/>
          <w:lang w:bidi="ar"/>
        </w:rPr>
        <w:t>②</w:t>
      </w:r>
      <w:r>
        <w:rPr>
          <w:rFonts w:hint="eastAsia" w:ascii="宋体" w:hAnsi="宋体" w:cs="宋体"/>
          <w:b w:val="0"/>
          <w:bCs w:val="0"/>
          <w:color w:val="auto"/>
          <w:sz w:val="24"/>
          <w:highlight w:val="none"/>
          <w:lang w:val="en-US" w:eastAsia="zh-CN"/>
        </w:rPr>
        <w:t>供应商</w:t>
      </w:r>
      <w:r>
        <w:rPr>
          <w:rFonts w:hint="eastAsia" w:ascii="宋体" w:hAnsi="宋体" w:eastAsia="宋体" w:cs="宋体"/>
          <w:color w:val="auto"/>
          <w:spacing w:val="0"/>
          <w:kern w:val="2"/>
          <w:sz w:val="24"/>
          <w:szCs w:val="24"/>
          <w:highlight w:val="none"/>
          <w:lang w:val="en-US" w:eastAsia="zh-CN" w:bidi="ar-SA"/>
        </w:rPr>
        <w:t>在“中国执行信息公开网”未被列入失信被执行人名单；</w:t>
      </w:r>
      <w:r>
        <w:rPr>
          <w:rFonts w:hint="eastAsia" w:ascii="宋体" w:hAnsi="宋体" w:eastAsia="宋体" w:cs="宋体"/>
          <w:color w:val="auto"/>
          <w:spacing w:val="-4"/>
          <w:kern w:val="0"/>
          <w:sz w:val="24"/>
          <w:szCs w:val="24"/>
          <w:highlight w:val="none"/>
          <w:lang w:val="en-US" w:eastAsia="zh-CN"/>
        </w:rPr>
        <w:t>供应商</w:t>
      </w:r>
      <w:r>
        <w:rPr>
          <w:rFonts w:hint="eastAsia" w:ascii="宋体" w:hAnsi="宋体" w:eastAsia="宋体" w:cs="宋体"/>
          <w:b w:val="0"/>
          <w:bCs w:val="0"/>
          <w:color w:val="auto"/>
          <w:sz w:val="24"/>
          <w:highlight w:val="none"/>
          <w:lang w:val="en-US" w:eastAsia="zh-CN"/>
        </w:rPr>
        <w:t>在</w:t>
      </w:r>
      <w:r>
        <w:rPr>
          <w:rFonts w:hint="eastAsia" w:ascii="宋体" w:hAnsi="宋体" w:eastAsia="宋体" w:cs="宋体"/>
          <w:color w:val="auto"/>
          <w:spacing w:val="0"/>
          <w:kern w:val="2"/>
          <w:sz w:val="24"/>
          <w:szCs w:val="24"/>
          <w:highlight w:val="none"/>
          <w:lang w:val="en-US" w:eastAsia="zh-CN" w:bidi="ar-SA"/>
        </w:rPr>
        <w:t>“信用中国”未被列入重大税收违法失信主体、</w:t>
      </w:r>
      <w:r>
        <w:rPr>
          <w:rFonts w:hint="eastAsia" w:ascii="宋体" w:hAnsi="宋体" w:eastAsia="宋体" w:cs="宋体"/>
          <w:b w:val="0"/>
          <w:bCs w:val="0"/>
          <w:color w:val="auto"/>
          <w:sz w:val="24"/>
          <w:highlight w:val="none"/>
          <w:lang w:val="en-US" w:eastAsia="zh-CN"/>
        </w:rPr>
        <w:t>在</w:t>
      </w:r>
      <w:r>
        <w:rPr>
          <w:rFonts w:hint="eastAsia" w:ascii="宋体" w:hAnsi="宋体" w:eastAsia="宋体" w:cs="宋体"/>
          <w:color w:val="auto"/>
          <w:spacing w:val="0"/>
          <w:kern w:val="2"/>
          <w:sz w:val="24"/>
          <w:szCs w:val="24"/>
          <w:highlight w:val="none"/>
          <w:lang w:val="en-US" w:eastAsia="zh-CN" w:bidi="ar-SA"/>
        </w:rPr>
        <w:t>“中国政府采购网”中未被列入：政府采购严重违法失信行为记录名单</w:t>
      </w:r>
      <w:r>
        <w:rPr>
          <w:rFonts w:hint="eastAsia" w:ascii="宋体" w:hAnsi="宋体" w:eastAsia="宋体" w:cs="宋体"/>
          <w:color w:val="auto"/>
          <w:sz w:val="24"/>
          <w:szCs w:val="24"/>
          <w:highlight w:val="none"/>
        </w:rPr>
        <w:t>。</w:t>
      </w:r>
      <w:r>
        <w:rPr>
          <w:rFonts w:hint="eastAsia" w:ascii="宋体" w:hAnsi="宋体" w:eastAsia="宋体" w:cs="宋体"/>
          <w:b/>
          <w:bCs/>
          <w:color w:val="auto"/>
          <w:sz w:val="24"/>
          <w:highlight w:val="none"/>
          <w:lang w:val="en-US" w:eastAsia="zh-CN"/>
        </w:rPr>
        <w:t>（注：</w:t>
      </w:r>
      <w:r>
        <w:rPr>
          <w:rFonts w:hint="eastAsia" w:ascii="宋体" w:hAnsi="宋体" w:cs="宋体"/>
          <w:b/>
          <w:bCs/>
          <w:color w:val="auto"/>
          <w:sz w:val="24"/>
          <w:highlight w:val="none"/>
          <w:lang w:val="en-US" w:eastAsia="zh-CN"/>
        </w:rPr>
        <w:t>以上网站均由采购人或采购代理机构在评审时查询，若供应商有不良信誉，视为不满足资格要求，相应文件无效</w:t>
      </w:r>
      <w:r>
        <w:rPr>
          <w:rFonts w:hint="eastAsia" w:ascii="宋体" w:hAnsi="宋体" w:eastAsia="宋体" w:cs="宋体"/>
          <w:b/>
          <w:bCs/>
          <w:color w:val="auto"/>
          <w:sz w:val="24"/>
          <w:highlight w:val="none"/>
          <w:lang w:val="en-US" w:eastAsia="zh-CN"/>
        </w:rPr>
        <w:t>）</w:t>
      </w:r>
    </w:p>
    <w:p w14:paraId="7AD27E8A">
      <w:pPr>
        <w:pStyle w:val="15"/>
        <w:keepNext w:val="0"/>
        <w:keepLines w:val="0"/>
        <w:pageBreakBefore w:val="0"/>
        <w:kinsoku/>
        <w:wordWrap/>
        <w:overflowPunct/>
        <w:topLinePunct w:val="0"/>
        <w:autoSpaceDE/>
        <w:autoSpaceDN/>
        <w:bidi w:val="0"/>
        <w:snapToGrid/>
        <w:spacing w:after="0" w:line="600" w:lineRule="exact"/>
        <w:ind w:left="0" w:leftChars="0" w:firstLine="480" w:firstLineChars="200"/>
        <w:textAlignment w:val="auto"/>
        <w:rPr>
          <w:rFonts w:hint="eastAsia" w:ascii="宋体" w:hAnsi="宋体" w:eastAsia="宋体" w:cs="宋体"/>
          <w:i w:val="0"/>
          <w:iCs w:val="0"/>
          <w:color w:val="auto"/>
          <w:sz w:val="24"/>
          <w:szCs w:val="24"/>
          <w:highlight w:val="none"/>
        </w:rPr>
      </w:pPr>
      <w:bookmarkStart w:id="35" w:name="_Toc11988"/>
      <w:r>
        <w:rPr>
          <w:rFonts w:hint="eastAsia" w:ascii="宋体" w:hAnsi="宋体" w:eastAsia="宋体" w:cs="宋体"/>
          <w:i w:val="0"/>
          <w:iCs w:val="0"/>
          <w:color w:val="auto"/>
          <w:sz w:val="24"/>
          <w:szCs w:val="24"/>
          <w:highlight w:val="none"/>
        </w:rPr>
        <w:t>2.落实政府采购政策需满足的资格要求：</w:t>
      </w:r>
      <w:r>
        <w:rPr>
          <w:rFonts w:hint="eastAsia" w:ascii="宋体" w:hAnsi="宋体" w:eastAsia="宋体" w:cs="宋体"/>
          <w:b/>
          <w:bCs/>
          <w:color w:val="auto"/>
          <w:sz w:val="24"/>
          <w:highlight w:val="none"/>
        </w:rPr>
        <w:t>本项目为专门面向中小</w:t>
      </w:r>
      <w:r>
        <w:rPr>
          <w:rFonts w:hint="eastAsia" w:ascii="宋体" w:hAnsi="宋体" w:eastAsia="宋体" w:cs="宋体"/>
          <w:b/>
          <w:bCs/>
          <w:color w:val="auto"/>
          <w:sz w:val="24"/>
          <w:highlight w:val="none"/>
          <w:lang w:eastAsia="zh-CN"/>
        </w:rPr>
        <w:t>微</w:t>
      </w:r>
      <w:r>
        <w:rPr>
          <w:rFonts w:hint="eastAsia" w:ascii="宋体" w:hAnsi="宋体" w:eastAsia="宋体" w:cs="宋体"/>
          <w:b/>
          <w:bCs/>
          <w:color w:val="auto"/>
          <w:sz w:val="24"/>
          <w:highlight w:val="none"/>
        </w:rPr>
        <w:t>企业采购的项目,供应商应为中小</w:t>
      </w:r>
      <w:r>
        <w:rPr>
          <w:rFonts w:hint="eastAsia" w:ascii="宋体" w:hAnsi="宋体" w:eastAsia="宋体" w:cs="宋体"/>
          <w:b/>
          <w:bCs/>
          <w:color w:val="auto"/>
          <w:sz w:val="24"/>
          <w:highlight w:val="none"/>
          <w:lang w:eastAsia="zh-CN"/>
        </w:rPr>
        <w:t>微</w:t>
      </w:r>
      <w:r>
        <w:rPr>
          <w:rFonts w:hint="eastAsia" w:ascii="宋体" w:hAnsi="宋体" w:eastAsia="宋体" w:cs="宋体"/>
          <w:b/>
          <w:bCs/>
          <w:color w:val="auto"/>
          <w:sz w:val="24"/>
          <w:highlight w:val="none"/>
        </w:rPr>
        <w:t>企业，或监狱企业，或残疾人福利性单位；</w:t>
      </w:r>
      <w:r>
        <w:rPr>
          <w:rFonts w:hint="eastAsia" w:ascii="宋体" w:hAnsi="宋体" w:eastAsia="宋体" w:cs="宋体"/>
          <w:color w:val="auto"/>
          <w:sz w:val="24"/>
          <w:highlight w:val="none"/>
        </w:rPr>
        <w:t>根据关于印发《政府采购促进中小企业发展管理办法》的通知（财库〔2020〕46号）及</w:t>
      </w:r>
      <w:r>
        <w:rPr>
          <w:rFonts w:hint="default" w:ascii="Times New Roman" w:hAnsi="Times New Roman" w:eastAsia="宋体" w:cs="Times New Roman"/>
          <w:color w:val="auto"/>
          <w:sz w:val="24"/>
          <w:szCs w:val="24"/>
          <w:highlight w:val="none"/>
          <w:lang w:val="en-US" w:eastAsia="zh-CN"/>
        </w:rPr>
        <w:t>《政府采购促进中小企业发展管理办法》（财库〔2020〕46号）、《关于进一步加大政府采购支持中小企业力度的通知》（财库〔2022〕19号）、《财政部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w:t>
      </w:r>
      <w:r>
        <w:rPr>
          <w:rFonts w:hint="eastAsia" w:ascii="宋体" w:hAnsi="宋体" w:eastAsia="宋体" w:cs="宋体"/>
          <w:color w:val="auto"/>
          <w:sz w:val="24"/>
          <w:highlight w:val="none"/>
        </w:rPr>
        <w:t>的划分标准，本项目对应的中小企业划分标准所属行业为：</w:t>
      </w:r>
      <w:r>
        <w:rPr>
          <w:rFonts w:hint="eastAsia" w:ascii="宋体" w:hAnsi="宋体" w:eastAsia="宋体" w:cs="宋体"/>
          <w:color w:val="auto"/>
          <w:sz w:val="24"/>
          <w:highlight w:val="none"/>
          <w:lang w:val="en-US" w:eastAsia="zh-CN"/>
        </w:rPr>
        <w:t>其他未列明行业</w:t>
      </w:r>
      <w:r>
        <w:rPr>
          <w:rFonts w:hint="eastAsia" w:ascii="宋体" w:hAnsi="宋体" w:eastAsia="宋体" w:cs="宋体"/>
          <w:color w:val="auto"/>
          <w:sz w:val="24"/>
          <w:szCs w:val="24"/>
          <w:highlight w:val="none"/>
        </w:rPr>
        <w:t>。</w:t>
      </w:r>
      <w:bookmarkEnd w:id="34"/>
      <w:bookmarkEnd w:id="35"/>
    </w:p>
    <w:p w14:paraId="5D0E560A">
      <w:pPr>
        <w:keepNext w:val="0"/>
        <w:keepLines w:val="0"/>
        <w:pageBreakBefore w:val="0"/>
        <w:numPr>
          <w:ilvl w:val="0"/>
          <w:numId w:val="0"/>
        </w:numPr>
        <w:kinsoku/>
        <w:wordWrap/>
        <w:overflowPunct/>
        <w:autoSpaceDE/>
        <w:autoSpaceDN/>
        <w:bidi w:val="0"/>
        <w:snapToGrid/>
        <w:spacing w:beforeAutospacing="0" w:afterAutospacing="0" w:line="500" w:lineRule="exact"/>
        <w:ind w:firstLine="480" w:firstLineChars="200"/>
        <w:textAlignment w:val="auto"/>
        <w:outlineLvl w:val="2"/>
        <w:rPr>
          <w:rFonts w:hint="eastAsia" w:ascii="宋体" w:hAnsi="宋体" w:eastAsia="宋体" w:cs="宋体"/>
          <w:i w:val="0"/>
          <w:iCs w:val="0"/>
          <w:color w:val="auto"/>
          <w:sz w:val="24"/>
          <w:szCs w:val="24"/>
          <w:highlight w:val="none"/>
        </w:rPr>
      </w:pPr>
      <w:bookmarkStart w:id="36" w:name="_Toc29231"/>
      <w:bookmarkStart w:id="37" w:name="_Toc277"/>
      <w:bookmarkStart w:id="38" w:name="_Toc836"/>
      <w:r>
        <w:rPr>
          <w:rFonts w:hint="eastAsia" w:ascii="宋体" w:hAnsi="宋体" w:eastAsia="宋体" w:cs="宋体"/>
          <w:color w:val="auto"/>
          <w:sz w:val="24"/>
          <w:highlight w:val="none"/>
          <w:lang w:val="en-US" w:eastAsia="zh-CN"/>
        </w:rPr>
        <w:t>3.</w:t>
      </w:r>
      <w:r>
        <w:rPr>
          <w:rFonts w:hint="eastAsia" w:ascii="宋体" w:hAnsi="宋体" w:eastAsia="宋体" w:cs="宋体"/>
          <w:i w:val="0"/>
          <w:iCs w:val="0"/>
          <w:color w:val="auto"/>
          <w:sz w:val="24"/>
          <w:szCs w:val="24"/>
          <w:highlight w:val="none"/>
        </w:rPr>
        <w:t>本项目的特定资格要求：</w:t>
      </w:r>
      <w:bookmarkEnd w:id="36"/>
      <w:bookmarkEnd w:id="37"/>
    </w:p>
    <w:bookmarkEnd w:id="38"/>
    <w:p w14:paraId="41D48628">
      <w:pPr>
        <w:keepNext w:val="0"/>
        <w:keepLines w:val="0"/>
        <w:pageBreakBefore w:val="0"/>
        <w:numPr>
          <w:ilvl w:val="0"/>
          <w:numId w:val="0"/>
        </w:numPr>
        <w:kinsoku/>
        <w:wordWrap/>
        <w:overflowPunct/>
        <w:autoSpaceDE/>
        <w:autoSpaceDN/>
        <w:bidi w:val="0"/>
        <w:snapToGrid/>
        <w:spacing w:beforeAutospacing="0" w:afterAutospacing="0" w:line="500" w:lineRule="exact"/>
        <w:ind w:firstLine="480" w:firstLineChars="200"/>
        <w:textAlignment w:val="auto"/>
        <w:outlineLvl w:val="2"/>
        <w:rPr>
          <w:rFonts w:hint="eastAsia" w:ascii="宋体" w:hAnsi="宋体" w:eastAsia="宋体" w:cs="宋体"/>
          <w:color w:val="auto"/>
          <w:sz w:val="24"/>
          <w:highlight w:val="none"/>
          <w:lang w:val="en-US" w:eastAsia="zh-CN"/>
        </w:rPr>
      </w:pPr>
      <w:bookmarkStart w:id="39" w:name="_Toc16467"/>
      <w:r>
        <w:rPr>
          <w:rFonts w:hint="eastAsia" w:ascii="宋体" w:hAnsi="宋体" w:cs="宋体"/>
          <w:color w:val="auto"/>
          <w:sz w:val="24"/>
          <w:highlight w:val="none"/>
          <w:lang w:val="en-US" w:eastAsia="zh-CN"/>
        </w:rPr>
        <w:t>供应商具备二类及以上汽车维修资质</w:t>
      </w:r>
      <w:r>
        <w:rPr>
          <w:rFonts w:hint="eastAsia" w:ascii="宋体" w:hAnsi="宋体" w:eastAsia="宋体" w:cs="宋体"/>
          <w:color w:val="auto"/>
          <w:sz w:val="24"/>
          <w:highlight w:val="none"/>
          <w:lang w:val="en-US" w:eastAsia="zh-CN"/>
        </w:rPr>
        <w:t>，并经年检合格，需提供有加盖政府交通运输职能部门公章的机动车维修经营备案；</w:t>
      </w:r>
      <w:bookmarkEnd w:id="39"/>
    </w:p>
    <w:p w14:paraId="24E19E01">
      <w:pPr>
        <w:pStyle w:val="4"/>
        <w:keepNext/>
        <w:keepLines/>
        <w:pageBreakBefore w:val="0"/>
        <w:widowControl w:val="0"/>
        <w:kinsoku/>
        <w:wordWrap/>
        <w:overflowPunct/>
        <w:topLinePunct w:val="0"/>
        <w:autoSpaceDE/>
        <w:autoSpaceDN/>
        <w:bidi w:val="0"/>
        <w:adjustRightInd/>
        <w:snapToGrid/>
        <w:spacing w:before="157" w:beforeLines="50" w:after="157" w:afterLines="50" w:line="460" w:lineRule="exact"/>
        <w:textAlignment w:val="auto"/>
        <w:rPr>
          <w:rFonts w:hint="eastAsia" w:ascii="宋体" w:hAnsi="宋体" w:eastAsia="宋体" w:cs="宋体"/>
          <w:b/>
          <w:bCs w:val="0"/>
          <w:i w:val="0"/>
          <w:color w:val="auto"/>
          <w:kern w:val="2"/>
          <w:sz w:val="24"/>
          <w:szCs w:val="24"/>
          <w:highlight w:val="none"/>
          <w:lang w:val="en-US" w:eastAsia="zh-CN" w:bidi="ar-SA"/>
        </w:rPr>
      </w:pPr>
      <w:bookmarkStart w:id="40" w:name="_Toc15942"/>
      <w:r>
        <w:rPr>
          <w:rFonts w:hint="eastAsia" w:ascii="宋体" w:hAnsi="宋体" w:eastAsia="宋体" w:cs="宋体"/>
          <w:b/>
          <w:bCs w:val="0"/>
          <w:i w:val="0"/>
          <w:color w:val="auto"/>
          <w:kern w:val="2"/>
          <w:sz w:val="24"/>
          <w:szCs w:val="24"/>
          <w:highlight w:val="none"/>
          <w:lang w:val="en-US" w:eastAsia="zh-CN" w:bidi="ar-SA"/>
        </w:rPr>
        <w:t>三、获取采购文件</w:t>
      </w:r>
      <w:bookmarkEnd w:id="29"/>
      <w:bookmarkEnd w:id="30"/>
      <w:bookmarkEnd w:id="31"/>
      <w:bookmarkEnd w:id="32"/>
      <w:bookmarkEnd w:id="33"/>
      <w:bookmarkEnd w:id="40"/>
    </w:p>
    <w:p w14:paraId="633DC5C5">
      <w:pPr>
        <w:spacing w:line="460" w:lineRule="exact"/>
        <w:ind w:firstLine="480" w:firstLineChars="200"/>
        <w:rPr>
          <w:rFonts w:hint="eastAsia" w:asciiTheme="minorEastAsia" w:hAnsiTheme="minorEastAsia" w:eastAsiaTheme="minorEastAsia" w:cstheme="minorEastAsia"/>
          <w:color w:val="auto"/>
          <w:sz w:val="24"/>
        </w:rPr>
      </w:pPr>
      <w:bookmarkStart w:id="41" w:name="_Toc11980"/>
      <w:bookmarkStart w:id="42" w:name="_Toc7175"/>
      <w:r>
        <w:rPr>
          <w:rFonts w:hint="eastAsia" w:asciiTheme="minorEastAsia" w:hAnsiTheme="minorEastAsia" w:eastAsiaTheme="minorEastAsia" w:cstheme="minorEastAsia"/>
          <w:color w:val="auto"/>
          <w:sz w:val="24"/>
        </w:rPr>
        <w:t>1.时间：</w:t>
      </w:r>
      <w:r>
        <w:rPr>
          <w:rFonts w:hint="eastAsia" w:asciiTheme="minorEastAsia" w:hAnsiTheme="minorEastAsia" w:eastAsiaTheme="minorEastAsia" w:cstheme="minorEastAsia"/>
          <w:color w:val="auto"/>
          <w:sz w:val="24"/>
          <w:lang w:eastAsia="zh-CN"/>
        </w:rPr>
        <w:t>202</w:t>
      </w:r>
      <w:r>
        <w:rPr>
          <w:rFonts w:hint="eastAsia" w:asciiTheme="minorEastAsia" w:hAnsiTheme="minorEastAsia" w:eastAsiaTheme="minorEastAsia" w:cstheme="minorEastAsia"/>
          <w:color w:val="auto"/>
          <w:sz w:val="24"/>
          <w:lang w:val="en-US" w:eastAsia="zh-CN"/>
        </w:rPr>
        <w:t>5</w:t>
      </w:r>
      <w:r>
        <w:rPr>
          <w:rFonts w:hint="eastAsia" w:asciiTheme="minorEastAsia" w:hAnsiTheme="minorEastAsia" w:eastAsiaTheme="minorEastAsia" w:cstheme="minorEastAsia"/>
          <w:color w:val="auto"/>
          <w:sz w:val="24"/>
        </w:rPr>
        <w:t>年</w:t>
      </w:r>
      <w:r>
        <w:rPr>
          <w:rFonts w:hint="eastAsia" w:asciiTheme="minorEastAsia" w:hAnsiTheme="minorEastAsia" w:eastAsiaTheme="minorEastAsia" w:cstheme="minorEastAsia"/>
          <w:color w:val="auto"/>
          <w:sz w:val="24"/>
          <w:lang w:val="en-US" w:eastAsia="zh-CN"/>
        </w:rPr>
        <w:t>8</w:t>
      </w:r>
      <w:r>
        <w:rPr>
          <w:rFonts w:hint="eastAsia" w:asciiTheme="minorEastAsia" w:hAnsiTheme="minorEastAsia" w:eastAsiaTheme="minorEastAsia" w:cstheme="minorEastAsia"/>
          <w:color w:val="auto"/>
          <w:sz w:val="24"/>
        </w:rPr>
        <w:t>月</w:t>
      </w:r>
      <w:r>
        <w:rPr>
          <w:rFonts w:hint="eastAsia" w:asciiTheme="minorEastAsia" w:hAnsiTheme="minorEastAsia" w:eastAsiaTheme="minorEastAsia" w:cstheme="minorEastAsia"/>
          <w:color w:val="auto"/>
          <w:sz w:val="24"/>
          <w:lang w:val="en-US" w:eastAsia="zh-CN"/>
        </w:rPr>
        <w:t>4</w:t>
      </w:r>
      <w:r>
        <w:rPr>
          <w:rFonts w:hint="eastAsia" w:asciiTheme="minorEastAsia" w:hAnsiTheme="minorEastAsia" w:eastAsiaTheme="minorEastAsia" w:cstheme="minorEastAsia"/>
          <w:color w:val="auto"/>
          <w:sz w:val="24"/>
        </w:rPr>
        <w:t>日—</w:t>
      </w:r>
      <w:r>
        <w:rPr>
          <w:rFonts w:hint="eastAsia" w:asciiTheme="minorEastAsia" w:hAnsiTheme="minorEastAsia" w:eastAsiaTheme="minorEastAsia" w:cstheme="minorEastAsia"/>
          <w:color w:val="auto"/>
          <w:sz w:val="24"/>
          <w:lang w:eastAsia="zh-CN"/>
        </w:rPr>
        <w:t>202</w:t>
      </w:r>
      <w:r>
        <w:rPr>
          <w:rFonts w:hint="eastAsia" w:asciiTheme="minorEastAsia" w:hAnsiTheme="minorEastAsia" w:eastAsiaTheme="minorEastAsia" w:cstheme="minorEastAsia"/>
          <w:color w:val="auto"/>
          <w:sz w:val="24"/>
          <w:lang w:val="en-US" w:eastAsia="zh-CN"/>
        </w:rPr>
        <w:t>5</w:t>
      </w:r>
      <w:r>
        <w:rPr>
          <w:rFonts w:hint="eastAsia" w:asciiTheme="minorEastAsia" w:hAnsiTheme="minorEastAsia" w:eastAsiaTheme="minorEastAsia" w:cstheme="minorEastAsia"/>
          <w:color w:val="auto"/>
          <w:sz w:val="24"/>
        </w:rPr>
        <w:t>年</w:t>
      </w:r>
      <w:r>
        <w:rPr>
          <w:rFonts w:hint="eastAsia" w:asciiTheme="minorEastAsia" w:hAnsiTheme="minorEastAsia" w:eastAsiaTheme="minorEastAsia" w:cstheme="minorEastAsia"/>
          <w:color w:val="auto"/>
          <w:sz w:val="24"/>
          <w:lang w:val="en-US" w:eastAsia="zh-CN"/>
        </w:rPr>
        <w:t>8</w:t>
      </w:r>
      <w:r>
        <w:rPr>
          <w:rFonts w:hint="eastAsia" w:asciiTheme="minorEastAsia" w:hAnsiTheme="minorEastAsia" w:eastAsiaTheme="minorEastAsia" w:cstheme="minorEastAsia"/>
          <w:color w:val="auto"/>
          <w:sz w:val="24"/>
        </w:rPr>
        <w:t>月</w:t>
      </w:r>
      <w:r>
        <w:rPr>
          <w:rFonts w:hint="eastAsia" w:asciiTheme="minorEastAsia" w:hAnsiTheme="minorEastAsia" w:eastAsiaTheme="minorEastAsia" w:cstheme="minorEastAsia"/>
          <w:color w:val="auto"/>
          <w:sz w:val="24"/>
          <w:lang w:val="en-US" w:eastAsia="zh-CN"/>
        </w:rPr>
        <w:t>8</w:t>
      </w:r>
      <w:r>
        <w:rPr>
          <w:rFonts w:hint="eastAsia" w:asciiTheme="minorEastAsia" w:hAnsiTheme="minorEastAsia" w:eastAsiaTheme="minorEastAsia" w:cstheme="minorEastAsia"/>
          <w:color w:val="auto"/>
          <w:sz w:val="24"/>
        </w:rPr>
        <w:t>日，</w:t>
      </w:r>
      <w:r>
        <w:rPr>
          <w:rFonts w:hint="eastAsia" w:asciiTheme="minorEastAsia" w:hAnsiTheme="minorEastAsia" w:eastAsiaTheme="minorEastAsia" w:cstheme="minorEastAsia"/>
          <w:color w:val="auto"/>
          <w:sz w:val="24"/>
          <w:lang w:eastAsia="zh-CN"/>
        </w:rPr>
        <w:t>每天上午</w:t>
      </w:r>
      <w:r>
        <w:rPr>
          <w:rFonts w:hint="eastAsia" w:asciiTheme="minorEastAsia" w:hAnsiTheme="minorEastAsia" w:eastAsiaTheme="minorEastAsia" w:cstheme="minorEastAsia"/>
          <w:color w:val="auto"/>
          <w:sz w:val="24"/>
          <w:lang w:val="en-US" w:eastAsia="zh-CN"/>
        </w:rPr>
        <w:t>8:30至11:30，下午14:30至17:30（北京时间，法定节假日除外）；</w:t>
      </w:r>
    </w:p>
    <w:p w14:paraId="63962452">
      <w:pPr>
        <w:spacing w:line="46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2.地点：</w:t>
      </w:r>
      <w:r>
        <w:rPr>
          <w:rFonts w:hint="eastAsia" w:asciiTheme="minorEastAsia" w:hAnsiTheme="minorEastAsia" w:eastAsiaTheme="minorEastAsia" w:cstheme="minorEastAsia"/>
          <w:color w:val="auto"/>
          <w:sz w:val="24"/>
          <w:lang w:eastAsia="zh-CN"/>
        </w:rPr>
        <w:t>德宏众恒工程管理有限公司（</w:t>
      </w:r>
      <w:r>
        <w:rPr>
          <w:rFonts w:hint="eastAsia" w:asciiTheme="minorEastAsia" w:hAnsiTheme="minorEastAsia" w:eastAsiaTheme="minorEastAsia" w:cstheme="minorEastAsia"/>
          <w:color w:val="auto"/>
          <w:sz w:val="24"/>
          <w:szCs w:val="24"/>
          <w:highlight w:val="none"/>
          <w:lang w:eastAsia="zh-CN"/>
        </w:rPr>
        <w:t>德宏州芒市勐焕街道锦华社区胞波路46号4楼</w:t>
      </w:r>
      <w:r>
        <w:rPr>
          <w:rFonts w:hint="eastAsia" w:asciiTheme="minorEastAsia" w:hAnsiTheme="minorEastAsia" w:eastAsiaTheme="minorEastAsia" w:cstheme="minorEastAsia"/>
          <w:color w:val="auto"/>
          <w:sz w:val="24"/>
          <w:lang w:eastAsia="zh-CN"/>
        </w:rPr>
        <w:t>）</w:t>
      </w:r>
    </w:p>
    <w:p w14:paraId="6E41D859">
      <w:pPr>
        <w:spacing w:line="4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rPr>
        <w:t>3.方式：</w:t>
      </w:r>
      <w:r>
        <w:rPr>
          <w:rFonts w:hint="eastAsia" w:asciiTheme="minorEastAsia" w:hAnsiTheme="minorEastAsia" w:eastAsiaTheme="minorEastAsia" w:cstheme="minorEastAsia"/>
          <w:color w:val="auto"/>
          <w:sz w:val="24"/>
          <w:highlight w:val="none"/>
        </w:rPr>
        <w:t>现场获取</w:t>
      </w:r>
      <w:r>
        <w:rPr>
          <w:rFonts w:hint="eastAsia" w:asciiTheme="minorEastAsia" w:hAnsiTheme="minorEastAsia" w:eastAsiaTheme="minorEastAsia" w:cstheme="minorEastAsia"/>
          <w:color w:val="auto"/>
          <w:sz w:val="24"/>
          <w:highlight w:val="none"/>
          <w:lang w:eastAsia="zh-CN"/>
        </w:rPr>
        <w:t>或电子邮件获取，</w:t>
      </w:r>
      <w:r>
        <w:rPr>
          <w:rFonts w:hint="eastAsia" w:asciiTheme="minorEastAsia" w:hAnsiTheme="minorEastAsia" w:eastAsiaTheme="minorEastAsia" w:cstheme="minorEastAsia"/>
          <w:color w:val="auto"/>
          <w:sz w:val="24"/>
          <w:highlight w:val="none"/>
        </w:rPr>
        <w:t>报名领取</w:t>
      </w:r>
      <w:r>
        <w:rPr>
          <w:rFonts w:hint="eastAsia" w:asciiTheme="minorEastAsia" w:hAnsiTheme="minorEastAsia" w:eastAsiaTheme="minorEastAsia" w:cstheme="minorEastAsia"/>
          <w:color w:val="auto"/>
          <w:sz w:val="24"/>
          <w:highlight w:val="none"/>
          <w:lang w:eastAsia="zh-CN"/>
        </w:rPr>
        <w:t>竞争性磋商文件</w:t>
      </w:r>
      <w:r>
        <w:rPr>
          <w:rFonts w:hint="eastAsia" w:asciiTheme="minorEastAsia" w:hAnsiTheme="minorEastAsia" w:eastAsiaTheme="minorEastAsia" w:cstheme="minorEastAsia"/>
          <w:color w:val="auto"/>
          <w:sz w:val="24"/>
          <w:highlight w:val="none"/>
        </w:rPr>
        <w:t>时需提供下列资料（若提供的资料不全或不符合要求的，将拒绝领取</w:t>
      </w:r>
      <w:r>
        <w:rPr>
          <w:rFonts w:hint="eastAsia" w:asciiTheme="minorEastAsia" w:hAnsiTheme="minorEastAsia" w:eastAsiaTheme="minorEastAsia" w:cstheme="minorEastAsia"/>
          <w:color w:val="auto"/>
          <w:sz w:val="24"/>
          <w:highlight w:val="none"/>
          <w:lang w:eastAsia="zh-CN"/>
        </w:rPr>
        <w:t>竞争性磋商文件</w:t>
      </w:r>
      <w:r>
        <w:rPr>
          <w:rFonts w:hint="eastAsia" w:asciiTheme="minorEastAsia" w:hAnsiTheme="minorEastAsia" w:eastAsiaTheme="minorEastAsia" w:cstheme="minorEastAsia"/>
          <w:color w:val="auto"/>
          <w:sz w:val="24"/>
          <w:highlight w:val="none"/>
        </w:rPr>
        <w:t>）：</w:t>
      </w:r>
    </w:p>
    <w:p w14:paraId="3717BF15">
      <w:pPr>
        <w:spacing w:line="4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（1）合法有效的《营业执照》，复印件加盖鲜章；</w:t>
      </w:r>
    </w:p>
    <w:p w14:paraId="07FF13F8">
      <w:pPr>
        <w:spacing w:line="4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（2）法定代表人身份证明书及身份证复印件；</w:t>
      </w:r>
    </w:p>
    <w:p w14:paraId="18F24111">
      <w:pPr>
        <w:spacing w:line="4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（3）授权委托书、被委托人身份证(法定代表人亲自参加报名的除外，如有授权书当中须注明所投项目名称、联系人姓名及电话、电子邮箱等信息）</w:t>
      </w:r>
    </w:p>
    <w:p w14:paraId="749F1E8B">
      <w:pPr>
        <w:spacing w:line="4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供应商以</w:t>
      </w:r>
      <w:r>
        <w:rPr>
          <w:rFonts w:hint="eastAsia" w:asciiTheme="minorEastAsia" w:hAnsiTheme="minorEastAsia" w:eastAsiaTheme="minorEastAsia" w:cstheme="minorEastAsia"/>
          <w:color w:val="auto"/>
          <w:sz w:val="24"/>
          <w:highlight w:val="none"/>
        </w:rPr>
        <w:t>电子邮件方式</w:t>
      </w:r>
      <w:r>
        <w:rPr>
          <w:rFonts w:hint="eastAsia" w:asciiTheme="minorEastAsia" w:hAnsiTheme="minorEastAsia" w:eastAsiaTheme="minorEastAsia" w:cstheme="minorEastAsia"/>
          <w:color w:val="auto"/>
          <w:sz w:val="24"/>
          <w:highlight w:val="none"/>
          <w:lang w:eastAsia="zh-CN"/>
        </w:rPr>
        <w:t>获取磋商文件的，须将以上资料</w:t>
      </w:r>
      <w:r>
        <w:rPr>
          <w:rFonts w:hint="eastAsia" w:ascii="宋体" w:hAnsi="宋体"/>
          <w:color w:val="auto"/>
          <w:sz w:val="24"/>
          <w:highlight w:val="none"/>
          <w:lang w:eastAsia="zh-CN"/>
        </w:rPr>
        <w:t>及</w:t>
      </w:r>
      <w:r>
        <w:rPr>
          <w:rFonts w:hint="eastAsia" w:ascii="宋体" w:hAnsi="宋体" w:eastAsia="宋体" w:cs="宋体"/>
          <w:b w:val="0"/>
          <w:bCs w:val="0"/>
          <w:color w:val="auto"/>
          <w:sz w:val="24"/>
          <w:highlight w:val="none"/>
        </w:rPr>
        <w:t>报名信息表填写后</w:t>
      </w:r>
      <w:r>
        <w:rPr>
          <w:rFonts w:hint="eastAsia" w:asciiTheme="minorEastAsia" w:hAnsiTheme="minorEastAsia" w:eastAsiaTheme="minorEastAsia" w:cstheme="minorEastAsia"/>
          <w:color w:val="auto"/>
          <w:sz w:val="24"/>
          <w:highlight w:val="none"/>
          <w:lang w:eastAsia="zh-CN"/>
        </w:rPr>
        <w:t>以电子邮件的方式发送至</w:t>
      </w:r>
      <w:r>
        <w:rPr>
          <w:rFonts w:hint="eastAsia" w:asciiTheme="minorEastAsia" w:hAnsiTheme="minorEastAsia" w:eastAsiaTheme="minorEastAsia" w:cstheme="minorEastAsia"/>
          <w:color w:val="auto"/>
          <w:sz w:val="24"/>
          <w:highlight w:val="none"/>
        </w:rPr>
        <w:t>代理机构邮箱：</w:t>
      </w:r>
      <w:r>
        <w:rPr>
          <w:rFonts w:hint="eastAsia" w:asciiTheme="minorEastAsia" w:hAnsiTheme="minorEastAsia" w:eastAsiaTheme="minorEastAsia" w:cstheme="minorEastAsia"/>
          <w:i w:val="0"/>
          <w:iCs w:val="0"/>
          <w:color w:val="auto"/>
          <w:sz w:val="24"/>
          <w:highlight w:val="none"/>
          <w:u w:val="single"/>
          <w:lang w:val="en-US" w:eastAsia="zh-CN"/>
        </w:rPr>
        <w:t>1046657573</w:t>
      </w:r>
      <w:r>
        <w:rPr>
          <w:rFonts w:hint="eastAsia" w:asciiTheme="minorEastAsia" w:hAnsiTheme="minorEastAsia" w:eastAsiaTheme="minorEastAsia" w:cstheme="minorEastAsia"/>
          <w:color w:val="auto"/>
          <w:sz w:val="24"/>
          <w:highlight w:val="none"/>
          <w:lang w:val="en-US" w:eastAsia="zh-CN"/>
        </w:rPr>
        <w:t>@qq.com</w:t>
      </w:r>
      <w:r>
        <w:rPr>
          <w:rFonts w:hint="eastAsia" w:asciiTheme="minorEastAsia" w:hAnsiTheme="minorEastAsia" w:eastAsiaTheme="minorEastAsia" w:cstheme="minorEastAsia"/>
          <w:color w:val="auto"/>
          <w:sz w:val="24"/>
          <w:highlight w:val="none"/>
        </w:rPr>
        <w:t>，邮件主题：项目名称+公司名称；邮件内容：列明公司名称、法定代表人或授权代表人姓名及联系方式；邮件附件：需采用A4纸幅面，将报名材料加盖</w:t>
      </w:r>
      <w:r>
        <w:rPr>
          <w:rFonts w:hint="eastAsia" w:asciiTheme="minorEastAsia" w:hAnsiTheme="minorEastAsia" w:eastAsiaTheme="minorEastAsia" w:cstheme="minorEastAsia"/>
          <w:color w:val="auto"/>
          <w:sz w:val="24"/>
          <w:highlight w:val="none"/>
          <w:lang w:eastAsia="zh-CN"/>
        </w:rPr>
        <w:t>公章</w:t>
      </w:r>
      <w:r>
        <w:rPr>
          <w:rFonts w:hint="eastAsia" w:asciiTheme="minorEastAsia" w:hAnsiTheme="minorEastAsia" w:eastAsiaTheme="minorEastAsia" w:cstheme="minorEastAsia"/>
          <w:color w:val="auto"/>
          <w:sz w:val="24"/>
          <w:highlight w:val="none"/>
        </w:rPr>
        <w:t>，按顺序制作成1个PDF格式文件，文件名称与主题一致。</w:t>
      </w:r>
    </w:p>
    <w:p w14:paraId="1442FDE4">
      <w:pPr>
        <w:spacing w:line="460" w:lineRule="exact"/>
        <w:ind w:firstLine="482" w:firstLineChars="200"/>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 注：我公司仅接受报名，不对供应商资格进行审查，供应商是否具备参与磋商的资格，以磋商小组审查结果为准。</w:t>
      </w:r>
    </w:p>
    <w:p w14:paraId="14A58583">
      <w:pPr>
        <w:pStyle w:val="4"/>
        <w:keepNext/>
        <w:keepLines/>
        <w:pageBreakBefore w:val="0"/>
        <w:widowControl w:val="0"/>
        <w:numPr>
          <w:ilvl w:val="0"/>
          <w:numId w:val="2"/>
        </w:numPr>
        <w:kinsoku/>
        <w:wordWrap/>
        <w:overflowPunct/>
        <w:topLinePunct w:val="0"/>
        <w:autoSpaceDE/>
        <w:autoSpaceDN/>
        <w:bidi w:val="0"/>
        <w:adjustRightInd/>
        <w:snapToGrid/>
        <w:spacing w:before="157" w:beforeLines="50" w:after="157" w:afterLines="50" w:line="460" w:lineRule="exact"/>
        <w:textAlignment w:val="auto"/>
        <w:rPr>
          <w:rFonts w:hint="eastAsia" w:asciiTheme="minorEastAsia" w:hAnsiTheme="minorEastAsia" w:eastAsiaTheme="minorEastAsia" w:cstheme="minorEastAsia"/>
          <w:b w:val="0"/>
          <w:bCs/>
          <w:i w:val="0"/>
          <w:iCs/>
          <w:color w:val="auto"/>
          <w:sz w:val="24"/>
          <w:lang w:eastAsia="zh-CN"/>
        </w:rPr>
      </w:pPr>
      <w:bookmarkStart w:id="43" w:name="_Toc4054"/>
      <w:r>
        <w:rPr>
          <w:rFonts w:hint="eastAsia" w:asciiTheme="minorEastAsia" w:hAnsiTheme="minorEastAsia" w:eastAsiaTheme="minorEastAsia" w:cstheme="minorEastAsia"/>
          <w:b w:val="0"/>
          <w:bCs/>
          <w:i w:val="0"/>
          <w:iCs/>
          <w:color w:val="auto"/>
          <w:sz w:val="24"/>
        </w:rPr>
        <w:t>售价：</w:t>
      </w:r>
      <w:r>
        <w:rPr>
          <w:rFonts w:hint="eastAsia" w:asciiTheme="minorEastAsia" w:hAnsiTheme="minorEastAsia" w:eastAsiaTheme="minorEastAsia" w:cstheme="minorEastAsia"/>
          <w:b w:val="0"/>
          <w:bCs/>
          <w:i w:val="0"/>
          <w:iCs/>
          <w:color w:val="auto"/>
          <w:sz w:val="24"/>
          <w:highlight w:val="none"/>
          <w:lang w:val="en-US" w:eastAsia="zh-CN"/>
        </w:rPr>
        <w:t>300</w:t>
      </w:r>
      <w:r>
        <w:rPr>
          <w:rFonts w:hint="eastAsia" w:asciiTheme="minorEastAsia" w:hAnsiTheme="minorEastAsia" w:eastAsiaTheme="minorEastAsia" w:cstheme="minorEastAsia"/>
          <w:b w:val="0"/>
          <w:bCs/>
          <w:i w:val="0"/>
          <w:iCs/>
          <w:color w:val="auto"/>
          <w:sz w:val="24"/>
        </w:rPr>
        <w:t>元</w:t>
      </w:r>
      <w:r>
        <w:rPr>
          <w:rFonts w:hint="eastAsia" w:asciiTheme="minorEastAsia" w:hAnsiTheme="minorEastAsia" w:eastAsiaTheme="minorEastAsia" w:cstheme="minorEastAsia"/>
          <w:b w:val="0"/>
          <w:bCs/>
          <w:i w:val="0"/>
          <w:iCs/>
          <w:color w:val="auto"/>
          <w:sz w:val="24"/>
          <w:lang w:val="en-US" w:eastAsia="zh-CN"/>
        </w:rPr>
        <w:t>/份</w:t>
      </w:r>
      <w:r>
        <w:rPr>
          <w:rFonts w:hint="eastAsia" w:asciiTheme="minorEastAsia" w:hAnsiTheme="minorEastAsia" w:eastAsiaTheme="minorEastAsia" w:cstheme="minorEastAsia"/>
          <w:b w:val="0"/>
          <w:bCs/>
          <w:i w:val="0"/>
          <w:iCs/>
          <w:color w:val="auto"/>
          <w:sz w:val="24"/>
        </w:rPr>
        <w:t>，售后不退</w:t>
      </w:r>
      <w:r>
        <w:rPr>
          <w:rFonts w:hint="eastAsia" w:asciiTheme="minorEastAsia" w:hAnsiTheme="minorEastAsia" w:eastAsiaTheme="minorEastAsia" w:cstheme="minorEastAsia"/>
          <w:b w:val="0"/>
          <w:bCs/>
          <w:i w:val="0"/>
          <w:iCs/>
          <w:color w:val="auto"/>
          <w:sz w:val="24"/>
          <w:lang w:val="en-US" w:eastAsia="zh-CN"/>
        </w:rPr>
        <w:t>,</w:t>
      </w:r>
      <w:r>
        <w:rPr>
          <w:rFonts w:hint="eastAsia" w:asciiTheme="minorEastAsia" w:hAnsiTheme="minorEastAsia" w:eastAsiaTheme="minorEastAsia" w:cstheme="minorEastAsia"/>
          <w:b w:val="0"/>
          <w:bCs/>
          <w:i w:val="0"/>
          <w:iCs/>
          <w:color w:val="auto"/>
          <w:sz w:val="24"/>
        </w:rPr>
        <w:t xml:space="preserve"> 报名时由</w:t>
      </w:r>
      <w:r>
        <w:rPr>
          <w:rFonts w:hint="eastAsia" w:asciiTheme="minorEastAsia" w:hAnsiTheme="minorEastAsia" w:eastAsiaTheme="minorEastAsia" w:cstheme="minorEastAsia"/>
          <w:b w:val="0"/>
          <w:bCs/>
          <w:i w:val="0"/>
          <w:iCs/>
          <w:color w:val="auto"/>
          <w:sz w:val="24"/>
          <w:lang w:eastAsia="zh-CN"/>
        </w:rPr>
        <w:t>采购代理公司</w:t>
      </w:r>
      <w:r>
        <w:rPr>
          <w:rFonts w:hint="eastAsia" w:asciiTheme="minorEastAsia" w:hAnsiTheme="minorEastAsia" w:eastAsiaTheme="minorEastAsia" w:cstheme="minorEastAsia"/>
          <w:b w:val="0"/>
          <w:bCs/>
          <w:i w:val="0"/>
          <w:iCs/>
          <w:color w:val="auto"/>
          <w:sz w:val="24"/>
        </w:rPr>
        <w:t>收取</w:t>
      </w:r>
      <w:r>
        <w:rPr>
          <w:rFonts w:hint="eastAsia" w:asciiTheme="minorEastAsia" w:hAnsiTheme="minorEastAsia" w:eastAsiaTheme="minorEastAsia" w:cstheme="minorEastAsia"/>
          <w:b w:val="0"/>
          <w:bCs/>
          <w:i w:val="0"/>
          <w:iCs/>
          <w:color w:val="auto"/>
          <w:sz w:val="24"/>
          <w:lang w:eastAsia="zh-CN"/>
        </w:rPr>
        <w:t>。</w:t>
      </w:r>
      <w:bookmarkEnd w:id="43"/>
    </w:p>
    <w:p w14:paraId="54CC1AA7">
      <w:pPr>
        <w:pStyle w:val="4"/>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460" w:lineRule="exact"/>
        <w:textAlignment w:val="auto"/>
        <w:rPr>
          <w:rFonts w:hint="eastAsia" w:ascii="宋体" w:hAnsi="宋体" w:eastAsia="宋体" w:cs="宋体"/>
          <w:b/>
          <w:bCs w:val="0"/>
          <w:i w:val="0"/>
          <w:color w:val="auto"/>
          <w:kern w:val="2"/>
          <w:sz w:val="24"/>
          <w:szCs w:val="24"/>
          <w:highlight w:val="none"/>
          <w:lang w:val="en-US" w:eastAsia="zh-CN" w:bidi="ar-SA"/>
        </w:rPr>
      </w:pPr>
      <w:bookmarkStart w:id="44" w:name="_Toc32154"/>
      <w:r>
        <w:rPr>
          <w:rFonts w:hint="eastAsia" w:ascii="宋体" w:hAnsi="宋体" w:eastAsia="宋体" w:cs="宋体"/>
          <w:b/>
          <w:bCs w:val="0"/>
          <w:i w:val="0"/>
          <w:color w:val="auto"/>
          <w:kern w:val="2"/>
          <w:sz w:val="24"/>
          <w:szCs w:val="24"/>
          <w:highlight w:val="none"/>
          <w:lang w:val="en-US" w:eastAsia="zh-CN" w:bidi="ar-SA"/>
        </w:rPr>
        <w:t>四、响应文件提交</w:t>
      </w:r>
      <w:bookmarkEnd w:id="41"/>
      <w:bookmarkEnd w:id="42"/>
      <w:bookmarkEnd w:id="44"/>
    </w:p>
    <w:p w14:paraId="0F62910F">
      <w:pPr>
        <w:spacing w:line="460" w:lineRule="exact"/>
        <w:ind w:firstLine="480" w:firstLineChars="200"/>
        <w:rPr>
          <w:rFonts w:hint="eastAsia" w:asciiTheme="minorEastAsia" w:hAnsiTheme="minorEastAsia" w:eastAsiaTheme="minorEastAsia" w:cstheme="minorEastAsia"/>
          <w:color w:val="auto"/>
          <w:sz w:val="24"/>
          <w:highlight w:val="none"/>
          <w:lang w:eastAsia="zh-CN"/>
        </w:rPr>
      </w:pPr>
      <w:bookmarkStart w:id="45" w:name="_Toc35393802"/>
      <w:bookmarkStart w:id="46" w:name="_Toc28359016"/>
      <w:bookmarkStart w:id="47" w:name="_Toc28359093"/>
      <w:bookmarkStart w:id="48" w:name="_Toc35393633"/>
      <w:bookmarkStart w:id="49" w:name="_Toc23889"/>
      <w:bookmarkStart w:id="50" w:name="_Toc12678"/>
      <w:r>
        <w:rPr>
          <w:rFonts w:hint="eastAsia" w:asciiTheme="minorEastAsia" w:hAnsiTheme="minorEastAsia" w:eastAsiaTheme="minorEastAsia" w:cstheme="minorEastAsia"/>
          <w:color w:val="auto"/>
          <w:sz w:val="24"/>
          <w:highlight w:val="none"/>
          <w:lang w:eastAsia="zh-CN"/>
        </w:rPr>
        <w:t>1.截止时间：202</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lang w:eastAsia="zh-CN"/>
        </w:rPr>
        <w:t>年</w:t>
      </w: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lang w:eastAsia="zh-CN"/>
        </w:rPr>
        <w:t>月</w:t>
      </w:r>
      <w:r>
        <w:rPr>
          <w:rFonts w:hint="eastAsia" w:asciiTheme="minorEastAsia" w:hAnsiTheme="minorEastAsia" w:eastAsiaTheme="minorEastAsia" w:cstheme="minorEastAsia"/>
          <w:color w:val="auto"/>
          <w:sz w:val="24"/>
          <w:highlight w:val="none"/>
          <w:lang w:val="en-US" w:eastAsia="zh-CN"/>
        </w:rPr>
        <w:t>14</w:t>
      </w:r>
      <w:r>
        <w:rPr>
          <w:rFonts w:hint="eastAsia" w:asciiTheme="minorEastAsia" w:hAnsiTheme="minorEastAsia" w:eastAsiaTheme="minorEastAsia" w:cstheme="minorEastAsia"/>
          <w:color w:val="auto"/>
          <w:sz w:val="24"/>
          <w:highlight w:val="none"/>
          <w:lang w:eastAsia="zh-CN"/>
        </w:rPr>
        <w:t>日</w:t>
      </w:r>
      <w:r>
        <w:rPr>
          <w:rFonts w:hint="eastAsia" w:asciiTheme="minorEastAsia" w:hAnsiTheme="minorEastAsia" w:eastAsiaTheme="minorEastAsia" w:cstheme="minorEastAsia"/>
          <w:color w:val="auto"/>
          <w:sz w:val="24"/>
          <w:highlight w:val="none"/>
          <w:lang w:val="en-US" w:eastAsia="zh-CN"/>
        </w:rPr>
        <w:t>9时</w:t>
      </w:r>
      <w:r>
        <w:rPr>
          <w:rFonts w:hint="eastAsia" w:asciiTheme="minorEastAsia" w:hAnsiTheme="minorEastAsia" w:eastAsiaTheme="minorEastAsia" w:cstheme="minorEastAsia"/>
          <w:color w:val="auto"/>
          <w:sz w:val="24"/>
          <w:highlight w:val="none"/>
          <w:lang w:eastAsia="zh-CN"/>
        </w:rPr>
        <w:t>00分（北京时间）</w:t>
      </w:r>
    </w:p>
    <w:p w14:paraId="284C55AD">
      <w:pPr>
        <w:spacing w:line="460" w:lineRule="exact"/>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2.地点：德宏众恒工程管理有限公司（德宏州芒市勐焕街道锦华社区胞波路46号4楼）</w:t>
      </w:r>
    </w:p>
    <w:p w14:paraId="51A70ADE">
      <w:pPr>
        <w:pStyle w:val="4"/>
        <w:keepNext/>
        <w:keepLines/>
        <w:pageBreakBefore w:val="0"/>
        <w:widowControl w:val="0"/>
        <w:kinsoku/>
        <w:wordWrap/>
        <w:overflowPunct/>
        <w:topLinePunct w:val="0"/>
        <w:autoSpaceDE/>
        <w:autoSpaceDN/>
        <w:bidi w:val="0"/>
        <w:adjustRightInd/>
        <w:snapToGrid/>
        <w:spacing w:before="157" w:beforeLines="50" w:after="157" w:afterLines="50" w:line="460" w:lineRule="exact"/>
        <w:textAlignment w:val="auto"/>
        <w:rPr>
          <w:rFonts w:hint="eastAsia" w:ascii="宋体" w:hAnsi="宋体" w:eastAsia="宋体" w:cs="宋体"/>
          <w:b/>
          <w:bCs w:val="0"/>
          <w:i w:val="0"/>
          <w:color w:val="auto"/>
          <w:kern w:val="2"/>
          <w:sz w:val="24"/>
          <w:szCs w:val="24"/>
          <w:highlight w:val="none"/>
          <w:lang w:val="en-US" w:eastAsia="zh-CN" w:bidi="ar-SA"/>
        </w:rPr>
      </w:pPr>
      <w:bookmarkStart w:id="51" w:name="_Toc32485"/>
      <w:r>
        <w:rPr>
          <w:rFonts w:hint="eastAsia" w:ascii="宋体" w:hAnsi="宋体" w:eastAsia="宋体" w:cs="宋体"/>
          <w:b/>
          <w:bCs w:val="0"/>
          <w:i w:val="0"/>
          <w:color w:val="auto"/>
          <w:kern w:val="2"/>
          <w:sz w:val="24"/>
          <w:szCs w:val="24"/>
          <w:highlight w:val="none"/>
          <w:lang w:val="en-US" w:eastAsia="zh-CN" w:bidi="ar-SA"/>
        </w:rPr>
        <w:t>五、开启</w:t>
      </w:r>
      <w:bookmarkEnd w:id="45"/>
      <w:bookmarkEnd w:id="46"/>
      <w:bookmarkEnd w:id="47"/>
      <w:bookmarkEnd w:id="48"/>
      <w:r>
        <w:rPr>
          <w:rFonts w:hint="eastAsia" w:ascii="宋体" w:hAnsi="宋体" w:eastAsia="宋体" w:cs="宋体"/>
          <w:b/>
          <w:bCs w:val="0"/>
          <w:i w:val="0"/>
          <w:color w:val="auto"/>
          <w:kern w:val="2"/>
          <w:sz w:val="24"/>
          <w:szCs w:val="24"/>
          <w:highlight w:val="none"/>
          <w:lang w:val="en-US" w:eastAsia="zh-CN" w:bidi="ar-SA"/>
        </w:rPr>
        <w:t>时间</w:t>
      </w:r>
      <w:bookmarkEnd w:id="49"/>
      <w:bookmarkEnd w:id="50"/>
      <w:bookmarkEnd w:id="51"/>
    </w:p>
    <w:p w14:paraId="07D83484">
      <w:pPr>
        <w:spacing w:line="460" w:lineRule="exact"/>
        <w:ind w:firstLine="480" w:firstLineChars="200"/>
        <w:rPr>
          <w:rFonts w:hint="eastAsia" w:asciiTheme="minorEastAsia" w:hAnsiTheme="minorEastAsia" w:eastAsiaTheme="minorEastAsia" w:cstheme="minorEastAsia"/>
          <w:color w:val="auto"/>
          <w:sz w:val="24"/>
          <w:highlight w:val="none"/>
          <w:lang w:eastAsia="zh-CN"/>
        </w:rPr>
      </w:pPr>
      <w:bookmarkStart w:id="52" w:name="_Toc28359094"/>
      <w:bookmarkStart w:id="53" w:name="_Toc7236"/>
      <w:bookmarkStart w:id="54" w:name="_Toc35393634"/>
      <w:bookmarkStart w:id="55" w:name="_Toc35393803"/>
      <w:bookmarkStart w:id="56" w:name="_Toc14242"/>
      <w:bookmarkStart w:id="57" w:name="_Toc28359017"/>
      <w:r>
        <w:rPr>
          <w:rFonts w:hint="eastAsia" w:asciiTheme="minorEastAsia" w:hAnsiTheme="minorEastAsia" w:eastAsiaTheme="minorEastAsia" w:cstheme="minorEastAsia"/>
          <w:color w:val="auto"/>
          <w:sz w:val="24"/>
          <w:highlight w:val="none"/>
          <w:lang w:eastAsia="zh-CN"/>
        </w:rPr>
        <w:t>1.截止时间：202</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lang w:eastAsia="zh-CN"/>
        </w:rPr>
        <w:t>年</w:t>
      </w: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lang w:eastAsia="zh-CN"/>
        </w:rPr>
        <w:t>月</w:t>
      </w:r>
      <w:r>
        <w:rPr>
          <w:rFonts w:hint="eastAsia" w:asciiTheme="minorEastAsia" w:hAnsiTheme="minorEastAsia" w:eastAsiaTheme="minorEastAsia" w:cstheme="minorEastAsia"/>
          <w:color w:val="auto"/>
          <w:sz w:val="24"/>
          <w:highlight w:val="none"/>
          <w:lang w:val="en-US" w:eastAsia="zh-CN"/>
        </w:rPr>
        <w:t>14</w:t>
      </w:r>
      <w:r>
        <w:rPr>
          <w:rFonts w:hint="eastAsia" w:asciiTheme="minorEastAsia" w:hAnsiTheme="minorEastAsia" w:eastAsiaTheme="minorEastAsia" w:cstheme="minorEastAsia"/>
          <w:color w:val="auto"/>
          <w:sz w:val="24"/>
          <w:highlight w:val="none"/>
          <w:lang w:eastAsia="zh-CN"/>
        </w:rPr>
        <w:t>日</w:t>
      </w:r>
      <w:r>
        <w:rPr>
          <w:rFonts w:hint="eastAsia" w:asciiTheme="minorEastAsia" w:hAnsiTheme="minorEastAsia" w:eastAsiaTheme="minorEastAsia" w:cstheme="minorEastAsia"/>
          <w:color w:val="auto"/>
          <w:sz w:val="24"/>
          <w:highlight w:val="none"/>
          <w:lang w:val="en-US" w:eastAsia="zh-CN"/>
        </w:rPr>
        <w:t>9时</w:t>
      </w:r>
      <w:r>
        <w:rPr>
          <w:rFonts w:hint="eastAsia" w:asciiTheme="minorEastAsia" w:hAnsiTheme="minorEastAsia" w:eastAsiaTheme="minorEastAsia" w:cstheme="minorEastAsia"/>
          <w:color w:val="auto"/>
          <w:sz w:val="24"/>
          <w:highlight w:val="none"/>
          <w:lang w:eastAsia="zh-CN"/>
        </w:rPr>
        <w:t>00分（北京时间）</w:t>
      </w:r>
    </w:p>
    <w:p w14:paraId="7AE5B508">
      <w:pPr>
        <w:spacing w:line="460" w:lineRule="exact"/>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2.地点：德宏众恒工程管理有限公司（德宏州芒市勐焕街道锦华社区胞波路46号4楼）</w:t>
      </w:r>
    </w:p>
    <w:p w14:paraId="3B46DE53">
      <w:pPr>
        <w:pStyle w:val="4"/>
        <w:keepNext/>
        <w:keepLines/>
        <w:pageBreakBefore w:val="0"/>
        <w:widowControl w:val="0"/>
        <w:kinsoku/>
        <w:wordWrap/>
        <w:overflowPunct/>
        <w:topLinePunct w:val="0"/>
        <w:autoSpaceDE/>
        <w:autoSpaceDN/>
        <w:bidi w:val="0"/>
        <w:adjustRightInd/>
        <w:snapToGrid/>
        <w:spacing w:before="157" w:beforeLines="50" w:after="157" w:afterLines="50" w:line="460" w:lineRule="exact"/>
        <w:textAlignment w:val="auto"/>
        <w:rPr>
          <w:rFonts w:hint="eastAsia" w:ascii="宋体" w:hAnsi="宋体" w:eastAsia="宋体" w:cs="宋体"/>
          <w:b/>
          <w:bCs w:val="0"/>
          <w:i w:val="0"/>
          <w:color w:val="auto"/>
          <w:kern w:val="2"/>
          <w:sz w:val="24"/>
          <w:szCs w:val="24"/>
          <w:highlight w:val="none"/>
          <w:lang w:val="en-US" w:eastAsia="zh-CN" w:bidi="ar-SA"/>
        </w:rPr>
      </w:pPr>
      <w:bookmarkStart w:id="58" w:name="_Toc1396"/>
      <w:r>
        <w:rPr>
          <w:rFonts w:hint="eastAsia" w:ascii="宋体" w:hAnsi="宋体" w:eastAsia="宋体" w:cs="宋体"/>
          <w:b/>
          <w:bCs w:val="0"/>
          <w:i w:val="0"/>
          <w:color w:val="auto"/>
          <w:kern w:val="2"/>
          <w:sz w:val="24"/>
          <w:szCs w:val="24"/>
          <w:highlight w:val="none"/>
          <w:lang w:val="en-US" w:eastAsia="zh-CN" w:bidi="ar-SA"/>
        </w:rPr>
        <w:t>六、公告期限</w:t>
      </w:r>
      <w:bookmarkEnd w:id="52"/>
      <w:bookmarkEnd w:id="53"/>
      <w:bookmarkEnd w:id="54"/>
      <w:bookmarkEnd w:id="55"/>
      <w:bookmarkEnd w:id="56"/>
      <w:bookmarkEnd w:id="57"/>
      <w:bookmarkEnd w:id="58"/>
    </w:p>
    <w:p w14:paraId="720EF2CF">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个工作日。</w:t>
      </w:r>
    </w:p>
    <w:p w14:paraId="6BF9021E">
      <w:pPr>
        <w:pStyle w:val="4"/>
        <w:keepNext/>
        <w:keepLines/>
        <w:pageBreakBefore w:val="0"/>
        <w:widowControl w:val="0"/>
        <w:kinsoku/>
        <w:wordWrap/>
        <w:overflowPunct/>
        <w:topLinePunct w:val="0"/>
        <w:autoSpaceDE/>
        <w:autoSpaceDN/>
        <w:bidi w:val="0"/>
        <w:adjustRightInd/>
        <w:snapToGrid/>
        <w:spacing w:before="157" w:beforeLines="50" w:after="157" w:afterLines="50" w:line="460" w:lineRule="exact"/>
        <w:textAlignment w:val="auto"/>
        <w:rPr>
          <w:rFonts w:hint="eastAsia" w:ascii="宋体" w:hAnsi="宋体" w:eastAsia="宋体" w:cs="宋体"/>
          <w:b/>
          <w:bCs w:val="0"/>
          <w:i w:val="0"/>
          <w:color w:val="auto"/>
          <w:kern w:val="2"/>
          <w:sz w:val="24"/>
          <w:szCs w:val="24"/>
          <w:highlight w:val="none"/>
          <w:lang w:val="en-US" w:eastAsia="zh-CN" w:bidi="ar-SA"/>
        </w:rPr>
      </w:pPr>
      <w:bookmarkStart w:id="59" w:name="_Toc24785"/>
      <w:bookmarkStart w:id="60" w:name="_Toc17337"/>
      <w:bookmarkStart w:id="61" w:name="_Toc21473"/>
      <w:bookmarkStart w:id="62" w:name="_Toc35393804"/>
      <w:bookmarkStart w:id="63" w:name="_Toc35393635"/>
      <w:r>
        <w:rPr>
          <w:rFonts w:hint="eastAsia" w:ascii="宋体" w:hAnsi="宋体" w:eastAsia="宋体" w:cs="宋体"/>
          <w:b/>
          <w:bCs w:val="0"/>
          <w:i w:val="0"/>
          <w:color w:val="auto"/>
          <w:kern w:val="2"/>
          <w:sz w:val="24"/>
          <w:szCs w:val="24"/>
          <w:highlight w:val="none"/>
          <w:lang w:val="en-US" w:eastAsia="zh-CN" w:bidi="ar-SA"/>
        </w:rPr>
        <w:t>七、其他补充事宜</w:t>
      </w:r>
      <w:bookmarkEnd w:id="59"/>
      <w:bookmarkEnd w:id="60"/>
      <w:bookmarkEnd w:id="61"/>
      <w:bookmarkEnd w:id="62"/>
      <w:bookmarkEnd w:id="63"/>
    </w:p>
    <w:p w14:paraId="3779D379">
      <w:pPr>
        <w:spacing w:line="460" w:lineRule="exact"/>
        <w:ind w:firstLine="241" w:firstLineChars="1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1.相关费用及保证金</w:t>
      </w:r>
    </w:p>
    <w:p w14:paraId="0C923F11">
      <w:pPr>
        <w:spacing w:line="460" w:lineRule="exact"/>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成交服务费</w:t>
      </w:r>
      <w:r>
        <w:rPr>
          <w:rFonts w:hint="eastAsia" w:ascii="宋体" w:hAnsi="宋体" w:eastAsia="宋体" w:cs="宋体"/>
          <w:b/>
          <w:bCs/>
          <w:color w:val="auto"/>
          <w:sz w:val="24"/>
          <w:highlight w:val="none"/>
          <w:lang w:eastAsia="zh-CN"/>
        </w:rPr>
        <w:t>：</w:t>
      </w:r>
      <w:r>
        <w:rPr>
          <w:rFonts w:hint="eastAsia" w:ascii="宋体" w:hAnsi="宋体" w:eastAsia="宋体" w:cs="宋体"/>
          <w:b w:val="0"/>
          <w:bCs w:val="0"/>
          <w:color w:val="auto"/>
          <w:sz w:val="24"/>
          <w:highlight w:val="none"/>
          <w:lang w:eastAsia="zh-CN"/>
        </w:rPr>
        <w:t>成交服务费根据“政府采购代理机构管理暂行办法”的规定，由成交人向采购代理机构支付，服务费按《云南省建设工程招标代理服务收费参考意见》的通知云建招协〔2024〕58号，计算后优惠20%收取。由成交人向德宏众恒工程管理有限公司交纳。</w:t>
      </w:r>
    </w:p>
    <w:p w14:paraId="6EE9E1E3">
      <w:pPr>
        <w:pStyle w:val="15"/>
        <w:pageBreakBefore w:val="0"/>
        <w:kinsoku/>
        <w:wordWrap/>
        <w:overflowPunct/>
        <w:autoSpaceDN/>
        <w:bidi w:val="0"/>
        <w:snapToGrid/>
        <w:spacing w:after="0" w:line="460" w:lineRule="exact"/>
        <w:ind w:left="0" w:leftChars="0"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lang w:eastAsia="zh-CN"/>
        </w:rPr>
        <w:t>）保证金</w:t>
      </w:r>
    </w:p>
    <w:p w14:paraId="1BD96AC5">
      <w:pPr>
        <w:pStyle w:val="15"/>
        <w:pageBreakBefore w:val="0"/>
        <w:kinsoku/>
        <w:wordWrap/>
        <w:overflowPunct/>
        <w:topLinePunct w:val="0"/>
        <w:autoSpaceDN/>
        <w:bidi w:val="0"/>
        <w:adjustRightInd w:val="0"/>
        <w:snapToGrid/>
        <w:spacing w:after="0" w:line="500" w:lineRule="exact"/>
        <w:ind w:left="0" w:leftChars="0" w:firstLine="480" w:firstLineChars="200"/>
        <w:textAlignment w:val="auto"/>
        <w:rPr>
          <w:rFonts w:hint="eastAsia" w:ascii="宋体" w:hAnsi="宋体" w:eastAsia="宋体" w:cs="宋体"/>
          <w:color w:val="auto"/>
          <w:kern w:val="2"/>
          <w:sz w:val="24"/>
          <w:szCs w:val="24"/>
          <w:highlight w:val="none"/>
          <w:lang w:eastAsia="zh-CN" w:bidi="ar"/>
        </w:rPr>
      </w:pPr>
      <w:r>
        <w:rPr>
          <w:rFonts w:hint="eastAsia" w:ascii="宋体" w:hAnsi="宋体" w:eastAsia="宋体" w:cs="宋体"/>
          <w:color w:val="auto"/>
          <w:kern w:val="2"/>
          <w:sz w:val="24"/>
          <w:szCs w:val="24"/>
          <w:highlight w:val="none"/>
          <w:lang w:eastAsia="zh-CN" w:bidi="ar"/>
        </w:rPr>
        <w:t>①保证金金额：</w:t>
      </w:r>
      <w:r>
        <w:rPr>
          <w:rFonts w:hint="eastAsia" w:ascii="宋体" w:hAnsi="宋体" w:cs="宋体"/>
          <w:color w:val="auto"/>
          <w:kern w:val="2"/>
          <w:sz w:val="24"/>
          <w:szCs w:val="24"/>
          <w:highlight w:val="none"/>
          <w:lang w:eastAsia="zh-CN" w:bidi="ar"/>
        </w:rPr>
        <w:t>人民币贰仟伍元整（¥2500.00元）</w:t>
      </w:r>
    </w:p>
    <w:p w14:paraId="0B395FD8">
      <w:pPr>
        <w:pStyle w:val="15"/>
        <w:pageBreakBefore w:val="0"/>
        <w:kinsoku/>
        <w:wordWrap/>
        <w:overflowPunct/>
        <w:topLinePunct w:val="0"/>
        <w:autoSpaceDN/>
        <w:bidi w:val="0"/>
        <w:adjustRightInd w:val="0"/>
        <w:snapToGrid/>
        <w:spacing w:after="0" w:line="500" w:lineRule="exact"/>
        <w:ind w:left="0" w:leftChars="0" w:firstLine="480" w:firstLineChars="200"/>
        <w:textAlignment w:val="auto"/>
        <w:rPr>
          <w:rFonts w:hint="eastAsia" w:ascii="宋体" w:hAnsi="宋体" w:eastAsia="宋体" w:cs="宋体"/>
          <w:color w:val="auto"/>
          <w:kern w:val="2"/>
          <w:sz w:val="24"/>
          <w:szCs w:val="24"/>
          <w:highlight w:val="none"/>
          <w:lang w:eastAsia="zh-CN" w:bidi="ar"/>
        </w:rPr>
      </w:pPr>
      <w:r>
        <w:rPr>
          <w:rFonts w:hint="eastAsia" w:ascii="宋体" w:hAnsi="宋体" w:eastAsia="宋体" w:cs="宋体"/>
          <w:color w:val="auto"/>
          <w:kern w:val="2"/>
          <w:sz w:val="24"/>
          <w:szCs w:val="24"/>
          <w:highlight w:val="none"/>
          <w:lang w:val="en-US" w:eastAsia="zh-CN" w:bidi="ar"/>
        </w:rPr>
        <w:t>根据《云南省发展和改革委员会等部门关于鼓励减免政府投资项目投标保证金的通知》（云发改交易管理〔2023〕397号），政府投资项目进行招标投标活动时，减免投标保证金，降幅不得低于现收取数额的50%的要求。本项目投标保证金降幅严格按照要求执行。</w:t>
      </w:r>
    </w:p>
    <w:p w14:paraId="1F9C72A2">
      <w:pPr>
        <w:pStyle w:val="15"/>
        <w:pageBreakBefore w:val="0"/>
        <w:kinsoku/>
        <w:wordWrap/>
        <w:overflowPunct/>
        <w:autoSpaceDN/>
        <w:bidi w:val="0"/>
        <w:snapToGrid/>
        <w:spacing w:after="0" w:line="460" w:lineRule="exact"/>
        <w:ind w:left="0" w:leftChars="0"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②截止时间：递交响应文件截止时间；</w:t>
      </w:r>
    </w:p>
    <w:p w14:paraId="2625637E">
      <w:pPr>
        <w:pStyle w:val="15"/>
        <w:pageBreakBefore w:val="0"/>
        <w:kinsoku/>
        <w:wordWrap/>
        <w:overflowPunct/>
        <w:autoSpaceDN/>
        <w:bidi w:val="0"/>
        <w:snapToGrid/>
        <w:spacing w:after="0" w:line="460" w:lineRule="exact"/>
        <w:ind w:left="0" w:leftChars="0"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③交纳形式：</w:t>
      </w:r>
    </w:p>
    <w:p w14:paraId="5AB971B8">
      <w:pPr>
        <w:pStyle w:val="15"/>
        <w:pageBreakBefore w:val="0"/>
        <w:kinsoku/>
        <w:wordWrap/>
        <w:overflowPunct/>
        <w:autoSpaceDN/>
        <w:bidi w:val="0"/>
        <w:snapToGrid/>
        <w:spacing w:after="0" w:line="460" w:lineRule="exact"/>
        <w:ind w:left="0" w:leftChars="0"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可以采用“银行转账</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银行保函</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投标保证保险”任一方式，其中采用“银行转账”方式的，供应商以支票、汇票、本票、网上银行支付等非现金形式汇入指定账户</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交纳</w:t>
      </w:r>
      <w:r>
        <w:rPr>
          <w:rFonts w:hint="eastAsia" w:ascii="宋体" w:hAnsi="宋体" w:eastAsia="宋体" w:cs="宋体"/>
          <w:color w:val="auto"/>
          <w:sz w:val="24"/>
          <w:highlight w:val="none"/>
        </w:rPr>
        <w:t>时请备注项目名称或者</w:t>
      </w: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，如因供应商未提交保证金导致响应文件被拒收的，责任由供应商自行承担）</w:t>
      </w:r>
      <w:r>
        <w:rPr>
          <w:rFonts w:hint="eastAsia" w:ascii="宋体" w:hAnsi="宋体" w:cs="宋体"/>
          <w:color w:val="auto"/>
          <w:sz w:val="24"/>
          <w:highlight w:val="none"/>
          <w:lang w:eastAsia="zh-CN"/>
        </w:rPr>
        <w:t>。</w:t>
      </w:r>
    </w:p>
    <w:p w14:paraId="4A34853F">
      <w:pPr>
        <w:snapToGrid w:val="0"/>
        <w:spacing w:line="460" w:lineRule="exact"/>
        <w:ind w:firstLine="482" w:firstLineChars="200"/>
        <w:rPr>
          <w:rFonts w:hint="eastAsia" w:ascii="宋体" w:hAnsi="宋体" w:eastAsia="宋体" w:cs="宋体"/>
          <w:b/>
          <w:bCs/>
          <w:color w:val="auto"/>
          <w:sz w:val="24"/>
          <w:highlight w:val="none"/>
          <w:lang w:val="en-US" w:eastAsia="zh-CN"/>
        </w:rPr>
      </w:pPr>
      <w:bookmarkStart w:id="64" w:name="_Toc28359018"/>
      <w:bookmarkStart w:id="65" w:name="_Toc11308"/>
      <w:bookmarkStart w:id="66" w:name="_Toc11680"/>
      <w:bookmarkStart w:id="67" w:name="_Toc35393636"/>
      <w:bookmarkStart w:id="68" w:name="_Toc35393805"/>
      <w:bookmarkStart w:id="69" w:name="_Toc28359095"/>
      <w:r>
        <w:rPr>
          <w:rFonts w:hint="eastAsia" w:ascii="宋体" w:hAnsi="宋体" w:eastAsia="宋体" w:cs="宋体"/>
          <w:b/>
          <w:bCs/>
          <w:color w:val="auto"/>
          <w:sz w:val="24"/>
          <w:highlight w:val="none"/>
          <w:lang w:val="en-US" w:eastAsia="zh-CN"/>
        </w:rPr>
        <w:t>户名：德宏众恒工程管理有限公司</w:t>
      </w:r>
    </w:p>
    <w:p w14:paraId="4723E052">
      <w:pPr>
        <w:snapToGrid w:val="0"/>
        <w:spacing w:line="460" w:lineRule="exact"/>
        <w:ind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开户银行：富滇银行股份有限公司德宏芒市支行</w:t>
      </w:r>
    </w:p>
    <w:p w14:paraId="1EDD6EBD">
      <w:pPr>
        <w:snapToGrid w:val="0"/>
        <w:spacing w:line="460" w:lineRule="exact"/>
        <w:ind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账号：820021010000097453</w:t>
      </w:r>
    </w:p>
    <w:p w14:paraId="0DAD9487">
      <w:pPr>
        <w:snapToGrid w:val="0"/>
        <w:spacing w:line="460" w:lineRule="exact"/>
        <w:ind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联行号：313754000014</w:t>
      </w:r>
    </w:p>
    <w:p w14:paraId="0758482C">
      <w:pPr>
        <w:snapToGrid w:val="0"/>
        <w:spacing w:line="460" w:lineRule="exact"/>
        <w:ind w:firstLine="241" w:firstLineChars="100"/>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2</w:t>
      </w:r>
      <w:r>
        <w:rPr>
          <w:rFonts w:hint="eastAsia" w:ascii="宋体" w:hAnsi="宋体" w:eastAsia="宋体" w:cs="宋体"/>
          <w:b/>
          <w:bCs/>
          <w:color w:val="auto"/>
          <w:sz w:val="24"/>
          <w:highlight w:val="none"/>
          <w:lang w:val="en-US" w:eastAsia="zh-CN"/>
        </w:rPr>
        <w:t>.采购信息发布及结果公告网站</w:t>
      </w:r>
    </w:p>
    <w:p w14:paraId="5CCBF476">
      <w:pPr>
        <w:pStyle w:val="47"/>
        <w:keepNext w:val="0"/>
        <w:keepLines w:val="0"/>
        <w:pageBreakBefore w:val="0"/>
        <w:widowControl w:val="0"/>
        <w:numPr>
          <w:ilvl w:val="0"/>
          <w:numId w:val="0"/>
        </w:numPr>
        <w:kinsoku/>
        <w:wordWrap/>
        <w:overflowPunct/>
        <w:topLinePunct w:val="0"/>
        <w:autoSpaceDE w:val="0"/>
        <w:autoSpaceDN w:val="0"/>
        <w:bidi w:val="0"/>
        <w:adjustRightInd w:val="0"/>
        <w:snapToGrid/>
        <w:spacing w:line="500" w:lineRule="atLeast"/>
        <w:ind w:firstLine="480" w:firstLineChars="200"/>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本公告在中国政府采购网（http://www.ccgp.gov.cn</w:t>
      </w:r>
      <w:r>
        <w:rPr>
          <w:rFonts w:hint="eastAsia" w:cs="宋体"/>
          <w:color w:val="auto"/>
          <w:kern w:val="2"/>
          <w:sz w:val="24"/>
          <w:szCs w:val="22"/>
          <w:highlight w:val="none"/>
          <w:lang w:val="en-US" w:eastAsia="zh-CN" w:bidi="ar-SA"/>
        </w:rPr>
        <w:t>）</w:t>
      </w:r>
      <w:r>
        <w:rPr>
          <w:rFonts w:hint="eastAsia" w:ascii="宋体" w:hAnsi="宋体" w:eastAsia="宋体" w:cs="宋体"/>
          <w:color w:val="auto"/>
          <w:kern w:val="2"/>
          <w:sz w:val="24"/>
          <w:szCs w:val="22"/>
          <w:highlight w:val="none"/>
          <w:lang w:val="en-US" w:eastAsia="zh-CN" w:bidi="ar-SA"/>
        </w:rPr>
        <w:t>上发布，我公司对其他网站或媒体转载的公告及公告内容不承担任何责任。</w:t>
      </w:r>
    </w:p>
    <w:p w14:paraId="06FC47C7">
      <w:pPr>
        <w:snapToGrid w:val="0"/>
        <w:spacing w:line="460" w:lineRule="exact"/>
        <w:ind w:firstLine="241" w:firstLineChars="100"/>
        <w:rPr>
          <w:rFonts w:hint="eastAsia" w:ascii="宋体" w:hAnsi="宋体" w:eastAsia="宋体" w:cs="宋体"/>
          <w:b/>
          <w:bCs/>
          <w:color w:val="auto"/>
          <w:kern w:val="2"/>
          <w:sz w:val="24"/>
          <w:szCs w:val="22"/>
          <w:highlight w:val="none"/>
          <w:lang w:val="en-US" w:eastAsia="zh-CN" w:bidi="ar-SA"/>
        </w:rPr>
      </w:pPr>
      <w:r>
        <w:rPr>
          <w:rFonts w:hint="eastAsia" w:ascii="宋体" w:hAnsi="宋体" w:eastAsia="宋体" w:cs="宋体"/>
          <w:b/>
          <w:bCs/>
          <w:color w:val="auto"/>
          <w:sz w:val="24"/>
          <w:highlight w:val="none"/>
          <w:lang w:val="en-US" w:eastAsia="zh-CN"/>
        </w:rPr>
        <w:t>3.监督部门及电话</w:t>
      </w:r>
    </w:p>
    <w:p w14:paraId="687837C9">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财政部监督电话：010-68513070、010-68519967</w:t>
      </w:r>
    </w:p>
    <w:p w14:paraId="4F6B6FAD">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jc w:val="left"/>
        <w:textAlignment w:val="auto"/>
        <w:rPr>
          <w:rFonts w:hint="eastAsia" w:ascii="宋体" w:hAnsi="宋体" w:eastAsia="宋体" w:cs="宋体"/>
          <w:b w:val="0"/>
          <w:i w:val="0"/>
          <w:color w:val="auto"/>
          <w:kern w:val="2"/>
          <w:sz w:val="24"/>
          <w:szCs w:val="22"/>
          <w:highlight w:val="none"/>
          <w:lang w:val="en-US" w:eastAsia="zh-CN" w:bidi="ar-SA"/>
        </w:rPr>
      </w:pPr>
      <w:r>
        <w:rPr>
          <w:rFonts w:hint="eastAsia" w:ascii="宋体" w:hAnsi="宋体" w:eastAsia="宋体" w:cs="宋体"/>
          <w:color w:val="auto"/>
          <w:sz w:val="24"/>
          <w:highlight w:val="none"/>
          <w:lang w:val="en-US" w:eastAsia="zh-CN"/>
        </w:rPr>
        <w:t>纪检监督联系电话：0692-12388</w:t>
      </w:r>
    </w:p>
    <w:p w14:paraId="6C01AB61">
      <w:pPr>
        <w:pStyle w:val="4"/>
        <w:keepNext/>
        <w:keepLines/>
        <w:pageBreakBefore w:val="0"/>
        <w:widowControl w:val="0"/>
        <w:kinsoku/>
        <w:wordWrap/>
        <w:overflowPunct/>
        <w:topLinePunct w:val="0"/>
        <w:autoSpaceDE/>
        <w:autoSpaceDN/>
        <w:bidi w:val="0"/>
        <w:adjustRightInd/>
        <w:snapToGrid/>
        <w:spacing w:before="157" w:beforeLines="50" w:after="157" w:afterLines="50" w:line="460" w:lineRule="exact"/>
        <w:textAlignment w:val="auto"/>
        <w:rPr>
          <w:rFonts w:hint="eastAsia" w:ascii="宋体" w:hAnsi="宋体" w:eastAsia="宋体" w:cs="宋体"/>
          <w:b/>
          <w:bCs w:val="0"/>
          <w:i w:val="0"/>
          <w:color w:val="auto"/>
          <w:kern w:val="2"/>
          <w:sz w:val="24"/>
          <w:szCs w:val="24"/>
          <w:highlight w:val="none"/>
          <w:lang w:val="en-US" w:eastAsia="zh-CN" w:bidi="ar-SA"/>
        </w:rPr>
      </w:pPr>
      <w:bookmarkStart w:id="70" w:name="_Toc32250"/>
      <w:r>
        <w:rPr>
          <w:rFonts w:hint="eastAsia" w:ascii="宋体" w:hAnsi="宋体" w:eastAsia="宋体" w:cs="宋体"/>
          <w:b/>
          <w:bCs w:val="0"/>
          <w:i w:val="0"/>
          <w:color w:val="auto"/>
          <w:kern w:val="2"/>
          <w:sz w:val="24"/>
          <w:szCs w:val="24"/>
          <w:highlight w:val="none"/>
          <w:lang w:val="en-US" w:eastAsia="zh-CN" w:bidi="ar-SA"/>
        </w:rPr>
        <w:t>八、凡对本次采购提出询问，请按以下方式联系。</w:t>
      </w:r>
      <w:bookmarkEnd w:id="64"/>
      <w:bookmarkEnd w:id="65"/>
      <w:bookmarkEnd w:id="66"/>
      <w:bookmarkEnd w:id="67"/>
      <w:bookmarkEnd w:id="68"/>
      <w:bookmarkEnd w:id="69"/>
      <w:bookmarkEnd w:id="70"/>
    </w:p>
    <w:p w14:paraId="44226918">
      <w:pPr>
        <w:pStyle w:val="15"/>
        <w:keepLines w:val="0"/>
        <w:pageBreakBefore w:val="0"/>
        <w:kinsoku/>
        <w:wordWrap/>
        <w:overflowPunct/>
        <w:topLinePunct w:val="0"/>
        <w:autoSpaceDN/>
        <w:bidi w:val="0"/>
        <w:snapToGrid/>
        <w:spacing w:after="0" w:line="360" w:lineRule="auto"/>
        <w:ind w:left="479" w:leftChars="228" w:firstLine="0" w:firstLineChars="0"/>
        <w:textAlignment w:val="auto"/>
        <w:rPr>
          <w:rFonts w:hint="eastAsia" w:ascii="宋体" w:hAnsi="宋体" w:eastAsia="宋体" w:cs="宋体"/>
          <w:i w:val="0"/>
          <w:iCs w:val="0"/>
          <w:color w:val="auto"/>
          <w:kern w:val="2"/>
          <w:sz w:val="24"/>
          <w:szCs w:val="22"/>
        </w:rPr>
      </w:pPr>
      <w:r>
        <w:rPr>
          <w:rFonts w:hint="eastAsia" w:ascii="宋体" w:hAnsi="宋体" w:eastAsia="宋体" w:cs="宋体"/>
          <w:i w:val="0"/>
          <w:iCs w:val="0"/>
          <w:color w:val="auto"/>
          <w:kern w:val="2"/>
          <w:sz w:val="24"/>
          <w:szCs w:val="22"/>
        </w:rPr>
        <w:t>1.采购人信息</w:t>
      </w:r>
    </w:p>
    <w:p w14:paraId="3EBD998D">
      <w:pPr>
        <w:pStyle w:val="15"/>
        <w:keepLines w:val="0"/>
        <w:pageBreakBefore w:val="0"/>
        <w:kinsoku/>
        <w:wordWrap/>
        <w:overflowPunct/>
        <w:topLinePunct w:val="0"/>
        <w:autoSpaceDN/>
        <w:bidi w:val="0"/>
        <w:snapToGrid/>
        <w:spacing w:after="0" w:line="360" w:lineRule="auto"/>
        <w:ind w:left="0" w:leftChars="0" w:firstLine="480"/>
        <w:textAlignment w:val="auto"/>
        <w:rPr>
          <w:rFonts w:hint="eastAsia" w:ascii="宋体" w:hAnsi="宋体" w:eastAsia="宋体" w:cs="宋体"/>
          <w:i w:val="0"/>
          <w:iCs w:val="0"/>
          <w:color w:val="auto"/>
          <w:sz w:val="24"/>
          <w:szCs w:val="22"/>
          <w:lang w:eastAsia="zh-CN"/>
        </w:rPr>
      </w:pPr>
      <w:bookmarkStart w:id="71" w:name="_Toc28359009"/>
      <w:bookmarkStart w:id="72" w:name="_Toc28359086"/>
      <w:r>
        <w:rPr>
          <w:rFonts w:hint="eastAsia" w:ascii="宋体" w:hAnsi="宋体" w:eastAsia="宋体" w:cs="宋体"/>
          <w:i w:val="0"/>
          <w:iCs w:val="0"/>
          <w:color w:val="auto"/>
          <w:sz w:val="24"/>
          <w:szCs w:val="22"/>
        </w:rPr>
        <w:t>名 称：</w:t>
      </w:r>
      <w:r>
        <w:rPr>
          <w:rFonts w:hint="eastAsia" w:ascii="宋体" w:hAnsi="宋体" w:cs="宋体"/>
          <w:i w:val="0"/>
          <w:iCs w:val="0"/>
          <w:color w:val="auto"/>
          <w:sz w:val="24"/>
          <w:szCs w:val="22"/>
          <w:lang w:eastAsia="zh-CN"/>
        </w:rPr>
        <w:t>中华人民共和国畹町出入境边防检查站</w:t>
      </w:r>
    </w:p>
    <w:p w14:paraId="79CDEB2E">
      <w:pPr>
        <w:keepLines w:val="0"/>
        <w:pageBreakBefore w:val="0"/>
        <w:kinsoku/>
        <w:wordWrap/>
        <w:overflowPunct/>
        <w:topLinePunct w:val="0"/>
        <w:autoSpaceDN/>
        <w:bidi w:val="0"/>
        <w:snapToGrid/>
        <w:spacing w:line="360" w:lineRule="auto"/>
        <w:ind w:firstLine="480" w:firstLineChars="200"/>
        <w:jc w:val="left"/>
        <w:textAlignment w:val="auto"/>
        <w:rPr>
          <w:rFonts w:hint="eastAsia" w:ascii="宋体" w:hAnsi="宋体" w:eastAsia="宋体" w:cs="宋体"/>
          <w:i w:val="0"/>
          <w:iCs w:val="0"/>
          <w:color w:val="auto"/>
          <w:sz w:val="24"/>
          <w:lang w:eastAsia="zh-CN"/>
        </w:rPr>
      </w:pPr>
      <w:r>
        <w:rPr>
          <w:rFonts w:hint="eastAsia" w:ascii="宋体" w:hAnsi="宋体" w:eastAsia="宋体" w:cs="宋体"/>
          <w:i w:val="0"/>
          <w:iCs w:val="0"/>
          <w:color w:val="auto"/>
          <w:sz w:val="24"/>
        </w:rPr>
        <w:t>地址：</w:t>
      </w:r>
      <w:r>
        <w:rPr>
          <w:rFonts w:hint="eastAsia" w:ascii="宋体" w:hAnsi="宋体" w:eastAsia="宋体" w:cs="宋体"/>
          <w:i w:val="0"/>
          <w:iCs w:val="0"/>
          <w:color w:val="auto"/>
          <w:sz w:val="24"/>
          <w:lang w:eastAsia="zh-CN"/>
        </w:rPr>
        <w:t>云南省德宏州瑞丽市畹町经济开发区国防街3号</w:t>
      </w:r>
    </w:p>
    <w:p w14:paraId="2AD76792">
      <w:pPr>
        <w:pStyle w:val="15"/>
        <w:keepLines w:val="0"/>
        <w:pageBreakBefore w:val="0"/>
        <w:kinsoku/>
        <w:wordWrap/>
        <w:overflowPunct/>
        <w:topLinePunct w:val="0"/>
        <w:autoSpaceDN/>
        <w:bidi w:val="0"/>
        <w:snapToGrid/>
        <w:spacing w:after="0" w:line="360" w:lineRule="auto"/>
        <w:ind w:left="0" w:leftChars="0" w:firstLine="480"/>
        <w:textAlignment w:val="auto"/>
        <w:rPr>
          <w:rFonts w:hint="eastAsia" w:ascii="宋体" w:hAnsi="宋体" w:eastAsia="宋体" w:cs="宋体"/>
          <w:i w:val="0"/>
          <w:iCs w:val="0"/>
          <w:color w:val="auto"/>
          <w:kern w:val="2"/>
          <w:sz w:val="24"/>
          <w:szCs w:val="22"/>
          <w:lang w:val="en-US" w:eastAsia="zh-CN"/>
        </w:rPr>
      </w:pPr>
      <w:r>
        <w:rPr>
          <w:rFonts w:hint="eastAsia" w:ascii="宋体" w:hAnsi="宋体" w:eastAsia="宋体" w:cs="宋体"/>
          <w:i w:val="0"/>
          <w:iCs w:val="0"/>
          <w:color w:val="auto"/>
          <w:sz w:val="24"/>
        </w:rPr>
        <w:t>联系方式：</w:t>
      </w:r>
      <w:r>
        <w:rPr>
          <w:rFonts w:hint="eastAsia" w:ascii="宋体" w:hAnsi="宋体" w:cs="宋体"/>
          <w:i w:val="0"/>
          <w:iCs w:val="0"/>
          <w:color w:val="auto"/>
          <w:sz w:val="24"/>
          <w:lang w:eastAsia="zh-CN"/>
        </w:rPr>
        <w:t>杨警官</w:t>
      </w:r>
      <w:r>
        <w:rPr>
          <w:rFonts w:hint="eastAsia" w:ascii="宋体" w:hAnsi="宋体" w:cs="宋体"/>
          <w:i w:val="0"/>
          <w:iCs w:val="0"/>
          <w:color w:val="auto"/>
          <w:sz w:val="24"/>
          <w:lang w:val="en-US" w:eastAsia="zh-CN"/>
        </w:rPr>
        <w:t xml:space="preserve">  </w:t>
      </w:r>
      <w:r>
        <w:rPr>
          <w:rFonts w:hint="eastAsia" w:ascii="宋体" w:hAnsi="宋体" w:cs="宋体"/>
          <w:i w:val="0"/>
          <w:iCs w:val="0"/>
          <w:color w:val="auto"/>
          <w:sz w:val="24"/>
          <w:lang w:eastAsia="zh-CN"/>
        </w:rPr>
        <w:t>0692-5150082</w:t>
      </w:r>
    </w:p>
    <w:p w14:paraId="3D451C2B">
      <w:pPr>
        <w:keepLines w:val="0"/>
        <w:pageBreakBefore w:val="0"/>
        <w:kinsoku/>
        <w:wordWrap/>
        <w:overflowPunct/>
        <w:topLinePunct w:val="0"/>
        <w:autoSpaceDN/>
        <w:bidi w:val="0"/>
        <w:snapToGrid/>
        <w:spacing w:line="360" w:lineRule="auto"/>
        <w:ind w:firstLine="480" w:firstLineChars="200"/>
        <w:jc w:val="left"/>
        <w:textAlignment w:val="auto"/>
        <w:rPr>
          <w:rFonts w:hint="eastAsia" w:ascii="宋体" w:hAnsi="宋体" w:eastAsia="宋体" w:cs="宋体"/>
          <w:i w:val="0"/>
          <w:iCs w:val="0"/>
          <w:color w:val="auto"/>
          <w:sz w:val="24"/>
        </w:rPr>
      </w:pPr>
      <w:r>
        <w:rPr>
          <w:rFonts w:hint="eastAsia" w:ascii="宋体" w:hAnsi="宋体" w:eastAsia="宋体" w:cs="宋体"/>
          <w:i w:val="0"/>
          <w:iCs w:val="0"/>
          <w:color w:val="auto"/>
          <w:sz w:val="24"/>
        </w:rPr>
        <w:t>2.采购代理机构信息</w:t>
      </w:r>
      <w:bookmarkEnd w:id="71"/>
      <w:bookmarkEnd w:id="72"/>
    </w:p>
    <w:p w14:paraId="7C38B169">
      <w:pPr>
        <w:pStyle w:val="15"/>
        <w:keepLines w:val="0"/>
        <w:pageBreakBefore w:val="0"/>
        <w:kinsoku/>
        <w:wordWrap/>
        <w:overflowPunct/>
        <w:topLinePunct w:val="0"/>
        <w:autoSpaceDN/>
        <w:bidi w:val="0"/>
        <w:snapToGrid/>
        <w:spacing w:after="0" w:line="360" w:lineRule="auto"/>
        <w:ind w:left="479" w:leftChars="228" w:firstLine="0" w:firstLineChars="0"/>
        <w:textAlignment w:val="auto"/>
        <w:rPr>
          <w:rFonts w:hint="eastAsia" w:ascii="宋体" w:hAnsi="宋体" w:eastAsia="宋体" w:cs="宋体"/>
          <w:i w:val="0"/>
          <w:iCs w:val="0"/>
          <w:color w:val="auto"/>
          <w:kern w:val="2"/>
          <w:sz w:val="24"/>
          <w:szCs w:val="22"/>
          <w:lang w:eastAsia="zh-CN"/>
        </w:rPr>
      </w:pPr>
      <w:bookmarkStart w:id="73" w:name="_Toc28359087"/>
      <w:bookmarkStart w:id="74" w:name="_Toc28359010"/>
      <w:r>
        <w:rPr>
          <w:rFonts w:hint="eastAsia" w:ascii="宋体" w:hAnsi="宋体" w:eastAsia="宋体" w:cs="宋体"/>
          <w:i w:val="0"/>
          <w:iCs w:val="0"/>
          <w:color w:val="auto"/>
          <w:kern w:val="2"/>
          <w:sz w:val="24"/>
          <w:szCs w:val="22"/>
        </w:rPr>
        <w:t>名 称：</w:t>
      </w:r>
      <w:r>
        <w:rPr>
          <w:rFonts w:hint="eastAsia" w:ascii="宋体" w:hAnsi="宋体" w:eastAsia="宋体" w:cs="宋体"/>
          <w:i w:val="0"/>
          <w:iCs w:val="0"/>
          <w:color w:val="auto"/>
          <w:kern w:val="2"/>
          <w:sz w:val="24"/>
          <w:szCs w:val="22"/>
          <w:lang w:eastAsia="zh-CN"/>
        </w:rPr>
        <w:t>德宏众恒工程管理有限公司</w:t>
      </w:r>
    </w:p>
    <w:p w14:paraId="00E72648">
      <w:pPr>
        <w:pStyle w:val="15"/>
        <w:keepLines w:val="0"/>
        <w:pageBreakBefore w:val="0"/>
        <w:kinsoku/>
        <w:wordWrap/>
        <w:overflowPunct/>
        <w:topLinePunct w:val="0"/>
        <w:autoSpaceDN/>
        <w:bidi w:val="0"/>
        <w:snapToGrid/>
        <w:spacing w:after="0" w:line="360" w:lineRule="auto"/>
        <w:ind w:left="479" w:leftChars="228" w:firstLine="0" w:firstLineChars="0"/>
        <w:textAlignment w:val="auto"/>
        <w:rPr>
          <w:rFonts w:hint="eastAsia" w:ascii="宋体" w:hAnsi="宋体" w:eastAsia="宋体" w:cs="宋体"/>
          <w:i w:val="0"/>
          <w:iCs w:val="0"/>
          <w:color w:val="auto"/>
          <w:kern w:val="2"/>
          <w:sz w:val="24"/>
          <w:szCs w:val="22"/>
        </w:rPr>
      </w:pPr>
      <w:r>
        <w:rPr>
          <w:rFonts w:hint="eastAsia" w:ascii="宋体" w:hAnsi="宋体" w:eastAsia="宋体" w:cs="宋体"/>
          <w:i w:val="0"/>
          <w:iCs w:val="0"/>
          <w:color w:val="auto"/>
          <w:kern w:val="2"/>
          <w:sz w:val="24"/>
          <w:szCs w:val="22"/>
          <w:lang w:eastAsia="zh-CN"/>
        </w:rPr>
        <w:t>统一社会信用代码：91533103MA6P0PGC94</w:t>
      </w:r>
    </w:p>
    <w:p w14:paraId="7F4FBBC9">
      <w:pPr>
        <w:pStyle w:val="15"/>
        <w:keepLines w:val="0"/>
        <w:pageBreakBefore w:val="0"/>
        <w:kinsoku/>
        <w:wordWrap/>
        <w:overflowPunct/>
        <w:topLinePunct w:val="0"/>
        <w:autoSpaceDN/>
        <w:bidi w:val="0"/>
        <w:snapToGrid/>
        <w:spacing w:after="0" w:line="360" w:lineRule="auto"/>
        <w:ind w:left="479" w:leftChars="228" w:firstLine="0" w:firstLineChars="0"/>
        <w:textAlignment w:val="auto"/>
        <w:rPr>
          <w:rFonts w:hint="eastAsia" w:ascii="宋体" w:hAnsi="宋体" w:eastAsia="宋体" w:cs="宋体"/>
          <w:i w:val="0"/>
          <w:iCs w:val="0"/>
          <w:color w:val="auto"/>
          <w:kern w:val="2"/>
          <w:sz w:val="24"/>
          <w:szCs w:val="22"/>
        </w:rPr>
      </w:pPr>
      <w:r>
        <w:rPr>
          <w:rFonts w:hint="eastAsia" w:ascii="宋体" w:hAnsi="宋体" w:eastAsia="宋体" w:cs="宋体"/>
          <w:i w:val="0"/>
          <w:iCs w:val="0"/>
          <w:color w:val="auto"/>
          <w:kern w:val="2"/>
          <w:sz w:val="24"/>
          <w:szCs w:val="22"/>
        </w:rPr>
        <w:t>地　址：</w:t>
      </w:r>
      <w:r>
        <w:rPr>
          <w:rFonts w:hint="eastAsia" w:ascii="宋体" w:hAnsi="宋体" w:eastAsia="宋体" w:cs="宋体"/>
          <w:i w:val="0"/>
          <w:iCs w:val="0"/>
          <w:color w:val="auto"/>
          <w:kern w:val="2"/>
          <w:sz w:val="24"/>
          <w:szCs w:val="22"/>
          <w:lang w:eastAsia="zh-CN"/>
        </w:rPr>
        <w:t>云南省德宏州芒市勐焕街道锦华社区胞波路46号4楼</w:t>
      </w:r>
    </w:p>
    <w:p w14:paraId="79E54F0D">
      <w:pPr>
        <w:pStyle w:val="15"/>
        <w:keepLines w:val="0"/>
        <w:pageBreakBefore w:val="0"/>
        <w:kinsoku/>
        <w:wordWrap/>
        <w:overflowPunct/>
        <w:topLinePunct w:val="0"/>
        <w:autoSpaceDN/>
        <w:bidi w:val="0"/>
        <w:snapToGrid/>
        <w:spacing w:after="0" w:line="360" w:lineRule="auto"/>
        <w:ind w:left="479" w:leftChars="228" w:firstLine="0" w:firstLineChars="0"/>
        <w:textAlignment w:val="auto"/>
        <w:rPr>
          <w:rFonts w:hint="default" w:ascii="宋体" w:hAnsi="宋体" w:eastAsia="宋体" w:cs="宋体"/>
          <w:i w:val="0"/>
          <w:iCs w:val="0"/>
          <w:color w:val="auto"/>
          <w:kern w:val="2"/>
          <w:sz w:val="24"/>
          <w:szCs w:val="22"/>
          <w:lang w:val="en-US" w:eastAsia="zh-CN"/>
        </w:rPr>
      </w:pPr>
      <w:r>
        <w:rPr>
          <w:rFonts w:hint="eastAsia" w:ascii="宋体" w:hAnsi="宋体" w:eastAsia="宋体" w:cs="宋体"/>
          <w:i w:val="0"/>
          <w:iCs w:val="0"/>
          <w:color w:val="auto"/>
          <w:kern w:val="2"/>
          <w:sz w:val="24"/>
          <w:szCs w:val="22"/>
          <w:lang w:eastAsia="zh-CN"/>
        </w:rPr>
        <w:t>联系方式：</w:t>
      </w:r>
      <w:r>
        <w:rPr>
          <w:rFonts w:hint="eastAsia" w:ascii="宋体" w:hAnsi="宋体" w:eastAsia="宋体" w:cs="宋体"/>
          <w:i w:val="0"/>
          <w:iCs w:val="0"/>
          <w:color w:val="auto"/>
          <w:kern w:val="2"/>
          <w:sz w:val="24"/>
          <w:szCs w:val="22"/>
          <w:lang w:val="en-US" w:eastAsia="zh-CN"/>
        </w:rPr>
        <w:t>闫自涛  0692-2270999</w:t>
      </w:r>
    </w:p>
    <w:p w14:paraId="671CACDC">
      <w:pPr>
        <w:keepLines w:val="0"/>
        <w:pageBreakBefore w:val="0"/>
        <w:kinsoku/>
        <w:wordWrap/>
        <w:overflowPunct/>
        <w:topLinePunct w:val="0"/>
        <w:autoSpaceDN/>
        <w:bidi w:val="0"/>
        <w:snapToGrid/>
        <w:spacing w:line="360" w:lineRule="auto"/>
        <w:ind w:firstLine="480" w:firstLineChars="200"/>
        <w:textAlignment w:val="auto"/>
        <w:rPr>
          <w:rFonts w:hint="eastAsia" w:ascii="宋体" w:hAnsi="宋体" w:eastAsia="宋体" w:cs="宋体"/>
          <w:i w:val="0"/>
          <w:iCs w:val="0"/>
          <w:color w:val="auto"/>
          <w:sz w:val="24"/>
          <w:u w:val="single"/>
        </w:rPr>
      </w:pPr>
      <w:r>
        <w:rPr>
          <w:rFonts w:hint="eastAsia" w:ascii="宋体" w:hAnsi="宋体" w:eastAsia="宋体" w:cs="宋体"/>
          <w:i w:val="0"/>
          <w:iCs w:val="0"/>
          <w:color w:val="auto"/>
          <w:sz w:val="24"/>
        </w:rPr>
        <w:t>3.项目联系方式</w:t>
      </w:r>
      <w:bookmarkEnd w:id="73"/>
      <w:bookmarkEnd w:id="74"/>
    </w:p>
    <w:p w14:paraId="31A9FB1C">
      <w:pPr>
        <w:pStyle w:val="20"/>
        <w:keepLines w:val="0"/>
        <w:pageBreakBefore w:val="0"/>
        <w:kinsoku/>
        <w:wordWrap/>
        <w:overflowPunct/>
        <w:topLinePunct w:val="0"/>
        <w:autoSpaceDN/>
        <w:bidi w:val="0"/>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项目联系人：</w:t>
      </w:r>
      <w:r>
        <w:rPr>
          <w:rFonts w:hint="eastAsia" w:hAnsi="宋体" w:eastAsia="宋体" w:cs="宋体"/>
          <w:i w:val="0"/>
          <w:iCs w:val="0"/>
          <w:color w:val="auto"/>
          <w:sz w:val="24"/>
          <w:szCs w:val="24"/>
          <w:lang w:val="en-US" w:eastAsia="zh-CN"/>
        </w:rPr>
        <w:t>杨警官</w:t>
      </w:r>
      <w:r>
        <w:rPr>
          <w:rFonts w:hint="eastAsia" w:ascii="宋体" w:hAnsi="宋体" w:eastAsia="宋体" w:cs="宋体"/>
          <w:i w:val="0"/>
          <w:iCs w:val="0"/>
          <w:color w:val="auto"/>
          <w:sz w:val="24"/>
          <w:szCs w:val="24"/>
        </w:rPr>
        <w:t>（采购人）</w:t>
      </w:r>
      <w:r>
        <w:rPr>
          <w:rFonts w:hint="eastAsia" w:hAnsi="宋体" w:cs="宋体"/>
          <w:i w:val="0"/>
          <w:iCs w:val="0"/>
          <w:color w:val="auto"/>
          <w:sz w:val="24"/>
          <w:szCs w:val="24"/>
          <w:lang w:eastAsia="zh-CN"/>
        </w:rPr>
        <w:t>、闫自涛</w:t>
      </w:r>
      <w:r>
        <w:rPr>
          <w:rFonts w:hint="eastAsia" w:ascii="宋体" w:hAnsi="宋体" w:eastAsia="宋体" w:cs="宋体"/>
          <w:i w:val="0"/>
          <w:iCs w:val="0"/>
          <w:color w:val="auto"/>
          <w:sz w:val="24"/>
          <w:szCs w:val="24"/>
        </w:rPr>
        <w:t>（采购代理机构）</w:t>
      </w:r>
    </w:p>
    <w:p w14:paraId="3EBD2723">
      <w:pPr>
        <w:pageBreakBefore w:val="0"/>
        <w:kinsoku/>
        <w:wordWrap/>
        <w:overflowPunct/>
        <w:autoSpaceDE/>
        <w:autoSpaceDN/>
        <w:bidi w:val="0"/>
        <w:snapToGrid/>
        <w:spacing w:line="460" w:lineRule="exact"/>
        <w:ind w:firstLine="480" w:firstLineChars="200"/>
        <w:textAlignment w:val="auto"/>
        <w:rPr>
          <w:rFonts w:hint="eastAsia" w:ascii="宋体" w:hAnsi="宋体" w:eastAsia="宋体" w:cs="宋体"/>
          <w:i w:val="0"/>
          <w:iCs w:val="0"/>
          <w:color w:val="auto"/>
          <w:sz w:val="24"/>
        </w:rPr>
      </w:pPr>
      <w:r>
        <w:rPr>
          <w:rFonts w:hint="eastAsia" w:ascii="宋体" w:hAnsi="宋体" w:eastAsia="宋体" w:cs="宋体"/>
          <w:i w:val="0"/>
          <w:iCs w:val="0"/>
          <w:color w:val="auto"/>
          <w:sz w:val="24"/>
        </w:rPr>
        <w:t>电　话：</w:t>
      </w:r>
      <w:r>
        <w:rPr>
          <w:rFonts w:hint="eastAsia" w:ascii="宋体" w:hAnsi="宋体" w:eastAsia="宋体" w:cs="宋体"/>
          <w:i w:val="0"/>
          <w:iCs w:val="0"/>
          <w:color w:val="auto"/>
          <w:sz w:val="24"/>
          <w:lang w:eastAsia="zh-CN"/>
        </w:rPr>
        <w:t>0692-5150082</w:t>
      </w:r>
      <w:r>
        <w:rPr>
          <w:rFonts w:hint="eastAsia" w:ascii="宋体" w:hAnsi="宋体" w:eastAsia="宋体" w:cs="宋体"/>
          <w:i w:val="0"/>
          <w:iCs w:val="0"/>
          <w:color w:val="auto"/>
          <w:sz w:val="24"/>
        </w:rPr>
        <w:t>（采购人）</w:t>
      </w:r>
      <w:r>
        <w:rPr>
          <w:rFonts w:hint="eastAsia" w:ascii="宋体" w:hAnsi="宋体" w:eastAsia="宋体" w:cs="宋体"/>
          <w:i w:val="0"/>
          <w:iCs w:val="0"/>
          <w:color w:val="auto"/>
          <w:sz w:val="24"/>
          <w:lang w:eastAsia="zh-CN"/>
        </w:rPr>
        <w:t>、</w:t>
      </w:r>
      <w:r>
        <w:rPr>
          <w:rFonts w:hint="eastAsia" w:ascii="宋体" w:hAnsi="宋体" w:eastAsia="宋体" w:cs="宋体"/>
          <w:i w:val="0"/>
          <w:iCs w:val="0"/>
          <w:color w:val="auto"/>
          <w:sz w:val="24"/>
        </w:rPr>
        <w:t>0692-2270999（采购代理机构）</w:t>
      </w:r>
    </w:p>
    <w:p w14:paraId="08163262">
      <w:pPr>
        <w:rPr>
          <w:rFonts w:hint="eastAsia" w:ascii="宋体" w:hAnsi="宋体" w:eastAsia="宋体" w:cs="宋体"/>
          <w:i w:val="0"/>
          <w:iCs w:val="0"/>
          <w:color w:val="auto"/>
          <w:sz w:val="24"/>
        </w:rPr>
      </w:pPr>
      <w:r>
        <w:rPr>
          <w:rFonts w:hint="eastAsia" w:ascii="宋体" w:hAnsi="宋体" w:eastAsia="宋体" w:cs="宋体"/>
          <w:i w:val="0"/>
          <w:iCs w:val="0"/>
          <w:color w:val="auto"/>
          <w:sz w:val="24"/>
        </w:rPr>
        <w:br w:type="page"/>
      </w:r>
    </w:p>
    <w:p w14:paraId="346D58BA">
      <w:pPr>
        <w:keepLines w:val="0"/>
        <w:pageBreakBefore w:val="0"/>
        <w:kinsoku/>
        <w:wordWrap/>
        <w:overflowPunct/>
        <w:topLinePunct w:val="0"/>
        <w:bidi w:val="0"/>
        <w:spacing w:line="400" w:lineRule="exact"/>
        <w:outlineLvl w:val="9"/>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附件：报名信息表（格式)</w:t>
      </w:r>
    </w:p>
    <w:p w14:paraId="7805FBF5">
      <w:pPr>
        <w:pageBreakBefore w:val="0"/>
        <w:kinsoku/>
        <w:wordWrap/>
        <w:overflowPunct/>
        <w:topLinePunct w:val="0"/>
        <w:bidi w:val="0"/>
        <w:outlineLvl w:val="9"/>
        <w:rPr>
          <w:rFonts w:hint="eastAsia" w:ascii="宋体" w:hAnsi="宋体" w:eastAsia="宋体" w:cs="宋体"/>
          <w:b w:val="0"/>
          <w:bCs w:val="0"/>
          <w:color w:val="auto"/>
          <w:highlight w:val="none"/>
        </w:rPr>
      </w:pPr>
    </w:p>
    <w:tbl>
      <w:tblPr>
        <w:tblStyle w:val="3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72"/>
        <w:gridCol w:w="7935"/>
      </w:tblGrid>
      <w:tr w14:paraId="12E5A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9607" w:type="dxa"/>
            <w:gridSpan w:val="2"/>
            <w:tcBorders>
              <w:top w:val="nil"/>
              <w:left w:val="nil"/>
              <w:bottom w:val="nil"/>
              <w:right w:val="nil"/>
            </w:tcBorders>
            <w:noWrap/>
            <w:vAlign w:val="center"/>
          </w:tcPr>
          <w:p w14:paraId="054992B7">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36"/>
                <w:szCs w:val="36"/>
                <w:highlight w:val="none"/>
                <w:u w:val="none"/>
              </w:rPr>
            </w:pPr>
            <w:r>
              <w:rPr>
                <w:rFonts w:hint="eastAsia" w:ascii="宋体" w:hAnsi="宋体" w:eastAsia="宋体" w:cs="宋体"/>
                <w:b w:val="0"/>
                <w:bCs w:val="0"/>
                <w:i w:val="0"/>
                <w:iCs w:val="0"/>
                <w:color w:val="auto"/>
                <w:kern w:val="0"/>
                <w:sz w:val="36"/>
                <w:szCs w:val="36"/>
                <w:highlight w:val="none"/>
                <w:u w:val="none"/>
                <w:lang w:val="en-US" w:eastAsia="zh-CN" w:bidi="ar"/>
              </w:rPr>
              <w:t>报名信息表</w:t>
            </w:r>
          </w:p>
        </w:tc>
      </w:tr>
      <w:tr w14:paraId="298FA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672" w:type="dxa"/>
            <w:tcBorders>
              <w:top w:val="single" w:color="000000" w:sz="8" w:space="0"/>
              <w:left w:val="single" w:color="000000" w:sz="8" w:space="0"/>
              <w:bottom w:val="single" w:color="000000" w:sz="4" w:space="0"/>
              <w:right w:val="single" w:color="000000" w:sz="4" w:space="0"/>
            </w:tcBorders>
            <w:noWrap/>
            <w:vAlign w:val="center"/>
          </w:tcPr>
          <w:p w14:paraId="0167DC6C">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项目</w:t>
            </w:r>
          </w:p>
        </w:tc>
        <w:tc>
          <w:tcPr>
            <w:tcW w:w="7935" w:type="dxa"/>
            <w:tcBorders>
              <w:top w:val="single" w:color="000000" w:sz="8" w:space="0"/>
              <w:left w:val="single" w:color="000000" w:sz="4" w:space="0"/>
              <w:bottom w:val="single" w:color="000000" w:sz="4" w:space="0"/>
              <w:right w:val="single" w:color="000000" w:sz="4" w:space="0"/>
            </w:tcBorders>
            <w:noWrap/>
            <w:vAlign w:val="center"/>
          </w:tcPr>
          <w:p w14:paraId="685110B0">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内容</w:t>
            </w:r>
          </w:p>
        </w:tc>
      </w:tr>
      <w:tr w14:paraId="5EAFE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72" w:type="dxa"/>
            <w:tcBorders>
              <w:top w:val="single" w:color="000000" w:sz="4" w:space="0"/>
              <w:left w:val="single" w:color="000000" w:sz="8" w:space="0"/>
              <w:bottom w:val="single" w:color="000000" w:sz="4" w:space="0"/>
              <w:right w:val="single" w:color="000000" w:sz="4" w:space="0"/>
            </w:tcBorders>
            <w:noWrap/>
            <w:vAlign w:val="center"/>
          </w:tcPr>
          <w:p w14:paraId="6E004C07">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项目名称</w:t>
            </w:r>
          </w:p>
        </w:tc>
        <w:tc>
          <w:tcPr>
            <w:tcW w:w="7935" w:type="dxa"/>
            <w:tcBorders>
              <w:top w:val="single" w:color="000000" w:sz="4" w:space="0"/>
              <w:left w:val="single" w:color="000000" w:sz="4" w:space="0"/>
              <w:bottom w:val="single" w:color="000000" w:sz="4" w:space="0"/>
              <w:right w:val="single" w:color="000000" w:sz="4" w:space="0"/>
            </w:tcBorders>
            <w:noWrap/>
            <w:vAlign w:val="center"/>
          </w:tcPr>
          <w:p w14:paraId="226BA653">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t>中华人民共和国畹町出入境边防检查站2025年度公务用车维修服务定点协议单位采购项目（二次）</w:t>
            </w:r>
          </w:p>
        </w:tc>
      </w:tr>
      <w:tr w14:paraId="5444C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72" w:type="dxa"/>
            <w:tcBorders>
              <w:top w:val="single" w:color="000000" w:sz="4" w:space="0"/>
              <w:left w:val="single" w:color="000000" w:sz="8" w:space="0"/>
              <w:bottom w:val="single" w:color="000000" w:sz="4" w:space="0"/>
              <w:right w:val="single" w:color="000000" w:sz="4" w:space="0"/>
            </w:tcBorders>
            <w:noWrap/>
            <w:vAlign w:val="center"/>
          </w:tcPr>
          <w:p w14:paraId="784918CA">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项目编号</w:t>
            </w:r>
          </w:p>
        </w:tc>
        <w:tc>
          <w:tcPr>
            <w:tcW w:w="7935" w:type="dxa"/>
            <w:tcBorders>
              <w:top w:val="single" w:color="000000" w:sz="4" w:space="0"/>
              <w:left w:val="single" w:color="000000" w:sz="4" w:space="0"/>
              <w:bottom w:val="single" w:color="000000" w:sz="4" w:space="0"/>
              <w:right w:val="single" w:color="000000" w:sz="4" w:space="0"/>
            </w:tcBorders>
            <w:noWrap/>
            <w:vAlign w:val="center"/>
          </w:tcPr>
          <w:p w14:paraId="78D937BE">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eastAsia="宋体" w:cs="宋体"/>
                <w:b w:val="0"/>
                <w:bCs w:val="0"/>
                <w:i w:val="0"/>
                <w:iCs w:val="0"/>
                <w:color w:val="auto"/>
                <w:sz w:val="22"/>
                <w:szCs w:val="22"/>
                <w:highlight w:val="none"/>
                <w:u w:val="none"/>
                <w:lang w:val="en-US" w:eastAsia="zh-CN"/>
              </w:rPr>
              <w:t>DHZH2025-042</w:t>
            </w:r>
          </w:p>
        </w:tc>
      </w:tr>
      <w:tr w14:paraId="331FD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72" w:type="dxa"/>
            <w:tcBorders>
              <w:top w:val="single" w:color="000000" w:sz="4" w:space="0"/>
              <w:left w:val="single" w:color="000000" w:sz="8" w:space="0"/>
              <w:bottom w:val="single" w:color="000000" w:sz="4" w:space="0"/>
              <w:right w:val="single" w:color="000000" w:sz="4" w:space="0"/>
            </w:tcBorders>
            <w:noWrap w:val="0"/>
            <w:vAlign w:val="center"/>
          </w:tcPr>
          <w:p w14:paraId="675E0CAD">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报名及领取磋商文件时间</w:t>
            </w:r>
          </w:p>
        </w:tc>
        <w:tc>
          <w:tcPr>
            <w:tcW w:w="7935" w:type="dxa"/>
            <w:tcBorders>
              <w:top w:val="single" w:color="000000" w:sz="4" w:space="0"/>
              <w:left w:val="single" w:color="000000" w:sz="4" w:space="0"/>
              <w:bottom w:val="single" w:color="000000" w:sz="4" w:space="0"/>
              <w:right w:val="single" w:color="000000" w:sz="4" w:space="0"/>
            </w:tcBorders>
            <w:noWrap/>
            <w:vAlign w:val="center"/>
          </w:tcPr>
          <w:p w14:paraId="1F74EE18">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rPr>
            </w:pPr>
          </w:p>
        </w:tc>
      </w:tr>
      <w:tr w14:paraId="7FD50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72" w:type="dxa"/>
            <w:tcBorders>
              <w:top w:val="single" w:color="000000" w:sz="4" w:space="0"/>
              <w:left w:val="single" w:color="000000" w:sz="8" w:space="0"/>
              <w:bottom w:val="single" w:color="000000" w:sz="4" w:space="0"/>
              <w:right w:val="single" w:color="000000" w:sz="4" w:space="0"/>
            </w:tcBorders>
            <w:noWrap/>
            <w:vAlign w:val="center"/>
          </w:tcPr>
          <w:p w14:paraId="64033946">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报名单位名称</w:t>
            </w:r>
          </w:p>
        </w:tc>
        <w:tc>
          <w:tcPr>
            <w:tcW w:w="7935" w:type="dxa"/>
            <w:tcBorders>
              <w:top w:val="single" w:color="000000" w:sz="4" w:space="0"/>
              <w:left w:val="single" w:color="000000" w:sz="4" w:space="0"/>
              <w:bottom w:val="single" w:color="000000" w:sz="4" w:space="0"/>
              <w:right w:val="single" w:color="000000" w:sz="4" w:space="0"/>
            </w:tcBorders>
            <w:noWrap/>
            <w:vAlign w:val="center"/>
          </w:tcPr>
          <w:p w14:paraId="700BDD66">
            <w:pPr>
              <w:keepNext w:val="0"/>
              <w:keepLines w:val="0"/>
              <w:pageBreakBefore w:val="0"/>
              <w:kinsoku/>
              <w:wordWrap/>
              <w:overflowPunct/>
              <w:topLinePunct w:val="0"/>
              <w:autoSpaceDE/>
              <w:autoSpaceDN/>
              <w:bidi w:val="0"/>
              <w:adjustRightInd/>
              <w:snapToGrid/>
              <w:spacing w:after="0" w:line="360" w:lineRule="exact"/>
              <w:outlineLvl w:val="9"/>
              <w:rPr>
                <w:rFonts w:hint="eastAsia" w:ascii="宋体" w:hAnsi="宋体" w:eastAsia="宋体" w:cs="宋体"/>
                <w:b w:val="0"/>
                <w:bCs w:val="0"/>
                <w:i w:val="0"/>
                <w:iCs w:val="0"/>
                <w:color w:val="auto"/>
                <w:sz w:val="22"/>
                <w:szCs w:val="22"/>
                <w:highlight w:val="none"/>
                <w:u w:val="none"/>
              </w:rPr>
            </w:pPr>
          </w:p>
        </w:tc>
      </w:tr>
      <w:tr w14:paraId="7C063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72" w:type="dxa"/>
            <w:tcBorders>
              <w:top w:val="single" w:color="000000" w:sz="4" w:space="0"/>
              <w:left w:val="single" w:color="000000" w:sz="8" w:space="0"/>
              <w:bottom w:val="single" w:color="000000" w:sz="4" w:space="0"/>
              <w:right w:val="single" w:color="000000" w:sz="4" w:space="0"/>
            </w:tcBorders>
            <w:noWrap/>
            <w:vAlign w:val="center"/>
          </w:tcPr>
          <w:p w14:paraId="41FD3BDA">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法定代表人</w:t>
            </w:r>
          </w:p>
        </w:tc>
        <w:tc>
          <w:tcPr>
            <w:tcW w:w="7935" w:type="dxa"/>
            <w:tcBorders>
              <w:top w:val="single" w:color="000000" w:sz="4" w:space="0"/>
              <w:left w:val="single" w:color="000000" w:sz="4" w:space="0"/>
              <w:bottom w:val="single" w:color="000000" w:sz="4" w:space="0"/>
              <w:right w:val="single" w:color="000000" w:sz="4" w:space="0"/>
            </w:tcBorders>
            <w:noWrap/>
            <w:vAlign w:val="center"/>
          </w:tcPr>
          <w:p w14:paraId="214D605B">
            <w:pPr>
              <w:keepNext w:val="0"/>
              <w:keepLines w:val="0"/>
              <w:pageBreakBefore w:val="0"/>
              <w:kinsoku/>
              <w:wordWrap/>
              <w:overflowPunct/>
              <w:topLinePunct w:val="0"/>
              <w:autoSpaceDE/>
              <w:autoSpaceDN/>
              <w:bidi w:val="0"/>
              <w:adjustRightInd/>
              <w:snapToGrid/>
              <w:spacing w:after="0" w:line="360" w:lineRule="exact"/>
              <w:outlineLvl w:val="9"/>
              <w:rPr>
                <w:rFonts w:hint="eastAsia" w:ascii="宋体" w:hAnsi="宋体" w:eastAsia="宋体" w:cs="宋体"/>
                <w:b w:val="0"/>
                <w:bCs w:val="0"/>
                <w:i w:val="0"/>
                <w:iCs w:val="0"/>
                <w:color w:val="auto"/>
                <w:sz w:val="22"/>
                <w:szCs w:val="22"/>
                <w:highlight w:val="none"/>
                <w:u w:val="none"/>
              </w:rPr>
            </w:pPr>
          </w:p>
        </w:tc>
      </w:tr>
      <w:tr w14:paraId="506A3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72" w:type="dxa"/>
            <w:tcBorders>
              <w:top w:val="single" w:color="000000" w:sz="4" w:space="0"/>
              <w:left w:val="single" w:color="000000" w:sz="8" w:space="0"/>
              <w:bottom w:val="single" w:color="000000" w:sz="4" w:space="0"/>
              <w:right w:val="single" w:color="000000" w:sz="4" w:space="0"/>
            </w:tcBorders>
            <w:noWrap/>
            <w:vAlign w:val="center"/>
          </w:tcPr>
          <w:p w14:paraId="5670D2A5">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法定代表人身份证号码</w:t>
            </w:r>
          </w:p>
        </w:tc>
        <w:tc>
          <w:tcPr>
            <w:tcW w:w="7935" w:type="dxa"/>
            <w:tcBorders>
              <w:top w:val="single" w:color="000000" w:sz="4" w:space="0"/>
              <w:left w:val="single" w:color="000000" w:sz="4" w:space="0"/>
              <w:bottom w:val="single" w:color="000000" w:sz="4" w:space="0"/>
              <w:right w:val="single" w:color="000000" w:sz="4" w:space="0"/>
            </w:tcBorders>
            <w:noWrap/>
            <w:vAlign w:val="center"/>
          </w:tcPr>
          <w:p w14:paraId="17136C5B">
            <w:pPr>
              <w:keepNext w:val="0"/>
              <w:keepLines w:val="0"/>
              <w:pageBreakBefore w:val="0"/>
              <w:kinsoku/>
              <w:wordWrap/>
              <w:overflowPunct/>
              <w:topLinePunct w:val="0"/>
              <w:autoSpaceDE/>
              <w:autoSpaceDN/>
              <w:bidi w:val="0"/>
              <w:adjustRightInd/>
              <w:snapToGrid/>
              <w:spacing w:after="0" w:line="360" w:lineRule="exact"/>
              <w:outlineLvl w:val="9"/>
              <w:rPr>
                <w:rFonts w:hint="eastAsia" w:ascii="宋体" w:hAnsi="宋体" w:eastAsia="宋体" w:cs="宋体"/>
                <w:b w:val="0"/>
                <w:bCs w:val="0"/>
                <w:i w:val="0"/>
                <w:iCs w:val="0"/>
                <w:color w:val="auto"/>
                <w:sz w:val="22"/>
                <w:szCs w:val="22"/>
                <w:highlight w:val="none"/>
                <w:u w:val="none"/>
              </w:rPr>
            </w:pPr>
          </w:p>
        </w:tc>
      </w:tr>
      <w:tr w14:paraId="11A89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72" w:type="dxa"/>
            <w:tcBorders>
              <w:top w:val="single" w:color="000000" w:sz="4" w:space="0"/>
              <w:left w:val="single" w:color="000000" w:sz="8" w:space="0"/>
              <w:bottom w:val="single" w:color="000000" w:sz="4" w:space="0"/>
              <w:right w:val="single" w:color="000000" w:sz="4" w:space="0"/>
            </w:tcBorders>
            <w:noWrap/>
            <w:vAlign w:val="center"/>
          </w:tcPr>
          <w:p w14:paraId="5689384B">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联系人</w:t>
            </w:r>
          </w:p>
        </w:tc>
        <w:tc>
          <w:tcPr>
            <w:tcW w:w="7935" w:type="dxa"/>
            <w:tcBorders>
              <w:top w:val="single" w:color="000000" w:sz="4" w:space="0"/>
              <w:left w:val="single" w:color="000000" w:sz="4" w:space="0"/>
              <w:bottom w:val="single" w:color="000000" w:sz="4" w:space="0"/>
              <w:right w:val="single" w:color="000000" w:sz="4" w:space="0"/>
            </w:tcBorders>
            <w:noWrap/>
            <w:vAlign w:val="center"/>
          </w:tcPr>
          <w:p w14:paraId="58FED8CB">
            <w:pPr>
              <w:keepNext w:val="0"/>
              <w:keepLines w:val="0"/>
              <w:pageBreakBefore w:val="0"/>
              <w:kinsoku/>
              <w:wordWrap/>
              <w:overflowPunct/>
              <w:topLinePunct w:val="0"/>
              <w:autoSpaceDE/>
              <w:autoSpaceDN/>
              <w:bidi w:val="0"/>
              <w:adjustRightInd/>
              <w:snapToGrid/>
              <w:spacing w:after="0" w:line="360" w:lineRule="exact"/>
              <w:outlineLvl w:val="9"/>
              <w:rPr>
                <w:rFonts w:hint="eastAsia" w:ascii="宋体" w:hAnsi="宋体" w:eastAsia="宋体" w:cs="宋体"/>
                <w:b w:val="0"/>
                <w:bCs w:val="0"/>
                <w:i w:val="0"/>
                <w:iCs w:val="0"/>
                <w:color w:val="auto"/>
                <w:sz w:val="22"/>
                <w:szCs w:val="22"/>
                <w:highlight w:val="none"/>
                <w:u w:val="none"/>
              </w:rPr>
            </w:pPr>
          </w:p>
        </w:tc>
      </w:tr>
      <w:tr w14:paraId="326D3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72" w:type="dxa"/>
            <w:tcBorders>
              <w:top w:val="single" w:color="000000" w:sz="4" w:space="0"/>
              <w:left w:val="single" w:color="000000" w:sz="8" w:space="0"/>
              <w:bottom w:val="single" w:color="000000" w:sz="4" w:space="0"/>
              <w:right w:val="single" w:color="000000" w:sz="4" w:space="0"/>
            </w:tcBorders>
            <w:noWrap/>
            <w:vAlign w:val="center"/>
          </w:tcPr>
          <w:p w14:paraId="0AE9682F">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联系电话</w:t>
            </w:r>
          </w:p>
        </w:tc>
        <w:tc>
          <w:tcPr>
            <w:tcW w:w="7935" w:type="dxa"/>
            <w:tcBorders>
              <w:top w:val="single" w:color="000000" w:sz="4" w:space="0"/>
              <w:left w:val="single" w:color="000000" w:sz="4" w:space="0"/>
              <w:bottom w:val="single" w:color="000000" w:sz="4" w:space="0"/>
              <w:right w:val="single" w:color="000000" w:sz="4" w:space="0"/>
            </w:tcBorders>
            <w:noWrap/>
            <w:vAlign w:val="center"/>
          </w:tcPr>
          <w:p w14:paraId="385D8838">
            <w:pPr>
              <w:keepNext w:val="0"/>
              <w:keepLines w:val="0"/>
              <w:pageBreakBefore w:val="0"/>
              <w:kinsoku/>
              <w:wordWrap/>
              <w:overflowPunct/>
              <w:topLinePunct w:val="0"/>
              <w:autoSpaceDE/>
              <w:autoSpaceDN/>
              <w:bidi w:val="0"/>
              <w:adjustRightInd/>
              <w:snapToGrid/>
              <w:spacing w:after="0" w:line="360" w:lineRule="exact"/>
              <w:outlineLvl w:val="9"/>
              <w:rPr>
                <w:rFonts w:hint="eastAsia" w:ascii="宋体" w:hAnsi="宋体" w:eastAsia="宋体" w:cs="宋体"/>
                <w:b w:val="0"/>
                <w:bCs w:val="0"/>
                <w:i w:val="0"/>
                <w:iCs w:val="0"/>
                <w:color w:val="auto"/>
                <w:sz w:val="22"/>
                <w:szCs w:val="22"/>
                <w:highlight w:val="none"/>
                <w:u w:val="none"/>
              </w:rPr>
            </w:pPr>
          </w:p>
        </w:tc>
      </w:tr>
      <w:tr w14:paraId="788DC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72" w:type="dxa"/>
            <w:tcBorders>
              <w:top w:val="single" w:color="000000" w:sz="4" w:space="0"/>
              <w:left w:val="single" w:color="000000" w:sz="8" w:space="0"/>
              <w:bottom w:val="single" w:color="000000" w:sz="4" w:space="0"/>
              <w:right w:val="single" w:color="000000" w:sz="4" w:space="0"/>
            </w:tcBorders>
            <w:noWrap/>
            <w:vAlign w:val="center"/>
          </w:tcPr>
          <w:p w14:paraId="3E30CA11">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电子邮箱</w:t>
            </w:r>
          </w:p>
        </w:tc>
        <w:tc>
          <w:tcPr>
            <w:tcW w:w="7935" w:type="dxa"/>
            <w:tcBorders>
              <w:top w:val="single" w:color="000000" w:sz="4" w:space="0"/>
              <w:left w:val="single" w:color="000000" w:sz="4" w:space="0"/>
              <w:bottom w:val="single" w:color="000000" w:sz="4" w:space="0"/>
              <w:right w:val="single" w:color="000000" w:sz="4" w:space="0"/>
            </w:tcBorders>
            <w:noWrap/>
            <w:vAlign w:val="center"/>
          </w:tcPr>
          <w:p w14:paraId="7D0216A6">
            <w:pPr>
              <w:keepNext w:val="0"/>
              <w:keepLines w:val="0"/>
              <w:pageBreakBefore w:val="0"/>
              <w:kinsoku/>
              <w:wordWrap/>
              <w:overflowPunct/>
              <w:topLinePunct w:val="0"/>
              <w:autoSpaceDE/>
              <w:autoSpaceDN/>
              <w:bidi w:val="0"/>
              <w:adjustRightInd/>
              <w:snapToGrid/>
              <w:spacing w:after="0" w:line="360" w:lineRule="exact"/>
              <w:outlineLvl w:val="9"/>
              <w:rPr>
                <w:rFonts w:hint="eastAsia" w:ascii="宋体" w:hAnsi="宋体" w:eastAsia="宋体" w:cs="宋体"/>
                <w:b w:val="0"/>
                <w:bCs w:val="0"/>
                <w:i w:val="0"/>
                <w:iCs w:val="0"/>
                <w:color w:val="auto"/>
                <w:sz w:val="22"/>
                <w:szCs w:val="22"/>
                <w:highlight w:val="none"/>
                <w:u w:val="none"/>
              </w:rPr>
            </w:pPr>
          </w:p>
        </w:tc>
      </w:tr>
      <w:tr w14:paraId="1BDD4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72" w:type="dxa"/>
            <w:tcBorders>
              <w:top w:val="single" w:color="000000" w:sz="4" w:space="0"/>
              <w:left w:val="single" w:color="000000" w:sz="8" w:space="0"/>
              <w:bottom w:val="single" w:color="000000" w:sz="4" w:space="0"/>
              <w:right w:val="single" w:color="000000" w:sz="4" w:space="0"/>
            </w:tcBorders>
            <w:noWrap/>
            <w:vAlign w:val="center"/>
          </w:tcPr>
          <w:p w14:paraId="565930BA">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文件费售价</w:t>
            </w:r>
          </w:p>
        </w:tc>
        <w:tc>
          <w:tcPr>
            <w:tcW w:w="7935" w:type="dxa"/>
            <w:tcBorders>
              <w:top w:val="single" w:color="000000" w:sz="4" w:space="0"/>
              <w:left w:val="single" w:color="000000" w:sz="4" w:space="0"/>
              <w:bottom w:val="single" w:color="000000" w:sz="4" w:space="0"/>
              <w:right w:val="single" w:color="000000" w:sz="8" w:space="0"/>
            </w:tcBorders>
            <w:noWrap w:val="0"/>
            <w:vAlign w:val="center"/>
          </w:tcPr>
          <w:p w14:paraId="1EAF6597">
            <w:pPr>
              <w:keepNext w:val="0"/>
              <w:keepLines w:val="0"/>
              <w:pageBreakBefore w:val="0"/>
              <w:kinsoku/>
              <w:wordWrap/>
              <w:overflowPunct/>
              <w:topLinePunct w:val="0"/>
              <w:autoSpaceDE/>
              <w:autoSpaceDN/>
              <w:bidi w:val="0"/>
              <w:adjustRightInd/>
              <w:snapToGrid/>
              <w:spacing w:after="0" w:line="360" w:lineRule="exact"/>
              <w:jc w:val="center"/>
              <w:outlineLvl w:val="9"/>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lang w:val="en-US" w:eastAsia="zh-CN"/>
              </w:rPr>
              <w:t>300</w:t>
            </w:r>
            <w:r>
              <w:rPr>
                <w:rFonts w:hint="eastAsia" w:ascii="宋体" w:hAnsi="宋体" w:eastAsia="宋体" w:cs="宋体"/>
                <w:b w:val="0"/>
                <w:bCs w:val="0"/>
                <w:i w:val="0"/>
                <w:iCs w:val="0"/>
                <w:color w:val="auto"/>
                <w:sz w:val="22"/>
                <w:szCs w:val="22"/>
                <w:highlight w:val="none"/>
                <w:u w:val="none"/>
                <w:lang w:eastAsia="zh-CN"/>
              </w:rPr>
              <w:t>元/份，售后不退, 报名时由采购代理机构收取。</w:t>
            </w:r>
          </w:p>
        </w:tc>
      </w:tr>
      <w:tr w14:paraId="1C9D4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72" w:type="dxa"/>
            <w:tcBorders>
              <w:top w:val="single" w:color="000000" w:sz="4" w:space="0"/>
              <w:left w:val="single" w:color="000000" w:sz="8" w:space="0"/>
              <w:bottom w:val="single" w:color="000000" w:sz="4" w:space="0"/>
              <w:right w:val="single" w:color="000000" w:sz="4" w:space="0"/>
            </w:tcBorders>
            <w:noWrap/>
            <w:vAlign w:val="center"/>
          </w:tcPr>
          <w:p w14:paraId="69B293C7">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领取资料名称</w:t>
            </w:r>
          </w:p>
        </w:tc>
        <w:tc>
          <w:tcPr>
            <w:tcW w:w="7935" w:type="dxa"/>
            <w:tcBorders>
              <w:top w:val="single" w:color="000000" w:sz="4" w:space="0"/>
              <w:left w:val="single" w:color="000000" w:sz="4" w:space="0"/>
              <w:bottom w:val="single" w:color="000000" w:sz="4" w:space="0"/>
              <w:right w:val="single" w:color="000000" w:sz="4" w:space="0"/>
            </w:tcBorders>
            <w:noWrap/>
            <w:vAlign w:val="center"/>
          </w:tcPr>
          <w:p w14:paraId="00ED16E3">
            <w:pPr>
              <w:keepNext w:val="0"/>
              <w:keepLines w:val="0"/>
              <w:pageBreakBefore w:val="0"/>
              <w:kinsoku/>
              <w:wordWrap/>
              <w:overflowPunct/>
              <w:topLinePunct w:val="0"/>
              <w:autoSpaceDE/>
              <w:autoSpaceDN/>
              <w:bidi w:val="0"/>
              <w:adjustRightInd/>
              <w:snapToGrid/>
              <w:spacing w:after="0" w:line="360" w:lineRule="exact"/>
              <w:jc w:val="center"/>
              <w:outlineLvl w:val="9"/>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eastAsia="宋体" w:cs="宋体"/>
                <w:b w:val="0"/>
                <w:bCs w:val="0"/>
                <w:i w:val="0"/>
                <w:iCs w:val="0"/>
                <w:color w:val="auto"/>
                <w:sz w:val="22"/>
                <w:szCs w:val="22"/>
                <w:highlight w:val="none"/>
                <w:u w:val="none"/>
                <w:lang w:val="en-US" w:eastAsia="zh-CN"/>
              </w:rPr>
              <w:t>竞争性磋商文件</w:t>
            </w:r>
          </w:p>
        </w:tc>
      </w:tr>
      <w:tr w14:paraId="41D33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72" w:type="dxa"/>
            <w:tcBorders>
              <w:top w:val="single" w:color="000000" w:sz="4" w:space="0"/>
              <w:left w:val="single" w:color="000000" w:sz="8" w:space="0"/>
              <w:bottom w:val="single" w:color="000000" w:sz="8" w:space="0"/>
              <w:right w:val="single" w:color="000000" w:sz="4" w:space="0"/>
            </w:tcBorders>
            <w:noWrap/>
            <w:vAlign w:val="center"/>
          </w:tcPr>
          <w:p w14:paraId="752A55D6">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outlineLvl w:val="9"/>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报名时间</w:t>
            </w:r>
          </w:p>
        </w:tc>
        <w:tc>
          <w:tcPr>
            <w:tcW w:w="7935" w:type="dxa"/>
            <w:tcBorders>
              <w:top w:val="single" w:color="000000" w:sz="4" w:space="0"/>
              <w:left w:val="single" w:color="000000" w:sz="4" w:space="0"/>
              <w:bottom w:val="single" w:color="000000" w:sz="8" w:space="0"/>
              <w:right w:val="single" w:color="000000" w:sz="8" w:space="0"/>
            </w:tcBorders>
            <w:noWrap/>
            <w:vAlign w:val="center"/>
          </w:tcPr>
          <w:p w14:paraId="28DD8E1F">
            <w:pPr>
              <w:keepNext w:val="0"/>
              <w:keepLines w:val="0"/>
              <w:pageBreakBefore w:val="0"/>
              <w:kinsoku/>
              <w:wordWrap/>
              <w:overflowPunct/>
              <w:topLinePunct w:val="0"/>
              <w:autoSpaceDE/>
              <w:autoSpaceDN/>
              <w:bidi w:val="0"/>
              <w:adjustRightInd/>
              <w:snapToGrid/>
              <w:spacing w:after="0" w:line="360" w:lineRule="exact"/>
              <w:jc w:val="center"/>
              <w:outlineLvl w:val="9"/>
              <w:rPr>
                <w:rFonts w:hint="eastAsia" w:ascii="宋体" w:hAnsi="宋体" w:eastAsia="宋体" w:cs="宋体"/>
                <w:b w:val="0"/>
                <w:bCs w:val="0"/>
                <w:i w:val="0"/>
                <w:iCs w:val="0"/>
                <w:color w:val="auto"/>
                <w:sz w:val="22"/>
                <w:szCs w:val="22"/>
                <w:highlight w:val="none"/>
                <w:u w:val="none"/>
              </w:rPr>
            </w:pPr>
          </w:p>
        </w:tc>
      </w:tr>
    </w:tbl>
    <w:p w14:paraId="7A8BF539">
      <w:pPr>
        <w:pageBreakBefore w:val="0"/>
        <w:kinsoku/>
        <w:wordWrap/>
        <w:overflowPunct/>
        <w:autoSpaceDE/>
        <w:autoSpaceDN/>
        <w:bidi w:val="0"/>
        <w:snapToGrid/>
        <w:spacing w:line="460" w:lineRule="exact"/>
        <w:textAlignment w:val="auto"/>
        <w:rPr>
          <w:rFonts w:hint="eastAsia" w:ascii="宋体" w:hAnsi="宋体" w:eastAsia="宋体" w:cs="宋体"/>
          <w:b/>
          <w:color w:val="auto"/>
          <w:kern w:val="44"/>
          <w:sz w:val="32"/>
          <w:szCs w:val="32"/>
          <w:highlight w:val="none"/>
        </w:rPr>
      </w:pPr>
      <w:r>
        <w:rPr>
          <w:rFonts w:hint="eastAsia" w:ascii="宋体" w:hAnsi="宋体" w:eastAsia="宋体" w:cs="宋体"/>
          <w:b/>
          <w:color w:val="auto"/>
          <w:kern w:val="44"/>
          <w:sz w:val="32"/>
          <w:szCs w:val="32"/>
          <w:highlight w:val="none"/>
        </w:rPr>
        <w:br w:type="page"/>
      </w:r>
    </w:p>
    <w:p w14:paraId="71C9B653">
      <w:pPr>
        <w:numPr>
          <w:ilvl w:val="0"/>
          <w:numId w:val="3"/>
        </w:numPr>
        <w:spacing w:after="156" w:afterLines="50" w:line="360" w:lineRule="auto"/>
        <w:jc w:val="center"/>
        <w:outlineLvl w:val="0"/>
        <w:rPr>
          <w:rFonts w:hint="eastAsia" w:ascii="宋体" w:hAnsi="宋体" w:eastAsia="宋体" w:cs="宋体"/>
          <w:b/>
          <w:bCs/>
          <w:color w:val="auto"/>
          <w:sz w:val="32"/>
          <w:szCs w:val="32"/>
          <w:highlight w:val="none"/>
        </w:rPr>
      </w:pPr>
      <w:bookmarkStart w:id="75" w:name="_Toc31751"/>
      <w:bookmarkStart w:id="76" w:name="_Toc21971"/>
      <w:bookmarkStart w:id="77" w:name="_Toc29242"/>
      <w:bookmarkStart w:id="78" w:name="_Toc25827"/>
      <w:bookmarkStart w:id="79" w:name="_Toc11306"/>
      <w:r>
        <w:rPr>
          <w:rFonts w:hint="eastAsia" w:ascii="宋体" w:hAnsi="宋体" w:eastAsia="宋体" w:cs="宋体"/>
          <w:b/>
          <w:bCs/>
          <w:color w:val="auto"/>
          <w:sz w:val="32"/>
          <w:szCs w:val="32"/>
          <w:highlight w:val="none"/>
        </w:rPr>
        <w:t xml:space="preserve"> </w:t>
      </w:r>
      <w:bookmarkStart w:id="80" w:name="_Toc5301"/>
      <w:bookmarkStart w:id="81" w:name="_Toc19587"/>
      <w:bookmarkStart w:id="82" w:name="_Toc25766"/>
      <w:r>
        <w:rPr>
          <w:rFonts w:hint="eastAsia" w:ascii="宋体" w:hAnsi="宋体" w:eastAsia="宋体" w:cs="宋体"/>
          <w:b/>
          <w:bCs/>
          <w:color w:val="auto"/>
          <w:sz w:val="32"/>
          <w:szCs w:val="32"/>
          <w:highlight w:val="none"/>
        </w:rPr>
        <w:t>供应商须知</w:t>
      </w:r>
      <w:bookmarkEnd w:id="80"/>
      <w:bookmarkEnd w:id="81"/>
      <w:bookmarkEnd w:id="82"/>
    </w:p>
    <w:p w14:paraId="23CCBA13">
      <w:pPr>
        <w:numPr>
          <w:ilvl w:val="0"/>
          <w:numId w:val="0"/>
        </w:numPr>
        <w:spacing w:after="156" w:afterLines="50" w:line="360" w:lineRule="auto"/>
        <w:jc w:val="center"/>
        <w:outlineLvl w:val="0"/>
        <w:rPr>
          <w:rFonts w:hint="eastAsia" w:ascii="宋体" w:hAnsi="宋体" w:eastAsia="宋体" w:cs="宋体"/>
          <w:b/>
          <w:bCs/>
          <w:color w:val="auto"/>
          <w:sz w:val="28"/>
          <w:szCs w:val="28"/>
          <w:highlight w:val="none"/>
          <w:lang w:eastAsia="zh-CN"/>
        </w:rPr>
      </w:pPr>
      <w:bookmarkStart w:id="83" w:name="_Toc5019"/>
      <w:bookmarkStart w:id="84" w:name="_Toc10469"/>
      <w:bookmarkStart w:id="85" w:name="_Toc2968"/>
      <w:r>
        <w:rPr>
          <w:rFonts w:hint="eastAsia" w:ascii="宋体" w:hAnsi="宋体" w:eastAsia="宋体" w:cs="宋体"/>
          <w:b/>
          <w:bCs/>
          <w:color w:val="auto"/>
          <w:sz w:val="28"/>
          <w:szCs w:val="28"/>
          <w:highlight w:val="none"/>
        </w:rPr>
        <w:t>供应商须知</w:t>
      </w:r>
      <w:r>
        <w:rPr>
          <w:rFonts w:hint="eastAsia" w:ascii="宋体" w:hAnsi="宋体" w:eastAsia="宋体" w:cs="宋体"/>
          <w:b/>
          <w:bCs/>
          <w:color w:val="auto"/>
          <w:sz w:val="28"/>
          <w:szCs w:val="28"/>
          <w:highlight w:val="none"/>
          <w:lang w:eastAsia="zh-CN"/>
        </w:rPr>
        <w:t>前附表</w:t>
      </w:r>
      <w:bookmarkEnd w:id="83"/>
      <w:bookmarkEnd w:id="84"/>
      <w:bookmarkEnd w:id="85"/>
    </w:p>
    <w:tbl>
      <w:tblPr>
        <w:tblStyle w:val="67"/>
        <w:tblW w:w="92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3"/>
        <w:gridCol w:w="1677"/>
        <w:gridCol w:w="6582"/>
      </w:tblGrid>
      <w:tr w14:paraId="35AAC3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jc w:val="center"/>
        </w:trPr>
        <w:tc>
          <w:tcPr>
            <w:tcW w:w="953" w:type="dxa"/>
            <w:noWrap w:val="0"/>
            <w:vAlign w:val="center"/>
          </w:tcPr>
          <w:p w14:paraId="67553810">
            <w:pPr>
              <w:pStyle w:val="51"/>
              <w:spacing w:before="147" w:line="219" w:lineRule="auto"/>
              <w:ind w:left="124"/>
              <w:jc w:val="both"/>
              <w:rPr>
                <w:color w:val="auto"/>
                <w:sz w:val="21"/>
                <w:szCs w:val="21"/>
                <w:highlight w:val="none"/>
              </w:rPr>
            </w:pPr>
            <w:r>
              <w:rPr>
                <w:color w:val="auto"/>
                <w:spacing w:val="-4"/>
                <w:sz w:val="21"/>
                <w:szCs w:val="21"/>
                <w:highlight w:val="none"/>
              </w:rPr>
              <w:t>条款号</w:t>
            </w:r>
          </w:p>
        </w:tc>
        <w:tc>
          <w:tcPr>
            <w:tcW w:w="1677" w:type="dxa"/>
            <w:noWrap w:val="0"/>
            <w:vAlign w:val="center"/>
          </w:tcPr>
          <w:p w14:paraId="3F93C493">
            <w:pPr>
              <w:pStyle w:val="51"/>
              <w:spacing w:before="147" w:line="219" w:lineRule="auto"/>
              <w:ind w:left="229"/>
              <w:jc w:val="both"/>
              <w:rPr>
                <w:color w:val="auto"/>
                <w:sz w:val="21"/>
                <w:szCs w:val="21"/>
                <w:highlight w:val="none"/>
              </w:rPr>
            </w:pPr>
            <w:r>
              <w:rPr>
                <w:color w:val="auto"/>
                <w:spacing w:val="-9"/>
                <w:sz w:val="21"/>
                <w:szCs w:val="21"/>
                <w:highlight w:val="none"/>
              </w:rPr>
              <w:t>条</w:t>
            </w:r>
            <w:r>
              <w:rPr>
                <w:color w:val="auto"/>
                <w:spacing w:val="11"/>
                <w:sz w:val="21"/>
                <w:szCs w:val="21"/>
                <w:highlight w:val="none"/>
              </w:rPr>
              <w:t xml:space="preserve"> </w:t>
            </w:r>
            <w:r>
              <w:rPr>
                <w:color w:val="auto"/>
                <w:spacing w:val="-9"/>
                <w:sz w:val="21"/>
                <w:szCs w:val="21"/>
                <w:highlight w:val="none"/>
              </w:rPr>
              <w:t>款</w:t>
            </w:r>
            <w:r>
              <w:rPr>
                <w:color w:val="auto"/>
                <w:spacing w:val="12"/>
                <w:sz w:val="21"/>
                <w:szCs w:val="21"/>
                <w:highlight w:val="none"/>
              </w:rPr>
              <w:t xml:space="preserve"> </w:t>
            </w:r>
            <w:r>
              <w:rPr>
                <w:color w:val="auto"/>
                <w:spacing w:val="-9"/>
                <w:sz w:val="21"/>
                <w:szCs w:val="21"/>
                <w:highlight w:val="none"/>
              </w:rPr>
              <w:t>名</w:t>
            </w:r>
            <w:r>
              <w:rPr>
                <w:color w:val="auto"/>
                <w:spacing w:val="9"/>
                <w:sz w:val="21"/>
                <w:szCs w:val="21"/>
                <w:highlight w:val="none"/>
              </w:rPr>
              <w:t xml:space="preserve"> </w:t>
            </w:r>
            <w:r>
              <w:rPr>
                <w:color w:val="auto"/>
                <w:spacing w:val="-9"/>
                <w:sz w:val="21"/>
                <w:szCs w:val="21"/>
                <w:highlight w:val="none"/>
              </w:rPr>
              <w:t>称</w:t>
            </w:r>
          </w:p>
        </w:tc>
        <w:tc>
          <w:tcPr>
            <w:tcW w:w="6582" w:type="dxa"/>
            <w:noWrap w:val="0"/>
            <w:vAlign w:val="center"/>
          </w:tcPr>
          <w:p w14:paraId="3693AF4C">
            <w:pPr>
              <w:pStyle w:val="51"/>
              <w:spacing w:before="147" w:line="219" w:lineRule="auto"/>
              <w:ind w:left="2018"/>
              <w:jc w:val="both"/>
              <w:rPr>
                <w:color w:val="auto"/>
                <w:sz w:val="21"/>
                <w:szCs w:val="21"/>
                <w:highlight w:val="none"/>
              </w:rPr>
            </w:pPr>
            <w:r>
              <w:rPr>
                <w:color w:val="auto"/>
                <w:spacing w:val="-16"/>
                <w:sz w:val="21"/>
                <w:szCs w:val="21"/>
                <w:highlight w:val="none"/>
              </w:rPr>
              <w:t>编</w:t>
            </w:r>
            <w:r>
              <w:rPr>
                <w:color w:val="auto"/>
                <w:spacing w:val="7"/>
                <w:sz w:val="21"/>
                <w:szCs w:val="21"/>
                <w:highlight w:val="none"/>
              </w:rPr>
              <w:t xml:space="preserve">  </w:t>
            </w:r>
            <w:r>
              <w:rPr>
                <w:color w:val="auto"/>
                <w:spacing w:val="-16"/>
                <w:sz w:val="21"/>
                <w:szCs w:val="21"/>
                <w:highlight w:val="none"/>
              </w:rPr>
              <w:t>列</w:t>
            </w:r>
            <w:r>
              <w:rPr>
                <w:color w:val="auto"/>
                <w:spacing w:val="19"/>
                <w:sz w:val="21"/>
                <w:szCs w:val="21"/>
                <w:highlight w:val="none"/>
              </w:rPr>
              <w:t xml:space="preserve">  </w:t>
            </w:r>
            <w:r>
              <w:rPr>
                <w:color w:val="auto"/>
                <w:spacing w:val="-16"/>
                <w:sz w:val="21"/>
                <w:szCs w:val="21"/>
                <w:highlight w:val="none"/>
              </w:rPr>
              <w:t>内</w:t>
            </w:r>
            <w:r>
              <w:rPr>
                <w:color w:val="auto"/>
                <w:spacing w:val="6"/>
                <w:sz w:val="21"/>
                <w:szCs w:val="21"/>
                <w:highlight w:val="none"/>
              </w:rPr>
              <w:t xml:space="preserve">  </w:t>
            </w:r>
            <w:r>
              <w:rPr>
                <w:color w:val="auto"/>
                <w:spacing w:val="-16"/>
                <w:sz w:val="21"/>
                <w:szCs w:val="21"/>
                <w:highlight w:val="none"/>
              </w:rPr>
              <w:t>容</w:t>
            </w:r>
          </w:p>
        </w:tc>
      </w:tr>
      <w:tr w14:paraId="13698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953" w:type="dxa"/>
            <w:noWrap w:val="0"/>
            <w:vAlign w:val="center"/>
          </w:tcPr>
          <w:p w14:paraId="720D1A6E">
            <w:pPr>
              <w:pStyle w:val="51"/>
              <w:spacing w:before="78" w:line="184" w:lineRule="auto"/>
              <w:jc w:val="center"/>
              <w:rPr>
                <w:color w:val="auto"/>
                <w:sz w:val="21"/>
                <w:szCs w:val="21"/>
                <w:highlight w:val="none"/>
              </w:rPr>
            </w:pPr>
            <w:r>
              <w:rPr>
                <w:color w:val="auto"/>
                <w:sz w:val="21"/>
                <w:szCs w:val="21"/>
                <w:highlight w:val="none"/>
              </w:rPr>
              <w:t>1</w:t>
            </w:r>
          </w:p>
        </w:tc>
        <w:tc>
          <w:tcPr>
            <w:tcW w:w="1677" w:type="dxa"/>
            <w:noWrap w:val="0"/>
            <w:vAlign w:val="center"/>
          </w:tcPr>
          <w:p w14:paraId="42E2FCCB">
            <w:pPr>
              <w:pStyle w:val="51"/>
              <w:spacing w:before="78" w:line="220" w:lineRule="auto"/>
              <w:jc w:val="center"/>
              <w:rPr>
                <w:color w:val="auto"/>
                <w:sz w:val="21"/>
                <w:szCs w:val="21"/>
                <w:highlight w:val="none"/>
              </w:rPr>
            </w:pPr>
            <w:r>
              <w:rPr>
                <w:color w:val="auto"/>
                <w:spacing w:val="-4"/>
                <w:sz w:val="21"/>
                <w:szCs w:val="21"/>
                <w:highlight w:val="none"/>
              </w:rPr>
              <w:t>项目名称</w:t>
            </w:r>
          </w:p>
        </w:tc>
        <w:tc>
          <w:tcPr>
            <w:tcW w:w="6582" w:type="dxa"/>
            <w:noWrap w:val="0"/>
            <w:vAlign w:val="center"/>
          </w:tcPr>
          <w:p w14:paraId="0FDFB686">
            <w:pPr>
              <w:pStyle w:val="51"/>
              <w:spacing w:before="143" w:line="279" w:lineRule="auto"/>
              <w:ind w:right="110"/>
              <w:jc w:val="left"/>
              <w:rPr>
                <w:rFonts w:hint="eastAsia" w:eastAsia="宋体"/>
                <w:color w:val="auto"/>
                <w:sz w:val="21"/>
                <w:szCs w:val="21"/>
                <w:highlight w:val="none"/>
                <w:lang w:eastAsia="zh-CN"/>
              </w:rPr>
            </w:pPr>
            <w:r>
              <w:rPr>
                <w:rFonts w:hint="eastAsia"/>
                <w:color w:val="auto"/>
                <w:spacing w:val="-1"/>
                <w:sz w:val="21"/>
                <w:szCs w:val="21"/>
                <w:highlight w:val="none"/>
                <w:lang w:eastAsia="zh-CN"/>
              </w:rPr>
              <w:t>中华人民共和国畹町出入境边防检查站2025年度公务用车维修服务定点协议单位采购项目（二次）；</w:t>
            </w:r>
          </w:p>
        </w:tc>
      </w:tr>
      <w:tr w14:paraId="443E1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53" w:type="dxa"/>
            <w:noWrap w:val="0"/>
            <w:vAlign w:val="center"/>
          </w:tcPr>
          <w:p w14:paraId="4EE5B483">
            <w:pPr>
              <w:pStyle w:val="51"/>
              <w:spacing w:before="183" w:line="183" w:lineRule="auto"/>
              <w:ind w:left="425"/>
              <w:jc w:val="both"/>
              <w:rPr>
                <w:color w:val="auto"/>
                <w:sz w:val="21"/>
                <w:szCs w:val="21"/>
                <w:highlight w:val="none"/>
              </w:rPr>
            </w:pPr>
            <w:r>
              <w:rPr>
                <w:color w:val="auto"/>
                <w:sz w:val="21"/>
                <w:szCs w:val="21"/>
                <w:highlight w:val="none"/>
              </w:rPr>
              <w:t>2</w:t>
            </w:r>
          </w:p>
        </w:tc>
        <w:tc>
          <w:tcPr>
            <w:tcW w:w="1677" w:type="dxa"/>
            <w:noWrap w:val="0"/>
            <w:vAlign w:val="center"/>
          </w:tcPr>
          <w:p w14:paraId="11A6DCA7">
            <w:pPr>
              <w:pStyle w:val="51"/>
              <w:spacing w:before="144" w:line="219" w:lineRule="auto"/>
              <w:ind w:left="406"/>
              <w:jc w:val="both"/>
              <w:rPr>
                <w:color w:val="auto"/>
                <w:sz w:val="21"/>
                <w:szCs w:val="21"/>
                <w:highlight w:val="none"/>
              </w:rPr>
            </w:pPr>
            <w:r>
              <w:rPr>
                <w:color w:val="auto"/>
                <w:spacing w:val="-3"/>
                <w:sz w:val="21"/>
                <w:szCs w:val="21"/>
                <w:highlight w:val="none"/>
              </w:rPr>
              <w:t>采购预算</w:t>
            </w:r>
          </w:p>
        </w:tc>
        <w:tc>
          <w:tcPr>
            <w:tcW w:w="6582" w:type="dxa"/>
            <w:noWrap w:val="0"/>
            <w:vAlign w:val="center"/>
          </w:tcPr>
          <w:p w14:paraId="28588BD5">
            <w:pPr>
              <w:pStyle w:val="51"/>
              <w:spacing w:before="224" w:line="325" w:lineRule="auto"/>
              <w:ind w:left="9" w:right="22" w:hanging="3"/>
              <w:jc w:val="both"/>
              <w:rPr>
                <w:rFonts w:ascii="宋体" w:hAnsi="宋体" w:eastAsia="宋体" w:cs="宋体"/>
                <w:color w:val="auto"/>
                <w:spacing w:val="-3"/>
                <w:sz w:val="21"/>
                <w:szCs w:val="21"/>
                <w:highlight w:val="none"/>
              </w:rPr>
            </w:pPr>
            <w:r>
              <w:rPr>
                <w:rFonts w:hint="eastAsia" w:cs="宋体"/>
                <w:color w:val="auto"/>
                <w:spacing w:val="-3"/>
                <w:sz w:val="21"/>
                <w:szCs w:val="21"/>
                <w:highlight w:val="none"/>
                <w:lang w:val="en-US" w:eastAsia="zh-CN"/>
              </w:rPr>
              <w:t>280000.00元</w:t>
            </w:r>
            <w:r>
              <w:rPr>
                <w:rFonts w:hint="eastAsia" w:ascii="宋体" w:hAnsi="宋体" w:eastAsia="宋体" w:cs="宋体"/>
                <w:color w:val="auto"/>
                <w:spacing w:val="-3"/>
                <w:sz w:val="21"/>
                <w:szCs w:val="21"/>
                <w:highlight w:val="none"/>
                <w:lang w:val="en-US" w:eastAsia="zh-CN"/>
              </w:rPr>
              <w:t>；</w:t>
            </w:r>
          </w:p>
        </w:tc>
      </w:tr>
      <w:tr w14:paraId="0AD28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9" w:hRule="atLeast"/>
          <w:jc w:val="center"/>
        </w:trPr>
        <w:tc>
          <w:tcPr>
            <w:tcW w:w="953" w:type="dxa"/>
            <w:noWrap w:val="0"/>
            <w:vAlign w:val="center"/>
          </w:tcPr>
          <w:p w14:paraId="738E500C">
            <w:pPr>
              <w:spacing w:line="422" w:lineRule="auto"/>
              <w:jc w:val="both"/>
              <w:rPr>
                <w:rFonts w:ascii="Arial"/>
                <w:color w:val="auto"/>
                <w:sz w:val="21"/>
                <w:szCs w:val="21"/>
                <w:highlight w:val="none"/>
              </w:rPr>
            </w:pPr>
          </w:p>
          <w:p w14:paraId="07B4DBA8">
            <w:pPr>
              <w:pStyle w:val="51"/>
              <w:spacing w:before="78" w:line="183" w:lineRule="auto"/>
              <w:ind w:left="421"/>
              <w:jc w:val="both"/>
              <w:rPr>
                <w:rFonts w:hint="eastAsia" w:eastAsia="宋体"/>
                <w:color w:val="auto"/>
                <w:sz w:val="21"/>
                <w:szCs w:val="21"/>
                <w:highlight w:val="none"/>
                <w:lang w:eastAsia="zh-CN"/>
              </w:rPr>
            </w:pPr>
            <w:r>
              <w:rPr>
                <w:rFonts w:hint="eastAsia"/>
                <w:color w:val="auto"/>
                <w:sz w:val="21"/>
                <w:szCs w:val="21"/>
                <w:highlight w:val="none"/>
                <w:lang w:val="en-US" w:eastAsia="zh-CN"/>
              </w:rPr>
              <w:t>3</w:t>
            </w:r>
          </w:p>
        </w:tc>
        <w:tc>
          <w:tcPr>
            <w:tcW w:w="1677" w:type="dxa"/>
            <w:noWrap w:val="0"/>
            <w:vAlign w:val="center"/>
          </w:tcPr>
          <w:p w14:paraId="32CB2CC9">
            <w:pPr>
              <w:pStyle w:val="51"/>
              <w:spacing w:before="78" w:line="219" w:lineRule="auto"/>
              <w:jc w:val="center"/>
              <w:rPr>
                <w:color w:val="auto"/>
                <w:sz w:val="21"/>
                <w:szCs w:val="21"/>
                <w:highlight w:val="none"/>
              </w:rPr>
            </w:pPr>
            <w:r>
              <w:rPr>
                <w:color w:val="auto"/>
                <w:spacing w:val="-3"/>
                <w:sz w:val="21"/>
                <w:szCs w:val="21"/>
                <w:highlight w:val="none"/>
              </w:rPr>
              <w:t>采购需求</w:t>
            </w:r>
          </w:p>
        </w:tc>
        <w:tc>
          <w:tcPr>
            <w:tcW w:w="6582" w:type="dxa"/>
            <w:noWrap w:val="0"/>
            <w:vAlign w:val="center"/>
          </w:tcPr>
          <w:p w14:paraId="7AE93750">
            <w:pPr>
              <w:pStyle w:val="51"/>
              <w:spacing w:before="224" w:line="325" w:lineRule="auto"/>
              <w:ind w:left="9" w:right="22" w:hanging="3"/>
              <w:jc w:val="both"/>
              <w:rPr>
                <w:rFonts w:hint="eastAsia" w:eastAsia="宋体"/>
                <w:color w:val="auto"/>
                <w:sz w:val="21"/>
                <w:szCs w:val="21"/>
                <w:highlight w:val="none"/>
                <w:lang w:eastAsia="zh-CN"/>
              </w:rPr>
            </w:pPr>
            <w:r>
              <w:rPr>
                <w:rFonts w:hint="eastAsia"/>
                <w:color w:val="auto"/>
                <w:spacing w:val="-1"/>
                <w:sz w:val="21"/>
                <w:szCs w:val="21"/>
                <w:highlight w:val="none"/>
                <w:lang w:eastAsia="zh-CN"/>
              </w:rPr>
              <w:t>对畹町出入境边防检查站在三个片区内58辆公务车辆提供日常基础保养及维修，并在片区内提供免费救援服务；</w:t>
            </w:r>
          </w:p>
        </w:tc>
      </w:tr>
      <w:tr w14:paraId="7C982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jc w:val="center"/>
        </w:trPr>
        <w:tc>
          <w:tcPr>
            <w:tcW w:w="953" w:type="dxa"/>
            <w:noWrap w:val="0"/>
            <w:vAlign w:val="center"/>
          </w:tcPr>
          <w:p w14:paraId="5C35D00D">
            <w:pPr>
              <w:pStyle w:val="51"/>
              <w:spacing w:before="78" w:line="182" w:lineRule="auto"/>
              <w:ind w:left="427"/>
              <w:jc w:val="both"/>
              <w:rPr>
                <w:rFonts w:hint="eastAsia" w:eastAsia="宋体"/>
                <w:color w:val="auto"/>
                <w:sz w:val="21"/>
                <w:szCs w:val="21"/>
                <w:highlight w:val="none"/>
                <w:lang w:eastAsia="zh-CN"/>
              </w:rPr>
            </w:pPr>
            <w:r>
              <w:rPr>
                <w:rFonts w:hint="eastAsia"/>
                <w:color w:val="auto"/>
                <w:sz w:val="21"/>
                <w:szCs w:val="21"/>
                <w:highlight w:val="none"/>
                <w:lang w:val="en-US" w:eastAsia="zh-CN"/>
              </w:rPr>
              <w:t>4</w:t>
            </w:r>
          </w:p>
        </w:tc>
        <w:tc>
          <w:tcPr>
            <w:tcW w:w="1677" w:type="dxa"/>
            <w:noWrap w:val="0"/>
            <w:vAlign w:val="center"/>
          </w:tcPr>
          <w:p w14:paraId="0D995534">
            <w:pPr>
              <w:pStyle w:val="51"/>
              <w:spacing w:before="78" w:line="220" w:lineRule="auto"/>
              <w:jc w:val="center"/>
              <w:rPr>
                <w:color w:val="auto"/>
                <w:sz w:val="21"/>
                <w:szCs w:val="21"/>
                <w:highlight w:val="none"/>
              </w:rPr>
            </w:pPr>
            <w:r>
              <w:rPr>
                <w:color w:val="auto"/>
                <w:spacing w:val="-2"/>
                <w:sz w:val="21"/>
                <w:szCs w:val="21"/>
                <w:highlight w:val="none"/>
              </w:rPr>
              <w:t>合同履行期限</w:t>
            </w:r>
          </w:p>
        </w:tc>
        <w:tc>
          <w:tcPr>
            <w:tcW w:w="6582" w:type="dxa"/>
            <w:noWrap w:val="0"/>
            <w:vAlign w:val="center"/>
          </w:tcPr>
          <w:p w14:paraId="58915C9A">
            <w:pPr>
              <w:pStyle w:val="51"/>
              <w:spacing w:before="147" w:line="278" w:lineRule="auto"/>
              <w:ind w:left="10" w:hanging="2"/>
              <w:jc w:val="both"/>
              <w:rPr>
                <w:rFonts w:hint="eastAsia" w:eastAsia="宋体"/>
                <w:color w:val="auto"/>
                <w:sz w:val="21"/>
                <w:szCs w:val="21"/>
                <w:highlight w:val="none"/>
                <w:lang w:eastAsia="zh-CN"/>
              </w:rPr>
            </w:pPr>
            <w:r>
              <w:rPr>
                <w:rFonts w:hint="eastAsia"/>
                <w:color w:val="auto"/>
                <w:sz w:val="21"/>
                <w:szCs w:val="21"/>
                <w:highlight w:val="none"/>
                <w:lang w:eastAsia="zh-CN"/>
              </w:rPr>
              <w:t>合同签订之日起，服务期限满1年(维修费用以实际发生为准)；</w:t>
            </w:r>
          </w:p>
        </w:tc>
      </w:tr>
      <w:tr w14:paraId="5A2C0D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53" w:type="dxa"/>
            <w:noWrap w:val="0"/>
            <w:vAlign w:val="center"/>
          </w:tcPr>
          <w:p w14:paraId="6EEA4492">
            <w:pPr>
              <w:pStyle w:val="51"/>
              <w:spacing w:before="78" w:line="183" w:lineRule="auto"/>
              <w:jc w:val="center"/>
              <w:rPr>
                <w:rFonts w:hint="eastAsia" w:eastAsia="宋体"/>
                <w:color w:val="auto"/>
                <w:sz w:val="21"/>
                <w:szCs w:val="21"/>
                <w:highlight w:val="none"/>
                <w:lang w:eastAsia="zh-CN"/>
              </w:rPr>
            </w:pPr>
            <w:r>
              <w:rPr>
                <w:rFonts w:hint="eastAsia"/>
                <w:color w:val="auto"/>
                <w:sz w:val="21"/>
                <w:szCs w:val="21"/>
                <w:highlight w:val="none"/>
                <w:lang w:val="en-US" w:eastAsia="zh-CN"/>
              </w:rPr>
              <w:t>5</w:t>
            </w:r>
          </w:p>
        </w:tc>
        <w:tc>
          <w:tcPr>
            <w:tcW w:w="1677" w:type="dxa"/>
            <w:noWrap w:val="0"/>
            <w:vAlign w:val="center"/>
          </w:tcPr>
          <w:p w14:paraId="6A9B1030">
            <w:pPr>
              <w:pStyle w:val="51"/>
              <w:spacing w:before="78" w:line="219" w:lineRule="auto"/>
              <w:jc w:val="center"/>
              <w:rPr>
                <w:rFonts w:ascii="宋体" w:hAnsi="宋体" w:eastAsia="宋体" w:cs="宋体"/>
                <w:color w:val="auto"/>
                <w:spacing w:val="-3"/>
                <w:sz w:val="21"/>
                <w:szCs w:val="21"/>
                <w:highlight w:val="none"/>
              </w:rPr>
            </w:pPr>
            <w:r>
              <w:rPr>
                <w:rFonts w:ascii="宋体" w:hAnsi="宋体" w:eastAsia="宋体" w:cs="宋体"/>
                <w:color w:val="auto"/>
                <w:spacing w:val="-3"/>
                <w:sz w:val="21"/>
                <w:szCs w:val="21"/>
                <w:highlight w:val="none"/>
              </w:rPr>
              <w:t>服务质量要求</w:t>
            </w:r>
          </w:p>
        </w:tc>
        <w:tc>
          <w:tcPr>
            <w:tcW w:w="6582" w:type="dxa"/>
            <w:noWrap w:val="0"/>
            <w:vAlign w:val="center"/>
          </w:tcPr>
          <w:p w14:paraId="7FCC5BE5">
            <w:pPr>
              <w:pStyle w:val="51"/>
              <w:spacing w:before="78" w:line="219" w:lineRule="auto"/>
              <w:jc w:val="both"/>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保证修车质量和快速维修，到店优先修理，片区范围内提供免费救援服务；服务质量须达到现行中华人民共和国以及省、自治区、直辖市或行业的相关标准、规范的要求；严格遵照国家或行业有关标准、规范执行；</w:t>
            </w:r>
          </w:p>
        </w:tc>
      </w:tr>
      <w:tr w14:paraId="7D7DB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953" w:type="dxa"/>
            <w:noWrap w:val="0"/>
            <w:vAlign w:val="center"/>
          </w:tcPr>
          <w:p w14:paraId="0BEAECB5">
            <w:pPr>
              <w:pStyle w:val="51"/>
              <w:spacing w:before="239" w:line="182" w:lineRule="auto"/>
              <w:ind w:left="428"/>
              <w:jc w:val="both"/>
              <w:rPr>
                <w:rFonts w:hint="eastAsia" w:eastAsia="宋体"/>
                <w:color w:val="auto"/>
                <w:sz w:val="21"/>
                <w:szCs w:val="21"/>
                <w:highlight w:val="none"/>
                <w:lang w:eastAsia="zh-CN"/>
              </w:rPr>
            </w:pPr>
            <w:r>
              <w:rPr>
                <w:rFonts w:hint="eastAsia"/>
                <w:color w:val="auto"/>
                <w:sz w:val="21"/>
                <w:szCs w:val="21"/>
                <w:highlight w:val="none"/>
                <w:lang w:val="en-US" w:eastAsia="zh-CN"/>
              </w:rPr>
              <w:t>6</w:t>
            </w:r>
          </w:p>
        </w:tc>
        <w:tc>
          <w:tcPr>
            <w:tcW w:w="1677" w:type="dxa"/>
            <w:noWrap w:val="0"/>
            <w:vAlign w:val="center"/>
          </w:tcPr>
          <w:p w14:paraId="2E4F8879">
            <w:pPr>
              <w:pStyle w:val="51"/>
              <w:spacing w:before="201" w:line="219" w:lineRule="auto"/>
              <w:jc w:val="center"/>
              <w:rPr>
                <w:color w:val="auto"/>
                <w:sz w:val="21"/>
                <w:szCs w:val="21"/>
                <w:highlight w:val="none"/>
              </w:rPr>
            </w:pPr>
            <w:r>
              <w:rPr>
                <w:rFonts w:hint="eastAsia"/>
                <w:color w:val="auto"/>
                <w:sz w:val="21"/>
                <w:szCs w:val="21"/>
                <w:highlight w:val="none"/>
              </w:rPr>
              <w:t>服务地点</w:t>
            </w:r>
          </w:p>
        </w:tc>
        <w:tc>
          <w:tcPr>
            <w:tcW w:w="6582" w:type="dxa"/>
            <w:noWrap w:val="0"/>
            <w:vAlign w:val="center"/>
          </w:tcPr>
          <w:p w14:paraId="051AC120">
            <w:pPr>
              <w:pStyle w:val="51"/>
              <w:spacing w:before="200" w:line="219" w:lineRule="auto"/>
              <w:ind w:left="8"/>
              <w:jc w:val="both"/>
              <w:rPr>
                <w:rFonts w:hint="eastAsia" w:eastAsia="宋体"/>
                <w:color w:val="auto"/>
                <w:sz w:val="21"/>
                <w:szCs w:val="21"/>
                <w:highlight w:val="none"/>
                <w:lang w:eastAsia="zh-CN"/>
              </w:rPr>
            </w:pPr>
            <w:r>
              <w:rPr>
                <w:rFonts w:hint="eastAsia" w:eastAsia="宋体"/>
                <w:color w:val="auto"/>
                <w:sz w:val="21"/>
                <w:szCs w:val="21"/>
                <w:highlight w:val="none"/>
                <w:lang w:eastAsia="zh-CN"/>
              </w:rPr>
              <w:t>畹町出入境边防检查站三个片区单位（瑞丽片区、芒市片区、盈江片区）</w:t>
            </w:r>
          </w:p>
        </w:tc>
      </w:tr>
      <w:tr w14:paraId="70F2F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53" w:type="dxa"/>
            <w:noWrap w:val="0"/>
            <w:vAlign w:val="center"/>
          </w:tcPr>
          <w:p w14:paraId="32A45B54">
            <w:pPr>
              <w:pStyle w:val="51"/>
              <w:spacing w:before="78" w:line="183" w:lineRule="auto"/>
              <w:jc w:val="center"/>
              <w:rPr>
                <w:rFonts w:hint="eastAsia" w:eastAsia="宋体"/>
                <w:color w:val="auto"/>
                <w:sz w:val="21"/>
                <w:szCs w:val="21"/>
                <w:highlight w:val="none"/>
                <w:lang w:eastAsia="zh-CN"/>
              </w:rPr>
            </w:pPr>
            <w:r>
              <w:rPr>
                <w:rFonts w:hint="eastAsia"/>
                <w:color w:val="auto"/>
                <w:sz w:val="21"/>
                <w:szCs w:val="21"/>
                <w:highlight w:val="none"/>
                <w:lang w:val="en-US" w:eastAsia="zh-CN"/>
              </w:rPr>
              <w:t>7</w:t>
            </w:r>
          </w:p>
        </w:tc>
        <w:tc>
          <w:tcPr>
            <w:tcW w:w="1677" w:type="dxa"/>
            <w:noWrap w:val="0"/>
            <w:vAlign w:val="center"/>
          </w:tcPr>
          <w:p w14:paraId="533A0531">
            <w:pPr>
              <w:pStyle w:val="51"/>
              <w:spacing w:before="78" w:line="219" w:lineRule="auto"/>
              <w:jc w:val="center"/>
              <w:rPr>
                <w:color w:val="auto"/>
                <w:sz w:val="21"/>
                <w:szCs w:val="21"/>
                <w:highlight w:val="none"/>
              </w:rPr>
            </w:pPr>
            <w:r>
              <w:rPr>
                <w:color w:val="auto"/>
                <w:spacing w:val="-3"/>
                <w:sz w:val="21"/>
                <w:szCs w:val="21"/>
                <w:highlight w:val="none"/>
              </w:rPr>
              <w:t>付款方式</w:t>
            </w:r>
          </w:p>
        </w:tc>
        <w:tc>
          <w:tcPr>
            <w:tcW w:w="6582" w:type="dxa"/>
            <w:noWrap w:val="0"/>
            <w:vAlign w:val="center"/>
          </w:tcPr>
          <w:p w14:paraId="74E73CE0">
            <w:pPr>
              <w:pStyle w:val="51"/>
              <w:spacing w:before="148" w:line="318" w:lineRule="auto"/>
              <w:ind w:left="7" w:right="22" w:firstLine="4"/>
              <w:jc w:val="both"/>
              <w:rPr>
                <w:rFonts w:hint="eastAsia" w:eastAsia="宋体"/>
                <w:color w:val="auto"/>
                <w:sz w:val="21"/>
                <w:szCs w:val="21"/>
                <w:highlight w:val="none"/>
                <w:lang w:eastAsia="zh-CN"/>
              </w:rPr>
            </w:pPr>
            <w:r>
              <w:rPr>
                <w:rFonts w:hint="eastAsia"/>
                <w:color w:val="auto"/>
                <w:sz w:val="21"/>
                <w:szCs w:val="21"/>
                <w:highlight w:val="none"/>
              </w:rPr>
              <w:t>片区内车辆维修保养费用按实际维修保养金额月结</w:t>
            </w:r>
            <w:r>
              <w:rPr>
                <w:rFonts w:hint="eastAsia"/>
                <w:color w:val="auto"/>
                <w:sz w:val="21"/>
                <w:szCs w:val="21"/>
                <w:highlight w:val="none"/>
                <w:lang w:eastAsia="zh-CN"/>
              </w:rPr>
              <w:t>；</w:t>
            </w:r>
          </w:p>
        </w:tc>
      </w:tr>
      <w:tr w14:paraId="701EAD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53" w:type="dxa"/>
            <w:noWrap w:val="0"/>
            <w:vAlign w:val="center"/>
          </w:tcPr>
          <w:p w14:paraId="5ECE8C71">
            <w:pPr>
              <w:pStyle w:val="51"/>
              <w:spacing w:before="78" w:line="183" w:lineRule="auto"/>
              <w:jc w:val="center"/>
              <w:rPr>
                <w:rFonts w:hint="eastAsia" w:ascii="宋体" w:hAnsi="宋体" w:eastAsia="宋体" w:cs="宋体"/>
                <w:color w:val="auto"/>
                <w:spacing w:val="-3"/>
                <w:kern w:val="2"/>
                <w:sz w:val="21"/>
                <w:szCs w:val="21"/>
                <w:highlight w:val="none"/>
                <w:lang w:val="en-US" w:eastAsia="zh-CN" w:bidi="ar-SA"/>
              </w:rPr>
            </w:pPr>
            <w:r>
              <w:rPr>
                <w:rFonts w:hint="eastAsia" w:cs="宋体"/>
                <w:color w:val="auto"/>
                <w:spacing w:val="-3"/>
                <w:kern w:val="2"/>
                <w:sz w:val="21"/>
                <w:szCs w:val="21"/>
                <w:highlight w:val="none"/>
                <w:lang w:val="en-US" w:eastAsia="zh-CN" w:bidi="ar-SA"/>
              </w:rPr>
              <w:t>8</w:t>
            </w:r>
          </w:p>
        </w:tc>
        <w:tc>
          <w:tcPr>
            <w:tcW w:w="1677" w:type="dxa"/>
            <w:noWrap w:val="0"/>
            <w:vAlign w:val="center"/>
          </w:tcPr>
          <w:p w14:paraId="4C55CAD1">
            <w:pPr>
              <w:pStyle w:val="51"/>
              <w:spacing w:before="78" w:line="327" w:lineRule="auto"/>
              <w:ind w:right="44"/>
              <w:jc w:val="center"/>
              <w:rPr>
                <w:rFonts w:ascii="宋体" w:hAnsi="宋体" w:eastAsia="宋体" w:cs="宋体"/>
                <w:color w:val="auto"/>
                <w:spacing w:val="-3"/>
                <w:kern w:val="2"/>
                <w:sz w:val="21"/>
                <w:szCs w:val="21"/>
                <w:highlight w:val="none"/>
                <w:lang w:val="en-US" w:eastAsia="en-US" w:bidi="ar-SA"/>
              </w:rPr>
            </w:pPr>
            <w:r>
              <w:rPr>
                <w:rFonts w:hint="eastAsia" w:ascii="宋体" w:hAnsi="宋体" w:eastAsia="宋体" w:cs="宋体"/>
                <w:color w:val="auto"/>
                <w:spacing w:val="-3"/>
                <w:kern w:val="2"/>
                <w:sz w:val="21"/>
                <w:szCs w:val="21"/>
                <w:highlight w:val="none"/>
                <w:lang w:val="en-US" w:eastAsia="en-US" w:bidi="ar-SA"/>
              </w:rPr>
              <w:t>供应商的资格要求</w:t>
            </w:r>
          </w:p>
        </w:tc>
        <w:tc>
          <w:tcPr>
            <w:tcW w:w="6582" w:type="dxa"/>
            <w:noWrap w:val="0"/>
            <w:vAlign w:val="center"/>
          </w:tcPr>
          <w:p w14:paraId="5FA88AAA">
            <w:pPr>
              <w:pStyle w:val="51"/>
              <w:spacing w:before="31" w:line="385" w:lineRule="auto"/>
              <w:ind w:left="6" w:right="22" w:firstLine="12"/>
              <w:jc w:val="both"/>
              <w:rPr>
                <w:rFonts w:hint="eastAsia"/>
                <w:color w:val="auto"/>
                <w:sz w:val="21"/>
                <w:szCs w:val="21"/>
                <w:highlight w:val="none"/>
                <w:lang w:val="en-US" w:eastAsia="zh-CN"/>
              </w:rPr>
            </w:pPr>
            <w:r>
              <w:rPr>
                <w:rFonts w:hint="eastAsia"/>
                <w:color w:val="auto"/>
                <w:sz w:val="21"/>
                <w:szCs w:val="21"/>
                <w:highlight w:val="none"/>
              </w:rPr>
              <w:t>1</w:t>
            </w:r>
            <w:r>
              <w:rPr>
                <w:rFonts w:hint="eastAsia"/>
                <w:color w:val="auto"/>
                <w:sz w:val="21"/>
                <w:szCs w:val="21"/>
                <w:highlight w:val="none"/>
                <w:lang w:eastAsia="zh-CN"/>
              </w:rPr>
              <w:t>.</w:t>
            </w:r>
            <w:r>
              <w:rPr>
                <w:rFonts w:hint="eastAsia"/>
                <w:color w:val="auto"/>
                <w:sz w:val="21"/>
                <w:szCs w:val="21"/>
                <w:highlight w:val="none"/>
              </w:rPr>
              <w:t>满足《中华人民共和国政府采购法》第二十二条规定</w:t>
            </w:r>
            <w:r>
              <w:rPr>
                <w:rFonts w:hint="eastAsia"/>
                <w:color w:val="auto"/>
                <w:sz w:val="21"/>
                <w:szCs w:val="21"/>
                <w:highlight w:val="none"/>
                <w:lang w:eastAsia="zh-CN"/>
              </w:rPr>
              <w:t>；</w:t>
            </w:r>
          </w:p>
          <w:p w14:paraId="32024A17">
            <w:pPr>
              <w:pStyle w:val="51"/>
              <w:spacing w:before="31" w:line="385" w:lineRule="auto"/>
              <w:ind w:left="6" w:right="22" w:firstLine="12"/>
              <w:jc w:val="both"/>
              <w:rPr>
                <w:rFonts w:hint="eastAsia" w:eastAsia="宋体"/>
                <w:color w:val="auto"/>
                <w:sz w:val="21"/>
                <w:szCs w:val="21"/>
                <w:highlight w:val="none"/>
                <w:lang w:eastAsia="zh-CN"/>
              </w:rPr>
            </w:pPr>
            <w:r>
              <w:rPr>
                <w:rFonts w:hint="eastAsia"/>
                <w:color w:val="auto"/>
                <w:sz w:val="21"/>
                <w:szCs w:val="21"/>
                <w:highlight w:val="none"/>
                <w:lang w:val="en-US" w:eastAsia="zh-CN"/>
              </w:rPr>
              <w:t>（1）</w:t>
            </w:r>
            <w:r>
              <w:rPr>
                <w:rFonts w:hint="eastAsia"/>
                <w:color w:val="auto"/>
                <w:sz w:val="21"/>
                <w:szCs w:val="21"/>
                <w:highlight w:val="none"/>
              </w:rPr>
              <w:t>具有独立承担民事责任的能力</w:t>
            </w:r>
            <w:r>
              <w:rPr>
                <w:rFonts w:hint="eastAsia"/>
                <w:color w:val="auto"/>
                <w:sz w:val="21"/>
                <w:szCs w:val="21"/>
                <w:highlight w:val="none"/>
                <w:lang w:eastAsia="zh-CN"/>
              </w:rPr>
              <w:t>。提供自然人有效身份证或法人或者其他组织有效的营业执照等证明文件。</w:t>
            </w:r>
          </w:p>
          <w:p w14:paraId="39F31487">
            <w:pPr>
              <w:pStyle w:val="51"/>
              <w:spacing w:before="31" w:line="385" w:lineRule="auto"/>
              <w:ind w:left="6" w:right="22" w:firstLine="12"/>
              <w:jc w:val="both"/>
              <w:rPr>
                <w:rFonts w:hint="eastAsia"/>
                <w:color w:val="auto"/>
                <w:sz w:val="21"/>
                <w:szCs w:val="21"/>
                <w:highlight w:val="none"/>
                <w:lang w:val="en-US" w:eastAsia="zh-CN"/>
              </w:rPr>
            </w:pPr>
            <w:r>
              <w:rPr>
                <w:rFonts w:hint="eastAsia"/>
                <w:color w:val="auto"/>
                <w:sz w:val="21"/>
                <w:szCs w:val="21"/>
                <w:highlight w:val="none"/>
                <w:lang w:val="en-US" w:eastAsia="zh-CN"/>
              </w:rPr>
              <w:t>（2）具有良好的商业信誉和健全的财务会计制度。提供财务状况报告，内容可为以下三者之一：</w:t>
            </w:r>
          </w:p>
          <w:p w14:paraId="5B1149E0">
            <w:pPr>
              <w:pStyle w:val="51"/>
              <w:spacing w:before="31" w:line="385" w:lineRule="auto"/>
              <w:ind w:left="6" w:right="22" w:firstLine="12"/>
              <w:jc w:val="both"/>
              <w:rPr>
                <w:rFonts w:hint="eastAsia"/>
                <w:color w:val="auto"/>
                <w:sz w:val="21"/>
                <w:szCs w:val="21"/>
                <w:highlight w:val="none"/>
                <w:lang w:val="en-US" w:eastAsia="zh-CN"/>
              </w:rPr>
            </w:pPr>
            <w:r>
              <w:rPr>
                <w:rFonts w:hint="eastAsia"/>
                <w:color w:val="auto"/>
                <w:sz w:val="21"/>
                <w:szCs w:val="21"/>
                <w:highlight w:val="none"/>
                <w:lang w:val="en-US" w:eastAsia="zh-CN"/>
              </w:rPr>
              <w:t>①提供2022年至今任意一年经审计的财务状况报告（至少包含审计报告、资产负债表、利润表、现金流量表、所有者权益表及附注），成立未满1年或成立至今未产生经营活动的供应商提供自成立至今的财务报表或财务情况说明；</w:t>
            </w:r>
          </w:p>
          <w:p w14:paraId="6609A2C5">
            <w:pPr>
              <w:pStyle w:val="51"/>
              <w:spacing w:before="31" w:line="385" w:lineRule="auto"/>
              <w:ind w:left="6" w:right="22" w:firstLine="12"/>
              <w:jc w:val="both"/>
              <w:rPr>
                <w:rFonts w:hint="eastAsia"/>
                <w:color w:val="auto"/>
                <w:sz w:val="21"/>
                <w:szCs w:val="21"/>
                <w:highlight w:val="none"/>
                <w:lang w:val="en-US" w:eastAsia="zh-CN"/>
              </w:rPr>
            </w:pPr>
            <w:r>
              <w:rPr>
                <w:rFonts w:hint="eastAsia"/>
                <w:color w:val="auto"/>
                <w:sz w:val="21"/>
                <w:szCs w:val="21"/>
                <w:highlight w:val="none"/>
                <w:lang w:val="en-US" w:eastAsia="zh-CN"/>
              </w:rPr>
              <w:t>②提供自响应文件提交截止时间前六个月内基本开户银行出具的资信证明；</w:t>
            </w:r>
          </w:p>
          <w:p w14:paraId="2F9799B1">
            <w:pPr>
              <w:pStyle w:val="51"/>
              <w:spacing w:before="31" w:line="385" w:lineRule="auto"/>
              <w:ind w:left="6" w:right="22" w:firstLine="12"/>
              <w:jc w:val="both"/>
              <w:rPr>
                <w:rFonts w:hint="eastAsia"/>
                <w:color w:val="auto"/>
                <w:sz w:val="21"/>
                <w:szCs w:val="21"/>
                <w:highlight w:val="none"/>
                <w:lang w:val="en-US" w:eastAsia="zh-CN"/>
              </w:rPr>
            </w:pPr>
            <w:r>
              <w:rPr>
                <w:rFonts w:hint="eastAsia"/>
                <w:color w:val="auto"/>
                <w:sz w:val="21"/>
                <w:szCs w:val="21"/>
                <w:highlight w:val="none"/>
                <w:lang w:val="en-US" w:eastAsia="zh-CN"/>
              </w:rPr>
              <w:t>③提供专业担保机构出具的投标担保函。</w:t>
            </w:r>
          </w:p>
          <w:p w14:paraId="65CAC6E7">
            <w:pPr>
              <w:pStyle w:val="51"/>
              <w:spacing w:before="31" w:line="385" w:lineRule="auto"/>
              <w:ind w:left="6" w:right="22" w:firstLine="12"/>
              <w:jc w:val="both"/>
              <w:rPr>
                <w:rFonts w:hint="eastAsia"/>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具有履行合同所必需的设备和专业技术能力。提供具备履行合同所必需的设备和专业技术能力的证明材料</w:t>
            </w:r>
            <w:r>
              <w:rPr>
                <w:rFonts w:hint="eastAsia"/>
                <w:color w:val="auto"/>
                <w:sz w:val="21"/>
                <w:szCs w:val="21"/>
                <w:highlight w:val="none"/>
                <w:lang w:eastAsia="zh-CN"/>
              </w:rPr>
              <w:t>或承诺书</w:t>
            </w:r>
            <w:r>
              <w:rPr>
                <w:rFonts w:hint="eastAsia"/>
                <w:color w:val="auto"/>
                <w:sz w:val="21"/>
                <w:szCs w:val="21"/>
                <w:highlight w:val="none"/>
              </w:rPr>
              <w:t>。</w:t>
            </w:r>
          </w:p>
          <w:p w14:paraId="2A795AC2">
            <w:pPr>
              <w:pStyle w:val="51"/>
              <w:spacing w:before="31" w:line="385" w:lineRule="auto"/>
              <w:ind w:left="6" w:right="22" w:firstLine="12"/>
              <w:jc w:val="both"/>
              <w:rPr>
                <w:rFonts w:hint="eastAsia"/>
                <w:color w:val="auto"/>
                <w:sz w:val="21"/>
                <w:szCs w:val="21"/>
                <w:highlight w:val="none"/>
                <w:lang w:val="en-US" w:eastAsia="zh-CN"/>
              </w:rPr>
            </w:pPr>
            <w:r>
              <w:rPr>
                <w:rFonts w:hint="eastAsia"/>
                <w:color w:val="auto"/>
                <w:sz w:val="21"/>
                <w:szCs w:val="21"/>
                <w:highlight w:val="none"/>
                <w:lang w:val="en-US" w:eastAsia="zh-CN"/>
              </w:rPr>
              <w:t>（4）</w:t>
            </w:r>
            <w:r>
              <w:rPr>
                <w:rFonts w:hint="eastAsia"/>
                <w:color w:val="auto"/>
                <w:sz w:val="21"/>
                <w:szCs w:val="21"/>
                <w:highlight w:val="none"/>
              </w:rPr>
              <w:t>有依法缴纳税收和社会保障资金的良好记录。①</w:t>
            </w:r>
            <w:r>
              <w:rPr>
                <w:rFonts w:hint="eastAsia"/>
                <w:color w:val="auto"/>
                <w:sz w:val="21"/>
                <w:szCs w:val="21"/>
                <w:highlight w:val="none"/>
                <w:lang w:eastAsia="zh-CN"/>
              </w:rPr>
              <w:t>提供2025年1月至今任意1个月缴纳税收的证明材料</w:t>
            </w:r>
            <w:r>
              <w:rPr>
                <w:rFonts w:hint="eastAsia"/>
                <w:color w:val="auto"/>
                <w:sz w:val="21"/>
                <w:szCs w:val="21"/>
                <w:highlight w:val="none"/>
              </w:rPr>
              <w:t>，依法免税的，应提供依法免税的相关证明文件</w:t>
            </w:r>
            <w:r>
              <w:rPr>
                <w:rFonts w:hint="eastAsia"/>
                <w:color w:val="auto"/>
                <w:sz w:val="21"/>
                <w:szCs w:val="21"/>
                <w:highlight w:val="none"/>
                <w:lang w:eastAsia="zh-CN"/>
              </w:rPr>
              <w:t>，成立未满1个月或未产生经营活动的供应商自行提供情况说明</w:t>
            </w:r>
            <w:r>
              <w:rPr>
                <w:rFonts w:hint="eastAsia"/>
                <w:color w:val="auto"/>
                <w:sz w:val="21"/>
                <w:szCs w:val="21"/>
                <w:highlight w:val="none"/>
                <w:lang w:val="en-US" w:eastAsia="zh-CN"/>
              </w:rPr>
              <w:t>；</w:t>
            </w:r>
            <w:r>
              <w:rPr>
                <w:rFonts w:hint="eastAsia"/>
                <w:color w:val="auto"/>
                <w:sz w:val="21"/>
                <w:szCs w:val="21"/>
                <w:highlight w:val="none"/>
              </w:rPr>
              <w:t>②</w:t>
            </w:r>
            <w:r>
              <w:rPr>
                <w:rFonts w:hint="eastAsia"/>
                <w:color w:val="auto"/>
                <w:sz w:val="21"/>
                <w:szCs w:val="21"/>
                <w:highlight w:val="none"/>
                <w:lang w:eastAsia="zh-CN"/>
              </w:rPr>
              <w:t>提供2025年1月至今任意1个月缴纳社会保障资金的证明材料，依法免缴的</w:t>
            </w:r>
            <w:r>
              <w:rPr>
                <w:rFonts w:hint="eastAsia"/>
                <w:color w:val="auto"/>
                <w:sz w:val="21"/>
                <w:szCs w:val="21"/>
                <w:highlight w:val="none"/>
              </w:rPr>
              <w:t>，应提供依法免缴的相关证明文件</w:t>
            </w:r>
            <w:r>
              <w:rPr>
                <w:rFonts w:hint="eastAsia"/>
                <w:color w:val="auto"/>
                <w:sz w:val="21"/>
                <w:szCs w:val="21"/>
                <w:highlight w:val="none"/>
                <w:lang w:eastAsia="zh-CN"/>
              </w:rPr>
              <w:t>，成立未满1个月的无需提供</w:t>
            </w:r>
            <w:r>
              <w:rPr>
                <w:rFonts w:hint="eastAsia"/>
                <w:color w:val="auto"/>
                <w:sz w:val="21"/>
                <w:szCs w:val="21"/>
                <w:highlight w:val="none"/>
                <w:lang w:val="en-US" w:eastAsia="zh-CN"/>
              </w:rPr>
              <w:t>。</w:t>
            </w:r>
          </w:p>
          <w:p w14:paraId="3BA69DCA">
            <w:pPr>
              <w:pStyle w:val="51"/>
              <w:spacing w:before="31" w:line="385" w:lineRule="auto"/>
              <w:ind w:left="6" w:right="22" w:firstLine="12"/>
              <w:jc w:val="both"/>
              <w:rPr>
                <w:rFonts w:hint="eastAsia"/>
                <w:color w:val="auto"/>
                <w:sz w:val="21"/>
                <w:szCs w:val="21"/>
                <w:highlight w:val="none"/>
              </w:rPr>
            </w:pPr>
            <w:r>
              <w:rPr>
                <w:rFonts w:hint="eastAsia"/>
                <w:color w:val="auto"/>
                <w:sz w:val="21"/>
                <w:szCs w:val="21"/>
                <w:highlight w:val="none"/>
                <w:lang w:val="en-US" w:eastAsia="zh-CN"/>
              </w:rPr>
              <w:t>（5）</w:t>
            </w:r>
            <w:r>
              <w:rPr>
                <w:rFonts w:hint="eastAsia"/>
                <w:color w:val="auto"/>
                <w:sz w:val="21"/>
                <w:szCs w:val="21"/>
                <w:highlight w:val="none"/>
              </w:rPr>
              <w:t>参加政府采购活动前三年内，在经营活动中没有重大违法记录。提供参加政府采购活动前三年内在经营活动中没有重大违法记录的书面声明。</w:t>
            </w:r>
          </w:p>
          <w:p w14:paraId="03138AA2">
            <w:pPr>
              <w:pStyle w:val="51"/>
              <w:spacing w:before="31" w:line="385" w:lineRule="auto"/>
              <w:ind w:left="6" w:right="22" w:firstLine="12"/>
              <w:jc w:val="both"/>
              <w:rPr>
                <w:rFonts w:hint="eastAsia"/>
                <w:color w:val="auto"/>
                <w:sz w:val="21"/>
                <w:szCs w:val="21"/>
                <w:highlight w:val="none"/>
              </w:rPr>
            </w:pPr>
            <w:r>
              <w:rPr>
                <w:rFonts w:hint="eastAsia"/>
                <w:color w:val="auto"/>
                <w:sz w:val="21"/>
                <w:szCs w:val="21"/>
                <w:highlight w:val="none"/>
                <w:lang w:val="en-US" w:eastAsia="zh-CN"/>
              </w:rPr>
              <w:t>（6）</w:t>
            </w:r>
            <w:r>
              <w:rPr>
                <w:rFonts w:hint="eastAsia"/>
                <w:color w:val="auto"/>
                <w:sz w:val="21"/>
                <w:szCs w:val="21"/>
                <w:highlight w:val="none"/>
              </w:rPr>
              <w:t>法律、行政法规规定的其他条件。</w:t>
            </w:r>
          </w:p>
          <w:p w14:paraId="73B0C7BA">
            <w:pPr>
              <w:pStyle w:val="51"/>
              <w:spacing w:before="31" w:line="385" w:lineRule="auto"/>
              <w:ind w:left="6" w:right="22" w:firstLine="12"/>
              <w:jc w:val="both"/>
              <w:rPr>
                <w:rFonts w:hint="eastAsia"/>
                <w:color w:val="auto"/>
                <w:sz w:val="21"/>
                <w:szCs w:val="21"/>
                <w:highlight w:val="none"/>
              </w:rPr>
            </w:pPr>
            <w:r>
              <w:rPr>
                <w:rFonts w:hint="eastAsia"/>
                <w:color w:val="auto"/>
                <w:sz w:val="21"/>
                <w:szCs w:val="21"/>
                <w:highlight w:val="none"/>
              </w:rPr>
              <w:t>①单位负责人为同一人或者存在直接控股、管理关系的不同</w:t>
            </w:r>
            <w:r>
              <w:rPr>
                <w:rFonts w:hint="eastAsia"/>
                <w:color w:val="auto"/>
                <w:sz w:val="21"/>
                <w:szCs w:val="21"/>
                <w:highlight w:val="none"/>
                <w:lang w:eastAsia="zh-CN"/>
              </w:rPr>
              <w:t>供应商</w:t>
            </w:r>
            <w:r>
              <w:rPr>
                <w:rFonts w:hint="eastAsia"/>
                <w:color w:val="auto"/>
                <w:sz w:val="21"/>
                <w:szCs w:val="21"/>
                <w:highlight w:val="none"/>
              </w:rPr>
              <w:t>，不得参加同一合同项下的政府采购活动。为采购项目提供整体设计、规范编制或者项目管理、监理、检测等服务的</w:t>
            </w:r>
            <w:r>
              <w:rPr>
                <w:rFonts w:hint="eastAsia"/>
                <w:color w:val="auto"/>
                <w:sz w:val="21"/>
                <w:szCs w:val="21"/>
                <w:highlight w:val="none"/>
                <w:lang w:eastAsia="zh-CN"/>
              </w:rPr>
              <w:t>供应商</w:t>
            </w:r>
            <w:r>
              <w:rPr>
                <w:rFonts w:hint="eastAsia"/>
                <w:color w:val="auto"/>
                <w:sz w:val="21"/>
                <w:szCs w:val="21"/>
                <w:highlight w:val="none"/>
              </w:rPr>
              <w:t>，不得再参加该采购项目的其他采购活动。</w:t>
            </w:r>
          </w:p>
          <w:p w14:paraId="5DDAE6CB">
            <w:pPr>
              <w:pStyle w:val="51"/>
              <w:spacing w:before="31" w:line="385" w:lineRule="auto"/>
              <w:ind w:left="6" w:right="22" w:firstLine="12"/>
              <w:jc w:val="both"/>
              <w:rPr>
                <w:rFonts w:hint="eastAsia"/>
                <w:color w:val="auto"/>
                <w:sz w:val="21"/>
                <w:szCs w:val="21"/>
                <w:highlight w:val="none"/>
                <w:lang w:val="en-US" w:eastAsia="zh-CN"/>
              </w:rPr>
            </w:pPr>
            <w:r>
              <w:rPr>
                <w:rFonts w:hint="eastAsia"/>
                <w:color w:val="auto"/>
                <w:sz w:val="21"/>
                <w:szCs w:val="21"/>
                <w:highlight w:val="none"/>
              </w:rPr>
              <w:t>②</w:t>
            </w:r>
            <w:r>
              <w:rPr>
                <w:rFonts w:hint="eastAsia"/>
                <w:color w:val="auto"/>
                <w:sz w:val="21"/>
                <w:szCs w:val="21"/>
                <w:highlight w:val="none"/>
                <w:lang w:val="en-US" w:eastAsia="zh-CN"/>
              </w:rPr>
              <w:t>供应商在“中国执行信息公开网”未被列入失信被执行人名单；供应商在“信用中国”未被列入重大税收违法失信主体、在“中国政府采购网”中未被列入：政府采购严重违法失信行为记录名单</w:t>
            </w:r>
            <w:r>
              <w:rPr>
                <w:rFonts w:hint="eastAsia"/>
                <w:color w:val="auto"/>
                <w:sz w:val="21"/>
                <w:szCs w:val="21"/>
                <w:highlight w:val="none"/>
              </w:rPr>
              <w:t>。</w:t>
            </w:r>
            <w:r>
              <w:rPr>
                <w:rFonts w:hint="eastAsia"/>
                <w:color w:val="auto"/>
                <w:sz w:val="21"/>
                <w:szCs w:val="21"/>
                <w:highlight w:val="none"/>
                <w:lang w:val="en-US" w:eastAsia="zh-CN"/>
              </w:rPr>
              <w:t>（</w:t>
            </w:r>
            <w:r>
              <w:rPr>
                <w:rFonts w:hint="eastAsia"/>
                <w:b/>
                <w:bCs/>
                <w:color w:val="auto"/>
                <w:sz w:val="21"/>
                <w:szCs w:val="21"/>
                <w:highlight w:val="none"/>
                <w:lang w:val="en-US" w:eastAsia="zh-CN"/>
              </w:rPr>
              <w:t>注：以上网站均由采购人或采购代理机构在评审时查询，若供应商有不良信誉，视为不满足资格要求，相应文件无效</w:t>
            </w:r>
            <w:r>
              <w:rPr>
                <w:rFonts w:hint="eastAsia"/>
                <w:color w:val="auto"/>
                <w:sz w:val="21"/>
                <w:szCs w:val="21"/>
                <w:highlight w:val="none"/>
                <w:lang w:val="en-US" w:eastAsia="zh-CN"/>
              </w:rPr>
              <w:t>）</w:t>
            </w:r>
          </w:p>
          <w:p w14:paraId="10757CF0">
            <w:pPr>
              <w:pStyle w:val="51"/>
              <w:spacing w:before="31" w:line="385" w:lineRule="auto"/>
              <w:ind w:left="6" w:right="22" w:firstLine="12"/>
              <w:jc w:val="both"/>
              <w:rPr>
                <w:rFonts w:hint="eastAsia"/>
                <w:color w:val="auto"/>
                <w:sz w:val="21"/>
                <w:szCs w:val="21"/>
                <w:highlight w:val="none"/>
              </w:rPr>
            </w:pPr>
            <w:r>
              <w:rPr>
                <w:rFonts w:hint="eastAsia"/>
                <w:color w:val="auto"/>
                <w:sz w:val="21"/>
                <w:szCs w:val="21"/>
                <w:highlight w:val="none"/>
              </w:rPr>
              <w:t>2.落实政府采购政策需满足的资格要求：</w:t>
            </w:r>
            <w:r>
              <w:rPr>
                <w:rFonts w:hint="eastAsia"/>
                <w:b/>
                <w:bCs/>
                <w:color w:val="auto"/>
                <w:sz w:val="21"/>
                <w:szCs w:val="21"/>
                <w:highlight w:val="none"/>
              </w:rPr>
              <w:t>本项目为专门面向中小微企业采购的项目,供应商应为中小微企业，或监狱企业，或残疾人福利性单位</w:t>
            </w:r>
            <w:r>
              <w:rPr>
                <w:rFonts w:hint="eastAsia"/>
                <w:b w:val="0"/>
                <w:bCs w:val="0"/>
                <w:color w:val="auto"/>
                <w:sz w:val="21"/>
                <w:szCs w:val="21"/>
                <w:highlight w:val="none"/>
              </w:rPr>
              <w:t>；</w:t>
            </w:r>
            <w:r>
              <w:rPr>
                <w:rFonts w:hint="eastAsia"/>
                <w:color w:val="auto"/>
                <w:sz w:val="21"/>
                <w:szCs w:val="21"/>
                <w:highlight w:val="none"/>
              </w:rPr>
              <w:t>根据关于印发《政府采购促进中小企业发展管理办法》的通知（财库〔2020〕46号）及《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关于调整优化节能产品、环境标志产品政府采购执行机制的通知》（财库〔2019〕9号）的划分标准，本项目对应的中小企业划分标准所属行业为：其他未列明行业。</w:t>
            </w:r>
          </w:p>
          <w:p w14:paraId="046BAE4F">
            <w:pPr>
              <w:pStyle w:val="51"/>
              <w:spacing w:before="31" w:line="385" w:lineRule="auto"/>
              <w:ind w:left="6" w:right="22" w:firstLine="12"/>
              <w:jc w:val="both"/>
              <w:rPr>
                <w:rFonts w:hint="eastAsia"/>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本项目的特定资格要求：</w:t>
            </w:r>
          </w:p>
          <w:p w14:paraId="707FA193">
            <w:pPr>
              <w:pStyle w:val="51"/>
              <w:spacing w:before="31" w:line="385" w:lineRule="auto"/>
              <w:ind w:left="6" w:right="22" w:firstLine="12"/>
              <w:jc w:val="both"/>
              <w:rPr>
                <w:color w:val="auto"/>
                <w:sz w:val="21"/>
                <w:szCs w:val="21"/>
                <w:highlight w:val="none"/>
              </w:rPr>
            </w:pPr>
            <w:r>
              <w:rPr>
                <w:rFonts w:hint="eastAsia"/>
                <w:color w:val="auto"/>
                <w:sz w:val="21"/>
                <w:szCs w:val="21"/>
                <w:highlight w:val="none"/>
                <w:lang w:eastAsia="zh-CN"/>
              </w:rPr>
              <w:t>供应商具备二类及以上汽车维修资质</w:t>
            </w:r>
            <w:r>
              <w:rPr>
                <w:rFonts w:hint="eastAsia"/>
                <w:color w:val="auto"/>
                <w:sz w:val="21"/>
                <w:szCs w:val="21"/>
                <w:highlight w:val="none"/>
              </w:rPr>
              <w:t>，并经年检合格，需提供有加盖政府交通运输职能部门公章的机动车维修经营备案；</w:t>
            </w:r>
          </w:p>
        </w:tc>
      </w:tr>
      <w:tr w14:paraId="28A9BE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2" w:hRule="atLeast"/>
          <w:jc w:val="center"/>
        </w:trPr>
        <w:tc>
          <w:tcPr>
            <w:tcW w:w="953" w:type="dxa"/>
            <w:noWrap w:val="0"/>
            <w:vAlign w:val="top"/>
          </w:tcPr>
          <w:p w14:paraId="06BBDA96">
            <w:pPr>
              <w:spacing w:line="251" w:lineRule="auto"/>
              <w:rPr>
                <w:rFonts w:ascii="Arial"/>
                <w:color w:val="auto"/>
                <w:sz w:val="21"/>
                <w:szCs w:val="21"/>
                <w:highlight w:val="none"/>
              </w:rPr>
            </w:pPr>
          </w:p>
          <w:p w14:paraId="26BBD6DC">
            <w:pPr>
              <w:spacing w:line="251" w:lineRule="auto"/>
              <w:rPr>
                <w:rFonts w:ascii="Arial"/>
                <w:color w:val="auto"/>
                <w:sz w:val="21"/>
                <w:szCs w:val="21"/>
                <w:highlight w:val="none"/>
              </w:rPr>
            </w:pPr>
          </w:p>
          <w:p w14:paraId="66155014">
            <w:pPr>
              <w:spacing w:line="251" w:lineRule="auto"/>
              <w:rPr>
                <w:rFonts w:ascii="Arial"/>
                <w:color w:val="auto"/>
                <w:sz w:val="21"/>
                <w:szCs w:val="21"/>
                <w:highlight w:val="none"/>
              </w:rPr>
            </w:pPr>
          </w:p>
          <w:p w14:paraId="170B61F6">
            <w:pPr>
              <w:spacing w:line="251" w:lineRule="auto"/>
              <w:rPr>
                <w:rFonts w:ascii="Arial"/>
                <w:color w:val="auto"/>
                <w:sz w:val="21"/>
                <w:szCs w:val="21"/>
                <w:highlight w:val="none"/>
              </w:rPr>
            </w:pPr>
          </w:p>
          <w:p w14:paraId="21F9DFE7">
            <w:pPr>
              <w:spacing w:line="251" w:lineRule="auto"/>
              <w:rPr>
                <w:rFonts w:ascii="Arial"/>
                <w:color w:val="auto"/>
                <w:sz w:val="21"/>
                <w:szCs w:val="21"/>
                <w:highlight w:val="none"/>
              </w:rPr>
            </w:pPr>
          </w:p>
          <w:p w14:paraId="45C43B0A">
            <w:pPr>
              <w:spacing w:line="251" w:lineRule="auto"/>
              <w:rPr>
                <w:rFonts w:ascii="Arial"/>
                <w:color w:val="auto"/>
                <w:sz w:val="21"/>
                <w:szCs w:val="21"/>
                <w:highlight w:val="none"/>
              </w:rPr>
            </w:pPr>
          </w:p>
          <w:p w14:paraId="6C533C0D">
            <w:pPr>
              <w:spacing w:line="251" w:lineRule="auto"/>
              <w:rPr>
                <w:rFonts w:ascii="Arial"/>
                <w:color w:val="auto"/>
                <w:sz w:val="21"/>
                <w:szCs w:val="21"/>
                <w:highlight w:val="none"/>
              </w:rPr>
            </w:pPr>
          </w:p>
          <w:p w14:paraId="3940DF2B">
            <w:pPr>
              <w:spacing w:line="251" w:lineRule="auto"/>
              <w:rPr>
                <w:rFonts w:ascii="Arial"/>
                <w:color w:val="auto"/>
                <w:sz w:val="21"/>
                <w:szCs w:val="21"/>
                <w:highlight w:val="none"/>
              </w:rPr>
            </w:pPr>
          </w:p>
          <w:p w14:paraId="76985789">
            <w:pPr>
              <w:spacing w:line="251" w:lineRule="auto"/>
              <w:rPr>
                <w:rFonts w:ascii="Arial"/>
                <w:color w:val="auto"/>
                <w:sz w:val="21"/>
                <w:szCs w:val="21"/>
                <w:highlight w:val="none"/>
              </w:rPr>
            </w:pPr>
          </w:p>
          <w:p w14:paraId="1C39FC73">
            <w:pPr>
              <w:spacing w:line="251" w:lineRule="auto"/>
              <w:rPr>
                <w:rFonts w:ascii="Arial"/>
                <w:color w:val="auto"/>
                <w:sz w:val="21"/>
                <w:szCs w:val="21"/>
                <w:highlight w:val="none"/>
              </w:rPr>
            </w:pPr>
          </w:p>
          <w:p w14:paraId="1D652CE2">
            <w:pPr>
              <w:spacing w:line="251" w:lineRule="auto"/>
              <w:rPr>
                <w:rFonts w:ascii="Arial"/>
                <w:color w:val="auto"/>
                <w:sz w:val="21"/>
                <w:szCs w:val="21"/>
                <w:highlight w:val="none"/>
              </w:rPr>
            </w:pPr>
          </w:p>
          <w:p w14:paraId="08583A11">
            <w:pPr>
              <w:spacing w:line="251" w:lineRule="auto"/>
              <w:rPr>
                <w:rFonts w:ascii="Arial"/>
                <w:color w:val="auto"/>
                <w:sz w:val="21"/>
                <w:szCs w:val="21"/>
                <w:highlight w:val="none"/>
              </w:rPr>
            </w:pPr>
          </w:p>
          <w:p w14:paraId="6A0B4384">
            <w:pPr>
              <w:spacing w:line="251" w:lineRule="auto"/>
              <w:rPr>
                <w:rFonts w:ascii="Arial"/>
                <w:color w:val="auto"/>
                <w:sz w:val="21"/>
                <w:szCs w:val="21"/>
                <w:highlight w:val="none"/>
              </w:rPr>
            </w:pPr>
          </w:p>
          <w:p w14:paraId="0B025C86">
            <w:pPr>
              <w:spacing w:line="252" w:lineRule="auto"/>
              <w:rPr>
                <w:rFonts w:ascii="Arial"/>
                <w:color w:val="auto"/>
                <w:sz w:val="21"/>
                <w:szCs w:val="21"/>
                <w:highlight w:val="none"/>
              </w:rPr>
            </w:pPr>
          </w:p>
          <w:p w14:paraId="1FE75515">
            <w:pPr>
              <w:spacing w:line="252" w:lineRule="auto"/>
              <w:rPr>
                <w:rFonts w:ascii="Arial"/>
                <w:color w:val="auto"/>
                <w:sz w:val="21"/>
                <w:szCs w:val="21"/>
                <w:highlight w:val="none"/>
              </w:rPr>
            </w:pPr>
          </w:p>
          <w:p w14:paraId="12C150AC">
            <w:pPr>
              <w:spacing w:line="252" w:lineRule="auto"/>
              <w:rPr>
                <w:rFonts w:ascii="Arial"/>
                <w:color w:val="auto"/>
                <w:sz w:val="21"/>
                <w:szCs w:val="21"/>
                <w:highlight w:val="none"/>
              </w:rPr>
            </w:pPr>
          </w:p>
          <w:p w14:paraId="54BD53C7">
            <w:pPr>
              <w:spacing w:line="252" w:lineRule="auto"/>
              <w:rPr>
                <w:rFonts w:ascii="Arial"/>
                <w:color w:val="auto"/>
                <w:sz w:val="21"/>
                <w:szCs w:val="21"/>
                <w:highlight w:val="none"/>
              </w:rPr>
            </w:pPr>
          </w:p>
          <w:p w14:paraId="426F8A7F">
            <w:pPr>
              <w:spacing w:line="252" w:lineRule="auto"/>
              <w:rPr>
                <w:rFonts w:ascii="Arial"/>
                <w:color w:val="auto"/>
                <w:sz w:val="21"/>
                <w:szCs w:val="21"/>
                <w:highlight w:val="none"/>
              </w:rPr>
            </w:pPr>
          </w:p>
          <w:p w14:paraId="4CC043B7">
            <w:pPr>
              <w:pStyle w:val="51"/>
              <w:spacing w:before="78" w:line="184" w:lineRule="auto"/>
              <w:ind w:left="380" w:leftChars="0"/>
              <w:rPr>
                <w:rFonts w:hint="eastAsia" w:ascii="宋体" w:hAnsi="宋体" w:eastAsia="宋体" w:cs="宋体"/>
                <w:color w:val="auto"/>
                <w:spacing w:val="-3"/>
                <w:kern w:val="2"/>
                <w:sz w:val="21"/>
                <w:szCs w:val="21"/>
                <w:highlight w:val="none"/>
                <w:lang w:val="en-US" w:eastAsia="zh-CN" w:bidi="ar-SA"/>
              </w:rPr>
            </w:pPr>
            <w:r>
              <w:rPr>
                <w:rFonts w:hint="eastAsia"/>
                <w:color w:val="auto"/>
                <w:spacing w:val="-14"/>
                <w:sz w:val="21"/>
                <w:szCs w:val="21"/>
                <w:highlight w:val="none"/>
                <w:lang w:val="en-US" w:eastAsia="zh-CN"/>
              </w:rPr>
              <w:t>9</w:t>
            </w:r>
          </w:p>
        </w:tc>
        <w:tc>
          <w:tcPr>
            <w:tcW w:w="1677" w:type="dxa"/>
            <w:noWrap w:val="0"/>
            <w:vAlign w:val="top"/>
          </w:tcPr>
          <w:p w14:paraId="1BAF4EA2">
            <w:pPr>
              <w:spacing w:line="249" w:lineRule="auto"/>
              <w:rPr>
                <w:rFonts w:ascii="Arial"/>
                <w:color w:val="auto"/>
                <w:sz w:val="21"/>
                <w:szCs w:val="21"/>
                <w:highlight w:val="none"/>
              </w:rPr>
            </w:pPr>
          </w:p>
          <w:p w14:paraId="5B497519">
            <w:pPr>
              <w:spacing w:line="249" w:lineRule="auto"/>
              <w:rPr>
                <w:rFonts w:ascii="Arial"/>
                <w:color w:val="auto"/>
                <w:sz w:val="21"/>
                <w:szCs w:val="21"/>
                <w:highlight w:val="none"/>
              </w:rPr>
            </w:pPr>
          </w:p>
          <w:p w14:paraId="5B3ECD32">
            <w:pPr>
              <w:spacing w:line="249" w:lineRule="auto"/>
              <w:rPr>
                <w:rFonts w:ascii="Arial"/>
                <w:color w:val="auto"/>
                <w:sz w:val="21"/>
                <w:szCs w:val="21"/>
                <w:highlight w:val="none"/>
              </w:rPr>
            </w:pPr>
          </w:p>
          <w:p w14:paraId="580A0B1E">
            <w:pPr>
              <w:spacing w:line="249" w:lineRule="auto"/>
              <w:rPr>
                <w:rFonts w:ascii="Arial"/>
                <w:color w:val="auto"/>
                <w:sz w:val="21"/>
                <w:szCs w:val="21"/>
                <w:highlight w:val="none"/>
              </w:rPr>
            </w:pPr>
          </w:p>
          <w:p w14:paraId="3B0E7F7D">
            <w:pPr>
              <w:spacing w:line="249" w:lineRule="auto"/>
              <w:rPr>
                <w:rFonts w:ascii="Arial"/>
                <w:color w:val="auto"/>
                <w:sz w:val="21"/>
                <w:szCs w:val="21"/>
                <w:highlight w:val="none"/>
              </w:rPr>
            </w:pPr>
          </w:p>
          <w:p w14:paraId="7AB29FCD">
            <w:pPr>
              <w:spacing w:line="249" w:lineRule="auto"/>
              <w:rPr>
                <w:rFonts w:ascii="Arial"/>
                <w:color w:val="auto"/>
                <w:sz w:val="21"/>
                <w:szCs w:val="21"/>
                <w:highlight w:val="none"/>
              </w:rPr>
            </w:pPr>
          </w:p>
          <w:p w14:paraId="573BDB00">
            <w:pPr>
              <w:spacing w:line="249" w:lineRule="auto"/>
              <w:rPr>
                <w:rFonts w:ascii="Arial"/>
                <w:color w:val="auto"/>
                <w:sz w:val="21"/>
                <w:szCs w:val="21"/>
                <w:highlight w:val="none"/>
              </w:rPr>
            </w:pPr>
          </w:p>
          <w:p w14:paraId="0EB23052">
            <w:pPr>
              <w:spacing w:line="249" w:lineRule="auto"/>
              <w:rPr>
                <w:rFonts w:ascii="Arial"/>
                <w:color w:val="auto"/>
                <w:sz w:val="21"/>
                <w:szCs w:val="21"/>
                <w:highlight w:val="none"/>
              </w:rPr>
            </w:pPr>
          </w:p>
          <w:p w14:paraId="62024DA1">
            <w:pPr>
              <w:spacing w:line="249" w:lineRule="auto"/>
              <w:rPr>
                <w:rFonts w:ascii="Arial"/>
                <w:color w:val="auto"/>
                <w:sz w:val="21"/>
                <w:szCs w:val="21"/>
                <w:highlight w:val="none"/>
              </w:rPr>
            </w:pPr>
          </w:p>
          <w:p w14:paraId="3069647B">
            <w:pPr>
              <w:spacing w:line="249" w:lineRule="auto"/>
              <w:rPr>
                <w:rFonts w:ascii="Arial"/>
                <w:color w:val="auto"/>
                <w:sz w:val="21"/>
                <w:szCs w:val="21"/>
                <w:highlight w:val="none"/>
              </w:rPr>
            </w:pPr>
          </w:p>
          <w:p w14:paraId="3D999AFB">
            <w:pPr>
              <w:spacing w:line="249" w:lineRule="auto"/>
              <w:rPr>
                <w:rFonts w:ascii="Arial"/>
                <w:color w:val="auto"/>
                <w:sz w:val="21"/>
                <w:szCs w:val="21"/>
                <w:highlight w:val="none"/>
              </w:rPr>
            </w:pPr>
          </w:p>
          <w:p w14:paraId="1C5B5E98">
            <w:pPr>
              <w:spacing w:line="249" w:lineRule="auto"/>
              <w:rPr>
                <w:rFonts w:ascii="Arial"/>
                <w:color w:val="auto"/>
                <w:sz w:val="21"/>
                <w:szCs w:val="21"/>
                <w:highlight w:val="none"/>
              </w:rPr>
            </w:pPr>
          </w:p>
          <w:p w14:paraId="2466CE61">
            <w:pPr>
              <w:spacing w:line="249" w:lineRule="auto"/>
              <w:rPr>
                <w:rFonts w:ascii="Arial"/>
                <w:color w:val="auto"/>
                <w:sz w:val="21"/>
                <w:szCs w:val="21"/>
                <w:highlight w:val="none"/>
              </w:rPr>
            </w:pPr>
          </w:p>
          <w:p w14:paraId="3F2C45C5">
            <w:pPr>
              <w:spacing w:line="249" w:lineRule="auto"/>
              <w:rPr>
                <w:rFonts w:ascii="Arial"/>
                <w:color w:val="auto"/>
                <w:sz w:val="21"/>
                <w:szCs w:val="21"/>
                <w:highlight w:val="none"/>
              </w:rPr>
            </w:pPr>
          </w:p>
          <w:p w14:paraId="69A39192">
            <w:pPr>
              <w:spacing w:line="250" w:lineRule="auto"/>
              <w:rPr>
                <w:rFonts w:ascii="Arial"/>
                <w:color w:val="auto"/>
                <w:sz w:val="21"/>
                <w:szCs w:val="21"/>
                <w:highlight w:val="none"/>
              </w:rPr>
            </w:pPr>
          </w:p>
          <w:p w14:paraId="597FFBD0">
            <w:pPr>
              <w:spacing w:line="250" w:lineRule="auto"/>
              <w:rPr>
                <w:rFonts w:ascii="Arial"/>
                <w:color w:val="auto"/>
                <w:sz w:val="21"/>
                <w:szCs w:val="21"/>
                <w:highlight w:val="none"/>
              </w:rPr>
            </w:pPr>
          </w:p>
          <w:p w14:paraId="57B58DC7">
            <w:pPr>
              <w:spacing w:line="250" w:lineRule="auto"/>
              <w:rPr>
                <w:rFonts w:ascii="Arial"/>
                <w:color w:val="auto"/>
                <w:sz w:val="21"/>
                <w:szCs w:val="21"/>
                <w:highlight w:val="none"/>
              </w:rPr>
            </w:pPr>
          </w:p>
          <w:p w14:paraId="7E53568E">
            <w:pPr>
              <w:spacing w:line="250" w:lineRule="auto"/>
              <w:rPr>
                <w:rFonts w:ascii="Arial"/>
                <w:color w:val="auto"/>
                <w:sz w:val="21"/>
                <w:szCs w:val="21"/>
                <w:highlight w:val="none"/>
              </w:rPr>
            </w:pPr>
          </w:p>
          <w:p w14:paraId="76DA73EA">
            <w:pPr>
              <w:pStyle w:val="51"/>
              <w:spacing w:before="78" w:line="220" w:lineRule="auto"/>
              <w:jc w:val="center"/>
              <w:rPr>
                <w:rFonts w:hint="eastAsia" w:ascii="宋体" w:hAnsi="宋体" w:eastAsia="宋体" w:cs="宋体"/>
                <w:color w:val="auto"/>
                <w:spacing w:val="-3"/>
                <w:kern w:val="2"/>
                <w:sz w:val="21"/>
                <w:szCs w:val="21"/>
                <w:highlight w:val="none"/>
                <w:lang w:val="en-US" w:eastAsia="en-US" w:bidi="ar-SA"/>
              </w:rPr>
            </w:pPr>
            <w:r>
              <w:rPr>
                <w:rFonts w:hint="eastAsia"/>
                <w:color w:val="auto"/>
                <w:sz w:val="21"/>
                <w:szCs w:val="21"/>
                <w:highlight w:val="none"/>
                <w:lang w:eastAsia="zh-CN"/>
              </w:rPr>
              <w:t>磋商</w:t>
            </w:r>
            <w:r>
              <w:rPr>
                <w:rFonts w:hint="eastAsia"/>
                <w:color w:val="auto"/>
                <w:sz w:val="21"/>
                <w:szCs w:val="21"/>
                <w:highlight w:val="none"/>
              </w:rPr>
              <w:t>报价的其他要求</w:t>
            </w:r>
          </w:p>
        </w:tc>
        <w:tc>
          <w:tcPr>
            <w:tcW w:w="6582" w:type="dxa"/>
            <w:noWrap w:val="0"/>
            <w:vAlign w:val="top"/>
          </w:tcPr>
          <w:p w14:paraId="39473787">
            <w:pPr>
              <w:pStyle w:val="51"/>
              <w:spacing w:before="31" w:line="385" w:lineRule="auto"/>
              <w:ind w:left="6" w:right="22" w:firstLine="12"/>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kern w:val="2"/>
                <w:sz w:val="21"/>
                <w:szCs w:val="21"/>
                <w:highlight w:val="none"/>
                <w:lang w:val="en-US" w:eastAsia="zh-CN" w:bidi="ar-SA"/>
              </w:rPr>
              <w:t>)</w:t>
            </w:r>
            <w:r>
              <w:rPr>
                <w:rFonts w:hint="eastAsia"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报价填报下浮率，下浮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w:t>
            </w:r>
            <w:r>
              <w:rPr>
                <w:rFonts w:hint="eastAsia" w:cs="宋体"/>
                <w:color w:val="auto"/>
                <w:sz w:val="21"/>
                <w:szCs w:val="21"/>
                <w:highlight w:val="none"/>
                <w:lang w:val="en-US" w:eastAsia="zh-CN"/>
              </w:rPr>
              <w:t>下浮率请参照附件“2025年公务用车维修和保养服务项目清单及计价表”合理填报。</w:t>
            </w:r>
          </w:p>
          <w:p w14:paraId="5EE7D4CC">
            <w:pPr>
              <w:pStyle w:val="51"/>
              <w:spacing w:before="31" w:line="385" w:lineRule="auto"/>
              <w:ind w:left="6" w:right="22" w:firstLine="12"/>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cs="宋体"/>
                <w:color w:val="auto"/>
                <w:sz w:val="21"/>
                <w:szCs w:val="21"/>
                <w:highlight w:val="none"/>
                <w:lang w:val="en-US" w:eastAsia="zh-CN"/>
              </w:rPr>
              <w:t>2</w:t>
            </w:r>
            <w:r>
              <w:rPr>
                <w:rFonts w:hint="eastAsia" w:ascii="宋体" w:hAnsi="宋体" w:eastAsia="宋体" w:cs="宋体"/>
                <w:color w:val="auto"/>
                <w:kern w:val="2"/>
                <w:sz w:val="21"/>
                <w:szCs w:val="21"/>
                <w:highlight w:val="none"/>
                <w:lang w:val="en-US" w:eastAsia="zh-CN" w:bidi="ar-SA"/>
              </w:rPr>
              <w:t>)本次磋商报价为</w:t>
            </w:r>
            <w:r>
              <w:rPr>
                <w:rFonts w:hint="eastAsia" w:cs="宋体"/>
                <w:color w:val="auto"/>
                <w:kern w:val="2"/>
                <w:sz w:val="21"/>
                <w:szCs w:val="21"/>
                <w:highlight w:val="none"/>
                <w:lang w:val="en-US" w:eastAsia="zh-CN" w:bidi="ar-SA"/>
              </w:rPr>
              <w:t>下浮率</w:t>
            </w:r>
            <w:r>
              <w:rPr>
                <w:rFonts w:hint="eastAsia" w:ascii="宋体" w:hAnsi="宋体" w:eastAsia="宋体" w:cs="宋体"/>
                <w:color w:val="auto"/>
                <w:kern w:val="2"/>
                <w:sz w:val="21"/>
                <w:szCs w:val="21"/>
                <w:highlight w:val="none"/>
                <w:lang w:val="en-US" w:eastAsia="zh-CN" w:bidi="ar-SA"/>
              </w:rPr>
              <w:t>报价，报价应为人民币含税价（元），包括</w:t>
            </w:r>
            <w:r>
              <w:rPr>
                <w:rFonts w:hint="eastAsia" w:ascii="宋体" w:hAnsi="宋体" w:eastAsia="宋体" w:cs="宋体"/>
                <w:color w:val="auto"/>
                <w:kern w:val="2"/>
                <w:sz w:val="21"/>
                <w:szCs w:val="21"/>
                <w:highlight w:val="none"/>
                <w:lang w:val="zh-CN" w:eastAsia="zh-CN" w:bidi="ar-SA"/>
              </w:rPr>
              <w:t>本次采购所涉及的全部服务内容，以及相应的项目服务管理费、人工费、差</w:t>
            </w:r>
            <w:r>
              <w:rPr>
                <w:rFonts w:hint="eastAsia" w:ascii="宋体" w:hAnsi="宋体" w:eastAsia="宋体" w:cs="宋体"/>
                <w:b w:val="0"/>
                <w:bCs w:val="0"/>
                <w:color w:val="auto"/>
                <w:sz w:val="21"/>
                <w:szCs w:val="21"/>
                <w:highlight w:val="none"/>
                <w:lang w:val="zh-CN" w:eastAsia="zh-CN"/>
              </w:rPr>
              <w:t>旅费、税费、风险费、代理服务费等以及保证项目顺利开展的所有费用。</w:t>
            </w:r>
          </w:p>
          <w:p w14:paraId="6B90AF04">
            <w:pPr>
              <w:pStyle w:val="51"/>
              <w:spacing w:before="31" w:line="385" w:lineRule="auto"/>
              <w:ind w:left="6" w:right="22" w:firstLine="12"/>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w:t>
            </w:r>
            <w:r>
              <w:rPr>
                <w:rFonts w:hint="eastAsia"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val="en-US" w:eastAsia="zh-CN"/>
              </w:rPr>
              <w:t>)供应商应承担所有与参加磋商有关的自身的所有费用，不论采购的结</w:t>
            </w:r>
            <w:r>
              <w:rPr>
                <w:rFonts w:hint="eastAsia" w:ascii="宋体" w:hAnsi="宋体" w:eastAsia="宋体" w:cs="宋体"/>
                <w:color w:val="auto"/>
                <w:kern w:val="2"/>
                <w:sz w:val="21"/>
                <w:szCs w:val="21"/>
                <w:highlight w:val="none"/>
                <w:lang w:val="en-US" w:eastAsia="zh-CN" w:bidi="ar-SA"/>
              </w:rPr>
              <w:t>果如何，采购代理机构和采购人在任何情况下均无义务和责任承担这些费用。</w:t>
            </w:r>
          </w:p>
          <w:p w14:paraId="7717FF71">
            <w:pPr>
              <w:pStyle w:val="51"/>
              <w:spacing w:before="31" w:line="385" w:lineRule="auto"/>
              <w:ind w:left="6" w:right="22" w:firstLine="12"/>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)成交服务费根据“政府采购代理机构管理暂行办法”的规定，由成交人向采购代理机构支付，服务费按《云南省建设工程招标代理服务收费参考意见》的通知云建招协〔2024〕58号，计算后优惠20%收取</w:t>
            </w:r>
            <w:r>
              <w:rPr>
                <w:rFonts w:hint="eastAsia" w:ascii="宋体" w:hAnsi="宋体" w:eastAsia="宋体" w:cs="宋体"/>
                <w:b w:val="0"/>
                <w:bCs w:val="0"/>
                <w:color w:val="auto"/>
                <w:sz w:val="21"/>
                <w:szCs w:val="21"/>
                <w:highlight w:val="none"/>
                <w:lang w:eastAsia="zh-CN"/>
              </w:rPr>
              <w:t>，由成交人向德宏众恒工程管理有限公司交纳</w:t>
            </w:r>
            <w:r>
              <w:rPr>
                <w:rFonts w:hint="eastAsia" w:ascii="宋体" w:hAnsi="宋体" w:eastAsia="宋体" w:cs="宋体"/>
                <w:color w:val="auto"/>
                <w:sz w:val="21"/>
                <w:szCs w:val="21"/>
                <w:highlight w:val="none"/>
                <w:lang w:val="en-US" w:eastAsia="zh-CN"/>
              </w:rPr>
              <w:t>。</w:t>
            </w:r>
          </w:p>
          <w:p w14:paraId="1AA67FC9">
            <w:pPr>
              <w:pStyle w:val="51"/>
              <w:spacing w:before="31" w:line="385" w:lineRule="auto"/>
              <w:ind w:left="6" w:right="22" w:firstLine="12"/>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中标服务费按差额定率累进法计算以单个项目 (或标段)</w:t>
            </w:r>
            <w:r>
              <w:rPr>
                <w:rFonts w:hint="eastAsia" w:cs="宋体"/>
                <w:color w:val="auto"/>
                <w:sz w:val="21"/>
                <w:szCs w:val="21"/>
                <w:highlight w:val="none"/>
                <w:lang w:val="en-US" w:eastAsia="zh-CN"/>
              </w:rPr>
              <w:t>中标</w:t>
            </w:r>
            <w:r>
              <w:rPr>
                <w:rFonts w:hint="eastAsia" w:ascii="宋体" w:hAnsi="宋体" w:eastAsia="宋体" w:cs="宋体"/>
                <w:color w:val="auto"/>
                <w:sz w:val="21"/>
                <w:szCs w:val="21"/>
                <w:highlight w:val="none"/>
                <w:lang w:val="en-US" w:eastAsia="zh-CN"/>
              </w:rPr>
              <w:t>通知书的中标金额为计算基数。中标金额大于50万时，50万元以内的固定费金额不参与累进，直接以</w:t>
            </w:r>
            <w:r>
              <w:rPr>
                <w:rFonts w:hint="eastAsia" w:cs="宋体"/>
                <w:color w:val="auto"/>
                <w:sz w:val="21"/>
                <w:szCs w:val="21"/>
                <w:highlight w:val="none"/>
                <w:lang w:val="en-US" w:eastAsia="zh-CN"/>
              </w:rPr>
              <w:t>50万-100万</w:t>
            </w:r>
            <w:r>
              <w:rPr>
                <w:rFonts w:hint="eastAsia" w:ascii="宋体" w:hAnsi="宋体" w:eastAsia="宋体" w:cs="宋体"/>
                <w:color w:val="auto"/>
                <w:sz w:val="21"/>
                <w:szCs w:val="21"/>
                <w:highlight w:val="none"/>
                <w:lang w:val="en-US" w:eastAsia="zh-CN"/>
              </w:rPr>
              <w:t>元(含)的费率进行计算。中标服务费向中标人收取，中标人应在领取“</w:t>
            </w:r>
            <w:r>
              <w:rPr>
                <w:rFonts w:hint="eastAsia" w:cs="宋体"/>
                <w:color w:val="auto"/>
                <w:sz w:val="21"/>
                <w:szCs w:val="21"/>
                <w:highlight w:val="none"/>
                <w:lang w:val="en-US" w:eastAsia="zh-CN"/>
              </w:rPr>
              <w:t>成交</w:t>
            </w:r>
            <w:r>
              <w:rPr>
                <w:rFonts w:hint="eastAsia" w:ascii="宋体" w:hAnsi="宋体" w:eastAsia="宋体" w:cs="宋体"/>
                <w:color w:val="auto"/>
                <w:sz w:val="21"/>
                <w:szCs w:val="21"/>
                <w:highlight w:val="none"/>
                <w:lang w:val="en-US" w:eastAsia="zh-CN"/>
              </w:rPr>
              <w:t>通知书”前向采购代理机构一次付清。标准如下：</w:t>
            </w:r>
          </w:p>
          <w:tbl>
            <w:tblPr>
              <w:tblStyle w:val="33"/>
              <w:tblW w:w="4699" w:type="pct"/>
              <w:tblInd w:w="245" w:type="dxa"/>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340"/>
              <w:gridCol w:w="1372"/>
              <w:gridCol w:w="1213"/>
              <w:gridCol w:w="1211"/>
            </w:tblGrid>
            <w:tr w14:paraId="544C5CD7">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281" w:hRule="atLeast"/>
              </w:trPr>
              <w:tc>
                <w:tcPr>
                  <w:tcW w:w="1906" w:type="pct"/>
                  <w:vMerge w:val="restart"/>
                  <w:noWrap w:val="0"/>
                  <w:vAlign w:val="center"/>
                </w:tcPr>
                <w:p w14:paraId="2CCE5D05">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计价金额（万元）</w:t>
                  </w:r>
                </w:p>
              </w:tc>
              <w:tc>
                <w:tcPr>
                  <w:tcW w:w="3093" w:type="pct"/>
                  <w:gridSpan w:val="3"/>
                  <w:noWrap w:val="0"/>
                  <w:vAlign w:val="center"/>
                </w:tcPr>
                <w:p w14:paraId="3D9B4BFA">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收费标准（费率）</w:t>
                  </w:r>
                </w:p>
              </w:tc>
            </w:tr>
            <w:tr w14:paraId="29F35B92">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65" w:hRule="atLeast"/>
              </w:trPr>
              <w:tc>
                <w:tcPr>
                  <w:tcW w:w="1906" w:type="pct"/>
                  <w:vMerge w:val="continue"/>
                  <w:shd w:val="clear" w:color="auto" w:fill="auto"/>
                  <w:noWrap w:val="0"/>
                  <w:vAlign w:val="center"/>
                </w:tcPr>
                <w:p w14:paraId="1A0DB7A7">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p>
              </w:tc>
              <w:tc>
                <w:tcPr>
                  <w:tcW w:w="1117" w:type="pct"/>
                  <w:shd w:val="clear" w:color="auto" w:fill="auto"/>
                  <w:noWrap w:val="0"/>
                  <w:vAlign w:val="center"/>
                </w:tcPr>
                <w:p w14:paraId="4F434772">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货物</w:t>
                  </w:r>
                </w:p>
              </w:tc>
              <w:tc>
                <w:tcPr>
                  <w:tcW w:w="988" w:type="pct"/>
                  <w:shd w:val="clear" w:color="auto" w:fill="00B0F0"/>
                  <w:noWrap w:val="0"/>
                  <w:vAlign w:val="center"/>
                </w:tcPr>
                <w:p w14:paraId="7AD1E786">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服务</w:t>
                  </w:r>
                </w:p>
              </w:tc>
              <w:tc>
                <w:tcPr>
                  <w:tcW w:w="986" w:type="pct"/>
                  <w:noWrap w:val="0"/>
                  <w:vAlign w:val="center"/>
                </w:tcPr>
                <w:p w14:paraId="6C5E5C2B">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工程</w:t>
                  </w:r>
                </w:p>
              </w:tc>
            </w:tr>
            <w:tr w14:paraId="2A9695E4">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31" w:hRule="atLeast"/>
              </w:trPr>
              <w:tc>
                <w:tcPr>
                  <w:tcW w:w="1906" w:type="pct"/>
                  <w:shd w:val="clear" w:color="auto" w:fill="auto"/>
                  <w:noWrap w:val="0"/>
                  <w:vAlign w:val="center"/>
                </w:tcPr>
                <w:p w14:paraId="3D0E81B6">
                  <w:pPr>
                    <w:pStyle w:val="51"/>
                    <w:spacing w:before="31" w:line="385" w:lineRule="auto"/>
                    <w:ind w:left="6" w:right="22" w:firstLine="12"/>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50万元及以下</w:t>
                  </w:r>
                </w:p>
              </w:tc>
              <w:tc>
                <w:tcPr>
                  <w:tcW w:w="1117" w:type="pct"/>
                  <w:shd w:val="clear" w:color="auto" w:fill="auto"/>
                  <w:noWrap w:val="0"/>
                  <w:vAlign w:val="center"/>
                </w:tcPr>
                <w:p w14:paraId="739114B3">
                  <w:pPr>
                    <w:pStyle w:val="51"/>
                    <w:spacing w:before="31" w:line="385" w:lineRule="auto"/>
                    <w:ind w:left="6" w:right="22" w:firstLine="12"/>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0.7万元</w:t>
                  </w:r>
                </w:p>
              </w:tc>
              <w:tc>
                <w:tcPr>
                  <w:tcW w:w="988" w:type="pct"/>
                  <w:shd w:val="clear" w:color="auto" w:fill="00B0F0"/>
                  <w:noWrap w:val="0"/>
                  <w:vAlign w:val="center"/>
                </w:tcPr>
                <w:p w14:paraId="6820D32E">
                  <w:pPr>
                    <w:pStyle w:val="51"/>
                    <w:spacing w:before="31" w:line="385" w:lineRule="auto"/>
                    <w:ind w:left="6" w:right="22" w:firstLine="12"/>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0.7万元</w:t>
                  </w:r>
                </w:p>
              </w:tc>
              <w:tc>
                <w:tcPr>
                  <w:tcW w:w="986" w:type="pct"/>
                  <w:noWrap w:val="0"/>
                  <w:vAlign w:val="center"/>
                </w:tcPr>
                <w:p w14:paraId="149DC4E5">
                  <w:pPr>
                    <w:pStyle w:val="51"/>
                    <w:spacing w:before="31" w:line="385" w:lineRule="auto"/>
                    <w:ind w:left="6" w:right="22" w:firstLine="12"/>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0.7万元</w:t>
                  </w:r>
                </w:p>
              </w:tc>
            </w:tr>
            <w:tr w14:paraId="508BE027">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1906" w:type="pct"/>
                  <w:shd w:val="clear" w:color="auto" w:fill="auto"/>
                  <w:noWrap w:val="0"/>
                  <w:vAlign w:val="top"/>
                </w:tcPr>
                <w:p w14:paraId="04945F8A">
                  <w:pPr>
                    <w:pStyle w:val="51"/>
                    <w:spacing w:before="31" w:line="385" w:lineRule="auto"/>
                    <w:ind w:left="6" w:right="22" w:firstLine="12"/>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50-100</w:t>
                  </w:r>
                  <w:r>
                    <w:rPr>
                      <w:rFonts w:hint="eastAsia" w:ascii="宋体" w:hAnsi="宋体" w:eastAsia="宋体" w:cs="宋体"/>
                      <w:color w:val="auto"/>
                      <w:sz w:val="21"/>
                      <w:szCs w:val="21"/>
                      <w:highlight w:val="none"/>
                      <w:lang w:eastAsia="zh-CN"/>
                    </w:rPr>
                    <w:t>（含）</w:t>
                  </w:r>
                </w:p>
              </w:tc>
              <w:tc>
                <w:tcPr>
                  <w:tcW w:w="1117" w:type="pct"/>
                  <w:shd w:val="clear" w:color="auto" w:fill="auto"/>
                  <w:noWrap w:val="0"/>
                  <w:vAlign w:val="top"/>
                </w:tcPr>
                <w:p w14:paraId="58029D7B">
                  <w:pPr>
                    <w:pStyle w:val="51"/>
                    <w:spacing w:before="31" w:line="385" w:lineRule="auto"/>
                    <w:ind w:left="6" w:right="22" w:firstLine="12"/>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988" w:type="pct"/>
                  <w:shd w:val="clear" w:color="auto" w:fill="00B0F0"/>
                  <w:noWrap w:val="0"/>
                  <w:vAlign w:val="top"/>
                </w:tcPr>
                <w:p w14:paraId="390A8D9F">
                  <w:pPr>
                    <w:pStyle w:val="51"/>
                    <w:spacing w:before="31" w:line="385" w:lineRule="auto"/>
                    <w:ind w:left="6" w:right="22" w:firstLine="12"/>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986" w:type="pct"/>
                  <w:noWrap w:val="0"/>
                  <w:vAlign w:val="top"/>
                </w:tcPr>
                <w:p w14:paraId="3BAD01A5">
                  <w:pPr>
                    <w:pStyle w:val="51"/>
                    <w:spacing w:before="31" w:line="385" w:lineRule="auto"/>
                    <w:ind w:left="6" w:right="22" w:firstLine="12"/>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r>
            <w:tr w14:paraId="3BE443F5">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906" w:type="pct"/>
                  <w:shd w:val="clear" w:color="auto" w:fill="auto"/>
                  <w:noWrap w:val="0"/>
                  <w:vAlign w:val="top"/>
                </w:tcPr>
                <w:p w14:paraId="7049A1F6">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100—500（含）</w:t>
                  </w:r>
                </w:p>
              </w:tc>
              <w:tc>
                <w:tcPr>
                  <w:tcW w:w="1117" w:type="pct"/>
                  <w:shd w:val="clear" w:color="auto" w:fill="auto"/>
                  <w:noWrap w:val="0"/>
                  <w:vAlign w:val="top"/>
                </w:tcPr>
                <w:p w14:paraId="53D03C29">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eastAsia="zh-CN"/>
                    </w:rPr>
                    <w:t>%</w:t>
                  </w:r>
                </w:p>
              </w:tc>
              <w:tc>
                <w:tcPr>
                  <w:tcW w:w="988" w:type="pct"/>
                  <w:shd w:val="clear" w:color="auto" w:fill="00B0F0"/>
                  <w:noWrap w:val="0"/>
                  <w:vAlign w:val="top"/>
                </w:tcPr>
                <w:p w14:paraId="155534AD">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eastAsia="zh-CN"/>
                    </w:rPr>
                    <w:t>%</w:t>
                  </w:r>
                </w:p>
              </w:tc>
              <w:tc>
                <w:tcPr>
                  <w:tcW w:w="986" w:type="pct"/>
                  <w:noWrap w:val="0"/>
                  <w:vAlign w:val="top"/>
                </w:tcPr>
                <w:p w14:paraId="71A51AD1">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p>
              </w:tc>
            </w:tr>
            <w:tr w14:paraId="75148006">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906" w:type="pct"/>
                  <w:shd w:val="clear" w:color="auto" w:fill="auto"/>
                  <w:noWrap w:val="0"/>
                  <w:vAlign w:val="top"/>
                </w:tcPr>
                <w:p w14:paraId="4A9ABE9D">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500—1000（含）</w:t>
                  </w:r>
                </w:p>
              </w:tc>
              <w:tc>
                <w:tcPr>
                  <w:tcW w:w="1117" w:type="pct"/>
                  <w:shd w:val="clear" w:color="auto" w:fill="auto"/>
                  <w:noWrap w:val="0"/>
                  <w:vAlign w:val="top"/>
                </w:tcPr>
                <w:p w14:paraId="6A3532B3">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p>
              </w:tc>
              <w:tc>
                <w:tcPr>
                  <w:tcW w:w="988" w:type="pct"/>
                  <w:shd w:val="clear" w:color="auto" w:fill="00B0F0"/>
                  <w:noWrap w:val="0"/>
                  <w:vAlign w:val="top"/>
                </w:tcPr>
                <w:p w14:paraId="23066DBA">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lang w:eastAsia="zh-CN"/>
                    </w:rPr>
                    <w:t>%</w:t>
                  </w:r>
                </w:p>
              </w:tc>
              <w:tc>
                <w:tcPr>
                  <w:tcW w:w="986" w:type="pct"/>
                  <w:noWrap w:val="0"/>
                  <w:vAlign w:val="top"/>
                </w:tcPr>
                <w:p w14:paraId="126C63E7">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0.7</w:t>
                  </w:r>
                  <w:r>
                    <w:rPr>
                      <w:rFonts w:hint="eastAsia" w:ascii="宋体" w:hAnsi="宋体" w:eastAsia="宋体" w:cs="宋体"/>
                      <w:color w:val="auto"/>
                      <w:sz w:val="21"/>
                      <w:szCs w:val="21"/>
                      <w:highlight w:val="none"/>
                      <w:lang w:eastAsia="zh-CN"/>
                    </w:rPr>
                    <w:t>%</w:t>
                  </w:r>
                </w:p>
              </w:tc>
            </w:tr>
            <w:tr w14:paraId="49337117">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906" w:type="pct"/>
                  <w:shd w:val="clear" w:color="auto" w:fill="auto"/>
                  <w:noWrap w:val="0"/>
                  <w:vAlign w:val="top"/>
                </w:tcPr>
                <w:p w14:paraId="79C5DF26">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1000—5000（含）</w:t>
                  </w:r>
                </w:p>
              </w:tc>
              <w:tc>
                <w:tcPr>
                  <w:tcW w:w="1117" w:type="pct"/>
                  <w:shd w:val="clear" w:color="auto" w:fill="auto"/>
                  <w:noWrap w:val="0"/>
                  <w:vAlign w:val="top"/>
                </w:tcPr>
                <w:p w14:paraId="6A5DD393">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0.7</w:t>
                  </w:r>
                  <w:r>
                    <w:rPr>
                      <w:rFonts w:hint="eastAsia" w:ascii="宋体" w:hAnsi="宋体" w:eastAsia="宋体" w:cs="宋体"/>
                      <w:color w:val="auto"/>
                      <w:sz w:val="21"/>
                      <w:szCs w:val="21"/>
                      <w:highlight w:val="none"/>
                      <w:lang w:eastAsia="zh-CN"/>
                    </w:rPr>
                    <w:t>%</w:t>
                  </w:r>
                </w:p>
              </w:tc>
              <w:tc>
                <w:tcPr>
                  <w:tcW w:w="988" w:type="pct"/>
                  <w:shd w:val="clear" w:color="auto" w:fill="00B0F0"/>
                  <w:noWrap w:val="0"/>
                  <w:vAlign w:val="top"/>
                </w:tcPr>
                <w:p w14:paraId="752C6B3A">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0.4</w:t>
                  </w:r>
                  <w:r>
                    <w:rPr>
                      <w:rFonts w:hint="eastAsia" w:ascii="宋体" w:hAnsi="宋体" w:eastAsia="宋体" w:cs="宋体"/>
                      <w:color w:val="auto"/>
                      <w:sz w:val="21"/>
                      <w:szCs w:val="21"/>
                      <w:highlight w:val="none"/>
                      <w:lang w:eastAsia="zh-CN"/>
                    </w:rPr>
                    <w:t>%</w:t>
                  </w:r>
                </w:p>
              </w:tc>
              <w:tc>
                <w:tcPr>
                  <w:tcW w:w="986" w:type="pct"/>
                  <w:noWrap w:val="0"/>
                  <w:vAlign w:val="top"/>
                </w:tcPr>
                <w:p w14:paraId="568ACC06">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0.4</w:t>
                  </w:r>
                  <w:r>
                    <w:rPr>
                      <w:rFonts w:hint="eastAsia" w:ascii="宋体" w:hAnsi="宋体" w:eastAsia="宋体" w:cs="宋体"/>
                      <w:color w:val="auto"/>
                      <w:sz w:val="21"/>
                      <w:szCs w:val="21"/>
                      <w:highlight w:val="none"/>
                      <w:lang w:eastAsia="zh-CN"/>
                    </w:rPr>
                    <w:t>%</w:t>
                  </w:r>
                </w:p>
              </w:tc>
            </w:tr>
            <w:tr w14:paraId="2438115E">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906" w:type="pct"/>
                  <w:shd w:val="clear" w:color="auto" w:fill="auto"/>
                  <w:noWrap w:val="0"/>
                  <w:vAlign w:val="top"/>
                </w:tcPr>
                <w:p w14:paraId="516A9AC5">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5000—10000（含）</w:t>
                  </w:r>
                </w:p>
              </w:tc>
              <w:tc>
                <w:tcPr>
                  <w:tcW w:w="1117" w:type="pct"/>
                  <w:shd w:val="clear" w:color="auto" w:fill="auto"/>
                  <w:noWrap w:val="0"/>
                  <w:vAlign w:val="top"/>
                </w:tcPr>
                <w:p w14:paraId="409A1E05">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0.25</w:t>
                  </w:r>
                  <w:r>
                    <w:rPr>
                      <w:rFonts w:hint="eastAsia" w:ascii="宋体" w:hAnsi="宋体" w:eastAsia="宋体" w:cs="宋体"/>
                      <w:color w:val="auto"/>
                      <w:sz w:val="21"/>
                      <w:szCs w:val="21"/>
                      <w:highlight w:val="none"/>
                      <w:lang w:eastAsia="zh-CN"/>
                    </w:rPr>
                    <w:t>%</w:t>
                  </w:r>
                </w:p>
              </w:tc>
              <w:tc>
                <w:tcPr>
                  <w:tcW w:w="988" w:type="pct"/>
                  <w:shd w:val="clear" w:color="auto" w:fill="00B0F0"/>
                  <w:noWrap w:val="0"/>
                  <w:vAlign w:val="top"/>
                </w:tcPr>
                <w:p w14:paraId="57C95599">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0.1%</w:t>
                  </w:r>
                </w:p>
              </w:tc>
              <w:tc>
                <w:tcPr>
                  <w:tcW w:w="986" w:type="pct"/>
                  <w:noWrap w:val="0"/>
                  <w:vAlign w:val="top"/>
                </w:tcPr>
                <w:p w14:paraId="1B5901C1">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p>
              </w:tc>
            </w:tr>
          </w:tbl>
          <w:p w14:paraId="3FC05CEE">
            <w:pPr>
              <w:pStyle w:val="51"/>
              <w:spacing w:before="31" w:line="385" w:lineRule="auto"/>
              <w:ind w:left="6" w:leftChars="0" w:right="22" w:rightChars="0" w:firstLine="12" w:firstLineChars="0"/>
              <w:jc w:val="both"/>
              <w:rPr>
                <w:rFonts w:hint="eastAsia"/>
                <w:color w:val="auto"/>
                <w:sz w:val="21"/>
                <w:szCs w:val="21"/>
                <w:highlight w:val="none"/>
                <w:lang w:val="en-US" w:eastAsia="zh-CN"/>
              </w:rPr>
            </w:pPr>
          </w:p>
        </w:tc>
      </w:tr>
      <w:tr w14:paraId="571C73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953" w:type="dxa"/>
            <w:noWrap w:val="0"/>
            <w:vAlign w:val="center"/>
          </w:tcPr>
          <w:p w14:paraId="3F5C7602">
            <w:pPr>
              <w:pStyle w:val="51"/>
              <w:spacing w:before="78" w:line="184" w:lineRule="auto"/>
              <w:jc w:val="center"/>
              <w:rPr>
                <w:rFonts w:hint="eastAsia" w:eastAsia="宋体"/>
                <w:color w:val="auto"/>
                <w:spacing w:val="-14"/>
                <w:sz w:val="21"/>
                <w:szCs w:val="21"/>
                <w:highlight w:val="none"/>
                <w:lang w:val="en-US" w:eastAsia="zh-CN"/>
              </w:rPr>
            </w:pPr>
            <w:r>
              <w:rPr>
                <w:color w:val="auto"/>
                <w:spacing w:val="-14"/>
                <w:sz w:val="21"/>
                <w:szCs w:val="21"/>
                <w:highlight w:val="none"/>
              </w:rPr>
              <w:t>1</w:t>
            </w:r>
            <w:r>
              <w:rPr>
                <w:rFonts w:hint="eastAsia"/>
                <w:color w:val="auto"/>
                <w:spacing w:val="-14"/>
                <w:sz w:val="21"/>
                <w:szCs w:val="21"/>
                <w:highlight w:val="none"/>
                <w:lang w:val="en-US" w:eastAsia="zh-CN"/>
              </w:rPr>
              <w:t>0</w:t>
            </w:r>
          </w:p>
        </w:tc>
        <w:tc>
          <w:tcPr>
            <w:tcW w:w="1677" w:type="dxa"/>
            <w:noWrap w:val="0"/>
            <w:vAlign w:val="center"/>
          </w:tcPr>
          <w:p w14:paraId="7CE6BE27">
            <w:pPr>
              <w:pStyle w:val="51"/>
              <w:spacing w:before="147" w:line="278" w:lineRule="auto"/>
              <w:ind w:right="44" w:rightChars="0"/>
              <w:jc w:val="center"/>
              <w:rPr>
                <w:rFonts w:hint="eastAsia"/>
                <w:color w:val="auto"/>
                <w:sz w:val="21"/>
                <w:szCs w:val="21"/>
                <w:highlight w:val="none"/>
              </w:rPr>
            </w:pPr>
            <w:r>
              <w:rPr>
                <w:rFonts w:hint="eastAsia"/>
                <w:color w:val="auto"/>
                <w:sz w:val="21"/>
                <w:szCs w:val="21"/>
                <w:highlight w:val="none"/>
                <w:lang w:eastAsia="zh-CN"/>
              </w:rPr>
              <w:t>磋商</w:t>
            </w:r>
            <w:r>
              <w:rPr>
                <w:rFonts w:hint="eastAsia"/>
                <w:color w:val="auto"/>
                <w:sz w:val="21"/>
                <w:szCs w:val="21"/>
                <w:highlight w:val="none"/>
              </w:rPr>
              <w:t>保证金</w:t>
            </w:r>
          </w:p>
        </w:tc>
        <w:tc>
          <w:tcPr>
            <w:tcW w:w="6582" w:type="dxa"/>
            <w:noWrap w:val="0"/>
            <w:vAlign w:val="top"/>
          </w:tcPr>
          <w:p w14:paraId="7770EAA3">
            <w:pPr>
              <w:pStyle w:val="51"/>
              <w:spacing w:before="31" w:line="385" w:lineRule="auto"/>
              <w:ind w:right="2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①保证金金额：</w:t>
            </w:r>
            <w:r>
              <w:rPr>
                <w:rFonts w:hint="eastAsia" w:cs="宋体"/>
                <w:color w:val="auto"/>
                <w:sz w:val="21"/>
                <w:szCs w:val="21"/>
                <w:highlight w:val="none"/>
                <w:lang w:eastAsia="zh-CN"/>
              </w:rPr>
              <w:t>人民币贰仟伍元整（¥2500.00元）</w:t>
            </w:r>
          </w:p>
          <w:p w14:paraId="781C0CF4">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根据《云南省发展和改革委员会等部门关于鼓励减免政府投资项目投标保证金的通知》（云发改交易管理〔2023〕397号），政府投资项目进行招标投标活动时，减免投标保证金，降幅不得低于现收取数额的50%的要求。本项目投标保证金降幅严格按照要求执行。</w:t>
            </w:r>
          </w:p>
          <w:p w14:paraId="4A3684BC">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②截止时间：递交响应文件截止时间；</w:t>
            </w:r>
          </w:p>
          <w:p w14:paraId="07F7D1EF">
            <w:pPr>
              <w:pStyle w:val="51"/>
              <w:spacing w:before="31" w:line="385" w:lineRule="auto"/>
              <w:ind w:left="6" w:right="22" w:firstLine="1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③交纳形式：</w:t>
            </w:r>
          </w:p>
          <w:p w14:paraId="6B8187DF">
            <w:pPr>
              <w:pStyle w:val="51"/>
              <w:spacing w:before="31" w:line="385" w:lineRule="auto"/>
              <w:ind w:left="6" w:right="22" w:firstLine="12"/>
              <w:jc w:val="both"/>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可以采用“银行转账”“银行保函”“投标保证保险”任一方式，其中采用“银行转账”方式的，供应商以支票、汇票、本票、网上银行支付等非现金形式汇入指定账户</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交纳</w:t>
            </w:r>
            <w:r>
              <w:rPr>
                <w:rFonts w:hint="eastAsia" w:ascii="宋体" w:hAnsi="宋体" w:eastAsia="宋体" w:cs="宋体"/>
                <w:b/>
                <w:bCs/>
                <w:color w:val="auto"/>
                <w:sz w:val="21"/>
                <w:szCs w:val="21"/>
                <w:highlight w:val="none"/>
              </w:rPr>
              <w:t>时请备注项目名称或者</w:t>
            </w:r>
            <w:r>
              <w:rPr>
                <w:rFonts w:hint="eastAsia" w:cs="宋体"/>
                <w:b/>
                <w:bCs/>
                <w:color w:val="auto"/>
                <w:sz w:val="21"/>
                <w:szCs w:val="21"/>
                <w:highlight w:val="none"/>
                <w:lang w:eastAsia="zh-CN"/>
              </w:rPr>
              <w:t>项目编号</w:t>
            </w:r>
            <w:r>
              <w:rPr>
                <w:rFonts w:hint="eastAsia" w:ascii="宋体" w:hAnsi="宋体" w:eastAsia="宋体" w:cs="宋体"/>
                <w:b/>
                <w:bCs/>
                <w:color w:val="auto"/>
                <w:sz w:val="21"/>
                <w:szCs w:val="21"/>
                <w:highlight w:val="none"/>
              </w:rPr>
              <w:t>，如因供应商未提交保证金导致响应文件被拒收的，责任由供应商自行承担）</w:t>
            </w:r>
            <w:r>
              <w:rPr>
                <w:rFonts w:hint="eastAsia" w:ascii="宋体" w:hAnsi="宋体" w:eastAsia="宋体" w:cs="宋体"/>
                <w:b/>
                <w:bCs/>
                <w:color w:val="auto"/>
                <w:sz w:val="21"/>
                <w:szCs w:val="21"/>
                <w:highlight w:val="none"/>
                <w:lang w:eastAsia="zh-CN"/>
              </w:rPr>
              <w:t>：</w:t>
            </w:r>
          </w:p>
          <w:p w14:paraId="793E5F75">
            <w:pPr>
              <w:pStyle w:val="51"/>
              <w:spacing w:before="31" w:line="385" w:lineRule="auto"/>
              <w:ind w:left="6" w:right="22" w:firstLine="12"/>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户名：德宏众恒工程管理有限公司</w:t>
            </w:r>
          </w:p>
          <w:p w14:paraId="6E1A6FE4">
            <w:pPr>
              <w:pStyle w:val="51"/>
              <w:spacing w:before="31" w:line="385" w:lineRule="auto"/>
              <w:ind w:left="6" w:right="22" w:firstLine="12"/>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开户银行：富滇银行股份有限公司德宏芒市支行</w:t>
            </w:r>
          </w:p>
          <w:p w14:paraId="14AB3C3F">
            <w:pPr>
              <w:pStyle w:val="51"/>
              <w:spacing w:before="31" w:line="385" w:lineRule="auto"/>
              <w:ind w:left="6" w:right="22" w:firstLine="12"/>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账号：820021010000097453</w:t>
            </w:r>
          </w:p>
          <w:p w14:paraId="00AA2C6A">
            <w:pPr>
              <w:pStyle w:val="51"/>
              <w:spacing w:before="31" w:line="385" w:lineRule="auto"/>
              <w:ind w:left="6" w:leftChars="0" w:right="22" w:rightChars="0" w:firstLine="12" w:firstLineChars="0"/>
              <w:jc w:val="both"/>
              <w:rPr>
                <w:rFonts w:hint="eastAsia"/>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联行号：313754000014</w:t>
            </w:r>
          </w:p>
        </w:tc>
      </w:tr>
      <w:tr w14:paraId="7AFDCF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jc w:val="center"/>
        </w:trPr>
        <w:tc>
          <w:tcPr>
            <w:tcW w:w="953" w:type="dxa"/>
            <w:noWrap w:val="0"/>
            <w:vAlign w:val="center"/>
          </w:tcPr>
          <w:p w14:paraId="505011B3">
            <w:pPr>
              <w:pStyle w:val="51"/>
              <w:spacing w:before="78" w:line="183" w:lineRule="auto"/>
              <w:jc w:val="center"/>
              <w:rPr>
                <w:rFonts w:hint="eastAsia" w:ascii="宋体" w:hAnsi="宋体" w:eastAsia="宋体" w:cs="宋体"/>
                <w:color w:val="auto"/>
                <w:spacing w:val="-3"/>
                <w:kern w:val="2"/>
                <w:sz w:val="21"/>
                <w:szCs w:val="21"/>
                <w:highlight w:val="none"/>
                <w:lang w:val="en-US" w:eastAsia="zh-CN" w:bidi="ar-SA"/>
              </w:rPr>
            </w:pPr>
            <w:r>
              <w:rPr>
                <w:rFonts w:ascii="宋体" w:hAnsi="宋体" w:eastAsia="宋体" w:cs="宋体"/>
                <w:color w:val="auto"/>
                <w:spacing w:val="-3"/>
                <w:kern w:val="2"/>
                <w:sz w:val="21"/>
                <w:szCs w:val="21"/>
                <w:highlight w:val="none"/>
                <w:lang w:val="en-US" w:eastAsia="en-US" w:bidi="ar-SA"/>
              </w:rPr>
              <w:t>1</w:t>
            </w:r>
            <w:r>
              <w:rPr>
                <w:rFonts w:hint="eastAsia" w:cs="宋体"/>
                <w:color w:val="auto"/>
                <w:spacing w:val="-3"/>
                <w:kern w:val="2"/>
                <w:sz w:val="21"/>
                <w:szCs w:val="21"/>
                <w:highlight w:val="none"/>
                <w:lang w:val="en-US" w:eastAsia="zh-CN" w:bidi="ar-SA"/>
              </w:rPr>
              <w:t>1</w:t>
            </w:r>
          </w:p>
        </w:tc>
        <w:tc>
          <w:tcPr>
            <w:tcW w:w="1677" w:type="dxa"/>
            <w:noWrap w:val="0"/>
            <w:vAlign w:val="center"/>
          </w:tcPr>
          <w:p w14:paraId="713EDB68">
            <w:pPr>
              <w:pStyle w:val="51"/>
              <w:spacing w:before="78" w:line="183" w:lineRule="auto"/>
              <w:jc w:val="center"/>
              <w:rPr>
                <w:rFonts w:hint="eastAsia" w:ascii="宋体" w:hAnsi="宋体" w:eastAsia="宋体" w:cs="宋体"/>
                <w:color w:val="auto"/>
                <w:spacing w:val="-3"/>
                <w:kern w:val="2"/>
                <w:sz w:val="21"/>
                <w:szCs w:val="21"/>
                <w:highlight w:val="none"/>
                <w:lang w:val="en-US" w:eastAsia="en-US" w:bidi="ar-SA"/>
              </w:rPr>
            </w:pPr>
            <w:r>
              <w:rPr>
                <w:rFonts w:ascii="宋体" w:hAnsi="宋体" w:eastAsia="宋体" w:cs="宋体"/>
                <w:color w:val="auto"/>
                <w:spacing w:val="-3"/>
                <w:kern w:val="2"/>
                <w:sz w:val="21"/>
                <w:szCs w:val="21"/>
                <w:highlight w:val="none"/>
                <w:lang w:val="en-US" w:eastAsia="en-US" w:bidi="ar-SA"/>
              </w:rPr>
              <w:t>是否接受联合体</w:t>
            </w:r>
          </w:p>
        </w:tc>
        <w:tc>
          <w:tcPr>
            <w:tcW w:w="6582" w:type="dxa"/>
            <w:noWrap w:val="0"/>
            <w:vAlign w:val="center"/>
          </w:tcPr>
          <w:p w14:paraId="3419CBDA">
            <w:pPr>
              <w:pStyle w:val="51"/>
              <w:spacing w:before="147" w:line="217" w:lineRule="auto"/>
              <w:jc w:val="center"/>
              <w:rPr>
                <w:rFonts w:hint="eastAsia" w:ascii="宋体" w:hAnsi="宋体" w:eastAsia="宋体" w:cs="宋体"/>
                <w:b/>
                <w:bCs/>
                <w:color w:val="auto"/>
                <w:sz w:val="21"/>
                <w:szCs w:val="21"/>
                <w:highlight w:val="none"/>
                <w:lang w:val="en-US" w:eastAsia="zh-CN"/>
              </w:rPr>
            </w:pPr>
            <w:r>
              <w:rPr>
                <w:color w:val="auto"/>
                <w:spacing w:val="-5"/>
                <w:sz w:val="21"/>
                <w:szCs w:val="21"/>
                <w:highlight w:val="none"/>
              </w:rPr>
              <w:t>不接受</w:t>
            </w:r>
          </w:p>
        </w:tc>
      </w:tr>
      <w:tr w14:paraId="00BBA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jc w:val="center"/>
        </w:trPr>
        <w:tc>
          <w:tcPr>
            <w:tcW w:w="953" w:type="dxa"/>
            <w:noWrap w:val="0"/>
            <w:vAlign w:val="center"/>
          </w:tcPr>
          <w:p w14:paraId="526533DD">
            <w:pPr>
              <w:pStyle w:val="51"/>
              <w:spacing w:before="78" w:line="183" w:lineRule="auto"/>
              <w:jc w:val="center"/>
              <w:rPr>
                <w:rFonts w:hint="eastAsia" w:ascii="宋体" w:hAnsi="宋体" w:eastAsia="宋体" w:cs="宋体"/>
                <w:color w:val="auto"/>
                <w:spacing w:val="-3"/>
                <w:kern w:val="2"/>
                <w:sz w:val="21"/>
                <w:szCs w:val="21"/>
                <w:highlight w:val="none"/>
                <w:lang w:val="en-US" w:eastAsia="zh-CN" w:bidi="ar-SA"/>
              </w:rPr>
            </w:pPr>
            <w:r>
              <w:rPr>
                <w:rFonts w:ascii="宋体" w:hAnsi="宋体" w:eastAsia="宋体" w:cs="宋体"/>
                <w:color w:val="auto"/>
                <w:spacing w:val="-3"/>
                <w:kern w:val="2"/>
                <w:sz w:val="21"/>
                <w:szCs w:val="21"/>
                <w:highlight w:val="none"/>
                <w:lang w:val="en-US" w:eastAsia="en-US" w:bidi="ar-SA"/>
              </w:rPr>
              <w:t>1</w:t>
            </w:r>
            <w:r>
              <w:rPr>
                <w:rFonts w:hint="eastAsia" w:cs="宋体"/>
                <w:color w:val="auto"/>
                <w:spacing w:val="-3"/>
                <w:kern w:val="2"/>
                <w:sz w:val="21"/>
                <w:szCs w:val="21"/>
                <w:highlight w:val="none"/>
                <w:lang w:val="en-US" w:eastAsia="zh-CN" w:bidi="ar-SA"/>
              </w:rPr>
              <w:t>2</w:t>
            </w:r>
          </w:p>
        </w:tc>
        <w:tc>
          <w:tcPr>
            <w:tcW w:w="1677" w:type="dxa"/>
            <w:noWrap w:val="0"/>
            <w:vAlign w:val="center"/>
          </w:tcPr>
          <w:p w14:paraId="11208930">
            <w:pPr>
              <w:pStyle w:val="51"/>
              <w:spacing w:before="78" w:line="240" w:lineRule="auto"/>
              <w:jc w:val="center"/>
              <w:rPr>
                <w:rFonts w:ascii="宋体" w:hAnsi="宋体" w:eastAsia="宋体" w:cs="宋体"/>
                <w:color w:val="auto"/>
                <w:spacing w:val="-3"/>
                <w:kern w:val="2"/>
                <w:sz w:val="21"/>
                <w:szCs w:val="21"/>
                <w:highlight w:val="none"/>
                <w:lang w:val="en-US" w:eastAsia="en-US" w:bidi="ar-SA"/>
              </w:rPr>
            </w:pPr>
            <w:r>
              <w:rPr>
                <w:rFonts w:hint="eastAsia" w:cs="宋体"/>
                <w:color w:val="auto"/>
                <w:spacing w:val="-3"/>
                <w:kern w:val="2"/>
                <w:sz w:val="21"/>
                <w:szCs w:val="21"/>
                <w:highlight w:val="none"/>
                <w:lang w:val="en-US" w:eastAsia="zh-CN" w:bidi="ar-SA"/>
              </w:rPr>
              <w:t>提交</w:t>
            </w:r>
            <w:r>
              <w:rPr>
                <w:rFonts w:ascii="宋体" w:hAnsi="宋体" w:eastAsia="宋体" w:cs="宋体"/>
                <w:color w:val="auto"/>
                <w:spacing w:val="-3"/>
                <w:kern w:val="2"/>
                <w:sz w:val="21"/>
                <w:szCs w:val="21"/>
                <w:highlight w:val="none"/>
                <w:lang w:val="en-US" w:eastAsia="en-US" w:bidi="ar-SA"/>
              </w:rPr>
              <w:t>响应文件截止时间及磋商地点</w:t>
            </w:r>
          </w:p>
        </w:tc>
        <w:tc>
          <w:tcPr>
            <w:tcW w:w="6582" w:type="dxa"/>
            <w:noWrap w:val="0"/>
            <w:vAlign w:val="top"/>
          </w:tcPr>
          <w:p w14:paraId="01EDC6B3">
            <w:pPr>
              <w:pStyle w:val="51"/>
              <w:spacing w:before="182" w:line="312" w:lineRule="auto"/>
              <w:ind w:left="7" w:right="22" w:firstLine="2"/>
              <w:rPr>
                <w:rFonts w:hint="eastAsia"/>
                <w:color w:val="auto"/>
                <w:spacing w:val="-1"/>
                <w:sz w:val="21"/>
                <w:szCs w:val="21"/>
                <w:highlight w:val="none"/>
              </w:rPr>
            </w:pPr>
            <w:r>
              <w:rPr>
                <w:rFonts w:hint="eastAsia"/>
                <w:color w:val="auto"/>
                <w:spacing w:val="-1"/>
                <w:sz w:val="21"/>
                <w:szCs w:val="21"/>
                <w:highlight w:val="none"/>
              </w:rPr>
              <w:t>1.时间：</w:t>
            </w:r>
            <w:r>
              <w:rPr>
                <w:rFonts w:hint="eastAsia" w:asciiTheme="minorEastAsia" w:hAnsiTheme="minorEastAsia" w:eastAsiaTheme="minorEastAsia" w:cstheme="minorEastAsia"/>
                <w:color w:val="auto"/>
                <w:kern w:val="2"/>
                <w:sz w:val="22"/>
                <w:szCs w:val="22"/>
                <w:highlight w:val="none"/>
                <w:lang w:val="en-US" w:eastAsia="zh-CN" w:bidi="ar-SA"/>
              </w:rPr>
              <w:t>2025年8月14日9时00分</w:t>
            </w:r>
            <w:r>
              <w:rPr>
                <w:rFonts w:hint="eastAsia" w:asciiTheme="minorEastAsia" w:hAnsiTheme="minorEastAsia" w:eastAsiaTheme="minorEastAsia" w:cstheme="minorEastAsia"/>
                <w:color w:val="00B0F0"/>
                <w:kern w:val="2"/>
                <w:sz w:val="22"/>
                <w:szCs w:val="22"/>
                <w:highlight w:val="none"/>
                <w:lang w:val="en-US" w:eastAsia="zh-CN" w:bidi="ar-SA"/>
              </w:rPr>
              <w:t>（</w:t>
            </w:r>
            <w:r>
              <w:rPr>
                <w:rFonts w:hint="eastAsia"/>
                <w:color w:val="auto"/>
                <w:spacing w:val="-1"/>
                <w:sz w:val="21"/>
                <w:szCs w:val="21"/>
                <w:highlight w:val="none"/>
              </w:rPr>
              <w:t>北京时间）</w:t>
            </w:r>
          </w:p>
          <w:p w14:paraId="047DEBC7">
            <w:pPr>
              <w:pStyle w:val="51"/>
              <w:spacing w:before="182" w:line="312" w:lineRule="auto"/>
              <w:ind w:left="7" w:leftChars="0" w:right="22" w:rightChars="0" w:firstLine="2" w:firstLineChars="0"/>
              <w:rPr>
                <w:color w:val="auto"/>
                <w:spacing w:val="-5"/>
                <w:sz w:val="21"/>
                <w:szCs w:val="21"/>
                <w:highlight w:val="none"/>
              </w:rPr>
            </w:pPr>
            <w:r>
              <w:rPr>
                <w:rFonts w:hint="eastAsia"/>
                <w:color w:val="auto"/>
                <w:spacing w:val="-1"/>
                <w:sz w:val="21"/>
                <w:szCs w:val="21"/>
                <w:highlight w:val="none"/>
              </w:rPr>
              <w:t>2.地点：德宏众恒工程管理有限公司（德宏州芒市勐焕街道锦华社区胞波路46号4楼）</w:t>
            </w:r>
          </w:p>
        </w:tc>
      </w:tr>
      <w:tr w14:paraId="3749F2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jc w:val="center"/>
        </w:trPr>
        <w:tc>
          <w:tcPr>
            <w:tcW w:w="953" w:type="dxa"/>
            <w:noWrap w:val="0"/>
            <w:vAlign w:val="center"/>
          </w:tcPr>
          <w:p w14:paraId="23B5E09B">
            <w:pPr>
              <w:pStyle w:val="51"/>
              <w:spacing w:before="78" w:line="183" w:lineRule="auto"/>
              <w:jc w:val="center"/>
              <w:rPr>
                <w:rFonts w:hint="eastAsia" w:ascii="宋体" w:hAnsi="宋体" w:eastAsia="宋体" w:cs="宋体"/>
                <w:color w:val="auto"/>
                <w:spacing w:val="-3"/>
                <w:kern w:val="2"/>
                <w:sz w:val="21"/>
                <w:szCs w:val="21"/>
                <w:highlight w:val="none"/>
                <w:lang w:val="en-US" w:eastAsia="zh-CN" w:bidi="ar-SA"/>
              </w:rPr>
            </w:pPr>
            <w:r>
              <w:rPr>
                <w:rFonts w:ascii="宋体" w:hAnsi="宋体" w:eastAsia="宋体" w:cs="宋体"/>
                <w:color w:val="auto"/>
                <w:spacing w:val="-3"/>
                <w:kern w:val="2"/>
                <w:sz w:val="21"/>
                <w:szCs w:val="21"/>
                <w:highlight w:val="none"/>
                <w:lang w:val="en-US" w:eastAsia="en-US" w:bidi="ar-SA"/>
              </w:rPr>
              <w:t>1</w:t>
            </w:r>
            <w:r>
              <w:rPr>
                <w:rFonts w:hint="eastAsia" w:cs="宋体"/>
                <w:color w:val="auto"/>
                <w:spacing w:val="-3"/>
                <w:kern w:val="2"/>
                <w:sz w:val="21"/>
                <w:szCs w:val="21"/>
                <w:highlight w:val="none"/>
                <w:lang w:val="en-US" w:eastAsia="zh-CN" w:bidi="ar-SA"/>
              </w:rPr>
              <w:t>3</w:t>
            </w:r>
          </w:p>
        </w:tc>
        <w:tc>
          <w:tcPr>
            <w:tcW w:w="1677" w:type="dxa"/>
            <w:noWrap w:val="0"/>
            <w:vAlign w:val="center"/>
          </w:tcPr>
          <w:p w14:paraId="4E551A06">
            <w:pPr>
              <w:pStyle w:val="51"/>
              <w:spacing w:before="78" w:line="240" w:lineRule="auto"/>
              <w:jc w:val="center"/>
              <w:rPr>
                <w:rFonts w:ascii="宋体" w:hAnsi="宋体" w:eastAsia="宋体" w:cs="宋体"/>
                <w:color w:val="auto"/>
                <w:spacing w:val="-3"/>
                <w:kern w:val="2"/>
                <w:sz w:val="21"/>
                <w:szCs w:val="21"/>
                <w:highlight w:val="none"/>
                <w:lang w:val="en-US" w:eastAsia="en-US" w:bidi="ar-SA"/>
              </w:rPr>
            </w:pPr>
            <w:r>
              <w:rPr>
                <w:rFonts w:ascii="宋体" w:hAnsi="宋体" w:eastAsia="宋体" w:cs="宋体"/>
                <w:color w:val="auto"/>
                <w:spacing w:val="-3"/>
                <w:kern w:val="2"/>
                <w:sz w:val="21"/>
                <w:szCs w:val="21"/>
                <w:highlight w:val="none"/>
                <w:lang w:val="en-US" w:eastAsia="en-US" w:bidi="ar-SA"/>
              </w:rPr>
              <w:t>构成磋商文件的其他材料</w:t>
            </w:r>
          </w:p>
        </w:tc>
        <w:tc>
          <w:tcPr>
            <w:tcW w:w="6582" w:type="dxa"/>
            <w:noWrap w:val="0"/>
            <w:vAlign w:val="center"/>
          </w:tcPr>
          <w:p w14:paraId="6AAADDD6">
            <w:pPr>
              <w:pStyle w:val="51"/>
              <w:spacing w:before="149" w:line="216" w:lineRule="auto"/>
              <w:jc w:val="center"/>
              <w:rPr>
                <w:rFonts w:hint="eastAsia"/>
                <w:color w:val="auto"/>
                <w:spacing w:val="-1"/>
                <w:sz w:val="21"/>
                <w:szCs w:val="21"/>
                <w:highlight w:val="none"/>
              </w:rPr>
            </w:pPr>
            <w:r>
              <w:rPr>
                <w:color w:val="auto"/>
                <w:spacing w:val="-1"/>
                <w:sz w:val="21"/>
                <w:szCs w:val="21"/>
                <w:highlight w:val="none"/>
              </w:rPr>
              <w:t>相关答疑与补遗等资料。</w:t>
            </w:r>
          </w:p>
        </w:tc>
      </w:tr>
      <w:tr w14:paraId="707A87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jc w:val="center"/>
        </w:trPr>
        <w:tc>
          <w:tcPr>
            <w:tcW w:w="953" w:type="dxa"/>
            <w:noWrap w:val="0"/>
            <w:vAlign w:val="center"/>
          </w:tcPr>
          <w:p w14:paraId="61C67FB2">
            <w:pPr>
              <w:pStyle w:val="51"/>
              <w:spacing w:before="78" w:line="183" w:lineRule="auto"/>
              <w:jc w:val="center"/>
              <w:rPr>
                <w:rFonts w:hint="eastAsia" w:ascii="宋体" w:hAnsi="宋体" w:eastAsia="宋体" w:cs="宋体"/>
                <w:color w:val="auto"/>
                <w:spacing w:val="-3"/>
                <w:kern w:val="2"/>
                <w:sz w:val="21"/>
                <w:szCs w:val="21"/>
                <w:highlight w:val="none"/>
                <w:lang w:val="en-US" w:eastAsia="zh-CN" w:bidi="ar-SA"/>
              </w:rPr>
            </w:pPr>
            <w:r>
              <w:rPr>
                <w:rFonts w:ascii="宋体" w:hAnsi="宋体" w:eastAsia="宋体" w:cs="宋体"/>
                <w:color w:val="auto"/>
                <w:spacing w:val="-3"/>
                <w:kern w:val="2"/>
                <w:sz w:val="21"/>
                <w:szCs w:val="21"/>
                <w:highlight w:val="none"/>
                <w:lang w:val="en-US" w:eastAsia="en-US" w:bidi="ar-SA"/>
              </w:rPr>
              <w:t>1</w:t>
            </w:r>
            <w:r>
              <w:rPr>
                <w:rFonts w:hint="eastAsia" w:cs="宋体"/>
                <w:color w:val="auto"/>
                <w:spacing w:val="-3"/>
                <w:kern w:val="2"/>
                <w:sz w:val="21"/>
                <w:szCs w:val="21"/>
                <w:highlight w:val="none"/>
                <w:lang w:val="en-US" w:eastAsia="zh-CN" w:bidi="ar-SA"/>
              </w:rPr>
              <w:t>4</w:t>
            </w:r>
          </w:p>
        </w:tc>
        <w:tc>
          <w:tcPr>
            <w:tcW w:w="1677" w:type="dxa"/>
            <w:noWrap w:val="0"/>
            <w:vAlign w:val="center"/>
          </w:tcPr>
          <w:p w14:paraId="2C900D5B">
            <w:pPr>
              <w:pStyle w:val="51"/>
              <w:spacing w:before="78" w:line="240" w:lineRule="auto"/>
              <w:jc w:val="center"/>
              <w:rPr>
                <w:rFonts w:ascii="宋体" w:hAnsi="宋体" w:eastAsia="宋体" w:cs="宋体"/>
                <w:color w:val="auto"/>
                <w:spacing w:val="-3"/>
                <w:kern w:val="2"/>
                <w:sz w:val="21"/>
                <w:szCs w:val="21"/>
                <w:highlight w:val="none"/>
                <w:lang w:val="en-US" w:eastAsia="en-US" w:bidi="ar-SA"/>
              </w:rPr>
            </w:pPr>
            <w:r>
              <w:rPr>
                <w:rFonts w:ascii="宋体" w:hAnsi="宋体" w:eastAsia="宋体" w:cs="宋体"/>
                <w:color w:val="auto"/>
                <w:spacing w:val="-3"/>
                <w:kern w:val="2"/>
                <w:sz w:val="21"/>
                <w:szCs w:val="21"/>
                <w:highlight w:val="none"/>
                <w:lang w:val="en-US" w:eastAsia="en-US" w:bidi="ar-SA"/>
              </w:rPr>
              <w:t>磋商有效期</w:t>
            </w:r>
          </w:p>
        </w:tc>
        <w:tc>
          <w:tcPr>
            <w:tcW w:w="6582" w:type="dxa"/>
            <w:noWrap w:val="0"/>
            <w:vAlign w:val="center"/>
          </w:tcPr>
          <w:p w14:paraId="2FABDCB6">
            <w:pPr>
              <w:pStyle w:val="51"/>
              <w:spacing w:before="144" w:line="220" w:lineRule="auto"/>
              <w:jc w:val="center"/>
              <w:rPr>
                <w:color w:val="auto"/>
                <w:spacing w:val="-1"/>
                <w:sz w:val="21"/>
                <w:szCs w:val="21"/>
                <w:highlight w:val="none"/>
              </w:rPr>
            </w:pPr>
            <w:r>
              <w:rPr>
                <w:color w:val="auto"/>
                <w:spacing w:val="-12"/>
                <w:sz w:val="21"/>
                <w:szCs w:val="21"/>
                <w:highlight w:val="none"/>
              </w:rPr>
              <w:t>90 日历天</w:t>
            </w:r>
          </w:p>
        </w:tc>
      </w:tr>
      <w:tr w14:paraId="01F4DC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jc w:val="center"/>
        </w:trPr>
        <w:tc>
          <w:tcPr>
            <w:tcW w:w="953" w:type="dxa"/>
            <w:noWrap w:val="0"/>
            <w:vAlign w:val="top"/>
          </w:tcPr>
          <w:p w14:paraId="4A4AFA23">
            <w:pPr>
              <w:rPr>
                <w:rFonts w:ascii="Arial"/>
                <w:color w:val="auto"/>
                <w:sz w:val="21"/>
                <w:szCs w:val="21"/>
                <w:highlight w:val="none"/>
              </w:rPr>
            </w:pPr>
          </w:p>
          <w:p w14:paraId="739D845F">
            <w:pPr>
              <w:rPr>
                <w:rFonts w:ascii="Arial"/>
                <w:color w:val="auto"/>
                <w:sz w:val="21"/>
                <w:szCs w:val="21"/>
                <w:highlight w:val="none"/>
              </w:rPr>
            </w:pPr>
          </w:p>
          <w:p w14:paraId="331DD6A1">
            <w:pPr>
              <w:rPr>
                <w:rFonts w:ascii="Arial"/>
                <w:color w:val="auto"/>
                <w:sz w:val="21"/>
                <w:szCs w:val="21"/>
                <w:highlight w:val="none"/>
              </w:rPr>
            </w:pPr>
          </w:p>
          <w:p w14:paraId="643CF8F0">
            <w:pPr>
              <w:rPr>
                <w:rFonts w:ascii="Arial"/>
                <w:color w:val="auto"/>
                <w:sz w:val="21"/>
                <w:szCs w:val="21"/>
                <w:highlight w:val="none"/>
              </w:rPr>
            </w:pPr>
          </w:p>
          <w:p w14:paraId="1F8B2F34">
            <w:pPr>
              <w:rPr>
                <w:rFonts w:ascii="Arial"/>
                <w:color w:val="auto"/>
                <w:sz w:val="21"/>
                <w:szCs w:val="21"/>
                <w:highlight w:val="none"/>
              </w:rPr>
            </w:pPr>
          </w:p>
          <w:p w14:paraId="399C8856">
            <w:pPr>
              <w:rPr>
                <w:rFonts w:ascii="Arial"/>
                <w:color w:val="auto"/>
                <w:sz w:val="21"/>
                <w:szCs w:val="21"/>
                <w:highlight w:val="none"/>
              </w:rPr>
            </w:pPr>
          </w:p>
          <w:p w14:paraId="690C5BAA">
            <w:pPr>
              <w:rPr>
                <w:rFonts w:ascii="Arial"/>
                <w:color w:val="auto"/>
                <w:sz w:val="21"/>
                <w:szCs w:val="21"/>
                <w:highlight w:val="none"/>
              </w:rPr>
            </w:pPr>
          </w:p>
          <w:p w14:paraId="3E1F575C">
            <w:pPr>
              <w:rPr>
                <w:rFonts w:ascii="Arial"/>
                <w:color w:val="auto"/>
                <w:sz w:val="21"/>
                <w:szCs w:val="21"/>
                <w:highlight w:val="none"/>
              </w:rPr>
            </w:pPr>
          </w:p>
          <w:p w14:paraId="45720115">
            <w:pPr>
              <w:rPr>
                <w:rFonts w:ascii="Arial"/>
                <w:color w:val="auto"/>
                <w:sz w:val="21"/>
                <w:szCs w:val="21"/>
                <w:highlight w:val="none"/>
              </w:rPr>
            </w:pPr>
          </w:p>
          <w:p w14:paraId="3F377044">
            <w:pPr>
              <w:rPr>
                <w:rFonts w:ascii="Arial"/>
                <w:color w:val="auto"/>
                <w:sz w:val="21"/>
                <w:szCs w:val="21"/>
                <w:highlight w:val="none"/>
              </w:rPr>
            </w:pPr>
          </w:p>
          <w:p w14:paraId="08E74793">
            <w:pPr>
              <w:rPr>
                <w:rFonts w:ascii="Arial"/>
                <w:color w:val="auto"/>
                <w:sz w:val="21"/>
                <w:szCs w:val="21"/>
                <w:highlight w:val="none"/>
              </w:rPr>
            </w:pPr>
          </w:p>
          <w:p w14:paraId="1F2239A0">
            <w:pPr>
              <w:rPr>
                <w:rFonts w:ascii="Arial"/>
                <w:color w:val="auto"/>
                <w:sz w:val="21"/>
                <w:szCs w:val="21"/>
                <w:highlight w:val="none"/>
              </w:rPr>
            </w:pPr>
          </w:p>
          <w:p w14:paraId="014E12C9">
            <w:pPr>
              <w:rPr>
                <w:rFonts w:ascii="Arial"/>
                <w:color w:val="auto"/>
                <w:sz w:val="21"/>
                <w:szCs w:val="21"/>
                <w:highlight w:val="none"/>
              </w:rPr>
            </w:pPr>
          </w:p>
          <w:p w14:paraId="758562CF">
            <w:pPr>
              <w:rPr>
                <w:rFonts w:ascii="Arial"/>
                <w:color w:val="auto"/>
                <w:sz w:val="21"/>
                <w:szCs w:val="21"/>
                <w:highlight w:val="none"/>
              </w:rPr>
            </w:pPr>
          </w:p>
          <w:p w14:paraId="702DAE33">
            <w:pPr>
              <w:rPr>
                <w:rFonts w:ascii="Arial"/>
                <w:color w:val="auto"/>
                <w:sz w:val="21"/>
                <w:szCs w:val="21"/>
                <w:highlight w:val="none"/>
              </w:rPr>
            </w:pPr>
          </w:p>
          <w:p w14:paraId="3572B83D">
            <w:pPr>
              <w:pStyle w:val="51"/>
              <w:spacing w:before="78" w:line="184" w:lineRule="auto"/>
              <w:ind w:left="380" w:leftChars="0"/>
              <w:rPr>
                <w:rFonts w:hint="eastAsia" w:eastAsia="宋体"/>
                <w:color w:val="auto"/>
                <w:spacing w:val="-14"/>
                <w:sz w:val="21"/>
                <w:szCs w:val="21"/>
                <w:highlight w:val="none"/>
                <w:lang w:val="en-US" w:eastAsia="zh-CN"/>
              </w:rPr>
            </w:pPr>
            <w:r>
              <w:rPr>
                <w:color w:val="auto"/>
                <w:spacing w:val="-14"/>
                <w:sz w:val="21"/>
                <w:szCs w:val="21"/>
                <w:highlight w:val="none"/>
              </w:rPr>
              <w:t>1</w:t>
            </w:r>
            <w:r>
              <w:rPr>
                <w:rFonts w:hint="eastAsia"/>
                <w:color w:val="auto"/>
                <w:spacing w:val="-14"/>
                <w:sz w:val="21"/>
                <w:szCs w:val="21"/>
                <w:highlight w:val="none"/>
                <w:lang w:val="en-US" w:eastAsia="zh-CN"/>
              </w:rPr>
              <w:t>5</w:t>
            </w:r>
          </w:p>
        </w:tc>
        <w:tc>
          <w:tcPr>
            <w:tcW w:w="1677" w:type="dxa"/>
            <w:noWrap w:val="0"/>
            <w:vAlign w:val="center"/>
          </w:tcPr>
          <w:p w14:paraId="0E5BE507">
            <w:pPr>
              <w:pStyle w:val="51"/>
              <w:spacing w:before="78" w:line="325" w:lineRule="auto"/>
              <w:ind w:right="163" w:rightChars="0"/>
              <w:jc w:val="center"/>
              <w:rPr>
                <w:color w:val="auto"/>
                <w:spacing w:val="-2"/>
                <w:sz w:val="21"/>
                <w:szCs w:val="21"/>
                <w:highlight w:val="none"/>
              </w:rPr>
            </w:pPr>
            <w:r>
              <w:rPr>
                <w:color w:val="auto"/>
                <w:spacing w:val="-4"/>
                <w:sz w:val="21"/>
                <w:szCs w:val="21"/>
                <w:highlight w:val="none"/>
              </w:rPr>
              <w:t>响应文件的签</w:t>
            </w:r>
            <w:r>
              <w:rPr>
                <w:color w:val="auto"/>
                <w:spacing w:val="1"/>
                <w:sz w:val="21"/>
                <w:szCs w:val="21"/>
                <w:highlight w:val="none"/>
              </w:rPr>
              <w:t xml:space="preserve"> </w:t>
            </w:r>
            <w:r>
              <w:rPr>
                <w:color w:val="auto"/>
                <w:spacing w:val="-3"/>
                <w:sz w:val="21"/>
                <w:szCs w:val="21"/>
                <w:highlight w:val="none"/>
              </w:rPr>
              <w:t>署、密封</w:t>
            </w:r>
          </w:p>
        </w:tc>
        <w:tc>
          <w:tcPr>
            <w:tcW w:w="6582" w:type="dxa"/>
            <w:noWrap w:val="0"/>
            <w:vAlign w:val="top"/>
          </w:tcPr>
          <w:p w14:paraId="76E73A39">
            <w:pPr>
              <w:pStyle w:val="51"/>
              <w:spacing w:before="146" w:line="219" w:lineRule="auto"/>
              <w:ind w:left="26"/>
              <w:rPr>
                <w:color w:val="auto"/>
                <w:sz w:val="21"/>
                <w:szCs w:val="21"/>
                <w:highlight w:val="none"/>
              </w:rPr>
            </w:pPr>
            <w:r>
              <w:rPr>
                <w:color w:val="auto"/>
                <w:spacing w:val="-3"/>
                <w:sz w:val="21"/>
                <w:szCs w:val="21"/>
                <w:highlight w:val="none"/>
              </w:rPr>
              <w:t>1.响应文件的签署：</w:t>
            </w:r>
          </w:p>
          <w:p w14:paraId="074A3625">
            <w:pPr>
              <w:pStyle w:val="51"/>
              <w:spacing w:before="156" w:line="308" w:lineRule="auto"/>
              <w:ind w:firstLine="10"/>
              <w:rPr>
                <w:color w:val="auto"/>
                <w:sz w:val="21"/>
                <w:szCs w:val="21"/>
                <w:highlight w:val="none"/>
              </w:rPr>
            </w:pPr>
            <w:r>
              <w:rPr>
                <w:color w:val="auto"/>
                <w:spacing w:val="-4"/>
                <w:sz w:val="21"/>
                <w:szCs w:val="21"/>
                <w:highlight w:val="none"/>
              </w:rPr>
              <w:t>①响应文件的盖章要求：供应商在响应文件中的</w:t>
            </w:r>
            <w:r>
              <w:rPr>
                <w:color w:val="auto"/>
                <w:spacing w:val="-5"/>
                <w:sz w:val="21"/>
                <w:szCs w:val="21"/>
                <w:highlight w:val="none"/>
              </w:rPr>
              <w:t>单位公</w:t>
            </w:r>
            <w:r>
              <w:rPr>
                <w:color w:val="auto"/>
                <w:spacing w:val="-3"/>
                <w:sz w:val="21"/>
                <w:szCs w:val="21"/>
                <w:highlight w:val="none"/>
              </w:rPr>
              <w:t>章均指与供应商名称全称一致的标准公章，</w:t>
            </w:r>
            <w:r>
              <w:rPr>
                <w:color w:val="auto"/>
                <w:spacing w:val="-6"/>
                <w:sz w:val="21"/>
                <w:szCs w:val="21"/>
                <w:highlight w:val="none"/>
              </w:rPr>
              <w:t>不得使用其他形式（如带有“专用章</w:t>
            </w:r>
            <w:r>
              <w:rPr>
                <w:color w:val="auto"/>
                <w:spacing w:val="-73"/>
                <w:sz w:val="21"/>
                <w:szCs w:val="21"/>
                <w:highlight w:val="none"/>
              </w:rPr>
              <w:t xml:space="preserve"> </w:t>
            </w:r>
            <w:r>
              <w:rPr>
                <w:color w:val="auto"/>
                <w:spacing w:val="-6"/>
                <w:sz w:val="21"/>
                <w:szCs w:val="21"/>
                <w:highlight w:val="none"/>
              </w:rPr>
              <w:t>”“合同章</w:t>
            </w:r>
            <w:r>
              <w:rPr>
                <w:color w:val="auto"/>
                <w:spacing w:val="-88"/>
                <w:sz w:val="21"/>
                <w:szCs w:val="21"/>
                <w:highlight w:val="none"/>
              </w:rPr>
              <w:t xml:space="preserve"> </w:t>
            </w:r>
            <w:r>
              <w:rPr>
                <w:color w:val="auto"/>
                <w:spacing w:val="-6"/>
                <w:sz w:val="21"/>
                <w:szCs w:val="21"/>
                <w:highlight w:val="none"/>
              </w:rPr>
              <w:t>”</w:t>
            </w:r>
            <w:r>
              <w:rPr>
                <w:color w:val="auto"/>
                <w:spacing w:val="-5"/>
                <w:sz w:val="21"/>
                <w:szCs w:val="21"/>
                <w:highlight w:val="none"/>
              </w:rPr>
              <w:t>“财务章</w:t>
            </w:r>
            <w:r>
              <w:rPr>
                <w:color w:val="auto"/>
                <w:spacing w:val="-84"/>
                <w:sz w:val="21"/>
                <w:szCs w:val="21"/>
                <w:highlight w:val="none"/>
              </w:rPr>
              <w:t xml:space="preserve"> </w:t>
            </w:r>
            <w:r>
              <w:rPr>
                <w:color w:val="auto"/>
                <w:spacing w:val="-5"/>
                <w:sz w:val="21"/>
                <w:szCs w:val="21"/>
                <w:highlight w:val="none"/>
              </w:rPr>
              <w:t>”“业务章</w:t>
            </w:r>
            <w:r>
              <w:rPr>
                <w:color w:val="auto"/>
                <w:spacing w:val="-88"/>
                <w:sz w:val="21"/>
                <w:szCs w:val="21"/>
                <w:highlight w:val="none"/>
              </w:rPr>
              <w:t xml:space="preserve"> </w:t>
            </w:r>
            <w:r>
              <w:rPr>
                <w:color w:val="auto"/>
                <w:spacing w:val="-5"/>
                <w:sz w:val="21"/>
                <w:szCs w:val="21"/>
                <w:highlight w:val="none"/>
              </w:rPr>
              <w:t>”等）的印章。</w:t>
            </w:r>
          </w:p>
          <w:p w14:paraId="4FDA80E2">
            <w:pPr>
              <w:pStyle w:val="51"/>
              <w:spacing w:before="157" w:line="308" w:lineRule="auto"/>
              <w:ind w:left="13" w:hanging="7"/>
              <w:rPr>
                <w:color w:val="auto"/>
                <w:sz w:val="21"/>
                <w:szCs w:val="21"/>
                <w:highlight w:val="none"/>
              </w:rPr>
            </w:pPr>
            <w:r>
              <w:rPr>
                <w:color w:val="auto"/>
                <w:spacing w:val="-3"/>
                <w:sz w:val="21"/>
                <w:szCs w:val="21"/>
                <w:highlight w:val="none"/>
              </w:rPr>
              <w:t>②响应文件的签署要求：竞争性磋商文件要求供应商法</w:t>
            </w:r>
            <w:r>
              <w:rPr>
                <w:color w:val="auto"/>
                <w:spacing w:val="-1"/>
                <w:sz w:val="21"/>
                <w:szCs w:val="21"/>
                <w:highlight w:val="none"/>
              </w:rPr>
              <w:t>定代表人或其授权代表签字或盖章处应签字或盖章</w:t>
            </w:r>
            <w:r>
              <w:rPr>
                <w:color w:val="auto"/>
                <w:spacing w:val="-4"/>
                <w:sz w:val="21"/>
                <w:szCs w:val="21"/>
                <w:highlight w:val="none"/>
              </w:rPr>
              <w:t>，签字的不得由他人代签。授权代表签字或盖</w:t>
            </w:r>
            <w:r>
              <w:rPr>
                <w:color w:val="auto"/>
                <w:spacing w:val="-1"/>
                <w:sz w:val="21"/>
                <w:szCs w:val="21"/>
                <w:highlight w:val="none"/>
              </w:rPr>
              <w:t>章的，响应文件应附法定代表人授权委托书。</w:t>
            </w:r>
          </w:p>
          <w:p w14:paraId="7C9A492B">
            <w:pPr>
              <w:pStyle w:val="51"/>
              <w:spacing w:before="156" w:line="332" w:lineRule="auto"/>
              <w:ind w:left="7"/>
              <w:jc w:val="both"/>
              <w:rPr>
                <w:color w:val="auto"/>
                <w:sz w:val="21"/>
                <w:szCs w:val="21"/>
                <w:highlight w:val="none"/>
              </w:rPr>
            </w:pPr>
            <w:r>
              <w:rPr>
                <w:color w:val="auto"/>
                <w:spacing w:val="1"/>
                <w:sz w:val="21"/>
                <w:szCs w:val="21"/>
                <w:highlight w:val="none"/>
              </w:rPr>
              <w:t>注</w:t>
            </w:r>
            <w:r>
              <w:rPr>
                <w:color w:val="auto"/>
                <w:spacing w:val="-28"/>
                <w:sz w:val="21"/>
                <w:szCs w:val="21"/>
                <w:highlight w:val="none"/>
              </w:rPr>
              <w:t>：（</w:t>
            </w:r>
            <w:r>
              <w:rPr>
                <w:color w:val="auto"/>
                <w:spacing w:val="1"/>
                <w:sz w:val="21"/>
                <w:szCs w:val="21"/>
                <w:highlight w:val="none"/>
              </w:rPr>
              <w:t>1）响应文件涉及签字、盖章的地方尽量避免遮</w:t>
            </w:r>
            <w:r>
              <w:rPr>
                <w:color w:val="auto"/>
                <w:spacing w:val="-3"/>
                <w:sz w:val="21"/>
                <w:szCs w:val="21"/>
                <w:highlight w:val="none"/>
              </w:rPr>
              <w:t>盖磋商单价、合价等重要内容，响应文件中相关内容、</w:t>
            </w:r>
            <w:r>
              <w:rPr>
                <w:color w:val="auto"/>
                <w:spacing w:val="-4"/>
                <w:sz w:val="21"/>
                <w:szCs w:val="21"/>
                <w:highlight w:val="none"/>
              </w:rPr>
              <w:t>证件复印件模糊不清、被签字或盖章遮盖、无法辨认的</w:t>
            </w:r>
            <w:r>
              <w:rPr>
                <w:color w:val="auto"/>
                <w:spacing w:val="-2"/>
                <w:sz w:val="21"/>
                <w:szCs w:val="21"/>
                <w:highlight w:val="none"/>
              </w:rPr>
              <w:t>磋商小组有权否决其磋商。</w:t>
            </w:r>
          </w:p>
          <w:p w14:paraId="7DE2E7C8">
            <w:pPr>
              <w:pStyle w:val="51"/>
              <w:spacing w:before="34" w:line="324" w:lineRule="auto"/>
              <w:ind w:left="9" w:right="56" w:firstLine="10"/>
              <w:rPr>
                <w:color w:val="auto"/>
                <w:sz w:val="21"/>
                <w:szCs w:val="21"/>
                <w:highlight w:val="none"/>
              </w:rPr>
            </w:pPr>
            <w:r>
              <w:rPr>
                <w:color w:val="auto"/>
                <w:spacing w:val="-1"/>
                <w:sz w:val="21"/>
                <w:szCs w:val="21"/>
                <w:highlight w:val="none"/>
              </w:rPr>
              <w:t>（2）在需要签字或盖章的地方进行签字或盖章，无需</w:t>
            </w:r>
            <w:r>
              <w:rPr>
                <w:color w:val="auto"/>
                <w:spacing w:val="-2"/>
                <w:sz w:val="21"/>
                <w:szCs w:val="21"/>
                <w:highlight w:val="none"/>
              </w:rPr>
              <w:t>逐页签字或盖章。</w:t>
            </w:r>
          </w:p>
          <w:p w14:paraId="1AF8B50B">
            <w:pPr>
              <w:pStyle w:val="51"/>
              <w:spacing w:before="39" w:line="277" w:lineRule="auto"/>
              <w:ind w:left="7" w:leftChars="0" w:firstLine="3" w:firstLineChars="0"/>
              <w:rPr>
                <w:color w:val="auto"/>
                <w:spacing w:val="-3"/>
                <w:sz w:val="21"/>
                <w:szCs w:val="21"/>
                <w:highlight w:val="none"/>
              </w:rPr>
            </w:pPr>
            <w:r>
              <w:rPr>
                <w:color w:val="auto"/>
                <w:spacing w:val="-3"/>
                <w:sz w:val="21"/>
                <w:szCs w:val="21"/>
                <w:highlight w:val="none"/>
              </w:rPr>
              <w:t>2.响应文件的密封：</w:t>
            </w:r>
          </w:p>
          <w:p w14:paraId="512D0859">
            <w:pPr>
              <w:pStyle w:val="51"/>
              <w:spacing w:before="39" w:line="277" w:lineRule="auto"/>
              <w:ind w:left="7" w:leftChars="0" w:firstLine="3" w:firstLineChars="0"/>
              <w:rPr>
                <w:rFonts w:hint="eastAsia"/>
                <w:color w:val="auto"/>
                <w:spacing w:val="-3"/>
                <w:sz w:val="21"/>
                <w:szCs w:val="21"/>
                <w:highlight w:val="none"/>
              </w:rPr>
            </w:pPr>
            <w:r>
              <w:rPr>
                <w:rFonts w:hint="eastAsia"/>
                <w:color w:val="auto"/>
                <w:spacing w:val="-3"/>
                <w:sz w:val="21"/>
                <w:szCs w:val="21"/>
                <w:highlight w:val="none"/>
                <w:lang w:eastAsia="zh-CN"/>
              </w:rPr>
              <w:t>（</w:t>
            </w:r>
            <w:r>
              <w:rPr>
                <w:rFonts w:hint="eastAsia"/>
                <w:color w:val="auto"/>
                <w:spacing w:val="-3"/>
                <w:sz w:val="21"/>
                <w:szCs w:val="21"/>
                <w:highlight w:val="none"/>
                <w:lang w:val="en-US" w:eastAsia="zh-CN"/>
              </w:rPr>
              <w:t>1</w:t>
            </w:r>
            <w:r>
              <w:rPr>
                <w:rFonts w:hint="eastAsia"/>
                <w:color w:val="auto"/>
                <w:spacing w:val="-3"/>
                <w:sz w:val="21"/>
                <w:szCs w:val="21"/>
                <w:highlight w:val="none"/>
                <w:lang w:eastAsia="zh-CN"/>
              </w:rPr>
              <w:t>）</w:t>
            </w:r>
            <w:r>
              <w:rPr>
                <w:rFonts w:hint="eastAsia"/>
                <w:color w:val="auto"/>
                <w:spacing w:val="-3"/>
                <w:sz w:val="21"/>
                <w:szCs w:val="21"/>
                <w:highlight w:val="none"/>
              </w:rPr>
              <w:t>响应文件须密封包装，并加盖供应商单位公章。封皮上信息应包含项目名称、供应商名称，并注明“X年X月X日X时前不得启封”字样。未按以上要求密封及标记的响应文件将被拒绝接收。</w:t>
            </w:r>
          </w:p>
          <w:p w14:paraId="6A711CD2">
            <w:pPr>
              <w:pStyle w:val="51"/>
              <w:spacing w:before="39" w:line="277" w:lineRule="auto"/>
              <w:ind w:left="7" w:leftChars="0" w:firstLine="3" w:firstLineChars="0"/>
              <w:rPr>
                <w:color w:val="auto"/>
                <w:spacing w:val="-1"/>
                <w:sz w:val="21"/>
                <w:szCs w:val="21"/>
                <w:highlight w:val="none"/>
              </w:rPr>
            </w:pPr>
            <w:r>
              <w:rPr>
                <w:rFonts w:hint="eastAsia"/>
                <w:color w:val="auto"/>
                <w:spacing w:val="-3"/>
                <w:sz w:val="21"/>
                <w:szCs w:val="21"/>
                <w:highlight w:val="none"/>
                <w:lang w:eastAsia="zh-CN"/>
              </w:rPr>
              <w:t>（</w:t>
            </w:r>
            <w:r>
              <w:rPr>
                <w:rFonts w:hint="eastAsia"/>
                <w:color w:val="auto"/>
                <w:spacing w:val="-3"/>
                <w:sz w:val="21"/>
                <w:szCs w:val="21"/>
                <w:highlight w:val="none"/>
                <w:lang w:val="en-US" w:eastAsia="zh-CN"/>
              </w:rPr>
              <w:t>2</w:t>
            </w:r>
            <w:r>
              <w:rPr>
                <w:rFonts w:hint="eastAsia"/>
                <w:color w:val="auto"/>
                <w:spacing w:val="-3"/>
                <w:sz w:val="21"/>
                <w:szCs w:val="21"/>
                <w:highlight w:val="none"/>
                <w:lang w:eastAsia="zh-CN"/>
              </w:rPr>
              <w:t>）</w:t>
            </w:r>
            <w:r>
              <w:rPr>
                <w:rFonts w:hint="eastAsia"/>
                <w:color w:val="auto"/>
                <w:spacing w:val="-3"/>
                <w:sz w:val="21"/>
                <w:szCs w:val="21"/>
                <w:highlight w:val="none"/>
              </w:rPr>
              <w:t>密封口处应加盖磋商供应商公章或密封章</w:t>
            </w:r>
            <w:r>
              <w:rPr>
                <w:color w:val="auto"/>
                <w:spacing w:val="-2"/>
                <w:sz w:val="21"/>
                <w:szCs w:val="21"/>
                <w:highlight w:val="none"/>
              </w:rPr>
              <w:t>。</w:t>
            </w:r>
          </w:p>
        </w:tc>
      </w:tr>
      <w:tr w14:paraId="0D347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jc w:val="center"/>
        </w:trPr>
        <w:tc>
          <w:tcPr>
            <w:tcW w:w="953" w:type="dxa"/>
            <w:noWrap w:val="0"/>
            <w:vAlign w:val="center"/>
          </w:tcPr>
          <w:p w14:paraId="4695A79F">
            <w:pPr>
              <w:pStyle w:val="51"/>
              <w:spacing w:before="78" w:line="184" w:lineRule="auto"/>
              <w:ind w:left="380" w:leftChars="0"/>
              <w:jc w:val="both"/>
              <w:rPr>
                <w:rFonts w:hint="default" w:eastAsia="宋体"/>
                <w:color w:val="auto"/>
                <w:spacing w:val="-14"/>
                <w:sz w:val="21"/>
                <w:szCs w:val="21"/>
                <w:highlight w:val="none"/>
                <w:lang w:val="en-US" w:eastAsia="zh-CN"/>
              </w:rPr>
            </w:pPr>
            <w:r>
              <w:rPr>
                <w:rFonts w:hint="eastAsia" w:ascii="宋体" w:hAnsi="宋体" w:eastAsia="宋体" w:cs="宋体"/>
                <w:color w:val="auto"/>
                <w:spacing w:val="-14"/>
                <w:sz w:val="21"/>
                <w:szCs w:val="21"/>
                <w:highlight w:val="none"/>
                <w:lang w:val="en-US" w:eastAsia="zh-CN"/>
              </w:rPr>
              <w:t>1</w:t>
            </w:r>
            <w:r>
              <w:rPr>
                <w:rFonts w:hint="eastAsia" w:cs="宋体"/>
                <w:color w:val="auto"/>
                <w:spacing w:val="-14"/>
                <w:sz w:val="21"/>
                <w:szCs w:val="21"/>
                <w:highlight w:val="none"/>
                <w:lang w:val="en-US" w:eastAsia="zh-CN"/>
              </w:rPr>
              <w:t>6</w:t>
            </w:r>
          </w:p>
        </w:tc>
        <w:tc>
          <w:tcPr>
            <w:tcW w:w="1677" w:type="dxa"/>
            <w:noWrap w:val="0"/>
            <w:vAlign w:val="center"/>
          </w:tcPr>
          <w:p w14:paraId="68F2E748">
            <w:pPr>
              <w:pStyle w:val="51"/>
              <w:spacing w:before="78" w:line="325" w:lineRule="auto"/>
              <w:ind w:right="163" w:rightChars="0"/>
              <w:jc w:val="center"/>
              <w:rPr>
                <w:color w:val="auto"/>
                <w:spacing w:val="-4"/>
                <w:sz w:val="21"/>
                <w:szCs w:val="21"/>
                <w:highlight w:val="none"/>
              </w:rPr>
            </w:pPr>
            <w:r>
              <w:rPr>
                <w:rFonts w:hint="eastAsia"/>
                <w:color w:val="auto"/>
                <w:spacing w:val="-4"/>
                <w:sz w:val="21"/>
                <w:szCs w:val="21"/>
                <w:highlight w:val="none"/>
              </w:rPr>
              <w:t>履约验收方案</w:t>
            </w:r>
          </w:p>
        </w:tc>
        <w:tc>
          <w:tcPr>
            <w:tcW w:w="6582" w:type="dxa"/>
            <w:noWrap w:val="0"/>
            <w:vAlign w:val="top"/>
          </w:tcPr>
          <w:p w14:paraId="35CBEEE5">
            <w:pPr>
              <w:pStyle w:val="51"/>
              <w:spacing w:before="34" w:line="324" w:lineRule="auto"/>
              <w:ind w:left="9" w:right="56" w:firstLine="1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本采购项目的服务质量须达到现行中华人民共和国以及省、自治区、直辖市或行业的相关标准、规范的要求；严格遵照国家或行业有关标准、规范执行</w:t>
            </w:r>
          </w:p>
        </w:tc>
      </w:tr>
      <w:tr w14:paraId="0DA8F4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jc w:val="center"/>
        </w:trPr>
        <w:tc>
          <w:tcPr>
            <w:tcW w:w="953" w:type="dxa"/>
            <w:noWrap w:val="0"/>
            <w:vAlign w:val="center"/>
          </w:tcPr>
          <w:p w14:paraId="349747F0">
            <w:pPr>
              <w:pStyle w:val="51"/>
              <w:spacing w:before="78" w:line="184" w:lineRule="auto"/>
              <w:ind w:left="380" w:leftChars="0"/>
              <w:jc w:val="both"/>
              <w:rPr>
                <w:rFonts w:hint="default" w:ascii="宋体" w:hAnsi="宋体" w:eastAsia="宋体" w:cs="宋体"/>
                <w:color w:val="auto"/>
                <w:spacing w:val="-14"/>
                <w:sz w:val="21"/>
                <w:szCs w:val="21"/>
                <w:highlight w:val="none"/>
                <w:lang w:val="en-US" w:eastAsia="zh-CN"/>
              </w:rPr>
            </w:pPr>
            <w:r>
              <w:rPr>
                <w:rFonts w:hint="eastAsia" w:ascii="宋体" w:hAnsi="宋体" w:eastAsia="宋体" w:cs="宋体"/>
                <w:color w:val="auto"/>
                <w:spacing w:val="-14"/>
                <w:sz w:val="21"/>
                <w:szCs w:val="21"/>
                <w:highlight w:val="none"/>
                <w:lang w:val="en-US" w:eastAsia="zh-CN"/>
              </w:rPr>
              <w:t>1</w:t>
            </w:r>
            <w:r>
              <w:rPr>
                <w:rFonts w:hint="eastAsia" w:cs="宋体"/>
                <w:color w:val="auto"/>
                <w:spacing w:val="-14"/>
                <w:sz w:val="21"/>
                <w:szCs w:val="21"/>
                <w:highlight w:val="none"/>
                <w:lang w:val="en-US" w:eastAsia="zh-CN"/>
              </w:rPr>
              <w:t>7</w:t>
            </w:r>
          </w:p>
        </w:tc>
        <w:tc>
          <w:tcPr>
            <w:tcW w:w="1677" w:type="dxa"/>
            <w:noWrap w:val="0"/>
            <w:vAlign w:val="center"/>
          </w:tcPr>
          <w:p w14:paraId="232CDD6E">
            <w:pPr>
              <w:pStyle w:val="51"/>
              <w:spacing w:before="78" w:line="325" w:lineRule="auto"/>
              <w:ind w:right="163" w:rightChars="0"/>
              <w:jc w:val="center"/>
              <w:rPr>
                <w:rFonts w:hint="eastAsia"/>
                <w:color w:val="auto"/>
                <w:spacing w:val="-4"/>
                <w:sz w:val="21"/>
                <w:szCs w:val="21"/>
                <w:highlight w:val="none"/>
              </w:rPr>
            </w:pPr>
            <w:r>
              <w:rPr>
                <w:rFonts w:hint="eastAsia"/>
                <w:color w:val="auto"/>
                <w:spacing w:val="-4"/>
                <w:sz w:val="21"/>
                <w:szCs w:val="21"/>
                <w:highlight w:val="none"/>
              </w:rPr>
              <w:t>履约保证金</w:t>
            </w:r>
          </w:p>
        </w:tc>
        <w:tc>
          <w:tcPr>
            <w:tcW w:w="6582" w:type="dxa"/>
            <w:noWrap w:val="0"/>
            <w:vAlign w:val="top"/>
          </w:tcPr>
          <w:p w14:paraId="6814C389">
            <w:pPr>
              <w:spacing w:line="460" w:lineRule="exact"/>
              <w:rPr>
                <w:rFonts w:ascii="宋体" w:hAnsi="宋体" w:eastAsia="宋体" w:cs="宋体"/>
                <w:color w:val="auto"/>
                <w:szCs w:val="21"/>
              </w:rPr>
            </w:pPr>
            <w:r>
              <w:rPr>
                <w:rFonts w:hint="eastAsia" w:ascii="宋体" w:hAnsi="宋体" w:eastAsia="宋体" w:cs="宋体"/>
                <w:color w:val="auto"/>
                <w:szCs w:val="21"/>
              </w:rPr>
              <w:t>是否要求成交人提交履约保证金：</w:t>
            </w:r>
          </w:p>
          <w:p w14:paraId="5B96B9A1">
            <w:pPr>
              <w:pStyle w:val="51"/>
              <w:spacing w:before="34" w:line="324" w:lineRule="auto"/>
              <w:ind w:left="9" w:right="56" w:firstLine="10"/>
              <w:rPr>
                <w:rFonts w:hint="eastAsia" w:ascii="宋体" w:hAnsi="宋体" w:eastAsia="宋体" w:cs="宋体"/>
                <w:color w:val="auto"/>
                <w:sz w:val="21"/>
                <w:szCs w:val="18"/>
                <w:lang w:eastAsia="zh-CN"/>
              </w:rPr>
            </w:pPr>
            <w:r>
              <w:rPr>
                <w:rFonts w:hint="eastAsia" w:ascii="宋体" w:hAnsi="宋体" w:eastAsia="宋体" w:cs="宋体"/>
                <w:color w:val="auto"/>
                <w:sz w:val="21"/>
                <w:szCs w:val="18"/>
              </w:rPr>
              <w:sym w:font="Wingdings 2" w:char="00A3"/>
            </w:r>
            <w:r>
              <w:rPr>
                <w:rFonts w:hint="eastAsia" w:ascii="宋体" w:hAnsi="宋体" w:eastAsia="宋体" w:cs="宋体"/>
                <w:color w:val="auto"/>
                <w:sz w:val="21"/>
                <w:szCs w:val="18"/>
              </w:rPr>
              <w:t>要求</w:t>
            </w:r>
          </w:p>
          <w:p w14:paraId="038C2750">
            <w:pPr>
              <w:pStyle w:val="51"/>
              <w:spacing w:before="34" w:line="324" w:lineRule="auto"/>
              <w:ind w:left="9" w:right="56" w:firstLine="10"/>
              <w:rPr>
                <w:rFonts w:hint="default" w:ascii="宋体" w:hAnsi="宋体" w:eastAsia="宋体" w:cs="宋体"/>
                <w:color w:val="auto"/>
                <w:spacing w:val="-1"/>
                <w:sz w:val="21"/>
                <w:szCs w:val="21"/>
                <w:highlight w:val="none"/>
                <w:lang w:val="en-US" w:eastAsia="zh-CN"/>
              </w:rPr>
            </w:pPr>
            <w:r>
              <w:rPr>
                <w:rFonts w:hint="eastAsia" w:ascii="宋体" w:hAnsi="宋体" w:eastAsia="宋体" w:cs="宋体"/>
                <w:color w:val="auto"/>
                <w:sz w:val="21"/>
                <w:szCs w:val="18"/>
              </w:rPr>
              <w:sym w:font="Wingdings 2" w:char="0052"/>
            </w:r>
            <w:r>
              <w:rPr>
                <w:rFonts w:hint="eastAsia" w:ascii="宋体" w:hAnsi="宋体" w:eastAsia="宋体" w:cs="宋体"/>
                <w:color w:val="auto"/>
                <w:sz w:val="21"/>
                <w:szCs w:val="18"/>
              </w:rPr>
              <w:t>不要求</w:t>
            </w:r>
          </w:p>
        </w:tc>
      </w:tr>
      <w:tr w14:paraId="7F104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jc w:val="center"/>
        </w:trPr>
        <w:tc>
          <w:tcPr>
            <w:tcW w:w="953" w:type="dxa"/>
            <w:noWrap w:val="0"/>
            <w:vAlign w:val="center"/>
          </w:tcPr>
          <w:p w14:paraId="732DC2A8">
            <w:pPr>
              <w:pStyle w:val="51"/>
              <w:spacing w:before="78" w:line="184" w:lineRule="auto"/>
              <w:ind w:left="380" w:leftChars="0"/>
              <w:jc w:val="both"/>
              <w:rPr>
                <w:rFonts w:hint="default" w:ascii="宋体" w:hAnsi="宋体" w:eastAsia="宋体" w:cs="宋体"/>
                <w:color w:val="auto"/>
                <w:spacing w:val="-14"/>
                <w:sz w:val="21"/>
                <w:szCs w:val="21"/>
                <w:highlight w:val="none"/>
                <w:lang w:val="en-US" w:eastAsia="zh-CN"/>
              </w:rPr>
            </w:pPr>
            <w:r>
              <w:rPr>
                <w:rFonts w:hint="eastAsia" w:ascii="宋体" w:hAnsi="宋体" w:eastAsia="宋体" w:cs="宋体"/>
                <w:color w:val="auto"/>
                <w:spacing w:val="-14"/>
                <w:sz w:val="21"/>
                <w:szCs w:val="21"/>
                <w:highlight w:val="none"/>
                <w:lang w:val="en-US" w:eastAsia="zh-CN"/>
              </w:rPr>
              <w:t>1</w:t>
            </w:r>
            <w:r>
              <w:rPr>
                <w:rFonts w:hint="eastAsia" w:cs="宋体"/>
                <w:color w:val="auto"/>
                <w:spacing w:val="-14"/>
                <w:sz w:val="21"/>
                <w:szCs w:val="21"/>
                <w:highlight w:val="none"/>
                <w:lang w:val="en-US" w:eastAsia="zh-CN"/>
              </w:rPr>
              <w:t>8</w:t>
            </w:r>
          </w:p>
        </w:tc>
        <w:tc>
          <w:tcPr>
            <w:tcW w:w="1677" w:type="dxa"/>
            <w:noWrap w:val="0"/>
            <w:vAlign w:val="center"/>
          </w:tcPr>
          <w:p w14:paraId="20D3BE28">
            <w:pPr>
              <w:spacing w:line="460" w:lineRule="exact"/>
              <w:jc w:val="center"/>
              <w:rPr>
                <w:rFonts w:hint="eastAsia"/>
                <w:color w:val="auto"/>
                <w:spacing w:val="-4"/>
                <w:sz w:val="21"/>
                <w:szCs w:val="21"/>
                <w:highlight w:val="none"/>
              </w:rPr>
            </w:pPr>
            <w:r>
              <w:rPr>
                <w:rFonts w:hint="eastAsia" w:ascii="宋体" w:hAnsi="宋体" w:eastAsia="宋体" w:cs="宋体"/>
                <w:color w:val="auto"/>
                <w:szCs w:val="21"/>
                <w:lang w:val="en-US" w:eastAsia="zh-CN"/>
              </w:rPr>
              <w:t>磋商响应文件份数</w:t>
            </w:r>
          </w:p>
        </w:tc>
        <w:tc>
          <w:tcPr>
            <w:tcW w:w="6582" w:type="dxa"/>
            <w:noWrap w:val="0"/>
            <w:vAlign w:val="center"/>
          </w:tcPr>
          <w:p w14:paraId="0E8590CC">
            <w:pPr>
              <w:spacing w:line="460" w:lineRule="exact"/>
              <w:jc w:val="left"/>
              <w:rPr>
                <w:rFonts w:hint="eastAsia" w:ascii="宋体" w:hAnsi="宋体" w:eastAsia="宋体" w:cs="宋体"/>
                <w:color w:val="auto"/>
                <w:szCs w:val="21"/>
              </w:rPr>
            </w:pPr>
            <w:r>
              <w:rPr>
                <w:rFonts w:hint="eastAsia" w:ascii="宋体" w:hAnsi="宋体" w:eastAsia="宋体" w:cs="宋体"/>
                <w:b/>
                <w:bCs/>
                <w:color w:val="auto"/>
                <w:szCs w:val="21"/>
                <w:lang w:val="en-US" w:eastAsia="zh-CN"/>
              </w:rPr>
              <w:t>正本1份、副本2份。U盘或光盘一份（内刻录电子标书，电子标书格式：加盖公章后的彩色扫描PDF文件，电子标书内容须与响应文件正本一致）。</w:t>
            </w:r>
          </w:p>
        </w:tc>
      </w:tr>
      <w:tr w14:paraId="12D35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jc w:val="center"/>
        </w:trPr>
        <w:tc>
          <w:tcPr>
            <w:tcW w:w="953" w:type="dxa"/>
            <w:noWrap w:val="0"/>
            <w:vAlign w:val="center"/>
          </w:tcPr>
          <w:p w14:paraId="5768BA52">
            <w:pPr>
              <w:pStyle w:val="51"/>
              <w:spacing w:before="78" w:line="184" w:lineRule="auto"/>
              <w:ind w:left="380" w:leftChars="0"/>
              <w:jc w:val="both"/>
              <w:rPr>
                <w:rFonts w:hint="default" w:ascii="宋体" w:hAnsi="宋体" w:eastAsia="宋体" w:cs="宋体"/>
                <w:color w:val="auto"/>
                <w:spacing w:val="-14"/>
                <w:sz w:val="21"/>
                <w:szCs w:val="21"/>
                <w:highlight w:val="none"/>
                <w:lang w:val="en-US" w:eastAsia="zh-CN"/>
              </w:rPr>
            </w:pPr>
            <w:r>
              <w:rPr>
                <w:rFonts w:hint="eastAsia" w:cs="宋体"/>
                <w:color w:val="auto"/>
                <w:spacing w:val="-14"/>
                <w:sz w:val="21"/>
                <w:szCs w:val="21"/>
                <w:highlight w:val="none"/>
                <w:lang w:val="en-US" w:eastAsia="zh-CN"/>
              </w:rPr>
              <w:t>19</w:t>
            </w:r>
          </w:p>
        </w:tc>
        <w:tc>
          <w:tcPr>
            <w:tcW w:w="1677" w:type="dxa"/>
            <w:noWrap w:val="0"/>
            <w:vAlign w:val="center"/>
          </w:tcPr>
          <w:p w14:paraId="454CDA20">
            <w:pPr>
              <w:spacing w:line="460" w:lineRule="exact"/>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递交响应文件需提交的材料</w:t>
            </w:r>
          </w:p>
        </w:tc>
        <w:tc>
          <w:tcPr>
            <w:tcW w:w="6582" w:type="dxa"/>
            <w:noWrap w:val="0"/>
            <w:vAlign w:val="center"/>
          </w:tcPr>
          <w:p w14:paraId="1FB4F728">
            <w:pPr>
              <w:spacing w:line="460" w:lineRule="exact"/>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（1）合法有效的《营业执照》，复印件加盖鲜章；</w:t>
            </w:r>
          </w:p>
          <w:p w14:paraId="1CB53297">
            <w:pPr>
              <w:spacing w:line="460" w:lineRule="exact"/>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（2）法定代表人身份证明书及身份证复印件；</w:t>
            </w:r>
          </w:p>
          <w:p w14:paraId="44003154">
            <w:pPr>
              <w:spacing w:line="460" w:lineRule="exact"/>
              <w:jc w:val="left"/>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（3）授权委托书、被委托人身份证(法定代表人亲自参加报名的除外）</w:t>
            </w:r>
          </w:p>
        </w:tc>
      </w:tr>
      <w:tr w14:paraId="3C7A3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jc w:val="center"/>
        </w:trPr>
        <w:tc>
          <w:tcPr>
            <w:tcW w:w="953" w:type="dxa"/>
            <w:noWrap w:val="0"/>
            <w:vAlign w:val="center"/>
          </w:tcPr>
          <w:p w14:paraId="7AA826F2">
            <w:pPr>
              <w:pStyle w:val="51"/>
              <w:spacing w:before="78" w:line="184" w:lineRule="auto"/>
              <w:ind w:left="380" w:leftChars="0"/>
              <w:jc w:val="both"/>
              <w:rPr>
                <w:rFonts w:hint="default" w:ascii="宋体" w:hAnsi="宋体" w:eastAsia="宋体" w:cs="宋体"/>
                <w:color w:val="auto"/>
                <w:spacing w:val="-14"/>
                <w:sz w:val="21"/>
                <w:szCs w:val="21"/>
                <w:highlight w:val="none"/>
                <w:lang w:val="en-US" w:eastAsia="zh-CN"/>
              </w:rPr>
            </w:pPr>
            <w:r>
              <w:rPr>
                <w:rFonts w:hint="eastAsia" w:ascii="宋体" w:hAnsi="宋体" w:eastAsia="宋体" w:cs="宋体"/>
                <w:color w:val="auto"/>
                <w:spacing w:val="-14"/>
                <w:sz w:val="21"/>
                <w:szCs w:val="21"/>
                <w:highlight w:val="none"/>
                <w:lang w:val="en-US" w:eastAsia="zh-CN"/>
              </w:rPr>
              <w:t>2</w:t>
            </w:r>
            <w:r>
              <w:rPr>
                <w:rFonts w:hint="eastAsia" w:cs="宋体"/>
                <w:color w:val="auto"/>
                <w:spacing w:val="-14"/>
                <w:sz w:val="21"/>
                <w:szCs w:val="21"/>
                <w:highlight w:val="none"/>
                <w:lang w:val="en-US" w:eastAsia="zh-CN"/>
              </w:rPr>
              <w:t>0</w:t>
            </w:r>
          </w:p>
        </w:tc>
        <w:tc>
          <w:tcPr>
            <w:tcW w:w="1677" w:type="dxa"/>
            <w:noWrap w:val="0"/>
            <w:vAlign w:val="center"/>
          </w:tcPr>
          <w:p w14:paraId="3DCE3840">
            <w:pPr>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磋商小组的组建</w:t>
            </w:r>
          </w:p>
        </w:tc>
        <w:tc>
          <w:tcPr>
            <w:tcW w:w="6582" w:type="dxa"/>
            <w:noWrap w:val="0"/>
            <w:vAlign w:val="center"/>
          </w:tcPr>
          <w:p w14:paraId="2D725BC6">
            <w:pPr>
              <w:spacing w:line="460" w:lineRule="exact"/>
              <w:rPr>
                <w:rFonts w:hint="eastAsia" w:ascii="宋体" w:hAnsi="宋体" w:eastAsia="宋体" w:cs="宋体"/>
                <w:color w:val="auto"/>
                <w:szCs w:val="21"/>
              </w:rPr>
            </w:pPr>
            <w:r>
              <w:rPr>
                <w:rFonts w:hint="eastAsia" w:ascii="宋体" w:hAnsi="宋体" w:eastAsia="宋体" w:cs="宋体"/>
                <w:color w:val="auto"/>
                <w:szCs w:val="21"/>
              </w:rPr>
              <w:t>磋商小组构成：</w:t>
            </w:r>
            <w:r>
              <w:rPr>
                <w:rFonts w:hint="eastAsia" w:ascii="宋体" w:hAnsi="宋体" w:eastAsia="宋体" w:cs="宋体"/>
                <w:color w:val="auto"/>
                <w:szCs w:val="21"/>
                <w:lang w:val="en-US" w:eastAsia="zh-CN"/>
              </w:rPr>
              <w:t>3</w:t>
            </w:r>
            <w:r>
              <w:rPr>
                <w:rFonts w:hint="eastAsia" w:ascii="宋体" w:hAnsi="宋体" w:eastAsia="宋体" w:cs="宋体"/>
                <w:color w:val="auto"/>
                <w:szCs w:val="21"/>
              </w:rPr>
              <w:t>人，</w:t>
            </w:r>
          </w:p>
          <w:p w14:paraId="7A6BF3D8">
            <w:pPr>
              <w:spacing w:line="460" w:lineRule="exact"/>
              <w:rPr>
                <w:rFonts w:hint="eastAsia" w:ascii="宋体" w:hAnsi="宋体" w:eastAsia="宋体" w:cs="宋体"/>
                <w:color w:val="auto"/>
                <w:szCs w:val="21"/>
              </w:rPr>
            </w:pPr>
            <w:r>
              <w:rPr>
                <w:rFonts w:hint="eastAsia" w:ascii="宋体" w:hAnsi="宋体" w:eastAsia="宋体" w:cs="宋体"/>
                <w:color w:val="auto"/>
                <w:szCs w:val="21"/>
              </w:rPr>
              <w:t>其中采购人代表1人，专家</w:t>
            </w:r>
            <w:r>
              <w:rPr>
                <w:rFonts w:hint="eastAsia" w:ascii="宋体" w:hAnsi="宋体" w:eastAsia="宋体" w:cs="宋体"/>
                <w:color w:val="auto"/>
                <w:szCs w:val="21"/>
                <w:lang w:val="en-US" w:eastAsia="zh-CN"/>
              </w:rPr>
              <w:t>2</w:t>
            </w:r>
            <w:r>
              <w:rPr>
                <w:rFonts w:hint="eastAsia" w:ascii="宋体" w:hAnsi="宋体" w:eastAsia="宋体" w:cs="宋体"/>
                <w:color w:val="auto"/>
                <w:szCs w:val="21"/>
              </w:rPr>
              <w:t>人；</w:t>
            </w:r>
          </w:p>
          <w:p w14:paraId="751BADFE">
            <w:pPr>
              <w:spacing w:line="460" w:lineRule="exact"/>
              <w:jc w:val="left"/>
              <w:rPr>
                <w:rFonts w:hint="eastAsia" w:ascii="宋体" w:hAnsi="宋体" w:eastAsia="宋体" w:cs="宋体"/>
                <w:b/>
                <w:bCs/>
                <w:color w:val="auto"/>
                <w:szCs w:val="21"/>
                <w:lang w:val="en-US" w:eastAsia="zh-CN"/>
              </w:rPr>
            </w:pPr>
            <w:r>
              <w:rPr>
                <w:rFonts w:hint="eastAsia" w:ascii="宋体" w:hAnsi="宋体" w:eastAsia="宋体" w:cs="宋体"/>
                <w:color w:val="auto"/>
                <w:szCs w:val="21"/>
              </w:rPr>
              <w:t>磋商小组确定方式：</w:t>
            </w:r>
            <w:r>
              <w:rPr>
                <w:rFonts w:hint="eastAsia" w:ascii="宋体" w:hAnsi="宋体" w:eastAsia="宋体" w:cs="宋体"/>
                <w:color w:val="auto"/>
                <w:szCs w:val="21"/>
                <w:lang w:eastAsia="zh-CN"/>
              </w:rPr>
              <w:t>从云南省政府采购网专家抽取系统中随机抽取</w:t>
            </w:r>
            <w:r>
              <w:rPr>
                <w:rFonts w:hint="eastAsia" w:ascii="宋体" w:hAnsi="宋体" w:eastAsia="宋体" w:cs="宋体"/>
                <w:color w:val="auto"/>
                <w:szCs w:val="21"/>
              </w:rPr>
              <w:t>。</w:t>
            </w:r>
          </w:p>
        </w:tc>
      </w:tr>
      <w:tr w14:paraId="3BA150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jc w:val="center"/>
        </w:trPr>
        <w:tc>
          <w:tcPr>
            <w:tcW w:w="953" w:type="dxa"/>
            <w:noWrap w:val="0"/>
            <w:vAlign w:val="center"/>
          </w:tcPr>
          <w:p w14:paraId="2F279CEA">
            <w:pPr>
              <w:pStyle w:val="51"/>
              <w:spacing w:before="78" w:line="184" w:lineRule="auto"/>
              <w:ind w:left="380" w:leftChars="0"/>
              <w:jc w:val="both"/>
              <w:rPr>
                <w:rFonts w:hint="default" w:ascii="宋体" w:hAnsi="宋体" w:eastAsia="宋体" w:cs="宋体"/>
                <w:color w:val="auto"/>
                <w:spacing w:val="-14"/>
                <w:sz w:val="21"/>
                <w:szCs w:val="21"/>
                <w:highlight w:val="none"/>
                <w:lang w:val="en-US" w:eastAsia="zh-CN"/>
              </w:rPr>
            </w:pPr>
            <w:r>
              <w:rPr>
                <w:rFonts w:hint="eastAsia" w:ascii="宋体" w:hAnsi="宋体" w:eastAsia="宋体" w:cs="宋体"/>
                <w:color w:val="auto"/>
                <w:spacing w:val="-14"/>
                <w:sz w:val="21"/>
                <w:szCs w:val="21"/>
                <w:highlight w:val="none"/>
                <w:lang w:val="en-US" w:eastAsia="zh-CN"/>
              </w:rPr>
              <w:t>2</w:t>
            </w:r>
            <w:r>
              <w:rPr>
                <w:rFonts w:hint="eastAsia" w:cs="宋体"/>
                <w:color w:val="auto"/>
                <w:spacing w:val="-14"/>
                <w:sz w:val="21"/>
                <w:szCs w:val="21"/>
                <w:highlight w:val="none"/>
                <w:lang w:val="en-US" w:eastAsia="zh-CN"/>
              </w:rPr>
              <w:t>1</w:t>
            </w:r>
          </w:p>
        </w:tc>
        <w:tc>
          <w:tcPr>
            <w:tcW w:w="1677" w:type="dxa"/>
            <w:noWrap w:val="0"/>
            <w:vAlign w:val="center"/>
          </w:tcPr>
          <w:p w14:paraId="3546F966">
            <w:pPr>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磋商小组推荐成交候选人的人数</w:t>
            </w:r>
          </w:p>
        </w:tc>
        <w:tc>
          <w:tcPr>
            <w:tcW w:w="6582" w:type="dxa"/>
            <w:noWrap w:val="0"/>
            <w:vAlign w:val="center"/>
          </w:tcPr>
          <w:p w14:paraId="3738B4E0">
            <w:pPr>
              <w:spacing w:line="460" w:lineRule="exact"/>
              <w:jc w:val="left"/>
              <w:rPr>
                <w:rFonts w:hint="eastAsia" w:ascii="宋体" w:hAnsi="宋体" w:eastAsia="宋体" w:cs="宋体"/>
                <w:color w:val="auto"/>
                <w:szCs w:val="21"/>
              </w:rPr>
            </w:pPr>
            <w:r>
              <w:rPr>
                <w:rFonts w:hint="eastAsia" w:ascii="宋体" w:hAnsi="宋体" w:eastAsia="宋体" w:cs="宋体"/>
                <w:color w:val="auto"/>
                <w:szCs w:val="21"/>
              </w:rPr>
              <w:t>3名</w:t>
            </w:r>
          </w:p>
        </w:tc>
      </w:tr>
      <w:tr w14:paraId="629C5F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jc w:val="center"/>
        </w:trPr>
        <w:tc>
          <w:tcPr>
            <w:tcW w:w="953" w:type="dxa"/>
            <w:noWrap w:val="0"/>
            <w:vAlign w:val="center"/>
          </w:tcPr>
          <w:p w14:paraId="40312066">
            <w:pPr>
              <w:pStyle w:val="51"/>
              <w:spacing w:before="78" w:line="184" w:lineRule="auto"/>
              <w:ind w:left="380" w:leftChars="0"/>
              <w:jc w:val="both"/>
              <w:rPr>
                <w:rFonts w:hint="default" w:ascii="宋体" w:hAnsi="宋体" w:eastAsia="宋体" w:cs="宋体"/>
                <w:color w:val="auto"/>
                <w:spacing w:val="-14"/>
                <w:sz w:val="21"/>
                <w:szCs w:val="21"/>
                <w:highlight w:val="none"/>
                <w:lang w:val="en-US" w:eastAsia="zh-CN"/>
              </w:rPr>
            </w:pPr>
            <w:r>
              <w:rPr>
                <w:rFonts w:hint="eastAsia" w:ascii="宋体" w:hAnsi="宋体" w:eastAsia="宋体" w:cs="宋体"/>
                <w:color w:val="auto"/>
                <w:spacing w:val="-14"/>
                <w:sz w:val="21"/>
                <w:szCs w:val="21"/>
                <w:highlight w:val="none"/>
                <w:lang w:val="en-US" w:eastAsia="zh-CN"/>
              </w:rPr>
              <w:t>2</w:t>
            </w:r>
            <w:r>
              <w:rPr>
                <w:rFonts w:hint="eastAsia" w:cs="宋体"/>
                <w:color w:val="auto"/>
                <w:spacing w:val="-14"/>
                <w:sz w:val="21"/>
                <w:szCs w:val="21"/>
                <w:highlight w:val="none"/>
                <w:lang w:val="en-US" w:eastAsia="zh-CN"/>
              </w:rPr>
              <w:t>2</w:t>
            </w:r>
          </w:p>
        </w:tc>
        <w:tc>
          <w:tcPr>
            <w:tcW w:w="1677" w:type="dxa"/>
            <w:noWrap w:val="0"/>
            <w:vAlign w:val="center"/>
          </w:tcPr>
          <w:p w14:paraId="0B8D70FA">
            <w:pPr>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成交结果公告媒介及期限</w:t>
            </w:r>
          </w:p>
        </w:tc>
        <w:tc>
          <w:tcPr>
            <w:tcW w:w="6582" w:type="dxa"/>
            <w:noWrap w:val="0"/>
            <w:vAlign w:val="center"/>
          </w:tcPr>
          <w:p w14:paraId="5F17CCB3">
            <w:pPr>
              <w:spacing w:line="460" w:lineRule="exact"/>
              <w:rPr>
                <w:rFonts w:hint="eastAsia" w:ascii="宋体" w:hAnsi="宋体" w:eastAsia="宋体" w:cs="宋体"/>
                <w:color w:val="auto"/>
                <w:kern w:val="0"/>
                <w:szCs w:val="21"/>
                <w:lang w:eastAsia="zh-CN"/>
              </w:rPr>
            </w:pPr>
            <w:r>
              <w:rPr>
                <w:rFonts w:hint="eastAsia" w:ascii="宋体" w:hAnsi="宋体" w:eastAsia="宋体" w:cs="宋体"/>
                <w:color w:val="auto"/>
                <w:szCs w:val="21"/>
              </w:rPr>
              <w:t>公告媒介：</w:t>
            </w:r>
            <w:r>
              <w:rPr>
                <w:rFonts w:hint="eastAsia" w:ascii="宋体" w:hAnsi="宋体" w:eastAsia="宋体" w:cs="宋体"/>
                <w:color w:val="auto"/>
                <w:kern w:val="0"/>
                <w:szCs w:val="21"/>
                <w:lang w:eastAsia="zh-CN"/>
              </w:rPr>
              <w:t>中国</w:t>
            </w:r>
            <w:r>
              <w:rPr>
                <w:rFonts w:hint="eastAsia" w:ascii="宋体" w:hAnsi="宋体" w:eastAsia="宋体" w:cs="宋体"/>
                <w:color w:val="auto"/>
                <w:kern w:val="0"/>
                <w:szCs w:val="21"/>
              </w:rPr>
              <w:t>政府采购网</w:t>
            </w:r>
          </w:p>
          <w:p w14:paraId="6CD712D5">
            <w:pPr>
              <w:spacing w:line="460" w:lineRule="exact"/>
              <w:jc w:val="left"/>
              <w:rPr>
                <w:rFonts w:hint="eastAsia" w:ascii="宋体" w:hAnsi="宋体" w:eastAsia="宋体" w:cs="宋体"/>
                <w:color w:val="auto"/>
                <w:szCs w:val="21"/>
              </w:rPr>
            </w:pPr>
            <w:r>
              <w:rPr>
                <w:rFonts w:hint="eastAsia" w:ascii="宋体" w:hAnsi="宋体" w:eastAsia="宋体" w:cs="宋体"/>
                <w:color w:val="auto"/>
                <w:szCs w:val="21"/>
              </w:rPr>
              <w:t>公告期限：1个工作日</w:t>
            </w:r>
          </w:p>
        </w:tc>
      </w:tr>
      <w:tr w14:paraId="6D353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jc w:val="center"/>
        </w:trPr>
        <w:tc>
          <w:tcPr>
            <w:tcW w:w="953" w:type="dxa"/>
            <w:noWrap w:val="0"/>
            <w:vAlign w:val="center"/>
          </w:tcPr>
          <w:p w14:paraId="0C3516E4">
            <w:pPr>
              <w:pStyle w:val="51"/>
              <w:spacing w:before="78" w:line="184" w:lineRule="auto"/>
              <w:ind w:left="380" w:leftChars="0"/>
              <w:jc w:val="both"/>
              <w:rPr>
                <w:rFonts w:hint="default" w:ascii="宋体" w:hAnsi="宋体" w:eastAsia="宋体" w:cs="宋体"/>
                <w:color w:val="auto"/>
                <w:spacing w:val="-14"/>
                <w:sz w:val="21"/>
                <w:szCs w:val="21"/>
                <w:highlight w:val="none"/>
                <w:lang w:val="en-US" w:eastAsia="zh-CN"/>
              </w:rPr>
            </w:pPr>
            <w:r>
              <w:rPr>
                <w:rFonts w:hint="eastAsia" w:ascii="宋体" w:hAnsi="宋体" w:eastAsia="宋体" w:cs="宋体"/>
                <w:color w:val="auto"/>
                <w:spacing w:val="-14"/>
                <w:sz w:val="21"/>
                <w:szCs w:val="21"/>
                <w:highlight w:val="none"/>
                <w:lang w:val="en-US" w:eastAsia="zh-CN"/>
              </w:rPr>
              <w:t>2</w:t>
            </w:r>
            <w:r>
              <w:rPr>
                <w:rFonts w:hint="eastAsia" w:cs="宋体"/>
                <w:color w:val="auto"/>
                <w:spacing w:val="-14"/>
                <w:sz w:val="21"/>
                <w:szCs w:val="21"/>
                <w:highlight w:val="none"/>
                <w:lang w:val="en-US" w:eastAsia="zh-CN"/>
              </w:rPr>
              <w:t>3</w:t>
            </w:r>
          </w:p>
        </w:tc>
        <w:tc>
          <w:tcPr>
            <w:tcW w:w="1677" w:type="dxa"/>
            <w:noWrap w:val="0"/>
            <w:vAlign w:val="center"/>
          </w:tcPr>
          <w:p w14:paraId="0695C1DC">
            <w:pPr>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是否采用电子标</w:t>
            </w:r>
          </w:p>
        </w:tc>
        <w:tc>
          <w:tcPr>
            <w:tcW w:w="6582" w:type="dxa"/>
            <w:noWrap w:val="0"/>
            <w:vAlign w:val="center"/>
          </w:tcPr>
          <w:p w14:paraId="4B6666C9">
            <w:pPr>
              <w:spacing w:line="460" w:lineRule="exact"/>
              <w:rPr>
                <w:rFonts w:ascii="宋体" w:hAnsi="宋体" w:eastAsia="宋体" w:cs="宋体"/>
                <w:color w:val="auto"/>
                <w:szCs w:val="21"/>
              </w:rPr>
            </w:pPr>
            <w:r>
              <w:rPr>
                <w:rFonts w:hint="eastAsia" w:ascii="宋体" w:hAnsi="宋体" w:eastAsia="宋体" w:cs="宋体"/>
                <w:color w:val="auto"/>
                <w:szCs w:val="21"/>
              </w:rPr>
              <w:t>■否</w:t>
            </w:r>
          </w:p>
          <w:p w14:paraId="04AD7797">
            <w:pPr>
              <w:spacing w:line="460" w:lineRule="exact"/>
              <w:rPr>
                <w:rFonts w:hint="eastAsia" w:ascii="宋体" w:hAnsi="宋体" w:eastAsia="宋体" w:cs="宋体"/>
                <w:color w:val="auto"/>
                <w:szCs w:val="21"/>
              </w:rPr>
            </w:pPr>
            <w:r>
              <w:rPr>
                <w:rFonts w:hint="eastAsia" w:ascii="宋体" w:hAnsi="宋体" w:eastAsia="宋体" w:cs="宋体"/>
                <w:color w:val="auto"/>
                <w:szCs w:val="21"/>
              </w:rPr>
              <w:t>□是</w:t>
            </w:r>
          </w:p>
        </w:tc>
      </w:tr>
      <w:tr w14:paraId="7E7D99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jc w:val="center"/>
        </w:trPr>
        <w:tc>
          <w:tcPr>
            <w:tcW w:w="953" w:type="dxa"/>
            <w:noWrap w:val="0"/>
            <w:vAlign w:val="center"/>
          </w:tcPr>
          <w:p w14:paraId="589C4AB4">
            <w:pPr>
              <w:pStyle w:val="51"/>
              <w:spacing w:before="78" w:line="184" w:lineRule="auto"/>
              <w:ind w:left="380" w:leftChars="0"/>
              <w:jc w:val="both"/>
              <w:rPr>
                <w:rFonts w:hint="default" w:ascii="宋体" w:hAnsi="宋体" w:eastAsia="宋体" w:cs="宋体"/>
                <w:color w:val="auto"/>
                <w:spacing w:val="-14"/>
                <w:sz w:val="21"/>
                <w:szCs w:val="21"/>
                <w:highlight w:val="none"/>
                <w:lang w:val="en-US" w:eastAsia="zh-CN"/>
              </w:rPr>
            </w:pPr>
            <w:r>
              <w:rPr>
                <w:rFonts w:hint="eastAsia" w:ascii="宋体" w:hAnsi="宋体" w:eastAsia="宋体" w:cs="宋体"/>
                <w:color w:val="auto"/>
                <w:spacing w:val="-14"/>
                <w:sz w:val="21"/>
                <w:szCs w:val="21"/>
                <w:highlight w:val="none"/>
                <w:lang w:val="en-US" w:eastAsia="zh-CN"/>
              </w:rPr>
              <w:t>2</w:t>
            </w:r>
            <w:r>
              <w:rPr>
                <w:rFonts w:hint="eastAsia" w:cs="宋体"/>
                <w:color w:val="auto"/>
                <w:spacing w:val="-14"/>
                <w:sz w:val="21"/>
                <w:szCs w:val="21"/>
                <w:highlight w:val="none"/>
                <w:lang w:val="en-US" w:eastAsia="zh-CN"/>
              </w:rPr>
              <w:t>4</w:t>
            </w:r>
          </w:p>
        </w:tc>
        <w:tc>
          <w:tcPr>
            <w:tcW w:w="1677" w:type="dxa"/>
            <w:noWrap w:val="0"/>
            <w:vAlign w:val="center"/>
          </w:tcPr>
          <w:p w14:paraId="75FF434F">
            <w:pPr>
              <w:spacing w:line="460" w:lineRule="exact"/>
              <w:jc w:val="center"/>
              <w:rPr>
                <w:rFonts w:hint="eastAsia" w:eastAsia="宋体"/>
                <w:color w:val="auto"/>
                <w:highlight w:val="none"/>
                <w:lang w:eastAsia="zh-CN"/>
              </w:rPr>
            </w:pPr>
            <w:r>
              <w:rPr>
                <w:rFonts w:hint="eastAsia" w:eastAsia="宋体"/>
                <w:color w:val="auto"/>
                <w:highlight w:val="none"/>
                <w:lang w:eastAsia="zh-CN"/>
              </w:rPr>
              <w:t>解释权</w:t>
            </w:r>
          </w:p>
        </w:tc>
        <w:tc>
          <w:tcPr>
            <w:tcW w:w="6582" w:type="dxa"/>
            <w:shd w:val="clear" w:color="auto" w:fill="auto"/>
            <w:noWrap w:val="0"/>
            <w:vAlign w:val="center"/>
          </w:tcPr>
          <w:p w14:paraId="4DEE8150">
            <w:pPr>
              <w:spacing w:line="460" w:lineRule="exac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rPr>
              <w:t>构成本</w:t>
            </w:r>
            <w:r>
              <w:rPr>
                <w:rFonts w:hint="eastAsia" w:ascii="宋体" w:hAnsi="宋体" w:eastAsia="宋体" w:cs="宋体"/>
                <w:color w:val="auto"/>
                <w:szCs w:val="21"/>
                <w:lang w:eastAsia="zh-CN"/>
              </w:rPr>
              <w:t>竞争性磋商文件</w:t>
            </w:r>
            <w:r>
              <w:rPr>
                <w:rFonts w:hint="eastAsia" w:ascii="宋体" w:hAnsi="宋体" w:eastAsia="宋体" w:cs="宋体"/>
                <w:color w:val="auto"/>
                <w:szCs w:val="21"/>
              </w:rPr>
              <w:t>的各个组成文件应互为解释，互为说明；如有不明确或不一致，按</w:t>
            </w:r>
            <w:r>
              <w:rPr>
                <w:rFonts w:hint="eastAsia" w:ascii="宋体" w:hAnsi="宋体" w:eastAsia="宋体" w:cs="宋体"/>
                <w:color w:val="auto"/>
                <w:szCs w:val="21"/>
                <w:lang w:val="en-US" w:eastAsia="zh-CN"/>
              </w:rPr>
              <w:t>竞争性磋商</w:t>
            </w:r>
            <w:r>
              <w:rPr>
                <w:rFonts w:hint="eastAsia" w:ascii="宋体" w:hAnsi="宋体" w:eastAsia="宋体" w:cs="宋体"/>
                <w:color w:val="auto"/>
                <w:szCs w:val="21"/>
              </w:rPr>
              <w:t>公告、供应商须知、</w:t>
            </w:r>
            <w:r>
              <w:rPr>
                <w:rFonts w:hint="eastAsia" w:ascii="宋体" w:hAnsi="宋体" w:eastAsia="宋体" w:cs="宋体"/>
                <w:color w:val="auto"/>
                <w:szCs w:val="21"/>
                <w:lang w:val="en-US" w:eastAsia="zh-CN"/>
              </w:rPr>
              <w:t>评审</w:t>
            </w:r>
            <w:r>
              <w:rPr>
                <w:rFonts w:hint="eastAsia" w:ascii="宋体" w:hAnsi="宋体" w:eastAsia="宋体" w:cs="宋体"/>
                <w:color w:val="auto"/>
                <w:szCs w:val="21"/>
              </w:rPr>
              <w:t>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1E37E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53" w:type="dxa"/>
            <w:noWrap w:val="0"/>
            <w:vAlign w:val="center"/>
          </w:tcPr>
          <w:p w14:paraId="6E78D098">
            <w:pPr>
              <w:pStyle w:val="51"/>
              <w:spacing w:before="78" w:line="184" w:lineRule="auto"/>
              <w:jc w:val="center"/>
              <w:rPr>
                <w:rFonts w:hint="default" w:eastAsia="宋体"/>
                <w:color w:val="auto"/>
                <w:spacing w:val="-14"/>
                <w:sz w:val="21"/>
                <w:szCs w:val="21"/>
                <w:highlight w:val="none"/>
                <w:lang w:val="en-US" w:eastAsia="zh-CN"/>
              </w:rPr>
            </w:pPr>
            <w:r>
              <w:rPr>
                <w:rFonts w:hint="eastAsia"/>
                <w:color w:val="auto"/>
                <w:spacing w:val="-14"/>
                <w:sz w:val="21"/>
                <w:szCs w:val="21"/>
                <w:highlight w:val="none"/>
                <w:lang w:val="en-US" w:eastAsia="zh-CN"/>
              </w:rPr>
              <w:t>25</w:t>
            </w:r>
          </w:p>
        </w:tc>
        <w:tc>
          <w:tcPr>
            <w:tcW w:w="1677" w:type="dxa"/>
            <w:noWrap w:val="0"/>
            <w:vAlign w:val="center"/>
          </w:tcPr>
          <w:p w14:paraId="5ADD3D20">
            <w:pPr>
              <w:pStyle w:val="51"/>
              <w:spacing w:before="78" w:line="325" w:lineRule="auto"/>
              <w:ind w:right="163" w:rightChars="0"/>
              <w:jc w:val="center"/>
              <w:rPr>
                <w:rFonts w:hint="eastAsia" w:eastAsia="宋体"/>
                <w:color w:val="auto"/>
                <w:spacing w:val="-4"/>
                <w:sz w:val="21"/>
                <w:szCs w:val="21"/>
                <w:highlight w:val="none"/>
                <w:lang w:eastAsia="zh-CN"/>
              </w:rPr>
            </w:pPr>
            <w:r>
              <w:rPr>
                <w:rFonts w:hint="eastAsia"/>
                <w:color w:val="auto"/>
                <w:spacing w:val="-4"/>
                <w:sz w:val="21"/>
                <w:szCs w:val="21"/>
                <w:highlight w:val="none"/>
                <w:lang w:eastAsia="zh-CN"/>
              </w:rPr>
              <w:t>保密措施</w:t>
            </w:r>
          </w:p>
        </w:tc>
        <w:tc>
          <w:tcPr>
            <w:tcW w:w="6582" w:type="dxa"/>
            <w:noWrap w:val="0"/>
            <w:vAlign w:val="top"/>
          </w:tcPr>
          <w:p w14:paraId="1E13B825">
            <w:pPr>
              <w:pStyle w:val="51"/>
              <w:spacing w:before="30" w:line="355" w:lineRule="auto"/>
              <w:ind w:left="7" w:firstLine="12"/>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保护有关报告、数据等资料，不得复制、泄露、第三人传送或转让、用于本合同外的项目。</w:t>
            </w:r>
          </w:p>
        </w:tc>
      </w:tr>
      <w:tr w14:paraId="3A9DA3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18" w:hRule="atLeast"/>
          <w:jc w:val="center"/>
        </w:trPr>
        <w:tc>
          <w:tcPr>
            <w:tcW w:w="953" w:type="dxa"/>
            <w:noWrap w:val="0"/>
            <w:vAlign w:val="center"/>
          </w:tcPr>
          <w:p w14:paraId="4260AF4E">
            <w:pPr>
              <w:pStyle w:val="51"/>
              <w:spacing w:before="78" w:line="184" w:lineRule="auto"/>
              <w:jc w:val="center"/>
              <w:rPr>
                <w:rFonts w:hint="default"/>
                <w:color w:val="auto"/>
                <w:spacing w:val="-14"/>
                <w:sz w:val="21"/>
                <w:szCs w:val="21"/>
                <w:highlight w:val="none"/>
                <w:lang w:val="en-US" w:eastAsia="zh-CN"/>
              </w:rPr>
            </w:pPr>
            <w:r>
              <w:rPr>
                <w:rFonts w:hint="eastAsia"/>
                <w:color w:val="auto"/>
                <w:spacing w:val="-14"/>
                <w:sz w:val="21"/>
                <w:szCs w:val="21"/>
                <w:highlight w:val="none"/>
                <w:lang w:val="en-US" w:eastAsia="zh-CN"/>
              </w:rPr>
              <w:t>26</w:t>
            </w:r>
          </w:p>
        </w:tc>
        <w:tc>
          <w:tcPr>
            <w:tcW w:w="1677" w:type="dxa"/>
            <w:noWrap w:val="0"/>
            <w:vAlign w:val="center"/>
          </w:tcPr>
          <w:p w14:paraId="4E2F7A9D">
            <w:pPr>
              <w:pStyle w:val="51"/>
              <w:spacing w:before="78" w:line="325" w:lineRule="auto"/>
              <w:ind w:right="163" w:rightChars="0"/>
              <w:jc w:val="center"/>
              <w:rPr>
                <w:rFonts w:ascii="宋体" w:hAnsi="宋体" w:eastAsia="宋体" w:cs="宋体"/>
                <w:color w:val="auto"/>
                <w:spacing w:val="-4"/>
                <w:sz w:val="21"/>
                <w:szCs w:val="21"/>
                <w:highlight w:val="none"/>
              </w:rPr>
            </w:pPr>
            <w:r>
              <w:rPr>
                <w:rFonts w:hint="eastAsia" w:cs="宋体"/>
                <w:color w:val="auto"/>
                <w:spacing w:val="-4"/>
                <w:sz w:val="21"/>
                <w:szCs w:val="21"/>
                <w:highlight w:val="none"/>
                <w:lang w:eastAsia="zh-CN"/>
              </w:rPr>
              <w:t>其他</w:t>
            </w:r>
            <w:r>
              <w:rPr>
                <w:rFonts w:ascii="宋体" w:hAnsi="宋体" w:eastAsia="宋体" w:cs="宋体"/>
                <w:color w:val="auto"/>
                <w:spacing w:val="-4"/>
                <w:sz w:val="21"/>
                <w:szCs w:val="21"/>
                <w:highlight w:val="none"/>
              </w:rPr>
              <w:t>需要补充的 内容</w:t>
            </w:r>
          </w:p>
        </w:tc>
        <w:tc>
          <w:tcPr>
            <w:tcW w:w="6582" w:type="dxa"/>
            <w:noWrap w:val="0"/>
            <w:vAlign w:val="top"/>
          </w:tcPr>
          <w:p w14:paraId="04A6A229">
            <w:pPr>
              <w:pStyle w:val="51"/>
              <w:spacing w:before="116" w:line="347" w:lineRule="auto"/>
              <w:ind w:left="10" w:right="37" w:firstLine="9"/>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（1）供应商须知内容与前附表不一致的，以前附表为准。</w:t>
            </w:r>
          </w:p>
          <w:p w14:paraId="7868D1D3">
            <w:pPr>
              <w:pStyle w:val="51"/>
              <w:spacing w:before="30" w:line="355" w:lineRule="auto"/>
              <w:ind w:left="7" w:leftChars="0" w:firstLine="12" w:firstLineChars="0"/>
              <w:jc w:val="both"/>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2）供应商如发现磋商文件及其评标办法中存在含糊不清、相互矛盾、多种含义以及歧视性不公正条款或违法违规等内容时，请在提疑截止时间前同时向采购人、采购代理机构书面反映，逾期视为对磋商文件条款没有任何异议。</w:t>
            </w:r>
          </w:p>
        </w:tc>
      </w:tr>
    </w:tbl>
    <w:p w14:paraId="3C0097D9">
      <w:pPr>
        <w:rPr>
          <w:color w:val="auto"/>
          <w:highlight w:val="none"/>
        </w:rPr>
        <w:sectPr>
          <w:headerReference r:id="rId4" w:type="default"/>
          <w:footerReference r:id="rId5" w:type="default"/>
          <w:pgSz w:w="11906" w:h="16839"/>
          <w:pgMar w:top="1474" w:right="1304" w:bottom="1474" w:left="1304" w:header="850" w:footer="1020" w:gutter="0"/>
          <w:pgNumType w:fmt="decimal" w:start="1"/>
          <w:cols w:space="720" w:num="1"/>
        </w:sectPr>
      </w:pPr>
    </w:p>
    <w:p w14:paraId="64C8EF32">
      <w:pPr>
        <w:snapToGrid w:val="0"/>
        <w:spacing w:after="156" w:afterLines="50" w:line="360" w:lineRule="auto"/>
        <w:jc w:val="center"/>
        <w:outlineLvl w:val="0"/>
        <w:rPr>
          <w:rFonts w:hint="eastAsia" w:ascii="宋体" w:hAnsi="宋体" w:eastAsia="宋体" w:cs="宋体"/>
          <w:color w:val="auto"/>
          <w:highlight w:val="none"/>
          <w:lang w:eastAsia="zh-CN"/>
        </w:rPr>
      </w:pPr>
      <w:bookmarkStart w:id="86" w:name="_Toc6829"/>
      <w:bookmarkStart w:id="87" w:name="_Toc23817"/>
      <w:bookmarkStart w:id="88" w:name="_Toc15824"/>
      <w:r>
        <w:rPr>
          <w:rFonts w:hint="eastAsia" w:ascii="宋体" w:hAnsi="宋体" w:eastAsia="宋体" w:cs="宋体"/>
          <w:b/>
          <w:color w:val="auto"/>
          <w:kern w:val="44"/>
          <w:sz w:val="32"/>
          <w:szCs w:val="32"/>
          <w:highlight w:val="none"/>
        </w:rPr>
        <w:t>供应商须知</w:t>
      </w:r>
      <w:bookmarkEnd w:id="14"/>
      <w:bookmarkEnd w:id="15"/>
      <w:bookmarkEnd w:id="75"/>
      <w:bookmarkEnd w:id="76"/>
      <w:bookmarkEnd w:id="77"/>
      <w:bookmarkEnd w:id="78"/>
      <w:bookmarkEnd w:id="79"/>
      <w:r>
        <w:rPr>
          <w:rFonts w:hint="eastAsia" w:ascii="宋体" w:hAnsi="宋体" w:eastAsia="宋体" w:cs="宋体"/>
          <w:b/>
          <w:color w:val="auto"/>
          <w:kern w:val="44"/>
          <w:sz w:val="32"/>
          <w:szCs w:val="32"/>
          <w:highlight w:val="none"/>
          <w:lang w:eastAsia="zh-CN"/>
        </w:rPr>
        <w:t>正文</w:t>
      </w:r>
      <w:bookmarkEnd w:id="86"/>
      <w:bookmarkEnd w:id="87"/>
      <w:bookmarkEnd w:id="88"/>
    </w:p>
    <w:p w14:paraId="4EE0A590">
      <w:pPr>
        <w:spacing w:line="360" w:lineRule="auto"/>
        <w:ind w:firstLine="480" w:firstLineChars="200"/>
        <w:rPr>
          <w:rFonts w:hint="eastAsia" w:ascii="宋体" w:hAnsi="宋体" w:eastAsia="宋体" w:cs="Times New Roman"/>
          <w:color w:val="auto"/>
          <w:sz w:val="24"/>
          <w:szCs w:val="24"/>
          <w:highlight w:val="none"/>
        </w:rPr>
      </w:pPr>
      <w:bookmarkStart w:id="89" w:name="_Toc11866"/>
      <w:bookmarkStart w:id="90" w:name="_Toc30823"/>
      <w:bookmarkStart w:id="91" w:name="_Toc14742"/>
      <w:bookmarkStart w:id="92" w:name="_Toc1783"/>
      <w:bookmarkStart w:id="93" w:name="_Toc15268"/>
      <w:bookmarkStart w:id="94" w:name="_Toc1237"/>
      <w:r>
        <w:rPr>
          <w:rFonts w:hint="eastAsia" w:ascii="宋体" w:hAnsi="宋体" w:eastAsia="宋体" w:cs="Times New Roman"/>
          <w:color w:val="auto"/>
          <w:sz w:val="24"/>
          <w:szCs w:val="24"/>
          <w:highlight w:val="none"/>
        </w:rPr>
        <w:t>有意合作的供应商请认真阅读、并充分理解竞争性磋商文件的全部内容（包 括所有的补充、修改内容、重要事项、格式、条款和技术规范要求等）。供应商 没有按照竞争性磋商文件要求提交全部资料或者没有对竞争性磋商文件在各方 面都做出实质性响应，将为供应商带来风险，有可能导致其响应文件被拒绝，或被认定为无效。</w:t>
      </w:r>
    </w:p>
    <w:p w14:paraId="56DA7E4B">
      <w:pPr>
        <w:spacing w:before="168" w:line="221" w:lineRule="auto"/>
        <w:ind w:left="31"/>
        <w:rPr>
          <w:rFonts w:ascii="宋体" w:hAnsi="宋体" w:eastAsia="宋体" w:cs="宋体"/>
          <w:color w:val="auto"/>
          <w:sz w:val="28"/>
          <w:szCs w:val="28"/>
          <w:highlight w:val="none"/>
        </w:rPr>
      </w:pPr>
      <w:r>
        <w:rPr>
          <w:rFonts w:ascii="宋体" w:hAnsi="宋体" w:eastAsia="宋体" w:cs="宋体"/>
          <w:b/>
          <w:bCs/>
          <w:color w:val="auto"/>
          <w:spacing w:val="-6"/>
          <w:sz w:val="28"/>
          <w:szCs w:val="28"/>
          <w:highlight w:val="none"/>
        </w:rPr>
        <w:t>一、总则</w:t>
      </w:r>
    </w:p>
    <w:p w14:paraId="691DD35B">
      <w:pPr>
        <w:spacing w:before="232" w:line="219" w:lineRule="auto"/>
        <w:ind w:left="43"/>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1、适用范围：</w:t>
      </w:r>
      <w:r>
        <w:rPr>
          <w:rFonts w:ascii="宋体" w:hAnsi="宋体" w:eastAsia="宋体" w:cs="宋体"/>
          <w:color w:val="auto"/>
          <w:spacing w:val="-2"/>
          <w:sz w:val="24"/>
          <w:szCs w:val="24"/>
          <w:highlight w:val="none"/>
        </w:rPr>
        <w:t>本竞争性磋商文件适用于本项目的采购。</w:t>
      </w:r>
    </w:p>
    <w:p w14:paraId="4F21B027">
      <w:pPr>
        <w:spacing w:before="104" w:line="220" w:lineRule="auto"/>
        <w:ind w:left="2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2、定义：</w:t>
      </w:r>
    </w:p>
    <w:p w14:paraId="70EA0791">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“采购人 ”系指</w:t>
      </w:r>
      <w:r>
        <w:rPr>
          <w:rFonts w:hint="eastAsia" w:ascii="宋体" w:hAnsi="宋体" w:cs="Times New Roman"/>
          <w:color w:val="auto"/>
          <w:sz w:val="24"/>
          <w:szCs w:val="24"/>
          <w:highlight w:val="none"/>
          <w:lang w:eastAsia="zh-CN"/>
        </w:rPr>
        <w:t>中华人民共和国畹町出入境边防检查站</w:t>
      </w:r>
      <w:r>
        <w:rPr>
          <w:rFonts w:hint="eastAsia" w:ascii="宋体" w:hAnsi="宋体" w:eastAsia="宋体" w:cs="Times New Roman"/>
          <w:color w:val="auto"/>
          <w:sz w:val="24"/>
          <w:szCs w:val="24"/>
          <w:highlight w:val="none"/>
        </w:rPr>
        <w:t>。</w:t>
      </w:r>
    </w:p>
    <w:p w14:paraId="565B8F70">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“采购代理机构 ”系指</w:t>
      </w:r>
      <w:r>
        <w:rPr>
          <w:rFonts w:hint="eastAsia" w:ascii="宋体" w:hAnsi="宋体" w:eastAsia="宋体" w:cs="Times New Roman"/>
          <w:color w:val="auto"/>
          <w:sz w:val="24"/>
          <w:szCs w:val="24"/>
          <w:highlight w:val="none"/>
          <w:lang w:eastAsia="zh-CN"/>
        </w:rPr>
        <w:t>德宏众恒工程管理有限公司</w:t>
      </w:r>
      <w:r>
        <w:rPr>
          <w:rFonts w:hint="eastAsia" w:ascii="宋体" w:hAnsi="宋体" w:eastAsia="宋体" w:cs="Times New Roman"/>
          <w:color w:val="auto"/>
          <w:sz w:val="24"/>
          <w:szCs w:val="24"/>
          <w:highlight w:val="none"/>
        </w:rPr>
        <w:t xml:space="preserve">。 </w:t>
      </w:r>
    </w:p>
    <w:p w14:paraId="4DA3E458">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 ”系指前来参加竞标的法人或者其他组织。</w:t>
      </w:r>
    </w:p>
    <w:p w14:paraId="7A4EB2F4">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“标的物 ”系指</w:t>
      </w:r>
      <w:r>
        <w:rPr>
          <w:rFonts w:hint="eastAsia" w:ascii="宋体" w:hAnsi="宋体" w:eastAsia="宋体" w:cs="Times New Roman"/>
          <w:color w:val="auto"/>
          <w:sz w:val="24"/>
          <w:szCs w:val="24"/>
          <w:highlight w:val="none"/>
          <w:lang w:eastAsia="zh-CN"/>
        </w:rPr>
        <w:t>采购</w:t>
      </w:r>
      <w:r>
        <w:rPr>
          <w:rFonts w:hint="eastAsia" w:ascii="宋体" w:hAnsi="宋体" w:eastAsia="宋体" w:cs="Times New Roman"/>
          <w:color w:val="auto"/>
          <w:sz w:val="24"/>
          <w:szCs w:val="24"/>
          <w:highlight w:val="none"/>
        </w:rPr>
        <w:t>文件规定的需成交供应商承担的所有工作内容和需要履 行的所有责任义务。</w:t>
      </w:r>
    </w:p>
    <w:p w14:paraId="04101082">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“单位公章”系指刻有工商登记部门核准并登记的法人名称全称的红色印章。</w:t>
      </w:r>
    </w:p>
    <w:p w14:paraId="65703DF1">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“法人”系指具有民事权利能力和民事行为能力，依法独立享有民事权利和 承担民事义务的组织。</w:t>
      </w:r>
    </w:p>
    <w:p w14:paraId="41BF5831">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“企业法人”系指具有符合国家法律规定的资金数额、企业名称、组织章程、 组织机构、住所等法定条件，能够独立承担民事责任，经主管机关核准登记取得 法人资格的社会经济组织。</w:t>
      </w:r>
    </w:p>
    <w:p w14:paraId="00F78D98">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“企业”系指以盈利为目的，运用各种生产要素（土地、劳动力、资本、技 术和企业家才能等），向市场提供商品或服务，实行自主经营、自负盈亏、独立 核算的法人或其他社会经济组织。</w:t>
      </w:r>
    </w:p>
    <w:p w14:paraId="2FC135DA">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“法定代表人”系指依照法律或法人组织章程规定代表法人行使职权的负责 人，依法代表法人行使民事权利，履行民事义务。</w:t>
      </w:r>
    </w:p>
    <w:p w14:paraId="1F207F00">
      <w:pPr>
        <w:spacing w:line="360" w:lineRule="auto"/>
        <w:ind w:firstLine="480" w:firstLineChars="200"/>
        <w:rPr>
          <w:rFonts w:hint="eastAsia" w:ascii="宋体" w:hAnsi="宋体" w:eastAsia="宋体" w:cs="Times New Roman"/>
          <w:color w:val="auto"/>
          <w:sz w:val="24"/>
          <w:szCs w:val="24"/>
          <w:highlight w:val="none"/>
          <w:lang w:val="en-US" w:eastAsia="zh-CN"/>
        </w:rPr>
        <w:sectPr>
          <w:headerReference r:id="rId6" w:type="default"/>
          <w:pgSz w:w="11906" w:h="16839"/>
          <w:pgMar w:top="1431" w:right="1721" w:bottom="0" w:left="1785" w:header="0" w:footer="0" w:gutter="0"/>
          <w:pgNumType w:fmt="decimal"/>
          <w:cols w:space="720" w:num="1"/>
        </w:sectPr>
      </w:pPr>
      <w:r>
        <w:rPr>
          <w:rFonts w:hint="eastAsia" w:ascii="宋体" w:hAnsi="宋体" w:eastAsia="宋体" w:cs="Times New Roman"/>
          <w:color w:val="auto"/>
          <w:sz w:val="24"/>
          <w:szCs w:val="24"/>
          <w:highlight w:val="none"/>
        </w:rPr>
        <w:t>“法定委托代理人”系指法定代表人出具书面委托书委托代理人代表法定代 表人行使权利和职责。</w:t>
      </w:r>
      <w:r>
        <w:rPr>
          <w:rFonts w:hint="eastAsia" w:ascii="宋体" w:hAnsi="宋体" w:eastAsia="宋体" w:cs="Times New Roman"/>
          <w:color w:val="auto"/>
          <w:sz w:val="24"/>
          <w:szCs w:val="24"/>
          <w:highlight w:val="none"/>
          <w:lang w:val="en-US" w:eastAsia="zh-CN"/>
        </w:rPr>
        <w:t xml:space="preserve"> </w:t>
      </w:r>
    </w:p>
    <w:p w14:paraId="0017E7CF">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“个体工商户”系指个体工商户，是指有经营能力并经工商行政管理部门登记，从事工商业经营的公民。</w:t>
      </w:r>
    </w:p>
    <w:p w14:paraId="232D8807">
      <w:pPr>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3、我公司为采购代理机构，不对供应商领取竞争性磋商文件时提交的资料的真伪</w:t>
      </w:r>
      <w:r>
        <w:rPr>
          <w:rFonts w:hint="eastAsia" w:ascii="宋体" w:hAnsi="宋体" w:cs="Times New Roman"/>
          <w:b/>
          <w:bCs/>
          <w:color w:val="auto"/>
          <w:sz w:val="24"/>
          <w:szCs w:val="24"/>
          <w:highlight w:val="none"/>
          <w:lang w:eastAsia="zh-CN"/>
        </w:rPr>
        <w:t>作出</w:t>
      </w:r>
      <w:r>
        <w:rPr>
          <w:rFonts w:hint="eastAsia" w:ascii="宋体" w:hAnsi="宋体" w:eastAsia="宋体" w:cs="Times New Roman"/>
          <w:b/>
          <w:bCs/>
          <w:color w:val="auto"/>
          <w:sz w:val="24"/>
          <w:szCs w:val="24"/>
          <w:highlight w:val="none"/>
        </w:rPr>
        <w:t>判断，如供应商发现相关资料被盗用或复制，建议遵循法律途径解决，追究侵权者责任。</w:t>
      </w:r>
    </w:p>
    <w:p w14:paraId="73BE916C">
      <w:pPr>
        <w:spacing w:before="37" w:line="360" w:lineRule="auto"/>
        <w:ind w:left="24"/>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4、知识产权</w:t>
      </w:r>
    </w:p>
    <w:p w14:paraId="4313A50C">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.1 采购人在中华人民共和国境内使用磋商货物、资料、技术、服务或其任何一部分时，享有不受限制的无偿使用权，如有第三方向采购人提出侵犯其专利权、商标权或</w:t>
      </w:r>
      <w:r>
        <w:rPr>
          <w:rFonts w:hint="eastAsia" w:ascii="宋体" w:hAnsi="宋体" w:cs="Times New Roman"/>
          <w:color w:val="auto"/>
          <w:sz w:val="24"/>
          <w:szCs w:val="24"/>
          <w:highlight w:val="none"/>
          <w:lang w:eastAsia="zh-CN"/>
        </w:rPr>
        <w:t>其他</w:t>
      </w:r>
      <w:r>
        <w:rPr>
          <w:rFonts w:hint="eastAsia" w:ascii="宋体" w:hAnsi="宋体" w:eastAsia="宋体" w:cs="Times New Roman"/>
          <w:color w:val="auto"/>
          <w:sz w:val="24"/>
          <w:szCs w:val="24"/>
          <w:highlight w:val="none"/>
        </w:rPr>
        <w:t>知识产权的主张，该责任应由供应商承担。</w:t>
      </w:r>
    </w:p>
    <w:p w14:paraId="49BF43FE">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.2 磋商报价应包含所有应向所有权人支付的专利权、商标权或</w:t>
      </w:r>
      <w:r>
        <w:rPr>
          <w:rFonts w:hint="eastAsia" w:ascii="宋体" w:hAnsi="宋体" w:cs="Times New Roman"/>
          <w:color w:val="auto"/>
          <w:sz w:val="24"/>
          <w:szCs w:val="24"/>
          <w:highlight w:val="none"/>
          <w:lang w:eastAsia="zh-CN"/>
        </w:rPr>
        <w:t>其他</w:t>
      </w:r>
      <w:r>
        <w:rPr>
          <w:rFonts w:hint="eastAsia" w:ascii="宋体" w:hAnsi="宋体" w:eastAsia="宋体" w:cs="Times New Roman"/>
          <w:color w:val="auto"/>
          <w:sz w:val="24"/>
          <w:szCs w:val="24"/>
          <w:highlight w:val="none"/>
        </w:rPr>
        <w:t>知识产权的一切相关费用。</w:t>
      </w:r>
    </w:p>
    <w:p w14:paraId="2249F5F0">
      <w:pPr>
        <w:spacing w:before="37" w:line="360" w:lineRule="auto"/>
        <w:ind w:left="24"/>
        <w:rPr>
          <w:rFonts w:ascii="宋体" w:hAnsi="宋体" w:eastAsia="宋体" w:cs="宋体"/>
          <w:b/>
          <w:bCs/>
          <w:color w:val="auto"/>
          <w:spacing w:val="-4"/>
          <w:sz w:val="24"/>
          <w:szCs w:val="24"/>
          <w:highlight w:val="none"/>
        </w:rPr>
      </w:pPr>
      <w:r>
        <w:rPr>
          <w:rFonts w:ascii="宋体" w:hAnsi="宋体" w:eastAsia="宋体" w:cs="宋体"/>
          <w:b/>
          <w:bCs/>
          <w:color w:val="auto"/>
          <w:spacing w:val="-4"/>
          <w:sz w:val="24"/>
          <w:szCs w:val="24"/>
          <w:highlight w:val="none"/>
        </w:rPr>
        <w:t>5、 关于关联企业</w:t>
      </w:r>
    </w:p>
    <w:p w14:paraId="03EB43CC">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否则其竞争性磋商响应文件在评审时将同时被拒绝。</w:t>
      </w:r>
    </w:p>
    <w:p w14:paraId="18F520B9">
      <w:pPr>
        <w:spacing w:before="37" w:line="360" w:lineRule="auto"/>
        <w:ind w:left="24"/>
        <w:rPr>
          <w:rFonts w:ascii="宋体" w:hAnsi="宋体" w:eastAsia="宋体" w:cs="宋体"/>
          <w:b/>
          <w:bCs/>
          <w:color w:val="auto"/>
          <w:spacing w:val="-4"/>
          <w:sz w:val="24"/>
          <w:szCs w:val="24"/>
          <w:highlight w:val="none"/>
        </w:rPr>
      </w:pPr>
      <w:r>
        <w:rPr>
          <w:rFonts w:ascii="宋体" w:hAnsi="宋体" w:eastAsia="宋体" w:cs="宋体"/>
          <w:b/>
          <w:bCs/>
          <w:color w:val="auto"/>
          <w:spacing w:val="-4"/>
          <w:sz w:val="24"/>
          <w:szCs w:val="24"/>
          <w:highlight w:val="none"/>
        </w:rPr>
        <w:t>6、 成交人不得将合同转包给其他供应商。</w:t>
      </w:r>
    </w:p>
    <w:p w14:paraId="19C93B2E">
      <w:pPr>
        <w:spacing w:before="37" w:line="360" w:lineRule="auto"/>
        <w:ind w:left="24"/>
        <w:rPr>
          <w:rFonts w:ascii="宋体" w:hAnsi="宋体" w:eastAsia="宋体" w:cs="宋体"/>
          <w:b/>
          <w:bCs/>
          <w:color w:val="auto"/>
          <w:spacing w:val="-4"/>
          <w:sz w:val="24"/>
          <w:szCs w:val="24"/>
          <w:highlight w:val="none"/>
        </w:rPr>
      </w:pPr>
      <w:r>
        <w:rPr>
          <w:rFonts w:ascii="宋体" w:hAnsi="宋体" w:eastAsia="宋体" w:cs="宋体"/>
          <w:b/>
          <w:bCs/>
          <w:color w:val="auto"/>
          <w:spacing w:val="-4"/>
          <w:sz w:val="24"/>
          <w:szCs w:val="24"/>
          <w:highlight w:val="none"/>
        </w:rPr>
        <w:t>二、竞争性磋商文件编制说明</w:t>
      </w:r>
    </w:p>
    <w:p w14:paraId="34DE5C66">
      <w:pPr>
        <w:spacing w:before="37" w:line="360" w:lineRule="auto"/>
        <w:ind w:left="24"/>
        <w:rPr>
          <w:rFonts w:ascii="宋体" w:hAnsi="宋体" w:eastAsia="宋体" w:cs="宋体"/>
          <w:b/>
          <w:bCs/>
          <w:color w:val="auto"/>
          <w:spacing w:val="-4"/>
          <w:sz w:val="24"/>
          <w:szCs w:val="24"/>
          <w:highlight w:val="none"/>
        </w:rPr>
      </w:pPr>
      <w:r>
        <w:rPr>
          <w:rFonts w:ascii="宋体" w:hAnsi="宋体" w:eastAsia="宋体" w:cs="宋体"/>
          <w:b/>
          <w:bCs/>
          <w:color w:val="auto"/>
          <w:spacing w:val="-4"/>
          <w:sz w:val="24"/>
          <w:szCs w:val="24"/>
          <w:highlight w:val="none"/>
        </w:rPr>
        <w:t>1、竞争性磋商文件的构成</w:t>
      </w:r>
    </w:p>
    <w:p w14:paraId="4E7AFB9A">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第一章 竞争性磋商公告</w:t>
      </w:r>
    </w:p>
    <w:p w14:paraId="576D5138">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第二章 供应商须知</w:t>
      </w:r>
    </w:p>
    <w:p w14:paraId="15EF2197">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第三章 采购项目要求</w:t>
      </w:r>
    </w:p>
    <w:p w14:paraId="63361B6D">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第四章 评审办法</w:t>
      </w:r>
    </w:p>
    <w:p w14:paraId="28846C67">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第五章 合同条款及合同书样式 </w:t>
      </w:r>
    </w:p>
    <w:p w14:paraId="0A08E0D9">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第六章 响应文件格式</w:t>
      </w:r>
    </w:p>
    <w:p w14:paraId="55C85E52">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附：在采购过程中由采购代理机构发出的修正和补充文件等</w:t>
      </w:r>
    </w:p>
    <w:p w14:paraId="5A3661FD">
      <w:pPr>
        <w:spacing w:before="37" w:line="360" w:lineRule="auto"/>
        <w:ind w:left="24"/>
        <w:rPr>
          <w:rFonts w:ascii="宋体" w:hAnsi="宋体" w:eastAsia="宋体" w:cs="宋体"/>
          <w:b/>
          <w:bCs/>
          <w:color w:val="auto"/>
          <w:spacing w:val="-4"/>
          <w:sz w:val="24"/>
          <w:szCs w:val="24"/>
          <w:highlight w:val="none"/>
        </w:rPr>
      </w:pPr>
      <w:r>
        <w:rPr>
          <w:rFonts w:ascii="宋体" w:hAnsi="宋体" w:eastAsia="宋体" w:cs="宋体"/>
          <w:b/>
          <w:bCs/>
          <w:color w:val="auto"/>
          <w:spacing w:val="-4"/>
          <w:sz w:val="24"/>
          <w:szCs w:val="24"/>
          <w:highlight w:val="none"/>
        </w:rPr>
        <w:t>2、竞争性磋商文件的答疑、澄清及更正</w:t>
      </w:r>
    </w:p>
    <w:p w14:paraId="596F1A7F">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（1）采购人保留对本文件的解释权。供应商对竞争性磋商文件有疑问的，可以在磋商截止时间至少5个工作日前向采购代理机构提出询问，采购代理机构应当及时作出答复，但答复的内容不得涉及商业秘密。</w:t>
      </w:r>
    </w:p>
    <w:p w14:paraId="63AE15E8">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要求对竞争性磋商文件进行澄清的供应商，均应以书面（包括信函或传真，下同）形式在规定时间（磋商截止时间至少2日前）盖章确认后，以电子邮件形式向采购代理机构发送彩色扫描件，接收邮箱：1046657573@qq.com；</w:t>
      </w:r>
    </w:p>
    <w:p w14:paraId="19AA8EFC">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（3）供应商在规定的时间内未对竞争性磋商文件提出疑问或澄清的，将视其为无异议。对竞争性磋商文件中描述有</w:t>
      </w:r>
      <w:r>
        <w:rPr>
          <w:rFonts w:hint="eastAsia" w:ascii="宋体" w:hAnsi="宋体" w:cs="Times New Roman"/>
          <w:color w:val="auto"/>
          <w:sz w:val="24"/>
          <w:szCs w:val="24"/>
          <w:highlight w:val="none"/>
          <w:lang w:val="en-US" w:eastAsia="zh-CN"/>
        </w:rPr>
        <w:t>歧义</w:t>
      </w:r>
      <w:r>
        <w:rPr>
          <w:rFonts w:hint="eastAsia" w:ascii="宋体" w:hAnsi="宋体" w:eastAsia="宋体" w:cs="Times New Roman"/>
          <w:color w:val="auto"/>
          <w:sz w:val="24"/>
          <w:szCs w:val="24"/>
          <w:highlight w:val="none"/>
          <w:lang w:val="en-US" w:eastAsia="zh-CN"/>
        </w:rPr>
        <w:t>或前后不一致的地方，磋商小组有权进行评判，但对同一条款的评判应适用于每个供应商。</w:t>
      </w:r>
    </w:p>
    <w:p w14:paraId="047F4930">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（4）供应商应在投标截止时间前及时</w:t>
      </w:r>
      <w:r>
        <w:rPr>
          <w:rFonts w:hint="eastAsia" w:ascii="宋体" w:hAnsi="宋体" w:cs="Times New Roman"/>
          <w:color w:val="auto"/>
          <w:sz w:val="24"/>
          <w:szCs w:val="24"/>
          <w:highlight w:val="none"/>
          <w:lang w:val="en-US" w:eastAsia="zh-CN"/>
        </w:rPr>
        <w:t>在项目公告网站查</w:t>
      </w:r>
      <w:r>
        <w:rPr>
          <w:rFonts w:hint="eastAsia" w:ascii="宋体" w:hAnsi="宋体" w:eastAsia="宋体" w:cs="Times New Roman"/>
          <w:color w:val="auto"/>
          <w:sz w:val="24"/>
          <w:szCs w:val="24"/>
          <w:highlight w:val="none"/>
          <w:lang w:val="en-US" w:eastAsia="zh-CN"/>
        </w:rPr>
        <w:t>看有关该项目的答疑、补遗内容。否则，后果自负。</w:t>
      </w:r>
    </w:p>
    <w:p w14:paraId="5704CAFC">
      <w:pPr>
        <w:spacing w:before="37" w:line="360" w:lineRule="auto"/>
        <w:ind w:left="24"/>
        <w:rPr>
          <w:rFonts w:ascii="宋体" w:hAnsi="宋体" w:eastAsia="宋体" w:cs="宋体"/>
          <w:b/>
          <w:bCs/>
          <w:color w:val="auto"/>
          <w:spacing w:val="-4"/>
          <w:sz w:val="24"/>
          <w:szCs w:val="24"/>
          <w:highlight w:val="none"/>
        </w:rPr>
      </w:pPr>
      <w:r>
        <w:rPr>
          <w:rFonts w:ascii="宋体" w:hAnsi="宋体" w:eastAsia="宋体" w:cs="宋体"/>
          <w:b/>
          <w:bCs/>
          <w:color w:val="auto"/>
          <w:spacing w:val="-4"/>
          <w:sz w:val="24"/>
          <w:szCs w:val="24"/>
          <w:highlight w:val="none"/>
        </w:rPr>
        <w:t>3、竞争性磋商文件的更正</w:t>
      </w:r>
    </w:p>
    <w:p w14:paraId="02103E5D">
      <w:pPr>
        <w:spacing w:before="37" w:line="360" w:lineRule="auto"/>
        <w:ind w:left="24"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（1）在磋商截止时间前，无论出于何种原因，采购代理机构可主动地或在解答供应商提出的疑问时对竞争性磋商文件进行更正。更正或补充的内容是竞争性磋商文件的组成部分，将在</w:t>
      </w:r>
      <w:r>
        <w:rPr>
          <w:rFonts w:hint="eastAsia" w:ascii="宋体" w:hAnsi="宋体" w:cs="Times New Roman"/>
          <w:color w:val="auto"/>
          <w:sz w:val="24"/>
          <w:szCs w:val="24"/>
          <w:highlight w:val="none"/>
          <w:lang w:val="en-US" w:eastAsia="zh-CN"/>
        </w:rPr>
        <w:t>中国政府采购网</w:t>
      </w:r>
      <w:r>
        <w:rPr>
          <w:rFonts w:hint="eastAsia" w:ascii="宋体" w:hAnsi="宋体" w:eastAsia="宋体" w:cs="Times New Roman"/>
          <w:color w:val="auto"/>
          <w:sz w:val="24"/>
          <w:szCs w:val="24"/>
          <w:highlight w:val="none"/>
          <w:lang w:val="en-US" w:eastAsia="zh-CN"/>
        </w:rPr>
        <w:t>发布更正或补充。</w:t>
      </w:r>
    </w:p>
    <w:p w14:paraId="1F8A2CCE">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（2）供应商应在磋商截止时间前</w:t>
      </w:r>
      <w:r>
        <w:rPr>
          <w:rFonts w:hint="eastAsia" w:ascii="宋体" w:hAnsi="宋体" w:cs="Times New Roman"/>
          <w:color w:val="auto"/>
          <w:sz w:val="24"/>
          <w:szCs w:val="24"/>
          <w:highlight w:val="none"/>
          <w:lang w:val="en-US" w:eastAsia="zh-CN"/>
        </w:rPr>
        <w:t>及时在中国政府采购网</w:t>
      </w:r>
      <w:r>
        <w:rPr>
          <w:rFonts w:hint="eastAsia" w:ascii="宋体" w:hAnsi="宋体" w:eastAsia="宋体" w:cs="Times New Roman"/>
          <w:color w:val="auto"/>
          <w:sz w:val="24"/>
          <w:szCs w:val="24"/>
          <w:highlight w:val="none"/>
          <w:lang w:val="en-US" w:eastAsia="zh-CN"/>
        </w:rPr>
        <w:t>查看有关该项目的更正或补充内容。否则，后果自负。</w:t>
      </w:r>
    </w:p>
    <w:p w14:paraId="268143A9">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为使供应商准备磋商时有充足时间对竞争性磋商文件的更正部分进行研究，采购代理机构可适当推迟磋商截止时间，但至少应当在竞争性磋商文件要求提交响应文件的截止时间五个工作日前，将变更时间书面通知所有竞争性磋商文件收受人。</w:t>
      </w:r>
    </w:p>
    <w:p w14:paraId="750DE308">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4、依照《中华人民共和国政府采购法</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中华人民共和国民法典》等规定。</w:t>
      </w:r>
    </w:p>
    <w:p w14:paraId="2BC86F89">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竞争性磋商文件和响应文件将作为合同附件，与合同内容一样具有同等法律效力。</w:t>
      </w:r>
    </w:p>
    <w:p w14:paraId="6AC603F4">
      <w:pPr>
        <w:spacing w:before="37" w:line="360" w:lineRule="auto"/>
        <w:ind w:left="24"/>
        <w:rPr>
          <w:rFonts w:ascii="宋体" w:hAnsi="宋体" w:eastAsia="宋体" w:cs="宋体"/>
          <w:b/>
          <w:bCs/>
          <w:color w:val="auto"/>
          <w:spacing w:val="-4"/>
          <w:sz w:val="24"/>
          <w:szCs w:val="24"/>
          <w:highlight w:val="none"/>
        </w:rPr>
      </w:pPr>
      <w:r>
        <w:rPr>
          <w:rFonts w:ascii="宋体" w:hAnsi="宋体" w:eastAsia="宋体" w:cs="宋体"/>
          <w:b/>
          <w:bCs/>
          <w:color w:val="auto"/>
          <w:spacing w:val="-4"/>
          <w:sz w:val="24"/>
          <w:szCs w:val="24"/>
          <w:highlight w:val="none"/>
        </w:rPr>
        <w:t>三、响应文件编制要求</w:t>
      </w:r>
    </w:p>
    <w:p w14:paraId="2C7D0C98">
      <w:pPr>
        <w:spacing w:before="37" w:line="360" w:lineRule="auto"/>
        <w:ind w:left="24"/>
        <w:rPr>
          <w:rFonts w:ascii="宋体" w:hAnsi="宋体" w:eastAsia="宋体" w:cs="宋体"/>
          <w:b/>
          <w:bCs/>
          <w:color w:val="auto"/>
          <w:spacing w:val="-4"/>
          <w:sz w:val="24"/>
          <w:szCs w:val="24"/>
          <w:highlight w:val="none"/>
        </w:rPr>
      </w:pPr>
      <w:r>
        <w:rPr>
          <w:rFonts w:ascii="宋体" w:hAnsi="宋体" w:eastAsia="宋体" w:cs="宋体"/>
          <w:b/>
          <w:bCs/>
          <w:color w:val="auto"/>
          <w:spacing w:val="-4"/>
          <w:sz w:val="24"/>
          <w:szCs w:val="24"/>
          <w:highlight w:val="none"/>
        </w:rPr>
        <w:t>1、 竞争性磋商响应文件编写注意事项</w:t>
      </w:r>
    </w:p>
    <w:p w14:paraId="1D22E066">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1.1 供应商应仔细阅读竞争性磋商文件，在完全了解竞争性磋商文件的要求 后，编写竞争性磋商响应文件。如果没有按照竞争性磋商文件要求提交全部磋商证件及资料，没有对竞争性磋商文件的实质性要求和条件做出响应，可能导致该磋商被拒绝。</w:t>
      </w:r>
    </w:p>
    <w:p w14:paraId="407AB231">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1.2 对竞争性磋商文件提出的实质性要求做出响应是指供应商必须对竞争  性磋商文件中标明实质性要求的资格条件、资格证明、服务要求、合同主要条款及其它要求等内容做出满足或者优于原要求的承诺。</w:t>
      </w:r>
    </w:p>
    <w:p w14:paraId="4407B88E">
      <w:pPr>
        <w:spacing w:line="360" w:lineRule="auto"/>
        <w:ind w:firstLine="480" w:firstLineChars="200"/>
        <w:rPr>
          <w:rFonts w:hint="eastAsia" w:ascii="宋体" w:hAnsi="宋体" w:eastAsia="宋体" w:cs="Times New Roman"/>
          <w:color w:val="auto"/>
          <w:sz w:val="24"/>
          <w:szCs w:val="24"/>
          <w:highlight w:val="none"/>
          <w:lang w:val="en-US" w:eastAsia="zh-CN"/>
        </w:rPr>
        <w:sectPr>
          <w:pgSz w:w="11906" w:h="16839"/>
          <w:pgMar w:top="1431" w:right="1601" w:bottom="0" w:left="1785" w:header="0" w:footer="0" w:gutter="0"/>
          <w:pgNumType w:fmt="decimal"/>
          <w:cols w:space="720" w:num="1"/>
        </w:sectPr>
      </w:pPr>
    </w:p>
    <w:p w14:paraId="1AFAF6AE">
      <w:pPr>
        <w:spacing w:before="37" w:line="360" w:lineRule="auto"/>
        <w:ind w:left="24"/>
        <w:rPr>
          <w:rFonts w:ascii="宋体" w:hAnsi="宋体" w:eastAsia="宋体" w:cs="宋体"/>
          <w:b/>
          <w:bCs/>
          <w:color w:val="auto"/>
          <w:spacing w:val="-4"/>
          <w:sz w:val="24"/>
          <w:szCs w:val="24"/>
          <w:highlight w:val="none"/>
        </w:rPr>
      </w:pPr>
      <w:r>
        <w:rPr>
          <w:rFonts w:ascii="宋体" w:hAnsi="宋体" w:eastAsia="宋体" w:cs="宋体"/>
          <w:b/>
          <w:bCs/>
          <w:color w:val="auto"/>
          <w:spacing w:val="-4"/>
          <w:sz w:val="24"/>
          <w:szCs w:val="24"/>
          <w:highlight w:val="none"/>
        </w:rPr>
        <w:t>2. 磋商的语言及计量单位</w:t>
      </w:r>
    </w:p>
    <w:p w14:paraId="4B6154D2">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2.1 供应商的竞争性磋商响应文件以及与采购代理机构就有关磋商的所有来往函电统一使用中文。</w:t>
      </w:r>
    </w:p>
    <w:p w14:paraId="713CB604">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2.2 竞争性磋商响应文件中使用的计量单位除竞争性磋商文件有特殊规定 外，一律使用中国法定计量单位。</w:t>
      </w:r>
    </w:p>
    <w:p w14:paraId="6D779E5B">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3. 竞争性磋商响应文件构成</w:t>
      </w:r>
    </w:p>
    <w:p w14:paraId="7F87E554">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（1）竞争性磋商响应文件全部采用</w:t>
      </w:r>
      <w:r>
        <w:rPr>
          <w:rFonts w:hint="eastAsia" w:ascii="宋体" w:hAnsi="宋体" w:cs="Times New Roman"/>
          <w:color w:val="auto"/>
          <w:sz w:val="24"/>
          <w:szCs w:val="24"/>
          <w:highlight w:val="none"/>
          <w:lang w:val="en-US" w:eastAsia="zh-CN"/>
        </w:rPr>
        <w:t>纸质文档</w:t>
      </w:r>
      <w:r>
        <w:rPr>
          <w:rFonts w:hint="eastAsia" w:ascii="宋体" w:hAnsi="宋体" w:eastAsia="宋体" w:cs="Times New Roman"/>
          <w:color w:val="auto"/>
          <w:sz w:val="24"/>
          <w:szCs w:val="24"/>
          <w:highlight w:val="none"/>
          <w:lang w:val="en-US" w:eastAsia="zh-CN"/>
        </w:rPr>
        <w:t>，文件格式详见“第六章 响应文件格式 ”。</w:t>
      </w:r>
    </w:p>
    <w:p w14:paraId="683360A0">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4、磋商报价</w:t>
      </w:r>
    </w:p>
    <w:p w14:paraId="4EDF0127">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4.1本项目磋商报价须包含本次采购所涉及的全部服务内容，以及相应的项目服务管理费、人工费、差旅费、税费、风险费、代理服务费等以及保证项目顺利开展的所有费用。</w:t>
      </w:r>
    </w:p>
    <w:p w14:paraId="5575327F">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4.2供应商的磋商报价应依据竞争性磋商文件的要求及有关资料，执行国家 规定的现行技术、经济标准、定额及规范，由供应商自行测算出项目成本，报价 应符合国内行情并能保证供应商完成履行合同所需的一切工作。</w:t>
      </w:r>
    </w:p>
    <w:p w14:paraId="45B9C48C">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4.5 应以人民币报价。</w:t>
      </w:r>
    </w:p>
    <w:p w14:paraId="0F5FD802">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5、竞争性磋商响应文件有效期</w:t>
      </w:r>
    </w:p>
    <w:p w14:paraId="0295EBCD">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5.1 自本竞争性磋商文件规定的开标日起，在90日历天保持有效。磋商有效期不足的响应文件将被视为非实质性响应竞争性磋商文件而被拒绝。</w:t>
      </w:r>
    </w:p>
    <w:p w14:paraId="2A806B14">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5.2 在特殊情况下，采购人可与供应商协商延长竞争性磋商响应文件的有效 期，这种要求与答复均应以书面形式提交。供应商拒绝延长的，其磋商失效，但 供应商有权收回其磋商保证金。</w:t>
      </w:r>
    </w:p>
    <w:p w14:paraId="08AED604">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6、竞争性磋商响应文件的编制</w:t>
      </w:r>
    </w:p>
    <w:p w14:paraId="7C01ECC2">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6.1 竞争性磋商响应文件应按“第六章 响应文件格式 ”进行编写，如有必要，可以增加附页，作为竞争性磋商响应文件的组成部分。</w:t>
      </w:r>
    </w:p>
    <w:p w14:paraId="21052609">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6.3 如供应商提交的</w:t>
      </w:r>
      <w:r>
        <w:rPr>
          <w:rFonts w:hint="eastAsia" w:ascii="宋体" w:hAnsi="宋体" w:cs="Times New Roman"/>
          <w:color w:val="auto"/>
          <w:sz w:val="24"/>
          <w:szCs w:val="24"/>
          <w:highlight w:val="none"/>
          <w:lang w:val="en-US" w:eastAsia="zh-CN"/>
        </w:rPr>
        <w:t>响应文件</w:t>
      </w:r>
      <w:r>
        <w:rPr>
          <w:rFonts w:hint="eastAsia" w:ascii="宋体" w:hAnsi="宋体" w:eastAsia="宋体" w:cs="Times New Roman"/>
          <w:color w:val="auto"/>
          <w:sz w:val="24"/>
          <w:szCs w:val="24"/>
          <w:highlight w:val="none"/>
          <w:lang w:val="en-US" w:eastAsia="zh-CN"/>
        </w:rPr>
        <w:t>不符合</w:t>
      </w:r>
      <w:r>
        <w:rPr>
          <w:rFonts w:hint="eastAsia" w:ascii="宋体" w:hAnsi="宋体" w:cs="Times New Roman"/>
          <w:color w:val="auto"/>
          <w:sz w:val="24"/>
          <w:szCs w:val="24"/>
          <w:highlight w:val="none"/>
          <w:lang w:val="en-US" w:eastAsia="zh-CN"/>
        </w:rPr>
        <w:t>文件</w:t>
      </w:r>
      <w:r>
        <w:rPr>
          <w:rFonts w:hint="eastAsia" w:ascii="宋体" w:hAnsi="宋体" w:eastAsia="宋体" w:cs="Times New Roman"/>
          <w:color w:val="auto"/>
          <w:sz w:val="24"/>
          <w:szCs w:val="24"/>
          <w:highlight w:val="none"/>
          <w:lang w:val="en-US" w:eastAsia="zh-CN"/>
        </w:rPr>
        <w:t>要求，其竞争性磋商响应文件将不予受理。</w:t>
      </w:r>
    </w:p>
    <w:p w14:paraId="6CE88363">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7、磋商保证金</w:t>
      </w:r>
    </w:p>
    <w:p w14:paraId="5E998E9B">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7.1 磋商保证金为人民币。磋商保证金应在提交竞争性磋商响应文件截止时 间以前到账，并在规定的时间内保持有效。</w:t>
      </w:r>
    </w:p>
    <w:p w14:paraId="7A9C4B4F">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7.2 交款方式：可以采用“银行转账”“银行保函”“投标保证保险”任一方式，其中采用“银行转账”方式的，供应商以支票、汇票、本票、网上银行支付等非现金形式汇入指定账户。</w:t>
      </w:r>
    </w:p>
    <w:p w14:paraId="1D901347">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7.3 交纳时请备注项目名称或者</w:t>
      </w:r>
      <w:r>
        <w:rPr>
          <w:rFonts w:hint="eastAsia" w:ascii="宋体" w:hAnsi="宋体" w:cs="Times New Roman"/>
          <w:color w:val="auto"/>
          <w:sz w:val="24"/>
          <w:szCs w:val="24"/>
          <w:highlight w:val="none"/>
          <w:lang w:val="en-US" w:eastAsia="zh-CN"/>
        </w:rPr>
        <w:t>项目编号</w:t>
      </w:r>
      <w:r>
        <w:rPr>
          <w:rFonts w:hint="eastAsia" w:ascii="宋体" w:hAnsi="宋体" w:eastAsia="宋体" w:cs="Times New Roman"/>
          <w:color w:val="auto"/>
          <w:sz w:val="24"/>
          <w:szCs w:val="24"/>
          <w:highlight w:val="none"/>
          <w:lang w:val="en-US" w:eastAsia="zh-CN"/>
        </w:rPr>
        <w:t>，如因供应商未提交保证金导致响应文件被拒收的，责任由供应商自行承担。</w:t>
      </w:r>
    </w:p>
    <w:p w14:paraId="674F0FE0">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7.4 成交公示期结束后，未成交的供应商保证金在成交通知书发出后5个工作日内退还。成交人的磋商保证金在与采购人签订合同后5个工作日内返还。磋商保证金返还时将退回供应商基本账户。</w:t>
      </w:r>
    </w:p>
    <w:p w14:paraId="56559216">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7.5 下列情况发生时，磋商保证金将</w:t>
      </w:r>
      <w:r>
        <w:rPr>
          <w:rFonts w:hint="eastAsia" w:ascii="宋体" w:hAnsi="宋体" w:cs="Times New Roman"/>
          <w:color w:val="auto"/>
          <w:sz w:val="24"/>
          <w:szCs w:val="24"/>
          <w:highlight w:val="none"/>
          <w:lang w:val="en-US" w:eastAsia="zh-CN"/>
        </w:rPr>
        <w:t>不予退还</w:t>
      </w:r>
      <w:r>
        <w:rPr>
          <w:rFonts w:hint="eastAsia" w:ascii="宋体" w:hAnsi="宋体" w:eastAsia="宋体" w:cs="Times New Roman"/>
          <w:color w:val="auto"/>
          <w:sz w:val="24"/>
          <w:szCs w:val="24"/>
          <w:highlight w:val="none"/>
          <w:lang w:val="en-US" w:eastAsia="zh-CN"/>
        </w:rPr>
        <w:t>：</w:t>
      </w:r>
    </w:p>
    <w:p w14:paraId="24E8E3C5">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①截止磋商时间后，供应商撤回其竞争性响应文件的；</w:t>
      </w:r>
    </w:p>
    <w:p w14:paraId="2D412679">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②成交通知书发出后，成交方</w:t>
      </w:r>
      <w:r>
        <w:rPr>
          <w:rFonts w:hint="eastAsia" w:ascii="宋体" w:hAnsi="宋体" w:cs="Times New Roman"/>
          <w:color w:val="auto"/>
          <w:sz w:val="24"/>
          <w:szCs w:val="24"/>
          <w:highlight w:val="none"/>
          <w:lang w:val="en-US" w:eastAsia="zh-CN"/>
        </w:rPr>
        <w:t>不签订</w:t>
      </w:r>
      <w:r>
        <w:rPr>
          <w:rFonts w:hint="eastAsia" w:ascii="宋体" w:hAnsi="宋体" w:eastAsia="宋体" w:cs="Times New Roman"/>
          <w:color w:val="auto"/>
          <w:sz w:val="24"/>
          <w:szCs w:val="24"/>
          <w:highlight w:val="none"/>
          <w:lang w:val="en-US" w:eastAsia="zh-CN"/>
        </w:rPr>
        <w:t>合同或放弃成交权的；</w:t>
      </w:r>
    </w:p>
    <w:p w14:paraId="627928CC">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③供应商提供虚假资料的；</w:t>
      </w:r>
    </w:p>
    <w:p w14:paraId="45706AC3">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④供应商有围标、串标行为的；</w:t>
      </w:r>
    </w:p>
    <w:p w14:paraId="4EC5FC45">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⑤竞争性磋商文件规定的</w:t>
      </w:r>
      <w:r>
        <w:rPr>
          <w:rFonts w:hint="eastAsia" w:ascii="宋体" w:hAnsi="宋体" w:cs="Times New Roman"/>
          <w:color w:val="auto"/>
          <w:sz w:val="24"/>
          <w:szCs w:val="24"/>
          <w:highlight w:val="none"/>
          <w:lang w:val="en-US" w:eastAsia="zh-CN"/>
        </w:rPr>
        <w:t>其他情形</w:t>
      </w:r>
      <w:r>
        <w:rPr>
          <w:rFonts w:hint="eastAsia" w:ascii="宋体" w:hAnsi="宋体" w:eastAsia="宋体" w:cs="Times New Roman"/>
          <w:color w:val="auto"/>
          <w:sz w:val="24"/>
          <w:szCs w:val="24"/>
          <w:highlight w:val="none"/>
          <w:lang w:val="en-US" w:eastAsia="zh-CN"/>
        </w:rPr>
        <w:t>（不按竞争性磋商文件要求缴纳采购代理 服务费的）。</w:t>
      </w:r>
    </w:p>
    <w:p w14:paraId="3929C0C7">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8、竞争性磋商响应文件的密封和标记</w:t>
      </w:r>
    </w:p>
    <w:p w14:paraId="09671676">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8.1 竞争性磋商响应文件的密封</w:t>
      </w:r>
    </w:p>
    <w:p w14:paraId="78151CC4">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8.1.1 竞争性磋商响应文件的密封要求详见“供应商须知前附表 ”。</w:t>
      </w:r>
    </w:p>
    <w:p w14:paraId="72563350">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8.1.2 未按本章第 8.1 项要求密封和加写标记的响应文件，采购人不予受理。</w:t>
      </w:r>
    </w:p>
    <w:p w14:paraId="1945727F">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8.2 响应文件的提交。</w:t>
      </w:r>
    </w:p>
    <w:p w14:paraId="665861C1">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8.2.1 供应商应在本章“供应商须知前附表 ”第13项规定的磋商时间前</w:t>
      </w:r>
      <w:r>
        <w:rPr>
          <w:rFonts w:hint="eastAsia" w:ascii="宋体" w:hAnsi="宋体" w:cs="Times New Roman"/>
          <w:color w:val="auto"/>
          <w:sz w:val="24"/>
          <w:szCs w:val="24"/>
          <w:highlight w:val="none"/>
          <w:lang w:val="en-US" w:eastAsia="zh-CN"/>
        </w:rPr>
        <w:t>提交</w:t>
      </w:r>
      <w:r>
        <w:rPr>
          <w:rFonts w:hint="eastAsia" w:ascii="宋体" w:hAnsi="宋体" w:eastAsia="宋体" w:cs="Times New Roman"/>
          <w:color w:val="auto"/>
          <w:sz w:val="24"/>
          <w:szCs w:val="24"/>
          <w:highlight w:val="none"/>
          <w:lang w:val="en-US" w:eastAsia="zh-CN"/>
        </w:rPr>
        <w:t>竞争性磋商响应文件。</w:t>
      </w:r>
    </w:p>
    <w:p w14:paraId="034D2E76">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8.3 供应商</w:t>
      </w:r>
      <w:r>
        <w:rPr>
          <w:rFonts w:hint="eastAsia" w:ascii="宋体" w:hAnsi="宋体" w:cs="Times New Roman"/>
          <w:color w:val="auto"/>
          <w:sz w:val="24"/>
          <w:szCs w:val="24"/>
          <w:highlight w:val="none"/>
          <w:lang w:val="en-US" w:eastAsia="zh-CN"/>
        </w:rPr>
        <w:t>提交</w:t>
      </w:r>
      <w:r>
        <w:rPr>
          <w:rFonts w:hint="eastAsia" w:ascii="宋体" w:hAnsi="宋体" w:eastAsia="宋体" w:cs="Times New Roman"/>
          <w:color w:val="auto"/>
          <w:sz w:val="24"/>
          <w:szCs w:val="24"/>
          <w:highlight w:val="none"/>
          <w:lang w:val="en-US" w:eastAsia="zh-CN"/>
        </w:rPr>
        <w:t>竞争性磋商响应文件的地点：见供应商须知前附表。</w:t>
      </w:r>
    </w:p>
    <w:p w14:paraId="0EBCAED6">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四、磋商</w:t>
      </w:r>
    </w:p>
    <w:p w14:paraId="6C02EA91">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9、磋商</w:t>
      </w:r>
    </w:p>
    <w:p w14:paraId="59A30813">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9.1 采购代理机构将在“供应商须知前附表 ”规定的时间和地点进行磋商。</w:t>
      </w:r>
    </w:p>
    <w:p w14:paraId="4936C23C">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9.2 磋商小组由</w:t>
      </w:r>
      <w:r>
        <w:rPr>
          <w:rFonts w:hint="eastAsia" w:ascii="宋体" w:hAnsi="宋体" w:eastAsia="宋体" w:cs="Times New Roman"/>
          <w:b/>
          <w:bCs/>
          <w:color w:val="auto"/>
          <w:sz w:val="24"/>
          <w:szCs w:val="24"/>
          <w:highlight w:val="none"/>
          <w:lang w:val="en-US" w:eastAsia="zh-CN"/>
        </w:rPr>
        <w:t>采购人代表和评审专家共3人以上单数组成</w:t>
      </w:r>
      <w:r>
        <w:rPr>
          <w:rFonts w:hint="eastAsia" w:ascii="宋体" w:hAnsi="宋体" w:eastAsia="宋体" w:cs="Times New Roman"/>
          <w:color w:val="auto"/>
          <w:sz w:val="24"/>
          <w:szCs w:val="24"/>
          <w:highlight w:val="none"/>
          <w:lang w:val="en-US" w:eastAsia="zh-CN"/>
        </w:rPr>
        <w:t>，其中评审专家人数不得少于磋商小组成员总数的 2/3。采购人代表不得以评审专家身份参加本部门或本单位采购项目的评审。采购代理机构人员不得参加本机构代理的采购项目的评审。</w:t>
      </w:r>
    </w:p>
    <w:p w14:paraId="6984F7FC">
      <w:pPr>
        <w:spacing w:line="360" w:lineRule="auto"/>
        <w:ind w:firstLine="482" w:firstLineChars="20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采购人委派代表参加竞争性磋商小组的，要向采购代理机构出具授权函。</w:t>
      </w:r>
    </w:p>
    <w:p w14:paraId="285B39D6">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9.3 磋商原则</w:t>
      </w:r>
    </w:p>
    <w:p w14:paraId="5366EDBD">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磋商小组成员应当按照客观、公正的原则，根据竞争性磋商文件规定的评审程序、评审方法和评审标准进行独立评审。未实质性响应竞争性磋商文件的响应文件按无效响应处理，磋商小组应当告知提交响应文件的供应商。</w:t>
      </w:r>
    </w:p>
    <w:p w14:paraId="6860CCDB">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9.4 磋商程序和方法</w:t>
      </w:r>
    </w:p>
    <w:p w14:paraId="4B71230F">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磋商小组按照第</w:t>
      </w:r>
      <w:r>
        <w:rPr>
          <w:rFonts w:hint="eastAsia" w:ascii="宋体" w:hAnsi="宋体" w:cs="Times New Roman"/>
          <w:color w:val="auto"/>
          <w:sz w:val="24"/>
          <w:szCs w:val="24"/>
          <w:highlight w:val="none"/>
          <w:lang w:val="en-US" w:eastAsia="zh-CN"/>
        </w:rPr>
        <w:t>四</w:t>
      </w:r>
      <w:r>
        <w:rPr>
          <w:rFonts w:hint="eastAsia" w:ascii="宋体" w:hAnsi="宋体" w:eastAsia="宋体" w:cs="Times New Roman"/>
          <w:color w:val="auto"/>
          <w:sz w:val="24"/>
          <w:szCs w:val="24"/>
          <w:highlight w:val="none"/>
          <w:lang w:val="en-US" w:eastAsia="zh-CN"/>
        </w:rPr>
        <w:t>章“评审办法”规定的方法、因素、标准和程序进行磋商。</w:t>
      </w:r>
    </w:p>
    <w:p w14:paraId="396C0F66">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9.5 磋商文件第</w:t>
      </w:r>
      <w:r>
        <w:rPr>
          <w:rFonts w:hint="eastAsia" w:ascii="宋体" w:hAnsi="宋体" w:cs="Times New Roman"/>
          <w:color w:val="auto"/>
          <w:sz w:val="24"/>
          <w:szCs w:val="24"/>
          <w:highlight w:val="none"/>
          <w:lang w:val="en-US" w:eastAsia="zh-CN"/>
        </w:rPr>
        <w:t>四</w:t>
      </w:r>
      <w:r>
        <w:rPr>
          <w:rFonts w:hint="eastAsia" w:ascii="宋体" w:hAnsi="宋体" w:eastAsia="宋体" w:cs="Times New Roman"/>
          <w:color w:val="auto"/>
          <w:sz w:val="24"/>
          <w:szCs w:val="24"/>
          <w:highlight w:val="none"/>
          <w:lang w:val="en-US" w:eastAsia="zh-CN"/>
        </w:rPr>
        <w:t>章“评审办法”实质性要求为磋商文件的实质性内容，未实质性响应磋商文件的供应商的响应文件将按无效处理，该供应商不得再继续参加磋商。</w:t>
      </w:r>
    </w:p>
    <w:p w14:paraId="3190746B">
      <w:pPr>
        <w:snapToGrid/>
        <w:spacing w:afterAutospacing="0"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9.6 磋商小组在对竞争性磋商响应文件的有效性、完整性和响应程度进行审查时，可以要求供应商对竞争性磋商响应文件中含义不明确、同类问题表述不一致或者有明显文字和计算错误的内容等作出必要的澄清、说明或者更正。供应商 的澄清、说明或者更正不得超出竞争性磋商响应文件的范围或者改变竞争性磋商 响应文件的实质性内容。</w:t>
      </w:r>
    </w:p>
    <w:p w14:paraId="460A5B28">
      <w:pPr>
        <w:snapToGrid/>
        <w:spacing w:afterAutospacing="0"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磋商小组要求供应商澄清、说明或者更正竞争性磋商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00F33955">
      <w:pPr>
        <w:spacing w:beforeAutospacing="0"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10 、磋商过程的保密</w:t>
      </w:r>
    </w:p>
    <w:p w14:paraId="41CC2709">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1E6C1268">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五、废标</w:t>
      </w:r>
    </w:p>
    <w:p w14:paraId="657C7311">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在采购过程中，出现下列情形之一的，应予废标并重新采购：</w:t>
      </w:r>
    </w:p>
    <w:p w14:paraId="17E7F892">
      <w:pPr>
        <w:numPr>
          <w:ilvl w:val="0"/>
          <w:numId w:val="4"/>
        </w:num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因情况变化，不再符合规定的竞争性磋商采购方式适用情形的；</w:t>
      </w:r>
    </w:p>
    <w:p w14:paraId="6CD8A2FA">
      <w:pPr>
        <w:numPr>
          <w:ilvl w:val="0"/>
          <w:numId w:val="4"/>
        </w:num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出现影响采购公正的违法、违规行为的；</w:t>
      </w:r>
    </w:p>
    <w:p w14:paraId="480CC370">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3.在采购过程中符合竞争要求的供应商或者报价未超过采购预算的供应商不足3家的，但《政府采购竞争性磋商采购方式管理暂行办法》（财库〔2014〕214 号）第三十四条规定的情形除外。</w:t>
      </w:r>
    </w:p>
    <w:p w14:paraId="74E186E2">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六</w:t>
      </w:r>
      <w:r>
        <w:rPr>
          <w:rFonts w:hint="eastAsia" w:ascii="宋体" w:hAnsi="宋体" w:eastAsia="宋体" w:cs="宋体"/>
          <w:b/>
          <w:bCs/>
          <w:color w:val="auto"/>
          <w:spacing w:val="-4"/>
          <w:sz w:val="24"/>
          <w:szCs w:val="24"/>
          <w:highlight w:val="none"/>
          <w:lang w:val="en-US" w:eastAsia="zh-CN"/>
        </w:rPr>
        <w:t>、成交事宜</w:t>
      </w:r>
    </w:p>
    <w:p w14:paraId="1D40A6F3">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1、 成交人的确定</w:t>
      </w:r>
    </w:p>
    <w:p w14:paraId="7FCCD511">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1.1 采购代理机构在评审结束后2个工作日将评审报告送采购人确认。</w:t>
      </w:r>
    </w:p>
    <w:p w14:paraId="4369AD41">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1.2 采购人在收到评审报告后5个工作日内，从评审报告提出的成交候选供应商，按照评审报告中推荐的成交候选供应商顺序确定成交供应商。</w:t>
      </w:r>
    </w:p>
    <w:p w14:paraId="3B095842">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2、成交结果公告</w:t>
      </w:r>
    </w:p>
    <w:p w14:paraId="67ACDB85">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成交结果公告发布网站为</w:t>
      </w:r>
      <w:r>
        <w:rPr>
          <w:rFonts w:hint="eastAsia" w:ascii="宋体" w:hAnsi="宋体" w:cs="Times New Roman"/>
          <w:color w:val="auto"/>
          <w:sz w:val="24"/>
          <w:szCs w:val="24"/>
          <w:highlight w:val="none"/>
          <w:lang w:val="en-US" w:eastAsia="zh-CN"/>
        </w:rPr>
        <w:t>中国政府采购网</w:t>
      </w:r>
      <w:r>
        <w:rPr>
          <w:rFonts w:hint="eastAsia" w:ascii="宋体" w:hAnsi="宋体" w:eastAsia="宋体" w:cs="Times New Roman"/>
          <w:color w:val="auto"/>
          <w:sz w:val="24"/>
          <w:szCs w:val="24"/>
          <w:highlight w:val="none"/>
          <w:lang w:val="en-US" w:eastAsia="zh-CN"/>
        </w:rPr>
        <w:t>。公示期为1个工作日。</w:t>
      </w:r>
    </w:p>
    <w:p w14:paraId="2630A051">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3、成交通知书</w:t>
      </w:r>
    </w:p>
    <w:p w14:paraId="7129748E">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3.1 成交通知书是合同的一个组成部分。</w:t>
      </w:r>
    </w:p>
    <w:p w14:paraId="663F5271">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3.2 采购代理机构无义务向未成交人解释落标原因和退回竞争性磋商响应文件。</w:t>
      </w:r>
    </w:p>
    <w:p w14:paraId="55F7A858">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4、签订合同</w:t>
      </w:r>
    </w:p>
    <w:p w14:paraId="11503577">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4.1 采购人与成交供应商应当在成交通知书发出之日起30日内，按照竞争性磋商文件和成交供应商响应文件的约定，与成交供应商签订书面合同。所签订的合同不得对竞争性磋商文件和成交供应商响应文件作实质性修改。</w:t>
      </w:r>
    </w:p>
    <w:p w14:paraId="02ADBF7E">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4.2 成交人因不可抗力或者自身原因不能履行政府采购合同的，采购人可以与排在成交人之后第一位的成交候选人签订政府采购合同，以此类推；也可以选择重新组织采购。</w:t>
      </w:r>
    </w:p>
    <w:p w14:paraId="2F4B7F69">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七</w:t>
      </w:r>
      <w:r>
        <w:rPr>
          <w:rFonts w:hint="eastAsia" w:ascii="宋体" w:hAnsi="宋体" w:eastAsia="宋体" w:cs="宋体"/>
          <w:b/>
          <w:bCs/>
          <w:color w:val="auto"/>
          <w:spacing w:val="-4"/>
          <w:sz w:val="24"/>
          <w:szCs w:val="24"/>
          <w:highlight w:val="none"/>
          <w:lang w:val="en-US" w:eastAsia="zh-CN"/>
        </w:rPr>
        <w:t>、质疑与投诉</w:t>
      </w:r>
    </w:p>
    <w:p w14:paraId="3F5D9E3A">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（一）质疑</w:t>
      </w:r>
    </w:p>
    <w:p w14:paraId="0D3AF216">
      <w:pPr>
        <w:spacing w:line="360" w:lineRule="auto"/>
        <w:ind w:firstLine="464" w:firstLineChars="200"/>
        <w:rPr>
          <w:rFonts w:hint="eastAsia" w:ascii="宋体" w:hAnsi="宋体" w:eastAsia="宋体" w:cs="Times New Roman"/>
          <w:color w:val="auto"/>
          <w:sz w:val="24"/>
          <w:szCs w:val="24"/>
          <w:highlight w:val="none"/>
          <w:lang w:val="en-US" w:eastAsia="zh-CN"/>
        </w:rPr>
      </w:pPr>
      <w:r>
        <w:rPr>
          <w:rFonts w:ascii="宋体" w:hAnsi="宋体" w:eastAsia="宋体" w:cs="宋体"/>
          <w:color w:val="auto"/>
          <w:spacing w:val="-4"/>
          <w:sz w:val="24"/>
          <w:szCs w:val="24"/>
          <w:highlight w:val="none"/>
        </w:rPr>
        <w:t>1</w:t>
      </w:r>
      <w:r>
        <w:rPr>
          <w:rFonts w:hint="eastAsia" w:ascii="宋体" w:hAnsi="宋体" w:eastAsia="宋体" w:cs="Times New Roman"/>
          <w:color w:val="auto"/>
          <w:sz w:val="24"/>
          <w:szCs w:val="24"/>
          <w:highlight w:val="none"/>
          <w:lang w:val="en-US" w:eastAsia="zh-CN"/>
        </w:rPr>
        <w:t>.供应商认为竞争性磋商文件、采购过程或者成交结果使自己的权益受到损害的，可以在知道或者应知其权益受到损害之日起7个工作日内，以书面形式向采购人、采购代理机构提出质疑。供应商在法定质疑期内一次性提出针对同一采购程序环节的质疑。</w:t>
      </w:r>
    </w:p>
    <w:p w14:paraId="268C0C98">
      <w:pPr>
        <w:spacing w:line="360" w:lineRule="auto"/>
        <w:ind w:firstLine="464"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pacing w:val="-4"/>
          <w:sz w:val="24"/>
          <w:szCs w:val="24"/>
          <w:highlight w:val="none"/>
          <w:lang w:val="en-US" w:eastAsia="zh-CN"/>
        </w:rPr>
        <w:t>2.提出质疑的供应商（以下简称质疑供应商）应当是参与所质疑项目采购活动的供应商。</w:t>
      </w:r>
      <w:r>
        <w:rPr>
          <w:rFonts w:hint="eastAsia" w:ascii="宋体" w:hAnsi="宋体" w:eastAsia="宋体" w:cs="Times New Roman"/>
          <w:color w:val="auto"/>
          <w:sz w:val="24"/>
          <w:szCs w:val="24"/>
          <w:highlight w:val="none"/>
          <w:lang w:val="en-US" w:eastAsia="zh-CN"/>
        </w:rPr>
        <w:t>潜在供应商已依法获取其可质疑的竞争性磋商文件的，可以对该文件提出质疑。对竞争性磋商文件提出质疑的，应当在获取竞争性磋商文件或者竞争性磋商文件公告期限届满之日起7个工作日内提出。</w:t>
      </w:r>
    </w:p>
    <w:p w14:paraId="22403AA0">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3.供应商提出质疑应当提交质疑函和必要的证明材料。质疑函应当包括下列内容：</w:t>
      </w:r>
    </w:p>
    <w:p w14:paraId="1D8C35C6">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（1）供应商的姓名或者名称、地址、邮编、联系人及联系电话；</w:t>
      </w:r>
    </w:p>
    <w:p w14:paraId="7C20D98D">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（2）质疑项目的名称、编号；</w:t>
      </w:r>
    </w:p>
    <w:p w14:paraId="3EC375AC">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（3）具体、明确的质疑事项和与质疑事项相关的请求；</w:t>
      </w:r>
    </w:p>
    <w:p w14:paraId="57B704CF">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（4）事实依据；</w:t>
      </w:r>
    </w:p>
    <w:p w14:paraId="5CCDA042">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（5）必要的法律依据；</w:t>
      </w:r>
    </w:p>
    <w:p w14:paraId="01D92D15">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（6）提出质疑的日期。</w:t>
      </w:r>
    </w:p>
    <w:p w14:paraId="4DB2CC3B">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供应商为自然人的，应当由本人签字；供应商为法人或者其他组织的，应当由法定代表人、主要负责人，或者其授权代表签字或者盖章，并加盖公章。</w:t>
      </w:r>
    </w:p>
    <w:p w14:paraId="3230ADCF">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4.接收质疑函的方式、联系电话和通讯地址</w:t>
      </w:r>
    </w:p>
    <w:p w14:paraId="37B75EC2">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对竞争性磋商文件、采购过程或者成交结果有质疑的应以书面形式递交至采购代理机构。</w:t>
      </w:r>
    </w:p>
    <w:p w14:paraId="15F87F8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5.采购人、采购代理机构不得拒收质疑供应商在法定质疑期内发出的质疑函，应当在收到质疑函后7个工作日内作出答复，并以书面形式通知质疑供应商和其他有关供应商。</w:t>
      </w:r>
    </w:p>
    <w:p w14:paraId="443EF7E3">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（二）投诉</w:t>
      </w:r>
    </w:p>
    <w:p w14:paraId="36AC9D47">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1.质疑供应商对采购人、采购代理机构的答复不满意，或者采购人、采购代理机构未在规定时间内作出答复的，可以在答复期满后15个工作日内向项目所在地财政部门提起投诉。</w:t>
      </w:r>
    </w:p>
    <w:p w14:paraId="5CF1447B">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2.投诉人投诉时,应当提交投诉书和必要的证明材料，并按照被投诉采购人、 采购代理机构（以下简称被投诉人）和与投诉事项有关的供应商数量提供投诉书的副本。投诉书应当包括下列内容：</w:t>
      </w:r>
    </w:p>
    <w:p w14:paraId="1E0E5E7A">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（1）投诉人和被投诉人的姓名或者名称、通讯地址、邮编、联系人及联系电话；</w:t>
      </w:r>
    </w:p>
    <w:p w14:paraId="3C61A4D0">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（2）质疑和质疑答复情况说明及相关证明材料；</w:t>
      </w:r>
    </w:p>
    <w:p w14:paraId="4776BF79">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（3）具体、明确的投诉事项和与投诉事项相关的投诉请求；</w:t>
      </w:r>
    </w:p>
    <w:p w14:paraId="01BDFDDE">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（4）事实依据；</w:t>
      </w:r>
    </w:p>
    <w:p w14:paraId="53BCE456">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（5）法律依据；</w:t>
      </w:r>
    </w:p>
    <w:p w14:paraId="42908922">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（6）提起投诉的日期。</w:t>
      </w:r>
    </w:p>
    <w:p w14:paraId="5D70F799">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投诉人为自然人的，应当由本人签字；投诉人为法人或者其他组织的，应当由法定代表人、主要负责人，或者其授权代表签字或者盖章，并加盖公章。</w:t>
      </w:r>
    </w:p>
    <w:p w14:paraId="69264AE4">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3.投诉人提起投诉应当符合下列条件：</w:t>
      </w:r>
    </w:p>
    <w:p w14:paraId="13749F69">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（1）提起投诉前已依法进行质疑；</w:t>
      </w:r>
    </w:p>
    <w:p w14:paraId="0EA7F928">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（2）投诉书内容符合本办法的规定；</w:t>
      </w:r>
    </w:p>
    <w:p w14:paraId="2FF163E4">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（3）在投诉有效期限内提起投诉；</w:t>
      </w:r>
    </w:p>
    <w:p w14:paraId="4F5BEE00">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（4）同一投诉事项未经财政部门投诉处理；</w:t>
      </w:r>
    </w:p>
    <w:p w14:paraId="3492824D">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（5）财政部规定的其他条件。</w:t>
      </w:r>
    </w:p>
    <w:p w14:paraId="67F96D8B">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4.供应商投诉的事项不得超出已质疑事项的范围，但基于质疑答复内容提出的投诉事项除外。</w:t>
      </w:r>
    </w:p>
    <w:p w14:paraId="395763BF">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八、授标时增减采购标的物数量的权利</w:t>
      </w:r>
    </w:p>
    <w:p w14:paraId="3BE35FD0">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合同履行中，采购人需另行采购与合同标的相同的项目的，可以在不变更合同其他条款的前提下，与供应商协商签订补充采购合同。补充采购合同的金额不得超过原合同金额的10%。</w:t>
      </w:r>
    </w:p>
    <w:p w14:paraId="21165CC1">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九、围标、串标的认定</w:t>
      </w:r>
    </w:p>
    <w:p w14:paraId="61822BF9">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cs="宋体"/>
          <w:color w:val="auto"/>
          <w:kern w:val="0"/>
          <w:sz w:val="24"/>
          <w:szCs w:val="24"/>
          <w:highlight w:val="none"/>
        </w:rPr>
        <w:t>串通投标</w:t>
      </w:r>
      <w:r>
        <w:rPr>
          <w:rFonts w:hint="eastAsia" w:ascii="宋体" w:hAnsi="宋体" w:cs="宋体"/>
          <w:color w:val="auto"/>
          <w:kern w:val="0"/>
          <w:sz w:val="24"/>
          <w:szCs w:val="24"/>
          <w:highlight w:val="none"/>
          <w:lang w:eastAsia="zh-CN"/>
        </w:rPr>
        <w:t>将</w:t>
      </w:r>
      <w:r>
        <w:rPr>
          <w:rFonts w:hint="eastAsia" w:ascii="宋体" w:hAnsi="宋体" w:cs="宋体"/>
          <w:color w:val="auto"/>
          <w:kern w:val="0"/>
          <w:sz w:val="24"/>
          <w:szCs w:val="24"/>
          <w:highlight w:val="none"/>
        </w:rPr>
        <w:t>依照</w:t>
      </w:r>
      <w:r>
        <w:rPr>
          <w:rFonts w:hint="eastAsia" w:ascii="宋体" w:hAnsi="宋体" w:cs="宋体"/>
          <w:color w:val="auto"/>
          <w:kern w:val="0"/>
          <w:sz w:val="24"/>
          <w:szCs w:val="24"/>
          <w:highlight w:val="none"/>
          <w:lang w:eastAsia="zh-CN"/>
        </w:rPr>
        <w:t>《中华人民共和国</w:t>
      </w:r>
      <w:r>
        <w:rPr>
          <w:rFonts w:hint="eastAsia" w:ascii="宋体" w:hAnsi="宋体" w:cs="宋体"/>
          <w:color w:val="auto"/>
          <w:kern w:val="0"/>
          <w:sz w:val="24"/>
          <w:szCs w:val="24"/>
          <w:highlight w:val="none"/>
        </w:rPr>
        <w:t>政府采购法</w:t>
      </w:r>
      <w:r>
        <w:rPr>
          <w:rFonts w:hint="eastAsia" w:ascii="宋体" w:hAnsi="宋体" w:cs="宋体"/>
          <w:color w:val="auto"/>
          <w:kern w:val="0"/>
          <w:sz w:val="24"/>
          <w:szCs w:val="24"/>
          <w:highlight w:val="none"/>
          <w:lang w:eastAsia="zh-CN"/>
        </w:rPr>
        <w:t>》及《政府采购货物和服务招标投标管理办法》</w:t>
      </w:r>
      <w:r>
        <w:rPr>
          <w:rFonts w:hint="eastAsia" w:ascii="宋体" w:hAnsi="宋体" w:cs="宋体"/>
          <w:color w:val="auto"/>
          <w:kern w:val="0"/>
          <w:sz w:val="24"/>
          <w:szCs w:val="24"/>
          <w:highlight w:val="none"/>
        </w:rPr>
        <w:t>的规定追究法律责任。有下列情形之一的，视为投标人串通投标，其投标无效</w:t>
      </w:r>
      <w:r>
        <w:rPr>
          <w:rFonts w:hint="eastAsia" w:ascii="宋体" w:hAnsi="宋体" w:eastAsia="宋体" w:cs="Times New Roman"/>
          <w:color w:val="auto"/>
          <w:sz w:val="24"/>
          <w:szCs w:val="24"/>
          <w:highlight w:val="none"/>
          <w:lang w:val="en-US" w:eastAsia="zh-CN"/>
        </w:rPr>
        <w:t>。</w:t>
      </w:r>
    </w:p>
    <w:p w14:paraId="019F7EFF">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有下列情形之一的，视为供应商串通磋商，其磋商无效：</w:t>
      </w:r>
    </w:p>
    <w:p w14:paraId="3F41D608">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（一）不同供应商的响应文件由同一单位或者个人编制；</w:t>
      </w:r>
    </w:p>
    <w:p w14:paraId="3AEEBDB0">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（二）不同供应商委托同一单位或者个人办理磋商事宜；</w:t>
      </w:r>
    </w:p>
    <w:p w14:paraId="3E1865C3">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（三）不同供应商的响应文件载明的项目管理成员或者联系人员为同一人；</w:t>
      </w:r>
    </w:p>
    <w:p w14:paraId="1030BDD5">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（四）不同供应商的响应文件异常一致或者磋商报价呈规律性差异；</w:t>
      </w:r>
    </w:p>
    <w:p w14:paraId="6B614377">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（五）不同供应商的响应文件相互混装；</w:t>
      </w:r>
    </w:p>
    <w:p w14:paraId="08642C21">
      <w:pPr>
        <w:spacing w:line="360" w:lineRule="auto"/>
        <w:ind w:firstLine="480" w:firstLineChars="200"/>
        <w:rPr>
          <w:rFonts w:hint="eastAsia" w:ascii="宋体" w:hAnsi="宋体" w:eastAsia="宋体" w:cs="宋体"/>
          <w:b/>
          <w:bCs/>
          <w:color w:val="auto"/>
          <w:spacing w:val="-4"/>
          <w:sz w:val="24"/>
          <w:szCs w:val="24"/>
          <w:highlight w:val="none"/>
          <w:lang w:val="en-US" w:eastAsia="zh-CN"/>
        </w:rPr>
      </w:pPr>
      <w:r>
        <w:rPr>
          <w:rFonts w:hint="eastAsia" w:ascii="宋体" w:hAnsi="宋体" w:eastAsia="宋体" w:cs="Times New Roman"/>
          <w:color w:val="auto"/>
          <w:sz w:val="24"/>
          <w:szCs w:val="24"/>
          <w:highlight w:val="none"/>
          <w:lang w:val="en-US" w:eastAsia="zh-CN"/>
        </w:rPr>
        <w:t>（六）不同供应商的磋商保证金从同一单位或者个人的账户转出。</w:t>
      </w:r>
      <w:bookmarkStart w:id="95" w:name="_Toc26148"/>
      <w:bookmarkStart w:id="96" w:name="_Toc17603"/>
      <w:bookmarkStart w:id="97" w:name="_Toc10227"/>
    </w:p>
    <w:p w14:paraId="0E9C3430">
      <w:pPr>
        <w:spacing w:before="37" w:line="360" w:lineRule="auto"/>
        <w:ind w:left="24"/>
        <w:rPr>
          <w:rFonts w:hint="eastAsia" w:ascii="宋体" w:hAnsi="宋体" w:eastAsia="宋体" w:cs="宋体"/>
          <w:b/>
          <w:bCs/>
          <w:color w:val="auto"/>
          <w:spacing w:val="-4"/>
          <w:sz w:val="24"/>
          <w:szCs w:val="24"/>
          <w:highlight w:val="none"/>
          <w:lang w:val="en-US" w:eastAsia="zh-CN"/>
        </w:rPr>
      </w:pPr>
      <w:r>
        <w:rPr>
          <w:rFonts w:hint="eastAsia" w:ascii="宋体" w:hAnsi="宋体" w:eastAsia="宋体" w:cs="宋体"/>
          <w:b/>
          <w:bCs/>
          <w:color w:val="auto"/>
          <w:spacing w:val="-4"/>
          <w:sz w:val="24"/>
          <w:szCs w:val="24"/>
          <w:highlight w:val="none"/>
          <w:lang w:val="en-US" w:eastAsia="zh-CN"/>
        </w:rPr>
        <w:t>十、小微企业及优先采购政策</w:t>
      </w:r>
    </w:p>
    <w:p w14:paraId="4C3BC69D">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98" w:name="_Toc24793"/>
      <w:bookmarkStart w:id="99" w:name="_Toc3524"/>
      <w:r>
        <w:rPr>
          <w:rFonts w:hint="eastAsia" w:ascii="宋体" w:hAnsi="宋体" w:eastAsia="宋体" w:cs="Times New Roman"/>
          <w:color w:val="auto"/>
          <w:sz w:val="24"/>
          <w:szCs w:val="24"/>
          <w:highlight w:val="none"/>
          <w:lang w:val="en-US" w:eastAsia="zh-CN"/>
        </w:rPr>
        <w:t>1、小型和微型企业价格评分优惠政策</w:t>
      </w:r>
      <w:bookmarkEnd w:id="98"/>
    </w:p>
    <w:p w14:paraId="796FA9CA">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00" w:name="_Toc12542"/>
      <w:bookmarkStart w:id="101" w:name="_Toc9656"/>
      <w:r>
        <w:rPr>
          <w:rFonts w:hint="eastAsia" w:ascii="宋体" w:hAnsi="宋体" w:eastAsia="宋体" w:cs="Times New Roman"/>
          <w:color w:val="auto"/>
          <w:sz w:val="24"/>
          <w:szCs w:val="24"/>
          <w:highlight w:val="none"/>
          <w:lang w:val="en-US" w:eastAsia="zh-CN"/>
        </w:rPr>
        <w:t>1.1根据关于印发&lt;政府采购促进中小企业发展管理办法</w:t>
      </w:r>
      <w:r>
        <w:rPr>
          <w:rFonts w:hint="eastAsia" w:ascii="宋体" w:hAnsi="宋体" w:cs="Times New Roman"/>
          <w:color w:val="auto"/>
          <w:sz w:val="24"/>
          <w:szCs w:val="24"/>
          <w:highlight w:val="none"/>
          <w:lang w:val="en-US" w:eastAsia="zh-CN"/>
        </w:rPr>
        <w:t>》的通知</w:t>
      </w:r>
      <w:r>
        <w:rPr>
          <w:rFonts w:hint="eastAsia" w:ascii="宋体" w:hAnsi="宋体" w:eastAsia="宋体" w:cs="Times New Roman"/>
          <w:color w:val="auto"/>
          <w:sz w:val="24"/>
          <w:szCs w:val="24"/>
          <w:highlight w:val="none"/>
          <w:lang w:val="en-US" w:eastAsia="zh-CN"/>
        </w:rPr>
        <w:t>（财库〔2020〕46号）及《关于进一步加大政府采购支持中小企业力度的通知》（财库〔2022〕19号）的规定，中小企业是指在中华人民共和国境内依法设立，依据国务院批准的中小企业划分标准确定的中型企业、小型企业和微型企业，但与大企业的负责人为同一人，或者与大企业存在直接控股、管理关系的除外。</w:t>
      </w:r>
      <w:bookmarkEnd w:id="100"/>
      <w:bookmarkEnd w:id="101"/>
    </w:p>
    <w:p w14:paraId="640313E7">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02" w:name="_Toc32297"/>
      <w:bookmarkStart w:id="103" w:name="_Toc3372"/>
      <w:r>
        <w:rPr>
          <w:rFonts w:hint="eastAsia" w:ascii="宋体" w:hAnsi="宋体" w:eastAsia="宋体" w:cs="Times New Roman"/>
          <w:color w:val="auto"/>
          <w:sz w:val="24"/>
          <w:szCs w:val="24"/>
          <w:highlight w:val="none"/>
          <w:lang w:val="en-US" w:eastAsia="zh-CN"/>
        </w:rPr>
        <w:t>1.2符合中小企业划分标准的个体工商户，在政府采购活动中视同中小企业。</w:t>
      </w:r>
      <w:bookmarkEnd w:id="102"/>
      <w:bookmarkEnd w:id="103"/>
    </w:p>
    <w:p w14:paraId="135CE98F">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04" w:name="_Toc28931"/>
      <w:bookmarkStart w:id="105" w:name="_Toc15465"/>
      <w:r>
        <w:rPr>
          <w:rFonts w:hint="eastAsia" w:ascii="宋体" w:hAnsi="宋体" w:eastAsia="宋体" w:cs="Times New Roman"/>
          <w:color w:val="auto"/>
          <w:sz w:val="24"/>
          <w:szCs w:val="24"/>
          <w:highlight w:val="none"/>
          <w:lang w:val="en-US" w:eastAsia="zh-CN"/>
        </w:rPr>
        <w:t>1.3在政府采购活动中，供应商提供的货物、工程或者服务符合下列情形的，享受关于印发《政府采购促进中小企业发展管理办法</w:t>
      </w:r>
      <w:r>
        <w:rPr>
          <w:rFonts w:hint="eastAsia" w:ascii="宋体" w:hAnsi="宋体" w:cs="Times New Roman"/>
          <w:color w:val="auto"/>
          <w:sz w:val="24"/>
          <w:szCs w:val="24"/>
          <w:highlight w:val="none"/>
          <w:lang w:val="en-US" w:eastAsia="zh-CN"/>
        </w:rPr>
        <w:t>》的通知</w:t>
      </w:r>
      <w:r>
        <w:rPr>
          <w:rFonts w:hint="eastAsia" w:ascii="宋体" w:hAnsi="宋体" w:eastAsia="宋体" w:cs="Times New Roman"/>
          <w:color w:val="auto"/>
          <w:sz w:val="24"/>
          <w:szCs w:val="24"/>
          <w:highlight w:val="none"/>
          <w:lang w:val="en-US" w:eastAsia="zh-CN"/>
        </w:rPr>
        <w:t>（财库〔2020〕46号）规定的中小企业扶持政策：</w:t>
      </w:r>
      <w:bookmarkEnd w:id="104"/>
      <w:bookmarkEnd w:id="105"/>
    </w:p>
    <w:p w14:paraId="45F79247">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06" w:name="_Toc26772"/>
      <w:bookmarkStart w:id="107" w:name="_Toc29717"/>
      <w:r>
        <w:rPr>
          <w:rFonts w:hint="eastAsia" w:ascii="宋体" w:hAnsi="宋体" w:eastAsia="宋体" w:cs="Times New Roman"/>
          <w:color w:val="auto"/>
          <w:sz w:val="24"/>
          <w:szCs w:val="24"/>
          <w:highlight w:val="none"/>
          <w:lang w:val="en-US" w:eastAsia="zh-CN"/>
        </w:rPr>
        <w:t>（1） 在货物采购项目中，货物由中小企业制造，即货物由中小企业生产且使用该中小企业商号或者注册商标；</w:t>
      </w:r>
      <w:bookmarkEnd w:id="106"/>
      <w:bookmarkEnd w:id="107"/>
    </w:p>
    <w:p w14:paraId="42958806">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08" w:name="_Toc22512"/>
      <w:r>
        <w:rPr>
          <w:rFonts w:hint="eastAsia" w:ascii="宋体" w:hAnsi="宋体" w:eastAsia="宋体" w:cs="Times New Roman"/>
          <w:color w:val="auto"/>
          <w:sz w:val="24"/>
          <w:szCs w:val="24"/>
          <w:highlight w:val="none"/>
          <w:lang w:val="en-US" w:eastAsia="zh-CN"/>
        </w:rPr>
        <w:t>（2） 在工程采购项目中，工程由中小企业承建，即工程施工单位为中小企业；</w:t>
      </w:r>
      <w:bookmarkEnd w:id="108"/>
    </w:p>
    <w:p w14:paraId="5AAA6AC8">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09" w:name="_Toc5674"/>
      <w:bookmarkStart w:id="110" w:name="_Toc9562"/>
      <w:r>
        <w:rPr>
          <w:rFonts w:hint="eastAsia" w:ascii="宋体" w:hAnsi="宋体" w:eastAsia="宋体" w:cs="Times New Roman"/>
          <w:color w:val="auto"/>
          <w:sz w:val="24"/>
          <w:szCs w:val="24"/>
          <w:highlight w:val="none"/>
          <w:lang w:val="en-US" w:eastAsia="zh-CN"/>
        </w:rPr>
        <w:t>（3） 在服务采购项目中，服务由中小企业承接，即提供服务的人员为中小企业依照《中华人民共和国劳动合同法》订立劳动合同的从业人员。</w:t>
      </w:r>
      <w:bookmarkEnd w:id="109"/>
      <w:bookmarkEnd w:id="110"/>
    </w:p>
    <w:p w14:paraId="6701E569">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11" w:name="_Toc6816"/>
      <w:bookmarkStart w:id="112" w:name="_Toc20896"/>
      <w:r>
        <w:rPr>
          <w:rFonts w:hint="eastAsia" w:ascii="宋体" w:hAnsi="宋体" w:eastAsia="宋体" w:cs="Times New Roman"/>
          <w:color w:val="auto"/>
          <w:sz w:val="24"/>
          <w:szCs w:val="24"/>
          <w:highlight w:val="none"/>
          <w:lang w:val="en-US" w:eastAsia="zh-CN"/>
        </w:rPr>
        <w:t>1.4在货物采购项目中，供应商提供的货物既有中小企业制造货物，也有大型企业制造货物的，不享受本办法规定的中小企业扶持政策。</w:t>
      </w:r>
      <w:bookmarkEnd w:id="111"/>
      <w:bookmarkEnd w:id="112"/>
    </w:p>
    <w:p w14:paraId="6D28B996">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13" w:name="_Toc25504"/>
      <w:bookmarkStart w:id="114" w:name="_Toc20719"/>
      <w:r>
        <w:rPr>
          <w:rFonts w:hint="eastAsia" w:ascii="宋体" w:hAnsi="宋体" w:eastAsia="宋体" w:cs="Times New Roman"/>
          <w:color w:val="auto"/>
          <w:sz w:val="24"/>
          <w:szCs w:val="24"/>
          <w:highlight w:val="none"/>
          <w:lang w:val="en-US" w:eastAsia="zh-CN"/>
        </w:rPr>
        <w:t>1.5以联合体形式参加政府采购活动，联合体各方均为中小企业的，联合体视同中小企业。其中，联合体各方均为小微企业的</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联合体视同小微企业。</w:t>
      </w:r>
      <w:bookmarkEnd w:id="113"/>
      <w:bookmarkEnd w:id="114"/>
    </w:p>
    <w:p w14:paraId="7C1E524B">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15" w:name="_Toc105"/>
      <w:bookmarkStart w:id="116" w:name="_Toc16780"/>
      <w:r>
        <w:rPr>
          <w:rFonts w:hint="eastAsia" w:ascii="宋体" w:hAnsi="宋体" w:eastAsia="宋体" w:cs="Times New Roman"/>
          <w:color w:val="auto"/>
          <w:sz w:val="24"/>
          <w:szCs w:val="24"/>
          <w:highlight w:val="none"/>
          <w:lang w:val="en-US" w:eastAsia="zh-CN"/>
        </w:rPr>
        <w:t>1.6中小企业参加政府采购活动，应当出具关于印发《政府采购促进中小企业发展管理办法</w:t>
      </w:r>
      <w:r>
        <w:rPr>
          <w:rFonts w:hint="eastAsia" w:ascii="宋体" w:hAnsi="宋体" w:cs="Times New Roman"/>
          <w:color w:val="auto"/>
          <w:sz w:val="24"/>
          <w:szCs w:val="24"/>
          <w:highlight w:val="none"/>
          <w:lang w:val="en-US" w:eastAsia="zh-CN"/>
        </w:rPr>
        <w:t>》的通知</w:t>
      </w:r>
      <w:r>
        <w:rPr>
          <w:rFonts w:hint="eastAsia" w:ascii="宋体" w:hAnsi="宋体" w:eastAsia="宋体" w:cs="Times New Roman"/>
          <w:color w:val="auto"/>
          <w:sz w:val="24"/>
          <w:szCs w:val="24"/>
          <w:highlight w:val="none"/>
          <w:lang w:val="en-US" w:eastAsia="zh-CN"/>
        </w:rPr>
        <w:t>（财库〔2020〕46号）规定的《中小企业声明函》（详见采购文件格式），否则不得享受相关中小企业扶持政策。</w:t>
      </w:r>
      <w:bookmarkEnd w:id="115"/>
      <w:bookmarkEnd w:id="116"/>
    </w:p>
    <w:p w14:paraId="173CBF4E">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17" w:name="_Toc29512"/>
      <w:bookmarkStart w:id="118" w:name="_Toc4577"/>
      <w:r>
        <w:rPr>
          <w:rFonts w:hint="eastAsia" w:ascii="宋体" w:hAnsi="宋体" w:eastAsia="宋体" w:cs="Times New Roman"/>
          <w:color w:val="auto"/>
          <w:sz w:val="24"/>
          <w:szCs w:val="24"/>
          <w:highlight w:val="none"/>
          <w:lang w:val="en-US" w:eastAsia="zh-CN"/>
        </w:rPr>
        <w:t>1.7规定依据关于印发《政府采购促进中小企业发展管理办法</w:t>
      </w:r>
      <w:r>
        <w:rPr>
          <w:rFonts w:hint="eastAsia" w:ascii="宋体" w:hAnsi="宋体" w:cs="Times New Roman"/>
          <w:color w:val="auto"/>
          <w:sz w:val="24"/>
          <w:szCs w:val="24"/>
          <w:highlight w:val="none"/>
          <w:lang w:val="en-US" w:eastAsia="zh-CN"/>
        </w:rPr>
        <w:t>》的通知</w:t>
      </w:r>
      <w:r>
        <w:rPr>
          <w:rFonts w:hint="eastAsia" w:ascii="宋体" w:hAnsi="宋体" w:eastAsia="宋体" w:cs="Times New Roman"/>
          <w:color w:val="auto"/>
          <w:sz w:val="24"/>
          <w:szCs w:val="24"/>
          <w:highlight w:val="none"/>
          <w:lang w:val="en-US" w:eastAsia="zh-CN"/>
        </w:rPr>
        <w:t>（财库〔2020〕46号）规定享受扶持政策获得政府采购合同的，小微企业不得将合同分包给大中型企业，中型企业不得将合同分包给大型企业。</w:t>
      </w:r>
      <w:bookmarkEnd w:id="117"/>
      <w:bookmarkEnd w:id="118"/>
    </w:p>
    <w:p w14:paraId="32335881">
      <w:pPr>
        <w:spacing w:line="360" w:lineRule="auto"/>
        <w:ind w:firstLine="482" w:firstLineChars="200"/>
        <w:rPr>
          <w:rFonts w:hint="eastAsia" w:ascii="宋体" w:hAnsi="宋体" w:eastAsia="宋体" w:cs="Times New Roman"/>
          <w:b/>
          <w:bCs/>
          <w:color w:val="auto"/>
          <w:sz w:val="24"/>
          <w:szCs w:val="24"/>
          <w:highlight w:val="none"/>
          <w:lang w:val="en-US" w:eastAsia="zh-CN"/>
        </w:rPr>
      </w:pPr>
      <w:bookmarkStart w:id="119" w:name="_Toc9678"/>
      <w:bookmarkStart w:id="120" w:name="_Toc30836"/>
      <w:r>
        <w:rPr>
          <w:rFonts w:hint="eastAsia" w:ascii="宋体" w:hAnsi="宋体" w:eastAsia="宋体" w:cs="Times New Roman"/>
          <w:b/>
          <w:bCs/>
          <w:color w:val="auto"/>
          <w:sz w:val="24"/>
          <w:szCs w:val="24"/>
          <w:highlight w:val="none"/>
          <w:lang w:val="en-US" w:eastAsia="zh-CN"/>
        </w:rPr>
        <w:t>1.8本项目</w:t>
      </w:r>
      <w:r>
        <w:rPr>
          <w:rFonts w:hint="eastAsia" w:ascii="宋体" w:hAnsi="宋体" w:cs="Times New Roman"/>
          <w:b/>
          <w:bCs/>
          <w:color w:val="auto"/>
          <w:sz w:val="24"/>
          <w:szCs w:val="24"/>
          <w:highlight w:val="none"/>
          <w:lang w:val="en-US" w:eastAsia="zh-CN"/>
        </w:rPr>
        <w:t>专门面向中小微企业，不再执行价格评审优惠的扶持政策</w:t>
      </w:r>
      <w:r>
        <w:rPr>
          <w:rFonts w:hint="eastAsia" w:ascii="宋体" w:hAnsi="宋体" w:eastAsia="宋体" w:cs="Times New Roman"/>
          <w:b/>
          <w:bCs/>
          <w:color w:val="auto"/>
          <w:sz w:val="24"/>
          <w:szCs w:val="24"/>
          <w:highlight w:val="none"/>
          <w:lang w:val="en-US" w:eastAsia="zh-CN"/>
        </w:rPr>
        <w:t>。</w:t>
      </w:r>
      <w:bookmarkEnd w:id="119"/>
      <w:bookmarkEnd w:id="120"/>
    </w:p>
    <w:p w14:paraId="2998B5D5">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21" w:name="_Toc15483"/>
      <w:bookmarkStart w:id="122" w:name="_Toc32699"/>
      <w:r>
        <w:rPr>
          <w:rFonts w:hint="eastAsia" w:ascii="宋体" w:hAnsi="宋体" w:eastAsia="宋体" w:cs="Times New Roman"/>
          <w:color w:val="auto"/>
          <w:sz w:val="24"/>
          <w:szCs w:val="24"/>
          <w:highlight w:val="none"/>
          <w:lang w:val="en-US" w:eastAsia="zh-CN"/>
        </w:rPr>
        <w:t>1.9中标、成交供应商享受本办法规定的中小企业扶持政策的，采购人、采购代理机构应当</w:t>
      </w:r>
      <w:r>
        <w:rPr>
          <w:rFonts w:hint="eastAsia" w:ascii="宋体" w:hAnsi="宋体" w:cs="Times New Roman"/>
          <w:color w:val="auto"/>
          <w:sz w:val="24"/>
          <w:szCs w:val="24"/>
          <w:highlight w:val="none"/>
          <w:lang w:val="en-US" w:eastAsia="zh-CN"/>
        </w:rPr>
        <w:t>对</w:t>
      </w:r>
      <w:r>
        <w:rPr>
          <w:rFonts w:hint="eastAsia" w:ascii="宋体" w:hAnsi="宋体" w:eastAsia="宋体" w:cs="Times New Roman"/>
          <w:color w:val="auto"/>
          <w:sz w:val="24"/>
          <w:szCs w:val="24"/>
          <w:highlight w:val="none"/>
          <w:lang w:val="en-US" w:eastAsia="zh-CN"/>
        </w:rPr>
        <w:t>中标、成交结果公开中标、成交供应商的《中小企业声明函》。供应商按照本办法规定提供声明函内容不实的，属于提供虚假材料谋取中标、成交，依照《中华人民共和国政府采购法》等国家有关规定追究相应责任。</w:t>
      </w:r>
      <w:bookmarkEnd w:id="121"/>
      <w:bookmarkEnd w:id="122"/>
    </w:p>
    <w:p w14:paraId="4E033176">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23" w:name="_Toc28435"/>
      <w:bookmarkStart w:id="124" w:name="_Toc866"/>
      <w:r>
        <w:rPr>
          <w:rFonts w:hint="eastAsia" w:ascii="宋体" w:hAnsi="宋体" w:eastAsia="宋体" w:cs="Times New Roman"/>
          <w:color w:val="auto"/>
          <w:sz w:val="24"/>
          <w:szCs w:val="24"/>
          <w:highlight w:val="none"/>
          <w:lang w:val="en-US" w:eastAsia="zh-CN"/>
        </w:rPr>
        <w:t>2.所属行业及划分标准</w:t>
      </w:r>
    </w:p>
    <w:p w14:paraId="6F538CE5">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2.1本项目为：其他未列明行业</w:t>
      </w:r>
    </w:p>
    <w:p w14:paraId="4A221A7B">
      <w:pPr>
        <w:spacing w:line="360" w:lineRule="auto"/>
        <w:ind w:firstLine="480" w:firstLineChars="20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2.2 行业划型标准:从业人员300人以下的为中小微型企业。其中，从业人员100人及以上的为中型企业；从业人员10人及以上的为小型企业；从业人员10人以下的为微型企业。供应商对本企业类型判断有困难的，可以登录工业和信息化部官方网站,在“公共服务平台”模块中，使用“中小企业规模类型自测小程序”进行测定。</w:t>
      </w:r>
    </w:p>
    <w:p w14:paraId="6965A52D">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3、监狱企业优惠政策</w:t>
      </w:r>
      <w:bookmarkEnd w:id="123"/>
      <w:bookmarkEnd w:id="124"/>
    </w:p>
    <w:p w14:paraId="7E9D97E7">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25" w:name="_Toc21077"/>
      <w:bookmarkStart w:id="126" w:name="_Toc26994"/>
      <w:r>
        <w:rPr>
          <w:rFonts w:hint="eastAsia" w:ascii="宋体" w:hAnsi="宋体" w:eastAsia="宋体" w:cs="Times New Roman"/>
          <w:color w:val="auto"/>
          <w:sz w:val="24"/>
          <w:szCs w:val="24"/>
          <w:highlight w:val="none"/>
          <w:lang w:val="en-US" w:eastAsia="zh-CN"/>
        </w:rPr>
        <w:t>根据《关于政府采购支持监狱企业发展有关问题的通知》（财库</w:t>
      </w:r>
      <w:r>
        <w:rPr>
          <w:rFonts w:hint="eastAsia" w:ascii="宋体" w:hAnsi="宋体" w:cs="Times New Roman"/>
          <w:color w:val="auto"/>
          <w:sz w:val="24"/>
          <w:szCs w:val="24"/>
          <w:highlight w:val="none"/>
          <w:lang w:val="en-US" w:eastAsia="zh-CN"/>
        </w:rPr>
        <w:t>〔2014〕68号</w:t>
      </w:r>
      <w:r>
        <w:rPr>
          <w:rFonts w:hint="eastAsia" w:ascii="宋体" w:hAnsi="宋体" w:eastAsia="宋体" w:cs="Times New Roman"/>
          <w:color w:val="auto"/>
          <w:sz w:val="24"/>
          <w:szCs w:val="24"/>
          <w:highlight w:val="none"/>
          <w:lang w:val="en-US" w:eastAsia="zh-CN"/>
        </w:rPr>
        <w:t>）的规定，监狱企业优惠政策，监狱企业参与本项目投标时，提供由省级以上监狱管理局、戒毒管理局（含新疆生产建设兵团）出具的属于监狱企业的证明文件的，视同小型、微型企业。</w:t>
      </w:r>
      <w:bookmarkEnd w:id="125"/>
      <w:bookmarkEnd w:id="126"/>
    </w:p>
    <w:p w14:paraId="78C2B829">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27" w:name="_Toc22864"/>
      <w:bookmarkStart w:id="128" w:name="_Toc27961"/>
      <w:r>
        <w:rPr>
          <w:rFonts w:hint="eastAsia" w:ascii="宋体" w:hAnsi="宋体" w:eastAsia="宋体" w:cs="Times New Roman"/>
          <w:color w:val="auto"/>
          <w:sz w:val="24"/>
          <w:szCs w:val="24"/>
          <w:highlight w:val="none"/>
          <w:lang w:val="en-US" w:eastAsia="zh-CN"/>
        </w:rPr>
        <w:t>4、残疾人福利性单位优惠政策</w:t>
      </w:r>
      <w:bookmarkEnd w:id="127"/>
      <w:bookmarkEnd w:id="128"/>
    </w:p>
    <w:p w14:paraId="49344CC5">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29" w:name="_Toc27761"/>
      <w:bookmarkStart w:id="130" w:name="_Toc1287"/>
      <w:r>
        <w:rPr>
          <w:rFonts w:hint="eastAsia" w:ascii="宋体" w:hAnsi="宋体" w:eastAsia="宋体" w:cs="Times New Roman"/>
          <w:color w:val="auto"/>
          <w:sz w:val="24"/>
          <w:szCs w:val="24"/>
          <w:highlight w:val="none"/>
          <w:lang w:val="en-US" w:eastAsia="zh-CN"/>
        </w:rPr>
        <w:t>根据《关于促进残疾人就业政府采购政策的通知》（财库</w:t>
      </w:r>
      <w:r>
        <w:rPr>
          <w:rFonts w:hint="eastAsia" w:ascii="宋体" w:hAnsi="宋体" w:cs="Times New Roman"/>
          <w:color w:val="auto"/>
          <w:sz w:val="24"/>
          <w:szCs w:val="24"/>
          <w:highlight w:val="none"/>
          <w:lang w:val="en-US" w:eastAsia="zh-CN"/>
        </w:rPr>
        <w:t>〔2017〕141号</w:t>
      </w:r>
      <w:r>
        <w:rPr>
          <w:rFonts w:hint="eastAsia" w:ascii="宋体" w:hAnsi="宋体" w:eastAsia="宋体" w:cs="Times New Roman"/>
          <w:color w:val="auto"/>
          <w:sz w:val="24"/>
          <w:szCs w:val="24"/>
          <w:highlight w:val="none"/>
          <w:lang w:val="en-US" w:eastAsia="zh-CN"/>
        </w:rPr>
        <w:t>）的规定，残疾人福利性单位优惠政策，残疾人福利性单位参与本项目投标时，提供《残疾人福利性单位声明函》并对声明的真实性负责，视同小型、微型企业。</w:t>
      </w:r>
      <w:bookmarkEnd w:id="129"/>
      <w:bookmarkEnd w:id="130"/>
    </w:p>
    <w:p w14:paraId="68452F4F">
      <w:pPr>
        <w:spacing w:line="360" w:lineRule="auto"/>
        <w:ind w:firstLine="480" w:firstLineChars="200"/>
        <w:rPr>
          <w:rFonts w:hint="eastAsia" w:ascii="宋体" w:hAnsi="宋体" w:eastAsia="宋体" w:cs="Times New Roman"/>
          <w:color w:val="auto"/>
          <w:sz w:val="24"/>
          <w:szCs w:val="24"/>
          <w:highlight w:val="none"/>
          <w:lang w:val="en-US" w:eastAsia="zh-CN"/>
        </w:rPr>
      </w:pPr>
      <w:bookmarkStart w:id="131" w:name="_Toc20868"/>
      <w:bookmarkStart w:id="132" w:name="_Toc3183"/>
      <w:r>
        <w:rPr>
          <w:rFonts w:hint="eastAsia" w:ascii="宋体" w:hAnsi="宋体" w:eastAsia="宋体" w:cs="Times New Roman"/>
          <w:color w:val="auto"/>
          <w:sz w:val="24"/>
          <w:szCs w:val="24"/>
          <w:highlight w:val="none"/>
          <w:lang w:val="en-US" w:eastAsia="zh-CN"/>
        </w:rPr>
        <w:t>注：证明材料/</w:t>
      </w:r>
      <w:r>
        <w:rPr>
          <w:rFonts w:hint="eastAsia" w:ascii="宋体" w:hAnsi="宋体" w:cs="Times New Roman"/>
          <w:color w:val="auto"/>
          <w:sz w:val="24"/>
          <w:szCs w:val="24"/>
          <w:highlight w:val="none"/>
          <w:lang w:val="en-US" w:eastAsia="zh-CN"/>
        </w:rPr>
        <w:t>中小</w:t>
      </w:r>
      <w:r>
        <w:rPr>
          <w:rFonts w:hint="eastAsia" w:ascii="宋体" w:hAnsi="宋体" w:eastAsia="宋体" w:cs="Times New Roman"/>
          <w:color w:val="auto"/>
          <w:sz w:val="24"/>
          <w:szCs w:val="24"/>
          <w:highlight w:val="none"/>
          <w:lang w:val="en-US" w:eastAsia="zh-CN"/>
        </w:rPr>
        <w:t>企业声明函详见响应文件格式。</w:t>
      </w:r>
      <w:bookmarkEnd w:id="99"/>
      <w:bookmarkEnd w:id="131"/>
      <w:bookmarkEnd w:id="132"/>
      <w:r>
        <w:rPr>
          <w:rFonts w:hint="eastAsia" w:ascii="宋体" w:hAnsi="宋体" w:eastAsia="宋体" w:cs="Times New Roman"/>
          <w:color w:val="auto"/>
          <w:sz w:val="24"/>
          <w:szCs w:val="24"/>
          <w:highlight w:val="none"/>
          <w:lang w:val="en-US" w:eastAsia="zh-CN"/>
        </w:rPr>
        <w:t xml:space="preserve"> </w:t>
      </w:r>
    </w:p>
    <w:p w14:paraId="70DBB67A">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br w:type="page"/>
      </w:r>
    </w:p>
    <w:p w14:paraId="34DBD1BA">
      <w:pPr>
        <w:snapToGrid w:val="0"/>
        <w:spacing w:after="156" w:afterLines="50" w:line="360" w:lineRule="auto"/>
        <w:jc w:val="center"/>
        <w:outlineLvl w:val="0"/>
        <w:rPr>
          <w:rFonts w:hint="eastAsia" w:ascii="宋体" w:hAnsi="宋体" w:eastAsia="宋体" w:cs="宋体"/>
          <w:b/>
          <w:color w:val="auto"/>
          <w:kern w:val="44"/>
          <w:sz w:val="32"/>
          <w:szCs w:val="32"/>
          <w:highlight w:val="none"/>
        </w:rPr>
      </w:pPr>
      <w:bookmarkStart w:id="133" w:name="_Toc8627"/>
      <w:bookmarkStart w:id="134" w:name="_Toc21275"/>
      <w:bookmarkStart w:id="135" w:name="_Toc9071"/>
      <w:r>
        <w:rPr>
          <w:rFonts w:hint="eastAsia" w:ascii="宋体" w:hAnsi="宋体" w:eastAsia="宋体" w:cs="宋体"/>
          <w:b/>
          <w:color w:val="auto"/>
          <w:kern w:val="44"/>
          <w:sz w:val="32"/>
          <w:szCs w:val="32"/>
          <w:highlight w:val="none"/>
        </w:rPr>
        <w:t>第</w:t>
      </w:r>
      <w:r>
        <w:rPr>
          <w:rFonts w:hint="eastAsia" w:ascii="宋体" w:hAnsi="宋体" w:eastAsia="宋体" w:cs="宋体"/>
          <w:b/>
          <w:color w:val="auto"/>
          <w:kern w:val="44"/>
          <w:sz w:val="32"/>
          <w:szCs w:val="32"/>
          <w:highlight w:val="none"/>
          <w:lang w:eastAsia="zh-CN"/>
        </w:rPr>
        <w:t>三</w:t>
      </w:r>
      <w:r>
        <w:rPr>
          <w:rFonts w:hint="eastAsia" w:ascii="宋体" w:hAnsi="宋体" w:eastAsia="宋体" w:cs="宋体"/>
          <w:b/>
          <w:color w:val="auto"/>
          <w:kern w:val="44"/>
          <w:sz w:val="32"/>
          <w:szCs w:val="32"/>
          <w:highlight w:val="none"/>
        </w:rPr>
        <w:t>章</w:t>
      </w:r>
      <w:bookmarkStart w:id="136" w:name="_Toc6104"/>
      <w:r>
        <w:rPr>
          <w:rFonts w:hint="eastAsia" w:ascii="宋体" w:hAnsi="宋体" w:eastAsia="宋体" w:cs="宋体"/>
          <w:b/>
          <w:color w:val="auto"/>
          <w:kern w:val="44"/>
          <w:sz w:val="32"/>
          <w:szCs w:val="32"/>
          <w:highlight w:val="none"/>
          <w:lang w:val="en-US" w:eastAsia="zh-CN"/>
        </w:rPr>
        <w:t xml:space="preserve">  </w:t>
      </w:r>
      <w:r>
        <w:rPr>
          <w:rFonts w:hint="eastAsia" w:ascii="宋体" w:hAnsi="宋体" w:eastAsia="宋体" w:cs="宋体"/>
          <w:b/>
          <w:color w:val="auto"/>
          <w:kern w:val="44"/>
          <w:sz w:val="32"/>
          <w:szCs w:val="32"/>
          <w:highlight w:val="none"/>
        </w:rPr>
        <w:t>采购项目要求</w:t>
      </w:r>
      <w:bookmarkEnd w:id="89"/>
      <w:bookmarkEnd w:id="90"/>
      <w:bookmarkEnd w:id="91"/>
      <w:bookmarkEnd w:id="92"/>
      <w:bookmarkEnd w:id="93"/>
      <w:bookmarkEnd w:id="94"/>
      <w:bookmarkEnd w:id="95"/>
      <w:bookmarkEnd w:id="96"/>
      <w:bookmarkEnd w:id="97"/>
      <w:bookmarkEnd w:id="133"/>
      <w:bookmarkEnd w:id="134"/>
      <w:bookmarkEnd w:id="135"/>
      <w:bookmarkEnd w:id="136"/>
      <w:bookmarkStart w:id="137" w:name="_Toc10989"/>
      <w:bookmarkStart w:id="138" w:name="_Toc15962"/>
    </w:p>
    <w:p w14:paraId="256F22C2">
      <w:pPr>
        <w:pageBreakBefore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b/>
          <w:bCs w:val="0"/>
          <w:color w:val="auto"/>
          <w:sz w:val="24"/>
          <w:szCs w:val="24"/>
          <w:highlight w:val="none"/>
        </w:rPr>
      </w:pPr>
      <w:bookmarkStart w:id="139" w:name="_Toc23122"/>
      <w:bookmarkStart w:id="140" w:name="_Toc5388"/>
      <w:bookmarkStart w:id="141" w:name="_Toc7277"/>
      <w:bookmarkStart w:id="142" w:name="_Toc14049"/>
      <w:bookmarkStart w:id="143" w:name="_Toc28517"/>
      <w:r>
        <w:rPr>
          <w:rFonts w:hint="eastAsia" w:ascii="宋体" w:hAnsi="宋体" w:eastAsia="宋体" w:cs="宋体"/>
          <w:b/>
          <w:bCs w:val="0"/>
          <w:color w:val="auto"/>
          <w:sz w:val="24"/>
          <w:szCs w:val="24"/>
          <w:highlight w:val="none"/>
        </w:rPr>
        <w:t>一、项目基本情况</w:t>
      </w:r>
    </w:p>
    <w:p w14:paraId="6CCF303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DHZH2025-042</w:t>
      </w:r>
      <w:r>
        <w:rPr>
          <w:rFonts w:hint="eastAsia" w:ascii="宋体" w:hAnsi="宋体" w:eastAsia="宋体" w:cs="宋体"/>
          <w:color w:val="auto"/>
          <w:sz w:val="24"/>
          <w:highlight w:val="none"/>
          <w:lang w:eastAsia="zh-CN"/>
        </w:rPr>
        <w:t>；</w:t>
      </w:r>
    </w:p>
    <w:p w14:paraId="236E4CF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项目名称：</w:t>
      </w:r>
      <w:r>
        <w:rPr>
          <w:rFonts w:hint="eastAsia" w:ascii="宋体" w:hAnsi="宋体" w:cs="宋体"/>
          <w:color w:val="auto"/>
          <w:sz w:val="24"/>
          <w:highlight w:val="none"/>
          <w:lang w:val="en-US" w:eastAsia="zh-CN"/>
        </w:rPr>
        <w:t>中华人民共和国畹町出入境边防检查站2025年度公务用车维修服务定点协议单位采购项目</w:t>
      </w:r>
      <w:r>
        <w:rPr>
          <w:rFonts w:hint="eastAsia"/>
          <w:color w:val="auto"/>
          <w:spacing w:val="-1"/>
          <w:sz w:val="21"/>
          <w:szCs w:val="21"/>
          <w:highlight w:val="none"/>
          <w:lang w:eastAsia="zh-CN"/>
        </w:rPr>
        <w:t>（二次）</w:t>
      </w:r>
      <w:r>
        <w:rPr>
          <w:rFonts w:hint="eastAsia" w:ascii="宋体" w:hAnsi="宋体" w:eastAsia="宋体" w:cs="宋体"/>
          <w:color w:val="auto"/>
          <w:sz w:val="24"/>
          <w:highlight w:val="none"/>
          <w:lang w:val="en-US" w:eastAsia="zh-CN"/>
        </w:rPr>
        <w:t>；</w:t>
      </w:r>
    </w:p>
    <w:p w14:paraId="5FA1DCF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采购方式：竞争性磋商</w:t>
      </w:r>
      <w:r>
        <w:rPr>
          <w:rFonts w:hint="eastAsia" w:ascii="宋体" w:hAnsi="宋体" w:eastAsia="宋体" w:cs="宋体"/>
          <w:color w:val="auto"/>
          <w:sz w:val="24"/>
          <w:highlight w:val="none"/>
          <w:lang w:eastAsia="zh-CN"/>
        </w:rPr>
        <w:t>；</w:t>
      </w:r>
    </w:p>
    <w:p w14:paraId="39EF972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预算金额：</w:t>
      </w:r>
      <w:r>
        <w:rPr>
          <w:rFonts w:hint="eastAsia" w:ascii="宋体" w:hAnsi="宋体" w:cs="宋体"/>
          <w:color w:val="auto"/>
          <w:sz w:val="24"/>
          <w:highlight w:val="none"/>
          <w:lang w:val="en-US" w:eastAsia="zh-CN"/>
        </w:rPr>
        <w:t>280000.00元</w:t>
      </w:r>
      <w:r>
        <w:rPr>
          <w:rFonts w:hint="eastAsia" w:ascii="宋体" w:hAnsi="宋体" w:eastAsia="宋体" w:cs="宋体"/>
          <w:color w:val="auto"/>
          <w:sz w:val="24"/>
          <w:highlight w:val="none"/>
          <w:lang w:val="en-US" w:eastAsia="zh-CN"/>
        </w:rPr>
        <w:t>；</w:t>
      </w:r>
    </w:p>
    <w:p w14:paraId="26B1F3F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.采购需求：</w:t>
      </w:r>
      <w:r>
        <w:rPr>
          <w:rFonts w:hint="eastAsia" w:ascii="宋体" w:hAnsi="宋体" w:cs="宋体"/>
          <w:color w:val="auto"/>
          <w:sz w:val="24"/>
          <w:highlight w:val="none"/>
          <w:lang w:val="en-US" w:eastAsia="zh-CN"/>
        </w:rPr>
        <w:t>对畹町出入境边防检查站在三个片区内58辆公务车辆提供日常基础保养及维修，并在片区内提供免费救援服务</w:t>
      </w:r>
      <w:r>
        <w:rPr>
          <w:rFonts w:hint="eastAsia" w:ascii="宋体" w:hAnsi="宋体" w:eastAsia="宋体" w:cs="宋体"/>
          <w:color w:val="auto"/>
          <w:sz w:val="24"/>
          <w:highlight w:val="none"/>
          <w:lang w:val="en-US" w:eastAsia="zh-CN"/>
        </w:rPr>
        <w:t>；</w:t>
      </w:r>
    </w:p>
    <w:p w14:paraId="0EAD31AA">
      <w:pPr>
        <w:pageBreakBefore w:val="0"/>
        <w:kinsoku/>
        <w:wordWrap/>
        <w:overflowPunct/>
        <w:autoSpaceDN/>
        <w:bidi w:val="0"/>
        <w:snapToGri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.合同履行期限：</w:t>
      </w:r>
      <w:r>
        <w:rPr>
          <w:rFonts w:hint="eastAsia" w:ascii="宋体" w:hAnsi="宋体" w:cs="宋体"/>
          <w:color w:val="auto"/>
          <w:sz w:val="24"/>
          <w:highlight w:val="none"/>
          <w:lang w:val="en-US" w:eastAsia="zh-CN"/>
        </w:rPr>
        <w:t>合同签订之日起，服务期限满1年(维修费用以实际发生为准)；</w:t>
      </w:r>
    </w:p>
    <w:p w14:paraId="4473A773">
      <w:pPr>
        <w:pageBreakBefore w:val="0"/>
        <w:kinsoku/>
        <w:wordWrap/>
        <w:overflowPunct/>
        <w:autoSpaceDN/>
        <w:bidi w:val="0"/>
        <w:snapToGrid/>
        <w:spacing w:line="460" w:lineRule="exact"/>
        <w:ind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服务质量要求：保证修车质量和快速维修，到店优先修理，片区范围内提供免费救援服务；服务质量须达到现行中华人民共和国以及省、自治区、直辖市或行业的相关标准、规范的要求；严格遵照国家或行业有关标准、规范执行；</w:t>
      </w:r>
    </w:p>
    <w:p w14:paraId="64F53B6C">
      <w:pPr>
        <w:pageBreakBefore w:val="0"/>
        <w:kinsoku/>
        <w:wordWrap/>
        <w:overflowPunct/>
        <w:autoSpaceDN/>
        <w:bidi w:val="0"/>
        <w:snapToGri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.服务地点：</w:t>
      </w:r>
      <w:r>
        <w:rPr>
          <w:rFonts w:hint="eastAsia" w:ascii="宋体" w:hAnsi="宋体" w:cs="宋体"/>
          <w:color w:val="auto"/>
          <w:sz w:val="24"/>
          <w:highlight w:val="none"/>
          <w:lang w:val="en-US" w:eastAsia="zh-CN"/>
        </w:rPr>
        <w:t>畹町出入境边防检查站三个片区单位（瑞丽片区、芒市片区、盈江片区）</w:t>
      </w:r>
      <w:r>
        <w:rPr>
          <w:rFonts w:hint="eastAsia" w:ascii="宋体" w:hAnsi="宋体" w:eastAsia="宋体" w:cs="宋体"/>
          <w:color w:val="auto"/>
          <w:sz w:val="24"/>
          <w:highlight w:val="none"/>
          <w:lang w:val="en-US" w:eastAsia="zh-CN"/>
        </w:rPr>
        <w:t>；</w:t>
      </w:r>
    </w:p>
    <w:p w14:paraId="25669E88">
      <w:pPr>
        <w:pageBreakBefore w:val="0"/>
        <w:kinsoku/>
        <w:wordWrap/>
        <w:overflowPunct/>
        <w:autoSpaceDN/>
        <w:bidi w:val="0"/>
        <w:snapToGri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val="en-US" w:eastAsia="zh-CN"/>
        </w:rPr>
        <w:t>.本项目不接受联合体投标。</w:t>
      </w:r>
    </w:p>
    <w:p w14:paraId="523764A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二、</w:t>
      </w:r>
      <w:r>
        <w:rPr>
          <w:rFonts w:hint="default" w:ascii="Times New Roman" w:hAnsi="Times New Roman" w:cs="Times New Roman"/>
          <w:b/>
          <w:bCs/>
          <w:color w:val="auto"/>
          <w:sz w:val="24"/>
          <w:szCs w:val="24"/>
          <w:highlight w:val="none"/>
          <w:lang w:val="en-US" w:eastAsia="zh-CN"/>
        </w:rPr>
        <w:t>技术要求</w:t>
      </w:r>
      <w:r>
        <w:rPr>
          <w:rFonts w:hint="default" w:ascii="Times New Roman" w:hAnsi="Times New Roman" w:eastAsia="宋体" w:cs="Times New Roman"/>
          <w:b/>
          <w:bCs/>
          <w:color w:val="auto"/>
          <w:sz w:val="24"/>
          <w:szCs w:val="24"/>
          <w:highlight w:val="none"/>
          <w:lang w:val="en-US" w:eastAsia="zh-CN"/>
        </w:rPr>
        <w:t>：</w:t>
      </w:r>
    </w:p>
    <w:p w14:paraId="4894F4D1">
      <w:pPr>
        <w:pStyle w:val="13"/>
        <w:keepNext w:val="0"/>
        <w:keepLines w:val="0"/>
        <w:pageBreakBefore w:val="0"/>
        <w:widowControl w:val="0"/>
        <w:kinsoku/>
        <w:wordWrap/>
        <w:overflowPunct/>
        <w:topLinePunct w:val="0"/>
        <w:autoSpaceDE/>
        <w:autoSpaceDN/>
        <w:bidi w:val="0"/>
        <w:adjustRightInd/>
        <w:snapToGrid w:val="0"/>
        <w:spacing w:after="0" w:line="600" w:lineRule="exact"/>
        <w:ind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1.应当按照国家、行业或者地方的维修标准和规范进行维修。尚无标准或规范的，可参照机动车生产企业提供的维修手册、使用说明书和有关技术资料进行维修。</w:t>
      </w:r>
    </w:p>
    <w:p w14:paraId="3A1B7B1A">
      <w:pPr>
        <w:pStyle w:val="13"/>
        <w:keepNext w:val="0"/>
        <w:keepLines w:val="0"/>
        <w:pageBreakBefore w:val="0"/>
        <w:widowControl w:val="0"/>
        <w:kinsoku/>
        <w:wordWrap/>
        <w:overflowPunct/>
        <w:topLinePunct w:val="0"/>
        <w:autoSpaceDE/>
        <w:autoSpaceDN/>
        <w:bidi w:val="0"/>
        <w:adjustRightInd/>
        <w:snapToGrid w:val="0"/>
        <w:spacing w:after="0" w:line="600" w:lineRule="exact"/>
        <w:ind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2.维修所采用的零部件、配件等材料</w:t>
      </w:r>
      <w:r>
        <w:rPr>
          <w:rFonts w:hint="eastAsia" w:ascii="Times New Roman" w:hAnsi="Times New Roman" w:eastAsia="宋体" w:cs="Times New Roman"/>
          <w:b w:val="0"/>
          <w:bCs w:val="0"/>
          <w:color w:val="auto"/>
          <w:kern w:val="2"/>
          <w:sz w:val="24"/>
          <w:szCs w:val="24"/>
          <w:highlight w:val="none"/>
          <w:lang w:val="en-US" w:eastAsia="zh-CN" w:bidi="ar-SA"/>
        </w:rPr>
        <w:t>必须</w:t>
      </w:r>
      <w:r>
        <w:rPr>
          <w:rFonts w:hint="default" w:ascii="Times New Roman" w:hAnsi="Times New Roman" w:eastAsia="宋体" w:cs="Times New Roman"/>
          <w:b w:val="0"/>
          <w:bCs w:val="0"/>
          <w:color w:val="auto"/>
          <w:kern w:val="2"/>
          <w:sz w:val="24"/>
          <w:szCs w:val="24"/>
          <w:highlight w:val="none"/>
          <w:lang w:val="en-US" w:eastAsia="zh-CN" w:bidi="ar-SA"/>
        </w:rPr>
        <w:t>符合国家标准，必须有合法的进货渠道，不得使用假冒伪劣产品或以次充好，以旧代新。</w:t>
      </w:r>
    </w:p>
    <w:p w14:paraId="7084676C">
      <w:pPr>
        <w:pStyle w:val="13"/>
        <w:keepNext w:val="0"/>
        <w:keepLines w:val="0"/>
        <w:pageBreakBefore w:val="0"/>
        <w:widowControl w:val="0"/>
        <w:kinsoku/>
        <w:wordWrap/>
        <w:overflowPunct/>
        <w:topLinePunct w:val="0"/>
        <w:autoSpaceDE/>
        <w:autoSpaceDN/>
        <w:bidi w:val="0"/>
        <w:adjustRightInd/>
        <w:snapToGrid w:val="0"/>
        <w:spacing w:after="0" w:line="600" w:lineRule="exact"/>
        <w:ind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3.建立汽车维修档案（每辆车建立一份专门的档案），认真记录车辆维修情况。</w:t>
      </w:r>
    </w:p>
    <w:p w14:paraId="3DDF8AD1">
      <w:pPr>
        <w:pStyle w:val="13"/>
        <w:keepNext w:val="0"/>
        <w:keepLines w:val="0"/>
        <w:pageBreakBefore w:val="0"/>
        <w:widowControl w:val="0"/>
        <w:kinsoku/>
        <w:wordWrap/>
        <w:overflowPunct/>
        <w:topLinePunct w:val="0"/>
        <w:autoSpaceDE/>
        <w:autoSpaceDN/>
        <w:bidi w:val="0"/>
        <w:adjustRightInd/>
        <w:snapToGrid w:val="0"/>
        <w:spacing w:after="0" w:line="600" w:lineRule="exact"/>
        <w:ind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cs="Times New Roman"/>
          <w:b w:val="0"/>
          <w:bCs w:val="0"/>
          <w:color w:val="auto"/>
          <w:kern w:val="2"/>
          <w:sz w:val="24"/>
          <w:szCs w:val="24"/>
          <w:highlight w:val="none"/>
          <w:lang w:val="en-US" w:eastAsia="zh-CN" w:bidi="ar-SA"/>
        </w:rPr>
        <w:t>4</w:t>
      </w:r>
      <w:r>
        <w:rPr>
          <w:rFonts w:hint="default" w:ascii="Times New Roman" w:hAnsi="Times New Roman" w:eastAsia="宋体" w:cs="Times New Roman"/>
          <w:b w:val="0"/>
          <w:bCs w:val="0"/>
          <w:color w:val="auto"/>
          <w:kern w:val="2"/>
          <w:sz w:val="24"/>
          <w:szCs w:val="24"/>
          <w:highlight w:val="none"/>
          <w:lang w:val="en-US" w:eastAsia="zh-CN" w:bidi="ar-SA"/>
        </w:rPr>
        <w:t>.因维修质量原因造成机动车无法正常使用的，或在规定时间内未完成维修，采购人有权自行维修，投标人</w:t>
      </w:r>
      <w:r>
        <w:rPr>
          <w:rFonts w:hint="eastAsia" w:ascii="Times New Roman" w:hAnsi="Times New Roman" w:eastAsia="宋体" w:cs="Times New Roman"/>
          <w:b w:val="0"/>
          <w:bCs w:val="0"/>
          <w:color w:val="auto"/>
          <w:kern w:val="2"/>
          <w:sz w:val="24"/>
          <w:szCs w:val="24"/>
          <w:highlight w:val="none"/>
          <w:lang w:val="en-US" w:eastAsia="zh-CN" w:bidi="ar-SA"/>
        </w:rPr>
        <w:t>负担</w:t>
      </w:r>
      <w:r>
        <w:rPr>
          <w:rFonts w:hint="default" w:ascii="Times New Roman" w:hAnsi="Times New Roman" w:eastAsia="宋体" w:cs="Times New Roman"/>
          <w:b w:val="0"/>
          <w:bCs w:val="0"/>
          <w:color w:val="auto"/>
          <w:kern w:val="2"/>
          <w:sz w:val="24"/>
          <w:szCs w:val="24"/>
          <w:highlight w:val="none"/>
          <w:lang w:val="en-US" w:eastAsia="zh-CN" w:bidi="ar-SA"/>
        </w:rPr>
        <w:t>该维修费用及因此造成的全部后果、损失。</w:t>
      </w:r>
    </w:p>
    <w:p w14:paraId="48A363D3">
      <w:pPr>
        <w:pStyle w:val="13"/>
        <w:keepNext w:val="0"/>
        <w:keepLines w:val="0"/>
        <w:pageBreakBefore w:val="0"/>
        <w:widowControl w:val="0"/>
        <w:kinsoku/>
        <w:wordWrap/>
        <w:overflowPunct/>
        <w:topLinePunct w:val="0"/>
        <w:autoSpaceDE/>
        <w:autoSpaceDN/>
        <w:bidi w:val="0"/>
        <w:adjustRightInd/>
        <w:snapToGrid w:val="0"/>
        <w:spacing w:after="0" w:line="600" w:lineRule="exact"/>
        <w:ind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cs="Times New Roman"/>
          <w:b w:val="0"/>
          <w:bCs w:val="0"/>
          <w:color w:val="auto"/>
          <w:kern w:val="2"/>
          <w:sz w:val="24"/>
          <w:szCs w:val="24"/>
          <w:highlight w:val="none"/>
          <w:lang w:val="en-US" w:eastAsia="zh-CN" w:bidi="ar-SA"/>
        </w:rPr>
        <w:t>5</w:t>
      </w:r>
      <w:r>
        <w:rPr>
          <w:rFonts w:hint="default" w:ascii="Times New Roman" w:hAnsi="Times New Roman" w:eastAsia="宋体" w:cs="Times New Roman"/>
          <w:b w:val="0"/>
          <w:bCs w:val="0"/>
          <w:color w:val="auto"/>
          <w:kern w:val="2"/>
          <w:sz w:val="24"/>
          <w:szCs w:val="24"/>
          <w:highlight w:val="none"/>
          <w:lang w:val="en-US" w:eastAsia="zh-CN" w:bidi="ar-SA"/>
        </w:rPr>
        <w:t>.保证修车质量和快速维修，到店优先修理，片区范围内提供24小时免费救援服务。</w:t>
      </w:r>
    </w:p>
    <w:p w14:paraId="069FF969">
      <w:pPr>
        <w:pStyle w:val="13"/>
        <w:keepNext w:val="0"/>
        <w:keepLines w:val="0"/>
        <w:pageBreakBefore w:val="0"/>
        <w:widowControl w:val="0"/>
        <w:kinsoku/>
        <w:wordWrap/>
        <w:overflowPunct/>
        <w:topLinePunct w:val="0"/>
        <w:autoSpaceDE/>
        <w:autoSpaceDN/>
        <w:bidi w:val="0"/>
        <w:adjustRightInd/>
        <w:snapToGrid w:val="0"/>
        <w:spacing w:after="0" w:line="600" w:lineRule="exact"/>
        <w:ind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cs="Times New Roman"/>
          <w:b w:val="0"/>
          <w:bCs w:val="0"/>
          <w:color w:val="auto"/>
          <w:kern w:val="2"/>
          <w:sz w:val="24"/>
          <w:szCs w:val="24"/>
          <w:highlight w:val="none"/>
          <w:lang w:val="en-US" w:eastAsia="zh-CN" w:bidi="ar-SA"/>
        </w:rPr>
        <w:t>6</w:t>
      </w:r>
      <w:r>
        <w:rPr>
          <w:rFonts w:hint="default" w:ascii="Times New Roman" w:hAnsi="Times New Roman" w:eastAsia="宋体" w:cs="Times New Roman"/>
          <w:b w:val="0"/>
          <w:bCs w:val="0"/>
          <w:color w:val="auto"/>
          <w:kern w:val="2"/>
          <w:sz w:val="24"/>
          <w:szCs w:val="24"/>
          <w:highlight w:val="none"/>
          <w:lang w:val="en-US" w:eastAsia="zh-CN" w:bidi="ar-SA"/>
        </w:rPr>
        <w:t>.签订保密协议，保证涉密车辆信息资料不外泄。</w:t>
      </w:r>
    </w:p>
    <w:p w14:paraId="290F1C09">
      <w:pPr>
        <w:pStyle w:val="13"/>
        <w:keepNext w:val="0"/>
        <w:keepLines w:val="0"/>
        <w:pageBreakBefore w:val="0"/>
        <w:widowControl w:val="0"/>
        <w:kinsoku/>
        <w:wordWrap/>
        <w:overflowPunct/>
        <w:topLinePunct w:val="0"/>
        <w:autoSpaceDE/>
        <w:autoSpaceDN/>
        <w:bidi w:val="0"/>
        <w:adjustRightInd/>
        <w:snapToGrid w:val="0"/>
        <w:spacing w:after="0" w:line="600" w:lineRule="exact"/>
        <w:ind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cs="Times New Roman"/>
          <w:b w:val="0"/>
          <w:bCs w:val="0"/>
          <w:color w:val="auto"/>
          <w:kern w:val="2"/>
          <w:sz w:val="24"/>
          <w:szCs w:val="24"/>
          <w:highlight w:val="none"/>
          <w:lang w:val="en-US" w:eastAsia="zh-CN" w:bidi="ar-SA"/>
        </w:rPr>
        <w:t>7</w:t>
      </w:r>
      <w:r>
        <w:rPr>
          <w:rFonts w:hint="default" w:ascii="Times New Roman" w:hAnsi="Times New Roman" w:eastAsia="宋体" w:cs="Times New Roman"/>
          <w:b w:val="0"/>
          <w:bCs w:val="0"/>
          <w:color w:val="auto"/>
          <w:kern w:val="2"/>
          <w:sz w:val="24"/>
          <w:szCs w:val="24"/>
          <w:highlight w:val="none"/>
          <w:lang w:val="en-US" w:eastAsia="zh-CN" w:bidi="ar-SA"/>
        </w:rPr>
        <w:t>.配合采购人定点保险公司快修快赔服务。</w:t>
      </w:r>
    </w:p>
    <w:p w14:paraId="349AA628">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lang w:eastAsia="zh-CN"/>
        </w:rPr>
        <w:t>三</w:t>
      </w:r>
      <w:r>
        <w:rPr>
          <w:rFonts w:hint="default" w:ascii="Times New Roman" w:hAnsi="Times New Roman" w:eastAsia="宋体" w:cs="Times New Roman"/>
          <w:b/>
          <w:bCs/>
          <w:color w:val="auto"/>
          <w:sz w:val="24"/>
          <w:szCs w:val="24"/>
          <w:highlight w:val="none"/>
        </w:rPr>
        <w:t>、采购标的的验收标准</w:t>
      </w:r>
    </w:p>
    <w:p w14:paraId="2A2E3263">
      <w:pPr>
        <w:pStyle w:val="13"/>
        <w:keepNext w:val="0"/>
        <w:keepLines w:val="0"/>
        <w:pageBreakBefore w:val="0"/>
        <w:widowControl w:val="0"/>
        <w:kinsoku/>
        <w:wordWrap/>
        <w:overflowPunct/>
        <w:topLinePunct w:val="0"/>
        <w:autoSpaceDE/>
        <w:autoSpaceDN/>
        <w:bidi w:val="0"/>
        <w:adjustRightInd/>
        <w:snapToGrid w:val="0"/>
        <w:spacing w:after="0" w:line="600" w:lineRule="exact"/>
        <w:ind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本采购项目的服务质量须达到现行中华人民共和国以及省、自治区、直辖市或行业的相关标准、规范的要求；严格遵照国家或行业有关标准、规范执行。</w:t>
      </w:r>
    </w:p>
    <w:p w14:paraId="6FF8E1E2">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四、其他要求</w:t>
      </w:r>
    </w:p>
    <w:p w14:paraId="733B4DB7">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①本</w:t>
      </w:r>
      <w:r>
        <w:rPr>
          <w:rFonts w:hint="eastAsia" w:ascii="宋体" w:hAnsi="宋体" w:eastAsia="宋体" w:cs="宋体"/>
          <w:b w:val="0"/>
          <w:bCs w:val="0"/>
          <w:color w:val="auto"/>
          <w:sz w:val="24"/>
          <w:highlight w:val="none"/>
        </w:rPr>
        <w:t>项目预算金额</w:t>
      </w:r>
      <w:r>
        <w:rPr>
          <w:rFonts w:hint="eastAsia" w:ascii="宋体" w:hAnsi="宋体" w:eastAsia="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28</w:t>
      </w:r>
      <w:r>
        <w:rPr>
          <w:rFonts w:hint="eastAsia" w:ascii="宋体" w:hAnsi="宋体" w:eastAsia="宋体" w:cs="宋体"/>
          <w:b w:val="0"/>
          <w:bCs w:val="0"/>
          <w:color w:val="auto"/>
          <w:sz w:val="24"/>
          <w:highlight w:val="none"/>
        </w:rPr>
        <w:t>万元</w:t>
      </w:r>
      <w:r>
        <w:rPr>
          <w:rFonts w:hint="eastAsia" w:ascii="宋体" w:hAnsi="宋体" w:eastAsia="宋体" w:cs="宋体"/>
          <w:b w:val="0"/>
          <w:bCs w:val="0"/>
          <w:color w:val="auto"/>
          <w:sz w:val="24"/>
          <w:highlight w:val="none"/>
          <w:lang w:eastAsia="zh-CN"/>
        </w:rPr>
        <w:t>，该金额仅为预算金额，履约据实结算，本合同的签订不视为采购人对采购数量、采购金额作任何形式的承诺，若最终的采购金额未达到前述金额，不视为采购人违约，采购人不对成交人进行任何形式的补偿或赔偿。</w:t>
      </w:r>
    </w:p>
    <w:p w14:paraId="24F7E309">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eastAsia="zh-CN"/>
        </w:rPr>
        <w:t>②维保服务项目单价固定（详见维保服务项目清单），分项单价包含完成对应维修项的材料购置费、工时费、</w:t>
      </w:r>
      <w:r>
        <w:rPr>
          <w:rFonts w:hint="eastAsia" w:ascii="宋体" w:hAnsi="宋体" w:eastAsia="宋体" w:cs="宋体"/>
          <w:b w:val="0"/>
          <w:bCs w:val="0"/>
          <w:color w:val="auto"/>
          <w:sz w:val="24"/>
          <w:highlight w:val="none"/>
        </w:rPr>
        <w:t>运输装卸</w:t>
      </w:r>
      <w:r>
        <w:rPr>
          <w:rFonts w:hint="eastAsia" w:ascii="宋体" w:hAnsi="宋体" w:eastAsia="宋体" w:cs="宋体"/>
          <w:b w:val="0"/>
          <w:bCs w:val="0"/>
          <w:color w:val="auto"/>
          <w:sz w:val="24"/>
          <w:highlight w:val="none"/>
          <w:lang w:eastAsia="zh-CN"/>
        </w:rPr>
        <w:t>费</w:t>
      </w:r>
      <w:r>
        <w:rPr>
          <w:rFonts w:hint="eastAsia" w:ascii="宋体" w:hAnsi="宋体" w:eastAsia="宋体" w:cs="宋体"/>
          <w:b w:val="0"/>
          <w:bCs w:val="0"/>
          <w:color w:val="auto"/>
          <w:sz w:val="24"/>
          <w:highlight w:val="none"/>
        </w:rPr>
        <w:t>、调试、验收、维护、质保、辅材、税金、利润等伴随的服务及各种税费</w:t>
      </w:r>
      <w:r>
        <w:rPr>
          <w:rFonts w:hint="eastAsia" w:ascii="宋体" w:hAnsi="宋体" w:eastAsia="宋体" w:cs="宋体"/>
          <w:b w:val="0"/>
          <w:bCs w:val="0"/>
          <w:color w:val="auto"/>
          <w:sz w:val="24"/>
          <w:highlight w:val="none"/>
          <w:lang w:eastAsia="zh-CN"/>
        </w:rPr>
        <w:t>等完成维修项所包含的全部费用</w:t>
      </w:r>
      <w:r>
        <w:rPr>
          <w:rFonts w:hint="eastAsia" w:ascii="宋体" w:hAnsi="宋体" w:eastAsia="宋体" w:cs="宋体"/>
          <w:b w:val="0"/>
          <w:bCs w:val="0"/>
          <w:color w:val="auto"/>
          <w:sz w:val="24"/>
          <w:highlight w:val="none"/>
        </w:rPr>
        <w:t>。</w:t>
      </w:r>
    </w:p>
    <w:p w14:paraId="2FA70C1F">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③维保服务项目所涉及的配件、材料应为原厂正品，否则将视为不符合质量要求。</w:t>
      </w:r>
    </w:p>
    <w:p w14:paraId="5EF59B6C">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④维保服务项目所涉及一级保养、二级保养必须使用全合成机油，否则将视为不符合质量要求。</w:t>
      </w:r>
    </w:p>
    <w:p w14:paraId="1D5B93A4">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eastAsia="zh-CN"/>
        </w:rPr>
        <w:t>⑤</w:t>
      </w:r>
      <w:r>
        <w:rPr>
          <w:rFonts w:hint="eastAsia" w:ascii="宋体" w:hAnsi="宋体" w:eastAsia="宋体" w:cs="宋体"/>
          <w:b w:val="0"/>
          <w:bCs w:val="0"/>
          <w:color w:val="auto"/>
          <w:sz w:val="24"/>
          <w:highlight w:val="none"/>
          <w:lang w:val="en-US" w:eastAsia="zh-CN"/>
        </w:rPr>
        <w:t>日常维护项目为成交供应商附赠服务、不单独计价，包含但不限于：1.对不发生材料费的小修、调试、检测免收工时费；2.免费洗车、免费加雨刮水；3.免费为发动机、底盘、电气系统提供32项常规检测服务；4.免费代办年检、保险索赔免收手续费；5.免费提供车辆安全及维保技术培训等。6.免费提供调方向盘、四轮轮胎平衡、四轮轮胎气压检查及补气等日常维护项目服务。</w:t>
      </w:r>
    </w:p>
    <w:p w14:paraId="6B26843A">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⑥成交供应商应为采购人提供应急服务，包含但不限于：1.成交供应商应为采购人提供60公里内免费故障车辆救援服务，30公里内的拖车或技师应在60分钟内抵达现场，60公里内的拖车或技师应在90分钟内抵达现场（路况复杂的，可延长至120分钟）；超出60公里的，超出部分按市场价和供应商优惠率据实结算。2.待修车辆涉及急修、抢修的，成交供应商不得额外收取急修、抢修附加工时费。3.供应商应在不违法国家法律法规的前提下，充分了解采购人单位性质，并根据采购人要求，参与采购人执行的应急保障服务。</w:t>
      </w:r>
    </w:p>
    <w:p w14:paraId="21687301">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⑦车辆竣工出厂执行质量保证期制度，不能低于《交通运输部关于修改&lt;机动车维修管理规定&gt;的决定（交通运输部令2016 年第 37 号）》的标准，被修车辆达不到规定的质量标准和技术要求的，返修不再计价收费。</w:t>
      </w:r>
    </w:p>
    <w:p w14:paraId="3B5108E8">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质量保证期自待修车辆维修完成且验收合格出厂之日起算，①涉及保养、一级维护、小修及专项修理的，质量保证期为车辆行驶2000公里或者10日；②涉及二级维护的，质量保证期为车辆行驶5000公里或者30日；③涉及车辆整车修理或总成修理的，质量保证期为车辆行驶20000公里或者100日；质量保证期中行驶里程和日期指标，以先达到者为准。对采购人待修的同一车辆的同一故障应一次性修复，若出现非采购人原因导致的反复维修，供应商应承担响应费用，直至修理完成且验收合格。</w:t>
      </w:r>
    </w:p>
    <w:p w14:paraId="40DC934F">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⑧有下列情形甲方可到非定点维修厂进行维修：（1）保险公司负责理赔维修的车辆，可按其规定执行；（2）新购置的车辆，在保修期内，可到汽车生产厂指定的售后服务网点进行免费维护保养；（3）在外地区发生故障的车辆。</w:t>
      </w:r>
    </w:p>
    <w:p w14:paraId="767E5A30">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⑨维修和保养服务内容包含但不限于</w:t>
      </w:r>
      <w:r>
        <w:rPr>
          <w:rFonts w:hint="eastAsia" w:ascii="宋体" w:hAnsi="宋体" w:eastAsia="宋体" w:cs="宋体"/>
          <w:b w:val="0"/>
          <w:bCs w:val="0"/>
          <w:color w:val="auto"/>
          <w:sz w:val="24"/>
          <w:highlight w:val="none"/>
          <w:lang w:eastAsia="zh-CN"/>
        </w:rPr>
        <w:t>维保服务项目清单</w:t>
      </w:r>
      <w:r>
        <w:rPr>
          <w:rFonts w:hint="eastAsia" w:ascii="宋体" w:hAnsi="宋体" w:eastAsia="宋体" w:cs="宋体"/>
          <w:b w:val="0"/>
          <w:bCs w:val="0"/>
          <w:color w:val="auto"/>
          <w:sz w:val="24"/>
          <w:highlight w:val="none"/>
          <w:lang w:val="en-US" w:eastAsia="zh-CN"/>
        </w:rPr>
        <w:t>，如维修和保养项目在清单外，成交供应商按双方市场询价定价×（1-成交下浮率）提供。</w:t>
      </w:r>
    </w:p>
    <w:p w14:paraId="2AA300A5">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⑩供应商采用下浮率报价，最终确定的下浮率在后续服务中不予变动。</w:t>
      </w:r>
    </w:p>
    <w:p w14:paraId="596F7609">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9.结算方式：维修和保养服务项目清单固定单价×（1-成交下浮率）×数量。</w:t>
      </w:r>
    </w:p>
    <w:p w14:paraId="1C64F817">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10.付款方式：据实结算。每次服务发生后，成交供应商按照服务明细开具对应结算清单及发票，采购人收到票证后10个工作日内完成对公结算。</w:t>
      </w:r>
    </w:p>
    <w:p w14:paraId="2072DFEA">
      <w:pPr>
        <w:keepNext w:val="0"/>
        <w:keepLines w:val="0"/>
        <w:pageBreakBefore w:val="0"/>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11.项目需选取1个定点维修机构为全站公务用车维修服务定点协议单位，要求其具有瑞丽片区、芒市片区、盈江片区单位公务用车维修维护能力和相关资质</w:t>
      </w:r>
      <w:r>
        <w:rPr>
          <w:rFonts w:hint="eastAsia" w:ascii="宋体" w:hAnsi="宋体" w:cs="宋体"/>
          <w:b w:val="0"/>
          <w:bCs w:val="0"/>
          <w:color w:val="auto"/>
          <w:sz w:val="24"/>
          <w:highlight w:val="none"/>
          <w:lang w:val="en-US" w:eastAsia="zh-CN"/>
        </w:rPr>
        <w:t>。</w:t>
      </w:r>
    </w:p>
    <w:p w14:paraId="1A91C1A8">
      <w:pPr>
        <w:pStyle w:val="2"/>
        <w:keepNext w:val="0"/>
        <w:keepLines w:val="0"/>
        <w:pageBreakBefore w:val="0"/>
        <w:widowControl/>
        <w:kinsoku/>
        <w:wordWrap/>
        <w:overflowPunct/>
        <w:topLinePunct w:val="0"/>
        <w:autoSpaceDE w:val="0"/>
        <w:autoSpaceDN w:val="0"/>
        <w:bidi w:val="0"/>
        <w:adjustRightInd w:val="0"/>
        <w:snapToGrid/>
        <w:spacing w:line="540" w:lineRule="exact"/>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12.</w:t>
      </w:r>
      <w:r>
        <w:rPr>
          <w:rFonts w:hint="default" w:ascii="宋体" w:hAnsi="宋体" w:eastAsia="宋体" w:cs="宋体"/>
          <w:b w:val="0"/>
          <w:bCs w:val="0"/>
          <w:color w:val="auto"/>
          <w:kern w:val="2"/>
          <w:sz w:val="24"/>
          <w:szCs w:val="24"/>
          <w:highlight w:val="none"/>
          <w:lang w:val="en-US" w:eastAsia="zh-CN" w:bidi="ar-SA"/>
        </w:rPr>
        <w:t>片区内须有针对本项目专门的负责人与采购人对接一切事宜</w:t>
      </w:r>
      <w:r>
        <w:rPr>
          <w:rFonts w:hint="eastAsia" w:ascii="宋体" w:hAnsi="宋体" w:eastAsia="宋体" w:cs="宋体"/>
          <w:b w:val="0"/>
          <w:bCs w:val="0"/>
          <w:color w:val="auto"/>
          <w:kern w:val="2"/>
          <w:sz w:val="24"/>
          <w:szCs w:val="24"/>
          <w:highlight w:val="none"/>
          <w:lang w:val="en-US" w:eastAsia="zh-CN" w:bidi="ar-SA"/>
        </w:rPr>
        <w:t>。</w:t>
      </w:r>
    </w:p>
    <w:p w14:paraId="481113A3">
      <w:pPr>
        <w:pStyle w:val="22"/>
        <w:keepNext w:val="0"/>
        <w:keepLines w:val="0"/>
        <w:pageBreakBefore w:val="0"/>
        <w:kinsoku/>
        <w:wordWrap/>
        <w:overflowPunct/>
        <w:topLinePunct w:val="0"/>
        <w:bidi w:val="0"/>
        <w:snapToGrid/>
        <w:spacing w:line="540" w:lineRule="exact"/>
        <w:ind w:firstLine="482" w:firstLineChars="200"/>
        <w:textAlignment w:val="auto"/>
        <w:rPr>
          <w:rFonts w:hint="eastAsia" w:ascii="宋体" w:hAnsi="宋体" w:eastAsia="宋体" w:cs="宋体"/>
          <w:b/>
          <w:bCs/>
          <w:color w:val="auto"/>
          <w:kern w:val="0"/>
          <w:sz w:val="32"/>
          <w:szCs w:val="32"/>
          <w:highlight w:val="none"/>
        </w:rPr>
      </w:pPr>
      <w:r>
        <w:rPr>
          <w:rFonts w:hint="eastAsia" w:ascii="宋体" w:hAnsi="宋体" w:eastAsia="宋体" w:cs="宋体"/>
          <w:b/>
          <w:bCs/>
          <w:color w:val="auto"/>
          <w:sz w:val="24"/>
          <w:szCs w:val="24"/>
          <w:highlight w:val="none"/>
          <w:lang w:val="en-US" w:eastAsia="zh-CN"/>
        </w:rPr>
        <w:t>13.</w:t>
      </w:r>
      <w:r>
        <w:rPr>
          <w:rFonts w:hint="eastAsia" w:ascii="宋体" w:hAnsi="宋体" w:eastAsia="宋体" w:cs="宋体"/>
          <w:b/>
          <w:bCs/>
          <w:color w:val="auto"/>
          <w:sz w:val="24"/>
          <w:szCs w:val="24"/>
          <w:highlight w:val="none"/>
        </w:rPr>
        <w:t>2025年公务用车维修和保养服务项目清单及计价表</w:t>
      </w:r>
      <w:r>
        <w:rPr>
          <w:rFonts w:hint="eastAsia" w:ascii="宋体" w:hAnsi="宋体" w:eastAsia="宋体" w:cs="宋体"/>
          <w:b/>
          <w:bCs/>
          <w:color w:val="auto"/>
          <w:sz w:val="24"/>
          <w:szCs w:val="24"/>
          <w:highlight w:val="none"/>
          <w:lang w:eastAsia="zh-CN"/>
        </w:rPr>
        <w:t>（另册提供）</w:t>
      </w:r>
      <w:bookmarkStart w:id="144" w:name="_Toc22240"/>
    </w:p>
    <w:p w14:paraId="1D988A79">
      <w:pPr>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br w:type="page"/>
      </w:r>
    </w:p>
    <w:p w14:paraId="0CB7768D">
      <w:pPr>
        <w:spacing w:after="156" w:afterLines="50" w:line="360" w:lineRule="auto"/>
        <w:jc w:val="center"/>
        <w:outlineLvl w:val="0"/>
        <w:rPr>
          <w:rFonts w:hint="eastAsia" w:ascii="宋体" w:hAnsi="宋体" w:eastAsia="宋体" w:cs="宋体"/>
          <w:b/>
          <w:bCs/>
          <w:color w:val="auto"/>
          <w:kern w:val="0"/>
          <w:sz w:val="32"/>
          <w:szCs w:val="32"/>
          <w:highlight w:val="none"/>
        </w:rPr>
      </w:pPr>
      <w:bookmarkStart w:id="145" w:name="_Toc22737"/>
      <w:bookmarkStart w:id="146" w:name="_Toc26989"/>
      <w:r>
        <w:rPr>
          <w:rFonts w:hint="eastAsia" w:ascii="宋体" w:hAnsi="宋体" w:eastAsia="宋体" w:cs="宋体"/>
          <w:b/>
          <w:bCs/>
          <w:color w:val="auto"/>
          <w:kern w:val="0"/>
          <w:sz w:val="32"/>
          <w:szCs w:val="32"/>
          <w:highlight w:val="none"/>
        </w:rPr>
        <w:t>第</w:t>
      </w:r>
      <w:r>
        <w:rPr>
          <w:rFonts w:hint="eastAsia" w:ascii="宋体" w:hAnsi="宋体" w:eastAsia="宋体" w:cs="宋体"/>
          <w:b/>
          <w:bCs/>
          <w:color w:val="auto"/>
          <w:kern w:val="0"/>
          <w:sz w:val="32"/>
          <w:szCs w:val="32"/>
          <w:highlight w:val="none"/>
          <w:lang w:eastAsia="zh-CN"/>
        </w:rPr>
        <w:t>四</w:t>
      </w:r>
      <w:r>
        <w:rPr>
          <w:rFonts w:hint="eastAsia" w:ascii="宋体" w:hAnsi="宋体" w:eastAsia="宋体" w:cs="宋体"/>
          <w:b/>
          <w:bCs/>
          <w:color w:val="auto"/>
          <w:kern w:val="0"/>
          <w:sz w:val="32"/>
          <w:szCs w:val="32"/>
          <w:highlight w:val="none"/>
        </w:rPr>
        <w:t>章</w:t>
      </w:r>
      <w:r>
        <w:rPr>
          <w:rFonts w:hint="eastAsia" w:ascii="宋体" w:hAnsi="宋体" w:eastAsia="宋体" w:cs="宋体"/>
          <w:b/>
          <w:bCs/>
          <w:color w:val="auto"/>
          <w:kern w:val="0"/>
          <w:sz w:val="32"/>
          <w:szCs w:val="32"/>
          <w:highlight w:val="none"/>
          <w:lang w:val="en-US" w:eastAsia="zh-CN"/>
        </w:rPr>
        <w:t xml:space="preserve">  </w:t>
      </w:r>
      <w:r>
        <w:rPr>
          <w:rFonts w:hint="eastAsia" w:ascii="宋体" w:hAnsi="宋体" w:eastAsia="宋体" w:cs="宋体"/>
          <w:b/>
          <w:bCs/>
          <w:color w:val="auto"/>
          <w:kern w:val="0"/>
          <w:sz w:val="32"/>
          <w:szCs w:val="32"/>
          <w:highlight w:val="none"/>
        </w:rPr>
        <w:t>评审办法</w:t>
      </w:r>
      <w:bookmarkEnd w:id="137"/>
      <w:bookmarkEnd w:id="138"/>
      <w:bookmarkEnd w:id="139"/>
      <w:bookmarkEnd w:id="140"/>
      <w:bookmarkEnd w:id="141"/>
      <w:bookmarkEnd w:id="142"/>
      <w:bookmarkEnd w:id="143"/>
      <w:bookmarkEnd w:id="144"/>
      <w:bookmarkEnd w:id="145"/>
      <w:bookmarkEnd w:id="146"/>
    </w:p>
    <w:p w14:paraId="50B24853">
      <w:pPr>
        <w:widowControl/>
        <w:spacing w:line="500" w:lineRule="exact"/>
        <w:ind w:firstLine="480" w:firstLineChars="200"/>
        <w:jc w:val="left"/>
        <w:rPr>
          <w:rFonts w:hint="eastAsia" w:ascii="宋体" w:hAnsi="宋体" w:eastAsia="宋体" w:cs="宋体"/>
          <w:b/>
          <w:bCs/>
          <w:color w:val="auto"/>
          <w:kern w:val="0"/>
          <w:sz w:val="24"/>
          <w:highlight w:val="none"/>
        </w:rPr>
      </w:pPr>
      <w:bookmarkStart w:id="147" w:name="_Toc10646"/>
      <w:bookmarkStart w:id="148" w:name="_Toc13594"/>
      <w:bookmarkStart w:id="149" w:name="_Toc2173"/>
      <w:bookmarkStart w:id="150" w:name="_Toc17411"/>
      <w:bookmarkStart w:id="151" w:name="_Toc7161"/>
      <w:bookmarkStart w:id="152" w:name="_Toc16382"/>
      <w:bookmarkStart w:id="153" w:name="_Toc436845166"/>
      <w:bookmarkStart w:id="154" w:name="_Toc7975"/>
      <w:bookmarkStart w:id="155" w:name="_Toc291944756"/>
      <w:r>
        <w:rPr>
          <w:rFonts w:hint="eastAsia" w:ascii="宋体" w:hAnsi="宋体" w:eastAsia="宋体" w:cs="宋体"/>
          <w:color w:val="auto"/>
          <w:kern w:val="0"/>
          <w:sz w:val="24"/>
          <w:highlight w:val="none"/>
          <w:lang w:bidi="en-US"/>
        </w:rPr>
        <w:t>根据《中华人民共和国政府采购法</w:t>
      </w:r>
      <w:r>
        <w:rPr>
          <w:rFonts w:hint="eastAsia" w:ascii="宋体" w:hAnsi="宋体" w:cs="宋体"/>
          <w:color w:val="auto"/>
          <w:kern w:val="0"/>
          <w:sz w:val="24"/>
          <w:highlight w:val="none"/>
          <w:lang w:eastAsia="zh-CN" w:bidi="en-US"/>
        </w:rPr>
        <w:t>》《</w:t>
      </w:r>
      <w:r>
        <w:rPr>
          <w:rFonts w:hint="eastAsia" w:ascii="宋体" w:hAnsi="宋体" w:eastAsia="宋体" w:cs="宋体"/>
          <w:color w:val="auto"/>
          <w:kern w:val="0"/>
          <w:sz w:val="24"/>
          <w:highlight w:val="none"/>
          <w:lang w:bidi="en-US"/>
        </w:rPr>
        <w:t>政府采购竞争性磋商采购方式管理暂行办法》等有关法律法规的精神及本次采购项目采购文件的规定，遵循公平、公正、科学、择优的原则，特制定本办法。</w:t>
      </w:r>
    </w:p>
    <w:p w14:paraId="7A93D024">
      <w:pPr>
        <w:pStyle w:val="15"/>
        <w:spacing w:after="0" w:line="500" w:lineRule="exact"/>
        <w:ind w:left="0" w:leftChars="0" w:firstLine="0" w:firstLineChars="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一、评审原则</w:t>
      </w:r>
    </w:p>
    <w:p w14:paraId="6F26C442">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1.坚持“公平、公正、科学、择优、保密”的原则，本着实事求是的精神，不带有任何主观意愿和偏见，认真负责地做好评审工作，公平、公正地对待每一个供应商。</w:t>
      </w:r>
    </w:p>
    <w:p w14:paraId="3BEDE021">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2.全面分析，综合评审。</w:t>
      </w:r>
    </w:p>
    <w:p w14:paraId="2DCB1D14">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3.评审只对供应商的响应文件进行评审，响应文件以外的资料、信息不作为评审的依据。</w:t>
      </w:r>
    </w:p>
    <w:p w14:paraId="21D5C513">
      <w:pPr>
        <w:pStyle w:val="15"/>
        <w:spacing w:after="0" w:line="500" w:lineRule="exact"/>
        <w:ind w:left="0" w:leftChars="0" w:firstLine="0" w:firstLineChars="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二、评审纪律</w:t>
      </w:r>
    </w:p>
    <w:p w14:paraId="574A4CFF">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1.对评审过程要严格保密，不得向供应商或与该过程无关的</w:t>
      </w:r>
      <w:r>
        <w:rPr>
          <w:rFonts w:hint="eastAsia" w:ascii="宋体" w:hAnsi="宋体" w:cs="宋体"/>
          <w:color w:val="auto"/>
          <w:sz w:val="24"/>
          <w:highlight w:val="none"/>
          <w:lang w:eastAsia="zh-CN"/>
        </w:rPr>
        <w:t>其他人员</w:t>
      </w:r>
      <w:r>
        <w:rPr>
          <w:rFonts w:hint="eastAsia" w:ascii="宋体" w:hAnsi="宋体" w:eastAsia="宋体" w:cs="宋体"/>
          <w:color w:val="auto"/>
          <w:sz w:val="24"/>
          <w:highlight w:val="none"/>
        </w:rPr>
        <w:t>泄露；</w:t>
      </w:r>
    </w:p>
    <w:p w14:paraId="322803FF">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2.任何属于响应文件审查、澄清、评价和比较的资料，不得向供应商或与该过程无关的</w:t>
      </w:r>
      <w:r>
        <w:rPr>
          <w:rFonts w:hint="eastAsia" w:ascii="宋体" w:hAnsi="宋体" w:cs="宋体"/>
          <w:color w:val="auto"/>
          <w:sz w:val="24"/>
          <w:highlight w:val="none"/>
          <w:lang w:eastAsia="zh-CN"/>
        </w:rPr>
        <w:t>其他人员</w:t>
      </w:r>
      <w:r>
        <w:rPr>
          <w:rFonts w:hint="eastAsia" w:ascii="宋体" w:hAnsi="宋体" w:eastAsia="宋体" w:cs="宋体"/>
          <w:color w:val="auto"/>
          <w:sz w:val="24"/>
          <w:highlight w:val="none"/>
        </w:rPr>
        <w:t>泄露；</w:t>
      </w:r>
    </w:p>
    <w:p w14:paraId="77264AEA">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3.所有资料（包括竞争性磋商文件、响应文件、评审表格及各种文字记录）在评审结束后均应分别整理、存档备查，任何人不得复制和保留，不得向外泄露；</w:t>
      </w:r>
    </w:p>
    <w:p w14:paraId="424AE981">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4.评审期间，评审人员不得外出，确需外出时应事先请假；</w:t>
      </w:r>
    </w:p>
    <w:p w14:paraId="657E826E">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5.评审期间，所有与会人员均不得私自以任何方式和供应商进行联系，需询问、澄清的问题由磋商小组统一组织办理；</w:t>
      </w:r>
    </w:p>
    <w:p w14:paraId="043F803E">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6.评审结束后，与会人员不得向外界透露评审人员的评审意见，如因此造成的后果由责任者承担。</w:t>
      </w:r>
    </w:p>
    <w:p w14:paraId="4BAB1194">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7.磋商及其成员不得有下列行为：</w:t>
      </w:r>
    </w:p>
    <w:p w14:paraId="05DE65A1">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（1）确定参与评审至评审结束前私自接触供应商；</w:t>
      </w:r>
    </w:p>
    <w:p w14:paraId="68828226">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（2）接受供应商提出的与响应文件不一致的澄清或者说明；</w:t>
      </w:r>
    </w:p>
    <w:p w14:paraId="3E567B7D">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（3）违反评审纪律发表倾向性意见或者征询采购人的倾向性意见；</w:t>
      </w:r>
    </w:p>
    <w:p w14:paraId="4352BA94">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（4）对需要专业判断的主观评审因素协商评分；</w:t>
      </w:r>
    </w:p>
    <w:p w14:paraId="51F1E82C">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（5）在评审过程中擅离职守，影响评审程序正常进行的；</w:t>
      </w:r>
    </w:p>
    <w:p w14:paraId="667AEB45">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（6）记录、复制或者带走任何评审资料；</w:t>
      </w:r>
    </w:p>
    <w:p w14:paraId="12B49BD8">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（7）其他不遵守评审纪律的行为。</w:t>
      </w:r>
    </w:p>
    <w:p w14:paraId="37878991">
      <w:pPr>
        <w:pStyle w:val="15"/>
        <w:spacing w:after="0" w:line="500" w:lineRule="exact"/>
        <w:ind w:left="0" w:leftChars="0" w:firstLine="0" w:firstLineChars="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三、评审目的</w:t>
      </w:r>
    </w:p>
    <w:p w14:paraId="0351FC2F">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评审工作的目的：审查供应商的响应文件与竞争性磋商文件的所有条款、条件是否相符；是否已提供了必备的资料、文件、证书，做出实质性响应；按评审程序和评审方法推荐出合格的成交候选人。</w:t>
      </w:r>
    </w:p>
    <w:p w14:paraId="3ED7B6C5">
      <w:pPr>
        <w:pStyle w:val="15"/>
        <w:spacing w:after="0" w:line="500" w:lineRule="exact"/>
        <w:ind w:left="0" w:leftChars="0" w:firstLine="0" w:firstLineChars="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四、评审程序</w:t>
      </w:r>
    </w:p>
    <w:p w14:paraId="03DD55B0">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1.第一步：资格审查</w:t>
      </w:r>
    </w:p>
    <w:p w14:paraId="52814F8F">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2.第二步：符合性审查</w:t>
      </w:r>
    </w:p>
    <w:p w14:paraId="5E0AF1A9">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3.第三步：磋商</w:t>
      </w:r>
    </w:p>
    <w:p w14:paraId="0FC59411">
      <w:pPr>
        <w:pStyle w:val="15"/>
        <w:spacing w:after="0" w:line="50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4.第四步：详细评审即综合评分</w:t>
      </w:r>
    </w:p>
    <w:p w14:paraId="3FE42A73">
      <w:pPr>
        <w:pStyle w:val="15"/>
        <w:spacing w:after="0" w:line="500" w:lineRule="exact"/>
        <w:ind w:left="0" w:leftChars="0" w:firstLine="480"/>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5.第五步：统计评审结果并出具评审报告</w:t>
      </w:r>
      <w:bookmarkEnd w:id="147"/>
      <w:bookmarkEnd w:id="148"/>
      <w:bookmarkEnd w:id="149"/>
      <w:bookmarkEnd w:id="150"/>
      <w:bookmarkEnd w:id="151"/>
      <w:bookmarkEnd w:id="152"/>
      <w:bookmarkEnd w:id="153"/>
      <w:bookmarkEnd w:id="154"/>
      <w:bookmarkEnd w:id="155"/>
      <w:bookmarkStart w:id="156" w:name="_Toc3399"/>
      <w:bookmarkStart w:id="157" w:name="_Toc16777"/>
      <w:bookmarkStart w:id="158" w:name="_Toc7178"/>
      <w:bookmarkStart w:id="159" w:name="_Toc9634"/>
      <w:bookmarkStart w:id="160" w:name="_Toc18702"/>
      <w:bookmarkStart w:id="161" w:name="_Toc436845167"/>
      <w:bookmarkStart w:id="162" w:name="_Toc9459"/>
      <w:bookmarkStart w:id="163" w:name="_Toc20112"/>
      <w:bookmarkStart w:id="164" w:name="_Toc291944757"/>
    </w:p>
    <w:bookmarkEnd w:id="156"/>
    <w:bookmarkEnd w:id="157"/>
    <w:bookmarkEnd w:id="158"/>
    <w:bookmarkEnd w:id="159"/>
    <w:bookmarkEnd w:id="160"/>
    <w:bookmarkEnd w:id="161"/>
    <w:bookmarkEnd w:id="162"/>
    <w:bookmarkEnd w:id="163"/>
    <w:bookmarkEnd w:id="164"/>
    <w:p w14:paraId="26A26984">
      <w:pPr>
        <w:snapToGrid w:val="0"/>
        <w:spacing w:line="500" w:lineRule="exact"/>
        <w:rPr>
          <w:rFonts w:hint="eastAsia" w:ascii="宋体" w:hAnsi="宋体" w:eastAsia="宋体" w:cs="宋体"/>
          <w:b/>
          <w:bCs/>
          <w:color w:val="auto"/>
          <w:kern w:val="0"/>
          <w:sz w:val="24"/>
          <w:highlight w:val="none"/>
        </w:rPr>
      </w:pPr>
      <w:bookmarkStart w:id="165" w:name="_Toc11182"/>
      <w:r>
        <w:rPr>
          <w:rFonts w:hint="eastAsia" w:ascii="宋体" w:hAnsi="宋体" w:eastAsia="宋体" w:cs="宋体"/>
          <w:b/>
          <w:bCs/>
          <w:color w:val="auto"/>
          <w:kern w:val="0"/>
          <w:sz w:val="24"/>
          <w:highlight w:val="none"/>
        </w:rPr>
        <w:t>五、澄清、说明或者补正</w:t>
      </w:r>
    </w:p>
    <w:p w14:paraId="17163FA2">
      <w:pPr>
        <w:spacing w:line="4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1.对于响应文件中含义不明确、同类问题表述不一致或者有明显文字和计算错误的内容，磋商小组应当以书面形式要求供应商作出必要的澄清、说明或者补正</w:t>
      </w:r>
      <w:r>
        <w:rPr>
          <w:rFonts w:hint="eastAsia" w:ascii="宋体" w:hAnsi="宋体" w:eastAsia="宋体" w:cs="宋体"/>
          <w:color w:val="auto"/>
          <w:sz w:val="24"/>
          <w:highlight w:val="none"/>
        </w:rPr>
        <w:t>，格式详见附件一。</w:t>
      </w:r>
    </w:p>
    <w:p w14:paraId="49C2FD48">
      <w:pPr>
        <w:pStyle w:val="15"/>
        <w:spacing w:after="0" w:line="460" w:lineRule="exact"/>
        <w:ind w:left="0" w:leftChars="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响应文件的澄清、说明或者补正应当采用书面形式，并加盖公章，或者由法定代表人或其授权的代表签字。供应商的澄清、说明或者补正不得超出响应文件的范围或者改变响应文件的实质性内容，格式详见附件二。</w:t>
      </w:r>
    </w:p>
    <w:p w14:paraId="03F63C14">
      <w:pPr>
        <w:spacing w:line="460" w:lineRule="exact"/>
        <w:ind w:firstLine="480" w:firstLineChars="2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3.磋商小组会并非对每个服务商都作澄清要求。</w:t>
      </w:r>
    </w:p>
    <w:p w14:paraId="28E1D8C1">
      <w:pPr>
        <w:spacing w:line="460" w:lineRule="exact"/>
        <w:rPr>
          <w:rFonts w:hint="eastAsia" w:ascii="宋体" w:hAnsi="宋体" w:eastAsia="宋体" w:cs="宋体"/>
          <w:color w:val="auto"/>
          <w:sz w:val="24"/>
          <w:highlight w:val="none"/>
        </w:rPr>
      </w:pPr>
      <w:bookmarkStart w:id="166" w:name="_Toc21397"/>
      <w:bookmarkStart w:id="167" w:name="_Toc24730"/>
      <w:bookmarkStart w:id="168" w:name="_Toc26295"/>
      <w:bookmarkStart w:id="169" w:name="_Toc4288"/>
      <w:bookmarkStart w:id="170" w:name="_Toc27651"/>
      <w:r>
        <w:rPr>
          <w:rFonts w:hint="eastAsia" w:ascii="宋体" w:hAnsi="宋体" w:eastAsia="宋体" w:cs="宋体"/>
          <w:b/>
          <w:bCs/>
          <w:color w:val="auto"/>
          <w:sz w:val="24"/>
          <w:highlight w:val="none"/>
        </w:rPr>
        <w:t>六、响应文件修正错误的原则</w:t>
      </w:r>
      <w:bookmarkEnd w:id="166"/>
      <w:bookmarkEnd w:id="167"/>
      <w:bookmarkEnd w:id="168"/>
      <w:bookmarkEnd w:id="169"/>
      <w:bookmarkEnd w:id="170"/>
    </w:p>
    <w:p w14:paraId="51E9869A">
      <w:pPr>
        <w:spacing w:line="4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响应文件报价出现前后不一致的，除竞争性磋商文件另有规定外，按照下列规定修正：</w:t>
      </w:r>
    </w:p>
    <w:p w14:paraId="526F8401">
      <w:pPr>
        <w:spacing w:line="4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1.响应文件中报价一览表内容与响应文件中相应内容不一致的，以报价一览表为准；</w:t>
      </w:r>
    </w:p>
    <w:p w14:paraId="411B587F">
      <w:pPr>
        <w:spacing w:line="4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2.大写金额和小写金额不一致的，以大写金额为准；</w:t>
      </w:r>
    </w:p>
    <w:p w14:paraId="23789A4A">
      <w:pPr>
        <w:spacing w:line="4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3.单价金额小数点或者百分比有明显错位的，以报价一览表的总价为准，并修改单价；</w:t>
      </w:r>
    </w:p>
    <w:p w14:paraId="2AB9A366">
      <w:pPr>
        <w:spacing w:line="46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4.总价金额与按单价汇总金额不一致的，以单价金额计算结果为准。</w:t>
      </w:r>
    </w:p>
    <w:p w14:paraId="34F5FF05">
      <w:pPr>
        <w:spacing w:line="460" w:lineRule="exact"/>
        <w:ind w:firstLine="480" w:firstLineChars="200"/>
        <w:rPr>
          <w:rFonts w:hint="eastAsia" w:ascii="宋体" w:hAnsi="宋体" w:eastAsia="宋体" w:cs="宋体"/>
          <w:b/>
          <w:bCs/>
          <w:color w:val="auto"/>
          <w:sz w:val="24"/>
          <w:highlight w:val="none"/>
        </w:rPr>
      </w:pPr>
      <w:r>
        <w:rPr>
          <w:rFonts w:hint="eastAsia" w:ascii="宋体" w:hAnsi="宋体" w:eastAsia="宋体" w:cs="宋体"/>
          <w:color w:val="auto"/>
          <w:kern w:val="0"/>
          <w:sz w:val="24"/>
          <w:highlight w:val="none"/>
        </w:rPr>
        <w:t>同时出现两种以上不一致的，按照前款规定的顺序修正。修正后的报价采用书面形式，并加盖公章，或者由法定代表人或其授权的代表签字确认后产生约束力，供应商不确认的，其响应文件无效。</w:t>
      </w:r>
    </w:p>
    <w:p w14:paraId="0362754C">
      <w:pPr>
        <w:widowControl/>
        <w:spacing w:line="5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七、下列情形之一的，视为供应商串通，其响应文件无效：</w:t>
      </w:r>
    </w:p>
    <w:p w14:paraId="4E24F2A1">
      <w:pPr>
        <w:widowControl/>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1.不同供应商的响应文件由同一单位或者个人编制；</w:t>
      </w:r>
    </w:p>
    <w:p w14:paraId="5706A734">
      <w:pPr>
        <w:widowControl/>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2.不同供应商委托同一单位或者个人办理磋商事宜；</w:t>
      </w:r>
    </w:p>
    <w:p w14:paraId="73FA4A0B">
      <w:pPr>
        <w:widowControl/>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3.不同供应商的响应文件载明的项目管理成员或者联系人员为同一人；</w:t>
      </w:r>
    </w:p>
    <w:p w14:paraId="1DE51BFC">
      <w:pPr>
        <w:widowControl/>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4.不同供应商的响应文件异常一致或者报价呈规律性差异；</w:t>
      </w:r>
    </w:p>
    <w:p w14:paraId="60A1FE20">
      <w:pPr>
        <w:widowControl/>
        <w:spacing w:line="500" w:lineRule="exact"/>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5.不同供应商的响应文件相互混装</w:t>
      </w:r>
      <w:r>
        <w:rPr>
          <w:rFonts w:hint="eastAsia" w:ascii="宋体" w:hAnsi="宋体" w:eastAsia="宋体" w:cs="宋体"/>
          <w:color w:val="auto"/>
          <w:sz w:val="24"/>
          <w:highlight w:val="none"/>
          <w:lang w:eastAsia="zh-CN"/>
        </w:rPr>
        <w:t>；</w:t>
      </w:r>
    </w:p>
    <w:p w14:paraId="1B05E352">
      <w:pPr>
        <w:widowControl/>
        <w:spacing w:line="50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6.不同供应商的投标保证金从同一单位或个人的账户转出；</w:t>
      </w:r>
    </w:p>
    <w:p w14:paraId="7AFA522A">
      <w:pPr>
        <w:widowControl/>
        <w:spacing w:line="50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7.法律法规规定的其他串通投标的情形。</w:t>
      </w:r>
    </w:p>
    <w:p w14:paraId="201F4266">
      <w:pPr>
        <w:spacing w:line="500" w:lineRule="exact"/>
        <w:rPr>
          <w:rFonts w:hint="eastAsia" w:ascii="宋体" w:hAnsi="宋体" w:eastAsia="宋体" w:cs="宋体"/>
          <w:b/>
          <w:bCs/>
          <w:color w:val="auto"/>
          <w:sz w:val="24"/>
          <w:highlight w:val="none"/>
        </w:rPr>
      </w:pPr>
      <w:bookmarkStart w:id="171" w:name="_Toc6550"/>
      <w:r>
        <w:rPr>
          <w:rFonts w:hint="eastAsia" w:ascii="宋体" w:hAnsi="宋体" w:eastAsia="宋体" w:cs="宋体"/>
          <w:b/>
          <w:bCs/>
          <w:color w:val="auto"/>
          <w:sz w:val="24"/>
          <w:highlight w:val="none"/>
        </w:rPr>
        <w:t>八、</w:t>
      </w:r>
      <w:bookmarkEnd w:id="165"/>
      <w:r>
        <w:rPr>
          <w:rFonts w:hint="eastAsia" w:ascii="宋体" w:hAnsi="宋体" w:eastAsia="宋体" w:cs="宋体"/>
          <w:b/>
          <w:color w:val="auto"/>
          <w:sz w:val="24"/>
          <w:highlight w:val="none"/>
        </w:rPr>
        <w:t>磋商会议</w:t>
      </w:r>
      <w:bookmarkEnd w:id="171"/>
    </w:p>
    <w:p w14:paraId="47E8E5E5">
      <w:pPr>
        <w:pStyle w:val="15"/>
        <w:spacing w:after="0" w:line="500" w:lineRule="exact"/>
        <w:ind w:left="0" w:leftChars="0"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1.磋商小组组建</w:t>
      </w:r>
    </w:p>
    <w:p w14:paraId="7A7750CE">
      <w:pPr>
        <w:pStyle w:val="15"/>
        <w:spacing w:after="0" w:line="500" w:lineRule="exact"/>
        <w:ind w:left="0" w:leftChars="0" w:firstLine="480"/>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根据项目特点从</w:t>
      </w:r>
      <w:r>
        <w:rPr>
          <w:rFonts w:hint="eastAsia" w:ascii="宋体" w:hAnsi="宋体" w:eastAsia="宋体" w:cs="宋体"/>
          <w:bCs/>
          <w:color w:val="auto"/>
          <w:sz w:val="24"/>
          <w:highlight w:val="none"/>
        </w:rPr>
        <w:t>云南省政府采购网专家抽取系统中</w:t>
      </w:r>
      <w:r>
        <w:rPr>
          <w:rFonts w:hint="eastAsia" w:ascii="宋体" w:hAnsi="宋体" w:eastAsia="宋体" w:cs="宋体"/>
          <w:color w:val="auto"/>
          <w:sz w:val="24"/>
          <w:highlight w:val="none"/>
        </w:rPr>
        <w:t>随机抽取2人，采购人代表1人，共3人组成</w:t>
      </w:r>
      <w:r>
        <w:rPr>
          <w:rFonts w:hint="eastAsia" w:ascii="宋体" w:hAnsi="宋体" w:eastAsia="宋体" w:cs="宋体"/>
          <w:bCs/>
          <w:color w:val="auto"/>
          <w:sz w:val="24"/>
          <w:highlight w:val="none"/>
        </w:rPr>
        <w:t>磋商小组。</w:t>
      </w:r>
    </w:p>
    <w:p w14:paraId="5E2CBE94">
      <w:pPr>
        <w:pStyle w:val="15"/>
        <w:spacing w:after="0" w:line="500" w:lineRule="exact"/>
        <w:ind w:left="0" w:leftChars="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2.资格审查</w:t>
      </w:r>
    </w:p>
    <w:p w14:paraId="1C90F051">
      <w:pPr>
        <w:pStyle w:val="15"/>
        <w:spacing w:after="0" w:line="460" w:lineRule="exact"/>
        <w:ind w:left="0" w:leftChars="0" w:firstLine="480"/>
        <w:jc w:val="left"/>
        <w:rPr>
          <w:rFonts w:hint="eastAsia" w:ascii="宋体" w:hAnsi="宋体" w:eastAsia="宋体" w:cs="宋体"/>
          <w:b/>
          <w:color w:val="auto"/>
          <w:kern w:val="10"/>
          <w:sz w:val="24"/>
          <w:highlight w:val="none"/>
        </w:rPr>
      </w:pPr>
      <w:r>
        <w:rPr>
          <w:rFonts w:hint="eastAsia" w:ascii="宋体" w:hAnsi="宋体" w:eastAsia="宋体" w:cs="宋体"/>
          <w:color w:val="auto"/>
          <w:sz w:val="24"/>
          <w:highlight w:val="none"/>
        </w:rPr>
        <w:t>磋商小组对响应文件进行资格审查，未通过资格审查的响应文件无效，资格审查标准如下：</w:t>
      </w:r>
    </w:p>
    <w:tbl>
      <w:tblPr>
        <w:tblStyle w:val="33"/>
        <w:tblW w:w="0" w:type="auto"/>
        <w:jc w:val="center"/>
        <w:tblLayout w:type="fixed"/>
        <w:tblCellMar>
          <w:top w:w="0" w:type="dxa"/>
          <w:left w:w="108" w:type="dxa"/>
          <w:bottom w:w="0" w:type="dxa"/>
          <w:right w:w="108" w:type="dxa"/>
        </w:tblCellMar>
      </w:tblPr>
      <w:tblGrid>
        <w:gridCol w:w="703"/>
        <w:gridCol w:w="1635"/>
        <w:gridCol w:w="6642"/>
      </w:tblGrid>
      <w:tr w14:paraId="43C49F41">
        <w:tblPrEx>
          <w:tblCellMar>
            <w:top w:w="0" w:type="dxa"/>
            <w:left w:w="108" w:type="dxa"/>
            <w:bottom w:w="0" w:type="dxa"/>
            <w:right w:w="108" w:type="dxa"/>
          </w:tblCellMar>
        </w:tblPrEx>
        <w:trPr>
          <w:trHeight w:val="657"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71410500">
            <w:pPr>
              <w:widowControl/>
              <w:spacing w:line="340" w:lineRule="exact"/>
              <w:jc w:val="center"/>
              <w:rPr>
                <w:rFonts w:hint="eastAsia" w:ascii="宋体" w:hAnsi="宋体" w:eastAsia="宋体" w:cs="宋体"/>
                <w:b/>
                <w:bCs/>
                <w:color w:val="auto"/>
                <w:spacing w:val="-4"/>
                <w:kern w:val="0"/>
                <w:sz w:val="24"/>
                <w:highlight w:val="none"/>
              </w:rPr>
            </w:pPr>
            <w:r>
              <w:rPr>
                <w:rFonts w:hint="eastAsia" w:ascii="宋体" w:hAnsi="宋体" w:eastAsia="宋体" w:cs="宋体"/>
                <w:b/>
                <w:bCs/>
                <w:color w:val="auto"/>
                <w:spacing w:val="-4"/>
                <w:kern w:val="0"/>
                <w:sz w:val="24"/>
                <w:highlight w:val="none"/>
              </w:rPr>
              <w:t>序号</w:t>
            </w:r>
          </w:p>
        </w:tc>
        <w:tc>
          <w:tcPr>
            <w:tcW w:w="1635" w:type="dxa"/>
            <w:tcBorders>
              <w:top w:val="single" w:color="auto" w:sz="4" w:space="0"/>
              <w:left w:val="single" w:color="auto" w:sz="4" w:space="0"/>
              <w:bottom w:val="single" w:color="auto" w:sz="4" w:space="0"/>
              <w:right w:val="single" w:color="auto" w:sz="4" w:space="0"/>
            </w:tcBorders>
            <w:noWrap w:val="0"/>
            <w:vAlign w:val="center"/>
          </w:tcPr>
          <w:p w14:paraId="7C01CC2D">
            <w:pPr>
              <w:widowControl/>
              <w:spacing w:line="340" w:lineRule="exact"/>
              <w:jc w:val="center"/>
              <w:rPr>
                <w:rFonts w:hint="eastAsia" w:ascii="宋体" w:hAnsi="宋体" w:eastAsia="宋体" w:cs="宋体"/>
                <w:b/>
                <w:bCs/>
                <w:color w:val="auto"/>
                <w:spacing w:val="-4"/>
                <w:kern w:val="0"/>
                <w:sz w:val="24"/>
                <w:highlight w:val="none"/>
              </w:rPr>
            </w:pPr>
            <w:r>
              <w:rPr>
                <w:rFonts w:hint="eastAsia" w:ascii="宋体" w:hAnsi="宋体" w:eastAsia="宋体" w:cs="宋体"/>
                <w:b/>
                <w:bCs/>
                <w:color w:val="auto"/>
                <w:spacing w:val="-4"/>
                <w:kern w:val="0"/>
                <w:sz w:val="24"/>
                <w:highlight w:val="none"/>
              </w:rPr>
              <w:t>评审因素</w:t>
            </w:r>
          </w:p>
        </w:tc>
        <w:tc>
          <w:tcPr>
            <w:tcW w:w="6642" w:type="dxa"/>
            <w:tcBorders>
              <w:top w:val="single" w:color="auto" w:sz="4" w:space="0"/>
              <w:left w:val="single" w:color="auto" w:sz="4" w:space="0"/>
              <w:bottom w:val="single" w:color="auto" w:sz="4" w:space="0"/>
              <w:right w:val="single" w:color="auto" w:sz="4" w:space="0"/>
            </w:tcBorders>
            <w:noWrap w:val="0"/>
            <w:vAlign w:val="center"/>
          </w:tcPr>
          <w:p w14:paraId="78D3587D">
            <w:pPr>
              <w:widowControl/>
              <w:spacing w:line="340" w:lineRule="exact"/>
              <w:jc w:val="center"/>
              <w:rPr>
                <w:rFonts w:hint="eastAsia" w:ascii="宋体" w:hAnsi="宋体" w:eastAsia="宋体" w:cs="宋体"/>
                <w:b/>
                <w:bCs/>
                <w:color w:val="auto"/>
                <w:spacing w:val="-4"/>
                <w:kern w:val="0"/>
                <w:sz w:val="24"/>
                <w:highlight w:val="none"/>
              </w:rPr>
            </w:pPr>
            <w:r>
              <w:rPr>
                <w:rFonts w:hint="eastAsia" w:ascii="宋体" w:hAnsi="宋体" w:eastAsia="宋体" w:cs="宋体"/>
                <w:b/>
                <w:bCs/>
                <w:color w:val="auto"/>
                <w:spacing w:val="-4"/>
                <w:kern w:val="0"/>
                <w:sz w:val="24"/>
                <w:highlight w:val="none"/>
              </w:rPr>
              <w:t>资格评审标准</w:t>
            </w:r>
          </w:p>
        </w:tc>
      </w:tr>
      <w:tr w14:paraId="4200C0BD">
        <w:tblPrEx>
          <w:tblCellMar>
            <w:top w:w="0" w:type="dxa"/>
            <w:left w:w="108" w:type="dxa"/>
            <w:bottom w:w="0" w:type="dxa"/>
            <w:right w:w="108" w:type="dxa"/>
          </w:tblCellMar>
        </w:tblPrEx>
        <w:trPr>
          <w:trHeight w:val="820"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51674ABD">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rPr>
              <w:t>1</w:t>
            </w:r>
          </w:p>
        </w:tc>
        <w:tc>
          <w:tcPr>
            <w:tcW w:w="1635" w:type="dxa"/>
            <w:tcBorders>
              <w:top w:val="single" w:color="auto" w:sz="4" w:space="0"/>
              <w:left w:val="single" w:color="auto" w:sz="4" w:space="0"/>
              <w:bottom w:val="single" w:color="auto" w:sz="4" w:space="0"/>
              <w:right w:val="single" w:color="auto" w:sz="4" w:space="0"/>
            </w:tcBorders>
            <w:noWrap w:val="0"/>
            <w:vAlign w:val="center"/>
          </w:tcPr>
          <w:p w14:paraId="22C99B99">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rPr>
              <w:t>具有独立承担民事责任的能力</w:t>
            </w:r>
          </w:p>
        </w:tc>
        <w:tc>
          <w:tcPr>
            <w:tcW w:w="6642" w:type="dxa"/>
            <w:tcBorders>
              <w:top w:val="single" w:color="auto" w:sz="4" w:space="0"/>
              <w:left w:val="single" w:color="auto" w:sz="4" w:space="0"/>
              <w:bottom w:val="single" w:color="auto" w:sz="4" w:space="0"/>
              <w:right w:val="single" w:color="auto" w:sz="4" w:space="0"/>
            </w:tcBorders>
            <w:noWrap w:val="0"/>
            <w:vAlign w:val="center"/>
          </w:tcPr>
          <w:p w14:paraId="7400C51C">
            <w:pPr>
              <w:keepNext w:val="0"/>
              <w:keepLines w:val="0"/>
              <w:pageBreakBefore w:val="0"/>
              <w:numPr>
                <w:ilvl w:val="0"/>
                <w:numId w:val="0"/>
              </w:numPr>
              <w:kinsoku/>
              <w:wordWrap/>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cs="宋体"/>
                <w:color w:val="auto"/>
                <w:sz w:val="24"/>
                <w:highlight w:val="none"/>
                <w:lang w:eastAsia="zh-CN"/>
              </w:rPr>
              <w:t>提供自然人有效身份证或法人或者其他组织有效的营业执照等证明文件。</w:t>
            </w:r>
            <w:r>
              <w:rPr>
                <w:rFonts w:hint="eastAsia" w:ascii="宋体" w:hAnsi="宋体" w:eastAsia="宋体" w:cs="宋体"/>
                <w:b/>
                <w:bCs/>
                <w:color w:val="auto"/>
                <w:sz w:val="24"/>
                <w:highlight w:val="none"/>
                <w:lang w:val="en-US" w:eastAsia="zh-CN"/>
              </w:rPr>
              <w:t>（提供扫描件并加盖公章）</w:t>
            </w:r>
          </w:p>
        </w:tc>
      </w:tr>
      <w:tr w14:paraId="0AA2E570">
        <w:tblPrEx>
          <w:tblCellMar>
            <w:top w:w="0" w:type="dxa"/>
            <w:left w:w="108" w:type="dxa"/>
            <w:bottom w:w="0" w:type="dxa"/>
            <w:right w:w="108" w:type="dxa"/>
          </w:tblCellMar>
        </w:tblPrEx>
        <w:trPr>
          <w:trHeight w:val="670"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44351A6B">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val="en-US" w:eastAsia="zh-CN"/>
              </w:rPr>
              <w:t>2</w:t>
            </w:r>
          </w:p>
        </w:tc>
        <w:tc>
          <w:tcPr>
            <w:tcW w:w="1635" w:type="dxa"/>
            <w:tcBorders>
              <w:top w:val="single" w:color="auto" w:sz="4" w:space="0"/>
              <w:left w:val="single" w:color="auto" w:sz="4" w:space="0"/>
              <w:bottom w:val="single" w:color="auto" w:sz="4" w:space="0"/>
              <w:right w:val="single" w:color="auto" w:sz="4" w:space="0"/>
            </w:tcBorders>
            <w:noWrap w:val="0"/>
            <w:vAlign w:val="center"/>
          </w:tcPr>
          <w:p w14:paraId="3B624008">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highlight w:val="none"/>
                <w:lang w:val="en-US" w:eastAsia="zh-CN"/>
              </w:rPr>
              <w:t>具有良好的商业信誉和健全的财务会计制度</w:t>
            </w:r>
          </w:p>
        </w:tc>
        <w:tc>
          <w:tcPr>
            <w:tcW w:w="6642" w:type="dxa"/>
            <w:tcBorders>
              <w:top w:val="single" w:color="auto" w:sz="4" w:space="0"/>
              <w:left w:val="single" w:color="auto" w:sz="4" w:space="0"/>
              <w:bottom w:val="single" w:color="auto" w:sz="4" w:space="0"/>
              <w:right w:val="single" w:color="auto" w:sz="4" w:space="0"/>
            </w:tcBorders>
            <w:noWrap w:val="0"/>
            <w:vAlign w:val="center"/>
          </w:tcPr>
          <w:p w14:paraId="589622C9">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提供财务状况报告，内容可为以下三者之一：</w:t>
            </w:r>
          </w:p>
          <w:p w14:paraId="660882BA">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①提供2022年至今任意一年经审计的财务状况报告（至少包含审计报告、资产负债表、利润表、现金流量表</w:t>
            </w:r>
            <w:r>
              <w:rPr>
                <w:rFonts w:hint="eastAsia" w:ascii="宋体" w:hAnsi="宋体" w:cs="宋体"/>
                <w:b w:val="0"/>
                <w:bCs w:val="0"/>
                <w:color w:val="auto"/>
                <w:sz w:val="24"/>
                <w:highlight w:val="none"/>
                <w:lang w:val="en-US" w:eastAsia="zh-CN"/>
              </w:rPr>
              <w:t>、所有者权益表及附注</w:t>
            </w:r>
            <w:r>
              <w:rPr>
                <w:rFonts w:hint="eastAsia" w:ascii="宋体" w:hAnsi="宋体" w:eastAsia="宋体" w:cs="宋体"/>
                <w:b w:val="0"/>
                <w:bCs w:val="0"/>
                <w:color w:val="auto"/>
                <w:sz w:val="24"/>
                <w:highlight w:val="none"/>
                <w:lang w:val="en-US" w:eastAsia="zh-CN"/>
              </w:rPr>
              <w:t>），成立未满1年或成立至今未产生经营活动的供应商提供自成立至今的财务报表或财务情况说明；</w:t>
            </w:r>
          </w:p>
          <w:p w14:paraId="67C1092C">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②提供自响应文件提交截止时间前六个月内基本开户银行出具的资信证明；</w:t>
            </w:r>
          </w:p>
          <w:p w14:paraId="3FAE8EC0">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③提供专业担保机构出具的投标担保函。</w:t>
            </w:r>
          </w:p>
          <w:p w14:paraId="5492C73C">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highlight w:val="none"/>
                <w:lang w:val="en-US" w:eastAsia="zh-CN"/>
              </w:rPr>
              <w:t>（提供扫描件并加盖公章）</w:t>
            </w:r>
          </w:p>
        </w:tc>
      </w:tr>
      <w:tr w14:paraId="254DD3D9">
        <w:tblPrEx>
          <w:tblCellMar>
            <w:top w:w="0" w:type="dxa"/>
            <w:left w:w="108" w:type="dxa"/>
            <w:bottom w:w="0" w:type="dxa"/>
            <w:right w:w="108" w:type="dxa"/>
          </w:tblCellMar>
        </w:tblPrEx>
        <w:trPr>
          <w:trHeight w:val="1745"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59748FE4">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val="en-US" w:eastAsia="zh-CN"/>
              </w:rPr>
              <w:t>3</w:t>
            </w:r>
          </w:p>
        </w:tc>
        <w:tc>
          <w:tcPr>
            <w:tcW w:w="1635" w:type="dxa"/>
            <w:tcBorders>
              <w:top w:val="single" w:color="auto" w:sz="4" w:space="0"/>
              <w:left w:val="single" w:color="auto" w:sz="4" w:space="0"/>
              <w:bottom w:val="single" w:color="auto" w:sz="4" w:space="0"/>
              <w:right w:val="single" w:color="auto" w:sz="4" w:space="0"/>
            </w:tcBorders>
            <w:noWrap w:val="0"/>
            <w:vAlign w:val="center"/>
          </w:tcPr>
          <w:p w14:paraId="5EB07D62">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rPr>
              <w:t>具有履行合同所必需的设备和专业技术能力</w:t>
            </w:r>
          </w:p>
        </w:tc>
        <w:tc>
          <w:tcPr>
            <w:tcW w:w="6642" w:type="dxa"/>
            <w:tcBorders>
              <w:top w:val="single" w:color="auto" w:sz="4" w:space="0"/>
              <w:left w:val="single" w:color="auto" w:sz="4" w:space="0"/>
              <w:bottom w:val="single" w:color="auto" w:sz="4" w:space="0"/>
              <w:right w:val="single" w:color="auto" w:sz="4" w:space="0"/>
            </w:tcBorders>
            <w:noWrap w:val="0"/>
            <w:vAlign w:val="center"/>
          </w:tcPr>
          <w:p w14:paraId="7CA8521C">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提供具备履行合同所必需的设备和专业技术能力的证明材料或承诺书。</w:t>
            </w:r>
            <w:r>
              <w:rPr>
                <w:rFonts w:hint="eastAsia" w:ascii="宋体" w:hAnsi="宋体" w:eastAsia="宋体" w:cs="宋体"/>
                <w:b/>
                <w:bCs/>
                <w:color w:val="auto"/>
                <w:sz w:val="24"/>
                <w:highlight w:val="none"/>
                <w:lang w:val="zh-CN" w:eastAsia="zh-CN"/>
              </w:rPr>
              <w:t>（</w:t>
            </w:r>
            <w:r>
              <w:rPr>
                <w:rFonts w:hint="eastAsia" w:ascii="宋体" w:hAnsi="宋体" w:eastAsia="宋体" w:cs="宋体"/>
                <w:b/>
                <w:bCs/>
                <w:color w:val="auto"/>
                <w:sz w:val="24"/>
                <w:highlight w:val="none"/>
                <w:lang w:val="en-US" w:eastAsia="zh-CN"/>
              </w:rPr>
              <w:t>格式自拟并加盖公章）</w:t>
            </w:r>
          </w:p>
        </w:tc>
      </w:tr>
      <w:tr w14:paraId="32600DC0">
        <w:tblPrEx>
          <w:tblCellMar>
            <w:top w:w="0" w:type="dxa"/>
            <w:left w:w="108" w:type="dxa"/>
            <w:bottom w:w="0" w:type="dxa"/>
            <w:right w:w="108" w:type="dxa"/>
          </w:tblCellMar>
        </w:tblPrEx>
        <w:trPr>
          <w:trHeight w:val="1471"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5457F291">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val="en-US" w:eastAsia="zh-CN"/>
              </w:rPr>
              <w:t>4</w:t>
            </w:r>
          </w:p>
        </w:tc>
        <w:tc>
          <w:tcPr>
            <w:tcW w:w="1635" w:type="dxa"/>
            <w:tcBorders>
              <w:top w:val="single" w:color="auto" w:sz="4" w:space="0"/>
              <w:left w:val="single" w:color="auto" w:sz="4" w:space="0"/>
              <w:bottom w:val="single" w:color="auto" w:sz="4" w:space="0"/>
              <w:right w:val="single" w:color="auto" w:sz="4" w:space="0"/>
            </w:tcBorders>
            <w:noWrap w:val="0"/>
            <w:vAlign w:val="center"/>
          </w:tcPr>
          <w:p w14:paraId="542DE281">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eastAsia="zh-CN"/>
              </w:rPr>
              <w:t>有依法缴纳税收和社会保障资金的良好记录</w:t>
            </w:r>
          </w:p>
        </w:tc>
        <w:tc>
          <w:tcPr>
            <w:tcW w:w="6642" w:type="dxa"/>
            <w:tcBorders>
              <w:top w:val="single" w:color="auto" w:sz="4" w:space="0"/>
              <w:left w:val="single" w:color="auto" w:sz="4" w:space="0"/>
              <w:bottom w:val="single" w:color="auto" w:sz="4" w:space="0"/>
              <w:right w:val="single" w:color="auto" w:sz="4" w:space="0"/>
            </w:tcBorders>
            <w:noWrap w:val="0"/>
            <w:vAlign w:val="center"/>
          </w:tcPr>
          <w:p w14:paraId="0E64B319">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①</w:t>
            </w:r>
            <w:r>
              <w:rPr>
                <w:rFonts w:hint="eastAsia" w:ascii="宋体" w:hAnsi="宋体" w:cs="宋体"/>
                <w:color w:val="auto"/>
                <w:kern w:val="2"/>
                <w:sz w:val="24"/>
                <w:szCs w:val="24"/>
                <w:highlight w:val="none"/>
                <w:lang w:val="en-US" w:eastAsia="zh-CN" w:bidi="ar-SA"/>
              </w:rPr>
              <w:t>提供2025年1月至今任意1个月缴纳税收的证明材料</w:t>
            </w:r>
            <w:r>
              <w:rPr>
                <w:rFonts w:hint="eastAsia" w:ascii="宋体" w:hAnsi="宋体" w:eastAsia="宋体" w:cs="宋体"/>
                <w:color w:val="auto"/>
                <w:kern w:val="2"/>
                <w:sz w:val="24"/>
                <w:szCs w:val="24"/>
                <w:highlight w:val="none"/>
                <w:lang w:val="en-US" w:eastAsia="zh-CN" w:bidi="ar-SA"/>
              </w:rPr>
              <w:t>，依法免税的，应提供依法免税的相关证明文件，</w:t>
            </w:r>
            <w:r>
              <w:rPr>
                <w:rFonts w:hint="eastAsia" w:ascii="宋体" w:hAnsi="宋体" w:cs="宋体"/>
                <w:color w:val="auto"/>
                <w:kern w:val="2"/>
                <w:sz w:val="24"/>
                <w:szCs w:val="24"/>
                <w:highlight w:val="none"/>
                <w:lang w:val="en-US" w:eastAsia="zh-CN" w:bidi="ar-SA"/>
              </w:rPr>
              <w:t>成立未满1个月或未产生经营活动的供应商自行提供情况说明</w:t>
            </w:r>
            <w:r>
              <w:rPr>
                <w:rFonts w:hint="eastAsia" w:ascii="宋体" w:hAnsi="宋体" w:eastAsia="宋体" w:cs="宋体"/>
                <w:color w:val="auto"/>
                <w:kern w:val="2"/>
                <w:sz w:val="24"/>
                <w:szCs w:val="24"/>
                <w:highlight w:val="none"/>
                <w:lang w:val="en-US" w:eastAsia="zh-CN" w:bidi="ar-SA"/>
              </w:rPr>
              <w:t>；②</w:t>
            </w:r>
            <w:r>
              <w:rPr>
                <w:rFonts w:hint="eastAsia" w:ascii="宋体" w:hAnsi="宋体" w:cs="宋体"/>
                <w:color w:val="auto"/>
                <w:kern w:val="2"/>
                <w:sz w:val="24"/>
                <w:szCs w:val="24"/>
                <w:highlight w:val="none"/>
                <w:lang w:val="en-US" w:eastAsia="zh-CN" w:bidi="ar-SA"/>
              </w:rPr>
              <w:t>提供2025年1月至今任意1个月缴纳社会保障资金的证明材料，依法免缴的</w:t>
            </w:r>
            <w:r>
              <w:rPr>
                <w:rFonts w:hint="eastAsia" w:ascii="宋体" w:hAnsi="宋体" w:eastAsia="宋体" w:cs="宋体"/>
                <w:color w:val="auto"/>
                <w:kern w:val="2"/>
                <w:sz w:val="24"/>
                <w:szCs w:val="24"/>
                <w:highlight w:val="none"/>
                <w:lang w:val="en-US" w:eastAsia="zh-CN" w:bidi="ar-SA"/>
              </w:rPr>
              <w:t>，应提供依法免缴的相关证明文件，成立未满1个月的无需提供。</w:t>
            </w:r>
            <w:r>
              <w:rPr>
                <w:rFonts w:hint="eastAsia" w:ascii="宋体" w:hAnsi="宋体" w:eastAsia="宋体" w:cs="宋体"/>
                <w:b/>
                <w:bCs/>
                <w:color w:val="auto"/>
                <w:sz w:val="24"/>
                <w:highlight w:val="none"/>
                <w:lang w:val="en-US" w:eastAsia="zh-CN"/>
              </w:rPr>
              <w:t>（提供扫描件并加盖公章）</w:t>
            </w:r>
          </w:p>
        </w:tc>
      </w:tr>
      <w:tr w14:paraId="31EDB325">
        <w:tblPrEx>
          <w:tblCellMar>
            <w:top w:w="0" w:type="dxa"/>
            <w:left w:w="108" w:type="dxa"/>
            <w:bottom w:w="0" w:type="dxa"/>
            <w:right w:w="108" w:type="dxa"/>
          </w:tblCellMar>
        </w:tblPrEx>
        <w:trPr>
          <w:trHeight w:val="925"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65D301A8">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val="en-US" w:eastAsia="zh-CN"/>
              </w:rPr>
              <w:t>5</w:t>
            </w:r>
          </w:p>
        </w:tc>
        <w:tc>
          <w:tcPr>
            <w:tcW w:w="1635" w:type="dxa"/>
            <w:tcBorders>
              <w:top w:val="single" w:color="auto" w:sz="4" w:space="0"/>
              <w:left w:val="single" w:color="auto" w:sz="4" w:space="0"/>
              <w:bottom w:val="single" w:color="auto" w:sz="4" w:space="0"/>
              <w:right w:val="single" w:color="auto" w:sz="4" w:space="0"/>
            </w:tcBorders>
            <w:noWrap w:val="0"/>
            <w:vAlign w:val="center"/>
          </w:tcPr>
          <w:p w14:paraId="222BD96D">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eastAsia="zh-CN"/>
              </w:rPr>
              <w:t>参加政府采购活动前三年内，在经营活动中没有重大违法记录</w:t>
            </w:r>
          </w:p>
        </w:tc>
        <w:tc>
          <w:tcPr>
            <w:tcW w:w="6642" w:type="dxa"/>
            <w:tcBorders>
              <w:top w:val="single" w:color="auto" w:sz="4" w:space="0"/>
              <w:left w:val="single" w:color="auto" w:sz="4" w:space="0"/>
              <w:bottom w:val="single" w:color="auto" w:sz="4" w:space="0"/>
              <w:right w:val="single" w:color="auto" w:sz="4" w:space="0"/>
            </w:tcBorders>
            <w:noWrap w:val="0"/>
            <w:vAlign w:val="center"/>
          </w:tcPr>
          <w:p w14:paraId="044B7E8D">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sz w:val="24"/>
                <w:szCs w:val="24"/>
                <w:highlight w:val="none"/>
              </w:rPr>
              <w:t>提供参加政府采购活动前三年内在经营活动中没有重大违法记录的书面声明。</w:t>
            </w:r>
            <w:r>
              <w:rPr>
                <w:rFonts w:hint="eastAsia" w:ascii="宋体" w:hAnsi="宋体" w:eastAsia="宋体" w:cs="宋体"/>
                <w:b/>
                <w:bCs/>
                <w:color w:val="auto"/>
                <w:sz w:val="24"/>
                <w:highlight w:val="none"/>
                <w:lang w:val="zh-CN" w:eastAsia="zh-CN"/>
              </w:rPr>
              <w:t>（</w:t>
            </w:r>
            <w:r>
              <w:rPr>
                <w:rFonts w:hint="eastAsia" w:ascii="宋体" w:hAnsi="宋体" w:eastAsia="宋体" w:cs="宋体"/>
                <w:b/>
                <w:bCs/>
                <w:color w:val="auto"/>
                <w:sz w:val="24"/>
                <w:highlight w:val="none"/>
                <w:lang w:val="en-US" w:eastAsia="zh-CN"/>
              </w:rPr>
              <w:t>格式自拟并加盖公章）</w:t>
            </w:r>
          </w:p>
        </w:tc>
      </w:tr>
      <w:tr w14:paraId="00267197">
        <w:tblPrEx>
          <w:tblCellMar>
            <w:top w:w="0" w:type="dxa"/>
            <w:left w:w="108" w:type="dxa"/>
            <w:bottom w:w="0" w:type="dxa"/>
            <w:right w:w="108" w:type="dxa"/>
          </w:tblCellMar>
        </w:tblPrEx>
        <w:trPr>
          <w:cantSplit/>
          <w:trHeight w:val="3160"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7E7334FA">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default" w:ascii="宋体" w:hAnsi="宋体" w:eastAsia="宋体" w:cs="宋体"/>
                <w:color w:val="auto"/>
                <w:spacing w:val="-4"/>
                <w:kern w:val="0"/>
                <w:sz w:val="24"/>
                <w:szCs w:val="24"/>
                <w:highlight w:val="none"/>
                <w:lang w:val="en-US" w:eastAsia="zh-CN"/>
              </w:rPr>
            </w:pPr>
            <w:r>
              <w:rPr>
                <w:rFonts w:hint="eastAsia" w:ascii="宋体" w:hAnsi="宋体" w:cs="宋体"/>
                <w:color w:val="auto"/>
                <w:spacing w:val="-4"/>
                <w:kern w:val="0"/>
                <w:sz w:val="24"/>
                <w:szCs w:val="24"/>
                <w:highlight w:val="none"/>
                <w:lang w:val="en-US" w:eastAsia="zh-CN"/>
              </w:rPr>
              <w:t>6</w:t>
            </w:r>
          </w:p>
        </w:tc>
        <w:tc>
          <w:tcPr>
            <w:tcW w:w="1635" w:type="dxa"/>
            <w:tcBorders>
              <w:top w:val="single" w:color="auto" w:sz="4" w:space="0"/>
              <w:left w:val="single" w:color="auto" w:sz="4" w:space="0"/>
              <w:bottom w:val="single" w:color="auto" w:sz="4" w:space="0"/>
              <w:right w:val="single" w:color="auto" w:sz="4" w:space="0"/>
            </w:tcBorders>
            <w:noWrap w:val="0"/>
            <w:vAlign w:val="center"/>
          </w:tcPr>
          <w:p w14:paraId="03ECD5CA">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szCs w:val="24"/>
                <w:highlight w:val="none"/>
                <w:lang w:eastAsia="zh-CN"/>
              </w:rPr>
            </w:pPr>
            <w:r>
              <w:rPr>
                <w:rFonts w:hint="eastAsia" w:ascii="宋体" w:hAnsi="宋体" w:eastAsia="宋体" w:cs="宋体"/>
                <w:color w:val="auto"/>
                <w:spacing w:val="-4"/>
                <w:kern w:val="0"/>
                <w:sz w:val="24"/>
                <w:szCs w:val="24"/>
                <w:highlight w:val="none"/>
                <w:lang w:eastAsia="zh-CN"/>
              </w:rPr>
              <w:t>落实政府采购政策需满足的资格要求</w:t>
            </w:r>
          </w:p>
        </w:tc>
        <w:tc>
          <w:tcPr>
            <w:tcW w:w="6642" w:type="dxa"/>
            <w:tcBorders>
              <w:top w:val="single" w:color="auto" w:sz="4" w:space="0"/>
              <w:left w:val="single" w:color="auto" w:sz="4" w:space="0"/>
              <w:bottom w:val="single" w:color="auto" w:sz="4" w:space="0"/>
              <w:right w:val="single" w:color="auto" w:sz="4" w:space="0"/>
            </w:tcBorders>
            <w:noWrap w:val="0"/>
            <w:vAlign w:val="center"/>
          </w:tcPr>
          <w:p w14:paraId="3A0B5EDB">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lang w:val="zh-CN" w:eastAsia="zh-CN"/>
              </w:rPr>
              <w:t>本项目为专门面向中小微企业采购的项目,供应商应为中小微企业，或监狱企业，或残疾人福利性单位；</w:t>
            </w:r>
            <w:r>
              <w:rPr>
                <w:rFonts w:hint="eastAsia" w:ascii="宋体" w:hAnsi="宋体" w:eastAsia="宋体" w:cs="宋体"/>
                <w:b w:val="0"/>
                <w:bCs w:val="0"/>
                <w:color w:val="auto"/>
                <w:sz w:val="24"/>
                <w:highlight w:val="none"/>
                <w:lang w:val="zh-CN" w:eastAsia="zh-CN"/>
              </w:rPr>
              <w:t>根据关于印发《政府采购促进中小企业发展管理办法》的通知（财库〔2020〕46号）及《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关于调整优化节能产品、环境标志产品政府采购执行机制的通知》（财库〔2019〕9号）的划分标准，本项目对应的中小企业划分标准所属行业为：其他未列明行业。</w:t>
            </w:r>
            <w:r>
              <w:rPr>
                <w:rFonts w:hint="eastAsia" w:ascii="宋体" w:hAnsi="宋体" w:eastAsia="宋体" w:cs="宋体"/>
                <w:b/>
                <w:bCs/>
                <w:color w:val="auto"/>
                <w:sz w:val="24"/>
                <w:highlight w:val="none"/>
                <w:lang w:val="zh-CN" w:eastAsia="zh-CN"/>
              </w:rPr>
              <w:t>（</w:t>
            </w:r>
            <w:r>
              <w:rPr>
                <w:rFonts w:hint="eastAsia" w:ascii="宋体" w:hAnsi="宋体" w:eastAsia="宋体" w:cs="宋体"/>
                <w:b/>
                <w:bCs/>
                <w:color w:val="auto"/>
                <w:sz w:val="24"/>
                <w:highlight w:val="none"/>
                <w:lang w:val="en-US" w:eastAsia="zh-CN"/>
              </w:rPr>
              <w:t>提供</w:t>
            </w:r>
            <w:r>
              <w:rPr>
                <w:rFonts w:hint="default" w:ascii="宋体" w:hAnsi="宋体" w:eastAsia="宋体" w:cs="宋体"/>
                <w:b/>
                <w:bCs/>
                <w:color w:val="auto"/>
                <w:sz w:val="24"/>
                <w:highlight w:val="none"/>
                <w:lang w:eastAsia="zh-CN"/>
              </w:rPr>
              <w:t>声明函</w:t>
            </w:r>
            <w:r>
              <w:rPr>
                <w:rFonts w:hint="eastAsia" w:ascii="宋体" w:hAnsi="宋体" w:eastAsia="宋体" w:cs="宋体"/>
                <w:b/>
                <w:bCs/>
                <w:color w:val="auto"/>
                <w:sz w:val="24"/>
                <w:highlight w:val="none"/>
                <w:lang w:val="en-US" w:eastAsia="zh-CN"/>
              </w:rPr>
              <w:t>并加盖公章）</w:t>
            </w:r>
          </w:p>
        </w:tc>
      </w:tr>
      <w:tr w14:paraId="1C26D39B">
        <w:tblPrEx>
          <w:tblCellMar>
            <w:top w:w="0" w:type="dxa"/>
            <w:left w:w="108" w:type="dxa"/>
            <w:bottom w:w="0" w:type="dxa"/>
            <w:right w:w="108" w:type="dxa"/>
          </w:tblCellMar>
        </w:tblPrEx>
        <w:trPr>
          <w:cantSplit/>
          <w:trHeight w:val="4460"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69CCA97F">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cs="宋体"/>
                <w:color w:val="auto"/>
                <w:spacing w:val="-4"/>
                <w:kern w:val="0"/>
                <w:sz w:val="24"/>
                <w:szCs w:val="24"/>
                <w:highlight w:val="none"/>
                <w:lang w:val="en-US" w:eastAsia="zh-CN"/>
              </w:rPr>
              <w:t>7</w:t>
            </w:r>
          </w:p>
        </w:tc>
        <w:tc>
          <w:tcPr>
            <w:tcW w:w="1635" w:type="dxa"/>
            <w:tcBorders>
              <w:top w:val="single" w:color="auto" w:sz="4" w:space="0"/>
              <w:left w:val="single" w:color="auto" w:sz="4" w:space="0"/>
              <w:bottom w:val="single" w:color="auto" w:sz="4" w:space="0"/>
              <w:right w:val="single" w:color="auto" w:sz="4" w:space="0"/>
            </w:tcBorders>
            <w:noWrap w:val="0"/>
            <w:vAlign w:val="center"/>
          </w:tcPr>
          <w:p w14:paraId="1B947542">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val="en-US" w:eastAsia="zh-CN"/>
              </w:rPr>
              <w:t>法律、行政法规规定的其他条件</w:t>
            </w:r>
          </w:p>
        </w:tc>
        <w:tc>
          <w:tcPr>
            <w:tcW w:w="6642" w:type="dxa"/>
            <w:tcBorders>
              <w:top w:val="single" w:color="auto" w:sz="4" w:space="0"/>
              <w:left w:val="single" w:color="auto" w:sz="4" w:space="0"/>
              <w:bottom w:val="single" w:color="auto" w:sz="4" w:space="0"/>
              <w:right w:val="single" w:color="auto" w:sz="4" w:space="0"/>
            </w:tcBorders>
            <w:noWrap w:val="0"/>
            <w:vAlign w:val="center"/>
          </w:tcPr>
          <w:p w14:paraId="3D5C0E3C">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①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eastAsia="宋体" w:cs="宋体"/>
                <w:b/>
                <w:bCs/>
                <w:color w:val="auto"/>
                <w:sz w:val="24"/>
                <w:highlight w:val="none"/>
                <w:lang w:val="zh-CN" w:eastAsia="zh-CN"/>
              </w:rPr>
              <w:t>（</w:t>
            </w:r>
            <w:r>
              <w:rPr>
                <w:rFonts w:hint="eastAsia" w:ascii="宋体" w:hAnsi="宋体" w:eastAsia="宋体" w:cs="宋体"/>
                <w:b/>
                <w:bCs/>
                <w:color w:val="auto"/>
                <w:sz w:val="24"/>
                <w:highlight w:val="none"/>
                <w:lang w:val="en-US" w:eastAsia="zh-CN"/>
              </w:rPr>
              <w:t>格式自拟并加盖公章）</w:t>
            </w:r>
          </w:p>
          <w:p w14:paraId="318E5022">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②</w:t>
            </w:r>
            <w:r>
              <w:rPr>
                <w:rFonts w:hint="eastAsia" w:ascii="宋体" w:hAnsi="宋体"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在“中国执行信息公开网”未被列入失信被执行人名单；供应商在“信用中国”未被列入重大税收违法失信主体、在“中国政府采购网”中未被列入：政府采购严重违法失信行为记录名单。</w:t>
            </w:r>
            <w:r>
              <w:rPr>
                <w:rFonts w:hint="eastAsia" w:ascii="宋体" w:hAnsi="宋体" w:eastAsia="宋体" w:cs="宋体"/>
                <w:b/>
                <w:bCs/>
                <w:color w:val="auto"/>
                <w:kern w:val="2"/>
                <w:sz w:val="24"/>
                <w:szCs w:val="24"/>
                <w:highlight w:val="none"/>
                <w:lang w:val="en-US" w:eastAsia="zh-CN" w:bidi="ar-SA"/>
              </w:rPr>
              <w:t>（注：</w:t>
            </w:r>
            <w:r>
              <w:rPr>
                <w:rFonts w:hint="eastAsia" w:ascii="宋体" w:hAnsi="宋体" w:cs="宋体"/>
                <w:b/>
                <w:bCs/>
                <w:color w:val="auto"/>
                <w:kern w:val="2"/>
                <w:sz w:val="24"/>
                <w:szCs w:val="24"/>
                <w:highlight w:val="none"/>
                <w:lang w:val="en-US" w:eastAsia="zh-CN" w:bidi="ar-SA"/>
              </w:rPr>
              <w:t>以上网站均由采购人或采购代理机构在评审时查询，若供应商有不良信誉，视为不满足资格要求，相应文件无效</w:t>
            </w:r>
            <w:r>
              <w:rPr>
                <w:rFonts w:hint="eastAsia" w:ascii="宋体" w:hAnsi="宋体" w:eastAsia="宋体" w:cs="宋体"/>
                <w:b/>
                <w:bCs/>
                <w:color w:val="auto"/>
                <w:kern w:val="2"/>
                <w:sz w:val="24"/>
                <w:szCs w:val="24"/>
                <w:highlight w:val="none"/>
                <w:lang w:val="en-US" w:eastAsia="zh-CN" w:bidi="ar-SA"/>
              </w:rPr>
              <w:t>）</w:t>
            </w:r>
          </w:p>
        </w:tc>
      </w:tr>
      <w:tr w14:paraId="5051A560">
        <w:tblPrEx>
          <w:tblCellMar>
            <w:top w:w="0" w:type="dxa"/>
            <w:left w:w="108" w:type="dxa"/>
            <w:bottom w:w="0" w:type="dxa"/>
            <w:right w:w="108" w:type="dxa"/>
          </w:tblCellMar>
        </w:tblPrEx>
        <w:trPr>
          <w:trHeight w:val="1645"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6FD88569">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cs="宋体"/>
                <w:color w:val="auto"/>
                <w:spacing w:val="-4"/>
                <w:kern w:val="0"/>
                <w:sz w:val="24"/>
                <w:szCs w:val="24"/>
                <w:highlight w:val="none"/>
                <w:lang w:val="en-US" w:eastAsia="zh-CN"/>
              </w:rPr>
            </w:pPr>
          </w:p>
        </w:tc>
        <w:tc>
          <w:tcPr>
            <w:tcW w:w="1635" w:type="dxa"/>
            <w:tcBorders>
              <w:top w:val="single" w:color="auto" w:sz="4" w:space="0"/>
              <w:left w:val="single" w:color="auto" w:sz="4" w:space="0"/>
              <w:bottom w:val="single" w:color="auto" w:sz="4" w:space="0"/>
              <w:right w:val="single" w:color="auto" w:sz="4" w:space="0"/>
            </w:tcBorders>
            <w:noWrap w:val="0"/>
            <w:vAlign w:val="center"/>
          </w:tcPr>
          <w:p w14:paraId="680E3171">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本项目的特定资格要求</w:t>
            </w:r>
          </w:p>
        </w:tc>
        <w:tc>
          <w:tcPr>
            <w:tcW w:w="6642" w:type="dxa"/>
            <w:tcBorders>
              <w:top w:val="single" w:color="auto" w:sz="4" w:space="0"/>
              <w:left w:val="single" w:color="auto" w:sz="4" w:space="0"/>
              <w:bottom w:val="single" w:color="auto" w:sz="4" w:space="0"/>
              <w:right w:val="single" w:color="auto" w:sz="4" w:space="0"/>
            </w:tcBorders>
            <w:noWrap w:val="0"/>
            <w:vAlign w:val="center"/>
          </w:tcPr>
          <w:p w14:paraId="4A6BF512">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供应商具备二类及以上汽车维修资质</w:t>
            </w:r>
            <w:r>
              <w:rPr>
                <w:rFonts w:hint="eastAsia" w:ascii="宋体" w:hAnsi="宋体" w:eastAsia="宋体" w:cs="宋体"/>
                <w:color w:val="auto"/>
                <w:kern w:val="2"/>
                <w:sz w:val="24"/>
                <w:szCs w:val="24"/>
                <w:highlight w:val="none"/>
                <w:lang w:val="en-US" w:eastAsia="zh-CN" w:bidi="ar-SA"/>
              </w:rPr>
              <w:t>，并经年检合格，需提供有加盖政府交通运输职能部门公章的机动车维修经营备案；</w:t>
            </w:r>
          </w:p>
          <w:p w14:paraId="6AA5E60D">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default" w:ascii="宋体" w:hAnsi="宋体" w:eastAsia="宋体" w:cs="宋体"/>
                <w:color w:val="auto"/>
                <w:kern w:val="2"/>
                <w:sz w:val="24"/>
                <w:szCs w:val="24"/>
                <w:highlight w:val="none"/>
                <w:lang w:eastAsia="zh-CN" w:bidi="ar-SA"/>
              </w:rPr>
            </w:pPr>
            <w:r>
              <w:rPr>
                <w:rFonts w:hint="eastAsia" w:ascii="宋体" w:hAnsi="宋体" w:eastAsia="宋体" w:cs="宋体"/>
                <w:b/>
                <w:bCs/>
                <w:color w:val="auto"/>
                <w:sz w:val="24"/>
                <w:highlight w:val="none"/>
                <w:lang w:val="en-US" w:eastAsia="zh-CN"/>
              </w:rPr>
              <w:t>（提供扫描件并加盖公章）</w:t>
            </w:r>
          </w:p>
        </w:tc>
      </w:tr>
    </w:tbl>
    <w:p w14:paraId="5A27484E">
      <w:pPr>
        <w:spacing w:line="500" w:lineRule="exact"/>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3.符合性审查</w:t>
      </w:r>
    </w:p>
    <w:p w14:paraId="50561A15">
      <w:pPr>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bCs/>
          <w:color w:val="auto"/>
          <w:kern w:val="0"/>
          <w:sz w:val="24"/>
          <w:highlight w:val="none"/>
        </w:rPr>
        <w:t>磋商小组</w:t>
      </w:r>
      <w:r>
        <w:rPr>
          <w:rFonts w:hint="eastAsia" w:ascii="宋体" w:hAnsi="宋体" w:eastAsia="宋体" w:cs="宋体"/>
          <w:bCs/>
          <w:color w:val="auto"/>
          <w:sz w:val="24"/>
          <w:highlight w:val="none"/>
        </w:rPr>
        <w:t>对</w:t>
      </w:r>
      <w:r>
        <w:rPr>
          <w:rFonts w:hint="eastAsia" w:ascii="宋体" w:hAnsi="宋体" w:eastAsia="宋体" w:cs="宋体"/>
          <w:color w:val="auto"/>
          <w:sz w:val="24"/>
          <w:highlight w:val="none"/>
        </w:rPr>
        <w:t>通过资格审查的供应商的响应文件进行符合性审查，</w:t>
      </w:r>
      <w:r>
        <w:rPr>
          <w:rFonts w:hint="eastAsia" w:ascii="宋体" w:hAnsi="宋体" w:eastAsia="宋体" w:cs="宋体"/>
          <w:bCs/>
          <w:color w:val="auto"/>
          <w:sz w:val="24"/>
          <w:highlight w:val="none"/>
        </w:rPr>
        <w:t>未通过符合性审查的单位响应文件无效</w:t>
      </w:r>
      <w:r>
        <w:rPr>
          <w:rFonts w:hint="eastAsia" w:ascii="宋体" w:hAnsi="宋体" w:eastAsia="宋体" w:cs="宋体"/>
          <w:color w:val="auto"/>
          <w:sz w:val="24"/>
          <w:highlight w:val="none"/>
        </w:rPr>
        <w:t>，审查标准如下：</w:t>
      </w:r>
    </w:p>
    <w:tbl>
      <w:tblPr>
        <w:tblStyle w:val="33"/>
        <w:tblW w:w="0" w:type="auto"/>
        <w:tblInd w:w="119" w:type="dxa"/>
        <w:tblLayout w:type="fixed"/>
        <w:tblCellMar>
          <w:top w:w="0" w:type="dxa"/>
          <w:left w:w="108" w:type="dxa"/>
          <w:bottom w:w="0" w:type="dxa"/>
          <w:right w:w="108" w:type="dxa"/>
        </w:tblCellMar>
      </w:tblPr>
      <w:tblGrid>
        <w:gridCol w:w="816"/>
        <w:gridCol w:w="2350"/>
        <w:gridCol w:w="5834"/>
      </w:tblGrid>
      <w:tr w14:paraId="056DF492">
        <w:tblPrEx>
          <w:tblCellMar>
            <w:top w:w="0" w:type="dxa"/>
            <w:left w:w="108" w:type="dxa"/>
            <w:bottom w:w="0" w:type="dxa"/>
            <w:right w:w="108" w:type="dxa"/>
          </w:tblCellMar>
        </w:tblPrEx>
        <w:trPr>
          <w:trHeight w:val="690"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1C226618">
            <w:pPr>
              <w:adjustRightInd w:val="0"/>
              <w:snapToGrid w:val="0"/>
              <w:spacing w:line="340" w:lineRule="exact"/>
              <w:jc w:val="center"/>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序号</w:t>
            </w:r>
          </w:p>
        </w:tc>
        <w:tc>
          <w:tcPr>
            <w:tcW w:w="2350" w:type="dxa"/>
            <w:tcBorders>
              <w:top w:val="single" w:color="auto" w:sz="4" w:space="0"/>
              <w:left w:val="single" w:color="auto" w:sz="4" w:space="0"/>
              <w:bottom w:val="single" w:color="auto" w:sz="4" w:space="0"/>
              <w:right w:val="single" w:color="auto" w:sz="4" w:space="0"/>
            </w:tcBorders>
            <w:noWrap w:val="0"/>
            <w:vAlign w:val="center"/>
          </w:tcPr>
          <w:p w14:paraId="5B9212F5">
            <w:pPr>
              <w:adjustRightInd w:val="0"/>
              <w:snapToGrid w:val="0"/>
              <w:spacing w:line="340" w:lineRule="exact"/>
              <w:jc w:val="center"/>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评审因素</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247124AD">
            <w:pPr>
              <w:adjustRightInd w:val="0"/>
              <w:snapToGrid w:val="0"/>
              <w:spacing w:line="340" w:lineRule="exact"/>
              <w:jc w:val="center"/>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符合性评审标准</w:t>
            </w:r>
          </w:p>
        </w:tc>
      </w:tr>
      <w:tr w14:paraId="1D656ABE">
        <w:tblPrEx>
          <w:tblCellMar>
            <w:top w:w="0" w:type="dxa"/>
            <w:left w:w="108" w:type="dxa"/>
            <w:bottom w:w="0" w:type="dxa"/>
            <w:right w:w="108" w:type="dxa"/>
          </w:tblCellMar>
        </w:tblPrEx>
        <w:trPr>
          <w:trHeight w:val="767"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57661ECC">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350" w:type="dxa"/>
            <w:tcBorders>
              <w:top w:val="single" w:color="auto" w:sz="4" w:space="0"/>
              <w:left w:val="single" w:color="auto" w:sz="4" w:space="0"/>
              <w:bottom w:val="single" w:color="auto" w:sz="4" w:space="0"/>
              <w:right w:val="single" w:color="auto" w:sz="4" w:space="0"/>
            </w:tcBorders>
            <w:noWrap w:val="0"/>
            <w:vAlign w:val="center"/>
          </w:tcPr>
          <w:p w14:paraId="2034D0E7">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响应文件签字、盖章</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0A7DB1D5">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须按竞争性磋商文件要求签字或盖章</w:t>
            </w:r>
          </w:p>
        </w:tc>
      </w:tr>
      <w:tr w14:paraId="624DB371">
        <w:tblPrEx>
          <w:tblCellMar>
            <w:top w:w="0" w:type="dxa"/>
            <w:left w:w="108" w:type="dxa"/>
            <w:bottom w:w="0" w:type="dxa"/>
            <w:right w:w="108" w:type="dxa"/>
          </w:tblCellMar>
        </w:tblPrEx>
        <w:trPr>
          <w:trHeight w:val="662"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7DF3798C">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350" w:type="dxa"/>
            <w:tcBorders>
              <w:top w:val="single" w:color="auto" w:sz="4" w:space="0"/>
              <w:left w:val="single" w:color="auto" w:sz="4" w:space="0"/>
              <w:bottom w:val="single" w:color="auto" w:sz="4" w:space="0"/>
              <w:right w:val="single" w:color="auto" w:sz="4" w:space="0"/>
            </w:tcBorders>
            <w:noWrap w:val="0"/>
            <w:vAlign w:val="center"/>
          </w:tcPr>
          <w:p w14:paraId="18B0FC00">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授权委托书</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21ADC765">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签字人须具有法定代表人有效授权</w:t>
            </w:r>
          </w:p>
        </w:tc>
      </w:tr>
      <w:tr w14:paraId="295E514E">
        <w:tblPrEx>
          <w:tblCellMar>
            <w:top w:w="0" w:type="dxa"/>
            <w:left w:w="108" w:type="dxa"/>
            <w:bottom w:w="0" w:type="dxa"/>
            <w:right w:w="108" w:type="dxa"/>
          </w:tblCellMar>
        </w:tblPrEx>
        <w:trPr>
          <w:trHeight w:val="567"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0144B18A">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350" w:type="dxa"/>
            <w:tcBorders>
              <w:top w:val="single" w:color="auto" w:sz="4" w:space="0"/>
              <w:left w:val="single" w:color="auto" w:sz="4" w:space="0"/>
              <w:bottom w:val="single" w:color="auto" w:sz="4" w:space="0"/>
              <w:right w:val="single" w:color="auto" w:sz="4" w:space="0"/>
            </w:tcBorders>
            <w:noWrap w:val="0"/>
            <w:vAlign w:val="center"/>
          </w:tcPr>
          <w:p w14:paraId="63C0E72D">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响应文件格式</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5983DB38">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须按规定的格式填写，内容须齐全或关键字迹须清楚</w:t>
            </w:r>
          </w:p>
        </w:tc>
      </w:tr>
      <w:tr w14:paraId="65197FE1">
        <w:tblPrEx>
          <w:tblCellMar>
            <w:top w:w="0" w:type="dxa"/>
            <w:left w:w="108" w:type="dxa"/>
            <w:bottom w:w="0" w:type="dxa"/>
            <w:right w:w="108" w:type="dxa"/>
          </w:tblCellMar>
        </w:tblPrEx>
        <w:trPr>
          <w:trHeight w:val="707"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50996D4A">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2350" w:type="dxa"/>
            <w:tcBorders>
              <w:top w:val="single" w:color="auto" w:sz="4" w:space="0"/>
              <w:left w:val="single" w:color="auto" w:sz="4" w:space="0"/>
              <w:bottom w:val="single" w:color="auto" w:sz="4" w:space="0"/>
              <w:right w:val="single" w:color="auto" w:sz="4" w:space="0"/>
            </w:tcBorders>
            <w:noWrap w:val="0"/>
            <w:vAlign w:val="center"/>
          </w:tcPr>
          <w:p w14:paraId="5C4282B4">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磋商有效期</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5944CDA4">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磋商有效期须满足竞争性磋商文件要求</w:t>
            </w:r>
          </w:p>
        </w:tc>
      </w:tr>
      <w:tr w14:paraId="03F7BD03">
        <w:tblPrEx>
          <w:tblCellMar>
            <w:top w:w="0" w:type="dxa"/>
            <w:left w:w="108" w:type="dxa"/>
            <w:bottom w:w="0" w:type="dxa"/>
            <w:right w:w="108" w:type="dxa"/>
          </w:tblCellMar>
        </w:tblPrEx>
        <w:trPr>
          <w:trHeight w:val="745"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1758A537">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2350" w:type="dxa"/>
            <w:tcBorders>
              <w:top w:val="single" w:color="auto" w:sz="4" w:space="0"/>
              <w:left w:val="single" w:color="auto" w:sz="4" w:space="0"/>
              <w:bottom w:val="single" w:color="auto" w:sz="4" w:space="0"/>
              <w:right w:val="single" w:color="auto" w:sz="4" w:space="0"/>
            </w:tcBorders>
            <w:noWrap w:val="0"/>
            <w:vAlign w:val="center"/>
          </w:tcPr>
          <w:p w14:paraId="6C66F898">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磋商报价</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451614E5">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供应商须提供一份响应文件，在一份响应文件中对同一采购标的只有一个报价</w:t>
            </w:r>
          </w:p>
        </w:tc>
      </w:tr>
      <w:tr w14:paraId="2174A90E">
        <w:tblPrEx>
          <w:tblCellMar>
            <w:top w:w="0" w:type="dxa"/>
            <w:left w:w="108" w:type="dxa"/>
            <w:bottom w:w="0" w:type="dxa"/>
            <w:right w:w="108" w:type="dxa"/>
          </w:tblCellMar>
        </w:tblPrEx>
        <w:trPr>
          <w:trHeight w:val="722"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29BACBC5">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2350" w:type="dxa"/>
            <w:tcBorders>
              <w:top w:val="single" w:color="auto" w:sz="4" w:space="0"/>
              <w:left w:val="single" w:color="auto" w:sz="4" w:space="0"/>
              <w:bottom w:val="single" w:color="auto" w:sz="4" w:space="0"/>
              <w:right w:val="single" w:color="auto" w:sz="4" w:space="0"/>
            </w:tcBorders>
            <w:noWrap w:val="0"/>
            <w:vAlign w:val="center"/>
          </w:tcPr>
          <w:p w14:paraId="40287370">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磋商保证金</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46C93B7D">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须按竞争性磋商文件要求提交磋商保证金</w:t>
            </w:r>
          </w:p>
        </w:tc>
      </w:tr>
      <w:tr w14:paraId="779F2469">
        <w:tblPrEx>
          <w:tblCellMar>
            <w:top w:w="0" w:type="dxa"/>
            <w:left w:w="108" w:type="dxa"/>
            <w:bottom w:w="0" w:type="dxa"/>
            <w:right w:w="108" w:type="dxa"/>
          </w:tblCellMar>
        </w:tblPrEx>
        <w:trPr>
          <w:trHeight w:val="617"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2AF12961">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2350" w:type="dxa"/>
            <w:tcBorders>
              <w:top w:val="single" w:color="auto" w:sz="4" w:space="0"/>
              <w:left w:val="single" w:color="auto" w:sz="4" w:space="0"/>
              <w:bottom w:val="single" w:color="auto" w:sz="4" w:space="0"/>
              <w:right w:val="single" w:color="auto" w:sz="4" w:space="0"/>
            </w:tcBorders>
            <w:noWrap w:val="0"/>
            <w:vAlign w:val="center"/>
          </w:tcPr>
          <w:p w14:paraId="64629867">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价格</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3CEA65A0">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报价不得超过</w:t>
            </w:r>
            <w:r>
              <w:rPr>
                <w:rFonts w:hint="eastAsia" w:ascii="宋体" w:hAnsi="宋体" w:cs="宋体"/>
                <w:color w:val="auto"/>
                <w:sz w:val="24"/>
                <w:highlight w:val="none"/>
                <w:lang w:eastAsia="zh-CN"/>
              </w:rPr>
              <w:t>最高限</w:t>
            </w:r>
            <w:r>
              <w:rPr>
                <w:rFonts w:hint="eastAsia" w:ascii="宋体" w:hAnsi="宋体" w:eastAsia="宋体" w:cs="宋体"/>
                <w:color w:val="auto"/>
                <w:sz w:val="24"/>
                <w:highlight w:val="none"/>
              </w:rPr>
              <w:t>价</w:t>
            </w:r>
          </w:p>
        </w:tc>
      </w:tr>
      <w:tr w14:paraId="63A8735F">
        <w:tblPrEx>
          <w:tblCellMar>
            <w:top w:w="0" w:type="dxa"/>
            <w:left w:w="108" w:type="dxa"/>
            <w:bottom w:w="0" w:type="dxa"/>
            <w:right w:w="108" w:type="dxa"/>
          </w:tblCellMar>
        </w:tblPrEx>
        <w:trPr>
          <w:trHeight w:val="647"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69468A24">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2350" w:type="dxa"/>
            <w:tcBorders>
              <w:top w:val="single" w:color="auto" w:sz="4" w:space="0"/>
              <w:left w:val="single" w:color="auto" w:sz="4" w:space="0"/>
              <w:bottom w:val="single" w:color="auto" w:sz="4" w:space="0"/>
              <w:right w:val="single" w:color="auto" w:sz="4" w:space="0"/>
            </w:tcBorders>
            <w:noWrap w:val="0"/>
            <w:vAlign w:val="center"/>
          </w:tcPr>
          <w:p w14:paraId="4BEEA642">
            <w:pPr>
              <w:adjustRightInd w:val="0"/>
              <w:snapToGrid w:val="0"/>
              <w:spacing w:line="340" w:lineRule="exact"/>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澄清要求</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718EF517">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供应商须按要求对响应文件进行澄清、说明或者补正</w:t>
            </w:r>
          </w:p>
        </w:tc>
      </w:tr>
      <w:tr w14:paraId="5205204E">
        <w:tblPrEx>
          <w:tblCellMar>
            <w:top w:w="0" w:type="dxa"/>
            <w:left w:w="108" w:type="dxa"/>
            <w:bottom w:w="0" w:type="dxa"/>
            <w:right w:w="108" w:type="dxa"/>
          </w:tblCellMar>
        </w:tblPrEx>
        <w:trPr>
          <w:trHeight w:val="647"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1067BB2E">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2350" w:type="dxa"/>
            <w:tcBorders>
              <w:top w:val="single" w:color="auto" w:sz="4" w:space="0"/>
              <w:left w:val="single" w:color="auto" w:sz="4" w:space="0"/>
              <w:bottom w:val="single" w:color="auto" w:sz="4" w:space="0"/>
              <w:right w:val="single" w:color="auto" w:sz="4" w:space="0"/>
            </w:tcBorders>
            <w:noWrap w:val="0"/>
            <w:vAlign w:val="center"/>
          </w:tcPr>
          <w:p w14:paraId="65E3753E">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实质性响应要求</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71787EF5">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供应商须对竞争性磋商文件作出实质性响应</w:t>
            </w:r>
          </w:p>
        </w:tc>
      </w:tr>
      <w:tr w14:paraId="4460F9B3">
        <w:tblPrEx>
          <w:tblCellMar>
            <w:top w:w="0" w:type="dxa"/>
            <w:left w:w="108" w:type="dxa"/>
            <w:bottom w:w="0" w:type="dxa"/>
            <w:right w:w="108" w:type="dxa"/>
          </w:tblCellMar>
        </w:tblPrEx>
        <w:trPr>
          <w:trHeight w:val="767"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4BB97AE0">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2350" w:type="dxa"/>
            <w:tcBorders>
              <w:top w:val="single" w:color="auto" w:sz="4" w:space="0"/>
              <w:left w:val="single" w:color="auto" w:sz="4" w:space="0"/>
              <w:bottom w:val="single" w:color="auto" w:sz="4" w:space="0"/>
              <w:right w:val="single" w:color="auto" w:sz="4" w:space="0"/>
            </w:tcBorders>
            <w:noWrap w:val="0"/>
            <w:vAlign w:val="center"/>
          </w:tcPr>
          <w:p w14:paraId="0658063D">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法律法规相关规定</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2EDBE6E8">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须遵守法律法规规定的相关条款</w:t>
            </w:r>
          </w:p>
        </w:tc>
      </w:tr>
      <w:tr w14:paraId="520EA304">
        <w:tblPrEx>
          <w:tblCellMar>
            <w:top w:w="0" w:type="dxa"/>
            <w:left w:w="108" w:type="dxa"/>
            <w:bottom w:w="0" w:type="dxa"/>
            <w:right w:w="108" w:type="dxa"/>
          </w:tblCellMar>
        </w:tblPrEx>
        <w:trPr>
          <w:trHeight w:val="747"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14:paraId="26B3F88D">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2350" w:type="dxa"/>
            <w:tcBorders>
              <w:top w:val="single" w:color="auto" w:sz="4" w:space="0"/>
              <w:left w:val="single" w:color="auto" w:sz="4" w:space="0"/>
              <w:bottom w:val="single" w:color="auto" w:sz="4" w:space="0"/>
              <w:right w:val="single" w:color="auto" w:sz="4" w:space="0"/>
            </w:tcBorders>
            <w:noWrap w:val="0"/>
            <w:vAlign w:val="center"/>
          </w:tcPr>
          <w:p w14:paraId="1358742E">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其他情形</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0CED4E1F">
            <w:pPr>
              <w:adjustRightInd w:val="0"/>
              <w:snapToGrid w:val="0"/>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磋商小组认为不存在响应文件无效的其他情况</w:t>
            </w:r>
          </w:p>
        </w:tc>
      </w:tr>
    </w:tbl>
    <w:p w14:paraId="75C7E158">
      <w:pPr>
        <w:spacing w:line="500" w:lineRule="exact"/>
        <w:ind w:firstLine="482" w:firstLineChars="200"/>
        <w:rPr>
          <w:rFonts w:hint="eastAsia" w:ascii="宋体" w:hAnsi="宋体" w:eastAsia="宋体" w:cs="宋体"/>
          <w:b/>
          <w:bCs/>
          <w:color w:val="auto"/>
          <w:kern w:val="0"/>
          <w:sz w:val="24"/>
          <w:highlight w:val="none"/>
        </w:rPr>
      </w:pPr>
      <w:bookmarkStart w:id="172" w:name="_Toc10792"/>
      <w:r>
        <w:rPr>
          <w:rFonts w:hint="eastAsia" w:ascii="宋体" w:hAnsi="宋体" w:eastAsia="宋体" w:cs="宋体"/>
          <w:b/>
          <w:bCs/>
          <w:color w:val="auto"/>
          <w:kern w:val="0"/>
          <w:sz w:val="24"/>
          <w:highlight w:val="none"/>
        </w:rPr>
        <w:t>4.磋商</w:t>
      </w:r>
      <w:bookmarkEnd w:id="172"/>
    </w:p>
    <w:p w14:paraId="1B3BD1CC">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次磋商采用二轮报价，采购人不公布各轮次报价；磋商小组与通过资格审查、符合性审查的供应商就服务内容、服务期限、服务质量等内容进行磋商,并填写磋商记录表；磋商结束后，供应商在规定的时间内同时填报最后磋商报价，填写最后磋商报价；磋商记录表、最后磋商报价表是供应商响应文件的组成部分。</w:t>
      </w:r>
    </w:p>
    <w:p w14:paraId="72D9EB16">
      <w:pPr>
        <w:pStyle w:val="15"/>
        <w:spacing w:after="0" w:line="500" w:lineRule="exact"/>
        <w:ind w:left="0" w:leftChars="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5.综合评分</w:t>
      </w:r>
    </w:p>
    <w:p w14:paraId="75590158">
      <w:pPr>
        <w:autoSpaceDE w:val="0"/>
        <w:autoSpaceDN w:val="0"/>
        <w:adjustRightInd w:val="0"/>
        <w:spacing w:line="50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（1）磋商小组对具备实质性响应的响应文件进行评审和比较。</w:t>
      </w:r>
    </w:p>
    <w:p w14:paraId="5BB8E8B1">
      <w:pPr>
        <w:autoSpaceDE w:val="0"/>
        <w:autoSpaceDN w:val="0"/>
        <w:adjustRightInd w:val="0"/>
        <w:spacing w:line="50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（2）在评审期间，供应商不得干扰和阻碍评审工作，供应商不得向磋商小组询问评审情况，任何影响和干扰评审工作的行为都可能导致被取消本次磋商的资格，并承担相应的法律责任。</w:t>
      </w:r>
    </w:p>
    <w:p w14:paraId="691876A2">
      <w:pPr>
        <w:autoSpaceDE w:val="0"/>
        <w:autoSpaceDN w:val="0"/>
        <w:adjustRightInd w:val="0"/>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（3）</w:t>
      </w:r>
      <w:r>
        <w:rPr>
          <w:rFonts w:hint="eastAsia" w:ascii="宋体" w:hAnsi="宋体" w:eastAsia="宋体" w:cs="宋体"/>
          <w:color w:val="auto"/>
          <w:sz w:val="24"/>
          <w:highlight w:val="none"/>
        </w:rPr>
        <w:t>评审方法及评分标准：</w:t>
      </w:r>
    </w:p>
    <w:p w14:paraId="2E0606D4">
      <w:pPr>
        <w:keepNext w:val="0"/>
        <w:keepLines w:val="0"/>
        <w:pageBreakBefore w:val="0"/>
        <w:widowControl w:val="0"/>
        <w:kinsoku/>
        <w:wordWrap/>
        <w:overflowPunct/>
        <w:topLinePunct w:val="0"/>
        <w:autoSpaceDE w:val="0"/>
        <w:autoSpaceDN w:val="0"/>
        <w:bidi w:val="0"/>
        <w:adjustRightInd w:val="0"/>
        <w:snapToGrid/>
        <w:spacing w:after="157" w:afterLines="50" w:line="500" w:lineRule="exact"/>
        <w:ind w:firstLine="480" w:firstLineChars="200"/>
        <w:jc w:val="left"/>
        <w:textAlignment w:val="auto"/>
        <w:rPr>
          <w:rFonts w:hint="eastAsia" w:ascii="宋体" w:hAnsi="宋体" w:eastAsia="宋体" w:cs="宋体"/>
          <w:b/>
          <w:bCs/>
          <w:color w:val="auto"/>
          <w:sz w:val="24"/>
          <w:highlight w:val="none"/>
        </w:rPr>
      </w:pPr>
      <w:r>
        <w:rPr>
          <w:rFonts w:hint="eastAsia" w:ascii="宋体" w:hAnsi="宋体" w:eastAsia="宋体" w:cs="宋体"/>
          <w:color w:val="auto"/>
          <w:kern w:val="0"/>
          <w:sz w:val="24"/>
          <w:highlight w:val="none"/>
        </w:rPr>
        <w:t>本项目采取综合评分方法进行（百分制），评分标准如下：</w:t>
      </w:r>
    </w:p>
    <w:tbl>
      <w:tblPr>
        <w:tblStyle w:val="33"/>
        <w:tblW w:w="9655" w:type="dxa"/>
        <w:jc w:val="center"/>
        <w:tblLayout w:type="fixed"/>
        <w:tblCellMar>
          <w:top w:w="15" w:type="dxa"/>
          <w:left w:w="15" w:type="dxa"/>
          <w:bottom w:w="15" w:type="dxa"/>
          <w:right w:w="15" w:type="dxa"/>
        </w:tblCellMar>
      </w:tblPr>
      <w:tblGrid>
        <w:gridCol w:w="556"/>
        <w:gridCol w:w="1565"/>
        <w:gridCol w:w="780"/>
        <w:gridCol w:w="6754"/>
      </w:tblGrid>
      <w:tr w14:paraId="44DA41C3">
        <w:tblPrEx>
          <w:tblCellMar>
            <w:top w:w="15" w:type="dxa"/>
            <w:left w:w="15" w:type="dxa"/>
            <w:bottom w:w="15" w:type="dxa"/>
            <w:right w:w="15" w:type="dxa"/>
          </w:tblCellMar>
        </w:tblPrEx>
        <w:trPr>
          <w:trHeight w:val="600" w:hRule="atLeast"/>
          <w:jc w:val="center"/>
        </w:trPr>
        <w:tc>
          <w:tcPr>
            <w:tcW w:w="556" w:type="dxa"/>
            <w:tcBorders>
              <w:top w:val="single" w:color="000000" w:sz="4" w:space="0"/>
              <w:left w:val="single" w:color="000000" w:sz="4" w:space="0"/>
              <w:bottom w:val="single" w:color="000000" w:sz="4" w:space="0"/>
              <w:right w:val="single" w:color="auto" w:sz="4" w:space="0"/>
            </w:tcBorders>
            <w:noWrap w:val="0"/>
            <w:vAlign w:val="center"/>
          </w:tcPr>
          <w:p w14:paraId="70B1FBFD">
            <w:pPr>
              <w:widowControl/>
              <w:jc w:val="center"/>
              <w:textAlignment w:val="center"/>
              <w:rPr>
                <w:rFonts w:hint="eastAsia" w:ascii="宋体" w:hAnsi="宋体" w:eastAsia="宋体" w:cs="宋体"/>
                <w:b/>
                <w:color w:val="auto"/>
                <w:sz w:val="24"/>
                <w:highlight w:val="none"/>
              </w:rPr>
            </w:pPr>
            <w:bookmarkStart w:id="173" w:name="_Toc4578"/>
            <w:bookmarkStart w:id="174" w:name="_Toc22499"/>
            <w:bookmarkStart w:id="175" w:name="_Toc26984"/>
            <w:r>
              <w:rPr>
                <w:rFonts w:hint="eastAsia" w:ascii="宋体" w:hAnsi="宋体" w:eastAsia="宋体" w:cs="宋体"/>
                <w:b/>
                <w:color w:val="auto"/>
                <w:sz w:val="24"/>
                <w:highlight w:val="none"/>
              </w:rPr>
              <w:t>序号</w:t>
            </w:r>
          </w:p>
        </w:tc>
        <w:tc>
          <w:tcPr>
            <w:tcW w:w="1565" w:type="dxa"/>
            <w:tcBorders>
              <w:top w:val="single" w:color="000000" w:sz="4" w:space="0"/>
              <w:left w:val="single" w:color="auto" w:sz="4" w:space="0"/>
              <w:bottom w:val="single" w:color="000000" w:sz="4" w:space="0"/>
              <w:right w:val="single" w:color="auto" w:sz="4" w:space="0"/>
            </w:tcBorders>
            <w:noWrap w:val="0"/>
            <w:vAlign w:val="center"/>
          </w:tcPr>
          <w:p w14:paraId="3B1AD9AC">
            <w:pPr>
              <w:widowControl/>
              <w:jc w:val="center"/>
              <w:textAlignment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评审项</w:t>
            </w:r>
          </w:p>
        </w:tc>
        <w:tc>
          <w:tcPr>
            <w:tcW w:w="780" w:type="dxa"/>
            <w:tcBorders>
              <w:top w:val="single" w:color="000000" w:sz="4" w:space="0"/>
              <w:left w:val="single" w:color="auto" w:sz="4" w:space="0"/>
              <w:bottom w:val="single" w:color="000000" w:sz="4" w:space="0"/>
              <w:right w:val="single" w:color="000000" w:sz="4" w:space="0"/>
            </w:tcBorders>
            <w:noWrap w:val="0"/>
            <w:vAlign w:val="center"/>
          </w:tcPr>
          <w:p w14:paraId="7F519023">
            <w:pPr>
              <w:widowControl/>
              <w:jc w:val="center"/>
              <w:textAlignment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c>
          <w:tcPr>
            <w:tcW w:w="6754" w:type="dxa"/>
            <w:tcBorders>
              <w:top w:val="single" w:color="000000" w:sz="4" w:space="0"/>
              <w:left w:val="single" w:color="000000" w:sz="4" w:space="0"/>
              <w:bottom w:val="single" w:color="000000" w:sz="4" w:space="0"/>
              <w:right w:val="single" w:color="000000" w:sz="4" w:space="0"/>
            </w:tcBorders>
            <w:noWrap w:val="0"/>
            <w:vAlign w:val="center"/>
          </w:tcPr>
          <w:p w14:paraId="611DC395">
            <w:pPr>
              <w:widowControl/>
              <w:jc w:val="center"/>
              <w:textAlignment w:val="center"/>
              <w:rPr>
                <w:rFonts w:hint="eastAsia" w:ascii="宋体" w:hAnsi="宋体" w:eastAsia="宋体" w:cs="宋体"/>
                <w:b/>
                <w:color w:val="auto"/>
                <w:sz w:val="24"/>
                <w:highlight w:val="none"/>
              </w:rPr>
            </w:pPr>
            <w:r>
              <w:rPr>
                <w:rFonts w:hint="eastAsia" w:ascii="宋体" w:hAnsi="宋体" w:eastAsia="宋体" w:cs="宋体"/>
                <w:b/>
                <w:color w:val="auto"/>
                <w:kern w:val="0"/>
                <w:sz w:val="24"/>
                <w:highlight w:val="none"/>
                <w:lang w:bidi="ar"/>
              </w:rPr>
              <w:t>评分说明</w:t>
            </w:r>
          </w:p>
        </w:tc>
      </w:tr>
      <w:tr w14:paraId="397ADEBB">
        <w:tblPrEx>
          <w:tblCellMar>
            <w:top w:w="15" w:type="dxa"/>
            <w:left w:w="15" w:type="dxa"/>
            <w:bottom w:w="15" w:type="dxa"/>
            <w:right w:w="15" w:type="dxa"/>
          </w:tblCellMar>
        </w:tblPrEx>
        <w:trPr>
          <w:trHeight w:val="575" w:hRule="atLeast"/>
          <w:jc w:val="center"/>
        </w:trPr>
        <w:tc>
          <w:tcPr>
            <w:tcW w:w="556" w:type="dxa"/>
            <w:tcBorders>
              <w:top w:val="single" w:color="000000" w:sz="4" w:space="0"/>
              <w:left w:val="single" w:color="000000" w:sz="4" w:space="0"/>
              <w:bottom w:val="single" w:color="000000" w:sz="4" w:space="0"/>
              <w:right w:val="single" w:color="auto" w:sz="4" w:space="0"/>
            </w:tcBorders>
            <w:noWrap w:val="0"/>
            <w:vAlign w:val="center"/>
          </w:tcPr>
          <w:p w14:paraId="4A4E43AF">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1</w:t>
            </w:r>
          </w:p>
        </w:tc>
        <w:tc>
          <w:tcPr>
            <w:tcW w:w="1565" w:type="dxa"/>
            <w:tcBorders>
              <w:top w:val="single" w:color="000000" w:sz="4" w:space="0"/>
              <w:left w:val="single" w:color="auto" w:sz="4" w:space="0"/>
              <w:bottom w:val="single" w:color="000000" w:sz="4" w:space="0"/>
              <w:right w:val="single" w:color="auto" w:sz="4" w:space="0"/>
            </w:tcBorders>
            <w:noWrap w:val="0"/>
            <w:vAlign w:val="center"/>
          </w:tcPr>
          <w:p w14:paraId="00EFE272">
            <w:pPr>
              <w:widowControl/>
              <w:jc w:val="center"/>
              <w:textAlignment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kern w:val="0"/>
                <w:sz w:val="24"/>
                <w:highlight w:val="none"/>
                <w:lang w:bidi="ar"/>
              </w:rPr>
              <w:t>磋商报价</w:t>
            </w:r>
          </w:p>
        </w:tc>
        <w:tc>
          <w:tcPr>
            <w:tcW w:w="780" w:type="dxa"/>
            <w:tcBorders>
              <w:top w:val="single" w:color="000000" w:sz="4" w:space="0"/>
              <w:left w:val="single" w:color="auto" w:sz="4" w:space="0"/>
              <w:bottom w:val="single" w:color="000000" w:sz="4" w:space="0"/>
              <w:right w:val="single" w:color="000000" w:sz="4" w:space="0"/>
            </w:tcBorders>
            <w:noWrap w:val="0"/>
            <w:vAlign w:val="center"/>
          </w:tcPr>
          <w:p w14:paraId="602ED6F7">
            <w:pPr>
              <w:widowControl/>
              <w:jc w:val="center"/>
              <w:textAlignment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highlight w:val="none"/>
                <w:lang w:val="en-US" w:eastAsia="zh-CN" w:bidi="ar"/>
              </w:rPr>
              <w:t>30</w:t>
            </w:r>
            <w:r>
              <w:rPr>
                <w:rFonts w:hint="eastAsia" w:ascii="宋体" w:hAnsi="宋体" w:eastAsia="宋体" w:cs="宋体"/>
                <w:b w:val="0"/>
                <w:bCs w:val="0"/>
                <w:color w:val="auto"/>
                <w:kern w:val="0"/>
                <w:sz w:val="24"/>
                <w:szCs w:val="24"/>
                <w:highlight w:val="none"/>
                <w:lang w:bidi="ar"/>
              </w:rPr>
              <w:t>分</w:t>
            </w:r>
          </w:p>
        </w:tc>
        <w:tc>
          <w:tcPr>
            <w:tcW w:w="6754" w:type="dxa"/>
            <w:tcBorders>
              <w:top w:val="single" w:color="000000" w:sz="4" w:space="0"/>
              <w:left w:val="single" w:color="000000" w:sz="4" w:space="0"/>
              <w:bottom w:val="single" w:color="000000" w:sz="4" w:space="0"/>
              <w:right w:val="single" w:color="000000" w:sz="4" w:space="0"/>
            </w:tcBorders>
            <w:noWrap w:val="0"/>
            <w:vAlign w:val="center"/>
          </w:tcPr>
          <w:p w14:paraId="38A99897">
            <w:pPr>
              <w:pStyle w:val="51"/>
              <w:spacing w:before="35" w:line="224" w:lineRule="auto"/>
              <w:ind w:left="114"/>
              <w:rPr>
                <w:rFonts w:hint="eastAsia"/>
                <w:color w:val="auto"/>
                <w:spacing w:val="-5"/>
              </w:rPr>
            </w:pPr>
            <w:r>
              <w:rPr>
                <w:rFonts w:hint="eastAsia"/>
                <w:color w:val="auto"/>
                <w:spacing w:val="-5"/>
              </w:rPr>
              <w:t>磋商小组会对各供应商的磋商报价进行审核后确定其评标价。供应商评标价= 1-下浮率。</w:t>
            </w:r>
          </w:p>
          <w:p w14:paraId="29CF5047">
            <w:pPr>
              <w:pStyle w:val="51"/>
              <w:spacing w:before="35" w:line="224" w:lineRule="auto"/>
              <w:ind w:left="114"/>
              <w:rPr>
                <w:rFonts w:hint="eastAsia"/>
                <w:color w:val="auto"/>
                <w:spacing w:val="-5"/>
              </w:rPr>
            </w:pPr>
            <w:r>
              <w:rPr>
                <w:rFonts w:hint="eastAsia"/>
                <w:color w:val="auto"/>
                <w:spacing w:val="-5"/>
              </w:rPr>
              <w:t>报价得分公式：得分=(评标基准价/（1-下浮率）)×</w:t>
            </w:r>
            <w:r>
              <w:rPr>
                <w:rFonts w:hint="eastAsia"/>
                <w:color w:val="auto"/>
                <w:spacing w:val="-5"/>
                <w:lang w:val="en-US" w:eastAsia="zh-CN"/>
              </w:rPr>
              <w:t>3</w:t>
            </w:r>
            <w:r>
              <w:rPr>
                <w:rFonts w:hint="eastAsia"/>
                <w:color w:val="auto"/>
                <w:spacing w:val="-5"/>
              </w:rPr>
              <w:t>0，其中评标基准价为所有通过资格审查和符合性评审的供应商中（1-下浮率）的最低值，其价格分为满分。其他供应商的报价统一按上述投标报价公式计算。</w:t>
            </w:r>
          </w:p>
          <w:p w14:paraId="63F5C9EC">
            <w:pPr>
              <w:pStyle w:val="51"/>
              <w:spacing w:before="35" w:line="224" w:lineRule="auto"/>
              <w:ind w:left="114"/>
              <w:rPr>
                <w:color w:val="auto"/>
              </w:rPr>
            </w:pPr>
            <w:r>
              <w:rPr>
                <w:color w:val="auto"/>
                <w:spacing w:val="-5"/>
              </w:rPr>
              <w:t>注：</w:t>
            </w:r>
          </w:p>
          <w:p w14:paraId="46E0A5BD">
            <w:pPr>
              <w:pStyle w:val="51"/>
              <w:spacing w:before="151" w:line="217" w:lineRule="auto"/>
              <w:ind w:left="113"/>
              <w:rPr>
                <w:color w:val="auto"/>
              </w:rPr>
            </w:pPr>
            <w:r>
              <w:rPr>
                <w:color w:val="auto"/>
                <w:spacing w:val="-1"/>
              </w:rPr>
              <w:t>①磋商报价超过采购预算价，按无效标书处理；</w:t>
            </w:r>
          </w:p>
          <w:p w14:paraId="474C2B53">
            <w:pPr>
              <w:pStyle w:val="51"/>
              <w:spacing w:before="151" w:line="217" w:lineRule="auto"/>
              <w:ind w:left="113"/>
              <w:rPr>
                <w:rFonts w:hint="eastAsia" w:ascii="宋体" w:hAnsi="宋体" w:eastAsia="宋体" w:cs="宋体"/>
                <w:bCs/>
                <w:color w:val="auto"/>
                <w:sz w:val="24"/>
                <w:szCs w:val="22"/>
                <w:highlight w:val="none"/>
              </w:rPr>
            </w:pPr>
            <w:r>
              <w:rPr>
                <w:color w:val="auto"/>
                <w:spacing w:val="-1"/>
              </w:rPr>
              <w:t>②计算结果不为整数时保留 2 位小数；</w:t>
            </w:r>
          </w:p>
        </w:tc>
      </w:tr>
      <w:tr w14:paraId="454F01F5">
        <w:tblPrEx>
          <w:tblCellMar>
            <w:top w:w="15" w:type="dxa"/>
            <w:left w:w="15" w:type="dxa"/>
            <w:bottom w:w="15" w:type="dxa"/>
            <w:right w:w="15" w:type="dxa"/>
          </w:tblCellMar>
        </w:tblPrEx>
        <w:trPr>
          <w:trHeight w:val="3353" w:hRule="atLeast"/>
          <w:jc w:val="center"/>
        </w:trPr>
        <w:tc>
          <w:tcPr>
            <w:tcW w:w="556" w:type="dxa"/>
            <w:tcBorders>
              <w:top w:val="single" w:color="auto" w:sz="4" w:space="0"/>
              <w:left w:val="single" w:color="auto" w:sz="4" w:space="0"/>
              <w:bottom w:val="single" w:color="auto" w:sz="4" w:space="0"/>
              <w:right w:val="single" w:color="auto" w:sz="4" w:space="0"/>
            </w:tcBorders>
            <w:noWrap w:val="0"/>
            <w:vAlign w:val="center"/>
          </w:tcPr>
          <w:p w14:paraId="59C9B616">
            <w:pPr>
              <w:widowControl/>
              <w:jc w:val="center"/>
              <w:textAlignment w:val="center"/>
              <w:rPr>
                <w:rFonts w:hint="default" w:ascii="宋体" w:hAnsi="宋体" w:eastAsia="宋体" w:cs="宋体"/>
                <w:color w:val="auto"/>
                <w:kern w:val="0"/>
                <w:sz w:val="24"/>
                <w:highlight w:val="none"/>
                <w:lang w:eastAsia="zh-CN" w:bidi="ar"/>
              </w:rPr>
            </w:pPr>
            <w:r>
              <w:rPr>
                <w:rFonts w:hint="default" w:ascii="宋体" w:hAnsi="宋体" w:cs="宋体"/>
                <w:color w:val="auto"/>
                <w:kern w:val="0"/>
                <w:sz w:val="24"/>
                <w:highlight w:val="none"/>
                <w:lang w:eastAsia="zh-CN" w:bidi="ar"/>
              </w:rPr>
              <w:t>2</w:t>
            </w:r>
          </w:p>
        </w:tc>
        <w:tc>
          <w:tcPr>
            <w:tcW w:w="1565" w:type="dxa"/>
            <w:tcBorders>
              <w:top w:val="single" w:color="auto" w:sz="4" w:space="0"/>
              <w:left w:val="single" w:color="auto" w:sz="4" w:space="0"/>
              <w:bottom w:val="single" w:color="auto" w:sz="4" w:space="0"/>
              <w:right w:val="single" w:color="auto" w:sz="4" w:space="0"/>
            </w:tcBorders>
            <w:noWrap w:val="0"/>
            <w:vAlign w:val="center"/>
          </w:tcPr>
          <w:p w14:paraId="7BEDE4B6">
            <w:pPr>
              <w:keepNext w:val="0"/>
              <w:keepLines w:val="0"/>
              <w:pageBreakBefore w:val="0"/>
              <w:widowControl w:val="0"/>
              <w:kinsoku/>
              <w:overflowPunct/>
              <w:topLinePunct w:val="0"/>
              <w:bidi w:val="0"/>
              <w:spacing w:line="400" w:lineRule="exact"/>
              <w:jc w:val="center"/>
              <w:textAlignment w:val="auto"/>
              <w:rPr>
                <w:rFonts w:hint="eastAsia" w:ascii="宋体" w:hAnsi="宋体" w:eastAsia="宋体" w:cs="宋体"/>
                <w:b w:val="0"/>
                <w:bCs w:val="0"/>
                <w:color w:val="auto"/>
                <w:kern w:val="0"/>
                <w:sz w:val="24"/>
                <w:highlight w:val="none"/>
                <w:lang w:val="en-US" w:eastAsia="zh-CN" w:bidi="ar"/>
              </w:rPr>
            </w:pPr>
            <w:r>
              <w:rPr>
                <w:rFonts w:hint="eastAsia" w:ascii="宋体" w:hAnsi="宋体" w:cs="宋体"/>
                <w:b/>
                <w:bCs/>
                <w:color w:val="auto"/>
                <w:kern w:val="0"/>
                <w:sz w:val="24"/>
                <w:highlight w:val="none"/>
                <w:lang w:val="en-US" w:eastAsia="zh-CN" w:bidi="ar"/>
              </w:rPr>
              <w:t>项目</w:t>
            </w:r>
            <w:r>
              <w:rPr>
                <w:rFonts w:hint="eastAsia" w:ascii="宋体" w:hAnsi="宋体" w:eastAsia="宋体" w:cs="宋体"/>
                <w:b/>
                <w:bCs/>
                <w:color w:val="auto"/>
                <w:kern w:val="0"/>
                <w:sz w:val="24"/>
                <w:highlight w:val="none"/>
                <w:lang w:val="en-US" w:eastAsia="zh-CN" w:bidi="ar"/>
              </w:rPr>
              <w:t>实施方案</w:t>
            </w:r>
          </w:p>
        </w:tc>
        <w:tc>
          <w:tcPr>
            <w:tcW w:w="780" w:type="dxa"/>
            <w:tcBorders>
              <w:top w:val="single" w:color="000000" w:sz="4" w:space="0"/>
              <w:left w:val="single" w:color="auto" w:sz="4" w:space="0"/>
              <w:bottom w:val="single" w:color="000000" w:sz="4" w:space="0"/>
              <w:right w:val="single" w:color="000000" w:sz="4" w:space="0"/>
            </w:tcBorders>
            <w:noWrap w:val="0"/>
            <w:vAlign w:val="center"/>
          </w:tcPr>
          <w:p w14:paraId="71AA4DDC">
            <w:pPr>
              <w:keepNext w:val="0"/>
              <w:keepLines w:val="0"/>
              <w:pageBreakBefore w:val="0"/>
              <w:kinsoku/>
              <w:overflowPunct/>
              <w:topLinePunct w:val="0"/>
              <w:bidi w:val="0"/>
              <w:spacing w:line="40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30分</w:t>
            </w:r>
          </w:p>
        </w:tc>
        <w:tc>
          <w:tcPr>
            <w:tcW w:w="6754" w:type="dxa"/>
            <w:tcBorders>
              <w:top w:val="single" w:color="000000" w:sz="4" w:space="0"/>
              <w:left w:val="single" w:color="000000" w:sz="4" w:space="0"/>
              <w:bottom w:val="single" w:color="000000" w:sz="4" w:space="0"/>
              <w:right w:val="single" w:color="000000" w:sz="4" w:space="0"/>
            </w:tcBorders>
            <w:noWrap w:val="0"/>
            <w:vAlign w:val="top"/>
          </w:tcPr>
          <w:p w14:paraId="10FF59D5">
            <w:pPr>
              <w:pStyle w:val="51"/>
              <w:spacing w:before="118" w:line="301" w:lineRule="auto"/>
              <w:ind w:left="114" w:right="106"/>
              <w:jc w:val="both"/>
              <w:rPr>
                <w:rFonts w:hint="default"/>
                <w:color w:val="auto"/>
                <w:spacing w:val="-2"/>
                <w:lang w:val="en-US" w:eastAsia="zh-CN"/>
              </w:rPr>
            </w:pPr>
            <w:r>
              <w:rPr>
                <w:rFonts w:hint="default"/>
                <w:color w:val="auto"/>
                <w:spacing w:val="-2"/>
                <w:lang w:val="en-US" w:eastAsia="zh-CN"/>
              </w:rPr>
              <w:t>供应商对本项目的项目实施方案内容进行综合评比，包括但不限于：①车辆修理工艺流程，②车辆维修服务流程及车辆维修服务方案，③车辆</w:t>
            </w:r>
            <w:r>
              <w:rPr>
                <w:rFonts w:hint="eastAsia"/>
                <w:color w:val="auto"/>
                <w:spacing w:val="-2"/>
                <w:lang w:val="en-US" w:eastAsia="zh-CN"/>
              </w:rPr>
              <w:t>二级维护</w:t>
            </w:r>
            <w:r>
              <w:rPr>
                <w:rFonts w:hint="default"/>
                <w:color w:val="auto"/>
                <w:spacing w:val="-2"/>
                <w:lang w:val="en-US" w:eastAsia="zh-CN"/>
              </w:rPr>
              <w:t>操作规程，④车辆维修技术保障措施、车辆维修质量保障措施，⑤车辆维修竣工检验标准，⑥安全操作规程及事故应急预案</w:t>
            </w:r>
            <w:r>
              <w:rPr>
                <w:rFonts w:hint="eastAsia"/>
                <w:color w:val="auto"/>
                <w:spacing w:val="-2"/>
                <w:lang w:val="en-US" w:eastAsia="zh-CN"/>
              </w:rPr>
              <w:t>；</w:t>
            </w:r>
            <w:r>
              <w:rPr>
                <w:rFonts w:hint="default"/>
                <w:color w:val="auto"/>
                <w:spacing w:val="-2"/>
                <w:lang w:val="en-US" w:eastAsia="zh-CN"/>
              </w:rPr>
              <w:t>以上</w:t>
            </w:r>
            <w:r>
              <w:rPr>
                <w:rFonts w:hint="eastAsia"/>
                <w:color w:val="auto"/>
                <w:spacing w:val="-2"/>
                <w:lang w:val="en-US" w:eastAsia="zh-CN"/>
              </w:rPr>
              <w:t>6</w:t>
            </w:r>
            <w:r>
              <w:rPr>
                <w:rFonts w:hint="default"/>
                <w:color w:val="auto"/>
                <w:spacing w:val="-2"/>
                <w:lang w:val="en-US" w:eastAsia="zh-CN"/>
              </w:rPr>
              <w:t>项方案内容无缺项或无漏项且符合本项目特点和实际需求的得</w:t>
            </w:r>
            <w:r>
              <w:rPr>
                <w:rFonts w:hint="eastAsia"/>
                <w:color w:val="auto"/>
                <w:spacing w:val="-2"/>
                <w:lang w:val="en-US" w:eastAsia="zh-CN"/>
              </w:rPr>
              <w:t>30</w:t>
            </w:r>
            <w:r>
              <w:rPr>
                <w:rFonts w:hint="default"/>
                <w:color w:val="auto"/>
                <w:spacing w:val="-2"/>
                <w:lang w:val="en-US" w:eastAsia="zh-CN"/>
              </w:rPr>
              <w:t>分；上述 6 项方案内容每一项缺项或漏项的扣</w:t>
            </w:r>
            <w:r>
              <w:rPr>
                <w:rFonts w:hint="eastAsia"/>
                <w:color w:val="auto"/>
                <w:spacing w:val="-2"/>
                <w:lang w:val="en-US" w:eastAsia="zh-CN"/>
              </w:rPr>
              <w:t>5</w:t>
            </w:r>
            <w:r>
              <w:rPr>
                <w:rFonts w:hint="default"/>
                <w:color w:val="auto"/>
                <w:spacing w:val="-2"/>
                <w:lang w:val="en-US" w:eastAsia="zh-CN"/>
              </w:rPr>
              <w:t>分；上述6项方案所对应的每一小项方案内容每有一项不合理、不完整、不符合项目实际情况、不满足项目实际需求的扣</w:t>
            </w:r>
            <w:r>
              <w:rPr>
                <w:rFonts w:hint="eastAsia"/>
                <w:color w:val="auto"/>
                <w:spacing w:val="-2"/>
                <w:lang w:val="en-US" w:eastAsia="zh-CN"/>
              </w:rPr>
              <w:t>2.5</w:t>
            </w:r>
            <w:r>
              <w:rPr>
                <w:rFonts w:hint="default"/>
                <w:color w:val="auto"/>
                <w:spacing w:val="-2"/>
                <w:lang w:val="en-US" w:eastAsia="zh-CN"/>
              </w:rPr>
              <w:t>分；扣完为止。</w:t>
            </w:r>
          </w:p>
          <w:p w14:paraId="262BB359">
            <w:pPr>
              <w:pStyle w:val="51"/>
              <w:spacing w:before="150" w:line="331" w:lineRule="auto"/>
              <w:ind w:right="106"/>
              <w:jc w:val="both"/>
              <w:rPr>
                <w:rFonts w:hint="default"/>
                <w:color w:val="auto"/>
                <w:spacing w:val="-2"/>
                <w:lang w:val="en-US" w:eastAsia="zh-CN"/>
              </w:rPr>
            </w:pPr>
            <w:r>
              <w:rPr>
                <w:rFonts w:hint="eastAsia" w:ascii="宋体" w:hAnsi="宋体" w:eastAsia="宋体" w:cs="宋体"/>
                <w:color w:val="auto"/>
                <w:spacing w:val="-2"/>
                <w:lang w:val="en-US" w:eastAsia="zh-CN"/>
              </w:rPr>
              <w:t>注：</w:t>
            </w:r>
            <w:r>
              <w:rPr>
                <w:rFonts w:hint="default" w:ascii="宋体" w:hAnsi="宋体" w:eastAsia="宋体" w:cs="宋体"/>
                <w:color w:val="auto"/>
                <w:spacing w:val="-2"/>
                <w:lang w:val="en-US" w:eastAsia="zh-CN"/>
              </w:rPr>
              <w:t>项目实施方案须是针对本项</w:t>
            </w:r>
            <w:r>
              <w:rPr>
                <w:rFonts w:hint="eastAsia" w:ascii="宋体" w:hAnsi="宋体" w:eastAsia="宋体" w:cs="宋体"/>
                <w:color w:val="auto"/>
                <w:spacing w:val="-2"/>
                <w:lang w:val="en-US" w:eastAsia="zh-CN"/>
              </w:rPr>
              <w:t>目特点制定的专属方案，描述完整包括作业流程符合作业规范、预防措施覆盖全面、实施方案明确、符合本项目实际情况，拟投入人员和设备齐全、人工与机械化作业配合密切，所有上述方案内容须满足作业任务要求、有利于项目实施。对应每小项内容不完整、方案描述过于简略、照搬照抄网络、书本或其他地方材料、套用其他项目</w:t>
            </w:r>
            <w:r>
              <w:rPr>
                <w:rFonts w:hint="default" w:ascii="宋体" w:hAnsi="宋体" w:eastAsia="宋体" w:cs="宋体"/>
                <w:color w:val="auto"/>
                <w:spacing w:val="-2"/>
                <w:lang w:val="en-US" w:eastAsia="zh-CN"/>
              </w:rPr>
              <w:t>方案、内容前</w:t>
            </w:r>
            <w:r>
              <w:rPr>
                <w:rFonts w:hint="eastAsia" w:ascii="宋体" w:hAnsi="宋体" w:eastAsia="宋体" w:cs="宋体"/>
                <w:color w:val="auto"/>
                <w:spacing w:val="-2"/>
                <w:lang w:val="en-US" w:eastAsia="zh-CN"/>
              </w:rPr>
              <w:t>后矛盾、涉及的规范及标准错误属于不满足项目实际情况或不满足项目实际需求。</w:t>
            </w:r>
          </w:p>
        </w:tc>
      </w:tr>
      <w:tr w14:paraId="4A891C1C">
        <w:tblPrEx>
          <w:tblCellMar>
            <w:top w:w="15" w:type="dxa"/>
            <w:left w:w="15" w:type="dxa"/>
            <w:bottom w:w="15" w:type="dxa"/>
            <w:right w:w="15" w:type="dxa"/>
          </w:tblCellMar>
        </w:tblPrEx>
        <w:trPr>
          <w:trHeight w:val="3353" w:hRule="atLeast"/>
          <w:jc w:val="center"/>
        </w:trPr>
        <w:tc>
          <w:tcPr>
            <w:tcW w:w="556" w:type="dxa"/>
            <w:tcBorders>
              <w:top w:val="single" w:color="auto" w:sz="4" w:space="0"/>
              <w:left w:val="single" w:color="auto" w:sz="4" w:space="0"/>
              <w:bottom w:val="single" w:color="auto" w:sz="4" w:space="0"/>
              <w:right w:val="single" w:color="auto" w:sz="4" w:space="0"/>
            </w:tcBorders>
            <w:noWrap w:val="0"/>
            <w:vAlign w:val="center"/>
          </w:tcPr>
          <w:p w14:paraId="3CEF7075">
            <w:pPr>
              <w:widowControl/>
              <w:jc w:val="center"/>
              <w:textAlignment w:val="center"/>
              <w:rPr>
                <w:rFonts w:hint="default" w:ascii="宋体" w:hAnsi="宋体" w:eastAsia="宋体" w:cs="宋体"/>
                <w:color w:val="auto"/>
                <w:kern w:val="0"/>
                <w:sz w:val="24"/>
                <w:highlight w:val="none"/>
                <w:lang w:eastAsia="zh-CN" w:bidi="ar"/>
              </w:rPr>
            </w:pPr>
            <w:r>
              <w:rPr>
                <w:rFonts w:hint="default" w:ascii="宋体" w:hAnsi="宋体" w:cs="宋体"/>
                <w:color w:val="auto"/>
                <w:kern w:val="0"/>
                <w:sz w:val="24"/>
                <w:highlight w:val="none"/>
                <w:lang w:eastAsia="zh-CN" w:bidi="ar"/>
              </w:rPr>
              <w:t>3</w:t>
            </w:r>
          </w:p>
        </w:tc>
        <w:tc>
          <w:tcPr>
            <w:tcW w:w="1565" w:type="dxa"/>
            <w:tcBorders>
              <w:top w:val="single" w:color="auto" w:sz="4" w:space="0"/>
              <w:left w:val="single" w:color="auto" w:sz="4" w:space="0"/>
              <w:bottom w:val="single" w:color="auto" w:sz="4" w:space="0"/>
              <w:right w:val="single" w:color="auto" w:sz="4" w:space="0"/>
            </w:tcBorders>
            <w:noWrap w:val="0"/>
            <w:vAlign w:val="center"/>
          </w:tcPr>
          <w:p w14:paraId="5411EE79">
            <w:pPr>
              <w:keepNext w:val="0"/>
              <w:keepLines w:val="0"/>
              <w:pageBreakBefore w:val="0"/>
              <w:widowControl w:val="0"/>
              <w:kinsoku/>
              <w:overflowPunct/>
              <w:topLinePunct w:val="0"/>
              <w:bidi w:val="0"/>
              <w:spacing w:line="400" w:lineRule="exact"/>
              <w:jc w:val="center"/>
              <w:textAlignment w:val="auto"/>
              <w:rPr>
                <w:rFonts w:hint="eastAsia" w:ascii="宋体" w:hAnsi="宋体" w:eastAsia="宋体" w:cs="宋体"/>
                <w:b/>
                <w:bCs/>
                <w:color w:val="auto"/>
                <w:kern w:val="0"/>
                <w:sz w:val="24"/>
                <w:highlight w:val="none"/>
                <w:lang w:val="en-US" w:eastAsia="zh-CN" w:bidi="ar"/>
              </w:rPr>
            </w:pPr>
            <w:r>
              <w:rPr>
                <w:rFonts w:hint="eastAsia" w:ascii="宋体" w:hAnsi="宋体" w:cs="宋体"/>
                <w:b/>
                <w:bCs/>
                <w:color w:val="auto"/>
                <w:kern w:val="0"/>
                <w:sz w:val="24"/>
                <w:highlight w:val="none"/>
                <w:lang w:val="en-US" w:eastAsia="zh-CN" w:bidi="ar"/>
              </w:rPr>
              <w:t>综合实力</w:t>
            </w:r>
          </w:p>
        </w:tc>
        <w:tc>
          <w:tcPr>
            <w:tcW w:w="780" w:type="dxa"/>
            <w:tcBorders>
              <w:top w:val="single" w:color="000000" w:sz="4" w:space="0"/>
              <w:left w:val="single" w:color="auto" w:sz="4" w:space="0"/>
              <w:bottom w:val="single" w:color="000000" w:sz="4" w:space="0"/>
              <w:right w:val="single" w:color="000000" w:sz="4" w:space="0"/>
            </w:tcBorders>
            <w:noWrap w:val="0"/>
            <w:vAlign w:val="center"/>
          </w:tcPr>
          <w:p w14:paraId="1EE04762">
            <w:pPr>
              <w:keepNext w:val="0"/>
              <w:keepLines w:val="0"/>
              <w:pageBreakBefore w:val="0"/>
              <w:kinsoku/>
              <w:overflowPunct/>
              <w:topLinePunct w:val="0"/>
              <w:bidi w:val="0"/>
              <w:spacing w:line="40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19分</w:t>
            </w:r>
          </w:p>
        </w:tc>
        <w:tc>
          <w:tcPr>
            <w:tcW w:w="6754" w:type="dxa"/>
            <w:tcBorders>
              <w:top w:val="single" w:color="000000" w:sz="4" w:space="0"/>
              <w:left w:val="single" w:color="000000" w:sz="4" w:space="0"/>
              <w:bottom w:val="single" w:color="000000" w:sz="4" w:space="0"/>
              <w:right w:val="single" w:color="000000" w:sz="4" w:space="0"/>
            </w:tcBorders>
            <w:noWrap w:val="0"/>
            <w:vAlign w:val="top"/>
          </w:tcPr>
          <w:p w14:paraId="178A5C4D">
            <w:pPr>
              <w:pStyle w:val="51"/>
              <w:spacing w:before="118" w:line="301" w:lineRule="auto"/>
              <w:ind w:left="114" w:right="106"/>
              <w:jc w:val="both"/>
              <w:rPr>
                <w:rFonts w:hint="eastAsia"/>
                <w:color w:val="auto"/>
                <w:spacing w:val="-6"/>
                <w:sz w:val="24"/>
                <w:szCs w:val="32"/>
              </w:rPr>
            </w:pPr>
            <w:r>
              <w:rPr>
                <w:rFonts w:hint="eastAsia"/>
                <w:color w:val="auto"/>
                <w:spacing w:val="-6"/>
                <w:sz w:val="24"/>
                <w:szCs w:val="32"/>
              </w:rPr>
              <w:t>1、具有汽车修理工技师资格证书的，每有1人得2分，最多得4 分；</w:t>
            </w:r>
          </w:p>
          <w:p w14:paraId="2A8BE130">
            <w:pPr>
              <w:pStyle w:val="51"/>
              <w:spacing w:before="118" w:line="301" w:lineRule="auto"/>
              <w:ind w:left="114" w:right="106"/>
              <w:jc w:val="both"/>
              <w:rPr>
                <w:rFonts w:hint="eastAsia"/>
                <w:color w:val="auto"/>
                <w:spacing w:val="-6"/>
                <w:sz w:val="24"/>
                <w:szCs w:val="32"/>
              </w:rPr>
            </w:pPr>
            <w:r>
              <w:rPr>
                <w:rFonts w:hint="eastAsia" w:ascii="宋体" w:hAnsi="宋体" w:eastAsia="宋体" w:cs="宋体"/>
                <w:color w:val="auto"/>
                <w:spacing w:val="-6"/>
                <w:sz w:val="24"/>
                <w:szCs w:val="32"/>
              </w:rPr>
              <w:t>2、</w:t>
            </w:r>
            <w:r>
              <w:rPr>
                <w:rFonts w:hint="eastAsia"/>
                <w:color w:val="auto"/>
                <w:spacing w:val="-6"/>
                <w:sz w:val="24"/>
                <w:szCs w:val="32"/>
              </w:rPr>
              <w:t>具有汽车维修工资格证书的，每有1人得1分，最多得5分；</w:t>
            </w:r>
          </w:p>
          <w:p w14:paraId="69FF4C6F">
            <w:pPr>
              <w:pStyle w:val="51"/>
              <w:spacing w:before="118" w:line="301" w:lineRule="auto"/>
              <w:ind w:left="114" w:right="106"/>
              <w:jc w:val="both"/>
              <w:rPr>
                <w:rFonts w:hint="eastAsia"/>
                <w:color w:val="auto"/>
                <w:spacing w:val="-6"/>
                <w:sz w:val="24"/>
                <w:szCs w:val="32"/>
              </w:rPr>
            </w:pPr>
            <w:r>
              <w:rPr>
                <w:rFonts w:hint="eastAsia"/>
                <w:color w:val="auto"/>
                <w:spacing w:val="-6"/>
                <w:sz w:val="24"/>
                <w:szCs w:val="32"/>
              </w:rPr>
              <w:t>3、具有汽车维修检验工资格证书的，每有以上项目提供1人得1 分，最多得</w:t>
            </w:r>
            <w:r>
              <w:rPr>
                <w:rFonts w:hint="eastAsia"/>
                <w:color w:val="auto"/>
                <w:spacing w:val="-6"/>
                <w:sz w:val="24"/>
                <w:szCs w:val="32"/>
                <w:lang w:val="en-US" w:eastAsia="zh-CN"/>
              </w:rPr>
              <w:t>3</w:t>
            </w:r>
            <w:r>
              <w:rPr>
                <w:rFonts w:hint="eastAsia"/>
                <w:color w:val="auto"/>
                <w:spacing w:val="-6"/>
                <w:sz w:val="24"/>
                <w:szCs w:val="32"/>
              </w:rPr>
              <w:t>分；</w:t>
            </w:r>
          </w:p>
          <w:p w14:paraId="722B9A81">
            <w:pPr>
              <w:pStyle w:val="51"/>
              <w:spacing w:before="118" w:line="301" w:lineRule="auto"/>
              <w:ind w:left="114" w:right="106"/>
              <w:jc w:val="both"/>
              <w:rPr>
                <w:rFonts w:hint="eastAsia"/>
                <w:color w:val="auto"/>
                <w:spacing w:val="-6"/>
                <w:sz w:val="24"/>
                <w:szCs w:val="32"/>
              </w:rPr>
            </w:pPr>
            <w:r>
              <w:rPr>
                <w:rFonts w:hint="eastAsia"/>
                <w:color w:val="auto"/>
                <w:spacing w:val="-6"/>
                <w:sz w:val="24"/>
                <w:szCs w:val="32"/>
                <w:lang w:val="en-US" w:eastAsia="zh-CN"/>
              </w:rPr>
              <w:t>4</w:t>
            </w:r>
            <w:r>
              <w:rPr>
                <w:rFonts w:hint="eastAsia"/>
                <w:color w:val="auto"/>
                <w:spacing w:val="-6"/>
                <w:sz w:val="24"/>
                <w:szCs w:val="32"/>
              </w:rPr>
              <w:t>、具有汽车维修漆工资格证书的，每有1人得1分，最多得2分；</w:t>
            </w:r>
          </w:p>
          <w:p w14:paraId="0A680690">
            <w:pPr>
              <w:pStyle w:val="51"/>
              <w:spacing w:before="118" w:line="301" w:lineRule="auto"/>
              <w:ind w:left="114" w:right="106"/>
              <w:jc w:val="both"/>
              <w:rPr>
                <w:rFonts w:hint="eastAsia"/>
                <w:color w:val="auto"/>
                <w:spacing w:val="-6"/>
                <w:sz w:val="24"/>
                <w:szCs w:val="32"/>
              </w:rPr>
            </w:pPr>
            <w:r>
              <w:rPr>
                <w:rFonts w:hint="eastAsia"/>
                <w:color w:val="auto"/>
                <w:spacing w:val="-6"/>
                <w:sz w:val="24"/>
                <w:szCs w:val="32"/>
                <w:lang w:val="en-US" w:eastAsia="zh-CN"/>
              </w:rPr>
              <w:t>5</w:t>
            </w:r>
            <w:r>
              <w:rPr>
                <w:rFonts w:hint="eastAsia"/>
                <w:color w:val="auto"/>
                <w:spacing w:val="-6"/>
                <w:sz w:val="24"/>
                <w:szCs w:val="32"/>
              </w:rPr>
              <w:t>、具有汽车维修机修资格证书的，每有1人得1分，最多得2分；</w:t>
            </w:r>
          </w:p>
          <w:p w14:paraId="14CD0B2F">
            <w:pPr>
              <w:pStyle w:val="51"/>
              <w:spacing w:before="118" w:line="301" w:lineRule="auto"/>
              <w:ind w:left="114" w:right="106"/>
              <w:jc w:val="both"/>
              <w:rPr>
                <w:rFonts w:hint="eastAsia"/>
                <w:color w:val="auto"/>
                <w:spacing w:val="-6"/>
                <w:sz w:val="24"/>
                <w:szCs w:val="32"/>
              </w:rPr>
            </w:pPr>
            <w:r>
              <w:rPr>
                <w:rFonts w:hint="eastAsia"/>
                <w:color w:val="auto"/>
                <w:spacing w:val="-6"/>
                <w:sz w:val="24"/>
                <w:szCs w:val="32"/>
                <w:lang w:val="en-US" w:eastAsia="zh-CN"/>
              </w:rPr>
              <w:t>6</w:t>
            </w:r>
            <w:r>
              <w:rPr>
                <w:rFonts w:hint="eastAsia"/>
                <w:color w:val="auto"/>
                <w:spacing w:val="-6"/>
                <w:sz w:val="24"/>
                <w:szCs w:val="32"/>
              </w:rPr>
              <w:t>、具备废矿物油收集协议书的得1.5 分；</w:t>
            </w:r>
          </w:p>
          <w:p w14:paraId="72EC82F2">
            <w:pPr>
              <w:pStyle w:val="51"/>
              <w:spacing w:before="118" w:line="301" w:lineRule="auto"/>
              <w:ind w:left="114" w:right="106"/>
              <w:jc w:val="both"/>
              <w:rPr>
                <w:rFonts w:hint="eastAsia"/>
                <w:color w:val="auto"/>
                <w:spacing w:val="-6"/>
                <w:sz w:val="24"/>
                <w:szCs w:val="32"/>
              </w:rPr>
            </w:pPr>
            <w:r>
              <w:rPr>
                <w:rFonts w:hint="eastAsia"/>
                <w:color w:val="auto"/>
                <w:spacing w:val="-6"/>
                <w:sz w:val="24"/>
                <w:szCs w:val="32"/>
                <w:lang w:val="en-US" w:eastAsia="zh-CN"/>
              </w:rPr>
              <w:t>7</w:t>
            </w:r>
            <w:r>
              <w:rPr>
                <w:rFonts w:hint="eastAsia"/>
                <w:color w:val="auto"/>
                <w:spacing w:val="-6"/>
                <w:sz w:val="24"/>
                <w:szCs w:val="32"/>
              </w:rPr>
              <w:t>、具备危险废物无害化处理技术服务协议书的得1.5分；</w:t>
            </w:r>
          </w:p>
          <w:p w14:paraId="3166BF91">
            <w:pPr>
              <w:pStyle w:val="51"/>
              <w:spacing w:before="118" w:line="301" w:lineRule="auto"/>
              <w:ind w:left="114" w:right="106"/>
              <w:jc w:val="both"/>
              <w:rPr>
                <w:rFonts w:hint="default"/>
                <w:color w:val="auto"/>
                <w:spacing w:val="-6"/>
                <w:sz w:val="24"/>
                <w:szCs w:val="32"/>
                <w:lang w:val="en-US"/>
              </w:rPr>
            </w:pPr>
            <w:r>
              <w:rPr>
                <w:rFonts w:hint="eastAsia"/>
                <w:color w:val="auto"/>
                <w:spacing w:val="-6"/>
                <w:sz w:val="24"/>
                <w:szCs w:val="32"/>
                <w:lang w:eastAsia="zh-CN"/>
              </w:rPr>
              <w:t>注：以上人员不参与重复计分；人员须提供人员身份证、驾驶证（C1及以上）、劳务合同或劳动合同</w:t>
            </w:r>
            <w:r>
              <w:rPr>
                <w:rFonts w:hint="eastAsia"/>
                <w:color w:val="auto"/>
                <w:spacing w:val="-6"/>
                <w:sz w:val="24"/>
                <w:szCs w:val="32"/>
                <w:lang w:val="en-US" w:eastAsia="zh-CN"/>
              </w:rPr>
              <w:t>，缺少证明材料不得分。</w:t>
            </w:r>
          </w:p>
        </w:tc>
      </w:tr>
      <w:tr w14:paraId="723D9349">
        <w:tblPrEx>
          <w:tblCellMar>
            <w:top w:w="15" w:type="dxa"/>
            <w:left w:w="15" w:type="dxa"/>
            <w:bottom w:w="15" w:type="dxa"/>
            <w:right w:w="15" w:type="dxa"/>
          </w:tblCellMar>
        </w:tblPrEx>
        <w:trPr>
          <w:trHeight w:val="928" w:hRule="atLeast"/>
          <w:jc w:val="center"/>
        </w:trPr>
        <w:tc>
          <w:tcPr>
            <w:tcW w:w="556" w:type="dxa"/>
            <w:tcBorders>
              <w:top w:val="single" w:color="auto" w:sz="4" w:space="0"/>
              <w:left w:val="single" w:color="auto" w:sz="4" w:space="0"/>
              <w:bottom w:val="single" w:color="auto" w:sz="4" w:space="0"/>
              <w:right w:val="single" w:color="auto" w:sz="4" w:space="0"/>
            </w:tcBorders>
            <w:noWrap w:val="0"/>
            <w:vAlign w:val="center"/>
          </w:tcPr>
          <w:p w14:paraId="3CB3910C">
            <w:pPr>
              <w:widowControl/>
              <w:jc w:val="center"/>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4</w:t>
            </w:r>
          </w:p>
        </w:tc>
        <w:tc>
          <w:tcPr>
            <w:tcW w:w="1565" w:type="dxa"/>
            <w:tcBorders>
              <w:top w:val="single" w:color="auto" w:sz="4" w:space="0"/>
              <w:left w:val="single" w:color="auto" w:sz="4" w:space="0"/>
              <w:bottom w:val="single" w:color="auto" w:sz="4" w:space="0"/>
              <w:right w:val="single" w:color="auto" w:sz="4" w:space="0"/>
            </w:tcBorders>
            <w:noWrap w:val="0"/>
            <w:vAlign w:val="center"/>
          </w:tcPr>
          <w:p w14:paraId="52BE9309">
            <w:pPr>
              <w:keepNext w:val="0"/>
              <w:keepLines w:val="0"/>
              <w:pageBreakBefore w:val="0"/>
              <w:widowControl w:val="0"/>
              <w:kinsoku/>
              <w:overflowPunct/>
              <w:topLinePunct w:val="0"/>
              <w:bidi w:val="0"/>
              <w:spacing w:line="400" w:lineRule="exact"/>
              <w:jc w:val="center"/>
              <w:textAlignment w:val="auto"/>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bCs/>
                <w:color w:val="auto"/>
                <w:kern w:val="0"/>
                <w:sz w:val="24"/>
                <w:highlight w:val="none"/>
                <w:lang w:val="en-US" w:eastAsia="zh-CN" w:bidi="ar"/>
              </w:rPr>
              <w:t>维修材料</w:t>
            </w:r>
          </w:p>
          <w:p w14:paraId="41A535B6">
            <w:pPr>
              <w:keepNext w:val="0"/>
              <w:keepLines w:val="0"/>
              <w:pageBreakBefore w:val="0"/>
              <w:widowControl w:val="0"/>
              <w:kinsoku/>
              <w:overflowPunct/>
              <w:topLinePunct w:val="0"/>
              <w:bidi w:val="0"/>
              <w:spacing w:line="400" w:lineRule="exact"/>
              <w:jc w:val="center"/>
              <w:textAlignment w:val="auto"/>
              <w:rPr>
                <w:rFonts w:hint="eastAsia" w:ascii="宋体" w:hAnsi="宋体" w:eastAsia="宋体" w:cs="宋体"/>
                <w:b/>
                <w:bCs/>
                <w:color w:val="auto"/>
                <w:kern w:val="0"/>
                <w:sz w:val="24"/>
                <w:highlight w:val="none"/>
                <w:lang w:val="en-US" w:eastAsia="zh-CN" w:bidi="ar"/>
              </w:rPr>
            </w:pPr>
            <w:r>
              <w:rPr>
                <w:rFonts w:hint="eastAsia" w:ascii="宋体" w:hAnsi="宋体" w:cs="宋体"/>
                <w:b/>
                <w:bCs/>
                <w:color w:val="auto"/>
                <w:kern w:val="0"/>
                <w:sz w:val="24"/>
                <w:highlight w:val="none"/>
                <w:lang w:val="en-US" w:eastAsia="zh-CN" w:bidi="ar"/>
              </w:rPr>
              <w:t>保障</w:t>
            </w:r>
            <w:r>
              <w:rPr>
                <w:rFonts w:hint="eastAsia" w:ascii="宋体" w:hAnsi="宋体" w:eastAsia="宋体" w:cs="宋体"/>
                <w:b/>
                <w:bCs/>
                <w:color w:val="auto"/>
                <w:kern w:val="0"/>
                <w:sz w:val="24"/>
                <w:highlight w:val="none"/>
                <w:lang w:val="en-US" w:eastAsia="zh-CN" w:bidi="ar"/>
              </w:rPr>
              <w:t>方案</w:t>
            </w:r>
          </w:p>
        </w:tc>
        <w:tc>
          <w:tcPr>
            <w:tcW w:w="780" w:type="dxa"/>
            <w:tcBorders>
              <w:top w:val="single" w:color="000000" w:sz="4" w:space="0"/>
              <w:left w:val="single" w:color="auto" w:sz="4" w:space="0"/>
              <w:bottom w:val="single" w:color="000000" w:sz="4" w:space="0"/>
              <w:right w:val="single" w:color="000000" w:sz="4" w:space="0"/>
            </w:tcBorders>
            <w:noWrap w:val="0"/>
            <w:vAlign w:val="center"/>
          </w:tcPr>
          <w:p w14:paraId="17F596B8">
            <w:pPr>
              <w:keepNext w:val="0"/>
              <w:keepLines w:val="0"/>
              <w:pageBreakBefore w:val="0"/>
              <w:kinsoku/>
              <w:overflowPunct/>
              <w:topLinePunct w:val="0"/>
              <w:bidi w:val="0"/>
              <w:spacing w:line="400" w:lineRule="exact"/>
              <w:jc w:val="center"/>
              <w:textAlignment w:val="auto"/>
              <w:rPr>
                <w:rFonts w:hint="default" w:ascii="宋体" w:hAnsi="宋体" w:eastAsia="宋体" w:cs="宋体"/>
                <w:bCs/>
                <w:color w:val="auto"/>
                <w:sz w:val="24"/>
                <w:szCs w:val="22"/>
                <w:highlight w:val="none"/>
                <w:lang w:val="en-US" w:eastAsia="zh-CN"/>
              </w:rPr>
            </w:pPr>
            <w:r>
              <w:rPr>
                <w:rFonts w:hint="eastAsia" w:ascii="宋体" w:hAnsi="宋体" w:cs="宋体"/>
                <w:bCs/>
                <w:color w:val="auto"/>
                <w:sz w:val="24"/>
                <w:szCs w:val="22"/>
                <w:highlight w:val="none"/>
                <w:lang w:val="en-US" w:eastAsia="zh-CN"/>
              </w:rPr>
              <w:t>16分</w:t>
            </w:r>
          </w:p>
        </w:tc>
        <w:tc>
          <w:tcPr>
            <w:tcW w:w="6754" w:type="dxa"/>
            <w:tcBorders>
              <w:top w:val="single" w:color="000000" w:sz="4" w:space="0"/>
              <w:left w:val="single" w:color="000000" w:sz="4" w:space="0"/>
              <w:bottom w:val="single" w:color="000000" w:sz="4" w:space="0"/>
              <w:right w:val="single" w:color="000000" w:sz="4" w:space="0"/>
            </w:tcBorders>
            <w:noWrap w:val="0"/>
            <w:vAlign w:val="top"/>
          </w:tcPr>
          <w:p w14:paraId="3DF65B94">
            <w:pPr>
              <w:pStyle w:val="51"/>
              <w:spacing w:before="118" w:line="301" w:lineRule="auto"/>
              <w:ind w:left="114" w:right="106"/>
              <w:jc w:val="both"/>
              <w:rPr>
                <w:rFonts w:hint="eastAsia"/>
                <w:color w:val="auto"/>
                <w:spacing w:val="-6"/>
                <w:sz w:val="24"/>
                <w:szCs w:val="32"/>
                <w:lang w:eastAsia="zh-CN"/>
              </w:rPr>
            </w:pPr>
            <w:r>
              <w:rPr>
                <w:rFonts w:hint="eastAsia"/>
                <w:color w:val="auto"/>
                <w:spacing w:val="-6"/>
                <w:sz w:val="24"/>
                <w:szCs w:val="32"/>
                <w:lang w:eastAsia="zh-CN"/>
              </w:rPr>
              <w:t>对供应商提供的维修过程中消耗的外购件(含配件、漆料等)保障方案进行评审，包含但不限于：</w:t>
            </w:r>
          </w:p>
          <w:p w14:paraId="02AD3CE6">
            <w:pPr>
              <w:pStyle w:val="51"/>
              <w:spacing w:before="118" w:line="301" w:lineRule="auto"/>
              <w:ind w:left="114" w:right="106"/>
              <w:jc w:val="both"/>
              <w:rPr>
                <w:rFonts w:hint="eastAsia"/>
                <w:color w:val="auto"/>
                <w:spacing w:val="-6"/>
                <w:sz w:val="24"/>
                <w:szCs w:val="32"/>
                <w:lang w:eastAsia="zh-CN"/>
              </w:rPr>
            </w:pPr>
            <w:r>
              <w:rPr>
                <w:rFonts w:hint="eastAsia"/>
                <w:color w:val="auto"/>
                <w:spacing w:val="-6"/>
                <w:sz w:val="24"/>
                <w:szCs w:val="32"/>
                <w:lang w:eastAsia="zh-CN"/>
              </w:rPr>
              <w:t>①进货方案；②进货渠道；③进货凭证；④进货价格控制。</w:t>
            </w:r>
          </w:p>
          <w:p w14:paraId="58E886F3">
            <w:pPr>
              <w:pStyle w:val="51"/>
              <w:spacing w:before="118" w:line="301" w:lineRule="auto"/>
              <w:ind w:left="114" w:right="106"/>
              <w:jc w:val="both"/>
              <w:rPr>
                <w:rFonts w:hint="eastAsia"/>
                <w:color w:val="auto"/>
                <w:spacing w:val="-6"/>
                <w:sz w:val="24"/>
                <w:szCs w:val="32"/>
              </w:rPr>
            </w:pPr>
            <w:r>
              <w:rPr>
                <w:rFonts w:hint="eastAsia"/>
                <w:color w:val="auto"/>
                <w:spacing w:val="-6"/>
                <w:sz w:val="24"/>
                <w:szCs w:val="32"/>
              </w:rPr>
              <w:t>以上内容均有且符合本项目需求的得</w:t>
            </w:r>
            <w:r>
              <w:rPr>
                <w:rFonts w:hint="eastAsia"/>
                <w:color w:val="auto"/>
                <w:spacing w:val="-6"/>
                <w:sz w:val="24"/>
                <w:szCs w:val="32"/>
                <w:lang w:val="en-US" w:eastAsia="zh-CN"/>
              </w:rPr>
              <w:t>16</w:t>
            </w:r>
            <w:r>
              <w:rPr>
                <w:rFonts w:hint="eastAsia"/>
                <w:color w:val="auto"/>
                <w:spacing w:val="-6"/>
                <w:sz w:val="24"/>
                <w:szCs w:val="32"/>
              </w:rPr>
              <w:t>分；方案每缺少一项的扣</w:t>
            </w:r>
            <w:r>
              <w:rPr>
                <w:rFonts w:hint="eastAsia"/>
                <w:color w:val="auto"/>
                <w:spacing w:val="-6"/>
                <w:sz w:val="24"/>
                <w:szCs w:val="32"/>
                <w:lang w:val="en-US" w:eastAsia="zh-CN"/>
              </w:rPr>
              <w:t>4</w:t>
            </w:r>
            <w:r>
              <w:rPr>
                <w:rFonts w:hint="eastAsia"/>
                <w:color w:val="auto"/>
                <w:spacing w:val="-6"/>
                <w:sz w:val="24"/>
                <w:szCs w:val="32"/>
              </w:rPr>
              <w:t>分；每项内容存在缺陷的，一处缺陷扣</w:t>
            </w:r>
            <w:r>
              <w:rPr>
                <w:rFonts w:hint="eastAsia"/>
                <w:color w:val="auto"/>
                <w:spacing w:val="-6"/>
                <w:sz w:val="24"/>
                <w:szCs w:val="32"/>
                <w:lang w:val="en-US" w:eastAsia="zh-CN"/>
              </w:rPr>
              <w:t>2</w:t>
            </w:r>
            <w:r>
              <w:rPr>
                <w:rFonts w:hint="eastAsia"/>
                <w:color w:val="auto"/>
                <w:spacing w:val="-6"/>
                <w:sz w:val="24"/>
                <w:szCs w:val="32"/>
              </w:rPr>
              <w:t>分，该项分值扣完为止。</w:t>
            </w:r>
          </w:p>
          <w:p w14:paraId="0E8970BE">
            <w:pPr>
              <w:pStyle w:val="51"/>
              <w:spacing w:before="118" w:line="301" w:lineRule="auto"/>
              <w:ind w:left="114" w:right="106"/>
              <w:jc w:val="both"/>
              <w:rPr>
                <w:rFonts w:hint="eastAsia" w:ascii="宋体" w:hAnsi="宋体" w:eastAsia="宋体" w:cs="宋体"/>
                <w:color w:val="auto"/>
                <w:spacing w:val="-2"/>
                <w:kern w:val="2"/>
                <w:sz w:val="24"/>
                <w:szCs w:val="24"/>
                <w:lang w:val="en-US" w:eastAsia="zh-CN" w:bidi="ar-SA"/>
              </w:rPr>
            </w:pPr>
            <w:r>
              <w:rPr>
                <w:rFonts w:hint="eastAsia"/>
                <w:color w:val="auto"/>
                <w:spacing w:val="-6"/>
                <w:sz w:val="24"/>
                <w:szCs w:val="32"/>
                <w:lang w:eastAsia="zh-CN"/>
              </w:rPr>
              <w:t>注：只单列标题或无实质性内容视为缺项，“存在缺陷”是指存在项目名称错误、地点区域错误、方案内容前后不一致、不适用于本项目、必要步骤缺失、语句有歧义、不符合相关标准规范、内容简略、内容与本项目无关或针对性差、明显复制其他项目内容中的任意一种情形。</w:t>
            </w:r>
          </w:p>
        </w:tc>
      </w:tr>
      <w:tr w14:paraId="46E84FAF">
        <w:tblPrEx>
          <w:tblCellMar>
            <w:top w:w="15" w:type="dxa"/>
            <w:left w:w="15" w:type="dxa"/>
            <w:bottom w:w="15" w:type="dxa"/>
            <w:right w:w="15" w:type="dxa"/>
          </w:tblCellMar>
        </w:tblPrEx>
        <w:trPr>
          <w:trHeight w:val="928" w:hRule="atLeast"/>
          <w:jc w:val="center"/>
        </w:trPr>
        <w:tc>
          <w:tcPr>
            <w:tcW w:w="556" w:type="dxa"/>
            <w:tcBorders>
              <w:top w:val="single" w:color="auto" w:sz="4" w:space="0"/>
              <w:left w:val="single" w:color="auto" w:sz="4" w:space="0"/>
              <w:bottom w:val="single" w:color="auto" w:sz="4" w:space="0"/>
              <w:right w:val="single" w:color="auto" w:sz="4" w:space="0"/>
            </w:tcBorders>
            <w:noWrap w:val="0"/>
            <w:vAlign w:val="center"/>
          </w:tcPr>
          <w:p w14:paraId="053BE190">
            <w:pPr>
              <w:widowControl/>
              <w:jc w:val="center"/>
              <w:textAlignment w:val="center"/>
              <w:rPr>
                <w:rFonts w:hint="default" w:ascii="宋体" w:hAnsi="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5</w:t>
            </w:r>
          </w:p>
        </w:tc>
        <w:tc>
          <w:tcPr>
            <w:tcW w:w="1565" w:type="dxa"/>
            <w:tcBorders>
              <w:top w:val="single" w:color="auto" w:sz="4" w:space="0"/>
              <w:left w:val="single" w:color="auto" w:sz="4" w:space="0"/>
              <w:bottom w:val="single" w:color="auto" w:sz="4" w:space="0"/>
              <w:right w:val="single" w:color="auto" w:sz="4" w:space="0"/>
            </w:tcBorders>
            <w:noWrap w:val="0"/>
            <w:vAlign w:val="center"/>
          </w:tcPr>
          <w:p w14:paraId="7CFBC366">
            <w:pPr>
              <w:keepNext w:val="0"/>
              <w:keepLines w:val="0"/>
              <w:pageBreakBefore w:val="0"/>
              <w:widowControl w:val="0"/>
              <w:kinsoku/>
              <w:overflowPunct/>
              <w:topLinePunct w:val="0"/>
              <w:bidi w:val="0"/>
              <w:spacing w:line="400" w:lineRule="exact"/>
              <w:jc w:val="center"/>
              <w:textAlignment w:val="auto"/>
              <w:rPr>
                <w:rFonts w:hint="default" w:ascii="宋体" w:hAnsi="宋体" w:eastAsia="宋体" w:cs="宋体"/>
                <w:b/>
                <w:bCs/>
                <w:color w:val="auto"/>
                <w:kern w:val="0"/>
                <w:sz w:val="24"/>
                <w:highlight w:val="none"/>
                <w:lang w:val="en-US" w:eastAsia="zh-CN" w:bidi="ar"/>
              </w:rPr>
            </w:pPr>
            <w:r>
              <w:rPr>
                <w:rFonts w:hint="eastAsia" w:ascii="宋体" w:hAnsi="宋体" w:cs="宋体"/>
                <w:b/>
                <w:bCs/>
                <w:color w:val="auto"/>
                <w:kern w:val="0"/>
                <w:sz w:val="24"/>
                <w:highlight w:val="none"/>
                <w:lang w:val="en-US" w:eastAsia="zh-CN" w:bidi="ar"/>
              </w:rPr>
              <w:t>类似业绩</w:t>
            </w:r>
          </w:p>
        </w:tc>
        <w:tc>
          <w:tcPr>
            <w:tcW w:w="780" w:type="dxa"/>
            <w:tcBorders>
              <w:top w:val="single" w:color="000000" w:sz="4" w:space="0"/>
              <w:left w:val="single" w:color="auto" w:sz="4" w:space="0"/>
              <w:bottom w:val="single" w:color="000000" w:sz="4" w:space="0"/>
              <w:right w:val="single" w:color="000000" w:sz="4" w:space="0"/>
            </w:tcBorders>
            <w:noWrap w:val="0"/>
            <w:vAlign w:val="center"/>
          </w:tcPr>
          <w:p w14:paraId="1F1A190B">
            <w:pPr>
              <w:keepNext w:val="0"/>
              <w:keepLines w:val="0"/>
              <w:pageBreakBefore w:val="0"/>
              <w:kinsoku/>
              <w:overflowPunct/>
              <w:topLinePunct w:val="0"/>
              <w:bidi w:val="0"/>
              <w:spacing w:line="400" w:lineRule="exact"/>
              <w:jc w:val="center"/>
              <w:textAlignment w:val="auto"/>
              <w:rPr>
                <w:rFonts w:hint="default" w:ascii="宋体" w:hAnsi="宋体" w:cs="宋体"/>
                <w:bCs/>
                <w:color w:val="auto"/>
                <w:sz w:val="24"/>
                <w:szCs w:val="22"/>
                <w:highlight w:val="none"/>
                <w:lang w:val="en-US" w:eastAsia="zh-CN"/>
              </w:rPr>
            </w:pPr>
            <w:r>
              <w:rPr>
                <w:rFonts w:hint="eastAsia" w:ascii="宋体" w:hAnsi="宋体" w:cs="宋体"/>
                <w:bCs/>
                <w:color w:val="auto"/>
                <w:sz w:val="24"/>
                <w:szCs w:val="22"/>
                <w:highlight w:val="none"/>
                <w:lang w:val="en-US" w:eastAsia="zh-CN"/>
              </w:rPr>
              <w:t>5分</w:t>
            </w:r>
          </w:p>
        </w:tc>
        <w:tc>
          <w:tcPr>
            <w:tcW w:w="6754" w:type="dxa"/>
            <w:tcBorders>
              <w:top w:val="single" w:color="000000" w:sz="4" w:space="0"/>
              <w:left w:val="single" w:color="000000" w:sz="4" w:space="0"/>
              <w:bottom w:val="single" w:color="000000" w:sz="4" w:space="0"/>
              <w:right w:val="single" w:color="000000" w:sz="4" w:space="0"/>
            </w:tcBorders>
            <w:noWrap w:val="0"/>
            <w:vAlign w:val="top"/>
          </w:tcPr>
          <w:p w14:paraId="7E1E7B30">
            <w:pPr>
              <w:spacing w:before="214" w:line="223" w:lineRule="auto"/>
              <w:rPr>
                <w:rFonts w:hint="default" w:ascii="宋体" w:hAnsi="宋体" w:eastAsia="宋体" w:cs="宋体"/>
                <w:color w:val="auto"/>
                <w:spacing w:val="-2"/>
                <w:kern w:val="2"/>
                <w:sz w:val="24"/>
                <w:szCs w:val="24"/>
                <w:lang w:val="en-US" w:eastAsia="zh-CN" w:bidi="ar-SA"/>
              </w:rPr>
            </w:pPr>
            <w:r>
              <w:rPr>
                <w:rFonts w:hint="default" w:ascii="宋体" w:hAnsi="宋体" w:eastAsia="宋体" w:cs="宋体"/>
                <w:color w:val="auto"/>
                <w:spacing w:val="-2"/>
                <w:kern w:val="2"/>
                <w:sz w:val="24"/>
                <w:szCs w:val="24"/>
                <w:lang w:val="en-US" w:eastAsia="zh-CN" w:bidi="ar-SA"/>
              </w:rPr>
              <w:t>供应商提供202</w:t>
            </w:r>
            <w:r>
              <w:rPr>
                <w:rFonts w:hint="eastAsia" w:ascii="宋体" w:hAnsi="宋体" w:cs="宋体"/>
                <w:color w:val="auto"/>
                <w:spacing w:val="-2"/>
                <w:kern w:val="2"/>
                <w:sz w:val="24"/>
                <w:szCs w:val="24"/>
                <w:lang w:val="en-US" w:eastAsia="zh-CN" w:bidi="ar-SA"/>
              </w:rPr>
              <w:t>2</w:t>
            </w:r>
            <w:r>
              <w:rPr>
                <w:rFonts w:hint="default" w:ascii="宋体" w:hAnsi="宋体" w:eastAsia="宋体" w:cs="宋体"/>
                <w:color w:val="auto"/>
                <w:spacing w:val="-2"/>
                <w:kern w:val="2"/>
                <w:sz w:val="24"/>
                <w:szCs w:val="24"/>
                <w:lang w:val="en-US" w:eastAsia="zh-CN" w:bidi="ar-SA"/>
              </w:rPr>
              <w:t>年1月1日（含）至本项目响应文件递交截止时间止已完成的类似项目业绩，提供一个得2分，在此基础上每增加一个加1分，本项最多得5分。</w:t>
            </w:r>
          </w:p>
          <w:p w14:paraId="77033EE4">
            <w:pPr>
              <w:spacing w:before="214" w:line="223" w:lineRule="auto"/>
              <w:rPr>
                <w:rFonts w:hint="default" w:ascii="宋体" w:hAnsi="宋体" w:eastAsia="宋体" w:cs="宋体"/>
                <w:color w:val="auto"/>
                <w:spacing w:val="-2"/>
                <w:kern w:val="2"/>
                <w:sz w:val="24"/>
                <w:szCs w:val="24"/>
                <w:lang w:val="en-US" w:eastAsia="zh-CN" w:bidi="ar-SA"/>
              </w:rPr>
            </w:pPr>
            <w:r>
              <w:rPr>
                <w:rFonts w:hint="eastAsia" w:ascii="宋体" w:hAnsi="宋体" w:cs="宋体"/>
                <w:color w:val="auto"/>
                <w:spacing w:val="-2"/>
                <w:kern w:val="2"/>
                <w:sz w:val="24"/>
                <w:szCs w:val="24"/>
                <w:lang w:val="en-US" w:eastAsia="zh-CN" w:bidi="ar-SA"/>
              </w:rPr>
              <w:t>注;提供成交通知书或合同扫描件，未提供证明材料不得分。</w:t>
            </w:r>
          </w:p>
        </w:tc>
      </w:tr>
    </w:tbl>
    <w:p w14:paraId="1202E11A">
      <w:pPr>
        <w:tabs>
          <w:tab w:val="left" w:pos="2472"/>
        </w:tabs>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6.统分原则</w:t>
      </w:r>
      <w:bookmarkEnd w:id="173"/>
      <w:bookmarkEnd w:id="174"/>
      <w:bookmarkEnd w:id="175"/>
    </w:p>
    <w:p w14:paraId="09CFEEDF">
      <w:pPr>
        <w:tabs>
          <w:tab w:val="left" w:pos="2472"/>
        </w:tabs>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kern w:val="0"/>
          <w:sz w:val="24"/>
          <w:highlight w:val="none"/>
        </w:rPr>
        <w:t>磋商小组</w:t>
      </w:r>
      <w:r>
        <w:rPr>
          <w:rFonts w:hint="eastAsia" w:ascii="宋体" w:hAnsi="宋体" w:eastAsia="宋体" w:cs="宋体"/>
          <w:color w:val="auto"/>
          <w:sz w:val="24"/>
          <w:highlight w:val="none"/>
        </w:rPr>
        <w:t>按评分标准规定的评分标准和分值进行打分，并计算出供应商的磋商总得分。</w:t>
      </w:r>
    </w:p>
    <w:p w14:paraId="100B72F4">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（2）技术、商务部分得分由磋商小组成员独立评分，</w:t>
      </w:r>
      <w:r>
        <w:rPr>
          <w:rFonts w:hint="eastAsia" w:ascii="宋体" w:hAnsi="宋体" w:eastAsia="宋体" w:cs="宋体"/>
          <w:bCs/>
          <w:color w:val="auto"/>
          <w:sz w:val="24"/>
          <w:highlight w:val="none"/>
        </w:rPr>
        <w:t>供应商各项评分因素得分为该项因素各评委评分的算术平均值（保留小数点后两位）</w:t>
      </w:r>
      <w:r>
        <w:rPr>
          <w:rFonts w:hint="eastAsia" w:ascii="宋体" w:hAnsi="宋体" w:eastAsia="宋体" w:cs="宋体"/>
          <w:color w:val="auto"/>
          <w:sz w:val="24"/>
          <w:highlight w:val="none"/>
        </w:rPr>
        <w:t>，小数点后第三位“四舍五入”。</w:t>
      </w:r>
    </w:p>
    <w:p w14:paraId="17F1CF79">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（3）</w:t>
      </w:r>
      <w:r>
        <w:rPr>
          <w:rFonts w:hint="eastAsia" w:ascii="宋体" w:hAnsi="宋体" w:eastAsia="宋体" w:cs="宋体"/>
          <w:color w:val="auto"/>
          <w:sz w:val="24"/>
          <w:highlight w:val="none"/>
        </w:rPr>
        <w:t>除下列情形外，任何人不得修改评标结果：</w:t>
      </w:r>
    </w:p>
    <w:p w14:paraId="1D0BEB77">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1、资格性审查认定错误的；</w:t>
      </w:r>
    </w:p>
    <w:p w14:paraId="58AA8DFB">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2、分值汇总计算错误的；</w:t>
      </w:r>
    </w:p>
    <w:p w14:paraId="065667E7">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3、分项评分超出评分标准范围的；</w:t>
      </w:r>
    </w:p>
    <w:p w14:paraId="6A537BB8">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4、磋商小组成员对客观评审因素评分不一致的；</w:t>
      </w:r>
    </w:p>
    <w:p w14:paraId="0E946160">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5、经磋商小组认定评分畸高、畸低的。</w:t>
      </w:r>
    </w:p>
    <w:p w14:paraId="4A42C0FA">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经复核发现存在以上情形之一的，磋商小组应当当场修改评标结果，并在评标报告中记载；评标报告签署后，采购人或者采购代理机构发现存在以上情形之一的，应当组织原磋商小组进行重新评审。</w:t>
      </w:r>
    </w:p>
    <w:p w14:paraId="23216A12">
      <w:pPr>
        <w:pStyle w:val="15"/>
        <w:spacing w:after="0" w:line="500" w:lineRule="exact"/>
        <w:ind w:left="0" w:leftChars="0" w:firstLine="241" w:firstLineChars="100"/>
        <w:rPr>
          <w:rFonts w:hint="eastAsia" w:ascii="宋体" w:hAnsi="宋体" w:eastAsia="宋体" w:cs="宋体"/>
          <w:b/>
          <w:bCs/>
          <w:color w:val="auto"/>
          <w:kern w:val="2"/>
          <w:sz w:val="24"/>
          <w:szCs w:val="22"/>
          <w:highlight w:val="none"/>
        </w:rPr>
      </w:pPr>
      <w:r>
        <w:rPr>
          <w:rFonts w:hint="eastAsia" w:ascii="宋体" w:hAnsi="宋体" w:eastAsia="宋体" w:cs="宋体"/>
          <w:b/>
          <w:bCs/>
          <w:color w:val="auto"/>
          <w:kern w:val="2"/>
          <w:sz w:val="24"/>
          <w:szCs w:val="22"/>
          <w:highlight w:val="none"/>
        </w:rPr>
        <w:t>九、评审报告</w:t>
      </w:r>
    </w:p>
    <w:p w14:paraId="5F6B8C09">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1.磋商小组编制书面评审报告。</w:t>
      </w:r>
    </w:p>
    <w:p w14:paraId="2C4359FD">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2.磋商小组按最终得分由高到低顺序推荐成交候选人；最终得分相同的，</w:t>
      </w:r>
      <w:r>
        <w:rPr>
          <w:rFonts w:hint="eastAsia" w:ascii="宋体" w:hAnsi="宋体" w:eastAsia="宋体" w:cs="宋体"/>
          <w:color w:val="auto"/>
          <w:sz w:val="24"/>
          <w:highlight w:val="none"/>
          <w:lang w:val="zh-CN"/>
        </w:rPr>
        <w:t>按照</w:t>
      </w:r>
      <w:r>
        <w:rPr>
          <w:rFonts w:hint="eastAsia" w:ascii="宋体" w:hAnsi="宋体" w:eastAsia="宋体" w:cs="宋体"/>
          <w:color w:val="auto"/>
          <w:sz w:val="24"/>
          <w:highlight w:val="none"/>
        </w:rPr>
        <w:t>磋商报价</w:t>
      </w:r>
      <w:r>
        <w:rPr>
          <w:rFonts w:hint="eastAsia" w:ascii="宋体" w:hAnsi="宋体" w:cs="宋体"/>
          <w:color w:val="auto"/>
          <w:sz w:val="24"/>
          <w:highlight w:val="none"/>
          <w:lang w:eastAsia="zh-CN"/>
        </w:rPr>
        <w:t>低</w:t>
      </w:r>
      <w:r>
        <w:rPr>
          <w:rFonts w:hint="eastAsia" w:ascii="宋体" w:hAnsi="宋体" w:eastAsia="宋体" w:cs="宋体"/>
          <w:color w:val="auto"/>
          <w:sz w:val="24"/>
          <w:highlight w:val="none"/>
        </w:rPr>
        <w:t>到</w:t>
      </w:r>
      <w:r>
        <w:rPr>
          <w:rFonts w:hint="eastAsia" w:ascii="宋体" w:hAnsi="宋体" w:cs="宋体"/>
          <w:color w:val="auto"/>
          <w:sz w:val="24"/>
          <w:highlight w:val="none"/>
          <w:lang w:eastAsia="zh-CN"/>
        </w:rPr>
        <w:t>高</w:t>
      </w:r>
      <w:r>
        <w:rPr>
          <w:rFonts w:hint="eastAsia" w:ascii="宋体" w:hAnsi="宋体" w:eastAsia="宋体" w:cs="宋体"/>
          <w:color w:val="auto"/>
          <w:sz w:val="24"/>
          <w:highlight w:val="none"/>
        </w:rPr>
        <w:t>顺序推荐成交候选人；磋商报价相同的，按照项目实施方案</w:t>
      </w:r>
      <w:r>
        <w:rPr>
          <w:rFonts w:hint="eastAsia" w:ascii="宋体" w:hAnsi="宋体" w:eastAsia="宋体" w:cs="宋体"/>
          <w:color w:val="auto"/>
          <w:sz w:val="24"/>
          <w:highlight w:val="none"/>
          <w:lang w:val="zh-CN"/>
        </w:rPr>
        <w:t>优劣顺序推荐</w:t>
      </w:r>
      <w:r>
        <w:rPr>
          <w:rFonts w:hint="eastAsia" w:ascii="宋体" w:hAnsi="宋体" w:eastAsia="宋体" w:cs="宋体"/>
          <w:color w:val="auto"/>
          <w:sz w:val="24"/>
          <w:highlight w:val="none"/>
        </w:rPr>
        <w:t>，最终磋商小组将根据评审后的总得分由高到低顺序排列推荐3名成交候选人。</w:t>
      </w:r>
    </w:p>
    <w:p w14:paraId="27D81549">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3.磋商小组成员要依法独立评审，并对评审意见承担个人责任。磋商小组成员对需要共同认定的事项存在争议的，按照少数服从多数的原则</w:t>
      </w:r>
      <w:r>
        <w:rPr>
          <w:rFonts w:hint="eastAsia" w:ascii="宋体" w:hAnsi="宋体" w:cs="宋体"/>
          <w:color w:val="auto"/>
          <w:sz w:val="24"/>
          <w:highlight w:val="none"/>
          <w:lang w:eastAsia="zh-CN"/>
        </w:rPr>
        <w:t>作出</w:t>
      </w:r>
      <w:r>
        <w:rPr>
          <w:rFonts w:hint="eastAsia" w:ascii="宋体" w:hAnsi="宋体" w:eastAsia="宋体" w:cs="宋体"/>
          <w:color w:val="auto"/>
          <w:sz w:val="24"/>
          <w:highlight w:val="none"/>
        </w:rPr>
        <w:t>结论。持不同意见的磋商小组成员应当在评审报告上签署不同意见并说明理由，否则视为同意。</w:t>
      </w:r>
    </w:p>
    <w:p w14:paraId="2164CBF3">
      <w:pPr>
        <w:spacing w:line="500" w:lineRule="exact"/>
        <w:ind w:firstLine="480" w:firstLineChars="200"/>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4.根据《财政部关于进一步规范政府采购评审工作有关问题的通知（财库〔2012〕69号）》的规定，评审结果汇总完成后，采购人、采购代理机构和磋商小组均不得修改评审结果或者要求重新评审，但资格性检查认定错误、分值汇总计算错误、分项评分超出评分标准范围、客观分评分不一致、经磋商小组一致认定评分畸高、畸低的情形除外。出现上述除外情形的，磋商小组应当现场修改评审结果，并在评审报告中明确记载。</w:t>
      </w:r>
      <w:bookmarkStart w:id="176" w:name="_Toc321836413"/>
      <w:bookmarkStart w:id="177" w:name="_Toc432106535"/>
      <w:bookmarkStart w:id="178" w:name="_Toc432194885"/>
      <w:bookmarkStart w:id="179" w:name="_Toc20872"/>
    </w:p>
    <w:bookmarkEnd w:id="176"/>
    <w:bookmarkEnd w:id="177"/>
    <w:bookmarkEnd w:id="178"/>
    <w:bookmarkEnd w:id="179"/>
    <w:p w14:paraId="55961177">
      <w:pPr>
        <w:pStyle w:val="15"/>
        <w:spacing w:after="0" w:line="500" w:lineRule="exact"/>
        <w:ind w:left="0" w:leftChars="0" w:firstLine="480"/>
        <w:rPr>
          <w:rFonts w:hint="eastAsia" w:ascii="宋体" w:hAnsi="宋体" w:eastAsia="宋体" w:cs="宋体"/>
          <w:color w:val="auto"/>
          <w:kern w:val="2"/>
          <w:sz w:val="24"/>
          <w:highlight w:val="none"/>
        </w:rPr>
        <w:sectPr>
          <w:headerReference r:id="rId7" w:type="default"/>
          <w:footerReference r:id="rId8" w:type="default"/>
          <w:pgSz w:w="11906" w:h="16838"/>
          <w:pgMar w:top="1440" w:right="1440" w:bottom="1440" w:left="1440" w:header="851" w:footer="992" w:gutter="0"/>
          <w:pgNumType w:fmt="decimal"/>
          <w:cols w:space="720" w:num="1"/>
          <w:docGrid w:type="lines" w:linePitch="312" w:charSpace="0"/>
        </w:sectPr>
      </w:pPr>
      <w:r>
        <w:rPr>
          <w:rFonts w:hint="eastAsia" w:ascii="宋体" w:hAnsi="宋体" w:eastAsia="宋体" w:cs="宋体"/>
          <w:color w:val="auto"/>
          <w:kern w:val="2"/>
          <w:sz w:val="24"/>
          <w:highlight w:val="none"/>
        </w:rPr>
        <w:t>5.磋商小组发现竞争性磋商文件存在歧义、重大缺陷导致评审工作无法进行，或者竞争性磋商文件内容违反国家有关规定的，要停止评审工作并向采购人或采购代理机构书面说明情况，采购人或采购代理机构应当修改竞争性磋商文件后重新组织采购活动；发现供应商提供虚假材料、串通等违法违规行为的，要及时向采购人或采购代理机构报告。</w:t>
      </w:r>
    </w:p>
    <w:p w14:paraId="160FC74A">
      <w:pPr>
        <w:spacing w:line="360" w:lineRule="auto"/>
        <w:rPr>
          <w:rStyle w:val="66"/>
          <w:rFonts w:hint="eastAsia" w:ascii="宋体" w:hAnsi="宋体" w:eastAsia="宋体" w:cs="宋体"/>
          <w:color w:val="auto"/>
          <w:sz w:val="28"/>
          <w:szCs w:val="28"/>
          <w:highlight w:val="none"/>
        </w:rPr>
      </w:pPr>
      <w:r>
        <w:rPr>
          <w:rStyle w:val="66"/>
          <w:rFonts w:hint="eastAsia" w:ascii="宋体" w:hAnsi="宋体" w:eastAsia="宋体" w:cs="宋体"/>
          <w:color w:val="auto"/>
          <w:sz w:val="28"/>
          <w:szCs w:val="28"/>
          <w:highlight w:val="none"/>
        </w:rPr>
        <w:t>附件一：问题澄清通知</w:t>
      </w:r>
    </w:p>
    <w:p w14:paraId="2EDF9042">
      <w:pPr>
        <w:spacing w:line="320" w:lineRule="exact"/>
        <w:jc w:val="center"/>
        <w:rPr>
          <w:rFonts w:hint="eastAsia" w:ascii="宋体" w:hAnsi="宋体" w:eastAsia="宋体" w:cs="宋体"/>
          <w:b/>
          <w:bCs/>
          <w:color w:val="auto"/>
          <w:sz w:val="28"/>
          <w:szCs w:val="28"/>
          <w:highlight w:val="none"/>
        </w:rPr>
      </w:pPr>
    </w:p>
    <w:p w14:paraId="38195AC1">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问题澄清通知</w:t>
      </w:r>
    </w:p>
    <w:p w14:paraId="21E8AF3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(编号</w:t>
      </w:r>
      <w:r>
        <w:rPr>
          <w:rFonts w:hint="eastAsia" w:ascii="宋体" w:hAnsi="宋体" w:cs="宋体"/>
          <w:color w:val="auto"/>
          <w:sz w:val="24"/>
          <w:highlight w:val="none"/>
          <w:lang w:eastAsia="zh-CN"/>
        </w:rPr>
        <w:t>)</w:t>
      </w:r>
    </w:p>
    <w:p w14:paraId="6D4DB1F8">
      <w:pPr>
        <w:spacing w:line="360" w:lineRule="auto"/>
        <w:jc w:val="center"/>
        <w:rPr>
          <w:rFonts w:hint="eastAsia" w:ascii="宋体" w:hAnsi="宋体" w:eastAsia="宋体" w:cs="宋体"/>
          <w:color w:val="auto"/>
          <w:sz w:val="24"/>
          <w:highlight w:val="none"/>
        </w:rPr>
      </w:pPr>
    </w:p>
    <w:p w14:paraId="390F2BF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p>
    <w:p w14:paraId="733A955A">
      <w:pPr>
        <w:pStyle w:val="12"/>
        <w:ind w:firstLine="720" w:firstLineChars="300"/>
        <w:rPr>
          <w:rFonts w:hint="eastAsia" w:ascii="宋体" w:hAnsi="宋体" w:eastAsia="宋体" w:cs="宋体"/>
          <w:color w:val="auto"/>
          <w:sz w:val="24"/>
          <w:szCs w:val="24"/>
          <w:highlight w:val="none"/>
        </w:rPr>
      </w:pPr>
    </w:p>
    <w:p w14:paraId="62892C62">
      <w:pPr>
        <w:pStyle w:val="12"/>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磋商小组对你方的响应文件进行了仔细的审查，现需你方对下列问题以书面形式予以澄清、说明或补正：</w:t>
      </w:r>
    </w:p>
    <w:p w14:paraId="28F207EB">
      <w:pPr>
        <w:spacing w:line="360" w:lineRule="auto"/>
        <w:ind w:left="360" w:right="35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p w14:paraId="695E407B">
      <w:pPr>
        <w:spacing w:line="360" w:lineRule="auto"/>
        <w:ind w:left="360" w:right="35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p w14:paraId="0879BD17">
      <w:pPr>
        <w:spacing w:line="360" w:lineRule="auto"/>
        <w:ind w:left="360" w:right="357"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p>
    <w:p w14:paraId="1E93D9FA">
      <w:pPr>
        <w:spacing w:line="360" w:lineRule="auto"/>
        <w:ind w:right="357"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请将上述问题的澄清、说明或补正于年月日时前递交至 (详细地址)或发送邮件至</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(邮箱号码)。采用发送邮件方式的，应在年月日时前将原件递交至</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(详细地址)。                                        </w:t>
      </w:r>
    </w:p>
    <w:p w14:paraId="4FAF2434">
      <w:pPr>
        <w:spacing w:line="360" w:lineRule="auto"/>
        <w:ind w:right="357"/>
        <w:rPr>
          <w:rFonts w:hint="eastAsia" w:ascii="宋体" w:hAnsi="宋体" w:eastAsia="宋体" w:cs="宋体"/>
          <w:color w:val="auto"/>
          <w:sz w:val="24"/>
          <w:highlight w:val="none"/>
        </w:rPr>
      </w:pPr>
    </w:p>
    <w:p w14:paraId="74BED5FE">
      <w:pPr>
        <w:spacing w:line="360" w:lineRule="auto"/>
        <w:ind w:right="357" w:firstLine="4800" w:firstLineChars="20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 </w:t>
      </w:r>
      <w:r>
        <w:rPr>
          <w:rFonts w:hint="eastAsia" w:ascii="宋体" w:hAnsi="宋体" w:eastAsia="宋体" w:cs="宋体"/>
          <w:color w:val="auto"/>
          <w:sz w:val="24"/>
          <w:highlight w:val="none"/>
          <w:u w:val="single"/>
        </w:rPr>
        <w:tab/>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p>
    <w:p w14:paraId="7039A9C0">
      <w:pPr>
        <w:spacing w:line="360" w:lineRule="auto"/>
        <w:ind w:right="357"/>
        <w:rPr>
          <w:rFonts w:hint="eastAsia" w:ascii="宋体" w:hAnsi="宋体" w:eastAsia="宋体" w:cs="宋体"/>
          <w:color w:val="auto"/>
          <w:sz w:val="24"/>
          <w:highlight w:val="none"/>
        </w:rPr>
      </w:pPr>
    </w:p>
    <w:p w14:paraId="2E41CDD5">
      <w:pPr>
        <w:spacing w:line="360" w:lineRule="auto"/>
        <w:ind w:firstLine="4920" w:firstLineChars="205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01F8663C">
      <w:pPr>
        <w:spacing w:line="240" w:lineRule="exact"/>
        <w:rPr>
          <w:rFonts w:hint="eastAsia" w:ascii="宋体" w:hAnsi="宋体" w:eastAsia="宋体" w:cs="宋体"/>
          <w:color w:val="auto"/>
          <w:highlight w:val="none"/>
        </w:rPr>
      </w:pPr>
      <w:r>
        <w:rPr>
          <w:rFonts w:hint="eastAsia" w:ascii="宋体" w:hAnsi="宋体" w:eastAsia="宋体" w:cs="宋体"/>
          <w:color w:val="auto"/>
          <w:sz w:val="32"/>
          <w:szCs w:val="32"/>
          <w:highlight w:val="none"/>
        </w:rPr>
        <w:br w:type="page"/>
      </w:r>
    </w:p>
    <w:p w14:paraId="1DC45037">
      <w:pPr>
        <w:rPr>
          <w:rStyle w:val="66"/>
          <w:rFonts w:hint="eastAsia" w:ascii="宋体" w:hAnsi="宋体" w:eastAsia="宋体" w:cs="宋体"/>
          <w:color w:val="auto"/>
          <w:sz w:val="28"/>
          <w:szCs w:val="28"/>
          <w:highlight w:val="none"/>
        </w:rPr>
      </w:pPr>
      <w:r>
        <w:rPr>
          <w:rStyle w:val="66"/>
          <w:rFonts w:hint="eastAsia" w:ascii="宋体" w:hAnsi="宋体" w:eastAsia="宋体" w:cs="宋体"/>
          <w:color w:val="auto"/>
          <w:sz w:val="28"/>
          <w:szCs w:val="28"/>
          <w:highlight w:val="none"/>
        </w:rPr>
        <w:t>附件二：问题的澄清</w:t>
      </w:r>
    </w:p>
    <w:p w14:paraId="5611768A">
      <w:pPr>
        <w:spacing w:line="320" w:lineRule="exact"/>
        <w:jc w:val="center"/>
        <w:rPr>
          <w:rFonts w:hint="eastAsia" w:ascii="宋体" w:hAnsi="宋体" w:eastAsia="宋体" w:cs="宋体"/>
          <w:b/>
          <w:bCs/>
          <w:color w:val="auto"/>
          <w:sz w:val="28"/>
          <w:szCs w:val="28"/>
          <w:highlight w:val="none"/>
        </w:rPr>
      </w:pPr>
    </w:p>
    <w:p w14:paraId="222EBD0A">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问题的澄清</w:t>
      </w:r>
    </w:p>
    <w:p w14:paraId="006758B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(编号：  )</w:t>
      </w:r>
    </w:p>
    <w:p w14:paraId="03B88628">
      <w:pPr>
        <w:spacing w:line="360" w:lineRule="auto"/>
        <w:jc w:val="center"/>
        <w:rPr>
          <w:rFonts w:hint="eastAsia" w:ascii="宋体" w:hAnsi="宋体" w:eastAsia="宋体" w:cs="宋体"/>
          <w:color w:val="auto"/>
          <w:sz w:val="24"/>
          <w:highlight w:val="none"/>
        </w:rPr>
      </w:pPr>
    </w:p>
    <w:p w14:paraId="1465F45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w:t>
      </w:r>
    </w:p>
    <w:p w14:paraId="0C511198">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问题澄清通知(编号 ： )已收悉，现澄清、说明或补正如下：</w:t>
      </w:r>
    </w:p>
    <w:p w14:paraId="768A797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w:t>
      </w:r>
    </w:p>
    <w:p w14:paraId="17ADCBC8">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p w14:paraId="60DA2417">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4B5CD659">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上述问题澄清、说明或补正，不改变我方响应文件的实质性内容，构成我方响应文件的组成部分。</w:t>
      </w:r>
    </w:p>
    <w:p w14:paraId="3FD96CDC">
      <w:pPr>
        <w:spacing w:line="360" w:lineRule="auto"/>
        <w:ind w:firstLine="2880" w:firstLineChars="1200"/>
        <w:rPr>
          <w:rFonts w:hint="eastAsia" w:ascii="宋体" w:hAnsi="宋体" w:eastAsia="宋体" w:cs="宋体"/>
          <w:color w:val="auto"/>
          <w:sz w:val="24"/>
          <w:highlight w:val="none"/>
        </w:rPr>
      </w:pPr>
    </w:p>
    <w:p w14:paraId="2ADCC950">
      <w:pPr>
        <w:ind w:firstLine="1446" w:firstLineChars="600"/>
        <w:rPr>
          <w:rFonts w:hint="eastAsia" w:ascii="宋体" w:hAnsi="宋体" w:eastAsia="宋体" w:cs="宋体"/>
          <w:b/>
          <w:color w:val="auto"/>
          <w:sz w:val="24"/>
          <w:highlight w:val="none"/>
        </w:rPr>
      </w:pPr>
    </w:p>
    <w:p w14:paraId="6167D03E">
      <w:pPr>
        <w:ind w:firstLine="1446" w:firstLineChars="600"/>
        <w:rPr>
          <w:rFonts w:hint="eastAsia" w:ascii="宋体" w:hAnsi="宋体" w:eastAsia="宋体" w:cs="宋体"/>
          <w:b/>
          <w:color w:val="auto"/>
          <w:sz w:val="24"/>
          <w:highlight w:val="none"/>
        </w:rPr>
      </w:pPr>
    </w:p>
    <w:p w14:paraId="5F61F8E7">
      <w:pPr>
        <w:ind w:firstLine="1446" w:firstLineChars="600"/>
        <w:rPr>
          <w:rFonts w:hint="eastAsia" w:ascii="宋体" w:hAnsi="宋体" w:eastAsia="宋体" w:cs="宋体"/>
          <w:b/>
          <w:color w:val="auto"/>
          <w:sz w:val="24"/>
          <w:highlight w:val="none"/>
        </w:rPr>
      </w:pPr>
    </w:p>
    <w:p w14:paraId="4B6ABE95">
      <w:pPr>
        <w:ind w:firstLine="1446" w:firstLineChars="6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w:t>
      </w:r>
      <w:r>
        <w:rPr>
          <w:rFonts w:hint="eastAsia" w:ascii="宋体" w:hAnsi="宋体" w:eastAsia="宋体" w:cs="宋体"/>
          <w:b/>
          <w:color w:val="auto"/>
          <w:sz w:val="24"/>
          <w:highlight w:val="none"/>
          <w:u w:val="single"/>
        </w:rPr>
        <w:tab/>
      </w:r>
      <w:r>
        <w:rPr>
          <w:rFonts w:hint="eastAsia" w:ascii="宋体" w:hAnsi="宋体" w:cs="宋体"/>
          <w:b/>
          <w:color w:val="auto"/>
          <w:sz w:val="24"/>
          <w:highlight w:val="none"/>
          <w:u w:val="single"/>
          <w:lang w:val="en-US" w:eastAsia="zh-CN"/>
        </w:rPr>
        <w:t xml:space="preserve">                  </w:t>
      </w:r>
      <w:r>
        <w:rPr>
          <w:rFonts w:hint="eastAsia" w:ascii="宋体" w:hAnsi="宋体" w:eastAsia="宋体" w:cs="宋体"/>
          <w:b/>
          <w:color w:val="auto"/>
          <w:sz w:val="24"/>
          <w:highlight w:val="none"/>
        </w:rPr>
        <w:t>（加盖单位公章）</w:t>
      </w:r>
    </w:p>
    <w:p w14:paraId="33C58E91">
      <w:pPr>
        <w:rPr>
          <w:rFonts w:hint="eastAsia" w:ascii="宋体" w:hAnsi="宋体" w:eastAsia="宋体" w:cs="宋体"/>
          <w:b/>
          <w:color w:val="auto"/>
          <w:sz w:val="24"/>
          <w:highlight w:val="none"/>
        </w:rPr>
      </w:pPr>
    </w:p>
    <w:p w14:paraId="583F1E1F">
      <w:pPr>
        <w:ind w:firstLine="1687" w:firstLineChars="7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法定代表人或其委托代理人：</w:t>
      </w:r>
      <w:r>
        <w:rPr>
          <w:rFonts w:hint="eastAsia" w:ascii="宋体" w:hAnsi="宋体" w:cs="宋体"/>
          <w:b/>
          <w:color w:val="auto"/>
          <w:sz w:val="24"/>
          <w:highlight w:val="none"/>
          <w:u w:val="single"/>
          <w:lang w:val="en-US" w:eastAsia="zh-CN"/>
        </w:rPr>
        <w:t xml:space="preserve">           </w:t>
      </w:r>
      <w:r>
        <w:rPr>
          <w:rFonts w:hint="eastAsia" w:ascii="宋体" w:hAnsi="宋体" w:eastAsia="宋体" w:cs="宋体"/>
          <w:b/>
          <w:color w:val="auto"/>
          <w:sz w:val="24"/>
          <w:highlight w:val="none"/>
        </w:rPr>
        <w:t>（签字或盖章）</w:t>
      </w:r>
    </w:p>
    <w:p w14:paraId="55412959">
      <w:pPr>
        <w:rPr>
          <w:rFonts w:hint="eastAsia" w:ascii="宋体" w:hAnsi="宋体" w:eastAsia="宋体" w:cs="宋体"/>
          <w:b/>
          <w:color w:val="auto"/>
          <w:sz w:val="24"/>
          <w:highlight w:val="none"/>
        </w:rPr>
      </w:pPr>
    </w:p>
    <w:p w14:paraId="5EB78057">
      <w:pPr>
        <w:spacing w:line="360" w:lineRule="auto"/>
        <w:ind w:firstLine="2891" w:firstLineChars="1200"/>
        <w:rPr>
          <w:rFonts w:hint="eastAsia" w:ascii="宋体" w:hAnsi="宋体" w:eastAsia="宋体" w:cs="宋体"/>
          <w:color w:val="auto"/>
          <w:highlight w:val="none"/>
        </w:rPr>
      </w:pPr>
      <w:r>
        <w:rPr>
          <w:rFonts w:hint="eastAsia" w:ascii="宋体" w:hAnsi="宋体" w:eastAsia="宋体" w:cs="宋体"/>
          <w:b/>
          <w:color w:val="auto"/>
          <w:sz w:val="24"/>
          <w:highlight w:val="none"/>
        </w:rPr>
        <w:t>日期：</w:t>
      </w:r>
      <w:r>
        <w:rPr>
          <w:rFonts w:hint="eastAsia" w:ascii="宋体" w:hAnsi="宋体" w:cs="宋体"/>
          <w:b/>
          <w:color w:val="auto"/>
          <w:sz w:val="24"/>
          <w:highlight w:val="none"/>
          <w:u w:val="single"/>
          <w:lang w:val="en-US" w:eastAsia="zh-CN"/>
        </w:rPr>
        <w:t xml:space="preserve">      </w:t>
      </w:r>
      <w:r>
        <w:rPr>
          <w:rFonts w:hint="eastAsia" w:ascii="宋体" w:hAnsi="宋体" w:eastAsia="宋体" w:cs="宋体"/>
          <w:b/>
          <w:color w:val="auto"/>
          <w:sz w:val="24"/>
          <w:highlight w:val="none"/>
        </w:rPr>
        <w:t>年</w:t>
      </w:r>
      <w:r>
        <w:rPr>
          <w:rFonts w:hint="eastAsia" w:ascii="宋体" w:hAnsi="宋体" w:cs="宋体"/>
          <w:b/>
          <w:color w:val="auto"/>
          <w:sz w:val="24"/>
          <w:highlight w:val="none"/>
          <w:u w:val="single"/>
          <w:lang w:val="en-US" w:eastAsia="zh-CN"/>
        </w:rPr>
        <w:t xml:space="preserve">   </w:t>
      </w:r>
      <w:r>
        <w:rPr>
          <w:rFonts w:hint="eastAsia" w:ascii="宋体" w:hAnsi="宋体" w:eastAsia="宋体" w:cs="宋体"/>
          <w:b/>
          <w:color w:val="auto"/>
          <w:sz w:val="24"/>
          <w:highlight w:val="none"/>
        </w:rPr>
        <w:t>月</w:t>
      </w:r>
      <w:r>
        <w:rPr>
          <w:rFonts w:hint="eastAsia" w:ascii="宋体" w:hAnsi="宋体" w:cs="宋体"/>
          <w:b/>
          <w:color w:val="auto"/>
          <w:sz w:val="24"/>
          <w:highlight w:val="none"/>
          <w:u w:val="single"/>
          <w:lang w:val="en-US" w:eastAsia="zh-CN"/>
        </w:rPr>
        <w:t xml:space="preserve">    </w:t>
      </w:r>
      <w:r>
        <w:rPr>
          <w:rFonts w:hint="eastAsia" w:ascii="宋体" w:hAnsi="宋体" w:eastAsia="宋体" w:cs="宋体"/>
          <w:b/>
          <w:color w:val="auto"/>
          <w:sz w:val="24"/>
          <w:highlight w:val="none"/>
        </w:rPr>
        <w:t>日</w:t>
      </w:r>
    </w:p>
    <w:p w14:paraId="0C8D9B63">
      <w:pPr>
        <w:pStyle w:val="15"/>
        <w:spacing w:after="0" w:line="500" w:lineRule="exact"/>
        <w:ind w:left="0" w:leftChars="0" w:firstLine="480"/>
        <w:rPr>
          <w:rFonts w:hint="eastAsia" w:ascii="宋体" w:hAnsi="宋体" w:eastAsia="宋体" w:cs="宋体"/>
          <w:color w:val="auto"/>
          <w:kern w:val="2"/>
          <w:sz w:val="24"/>
          <w:highlight w:val="none"/>
        </w:rPr>
        <w:sectPr>
          <w:footerReference r:id="rId9" w:type="default"/>
          <w:pgSz w:w="11906" w:h="16838"/>
          <w:pgMar w:top="1440" w:right="1440" w:bottom="1440" w:left="1440" w:header="851" w:footer="992" w:gutter="0"/>
          <w:pgNumType w:fmt="decimal"/>
          <w:cols w:space="720" w:num="1"/>
          <w:docGrid w:type="lines" w:linePitch="312" w:charSpace="0"/>
        </w:sectPr>
      </w:pPr>
    </w:p>
    <w:p w14:paraId="4DA90661">
      <w:pPr>
        <w:numPr>
          <w:ilvl w:val="0"/>
          <w:numId w:val="0"/>
        </w:numPr>
        <w:snapToGrid w:val="0"/>
        <w:spacing w:line="360" w:lineRule="auto"/>
        <w:jc w:val="center"/>
        <w:outlineLvl w:val="0"/>
        <w:rPr>
          <w:rFonts w:hint="eastAsia" w:ascii="宋体" w:hAnsi="宋体" w:eastAsia="宋体" w:cs="宋体"/>
          <w:b w:val="0"/>
          <w:bCs w:val="0"/>
          <w:color w:val="auto"/>
          <w:sz w:val="32"/>
          <w:szCs w:val="32"/>
          <w:highlight w:val="none"/>
        </w:rPr>
      </w:pPr>
      <w:bookmarkStart w:id="180" w:name="_Toc12242"/>
      <w:bookmarkStart w:id="181" w:name="_Toc1695"/>
      <w:bookmarkStart w:id="182" w:name="_Toc31715"/>
      <w:bookmarkStart w:id="183" w:name="_Toc25591"/>
      <w:bookmarkStart w:id="184" w:name="_Toc29030"/>
      <w:bookmarkStart w:id="185" w:name="_Toc5366"/>
      <w:bookmarkStart w:id="186" w:name="_Toc17398"/>
      <w:r>
        <w:rPr>
          <w:rFonts w:hint="eastAsia" w:ascii="宋体" w:hAnsi="宋体" w:eastAsia="宋体" w:cs="宋体"/>
          <w:b w:val="0"/>
          <w:bCs w:val="0"/>
          <w:color w:val="auto"/>
          <w:kern w:val="2"/>
          <w:sz w:val="32"/>
          <w:szCs w:val="32"/>
          <w:lang w:val="en-US" w:eastAsia="zh-CN" w:bidi="ar-SA"/>
        </w:rPr>
        <w:t>第</w:t>
      </w:r>
      <w:r>
        <w:rPr>
          <w:rFonts w:hint="eastAsia" w:ascii="宋体" w:hAnsi="宋体" w:cs="宋体"/>
          <w:b w:val="0"/>
          <w:bCs w:val="0"/>
          <w:color w:val="auto"/>
          <w:kern w:val="2"/>
          <w:sz w:val="32"/>
          <w:szCs w:val="32"/>
          <w:lang w:val="en-US" w:eastAsia="zh-CN" w:bidi="ar-SA"/>
        </w:rPr>
        <w:t>五</w:t>
      </w:r>
      <w:r>
        <w:rPr>
          <w:rFonts w:hint="eastAsia" w:ascii="宋体" w:hAnsi="宋体" w:eastAsia="宋体" w:cs="宋体"/>
          <w:b w:val="0"/>
          <w:bCs w:val="0"/>
          <w:color w:val="auto"/>
          <w:kern w:val="2"/>
          <w:sz w:val="32"/>
          <w:szCs w:val="32"/>
          <w:lang w:val="en-US" w:eastAsia="zh-CN" w:bidi="ar-SA"/>
        </w:rPr>
        <w:t>章</w:t>
      </w:r>
      <w:r>
        <w:rPr>
          <w:rFonts w:hint="eastAsia" w:ascii="宋体" w:hAnsi="宋体" w:eastAsia="宋体" w:cs="宋体"/>
          <w:b w:val="0"/>
          <w:bCs w:val="0"/>
          <w:color w:val="auto"/>
          <w:sz w:val="32"/>
          <w:szCs w:val="32"/>
          <w:highlight w:val="none"/>
        </w:rPr>
        <w:t xml:space="preserve">   </w:t>
      </w:r>
      <w:bookmarkStart w:id="187" w:name="_Toc27035"/>
      <w:bookmarkStart w:id="188" w:name="_Toc6942"/>
      <w:r>
        <w:rPr>
          <w:rFonts w:hint="eastAsia" w:ascii="宋体" w:hAnsi="宋体" w:eastAsia="宋体" w:cs="宋体"/>
          <w:b w:val="0"/>
          <w:bCs w:val="0"/>
          <w:color w:val="auto"/>
          <w:sz w:val="32"/>
          <w:szCs w:val="32"/>
          <w:highlight w:val="none"/>
        </w:rPr>
        <w:t>合同条款</w:t>
      </w:r>
      <w:bookmarkEnd w:id="180"/>
      <w:bookmarkEnd w:id="187"/>
      <w:bookmarkEnd w:id="188"/>
    </w:p>
    <w:p w14:paraId="1DD060D1">
      <w:pPr>
        <w:spacing w:line="360" w:lineRule="auto"/>
        <w:jc w:val="center"/>
        <w:outlineLvl w:val="0"/>
        <w:rPr>
          <w:rFonts w:hint="eastAsia" w:ascii="宋体" w:hAnsi="宋体" w:eastAsia="宋体" w:cs="宋体"/>
          <w:b w:val="0"/>
          <w:bCs w:val="0"/>
          <w:color w:val="auto"/>
          <w:sz w:val="23"/>
          <w:highlight w:val="none"/>
        </w:rPr>
      </w:pPr>
      <w:bookmarkStart w:id="189" w:name="_Toc23468"/>
      <w:bookmarkStart w:id="190" w:name="_Toc2061"/>
      <w:bookmarkStart w:id="191" w:name="_Toc23731"/>
      <w:r>
        <w:rPr>
          <w:rFonts w:hint="eastAsia" w:ascii="宋体" w:hAnsi="宋体" w:eastAsia="宋体" w:cs="宋体"/>
          <w:b w:val="0"/>
          <w:bCs w:val="0"/>
          <w:color w:val="auto"/>
          <w:sz w:val="36"/>
          <w:highlight w:val="none"/>
        </w:rPr>
        <w:t>（</w:t>
      </w:r>
      <w:r>
        <w:rPr>
          <w:rFonts w:hint="eastAsia" w:ascii="宋体" w:hAnsi="宋体" w:eastAsia="宋体" w:cs="宋体"/>
          <w:b w:val="0"/>
          <w:bCs w:val="0"/>
          <w:caps/>
          <w:color w:val="auto"/>
          <w:sz w:val="30"/>
          <w:highlight w:val="none"/>
        </w:rPr>
        <w:t>包含但不仅限于以下条款，以实际招投标文件修改完善</w:t>
      </w:r>
      <w:r>
        <w:rPr>
          <w:rFonts w:hint="eastAsia" w:ascii="宋体" w:hAnsi="宋体" w:eastAsia="宋体" w:cs="宋体"/>
          <w:b w:val="0"/>
          <w:bCs w:val="0"/>
          <w:color w:val="auto"/>
          <w:sz w:val="36"/>
          <w:highlight w:val="none"/>
        </w:rPr>
        <w:t>）</w:t>
      </w:r>
      <w:bookmarkEnd w:id="189"/>
      <w:bookmarkEnd w:id="190"/>
      <w:bookmarkEnd w:id="191"/>
    </w:p>
    <w:p w14:paraId="0BD1D529">
      <w:pPr>
        <w:spacing w:before="156" w:beforeLines="50" w:after="200" w:line="276" w:lineRule="auto"/>
        <w:jc w:val="left"/>
        <w:rPr>
          <w:rFonts w:hint="eastAsia" w:ascii="宋体" w:hAnsi="宋体" w:eastAsia="宋体" w:cs="宋体"/>
          <w:b w:val="0"/>
          <w:bCs w:val="0"/>
          <w:spacing w:val="28"/>
          <w:sz w:val="40"/>
          <w:szCs w:val="40"/>
          <w:lang w:eastAsia="zh-CN"/>
        </w:rPr>
      </w:pPr>
      <w:r>
        <w:rPr>
          <w:rFonts w:hint="eastAsia" w:ascii="宋体" w:hAnsi="宋体" w:eastAsia="宋体" w:cs="宋体"/>
          <w:b w:val="0"/>
          <w:bCs w:val="0"/>
          <w:color w:val="000000"/>
          <w:sz w:val="24"/>
        </w:rPr>
        <w:t>●合同编号：</w:t>
      </w:r>
      <w:r>
        <w:rPr>
          <w:rFonts w:hint="eastAsia" w:ascii="宋体" w:hAnsi="宋体" w:eastAsia="宋体" w:cs="宋体"/>
          <w:b w:val="0"/>
          <w:bCs w:val="0"/>
          <w:color w:val="000000"/>
          <w:sz w:val="24"/>
          <w:lang w:eastAsia="zh-CN"/>
        </w:rPr>
        <w:t>DHZH2025-042</w:t>
      </w:r>
      <w:r>
        <w:rPr>
          <w:rFonts w:hint="eastAsia" w:ascii="宋体" w:hAnsi="宋体" w:eastAsia="宋体" w:cs="宋体"/>
          <w:b w:val="0"/>
          <w:bCs w:val="0"/>
          <w:color w:val="000000"/>
          <w:sz w:val="24"/>
          <w:lang w:val="en-US" w:eastAsia="zh-CN"/>
        </w:rPr>
        <w:t xml:space="preserve">  </w:t>
      </w:r>
      <w:r>
        <w:rPr>
          <w:rFonts w:hint="eastAsia" w:ascii="宋体" w:hAnsi="宋体" w:cs="宋体"/>
          <w:b w:val="0"/>
          <w:bCs w:val="0"/>
          <w:color w:val="000000"/>
          <w:sz w:val="24"/>
          <w:lang w:val="en-US" w:eastAsia="zh-CN"/>
        </w:rPr>
        <w:t xml:space="preserve">  </w:t>
      </w:r>
      <w:r>
        <w:rPr>
          <w:rFonts w:hint="eastAsia" w:ascii="宋体" w:hAnsi="宋体" w:eastAsia="宋体" w:cs="宋体"/>
          <w:b w:val="0"/>
          <w:bCs w:val="0"/>
          <w:color w:val="000000"/>
          <w:sz w:val="24"/>
        </w:rPr>
        <w:t xml:space="preserve">   </w:t>
      </w:r>
      <w:r>
        <w:rPr>
          <w:rFonts w:hint="eastAsia" w:ascii="宋体" w:hAnsi="宋体" w:eastAsia="宋体" w:cs="宋体"/>
          <w:b w:val="0"/>
          <w:bCs w:val="0"/>
          <w:color w:val="000000"/>
          <w:sz w:val="24"/>
          <w:lang w:val="en-US" w:eastAsia="zh-CN"/>
        </w:rPr>
        <w:t xml:space="preserve">         </w:t>
      </w:r>
      <w:r>
        <w:rPr>
          <w:rFonts w:hint="eastAsia" w:ascii="宋体" w:hAnsi="宋体" w:eastAsia="宋体" w:cs="宋体"/>
          <w:b w:val="0"/>
          <w:bCs w:val="0"/>
          <w:color w:val="000000"/>
          <w:sz w:val="24"/>
        </w:rPr>
        <w:t>●本合同须加盖甲乙双方骑缝章</w:t>
      </w:r>
      <w:r>
        <w:rPr>
          <w:rFonts w:hint="eastAsia" w:ascii="宋体" w:hAnsi="宋体" w:eastAsia="宋体" w:cs="宋体"/>
          <w:b w:val="0"/>
          <w:bCs w:val="0"/>
          <w:sz w:val="24"/>
        </w:rPr>
        <w:t xml:space="preserve"> </w:t>
      </w:r>
    </w:p>
    <w:p w14:paraId="5B90EBD9">
      <w:pPr>
        <w:spacing w:before="156" w:beforeLines="50" w:after="200" w:line="276" w:lineRule="auto"/>
        <w:jc w:val="center"/>
        <w:rPr>
          <w:rFonts w:hint="eastAsia" w:ascii="宋体" w:hAnsi="宋体" w:eastAsia="宋体" w:cs="宋体"/>
          <w:b w:val="0"/>
          <w:bCs w:val="0"/>
          <w:sz w:val="48"/>
          <w:szCs w:val="48"/>
        </w:rPr>
      </w:pPr>
    </w:p>
    <w:p w14:paraId="47B586C3">
      <w:pPr>
        <w:spacing w:line="700" w:lineRule="exact"/>
        <w:jc w:val="center"/>
        <w:rPr>
          <w:rFonts w:hint="eastAsia" w:ascii="宋体" w:hAnsi="宋体" w:eastAsia="宋体" w:cs="宋体"/>
          <w:b w:val="0"/>
          <w:bCs w:val="0"/>
          <w:sz w:val="48"/>
          <w:szCs w:val="48"/>
        </w:rPr>
      </w:pPr>
      <w:r>
        <w:rPr>
          <w:rFonts w:hint="eastAsia" w:ascii="宋体" w:hAnsi="宋体" w:cs="宋体"/>
          <w:b/>
          <w:bCs/>
          <w:color w:val="auto"/>
          <w:sz w:val="48"/>
          <w:szCs w:val="48"/>
          <w:highlight w:val="none"/>
          <w:lang w:eastAsia="zh-CN"/>
        </w:rPr>
        <w:t>中华人民共和国畹町出入境边防检查站2025年度公务用车维修服务定点协议单位采购项目（二次）</w:t>
      </w:r>
    </w:p>
    <w:p w14:paraId="232B85A8">
      <w:pPr>
        <w:spacing w:before="156" w:beforeLines="50" w:after="200" w:line="276" w:lineRule="auto"/>
        <w:jc w:val="center"/>
        <w:rPr>
          <w:rFonts w:hint="eastAsia" w:ascii="宋体" w:hAnsi="宋体" w:eastAsia="宋体" w:cs="宋体"/>
          <w:b w:val="0"/>
          <w:bCs w:val="0"/>
          <w:sz w:val="48"/>
          <w:szCs w:val="48"/>
        </w:rPr>
      </w:pPr>
    </w:p>
    <w:p w14:paraId="32E09CE9">
      <w:pPr>
        <w:spacing w:before="156" w:beforeLines="50" w:after="200" w:line="276" w:lineRule="auto"/>
        <w:jc w:val="center"/>
        <w:rPr>
          <w:rFonts w:hint="eastAsia" w:ascii="宋体" w:hAnsi="宋体" w:eastAsia="宋体" w:cs="宋体"/>
          <w:b w:val="0"/>
          <w:bCs w:val="0"/>
          <w:sz w:val="48"/>
          <w:szCs w:val="48"/>
        </w:rPr>
      </w:pPr>
      <w:r>
        <w:rPr>
          <w:rFonts w:hint="eastAsia" w:ascii="宋体" w:hAnsi="宋体" w:eastAsia="宋体" w:cs="宋体"/>
          <w:b w:val="0"/>
          <w:bCs w:val="0"/>
          <w:sz w:val="48"/>
          <w:szCs w:val="48"/>
        </w:rPr>
        <w:t>合</w:t>
      </w:r>
    </w:p>
    <w:p w14:paraId="64C0EDC0">
      <w:pPr>
        <w:spacing w:before="156" w:beforeLines="50" w:after="200" w:line="276" w:lineRule="auto"/>
        <w:jc w:val="center"/>
        <w:rPr>
          <w:rFonts w:hint="eastAsia" w:ascii="宋体" w:hAnsi="宋体" w:eastAsia="宋体" w:cs="宋体"/>
          <w:b w:val="0"/>
          <w:bCs w:val="0"/>
          <w:color w:val="000000"/>
          <w:sz w:val="28"/>
          <w:szCs w:val="28"/>
        </w:rPr>
      </w:pPr>
      <w:r>
        <w:rPr>
          <w:rFonts w:hint="eastAsia" w:ascii="宋体" w:hAnsi="宋体" w:eastAsia="宋体" w:cs="宋体"/>
          <w:b w:val="0"/>
          <w:bCs w:val="0"/>
          <w:sz w:val="48"/>
          <w:szCs w:val="48"/>
        </w:rPr>
        <w:t>同</w:t>
      </w:r>
    </w:p>
    <w:p w14:paraId="68EDDAD3">
      <w:pPr>
        <w:spacing w:after="200" w:line="276" w:lineRule="auto"/>
        <w:jc w:val="center"/>
        <w:rPr>
          <w:rFonts w:hint="eastAsia" w:ascii="宋体" w:hAnsi="宋体" w:eastAsia="宋体" w:cs="宋体"/>
          <w:b w:val="0"/>
          <w:bCs w:val="0"/>
          <w:color w:val="000000"/>
          <w:sz w:val="28"/>
          <w:szCs w:val="28"/>
        </w:rPr>
      </w:pPr>
      <w:r>
        <w:rPr>
          <w:rFonts w:hint="eastAsia" w:ascii="宋体" w:hAnsi="宋体" w:eastAsia="宋体" w:cs="宋体"/>
          <w:b w:val="0"/>
          <w:bCs w:val="0"/>
          <w:sz w:val="48"/>
          <w:szCs w:val="48"/>
        </w:rPr>
        <w:t>书</w:t>
      </w:r>
    </w:p>
    <w:p w14:paraId="7C6AAF46">
      <w:pPr>
        <w:widowControl w:val="0"/>
        <w:spacing w:after="200" w:line="276" w:lineRule="auto"/>
        <w:jc w:val="both"/>
        <w:rPr>
          <w:rFonts w:hint="eastAsia" w:ascii="宋体" w:hAnsi="宋体" w:eastAsia="宋体" w:cs="宋体"/>
          <w:b w:val="0"/>
          <w:bCs w:val="0"/>
          <w:kern w:val="2"/>
          <w:sz w:val="21"/>
          <w:szCs w:val="20"/>
          <w:lang w:val="en-US" w:eastAsia="zh-CN" w:bidi="ar-SA"/>
        </w:rPr>
      </w:pPr>
    </w:p>
    <w:p w14:paraId="1A0AAEEE">
      <w:pPr>
        <w:spacing w:after="200" w:line="720" w:lineRule="auto"/>
        <w:ind w:firstLine="1120" w:firstLineChars="400"/>
        <w:jc w:val="left"/>
        <w:rPr>
          <w:rFonts w:hint="eastAsia" w:ascii="宋体" w:hAnsi="宋体" w:eastAsia="宋体" w:cs="宋体"/>
          <w:b w:val="0"/>
          <w:bCs w:val="0"/>
          <w:color w:val="000000"/>
          <w:sz w:val="28"/>
          <w:szCs w:val="28"/>
          <w:u w:val="single"/>
          <w:lang w:val="en-US" w:eastAsia="zh-CN"/>
        </w:rPr>
      </w:pPr>
      <w:r>
        <w:rPr>
          <w:rFonts w:hint="eastAsia" w:ascii="宋体" w:hAnsi="宋体" w:eastAsia="宋体" w:cs="宋体"/>
          <w:b w:val="0"/>
          <w:bCs w:val="0"/>
          <w:color w:val="000000"/>
          <w:sz w:val="28"/>
          <w:szCs w:val="28"/>
          <w:lang w:val="en-US" w:eastAsia="zh-CN"/>
        </w:rPr>
        <w:t>甲    方（公章）：</w:t>
      </w:r>
      <w:r>
        <w:rPr>
          <w:rFonts w:hint="eastAsia" w:ascii="宋体" w:hAnsi="宋体" w:cs="宋体"/>
          <w:b w:val="0"/>
          <w:bCs w:val="0"/>
          <w:color w:val="000000"/>
          <w:sz w:val="28"/>
          <w:szCs w:val="28"/>
          <w:u w:val="single"/>
          <w:lang w:val="en-US" w:eastAsia="zh-CN"/>
        </w:rPr>
        <w:t>中华人民共和国畹町出入境边防检查站</w:t>
      </w:r>
    </w:p>
    <w:p w14:paraId="0630BCD6">
      <w:pPr>
        <w:widowControl w:val="0"/>
        <w:spacing w:after="120" w:line="240" w:lineRule="auto"/>
        <w:ind w:left="420" w:leftChars="200" w:firstLine="404" w:firstLineChars="200"/>
        <w:jc w:val="both"/>
        <w:rPr>
          <w:rFonts w:hint="eastAsia" w:ascii="宋体" w:hAnsi="宋体" w:eastAsia="宋体" w:cs="宋体"/>
          <w:b w:val="0"/>
          <w:bCs w:val="0"/>
          <w:spacing w:val="-4"/>
          <w:kern w:val="2"/>
          <w:sz w:val="21"/>
          <w:szCs w:val="24"/>
          <w:lang w:val="en-US" w:eastAsia="zh-CN" w:bidi="ar-SA"/>
        </w:rPr>
      </w:pPr>
    </w:p>
    <w:p w14:paraId="7EA81825">
      <w:pPr>
        <w:spacing w:after="200" w:line="720" w:lineRule="auto"/>
        <w:ind w:firstLine="1120" w:firstLineChars="400"/>
        <w:jc w:val="left"/>
        <w:rPr>
          <w:rFonts w:hint="eastAsia" w:ascii="宋体" w:hAnsi="宋体" w:eastAsia="宋体" w:cs="宋体"/>
          <w:b w:val="0"/>
          <w:bCs w:val="0"/>
          <w:color w:val="000000"/>
          <w:sz w:val="28"/>
          <w:szCs w:val="28"/>
          <w:u w:val="single"/>
          <w:lang w:val="en-US" w:eastAsia="zh-CN"/>
        </w:rPr>
      </w:pPr>
      <w:r>
        <w:rPr>
          <w:rFonts w:hint="eastAsia" w:ascii="宋体" w:hAnsi="宋体" w:eastAsia="宋体" w:cs="宋体"/>
          <w:b w:val="0"/>
          <w:bCs w:val="0"/>
          <w:color w:val="000000"/>
          <w:sz w:val="28"/>
          <w:szCs w:val="28"/>
          <w:lang w:val="en-US" w:eastAsia="zh-CN"/>
        </w:rPr>
        <w:t>乙    方（公章）：</w:t>
      </w:r>
      <w:r>
        <w:rPr>
          <w:rFonts w:hint="eastAsia" w:ascii="宋体" w:hAnsi="宋体" w:eastAsia="宋体" w:cs="宋体"/>
          <w:b w:val="0"/>
          <w:bCs w:val="0"/>
          <w:color w:val="000000"/>
          <w:sz w:val="28"/>
          <w:szCs w:val="28"/>
          <w:u w:val="single"/>
          <w:lang w:val="en-US" w:eastAsia="zh-CN"/>
        </w:rPr>
        <w:t xml:space="preserve">                                   </w:t>
      </w:r>
    </w:p>
    <w:p w14:paraId="4BD0C878">
      <w:pPr>
        <w:widowControl w:val="0"/>
        <w:spacing w:after="120" w:line="240" w:lineRule="auto"/>
        <w:ind w:left="420" w:leftChars="200" w:firstLine="404" w:firstLineChars="200"/>
        <w:jc w:val="both"/>
        <w:rPr>
          <w:rFonts w:hint="eastAsia" w:ascii="宋体" w:hAnsi="宋体" w:eastAsia="宋体" w:cs="宋体"/>
          <w:b w:val="0"/>
          <w:bCs w:val="0"/>
          <w:spacing w:val="-4"/>
          <w:kern w:val="2"/>
          <w:sz w:val="21"/>
          <w:szCs w:val="24"/>
          <w:lang w:val="en-US" w:eastAsia="zh-CN" w:bidi="ar-SA"/>
        </w:rPr>
      </w:pPr>
    </w:p>
    <w:p w14:paraId="45321550">
      <w:pPr>
        <w:spacing w:after="200" w:line="720" w:lineRule="auto"/>
        <w:ind w:firstLine="1120" w:firstLineChars="400"/>
        <w:jc w:val="left"/>
        <w:rPr>
          <w:rFonts w:hint="eastAsia" w:ascii="宋体" w:hAnsi="宋体" w:eastAsia="宋体" w:cs="宋体"/>
          <w:b w:val="0"/>
          <w:bCs w:val="0"/>
          <w:color w:val="000000"/>
          <w:sz w:val="28"/>
          <w:szCs w:val="28"/>
          <w:u w:val="single"/>
          <w:lang w:val="en-US" w:eastAsia="zh-CN"/>
        </w:rPr>
      </w:pPr>
      <w:r>
        <w:rPr>
          <w:rFonts w:hint="eastAsia" w:ascii="宋体" w:hAnsi="宋体" w:eastAsia="宋体" w:cs="宋体"/>
          <w:b w:val="0"/>
          <w:bCs w:val="0"/>
          <w:color w:val="000000"/>
          <w:sz w:val="28"/>
          <w:szCs w:val="28"/>
        </w:rPr>
        <w:t>签订地点：</w:t>
      </w:r>
      <w:r>
        <w:rPr>
          <w:rFonts w:hint="eastAsia" w:ascii="宋体" w:hAnsi="宋体" w:eastAsia="宋体" w:cs="宋体"/>
          <w:b w:val="0"/>
          <w:bCs w:val="0"/>
          <w:color w:val="000000"/>
          <w:sz w:val="28"/>
          <w:szCs w:val="28"/>
          <w:u w:val="single"/>
          <w:lang w:val="en-US" w:eastAsia="zh-CN"/>
        </w:rPr>
        <w:t>云南省德宏州瑞丽市</w:t>
      </w:r>
    </w:p>
    <w:p w14:paraId="18F8A1A8">
      <w:pPr>
        <w:spacing w:after="200" w:line="720" w:lineRule="auto"/>
        <w:ind w:firstLine="1120" w:firstLineChars="400"/>
        <w:jc w:val="left"/>
        <w:rPr>
          <w:rFonts w:hint="eastAsia" w:ascii="宋体" w:hAnsi="宋体" w:eastAsia="宋体" w:cs="宋体"/>
          <w:b w:val="0"/>
          <w:bCs w:val="0"/>
          <w:color w:val="000000"/>
          <w:sz w:val="28"/>
          <w:szCs w:val="28"/>
          <w:u w:val="single"/>
          <w:lang w:val="en-US" w:eastAsia="zh-CN"/>
        </w:rPr>
      </w:pPr>
      <w:r>
        <w:rPr>
          <w:rFonts w:hint="eastAsia" w:ascii="宋体" w:hAnsi="宋体" w:eastAsia="宋体" w:cs="宋体"/>
          <w:b w:val="0"/>
          <w:bCs w:val="0"/>
          <w:color w:val="000000"/>
          <w:sz w:val="28"/>
          <w:szCs w:val="28"/>
        </w:rPr>
        <w:t>签订时间：</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u w:val="single"/>
        </w:rPr>
        <w:t>年</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u w:val="single"/>
        </w:rPr>
        <w:t xml:space="preserve">月 </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u w:val="single"/>
        </w:rPr>
        <w:t xml:space="preserve">  日</w:t>
      </w:r>
      <w:r>
        <w:rPr>
          <w:rFonts w:hint="eastAsia" w:ascii="宋体" w:hAnsi="宋体" w:eastAsia="宋体" w:cs="宋体"/>
          <w:b w:val="0"/>
          <w:bCs w:val="0"/>
          <w:color w:val="000000"/>
          <w:sz w:val="28"/>
          <w:szCs w:val="28"/>
          <w:u w:val="single"/>
          <w:lang w:val="en-US" w:eastAsia="zh-CN"/>
        </w:rPr>
        <w:t xml:space="preserve">  </w:t>
      </w:r>
    </w:p>
    <w:p w14:paraId="77BD23BD">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lang w:val="zh-CN"/>
        </w:rPr>
      </w:pPr>
    </w:p>
    <w:p w14:paraId="246CE918">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rPr>
      </w:pPr>
      <w:r>
        <w:rPr>
          <w:rFonts w:hint="eastAsia" w:ascii="宋体" w:hAnsi="宋体" w:eastAsia="宋体" w:cs="宋体"/>
          <w:b w:val="0"/>
          <w:bCs w:val="0"/>
          <w:color w:val="000000"/>
          <w:kern w:val="0"/>
          <w:sz w:val="28"/>
          <w:szCs w:val="28"/>
          <w:lang w:val="zh-CN"/>
        </w:rPr>
        <w:t>甲方</w:t>
      </w:r>
      <w:r>
        <w:rPr>
          <w:rFonts w:hint="eastAsia" w:ascii="宋体" w:hAnsi="宋体" w:eastAsia="宋体" w:cs="宋体"/>
          <w:b w:val="0"/>
          <w:bCs w:val="0"/>
          <w:color w:val="000000"/>
          <w:sz w:val="28"/>
          <w:szCs w:val="28"/>
          <w:lang w:val="en-US" w:eastAsia="zh-CN"/>
        </w:rPr>
        <w:t>（公章）</w:t>
      </w:r>
      <w:r>
        <w:rPr>
          <w:rFonts w:hint="eastAsia" w:ascii="宋体" w:hAnsi="宋体" w:eastAsia="宋体" w:cs="宋体"/>
          <w:b w:val="0"/>
          <w:bCs w:val="0"/>
          <w:color w:val="000000"/>
          <w:kern w:val="0"/>
          <w:sz w:val="28"/>
          <w:szCs w:val="28"/>
        </w:rPr>
        <w:t>：</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cs="宋体"/>
          <w:b w:val="0"/>
          <w:bCs w:val="0"/>
          <w:color w:val="000000"/>
          <w:kern w:val="0"/>
          <w:sz w:val="28"/>
          <w:szCs w:val="28"/>
          <w:u w:val="single"/>
          <w:lang w:val="en-US" w:eastAsia="zh-CN"/>
        </w:rPr>
        <w:t>中华人民共和国畹町出入境边防检查站</w:t>
      </w:r>
      <w:r>
        <w:rPr>
          <w:rFonts w:hint="eastAsia" w:ascii="宋体" w:hAnsi="宋体" w:eastAsia="宋体" w:cs="宋体"/>
          <w:b w:val="0"/>
          <w:bCs w:val="0"/>
          <w:color w:val="000000"/>
          <w:kern w:val="0"/>
          <w:sz w:val="28"/>
          <w:szCs w:val="28"/>
          <w:u w:val="single"/>
        </w:rPr>
        <w:t xml:space="preserve"> </w:t>
      </w:r>
    </w:p>
    <w:p w14:paraId="7956E0DC">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rPr>
      </w:pPr>
      <w:r>
        <w:rPr>
          <w:rFonts w:hint="eastAsia" w:ascii="宋体" w:hAnsi="宋体" w:eastAsia="宋体" w:cs="宋体"/>
          <w:b w:val="0"/>
          <w:bCs w:val="0"/>
          <w:color w:val="000000"/>
          <w:kern w:val="0"/>
          <w:sz w:val="28"/>
          <w:szCs w:val="28"/>
          <w:lang w:val="zh-CN"/>
        </w:rPr>
        <w:t>法定代表人（</w:t>
      </w:r>
      <w:r>
        <w:rPr>
          <w:rFonts w:hint="eastAsia" w:ascii="宋体" w:hAnsi="宋体" w:eastAsia="宋体" w:cs="宋体"/>
          <w:b w:val="0"/>
          <w:bCs w:val="0"/>
          <w:color w:val="000000"/>
          <w:kern w:val="0"/>
          <w:sz w:val="28"/>
          <w:szCs w:val="28"/>
          <w:lang w:val="en-US" w:eastAsia="zh-CN"/>
        </w:rPr>
        <w:t>签字或盖章</w:t>
      </w:r>
      <w:r>
        <w:rPr>
          <w:rFonts w:hint="eastAsia" w:ascii="宋体" w:hAnsi="宋体" w:eastAsia="宋体" w:cs="宋体"/>
          <w:b w:val="0"/>
          <w:bCs w:val="0"/>
          <w:color w:val="000000"/>
          <w:kern w:val="0"/>
          <w:sz w:val="28"/>
          <w:szCs w:val="28"/>
          <w:lang w:val="zh-CN"/>
        </w:rPr>
        <w:t>）</w:t>
      </w:r>
      <w:r>
        <w:rPr>
          <w:rFonts w:hint="eastAsia" w:ascii="宋体" w:hAnsi="宋体" w:eastAsia="宋体" w:cs="宋体"/>
          <w:b w:val="0"/>
          <w:bCs w:val="0"/>
          <w:color w:val="000000"/>
          <w:kern w:val="0"/>
          <w:sz w:val="28"/>
          <w:szCs w:val="28"/>
        </w:rPr>
        <w:t>：</w:t>
      </w:r>
      <w:r>
        <w:rPr>
          <w:rFonts w:hint="eastAsia" w:ascii="宋体" w:hAnsi="宋体" w:eastAsia="宋体" w:cs="宋体"/>
          <w:b w:val="0"/>
          <w:bCs w:val="0"/>
          <w:color w:val="000000"/>
          <w:kern w:val="0"/>
          <w:sz w:val="28"/>
          <w:szCs w:val="28"/>
          <w:u w:val="single"/>
        </w:rPr>
        <w:t xml:space="preserve">                        </w:t>
      </w:r>
    </w:p>
    <w:p w14:paraId="449187C5">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rPr>
      </w:pPr>
      <w:r>
        <w:rPr>
          <w:rFonts w:hint="eastAsia" w:ascii="宋体" w:hAnsi="宋体" w:eastAsia="宋体" w:cs="宋体"/>
          <w:b w:val="0"/>
          <w:bCs w:val="0"/>
          <w:color w:val="000000"/>
          <w:kern w:val="0"/>
          <w:sz w:val="28"/>
          <w:szCs w:val="28"/>
          <w:lang w:val="zh-CN"/>
        </w:rPr>
        <w:t>委托代理人（</w:t>
      </w:r>
      <w:r>
        <w:rPr>
          <w:rFonts w:hint="eastAsia" w:ascii="宋体" w:hAnsi="宋体" w:eastAsia="宋体" w:cs="宋体"/>
          <w:b w:val="0"/>
          <w:bCs w:val="0"/>
          <w:color w:val="000000"/>
          <w:kern w:val="0"/>
          <w:sz w:val="28"/>
          <w:szCs w:val="28"/>
          <w:lang w:val="en-US" w:eastAsia="zh-CN"/>
        </w:rPr>
        <w:t>签字或盖章</w:t>
      </w:r>
      <w:r>
        <w:rPr>
          <w:rFonts w:hint="eastAsia" w:ascii="宋体" w:hAnsi="宋体" w:eastAsia="宋体" w:cs="宋体"/>
          <w:b w:val="0"/>
          <w:bCs w:val="0"/>
          <w:color w:val="000000"/>
          <w:kern w:val="0"/>
          <w:sz w:val="28"/>
          <w:szCs w:val="28"/>
          <w:lang w:val="zh-CN"/>
        </w:rPr>
        <w:t>）</w:t>
      </w:r>
      <w:r>
        <w:rPr>
          <w:rFonts w:hint="eastAsia" w:ascii="宋体" w:hAnsi="宋体" w:eastAsia="宋体" w:cs="宋体"/>
          <w:b w:val="0"/>
          <w:bCs w:val="0"/>
          <w:color w:val="000000"/>
          <w:kern w:val="0"/>
          <w:sz w:val="28"/>
          <w:szCs w:val="28"/>
        </w:rPr>
        <w:t>：</w:t>
      </w:r>
      <w:r>
        <w:rPr>
          <w:rFonts w:hint="eastAsia" w:ascii="宋体" w:hAnsi="宋体" w:eastAsia="宋体" w:cs="宋体"/>
          <w:b w:val="0"/>
          <w:bCs w:val="0"/>
          <w:color w:val="000000"/>
          <w:kern w:val="0"/>
          <w:sz w:val="28"/>
          <w:szCs w:val="28"/>
          <w:u w:val="single"/>
        </w:rPr>
        <w:t xml:space="preserve">                        </w:t>
      </w:r>
    </w:p>
    <w:p w14:paraId="0E32A4A8">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lang w:val="zh-CN"/>
        </w:rPr>
      </w:pPr>
      <w:r>
        <w:rPr>
          <w:rFonts w:hint="eastAsia" w:ascii="宋体" w:hAnsi="宋体" w:eastAsia="宋体" w:cs="宋体"/>
          <w:b w:val="0"/>
          <w:bCs w:val="0"/>
          <w:color w:val="000000"/>
          <w:kern w:val="0"/>
          <w:sz w:val="28"/>
          <w:szCs w:val="28"/>
          <w:lang w:val="zh-CN"/>
        </w:rPr>
        <w:t>单位地址：</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r>
        <w:rPr>
          <w:rFonts w:hint="eastAsia" w:ascii="宋体" w:hAnsi="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p>
    <w:p w14:paraId="4C589F5C">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lang w:val="zh-CN"/>
        </w:rPr>
      </w:pPr>
      <w:r>
        <w:rPr>
          <w:rFonts w:hint="eastAsia" w:ascii="宋体" w:hAnsi="宋体" w:eastAsia="宋体" w:cs="宋体"/>
          <w:b w:val="0"/>
          <w:bCs w:val="0"/>
          <w:color w:val="000000"/>
          <w:kern w:val="0"/>
          <w:sz w:val="28"/>
          <w:szCs w:val="28"/>
          <w:lang w:val="zh-CN"/>
        </w:rPr>
        <w:t>电    话：</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r>
        <w:rPr>
          <w:rFonts w:hint="eastAsia" w:ascii="宋体" w:hAnsi="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p>
    <w:p w14:paraId="165C2EB4">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lang w:val="zh-CN"/>
        </w:rPr>
      </w:pPr>
      <w:r>
        <w:rPr>
          <w:rFonts w:hint="eastAsia" w:ascii="宋体" w:hAnsi="宋体" w:eastAsia="宋体" w:cs="宋体"/>
          <w:b w:val="0"/>
          <w:bCs w:val="0"/>
          <w:color w:val="000000"/>
          <w:kern w:val="0"/>
          <w:sz w:val="28"/>
          <w:szCs w:val="28"/>
          <w:lang w:val="zh-CN"/>
        </w:rPr>
        <w:t>传    真：</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r>
        <w:rPr>
          <w:rFonts w:hint="eastAsia" w:ascii="宋体" w:hAnsi="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p>
    <w:p w14:paraId="3B3AA56C">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lang w:val="zh-CN"/>
        </w:rPr>
      </w:pPr>
      <w:r>
        <w:rPr>
          <w:rFonts w:hint="eastAsia" w:ascii="宋体" w:hAnsi="宋体" w:eastAsia="宋体" w:cs="宋体"/>
          <w:b w:val="0"/>
          <w:bCs w:val="0"/>
          <w:color w:val="000000"/>
          <w:kern w:val="0"/>
          <w:sz w:val="28"/>
          <w:szCs w:val="28"/>
          <w:lang w:val="zh-CN"/>
        </w:rPr>
        <w:t>邮政编码：</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r>
        <w:rPr>
          <w:rFonts w:hint="eastAsia" w:ascii="宋体" w:hAnsi="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p>
    <w:p w14:paraId="2D8126CD">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lang w:val="zh-CN"/>
        </w:rPr>
      </w:pPr>
      <w:r>
        <w:rPr>
          <w:rFonts w:hint="eastAsia" w:ascii="宋体" w:hAnsi="宋体" w:eastAsia="宋体" w:cs="宋体"/>
          <w:b w:val="0"/>
          <w:bCs w:val="0"/>
          <w:color w:val="000000"/>
          <w:kern w:val="0"/>
          <w:sz w:val="28"/>
          <w:szCs w:val="28"/>
          <w:lang w:val="zh-CN"/>
        </w:rPr>
        <w:t>开户银行：</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r>
        <w:rPr>
          <w:rFonts w:hint="eastAsia" w:ascii="宋体" w:hAnsi="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p>
    <w:p w14:paraId="54DA0E11">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lang w:val="zh-CN"/>
        </w:rPr>
      </w:pPr>
      <w:r>
        <w:rPr>
          <w:rFonts w:hint="eastAsia" w:ascii="宋体" w:hAnsi="宋体" w:eastAsia="宋体" w:cs="宋体"/>
          <w:b w:val="0"/>
          <w:bCs w:val="0"/>
          <w:color w:val="000000"/>
          <w:kern w:val="0"/>
          <w:sz w:val="28"/>
          <w:szCs w:val="28"/>
          <w:lang w:val="zh-CN"/>
        </w:rPr>
        <w:t>账    号：</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r>
        <w:rPr>
          <w:rFonts w:hint="eastAsia" w:ascii="宋体" w:hAnsi="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p>
    <w:p w14:paraId="7765BD3F">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lang w:val="zh-CN"/>
        </w:rPr>
      </w:pPr>
      <w:r>
        <w:rPr>
          <w:rFonts w:hint="eastAsia" w:ascii="宋体" w:hAnsi="宋体" w:eastAsia="宋体" w:cs="宋体"/>
          <w:b w:val="0"/>
          <w:bCs w:val="0"/>
          <w:color w:val="000000"/>
          <w:kern w:val="0"/>
          <w:sz w:val="28"/>
          <w:szCs w:val="28"/>
          <w:lang w:val="zh-CN"/>
        </w:rPr>
        <w:t>税    号：</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r>
        <w:rPr>
          <w:rFonts w:hint="eastAsia" w:ascii="宋体" w:hAnsi="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p>
    <w:p w14:paraId="1D48BEFB">
      <w:pPr>
        <w:widowControl w:val="0"/>
        <w:spacing w:after="120" w:line="240" w:lineRule="auto"/>
        <w:ind w:left="420" w:leftChars="200" w:firstLine="404" w:firstLineChars="200"/>
        <w:jc w:val="both"/>
        <w:rPr>
          <w:rFonts w:hint="eastAsia" w:ascii="宋体" w:hAnsi="宋体" w:eastAsia="宋体" w:cs="宋体"/>
          <w:b w:val="0"/>
          <w:bCs w:val="0"/>
          <w:spacing w:val="-4"/>
          <w:kern w:val="2"/>
          <w:sz w:val="21"/>
          <w:szCs w:val="24"/>
          <w:lang w:val="zh-CN" w:eastAsia="zh-CN" w:bidi="ar-SA"/>
        </w:rPr>
      </w:pPr>
    </w:p>
    <w:p w14:paraId="7D4879D1">
      <w:pPr>
        <w:widowControl w:val="0"/>
        <w:spacing w:after="120" w:line="240" w:lineRule="auto"/>
        <w:ind w:left="420" w:leftChars="200" w:firstLine="404" w:firstLineChars="200"/>
        <w:jc w:val="both"/>
        <w:rPr>
          <w:rFonts w:hint="eastAsia" w:ascii="宋体" w:hAnsi="宋体" w:eastAsia="宋体" w:cs="宋体"/>
          <w:b w:val="0"/>
          <w:bCs w:val="0"/>
          <w:spacing w:val="-4"/>
          <w:kern w:val="2"/>
          <w:sz w:val="21"/>
          <w:szCs w:val="24"/>
          <w:lang w:val="zh-CN" w:eastAsia="zh-CN" w:bidi="ar-SA"/>
        </w:rPr>
      </w:pPr>
    </w:p>
    <w:p w14:paraId="5C108C6F">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lang w:val="zh-CN"/>
        </w:rPr>
      </w:pPr>
      <w:r>
        <w:rPr>
          <w:rFonts w:hint="eastAsia" w:ascii="宋体" w:hAnsi="宋体" w:eastAsia="宋体" w:cs="宋体"/>
          <w:b w:val="0"/>
          <w:bCs w:val="0"/>
          <w:color w:val="000000"/>
          <w:kern w:val="0"/>
          <w:sz w:val="28"/>
          <w:szCs w:val="28"/>
          <w:lang w:val="zh-CN"/>
        </w:rPr>
        <w:t>乙方</w:t>
      </w:r>
      <w:r>
        <w:rPr>
          <w:rFonts w:hint="eastAsia" w:ascii="宋体" w:hAnsi="宋体" w:eastAsia="宋体" w:cs="宋体"/>
          <w:b w:val="0"/>
          <w:bCs w:val="0"/>
          <w:color w:val="000000"/>
          <w:sz w:val="28"/>
          <w:szCs w:val="28"/>
          <w:lang w:val="en-US" w:eastAsia="zh-CN"/>
        </w:rPr>
        <w:t>（公章）</w:t>
      </w:r>
      <w:r>
        <w:rPr>
          <w:rFonts w:hint="eastAsia" w:ascii="宋体" w:hAnsi="宋体" w:eastAsia="宋体" w:cs="宋体"/>
          <w:b w:val="0"/>
          <w:bCs w:val="0"/>
          <w:color w:val="000000"/>
          <w:kern w:val="0"/>
          <w:sz w:val="28"/>
          <w:szCs w:val="28"/>
          <w:lang w:val="zh-CN"/>
        </w:rPr>
        <w:t>：</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p>
    <w:p w14:paraId="57F6F6E6">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rPr>
      </w:pPr>
      <w:r>
        <w:rPr>
          <w:rFonts w:hint="eastAsia" w:ascii="宋体" w:hAnsi="宋体" w:eastAsia="宋体" w:cs="宋体"/>
          <w:b w:val="0"/>
          <w:bCs w:val="0"/>
          <w:color w:val="000000"/>
          <w:kern w:val="0"/>
          <w:sz w:val="28"/>
          <w:szCs w:val="28"/>
          <w:lang w:val="zh-CN"/>
        </w:rPr>
        <w:t>法定代表人（</w:t>
      </w:r>
      <w:r>
        <w:rPr>
          <w:rFonts w:hint="eastAsia" w:ascii="宋体" w:hAnsi="宋体" w:eastAsia="宋体" w:cs="宋体"/>
          <w:b w:val="0"/>
          <w:bCs w:val="0"/>
          <w:color w:val="000000"/>
          <w:kern w:val="0"/>
          <w:sz w:val="28"/>
          <w:szCs w:val="28"/>
          <w:lang w:val="en-US" w:eastAsia="zh-CN"/>
        </w:rPr>
        <w:t>签字或盖章</w:t>
      </w:r>
      <w:r>
        <w:rPr>
          <w:rFonts w:hint="eastAsia" w:ascii="宋体" w:hAnsi="宋体" w:eastAsia="宋体" w:cs="宋体"/>
          <w:b w:val="0"/>
          <w:bCs w:val="0"/>
          <w:color w:val="000000"/>
          <w:kern w:val="0"/>
          <w:sz w:val="28"/>
          <w:szCs w:val="28"/>
          <w:lang w:val="zh-CN"/>
        </w:rPr>
        <w:t>）</w:t>
      </w:r>
      <w:r>
        <w:rPr>
          <w:rFonts w:hint="eastAsia" w:ascii="宋体" w:hAnsi="宋体" w:eastAsia="宋体" w:cs="宋体"/>
          <w:b w:val="0"/>
          <w:bCs w:val="0"/>
          <w:color w:val="000000"/>
          <w:kern w:val="0"/>
          <w:sz w:val="28"/>
          <w:szCs w:val="28"/>
        </w:rPr>
        <w:t>：</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p>
    <w:p w14:paraId="34A883F3">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rPr>
      </w:pPr>
      <w:r>
        <w:rPr>
          <w:rFonts w:hint="eastAsia" w:ascii="宋体" w:hAnsi="宋体" w:eastAsia="宋体" w:cs="宋体"/>
          <w:b w:val="0"/>
          <w:bCs w:val="0"/>
          <w:color w:val="000000"/>
          <w:kern w:val="0"/>
          <w:sz w:val="28"/>
          <w:szCs w:val="28"/>
          <w:lang w:val="zh-CN"/>
        </w:rPr>
        <w:t>委托代理人（</w:t>
      </w:r>
      <w:r>
        <w:rPr>
          <w:rFonts w:hint="eastAsia" w:ascii="宋体" w:hAnsi="宋体" w:eastAsia="宋体" w:cs="宋体"/>
          <w:b w:val="0"/>
          <w:bCs w:val="0"/>
          <w:color w:val="000000"/>
          <w:kern w:val="0"/>
          <w:sz w:val="28"/>
          <w:szCs w:val="28"/>
          <w:lang w:val="en-US" w:eastAsia="zh-CN"/>
        </w:rPr>
        <w:t>签字或盖章</w:t>
      </w:r>
      <w:r>
        <w:rPr>
          <w:rFonts w:hint="eastAsia" w:ascii="宋体" w:hAnsi="宋体" w:eastAsia="宋体" w:cs="宋体"/>
          <w:b w:val="0"/>
          <w:bCs w:val="0"/>
          <w:color w:val="000000"/>
          <w:kern w:val="0"/>
          <w:sz w:val="28"/>
          <w:szCs w:val="28"/>
          <w:lang w:val="zh-CN"/>
        </w:rPr>
        <w:t>）</w:t>
      </w:r>
      <w:r>
        <w:rPr>
          <w:rFonts w:hint="eastAsia" w:ascii="宋体" w:hAnsi="宋体" w:eastAsia="宋体" w:cs="宋体"/>
          <w:b w:val="0"/>
          <w:bCs w:val="0"/>
          <w:color w:val="000000"/>
          <w:kern w:val="0"/>
          <w:sz w:val="28"/>
          <w:szCs w:val="28"/>
        </w:rPr>
        <w:t>：</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p>
    <w:p w14:paraId="509E99C1">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lang w:val="en-US" w:eastAsia="zh-CN"/>
        </w:rPr>
      </w:pPr>
      <w:r>
        <w:rPr>
          <w:rFonts w:hint="eastAsia" w:ascii="宋体" w:hAnsi="宋体" w:eastAsia="宋体" w:cs="宋体"/>
          <w:b w:val="0"/>
          <w:bCs w:val="0"/>
          <w:color w:val="000000"/>
          <w:kern w:val="0"/>
          <w:sz w:val="28"/>
          <w:szCs w:val="28"/>
          <w:lang w:val="zh-CN"/>
        </w:rPr>
        <w:t>单位地址：</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p>
    <w:p w14:paraId="57479444">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rPr>
      </w:pPr>
      <w:r>
        <w:rPr>
          <w:rFonts w:hint="eastAsia" w:ascii="宋体" w:hAnsi="宋体" w:eastAsia="宋体" w:cs="宋体"/>
          <w:b w:val="0"/>
          <w:bCs w:val="0"/>
          <w:color w:val="000000"/>
          <w:kern w:val="0"/>
          <w:sz w:val="28"/>
          <w:szCs w:val="28"/>
          <w:lang w:val="zh-CN"/>
        </w:rPr>
        <w:t>电    话：</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p>
    <w:p w14:paraId="35845B8C">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lang w:val="zh-CN"/>
        </w:rPr>
      </w:pPr>
      <w:r>
        <w:rPr>
          <w:rFonts w:hint="eastAsia" w:ascii="宋体" w:hAnsi="宋体" w:eastAsia="宋体" w:cs="宋体"/>
          <w:b w:val="0"/>
          <w:bCs w:val="0"/>
          <w:color w:val="000000"/>
          <w:kern w:val="0"/>
          <w:sz w:val="28"/>
          <w:szCs w:val="28"/>
          <w:lang w:val="zh-CN"/>
        </w:rPr>
        <w:t>传    真：</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p>
    <w:p w14:paraId="2DA28436">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lang w:val="zh-CN"/>
        </w:rPr>
      </w:pPr>
      <w:r>
        <w:rPr>
          <w:rFonts w:hint="eastAsia" w:ascii="宋体" w:hAnsi="宋体" w:eastAsia="宋体" w:cs="宋体"/>
          <w:b w:val="0"/>
          <w:bCs w:val="0"/>
          <w:color w:val="000000"/>
          <w:kern w:val="0"/>
          <w:sz w:val="28"/>
          <w:szCs w:val="28"/>
          <w:lang w:val="zh-CN"/>
        </w:rPr>
        <w:t>邮政编码：</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p>
    <w:p w14:paraId="0C9100D6">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jc w:val="left"/>
        <w:textAlignment w:val="auto"/>
        <w:rPr>
          <w:rFonts w:hint="eastAsia" w:ascii="宋体" w:hAnsi="宋体" w:eastAsia="宋体" w:cs="宋体"/>
          <w:b w:val="0"/>
          <w:bCs w:val="0"/>
          <w:color w:val="000000"/>
          <w:kern w:val="0"/>
          <w:sz w:val="28"/>
          <w:szCs w:val="28"/>
          <w:u w:val="single"/>
          <w:lang w:val="en-US" w:eastAsia="zh-CN"/>
        </w:rPr>
      </w:pPr>
      <w:r>
        <w:rPr>
          <w:rFonts w:hint="eastAsia" w:ascii="宋体" w:hAnsi="宋体" w:eastAsia="宋体" w:cs="宋体"/>
          <w:b w:val="0"/>
          <w:bCs w:val="0"/>
          <w:color w:val="000000"/>
          <w:kern w:val="0"/>
          <w:sz w:val="28"/>
          <w:szCs w:val="28"/>
          <w:lang w:val="zh-CN"/>
        </w:rPr>
        <w:t>开户银行：</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p>
    <w:p w14:paraId="3EE8EDAC">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textAlignment w:val="auto"/>
        <w:rPr>
          <w:rFonts w:hint="eastAsia" w:ascii="宋体" w:hAnsi="宋体" w:eastAsia="宋体" w:cs="宋体"/>
          <w:b w:val="0"/>
          <w:bCs w:val="0"/>
          <w:color w:val="000000"/>
          <w:kern w:val="0"/>
          <w:sz w:val="28"/>
          <w:szCs w:val="28"/>
          <w:u w:val="single"/>
          <w:lang w:val="zh-CN"/>
        </w:rPr>
      </w:pPr>
      <w:r>
        <w:rPr>
          <w:rFonts w:hint="eastAsia" w:ascii="宋体" w:hAnsi="宋体" w:eastAsia="宋体" w:cs="宋体"/>
          <w:b w:val="0"/>
          <w:bCs w:val="0"/>
          <w:color w:val="000000"/>
          <w:kern w:val="0"/>
          <w:sz w:val="28"/>
          <w:szCs w:val="28"/>
          <w:lang w:val="zh-CN"/>
        </w:rPr>
        <w:t>账    号：</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rPr>
        <w:t xml:space="preserve">   </w:t>
      </w:r>
      <w:r>
        <w:rPr>
          <w:rFonts w:hint="eastAsia" w:ascii="宋体" w:hAnsi="宋体" w:eastAsia="宋体" w:cs="宋体"/>
          <w:b w:val="0"/>
          <w:bCs w:val="0"/>
          <w:color w:val="000000"/>
          <w:kern w:val="0"/>
          <w:sz w:val="28"/>
          <w:szCs w:val="28"/>
        </w:rPr>
        <w:t xml:space="preserve">   </w:t>
      </w:r>
    </w:p>
    <w:p w14:paraId="3B3C1701">
      <w:pPr>
        <w:keepNext w:val="0"/>
        <w:keepLines w:val="0"/>
        <w:pageBreakBefore w:val="0"/>
        <w:widowControl w:val="0"/>
        <w:kinsoku/>
        <w:wordWrap/>
        <w:overflowPunct/>
        <w:topLinePunct w:val="0"/>
        <w:autoSpaceDE w:val="0"/>
        <w:autoSpaceDN w:val="0"/>
        <w:bidi w:val="0"/>
        <w:adjustRightInd w:val="0"/>
        <w:snapToGrid/>
        <w:spacing w:after="0" w:line="288" w:lineRule="auto"/>
        <w:ind w:firstLine="840" w:firstLineChars="300"/>
        <w:textAlignment w:val="auto"/>
        <w:rPr>
          <w:rFonts w:hint="eastAsia" w:ascii="宋体" w:hAnsi="宋体" w:eastAsia="宋体" w:cs="宋体"/>
          <w:b w:val="0"/>
          <w:bCs w:val="0"/>
          <w:color w:val="000000"/>
          <w:kern w:val="0"/>
          <w:sz w:val="28"/>
          <w:szCs w:val="28"/>
          <w:u w:val="single"/>
          <w:lang w:val="en-US" w:eastAsia="zh-CN"/>
        </w:rPr>
      </w:pPr>
      <w:r>
        <w:rPr>
          <w:rFonts w:hint="eastAsia" w:ascii="宋体" w:hAnsi="宋体" w:eastAsia="宋体" w:cs="宋体"/>
          <w:b w:val="0"/>
          <w:bCs w:val="0"/>
          <w:color w:val="000000"/>
          <w:kern w:val="0"/>
          <w:sz w:val="28"/>
          <w:szCs w:val="28"/>
          <w:lang w:val="zh-CN"/>
        </w:rPr>
        <w:t xml:space="preserve">税    号： </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r>
        <w:rPr>
          <w:rFonts w:hint="eastAsia" w:ascii="宋体" w:hAnsi="宋体" w:eastAsia="宋体" w:cs="宋体"/>
          <w:b w:val="0"/>
          <w:bCs w:val="0"/>
          <w:color w:val="000000"/>
          <w:kern w:val="0"/>
          <w:sz w:val="28"/>
          <w:szCs w:val="28"/>
          <w:u w:val="single"/>
          <w:lang w:val="zh-CN"/>
        </w:rPr>
        <w:t xml:space="preserve">      </w:t>
      </w:r>
      <w:r>
        <w:rPr>
          <w:rFonts w:hint="eastAsia" w:ascii="宋体" w:hAnsi="宋体" w:eastAsia="宋体" w:cs="宋体"/>
          <w:b w:val="0"/>
          <w:bCs w:val="0"/>
          <w:color w:val="000000"/>
          <w:kern w:val="0"/>
          <w:sz w:val="28"/>
          <w:szCs w:val="28"/>
          <w:u w:val="single"/>
          <w:lang w:val="en-US" w:eastAsia="zh-CN"/>
        </w:rPr>
        <w:t xml:space="preserve">                      </w:t>
      </w:r>
    </w:p>
    <w:p w14:paraId="6C8B840A">
      <w:pPr>
        <w:spacing w:line="360" w:lineRule="auto"/>
        <w:rPr>
          <w:rFonts w:hint="eastAsia" w:ascii="宋体" w:hAnsi="宋体" w:eastAsia="宋体" w:cs="宋体"/>
          <w:b w:val="0"/>
          <w:bCs w:val="0"/>
          <w:kern w:val="0"/>
          <w:sz w:val="28"/>
          <w:szCs w:val="28"/>
        </w:rPr>
      </w:pPr>
    </w:p>
    <w:p w14:paraId="6D511689">
      <w:pPr>
        <w:spacing w:line="360" w:lineRule="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甲方</w:t>
      </w:r>
      <w:r>
        <w:rPr>
          <w:rFonts w:hint="eastAsia" w:ascii="宋体" w:hAnsi="宋体" w:eastAsia="宋体" w:cs="宋体"/>
          <w:b w:val="0"/>
          <w:bCs w:val="0"/>
          <w:kern w:val="0"/>
          <w:sz w:val="24"/>
          <w:szCs w:val="24"/>
          <w:lang w:val="en-US" w:eastAsia="zh-CN"/>
        </w:rPr>
        <w:t>（公章）：</w:t>
      </w:r>
      <w:r>
        <w:rPr>
          <w:rFonts w:hint="eastAsia" w:ascii="宋体" w:hAnsi="宋体" w:eastAsia="宋体" w:cs="宋体"/>
          <w:b w:val="0"/>
          <w:bCs w:val="0"/>
          <w:kern w:val="0"/>
          <w:sz w:val="24"/>
          <w:szCs w:val="24"/>
        </w:rPr>
        <w:t xml:space="preserve"> </w:t>
      </w:r>
      <w:r>
        <w:rPr>
          <w:rFonts w:hint="eastAsia" w:ascii="宋体" w:hAnsi="宋体" w:cs="宋体"/>
          <w:b w:val="0"/>
          <w:bCs w:val="0"/>
          <w:kern w:val="0"/>
          <w:sz w:val="24"/>
          <w:szCs w:val="24"/>
          <w:lang w:val="en-US" w:eastAsia="zh-CN"/>
        </w:rPr>
        <w:t>中华人民共和国畹町出入境边防检查站</w:t>
      </w:r>
    </w:p>
    <w:p w14:paraId="74A43EFD">
      <w:pPr>
        <w:keepNext w:val="0"/>
        <w:keepLines w:val="0"/>
        <w:pageBreakBefore w:val="0"/>
        <w:kinsoku/>
        <w:wordWrap/>
        <w:overflowPunct/>
        <w:topLinePunct w:val="0"/>
        <w:autoSpaceDE/>
        <w:autoSpaceDN/>
        <w:bidi w:val="0"/>
        <w:adjustRightInd/>
        <w:snapToGrid/>
        <w:spacing w:after="0" w:line="500" w:lineRule="exact"/>
        <w:textAlignment w:val="auto"/>
        <w:rPr>
          <w:rFonts w:hint="eastAsia" w:ascii="宋体" w:hAnsi="宋体" w:eastAsia="宋体" w:cs="宋体"/>
          <w:b w:val="0"/>
          <w:bCs w:val="0"/>
          <w:sz w:val="24"/>
          <w:szCs w:val="24"/>
        </w:rPr>
      </w:pPr>
    </w:p>
    <w:p w14:paraId="19B0D71F">
      <w:pPr>
        <w:spacing w:line="360" w:lineRule="auto"/>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乙方（公章）：</w:t>
      </w:r>
    </w:p>
    <w:p w14:paraId="76DC235F">
      <w:pPr>
        <w:keepNext w:val="0"/>
        <w:keepLines w:val="0"/>
        <w:pageBreakBefore w:val="0"/>
        <w:kinsoku/>
        <w:wordWrap/>
        <w:overflowPunct/>
        <w:topLinePunct w:val="0"/>
        <w:autoSpaceDE/>
        <w:autoSpaceDN/>
        <w:bidi w:val="0"/>
        <w:adjustRightInd/>
        <w:snapToGrid/>
        <w:spacing w:after="0" w:line="500" w:lineRule="exact"/>
        <w:textAlignment w:val="auto"/>
        <w:rPr>
          <w:rFonts w:hint="eastAsia" w:ascii="宋体" w:hAnsi="宋体" w:eastAsia="宋体" w:cs="宋体"/>
          <w:b w:val="0"/>
          <w:bCs w:val="0"/>
          <w:sz w:val="24"/>
          <w:szCs w:val="24"/>
        </w:rPr>
      </w:pPr>
    </w:p>
    <w:p w14:paraId="5B85E0FF">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甲、乙双方根据《中华人民共和国畹町出入境边防检查站2025年度公务用车维修服务定点协议单位采购项目</w:t>
      </w:r>
      <w:r>
        <w:rPr>
          <w:rFonts w:hint="eastAsia" w:ascii="宋体" w:hAnsi="宋体" w:cs="宋体"/>
          <w:b w:val="0"/>
          <w:bCs w:val="0"/>
          <w:sz w:val="24"/>
          <w:szCs w:val="24"/>
          <w:lang w:val="en-US" w:eastAsia="zh-CN"/>
        </w:rPr>
        <w:t xml:space="preserve"> （二次）</w:t>
      </w:r>
      <w:r>
        <w:rPr>
          <w:rFonts w:hint="eastAsia" w:ascii="宋体" w:hAnsi="宋体" w:eastAsia="宋体" w:cs="宋体"/>
          <w:b w:val="0"/>
          <w:bCs w:val="0"/>
          <w:sz w:val="24"/>
          <w:szCs w:val="24"/>
        </w:rPr>
        <w:t>》</w:t>
      </w:r>
      <w:r>
        <w:rPr>
          <w:rFonts w:hint="eastAsia" w:ascii="宋体" w:hAnsi="宋体" w:eastAsia="宋体" w:cs="宋体"/>
          <w:b w:val="0"/>
          <w:bCs w:val="0"/>
          <w:sz w:val="24"/>
          <w:szCs w:val="24"/>
          <w:highlight w:val="none"/>
          <w:u w:val="none"/>
        </w:rPr>
        <w:t>（</w:t>
      </w:r>
      <w:r>
        <w:rPr>
          <w:rFonts w:hint="eastAsia" w:ascii="宋体" w:hAnsi="宋体" w:eastAsia="宋体" w:cs="宋体"/>
          <w:b w:val="0"/>
          <w:bCs w:val="0"/>
          <w:sz w:val="24"/>
          <w:szCs w:val="24"/>
          <w:highlight w:val="none"/>
          <w:u w:val="none"/>
          <w:lang w:eastAsia="zh-CN"/>
        </w:rPr>
        <w:t>项目</w:t>
      </w:r>
      <w:r>
        <w:rPr>
          <w:rFonts w:hint="eastAsia" w:ascii="宋体" w:hAnsi="宋体" w:eastAsia="宋体" w:cs="宋体"/>
          <w:b w:val="0"/>
          <w:bCs w:val="0"/>
          <w:sz w:val="24"/>
          <w:szCs w:val="24"/>
          <w:highlight w:val="none"/>
          <w:u w:val="none"/>
        </w:rPr>
        <w:t>编号：</w:t>
      </w:r>
      <w:r>
        <w:rPr>
          <w:rFonts w:hint="eastAsia" w:ascii="宋体" w:hAnsi="宋体" w:cs="宋体"/>
          <w:b w:val="0"/>
          <w:bCs w:val="0"/>
          <w:sz w:val="24"/>
          <w:szCs w:val="24"/>
          <w:highlight w:val="none"/>
          <w:u w:val="none"/>
          <w:lang w:val="en-US" w:eastAsia="zh-CN"/>
        </w:rPr>
        <w:t>DHZH2025-042</w:t>
      </w:r>
      <w:r>
        <w:rPr>
          <w:rFonts w:hint="eastAsia" w:ascii="宋体" w:hAnsi="宋体" w:eastAsia="宋体" w:cs="宋体"/>
          <w:b w:val="0"/>
          <w:bCs w:val="0"/>
          <w:sz w:val="24"/>
          <w:szCs w:val="24"/>
          <w:highlight w:val="none"/>
          <w:u w:val="none"/>
        </w:rPr>
        <w:t>）</w:t>
      </w:r>
      <w:r>
        <w:rPr>
          <w:rFonts w:hint="eastAsia" w:ascii="宋体" w:hAnsi="宋体" w:eastAsia="宋体" w:cs="宋体"/>
          <w:b w:val="0"/>
          <w:bCs w:val="0"/>
          <w:sz w:val="24"/>
          <w:szCs w:val="24"/>
          <w:lang w:eastAsia="zh-CN"/>
        </w:rPr>
        <w:t>采购</w:t>
      </w:r>
      <w:r>
        <w:rPr>
          <w:rFonts w:hint="eastAsia" w:ascii="宋体" w:hAnsi="宋体" w:eastAsia="宋体" w:cs="宋体"/>
          <w:b w:val="0"/>
          <w:bCs w:val="0"/>
          <w:sz w:val="24"/>
          <w:szCs w:val="24"/>
        </w:rPr>
        <w:t>结果，</w:t>
      </w:r>
      <w:r>
        <w:rPr>
          <w:rFonts w:hint="eastAsia" w:ascii="宋体" w:hAnsi="宋体" w:eastAsia="宋体" w:cs="宋体"/>
          <w:b w:val="0"/>
          <w:bCs w:val="0"/>
          <w:sz w:val="24"/>
          <w:szCs w:val="24"/>
          <w:lang w:val="en-US" w:eastAsia="zh-CN"/>
        </w:rPr>
        <w:t>依据</w:t>
      </w:r>
      <w:r>
        <w:rPr>
          <w:rFonts w:hint="eastAsia" w:ascii="宋体" w:hAnsi="宋体" w:eastAsia="宋体" w:cs="宋体"/>
          <w:b w:val="0"/>
          <w:bCs w:val="0"/>
          <w:sz w:val="24"/>
          <w:szCs w:val="24"/>
        </w:rPr>
        <w:t>《中华人民共和国民法典》《中华人民共和国政府采购法》《中华人民共和国政府采购法实施条例》及其他有关法律、行政法规规定</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遵循平等、自愿、公平和诚实信用的原则，经双方协定达成一致，订立本合同。</w:t>
      </w:r>
    </w:p>
    <w:p w14:paraId="3D7D9A4B">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一、项目基本情况</w:t>
      </w:r>
    </w:p>
    <w:p w14:paraId="78392419">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right="0"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1.项目名称：中华人民共和国畹町出入境边防检查站2025年度公务用车维修服务定点协议单位采购项目（二次）</w:t>
      </w:r>
      <w:r>
        <w:rPr>
          <w:rFonts w:hint="eastAsia" w:ascii="宋体" w:hAnsi="宋体" w:cs="宋体"/>
          <w:b w:val="0"/>
          <w:bCs w:val="0"/>
          <w:kern w:val="0"/>
          <w:sz w:val="24"/>
          <w:szCs w:val="24"/>
          <w:lang w:val="en-US" w:eastAsia="zh-CN" w:bidi="ar-SA"/>
        </w:rPr>
        <w:t>。</w:t>
      </w:r>
    </w:p>
    <w:p w14:paraId="2A9449EE">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right="0"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2.项目编号：DHZH2025-042</w:t>
      </w:r>
      <w:r>
        <w:rPr>
          <w:rFonts w:hint="eastAsia" w:ascii="宋体" w:hAnsi="宋体" w:cs="宋体"/>
          <w:b w:val="0"/>
          <w:bCs w:val="0"/>
          <w:kern w:val="0"/>
          <w:sz w:val="24"/>
          <w:szCs w:val="24"/>
          <w:lang w:val="en-US" w:eastAsia="zh-CN" w:bidi="ar-SA"/>
        </w:rPr>
        <w:t>。</w:t>
      </w:r>
    </w:p>
    <w:p w14:paraId="7E06CA42">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right="0" w:firstLine="480" w:firstLineChars="200"/>
        <w:jc w:val="left"/>
        <w:textAlignment w:val="auto"/>
        <w:rPr>
          <w:rFonts w:hint="eastAsia" w:ascii="宋体" w:hAnsi="宋体" w:eastAsia="宋体" w:cs="宋体"/>
          <w:b w:val="0"/>
          <w:bCs w:val="0"/>
          <w:color w:val="auto"/>
          <w:kern w:val="0"/>
          <w:sz w:val="24"/>
          <w:szCs w:val="24"/>
          <w:highlight w:val="green"/>
          <w:lang w:val="en-US" w:eastAsia="zh-CN" w:bidi="ar-SA"/>
        </w:rPr>
      </w:pPr>
      <w:r>
        <w:rPr>
          <w:rFonts w:hint="eastAsia" w:ascii="宋体" w:hAnsi="宋体" w:eastAsia="宋体" w:cs="宋体"/>
          <w:b w:val="0"/>
          <w:bCs w:val="0"/>
          <w:kern w:val="0"/>
          <w:sz w:val="24"/>
          <w:szCs w:val="24"/>
          <w:lang w:val="en-US" w:eastAsia="zh-CN" w:bidi="ar-SA"/>
        </w:rPr>
        <w:t>3.采购需求：对畹町出入境边防检查站在三个片区内58辆公务车辆提供日常基础保养及维修，并在片区内提供免费救援服务</w:t>
      </w:r>
      <w:r>
        <w:rPr>
          <w:rFonts w:hint="eastAsia" w:ascii="宋体" w:hAnsi="宋体" w:cs="宋体"/>
          <w:b w:val="0"/>
          <w:bCs w:val="0"/>
          <w:kern w:val="0"/>
          <w:sz w:val="24"/>
          <w:szCs w:val="24"/>
          <w:lang w:val="en-US" w:eastAsia="zh-CN" w:bidi="ar-SA"/>
        </w:rPr>
        <w:t>。</w:t>
      </w:r>
    </w:p>
    <w:p w14:paraId="1FDA24DB">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red"/>
          <w:lang w:val="en-US" w:eastAsia="zh-CN"/>
        </w:rPr>
      </w:pPr>
      <w:r>
        <w:rPr>
          <w:rFonts w:hint="eastAsia" w:ascii="宋体" w:hAnsi="宋体" w:eastAsia="宋体" w:cs="宋体"/>
          <w:b w:val="0"/>
          <w:bCs w:val="0"/>
          <w:sz w:val="24"/>
          <w:szCs w:val="24"/>
          <w:lang w:val="en-US" w:eastAsia="zh-CN"/>
        </w:rPr>
        <w:t>4.合同履行期限：合同签订之日起，服务期限满1年(维修费用以实际发生为准)</w:t>
      </w:r>
      <w:r>
        <w:rPr>
          <w:rFonts w:hint="eastAsia" w:ascii="宋体" w:hAnsi="宋体" w:cs="宋体"/>
          <w:b w:val="0"/>
          <w:bCs w:val="0"/>
          <w:sz w:val="24"/>
          <w:szCs w:val="24"/>
          <w:lang w:val="en-US" w:eastAsia="zh-CN"/>
        </w:rPr>
        <w:t>。</w:t>
      </w:r>
    </w:p>
    <w:p w14:paraId="5A3C8B11">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5.合同履行地点：畹町出入境边防检查站三个片区单位（瑞丽片区、芒市片区、盈江片区）</w:t>
      </w:r>
      <w:r>
        <w:rPr>
          <w:rFonts w:hint="eastAsia" w:ascii="宋体" w:hAnsi="宋体" w:cs="宋体"/>
          <w:b w:val="0"/>
          <w:bCs w:val="0"/>
          <w:sz w:val="24"/>
          <w:szCs w:val="24"/>
          <w:lang w:val="en-US" w:eastAsia="zh-CN"/>
        </w:rPr>
        <w:t>。</w:t>
      </w:r>
    </w:p>
    <w:p w14:paraId="0451B3FC">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6.考核验收：</w:t>
      </w:r>
    </w:p>
    <w:p w14:paraId="5025F68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甲方每月对乙方服务进行验收（考核验收表详见附件），考核验收表满分为100分，合格标准为80分，考核低于80分时乙方需及时对存在的问题作出响应并实施整改。乙方在履行合同期间，一年内累计出现2次考核低于80分的，甲方有权终止合同。</w:t>
      </w:r>
    </w:p>
    <w:p w14:paraId="6F1BED4A">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（2）在当期合同结束前，甲方统计每月考核验收平均分，考核验收平均分90分（含）以上可续签下一个年度合同；考核平均分低于90分，甲方可无责终止合同、重新选取供应商。</w:t>
      </w:r>
    </w:p>
    <w:p w14:paraId="440887AB">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rPr>
        <w:t>7.服务标准和要求：保证修车质量和快速维修，到店优</w:t>
      </w:r>
      <w:r>
        <w:rPr>
          <w:rFonts w:hint="eastAsia" w:ascii="宋体" w:hAnsi="宋体" w:eastAsia="宋体" w:cs="宋体"/>
          <w:b w:val="0"/>
          <w:bCs w:val="0"/>
          <w:sz w:val="24"/>
          <w:szCs w:val="24"/>
          <w:lang w:val="en-US" w:eastAsia="zh-CN"/>
        </w:rPr>
        <w:t>先修理，片区范围内提供免费救援服务；服务质量须达到现行中华人民共和国以及省、自治区、直辖市或行业的相关标准、规范的要求；严格遵照国家或行业有关标准、规范执行。</w:t>
      </w:r>
    </w:p>
    <w:p w14:paraId="4C5B927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二、服务期限</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合同价款</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付款方式及</w:t>
      </w:r>
      <w:r>
        <w:rPr>
          <w:rFonts w:hint="eastAsia" w:ascii="宋体" w:hAnsi="宋体" w:eastAsia="宋体" w:cs="宋体"/>
          <w:b w:val="0"/>
          <w:bCs w:val="0"/>
          <w:sz w:val="24"/>
          <w:szCs w:val="24"/>
          <w:highlight w:val="none"/>
          <w:lang w:val="en-US" w:eastAsia="zh-CN"/>
        </w:rPr>
        <w:t>履约保证金</w:t>
      </w:r>
    </w:p>
    <w:p w14:paraId="783A84D2">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lang w:val="en-US" w:eastAsia="zh-CN"/>
        </w:rPr>
        <w:t>本合同服务期限：自</w:t>
      </w:r>
      <w:r>
        <w:rPr>
          <w:rFonts w:hint="eastAsia" w:ascii="宋体" w:hAnsi="宋体" w:eastAsia="宋体" w:cs="宋体"/>
          <w:b w:val="0"/>
          <w:bCs w:val="0"/>
          <w:sz w:val="24"/>
          <w:szCs w:val="24"/>
          <w:highlight w:val="none"/>
          <w:lang w:val="en-US" w:eastAsia="zh-CN"/>
        </w:rPr>
        <w:t>2025年</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u w:val="single"/>
          <w:lang w:val="en-US" w:eastAsia="zh-CN"/>
        </w:rPr>
        <w:t>X</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月</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日起至2026年</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u w:val="single"/>
          <w:lang w:val="en-US" w:eastAsia="zh-CN"/>
        </w:rPr>
        <w:t>X</w:t>
      </w:r>
      <w:r>
        <w:rPr>
          <w:rFonts w:hint="eastAsia" w:ascii="宋体" w:hAnsi="宋体" w:eastAsia="宋体" w:cs="宋体"/>
          <w:b w:val="0"/>
          <w:bCs w:val="0"/>
          <w:sz w:val="24"/>
          <w:szCs w:val="24"/>
          <w:highlight w:val="none"/>
          <w:lang w:val="en-US" w:eastAsia="zh-CN"/>
        </w:rPr>
        <w:t>月</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日止。</w:t>
      </w:r>
    </w:p>
    <w:p w14:paraId="475AECB9">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2.合同涉及服务结算下浮率为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自合同签订之日起，此下浮率不变，服务期间乙方所供服务必须按照承诺的下浮率进行供应结算。乙方未按照承诺的下浮率进行供应结算，第一次发现时扣除50%履约保证金，第二次发现时甲方有权立即终止合同并没收全部履约保证金及项目尾款。</w:t>
      </w:r>
    </w:p>
    <w:p w14:paraId="4E9A02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lang w:eastAsia="zh-CN"/>
        </w:rPr>
        <w:t>合同价款：</w:t>
      </w:r>
    </w:p>
    <w:p w14:paraId="69EB465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lang w:eastAsia="zh-CN"/>
        </w:rPr>
        <w:t>本年度合同签约总价款为</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eastAsia="zh-CN"/>
        </w:rPr>
        <w:t>元</w:t>
      </w:r>
      <w:r>
        <w:rPr>
          <w:rFonts w:hint="eastAsia" w:ascii="宋体" w:hAnsi="宋体" w:eastAsia="宋体" w:cs="宋体"/>
          <w:b w:val="0"/>
          <w:bCs w:val="0"/>
          <w:sz w:val="24"/>
          <w:szCs w:val="24"/>
          <w:highlight w:val="none"/>
          <w:lang w:val="en-US" w:eastAsia="zh-CN"/>
        </w:rPr>
        <w:t>/年(大写：XX元整/年），</w:t>
      </w:r>
      <w:r>
        <w:rPr>
          <w:rFonts w:hint="eastAsia" w:ascii="宋体" w:hAnsi="宋体" w:eastAsia="宋体" w:cs="宋体"/>
          <w:b w:val="0"/>
          <w:bCs w:val="0"/>
          <w:sz w:val="24"/>
          <w:szCs w:val="24"/>
          <w:highlight w:val="none"/>
          <w:lang w:eastAsia="zh-CN"/>
        </w:rPr>
        <w:t>签约总价款在实际采购过程中可能会有部分调整。该金额仅为预算金额，本合同的签订，不视为甲方对乙方采购数量、采购金额作任何形式的承诺，若最终的采购金额未达到前述金额，不视为甲方违约，甲方不对乙方进行任何形式的补偿或赔偿。</w:t>
      </w:r>
    </w:p>
    <w:p w14:paraId="307E450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维保服务项目单价固定（详见维保服务项目清单），分项单价包含完成对应维修项的材料购置费、工时费、运输装卸费、调试、验收、维护、质保、辅材、税金、利润等伴随的服务及各种税费等完成维修项所包含的全部费用。</w:t>
      </w:r>
    </w:p>
    <w:p w14:paraId="6FC6A47A">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付款方式：</w:t>
      </w:r>
    </w:p>
    <w:p w14:paraId="598E707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（1）据实结算。每次服务发生后，乙方按照服务明细开具对应结算清单及发票。</w:t>
      </w:r>
    </w:p>
    <w:p w14:paraId="2ADCE1D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（2）乙方所开具的发票应与服务内容相一致并且符合国家商品销售、税务管理等有关规定，发票金额应与据实结算金额相一致。</w:t>
      </w:r>
    </w:p>
    <w:p w14:paraId="1FE786A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甲方接到乙方结算清单及发票后</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在</w:t>
      </w:r>
      <w:r>
        <w:rPr>
          <w:rFonts w:hint="eastAsia" w:ascii="宋体" w:hAnsi="宋体" w:eastAsia="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个工作日内将相关费用打入乙方</w:t>
      </w:r>
      <w:r>
        <w:rPr>
          <w:rFonts w:hint="eastAsia" w:ascii="宋体" w:hAnsi="宋体" w:eastAsia="宋体" w:cs="宋体"/>
          <w:b w:val="0"/>
          <w:bCs w:val="0"/>
          <w:color w:val="auto"/>
          <w:sz w:val="24"/>
          <w:szCs w:val="24"/>
          <w:highlight w:val="none"/>
          <w:lang w:eastAsia="zh-CN"/>
        </w:rPr>
        <w:t>指定账户</w:t>
      </w:r>
      <w:r>
        <w:rPr>
          <w:rFonts w:hint="eastAsia" w:ascii="宋体" w:hAnsi="宋体" w:eastAsia="宋体" w:cs="宋体"/>
          <w:b w:val="0"/>
          <w:bCs w:val="0"/>
          <w:color w:val="auto"/>
          <w:sz w:val="24"/>
          <w:szCs w:val="24"/>
          <w:lang w:eastAsia="zh-CN"/>
        </w:rPr>
        <w:t>。</w:t>
      </w:r>
    </w:p>
    <w:p w14:paraId="255E1C1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履约保证金</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本项目不要求</w:t>
      </w:r>
      <w:r>
        <w:rPr>
          <w:rFonts w:hint="eastAsia" w:ascii="宋体" w:hAnsi="宋体" w:cs="宋体"/>
          <w:b/>
          <w:bCs/>
          <w:color w:val="auto"/>
          <w:sz w:val="24"/>
          <w:szCs w:val="24"/>
          <w:highlight w:val="none"/>
          <w:lang w:eastAsia="zh-CN"/>
        </w:rPr>
        <w:t>）</w:t>
      </w:r>
    </w:p>
    <w:p w14:paraId="5A314C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（1）乙方应在合同签订后10个工作日内，向甲方缴纳履约保证金，履约保证金缴纳方式为银行汇付、保险保函或银行保函（需提交不可撤销、见索即付的独立保函，提供相应原件），履约保证金额为</w:t>
      </w:r>
      <w:r>
        <w:rPr>
          <w:rFonts w:hint="eastAsia" w:ascii="宋体" w:hAnsi="宋体" w:eastAsia="宋体" w:cs="宋体"/>
          <w:b w:val="0"/>
          <w:bCs w:val="0"/>
          <w:color w:val="auto"/>
          <w:sz w:val="24"/>
          <w:szCs w:val="24"/>
          <w:highlight w:val="none"/>
          <w:lang w:eastAsia="zh-CN"/>
        </w:rPr>
        <w:t>年度合同签约总价款的</w:t>
      </w:r>
      <w:r>
        <w:rPr>
          <w:rFonts w:hint="eastAsia" w:ascii="宋体" w:hAnsi="宋体" w:eastAsia="宋体" w:cs="宋体"/>
          <w:b w:val="0"/>
          <w:bCs w:val="0"/>
          <w:color w:val="auto"/>
          <w:sz w:val="24"/>
          <w:szCs w:val="24"/>
          <w:highlight w:val="none"/>
          <w:lang w:val="en-US" w:eastAsia="zh-CN"/>
        </w:rPr>
        <w:t>10%（即人民币XXX元整）</w:t>
      </w:r>
      <w:r>
        <w:rPr>
          <w:rFonts w:hint="eastAsia" w:ascii="宋体" w:hAnsi="宋体" w:eastAsia="宋体" w:cs="宋体"/>
          <w:b w:val="0"/>
          <w:bCs w:val="0"/>
          <w:color w:val="auto"/>
          <w:sz w:val="24"/>
          <w:szCs w:val="24"/>
          <w:lang w:val="en-US" w:eastAsia="zh-CN"/>
        </w:rPr>
        <w:t>。</w:t>
      </w:r>
    </w:p>
    <w:p w14:paraId="3347590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（2）如在合同执行期间因乙方违约导致履约保证金部分或全部扣除的，乙方需在七日内补齐履约保证金。</w:t>
      </w:r>
    </w:p>
    <w:p w14:paraId="53606E2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（3）履约保证金待服务结束后，乙方无违约行为或者乙方已付清全部违约费用，甲方于10个工作日内一次性无息退还。</w:t>
      </w:r>
    </w:p>
    <w:p w14:paraId="1851A207">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 xml:space="preserve">三、服务标准及要求 </w:t>
      </w:r>
    </w:p>
    <w:p w14:paraId="399ACEBE">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宋体" w:hAnsi="宋体" w:eastAsia="宋体" w:cs="宋体"/>
          <w:b w:val="0"/>
          <w:bCs w:val="0"/>
          <w:color w:val="auto"/>
          <w:kern w:val="2"/>
          <w:sz w:val="24"/>
          <w:szCs w:val="24"/>
          <w:u w:val="none"/>
          <w:lang w:val="en-US" w:eastAsia="zh-CN"/>
        </w:rPr>
      </w:pPr>
      <w:r>
        <w:rPr>
          <w:rFonts w:hint="eastAsia" w:ascii="宋体" w:hAnsi="宋体" w:eastAsia="宋体" w:cs="宋体"/>
          <w:b w:val="0"/>
          <w:bCs w:val="0"/>
          <w:color w:val="auto"/>
          <w:kern w:val="2"/>
          <w:sz w:val="24"/>
          <w:szCs w:val="24"/>
          <w:u w:val="none"/>
          <w:lang w:val="en-US" w:eastAsia="zh-CN"/>
        </w:rPr>
        <w:t>1.本合同下提供的货物应符合磋商文件及合同约定规格型号、技术性能、配置、质量等要求（见</w:t>
      </w:r>
      <w:r>
        <w:rPr>
          <w:rFonts w:hint="eastAsia" w:ascii="宋体" w:hAnsi="宋体" w:eastAsia="宋体" w:cs="宋体"/>
          <w:b w:val="0"/>
          <w:bCs w:val="0"/>
          <w:color w:val="auto"/>
          <w:kern w:val="2"/>
          <w:sz w:val="24"/>
          <w:szCs w:val="24"/>
          <w:highlight w:val="none"/>
          <w:lang w:val="en-US" w:eastAsia="zh-CN"/>
        </w:rPr>
        <w:t>维保服务项目清单</w:t>
      </w:r>
      <w:r>
        <w:rPr>
          <w:rFonts w:hint="eastAsia" w:ascii="宋体" w:hAnsi="宋体" w:eastAsia="宋体" w:cs="宋体"/>
          <w:b w:val="0"/>
          <w:bCs w:val="0"/>
          <w:color w:val="auto"/>
          <w:kern w:val="2"/>
          <w:sz w:val="24"/>
          <w:szCs w:val="24"/>
          <w:u w:val="none"/>
          <w:lang w:val="en-US" w:eastAsia="zh-CN"/>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4FA412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2.维保服务项目所涉及的配件、材料应为原厂正品，否则将视为不符合质量要求。</w:t>
      </w:r>
    </w:p>
    <w:p w14:paraId="73CC289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3.乙方应本着及时、迅速原则，对甲方交付的需要维修、保养车辆最快时间处理，并在以下规定时间内交货：</w:t>
      </w:r>
    </w:p>
    <w:p w14:paraId="4E5EDA9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①大修：原则上7个日历天内</w:t>
      </w:r>
    </w:p>
    <w:p w14:paraId="6AEC4E6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②小修：原则上3个日历天内</w:t>
      </w:r>
    </w:p>
    <w:p w14:paraId="79CEF9E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③一级、二级保养：原则上当天完成</w:t>
      </w:r>
    </w:p>
    <w:p w14:paraId="75F9919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④特殊专项：甲乙双方协商</w:t>
      </w:r>
    </w:p>
    <w:p w14:paraId="26D045CC">
      <w:pPr>
        <w:keepNext w:val="0"/>
        <w:keepLines w:val="0"/>
        <w:pageBreakBefore w:val="0"/>
        <w:widowControl/>
        <w:numPr>
          <w:ilvl w:val="0"/>
          <w:numId w:val="0"/>
        </w:numPr>
        <w:kinsoku/>
        <w:wordWrap/>
        <w:overflowPunct/>
        <w:topLinePunct w:val="0"/>
        <w:autoSpaceDE/>
        <w:autoSpaceDN/>
        <w:bidi w:val="0"/>
        <w:adjustRightInd/>
        <w:snapToGrid/>
        <w:spacing w:before="0" w:beforeAutospacing="0" w:afterAutospacing="0" w:line="500" w:lineRule="exact"/>
        <w:ind w:firstLine="480" w:firstLineChars="200"/>
        <w:jc w:val="left"/>
        <w:textAlignment w:val="auto"/>
        <w:rPr>
          <w:rFonts w:hint="eastAsia"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t>4.日常维护项目为成交供应商附赠服务、不单独计价，包含但不限于：1.对不发生材料费的小修、调试、检测免收工时费；2.免费洗车、免费加雨刮水；3.免费为发动机、底盘、电气系统提供32项常规检测服务；4.免费代办年检、保险索赔免收手续费；5.免费提供车辆安全及维保技术培训等。6.免费提供调方向盘、四轮轮胎平衡、四轮轮胎气压检查及补气等日常维护项目服务。</w:t>
      </w:r>
    </w:p>
    <w:p w14:paraId="0858D6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t>5.维保服务项目所涉及一级保养、二级保养必须使用全合成机油，否则将视为不符合质量要求。</w:t>
      </w:r>
    </w:p>
    <w:p w14:paraId="2C6B378C">
      <w:pPr>
        <w:keepNext w:val="0"/>
        <w:keepLines w:val="0"/>
        <w:pageBreakBefore w:val="0"/>
        <w:widowControl/>
        <w:kinsoku/>
        <w:wordWrap/>
        <w:overflowPunct/>
        <w:topLinePunct w:val="0"/>
        <w:autoSpaceDE/>
        <w:autoSpaceDN/>
        <w:bidi w:val="0"/>
        <w:adjustRightInd/>
        <w:snapToGrid/>
        <w:spacing w:before="0" w:beforeAutospacing="0" w:afterAutospacing="0" w:line="500" w:lineRule="exact"/>
        <w:ind w:firstLine="480" w:firstLineChars="200"/>
        <w:jc w:val="left"/>
        <w:textAlignment w:val="auto"/>
        <w:rPr>
          <w:rFonts w:hint="eastAsia"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t>6.车辆维修出厂时提供明确的质量保证期，其保证期制度标准不能低于《交通运输部关于修改&lt;机动车维修管理规定&gt;的决定（交通运输部令2016 年第 37 号）》的标准。在质保期内出现设备故障等质量问题，乙方应立即无偿进行返厂修理、更换，并应自收到甲方返修通知后立即进行更换、修理工作。新更换和补充修复部件质保期经甲方验收后重新开始计算。若由于乙方的迟延造成甲方不能正常工作或致使返修的故障设备超过质保期，则由此产生的修理费用及甲方损失由乙方负责。</w:t>
      </w:r>
    </w:p>
    <w:p w14:paraId="69D366A5">
      <w:pPr>
        <w:keepNext w:val="0"/>
        <w:keepLines w:val="0"/>
        <w:pageBreakBefore w:val="0"/>
        <w:widowControl/>
        <w:kinsoku/>
        <w:wordWrap/>
        <w:overflowPunct/>
        <w:topLinePunct w:val="0"/>
        <w:autoSpaceDE/>
        <w:autoSpaceDN/>
        <w:bidi w:val="0"/>
        <w:adjustRightInd/>
        <w:snapToGrid/>
        <w:spacing w:before="0" w:beforeAutospacing="0" w:afterAutospacing="0" w:line="500" w:lineRule="exact"/>
        <w:ind w:firstLine="480" w:firstLineChars="200"/>
        <w:jc w:val="left"/>
        <w:textAlignment w:val="auto"/>
        <w:rPr>
          <w:rFonts w:hint="eastAsia"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t>质量保证期自待修车辆维修完成且验收合格出厂之日起算，①涉及保养、一级维护、小修及专项修理的，质量保证期为车辆行驶2000公里或者10日；②涉及二级维护的，质量保证期为车辆行驶5000公里或者30日；③涉及车辆整车修理或总成修理的，质量保证期为车辆行驶20000公里或者100日；质量保证期中行驶里程和日期指标，以先达到者为准。对采购人待修的同一车辆的同一故障应一次性修复，若出现非采购人原因导致的反复维修，供应商应承担响应费用，直至修理完成且验收合格。</w:t>
      </w:r>
    </w:p>
    <w:p w14:paraId="66B40206">
      <w:pPr>
        <w:keepNext w:val="0"/>
        <w:keepLines w:val="0"/>
        <w:pageBreakBefore w:val="0"/>
        <w:widowControl/>
        <w:kinsoku/>
        <w:wordWrap/>
        <w:overflowPunct/>
        <w:topLinePunct w:val="0"/>
        <w:autoSpaceDE/>
        <w:autoSpaceDN/>
        <w:bidi w:val="0"/>
        <w:adjustRightInd/>
        <w:snapToGrid/>
        <w:spacing w:before="0" w:beforeAutospacing="0" w:afterAutospacing="0" w:line="500" w:lineRule="exact"/>
        <w:ind w:firstLine="480" w:firstLineChars="200"/>
        <w:jc w:val="left"/>
        <w:textAlignment w:val="auto"/>
        <w:rPr>
          <w:rFonts w:hint="eastAsia"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t>7.在质量保证期内，如果货物的质量或规格与合同不符，或证实货物是有缺陷的，包括潜在的缺陷或使用不符合要求的材料等，甲方有权追究乙方的违约责任。</w:t>
      </w:r>
      <w:r>
        <w:rPr>
          <w:rFonts w:hint="eastAsia" w:ascii="宋体" w:hAnsi="宋体" w:eastAsia="宋体" w:cs="宋体"/>
          <w:b w:val="0"/>
          <w:bCs w:val="0"/>
          <w:color w:val="auto"/>
          <w:kern w:val="2"/>
          <w:sz w:val="24"/>
          <w:szCs w:val="24"/>
          <w:highlight w:val="none"/>
          <w:u w:val="none"/>
          <w:lang w:val="en-US" w:eastAsia="zh-CN" w:bidi="ar-SA"/>
        </w:rPr>
        <w:tab/>
      </w:r>
    </w:p>
    <w:p w14:paraId="7D03DAEB">
      <w:pPr>
        <w:keepNext w:val="0"/>
        <w:keepLines w:val="0"/>
        <w:pageBreakBefore w:val="0"/>
        <w:widowControl/>
        <w:kinsoku/>
        <w:wordWrap/>
        <w:overflowPunct/>
        <w:topLinePunct w:val="0"/>
        <w:autoSpaceDE/>
        <w:autoSpaceDN/>
        <w:bidi w:val="0"/>
        <w:adjustRightInd/>
        <w:snapToGrid/>
        <w:spacing w:before="0" w:beforeAutospacing="0" w:afterAutospacing="0" w:line="500" w:lineRule="exact"/>
        <w:ind w:firstLine="480" w:firstLineChars="200"/>
        <w:jc w:val="left"/>
        <w:textAlignment w:val="auto"/>
        <w:rPr>
          <w:rFonts w:hint="eastAsia"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t>8.维修和保养服务内容包含但不限于维保服务项目清单，如维修和保养项目在清单外，成交供应商按双方市场询价定价×（1-成交下浮率）提供。</w:t>
      </w:r>
    </w:p>
    <w:p w14:paraId="0A520661">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宋体" w:hAnsi="宋体" w:eastAsia="宋体" w:cs="宋体"/>
          <w:b w:val="0"/>
          <w:bCs w:val="0"/>
          <w:color w:val="auto"/>
          <w:kern w:val="2"/>
          <w:sz w:val="24"/>
          <w:szCs w:val="24"/>
          <w:highlight w:val="none"/>
          <w:u w:val="none"/>
          <w:lang w:val="en-US" w:eastAsia="zh-CN"/>
        </w:rPr>
      </w:pPr>
      <w:r>
        <w:rPr>
          <w:rFonts w:hint="eastAsia" w:ascii="宋体" w:hAnsi="宋体" w:eastAsia="宋体" w:cs="宋体"/>
          <w:b w:val="0"/>
          <w:bCs w:val="0"/>
          <w:color w:val="auto"/>
          <w:kern w:val="2"/>
          <w:sz w:val="24"/>
          <w:szCs w:val="24"/>
          <w:highlight w:val="none"/>
          <w:u w:val="none"/>
          <w:lang w:val="en-US" w:eastAsia="zh-CN"/>
        </w:rPr>
        <w:t>9.维修记录跟踪及资料建档要求：提供全年维修、维保记录和清单，包含更换零备件数量及价格等。</w:t>
      </w:r>
    </w:p>
    <w:p w14:paraId="5EE22A88">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10.售后服务：乙方提供的售后服务的费用已包含在合同价款中，甲方不再另行支付。</w:t>
      </w:r>
    </w:p>
    <w:p w14:paraId="37E1115E">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0"/>
          <w:szCs w:val="22"/>
          <w:lang w:val="en-US" w:eastAsia="zh-CN"/>
        </w:rPr>
      </w:pPr>
      <w:r>
        <w:rPr>
          <w:rFonts w:hint="eastAsia" w:ascii="宋体" w:hAnsi="宋体" w:eastAsia="宋体" w:cs="宋体"/>
          <w:b w:val="0"/>
          <w:bCs w:val="0"/>
          <w:color w:val="auto"/>
          <w:sz w:val="24"/>
          <w:szCs w:val="24"/>
          <w:highlight w:val="none"/>
          <w:u w:val="none"/>
          <w:lang w:val="en-US" w:eastAsia="zh-CN"/>
        </w:rPr>
        <w:t>11.</w:t>
      </w:r>
      <w:r>
        <w:rPr>
          <w:rFonts w:hint="eastAsia" w:ascii="宋体" w:hAnsi="宋体" w:eastAsia="宋体" w:cs="宋体"/>
          <w:b w:val="0"/>
          <w:bCs w:val="0"/>
          <w:color w:val="auto"/>
          <w:sz w:val="24"/>
          <w:highlight w:val="none"/>
          <w:lang w:val="en-US" w:eastAsia="zh-CN"/>
        </w:rPr>
        <w:t>应急服务：包含但不限于：①成交供应商应为采购人提供60公里内免费故障车辆救援服务，30公里内的拖车或技师应在60分钟内抵达现场，60公里内的拖车或技师应在90分钟内抵达现场（路况复杂的，可延长至120分钟）；超出60公里的，超出部分按市场价和供应商优惠率据实结算。②待修车辆涉及急修、抢修的，成交供应商不得额外收取急修、抢修附加工时费。③供应商应在不违法国家法律法规的前提下，充分了解采购人单位性质，并根据采购人要求，参与采购人执行的应急保障服务。</w:t>
      </w:r>
    </w:p>
    <w:p w14:paraId="01031E2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宋体" w:hAnsi="宋体" w:eastAsia="宋体" w:cs="宋体"/>
          <w:b w:val="0"/>
          <w:bCs w:val="0"/>
          <w:color w:val="auto"/>
          <w:kern w:val="2"/>
          <w:sz w:val="24"/>
          <w:szCs w:val="24"/>
          <w:u w:val="none"/>
          <w:lang w:val="en-US" w:eastAsia="zh-CN"/>
        </w:rPr>
      </w:pPr>
      <w:r>
        <w:rPr>
          <w:rFonts w:hint="eastAsia" w:ascii="宋体" w:hAnsi="宋体" w:eastAsia="宋体" w:cs="宋体"/>
          <w:b w:val="0"/>
          <w:bCs w:val="0"/>
          <w:color w:val="auto"/>
          <w:kern w:val="2"/>
          <w:sz w:val="24"/>
          <w:szCs w:val="24"/>
          <w:u w:val="none"/>
          <w:lang w:val="en-US" w:eastAsia="zh-CN"/>
        </w:rPr>
        <w:tab/>
      </w:r>
      <w:r>
        <w:rPr>
          <w:rFonts w:hint="eastAsia" w:ascii="宋体" w:hAnsi="宋体" w:eastAsia="宋体" w:cs="宋体"/>
          <w:b w:val="0"/>
          <w:bCs w:val="0"/>
          <w:color w:val="auto"/>
          <w:kern w:val="2"/>
          <w:sz w:val="24"/>
          <w:szCs w:val="24"/>
          <w:lang w:val="en-US" w:eastAsia="zh-CN"/>
        </w:rPr>
        <w:t>四、履约</w:t>
      </w:r>
      <w:r>
        <w:rPr>
          <w:rFonts w:hint="eastAsia" w:ascii="宋体" w:hAnsi="宋体" w:eastAsia="宋体" w:cs="宋体"/>
          <w:b w:val="0"/>
          <w:bCs w:val="0"/>
          <w:color w:val="auto"/>
          <w:kern w:val="2"/>
          <w:sz w:val="24"/>
          <w:szCs w:val="24"/>
          <w:u w:val="none"/>
          <w:lang w:val="en-US" w:eastAsia="zh-CN"/>
        </w:rPr>
        <w:t>验收</w:t>
      </w:r>
    </w:p>
    <w:p w14:paraId="15EC038A">
      <w:pPr>
        <w:keepNext w:val="0"/>
        <w:keepLines w:val="0"/>
        <w:pageBreakBefore w:val="0"/>
        <w:widowControl/>
        <w:kinsoku/>
        <w:wordWrap/>
        <w:overflowPunct/>
        <w:topLinePunct w:val="0"/>
        <w:autoSpaceDE/>
        <w:autoSpaceDN/>
        <w:bidi w:val="0"/>
        <w:adjustRightInd/>
        <w:snapToGrid/>
        <w:spacing w:before="0" w:beforeAutospacing="0" w:afterAutospacing="0" w:line="500" w:lineRule="exact"/>
        <w:ind w:firstLine="480" w:firstLineChars="200"/>
        <w:jc w:val="left"/>
        <w:textAlignment w:val="auto"/>
        <w:rPr>
          <w:rFonts w:hint="eastAsia" w:ascii="宋体" w:hAnsi="宋体" w:eastAsia="宋体" w:cs="宋体"/>
          <w:b w:val="0"/>
          <w:bCs w:val="0"/>
          <w:color w:val="auto"/>
          <w:kern w:val="0"/>
          <w:sz w:val="24"/>
          <w:szCs w:val="24"/>
          <w:u w:val="none"/>
          <w:lang w:val="en-US" w:eastAsia="zh-CN" w:bidi="ar-SA"/>
        </w:rPr>
      </w:pPr>
      <w:r>
        <w:rPr>
          <w:rFonts w:hint="eastAsia" w:ascii="宋体" w:hAnsi="宋体" w:eastAsia="宋体" w:cs="宋体"/>
          <w:b w:val="0"/>
          <w:bCs w:val="0"/>
          <w:color w:val="auto"/>
          <w:kern w:val="0"/>
          <w:sz w:val="24"/>
          <w:szCs w:val="24"/>
          <w:u w:val="none"/>
          <w:lang w:val="en-US" w:eastAsia="zh-CN" w:bidi="ar-SA"/>
        </w:rPr>
        <w:t>1.履约验收时间：乙方根据甲方要求完成车辆维修、保养服务后，应及时通知甲方进行验收。甲方应在收到验收通知后3个工作日内进行验收。</w:t>
      </w:r>
    </w:p>
    <w:p w14:paraId="7BAD6FD6">
      <w:pPr>
        <w:keepNext w:val="0"/>
        <w:keepLines w:val="0"/>
        <w:pageBreakBefore w:val="0"/>
        <w:widowControl/>
        <w:kinsoku/>
        <w:wordWrap/>
        <w:overflowPunct/>
        <w:topLinePunct w:val="0"/>
        <w:autoSpaceDE/>
        <w:autoSpaceDN/>
        <w:bidi w:val="0"/>
        <w:adjustRightInd/>
        <w:snapToGrid/>
        <w:spacing w:before="0" w:beforeAutospacing="0" w:afterAutospacing="0" w:line="500" w:lineRule="exact"/>
        <w:ind w:firstLine="480" w:firstLineChars="200"/>
        <w:jc w:val="left"/>
        <w:textAlignment w:val="auto"/>
        <w:rPr>
          <w:rFonts w:hint="eastAsia" w:ascii="宋体" w:hAnsi="宋体" w:eastAsia="宋体" w:cs="宋体"/>
          <w:b w:val="0"/>
          <w:bCs w:val="0"/>
          <w:color w:val="auto"/>
          <w:kern w:val="0"/>
          <w:sz w:val="24"/>
          <w:szCs w:val="24"/>
          <w:highlight w:val="none"/>
          <w:u w:val="none"/>
          <w:lang w:val="en-US" w:eastAsia="zh-CN" w:bidi="ar-SA"/>
        </w:rPr>
      </w:pPr>
      <w:r>
        <w:rPr>
          <w:rFonts w:hint="eastAsia" w:ascii="宋体" w:hAnsi="宋体" w:eastAsia="宋体" w:cs="宋体"/>
          <w:b w:val="0"/>
          <w:bCs w:val="0"/>
          <w:color w:val="auto"/>
          <w:kern w:val="0"/>
          <w:sz w:val="24"/>
          <w:szCs w:val="24"/>
          <w:highlight w:val="none"/>
          <w:u w:val="none"/>
          <w:lang w:val="en-US" w:eastAsia="zh-CN" w:bidi="ar-SA"/>
        </w:rPr>
        <w:t>2.验收地点及方式：在车辆维修、保养地现场组织验收。甲方按照本合同约定的产品质量、规格、材料、数量及国家、行业的相关标准对乙方提供的服务进行验收。验收后，乙方填写《汽车维修验收单》（见附件），甲方签字确认。</w:t>
      </w:r>
    </w:p>
    <w:p w14:paraId="2B43BF8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3.验收注意事项：乙方保证所有验收项目一次性通过验收。反之，每增加一次验收程序，乙方向甲方支付1000元的违约金。</w:t>
      </w:r>
    </w:p>
    <w:p w14:paraId="74062A1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五、</w:t>
      </w:r>
      <w:r>
        <w:rPr>
          <w:rFonts w:hint="eastAsia" w:ascii="宋体" w:hAnsi="宋体" w:eastAsia="宋体" w:cs="宋体"/>
          <w:b w:val="0"/>
          <w:bCs w:val="0"/>
          <w:color w:val="auto"/>
          <w:sz w:val="24"/>
          <w:szCs w:val="24"/>
        </w:rPr>
        <w:t>甲乙双方的权利和义务</w:t>
      </w:r>
    </w:p>
    <w:p w14:paraId="20D269F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一</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甲方</w:t>
      </w:r>
      <w:r>
        <w:rPr>
          <w:rFonts w:hint="eastAsia" w:ascii="宋体" w:hAnsi="宋体" w:eastAsia="宋体" w:cs="宋体"/>
          <w:b w:val="0"/>
          <w:bCs w:val="0"/>
          <w:sz w:val="24"/>
          <w:szCs w:val="24"/>
          <w:lang w:val="en-US" w:eastAsia="zh-CN"/>
        </w:rPr>
        <w:t>的</w:t>
      </w:r>
      <w:r>
        <w:rPr>
          <w:rFonts w:hint="eastAsia" w:ascii="宋体" w:hAnsi="宋体" w:eastAsia="宋体" w:cs="宋体"/>
          <w:b w:val="0"/>
          <w:bCs w:val="0"/>
          <w:sz w:val="24"/>
          <w:szCs w:val="24"/>
        </w:rPr>
        <w:t>权利</w:t>
      </w:r>
      <w:r>
        <w:rPr>
          <w:rFonts w:hint="eastAsia" w:ascii="宋体" w:hAnsi="宋体" w:eastAsia="宋体" w:cs="宋体"/>
          <w:b w:val="0"/>
          <w:bCs w:val="0"/>
          <w:sz w:val="24"/>
          <w:szCs w:val="24"/>
          <w:lang w:val="en-US" w:eastAsia="zh-CN"/>
        </w:rPr>
        <w:t>和</w:t>
      </w:r>
      <w:r>
        <w:rPr>
          <w:rFonts w:hint="eastAsia" w:ascii="宋体" w:hAnsi="宋体" w:eastAsia="宋体" w:cs="宋体"/>
          <w:b w:val="0"/>
          <w:bCs w:val="0"/>
          <w:sz w:val="24"/>
          <w:szCs w:val="24"/>
        </w:rPr>
        <w:t>义务</w:t>
      </w:r>
    </w:p>
    <w:p w14:paraId="217DD87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1.负责</w:t>
      </w:r>
      <w:r>
        <w:rPr>
          <w:rFonts w:hint="eastAsia" w:ascii="宋体" w:hAnsi="宋体" w:eastAsia="宋体" w:cs="宋体"/>
          <w:b w:val="0"/>
          <w:bCs w:val="0"/>
          <w:sz w:val="24"/>
          <w:szCs w:val="24"/>
          <w:lang w:eastAsia="zh-CN"/>
        </w:rPr>
        <w:t>乙方车辆维修、保养过程中的</w:t>
      </w:r>
      <w:r>
        <w:rPr>
          <w:rFonts w:hint="eastAsia" w:ascii="宋体" w:hAnsi="宋体" w:eastAsia="宋体" w:cs="宋体"/>
          <w:b w:val="0"/>
          <w:bCs w:val="0"/>
          <w:sz w:val="24"/>
          <w:szCs w:val="24"/>
        </w:rPr>
        <w:t xml:space="preserve">配合和监督等工作； </w:t>
      </w:r>
    </w:p>
    <w:p w14:paraId="7451960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.按采购合同规定享有乙方提供的服务，乙方严格履行合同约定的，甲方应按合同约定向乙方支付货款；</w:t>
      </w:r>
    </w:p>
    <w:p w14:paraId="5E7486B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.对不符合质量要求的货品，甲方有权退货或要求</w:t>
      </w:r>
      <w:r>
        <w:rPr>
          <w:rFonts w:hint="eastAsia" w:ascii="宋体" w:hAnsi="宋体" w:eastAsia="宋体" w:cs="宋体"/>
          <w:b w:val="0"/>
          <w:bCs w:val="0"/>
          <w:sz w:val="24"/>
          <w:szCs w:val="24"/>
          <w:lang w:eastAsia="zh-CN"/>
        </w:rPr>
        <w:t>乙方</w:t>
      </w:r>
      <w:r>
        <w:rPr>
          <w:rFonts w:hint="eastAsia" w:ascii="宋体" w:hAnsi="宋体" w:eastAsia="宋体" w:cs="宋体"/>
          <w:b w:val="0"/>
          <w:bCs w:val="0"/>
          <w:sz w:val="24"/>
          <w:szCs w:val="24"/>
        </w:rPr>
        <w:t>按要求更换符合质量标准的货品；</w:t>
      </w:r>
    </w:p>
    <w:p w14:paraId="72FDF5C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.如遇不可抗力因素，乙方应全力优先保证甲方供应，如乙方确实无法按时供应或价格经协商不能达成一致的，甲方有权选择其他供应商供货；</w:t>
      </w:r>
    </w:p>
    <w:p w14:paraId="091734A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.甲方有权对乙方的服务提出改进建议和意见；</w:t>
      </w:r>
    </w:p>
    <w:p w14:paraId="01A6255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.甲方应对乙方的有关信息、数据和资料（包括但不仅限于技术、财务、销售方面的信息、数据和资料）及其他信息负有严格保密的责任</w:t>
      </w:r>
      <w:r>
        <w:rPr>
          <w:rFonts w:hint="eastAsia" w:ascii="宋体" w:hAnsi="宋体" w:eastAsia="宋体" w:cs="宋体"/>
          <w:b w:val="0"/>
          <w:bCs w:val="0"/>
          <w:sz w:val="24"/>
          <w:szCs w:val="24"/>
          <w:highlight w:val="none"/>
        </w:rPr>
        <w:t>。</w:t>
      </w:r>
    </w:p>
    <w:p w14:paraId="5F975C9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highlight w:val="none"/>
          <w:lang w:val="en-US" w:eastAsia="zh-CN"/>
        </w:rPr>
        <w:t>7.甲方不得向乙方索要或者接受其给予的赠品、回扣或者与采购无关的其它商品、服务。</w:t>
      </w:r>
    </w:p>
    <w:p w14:paraId="2FFC680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（二）乙方的权利和义务 </w:t>
      </w:r>
    </w:p>
    <w:p w14:paraId="7E70F83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1.乙方遵守甲方各项管理规定，遵守与履行本协议有关的甲方部门的规定。为保证服务质量，乙方应主动了解与乙方履行协议有关的甲方各项规定；</w:t>
      </w:r>
    </w:p>
    <w:p w14:paraId="0538947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2.乙方在国家法律法规规定的范围按时、按质、按量为甲方提供服务； </w:t>
      </w:r>
    </w:p>
    <w:p w14:paraId="751132B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3.乙方应相对固定服务甲方的项目负责人、业务</w:t>
      </w:r>
      <w:r>
        <w:rPr>
          <w:rFonts w:hint="eastAsia" w:ascii="宋体" w:hAnsi="宋体" w:eastAsia="宋体" w:cs="宋体"/>
          <w:b w:val="0"/>
          <w:bCs w:val="0"/>
          <w:sz w:val="24"/>
          <w:szCs w:val="24"/>
          <w:highlight w:val="none"/>
          <w:lang w:eastAsia="zh-CN"/>
        </w:rPr>
        <w:t>人</w:t>
      </w:r>
      <w:r>
        <w:rPr>
          <w:rFonts w:hint="eastAsia" w:ascii="宋体" w:hAnsi="宋体" w:eastAsia="宋体" w:cs="宋体"/>
          <w:b w:val="0"/>
          <w:bCs w:val="0"/>
          <w:sz w:val="24"/>
          <w:szCs w:val="24"/>
          <w:highlight w:val="none"/>
        </w:rPr>
        <w:t>员、财务人员等。如乙方更换项目负责人、</w:t>
      </w:r>
      <w:r>
        <w:rPr>
          <w:rFonts w:hint="eastAsia" w:ascii="宋体" w:hAnsi="宋体" w:eastAsia="宋体" w:cs="宋体"/>
          <w:b w:val="0"/>
          <w:bCs w:val="0"/>
          <w:sz w:val="24"/>
          <w:szCs w:val="24"/>
          <w:highlight w:val="none"/>
          <w:lang w:eastAsia="zh-CN"/>
        </w:rPr>
        <w:t>财务人</w:t>
      </w:r>
      <w:r>
        <w:rPr>
          <w:rFonts w:hint="eastAsia" w:ascii="宋体" w:hAnsi="宋体" w:eastAsia="宋体" w:cs="宋体"/>
          <w:b w:val="0"/>
          <w:bCs w:val="0"/>
          <w:sz w:val="24"/>
          <w:szCs w:val="24"/>
          <w:highlight w:val="none"/>
        </w:rPr>
        <w:t>员等相关人员，应立即通知甲方，经甲方同意后方能更换，如未立即告知甲方或者未征得甲方同意私自更换，造成甲方损失、费用由乙方承担</w:t>
      </w:r>
      <w:r>
        <w:rPr>
          <w:rFonts w:hint="eastAsia" w:ascii="宋体" w:hAnsi="宋体" w:eastAsia="宋体" w:cs="宋体"/>
          <w:b w:val="0"/>
          <w:bCs w:val="0"/>
          <w:sz w:val="24"/>
          <w:szCs w:val="24"/>
          <w:highlight w:val="none"/>
          <w:lang w:eastAsia="zh-CN"/>
        </w:rPr>
        <w:t>；</w:t>
      </w:r>
    </w:p>
    <w:p w14:paraId="23EC377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.严格遵守</w:t>
      </w:r>
      <w:r>
        <w:rPr>
          <w:rFonts w:hint="eastAsia" w:ascii="宋体" w:hAnsi="宋体" w:eastAsia="宋体" w:cs="宋体"/>
          <w:b w:val="0"/>
          <w:bCs w:val="0"/>
          <w:sz w:val="24"/>
          <w:szCs w:val="24"/>
          <w:lang w:eastAsia="zh-CN"/>
        </w:rPr>
        <w:t>响应</w:t>
      </w:r>
      <w:r>
        <w:rPr>
          <w:rFonts w:hint="eastAsia" w:ascii="宋体" w:hAnsi="宋体" w:eastAsia="宋体" w:cs="宋体"/>
          <w:b w:val="0"/>
          <w:bCs w:val="0"/>
          <w:sz w:val="24"/>
          <w:szCs w:val="24"/>
        </w:rPr>
        <w:t xml:space="preserve">文件中所承诺的一切条件和条款； </w:t>
      </w:r>
    </w:p>
    <w:p w14:paraId="5C8814E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.协助甲方对服务</w:t>
      </w:r>
      <w:r>
        <w:rPr>
          <w:rFonts w:hint="eastAsia" w:ascii="宋体" w:hAnsi="宋体" w:eastAsia="宋体" w:cs="宋体"/>
          <w:b w:val="0"/>
          <w:bCs w:val="0"/>
          <w:sz w:val="24"/>
          <w:szCs w:val="24"/>
          <w:lang w:eastAsia="zh-CN"/>
        </w:rPr>
        <w:t>内容</w:t>
      </w:r>
      <w:r>
        <w:rPr>
          <w:rFonts w:hint="eastAsia" w:ascii="宋体" w:hAnsi="宋体" w:eastAsia="宋体" w:cs="宋体"/>
          <w:b w:val="0"/>
          <w:bCs w:val="0"/>
          <w:sz w:val="24"/>
          <w:szCs w:val="24"/>
        </w:rPr>
        <w:t>进行验收，有权要求甲方按照合同约定支付货款；</w:t>
      </w:r>
    </w:p>
    <w:p w14:paraId="48ABDA9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.乙方的公司名称、法定代表人、地址、电话、收款账户等如有更改，应在变更前10天以书面通知甲方。否则甲方有权解除合同，</w:t>
      </w:r>
      <w:r>
        <w:rPr>
          <w:rFonts w:hint="eastAsia" w:ascii="宋体" w:hAnsi="宋体" w:eastAsia="宋体" w:cs="宋体"/>
          <w:b w:val="0"/>
          <w:bCs w:val="0"/>
          <w:sz w:val="24"/>
          <w:szCs w:val="24"/>
          <w:highlight w:val="none"/>
        </w:rPr>
        <w:t>不构成违约，</w:t>
      </w:r>
      <w:r>
        <w:rPr>
          <w:rFonts w:hint="eastAsia" w:ascii="宋体" w:hAnsi="宋体" w:eastAsia="宋体" w:cs="宋体"/>
          <w:b w:val="0"/>
          <w:bCs w:val="0"/>
          <w:sz w:val="24"/>
          <w:szCs w:val="24"/>
        </w:rPr>
        <w:t>产生的一切损失由乙方承担。</w:t>
      </w:r>
    </w:p>
    <w:p w14:paraId="5A7F55D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.乙方应以甲方满意为工作目标，以良好的合作态度管理甲方所委托事项，实施甲方所委托的业务工作，确保实现甲方规定目标和指标；</w:t>
      </w:r>
    </w:p>
    <w:p w14:paraId="605CDCE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rPr>
        <w:t>.乙方有义务针对甲方的需求变化向甲方进行确认。对于甲方变更的需求，在不违背本合同前提下，经和甲方确认后，乙方必须按照确认的变更需求予以相应变更</w:t>
      </w:r>
      <w:r>
        <w:rPr>
          <w:rFonts w:hint="eastAsia" w:ascii="宋体" w:hAnsi="宋体" w:eastAsia="宋体" w:cs="宋体"/>
          <w:b w:val="0"/>
          <w:bCs w:val="0"/>
          <w:sz w:val="24"/>
          <w:szCs w:val="24"/>
          <w:lang w:eastAsia="zh-CN"/>
        </w:rPr>
        <w:t>。</w:t>
      </w:r>
    </w:p>
    <w:p w14:paraId="0B4723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9</w:t>
      </w:r>
      <w:r>
        <w:rPr>
          <w:rFonts w:hint="eastAsia" w:ascii="宋体" w:hAnsi="宋体" w:eastAsia="宋体" w:cs="宋体"/>
          <w:b w:val="0"/>
          <w:bCs w:val="0"/>
          <w:sz w:val="24"/>
          <w:szCs w:val="24"/>
        </w:rPr>
        <w:t>.乙方</w:t>
      </w:r>
      <w:r>
        <w:rPr>
          <w:rFonts w:hint="eastAsia" w:ascii="宋体" w:hAnsi="宋体" w:eastAsia="宋体" w:cs="宋体"/>
          <w:b w:val="0"/>
          <w:bCs w:val="0"/>
          <w:sz w:val="24"/>
          <w:szCs w:val="24"/>
          <w:lang w:eastAsia="zh-CN"/>
        </w:rPr>
        <w:t>服务</w:t>
      </w:r>
      <w:r>
        <w:rPr>
          <w:rFonts w:hint="eastAsia" w:ascii="宋体" w:hAnsi="宋体" w:eastAsia="宋体" w:cs="宋体"/>
          <w:b w:val="0"/>
          <w:bCs w:val="0"/>
          <w:sz w:val="24"/>
          <w:szCs w:val="24"/>
        </w:rPr>
        <w:t>过程中，应对工作情况</w:t>
      </w:r>
      <w:r>
        <w:rPr>
          <w:rFonts w:hint="eastAsia" w:ascii="宋体" w:hAnsi="宋体" w:eastAsia="宋体" w:cs="宋体"/>
          <w:b w:val="0"/>
          <w:bCs w:val="0"/>
          <w:sz w:val="24"/>
          <w:szCs w:val="24"/>
          <w:lang w:eastAsia="zh-CN"/>
        </w:rPr>
        <w:t>保留</w:t>
      </w:r>
      <w:r>
        <w:rPr>
          <w:rFonts w:hint="eastAsia" w:ascii="宋体" w:hAnsi="宋体" w:eastAsia="宋体" w:cs="宋体"/>
          <w:b w:val="0"/>
          <w:bCs w:val="0"/>
          <w:sz w:val="24"/>
          <w:szCs w:val="24"/>
        </w:rPr>
        <w:t>完整详细的工作记录，由乙方负责人及时提交给甲方，并根据甲方要求及时进行监督检查</w:t>
      </w:r>
      <w:r>
        <w:rPr>
          <w:rFonts w:hint="eastAsia" w:ascii="宋体" w:hAnsi="宋体" w:eastAsia="宋体" w:cs="宋体"/>
          <w:b w:val="0"/>
          <w:bCs w:val="0"/>
          <w:sz w:val="24"/>
          <w:szCs w:val="24"/>
          <w:lang w:eastAsia="zh-CN"/>
        </w:rPr>
        <w:t>。</w:t>
      </w:r>
    </w:p>
    <w:p w14:paraId="41EF875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10</w:t>
      </w:r>
      <w:r>
        <w:rPr>
          <w:rFonts w:hint="eastAsia" w:ascii="宋体" w:hAnsi="宋体" w:eastAsia="宋体" w:cs="宋体"/>
          <w:b w:val="0"/>
          <w:bCs w:val="0"/>
          <w:sz w:val="24"/>
          <w:szCs w:val="24"/>
        </w:rPr>
        <w:t>.乙方工作不当或失误导致甲方或第三方财产或人员遭受损失的，由乙方负责承担赔偿责任</w:t>
      </w:r>
      <w:r>
        <w:rPr>
          <w:rFonts w:hint="eastAsia" w:ascii="宋体" w:hAnsi="宋体" w:eastAsia="宋体" w:cs="宋体"/>
          <w:b w:val="0"/>
          <w:bCs w:val="0"/>
          <w:sz w:val="24"/>
          <w:szCs w:val="24"/>
          <w:lang w:eastAsia="zh-CN"/>
        </w:rPr>
        <w:t>；</w:t>
      </w:r>
    </w:p>
    <w:p w14:paraId="690E945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11</w:t>
      </w:r>
      <w:r>
        <w:rPr>
          <w:rFonts w:hint="eastAsia" w:ascii="宋体" w:hAnsi="宋体" w:eastAsia="宋体" w:cs="宋体"/>
          <w:b w:val="0"/>
          <w:bCs w:val="0"/>
          <w:sz w:val="24"/>
          <w:szCs w:val="24"/>
        </w:rPr>
        <w:t>.乙方应教育员工保守甲方的各项工作秘密，即使在本合同期终止后仍不得将各项工作秘密或有关资料透露给任何第三方，如因乙方员工的原因（经甲方允许事宜除外）导致甲方有关的工作秘密泄露，乙方应承担相应的法律责任。</w:t>
      </w:r>
    </w:p>
    <w:p w14:paraId="2679EF8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12.乙方有权拒绝甲方提出的除车辆维修服务和乙方承诺以外的其它要求。</w:t>
      </w:r>
    </w:p>
    <w:p w14:paraId="37BC9E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13.如乙方在车辆维修过程中检查出了甲方要求维修项目以外的问题，应立即告知并提供相应的维修方案。</w:t>
      </w:r>
    </w:p>
    <w:p w14:paraId="5DD2B76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14.甲方维修的车辆在车辆维修质量保证期内出现质量问题，乙方应给予免费维修，如因维修部分质量问题而出现责任事故，经有关单位的技术检验确属不是甲方不当使用原因造成的，乙方应按有关车辆维修行业的管理规定，承担相应的责任。</w:t>
      </w:r>
    </w:p>
    <w:p w14:paraId="5081A17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15.乙方负有提供维修、保养服务过程中，对甲方车辆妥善保管的义务，如因乙方过错导致甲方车辆在服务过程中被损、被盗，乙方对甲方负有赔偿责任。</w:t>
      </w:r>
    </w:p>
    <w:p w14:paraId="6E1AD92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color w:val="auto"/>
          <w:sz w:val="24"/>
          <w:szCs w:val="24"/>
          <w:highlight w:val="none"/>
          <w:u w:val="none"/>
          <w:lang w:val="en-US" w:eastAsia="zh-CN"/>
        </w:rPr>
        <w:t>六、</w:t>
      </w:r>
      <w:r>
        <w:rPr>
          <w:rFonts w:hint="eastAsia" w:ascii="宋体" w:hAnsi="宋体" w:eastAsia="宋体" w:cs="宋体"/>
          <w:b w:val="0"/>
          <w:bCs w:val="0"/>
          <w:sz w:val="24"/>
          <w:szCs w:val="24"/>
          <w:highlight w:val="none"/>
        </w:rPr>
        <w:t>违约责任</w:t>
      </w:r>
    </w:p>
    <w:p w14:paraId="5E08C02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eastAsia="zh-CN"/>
        </w:rPr>
        <w:t>本项目不允许分包，否则乙方按合同</w:t>
      </w:r>
      <w:r>
        <w:rPr>
          <w:rFonts w:hint="eastAsia" w:ascii="宋体" w:hAnsi="宋体" w:eastAsia="宋体" w:cs="宋体"/>
          <w:b w:val="0"/>
          <w:bCs w:val="0"/>
          <w:sz w:val="24"/>
          <w:szCs w:val="24"/>
          <w:lang w:val="en-US" w:eastAsia="zh-CN"/>
        </w:rPr>
        <w:t>总</w:t>
      </w:r>
      <w:r>
        <w:rPr>
          <w:rFonts w:hint="eastAsia" w:ascii="宋体" w:hAnsi="宋体" w:eastAsia="宋体" w:cs="宋体"/>
          <w:b w:val="0"/>
          <w:bCs w:val="0"/>
          <w:sz w:val="24"/>
          <w:szCs w:val="24"/>
          <w:lang w:eastAsia="zh-CN"/>
        </w:rPr>
        <w:t>价款的</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0%向甲方支付违约金。</w:t>
      </w:r>
    </w:p>
    <w:p w14:paraId="786961F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迟延交付的违约责任</w:t>
      </w:r>
    </w:p>
    <w:p w14:paraId="6658F92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B3DE39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（2）如果乙方没有按照合同规定的时间交货和提供相关服务，甲方有权从货款中扣除误期赔偿费而不影响合同项下的其他补救方法。</w:t>
      </w:r>
      <w:r>
        <w:rPr>
          <w:rFonts w:hint="eastAsia" w:ascii="宋体" w:hAnsi="宋体" w:eastAsia="宋体" w:cs="宋体"/>
          <w:b w:val="0"/>
          <w:bCs w:val="0"/>
          <w:sz w:val="24"/>
          <w:szCs w:val="24"/>
          <w:highlight w:val="none"/>
          <w:lang w:eastAsia="zh-CN"/>
        </w:rPr>
        <w:t>误期赔偿费</w:t>
      </w:r>
      <w:r>
        <w:rPr>
          <w:rFonts w:hint="eastAsia" w:ascii="宋体" w:hAnsi="宋体" w:eastAsia="宋体" w:cs="宋体"/>
          <w:b w:val="0"/>
          <w:bCs w:val="0"/>
          <w:sz w:val="24"/>
          <w:szCs w:val="24"/>
          <w:highlight w:val="none"/>
          <w:lang w:val="en-US" w:eastAsia="zh-CN"/>
        </w:rPr>
        <w:t>500元/天。</w:t>
      </w:r>
      <w:r>
        <w:rPr>
          <w:rFonts w:hint="eastAsia" w:ascii="宋体" w:hAnsi="宋体" w:eastAsia="宋体" w:cs="宋体"/>
          <w:b w:val="0"/>
          <w:bCs w:val="0"/>
          <w:sz w:val="24"/>
          <w:szCs w:val="24"/>
          <w:lang w:eastAsia="zh-CN"/>
        </w:rPr>
        <w:t>如果涉及公共利益，且赔偿金额无法弥补公共利益损失，甲方可要求继续履行或者采取其他补救措施。</w:t>
      </w:r>
    </w:p>
    <w:p w14:paraId="1A4278D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lang w:eastAsia="zh-CN"/>
        </w:rPr>
        <w:t>如果乙方有下述违约行为，在不妨碍甲方其它救济手段的情况下，甲方可以向乙方发出书面违约通知，全部或部分地终止合同，并要求乙方承担合同总金额的</w:t>
      </w:r>
      <w:r>
        <w:rPr>
          <w:rFonts w:hint="eastAsia" w:ascii="宋体" w:hAnsi="宋体" w:eastAsia="宋体" w:cs="宋体"/>
          <w:b w:val="0"/>
          <w:bCs w:val="0"/>
          <w:sz w:val="24"/>
          <w:szCs w:val="24"/>
          <w:u w:val="none"/>
          <w:lang w:eastAsia="zh-CN"/>
        </w:rPr>
        <w:t>5%</w:t>
      </w:r>
      <w:r>
        <w:rPr>
          <w:rFonts w:hint="eastAsia" w:ascii="宋体" w:hAnsi="宋体" w:eastAsia="宋体" w:cs="宋体"/>
          <w:b w:val="0"/>
          <w:bCs w:val="0"/>
          <w:sz w:val="24"/>
          <w:szCs w:val="24"/>
          <w:lang w:eastAsia="zh-CN"/>
        </w:rPr>
        <w:t>的违约金。</w:t>
      </w:r>
    </w:p>
    <w:p w14:paraId="77B5CFC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lang w:eastAsia="zh-CN"/>
        </w:rPr>
        <w:t>）乙方在合同规定的交货期后</w:t>
      </w:r>
      <w:r>
        <w:rPr>
          <w:rFonts w:hint="eastAsia" w:ascii="宋体" w:hAnsi="宋体" w:eastAsia="宋体" w:cs="宋体"/>
          <w:b w:val="0"/>
          <w:bCs w:val="0"/>
          <w:sz w:val="24"/>
          <w:szCs w:val="24"/>
          <w:highlight w:val="none"/>
          <w:lang w:val="en-US" w:eastAsia="zh-CN"/>
        </w:rPr>
        <w:t>5</w:t>
      </w:r>
      <w:r>
        <w:rPr>
          <w:rFonts w:hint="eastAsia" w:ascii="宋体" w:hAnsi="宋体" w:eastAsia="宋体" w:cs="宋体"/>
          <w:b w:val="0"/>
          <w:bCs w:val="0"/>
          <w:sz w:val="24"/>
          <w:szCs w:val="24"/>
          <w:highlight w:val="none"/>
          <w:lang w:eastAsia="zh-CN"/>
        </w:rPr>
        <w:t>日内仍未能交付，构成迟延交货；若遇乙方故意拖欠交货、单次迟延交货时间超过</w:t>
      </w:r>
      <w:r>
        <w:rPr>
          <w:rFonts w:hint="eastAsia" w:ascii="宋体" w:hAnsi="宋体" w:eastAsia="宋体" w:cs="宋体"/>
          <w:b w:val="0"/>
          <w:bCs w:val="0"/>
          <w:sz w:val="24"/>
          <w:szCs w:val="24"/>
          <w:highlight w:val="none"/>
          <w:lang w:val="en-US" w:eastAsia="zh-CN"/>
        </w:rPr>
        <w:t>10日或者同一年度内出现2次以上迟延交货情况，将视乙方不满足履约质量要求，不能实现合同目的，甲方有权解除合同，乙方构成违约并承担违约责任。</w:t>
      </w:r>
    </w:p>
    <w:p w14:paraId="55BC7A5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）被修车辆达不到规定的质量标准和技术要求；</w:t>
      </w:r>
    </w:p>
    <w:p w14:paraId="65716FD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lang w:eastAsia="zh-CN"/>
        </w:rPr>
        <w:t>）乙方未能履行合同项下任何其它义务，并且在收到甲方违约通知后5日内仍未能对其违约行为作出补救。</w:t>
      </w:r>
    </w:p>
    <w:p w14:paraId="6D985BD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lang w:eastAsia="zh-CN"/>
        </w:rPr>
        <w:t>在甲方全部或部分终止合同的情况下，甲方可以以适当的条件取得与未按合同规定交付的服务，乙方应承担甲方由此发生的额外费用。</w:t>
      </w:r>
    </w:p>
    <w:p w14:paraId="36E47E5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highlight w:val="none"/>
          <w:lang w:eastAsia="zh-CN"/>
        </w:rPr>
        <w:t>合同签订后，双方均不得无故更改或终止合同。若因一方原因而导致合同无法继续履行，违约方应赔偿因此而给守约方带来的损失，并承担合同金额的5%的违约金。</w:t>
      </w:r>
    </w:p>
    <w:p w14:paraId="1F9A26D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lang w:eastAsia="zh-CN"/>
        </w:rPr>
        <w:t>守约方如通过诉讼途径实现债权，产生的律师费、保全费、诉讼费等一切由违约方承担。</w:t>
      </w:r>
    </w:p>
    <w:p w14:paraId="6F40A4C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lang w:eastAsia="zh-CN"/>
        </w:rPr>
        <w:t>乙方应在收到甲方索赔要求后3个日历天内作出回复。乙方应在甲方发出索赔通知</w:t>
      </w:r>
      <w:r>
        <w:rPr>
          <w:rFonts w:hint="eastAsia" w:ascii="宋体" w:hAnsi="宋体" w:eastAsia="宋体" w:cs="宋体"/>
          <w:b w:val="0"/>
          <w:bCs w:val="0"/>
          <w:sz w:val="24"/>
          <w:szCs w:val="24"/>
          <w:highlight w:val="none"/>
          <w:lang w:eastAsia="zh-CN"/>
        </w:rPr>
        <w:t>后</w:t>
      </w: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lang w:eastAsia="zh-CN"/>
        </w:rPr>
        <w:t>个日历天内，</w:t>
      </w:r>
      <w:r>
        <w:rPr>
          <w:rFonts w:hint="eastAsia" w:ascii="宋体" w:hAnsi="宋体" w:eastAsia="宋体" w:cs="宋体"/>
          <w:b w:val="0"/>
          <w:bCs w:val="0"/>
          <w:sz w:val="24"/>
          <w:szCs w:val="24"/>
          <w:lang w:eastAsia="zh-CN"/>
        </w:rPr>
        <w:t>按照甲方同意的方法解决索赔事宜。</w:t>
      </w:r>
    </w:p>
    <w:p w14:paraId="1CE7D5B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lang w:eastAsia="zh-CN"/>
        </w:rPr>
        <w:t>如果乙方在收到甲方索赔要求后3个日历天内未能作出回复，</w:t>
      </w:r>
      <w:r>
        <w:rPr>
          <w:rFonts w:hint="eastAsia" w:ascii="宋体" w:hAnsi="宋体" w:eastAsia="宋体" w:cs="宋体"/>
          <w:b w:val="0"/>
          <w:bCs w:val="0"/>
          <w:sz w:val="24"/>
          <w:szCs w:val="24"/>
          <w:highlight w:val="none"/>
          <w:lang w:eastAsia="zh-CN"/>
        </w:rPr>
        <w:t>将视为乙方同意索赔要求。</w:t>
      </w:r>
      <w:r>
        <w:rPr>
          <w:rFonts w:hint="eastAsia" w:ascii="宋体" w:hAnsi="宋体" w:eastAsia="宋体" w:cs="宋体"/>
          <w:b w:val="0"/>
          <w:bCs w:val="0"/>
          <w:sz w:val="24"/>
          <w:szCs w:val="24"/>
          <w:lang w:eastAsia="zh-CN"/>
        </w:rPr>
        <w:t>如乙方未能在甲方发出索赔通知后</w:t>
      </w: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lang w:eastAsia="zh-CN"/>
        </w:rPr>
        <w:t>个日历天内或甲方同意的延长期限内，按照甲方同意的上述规定的方法解决索</w:t>
      </w:r>
      <w:r>
        <w:rPr>
          <w:rFonts w:hint="eastAsia" w:ascii="宋体" w:hAnsi="宋体" w:eastAsia="宋体" w:cs="宋体"/>
          <w:b w:val="0"/>
          <w:bCs w:val="0"/>
          <w:sz w:val="24"/>
          <w:szCs w:val="24"/>
          <w:highlight w:val="none"/>
          <w:lang w:eastAsia="zh-CN"/>
        </w:rPr>
        <w:t>赔事宜，甲方有权从乙方开具的履约保证金中扣回或要求乙方支付索赔金额。</w:t>
      </w:r>
    </w:p>
    <w:p w14:paraId="0517935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9.</w:t>
      </w:r>
      <w:r>
        <w:rPr>
          <w:rFonts w:hint="eastAsia" w:ascii="宋体" w:hAnsi="宋体" w:eastAsia="宋体" w:cs="宋体"/>
          <w:b w:val="0"/>
          <w:bCs w:val="0"/>
          <w:sz w:val="24"/>
          <w:szCs w:val="24"/>
          <w:highlight w:val="none"/>
          <w:lang w:eastAsia="zh-CN"/>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54419EC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10.</w:t>
      </w:r>
      <w:r>
        <w:rPr>
          <w:rFonts w:hint="eastAsia" w:ascii="宋体" w:hAnsi="宋体" w:eastAsia="宋体" w:cs="宋体"/>
          <w:b w:val="0"/>
          <w:bCs w:val="0"/>
          <w:sz w:val="24"/>
          <w:szCs w:val="24"/>
          <w:highlight w:val="none"/>
          <w:lang w:eastAsia="zh-CN"/>
        </w:rPr>
        <w:t>任何一方按照前述约定要求违约方支付违约金的同时，仍有权要求违约方继续履行合同、采取补救措施，并有权按照己方实际损失情况要求违约方赔偿损失；且守约方行使的任何权利救济方式均不视为其放弃了其他法定或者约定的权利救济方式。</w:t>
      </w:r>
    </w:p>
    <w:p w14:paraId="1BAD411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11.</w:t>
      </w:r>
      <w:r>
        <w:rPr>
          <w:rFonts w:hint="eastAsia" w:ascii="宋体" w:hAnsi="宋体" w:eastAsia="宋体" w:cs="宋体"/>
          <w:b w:val="0"/>
          <w:bCs w:val="0"/>
          <w:sz w:val="24"/>
          <w:szCs w:val="24"/>
          <w:highlight w:val="none"/>
          <w:lang w:eastAsia="zh-CN"/>
        </w:rPr>
        <w:t>除前述约定</w:t>
      </w:r>
      <w:r>
        <w:rPr>
          <w:rFonts w:hint="eastAsia" w:ascii="宋体" w:hAnsi="宋体" w:eastAsia="宋体" w:cs="宋体"/>
          <w:b w:val="0"/>
          <w:bCs w:val="0"/>
          <w:sz w:val="24"/>
          <w:szCs w:val="24"/>
          <w:highlight w:val="none"/>
          <w:lang w:val="en-US" w:eastAsia="zh-CN"/>
        </w:rPr>
        <w:t>或</w:t>
      </w:r>
      <w:r>
        <w:rPr>
          <w:rFonts w:hint="eastAsia" w:ascii="宋体" w:hAnsi="宋体" w:eastAsia="宋体" w:cs="宋体"/>
          <w:b w:val="0"/>
          <w:bCs w:val="0"/>
          <w:sz w:val="24"/>
          <w:szCs w:val="24"/>
          <w:highlight w:val="none"/>
          <w:lang w:eastAsia="zh-CN"/>
        </w:rPr>
        <w:t>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3311C40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七、合同的中止、终止</w:t>
      </w:r>
    </w:p>
    <w:p w14:paraId="3F5C48F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eastAsia="zh-CN"/>
        </w:rPr>
        <w:t>合同履行过程中，如果乙方出现以下情形之一的，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B777C6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eastAsia="zh-CN"/>
        </w:rPr>
        <w:t>）经营状况严重恶化；</w:t>
      </w:r>
    </w:p>
    <w:p w14:paraId="745F5C7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）转移财产、抽逃资金，以逃避债务；</w:t>
      </w:r>
    </w:p>
    <w:p w14:paraId="6B5EC3C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lang w:eastAsia="zh-CN"/>
        </w:rPr>
        <w:t>）丧失商业信誉；</w:t>
      </w:r>
    </w:p>
    <w:p w14:paraId="53219C8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）有丧失或者可能丧失履约能力的其他情形，乙方有义务及时告知甲方。</w:t>
      </w:r>
    </w:p>
    <w:p w14:paraId="50456EA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乙方分立、合并或者变更住所的，应当及时以书面形式告知甲方。乙方没有及时告知甲方，致使合同履行发生困难的，甲方可以中止合同履行并要求乙方承担由此给甲方造成的损失。</w:t>
      </w:r>
    </w:p>
    <w:p w14:paraId="066F8E5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lang w:eastAsia="zh-CN"/>
        </w:rPr>
        <w:t>甲方不得以行政区划调整、政府换届、机构或者职能调整以及相关责任人更替为由中止合同。</w:t>
      </w:r>
    </w:p>
    <w:p w14:paraId="31D18F9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合同的终止</w:t>
      </w:r>
    </w:p>
    <w:p w14:paraId="6D307A3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eastAsia="zh-CN"/>
        </w:rPr>
        <w:t>）乙方未按合同约定履行，构成根本性违约的，甲方有权终止合同，并追究乙方的违约责任。</w:t>
      </w:r>
    </w:p>
    <w:p w14:paraId="4F7DB5E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lang w:eastAsia="zh-CN"/>
        </w:rPr>
        <w:t>出现下列情况时本合同自行终止：</w:t>
      </w:r>
    </w:p>
    <w:p w14:paraId="4CE725B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①本合同正常履行完毕；</w:t>
      </w:r>
    </w:p>
    <w:p w14:paraId="4A73FD2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②甲乙双方协议终止本合同的履行；</w:t>
      </w:r>
    </w:p>
    <w:p w14:paraId="0C26883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③不可抗力导致本合同无法履行或履行不必要时；</w:t>
      </w:r>
    </w:p>
    <w:p w14:paraId="10F0B9C0">
      <w:pPr>
        <w:keepNext w:val="0"/>
        <w:keepLines w:val="0"/>
        <w:pageBreakBefore w:val="0"/>
        <w:widowControl/>
        <w:kinsoku/>
        <w:wordWrap/>
        <w:overflowPunct/>
        <w:topLinePunct w:val="0"/>
        <w:autoSpaceDE/>
        <w:autoSpaceDN/>
        <w:bidi w:val="0"/>
        <w:adjustRightInd w:val="0"/>
        <w:snapToGrid/>
        <w:spacing w:before="0" w:beforeAutospacing="0" w:afterAutospacing="0" w:line="500" w:lineRule="exact"/>
        <w:ind w:firstLine="480" w:firstLineChars="200"/>
        <w:jc w:val="left"/>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④一方不履行合同条款，造成另一方无法执行合同协议，协商又不能求得解决，责任方赔偿损失后，合同终止。</w:t>
      </w:r>
    </w:p>
    <w:p w14:paraId="63D0A6EC">
      <w:pPr>
        <w:keepNext w:val="0"/>
        <w:keepLines w:val="0"/>
        <w:pageBreakBefore w:val="0"/>
        <w:widowControl/>
        <w:kinsoku/>
        <w:wordWrap/>
        <w:overflowPunct/>
        <w:topLinePunct w:val="0"/>
        <w:autoSpaceDE/>
        <w:autoSpaceDN/>
        <w:bidi w:val="0"/>
        <w:adjustRightInd w:val="0"/>
        <w:snapToGrid/>
        <w:spacing w:before="0" w:beforeAutospacing="0" w:afterAutospacing="0" w:line="500" w:lineRule="exact"/>
        <w:ind w:firstLine="480" w:firstLineChars="20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（3）乙方严重违反合同约定，在甲方通知其纠正的限期内未能纠正。</w:t>
      </w:r>
    </w:p>
    <w:p w14:paraId="3502A49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（4）乙方拒绝接受甲方检查或提供虚假资料。</w:t>
      </w:r>
    </w:p>
    <w:p w14:paraId="02BA1E5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yellow"/>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eastAsia="zh-CN"/>
        </w:rPr>
        <w:t>）政府采购合同继续履行将损害国家利益和社会公共利益的，双方当事人应当终止合同。有过错的一方应当承担赔偿责任，双方都有过错的，各自承担相应的责任。</w:t>
      </w:r>
    </w:p>
    <w:p w14:paraId="7D8F741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5.合同的解除</w:t>
      </w:r>
    </w:p>
    <w:p w14:paraId="0CAE8D7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（1）合同服务期间有下列情形之一的</w:t>
      </w: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lang w:eastAsia="zh-CN"/>
        </w:rPr>
        <w:t>甲方有权</w:t>
      </w:r>
      <w:r>
        <w:rPr>
          <w:rFonts w:hint="eastAsia" w:ascii="宋体" w:hAnsi="宋体" w:eastAsia="宋体" w:cs="宋体"/>
          <w:b w:val="0"/>
          <w:bCs w:val="0"/>
          <w:sz w:val="24"/>
          <w:szCs w:val="24"/>
          <w:lang w:val="en-US" w:eastAsia="zh-CN"/>
        </w:rPr>
        <w:t>立即</w:t>
      </w:r>
      <w:r>
        <w:rPr>
          <w:rFonts w:hint="eastAsia" w:ascii="宋体" w:hAnsi="宋体" w:eastAsia="宋体" w:cs="宋体"/>
          <w:b w:val="0"/>
          <w:bCs w:val="0"/>
          <w:sz w:val="24"/>
          <w:szCs w:val="24"/>
          <w:lang w:eastAsia="zh-CN"/>
        </w:rPr>
        <w:t>解除合同，并扣除履约保证金，造成损失的乙方还需承担相应部分的损失，</w:t>
      </w:r>
      <w:r>
        <w:rPr>
          <w:rFonts w:hint="eastAsia" w:ascii="宋体" w:hAnsi="宋体" w:eastAsia="宋体" w:cs="宋体"/>
          <w:b w:val="0"/>
          <w:bCs w:val="0"/>
          <w:sz w:val="24"/>
          <w:szCs w:val="24"/>
          <w:lang w:val="en-US" w:eastAsia="zh-CN"/>
        </w:rPr>
        <w:t>并</w:t>
      </w:r>
      <w:r>
        <w:rPr>
          <w:rFonts w:hint="eastAsia" w:ascii="宋体" w:hAnsi="宋体" w:eastAsia="宋体" w:cs="宋体"/>
          <w:b w:val="0"/>
          <w:bCs w:val="0"/>
          <w:sz w:val="24"/>
          <w:szCs w:val="24"/>
        </w:rPr>
        <w:t>承担相应的法律责任</w:t>
      </w:r>
      <w:r>
        <w:rPr>
          <w:rFonts w:hint="eastAsia" w:ascii="宋体" w:hAnsi="宋体" w:eastAsia="宋体" w:cs="宋体"/>
          <w:b w:val="0"/>
          <w:bCs w:val="0"/>
          <w:sz w:val="24"/>
          <w:szCs w:val="24"/>
          <w:lang w:eastAsia="zh-CN"/>
        </w:rPr>
        <w:t>：</w:t>
      </w:r>
    </w:p>
    <w:p w14:paraId="734B91B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highlight w:val="none"/>
          <w:lang w:val="en-US" w:eastAsia="zh-CN"/>
        </w:rPr>
        <w:t>①</w:t>
      </w:r>
      <w:r>
        <w:rPr>
          <w:rFonts w:hint="eastAsia" w:ascii="宋体" w:hAnsi="宋体" w:eastAsia="宋体" w:cs="宋体"/>
          <w:b w:val="0"/>
          <w:bCs w:val="0"/>
          <w:sz w:val="24"/>
          <w:szCs w:val="24"/>
          <w:lang w:val="en-US" w:eastAsia="zh-CN"/>
        </w:rPr>
        <w:t>因乙方原因发生失泄密事件的</w:t>
      </w:r>
      <w:r>
        <w:rPr>
          <w:rFonts w:hint="eastAsia" w:ascii="宋体" w:hAnsi="宋体" w:eastAsia="宋体" w:cs="宋体"/>
          <w:b w:val="0"/>
          <w:bCs w:val="0"/>
          <w:sz w:val="24"/>
          <w:szCs w:val="24"/>
          <w:lang w:eastAsia="zh-CN"/>
        </w:rPr>
        <w:t>；</w:t>
      </w:r>
    </w:p>
    <w:p w14:paraId="6FC4353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②</w:t>
      </w:r>
      <w:r>
        <w:rPr>
          <w:rFonts w:hint="eastAsia" w:ascii="宋体" w:hAnsi="宋体" w:eastAsia="宋体" w:cs="宋体"/>
          <w:b w:val="0"/>
          <w:bCs w:val="0"/>
          <w:sz w:val="24"/>
          <w:szCs w:val="24"/>
          <w:lang w:val="en-US" w:eastAsia="zh-CN"/>
        </w:rPr>
        <w:t>因乙方原因造成重大财产损失的；</w:t>
      </w:r>
    </w:p>
    <w:p w14:paraId="6D091FE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③</w:t>
      </w:r>
      <w:r>
        <w:rPr>
          <w:rFonts w:hint="eastAsia" w:ascii="宋体" w:hAnsi="宋体" w:eastAsia="宋体" w:cs="宋体"/>
          <w:b w:val="0"/>
          <w:bCs w:val="0"/>
          <w:sz w:val="24"/>
          <w:szCs w:val="24"/>
          <w:lang w:val="en-US" w:eastAsia="zh-CN"/>
        </w:rPr>
        <w:t>因乙方原因造成重大安全事故的；</w:t>
      </w:r>
    </w:p>
    <w:p w14:paraId="69ED5B9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highlight w:val="none"/>
          <w:lang w:val="en-US" w:eastAsia="zh-CN"/>
        </w:rPr>
        <w:t>④</w:t>
      </w:r>
      <w:r>
        <w:rPr>
          <w:rFonts w:hint="eastAsia" w:ascii="宋体" w:hAnsi="宋体" w:eastAsia="宋体" w:cs="宋体"/>
          <w:b w:val="0"/>
          <w:bCs w:val="0"/>
          <w:sz w:val="24"/>
          <w:szCs w:val="24"/>
          <w:lang w:val="en-US" w:eastAsia="zh-CN"/>
        </w:rPr>
        <w:t>因乙方原因给甲方造成重大负面影响的。</w:t>
      </w:r>
    </w:p>
    <w:p w14:paraId="2E80E3E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lang w:eastAsia="zh-CN"/>
        </w:rPr>
        <w:t>除本合同另有约定外，发生以下任何一种情况，甲方有权解除本合同，对此给乙方造成的损失甲方不承担赔偿责任，因乙方原因给甲方造成的损失，乙方应负赔偿责任：</w:t>
      </w:r>
    </w:p>
    <w:p w14:paraId="37A2CF8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①乙方向用户提供的服务，质量明显不满足磋商文件、乙方响应文件和本合同规定标准的；</w:t>
      </w:r>
    </w:p>
    <w:p w14:paraId="70464B52">
      <w:pPr>
        <w:keepNext w:val="0"/>
        <w:keepLines w:val="0"/>
        <w:pageBreakBefore w:val="0"/>
        <w:widowControl/>
        <w:kinsoku/>
        <w:wordWrap/>
        <w:overflowPunct/>
        <w:topLinePunct w:val="0"/>
        <w:autoSpaceDE/>
        <w:autoSpaceDN/>
        <w:bidi w:val="0"/>
        <w:adjustRightInd w:val="0"/>
        <w:snapToGrid/>
        <w:spacing w:before="0" w:beforeAutospacing="0" w:afterAutospacing="0" w:line="500" w:lineRule="exact"/>
        <w:ind w:firstLine="480" w:firstLineChars="200"/>
        <w:jc w:val="left"/>
        <w:textAlignment w:val="auto"/>
        <w:rPr>
          <w:rFonts w:hint="eastAsia" w:ascii="宋体" w:hAnsi="宋体" w:eastAsia="宋体" w:cs="宋体"/>
          <w:b w:val="0"/>
          <w:bCs w:val="0"/>
          <w:kern w:val="0"/>
          <w:sz w:val="22"/>
          <w:szCs w:val="22"/>
          <w:highlight w:val="none"/>
          <w:lang w:val="en-US" w:eastAsia="zh-CN" w:bidi="ar-SA"/>
        </w:rPr>
      </w:pPr>
      <w:r>
        <w:rPr>
          <w:rFonts w:hint="eastAsia" w:ascii="宋体" w:hAnsi="宋体" w:eastAsia="宋体" w:cs="宋体"/>
          <w:b w:val="0"/>
          <w:bCs w:val="0"/>
          <w:kern w:val="2"/>
          <w:sz w:val="24"/>
          <w:szCs w:val="24"/>
          <w:highlight w:val="none"/>
          <w:lang w:val="en-US" w:eastAsia="zh-CN" w:bidi="ar-SA"/>
        </w:rPr>
        <w:t>②维修竣工的车辆，在质量保证期内返工两次以上的，视为乙方达不到服务质量要求，实现不了合同目的，甲方有权解除合同，乙方承担违约责任。</w:t>
      </w:r>
    </w:p>
    <w:p w14:paraId="354B5C2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八</w:t>
      </w:r>
      <w:r>
        <w:rPr>
          <w:rFonts w:hint="eastAsia" w:ascii="宋体" w:hAnsi="宋体" w:eastAsia="宋体" w:cs="宋体"/>
          <w:b w:val="0"/>
          <w:bCs w:val="0"/>
          <w:sz w:val="24"/>
          <w:szCs w:val="24"/>
        </w:rPr>
        <w:t>、不可抗力</w:t>
      </w:r>
    </w:p>
    <w:p w14:paraId="638B453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一</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由于地震、台风、水灾、火灾、战争以及其他不能预见并对其发生和后果不能预防、不能克服或避免的不可抗力直接影响本合同的履行或者导致双方不能按照约定履行合同的，遇有不可抗力的一方可以免除相关合同责任。但是遇有不可抗力的一方应立即书面通知对方，并在15</w:t>
      </w:r>
      <w:r>
        <w:rPr>
          <w:rFonts w:hint="eastAsia" w:ascii="宋体" w:hAnsi="宋体" w:eastAsia="宋体" w:cs="宋体"/>
          <w:b w:val="0"/>
          <w:bCs w:val="0"/>
          <w:sz w:val="24"/>
          <w:szCs w:val="24"/>
          <w:lang w:val="en-US" w:eastAsia="zh-CN"/>
        </w:rPr>
        <w:t>个日历</w:t>
      </w:r>
      <w:r>
        <w:rPr>
          <w:rFonts w:hint="eastAsia" w:ascii="宋体" w:hAnsi="宋体" w:eastAsia="宋体" w:cs="宋体"/>
          <w:b w:val="0"/>
          <w:bCs w:val="0"/>
          <w:sz w:val="24"/>
          <w:szCs w:val="24"/>
        </w:rPr>
        <w:t>天内提供上述不可抗力的详细情况及合同不能履行或者部分不能履行或者需要延期履行的理由和有效的证明文件。按照不可抗力对履行合同影响的程度，由双方协商决定是否解除合同，或者部分免除履行合同的义务，或者延期履行合同。一方迟延履行本合同时发生了不可抗力的，迟延方的合同义务不能免除。</w:t>
      </w:r>
    </w:p>
    <w:p w14:paraId="52E6D8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二</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受不可抗力影响的一方，应当尽可能采取合理的行为和适当的措施减轻不可抗力对履行本合同所造成的影响。没有采取适当措施致使损失扩大的，该方不得就扩大损失的部分要求免责或赔偿。</w:t>
      </w:r>
    </w:p>
    <w:p w14:paraId="4CA369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九、保密约定 </w:t>
      </w:r>
    </w:p>
    <w:p w14:paraId="0E1A6BF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1.乙方对在工作过程中接触到的甲方的任何资料、文件、数据</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无论是书面的还是电子的</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 xml:space="preserve">，以及对为甲方服务形成的任何交付物，负有为甲方保密的责任。未经甲方书面同意，乙方不得以任何方式向任何第三方提供或透露。 </w:t>
      </w:r>
    </w:p>
    <w:p w14:paraId="0D77971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2.甲方向乙方提供的任何资料、文件和信息，在乙方服务结束后，乙方均应及时归还甲方，电子文档的应从自己的电脑等存储设备上予永久删除。 </w:t>
      </w:r>
    </w:p>
    <w:p w14:paraId="5B95430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3.乙方人员违反上述保密规定，甲方有权终止合同、扣除乙方履约保证金，并向乙方追究相应法律责任；由于乙方违反保密条款造成甲方其他损失的，乙方除承担甲方损失外，还应承担相应法律责任。 </w:t>
      </w:r>
    </w:p>
    <w:p w14:paraId="2964A51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4.以上1、2、3款在合同有效期结束后继续生效。</w:t>
      </w:r>
    </w:p>
    <w:p w14:paraId="04770D1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十、组成合同的文件</w:t>
      </w:r>
    </w:p>
    <w:p w14:paraId="43530ED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组成本合同的文件包括：</w:t>
      </w:r>
    </w:p>
    <w:p w14:paraId="0359FC9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1.本合同书及附件； </w:t>
      </w:r>
    </w:p>
    <w:p w14:paraId="5F6B5C8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2.成交通知书； </w:t>
      </w:r>
    </w:p>
    <w:p w14:paraId="07C7904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3.响应文件及其附件；</w:t>
      </w:r>
    </w:p>
    <w:p w14:paraId="152163D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4.磋商文件及其附件； </w:t>
      </w:r>
    </w:p>
    <w:p w14:paraId="4AA4838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5.双方有关项目的洽商、变更等书面协议或文件视为本合同的组成部分。</w:t>
      </w:r>
    </w:p>
    <w:p w14:paraId="79EDF8E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十一</w:t>
      </w:r>
      <w:r>
        <w:rPr>
          <w:rFonts w:hint="eastAsia" w:ascii="宋体" w:hAnsi="宋体" w:eastAsia="宋体" w:cs="宋体"/>
          <w:b w:val="0"/>
          <w:bCs w:val="0"/>
          <w:sz w:val="24"/>
          <w:szCs w:val="24"/>
        </w:rPr>
        <w:t>、合同纠纷解决</w:t>
      </w:r>
    </w:p>
    <w:p w14:paraId="39338EA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甲乙双方在履行采购合同过程中发生纠纷，应</w:t>
      </w:r>
      <w:r>
        <w:rPr>
          <w:rFonts w:hint="eastAsia" w:ascii="宋体" w:hAnsi="宋体" w:eastAsia="宋体" w:cs="宋体"/>
          <w:b w:val="0"/>
          <w:bCs w:val="0"/>
          <w:sz w:val="24"/>
          <w:szCs w:val="24"/>
          <w:lang w:eastAsia="zh-CN"/>
        </w:rPr>
        <w:t>积极通过友好协商解决</w:t>
      </w:r>
      <w:r>
        <w:rPr>
          <w:rFonts w:hint="eastAsia" w:ascii="宋体" w:hAnsi="宋体" w:eastAsia="宋体" w:cs="宋体"/>
          <w:b w:val="0"/>
          <w:bCs w:val="0"/>
          <w:sz w:val="24"/>
          <w:szCs w:val="24"/>
        </w:rPr>
        <w:t>；</w:t>
      </w:r>
      <w:r>
        <w:rPr>
          <w:rFonts w:hint="eastAsia" w:ascii="宋体" w:hAnsi="宋体" w:eastAsia="宋体" w:cs="宋体"/>
          <w:b w:val="0"/>
          <w:bCs w:val="0"/>
          <w:sz w:val="24"/>
          <w:szCs w:val="24"/>
          <w:lang w:eastAsia="zh-CN"/>
        </w:rPr>
        <w:t>协商解决不成的</w:t>
      </w:r>
      <w:r>
        <w:rPr>
          <w:rFonts w:hint="eastAsia" w:ascii="宋体" w:hAnsi="宋体" w:eastAsia="宋体" w:cs="宋体"/>
          <w:b w:val="0"/>
          <w:bCs w:val="0"/>
          <w:sz w:val="24"/>
          <w:szCs w:val="24"/>
        </w:rPr>
        <w:t>，</w:t>
      </w:r>
      <w:r>
        <w:rPr>
          <w:rFonts w:hint="eastAsia" w:ascii="宋体" w:hAnsi="宋体" w:eastAsia="宋体" w:cs="宋体"/>
          <w:b w:val="0"/>
          <w:bCs w:val="0"/>
          <w:sz w:val="24"/>
          <w:szCs w:val="24"/>
          <w:lang w:eastAsia="zh-CN"/>
        </w:rPr>
        <w:t>可向</w:t>
      </w:r>
      <w:r>
        <w:rPr>
          <w:rFonts w:hint="eastAsia" w:ascii="宋体" w:hAnsi="宋体" w:eastAsia="宋体" w:cs="宋体"/>
          <w:b w:val="0"/>
          <w:bCs w:val="0"/>
          <w:sz w:val="24"/>
          <w:szCs w:val="24"/>
        </w:rPr>
        <w:t>瑞丽市人民法院</w:t>
      </w:r>
      <w:r>
        <w:rPr>
          <w:rFonts w:hint="eastAsia" w:ascii="宋体" w:hAnsi="宋体" w:eastAsia="宋体" w:cs="宋体"/>
          <w:b w:val="0"/>
          <w:bCs w:val="0"/>
          <w:sz w:val="24"/>
          <w:szCs w:val="24"/>
          <w:lang w:eastAsia="zh-CN"/>
        </w:rPr>
        <w:t>提起诉讼</w:t>
      </w:r>
      <w:r>
        <w:rPr>
          <w:rFonts w:hint="eastAsia" w:ascii="宋体" w:hAnsi="宋体" w:eastAsia="宋体" w:cs="宋体"/>
          <w:b w:val="0"/>
          <w:bCs w:val="0"/>
          <w:sz w:val="24"/>
          <w:szCs w:val="24"/>
        </w:rPr>
        <w:t>，诉讼过程中所发生的诉讼费、保全费、公告费、评估费、鉴定费、拍卖费、差旅费、律师代理费等全部费用均由违约方承担。</w:t>
      </w:r>
    </w:p>
    <w:p w14:paraId="2114E77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十三、 合同修改</w:t>
      </w:r>
    </w:p>
    <w:p w14:paraId="2BC11C8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rPr>
        <w:t>对于本合同的未尽事宜，需进行修改、补充或完善的，甲乙双方必须就所修改的内容签订书面的合同修改书，作为本合同的补充协议。</w:t>
      </w:r>
    </w:p>
    <w:p w14:paraId="173E28C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rPr>
        <w:t>补充协议与本合同具有同等法律效力。</w:t>
      </w:r>
    </w:p>
    <w:p w14:paraId="761F8CB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十四</w:t>
      </w:r>
      <w:r>
        <w:rPr>
          <w:rFonts w:hint="eastAsia" w:ascii="宋体" w:hAnsi="宋体" w:eastAsia="宋体" w:cs="宋体"/>
          <w:b w:val="0"/>
          <w:bCs w:val="0"/>
          <w:sz w:val="24"/>
          <w:szCs w:val="24"/>
        </w:rPr>
        <w:t>、合同生效及其他</w:t>
      </w:r>
    </w:p>
    <w:p w14:paraId="30B51B9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1.本合同由双方法定代表人或其授权的代理人</w:t>
      </w:r>
      <w:r>
        <w:rPr>
          <w:rFonts w:hint="eastAsia" w:ascii="宋体" w:hAnsi="宋体" w:eastAsia="宋体" w:cs="宋体"/>
          <w:b w:val="0"/>
          <w:bCs w:val="0"/>
          <w:sz w:val="24"/>
          <w:szCs w:val="24"/>
          <w:lang w:val="en-US" w:eastAsia="zh-CN"/>
        </w:rPr>
        <w:t>签字（或盖章）</w:t>
      </w:r>
      <w:r>
        <w:rPr>
          <w:rFonts w:hint="eastAsia" w:ascii="宋体" w:hAnsi="宋体" w:eastAsia="宋体" w:cs="宋体"/>
          <w:b w:val="0"/>
          <w:bCs w:val="0"/>
          <w:sz w:val="24"/>
          <w:szCs w:val="24"/>
        </w:rPr>
        <w:t>并加盖公章后生效。双方履行完合同</w:t>
      </w:r>
      <w:r>
        <w:rPr>
          <w:rFonts w:hint="eastAsia" w:ascii="宋体" w:hAnsi="宋体" w:eastAsia="宋体" w:cs="宋体"/>
          <w:b w:val="0"/>
          <w:bCs w:val="0"/>
          <w:sz w:val="24"/>
          <w:szCs w:val="24"/>
          <w:lang w:eastAsia="zh-CN"/>
        </w:rPr>
        <w:t>约定</w:t>
      </w:r>
      <w:r>
        <w:rPr>
          <w:rFonts w:hint="eastAsia" w:ascii="宋体" w:hAnsi="宋体" w:eastAsia="宋体" w:cs="宋体"/>
          <w:b w:val="0"/>
          <w:bCs w:val="0"/>
          <w:sz w:val="24"/>
          <w:szCs w:val="24"/>
        </w:rPr>
        <w:t>的义务后自然失效。</w:t>
      </w:r>
    </w:p>
    <w:p w14:paraId="5159130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2.由于不可抗力因素致使合同无法履行时，双方应及时协商解决。</w:t>
      </w:r>
    </w:p>
    <w:p w14:paraId="0E3D6DE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本合同一式陆份，甲方肆份、乙方贰份，自甲、乙双方签字盖章后正式生效，具有同等法律约束力。本合同未尽事宜，按《中华人民共和国民法典》有关规定双方协商解决，经双方协商一致，可对本合同条款进行修订、更改或补充，并以书面协议明确，经双方共同签字认可的补充规定及附件为合同的有效组成部分</w:t>
      </w:r>
      <w:r>
        <w:rPr>
          <w:rFonts w:hint="eastAsia" w:ascii="宋体" w:hAnsi="宋体" w:eastAsia="宋体" w:cs="宋体"/>
          <w:b w:val="0"/>
          <w:bCs w:val="0"/>
          <w:sz w:val="24"/>
          <w:szCs w:val="24"/>
        </w:rPr>
        <w:t>。</w:t>
      </w:r>
    </w:p>
    <w:p w14:paraId="744FBF74">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十五、附件</w:t>
      </w:r>
    </w:p>
    <w:p w14:paraId="39E3CA47">
      <w:pPr>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ascii="宋体" w:hAnsi="宋体" w:eastAsia="宋体" w:cs="宋体"/>
          <w:b w:val="0"/>
          <w:bCs w:val="0"/>
          <w:sz w:val="28"/>
          <w:szCs w:val="28"/>
          <w:lang w:val="en-US" w:eastAsia="zh-CN"/>
        </w:rPr>
        <w:sectPr>
          <w:footerReference r:id="rId10" w:type="default"/>
          <w:pgSz w:w="11906" w:h="16838"/>
          <w:pgMar w:top="1440" w:right="1800" w:bottom="1440" w:left="1800" w:header="851" w:footer="992" w:gutter="0"/>
          <w:pgNumType w:fmt="decimal"/>
          <w:cols w:space="720" w:num="1"/>
          <w:docGrid w:type="lines" w:linePitch="312" w:charSpace="0"/>
        </w:sectPr>
      </w:pPr>
    </w:p>
    <w:p w14:paraId="7CE516F8">
      <w:pPr>
        <w:jc w:val="left"/>
        <w:rPr>
          <w:rFonts w:hint="eastAsia" w:ascii="宋体" w:hAnsi="宋体" w:eastAsia="宋体" w:cs="宋体"/>
          <w:b w:val="0"/>
          <w:bCs w:val="0"/>
          <w:kern w:val="0"/>
          <w:sz w:val="28"/>
          <w:szCs w:val="28"/>
          <w:lang w:val="en-US" w:eastAsia="zh-CN" w:bidi="ar-SA"/>
        </w:rPr>
      </w:pPr>
      <w:r>
        <w:rPr>
          <w:rFonts w:hint="eastAsia" w:ascii="宋体" w:hAnsi="宋体" w:eastAsia="宋体" w:cs="宋体"/>
          <w:b w:val="0"/>
          <w:bCs w:val="0"/>
          <w:sz w:val="28"/>
          <w:szCs w:val="36"/>
          <w:lang w:val="en-US" w:eastAsia="zh-CN"/>
        </w:rPr>
        <w:t xml:space="preserve">附件1                   </w:t>
      </w:r>
      <w:r>
        <w:rPr>
          <w:rFonts w:hint="eastAsia" w:ascii="宋体" w:hAnsi="宋体" w:eastAsia="宋体" w:cs="宋体"/>
          <w:b w:val="0"/>
          <w:bCs w:val="0"/>
          <w:kern w:val="0"/>
          <w:sz w:val="28"/>
          <w:szCs w:val="28"/>
          <w:lang w:val="en-US" w:eastAsia="zh-CN" w:bidi="ar-SA"/>
        </w:rPr>
        <w:t>汽车维修验收单</w:t>
      </w:r>
    </w:p>
    <w:p w14:paraId="30B46BD5">
      <w:pPr>
        <w:rPr>
          <w:rFonts w:hint="eastAsia" w:ascii="宋体" w:hAnsi="宋体" w:eastAsia="宋体" w:cs="宋体"/>
          <w:b w:val="0"/>
          <w:bCs w:val="0"/>
        </w:rPr>
      </w:pPr>
    </w:p>
    <w:p w14:paraId="51C6C5FB">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lang w:val="en-US" w:eastAsia="zh-CN"/>
        </w:rPr>
      </w:pPr>
      <w:r>
        <w:rPr>
          <w:rFonts w:hint="eastAsia" w:ascii="宋体" w:hAnsi="宋体" w:eastAsia="宋体" w:cs="宋体"/>
          <w:b w:val="0"/>
          <w:bCs w:val="0"/>
          <w:kern w:val="0"/>
          <w:sz w:val="24"/>
          <w:szCs w:val="24"/>
          <w:lang w:val="en-US" w:eastAsia="zh-CN" w:bidi="ar-SA"/>
        </w:rPr>
        <w:t>送修单位：  </w:t>
      </w:r>
      <w:r>
        <w:rPr>
          <w:rFonts w:hint="eastAsia" w:ascii="宋体" w:hAnsi="宋体" w:eastAsia="宋体" w:cs="宋体"/>
          <w:b w:val="0"/>
          <w:bCs w:val="0"/>
        </w:rPr>
        <w:t xml:space="preserve">             </w:t>
      </w:r>
      <w:r>
        <w:rPr>
          <w:rFonts w:hint="eastAsia" w:ascii="宋体" w:hAnsi="宋体" w:eastAsia="宋体" w:cs="宋体"/>
          <w:b w:val="0"/>
          <w:bCs w:val="0"/>
          <w:kern w:val="0"/>
          <w:sz w:val="24"/>
          <w:szCs w:val="24"/>
          <w:lang w:val="en-US" w:eastAsia="zh-CN" w:bidi="ar-SA"/>
        </w:rPr>
        <w:t xml:space="preserve">                             日期：    年    月    日</w:t>
      </w:r>
    </w:p>
    <w:tbl>
      <w:tblPr>
        <w:tblStyle w:val="33"/>
        <w:tblpPr w:leftFromText="180" w:rightFromText="180" w:vertAnchor="text" w:horzAnchor="page" w:tblpXSpec="center" w:tblpY="140"/>
        <w:tblOverlap w:val="never"/>
        <w:tblW w:w="8984" w:type="dxa"/>
        <w:jc w:val="center"/>
        <w:tblLayout w:type="fixed"/>
        <w:tblCellMar>
          <w:top w:w="15" w:type="dxa"/>
          <w:left w:w="15" w:type="dxa"/>
          <w:bottom w:w="15" w:type="dxa"/>
          <w:right w:w="15" w:type="dxa"/>
        </w:tblCellMar>
      </w:tblPr>
      <w:tblGrid>
        <w:gridCol w:w="1152"/>
        <w:gridCol w:w="1869"/>
        <w:gridCol w:w="1146"/>
        <w:gridCol w:w="388"/>
        <w:gridCol w:w="1739"/>
        <w:gridCol w:w="1200"/>
        <w:gridCol w:w="1490"/>
      </w:tblGrid>
      <w:tr w14:paraId="7445E349">
        <w:tblPrEx>
          <w:tblCellMar>
            <w:top w:w="15" w:type="dxa"/>
            <w:left w:w="15" w:type="dxa"/>
            <w:bottom w:w="15" w:type="dxa"/>
            <w:right w:w="15" w:type="dxa"/>
          </w:tblCellMar>
        </w:tblPrEx>
        <w:trPr>
          <w:trHeight w:val="637" w:hRule="atLeast"/>
          <w:jc w:val="center"/>
        </w:trPr>
        <w:tc>
          <w:tcPr>
            <w:tcW w:w="1152" w:type="dxa"/>
            <w:tcBorders>
              <w:top w:val="single" w:color="000000" w:sz="6" w:space="0"/>
              <w:left w:val="single" w:color="000000" w:sz="6" w:space="0"/>
              <w:bottom w:val="single" w:color="000000" w:sz="6" w:space="0"/>
              <w:right w:val="single" w:color="000000" w:sz="6" w:space="0"/>
            </w:tcBorders>
            <w:noWrap w:val="0"/>
            <w:vAlign w:val="center"/>
          </w:tcPr>
          <w:p w14:paraId="0567D1E5">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车牌号码</w:t>
            </w:r>
          </w:p>
        </w:tc>
        <w:tc>
          <w:tcPr>
            <w:tcW w:w="1869" w:type="dxa"/>
            <w:tcBorders>
              <w:top w:val="single" w:color="000000" w:sz="6" w:space="0"/>
              <w:left w:val="single" w:color="000000" w:sz="6" w:space="0"/>
              <w:bottom w:val="single" w:color="000000" w:sz="6" w:space="0"/>
              <w:right w:val="single" w:color="000000" w:sz="6" w:space="0"/>
            </w:tcBorders>
            <w:noWrap w:val="0"/>
            <w:vAlign w:val="center"/>
          </w:tcPr>
          <w:p w14:paraId="67746DB6">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1146" w:type="dxa"/>
            <w:tcBorders>
              <w:top w:val="single" w:color="000000" w:sz="6" w:space="0"/>
              <w:left w:val="single" w:color="000000" w:sz="6" w:space="0"/>
              <w:bottom w:val="single" w:color="000000" w:sz="6" w:space="0"/>
              <w:right w:val="single" w:color="000000" w:sz="6" w:space="0"/>
            </w:tcBorders>
            <w:noWrap w:val="0"/>
            <w:vAlign w:val="center"/>
          </w:tcPr>
          <w:p w14:paraId="184F676E">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车辆型号</w:t>
            </w:r>
          </w:p>
        </w:tc>
        <w:tc>
          <w:tcPr>
            <w:tcW w:w="2127" w:type="dxa"/>
            <w:gridSpan w:val="2"/>
            <w:tcBorders>
              <w:top w:val="single" w:color="000000" w:sz="6" w:space="0"/>
              <w:left w:val="single" w:color="000000" w:sz="6" w:space="0"/>
              <w:bottom w:val="single" w:color="000000" w:sz="6" w:space="0"/>
              <w:right w:val="single" w:color="000000" w:sz="6" w:space="0"/>
            </w:tcBorders>
            <w:noWrap w:val="0"/>
            <w:vAlign w:val="center"/>
          </w:tcPr>
          <w:p w14:paraId="7FEFA4A4">
            <w:pPr>
              <w:widowControl/>
              <w:spacing w:before="0" w:beforeAutospacing="0" w:after="0" w:afterAutospacing="0" w:line="360" w:lineRule="atLeast"/>
              <w:jc w:val="center"/>
              <w:rPr>
                <w:rFonts w:hint="eastAsia" w:ascii="宋体" w:hAnsi="宋体" w:eastAsia="宋体" w:cs="宋体"/>
                <w:b w:val="0"/>
                <w:bCs w:val="0"/>
                <w:kern w:val="0"/>
                <w:sz w:val="22"/>
                <w:szCs w:val="22"/>
                <w:lang w:val="en-US" w:eastAsia="zh-CN" w:bidi="ar-SA"/>
              </w:rPr>
            </w:pPr>
          </w:p>
        </w:tc>
        <w:tc>
          <w:tcPr>
            <w:tcW w:w="1200" w:type="dxa"/>
            <w:tcBorders>
              <w:top w:val="single" w:color="000000" w:sz="6" w:space="0"/>
              <w:left w:val="single" w:color="000000" w:sz="6" w:space="0"/>
              <w:bottom w:val="single" w:color="000000" w:sz="6" w:space="0"/>
              <w:right w:val="single" w:color="000000" w:sz="6" w:space="0"/>
            </w:tcBorders>
            <w:noWrap w:val="0"/>
            <w:vAlign w:val="center"/>
          </w:tcPr>
          <w:p w14:paraId="6CCA0CBE">
            <w:pPr>
              <w:widowControl/>
              <w:spacing w:before="0" w:beforeAutospacing="0" w:after="0" w:afterAutospacing="0" w:line="360" w:lineRule="atLeast"/>
              <w:jc w:val="center"/>
              <w:rPr>
                <w:rFonts w:hint="eastAsia" w:ascii="宋体" w:hAnsi="宋体" w:eastAsia="宋体" w:cs="宋体"/>
                <w:b w:val="0"/>
                <w:bCs w:val="0"/>
                <w:kern w:val="0"/>
                <w:sz w:val="22"/>
                <w:szCs w:val="22"/>
                <w:lang w:val="en-US" w:eastAsia="zh-CN" w:bidi="ar-SA"/>
              </w:rPr>
            </w:pPr>
            <w:r>
              <w:rPr>
                <w:rFonts w:hint="eastAsia" w:ascii="宋体" w:hAnsi="宋体" w:eastAsia="宋体" w:cs="宋体"/>
                <w:b w:val="0"/>
                <w:bCs w:val="0"/>
                <w:kern w:val="0"/>
                <w:sz w:val="22"/>
                <w:szCs w:val="22"/>
                <w:lang w:val="en-US" w:eastAsia="zh-CN" w:bidi="ar-SA"/>
              </w:rPr>
              <w:t>送修公里数</w:t>
            </w:r>
          </w:p>
        </w:tc>
        <w:tc>
          <w:tcPr>
            <w:tcW w:w="1490" w:type="dxa"/>
            <w:tcBorders>
              <w:top w:val="single" w:color="000000" w:sz="6" w:space="0"/>
              <w:left w:val="single" w:color="000000" w:sz="6" w:space="0"/>
              <w:bottom w:val="single" w:color="000000" w:sz="6" w:space="0"/>
              <w:right w:val="single" w:color="000000" w:sz="6" w:space="0"/>
            </w:tcBorders>
            <w:noWrap w:val="0"/>
            <w:vAlign w:val="center"/>
          </w:tcPr>
          <w:p w14:paraId="49ECAA67">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r>
      <w:tr w14:paraId="2442C586">
        <w:tblPrEx>
          <w:tblCellMar>
            <w:top w:w="15" w:type="dxa"/>
            <w:left w:w="15" w:type="dxa"/>
            <w:bottom w:w="15" w:type="dxa"/>
            <w:right w:w="15" w:type="dxa"/>
          </w:tblCellMar>
        </w:tblPrEx>
        <w:trPr>
          <w:trHeight w:val="595" w:hRule="atLeast"/>
          <w:jc w:val="center"/>
        </w:trPr>
        <w:tc>
          <w:tcPr>
            <w:tcW w:w="1152" w:type="dxa"/>
            <w:tcBorders>
              <w:top w:val="single" w:color="000000" w:sz="6" w:space="0"/>
              <w:left w:val="single" w:color="000000" w:sz="6" w:space="0"/>
              <w:bottom w:val="single" w:color="000000" w:sz="6" w:space="0"/>
              <w:right w:val="single" w:color="000000" w:sz="6" w:space="0"/>
            </w:tcBorders>
            <w:noWrap w:val="0"/>
            <w:vAlign w:val="center"/>
          </w:tcPr>
          <w:p w14:paraId="0AC90C4E">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送修时间</w:t>
            </w:r>
          </w:p>
        </w:tc>
        <w:tc>
          <w:tcPr>
            <w:tcW w:w="1869" w:type="dxa"/>
            <w:tcBorders>
              <w:top w:val="single" w:color="000000" w:sz="6" w:space="0"/>
              <w:left w:val="single" w:color="000000" w:sz="6" w:space="0"/>
              <w:bottom w:val="single" w:color="000000" w:sz="6" w:space="0"/>
              <w:right w:val="single" w:color="000000" w:sz="6" w:space="0"/>
            </w:tcBorders>
            <w:noWrap w:val="0"/>
            <w:vAlign w:val="center"/>
          </w:tcPr>
          <w:p w14:paraId="112752B7">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1146" w:type="dxa"/>
            <w:tcBorders>
              <w:top w:val="single" w:color="000000" w:sz="6" w:space="0"/>
              <w:left w:val="single" w:color="000000" w:sz="6" w:space="0"/>
              <w:bottom w:val="single" w:color="000000" w:sz="6" w:space="0"/>
              <w:right w:val="single" w:color="000000" w:sz="6" w:space="0"/>
            </w:tcBorders>
            <w:noWrap w:val="0"/>
            <w:vAlign w:val="center"/>
          </w:tcPr>
          <w:p w14:paraId="5FAE4894">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竣工时间</w:t>
            </w:r>
          </w:p>
        </w:tc>
        <w:tc>
          <w:tcPr>
            <w:tcW w:w="2127" w:type="dxa"/>
            <w:gridSpan w:val="2"/>
            <w:tcBorders>
              <w:top w:val="single" w:color="000000" w:sz="6" w:space="0"/>
              <w:left w:val="single" w:color="000000" w:sz="6" w:space="0"/>
              <w:bottom w:val="single" w:color="000000" w:sz="6" w:space="0"/>
              <w:right w:val="single" w:color="000000" w:sz="6" w:space="0"/>
            </w:tcBorders>
            <w:noWrap w:val="0"/>
            <w:vAlign w:val="center"/>
          </w:tcPr>
          <w:p w14:paraId="22791869">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1200" w:type="dxa"/>
            <w:tcBorders>
              <w:top w:val="single" w:color="000000" w:sz="6" w:space="0"/>
              <w:left w:val="single" w:color="000000" w:sz="6" w:space="0"/>
              <w:bottom w:val="single" w:color="000000" w:sz="6" w:space="0"/>
              <w:right w:val="single" w:color="000000" w:sz="6" w:space="0"/>
            </w:tcBorders>
            <w:noWrap w:val="0"/>
            <w:vAlign w:val="center"/>
          </w:tcPr>
          <w:p w14:paraId="53B6B23B">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接车时间</w:t>
            </w:r>
          </w:p>
        </w:tc>
        <w:tc>
          <w:tcPr>
            <w:tcW w:w="1490" w:type="dxa"/>
            <w:tcBorders>
              <w:top w:val="single" w:color="000000" w:sz="6" w:space="0"/>
              <w:left w:val="single" w:color="000000" w:sz="6" w:space="0"/>
              <w:bottom w:val="single" w:color="000000" w:sz="6" w:space="0"/>
              <w:right w:val="single" w:color="000000" w:sz="6" w:space="0"/>
            </w:tcBorders>
            <w:noWrap w:val="0"/>
            <w:vAlign w:val="center"/>
          </w:tcPr>
          <w:p w14:paraId="3D99DEB8">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r>
      <w:tr w14:paraId="094FA39D">
        <w:tblPrEx>
          <w:tblCellMar>
            <w:top w:w="15" w:type="dxa"/>
            <w:left w:w="15" w:type="dxa"/>
            <w:bottom w:w="15" w:type="dxa"/>
            <w:right w:w="15" w:type="dxa"/>
          </w:tblCellMar>
        </w:tblPrEx>
        <w:trPr>
          <w:trHeight w:val="1343" w:hRule="atLeast"/>
          <w:jc w:val="center"/>
        </w:trPr>
        <w:tc>
          <w:tcPr>
            <w:tcW w:w="1152" w:type="dxa"/>
            <w:tcBorders>
              <w:top w:val="single" w:color="000000" w:sz="6" w:space="0"/>
              <w:left w:val="single" w:color="000000" w:sz="6" w:space="0"/>
              <w:bottom w:val="single" w:color="000000" w:sz="6" w:space="0"/>
              <w:right w:val="single" w:color="000000" w:sz="6" w:space="0"/>
            </w:tcBorders>
            <w:noWrap w:val="0"/>
            <w:vAlign w:val="center"/>
          </w:tcPr>
          <w:p w14:paraId="064A6487">
            <w:pPr>
              <w:widowControl/>
              <w:spacing w:before="0" w:beforeAutospacing="0" w:after="0" w:afterAutospacing="0" w:line="360" w:lineRule="atLeast"/>
              <w:jc w:val="center"/>
              <w:rPr>
                <w:rFonts w:hint="eastAsia" w:ascii="宋体" w:hAnsi="宋体" w:eastAsia="宋体" w:cs="宋体"/>
                <w:b w:val="0"/>
                <w:bCs w:val="0"/>
                <w:kern w:val="0"/>
                <w:sz w:val="24"/>
                <w:szCs w:val="24"/>
                <w:highlight w:val="green"/>
                <w:lang w:val="en-US" w:eastAsia="zh-CN" w:bidi="ar-SA"/>
              </w:rPr>
            </w:pPr>
          </w:p>
          <w:p w14:paraId="0E484480">
            <w:pPr>
              <w:widowControl/>
              <w:spacing w:before="0" w:beforeAutospacing="0" w:after="0" w:afterAutospacing="0" w:line="360" w:lineRule="atLeast"/>
              <w:jc w:val="center"/>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服务内容</w:t>
            </w:r>
          </w:p>
          <w:p w14:paraId="4191992E">
            <w:pPr>
              <w:widowControl/>
              <w:spacing w:before="0" w:beforeAutospacing="0" w:after="0" w:afterAutospacing="0" w:line="360" w:lineRule="atLeast"/>
              <w:jc w:val="center"/>
              <w:rPr>
                <w:rFonts w:hint="eastAsia" w:ascii="宋体" w:hAnsi="宋体" w:eastAsia="宋体" w:cs="宋体"/>
                <w:b w:val="0"/>
                <w:bCs w:val="0"/>
                <w:kern w:val="0"/>
                <w:sz w:val="24"/>
                <w:szCs w:val="24"/>
                <w:highlight w:val="green"/>
                <w:lang w:val="en-US" w:eastAsia="zh-CN" w:bidi="ar-SA"/>
              </w:rPr>
            </w:pPr>
          </w:p>
        </w:tc>
        <w:tc>
          <w:tcPr>
            <w:tcW w:w="7832" w:type="dxa"/>
            <w:gridSpan w:val="6"/>
            <w:tcBorders>
              <w:top w:val="single" w:color="000000" w:sz="6" w:space="0"/>
              <w:left w:val="single" w:color="000000" w:sz="6" w:space="0"/>
              <w:bottom w:val="single" w:color="000000" w:sz="6" w:space="0"/>
              <w:right w:val="single" w:color="000000" w:sz="6" w:space="0"/>
            </w:tcBorders>
            <w:noWrap w:val="0"/>
            <w:vAlign w:val="center"/>
          </w:tcPr>
          <w:p w14:paraId="794CF97B">
            <w:pPr>
              <w:widowControl/>
              <w:spacing w:before="0" w:beforeAutospacing="0" w:after="0" w:afterAutospacing="0" w:line="360" w:lineRule="atLeast"/>
              <w:jc w:val="center"/>
              <w:rPr>
                <w:rFonts w:hint="eastAsia" w:ascii="宋体" w:hAnsi="宋体" w:eastAsia="宋体" w:cs="宋体"/>
                <w:b w:val="0"/>
                <w:bCs w:val="0"/>
                <w:kern w:val="0"/>
                <w:sz w:val="24"/>
                <w:szCs w:val="24"/>
                <w:highlight w:val="green"/>
                <w:lang w:val="en-US" w:eastAsia="zh-CN" w:bidi="ar-SA"/>
              </w:rPr>
            </w:pPr>
          </w:p>
        </w:tc>
      </w:tr>
      <w:tr w14:paraId="63893666">
        <w:tblPrEx>
          <w:tblCellMar>
            <w:top w:w="15" w:type="dxa"/>
            <w:left w:w="15" w:type="dxa"/>
            <w:bottom w:w="15" w:type="dxa"/>
            <w:right w:w="15" w:type="dxa"/>
          </w:tblCellMar>
        </w:tblPrEx>
        <w:trPr>
          <w:trHeight w:val="483" w:hRule="atLeast"/>
          <w:jc w:val="center"/>
        </w:trPr>
        <w:tc>
          <w:tcPr>
            <w:tcW w:w="1152" w:type="dxa"/>
            <w:vMerge w:val="restart"/>
            <w:tcBorders>
              <w:top w:val="single" w:color="000000" w:sz="6" w:space="0"/>
              <w:left w:val="single" w:color="000000" w:sz="6" w:space="0"/>
              <w:bottom w:val="single" w:color="000000" w:sz="6" w:space="0"/>
              <w:right w:val="single" w:color="000000" w:sz="6" w:space="0"/>
            </w:tcBorders>
            <w:noWrap w:val="0"/>
            <w:vAlign w:val="center"/>
          </w:tcPr>
          <w:p w14:paraId="7E605AE8">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计费</w:t>
            </w:r>
          </w:p>
        </w:tc>
        <w:tc>
          <w:tcPr>
            <w:tcW w:w="1869" w:type="dxa"/>
            <w:tcBorders>
              <w:top w:val="single" w:color="000000" w:sz="6" w:space="0"/>
              <w:left w:val="single" w:color="000000" w:sz="6" w:space="0"/>
              <w:bottom w:val="single" w:color="000000" w:sz="6" w:space="0"/>
              <w:right w:val="single" w:color="000000" w:sz="6" w:space="0"/>
            </w:tcBorders>
            <w:noWrap w:val="0"/>
            <w:vAlign w:val="center"/>
          </w:tcPr>
          <w:p w14:paraId="559A9D32">
            <w:pPr>
              <w:widowControl/>
              <w:spacing w:before="0" w:beforeAutospacing="0" w:after="0" w:afterAutospacing="0" w:line="360" w:lineRule="atLeast"/>
              <w:jc w:val="center"/>
              <w:rPr>
                <w:rFonts w:hint="eastAsia" w:ascii="宋体" w:hAnsi="宋体" w:eastAsia="宋体" w:cs="宋体"/>
                <w:b w:val="0"/>
                <w:bCs w:val="0"/>
                <w:kern w:val="0"/>
                <w:sz w:val="20"/>
                <w:szCs w:val="20"/>
                <w:lang w:val="en-US" w:eastAsia="zh-CN" w:bidi="ar-SA"/>
              </w:rPr>
            </w:pPr>
            <w:r>
              <w:rPr>
                <w:rFonts w:hint="eastAsia" w:ascii="宋体" w:hAnsi="宋体" w:eastAsia="宋体" w:cs="宋体"/>
                <w:b w:val="0"/>
                <w:bCs w:val="0"/>
                <w:kern w:val="0"/>
                <w:sz w:val="20"/>
                <w:szCs w:val="20"/>
                <w:lang w:val="en-US" w:eastAsia="zh-CN" w:bidi="ar-SA"/>
              </w:rPr>
              <w:t>零配件名称</w:t>
            </w:r>
          </w:p>
        </w:tc>
        <w:tc>
          <w:tcPr>
            <w:tcW w:w="1534" w:type="dxa"/>
            <w:gridSpan w:val="2"/>
            <w:tcBorders>
              <w:top w:val="single" w:color="000000" w:sz="6" w:space="0"/>
              <w:left w:val="single" w:color="000000" w:sz="6" w:space="0"/>
              <w:bottom w:val="single" w:color="000000" w:sz="6" w:space="0"/>
              <w:right w:val="single" w:color="auto" w:sz="4" w:space="0"/>
            </w:tcBorders>
            <w:noWrap w:val="0"/>
            <w:vAlign w:val="center"/>
          </w:tcPr>
          <w:p w14:paraId="39558888">
            <w:pPr>
              <w:widowControl/>
              <w:spacing w:before="0" w:beforeAutospacing="0" w:after="0" w:afterAutospacing="0" w:line="360" w:lineRule="atLeast"/>
              <w:jc w:val="center"/>
              <w:rPr>
                <w:rFonts w:hint="eastAsia" w:ascii="宋体" w:hAnsi="宋体" w:eastAsia="宋体" w:cs="宋体"/>
                <w:b w:val="0"/>
                <w:bCs w:val="0"/>
                <w:kern w:val="0"/>
                <w:sz w:val="20"/>
                <w:szCs w:val="20"/>
                <w:lang w:val="en-US" w:eastAsia="zh-CN" w:bidi="ar-SA"/>
              </w:rPr>
            </w:pPr>
            <w:r>
              <w:rPr>
                <w:rFonts w:hint="eastAsia" w:ascii="宋体" w:hAnsi="宋体" w:eastAsia="宋体" w:cs="宋体"/>
                <w:b w:val="0"/>
                <w:bCs w:val="0"/>
                <w:kern w:val="0"/>
                <w:sz w:val="20"/>
                <w:szCs w:val="20"/>
                <w:lang w:val="en-US" w:eastAsia="zh-CN" w:bidi="ar-SA"/>
              </w:rPr>
              <w:t>品牌型号</w:t>
            </w:r>
          </w:p>
        </w:tc>
        <w:tc>
          <w:tcPr>
            <w:tcW w:w="1739" w:type="dxa"/>
            <w:tcBorders>
              <w:top w:val="single" w:color="000000" w:sz="6" w:space="0"/>
              <w:left w:val="single" w:color="auto" w:sz="4" w:space="0"/>
              <w:bottom w:val="single" w:color="000000" w:sz="6" w:space="0"/>
              <w:right w:val="single" w:color="000000" w:sz="6" w:space="0"/>
            </w:tcBorders>
            <w:noWrap w:val="0"/>
            <w:vAlign w:val="center"/>
          </w:tcPr>
          <w:p w14:paraId="12D3AF49">
            <w:pPr>
              <w:widowControl/>
              <w:spacing w:before="0" w:beforeAutospacing="0" w:after="0" w:afterAutospacing="0" w:line="360" w:lineRule="atLeast"/>
              <w:jc w:val="center"/>
              <w:rPr>
                <w:rFonts w:hint="eastAsia" w:ascii="宋体" w:hAnsi="宋体" w:eastAsia="宋体" w:cs="宋体"/>
                <w:b w:val="0"/>
                <w:bCs w:val="0"/>
                <w:kern w:val="0"/>
                <w:sz w:val="20"/>
                <w:szCs w:val="20"/>
                <w:lang w:val="en-US" w:eastAsia="zh-CN" w:bidi="ar-SA"/>
              </w:rPr>
            </w:pPr>
            <w:r>
              <w:rPr>
                <w:rFonts w:hint="eastAsia" w:ascii="宋体" w:hAnsi="宋体" w:eastAsia="宋体" w:cs="宋体"/>
                <w:b w:val="0"/>
                <w:bCs w:val="0"/>
                <w:kern w:val="0"/>
                <w:sz w:val="20"/>
                <w:szCs w:val="20"/>
                <w:lang w:val="en-US" w:eastAsia="zh-CN" w:bidi="ar-SA"/>
              </w:rPr>
              <w:t>零配件价格（元）</w:t>
            </w:r>
          </w:p>
        </w:tc>
        <w:tc>
          <w:tcPr>
            <w:tcW w:w="2690" w:type="dxa"/>
            <w:gridSpan w:val="2"/>
            <w:tcBorders>
              <w:top w:val="single" w:color="000000" w:sz="6" w:space="0"/>
              <w:left w:val="single" w:color="000000" w:sz="6" w:space="0"/>
              <w:bottom w:val="single" w:color="000000" w:sz="6" w:space="0"/>
              <w:right w:val="single" w:color="000000" w:sz="6" w:space="0"/>
            </w:tcBorders>
            <w:noWrap w:val="0"/>
            <w:vAlign w:val="center"/>
          </w:tcPr>
          <w:p w14:paraId="4AA07D8A">
            <w:pPr>
              <w:widowControl/>
              <w:spacing w:before="0" w:beforeAutospacing="0" w:after="0" w:afterAutospacing="0" w:line="360" w:lineRule="atLeast"/>
              <w:jc w:val="center"/>
              <w:rPr>
                <w:rFonts w:hint="eastAsia" w:ascii="宋体" w:hAnsi="宋体" w:eastAsia="宋体" w:cs="宋体"/>
                <w:b w:val="0"/>
                <w:bCs w:val="0"/>
                <w:kern w:val="0"/>
                <w:sz w:val="20"/>
                <w:szCs w:val="20"/>
                <w:lang w:val="en-US" w:eastAsia="zh-CN" w:bidi="ar-SA"/>
              </w:rPr>
            </w:pPr>
            <w:r>
              <w:rPr>
                <w:rFonts w:hint="eastAsia" w:ascii="宋体" w:hAnsi="宋体" w:eastAsia="宋体" w:cs="宋体"/>
                <w:b w:val="0"/>
                <w:bCs w:val="0"/>
                <w:kern w:val="0"/>
                <w:sz w:val="20"/>
                <w:szCs w:val="20"/>
                <w:lang w:val="en-US" w:eastAsia="zh-CN" w:bidi="ar-SA"/>
              </w:rPr>
              <w:t>数量（件/套）</w:t>
            </w:r>
          </w:p>
        </w:tc>
      </w:tr>
      <w:tr w14:paraId="76FF42CA">
        <w:tblPrEx>
          <w:tblCellMar>
            <w:top w:w="15" w:type="dxa"/>
            <w:left w:w="15" w:type="dxa"/>
            <w:bottom w:w="15" w:type="dxa"/>
            <w:right w:w="15" w:type="dxa"/>
          </w:tblCellMar>
        </w:tblPrEx>
        <w:trPr>
          <w:trHeight w:val="605" w:hRule="atLeast"/>
          <w:jc w:val="center"/>
        </w:trPr>
        <w:tc>
          <w:tcPr>
            <w:tcW w:w="1152" w:type="dxa"/>
            <w:vMerge w:val="continue"/>
            <w:tcBorders>
              <w:top w:val="single" w:color="000000" w:sz="6" w:space="0"/>
              <w:left w:val="single" w:color="000000" w:sz="6" w:space="0"/>
              <w:bottom w:val="single" w:color="000000" w:sz="6" w:space="0"/>
              <w:right w:val="single" w:color="000000" w:sz="6" w:space="0"/>
            </w:tcBorders>
            <w:noWrap w:val="0"/>
            <w:vAlign w:val="center"/>
          </w:tcPr>
          <w:p w14:paraId="1CA5032F">
            <w:pPr>
              <w:jc w:val="center"/>
              <w:rPr>
                <w:rFonts w:hint="eastAsia" w:ascii="宋体" w:hAnsi="宋体" w:eastAsia="宋体" w:cs="宋体"/>
                <w:b w:val="0"/>
                <w:bCs w:val="0"/>
                <w:sz w:val="24"/>
                <w:szCs w:val="24"/>
              </w:rPr>
            </w:pPr>
          </w:p>
        </w:tc>
        <w:tc>
          <w:tcPr>
            <w:tcW w:w="1869" w:type="dxa"/>
            <w:tcBorders>
              <w:top w:val="single" w:color="auto" w:sz="4" w:space="0"/>
              <w:left w:val="single" w:color="000000" w:sz="6" w:space="0"/>
              <w:bottom w:val="single" w:color="auto" w:sz="4" w:space="0"/>
              <w:right w:val="single" w:color="000000" w:sz="6" w:space="0"/>
            </w:tcBorders>
            <w:noWrap w:val="0"/>
            <w:vAlign w:val="center"/>
          </w:tcPr>
          <w:p w14:paraId="49261CA4">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1534" w:type="dxa"/>
            <w:gridSpan w:val="2"/>
            <w:tcBorders>
              <w:top w:val="single" w:color="auto" w:sz="4" w:space="0"/>
              <w:left w:val="single" w:color="000000" w:sz="6" w:space="0"/>
              <w:bottom w:val="single" w:color="auto" w:sz="4" w:space="0"/>
              <w:right w:val="single" w:color="auto" w:sz="4" w:space="0"/>
            </w:tcBorders>
            <w:noWrap w:val="0"/>
            <w:vAlign w:val="center"/>
          </w:tcPr>
          <w:p w14:paraId="4048ECF2">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1739" w:type="dxa"/>
            <w:tcBorders>
              <w:top w:val="single" w:color="auto" w:sz="4" w:space="0"/>
              <w:left w:val="single" w:color="auto" w:sz="4" w:space="0"/>
              <w:bottom w:val="single" w:color="auto" w:sz="4" w:space="0"/>
              <w:right w:val="single" w:color="000000" w:sz="6" w:space="0"/>
            </w:tcBorders>
            <w:noWrap w:val="0"/>
            <w:vAlign w:val="center"/>
          </w:tcPr>
          <w:p w14:paraId="5915499B">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2690" w:type="dxa"/>
            <w:gridSpan w:val="2"/>
            <w:tcBorders>
              <w:top w:val="single" w:color="auto" w:sz="4" w:space="0"/>
              <w:left w:val="single" w:color="000000" w:sz="6" w:space="0"/>
              <w:bottom w:val="single" w:color="auto" w:sz="4" w:space="0"/>
              <w:right w:val="single" w:color="000000" w:sz="6" w:space="0"/>
            </w:tcBorders>
            <w:noWrap w:val="0"/>
            <w:vAlign w:val="center"/>
          </w:tcPr>
          <w:p w14:paraId="56CFB6DA">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r>
      <w:tr w14:paraId="15B91EED">
        <w:tblPrEx>
          <w:tblCellMar>
            <w:top w:w="15" w:type="dxa"/>
            <w:left w:w="15" w:type="dxa"/>
            <w:bottom w:w="15" w:type="dxa"/>
            <w:right w:w="15" w:type="dxa"/>
          </w:tblCellMar>
        </w:tblPrEx>
        <w:trPr>
          <w:trHeight w:val="567" w:hRule="atLeast"/>
          <w:jc w:val="center"/>
        </w:trPr>
        <w:tc>
          <w:tcPr>
            <w:tcW w:w="1152" w:type="dxa"/>
            <w:vMerge w:val="continue"/>
            <w:tcBorders>
              <w:top w:val="single" w:color="000000" w:sz="6" w:space="0"/>
              <w:left w:val="single" w:color="000000" w:sz="6" w:space="0"/>
              <w:bottom w:val="single" w:color="000000" w:sz="6" w:space="0"/>
              <w:right w:val="single" w:color="000000" w:sz="6" w:space="0"/>
            </w:tcBorders>
            <w:noWrap w:val="0"/>
            <w:vAlign w:val="center"/>
          </w:tcPr>
          <w:p w14:paraId="2AEE6F74">
            <w:pPr>
              <w:jc w:val="center"/>
              <w:rPr>
                <w:rFonts w:hint="eastAsia" w:ascii="宋体" w:hAnsi="宋体" w:eastAsia="宋体" w:cs="宋体"/>
                <w:b w:val="0"/>
                <w:bCs w:val="0"/>
                <w:sz w:val="24"/>
                <w:szCs w:val="24"/>
              </w:rPr>
            </w:pPr>
          </w:p>
        </w:tc>
        <w:tc>
          <w:tcPr>
            <w:tcW w:w="1869" w:type="dxa"/>
            <w:tcBorders>
              <w:top w:val="single" w:color="auto" w:sz="4" w:space="0"/>
              <w:left w:val="single" w:color="000000" w:sz="6" w:space="0"/>
              <w:bottom w:val="single" w:color="auto" w:sz="4" w:space="0"/>
              <w:right w:val="single" w:color="000000" w:sz="6" w:space="0"/>
            </w:tcBorders>
            <w:noWrap w:val="0"/>
            <w:vAlign w:val="center"/>
          </w:tcPr>
          <w:p w14:paraId="7C8F5AAF">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1534" w:type="dxa"/>
            <w:gridSpan w:val="2"/>
            <w:tcBorders>
              <w:top w:val="single" w:color="auto" w:sz="4" w:space="0"/>
              <w:left w:val="single" w:color="000000" w:sz="6" w:space="0"/>
              <w:bottom w:val="single" w:color="auto" w:sz="4" w:space="0"/>
              <w:right w:val="single" w:color="auto" w:sz="4" w:space="0"/>
            </w:tcBorders>
            <w:noWrap w:val="0"/>
            <w:vAlign w:val="center"/>
          </w:tcPr>
          <w:p w14:paraId="3180063C">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1739" w:type="dxa"/>
            <w:tcBorders>
              <w:top w:val="single" w:color="auto" w:sz="4" w:space="0"/>
              <w:left w:val="single" w:color="auto" w:sz="4" w:space="0"/>
              <w:bottom w:val="single" w:color="auto" w:sz="4" w:space="0"/>
              <w:right w:val="single" w:color="000000" w:sz="6" w:space="0"/>
            </w:tcBorders>
            <w:noWrap w:val="0"/>
            <w:vAlign w:val="center"/>
          </w:tcPr>
          <w:p w14:paraId="3B3FFAD8">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2690" w:type="dxa"/>
            <w:gridSpan w:val="2"/>
            <w:tcBorders>
              <w:top w:val="single" w:color="auto" w:sz="4" w:space="0"/>
              <w:left w:val="single" w:color="000000" w:sz="6" w:space="0"/>
              <w:bottom w:val="single" w:color="auto" w:sz="4" w:space="0"/>
              <w:right w:val="single" w:color="000000" w:sz="6" w:space="0"/>
            </w:tcBorders>
            <w:noWrap w:val="0"/>
            <w:vAlign w:val="center"/>
          </w:tcPr>
          <w:p w14:paraId="73015974">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r>
      <w:tr w14:paraId="67FB14F2">
        <w:tblPrEx>
          <w:tblCellMar>
            <w:top w:w="15" w:type="dxa"/>
            <w:left w:w="15" w:type="dxa"/>
            <w:bottom w:w="15" w:type="dxa"/>
            <w:right w:w="15" w:type="dxa"/>
          </w:tblCellMar>
        </w:tblPrEx>
        <w:trPr>
          <w:trHeight w:val="616" w:hRule="atLeast"/>
          <w:jc w:val="center"/>
        </w:trPr>
        <w:tc>
          <w:tcPr>
            <w:tcW w:w="1152" w:type="dxa"/>
            <w:vMerge w:val="continue"/>
            <w:tcBorders>
              <w:top w:val="single" w:color="000000" w:sz="6" w:space="0"/>
              <w:left w:val="single" w:color="000000" w:sz="6" w:space="0"/>
              <w:bottom w:val="single" w:color="000000" w:sz="6" w:space="0"/>
              <w:right w:val="single" w:color="000000" w:sz="6" w:space="0"/>
            </w:tcBorders>
            <w:noWrap w:val="0"/>
            <w:vAlign w:val="center"/>
          </w:tcPr>
          <w:p w14:paraId="370B20E2">
            <w:pPr>
              <w:jc w:val="center"/>
              <w:rPr>
                <w:rFonts w:hint="eastAsia" w:ascii="宋体" w:hAnsi="宋体" w:eastAsia="宋体" w:cs="宋体"/>
                <w:b w:val="0"/>
                <w:bCs w:val="0"/>
                <w:sz w:val="24"/>
                <w:szCs w:val="24"/>
              </w:rPr>
            </w:pPr>
          </w:p>
        </w:tc>
        <w:tc>
          <w:tcPr>
            <w:tcW w:w="1869" w:type="dxa"/>
            <w:tcBorders>
              <w:top w:val="single" w:color="auto" w:sz="4" w:space="0"/>
              <w:left w:val="single" w:color="000000" w:sz="6" w:space="0"/>
              <w:bottom w:val="single" w:color="auto" w:sz="4" w:space="0"/>
              <w:right w:val="single" w:color="000000" w:sz="6" w:space="0"/>
            </w:tcBorders>
            <w:noWrap w:val="0"/>
            <w:vAlign w:val="center"/>
          </w:tcPr>
          <w:p w14:paraId="14011EC5">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1534" w:type="dxa"/>
            <w:gridSpan w:val="2"/>
            <w:tcBorders>
              <w:top w:val="single" w:color="auto" w:sz="4" w:space="0"/>
              <w:left w:val="single" w:color="000000" w:sz="6" w:space="0"/>
              <w:bottom w:val="single" w:color="auto" w:sz="4" w:space="0"/>
              <w:right w:val="single" w:color="auto" w:sz="4" w:space="0"/>
            </w:tcBorders>
            <w:noWrap w:val="0"/>
            <w:vAlign w:val="center"/>
          </w:tcPr>
          <w:p w14:paraId="6E8ABE87">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1739" w:type="dxa"/>
            <w:tcBorders>
              <w:top w:val="single" w:color="auto" w:sz="4" w:space="0"/>
              <w:left w:val="single" w:color="auto" w:sz="4" w:space="0"/>
              <w:bottom w:val="single" w:color="auto" w:sz="4" w:space="0"/>
              <w:right w:val="single" w:color="000000" w:sz="6" w:space="0"/>
            </w:tcBorders>
            <w:noWrap w:val="0"/>
            <w:vAlign w:val="center"/>
          </w:tcPr>
          <w:p w14:paraId="720016EB">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2690" w:type="dxa"/>
            <w:gridSpan w:val="2"/>
            <w:tcBorders>
              <w:top w:val="single" w:color="auto" w:sz="4" w:space="0"/>
              <w:left w:val="single" w:color="000000" w:sz="6" w:space="0"/>
              <w:bottom w:val="single" w:color="auto" w:sz="4" w:space="0"/>
              <w:right w:val="single" w:color="000000" w:sz="6" w:space="0"/>
            </w:tcBorders>
            <w:noWrap w:val="0"/>
            <w:vAlign w:val="center"/>
          </w:tcPr>
          <w:p w14:paraId="3BAB97C8">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r>
      <w:tr w14:paraId="7EAA7C2A">
        <w:tblPrEx>
          <w:tblCellMar>
            <w:top w:w="15" w:type="dxa"/>
            <w:left w:w="15" w:type="dxa"/>
            <w:bottom w:w="15" w:type="dxa"/>
            <w:right w:w="15" w:type="dxa"/>
          </w:tblCellMar>
        </w:tblPrEx>
        <w:trPr>
          <w:trHeight w:val="554" w:hRule="atLeast"/>
          <w:jc w:val="center"/>
        </w:trPr>
        <w:tc>
          <w:tcPr>
            <w:tcW w:w="1152" w:type="dxa"/>
            <w:vMerge w:val="continue"/>
            <w:tcBorders>
              <w:top w:val="single" w:color="000000" w:sz="6" w:space="0"/>
              <w:left w:val="single" w:color="000000" w:sz="6" w:space="0"/>
              <w:bottom w:val="single" w:color="000000" w:sz="6" w:space="0"/>
              <w:right w:val="single" w:color="000000" w:sz="6" w:space="0"/>
            </w:tcBorders>
            <w:noWrap w:val="0"/>
            <w:vAlign w:val="center"/>
          </w:tcPr>
          <w:p w14:paraId="0CF049F6">
            <w:pPr>
              <w:jc w:val="center"/>
              <w:rPr>
                <w:rFonts w:hint="eastAsia" w:ascii="宋体" w:hAnsi="宋体" w:eastAsia="宋体" w:cs="宋体"/>
                <w:b w:val="0"/>
                <w:bCs w:val="0"/>
                <w:sz w:val="24"/>
                <w:szCs w:val="24"/>
              </w:rPr>
            </w:pPr>
          </w:p>
        </w:tc>
        <w:tc>
          <w:tcPr>
            <w:tcW w:w="1869" w:type="dxa"/>
            <w:tcBorders>
              <w:top w:val="single" w:color="auto" w:sz="4" w:space="0"/>
              <w:left w:val="single" w:color="000000" w:sz="6" w:space="0"/>
              <w:bottom w:val="single" w:color="auto" w:sz="4" w:space="0"/>
              <w:right w:val="single" w:color="000000" w:sz="6" w:space="0"/>
            </w:tcBorders>
            <w:noWrap w:val="0"/>
            <w:vAlign w:val="center"/>
          </w:tcPr>
          <w:p w14:paraId="424AE150">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1534" w:type="dxa"/>
            <w:gridSpan w:val="2"/>
            <w:tcBorders>
              <w:top w:val="single" w:color="auto" w:sz="4" w:space="0"/>
              <w:left w:val="single" w:color="000000" w:sz="6" w:space="0"/>
              <w:bottom w:val="single" w:color="auto" w:sz="4" w:space="0"/>
              <w:right w:val="single" w:color="auto" w:sz="4" w:space="0"/>
            </w:tcBorders>
            <w:noWrap w:val="0"/>
            <w:vAlign w:val="center"/>
          </w:tcPr>
          <w:p w14:paraId="63C8EAA3">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1739" w:type="dxa"/>
            <w:tcBorders>
              <w:top w:val="single" w:color="auto" w:sz="4" w:space="0"/>
              <w:left w:val="single" w:color="auto" w:sz="4" w:space="0"/>
              <w:bottom w:val="single" w:color="auto" w:sz="4" w:space="0"/>
              <w:right w:val="single" w:color="000000" w:sz="6" w:space="0"/>
            </w:tcBorders>
            <w:noWrap w:val="0"/>
            <w:vAlign w:val="center"/>
          </w:tcPr>
          <w:p w14:paraId="7F5BB2B9">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2690" w:type="dxa"/>
            <w:gridSpan w:val="2"/>
            <w:tcBorders>
              <w:top w:val="single" w:color="auto" w:sz="4" w:space="0"/>
              <w:left w:val="single" w:color="000000" w:sz="6" w:space="0"/>
              <w:bottom w:val="single" w:color="auto" w:sz="4" w:space="0"/>
              <w:right w:val="single" w:color="000000" w:sz="6" w:space="0"/>
            </w:tcBorders>
            <w:noWrap w:val="0"/>
            <w:vAlign w:val="center"/>
          </w:tcPr>
          <w:p w14:paraId="6852DD21">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r>
      <w:tr w14:paraId="0C6F8023">
        <w:tblPrEx>
          <w:tblCellMar>
            <w:top w:w="15" w:type="dxa"/>
            <w:left w:w="15" w:type="dxa"/>
            <w:bottom w:w="15" w:type="dxa"/>
            <w:right w:w="15" w:type="dxa"/>
          </w:tblCellMar>
        </w:tblPrEx>
        <w:trPr>
          <w:trHeight w:val="559" w:hRule="atLeast"/>
          <w:jc w:val="center"/>
        </w:trPr>
        <w:tc>
          <w:tcPr>
            <w:tcW w:w="1152" w:type="dxa"/>
            <w:vMerge w:val="continue"/>
            <w:tcBorders>
              <w:top w:val="single" w:color="000000" w:sz="6" w:space="0"/>
              <w:left w:val="single" w:color="000000" w:sz="6" w:space="0"/>
              <w:bottom w:val="single" w:color="000000" w:sz="6" w:space="0"/>
              <w:right w:val="single" w:color="000000" w:sz="6" w:space="0"/>
            </w:tcBorders>
            <w:noWrap w:val="0"/>
            <w:vAlign w:val="center"/>
          </w:tcPr>
          <w:p w14:paraId="6301FDBD">
            <w:pPr>
              <w:jc w:val="center"/>
              <w:rPr>
                <w:rFonts w:hint="eastAsia" w:ascii="宋体" w:hAnsi="宋体" w:eastAsia="宋体" w:cs="宋体"/>
                <w:b w:val="0"/>
                <w:bCs w:val="0"/>
                <w:sz w:val="24"/>
                <w:szCs w:val="24"/>
              </w:rPr>
            </w:pPr>
          </w:p>
        </w:tc>
        <w:tc>
          <w:tcPr>
            <w:tcW w:w="1869" w:type="dxa"/>
            <w:tcBorders>
              <w:top w:val="single" w:color="auto" w:sz="4" w:space="0"/>
              <w:left w:val="single" w:color="000000" w:sz="6" w:space="0"/>
              <w:bottom w:val="single" w:color="000000" w:sz="6" w:space="0"/>
              <w:right w:val="single" w:color="000000" w:sz="6" w:space="0"/>
            </w:tcBorders>
            <w:noWrap w:val="0"/>
            <w:vAlign w:val="center"/>
          </w:tcPr>
          <w:p w14:paraId="4CD37CE2">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1534" w:type="dxa"/>
            <w:gridSpan w:val="2"/>
            <w:tcBorders>
              <w:top w:val="single" w:color="auto" w:sz="4" w:space="0"/>
              <w:left w:val="single" w:color="000000" w:sz="6" w:space="0"/>
              <w:bottom w:val="single" w:color="000000" w:sz="6" w:space="0"/>
              <w:right w:val="single" w:color="auto" w:sz="4" w:space="0"/>
            </w:tcBorders>
            <w:noWrap w:val="0"/>
            <w:vAlign w:val="center"/>
          </w:tcPr>
          <w:p w14:paraId="1955C731">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1739" w:type="dxa"/>
            <w:tcBorders>
              <w:top w:val="single" w:color="auto" w:sz="4" w:space="0"/>
              <w:left w:val="single" w:color="auto" w:sz="4" w:space="0"/>
              <w:bottom w:val="single" w:color="000000" w:sz="6" w:space="0"/>
              <w:right w:val="single" w:color="000000" w:sz="6" w:space="0"/>
            </w:tcBorders>
            <w:noWrap w:val="0"/>
            <w:vAlign w:val="center"/>
          </w:tcPr>
          <w:p w14:paraId="27D4A493">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c>
          <w:tcPr>
            <w:tcW w:w="2690" w:type="dxa"/>
            <w:gridSpan w:val="2"/>
            <w:tcBorders>
              <w:top w:val="single" w:color="auto" w:sz="4" w:space="0"/>
              <w:left w:val="single" w:color="000000" w:sz="6" w:space="0"/>
              <w:bottom w:val="single" w:color="000000" w:sz="6" w:space="0"/>
              <w:right w:val="single" w:color="000000" w:sz="6" w:space="0"/>
            </w:tcBorders>
            <w:noWrap w:val="0"/>
            <w:vAlign w:val="center"/>
          </w:tcPr>
          <w:p w14:paraId="6DD12C7B">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p>
        </w:tc>
      </w:tr>
      <w:tr w14:paraId="39F11660">
        <w:tblPrEx>
          <w:tblCellMar>
            <w:top w:w="15" w:type="dxa"/>
            <w:left w:w="15" w:type="dxa"/>
            <w:bottom w:w="15" w:type="dxa"/>
            <w:right w:w="15" w:type="dxa"/>
          </w:tblCellMar>
        </w:tblPrEx>
        <w:trPr>
          <w:trHeight w:val="705" w:hRule="atLeast"/>
          <w:jc w:val="center"/>
        </w:trPr>
        <w:tc>
          <w:tcPr>
            <w:tcW w:w="1152" w:type="dxa"/>
            <w:vMerge w:val="continue"/>
            <w:tcBorders>
              <w:top w:val="single" w:color="000000" w:sz="6" w:space="0"/>
              <w:left w:val="single" w:color="000000" w:sz="6" w:space="0"/>
              <w:bottom w:val="single" w:color="000000" w:sz="6" w:space="0"/>
              <w:right w:val="single" w:color="000000" w:sz="6" w:space="0"/>
            </w:tcBorders>
            <w:noWrap w:val="0"/>
            <w:vAlign w:val="center"/>
          </w:tcPr>
          <w:p w14:paraId="1C5C8098">
            <w:pPr>
              <w:jc w:val="center"/>
              <w:rPr>
                <w:rFonts w:hint="eastAsia" w:ascii="宋体" w:hAnsi="宋体" w:eastAsia="宋体" w:cs="宋体"/>
                <w:b w:val="0"/>
                <w:bCs w:val="0"/>
                <w:sz w:val="24"/>
                <w:szCs w:val="24"/>
              </w:rPr>
            </w:pPr>
          </w:p>
        </w:tc>
        <w:tc>
          <w:tcPr>
            <w:tcW w:w="7832" w:type="dxa"/>
            <w:gridSpan w:val="6"/>
            <w:tcBorders>
              <w:top w:val="single" w:color="000000" w:sz="6" w:space="0"/>
              <w:left w:val="single" w:color="000000" w:sz="6" w:space="0"/>
              <w:bottom w:val="single" w:color="000000" w:sz="6" w:space="0"/>
              <w:right w:val="single" w:color="000000" w:sz="6" w:space="0"/>
            </w:tcBorders>
            <w:noWrap w:val="0"/>
            <w:vAlign w:val="center"/>
          </w:tcPr>
          <w:p w14:paraId="14728047">
            <w:pPr>
              <w:widowControl/>
              <w:spacing w:before="0" w:beforeAutospacing="0" w:after="0" w:afterAutospacing="0" w:line="360" w:lineRule="atLeast"/>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维修费合计：                  元（含税）</w:t>
            </w:r>
          </w:p>
        </w:tc>
      </w:tr>
    </w:tbl>
    <w:p w14:paraId="3FE704EF">
      <w:pPr>
        <w:keepNext w:val="0"/>
        <w:keepLines w:val="0"/>
        <w:pageBreakBefore w:val="0"/>
        <w:widowControl/>
        <w:kinsoku/>
        <w:wordWrap/>
        <w:overflowPunct/>
        <w:topLinePunct w:val="0"/>
        <w:autoSpaceDE/>
        <w:autoSpaceDN/>
        <w:bidi w:val="0"/>
        <w:adjustRightInd/>
        <w:snapToGrid/>
        <w:spacing w:before="313" w:beforeLines="100" w:beforeAutospacing="0" w:after="313" w:afterLines="100" w:afterAutospacing="0" w:line="600" w:lineRule="exact"/>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送修单位（盖章）：                    维修单位（盖章）：</w:t>
      </w:r>
    </w:p>
    <w:p w14:paraId="616E3E07">
      <w:pPr>
        <w:keepNext w:val="0"/>
        <w:keepLines w:val="0"/>
        <w:pageBreakBefore w:val="0"/>
        <w:widowControl/>
        <w:kinsoku/>
        <w:wordWrap/>
        <w:overflowPunct/>
        <w:topLinePunct w:val="0"/>
        <w:autoSpaceDE/>
        <w:autoSpaceDN/>
        <w:bidi w:val="0"/>
        <w:adjustRightInd/>
        <w:snapToGrid/>
        <w:spacing w:before="313" w:beforeLines="100" w:beforeAutospacing="0" w:after="313" w:afterLines="100" w:afterAutospacing="0" w:line="600" w:lineRule="exact"/>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送修人（签字）：                      维修人（签字）：</w:t>
      </w:r>
    </w:p>
    <w:p w14:paraId="3E7E2C71">
      <w:pPr>
        <w:keepNext w:val="0"/>
        <w:keepLines w:val="0"/>
        <w:pageBreakBefore w:val="0"/>
        <w:widowControl/>
        <w:kinsoku/>
        <w:wordWrap/>
        <w:overflowPunct/>
        <w:topLinePunct w:val="0"/>
        <w:autoSpaceDE/>
        <w:autoSpaceDN/>
        <w:bidi w:val="0"/>
        <w:adjustRightInd/>
        <w:snapToGrid/>
        <w:spacing w:before="313" w:beforeLines="100" w:beforeAutospacing="0" w:after="313" w:afterLines="100" w:afterAutospacing="0" w:line="600" w:lineRule="exact"/>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 xml:space="preserve">联系电话：                              联系电话： </w:t>
      </w:r>
    </w:p>
    <w:p w14:paraId="61F2F510">
      <w:pPr>
        <w:keepNext w:val="0"/>
        <w:keepLines w:val="0"/>
        <w:pageBreakBefore w:val="0"/>
        <w:widowControl/>
        <w:kinsoku/>
        <w:wordWrap/>
        <w:overflowPunct/>
        <w:topLinePunct w:val="0"/>
        <w:autoSpaceDE/>
        <w:autoSpaceDN/>
        <w:bidi w:val="0"/>
        <w:adjustRightInd/>
        <w:snapToGrid/>
        <w:spacing w:before="313" w:beforeLines="100" w:beforeAutospacing="0" w:after="313" w:afterLines="100" w:afterAutospacing="0" w:line="600" w:lineRule="exact"/>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单位地址：                              单位地址：</w:t>
      </w:r>
    </w:p>
    <w:p w14:paraId="20A3451F">
      <w:pPr>
        <w:keepNext w:val="0"/>
        <w:keepLines w:val="0"/>
        <w:pageBreakBefore w:val="0"/>
        <w:kinsoku/>
        <w:wordWrap/>
        <w:overflowPunct/>
        <w:topLinePunct w:val="0"/>
        <w:autoSpaceDE/>
        <w:autoSpaceDN/>
        <w:bidi w:val="0"/>
        <w:adjustRightInd/>
        <w:snapToGrid/>
        <w:spacing w:before="0" w:beforeAutospacing="0" w:after="0" w:afterAutospacing="0" w:line="600" w:lineRule="exact"/>
        <w:textAlignment w:val="auto"/>
        <w:rPr>
          <w:rFonts w:hint="eastAsia" w:ascii="宋体" w:hAnsi="宋体" w:eastAsia="宋体" w:cs="宋体"/>
          <w:b w:val="0"/>
          <w:bCs w:val="0"/>
          <w:lang w:eastAsia="zh-CN"/>
        </w:rPr>
        <w:sectPr>
          <w:pgSz w:w="11906" w:h="16838"/>
          <w:pgMar w:top="1440" w:right="1800" w:bottom="1440" w:left="1800" w:header="851" w:footer="992" w:gutter="0"/>
          <w:pgNumType w:fmt="decimal"/>
          <w:cols w:space="720" w:num="1"/>
          <w:docGrid w:type="lines" w:linePitch="312" w:charSpace="0"/>
        </w:sectPr>
      </w:pPr>
    </w:p>
    <w:p w14:paraId="0B097CC4">
      <w:pPr>
        <w:keepNext w:val="0"/>
        <w:keepLines w:val="0"/>
        <w:pageBreakBefore w:val="0"/>
        <w:widowControl w:val="0"/>
        <w:kinsoku/>
        <w:wordWrap/>
        <w:overflowPunct/>
        <w:topLinePunct w:val="0"/>
        <w:autoSpaceDE/>
        <w:autoSpaceDN/>
        <w:bidi w:val="0"/>
        <w:adjustRightInd/>
        <w:snapToGrid/>
        <w:spacing w:after="313" w:afterLines="100" w:line="500" w:lineRule="exact"/>
        <w:textAlignment w:val="auto"/>
        <w:rPr>
          <w:rFonts w:hint="eastAsia" w:ascii="宋体" w:hAnsi="宋体" w:eastAsia="宋体" w:cs="宋体"/>
          <w:b w:val="0"/>
          <w:bCs w:val="0"/>
          <w:sz w:val="28"/>
          <w:szCs w:val="36"/>
          <w:lang w:val="en-US" w:eastAsia="zh-CN"/>
        </w:rPr>
      </w:pPr>
      <w:r>
        <w:rPr>
          <w:rFonts w:hint="eastAsia" w:ascii="宋体" w:hAnsi="宋体" w:eastAsia="宋体" w:cs="宋体"/>
          <w:b w:val="0"/>
          <w:bCs w:val="0"/>
          <w:sz w:val="28"/>
          <w:szCs w:val="36"/>
          <w:lang w:val="en-US" w:eastAsia="zh-CN"/>
        </w:rPr>
        <w:t>附件2</w:t>
      </w:r>
    </w:p>
    <w:p w14:paraId="4DA39714">
      <w:pPr>
        <w:keepNext w:val="0"/>
        <w:keepLines w:val="0"/>
        <w:pageBreakBefore w:val="0"/>
        <w:widowControl w:val="0"/>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b w:val="0"/>
          <w:bCs w:val="0"/>
          <w:color w:val="auto"/>
          <w:sz w:val="32"/>
          <w:szCs w:val="32"/>
          <w:highlight w:val="none"/>
          <w:shd w:val="clear" w:color="auto" w:fill="auto"/>
          <w:lang w:eastAsia="zh-CN"/>
        </w:rPr>
      </w:pPr>
      <w:r>
        <w:rPr>
          <w:rFonts w:hint="eastAsia" w:ascii="宋体" w:hAnsi="宋体" w:eastAsia="宋体" w:cs="宋体"/>
          <w:b w:val="0"/>
          <w:bCs w:val="0"/>
          <w:color w:val="auto"/>
          <w:sz w:val="32"/>
          <w:szCs w:val="32"/>
          <w:highlight w:val="none"/>
          <w:shd w:val="clear" w:color="auto" w:fill="auto"/>
          <w:lang w:val="en-US" w:eastAsia="zh-CN"/>
        </w:rPr>
        <w:t>中华人民共和国畹町出入境边防检查站2025年度公务用车维修服务定点协议单位采购项目（二次）X月</w:t>
      </w:r>
      <w:r>
        <w:rPr>
          <w:rFonts w:hint="eastAsia" w:ascii="宋体" w:hAnsi="宋体" w:eastAsia="宋体" w:cs="宋体"/>
          <w:b w:val="0"/>
          <w:bCs w:val="0"/>
          <w:color w:val="auto"/>
          <w:sz w:val="32"/>
          <w:szCs w:val="32"/>
          <w:highlight w:val="none"/>
          <w:shd w:val="clear" w:color="auto" w:fill="auto"/>
        </w:rPr>
        <w:t>考核</w:t>
      </w:r>
      <w:r>
        <w:rPr>
          <w:rFonts w:hint="eastAsia" w:ascii="宋体" w:hAnsi="宋体" w:eastAsia="宋体" w:cs="宋体"/>
          <w:b w:val="0"/>
          <w:bCs w:val="0"/>
          <w:color w:val="auto"/>
          <w:sz w:val="32"/>
          <w:szCs w:val="32"/>
          <w:highlight w:val="none"/>
          <w:shd w:val="clear" w:color="auto" w:fill="auto"/>
          <w:lang w:eastAsia="zh-CN"/>
        </w:rPr>
        <w:t>验收确认表</w:t>
      </w:r>
    </w:p>
    <w:p w14:paraId="0FD2043D">
      <w:pPr>
        <w:keepNext w:val="0"/>
        <w:keepLines w:val="0"/>
        <w:pageBreakBefore w:val="0"/>
        <w:widowControl w:val="0"/>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b w:val="0"/>
          <w:bCs w:val="0"/>
          <w:color w:val="auto"/>
          <w:sz w:val="32"/>
          <w:szCs w:val="32"/>
          <w:highlight w:val="none"/>
          <w:shd w:val="clear" w:color="auto" w:fill="auto"/>
          <w:lang w:eastAsia="zh-CN"/>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9"/>
        <w:gridCol w:w="5808"/>
        <w:gridCol w:w="1372"/>
        <w:gridCol w:w="1253"/>
      </w:tblGrid>
      <w:tr w14:paraId="1B233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2" w:hRule="exact"/>
          <w:jc w:val="center"/>
        </w:trPr>
        <w:tc>
          <w:tcPr>
            <w:tcW w:w="1289" w:type="dxa"/>
            <w:noWrap w:val="0"/>
            <w:vAlign w:val="center"/>
          </w:tcPr>
          <w:p w14:paraId="418748B2">
            <w:pPr>
              <w:keepNext w:val="0"/>
              <w:keepLines w:val="0"/>
              <w:pageBreakBefore w:val="0"/>
              <w:widowControl w:val="0"/>
              <w:kinsoku/>
              <w:wordWrap/>
              <w:overflowPunct/>
              <w:topLinePunct w:val="0"/>
              <w:autoSpaceDE/>
              <w:autoSpaceDN/>
              <w:bidi w:val="0"/>
              <w:adjustRightInd/>
              <w:snapToGrid/>
              <w:spacing w:after="0" w:line="240" w:lineRule="auto"/>
              <w:ind w:left="0" w:right="0"/>
              <w:jc w:val="center"/>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r>
              <w:rPr>
                <w:rFonts w:hint="eastAsia" w:ascii="宋体" w:hAnsi="宋体" w:eastAsia="宋体" w:cs="宋体"/>
                <w:b w:val="0"/>
                <w:bCs w:val="0"/>
                <w:color w:val="auto"/>
                <w:kern w:val="2"/>
                <w:sz w:val="24"/>
                <w:szCs w:val="20"/>
                <w:highlight w:val="none"/>
                <w:shd w:val="clear" w:color="auto" w:fill="auto"/>
                <w:lang w:val="zh-CN" w:eastAsia="zh-CN" w:bidi="zh-CN"/>
              </w:rPr>
              <w:t>序号</w:t>
            </w:r>
          </w:p>
        </w:tc>
        <w:tc>
          <w:tcPr>
            <w:tcW w:w="5808" w:type="dxa"/>
            <w:noWrap w:val="0"/>
            <w:vAlign w:val="center"/>
          </w:tcPr>
          <w:p w14:paraId="6A321A76">
            <w:pPr>
              <w:keepNext w:val="0"/>
              <w:keepLines w:val="0"/>
              <w:pageBreakBefore w:val="0"/>
              <w:widowControl w:val="0"/>
              <w:kinsoku/>
              <w:wordWrap/>
              <w:overflowPunct/>
              <w:topLinePunct w:val="0"/>
              <w:autoSpaceDE/>
              <w:autoSpaceDN/>
              <w:bidi w:val="0"/>
              <w:adjustRightInd/>
              <w:snapToGrid/>
              <w:spacing w:after="0" w:line="240" w:lineRule="auto"/>
              <w:ind w:left="0" w:right="0"/>
              <w:jc w:val="center"/>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r>
              <w:rPr>
                <w:rFonts w:hint="eastAsia" w:ascii="宋体" w:hAnsi="宋体" w:eastAsia="宋体" w:cs="宋体"/>
                <w:b w:val="0"/>
                <w:bCs w:val="0"/>
                <w:color w:val="auto"/>
                <w:kern w:val="2"/>
                <w:sz w:val="24"/>
                <w:szCs w:val="20"/>
                <w:highlight w:val="none"/>
                <w:shd w:val="clear" w:color="auto" w:fill="auto"/>
                <w:lang w:val="zh-CN" w:eastAsia="zh-CN" w:bidi="zh-CN"/>
              </w:rPr>
              <w:t>考核细则</w:t>
            </w:r>
          </w:p>
        </w:tc>
        <w:tc>
          <w:tcPr>
            <w:tcW w:w="1372" w:type="dxa"/>
            <w:noWrap w:val="0"/>
            <w:vAlign w:val="center"/>
          </w:tcPr>
          <w:p w14:paraId="3AC03378">
            <w:pPr>
              <w:keepNext w:val="0"/>
              <w:keepLines w:val="0"/>
              <w:pageBreakBefore w:val="0"/>
              <w:widowControl w:val="0"/>
              <w:kinsoku/>
              <w:wordWrap/>
              <w:overflowPunct/>
              <w:topLinePunct w:val="0"/>
              <w:autoSpaceDE/>
              <w:autoSpaceDN/>
              <w:bidi w:val="0"/>
              <w:adjustRightInd/>
              <w:snapToGrid/>
              <w:spacing w:after="0" w:line="240" w:lineRule="auto"/>
              <w:ind w:left="0" w:right="0"/>
              <w:jc w:val="center"/>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r>
              <w:rPr>
                <w:rFonts w:hint="eastAsia" w:ascii="宋体" w:hAnsi="宋体" w:eastAsia="宋体" w:cs="宋体"/>
                <w:b w:val="0"/>
                <w:bCs w:val="0"/>
                <w:color w:val="auto"/>
                <w:kern w:val="2"/>
                <w:sz w:val="24"/>
                <w:szCs w:val="20"/>
                <w:highlight w:val="none"/>
                <w:shd w:val="clear" w:color="auto" w:fill="auto"/>
                <w:lang w:val="zh-CN" w:eastAsia="zh-CN" w:bidi="zh-CN"/>
              </w:rPr>
              <w:t>分值</w:t>
            </w:r>
          </w:p>
        </w:tc>
        <w:tc>
          <w:tcPr>
            <w:tcW w:w="1253" w:type="dxa"/>
            <w:noWrap w:val="0"/>
            <w:vAlign w:val="center"/>
          </w:tcPr>
          <w:p w14:paraId="186C8505">
            <w:pPr>
              <w:keepNext w:val="0"/>
              <w:keepLines w:val="0"/>
              <w:pageBreakBefore w:val="0"/>
              <w:widowControl w:val="0"/>
              <w:kinsoku/>
              <w:wordWrap/>
              <w:overflowPunct/>
              <w:topLinePunct w:val="0"/>
              <w:autoSpaceDE/>
              <w:autoSpaceDN/>
              <w:bidi w:val="0"/>
              <w:adjustRightInd/>
              <w:snapToGrid/>
              <w:spacing w:after="0" w:line="240" w:lineRule="auto"/>
              <w:ind w:left="0" w:right="0"/>
              <w:jc w:val="center"/>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r>
              <w:rPr>
                <w:rFonts w:hint="eastAsia" w:ascii="宋体" w:hAnsi="宋体" w:eastAsia="宋体" w:cs="宋体"/>
                <w:b w:val="0"/>
                <w:bCs w:val="0"/>
                <w:color w:val="auto"/>
                <w:kern w:val="2"/>
                <w:sz w:val="24"/>
                <w:szCs w:val="20"/>
                <w:highlight w:val="none"/>
                <w:shd w:val="clear" w:color="auto" w:fill="auto"/>
                <w:lang w:val="zh-CN" w:eastAsia="zh-CN" w:bidi="zh-CN"/>
              </w:rPr>
              <w:t>得分</w:t>
            </w:r>
          </w:p>
        </w:tc>
      </w:tr>
      <w:tr w14:paraId="187AC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289" w:type="dxa"/>
            <w:noWrap w:val="0"/>
            <w:vAlign w:val="center"/>
          </w:tcPr>
          <w:p w14:paraId="73D5C167">
            <w:pPr>
              <w:keepNext w:val="0"/>
              <w:keepLines w:val="0"/>
              <w:pageBreakBefore w:val="0"/>
              <w:widowControl w:val="0"/>
              <w:kinsoku/>
              <w:wordWrap/>
              <w:overflowPunct/>
              <w:topLinePunct w:val="0"/>
              <w:autoSpaceDE/>
              <w:autoSpaceDN/>
              <w:bidi w:val="0"/>
              <w:adjustRightInd/>
              <w:snapToGrid/>
              <w:spacing w:after="0" w:line="340" w:lineRule="exact"/>
              <w:ind w:left="91"/>
              <w:jc w:val="center"/>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r>
              <w:rPr>
                <w:rFonts w:hint="eastAsia" w:ascii="宋体" w:hAnsi="宋体" w:eastAsia="宋体" w:cs="宋体"/>
                <w:b w:val="0"/>
                <w:bCs w:val="0"/>
                <w:color w:val="auto"/>
                <w:kern w:val="2"/>
                <w:sz w:val="24"/>
                <w:szCs w:val="20"/>
                <w:highlight w:val="none"/>
                <w:shd w:val="clear" w:color="auto" w:fill="auto"/>
                <w:lang w:val="zh-CN" w:eastAsia="zh-CN" w:bidi="zh-CN"/>
              </w:rPr>
              <w:t>1</w:t>
            </w:r>
          </w:p>
        </w:tc>
        <w:tc>
          <w:tcPr>
            <w:tcW w:w="5808" w:type="dxa"/>
            <w:noWrap w:val="0"/>
            <w:vAlign w:val="center"/>
          </w:tcPr>
          <w:p w14:paraId="14006A1A">
            <w:pPr>
              <w:keepNext w:val="0"/>
              <w:keepLines w:val="0"/>
              <w:pageBreakBefore w:val="0"/>
              <w:widowControl w:val="0"/>
              <w:kinsoku/>
              <w:wordWrap/>
              <w:overflowPunct/>
              <w:topLinePunct w:val="0"/>
              <w:autoSpaceDE/>
              <w:autoSpaceDN/>
              <w:bidi w:val="0"/>
              <w:adjustRightInd/>
              <w:snapToGrid/>
              <w:spacing w:after="0" w:line="300" w:lineRule="exact"/>
              <w:ind w:left="91" w:leftChars="0"/>
              <w:jc w:val="both"/>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r>
              <w:rPr>
                <w:rFonts w:hint="eastAsia" w:ascii="宋体" w:hAnsi="宋体" w:eastAsia="宋体" w:cs="宋体"/>
                <w:b w:val="0"/>
                <w:bCs w:val="0"/>
                <w:color w:val="auto"/>
                <w:kern w:val="2"/>
                <w:sz w:val="24"/>
                <w:szCs w:val="20"/>
                <w:highlight w:val="none"/>
                <w:shd w:val="clear" w:color="auto" w:fill="auto"/>
                <w:lang w:val="zh-CN" w:eastAsia="zh-CN" w:bidi="zh-CN"/>
              </w:rPr>
              <w:t>严格按照项目服务标准及要求提供服务，服务人员数量、服务质量完全满足合同要求</w:t>
            </w:r>
          </w:p>
        </w:tc>
        <w:tc>
          <w:tcPr>
            <w:tcW w:w="1372" w:type="dxa"/>
            <w:noWrap w:val="0"/>
            <w:vAlign w:val="center"/>
          </w:tcPr>
          <w:p w14:paraId="1930B5C3">
            <w:pPr>
              <w:keepNext w:val="0"/>
              <w:keepLines w:val="0"/>
              <w:pageBreakBefore w:val="0"/>
              <w:widowControl w:val="0"/>
              <w:kinsoku/>
              <w:wordWrap/>
              <w:overflowPunct/>
              <w:topLinePunct w:val="0"/>
              <w:autoSpaceDE/>
              <w:autoSpaceDN/>
              <w:bidi w:val="0"/>
              <w:adjustRightInd/>
              <w:snapToGrid/>
              <w:spacing w:after="0" w:line="300" w:lineRule="exact"/>
              <w:ind w:left="91" w:leftChars="0"/>
              <w:jc w:val="center"/>
              <w:textAlignment w:val="auto"/>
              <w:rPr>
                <w:rFonts w:hint="eastAsia" w:ascii="宋体" w:hAnsi="宋体" w:eastAsia="宋体" w:cs="宋体"/>
                <w:b w:val="0"/>
                <w:bCs w:val="0"/>
                <w:color w:val="auto"/>
                <w:kern w:val="2"/>
                <w:sz w:val="24"/>
                <w:szCs w:val="20"/>
                <w:highlight w:val="none"/>
                <w:shd w:val="clear" w:color="auto" w:fill="auto"/>
                <w:lang w:val="en-US" w:eastAsia="zh-CN" w:bidi="zh-CN"/>
              </w:rPr>
            </w:pPr>
            <w:r>
              <w:rPr>
                <w:rFonts w:hint="eastAsia" w:ascii="宋体" w:hAnsi="宋体" w:eastAsia="宋体" w:cs="宋体"/>
                <w:b w:val="0"/>
                <w:bCs w:val="0"/>
                <w:color w:val="auto"/>
                <w:kern w:val="2"/>
                <w:sz w:val="24"/>
                <w:szCs w:val="20"/>
                <w:highlight w:val="none"/>
                <w:shd w:val="clear" w:color="auto" w:fill="auto"/>
                <w:lang w:val="en-US" w:eastAsia="zh-CN" w:bidi="zh-CN"/>
              </w:rPr>
              <w:t>40</w:t>
            </w:r>
            <w:r>
              <w:rPr>
                <w:rFonts w:hint="eastAsia" w:ascii="宋体" w:hAnsi="宋体" w:eastAsia="宋体" w:cs="宋体"/>
                <w:b w:val="0"/>
                <w:bCs w:val="0"/>
                <w:color w:val="auto"/>
                <w:kern w:val="2"/>
                <w:sz w:val="24"/>
                <w:szCs w:val="20"/>
                <w:highlight w:val="none"/>
                <w:shd w:val="clear" w:color="auto" w:fill="auto"/>
                <w:lang w:val="zh-CN" w:eastAsia="zh-CN" w:bidi="zh-CN"/>
              </w:rPr>
              <w:t>分</w:t>
            </w:r>
          </w:p>
        </w:tc>
        <w:tc>
          <w:tcPr>
            <w:tcW w:w="1253" w:type="dxa"/>
            <w:noWrap w:val="0"/>
            <w:vAlign w:val="center"/>
          </w:tcPr>
          <w:p w14:paraId="42AD8FE7">
            <w:pPr>
              <w:keepNext w:val="0"/>
              <w:keepLines w:val="0"/>
              <w:pageBreakBefore w:val="0"/>
              <w:widowControl w:val="0"/>
              <w:kinsoku/>
              <w:wordWrap/>
              <w:overflowPunct/>
              <w:topLinePunct w:val="0"/>
              <w:autoSpaceDE/>
              <w:autoSpaceDN/>
              <w:bidi w:val="0"/>
              <w:adjustRightInd/>
              <w:snapToGrid/>
              <w:spacing w:after="0" w:line="300" w:lineRule="exact"/>
              <w:ind w:left="91" w:leftChars="0"/>
              <w:jc w:val="center"/>
              <w:textAlignment w:val="auto"/>
              <w:rPr>
                <w:rFonts w:hint="eastAsia" w:ascii="宋体" w:hAnsi="宋体" w:eastAsia="宋体" w:cs="宋体"/>
                <w:b w:val="0"/>
                <w:bCs w:val="0"/>
                <w:color w:val="auto"/>
                <w:kern w:val="2"/>
                <w:sz w:val="24"/>
                <w:szCs w:val="20"/>
                <w:highlight w:val="none"/>
                <w:shd w:val="clear" w:color="auto" w:fill="auto"/>
                <w:lang w:val="en-US" w:eastAsia="zh-CN" w:bidi="zh-CN"/>
              </w:rPr>
            </w:pPr>
          </w:p>
        </w:tc>
      </w:tr>
      <w:tr w14:paraId="3BF24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289" w:type="dxa"/>
            <w:noWrap w:val="0"/>
            <w:vAlign w:val="center"/>
          </w:tcPr>
          <w:p w14:paraId="1A5ACF1D">
            <w:pPr>
              <w:keepNext w:val="0"/>
              <w:keepLines w:val="0"/>
              <w:pageBreakBefore w:val="0"/>
              <w:widowControl w:val="0"/>
              <w:kinsoku/>
              <w:wordWrap/>
              <w:overflowPunct/>
              <w:topLinePunct w:val="0"/>
              <w:autoSpaceDE/>
              <w:autoSpaceDN/>
              <w:bidi w:val="0"/>
              <w:adjustRightInd/>
              <w:snapToGrid/>
              <w:spacing w:after="0" w:line="340" w:lineRule="exact"/>
              <w:ind w:left="91"/>
              <w:jc w:val="center"/>
              <w:textAlignment w:val="auto"/>
              <w:rPr>
                <w:rFonts w:hint="eastAsia" w:ascii="宋体" w:hAnsi="宋体" w:eastAsia="宋体" w:cs="宋体"/>
                <w:b w:val="0"/>
                <w:bCs w:val="0"/>
                <w:color w:val="auto"/>
                <w:kern w:val="2"/>
                <w:sz w:val="24"/>
                <w:szCs w:val="20"/>
                <w:highlight w:val="none"/>
                <w:shd w:val="clear" w:color="auto" w:fill="auto"/>
                <w:lang w:val="en-US" w:eastAsia="zh-CN" w:bidi="zh-CN"/>
              </w:rPr>
            </w:pPr>
            <w:r>
              <w:rPr>
                <w:rFonts w:hint="eastAsia" w:ascii="宋体" w:hAnsi="宋体" w:eastAsia="宋体" w:cs="宋体"/>
                <w:b w:val="0"/>
                <w:bCs w:val="0"/>
                <w:color w:val="auto"/>
                <w:kern w:val="2"/>
                <w:sz w:val="24"/>
                <w:szCs w:val="20"/>
                <w:highlight w:val="none"/>
                <w:shd w:val="clear" w:color="auto" w:fill="auto"/>
                <w:lang w:val="en-US" w:eastAsia="zh-CN" w:bidi="zh-CN"/>
              </w:rPr>
              <w:t>2</w:t>
            </w:r>
          </w:p>
        </w:tc>
        <w:tc>
          <w:tcPr>
            <w:tcW w:w="5808" w:type="dxa"/>
            <w:noWrap w:val="0"/>
            <w:vAlign w:val="center"/>
          </w:tcPr>
          <w:p w14:paraId="59AEB61A">
            <w:pPr>
              <w:keepNext w:val="0"/>
              <w:keepLines w:val="0"/>
              <w:pageBreakBefore w:val="0"/>
              <w:widowControl w:val="0"/>
              <w:kinsoku/>
              <w:wordWrap/>
              <w:overflowPunct/>
              <w:topLinePunct w:val="0"/>
              <w:autoSpaceDE/>
              <w:autoSpaceDN/>
              <w:bidi w:val="0"/>
              <w:adjustRightInd/>
              <w:snapToGrid/>
              <w:spacing w:after="0" w:line="300" w:lineRule="exact"/>
              <w:ind w:left="91"/>
              <w:jc w:val="both"/>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r>
              <w:rPr>
                <w:rFonts w:hint="eastAsia" w:ascii="宋体" w:hAnsi="宋体" w:eastAsia="宋体" w:cs="宋体"/>
                <w:b w:val="0"/>
                <w:bCs w:val="0"/>
                <w:color w:val="auto"/>
                <w:kern w:val="2"/>
                <w:sz w:val="24"/>
                <w:szCs w:val="20"/>
                <w:highlight w:val="none"/>
                <w:shd w:val="clear" w:color="auto" w:fill="auto"/>
                <w:lang w:val="zh-CN" w:eastAsia="zh-CN" w:bidi="zh-CN"/>
              </w:rPr>
              <w:t>甲方业务部门评价</w:t>
            </w:r>
          </w:p>
        </w:tc>
        <w:tc>
          <w:tcPr>
            <w:tcW w:w="1372" w:type="dxa"/>
            <w:noWrap w:val="0"/>
            <w:vAlign w:val="center"/>
          </w:tcPr>
          <w:p w14:paraId="3911E546">
            <w:pPr>
              <w:keepNext w:val="0"/>
              <w:keepLines w:val="0"/>
              <w:pageBreakBefore w:val="0"/>
              <w:widowControl w:val="0"/>
              <w:kinsoku/>
              <w:wordWrap/>
              <w:overflowPunct/>
              <w:topLinePunct w:val="0"/>
              <w:autoSpaceDE/>
              <w:autoSpaceDN/>
              <w:bidi w:val="0"/>
              <w:adjustRightInd/>
              <w:snapToGrid/>
              <w:spacing w:after="0" w:line="300" w:lineRule="exact"/>
              <w:ind w:left="91" w:leftChars="0"/>
              <w:jc w:val="center"/>
              <w:textAlignment w:val="auto"/>
              <w:rPr>
                <w:rFonts w:hint="eastAsia" w:ascii="宋体" w:hAnsi="宋体" w:eastAsia="宋体" w:cs="宋体"/>
                <w:b w:val="0"/>
                <w:bCs w:val="0"/>
                <w:color w:val="auto"/>
                <w:kern w:val="2"/>
                <w:sz w:val="24"/>
                <w:szCs w:val="20"/>
                <w:highlight w:val="none"/>
                <w:shd w:val="clear" w:color="auto" w:fill="auto"/>
                <w:lang w:val="en-US" w:eastAsia="zh-CN" w:bidi="zh-CN"/>
              </w:rPr>
            </w:pPr>
            <w:r>
              <w:rPr>
                <w:rFonts w:hint="eastAsia" w:ascii="宋体" w:hAnsi="宋体" w:eastAsia="宋体" w:cs="宋体"/>
                <w:b w:val="0"/>
                <w:bCs w:val="0"/>
                <w:color w:val="auto"/>
                <w:kern w:val="2"/>
                <w:sz w:val="24"/>
                <w:szCs w:val="20"/>
                <w:highlight w:val="none"/>
                <w:shd w:val="clear" w:color="auto" w:fill="auto"/>
                <w:lang w:val="en-US" w:eastAsia="zh-CN" w:bidi="zh-CN"/>
              </w:rPr>
              <w:t>30</w:t>
            </w:r>
            <w:r>
              <w:rPr>
                <w:rFonts w:hint="eastAsia" w:ascii="宋体" w:hAnsi="宋体" w:eastAsia="宋体" w:cs="宋体"/>
                <w:b w:val="0"/>
                <w:bCs w:val="0"/>
                <w:color w:val="auto"/>
                <w:kern w:val="2"/>
                <w:sz w:val="24"/>
                <w:szCs w:val="20"/>
                <w:highlight w:val="none"/>
                <w:shd w:val="clear" w:color="auto" w:fill="auto"/>
                <w:lang w:val="zh-CN" w:eastAsia="zh-CN" w:bidi="zh-CN"/>
              </w:rPr>
              <w:t>分</w:t>
            </w:r>
          </w:p>
        </w:tc>
        <w:tc>
          <w:tcPr>
            <w:tcW w:w="1253" w:type="dxa"/>
            <w:noWrap w:val="0"/>
            <w:vAlign w:val="center"/>
          </w:tcPr>
          <w:p w14:paraId="04EA6948">
            <w:pPr>
              <w:keepNext w:val="0"/>
              <w:keepLines w:val="0"/>
              <w:pageBreakBefore w:val="0"/>
              <w:widowControl w:val="0"/>
              <w:kinsoku/>
              <w:wordWrap/>
              <w:overflowPunct/>
              <w:topLinePunct w:val="0"/>
              <w:autoSpaceDE/>
              <w:autoSpaceDN/>
              <w:bidi w:val="0"/>
              <w:adjustRightInd/>
              <w:snapToGrid/>
              <w:spacing w:after="0" w:line="300" w:lineRule="exact"/>
              <w:ind w:left="91"/>
              <w:jc w:val="center"/>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p>
        </w:tc>
      </w:tr>
      <w:tr w14:paraId="27F25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289" w:type="dxa"/>
            <w:noWrap w:val="0"/>
            <w:vAlign w:val="center"/>
          </w:tcPr>
          <w:p w14:paraId="46C2F1F4">
            <w:pPr>
              <w:keepNext w:val="0"/>
              <w:keepLines w:val="0"/>
              <w:pageBreakBefore w:val="0"/>
              <w:widowControl w:val="0"/>
              <w:kinsoku/>
              <w:wordWrap/>
              <w:overflowPunct/>
              <w:topLinePunct w:val="0"/>
              <w:autoSpaceDE/>
              <w:autoSpaceDN/>
              <w:bidi w:val="0"/>
              <w:adjustRightInd/>
              <w:snapToGrid/>
              <w:spacing w:after="0" w:line="340" w:lineRule="exact"/>
              <w:ind w:left="91"/>
              <w:jc w:val="center"/>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r>
              <w:rPr>
                <w:rFonts w:hint="eastAsia" w:ascii="宋体" w:hAnsi="宋体" w:eastAsia="宋体" w:cs="宋体"/>
                <w:b w:val="0"/>
                <w:bCs w:val="0"/>
                <w:color w:val="auto"/>
                <w:kern w:val="2"/>
                <w:sz w:val="24"/>
                <w:szCs w:val="20"/>
                <w:highlight w:val="none"/>
                <w:shd w:val="clear" w:color="auto" w:fill="auto"/>
                <w:lang w:val="en-US" w:eastAsia="zh-CN" w:bidi="zh-CN"/>
              </w:rPr>
              <w:t>3</w:t>
            </w:r>
          </w:p>
        </w:tc>
        <w:tc>
          <w:tcPr>
            <w:tcW w:w="5808" w:type="dxa"/>
            <w:noWrap w:val="0"/>
            <w:vAlign w:val="center"/>
          </w:tcPr>
          <w:p w14:paraId="528078F1">
            <w:pPr>
              <w:keepNext w:val="0"/>
              <w:keepLines w:val="0"/>
              <w:pageBreakBefore w:val="0"/>
              <w:widowControl w:val="0"/>
              <w:kinsoku/>
              <w:wordWrap/>
              <w:overflowPunct/>
              <w:topLinePunct w:val="0"/>
              <w:autoSpaceDE/>
              <w:autoSpaceDN/>
              <w:bidi w:val="0"/>
              <w:adjustRightInd/>
              <w:snapToGrid/>
              <w:spacing w:after="0" w:line="300" w:lineRule="exact"/>
              <w:ind w:left="91" w:leftChars="0"/>
              <w:jc w:val="both"/>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r>
              <w:rPr>
                <w:rFonts w:hint="eastAsia" w:ascii="宋体" w:hAnsi="宋体" w:eastAsia="宋体" w:cs="宋体"/>
                <w:b w:val="0"/>
                <w:bCs w:val="0"/>
                <w:color w:val="auto"/>
                <w:kern w:val="2"/>
                <w:sz w:val="24"/>
                <w:szCs w:val="20"/>
                <w:highlight w:val="none"/>
                <w:shd w:val="clear" w:color="auto" w:fill="auto"/>
                <w:lang w:val="zh-CN" w:eastAsia="zh-CN" w:bidi="zh-CN"/>
              </w:rPr>
              <w:t>甲方使用单位满意度评价</w:t>
            </w:r>
          </w:p>
        </w:tc>
        <w:tc>
          <w:tcPr>
            <w:tcW w:w="1372" w:type="dxa"/>
            <w:noWrap w:val="0"/>
            <w:vAlign w:val="center"/>
          </w:tcPr>
          <w:p w14:paraId="0917AFCE">
            <w:pPr>
              <w:keepNext w:val="0"/>
              <w:keepLines w:val="0"/>
              <w:pageBreakBefore w:val="0"/>
              <w:widowControl w:val="0"/>
              <w:kinsoku/>
              <w:wordWrap/>
              <w:overflowPunct/>
              <w:topLinePunct w:val="0"/>
              <w:autoSpaceDE/>
              <w:autoSpaceDN/>
              <w:bidi w:val="0"/>
              <w:adjustRightInd/>
              <w:snapToGrid/>
              <w:spacing w:after="0" w:line="300" w:lineRule="exact"/>
              <w:ind w:left="91" w:leftChars="0"/>
              <w:jc w:val="center"/>
              <w:textAlignment w:val="auto"/>
              <w:rPr>
                <w:rFonts w:hint="eastAsia" w:ascii="宋体" w:hAnsi="宋体" w:eastAsia="宋体" w:cs="宋体"/>
                <w:b w:val="0"/>
                <w:bCs w:val="0"/>
                <w:color w:val="auto"/>
                <w:kern w:val="2"/>
                <w:sz w:val="24"/>
                <w:szCs w:val="20"/>
                <w:highlight w:val="none"/>
                <w:shd w:val="clear" w:color="auto" w:fill="auto"/>
                <w:lang w:val="en-US" w:eastAsia="zh-CN" w:bidi="zh-CN"/>
              </w:rPr>
            </w:pPr>
            <w:r>
              <w:rPr>
                <w:rFonts w:hint="eastAsia" w:ascii="宋体" w:hAnsi="宋体" w:eastAsia="宋体" w:cs="宋体"/>
                <w:b w:val="0"/>
                <w:bCs w:val="0"/>
                <w:color w:val="auto"/>
                <w:kern w:val="2"/>
                <w:sz w:val="24"/>
                <w:szCs w:val="20"/>
                <w:highlight w:val="none"/>
                <w:shd w:val="clear" w:color="auto" w:fill="auto"/>
                <w:lang w:val="en-US" w:eastAsia="zh-CN" w:bidi="zh-CN"/>
              </w:rPr>
              <w:t>30</w:t>
            </w:r>
            <w:r>
              <w:rPr>
                <w:rFonts w:hint="eastAsia" w:ascii="宋体" w:hAnsi="宋体" w:eastAsia="宋体" w:cs="宋体"/>
                <w:b w:val="0"/>
                <w:bCs w:val="0"/>
                <w:color w:val="auto"/>
                <w:kern w:val="2"/>
                <w:sz w:val="24"/>
                <w:szCs w:val="20"/>
                <w:highlight w:val="none"/>
                <w:shd w:val="clear" w:color="auto" w:fill="auto"/>
                <w:lang w:val="zh-CN" w:eastAsia="zh-CN" w:bidi="zh-CN"/>
              </w:rPr>
              <w:t>分</w:t>
            </w:r>
          </w:p>
        </w:tc>
        <w:tc>
          <w:tcPr>
            <w:tcW w:w="1253" w:type="dxa"/>
            <w:noWrap w:val="0"/>
            <w:vAlign w:val="center"/>
          </w:tcPr>
          <w:p w14:paraId="5B34FFFF">
            <w:pPr>
              <w:keepNext w:val="0"/>
              <w:keepLines w:val="0"/>
              <w:pageBreakBefore w:val="0"/>
              <w:widowControl w:val="0"/>
              <w:kinsoku/>
              <w:wordWrap/>
              <w:overflowPunct/>
              <w:topLinePunct w:val="0"/>
              <w:autoSpaceDE/>
              <w:autoSpaceDN/>
              <w:bidi w:val="0"/>
              <w:adjustRightInd/>
              <w:snapToGrid/>
              <w:spacing w:after="0" w:line="300" w:lineRule="exact"/>
              <w:ind w:left="91" w:leftChars="0"/>
              <w:jc w:val="center"/>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p>
        </w:tc>
      </w:tr>
      <w:tr w14:paraId="64EBA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13" w:hRule="exact"/>
          <w:jc w:val="center"/>
        </w:trPr>
        <w:tc>
          <w:tcPr>
            <w:tcW w:w="9722" w:type="dxa"/>
            <w:gridSpan w:val="4"/>
            <w:noWrap w:val="0"/>
            <w:vAlign w:val="top"/>
          </w:tcPr>
          <w:p w14:paraId="2731397E">
            <w:pPr>
              <w:keepNext w:val="0"/>
              <w:keepLines w:val="0"/>
              <w:pageBreakBefore w:val="0"/>
              <w:widowControl w:val="0"/>
              <w:kinsoku/>
              <w:wordWrap/>
              <w:overflowPunct/>
              <w:topLinePunct w:val="0"/>
              <w:autoSpaceDE/>
              <w:autoSpaceDN/>
              <w:bidi w:val="0"/>
              <w:adjustRightInd/>
              <w:snapToGrid/>
              <w:spacing w:after="0" w:line="340" w:lineRule="exact"/>
              <w:ind w:left="105"/>
              <w:jc w:val="left"/>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r>
              <w:rPr>
                <w:rFonts w:hint="eastAsia" w:ascii="宋体" w:hAnsi="宋体" w:eastAsia="宋体" w:cs="宋体"/>
                <w:b w:val="0"/>
                <w:bCs w:val="0"/>
                <w:color w:val="auto"/>
                <w:kern w:val="2"/>
                <w:sz w:val="24"/>
                <w:szCs w:val="20"/>
                <w:highlight w:val="none"/>
                <w:shd w:val="clear" w:color="auto" w:fill="auto"/>
                <w:lang w:val="en-US" w:eastAsia="zh-CN" w:bidi="ar-SA"/>
              </w:rPr>
              <w:t>考核扣分原因：</w:t>
            </w:r>
          </w:p>
        </w:tc>
      </w:tr>
      <w:tr w14:paraId="5C846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6" w:hRule="exact"/>
          <w:jc w:val="center"/>
        </w:trPr>
        <w:tc>
          <w:tcPr>
            <w:tcW w:w="9722" w:type="dxa"/>
            <w:gridSpan w:val="4"/>
            <w:noWrap w:val="0"/>
            <w:vAlign w:val="center"/>
          </w:tcPr>
          <w:p w14:paraId="579C362B">
            <w:pPr>
              <w:keepNext w:val="0"/>
              <w:keepLines w:val="0"/>
              <w:pageBreakBefore w:val="0"/>
              <w:widowControl w:val="0"/>
              <w:kinsoku/>
              <w:wordWrap/>
              <w:overflowPunct/>
              <w:topLinePunct w:val="0"/>
              <w:autoSpaceDE/>
              <w:autoSpaceDN/>
              <w:bidi w:val="0"/>
              <w:adjustRightInd/>
              <w:snapToGrid/>
              <w:spacing w:after="0" w:line="340" w:lineRule="exact"/>
              <w:jc w:val="left"/>
              <w:textAlignment w:val="auto"/>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lang w:eastAsia="zh-CN"/>
              </w:rPr>
              <w:t>得分</w:t>
            </w:r>
            <w:r>
              <w:rPr>
                <w:rFonts w:hint="eastAsia" w:ascii="宋体" w:hAnsi="宋体" w:eastAsia="宋体" w:cs="宋体"/>
                <w:b w:val="0"/>
                <w:bCs w:val="0"/>
                <w:color w:val="auto"/>
                <w:sz w:val="24"/>
                <w:highlight w:val="none"/>
                <w:shd w:val="clear" w:color="auto" w:fill="auto"/>
              </w:rPr>
              <w:t>：</w:t>
            </w:r>
          </w:p>
        </w:tc>
      </w:tr>
      <w:tr w14:paraId="2559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6" w:hRule="exact"/>
          <w:jc w:val="center"/>
        </w:trPr>
        <w:tc>
          <w:tcPr>
            <w:tcW w:w="9722" w:type="dxa"/>
            <w:gridSpan w:val="4"/>
            <w:noWrap w:val="0"/>
            <w:vAlign w:val="center"/>
          </w:tcPr>
          <w:p w14:paraId="689BE049">
            <w:pPr>
              <w:keepNext w:val="0"/>
              <w:keepLines w:val="0"/>
              <w:pageBreakBefore w:val="0"/>
              <w:widowControl w:val="0"/>
              <w:kinsoku/>
              <w:wordWrap/>
              <w:overflowPunct/>
              <w:topLinePunct w:val="0"/>
              <w:autoSpaceDE/>
              <w:autoSpaceDN/>
              <w:bidi w:val="0"/>
              <w:adjustRightInd/>
              <w:snapToGrid/>
              <w:spacing w:after="0" w:line="340" w:lineRule="exact"/>
              <w:ind w:left="0" w:leftChars="0" w:firstLine="0" w:firstLineChars="0"/>
              <w:jc w:val="left"/>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r>
              <w:rPr>
                <w:rFonts w:hint="eastAsia" w:ascii="宋体" w:hAnsi="宋体" w:eastAsia="宋体" w:cs="宋体"/>
                <w:b w:val="0"/>
                <w:bCs w:val="0"/>
                <w:color w:val="auto"/>
                <w:kern w:val="2"/>
                <w:sz w:val="24"/>
                <w:szCs w:val="20"/>
                <w:highlight w:val="none"/>
                <w:shd w:val="clear" w:color="auto" w:fill="auto"/>
                <w:lang w:val="zh-CN" w:eastAsia="zh-CN" w:bidi="zh-CN"/>
              </w:rPr>
              <w:t>考核人：</w:t>
            </w:r>
          </w:p>
        </w:tc>
      </w:tr>
      <w:tr w14:paraId="128C8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exact"/>
          <w:jc w:val="center"/>
        </w:trPr>
        <w:tc>
          <w:tcPr>
            <w:tcW w:w="9722" w:type="dxa"/>
            <w:gridSpan w:val="4"/>
            <w:noWrap w:val="0"/>
            <w:vAlign w:val="center"/>
          </w:tcPr>
          <w:p w14:paraId="11A6F4D4">
            <w:pPr>
              <w:keepNext w:val="0"/>
              <w:keepLines w:val="0"/>
              <w:pageBreakBefore w:val="0"/>
              <w:widowControl w:val="0"/>
              <w:kinsoku/>
              <w:wordWrap/>
              <w:overflowPunct/>
              <w:topLinePunct w:val="0"/>
              <w:autoSpaceDE/>
              <w:autoSpaceDN/>
              <w:bidi w:val="0"/>
              <w:adjustRightInd/>
              <w:snapToGrid/>
              <w:spacing w:after="0" w:line="340" w:lineRule="exact"/>
              <w:ind w:left="0" w:leftChars="0" w:firstLine="0" w:firstLineChars="0"/>
              <w:jc w:val="left"/>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r>
              <w:rPr>
                <w:rFonts w:hint="eastAsia" w:ascii="宋体" w:hAnsi="宋体" w:eastAsia="宋体" w:cs="宋体"/>
                <w:b w:val="0"/>
                <w:bCs w:val="0"/>
                <w:color w:val="auto"/>
                <w:kern w:val="2"/>
                <w:sz w:val="24"/>
                <w:szCs w:val="20"/>
                <w:highlight w:val="none"/>
                <w:shd w:val="clear" w:color="auto" w:fill="auto"/>
                <w:lang w:val="zh-CN" w:eastAsia="zh-CN" w:bidi="zh-CN"/>
              </w:rPr>
              <w:t>乙方确认人：</w:t>
            </w:r>
          </w:p>
        </w:tc>
      </w:tr>
      <w:tr w14:paraId="14834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7" w:hRule="exact"/>
          <w:jc w:val="center"/>
        </w:trPr>
        <w:tc>
          <w:tcPr>
            <w:tcW w:w="9722" w:type="dxa"/>
            <w:gridSpan w:val="4"/>
            <w:noWrap w:val="0"/>
            <w:vAlign w:val="center"/>
          </w:tcPr>
          <w:p w14:paraId="18C3E694">
            <w:pPr>
              <w:keepNext w:val="0"/>
              <w:keepLines w:val="0"/>
              <w:pageBreakBefore w:val="0"/>
              <w:widowControl w:val="0"/>
              <w:kinsoku/>
              <w:wordWrap/>
              <w:overflowPunct/>
              <w:topLinePunct w:val="0"/>
              <w:autoSpaceDE/>
              <w:autoSpaceDN/>
              <w:bidi w:val="0"/>
              <w:adjustRightInd/>
              <w:snapToGrid/>
              <w:spacing w:after="0" w:line="340" w:lineRule="exact"/>
              <w:ind w:left="0" w:leftChars="0" w:firstLine="0" w:firstLineChars="0"/>
              <w:jc w:val="left"/>
              <w:textAlignment w:val="auto"/>
              <w:rPr>
                <w:rFonts w:hint="eastAsia" w:ascii="宋体" w:hAnsi="宋体" w:eastAsia="宋体" w:cs="宋体"/>
                <w:b w:val="0"/>
                <w:bCs w:val="0"/>
                <w:color w:val="auto"/>
                <w:kern w:val="2"/>
                <w:sz w:val="24"/>
                <w:szCs w:val="20"/>
                <w:highlight w:val="none"/>
                <w:shd w:val="clear" w:color="auto" w:fill="auto"/>
                <w:lang w:val="zh-CN" w:eastAsia="zh-CN" w:bidi="zh-CN"/>
              </w:rPr>
            </w:pPr>
            <w:r>
              <w:rPr>
                <w:rFonts w:hint="eastAsia" w:ascii="宋体" w:hAnsi="宋体" w:eastAsia="宋体" w:cs="宋体"/>
                <w:b w:val="0"/>
                <w:bCs w:val="0"/>
                <w:color w:val="auto"/>
                <w:kern w:val="2"/>
                <w:sz w:val="24"/>
                <w:szCs w:val="20"/>
                <w:highlight w:val="none"/>
                <w:shd w:val="clear" w:color="auto" w:fill="auto"/>
                <w:lang w:val="zh-CN" w:eastAsia="en-US" w:bidi="zh-CN"/>
              </w:rPr>
              <w:t>考核时间：</w:t>
            </w:r>
          </w:p>
        </w:tc>
      </w:tr>
      <w:tr w14:paraId="67A45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8" w:hRule="exact"/>
          <w:jc w:val="center"/>
        </w:trPr>
        <w:tc>
          <w:tcPr>
            <w:tcW w:w="1289" w:type="dxa"/>
            <w:noWrap w:val="0"/>
            <w:vAlign w:val="center"/>
          </w:tcPr>
          <w:p w14:paraId="28A20CA7">
            <w:pPr>
              <w:keepNext w:val="0"/>
              <w:keepLines w:val="0"/>
              <w:pageBreakBefore w:val="0"/>
              <w:widowControl w:val="0"/>
              <w:kinsoku/>
              <w:wordWrap/>
              <w:overflowPunct/>
              <w:topLinePunct w:val="0"/>
              <w:autoSpaceDE/>
              <w:autoSpaceDN/>
              <w:bidi w:val="0"/>
              <w:adjustRightInd/>
              <w:snapToGrid/>
              <w:spacing w:after="0" w:line="340" w:lineRule="exact"/>
              <w:jc w:val="center"/>
              <w:textAlignment w:val="auto"/>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备注</w:t>
            </w:r>
          </w:p>
        </w:tc>
        <w:tc>
          <w:tcPr>
            <w:tcW w:w="8433" w:type="dxa"/>
            <w:gridSpan w:val="3"/>
            <w:noWrap w:val="0"/>
            <w:vAlign w:val="center"/>
          </w:tcPr>
          <w:p w14:paraId="343B9A32">
            <w:pPr>
              <w:keepNext w:val="0"/>
              <w:keepLines w:val="0"/>
              <w:pageBreakBefore w:val="0"/>
              <w:widowControl w:val="0"/>
              <w:kinsoku/>
              <w:wordWrap/>
              <w:overflowPunct/>
              <w:topLinePunct w:val="0"/>
              <w:autoSpaceDE/>
              <w:autoSpaceDN/>
              <w:bidi w:val="0"/>
              <w:adjustRightInd/>
              <w:snapToGrid/>
              <w:spacing w:after="0" w:line="340" w:lineRule="exact"/>
              <w:textAlignment w:val="auto"/>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lang w:eastAsia="zh-CN"/>
              </w:rPr>
              <w:t>甲方</w:t>
            </w:r>
            <w:r>
              <w:rPr>
                <w:rFonts w:hint="eastAsia" w:ascii="宋体" w:hAnsi="宋体" w:eastAsia="宋体" w:cs="宋体"/>
                <w:b w:val="0"/>
                <w:bCs w:val="0"/>
                <w:color w:val="auto"/>
                <w:sz w:val="24"/>
                <w:highlight w:val="none"/>
                <w:shd w:val="clear" w:color="auto" w:fill="auto"/>
              </w:rPr>
              <w:t>每</w:t>
            </w:r>
            <w:r>
              <w:rPr>
                <w:rFonts w:hint="eastAsia" w:ascii="宋体" w:hAnsi="宋体" w:eastAsia="宋体" w:cs="宋体"/>
                <w:b w:val="0"/>
                <w:bCs w:val="0"/>
                <w:color w:val="auto"/>
                <w:sz w:val="24"/>
                <w:highlight w:val="none"/>
                <w:shd w:val="clear" w:color="auto" w:fill="auto"/>
                <w:lang w:eastAsia="zh-CN"/>
              </w:rPr>
              <w:t>月</w:t>
            </w:r>
            <w:r>
              <w:rPr>
                <w:rFonts w:hint="eastAsia" w:ascii="宋体" w:hAnsi="宋体" w:eastAsia="宋体" w:cs="宋体"/>
                <w:b w:val="0"/>
                <w:bCs w:val="0"/>
                <w:color w:val="auto"/>
                <w:sz w:val="24"/>
                <w:highlight w:val="none"/>
                <w:shd w:val="clear" w:color="auto" w:fill="auto"/>
              </w:rPr>
              <w:t>对</w:t>
            </w:r>
            <w:r>
              <w:rPr>
                <w:rFonts w:hint="eastAsia" w:ascii="宋体" w:hAnsi="宋体" w:eastAsia="宋体" w:cs="宋体"/>
                <w:b w:val="0"/>
                <w:bCs w:val="0"/>
                <w:color w:val="auto"/>
                <w:sz w:val="24"/>
                <w:highlight w:val="none"/>
                <w:shd w:val="clear" w:color="auto" w:fill="auto"/>
                <w:lang w:eastAsia="zh-CN"/>
              </w:rPr>
              <w:t>乙方</w:t>
            </w:r>
            <w:r>
              <w:rPr>
                <w:rFonts w:hint="eastAsia" w:ascii="宋体" w:hAnsi="宋体" w:eastAsia="宋体" w:cs="宋体"/>
                <w:b w:val="0"/>
                <w:bCs w:val="0"/>
                <w:color w:val="auto"/>
                <w:sz w:val="24"/>
                <w:highlight w:val="none"/>
                <w:shd w:val="clear" w:color="auto" w:fill="auto"/>
              </w:rPr>
              <w:t>开展考核，考核表满分为100分，合格标准为80分，考核低于80分时</w:t>
            </w:r>
            <w:r>
              <w:rPr>
                <w:rFonts w:hint="eastAsia" w:ascii="宋体" w:hAnsi="宋体" w:eastAsia="宋体" w:cs="宋体"/>
                <w:b w:val="0"/>
                <w:bCs w:val="0"/>
                <w:color w:val="auto"/>
                <w:sz w:val="24"/>
                <w:highlight w:val="none"/>
                <w:shd w:val="clear" w:color="auto" w:fill="auto"/>
                <w:lang w:eastAsia="zh-CN"/>
              </w:rPr>
              <w:t>乙方</w:t>
            </w:r>
            <w:r>
              <w:rPr>
                <w:rFonts w:hint="eastAsia" w:ascii="宋体" w:hAnsi="宋体" w:eastAsia="宋体" w:cs="宋体"/>
                <w:b w:val="0"/>
                <w:bCs w:val="0"/>
                <w:color w:val="auto"/>
                <w:sz w:val="24"/>
                <w:highlight w:val="none"/>
                <w:shd w:val="clear" w:color="auto" w:fill="auto"/>
              </w:rPr>
              <w:t>需及时对存在的问题作出响应并实施整改。</w:t>
            </w:r>
            <w:r>
              <w:rPr>
                <w:rFonts w:hint="eastAsia" w:ascii="宋体" w:hAnsi="宋体" w:eastAsia="宋体" w:cs="宋体"/>
                <w:b w:val="0"/>
                <w:bCs w:val="0"/>
                <w:color w:val="auto"/>
                <w:sz w:val="24"/>
                <w:highlight w:val="none"/>
                <w:shd w:val="clear" w:color="auto" w:fill="auto"/>
                <w:lang w:eastAsia="zh-CN"/>
              </w:rPr>
              <w:t>乙方</w:t>
            </w:r>
            <w:r>
              <w:rPr>
                <w:rFonts w:hint="eastAsia" w:ascii="宋体" w:hAnsi="宋体" w:eastAsia="宋体" w:cs="宋体"/>
                <w:b w:val="0"/>
                <w:bCs w:val="0"/>
                <w:color w:val="auto"/>
                <w:sz w:val="24"/>
                <w:highlight w:val="none"/>
                <w:shd w:val="clear" w:color="auto" w:fill="auto"/>
              </w:rPr>
              <w:t>在履行合同期间，一年内累计出现</w:t>
            </w:r>
            <w:r>
              <w:rPr>
                <w:rFonts w:hint="eastAsia" w:ascii="宋体" w:hAnsi="宋体" w:eastAsia="宋体" w:cs="宋体"/>
                <w:b w:val="0"/>
                <w:bCs w:val="0"/>
                <w:color w:val="auto"/>
                <w:sz w:val="24"/>
                <w:highlight w:val="none"/>
                <w:shd w:val="clear" w:color="auto" w:fill="auto"/>
                <w:lang w:val="en-US" w:eastAsia="zh-CN"/>
              </w:rPr>
              <w:t>2</w:t>
            </w:r>
            <w:r>
              <w:rPr>
                <w:rFonts w:hint="eastAsia" w:ascii="宋体" w:hAnsi="宋体" w:eastAsia="宋体" w:cs="宋体"/>
                <w:b w:val="0"/>
                <w:bCs w:val="0"/>
                <w:color w:val="auto"/>
                <w:sz w:val="24"/>
                <w:highlight w:val="none"/>
                <w:shd w:val="clear" w:color="auto" w:fill="auto"/>
              </w:rPr>
              <w:t>次考核低于80分的，</w:t>
            </w:r>
            <w:r>
              <w:rPr>
                <w:rFonts w:hint="eastAsia" w:ascii="宋体" w:hAnsi="宋体" w:eastAsia="宋体" w:cs="宋体"/>
                <w:b w:val="0"/>
                <w:bCs w:val="0"/>
                <w:color w:val="auto"/>
                <w:sz w:val="24"/>
                <w:highlight w:val="none"/>
                <w:shd w:val="clear" w:color="auto" w:fill="auto"/>
                <w:lang w:eastAsia="zh-CN"/>
              </w:rPr>
              <w:t>甲方</w:t>
            </w:r>
            <w:r>
              <w:rPr>
                <w:rFonts w:hint="eastAsia" w:ascii="宋体" w:hAnsi="宋体" w:eastAsia="宋体" w:cs="宋体"/>
                <w:b w:val="0"/>
                <w:bCs w:val="0"/>
                <w:color w:val="auto"/>
                <w:sz w:val="24"/>
                <w:highlight w:val="none"/>
                <w:shd w:val="clear" w:color="auto" w:fill="auto"/>
              </w:rPr>
              <w:t>有权</w:t>
            </w:r>
            <w:r>
              <w:rPr>
                <w:rFonts w:hint="eastAsia" w:ascii="宋体" w:hAnsi="宋体" w:eastAsia="宋体" w:cs="宋体"/>
                <w:b w:val="0"/>
                <w:bCs w:val="0"/>
                <w:color w:val="auto"/>
                <w:sz w:val="24"/>
                <w:highlight w:val="none"/>
                <w:shd w:val="clear" w:color="auto" w:fill="auto"/>
                <w:lang w:eastAsia="zh-CN"/>
              </w:rPr>
              <w:t>无责</w:t>
            </w:r>
            <w:r>
              <w:rPr>
                <w:rFonts w:hint="eastAsia" w:ascii="宋体" w:hAnsi="宋体" w:eastAsia="宋体" w:cs="宋体"/>
                <w:b w:val="0"/>
                <w:bCs w:val="0"/>
                <w:color w:val="auto"/>
                <w:sz w:val="24"/>
                <w:highlight w:val="none"/>
                <w:shd w:val="clear" w:color="auto" w:fill="auto"/>
              </w:rPr>
              <w:t>终止合同。</w:t>
            </w:r>
          </w:p>
        </w:tc>
      </w:tr>
    </w:tbl>
    <w:p w14:paraId="659B4543"/>
    <w:p w14:paraId="1C9AE18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eastAsia="宋体" w:cs="宋体"/>
          <w:color w:val="auto"/>
          <w:spacing w:val="0"/>
          <w:position w:val="0"/>
          <w:sz w:val="24"/>
          <w:szCs w:val="21"/>
          <w:highlight w:val="none"/>
          <w:shd w:val="clear" w:color="auto" w:fill="auto"/>
        </w:rPr>
      </w:pPr>
    </w:p>
    <w:p w14:paraId="694FB8EB">
      <w:pPr>
        <w:jc w:val="center"/>
        <w:rPr>
          <w:rFonts w:hint="eastAsia" w:ascii="宋体" w:hAnsi="宋体" w:eastAsia="宋体" w:cs="宋体"/>
          <w:b/>
          <w:color w:val="auto"/>
          <w:sz w:val="32"/>
          <w:szCs w:val="32"/>
          <w:highlight w:val="none"/>
        </w:rPr>
      </w:pPr>
      <w:bookmarkStart w:id="192" w:name="_Toc8186"/>
      <w:r>
        <w:rPr>
          <w:rFonts w:hint="eastAsia" w:ascii="宋体" w:hAnsi="宋体" w:eastAsia="宋体" w:cs="宋体"/>
          <w:b/>
          <w:color w:val="auto"/>
          <w:sz w:val="32"/>
          <w:szCs w:val="32"/>
          <w:highlight w:val="none"/>
        </w:rPr>
        <w:t>第</w:t>
      </w:r>
      <w:r>
        <w:rPr>
          <w:rFonts w:hint="eastAsia" w:ascii="宋体" w:hAnsi="宋体" w:eastAsia="宋体" w:cs="宋体"/>
          <w:b/>
          <w:color w:val="auto"/>
          <w:sz w:val="32"/>
          <w:szCs w:val="32"/>
          <w:highlight w:val="none"/>
          <w:lang w:eastAsia="zh-CN"/>
        </w:rPr>
        <w:t>六</w:t>
      </w:r>
      <w:r>
        <w:rPr>
          <w:rFonts w:hint="eastAsia" w:ascii="宋体" w:hAnsi="宋体" w:eastAsia="宋体" w:cs="宋体"/>
          <w:b/>
          <w:color w:val="auto"/>
          <w:sz w:val="32"/>
          <w:szCs w:val="32"/>
          <w:highlight w:val="none"/>
        </w:rPr>
        <w:t>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响应文件格式</w:t>
      </w:r>
      <w:bookmarkEnd w:id="181"/>
      <w:bookmarkEnd w:id="182"/>
      <w:bookmarkEnd w:id="183"/>
      <w:bookmarkEnd w:id="184"/>
      <w:bookmarkEnd w:id="185"/>
      <w:bookmarkEnd w:id="186"/>
      <w:bookmarkEnd w:id="192"/>
    </w:p>
    <w:p w14:paraId="43BDC3D2">
      <w:pPr>
        <w:pStyle w:val="45"/>
        <w:spacing w:before="0" w:after="0" w:line="360" w:lineRule="auto"/>
        <w:ind w:left="0" w:right="23"/>
        <w:jc w:val="both"/>
        <w:rPr>
          <w:rFonts w:hint="eastAsia" w:ascii="宋体" w:hAnsi="宋体" w:eastAsia="宋体" w:cs="宋体"/>
          <w:b/>
          <w:bCs/>
          <w:color w:val="auto"/>
          <w:sz w:val="28"/>
          <w:szCs w:val="28"/>
          <w:highlight w:val="none"/>
        </w:rPr>
      </w:pPr>
      <w:bookmarkStart w:id="193" w:name="_Toc3757"/>
      <w:bookmarkStart w:id="194" w:name="_Toc7389"/>
      <w:bookmarkStart w:id="195" w:name="_Toc2258"/>
      <w:bookmarkStart w:id="196" w:name="_Toc10552"/>
      <w:bookmarkStart w:id="197" w:name="_Toc15826"/>
      <w:r>
        <w:rPr>
          <w:rFonts w:hint="eastAsia" w:ascii="宋体" w:hAnsi="宋体" w:eastAsia="宋体" w:cs="宋体"/>
          <w:b/>
          <w:bCs/>
          <w:color w:val="auto"/>
          <w:sz w:val="28"/>
          <w:szCs w:val="28"/>
          <w:highlight w:val="none"/>
        </w:rPr>
        <w:t>封面</w:t>
      </w:r>
      <w:bookmarkEnd w:id="193"/>
      <w:bookmarkEnd w:id="194"/>
      <w:bookmarkEnd w:id="195"/>
      <w:bookmarkEnd w:id="196"/>
      <w:bookmarkEnd w:id="197"/>
    </w:p>
    <w:p w14:paraId="74BE6B67">
      <w:pPr>
        <w:spacing w:line="700" w:lineRule="exact"/>
        <w:jc w:val="center"/>
        <w:rPr>
          <w:rFonts w:hint="eastAsia" w:ascii="宋体" w:hAnsi="宋体" w:eastAsia="宋体" w:cs="宋体"/>
          <w:b/>
          <w:color w:val="auto"/>
          <w:sz w:val="72"/>
          <w:szCs w:val="72"/>
          <w:highlight w:val="none"/>
        </w:rPr>
      </w:pPr>
      <w:r>
        <w:rPr>
          <w:rFonts w:hint="eastAsia" w:ascii="宋体" w:hAnsi="宋体" w:cs="宋体"/>
          <w:b/>
          <w:bCs/>
          <w:color w:val="auto"/>
          <w:sz w:val="44"/>
          <w:szCs w:val="44"/>
          <w:highlight w:val="none"/>
          <w:lang w:eastAsia="zh-CN"/>
        </w:rPr>
        <w:t>中华人民共和国畹町出入境边防检查站2025年度公务用车维修服务定点协议单位采购项目（二次）</w:t>
      </w:r>
    </w:p>
    <w:p w14:paraId="38090603">
      <w:pPr>
        <w:pStyle w:val="15"/>
        <w:ind w:left="0" w:leftChars="0" w:firstLine="0" w:firstLineChars="0"/>
        <w:rPr>
          <w:rFonts w:hint="eastAsia" w:ascii="宋体" w:hAnsi="宋体" w:eastAsia="宋体" w:cs="宋体"/>
          <w:color w:val="auto"/>
          <w:highlight w:val="none"/>
        </w:rPr>
      </w:pPr>
    </w:p>
    <w:p w14:paraId="5258C8AD">
      <w:pPr>
        <w:spacing w:line="480" w:lineRule="auto"/>
        <w:jc w:val="center"/>
        <w:rPr>
          <w:rFonts w:hint="eastAsia" w:ascii="宋体" w:hAnsi="宋体" w:eastAsia="宋体" w:cs="宋体"/>
          <w:b/>
          <w:color w:val="auto"/>
          <w:sz w:val="52"/>
          <w:szCs w:val="52"/>
          <w:highlight w:val="none"/>
        </w:rPr>
      </w:pPr>
      <w:bookmarkStart w:id="198" w:name="_Toc4683"/>
      <w:bookmarkStart w:id="199" w:name="_Toc25594"/>
      <w:bookmarkStart w:id="200" w:name="_Toc9229"/>
      <w:bookmarkStart w:id="201" w:name="_Toc14535"/>
      <w:bookmarkStart w:id="202" w:name="_Toc31899"/>
    </w:p>
    <w:p w14:paraId="66385FCC">
      <w:pPr>
        <w:spacing w:line="48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磋 商 响 应 文 件</w:t>
      </w:r>
      <w:bookmarkEnd w:id="198"/>
      <w:bookmarkEnd w:id="199"/>
      <w:bookmarkEnd w:id="200"/>
      <w:bookmarkEnd w:id="201"/>
      <w:bookmarkEnd w:id="202"/>
    </w:p>
    <w:p w14:paraId="681637B4">
      <w:pPr>
        <w:pStyle w:val="2"/>
        <w:rPr>
          <w:rFonts w:hint="eastAsia" w:ascii="宋体" w:hAnsi="宋体" w:eastAsia="宋体" w:cs="宋体"/>
          <w:b/>
          <w:color w:val="auto"/>
          <w:sz w:val="52"/>
          <w:szCs w:val="52"/>
          <w:highlight w:val="none"/>
        </w:rPr>
      </w:pPr>
    </w:p>
    <w:p w14:paraId="7DCC36C0">
      <w:pPr>
        <w:jc w:val="center"/>
        <w:outlineLvl w:val="9"/>
        <w:rPr>
          <w:rFonts w:hint="eastAsia" w:ascii="宋体" w:hAnsi="宋体" w:eastAsia="宋体" w:cs="宋体"/>
          <w:b w:val="0"/>
          <w:bCs w:val="0"/>
          <w:color w:val="auto"/>
          <w:sz w:val="32"/>
          <w:szCs w:val="32"/>
          <w:highlight w:val="none"/>
        </w:rPr>
      </w:pPr>
      <w:bookmarkStart w:id="203" w:name="_Toc16150"/>
      <w:bookmarkStart w:id="204" w:name="_Toc21222"/>
      <w:r>
        <w:rPr>
          <w:rFonts w:hint="eastAsia" w:ascii="宋体" w:hAnsi="宋体" w:eastAsia="宋体" w:cs="宋体"/>
          <w:b w:val="0"/>
          <w:bCs w:val="0"/>
          <w:color w:val="auto"/>
          <w:sz w:val="32"/>
          <w:szCs w:val="32"/>
          <w:highlight w:val="none"/>
        </w:rPr>
        <w:t>（正本/副本）</w:t>
      </w:r>
      <w:bookmarkEnd w:id="203"/>
      <w:bookmarkEnd w:id="204"/>
    </w:p>
    <w:p w14:paraId="5E32DAF4">
      <w:pPr>
        <w:pStyle w:val="2"/>
        <w:rPr>
          <w:rFonts w:hint="eastAsia" w:ascii="宋体" w:hAnsi="宋体" w:eastAsia="宋体" w:cs="宋体"/>
          <w:b/>
          <w:color w:val="auto"/>
          <w:sz w:val="52"/>
          <w:szCs w:val="52"/>
          <w:highlight w:val="none"/>
        </w:rPr>
      </w:pPr>
    </w:p>
    <w:p w14:paraId="0568B698">
      <w:pPr>
        <w:pStyle w:val="45"/>
        <w:spacing w:before="0" w:after="120" w:line="360" w:lineRule="auto"/>
        <w:ind w:left="0" w:right="23"/>
        <w:jc w:val="both"/>
        <w:rPr>
          <w:rFonts w:hint="eastAsia" w:ascii="宋体" w:hAnsi="宋体" w:eastAsia="宋体" w:cs="宋体"/>
          <w:b/>
          <w:bCs/>
          <w:color w:val="auto"/>
          <w:sz w:val="32"/>
          <w:szCs w:val="32"/>
          <w:highlight w:val="none"/>
        </w:rPr>
      </w:pPr>
    </w:p>
    <w:p w14:paraId="621B129A">
      <w:pPr>
        <w:pStyle w:val="45"/>
        <w:spacing w:before="0" w:after="120" w:line="360" w:lineRule="auto"/>
        <w:ind w:left="0" w:right="23"/>
        <w:jc w:val="both"/>
        <w:rPr>
          <w:rFonts w:hint="eastAsia" w:ascii="宋体" w:hAnsi="宋体" w:eastAsia="宋体" w:cs="宋体"/>
          <w:b/>
          <w:bCs/>
          <w:color w:val="auto"/>
          <w:sz w:val="32"/>
          <w:szCs w:val="32"/>
          <w:highlight w:val="none"/>
        </w:rPr>
      </w:pPr>
      <w:bookmarkStart w:id="205" w:name="_Toc10954"/>
      <w:bookmarkStart w:id="206" w:name="_Toc21730"/>
      <w:bookmarkStart w:id="207" w:name="_Toc12778"/>
      <w:bookmarkStart w:id="208" w:name="_Toc7390"/>
      <w:bookmarkStart w:id="209" w:name="_Toc23419"/>
      <w:r>
        <w:rPr>
          <w:rFonts w:hint="eastAsia" w:ascii="宋体" w:hAnsi="宋体" w:cs="宋体"/>
          <w:b/>
          <w:bCs/>
          <w:color w:val="auto"/>
          <w:sz w:val="32"/>
          <w:szCs w:val="32"/>
          <w:highlight w:val="none"/>
          <w:lang w:eastAsia="zh-CN"/>
        </w:rPr>
        <w:t>项目编号</w:t>
      </w:r>
      <w:r>
        <w:rPr>
          <w:rFonts w:hint="eastAsia" w:ascii="宋体" w:hAnsi="宋体" w:eastAsia="宋体" w:cs="宋体"/>
          <w:b/>
          <w:bCs/>
          <w:color w:val="auto"/>
          <w:sz w:val="32"/>
          <w:szCs w:val="32"/>
          <w:highlight w:val="none"/>
        </w:rPr>
        <w:t>:</w:t>
      </w:r>
      <w:bookmarkEnd w:id="205"/>
      <w:bookmarkEnd w:id="206"/>
      <w:bookmarkEnd w:id="207"/>
      <w:bookmarkEnd w:id="208"/>
      <w:bookmarkEnd w:id="209"/>
    </w:p>
    <w:p w14:paraId="2269114F">
      <w:pPr>
        <w:pStyle w:val="45"/>
        <w:spacing w:before="0" w:after="120" w:line="360" w:lineRule="auto"/>
        <w:ind w:left="0" w:right="23"/>
        <w:jc w:val="both"/>
        <w:rPr>
          <w:rFonts w:hint="eastAsia" w:ascii="宋体" w:hAnsi="宋体" w:eastAsia="宋体" w:cs="宋体"/>
          <w:b/>
          <w:bCs/>
          <w:color w:val="auto"/>
          <w:sz w:val="32"/>
          <w:szCs w:val="32"/>
          <w:highlight w:val="none"/>
        </w:rPr>
      </w:pPr>
      <w:bookmarkStart w:id="210" w:name="_Toc6930"/>
      <w:bookmarkStart w:id="211" w:name="_Toc20548"/>
      <w:bookmarkStart w:id="212" w:name="_Toc2972"/>
      <w:bookmarkStart w:id="213" w:name="_Toc7241"/>
      <w:bookmarkStart w:id="214" w:name="_Toc9839"/>
      <w:r>
        <w:rPr>
          <w:rFonts w:hint="eastAsia" w:ascii="宋体" w:hAnsi="宋体" w:eastAsia="宋体" w:cs="宋体"/>
          <w:b/>
          <w:bCs/>
          <w:color w:val="auto"/>
          <w:sz w:val="32"/>
          <w:szCs w:val="32"/>
          <w:highlight w:val="none"/>
        </w:rPr>
        <w:t>供应商全称(加盖单位公章)：</w:t>
      </w:r>
      <w:bookmarkEnd w:id="210"/>
      <w:bookmarkEnd w:id="211"/>
      <w:bookmarkEnd w:id="212"/>
      <w:bookmarkEnd w:id="213"/>
      <w:bookmarkEnd w:id="214"/>
    </w:p>
    <w:p w14:paraId="65D9EA3F">
      <w:pPr>
        <w:pStyle w:val="45"/>
        <w:spacing w:before="0" w:after="120" w:line="360" w:lineRule="auto"/>
        <w:ind w:left="0" w:right="23"/>
        <w:jc w:val="both"/>
        <w:rPr>
          <w:rFonts w:hint="eastAsia" w:ascii="宋体" w:hAnsi="宋体" w:eastAsia="宋体" w:cs="宋体"/>
          <w:b/>
          <w:bCs/>
          <w:color w:val="auto"/>
          <w:sz w:val="32"/>
          <w:szCs w:val="32"/>
          <w:highlight w:val="none"/>
        </w:rPr>
      </w:pPr>
      <w:bookmarkStart w:id="215" w:name="_Toc16907"/>
      <w:bookmarkStart w:id="216" w:name="_Toc32036"/>
      <w:bookmarkStart w:id="217" w:name="_Toc9873"/>
      <w:bookmarkStart w:id="218" w:name="_Toc31070"/>
      <w:bookmarkStart w:id="219" w:name="_Toc1350"/>
      <w:r>
        <w:rPr>
          <w:rFonts w:hint="eastAsia" w:ascii="宋体" w:hAnsi="宋体" w:eastAsia="宋体" w:cs="宋体"/>
          <w:b/>
          <w:bCs/>
          <w:color w:val="auto"/>
          <w:sz w:val="32"/>
          <w:szCs w:val="32"/>
          <w:highlight w:val="none"/>
        </w:rPr>
        <w:t>地  址：</w:t>
      </w:r>
      <w:bookmarkEnd w:id="215"/>
      <w:bookmarkEnd w:id="216"/>
      <w:bookmarkEnd w:id="217"/>
      <w:bookmarkEnd w:id="218"/>
      <w:bookmarkEnd w:id="219"/>
    </w:p>
    <w:p w14:paraId="54DC97CC">
      <w:pPr>
        <w:pStyle w:val="45"/>
        <w:spacing w:before="0" w:after="120" w:line="360" w:lineRule="auto"/>
        <w:ind w:left="0" w:right="23"/>
        <w:jc w:val="both"/>
        <w:rPr>
          <w:rFonts w:hint="eastAsia" w:ascii="宋体" w:hAnsi="宋体" w:eastAsia="宋体" w:cs="宋体"/>
          <w:b/>
          <w:bCs/>
          <w:color w:val="auto"/>
          <w:sz w:val="32"/>
          <w:szCs w:val="32"/>
          <w:highlight w:val="none"/>
        </w:rPr>
      </w:pPr>
      <w:bookmarkStart w:id="220" w:name="_Toc31662"/>
      <w:bookmarkStart w:id="221" w:name="_Toc23469"/>
      <w:bookmarkStart w:id="222" w:name="_Toc8258"/>
      <w:bookmarkStart w:id="223" w:name="_Toc734"/>
      <w:bookmarkStart w:id="224" w:name="_Toc31842"/>
      <w:r>
        <w:rPr>
          <w:rFonts w:hint="eastAsia" w:ascii="宋体" w:hAnsi="宋体" w:eastAsia="宋体" w:cs="宋体"/>
          <w:b/>
          <w:bCs/>
          <w:color w:val="auto"/>
          <w:sz w:val="32"/>
          <w:szCs w:val="32"/>
          <w:highlight w:val="none"/>
        </w:rPr>
        <w:t>联系人：</w:t>
      </w:r>
      <w:bookmarkEnd w:id="220"/>
      <w:bookmarkEnd w:id="221"/>
      <w:bookmarkEnd w:id="222"/>
      <w:bookmarkEnd w:id="223"/>
      <w:bookmarkEnd w:id="224"/>
    </w:p>
    <w:p w14:paraId="4D5C938C">
      <w:pPr>
        <w:pStyle w:val="45"/>
        <w:spacing w:before="0" w:after="120" w:line="360" w:lineRule="auto"/>
        <w:ind w:left="0" w:right="23"/>
        <w:jc w:val="both"/>
        <w:rPr>
          <w:rFonts w:hint="eastAsia" w:ascii="宋体" w:hAnsi="宋体" w:eastAsia="宋体" w:cs="宋体"/>
          <w:b/>
          <w:bCs/>
          <w:color w:val="auto"/>
          <w:sz w:val="32"/>
          <w:szCs w:val="32"/>
          <w:highlight w:val="none"/>
        </w:rPr>
      </w:pPr>
      <w:bookmarkStart w:id="225" w:name="_Toc8240"/>
      <w:bookmarkStart w:id="226" w:name="_Toc25939"/>
      <w:bookmarkStart w:id="227" w:name="_Toc340"/>
      <w:bookmarkStart w:id="228" w:name="_Toc16170"/>
      <w:bookmarkStart w:id="229" w:name="_Toc8238"/>
      <w:r>
        <w:rPr>
          <w:rFonts w:hint="eastAsia" w:ascii="宋体" w:hAnsi="宋体" w:eastAsia="宋体" w:cs="宋体"/>
          <w:b/>
          <w:bCs/>
          <w:color w:val="auto"/>
          <w:sz w:val="32"/>
          <w:szCs w:val="32"/>
          <w:highlight w:val="none"/>
        </w:rPr>
        <w:t>联系电话：</w:t>
      </w:r>
      <w:bookmarkEnd w:id="225"/>
      <w:bookmarkEnd w:id="226"/>
      <w:bookmarkEnd w:id="227"/>
      <w:bookmarkEnd w:id="228"/>
      <w:bookmarkEnd w:id="229"/>
    </w:p>
    <w:p w14:paraId="3018D808">
      <w:pPr>
        <w:pStyle w:val="15"/>
        <w:spacing w:after="156" w:afterLines="50" w:line="360" w:lineRule="auto"/>
        <w:ind w:left="0" w:leftChars="0" w:firstLine="0" w:firstLineChars="0"/>
        <w:rPr>
          <w:rFonts w:hint="eastAsia" w:ascii="宋体" w:hAnsi="宋体" w:eastAsia="宋体" w:cs="宋体"/>
          <w:b/>
          <w:bCs/>
          <w:color w:val="auto"/>
          <w:sz w:val="32"/>
          <w:szCs w:val="32"/>
          <w:highlight w:val="none"/>
        </w:rPr>
        <w:sectPr>
          <w:footerReference r:id="rId11" w:type="default"/>
          <w:pgSz w:w="11906" w:h="16838"/>
          <w:pgMar w:top="1440" w:right="1440" w:bottom="1440" w:left="1440" w:header="851" w:footer="992" w:gutter="0"/>
          <w:pgNumType w:fmt="decimal"/>
          <w:cols w:space="720" w:num="1"/>
          <w:docGrid w:type="lines" w:linePitch="312" w:charSpace="0"/>
        </w:sectPr>
      </w:pPr>
      <w:bookmarkStart w:id="230" w:name="_Toc15899"/>
      <w:bookmarkStart w:id="231" w:name="_Toc28061"/>
      <w:bookmarkStart w:id="232" w:name="_Toc17519"/>
      <w:bookmarkStart w:id="233" w:name="_Toc4024"/>
      <w:bookmarkStart w:id="234" w:name="_Toc18465"/>
      <w:r>
        <w:rPr>
          <w:rFonts w:hint="eastAsia" w:ascii="宋体" w:hAnsi="宋体" w:eastAsia="宋体" w:cs="宋体"/>
          <w:b/>
          <w:bCs/>
          <w:color w:val="auto"/>
          <w:sz w:val="32"/>
          <w:szCs w:val="32"/>
          <w:highlight w:val="none"/>
        </w:rPr>
        <w:t>日  期：</w:t>
      </w:r>
      <w:bookmarkEnd w:id="230"/>
      <w:bookmarkEnd w:id="231"/>
      <w:bookmarkEnd w:id="232"/>
      <w:bookmarkEnd w:id="233"/>
      <w:bookmarkEnd w:id="234"/>
    </w:p>
    <w:p w14:paraId="1AFC4159">
      <w:pPr>
        <w:pStyle w:val="45"/>
        <w:spacing w:before="0" w:after="0" w:line="360" w:lineRule="auto"/>
        <w:ind w:left="0" w:right="23"/>
        <w:jc w:val="center"/>
        <w:rPr>
          <w:rFonts w:hint="eastAsia" w:ascii="宋体" w:hAnsi="宋体" w:eastAsia="宋体" w:cs="宋体"/>
          <w:b/>
          <w:bCs/>
          <w:color w:val="auto"/>
          <w:sz w:val="28"/>
          <w:szCs w:val="28"/>
          <w:highlight w:val="none"/>
          <w:lang w:eastAsia="zh-CN"/>
        </w:rPr>
        <w:sectPr>
          <w:pgSz w:w="11906" w:h="16838"/>
          <w:pgMar w:top="1440" w:right="1440" w:bottom="1440" w:left="1440" w:header="851" w:footer="992" w:gutter="0"/>
          <w:pgNumType w:fmt="decimal"/>
          <w:cols w:space="720" w:num="1"/>
          <w:docGrid w:type="lines" w:linePitch="312" w:charSpace="0"/>
        </w:sectPr>
      </w:pPr>
      <w:bookmarkStart w:id="235" w:name="_Toc3074"/>
      <w:bookmarkStart w:id="236" w:name="_Toc19735"/>
      <w:bookmarkStart w:id="237" w:name="_Toc31822"/>
      <w:r>
        <w:rPr>
          <w:rFonts w:hint="eastAsia" w:ascii="宋体" w:hAnsi="宋体" w:cs="宋体"/>
          <w:b/>
          <w:bCs/>
          <w:color w:val="auto"/>
          <w:sz w:val="28"/>
          <w:szCs w:val="28"/>
          <w:highlight w:val="none"/>
          <w:lang w:eastAsia="zh-CN"/>
        </w:rPr>
        <w:t>目录（自拟）</w:t>
      </w:r>
    </w:p>
    <w:bookmarkEnd w:id="235"/>
    <w:bookmarkEnd w:id="236"/>
    <w:p w14:paraId="1D8AC2BE">
      <w:pPr>
        <w:pStyle w:val="45"/>
        <w:numPr>
          <w:ilvl w:val="0"/>
          <w:numId w:val="0"/>
        </w:numPr>
        <w:spacing w:before="0" w:after="0" w:line="360" w:lineRule="auto"/>
        <w:ind w:left="0" w:leftChars="0" w:right="23" w:rightChars="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kern w:val="0"/>
          <w:sz w:val="28"/>
          <w:szCs w:val="28"/>
          <w:lang w:val="en-US" w:eastAsia="zh-CN" w:bidi="ar-SA"/>
        </w:rPr>
        <w:t>一、</w:t>
      </w:r>
      <w:r>
        <w:rPr>
          <w:rFonts w:hint="eastAsia" w:ascii="宋体" w:hAnsi="宋体" w:eastAsia="宋体" w:cs="宋体"/>
          <w:b/>
          <w:bCs/>
          <w:color w:val="auto"/>
          <w:sz w:val="28"/>
          <w:szCs w:val="28"/>
          <w:highlight w:val="none"/>
        </w:rPr>
        <w:t>报价一览表</w:t>
      </w:r>
      <w:bookmarkEnd w:id="237"/>
    </w:p>
    <w:p w14:paraId="4B2EDF7D">
      <w:pPr>
        <w:pStyle w:val="13"/>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磋商报价（</w:t>
      </w:r>
      <w:r>
        <w:rPr>
          <w:rFonts w:hint="eastAsia" w:ascii="宋体" w:hAnsi="宋体" w:eastAsia="宋体" w:cs="宋体"/>
          <w:b w:val="0"/>
          <w:bCs w:val="0"/>
          <w:color w:val="auto"/>
          <w:sz w:val="24"/>
          <w:szCs w:val="24"/>
          <w:highlight w:val="none"/>
          <w:lang w:eastAsia="zh-CN"/>
        </w:rPr>
        <w:t>开标</w:t>
      </w:r>
      <w:r>
        <w:rPr>
          <w:rFonts w:hint="eastAsia" w:ascii="宋体" w:hAnsi="宋体" w:eastAsia="宋体" w:cs="宋体"/>
          <w:b w:val="0"/>
          <w:bCs w:val="0"/>
          <w:color w:val="auto"/>
          <w:sz w:val="24"/>
          <w:szCs w:val="24"/>
          <w:highlight w:val="none"/>
        </w:rPr>
        <w:t>）一览表</w:t>
      </w:r>
    </w:p>
    <w:p w14:paraId="6339D802">
      <w:pPr>
        <w:pStyle w:val="13"/>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项目名称：中华人民共和国畹町出入境边防检查站2025年度公务用车维修服务定点协议单位采购项目（二次）</w:t>
      </w:r>
    </w:p>
    <w:p w14:paraId="04992974">
      <w:pPr>
        <w:pStyle w:val="13"/>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项目编号：DHZH2025-042</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7"/>
        <w:gridCol w:w="5653"/>
      </w:tblGrid>
      <w:tr w14:paraId="14406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67" w:type="dxa"/>
            <w:noWrap w:val="0"/>
            <w:vAlign w:val="center"/>
          </w:tcPr>
          <w:p w14:paraId="0DA9DE0D">
            <w:pPr>
              <w:spacing w:before="240" w:after="240"/>
              <w:jc w:val="center"/>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供应商名称</w:t>
            </w:r>
          </w:p>
        </w:tc>
        <w:tc>
          <w:tcPr>
            <w:tcW w:w="5653" w:type="dxa"/>
            <w:noWrap w:val="0"/>
            <w:vAlign w:val="top"/>
          </w:tcPr>
          <w:p w14:paraId="4A00054E">
            <w:pPr>
              <w:spacing w:before="240" w:after="240"/>
              <w:rPr>
                <w:rFonts w:hint="eastAsia" w:ascii="宋体" w:hAnsi="宋体" w:eastAsia="宋体" w:cs="宋体"/>
                <w:bCs/>
                <w:color w:val="auto"/>
                <w:sz w:val="24"/>
                <w:highlight w:val="none"/>
                <w:u w:val="single"/>
              </w:rPr>
            </w:pPr>
          </w:p>
        </w:tc>
      </w:tr>
      <w:tr w14:paraId="079FE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67" w:type="dxa"/>
            <w:noWrap w:val="0"/>
            <w:vAlign w:val="center"/>
          </w:tcPr>
          <w:p w14:paraId="20FC2108">
            <w:pPr>
              <w:spacing w:before="240" w:after="240"/>
              <w:jc w:val="center"/>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eastAsia="zh-CN"/>
              </w:rPr>
              <w:t>磋商报价</w:t>
            </w:r>
            <w:r>
              <w:rPr>
                <w:rFonts w:hint="eastAsia" w:ascii="宋体" w:hAnsi="宋体" w:eastAsia="宋体" w:cs="宋体"/>
                <w:b w:val="0"/>
                <w:bCs w:val="0"/>
                <w:color w:val="auto"/>
                <w:sz w:val="24"/>
                <w:highlight w:val="none"/>
                <w:lang w:eastAsia="zh-CN"/>
              </w:rPr>
              <w:t>（下浮率）</w:t>
            </w:r>
          </w:p>
        </w:tc>
        <w:tc>
          <w:tcPr>
            <w:tcW w:w="5653" w:type="dxa"/>
            <w:noWrap w:val="0"/>
            <w:vAlign w:val="center"/>
          </w:tcPr>
          <w:p w14:paraId="28280EEC">
            <w:pPr>
              <w:spacing w:before="240" w:after="24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下浮</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w:t>
            </w:r>
          </w:p>
        </w:tc>
      </w:tr>
      <w:tr w14:paraId="165A7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67" w:type="dxa"/>
            <w:noWrap w:val="0"/>
            <w:vAlign w:val="center"/>
          </w:tcPr>
          <w:p w14:paraId="62404D70">
            <w:pPr>
              <w:spacing w:before="240" w:after="24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合同履行期限</w:t>
            </w:r>
          </w:p>
        </w:tc>
        <w:tc>
          <w:tcPr>
            <w:tcW w:w="5653" w:type="dxa"/>
            <w:noWrap w:val="0"/>
            <w:vAlign w:val="center"/>
          </w:tcPr>
          <w:p w14:paraId="79B663A8">
            <w:pPr>
              <w:spacing w:before="240" w:after="240"/>
              <w:jc w:val="center"/>
              <w:rPr>
                <w:rFonts w:hint="eastAsia" w:ascii="宋体" w:hAnsi="宋体" w:eastAsia="宋体" w:cs="宋体"/>
                <w:bCs/>
                <w:color w:val="auto"/>
                <w:sz w:val="24"/>
                <w:highlight w:val="none"/>
                <w:u w:val="single"/>
              </w:rPr>
            </w:pPr>
          </w:p>
        </w:tc>
      </w:tr>
      <w:tr w14:paraId="24A61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67" w:type="dxa"/>
            <w:noWrap w:val="0"/>
            <w:vAlign w:val="center"/>
          </w:tcPr>
          <w:p w14:paraId="6B22A891">
            <w:pPr>
              <w:spacing w:before="240" w:after="24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磋商保证金（元）</w:t>
            </w:r>
          </w:p>
        </w:tc>
        <w:tc>
          <w:tcPr>
            <w:tcW w:w="5653" w:type="dxa"/>
            <w:noWrap w:val="0"/>
            <w:vAlign w:val="center"/>
          </w:tcPr>
          <w:p w14:paraId="62C153AF">
            <w:pPr>
              <w:spacing w:before="240" w:after="240"/>
              <w:jc w:val="center"/>
              <w:rPr>
                <w:rFonts w:hint="eastAsia" w:ascii="宋体" w:hAnsi="宋体" w:eastAsia="宋体" w:cs="宋体"/>
                <w:bCs/>
                <w:color w:val="auto"/>
                <w:sz w:val="24"/>
                <w:highlight w:val="none"/>
                <w:u w:val="single"/>
              </w:rPr>
            </w:pPr>
          </w:p>
        </w:tc>
      </w:tr>
      <w:tr w14:paraId="643D1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67" w:type="dxa"/>
            <w:noWrap w:val="0"/>
            <w:vAlign w:val="center"/>
          </w:tcPr>
          <w:p w14:paraId="5532459D">
            <w:pPr>
              <w:spacing w:before="240" w:after="24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5653" w:type="dxa"/>
            <w:noWrap w:val="0"/>
            <w:vAlign w:val="top"/>
          </w:tcPr>
          <w:p w14:paraId="159176A4">
            <w:pPr>
              <w:spacing w:before="240" w:after="240"/>
              <w:rPr>
                <w:rFonts w:hint="eastAsia" w:ascii="宋体" w:hAnsi="宋体" w:eastAsia="宋体" w:cs="宋体"/>
                <w:bCs/>
                <w:color w:val="auto"/>
                <w:sz w:val="24"/>
                <w:highlight w:val="none"/>
                <w:u w:val="single"/>
              </w:rPr>
            </w:pPr>
          </w:p>
        </w:tc>
      </w:tr>
    </w:tbl>
    <w:p w14:paraId="1358D174">
      <w:pPr>
        <w:pStyle w:val="45"/>
        <w:spacing w:before="0" w:after="0" w:line="460" w:lineRule="exact"/>
        <w:ind w:left="0" w:right="23"/>
        <w:jc w:val="both"/>
        <w:rPr>
          <w:rFonts w:hint="eastAsia" w:ascii="宋体" w:hAnsi="宋体" w:eastAsia="宋体" w:cs="宋体"/>
          <w:b/>
          <w:bCs/>
          <w:color w:val="auto"/>
          <w:szCs w:val="24"/>
          <w:highlight w:val="none"/>
        </w:rPr>
      </w:pPr>
    </w:p>
    <w:p w14:paraId="1947229A">
      <w:pPr>
        <w:pStyle w:val="45"/>
        <w:spacing w:before="0" w:after="0" w:line="460" w:lineRule="exact"/>
        <w:ind w:left="0" w:right="23"/>
        <w:jc w:val="both"/>
        <w:rPr>
          <w:rFonts w:hint="eastAsia" w:ascii="宋体" w:hAnsi="宋体" w:eastAsia="宋体" w:cs="宋体"/>
          <w:color w:val="auto"/>
          <w:highlight w:val="none"/>
        </w:rPr>
      </w:pPr>
      <w:r>
        <w:rPr>
          <w:rFonts w:hint="eastAsia" w:ascii="宋体" w:hAnsi="宋体" w:eastAsia="宋体" w:cs="宋体"/>
          <w:b/>
          <w:bCs/>
          <w:color w:val="auto"/>
          <w:szCs w:val="24"/>
          <w:highlight w:val="none"/>
        </w:rPr>
        <w:t>注：</w:t>
      </w:r>
      <w:r>
        <w:rPr>
          <w:rFonts w:hint="eastAsia" w:ascii="宋体" w:hAnsi="宋体" w:eastAsia="宋体" w:cs="宋体"/>
          <w:color w:val="auto"/>
          <w:highlight w:val="none"/>
          <w:lang w:val="zh-CN"/>
        </w:rPr>
        <w:t>报价以人民币为结算单位，包括：</w:t>
      </w:r>
      <w:r>
        <w:rPr>
          <w:rFonts w:hint="eastAsia" w:ascii="宋体" w:hAnsi="宋体" w:eastAsia="宋体" w:cs="宋体"/>
          <w:color w:val="auto"/>
          <w:highlight w:val="none"/>
          <w:lang w:val="zh-CN" w:eastAsia="zh-CN"/>
        </w:rPr>
        <w:t>本次采购所涉及的全部服务内容，以及相应的项目服务管理费、人工费、差旅费、税费、风险费、代理服务费等以及保证项目顺利开展的所有费用。</w:t>
      </w:r>
    </w:p>
    <w:p w14:paraId="348396D1">
      <w:pPr>
        <w:pStyle w:val="45"/>
        <w:spacing w:before="0" w:after="0" w:line="460" w:lineRule="exact"/>
        <w:ind w:left="0" w:right="23"/>
        <w:jc w:val="both"/>
        <w:rPr>
          <w:rFonts w:hint="eastAsia" w:ascii="宋体" w:hAnsi="宋体" w:eastAsia="宋体" w:cs="宋体"/>
          <w:color w:val="auto"/>
          <w:szCs w:val="24"/>
          <w:highlight w:val="none"/>
        </w:rPr>
      </w:pPr>
    </w:p>
    <w:p w14:paraId="14E0D58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供应商全称（加盖单位公章）：</w:t>
      </w:r>
      <w:r>
        <w:rPr>
          <w:rFonts w:hint="eastAsia" w:ascii="宋体" w:hAnsi="宋体" w:eastAsia="宋体" w:cs="宋体"/>
          <w:color w:val="auto"/>
          <w:sz w:val="24"/>
          <w:highlight w:val="none"/>
          <w:u w:val="single"/>
        </w:rPr>
        <w:t>　　　　　　　　　　　　</w:t>
      </w:r>
    </w:p>
    <w:p w14:paraId="2DBFB12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法定代表人或其委托代理人（签字或盖章）：</w:t>
      </w:r>
      <w:r>
        <w:rPr>
          <w:rFonts w:hint="eastAsia" w:ascii="宋体" w:hAnsi="宋体" w:eastAsia="宋体" w:cs="宋体"/>
          <w:color w:val="auto"/>
          <w:sz w:val="24"/>
          <w:highlight w:val="none"/>
          <w:u w:val="single"/>
        </w:rPr>
        <w:t>　　　　　　　　　　</w:t>
      </w:r>
    </w:p>
    <w:p w14:paraId="11A8FB98">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日</w:t>
      </w:r>
    </w:p>
    <w:p w14:paraId="7F6BF5D3">
      <w:pPr>
        <w:rPr>
          <w:rFonts w:hint="eastAsia" w:ascii="宋体" w:hAnsi="宋体" w:eastAsia="宋体" w:cs="宋体"/>
          <w:b/>
          <w:bCs/>
          <w:color w:val="auto"/>
          <w:kern w:val="0"/>
          <w:sz w:val="28"/>
          <w:szCs w:val="28"/>
          <w:highlight w:val="none"/>
        </w:rPr>
      </w:pPr>
    </w:p>
    <w:p w14:paraId="0AA2F7B8">
      <w:pPr>
        <w:pStyle w:val="2"/>
        <w:rPr>
          <w:rFonts w:hint="eastAsia" w:ascii="宋体" w:hAnsi="宋体" w:eastAsia="宋体" w:cs="宋体"/>
          <w:b/>
          <w:bCs/>
          <w:color w:val="auto"/>
          <w:kern w:val="0"/>
          <w:sz w:val="28"/>
          <w:szCs w:val="28"/>
          <w:highlight w:val="none"/>
        </w:rPr>
      </w:pPr>
    </w:p>
    <w:p w14:paraId="727000FC">
      <w:pPr>
        <w:spacing w:line="360" w:lineRule="auto"/>
        <w:ind w:firstLine="480" w:firstLineChars="200"/>
        <w:jc w:val="center"/>
        <w:rPr>
          <w:rFonts w:hint="eastAsia" w:ascii="宋体" w:hAnsi="宋体" w:eastAsia="宋体" w:cs="宋体"/>
          <w:color w:val="auto"/>
          <w:kern w:val="0"/>
          <w:sz w:val="24"/>
          <w:szCs w:val="20"/>
          <w:highlight w:val="none"/>
          <w:lang w:val="zh-CN" w:eastAsia="zh-CN" w:bidi="ar-SA"/>
        </w:rPr>
      </w:pPr>
      <w:r>
        <w:rPr>
          <w:rFonts w:hint="eastAsia" w:ascii="宋体" w:hAnsi="宋体" w:eastAsia="宋体" w:cs="宋体"/>
          <w:color w:val="auto"/>
          <w:kern w:val="0"/>
          <w:sz w:val="24"/>
          <w:szCs w:val="20"/>
          <w:highlight w:val="none"/>
          <w:lang w:val="zh-CN" w:eastAsia="zh-CN" w:bidi="ar-SA"/>
        </w:rPr>
        <w:t>注：本表须同时附在《磋商响应文件》扉页，格式不得做任何更改。</w:t>
      </w:r>
    </w:p>
    <w:p w14:paraId="108E0C18">
      <w:pPr>
        <w:rPr>
          <w:rFonts w:hint="eastAsia" w:ascii="宋体" w:hAnsi="宋体" w:eastAsia="宋体" w:cs="宋体"/>
          <w:color w:val="auto"/>
          <w:kern w:val="0"/>
          <w:sz w:val="24"/>
          <w:szCs w:val="20"/>
          <w:highlight w:val="none"/>
          <w:lang w:val="zh-CN" w:eastAsia="zh-CN" w:bidi="ar-SA"/>
        </w:rPr>
      </w:pPr>
      <w:r>
        <w:rPr>
          <w:rFonts w:hint="eastAsia" w:ascii="宋体" w:hAnsi="宋体" w:eastAsia="宋体" w:cs="宋体"/>
          <w:color w:val="auto"/>
          <w:kern w:val="0"/>
          <w:sz w:val="24"/>
          <w:szCs w:val="20"/>
          <w:highlight w:val="none"/>
          <w:lang w:val="zh-CN" w:eastAsia="zh-CN" w:bidi="ar-SA"/>
        </w:rPr>
        <w:br w:type="page"/>
      </w:r>
    </w:p>
    <w:p w14:paraId="24A58FE0">
      <w:pPr>
        <w:jc w:val="center"/>
        <w:outlineLvl w:val="9"/>
        <w:rPr>
          <w:rFonts w:hint="eastAsia" w:ascii="宋体" w:hAnsi="宋体" w:eastAsia="宋体" w:cs="宋体"/>
          <w:b w:val="0"/>
          <w:bCs w:val="0"/>
          <w:color w:val="auto"/>
          <w:sz w:val="24"/>
          <w:highlight w:val="none"/>
          <w:lang w:val="en-US" w:eastAsia="zh-CN"/>
        </w:rPr>
      </w:pPr>
      <w:bookmarkStart w:id="238" w:name="_Toc31998"/>
      <w:bookmarkStart w:id="239" w:name="_Toc2588"/>
    </w:p>
    <w:p w14:paraId="74E6F59D">
      <w:pPr>
        <w:jc w:val="center"/>
        <w:outlineLvl w:val="9"/>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磋商承诺及报价表（第二轮</w:t>
      </w:r>
      <w:r>
        <w:rPr>
          <w:rFonts w:hint="eastAsia" w:ascii="宋体" w:hAnsi="宋体" w:eastAsia="宋体" w:cs="宋体"/>
          <w:b w:val="0"/>
          <w:bCs w:val="0"/>
          <w:color w:val="auto"/>
          <w:sz w:val="24"/>
          <w:highlight w:val="none"/>
          <w:lang w:eastAsia="zh-CN"/>
        </w:rPr>
        <w:t>最终</w:t>
      </w:r>
      <w:r>
        <w:rPr>
          <w:rFonts w:hint="eastAsia" w:ascii="宋体" w:hAnsi="宋体" w:eastAsia="宋体" w:cs="宋体"/>
          <w:b w:val="0"/>
          <w:bCs w:val="0"/>
          <w:color w:val="auto"/>
          <w:sz w:val="24"/>
          <w:highlight w:val="none"/>
        </w:rPr>
        <w:t>报价</w:t>
      </w:r>
      <w:r>
        <w:rPr>
          <w:rFonts w:hint="eastAsia" w:ascii="宋体" w:hAnsi="宋体" w:eastAsia="宋体" w:cs="宋体"/>
          <w:b w:val="0"/>
          <w:bCs w:val="0"/>
          <w:color w:val="auto"/>
          <w:sz w:val="24"/>
          <w:highlight w:val="none"/>
          <w:lang w:eastAsia="zh-CN"/>
        </w:rPr>
        <w:t>表</w:t>
      </w:r>
      <w:r>
        <w:rPr>
          <w:rFonts w:hint="eastAsia" w:ascii="宋体" w:hAnsi="宋体" w:eastAsia="宋体" w:cs="宋体"/>
          <w:b w:val="0"/>
          <w:bCs w:val="0"/>
          <w:color w:val="auto"/>
          <w:sz w:val="24"/>
          <w:highlight w:val="none"/>
        </w:rPr>
        <w:t>）</w:t>
      </w:r>
      <w:bookmarkEnd w:id="238"/>
      <w:bookmarkEnd w:id="239"/>
    </w:p>
    <w:p w14:paraId="6F77D95E">
      <w:pPr>
        <w:autoSpaceDE w:val="0"/>
        <w:autoSpaceDN w:val="0"/>
        <w:adjustRightInd w:val="0"/>
        <w:spacing w:line="440" w:lineRule="exact"/>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 </w:t>
      </w:r>
    </w:p>
    <w:tbl>
      <w:tblPr>
        <w:tblStyle w:val="33"/>
        <w:tblW w:w="0" w:type="auto"/>
        <w:tblInd w:w="-475" w:type="dxa"/>
        <w:tblLayout w:type="fixed"/>
        <w:tblCellMar>
          <w:top w:w="0" w:type="dxa"/>
          <w:left w:w="108" w:type="dxa"/>
          <w:bottom w:w="0" w:type="dxa"/>
          <w:right w:w="108" w:type="dxa"/>
        </w:tblCellMar>
      </w:tblPr>
      <w:tblGrid>
        <w:gridCol w:w="4590"/>
        <w:gridCol w:w="5565"/>
      </w:tblGrid>
      <w:tr w14:paraId="2CB8ACC8">
        <w:tblPrEx>
          <w:tblCellMar>
            <w:top w:w="0" w:type="dxa"/>
            <w:left w:w="108" w:type="dxa"/>
            <w:bottom w:w="0" w:type="dxa"/>
            <w:right w:w="108" w:type="dxa"/>
          </w:tblCellMar>
        </w:tblPrEx>
        <w:trPr>
          <w:trHeight w:val="503" w:hRule="atLeast"/>
        </w:trPr>
        <w:tc>
          <w:tcPr>
            <w:tcW w:w="10155" w:type="dxa"/>
            <w:gridSpan w:val="2"/>
            <w:tcBorders>
              <w:top w:val="nil"/>
              <w:left w:val="nil"/>
              <w:bottom w:val="nil"/>
              <w:right w:val="nil"/>
            </w:tcBorders>
            <w:noWrap w:val="0"/>
            <w:vAlign w:val="center"/>
          </w:tcPr>
          <w:p w14:paraId="17892C2A">
            <w:pPr>
              <w:widowControl/>
              <w:jc w:val="left"/>
              <w:textAlignment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中华人民共和国畹町出入境边防检查站2025年度公务用车维修服务定点协议单位采购项目（二次）</w:t>
            </w:r>
          </w:p>
        </w:tc>
      </w:tr>
      <w:tr w14:paraId="331E3DCA">
        <w:tblPrEx>
          <w:tblCellMar>
            <w:top w:w="0" w:type="dxa"/>
            <w:left w:w="108" w:type="dxa"/>
            <w:bottom w:w="0" w:type="dxa"/>
            <w:right w:w="108" w:type="dxa"/>
          </w:tblCellMar>
        </w:tblPrEx>
        <w:trPr>
          <w:trHeight w:val="503" w:hRule="atLeast"/>
        </w:trPr>
        <w:tc>
          <w:tcPr>
            <w:tcW w:w="10155" w:type="dxa"/>
            <w:gridSpan w:val="2"/>
            <w:tcBorders>
              <w:top w:val="nil"/>
              <w:left w:val="nil"/>
              <w:bottom w:val="single" w:color="auto" w:sz="4" w:space="0"/>
              <w:right w:val="nil"/>
            </w:tcBorders>
            <w:noWrap w:val="0"/>
            <w:vAlign w:val="center"/>
          </w:tcPr>
          <w:p w14:paraId="690BE0F4">
            <w:pPr>
              <w:widowControl/>
              <w:jc w:val="left"/>
              <w:textAlignment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kern w:val="0"/>
                <w:sz w:val="24"/>
                <w:szCs w:val="24"/>
                <w:highlight w:val="none"/>
                <w:lang w:bidi="ar"/>
              </w:rPr>
              <w:t>项目编号：</w:t>
            </w:r>
            <w:r>
              <w:rPr>
                <w:rFonts w:hint="eastAsia" w:ascii="宋体" w:hAnsi="宋体" w:eastAsia="宋体" w:cs="宋体"/>
                <w:b w:val="0"/>
                <w:bCs w:val="0"/>
                <w:color w:val="auto"/>
                <w:sz w:val="24"/>
                <w:szCs w:val="24"/>
                <w:highlight w:val="none"/>
                <w:lang w:eastAsia="zh-CN"/>
              </w:rPr>
              <w:t>DHZH2025-042</w:t>
            </w:r>
          </w:p>
        </w:tc>
      </w:tr>
      <w:tr w14:paraId="742698E7">
        <w:tblPrEx>
          <w:tblCellMar>
            <w:top w:w="0" w:type="dxa"/>
            <w:left w:w="108" w:type="dxa"/>
            <w:bottom w:w="0" w:type="dxa"/>
            <w:right w:w="108" w:type="dxa"/>
          </w:tblCellMar>
        </w:tblPrEx>
        <w:trPr>
          <w:trHeight w:val="1002" w:hRule="atLeast"/>
        </w:trPr>
        <w:tc>
          <w:tcPr>
            <w:tcW w:w="4590" w:type="dxa"/>
            <w:tcBorders>
              <w:top w:val="single" w:color="auto" w:sz="4" w:space="0"/>
              <w:left w:val="single" w:color="auto" w:sz="4" w:space="0"/>
              <w:bottom w:val="single" w:color="auto" w:sz="4" w:space="0"/>
              <w:right w:val="single" w:color="auto" w:sz="4" w:space="0"/>
            </w:tcBorders>
            <w:noWrap/>
            <w:vAlign w:val="top"/>
          </w:tcPr>
          <w:p w14:paraId="5D9778B3">
            <w:pPr>
              <w:keepNext w:val="0"/>
              <w:keepLines w:val="0"/>
              <w:pageBreakBefore w:val="0"/>
              <w:widowControl/>
              <w:kinsoku/>
              <w:wordWrap/>
              <w:overflowPunct/>
              <w:topLinePunct w:val="0"/>
              <w:autoSpaceDE/>
              <w:autoSpaceDN/>
              <w:bidi w:val="0"/>
              <w:adjustRightInd/>
              <w:snapToGrid/>
              <w:spacing w:before="313" w:beforeLines="100"/>
              <w:jc w:val="center"/>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最终</w:t>
            </w:r>
            <w:r>
              <w:rPr>
                <w:rFonts w:hint="eastAsia" w:ascii="宋体" w:hAnsi="宋体" w:eastAsia="宋体" w:cs="宋体"/>
                <w:b w:val="0"/>
                <w:bCs w:val="0"/>
                <w:color w:val="auto"/>
                <w:sz w:val="24"/>
                <w:szCs w:val="24"/>
                <w:highlight w:val="none"/>
              </w:rPr>
              <w:t>报价（下浮率）</w:t>
            </w:r>
          </w:p>
        </w:tc>
        <w:tc>
          <w:tcPr>
            <w:tcW w:w="5565" w:type="dxa"/>
            <w:tcBorders>
              <w:top w:val="single" w:color="auto" w:sz="4" w:space="0"/>
              <w:left w:val="single" w:color="auto" w:sz="4" w:space="0"/>
              <w:bottom w:val="single" w:color="auto" w:sz="4" w:space="0"/>
              <w:right w:val="single" w:color="auto" w:sz="4" w:space="0"/>
            </w:tcBorders>
            <w:noWrap/>
            <w:vAlign w:val="top"/>
          </w:tcPr>
          <w:p w14:paraId="7A28EFCA">
            <w:pPr>
              <w:keepNext w:val="0"/>
              <w:keepLines w:val="0"/>
              <w:pageBreakBefore w:val="0"/>
              <w:widowControl/>
              <w:kinsoku/>
              <w:wordWrap/>
              <w:overflowPunct/>
              <w:topLinePunct w:val="0"/>
              <w:autoSpaceDE/>
              <w:autoSpaceDN/>
              <w:bidi w:val="0"/>
              <w:adjustRightInd/>
              <w:snapToGrid/>
              <w:spacing w:before="313" w:beforeLines="100"/>
              <w:jc w:val="center"/>
              <w:textAlignment w:val="center"/>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bidi="ar"/>
              </w:rPr>
              <w:t>下浮</w:t>
            </w:r>
            <w:r>
              <w:rPr>
                <w:rFonts w:hint="eastAsia" w:ascii="宋体" w:hAnsi="宋体" w:eastAsia="宋体" w:cs="宋体"/>
                <w:b w:val="0"/>
                <w:bCs w:val="0"/>
                <w:color w:val="auto"/>
                <w:kern w:val="0"/>
                <w:sz w:val="24"/>
                <w:szCs w:val="24"/>
                <w:highlight w:val="none"/>
                <w:u w:val="single"/>
                <w:lang w:bidi="ar"/>
              </w:rPr>
              <w:t xml:space="preserve">  </w:t>
            </w:r>
            <w:r>
              <w:rPr>
                <w:rFonts w:hint="eastAsia" w:ascii="宋体" w:hAnsi="宋体" w:eastAsia="宋体" w:cs="宋体"/>
                <w:b w:val="0"/>
                <w:bCs w:val="0"/>
                <w:color w:val="auto"/>
                <w:kern w:val="0"/>
                <w:sz w:val="24"/>
                <w:szCs w:val="24"/>
                <w:highlight w:val="none"/>
                <w:u w:val="single"/>
                <w:lang w:val="en-US" w:eastAsia="zh-CN" w:bidi="ar"/>
              </w:rPr>
              <w:t xml:space="preserve">  </w:t>
            </w:r>
            <w:r>
              <w:rPr>
                <w:rFonts w:hint="eastAsia" w:ascii="宋体" w:hAnsi="宋体" w:eastAsia="宋体" w:cs="宋体"/>
                <w:b w:val="0"/>
                <w:bCs w:val="0"/>
                <w:color w:val="auto"/>
                <w:kern w:val="0"/>
                <w:sz w:val="24"/>
                <w:szCs w:val="24"/>
                <w:highlight w:val="none"/>
                <w:u w:val="single"/>
                <w:lang w:bidi="ar"/>
              </w:rPr>
              <w:t xml:space="preserve"> </w:t>
            </w:r>
            <w:r>
              <w:rPr>
                <w:rFonts w:hint="eastAsia" w:ascii="宋体" w:hAnsi="宋体" w:eastAsia="宋体" w:cs="宋体"/>
                <w:b w:val="0"/>
                <w:bCs w:val="0"/>
                <w:color w:val="auto"/>
                <w:kern w:val="0"/>
                <w:sz w:val="24"/>
                <w:szCs w:val="24"/>
                <w:highlight w:val="none"/>
                <w:lang w:bidi="ar"/>
              </w:rPr>
              <w:t>%</w:t>
            </w:r>
          </w:p>
        </w:tc>
      </w:tr>
      <w:tr w14:paraId="03679839">
        <w:tblPrEx>
          <w:tblCellMar>
            <w:top w:w="0" w:type="dxa"/>
            <w:left w:w="108" w:type="dxa"/>
            <w:bottom w:w="0" w:type="dxa"/>
            <w:right w:w="108" w:type="dxa"/>
          </w:tblCellMar>
        </w:tblPrEx>
        <w:trPr>
          <w:trHeight w:val="6153" w:hRule="atLeast"/>
        </w:trPr>
        <w:tc>
          <w:tcPr>
            <w:tcW w:w="10155" w:type="dxa"/>
            <w:gridSpan w:val="2"/>
            <w:tcBorders>
              <w:top w:val="single" w:color="auto" w:sz="4" w:space="0"/>
              <w:left w:val="single" w:color="auto" w:sz="4" w:space="0"/>
              <w:bottom w:val="single" w:color="auto" w:sz="4" w:space="0"/>
              <w:right w:val="single" w:color="auto" w:sz="4" w:space="0"/>
            </w:tcBorders>
            <w:noWrap/>
            <w:vAlign w:val="top"/>
          </w:tcPr>
          <w:p w14:paraId="6969E6BC">
            <w:pPr>
              <w:keepNext w:val="0"/>
              <w:keepLines w:val="0"/>
              <w:pageBreakBefore w:val="0"/>
              <w:widowControl/>
              <w:kinsoku/>
              <w:wordWrap/>
              <w:overflowPunct/>
              <w:topLinePunct w:val="0"/>
              <w:autoSpaceDE/>
              <w:autoSpaceDN/>
              <w:bidi w:val="0"/>
              <w:adjustRightInd/>
              <w:snapToGrid/>
              <w:spacing w:before="313" w:beforeLines="100"/>
              <w:textAlignment w:val="center"/>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bidi="ar"/>
              </w:rPr>
              <w:t>磋商承诺内容：</w:t>
            </w:r>
          </w:p>
        </w:tc>
      </w:tr>
      <w:tr w14:paraId="5F4BD431">
        <w:tblPrEx>
          <w:tblCellMar>
            <w:top w:w="0" w:type="dxa"/>
            <w:left w:w="108" w:type="dxa"/>
            <w:bottom w:w="0" w:type="dxa"/>
            <w:right w:w="108" w:type="dxa"/>
          </w:tblCellMar>
        </w:tblPrEx>
        <w:trPr>
          <w:trHeight w:val="677" w:hRule="atLeast"/>
        </w:trPr>
        <w:tc>
          <w:tcPr>
            <w:tcW w:w="10155" w:type="dxa"/>
            <w:gridSpan w:val="2"/>
            <w:tcBorders>
              <w:top w:val="single" w:color="auto" w:sz="4" w:space="0"/>
              <w:left w:val="nil"/>
              <w:bottom w:val="nil"/>
              <w:right w:val="nil"/>
            </w:tcBorders>
            <w:noWrap/>
            <w:vAlign w:val="center"/>
          </w:tcPr>
          <w:p w14:paraId="7550B35C">
            <w:pPr>
              <w:widowControl/>
              <w:jc w:val="left"/>
              <w:textAlignment w:val="center"/>
              <w:rPr>
                <w:rFonts w:hint="eastAsia" w:ascii="宋体" w:hAnsi="宋体" w:eastAsia="宋体" w:cs="宋体"/>
                <w:b w:val="0"/>
                <w:bCs w:val="0"/>
                <w:color w:val="auto"/>
                <w:kern w:val="0"/>
                <w:sz w:val="22"/>
                <w:highlight w:val="none"/>
                <w:lang w:bidi="ar"/>
              </w:rPr>
            </w:pPr>
            <w:r>
              <w:rPr>
                <w:rFonts w:hint="eastAsia" w:ascii="宋体" w:hAnsi="宋体" w:eastAsia="宋体" w:cs="宋体"/>
                <w:b w:val="0"/>
                <w:bCs w:val="0"/>
                <w:color w:val="auto"/>
                <w:kern w:val="0"/>
                <w:sz w:val="22"/>
                <w:highlight w:val="none"/>
                <w:lang w:bidi="ar"/>
              </w:rPr>
              <w:t>注：1.此表用于磋商环节，在进行磋商时，供应商根据磋商结果填写相应内容</w:t>
            </w:r>
            <w:r>
              <w:rPr>
                <w:rFonts w:hint="eastAsia" w:ascii="宋体" w:hAnsi="宋体" w:eastAsia="宋体" w:cs="宋体"/>
                <w:b w:val="0"/>
                <w:bCs w:val="0"/>
                <w:color w:val="auto"/>
                <w:kern w:val="0"/>
                <w:sz w:val="22"/>
                <w:highlight w:val="none"/>
                <w:lang w:eastAsia="zh-CN" w:bidi="ar"/>
              </w:rPr>
              <w:t>，无需装订在响应文件内</w:t>
            </w:r>
            <w:r>
              <w:rPr>
                <w:rFonts w:hint="eastAsia" w:ascii="宋体" w:hAnsi="宋体" w:eastAsia="宋体" w:cs="宋体"/>
                <w:b w:val="0"/>
                <w:bCs w:val="0"/>
                <w:color w:val="auto"/>
                <w:kern w:val="0"/>
                <w:sz w:val="22"/>
                <w:highlight w:val="none"/>
                <w:lang w:bidi="ar"/>
              </w:rPr>
              <w:t>。</w:t>
            </w:r>
          </w:p>
          <w:p w14:paraId="687B9E02">
            <w:pPr>
              <w:widowControl/>
              <w:jc w:val="left"/>
              <w:textAlignment w:val="center"/>
              <w:rPr>
                <w:rFonts w:hint="eastAsia" w:ascii="宋体" w:hAnsi="宋体" w:eastAsia="宋体" w:cs="宋体"/>
                <w:b w:val="0"/>
                <w:bCs w:val="0"/>
                <w:color w:val="auto"/>
                <w:kern w:val="0"/>
                <w:sz w:val="22"/>
                <w:highlight w:val="none"/>
                <w:lang w:bidi="ar"/>
              </w:rPr>
            </w:pPr>
            <w:r>
              <w:rPr>
                <w:rFonts w:hint="eastAsia" w:ascii="宋体" w:hAnsi="宋体" w:eastAsia="宋体" w:cs="宋体"/>
                <w:b w:val="0"/>
                <w:bCs w:val="0"/>
                <w:color w:val="auto"/>
                <w:kern w:val="0"/>
                <w:sz w:val="22"/>
                <w:highlight w:val="none"/>
                <w:lang w:bidi="ar"/>
              </w:rPr>
              <w:t>2.如磋商结果无新增承诺内容，则填写“按照磋商文件要求及响应文件承诺执行。”</w:t>
            </w:r>
          </w:p>
        </w:tc>
      </w:tr>
      <w:tr w14:paraId="2A12FFC5">
        <w:tblPrEx>
          <w:tblCellMar>
            <w:top w:w="0" w:type="dxa"/>
            <w:left w:w="108" w:type="dxa"/>
            <w:bottom w:w="0" w:type="dxa"/>
            <w:right w:w="108" w:type="dxa"/>
          </w:tblCellMar>
        </w:tblPrEx>
        <w:trPr>
          <w:trHeight w:val="542" w:hRule="atLeast"/>
        </w:trPr>
        <w:tc>
          <w:tcPr>
            <w:tcW w:w="10155" w:type="dxa"/>
            <w:gridSpan w:val="2"/>
            <w:tcBorders>
              <w:top w:val="nil"/>
              <w:left w:val="nil"/>
              <w:bottom w:val="nil"/>
              <w:right w:val="nil"/>
            </w:tcBorders>
            <w:noWrap/>
            <w:vAlign w:val="center"/>
          </w:tcPr>
          <w:p w14:paraId="3A318CCB">
            <w:pPr>
              <w:widowControl/>
              <w:jc w:val="left"/>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bidi="ar"/>
              </w:rPr>
              <w:t>供应商名称</w:t>
            </w: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eastAsia="zh-CN"/>
              </w:rPr>
              <w:t>加</w:t>
            </w:r>
            <w:r>
              <w:rPr>
                <w:rFonts w:hint="eastAsia" w:ascii="宋体" w:hAnsi="宋体" w:eastAsia="宋体" w:cs="宋体"/>
                <w:b w:val="0"/>
                <w:bCs w:val="0"/>
                <w:color w:val="auto"/>
                <w:sz w:val="24"/>
                <w:highlight w:val="none"/>
              </w:rPr>
              <w:t>盖</w:t>
            </w:r>
            <w:r>
              <w:rPr>
                <w:rFonts w:hint="eastAsia" w:ascii="宋体" w:hAnsi="宋体" w:eastAsia="宋体" w:cs="宋体"/>
                <w:b w:val="0"/>
                <w:bCs w:val="0"/>
                <w:color w:val="auto"/>
                <w:sz w:val="24"/>
                <w:highlight w:val="none"/>
                <w:lang w:eastAsia="zh-CN"/>
              </w:rPr>
              <w:t>公</w:t>
            </w:r>
            <w:r>
              <w:rPr>
                <w:rFonts w:hint="eastAsia" w:ascii="宋体" w:hAnsi="宋体" w:eastAsia="宋体" w:cs="宋体"/>
                <w:b w:val="0"/>
                <w:bCs w:val="0"/>
                <w:color w:val="auto"/>
                <w:sz w:val="24"/>
                <w:highlight w:val="none"/>
              </w:rPr>
              <w:t>章）</w:t>
            </w:r>
            <w:r>
              <w:rPr>
                <w:rFonts w:hint="eastAsia" w:ascii="宋体" w:hAnsi="宋体" w:eastAsia="宋体" w:cs="宋体"/>
                <w:b w:val="0"/>
                <w:bCs w:val="0"/>
                <w:color w:val="auto"/>
                <w:kern w:val="0"/>
                <w:sz w:val="24"/>
                <w:szCs w:val="24"/>
                <w:highlight w:val="none"/>
                <w:lang w:bidi="ar"/>
              </w:rPr>
              <w:t>：</w:t>
            </w:r>
          </w:p>
        </w:tc>
      </w:tr>
      <w:tr w14:paraId="5F751A3C">
        <w:tblPrEx>
          <w:tblCellMar>
            <w:top w:w="0" w:type="dxa"/>
            <w:left w:w="108" w:type="dxa"/>
            <w:bottom w:w="0" w:type="dxa"/>
            <w:right w:w="108" w:type="dxa"/>
          </w:tblCellMar>
        </w:tblPrEx>
        <w:trPr>
          <w:trHeight w:val="542" w:hRule="atLeast"/>
        </w:trPr>
        <w:tc>
          <w:tcPr>
            <w:tcW w:w="10155" w:type="dxa"/>
            <w:gridSpan w:val="2"/>
            <w:tcBorders>
              <w:top w:val="nil"/>
              <w:left w:val="nil"/>
              <w:bottom w:val="nil"/>
              <w:right w:val="nil"/>
            </w:tcBorders>
            <w:noWrap/>
            <w:vAlign w:val="center"/>
          </w:tcPr>
          <w:p w14:paraId="0E886974">
            <w:pPr>
              <w:widowControl/>
              <w:jc w:val="left"/>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bidi="ar"/>
              </w:rPr>
              <w:t>法定代表人或</w:t>
            </w:r>
            <w:r>
              <w:rPr>
                <w:rFonts w:hint="eastAsia" w:ascii="宋体" w:hAnsi="宋体" w:eastAsia="宋体" w:cs="宋体"/>
                <w:b w:val="0"/>
                <w:bCs w:val="0"/>
                <w:color w:val="auto"/>
                <w:kern w:val="0"/>
                <w:sz w:val="24"/>
                <w:szCs w:val="24"/>
                <w:highlight w:val="none"/>
                <w:lang w:eastAsia="zh-CN" w:bidi="ar"/>
              </w:rPr>
              <w:t>委托代理人</w:t>
            </w:r>
            <w:r>
              <w:rPr>
                <w:rFonts w:hint="eastAsia" w:ascii="宋体" w:hAnsi="宋体" w:eastAsia="宋体" w:cs="宋体"/>
                <w:b w:val="0"/>
                <w:bCs w:val="0"/>
                <w:color w:val="auto"/>
                <w:kern w:val="0"/>
                <w:sz w:val="24"/>
                <w:szCs w:val="24"/>
                <w:highlight w:val="none"/>
                <w:lang w:bidi="ar"/>
              </w:rPr>
              <w:t>（签字）：</w:t>
            </w:r>
          </w:p>
        </w:tc>
      </w:tr>
      <w:tr w14:paraId="7DA43257">
        <w:tblPrEx>
          <w:tblCellMar>
            <w:top w:w="0" w:type="dxa"/>
            <w:left w:w="108" w:type="dxa"/>
            <w:bottom w:w="0" w:type="dxa"/>
            <w:right w:w="108" w:type="dxa"/>
          </w:tblCellMar>
        </w:tblPrEx>
        <w:trPr>
          <w:trHeight w:val="542" w:hRule="atLeast"/>
        </w:trPr>
        <w:tc>
          <w:tcPr>
            <w:tcW w:w="10155" w:type="dxa"/>
            <w:gridSpan w:val="2"/>
            <w:tcBorders>
              <w:top w:val="nil"/>
              <w:left w:val="nil"/>
              <w:bottom w:val="nil"/>
              <w:right w:val="nil"/>
            </w:tcBorders>
            <w:noWrap/>
            <w:vAlign w:val="center"/>
          </w:tcPr>
          <w:p w14:paraId="0E3D51DB">
            <w:pPr>
              <w:widowControl/>
              <w:jc w:val="left"/>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bidi="ar"/>
              </w:rPr>
              <w:t>日期：</w:t>
            </w:r>
            <w:r>
              <w:rPr>
                <w:rFonts w:hint="eastAsia" w:ascii="宋体" w:hAnsi="宋体" w:eastAsia="宋体" w:cs="宋体"/>
                <w:b w:val="0"/>
                <w:bCs w:val="0"/>
                <w:color w:val="auto"/>
                <w:kern w:val="0"/>
                <w:sz w:val="24"/>
                <w:szCs w:val="24"/>
                <w:highlight w:val="none"/>
                <w:lang w:val="en-US" w:eastAsia="zh-CN" w:bidi="ar"/>
              </w:rPr>
              <w:t xml:space="preserve">     </w:t>
            </w:r>
            <w:r>
              <w:rPr>
                <w:rFonts w:hint="eastAsia" w:ascii="宋体" w:hAnsi="宋体" w:eastAsia="宋体" w:cs="宋体"/>
                <w:b w:val="0"/>
                <w:bCs w:val="0"/>
                <w:color w:val="auto"/>
                <w:kern w:val="0"/>
                <w:sz w:val="24"/>
                <w:szCs w:val="24"/>
                <w:highlight w:val="none"/>
                <w:lang w:bidi="ar"/>
              </w:rPr>
              <w:t>年   月   日</w:t>
            </w:r>
          </w:p>
        </w:tc>
      </w:tr>
    </w:tbl>
    <w:p w14:paraId="24C4C675">
      <w:pPr>
        <w:pStyle w:val="2"/>
        <w:rPr>
          <w:rFonts w:hint="eastAsia"/>
          <w:lang w:val="zh-CN" w:eastAsia="zh-CN"/>
        </w:rPr>
      </w:pPr>
    </w:p>
    <w:p w14:paraId="1EC05267">
      <w:pPr>
        <w:pStyle w:val="2"/>
        <w:rPr>
          <w:rFonts w:hint="eastAsia" w:ascii="宋体" w:hAnsi="宋体" w:eastAsia="宋体" w:cs="宋体"/>
          <w:b/>
          <w:bCs/>
          <w:color w:val="auto"/>
          <w:kern w:val="0"/>
          <w:sz w:val="28"/>
          <w:szCs w:val="28"/>
          <w:highlight w:val="none"/>
        </w:rPr>
      </w:pPr>
    </w:p>
    <w:p w14:paraId="7B5175D9">
      <w:pPr>
        <w:spacing w:line="460" w:lineRule="exact"/>
        <w:jc w:val="center"/>
        <w:rPr>
          <w:rFonts w:hint="eastAsia" w:ascii="宋体" w:hAnsi="宋体" w:eastAsia="宋体" w:cs="宋体"/>
          <w:b/>
          <w:bCs/>
          <w:color w:val="auto"/>
          <w:kern w:val="0"/>
          <w:sz w:val="28"/>
          <w:szCs w:val="28"/>
          <w:highlight w:val="none"/>
        </w:rPr>
      </w:pPr>
      <w:bookmarkStart w:id="240" w:name="_Toc23946"/>
      <w:bookmarkStart w:id="241" w:name="_Toc2817"/>
      <w:bookmarkStart w:id="242" w:name="_Toc28725"/>
    </w:p>
    <w:p w14:paraId="22615E73">
      <w:pPr>
        <w:spacing w:line="460" w:lineRule="exact"/>
        <w:jc w:val="center"/>
        <w:rPr>
          <w:rFonts w:hint="eastAsia" w:ascii="宋体" w:hAnsi="宋体" w:eastAsia="宋体" w:cs="宋体"/>
          <w:b/>
          <w:bCs/>
          <w:color w:val="auto"/>
          <w:kern w:val="0"/>
          <w:sz w:val="28"/>
          <w:szCs w:val="28"/>
          <w:highlight w:val="none"/>
        </w:rPr>
      </w:pPr>
    </w:p>
    <w:p w14:paraId="5BEF2451">
      <w:pPr>
        <w:spacing w:line="460" w:lineRule="exact"/>
        <w:jc w:val="both"/>
        <w:rPr>
          <w:rFonts w:hint="eastAsia" w:ascii="宋体" w:hAnsi="宋体" w:eastAsia="宋体" w:cs="宋体"/>
          <w:b/>
          <w:bCs/>
          <w:color w:val="auto"/>
          <w:kern w:val="0"/>
          <w:sz w:val="28"/>
          <w:szCs w:val="28"/>
          <w:highlight w:val="none"/>
        </w:rPr>
      </w:pPr>
    </w:p>
    <w:p w14:paraId="434A6677">
      <w:pP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br w:type="page"/>
      </w:r>
    </w:p>
    <w:p w14:paraId="778F5D89">
      <w:pPr>
        <w:spacing w:line="460" w:lineRule="exact"/>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二、磋商响应承诺书</w:t>
      </w:r>
      <w:bookmarkEnd w:id="240"/>
      <w:bookmarkEnd w:id="241"/>
      <w:bookmarkEnd w:id="242"/>
    </w:p>
    <w:p w14:paraId="081F876E">
      <w:pPr>
        <w:pStyle w:val="15"/>
        <w:ind w:left="0" w:leftChars="0" w:firstLine="0" w:firstLineChars="0"/>
        <w:rPr>
          <w:rFonts w:hint="eastAsia" w:ascii="宋体" w:hAnsi="宋体" w:eastAsia="宋体" w:cs="宋体"/>
          <w:color w:val="auto"/>
          <w:highlight w:val="none"/>
        </w:rPr>
      </w:pPr>
    </w:p>
    <w:p w14:paraId="7C3DF9F5">
      <w:pPr>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w:t>
      </w:r>
    </w:p>
    <w:p w14:paraId="74038480">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根据贵方组织的</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竞争性磋商文件（</w:t>
      </w:r>
      <w:r>
        <w:rPr>
          <w:rFonts w:hint="eastAsia" w:ascii="宋体" w:hAnsi="宋体" w:cs="宋体"/>
          <w:color w:val="auto"/>
          <w:sz w:val="24"/>
          <w:highlight w:val="none"/>
          <w:lang w:eastAsia="zh-CN"/>
        </w:rPr>
        <w:t>项目编号</w:t>
      </w:r>
      <w:r>
        <w:rPr>
          <w:rFonts w:hint="eastAsia" w:ascii="宋体" w:hAnsi="宋体" w:eastAsia="宋体" w:cs="宋体"/>
          <w:color w:val="auto"/>
          <w:sz w:val="24"/>
          <w:highlight w:val="none"/>
        </w:rPr>
        <w:t>：</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），经详细研究，决定参加该项目的磋商，并提交相应响应文件。</w:t>
      </w:r>
    </w:p>
    <w:p w14:paraId="18849147">
      <w:pPr>
        <w:autoSpaceDE w:val="0"/>
        <w:autoSpaceDN w:val="0"/>
        <w:adjustRightInd w:val="0"/>
        <w:spacing w:line="460" w:lineRule="exact"/>
        <w:ind w:right="246"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据此函，我方愿意交纳磋商保证金人民币</w:t>
      </w:r>
      <w:r>
        <w:rPr>
          <w:rFonts w:hint="eastAsia" w:ascii="宋体" w:hAnsi="宋体" w:eastAsia="宋体" w:cs="宋体"/>
          <w:color w:val="auto"/>
          <w:sz w:val="24"/>
          <w:highlight w:val="none"/>
          <w:u w:val="single"/>
        </w:rPr>
        <w:t xml:space="preserve">  （小写）（大写）  </w:t>
      </w:r>
      <w:r>
        <w:rPr>
          <w:rFonts w:hint="eastAsia" w:ascii="宋体" w:hAnsi="宋体" w:eastAsia="宋体" w:cs="宋体"/>
          <w:color w:val="auto"/>
          <w:sz w:val="24"/>
          <w:highlight w:val="none"/>
        </w:rPr>
        <w:t>元，作为本次磋商的保证，并承诺如下</w:t>
      </w:r>
      <w:r>
        <w:rPr>
          <w:rFonts w:hint="eastAsia" w:ascii="宋体" w:hAnsi="宋体" w:eastAsia="宋体" w:cs="宋体"/>
          <w:color w:val="auto"/>
          <w:kern w:val="0"/>
          <w:sz w:val="24"/>
          <w:highlight w:val="none"/>
        </w:rPr>
        <w:t>：</w:t>
      </w:r>
    </w:p>
    <w:p w14:paraId="6AC7FC4D">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1.我公司符合《</w:t>
      </w:r>
      <w:r>
        <w:rPr>
          <w:rFonts w:hint="eastAsia" w:ascii="宋体" w:hAnsi="宋体" w:cs="宋体"/>
          <w:color w:val="auto"/>
          <w:sz w:val="24"/>
          <w:highlight w:val="none"/>
          <w:lang w:eastAsia="zh-CN"/>
        </w:rPr>
        <w:t>中华人民共和国政府采购法</w:t>
      </w:r>
      <w:r>
        <w:rPr>
          <w:rFonts w:hint="eastAsia" w:ascii="宋体" w:hAnsi="宋体" w:eastAsia="宋体" w:cs="宋体"/>
          <w:color w:val="auto"/>
          <w:sz w:val="24"/>
          <w:highlight w:val="none"/>
        </w:rPr>
        <w:t>》第二十二条的规定。</w:t>
      </w:r>
    </w:p>
    <w:p w14:paraId="13171438">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2.磋商有效期为递交响应文件截止日起90天。</w:t>
      </w:r>
    </w:p>
    <w:p w14:paraId="758FA5C8">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3.我方已经详细地阅读了全部竞争性磋商文件及其附件，包括澄清及更正文件。我方已完全清晰理解竞争性磋商文件的要求，不存在任何含糊不清和误解之处，同意放弃对这些文件所提出异议和质疑的权利。</w:t>
      </w:r>
    </w:p>
    <w:p w14:paraId="00F57C53">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4.若我方出现竞争性磋商文件中所列的保证金不予退还的情形，我方同意保证金</w:t>
      </w:r>
      <w:r>
        <w:rPr>
          <w:rFonts w:hint="eastAsia" w:ascii="宋体" w:hAnsi="宋体" w:cs="宋体"/>
          <w:color w:val="auto"/>
          <w:sz w:val="24"/>
          <w:highlight w:val="none"/>
          <w:lang w:eastAsia="zh-CN"/>
        </w:rPr>
        <w:t>不予</w:t>
      </w:r>
      <w:r>
        <w:rPr>
          <w:rFonts w:hint="eastAsia" w:ascii="宋体" w:hAnsi="宋体" w:eastAsia="宋体" w:cs="宋体"/>
          <w:color w:val="auto"/>
          <w:sz w:val="24"/>
          <w:highlight w:val="none"/>
        </w:rPr>
        <w:t>退还给我方。</w:t>
      </w:r>
    </w:p>
    <w:p w14:paraId="44BB7563">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5.我方承诺在本次响应文件中提供的一切文件，无论是原件还是复印件均为真实和准确的，绝无任何虚假、伪造和夸大</w:t>
      </w:r>
      <w:r>
        <w:rPr>
          <w:rFonts w:hint="eastAsia" w:ascii="宋体" w:hAnsi="宋体" w:cs="宋体"/>
          <w:color w:val="auto"/>
          <w:sz w:val="24"/>
          <w:highlight w:val="none"/>
          <w:lang w:eastAsia="zh-CN"/>
        </w:rPr>
        <w:t>的成分</w:t>
      </w:r>
      <w:r>
        <w:rPr>
          <w:rFonts w:hint="eastAsia" w:ascii="宋体" w:hAnsi="宋体" w:eastAsia="宋体" w:cs="宋体"/>
          <w:color w:val="auto"/>
          <w:sz w:val="24"/>
          <w:highlight w:val="none"/>
        </w:rPr>
        <w:t>，否则，愿承担相应的后果和法律责任。</w:t>
      </w:r>
    </w:p>
    <w:p w14:paraId="7DF5B9A0">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6.我方完全服从和尊重磋商小组所作的成交结果。</w:t>
      </w:r>
    </w:p>
    <w:p w14:paraId="0FC6634C">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7.我方所供服务质量达到国家及行业验收合格标准。</w:t>
      </w:r>
    </w:p>
    <w:p w14:paraId="46DBE7AC">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8.完全满足“第三章  采购项目要求”的实质性条款。</w:t>
      </w:r>
    </w:p>
    <w:p w14:paraId="7F4BA837">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9.一旦我方成交，我们将根据竞争性磋商文件、响应文件及其有效补充文件的规定，严格按照《中华人民共和国民法典》履行自己的责任和义务。 </w:t>
      </w:r>
    </w:p>
    <w:p w14:paraId="171BF2F4">
      <w:pPr>
        <w:pStyle w:val="15"/>
        <w:spacing w:line="460" w:lineRule="exact"/>
        <w:ind w:left="0" w:leftChars="0" w:firstLine="0" w:firstLineChars="0"/>
        <w:rPr>
          <w:rFonts w:hint="eastAsia" w:ascii="宋体" w:hAnsi="宋体" w:eastAsia="宋体" w:cs="宋体"/>
          <w:color w:val="auto"/>
          <w:sz w:val="24"/>
          <w:highlight w:val="none"/>
        </w:rPr>
      </w:pPr>
    </w:p>
    <w:p w14:paraId="40BBDAE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供应商全称（加盖单位公章）：</w:t>
      </w:r>
      <w:r>
        <w:rPr>
          <w:rFonts w:hint="eastAsia" w:ascii="宋体" w:hAnsi="宋体" w:eastAsia="宋体" w:cs="宋体"/>
          <w:color w:val="auto"/>
          <w:sz w:val="24"/>
          <w:highlight w:val="none"/>
          <w:u w:val="single"/>
        </w:rPr>
        <w:t>　　　　　　　　　　　　</w:t>
      </w:r>
    </w:p>
    <w:p w14:paraId="4A36B5E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法定代表人或其委托代理人（签字或盖章）：</w:t>
      </w:r>
      <w:r>
        <w:rPr>
          <w:rFonts w:hint="eastAsia" w:ascii="宋体" w:hAnsi="宋体" w:eastAsia="宋体" w:cs="宋体"/>
          <w:color w:val="auto"/>
          <w:sz w:val="24"/>
          <w:highlight w:val="none"/>
          <w:u w:val="single"/>
        </w:rPr>
        <w:t>　　　　　　　　　　</w:t>
      </w:r>
    </w:p>
    <w:p w14:paraId="2E533DF8">
      <w:pPr>
        <w:spacing w:line="460" w:lineRule="exact"/>
        <w:ind w:firstLine="480" w:firstLineChars="200"/>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单位地址：</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邮政编码：</w:t>
      </w:r>
      <w:r>
        <w:rPr>
          <w:rFonts w:hint="eastAsia" w:ascii="宋体" w:hAnsi="宋体" w:cs="宋体"/>
          <w:color w:val="auto"/>
          <w:sz w:val="24"/>
          <w:highlight w:val="none"/>
          <w:u w:val="single"/>
          <w:lang w:val="en-US" w:eastAsia="zh-CN"/>
        </w:rPr>
        <w:t xml:space="preserve">               </w:t>
      </w:r>
    </w:p>
    <w:p w14:paraId="4FAB0499">
      <w:pPr>
        <w:spacing w:line="460" w:lineRule="exact"/>
        <w:ind w:firstLine="480" w:firstLineChars="200"/>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电    话：</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传    真：</w:t>
      </w:r>
      <w:r>
        <w:rPr>
          <w:rFonts w:hint="eastAsia" w:ascii="宋体" w:hAnsi="宋体" w:cs="宋体"/>
          <w:color w:val="auto"/>
          <w:sz w:val="24"/>
          <w:highlight w:val="none"/>
          <w:u w:val="single"/>
          <w:lang w:val="en-US" w:eastAsia="zh-CN"/>
        </w:rPr>
        <w:t xml:space="preserve">                       </w:t>
      </w:r>
    </w:p>
    <w:p w14:paraId="43097468">
      <w:pPr>
        <w:spacing w:line="460" w:lineRule="exact"/>
        <w:ind w:firstLine="480" w:firstLineChars="200"/>
        <w:rPr>
          <w:rFonts w:hint="default" w:ascii="宋体" w:hAnsi="宋体" w:eastAsia="宋体" w:cs="宋体"/>
          <w:color w:val="auto"/>
          <w:sz w:val="24"/>
          <w:highlight w:val="none"/>
          <w:u w:val="single"/>
          <w:lang w:val="en-US" w:eastAsia="zh-CN"/>
        </w:rPr>
        <w:sectPr>
          <w:pgSz w:w="11906" w:h="16838"/>
          <w:pgMar w:top="1440" w:right="1440" w:bottom="1440" w:left="1440" w:header="851" w:footer="992" w:gutter="0"/>
          <w:pgNumType w:fmt="decimal"/>
          <w:cols w:space="720" w:num="1"/>
          <w:docGrid w:type="lines" w:linePitch="312" w:charSpace="0"/>
        </w:sectPr>
      </w:pPr>
      <w:r>
        <w:rPr>
          <w:rFonts w:hint="eastAsia" w:ascii="宋体" w:hAnsi="宋体" w:eastAsia="宋体" w:cs="宋体"/>
          <w:color w:val="auto"/>
          <w:sz w:val="24"/>
          <w:highlight w:val="none"/>
        </w:rPr>
        <w:t xml:space="preserve">                                     日    期：</w:t>
      </w:r>
      <w:r>
        <w:rPr>
          <w:rFonts w:hint="eastAsia" w:ascii="宋体" w:hAnsi="宋体" w:cs="宋体"/>
          <w:color w:val="auto"/>
          <w:sz w:val="24"/>
          <w:highlight w:val="none"/>
          <w:u w:val="single"/>
          <w:lang w:val="en-US" w:eastAsia="zh-CN"/>
        </w:rPr>
        <w:t xml:space="preserve">              </w:t>
      </w:r>
    </w:p>
    <w:p w14:paraId="5F9676C9">
      <w:pPr>
        <w:spacing w:line="360" w:lineRule="auto"/>
        <w:jc w:val="center"/>
        <w:rPr>
          <w:rFonts w:ascii="宋体" w:hAnsi="宋体" w:cs="宋体"/>
          <w:b/>
          <w:bCs/>
          <w:color w:val="auto"/>
          <w:sz w:val="28"/>
          <w:szCs w:val="28"/>
        </w:rPr>
      </w:pPr>
      <w:bookmarkStart w:id="243" w:name="_Toc24733"/>
      <w:bookmarkStart w:id="244" w:name="_Toc14215"/>
      <w:bookmarkStart w:id="245" w:name="_Toc23091"/>
      <w:r>
        <w:rPr>
          <w:rFonts w:hint="eastAsia" w:ascii="宋体" w:hAnsi="宋体" w:cs="宋体"/>
          <w:b/>
          <w:bCs/>
          <w:color w:val="auto"/>
          <w:sz w:val="28"/>
          <w:szCs w:val="28"/>
        </w:rPr>
        <w:t>廉洁承诺书</w:t>
      </w:r>
    </w:p>
    <w:p w14:paraId="7BFD3AA6">
      <w:pPr>
        <w:spacing w:line="500" w:lineRule="exact"/>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中华人民共和国畹町出入境边防检查站</w:t>
      </w:r>
    </w:p>
    <w:p w14:paraId="42AFDA33">
      <w:pPr>
        <w:spacing w:line="500" w:lineRule="exact"/>
        <w:ind w:firstLine="480" w:firstLineChars="200"/>
        <w:rPr>
          <w:rFonts w:ascii="宋体" w:hAnsi="宋体" w:cs="宋体"/>
          <w:color w:val="auto"/>
          <w:sz w:val="24"/>
        </w:rPr>
      </w:pPr>
      <w:r>
        <w:rPr>
          <w:rFonts w:hint="eastAsia" w:ascii="宋体" w:hAnsi="宋体" w:cs="宋体"/>
          <w:color w:val="auto"/>
          <w:sz w:val="24"/>
        </w:rPr>
        <w:t>本公司为更好</w:t>
      </w:r>
      <w:r>
        <w:rPr>
          <w:rFonts w:hint="eastAsia" w:ascii="宋体" w:hAnsi="宋体" w:cs="宋体"/>
          <w:color w:val="auto"/>
          <w:sz w:val="24"/>
          <w:lang w:eastAsia="zh-CN"/>
        </w:rPr>
        <w:t>地</w:t>
      </w:r>
      <w:r>
        <w:rPr>
          <w:rFonts w:hint="eastAsia" w:ascii="宋体" w:hAnsi="宋体" w:cs="宋体"/>
          <w:color w:val="auto"/>
          <w:sz w:val="24"/>
        </w:rPr>
        <w:t>提供优质服务，有效地预防违法、违规、违纪行为的发生，全面落实公开、公平、公正原则，本公司郑重作出廉洁承诺。</w:t>
      </w:r>
    </w:p>
    <w:p w14:paraId="408CA86C">
      <w:pPr>
        <w:spacing w:line="500" w:lineRule="exact"/>
        <w:ind w:firstLine="480" w:firstLineChars="200"/>
        <w:rPr>
          <w:rFonts w:ascii="宋体" w:hAnsi="宋体" w:cs="宋体"/>
          <w:color w:val="auto"/>
          <w:sz w:val="24"/>
        </w:rPr>
      </w:pPr>
      <w:r>
        <w:rPr>
          <w:rFonts w:hint="eastAsia" w:ascii="宋体" w:hAnsi="宋体" w:cs="宋体"/>
          <w:color w:val="auto"/>
          <w:sz w:val="24"/>
        </w:rPr>
        <w:t>1.在</w:t>
      </w:r>
      <w:r>
        <w:rPr>
          <w:rFonts w:hint="eastAsia" w:ascii="宋体" w:hAnsi="宋体" w:cs="宋体"/>
          <w:color w:val="auto"/>
          <w:sz w:val="24"/>
          <w:lang w:eastAsia="zh-CN"/>
        </w:rPr>
        <w:t>采购</w:t>
      </w:r>
      <w:r>
        <w:rPr>
          <w:rFonts w:hint="eastAsia" w:ascii="宋体" w:hAnsi="宋体" w:cs="宋体"/>
          <w:color w:val="auto"/>
          <w:sz w:val="24"/>
        </w:rPr>
        <w:t>代理过程中不利用行贿、欺骗、弄虚作假等不正当手段进行投标。</w:t>
      </w:r>
    </w:p>
    <w:p w14:paraId="42E56FCA">
      <w:pPr>
        <w:spacing w:line="500" w:lineRule="exact"/>
        <w:ind w:firstLine="480" w:firstLineChars="200"/>
        <w:rPr>
          <w:rFonts w:ascii="宋体" w:hAnsi="宋体" w:cs="宋体"/>
          <w:color w:val="auto"/>
          <w:sz w:val="24"/>
        </w:rPr>
      </w:pPr>
      <w:r>
        <w:rPr>
          <w:rFonts w:hint="eastAsia" w:ascii="宋体" w:hAnsi="宋体" w:cs="宋体"/>
          <w:color w:val="auto"/>
          <w:sz w:val="24"/>
        </w:rPr>
        <w:t>2.严格按照国家</w:t>
      </w:r>
      <w:r>
        <w:rPr>
          <w:rFonts w:hint="eastAsia" w:ascii="宋体" w:hAnsi="宋体" w:cs="宋体"/>
          <w:color w:val="auto"/>
          <w:sz w:val="24"/>
          <w:lang w:eastAsia="zh-CN"/>
        </w:rPr>
        <w:t>法律法规</w:t>
      </w:r>
      <w:r>
        <w:rPr>
          <w:rFonts w:hint="eastAsia" w:ascii="宋体" w:hAnsi="宋体" w:cs="宋体"/>
          <w:color w:val="auto"/>
          <w:sz w:val="24"/>
        </w:rPr>
        <w:t>及行业规章履行自己的职责，不与任何第三方串通进行虚假招标、陪标、围标、串标等活动；与</w:t>
      </w:r>
      <w:r>
        <w:rPr>
          <w:rFonts w:hint="eastAsia" w:ascii="宋体" w:hAnsi="宋体" w:cs="宋体"/>
          <w:color w:val="auto"/>
          <w:sz w:val="24"/>
          <w:lang w:eastAsia="zh-CN"/>
        </w:rPr>
        <w:t>采购</w:t>
      </w:r>
      <w:r>
        <w:rPr>
          <w:rFonts w:hint="eastAsia" w:ascii="宋体" w:hAnsi="宋体" w:cs="宋体"/>
          <w:color w:val="auto"/>
          <w:sz w:val="24"/>
        </w:rPr>
        <w:t>人进行的各项业务始终将严格按照中华人民共和国现行的</w:t>
      </w:r>
      <w:r>
        <w:rPr>
          <w:rFonts w:hint="eastAsia" w:ascii="宋体" w:hAnsi="宋体" w:cs="宋体"/>
          <w:color w:val="auto"/>
          <w:sz w:val="24"/>
          <w:lang w:eastAsia="zh-CN"/>
        </w:rPr>
        <w:t>法律法规</w:t>
      </w:r>
      <w:r>
        <w:rPr>
          <w:rFonts w:hint="eastAsia" w:ascii="宋体" w:hAnsi="宋体" w:cs="宋体"/>
          <w:color w:val="auto"/>
          <w:sz w:val="24"/>
        </w:rPr>
        <w:t>、规章的规定，履行自己的职责。</w:t>
      </w:r>
    </w:p>
    <w:p w14:paraId="57F2F556">
      <w:pPr>
        <w:spacing w:line="500" w:lineRule="exact"/>
        <w:ind w:firstLine="480" w:firstLineChars="200"/>
        <w:rPr>
          <w:rFonts w:ascii="宋体" w:hAnsi="宋体" w:cs="宋体"/>
          <w:color w:val="auto"/>
          <w:sz w:val="24"/>
        </w:rPr>
      </w:pPr>
      <w:r>
        <w:rPr>
          <w:rFonts w:hint="eastAsia" w:ascii="宋体" w:hAnsi="宋体" w:cs="宋体"/>
          <w:color w:val="auto"/>
          <w:sz w:val="24"/>
        </w:rPr>
        <w:t>3.不向贵单位领导、办事人员及其亲属进行回扣、礼金、有价证券、贵重物品及其他任何行贿行为，包括未来利益。</w:t>
      </w:r>
    </w:p>
    <w:p w14:paraId="10925BAA">
      <w:pPr>
        <w:spacing w:line="500" w:lineRule="exact"/>
        <w:ind w:firstLine="480" w:firstLineChars="200"/>
        <w:rPr>
          <w:rFonts w:ascii="宋体" w:hAnsi="宋体" w:cs="宋体"/>
          <w:color w:val="auto"/>
          <w:sz w:val="24"/>
        </w:rPr>
      </w:pPr>
      <w:r>
        <w:rPr>
          <w:rFonts w:hint="eastAsia" w:ascii="宋体" w:hAnsi="宋体" w:cs="宋体"/>
          <w:color w:val="auto"/>
          <w:sz w:val="24"/>
        </w:rPr>
        <w:t>4.严格按照《中华人民共和国招标投标法</w:t>
      </w:r>
      <w:r>
        <w:rPr>
          <w:rFonts w:hint="eastAsia" w:ascii="宋体" w:hAnsi="宋体" w:cs="宋体"/>
          <w:color w:val="auto"/>
          <w:sz w:val="24"/>
          <w:lang w:eastAsia="zh-CN"/>
        </w:rPr>
        <w:t>》《</w:t>
      </w:r>
      <w:r>
        <w:rPr>
          <w:rFonts w:hint="eastAsia" w:ascii="宋体" w:hAnsi="宋体" w:cs="宋体"/>
          <w:color w:val="auto"/>
          <w:sz w:val="24"/>
        </w:rPr>
        <w:t>中华人民共和国政府采购法》等相关</w:t>
      </w:r>
      <w:r>
        <w:rPr>
          <w:rFonts w:hint="eastAsia" w:ascii="宋体" w:hAnsi="宋体" w:cs="宋体"/>
          <w:color w:val="auto"/>
          <w:sz w:val="24"/>
          <w:lang w:eastAsia="zh-CN"/>
        </w:rPr>
        <w:t>法律法规</w:t>
      </w:r>
      <w:r>
        <w:rPr>
          <w:rFonts w:hint="eastAsia" w:ascii="宋体" w:hAnsi="宋体" w:cs="宋体"/>
          <w:color w:val="auto"/>
          <w:sz w:val="24"/>
        </w:rPr>
        <w:t>约束、规范</w:t>
      </w:r>
      <w:r>
        <w:rPr>
          <w:rFonts w:hint="eastAsia" w:ascii="宋体" w:hAnsi="宋体" w:cs="宋体"/>
          <w:color w:val="auto"/>
          <w:sz w:val="24"/>
          <w:lang w:eastAsia="zh-CN"/>
        </w:rPr>
        <w:t>自己</w:t>
      </w:r>
      <w:r>
        <w:rPr>
          <w:rFonts w:hint="eastAsia" w:ascii="宋体" w:hAnsi="宋体" w:cs="宋体"/>
          <w:color w:val="auto"/>
          <w:sz w:val="24"/>
        </w:rPr>
        <w:t>行为。</w:t>
      </w:r>
    </w:p>
    <w:p w14:paraId="23CB6C41">
      <w:pPr>
        <w:spacing w:line="500" w:lineRule="exact"/>
        <w:ind w:firstLine="480" w:firstLineChars="200"/>
        <w:rPr>
          <w:rFonts w:ascii="宋体" w:hAnsi="宋体" w:cs="宋体"/>
          <w:color w:val="auto"/>
          <w:sz w:val="24"/>
        </w:rPr>
      </w:pPr>
      <w:r>
        <w:rPr>
          <w:rFonts w:hint="eastAsia" w:ascii="宋体" w:hAnsi="宋体" w:cs="宋体"/>
          <w:color w:val="auto"/>
          <w:sz w:val="24"/>
        </w:rPr>
        <w:t>5.在履行自己职责时，与各关系人之间，严格按照国家相关法律法规规定规范本公司人员的行为。</w:t>
      </w:r>
    </w:p>
    <w:p w14:paraId="7D139D27">
      <w:pPr>
        <w:spacing w:line="500" w:lineRule="exact"/>
        <w:ind w:firstLine="480" w:firstLineChars="200"/>
        <w:rPr>
          <w:rFonts w:ascii="宋体" w:hAnsi="宋体" w:cs="宋体"/>
          <w:color w:val="auto"/>
          <w:sz w:val="24"/>
        </w:rPr>
      </w:pPr>
      <w:r>
        <w:rPr>
          <w:rFonts w:hint="eastAsia" w:ascii="宋体" w:hAnsi="宋体" w:cs="宋体"/>
          <w:color w:val="auto"/>
          <w:sz w:val="24"/>
        </w:rPr>
        <w:t>本公司若有违反上述任何承诺条款(情形)之一，经查证属实后，完全愿意接受党纪政纪部门、政府主管部门、行业组织等依法依规进行的任何处罚与处分，并承担</w:t>
      </w:r>
      <w:r>
        <w:rPr>
          <w:rFonts w:hint="eastAsia" w:ascii="宋体" w:hAnsi="宋体" w:cs="宋体"/>
          <w:color w:val="auto"/>
          <w:sz w:val="24"/>
          <w:lang w:eastAsia="zh-CN"/>
        </w:rPr>
        <w:t>采购</w:t>
      </w:r>
      <w:r>
        <w:rPr>
          <w:rFonts w:hint="eastAsia" w:ascii="宋体" w:hAnsi="宋体" w:cs="宋体"/>
          <w:color w:val="auto"/>
          <w:sz w:val="24"/>
        </w:rPr>
        <w:t>人或相关部门在网络上公开我公司“不诚信或不廉洁”信息所造成的一切后果；若构成违约，向</w:t>
      </w:r>
      <w:r>
        <w:rPr>
          <w:rFonts w:hint="eastAsia" w:ascii="宋体" w:hAnsi="宋体" w:cs="宋体"/>
          <w:color w:val="auto"/>
          <w:sz w:val="24"/>
          <w:lang w:eastAsia="zh-CN"/>
        </w:rPr>
        <w:t>采购</w:t>
      </w:r>
      <w:r>
        <w:rPr>
          <w:rFonts w:hint="eastAsia" w:ascii="宋体" w:hAnsi="宋体" w:cs="宋体"/>
          <w:color w:val="auto"/>
          <w:sz w:val="24"/>
        </w:rPr>
        <w:t>人承担全部违约责任；若造成财产损失，承担全部赔偿责任；若触犯刑律，承担刑事责任。</w:t>
      </w:r>
    </w:p>
    <w:p w14:paraId="3F7D05E8">
      <w:pPr>
        <w:spacing w:line="500" w:lineRule="exact"/>
        <w:ind w:firstLine="480" w:firstLineChars="200"/>
        <w:rPr>
          <w:rFonts w:ascii="宋体" w:hAnsi="宋体" w:cs="宋体"/>
          <w:color w:val="auto"/>
          <w:sz w:val="24"/>
        </w:rPr>
      </w:pPr>
    </w:p>
    <w:p w14:paraId="144105F1">
      <w:pPr>
        <w:spacing w:line="500" w:lineRule="exact"/>
        <w:ind w:firstLine="1920" w:firstLineChars="800"/>
        <w:rPr>
          <w:rFonts w:ascii="宋体" w:hAnsi="宋体" w:cs="宋体"/>
          <w:color w:val="auto"/>
          <w:sz w:val="24"/>
        </w:rPr>
      </w:pPr>
    </w:p>
    <w:p w14:paraId="7E27EF4F">
      <w:pPr>
        <w:spacing w:line="500" w:lineRule="exact"/>
        <w:ind w:firstLine="1680" w:firstLineChars="700"/>
        <w:jc w:val="left"/>
        <w:rPr>
          <w:rFonts w:hint="default" w:ascii="宋体" w:hAnsi="宋体" w:eastAsia="宋体" w:cs="宋体"/>
          <w:color w:val="auto"/>
          <w:sz w:val="24"/>
          <w:u w:val="single"/>
          <w:lang w:val="en-US" w:eastAsia="zh-CN"/>
        </w:rPr>
      </w:pPr>
      <w:r>
        <w:rPr>
          <w:rFonts w:hint="eastAsia" w:ascii="宋体" w:hAnsi="宋体" w:cs="宋体"/>
          <w:color w:val="auto"/>
          <w:sz w:val="24"/>
        </w:rPr>
        <w:t>公司名称 (</w:t>
      </w:r>
      <w:r>
        <w:rPr>
          <w:rFonts w:hint="eastAsia" w:ascii="宋体" w:hAnsi="宋体" w:cs="宋体"/>
          <w:color w:val="auto"/>
          <w:sz w:val="24"/>
          <w:lang w:eastAsia="zh-CN"/>
        </w:rPr>
        <w:t>加盖单位</w:t>
      </w:r>
      <w:r>
        <w:rPr>
          <w:rFonts w:hint="eastAsia" w:ascii="宋体" w:hAnsi="宋体" w:cs="宋体"/>
          <w:color w:val="auto"/>
          <w:sz w:val="24"/>
        </w:rPr>
        <w:t>公章)：</w:t>
      </w:r>
      <w:r>
        <w:rPr>
          <w:rFonts w:hint="eastAsia" w:ascii="宋体" w:hAnsi="宋体" w:cs="宋体"/>
          <w:color w:val="auto"/>
          <w:sz w:val="24"/>
          <w:u w:val="single"/>
          <w:lang w:val="en-US" w:eastAsia="zh-CN"/>
        </w:rPr>
        <w:t xml:space="preserve">                             </w:t>
      </w:r>
    </w:p>
    <w:p w14:paraId="506226F0">
      <w:pPr>
        <w:spacing w:line="500" w:lineRule="exact"/>
        <w:ind w:firstLine="1680" w:firstLineChars="700"/>
        <w:jc w:val="left"/>
        <w:rPr>
          <w:rFonts w:hint="eastAsia" w:ascii="宋体" w:hAnsi="宋体" w:cs="宋体"/>
          <w:color w:val="auto"/>
          <w:sz w:val="24"/>
          <w:lang w:eastAsia="zh-CN"/>
        </w:rPr>
      </w:pPr>
    </w:p>
    <w:p w14:paraId="7AC4EFE0">
      <w:pPr>
        <w:spacing w:line="500" w:lineRule="exact"/>
        <w:ind w:firstLine="1680" w:firstLineChars="700"/>
        <w:jc w:val="left"/>
        <w:rPr>
          <w:rFonts w:hint="default" w:ascii="宋体" w:hAnsi="宋体" w:eastAsia="宋体" w:cs="宋体"/>
          <w:color w:val="auto"/>
          <w:sz w:val="24"/>
          <w:u w:val="single"/>
          <w:lang w:val="en-US" w:eastAsia="zh-CN"/>
        </w:rPr>
      </w:pPr>
      <w:r>
        <w:rPr>
          <w:rFonts w:hint="eastAsia" w:ascii="宋体" w:hAnsi="宋体" w:cs="宋体"/>
          <w:color w:val="auto"/>
          <w:sz w:val="24"/>
          <w:lang w:eastAsia="zh-CN"/>
        </w:rPr>
        <w:t>法定代表人</w:t>
      </w:r>
      <w:r>
        <w:rPr>
          <w:rFonts w:hint="eastAsia" w:ascii="宋体" w:hAnsi="宋体" w:cs="宋体"/>
          <w:color w:val="auto"/>
          <w:sz w:val="24"/>
        </w:rPr>
        <w:t>或委托代理人</w:t>
      </w:r>
      <w:r>
        <w:rPr>
          <w:rFonts w:hint="eastAsia" w:ascii="宋体" w:hAnsi="宋体" w:cs="宋体"/>
          <w:color w:val="auto"/>
          <w:sz w:val="24"/>
          <w:lang w:eastAsia="zh-CN"/>
        </w:rPr>
        <w:t>（签字或盖章）</w:t>
      </w:r>
      <w:r>
        <w:rPr>
          <w:rFonts w:hint="eastAsia" w:ascii="宋体" w:hAnsi="宋体" w:cs="宋体"/>
          <w:color w:val="auto"/>
          <w:sz w:val="24"/>
        </w:rPr>
        <w:t>：</w:t>
      </w:r>
      <w:r>
        <w:rPr>
          <w:rFonts w:hint="eastAsia" w:ascii="宋体" w:hAnsi="宋体" w:cs="宋体"/>
          <w:color w:val="auto"/>
          <w:sz w:val="24"/>
          <w:u w:val="single"/>
          <w:lang w:val="en-US" w:eastAsia="zh-CN"/>
        </w:rPr>
        <w:t xml:space="preserve">            </w:t>
      </w:r>
    </w:p>
    <w:p w14:paraId="2DB1B2F0">
      <w:pPr>
        <w:spacing w:line="500" w:lineRule="exact"/>
        <w:ind w:firstLine="2400" w:firstLineChars="1000"/>
        <w:jc w:val="left"/>
        <w:rPr>
          <w:rFonts w:ascii="宋体" w:hAnsi="宋体" w:cs="宋体"/>
          <w:color w:val="auto"/>
          <w:sz w:val="24"/>
        </w:rPr>
      </w:pPr>
    </w:p>
    <w:p w14:paraId="2824062D">
      <w:pPr>
        <w:spacing w:line="500" w:lineRule="exact"/>
        <w:ind w:firstLine="3600" w:firstLineChars="1500"/>
        <w:rPr>
          <w:rFonts w:ascii="宋体" w:hAnsi="宋体" w:cs="宋体"/>
          <w:color w:val="auto"/>
          <w:sz w:val="24"/>
        </w:rPr>
      </w:pPr>
      <w:r>
        <w:rPr>
          <w:rFonts w:hint="eastAsia" w:ascii="宋体" w:hAnsi="宋体" w:cs="宋体"/>
          <w:color w:val="auto"/>
          <w:sz w:val="24"/>
        </w:rPr>
        <w:t>日期：   年   月    日</w:t>
      </w:r>
    </w:p>
    <w:p w14:paraId="09F61F06">
      <w:pPr>
        <w:pStyle w:val="47"/>
        <w:rPr>
          <w:color w:val="auto"/>
        </w:rPr>
        <w:sectPr>
          <w:headerReference r:id="rId12" w:type="default"/>
          <w:pgSz w:w="11906" w:h="16838"/>
          <w:pgMar w:top="1134" w:right="1304" w:bottom="1134" w:left="1304" w:header="851" w:footer="992" w:gutter="0"/>
          <w:pgNumType w:fmt="decimal"/>
          <w:cols w:space="720" w:num="1"/>
          <w:docGrid w:type="lines" w:linePitch="312" w:charSpace="0"/>
        </w:sectPr>
      </w:pPr>
    </w:p>
    <w:p w14:paraId="5F7637BA">
      <w:pPr>
        <w:spacing w:line="500" w:lineRule="exact"/>
        <w:ind w:firstLine="562" w:firstLineChars="2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三、法定代表人资格证明及供应商法定代表人授权书</w:t>
      </w:r>
      <w:bookmarkEnd w:id="243"/>
      <w:bookmarkEnd w:id="244"/>
      <w:bookmarkEnd w:id="245"/>
    </w:p>
    <w:p w14:paraId="3E6E8393">
      <w:pPr>
        <w:spacing w:line="460" w:lineRule="exact"/>
        <w:rPr>
          <w:rFonts w:hint="eastAsia" w:ascii="宋体" w:hAnsi="宋体" w:eastAsia="宋体" w:cs="宋体"/>
          <w:color w:val="auto"/>
          <w:sz w:val="24"/>
          <w:highlight w:val="none"/>
          <w:u w:val="single"/>
        </w:rPr>
      </w:pPr>
    </w:p>
    <w:p w14:paraId="53A2C723">
      <w:pPr>
        <w:spacing w:line="460" w:lineRule="exact"/>
        <w:ind w:firstLine="482" w:firstLineChars="200"/>
        <w:jc w:val="center"/>
        <w:rPr>
          <w:rFonts w:hint="eastAsia" w:ascii="宋体" w:hAnsi="宋体" w:eastAsia="宋体" w:cs="宋体"/>
          <w:b/>
          <w:color w:val="auto"/>
          <w:sz w:val="24"/>
          <w:highlight w:val="none"/>
        </w:rPr>
      </w:pPr>
      <w:bookmarkStart w:id="246" w:name="_Toc18836"/>
      <w:bookmarkStart w:id="247" w:name="_Toc15233"/>
      <w:bookmarkStart w:id="248" w:name="_Toc26731"/>
      <w:bookmarkStart w:id="249" w:name="_Toc24336"/>
      <w:r>
        <w:rPr>
          <w:rFonts w:hint="eastAsia" w:ascii="宋体" w:hAnsi="宋体" w:eastAsia="宋体" w:cs="宋体"/>
          <w:b/>
          <w:color w:val="auto"/>
          <w:sz w:val="24"/>
          <w:highlight w:val="none"/>
        </w:rPr>
        <w:t>法定代表人资格证明书</w:t>
      </w:r>
      <w:bookmarkEnd w:id="246"/>
      <w:bookmarkEnd w:id="247"/>
      <w:bookmarkEnd w:id="248"/>
      <w:bookmarkEnd w:id="249"/>
    </w:p>
    <w:p w14:paraId="2C60610A">
      <w:pPr>
        <w:spacing w:line="460" w:lineRule="exact"/>
        <w:rPr>
          <w:rFonts w:hint="eastAsia" w:ascii="宋体" w:hAnsi="宋体" w:eastAsia="宋体" w:cs="宋体"/>
          <w:color w:val="auto"/>
          <w:sz w:val="24"/>
          <w:highlight w:val="none"/>
        </w:rPr>
      </w:pPr>
    </w:p>
    <w:p w14:paraId="288EA32D">
      <w:pPr>
        <w:spacing w:line="460" w:lineRule="exact"/>
        <w:ind w:firstLine="480" w:firstLineChars="200"/>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 </w:t>
      </w:r>
    </w:p>
    <w:p w14:paraId="5DF82B49">
      <w:pPr>
        <w:spacing w:line="460" w:lineRule="exact"/>
        <w:ind w:firstLine="480" w:firstLineChars="200"/>
        <w:rPr>
          <w:rFonts w:hint="eastAsia" w:ascii="宋体" w:hAnsi="宋体" w:eastAsia="宋体" w:cs="宋体"/>
          <w:color w:val="auto"/>
          <w:sz w:val="24"/>
          <w:highlight w:val="none"/>
        </w:rPr>
      </w:pPr>
    </w:p>
    <w:p w14:paraId="507E48FA">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rPr>
        <w:softHyphen/>
      </w:r>
      <w:r>
        <w:rPr>
          <w:rFonts w:hint="eastAsia" w:ascii="宋体" w:hAnsi="宋体" w:eastAsia="宋体" w:cs="宋体"/>
          <w:color w:val="auto"/>
          <w:sz w:val="24"/>
          <w:highlight w:val="none"/>
          <w:u w:val="single"/>
        </w:rPr>
        <w:softHyphen/>
      </w:r>
    </w:p>
    <w:p w14:paraId="0E779FA9">
      <w:pPr>
        <w:spacing w:line="460" w:lineRule="exact"/>
        <w:ind w:firstLine="480" w:firstLineChars="200"/>
        <w:rPr>
          <w:rFonts w:hint="eastAsia" w:ascii="宋体" w:hAnsi="宋体" w:eastAsia="宋体" w:cs="宋体"/>
          <w:color w:val="auto"/>
          <w:sz w:val="24"/>
          <w:highlight w:val="none"/>
        </w:rPr>
      </w:pPr>
    </w:p>
    <w:p w14:paraId="43594679">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系（供</w:t>
      </w:r>
    </w:p>
    <w:p w14:paraId="2467339F">
      <w:pPr>
        <w:spacing w:line="460" w:lineRule="exact"/>
        <w:rPr>
          <w:rFonts w:hint="eastAsia" w:ascii="宋体" w:hAnsi="宋体" w:eastAsia="宋体" w:cs="宋体"/>
          <w:color w:val="auto"/>
          <w:sz w:val="24"/>
          <w:highlight w:val="none"/>
        </w:rPr>
      </w:pPr>
    </w:p>
    <w:p w14:paraId="213E052E">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应商）的法定代表人。</w:t>
      </w:r>
    </w:p>
    <w:p w14:paraId="77DA0F7F">
      <w:pPr>
        <w:spacing w:line="460" w:lineRule="exact"/>
        <w:rPr>
          <w:rFonts w:hint="eastAsia" w:ascii="宋体" w:hAnsi="宋体" w:eastAsia="宋体" w:cs="宋体"/>
          <w:color w:val="auto"/>
          <w:sz w:val="24"/>
          <w:highlight w:val="none"/>
        </w:rPr>
      </w:pPr>
    </w:p>
    <w:p w14:paraId="612E424D">
      <w:pPr>
        <w:spacing w:line="460" w:lineRule="exact"/>
        <w:ind w:firstLine="1440" w:firstLineChars="6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525C8895">
      <w:pPr>
        <w:spacing w:line="460" w:lineRule="exact"/>
        <w:rPr>
          <w:rFonts w:hint="eastAsia" w:ascii="宋体" w:hAnsi="宋体" w:eastAsia="宋体" w:cs="宋体"/>
          <w:color w:val="auto"/>
          <w:sz w:val="24"/>
          <w:highlight w:val="none"/>
        </w:rPr>
      </w:pPr>
    </w:p>
    <w:p w14:paraId="4A25E4E0">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供应商全称（加盖单位公章）：</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p>
    <w:p w14:paraId="2AE5E27C">
      <w:pPr>
        <w:spacing w:line="460" w:lineRule="exact"/>
        <w:ind w:firstLine="480" w:firstLineChars="200"/>
        <w:rPr>
          <w:rFonts w:hint="eastAsia" w:ascii="宋体" w:hAnsi="宋体" w:eastAsia="宋体" w:cs="宋体"/>
          <w:color w:val="auto"/>
          <w:sz w:val="24"/>
          <w:highlight w:val="none"/>
        </w:rPr>
      </w:pPr>
    </w:p>
    <w:p w14:paraId="44D48F8D">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64234161">
      <w:pPr>
        <w:pStyle w:val="15"/>
        <w:rPr>
          <w:rFonts w:hint="eastAsia" w:ascii="宋体" w:hAnsi="宋体" w:eastAsia="宋体" w:cs="宋体"/>
          <w:color w:val="auto"/>
          <w:highlight w:val="none"/>
        </w:rPr>
      </w:pPr>
    </w:p>
    <w:p w14:paraId="4836C812">
      <w:pPr>
        <w:spacing w:line="500" w:lineRule="exact"/>
        <w:jc w:val="center"/>
        <w:rPr>
          <w:rFonts w:hint="eastAsia" w:ascii="宋体" w:hAnsi="宋体" w:eastAsia="宋体" w:cs="宋体"/>
          <w:b/>
          <w:color w:val="auto"/>
          <w:sz w:val="24"/>
          <w:highlight w:val="none"/>
        </w:rPr>
      </w:pPr>
    </w:p>
    <w:p w14:paraId="512626A8">
      <w:pPr>
        <w:spacing w:line="500" w:lineRule="exact"/>
        <w:jc w:val="center"/>
        <w:rPr>
          <w:rFonts w:hint="eastAsia" w:ascii="宋体" w:hAnsi="宋体" w:eastAsia="宋体" w:cs="宋体"/>
          <w:b/>
          <w:color w:val="auto"/>
          <w:sz w:val="24"/>
          <w:highlight w:val="none"/>
        </w:rPr>
        <w:sectPr>
          <w:pgSz w:w="11906" w:h="16838"/>
          <w:pgMar w:top="1440" w:right="1440" w:bottom="1440" w:left="1440" w:header="851" w:footer="992" w:gutter="0"/>
          <w:pgNumType w:fmt="decimal"/>
          <w:cols w:space="720" w:num="1"/>
          <w:docGrid w:type="lines" w:linePitch="312" w:charSpace="0"/>
        </w:sectPr>
      </w:pPr>
      <w:bookmarkStart w:id="250" w:name="_Toc7663"/>
      <w:bookmarkStart w:id="251" w:name="_Toc16547"/>
      <w:bookmarkStart w:id="252" w:name="_Toc23717"/>
      <w:bookmarkStart w:id="253" w:name="_Toc16425"/>
      <w:r>
        <w:rPr>
          <w:rFonts w:hint="eastAsia" w:ascii="宋体" w:hAnsi="宋体" w:eastAsia="宋体" w:cs="宋体"/>
          <w:b/>
          <w:color w:val="auto"/>
          <w:sz w:val="24"/>
          <w:highlight w:val="none"/>
        </w:rPr>
        <w:t>注：附法定代表人身份证（正、反面）扫描件。</w:t>
      </w:r>
      <w:bookmarkEnd w:id="250"/>
      <w:bookmarkEnd w:id="251"/>
      <w:bookmarkEnd w:id="252"/>
      <w:bookmarkEnd w:id="253"/>
    </w:p>
    <w:p w14:paraId="2B8D1D7E">
      <w:pPr>
        <w:spacing w:line="500" w:lineRule="exact"/>
        <w:ind w:firstLine="482" w:firstLineChars="200"/>
        <w:jc w:val="center"/>
        <w:rPr>
          <w:rFonts w:hint="eastAsia" w:ascii="宋体" w:hAnsi="宋体" w:eastAsia="宋体" w:cs="宋体"/>
          <w:b/>
          <w:bCs/>
          <w:color w:val="auto"/>
          <w:sz w:val="28"/>
          <w:szCs w:val="28"/>
          <w:highlight w:val="none"/>
        </w:rPr>
      </w:pPr>
      <w:bookmarkStart w:id="254" w:name="_Toc26968"/>
      <w:bookmarkStart w:id="255" w:name="_Toc30467"/>
      <w:bookmarkStart w:id="256" w:name="_Toc4652"/>
      <w:bookmarkStart w:id="257" w:name="_Toc13610"/>
      <w:r>
        <w:rPr>
          <w:rFonts w:hint="eastAsia" w:ascii="宋体" w:hAnsi="宋体" w:eastAsia="宋体" w:cs="宋体"/>
          <w:b/>
          <w:color w:val="auto"/>
          <w:sz w:val="24"/>
          <w:highlight w:val="none"/>
        </w:rPr>
        <w:t>供应商法定代表人授权书</w:t>
      </w:r>
      <w:bookmarkEnd w:id="254"/>
      <w:bookmarkEnd w:id="255"/>
      <w:bookmarkEnd w:id="256"/>
      <w:bookmarkEnd w:id="257"/>
    </w:p>
    <w:p w14:paraId="3E2CDB16">
      <w:pPr>
        <w:spacing w:after="120"/>
        <w:ind w:left="420" w:leftChars="200" w:firstLine="420" w:firstLineChars="200"/>
        <w:rPr>
          <w:rFonts w:hint="eastAsia" w:ascii="宋体" w:hAnsi="宋体" w:eastAsia="宋体" w:cs="宋体"/>
          <w:color w:val="auto"/>
          <w:kern w:val="0"/>
          <w:highlight w:val="none"/>
        </w:rPr>
      </w:pPr>
    </w:p>
    <w:p w14:paraId="7B8019B9">
      <w:pPr>
        <w:spacing w:line="480" w:lineRule="auto"/>
        <w:ind w:firstLine="480" w:firstLineChars="200"/>
        <w:rPr>
          <w:rFonts w:hint="eastAsia" w:ascii="宋体" w:hAnsi="宋体" w:eastAsia="宋体" w:cs="宋体"/>
          <w:b/>
          <w:bCs/>
          <w:color w:val="auto"/>
          <w:sz w:val="32"/>
          <w:szCs w:val="32"/>
          <w:highlight w:val="none"/>
          <w:u w:val="single"/>
        </w:rPr>
      </w:pPr>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highlight w:val="none"/>
          <w:u w:val="single"/>
        </w:rPr>
        <w:t>(姓名)</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的法定代表人，现授权委托我单位的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为我公司代理人，以公司名义参加</w:t>
      </w:r>
      <w:r>
        <w:rPr>
          <w:rFonts w:hint="eastAsia" w:ascii="宋体" w:hAnsi="宋体" w:eastAsia="宋体" w:cs="宋体"/>
          <w:color w:val="auto"/>
          <w:kern w:val="0"/>
          <w:sz w:val="24"/>
          <w:highlight w:val="none"/>
          <w:u w:val="single"/>
        </w:rPr>
        <w:t>（项目名称）</w:t>
      </w:r>
      <w:r>
        <w:rPr>
          <w:rFonts w:hint="eastAsia" w:ascii="宋体" w:hAnsi="宋体" w:eastAsia="宋体" w:cs="宋体"/>
          <w:color w:val="auto"/>
          <w:sz w:val="24"/>
          <w:highlight w:val="none"/>
          <w:u w:val="single"/>
        </w:rPr>
        <w:t>（</w:t>
      </w:r>
      <w:r>
        <w:rPr>
          <w:rFonts w:hint="eastAsia" w:ascii="宋体" w:hAnsi="宋体" w:cs="宋体"/>
          <w:color w:val="auto"/>
          <w:sz w:val="24"/>
          <w:highlight w:val="none"/>
          <w:u w:val="single"/>
          <w:lang w:eastAsia="zh-CN"/>
        </w:rPr>
        <w:t>项目编号</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的磋商活动。代理人在开标、评标过程中所签署的一切文件和处理与之有关的一切事务，我均予以承认。</w:t>
      </w:r>
    </w:p>
    <w:p w14:paraId="7F0BFD13">
      <w:pPr>
        <w:spacing w:line="50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代理人：</w:t>
      </w:r>
      <w:r>
        <w:rPr>
          <w:rFonts w:hint="eastAsia" w:ascii="宋体" w:hAnsi="宋体" w:eastAsia="宋体" w:cs="宋体"/>
          <w:color w:val="auto"/>
          <w:sz w:val="24"/>
          <w:highlight w:val="none"/>
          <w:u w:val="single"/>
        </w:rPr>
        <w:t xml:space="preserve">（打印或签字）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年龄：</w:t>
      </w:r>
    </w:p>
    <w:p w14:paraId="2D95DAE5">
      <w:pPr>
        <w:spacing w:line="50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部门：职务：</w:t>
      </w:r>
    </w:p>
    <w:p w14:paraId="1819D0AF">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授权有效期：</w:t>
      </w:r>
      <w:r>
        <w:rPr>
          <w:rFonts w:hint="eastAsia" w:ascii="宋体" w:hAnsi="宋体" w:eastAsia="宋体" w:cs="宋体"/>
          <w:color w:val="auto"/>
          <w:sz w:val="24"/>
          <w:highlight w:val="none"/>
          <w:u w:val="single"/>
        </w:rPr>
        <w:t xml:space="preserve">   自授权之日起至磋商有效期结束。</w:t>
      </w:r>
    </w:p>
    <w:p w14:paraId="0B56185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代理人无转委权。特此委托。</w:t>
      </w:r>
    </w:p>
    <w:p w14:paraId="7587526D">
      <w:pPr>
        <w:spacing w:line="500" w:lineRule="exact"/>
        <w:ind w:firstLine="480" w:firstLineChars="200"/>
        <w:rPr>
          <w:rFonts w:hint="eastAsia" w:ascii="宋体" w:hAnsi="宋体" w:eastAsia="宋体" w:cs="宋体"/>
          <w:color w:val="auto"/>
          <w:sz w:val="24"/>
          <w:highlight w:val="none"/>
        </w:rPr>
      </w:pPr>
    </w:p>
    <w:p w14:paraId="7E4AF10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供应商全称（加盖单位公章）：</w:t>
      </w:r>
      <w:r>
        <w:rPr>
          <w:rFonts w:hint="eastAsia" w:ascii="宋体" w:hAnsi="宋体" w:eastAsia="宋体" w:cs="宋体"/>
          <w:color w:val="auto"/>
          <w:sz w:val="24"/>
          <w:highlight w:val="none"/>
          <w:u w:val="single"/>
        </w:rPr>
        <w:t>　　　　　　　　　　　　</w:t>
      </w:r>
    </w:p>
    <w:p w14:paraId="4463373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法定代表人（签字或盖章）：</w:t>
      </w:r>
      <w:r>
        <w:rPr>
          <w:rFonts w:hint="eastAsia" w:ascii="宋体" w:hAnsi="宋体" w:eastAsia="宋体" w:cs="宋体"/>
          <w:color w:val="auto"/>
          <w:sz w:val="24"/>
          <w:highlight w:val="none"/>
          <w:u w:val="single"/>
        </w:rPr>
        <w:t>　　　　　　　　　　</w:t>
      </w:r>
    </w:p>
    <w:p w14:paraId="281E56F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78CCDBF2">
      <w:pPr>
        <w:spacing w:line="500" w:lineRule="exact"/>
        <w:ind w:firstLine="3840" w:firstLineChars="1600"/>
        <w:rPr>
          <w:rFonts w:hint="eastAsia" w:ascii="宋体" w:hAnsi="宋体" w:eastAsia="宋体" w:cs="宋体"/>
          <w:color w:val="auto"/>
          <w:sz w:val="24"/>
          <w:highlight w:val="none"/>
        </w:rPr>
      </w:pPr>
    </w:p>
    <w:p w14:paraId="6A626726">
      <w:pPr>
        <w:spacing w:line="360" w:lineRule="auto"/>
        <w:rPr>
          <w:rFonts w:hint="eastAsia" w:ascii="宋体" w:hAnsi="宋体" w:eastAsia="宋体" w:cs="宋体"/>
          <w:color w:val="auto"/>
          <w:sz w:val="24"/>
          <w:highlight w:val="none"/>
        </w:rPr>
      </w:pPr>
    </w:p>
    <w:p w14:paraId="15CA2951">
      <w:pPr>
        <w:spacing w:line="360" w:lineRule="auto"/>
        <w:ind w:firstLine="540" w:firstLineChars="224"/>
        <w:rPr>
          <w:rFonts w:hint="eastAsia" w:ascii="宋体" w:hAnsi="宋体" w:eastAsia="宋体" w:cs="宋体"/>
          <w:b/>
          <w:color w:val="auto"/>
          <w:sz w:val="24"/>
          <w:highlight w:val="none"/>
        </w:rPr>
        <w:sectPr>
          <w:pgSz w:w="11906" w:h="16838"/>
          <w:pgMar w:top="1440" w:right="1440" w:bottom="1440" w:left="1440" w:header="851" w:footer="992" w:gutter="0"/>
          <w:pgNumType w:fmt="decimal"/>
          <w:cols w:space="720" w:num="1"/>
          <w:docGrid w:type="lines" w:linePitch="312" w:charSpace="0"/>
        </w:sectPr>
      </w:pPr>
      <w:r>
        <w:rPr>
          <w:rFonts w:hint="eastAsia" w:ascii="宋体" w:hAnsi="宋体" w:eastAsia="宋体" w:cs="宋体"/>
          <w:b/>
          <w:color w:val="auto"/>
          <w:sz w:val="24"/>
          <w:highlight w:val="none"/>
        </w:rPr>
        <w:t>注：附授权委托人身份证（正、反面）扫描件，如</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由法定代表人亲自签署响应文件并参与相关活动，则不需要办理授权。如由被授权的代理人签署上述文件，则必须按本格式规定填报并提交授权书，否则被授权的代理人将不被认可。</w:t>
      </w:r>
    </w:p>
    <w:p w14:paraId="273E8AE7">
      <w:pPr>
        <w:spacing w:line="500" w:lineRule="exact"/>
        <w:ind w:firstLine="562" w:firstLineChars="200"/>
        <w:jc w:val="center"/>
        <w:rPr>
          <w:rFonts w:hint="eastAsia" w:ascii="宋体" w:hAnsi="宋体" w:eastAsia="宋体" w:cs="宋体"/>
          <w:b/>
          <w:color w:val="auto"/>
          <w:sz w:val="28"/>
          <w:szCs w:val="28"/>
          <w:highlight w:val="none"/>
        </w:rPr>
      </w:pPr>
      <w:bookmarkStart w:id="258" w:name="_Toc18531"/>
      <w:bookmarkStart w:id="259" w:name="_Toc6750"/>
      <w:bookmarkStart w:id="260" w:name="_Toc23377"/>
      <w:r>
        <w:rPr>
          <w:rFonts w:hint="eastAsia" w:ascii="宋体" w:hAnsi="宋体" w:eastAsia="宋体" w:cs="宋体"/>
          <w:b/>
          <w:color w:val="auto"/>
          <w:sz w:val="28"/>
          <w:szCs w:val="28"/>
          <w:highlight w:val="none"/>
        </w:rPr>
        <w:t>四、磋商保证金交纳凭证</w:t>
      </w:r>
      <w:bookmarkEnd w:id="258"/>
      <w:bookmarkEnd w:id="259"/>
      <w:bookmarkEnd w:id="260"/>
    </w:p>
    <w:p w14:paraId="4E118317">
      <w:pPr>
        <w:spacing w:line="360" w:lineRule="auto"/>
        <w:rPr>
          <w:rFonts w:hint="eastAsia" w:ascii="宋体" w:hAnsi="宋体" w:eastAsia="宋体" w:cs="宋体"/>
          <w:color w:val="auto"/>
          <w:sz w:val="24"/>
          <w:highlight w:val="none"/>
          <w:u w:val="single"/>
        </w:rPr>
      </w:pPr>
    </w:p>
    <w:p w14:paraId="17C5D25F">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（采购人 ） </w:t>
      </w:r>
    </w:p>
    <w:p w14:paraId="50390BE5">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（供应商全称) </w:t>
      </w:r>
      <w:r>
        <w:rPr>
          <w:rFonts w:hint="eastAsia" w:ascii="宋体" w:hAnsi="宋体" w:eastAsia="宋体" w:cs="宋体"/>
          <w:color w:val="auto"/>
          <w:sz w:val="24"/>
          <w:highlight w:val="none"/>
        </w:rPr>
        <w:t>参加贵方组织的</w:t>
      </w:r>
      <w:r>
        <w:rPr>
          <w:rFonts w:hint="eastAsia" w:ascii="宋体" w:hAnsi="宋体" w:eastAsia="宋体" w:cs="宋体"/>
          <w:color w:val="auto"/>
          <w:sz w:val="24"/>
          <w:highlight w:val="none"/>
          <w:u w:val="single"/>
        </w:rPr>
        <w:t xml:space="preserve"> （项目名称）（</w:t>
      </w:r>
      <w:r>
        <w:rPr>
          <w:rFonts w:hint="eastAsia" w:ascii="宋体" w:hAnsi="宋体" w:cs="宋体"/>
          <w:color w:val="auto"/>
          <w:sz w:val="24"/>
          <w:highlight w:val="none"/>
          <w:u w:val="single"/>
          <w:lang w:eastAsia="zh-CN"/>
        </w:rPr>
        <w:t>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项目的采购活动。按竞争性磋商文件的规定，已通过</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eastAsia="zh-CN"/>
        </w:rPr>
        <w:t>缴纳</w:t>
      </w:r>
      <w:r>
        <w:rPr>
          <w:rFonts w:hint="eastAsia" w:ascii="宋体" w:hAnsi="宋体" w:eastAsia="宋体" w:cs="宋体"/>
          <w:color w:val="auto"/>
          <w:sz w:val="24"/>
          <w:highlight w:val="none"/>
          <w:u w:val="single"/>
        </w:rPr>
        <w:t xml:space="preserve">形式）  </w:t>
      </w:r>
      <w:r>
        <w:rPr>
          <w:rFonts w:hint="eastAsia" w:ascii="宋体" w:hAnsi="宋体" w:cs="宋体"/>
          <w:color w:val="auto"/>
          <w:sz w:val="24"/>
          <w:highlight w:val="none"/>
          <w:u w:val="single"/>
          <w:lang w:eastAsia="zh-CN"/>
        </w:rPr>
        <w:t>缴纳</w:t>
      </w:r>
      <w:r>
        <w:rPr>
          <w:rFonts w:hint="eastAsia" w:ascii="宋体" w:hAnsi="宋体" w:eastAsia="宋体" w:cs="宋体"/>
          <w:color w:val="auto"/>
          <w:sz w:val="24"/>
          <w:highlight w:val="none"/>
          <w:u w:val="single"/>
        </w:rPr>
        <w:t xml:space="preserve">  （保证金金额） </w:t>
      </w:r>
      <w:r>
        <w:rPr>
          <w:rFonts w:hint="eastAsia" w:ascii="宋体" w:hAnsi="宋体" w:eastAsia="宋体" w:cs="宋体"/>
          <w:color w:val="auto"/>
          <w:sz w:val="24"/>
          <w:highlight w:val="none"/>
        </w:rPr>
        <w:t>的磋商保证金。</w:t>
      </w:r>
    </w:p>
    <w:p w14:paraId="5205C521">
      <w:pPr>
        <w:spacing w:line="48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p>
    <w:p w14:paraId="17FA03DE">
      <w:pPr>
        <w:spacing w:line="48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供应商开户银行：</w:t>
      </w:r>
    </w:p>
    <w:p w14:paraId="6B3736F0">
      <w:pPr>
        <w:spacing w:line="48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供应商银行账号：</w:t>
      </w:r>
    </w:p>
    <w:p w14:paraId="3FE469A8">
      <w:pPr>
        <w:spacing w:line="360" w:lineRule="auto"/>
        <w:rPr>
          <w:rFonts w:hint="eastAsia" w:ascii="宋体" w:hAnsi="宋体" w:eastAsia="宋体" w:cs="宋体"/>
          <w:color w:val="auto"/>
          <w:sz w:val="24"/>
          <w:highlight w:val="none"/>
        </w:rPr>
      </w:pPr>
    </w:p>
    <w:p w14:paraId="1B0342FB">
      <w:pPr>
        <w:spacing w:line="360" w:lineRule="auto"/>
        <w:rPr>
          <w:rFonts w:hint="eastAsia" w:ascii="宋体" w:hAnsi="宋体" w:eastAsia="宋体" w:cs="宋体"/>
          <w:color w:val="auto"/>
          <w:sz w:val="24"/>
          <w:highlight w:val="none"/>
        </w:rPr>
      </w:pPr>
    </w:p>
    <w:p w14:paraId="2F66634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供应商全称（加盖单位公章）：</w:t>
      </w:r>
      <w:r>
        <w:rPr>
          <w:rFonts w:hint="eastAsia" w:ascii="宋体" w:hAnsi="宋体" w:eastAsia="宋体" w:cs="宋体"/>
          <w:color w:val="auto"/>
          <w:sz w:val="24"/>
          <w:highlight w:val="none"/>
          <w:u w:val="single"/>
        </w:rPr>
        <w:t>　　　　　　　　　　　　</w:t>
      </w:r>
    </w:p>
    <w:p w14:paraId="0F410248">
      <w:pP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法定代表人或其委托代理人（签字或盖章）：</w:t>
      </w:r>
      <w:r>
        <w:rPr>
          <w:rFonts w:hint="eastAsia" w:ascii="宋体" w:hAnsi="宋体" w:eastAsia="宋体" w:cs="宋体"/>
          <w:color w:val="auto"/>
          <w:sz w:val="24"/>
          <w:highlight w:val="none"/>
          <w:u w:val="single"/>
        </w:rPr>
        <w:t>　　　　　　　　　　</w:t>
      </w:r>
    </w:p>
    <w:p w14:paraId="3C2222CD">
      <w:pPr>
        <w:pStyle w:val="45"/>
        <w:spacing w:before="0" w:after="0" w:line="460" w:lineRule="exact"/>
        <w:ind w:left="0" w:right="23"/>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w:t>
      </w:r>
      <w:r>
        <w:rPr>
          <w:rFonts w:hint="eastAsia" w:ascii="宋体" w:hAnsi="宋体" w:cs="宋体"/>
          <w:color w:val="auto"/>
          <w:szCs w:val="24"/>
          <w:highlight w:val="none"/>
          <w:lang w:val="en-US" w:eastAsia="zh-CN"/>
        </w:rPr>
        <w:t xml:space="preserve">  </w:t>
      </w:r>
      <w:r>
        <w:rPr>
          <w:rFonts w:hint="eastAsia" w:ascii="宋体" w:hAnsi="宋体" w:eastAsia="宋体" w:cs="宋体"/>
          <w:color w:val="auto"/>
          <w:szCs w:val="24"/>
          <w:highlight w:val="none"/>
        </w:rPr>
        <w:t>年</w:t>
      </w:r>
      <w:r>
        <w:rPr>
          <w:rFonts w:hint="eastAsia" w:ascii="宋体" w:hAnsi="宋体" w:cs="宋体"/>
          <w:color w:val="auto"/>
          <w:szCs w:val="24"/>
          <w:highlight w:val="none"/>
          <w:lang w:val="en-US" w:eastAsia="zh-CN"/>
        </w:rPr>
        <w:t xml:space="preserve">   </w:t>
      </w:r>
      <w:r>
        <w:rPr>
          <w:rFonts w:hint="eastAsia" w:ascii="宋体" w:hAnsi="宋体" w:eastAsia="宋体" w:cs="宋体"/>
          <w:color w:val="auto"/>
          <w:szCs w:val="24"/>
          <w:highlight w:val="none"/>
        </w:rPr>
        <w:t>月</w:t>
      </w:r>
      <w:r>
        <w:rPr>
          <w:rFonts w:hint="eastAsia" w:ascii="宋体" w:hAnsi="宋体" w:cs="宋体"/>
          <w:color w:val="auto"/>
          <w:szCs w:val="24"/>
          <w:highlight w:val="none"/>
          <w:lang w:val="en-US" w:eastAsia="zh-CN"/>
        </w:rPr>
        <w:t xml:space="preserve">  </w:t>
      </w:r>
      <w:r>
        <w:rPr>
          <w:rFonts w:hint="eastAsia" w:ascii="宋体" w:hAnsi="宋体" w:eastAsia="宋体" w:cs="宋体"/>
          <w:color w:val="auto"/>
          <w:szCs w:val="24"/>
          <w:highlight w:val="none"/>
        </w:rPr>
        <w:t>日</w:t>
      </w:r>
    </w:p>
    <w:p w14:paraId="4F7CE108">
      <w:pPr>
        <w:spacing w:line="360" w:lineRule="auto"/>
        <w:rPr>
          <w:rFonts w:hint="eastAsia" w:ascii="宋体" w:hAnsi="宋体" w:eastAsia="宋体" w:cs="宋体"/>
          <w:color w:val="auto"/>
          <w:sz w:val="24"/>
          <w:highlight w:val="none"/>
        </w:rPr>
      </w:pPr>
    </w:p>
    <w:p w14:paraId="755EEAC0">
      <w:pPr>
        <w:pStyle w:val="44"/>
        <w:ind w:firstLine="307"/>
        <w:rPr>
          <w:rFonts w:hint="eastAsia" w:ascii="宋体" w:hAnsi="宋体" w:eastAsia="宋体" w:cs="宋体"/>
          <w:color w:val="auto"/>
          <w:highlight w:val="none"/>
        </w:rPr>
      </w:pPr>
    </w:p>
    <w:p w14:paraId="1F356288">
      <w:pPr>
        <w:spacing w:line="360" w:lineRule="auto"/>
        <w:rPr>
          <w:rFonts w:hint="eastAsia" w:ascii="宋体" w:hAnsi="宋体" w:eastAsia="宋体" w:cs="宋体"/>
          <w:color w:val="auto"/>
          <w:sz w:val="24"/>
          <w:highlight w:val="none"/>
        </w:rPr>
        <w:sectPr>
          <w:pgSz w:w="11906" w:h="16838"/>
          <w:pgMar w:top="1440" w:right="1440" w:bottom="1440" w:left="1440" w:header="851" w:footer="992" w:gutter="0"/>
          <w:pgNumType w:fmt="decimal"/>
          <w:cols w:space="720" w:num="1"/>
          <w:docGrid w:type="lines" w:linePitch="312" w:charSpace="0"/>
        </w:sectPr>
      </w:pPr>
      <w:r>
        <w:rPr>
          <w:rFonts w:hint="eastAsia" w:ascii="宋体" w:hAnsi="宋体" w:eastAsia="宋体" w:cs="宋体"/>
          <w:color w:val="auto"/>
          <w:sz w:val="24"/>
          <w:highlight w:val="none"/>
        </w:rPr>
        <w:t>附</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转账或汇款凭证复印</w:t>
      </w:r>
    </w:p>
    <w:p w14:paraId="7292E0EC">
      <w:pPr>
        <w:pStyle w:val="15"/>
        <w:numPr>
          <w:ilvl w:val="0"/>
          <w:numId w:val="0"/>
        </w:numPr>
        <w:ind w:leftChars="0"/>
        <w:jc w:val="center"/>
        <w:rPr>
          <w:rFonts w:hint="eastAsia" w:ascii="宋体" w:hAnsi="宋体" w:eastAsia="宋体" w:cs="宋体"/>
          <w:b/>
          <w:color w:val="auto"/>
          <w:sz w:val="28"/>
          <w:szCs w:val="28"/>
          <w:highlight w:val="none"/>
        </w:rPr>
      </w:pPr>
      <w:bookmarkStart w:id="261" w:name="_Toc25947"/>
      <w:bookmarkStart w:id="262" w:name="_Toc20906"/>
      <w:bookmarkStart w:id="263" w:name="_Toc2956"/>
      <w:r>
        <w:rPr>
          <w:rFonts w:hint="eastAsia" w:ascii="宋体" w:hAnsi="宋体" w:eastAsia="宋体" w:cs="宋体"/>
          <w:b/>
          <w:color w:val="auto"/>
          <w:sz w:val="28"/>
          <w:szCs w:val="28"/>
          <w:highlight w:val="none"/>
          <w:lang w:eastAsia="zh-CN"/>
        </w:rPr>
        <w:t>五、</w:t>
      </w:r>
      <w:r>
        <w:rPr>
          <w:rFonts w:hint="eastAsia" w:ascii="宋体" w:hAnsi="宋体" w:eastAsia="宋体" w:cs="宋体"/>
          <w:b/>
          <w:color w:val="auto"/>
          <w:sz w:val="28"/>
          <w:szCs w:val="28"/>
          <w:highlight w:val="none"/>
        </w:rPr>
        <w:t>资格证明文件</w:t>
      </w:r>
      <w:bookmarkEnd w:id="261"/>
      <w:bookmarkEnd w:id="262"/>
      <w:bookmarkEnd w:id="263"/>
    </w:p>
    <w:tbl>
      <w:tblPr>
        <w:tblStyle w:val="33"/>
        <w:tblW w:w="0" w:type="auto"/>
        <w:jc w:val="center"/>
        <w:tblLayout w:type="fixed"/>
        <w:tblCellMar>
          <w:top w:w="0" w:type="dxa"/>
          <w:left w:w="108" w:type="dxa"/>
          <w:bottom w:w="0" w:type="dxa"/>
          <w:right w:w="108" w:type="dxa"/>
        </w:tblCellMar>
      </w:tblPr>
      <w:tblGrid>
        <w:gridCol w:w="809"/>
        <w:gridCol w:w="1380"/>
        <w:gridCol w:w="6791"/>
      </w:tblGrid>
      <w:tr w14:paraId="62DC22FB">
        <w:tblPrEx>
          <w:tblCellMar>
            <w:top w:w="0" w:type="dxa"/>
            <w:left w:w="108" w:type="dxa"/>
            <w:bottom w:w="0" w:type="dxa"/>
            <w:right w:w="108" w:type="dxa"/>
          </w:tblCellMar>
        </w:tblPrEx>
        <w:trPr>
          <w:trHeight w:val="657"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14:paraId="186ACF16">
            <w:pPr>
              <w:widowControl/>
              <w:spacing w:line="340" w:lineRule="exact"/>
              <w:jc w:val="center"/>
              <w:rPr>
                <w:rFonts w:hint="eastAsia" w:ascii="宋体" w:hAnsi="宋体" w:eastAsia="宋体" w:cs="宋体"/>
                <w:b/>
                <w:bCs/>
                <w:color w:val="auto"/>
                <w:spacing w:val="-4"/>
                <w:kern w:val="0"/>
                <w:sz w:val="24"/>
                <w:highlight w:val="none"/>
              </w:rPr>
            </w:pPr>
            <w:r>
              <w:rPr>
                <w:rFonts w:hint="eastAsia" w:ascii="宋体" w:hAnsi="宋体" w:eastAsia="宋体" w:cs="宋体"/>
                <w:b/>
                <w:bCs/>
                <w:color w:val="auto"/>
                <w:spacing w:val="-4"/>
                <w:kern w:val="0"/>
                <w:sz w:val="24"/>
                <w:highlight w:val="none"/>
              </w:rPr>
              <w:t>序号</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7C183B1C">
            <w:pPr>
              <w:widowControl/>
              <w:spacing w:line="340" w:lineRule="exact"/>
              <w:jc w:val="center"/>
              <w:rPr>
                <w:rFonts w:hint="eastAsia" w:ascii="宋体" w:hAnsi="宋体" w:eastAsia="宋体" w:cs="宋体"/>
                <w:b/>
                <w:bCs/>
                <w:color w:val="auto"/>
                <w:spacing w:val="-4"/>
                <w:kern w:val="0"/>
                <w:sz w:val="24"/>
                <w:highlight w:val="none"/>
              </w:rPr>
            </w:pPr>
            <w:r>
              <w:rPr>
                <w:rFonts w:hint="eastAsia" w:ascii="宋体" w:hAnsi="宋体" w:eastAsia="宋体" w:cs="宋体"/>
                <w:b/>
                <w:bCs/>
                <w:color w:val="auto"/>
                <w:spacing w:val="-4"/>
                <w:kern w:val="0"/>
                <w:sz w:val="24"/>
                <w:highlight w:val="none"/>
              </w:rPr>
              <w:t>评审因素</w:t>
            </w:r>
          </w:p>
        </w:tc>
        <w:tc>
          <w:tcPr>
            <w:tcW w:w="6791" w:type="dxa"/>
            <w:tcBorders>
              <w:top w:val="single" w:color="auto" w:sz="4" w:space="0"/>
              <w:left w:val="single" w:color="auto" w:sz="4" w:space="0"/>
              <w:bottom w:val="single" w:color="auto" w:sz="4" w:space="0"/>
              <w:right w:val="single" w:color="auto" w:sz="4" w:space="0"/>
            </w:tcBorders>
            <w:noWrap w:val="0"/>
            <w:vAlign w:val="center"/>
          </w:tcPr>
          <w:p w14:paraId="5E640D72">
            <w:pPr>
              <w:widowControl/>
              <w:spacing w:line="340" w:lineRule="exact"/>
              <w:jc w:val="center"/>
              <w:rPr>
                <w:rFonts w:hint="eastAsia" w:ascii="宋体" w:hAnsi="宋体" w:eastAsia="宋体" w:cs="宋体"/>
                <w:b/>
                <w:bCs/>
                <w:color w:val="auto"/>
                <w:spacing w:val="-4"/>
                <w:kern w:val="0"/>
                <w:sz w:val="24"/>
                <w:highlight w:val="none"/>
              </w:rPr>
            </w:pPr>
            <w:r>
              <w:rPr>
                <w:rFonts w:hint="eastAsia" w:ascii="宋体" w:hAnsi="宋体" w:eastAsia="宋体" w:cs="宋体"/>
                <w:b/>
                <w:bCs/>
                <w:color w:val="auto"/>
                <w:spacing w:val="-4"/>
                <w:kern w:val="0"/>
                <w:sz w:val="24"/>
                <w:highlight w:val="none"/>
              </w:rPr>
              <w:t>资格评审标准</w:t>
            </w:r>
          </w:p>
        </w:tc>
      </w:tr>
      <w:tr w14:paraId="44EB3DF2">
        <w:tblPrEx>
          <w:tblCellMar>
            <w:top w:w="0" w:type="dxa"/>
            <w:left w:w="108" w:type="dxa"/>
            <w:bottom w:w="0" w:type="dxa"/>
            <w:right w:w="108" w:type="dxa"/>
          </w:tblCellMar>
        </w:tblPrEx>
        <w:trPr>
          <w:trHeight w:val="820"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14:paraId="417E5ADD">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rPr>
              <w:t>1</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70DB7EEA">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rPr>
              <w:t>具有独立承担民事责任的能力</w:t>
            </w:r>
          </w:p>
        </w:tc>
        <w:tc>
          <w:tcPr>
            <w:tcW w:w="6791" w:type="dxa"/>
            <w:tcBorders>
              <w:top w:val="single" w:color="auto" w:sz="4" w:space="0"/>
              <w:left w:val="single" w:color="auto" w:sz="4" w:space="0"/>
              <w:bottom w:val="single" w:color="auto" w:sz="4" w:space="0"/>
              <w:right w:val="single" w:color="auto" w:sz="4" w:space="0"/>
            </w:tcBorders>
            <w:noWrap w:val="0"/>
            <w:vAlign w:val="center"/>
          </w:tcPr>
          <w:p w14:paraId="2C234893">
            <w:pPr>
              <w:keepNext w:val="0"/>
              <w:keepLines w:val="0"/>
              <w:pageBreakBefore w:val="0"/>
              <w:numPr>
                <w:ilvl w:val="0"/>
                <w:numId w:val="0"/>
              </w:numPr>
              <w:kinsoku/>
              <w:wordWrap/>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cs="宋体"/>
                <w:color w:val="auto"/>
                <w:sz w:val="24"/>
                <w:highlight w:val="none"/>
                <w:lang w:eastAsia="zh-CN"/>
              </w:rPr>
              <w:t>提供自然人有效身份证或法人或者其他组织有效的营业执照等证明文件。</w:t>
            </w:r>
          </w:p>
        </w:tc>
      </w:tr>
      <w:tr w14:paraId="50112779">
        <w:tblPrEx>
          <w:tblCellMar>
            <w:top w:w="0" w:type="dxa"/>
            <w:left w:w="108" w:type="dxa"/>
            <w:bottom w:w="0" w:type="dxa"/>
            <w:right w:w="108" w:type="dxa"/>
          </w:tblCellMar>
        </w:tblPrEx>
        <w:trPr>
          <w:trHeight w:val="670"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14:paraId="63B0A923">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val="en-US" w:eastAsia="zh-CN"/>
              </w:rPr>
              <w:t>2</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011E0B02">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highlight w:val="none"/>
                <w:lang w:val="en-US" w:eastAsia="zh-CN"/>
              </w:rPr>
              <w:t>具有良好的商业信誉和健全的财务会计制度</w:t>
            </w:r>
          </w:p>
        </w:tc>
        <w:tc>
          <w:tcPr>
            <w:tcW w:w="6791" w:type="dxa"/>
            <w:tcBorders>
              <w:top w:val="single" w:color="auto" w:sz="4" w:space="0"/>
              <w:left w:val="single" w:color="auto" w:sz="4" w:space="0"/>
              <w:bottom w:val="single" w:color="auto" w:sz="4" w:space="0"/>
              <w:right w:val="single" w:color="auto" w:sz="4" w:space="0"/>
            </w:tcBorders>
            <w:noWrap w:val="0"/>
            <w:vAlign w:val="center"/>
          </w:tcPr>
          <w:p w14:paraId="392C921A">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具有良好的商业信誉和健全的财务会计制度。提供财务状况报告，内容可为以下三者之一：①提供2022年至今任意一年经审计的财务状况报告（至少包含审计报告、资产负债表、利润表、现金流量表</w:t>
            </w:r>
            <w:r>
              <w:rPr>
                <w:rFonts w:hint="eastAsia" w:ascii="宋体" w:hAnsi="宋体" w:cs="宋体"/>
                <w:color w:val="auto"/>
                <w:kern w:val="2"/>
                <w:sz w:val="24"/>
                <w:szCs w:val="24"/>
                <w:highlight w:val="none"/>
                <w:lang w:val="en-US" w:eastAsia="zh-CN" w:bidi="ar-SA"/>
              </w:rPr>
              <w:t>、所有者权益表及附注</w:t>
            </w:r>
            <w:r>
              <w:rPr>
                <w:rFonts w:hint="eastAsia" w:ascii="宋体" w:hAnsi="宋体" w:eastAsia="宋体" w:cs="宋体"/>
                <w:color w:val="auto"/>
                <w:kern w:val="2"/>
                <w:sz w:val="24"/>
                <w:szCs w:val="24"/>
                <w:highlight w:val="none"/>
                <w:lang w:val="en-US" w:eastAsia="zh-CN" w:bidi="ar-SA"/>
              </w:rPr>
              <w:t>），成立未满1年或成立至今未产生经营活动的供应商提供自成立至今的财务报表或财务情况说明；</w:t>
            </w:r>
          </w:p>
          <w:p w14:paraId="1D1760DE">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②提供自响应文件提交截止时间前六个月内基本开户银行出具的资信证明；</w:t>
            </w:r>
          </w:p>
          <w:p w14:paraId="3543E9C2">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③提供专业担保机构出具的投标担保函。</w:t>
            </w:r>
          </w:p>
          <w:p w14:paraId="3B1614C6">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highlight w:val="none"/>
                <w:lang w:val="en-US" w:eastAsia="zh-CN"/>
              </w:rPr>
              <w:t>（提供扫描件并加盖公章）</w:t>
            </w:r>
          </w:p>
        </w:tc>
      </w:tr>
      <w:tr w14:paraId="3CDE805A">
        <w:tblPrEx>
          <w:tblCellMar>
            <w:top w:w="0" w:type="dxa"/>
            <w:left w:w="108" w:type="dxa"/>
            <w:bottom w:w="0" w:type="dxa"/>
            <w:right w:w="108" w:type="dxa"/>
          </w:tblCellMar>
        </w:tblPrEx>
        <w:trPr>
          <w:trHeight w:val="1745"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14:paraId="271FDD74">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val="en-US" w:eastAsia="zh-CN"/>
              </w:rPr>
              <w:t>3</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2B77234C">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rPr>
              <w:t>具有履行合同所必需的设备和专业技术能力</w:t>
            </w:r>
          </w:p>
        </w:tc>
        <w:tc>
          <w:tcPr>
            <w:tcW w:w="6791" w:type="dxa"/>
            <w:tcBorders>
              <w:top w:val="single" w:color="auto" w:sz="4" w:space="0"/>
              <w:left w:val="single" w:color="auto" w:sz="4" w:space="0"/>
              <w:bottom w:val="single" w:color="auto" w:sz="4" w:space="0"/>
              <w:right w:val="single" w:color="auto" w:sz="4" w:space="0"/>
            </w:tcBorders>
            <w:noWrap w:val="0"/>
            <w:vAlign w:val="center"/>
          </w:tcPr>
          <w:p w14:paraId="7446DDB8">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提供具备履行合同所必需的设备和专业技术能力的证明材料或承诺书。</w:t>
            </w:r>
          </w:p>
          <w:p w14:paraId="15F81349">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b/>
                <w:bCs/>
                <w:color w:val="auto"/>
                <w:sz w:val="24"/>
                <w:highlight w:val="none"/>
                <w:lang w:val="zh-CN" w:eastAsia="zh-CN"/>
              </w:rPr>
              <w:t>（</w:t>
            </w:r>
            <w:r>
              <w:rPr>
                <w:rFonts w:hint="eastAsia" w:ascii="宋体" w:hAnsi="宋体" w:eastAsia="宋体" w:cs="宋体"/>
                <w:b/>
                <w:bCs/>
                <w:color w:val="auto"/>
                <w:sz w:val="24"/>
                <w:highlight w:val="none"/>
                <w:lang w:val="en-US" w:eastAsia="zh-CN"/>
              </w:rPr>
              <w:t>格式自拟并加盖公章）</w:t>
            </w:r>
          </w:p>
        </w:tc>
      </w:tr>
      <w:tr w14:paraId="1418B45B">
        <w:tblPrEx>
          <w:tblCellMar>
            <w:top w:w="0" w:type="dxa"/>
            <w:left w:w="108" w:type="dxa"/>
            <w:bottom w:w="0" w:type="dxa"/>
            <w:right w:w="108" w:type="dxa"/>
          </w:tblCellMar>
        </w:tblPrEx>
        <w:trPr>
          <w:trHeight w:val="1471"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14:paraId="4D697C7F">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val="en-US" w:eastAsia="zh-CN"/>
              </w:rPr>
              <w:t>4</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5BFEBCB9">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eastAsia="zh-CN"/>
              </w:rPr>
              <w:t>有依法缴纳税收和社会保障资金的良好记录</w:t>
            </w:r>
          </w:p>
        </w:tc>
        <w:tc>
          <w:tcPr>
            <w:tcW w:w="6791" w:type="dxa"/>
            <w:tcBorders>
              <w:top w:val="single" w:color="auto" w:sz="4" w:space="0"/>
              <w:left w:val="single" w:color="auto" w:sz="4" w:space="0"/>
              <w:bottom w:val="single" w:color="auto" w:sz="4" w:space="0"/>
              <w:right w:val="single" w:color="auto" w:sz="4" w:space="0"/>
            </w:tcBorders>
            <w:noWrap w:val="0"/>
            <w:vAlign w:val="center"/>
          </w:tcPr>
          <w:p w14:paraId="70D887E0">
            <w:pPr>
              <w:pStyle w:val="15"/>
              <w:keepNext w:val="0"/>
              <w:keepLines w:val="0"/>
              <w:pageBreakBefore w:val="0"/>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①</w:t>
            </w:r>
            <w:r>
              <w:rPr>
                <w:rFonts w:hint="eastAsia" w:ascii="宋体" w:hAnsi="宋体" w:cs="宋体"/>
                <w:color w:val="auto"/>
                <w:kern w:val="2"/>
                <w:sz w:val="24"/>
                <w:szCs w:val="24"/>
                <w:highlight w:val="none"/>
                <w:lang w:val="en-US" w:eastAsia="zh-CN" w:bidi="ar-SA"/>
              </w:rPr>
              <w:t>提供2025年1月至今任意1个月缴纳税收的证明材料</w:t>
            </w:r>
            <w:r>
              <w:rPr>
                <w:rFonts w:hint="eastAsia" w:ascii="宋体" w:hAnsi="宋体" w:eastAsia="宋体" w:cs="宋体"/>
                <w:color w:val="auto"/>
                <w:kern w:val="2"/>
                <w:sz w:val="24"/>
                <w:szCs w:val="24"/>
                <w:highlight w:val="none"/>
                <w:lang w:val="en-US" w:eastAsia="zh-CN" w:bidi="ar-SA"/>
              </w:rPr>
              <w:t>，依法免税的，应提供依法免税的相关证明文件，</w:t>
            </w:r>
            <w:r>
              <w:rPr>
                <w:rFonts w:hint="eastAsia" w:ascii="宋体" w:hAnsi="宋体" w:cs="宋体"/>
                <w:color w:val="auto"/>
                <w:kern w:val="2"/>
                <w:sz w:val="24"/>
                <w:szCs w:val="24"/>
                <w:highlight w:val="none"/>
                <w:lang w:val="en-US" w:eastAsia="zh-CN" w:bidi="ar-SA"/>
              </w:rPr>
              <w:t>成立未满1个月或未产生经营活动的供应商自行提供情况说明</w:t>
            </w:r>
            <w:r>
              <w:rPr>
                <w:rFonts w:hint="eastAsia" w:ascii="宋体" w:hAnsi="宋体" w:eastAsia="宋体" w:cs="宋体"/>
                <w:color w:val="auto"/>
                <w:kern w:val="2"/>
                <w:sz w:val="24"/>
                <w:szCs w:val="24"/>
                <w:highlight w:val="none"/>
                <w:lang w:val="en-US" w:eastAsia="zh-CN" w:bidi="ar-SA"/>
              </w:rPr>
              <w:t>；②</w:t>
            </w:r>
            <w:r>
              <w:rPr>
                <w:rFonts w:hint="eastAsia" w:ascii="宋体" w:hAnsi="宋体" w:cs="宋体"/>
                <w:color w:val="auto"/>
                <w:kern w:val="2"/>
                <w:sz w:val="24"/>
                <w:szCs w:val="24"/>
                <w:highlight w:val="none"/>
                <w:lang w:val="en-US" w:eastAsia="zh-CN" w:bidi="ar-SA"/>
              </w:rPr>
              <w:t>提供2025年1月至今任意1个月缴纳社会保障资金的证明材料，依法免缴的</w:t>
            </w:r>
            <w:r>
              <w:rPr>
                <w:rFonts w:hint="eastAsia" w:ascii="宋体" w:hAnsi="宋体" w:eastAsia="宋体" w:cs="宋体"/>
                <w:color w:val="auto"/>
                <w:kern w:val="2"/>
                <w:sz w:val="24"/>
                <w:szCs w:val="24"/>
                <w:highlight w:val="none"/>
                <w:lang w:val="en-US" w:eastAsia="zh-CN" w:bidi="ar-SA"/>
              </w:rPr>
              <w:t>，应提供依法免缴的相关证明文件，成立未满1个月的无需提供。</w:t>
            </w:r>
            <w:r>
              <w:rPr>
                <w:rFonts w:hint="eastAsia" w:ascii="宋体" w:hAnsi="宋体" w:eastAsia="宋体" w:cs="宋体"/>
                <w:b/>
                <w:bCs/>
                <w:color w:val="auto"/>
                <w:sz w:val="24"/>
                <w:highlight w:val="none"/>
                <w:lang w:val="en-US" w:eastAsia="zh-CN"/>
              </w:rPr>
              <w:t>（提供扫描件并加盖公章）</w:t>
            </w:r>
          </w:p>
        </w:tc>
      </w:tr>
      <w:tr w14:paraId="2FCD06F3">
        <w:tblPrEx>
          <w:tblCellMar>
            <w:top w:w="0" w:type="dxa"/>
            <w:left w:w="108" w:type="dxa"/>
            <w:bottom w:w="0" w:type="dxa"/>
            <w:right w:w="108" w:type="dxa"/>
          </w:tblCellMar>
        </w:tblPrEx>
        <w:trPr>
          <w:trHeight w:val="925"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14:paraId="2EE86CB0">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val="en-US" w:eastAsia="zh-CN"/>
              </w:rPr>
              <w:t>5</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13FF60CF">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eastAsia="zh-CN"/>
              </w:rPr>
              <w:t>参加政府采购活动前三年内，在经营活动中没有重大违法记录</w:t>
            </w:r>
          </w:p>
        </w:tc>
        <w:tc>
          <w:tcPr>
            <w:tcW w:w="6791" w:type="dxa"/>
            <w:tcBorders>
              <w:top w:val="single" w:color="auto" w:sz="4" w:space="0"/>
              <w:left w:val="single" w:color="auto" w:sz="4" w:space="0"/>
              <w:bottom w:val="single" w:color="auto" w:sz="4" w:space="0"/>
              <w:right w:val="single" w:color="auto" w:sz="4" w:space="0"/>
            </w:tcBorders>
            <w:noWrap w:val="0"/>
            <w:vAlign w:val="center"/>
          </w:tcPr>
          <w:p w14:paraId="65BE4032">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提供参加政府采购活动前三年内在经营活动中没有重大违法记录的书面声明。</w:t>
            </w:r>
          </w:p>
          <w:p w14:paraId="0A78E931">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b/>
                <w:bCs/>
                <w:color w:val="auto"/>
                <w:sz w:val="24"/>
                <w:highlight w:val="none"/>
                <w:lang w:val="zh-CN" w:eastAsia="zh-CN"/>
              </w:rPr>
              <w:t>（</w:t>
            </w:r>
            <w:r>
              <w:rPr>
                <w:rFonts w:hint="eastAsia" w:ascii="宋体" w:hAnsi="宋体" w:eastAsia="宋体" w:cs="宋体"/>
                <w:b/>
                <w:bCs/>
                <w:color w:val="auto"/>
                <w:sz w:val="24"/>
                <w:highlight w:val="none"/>
                <w:lang w:val="en-US" w:eastAsia="zh-CN"/>
              </w:rPr>
              <w:t>格式自拟并加盖公章）</w:t>
            </w:r>
          </w:p>
        </w:tc>
      </w:tr>
      <w:tr w14:paraId="4FF54F29">
        <w:tblPrEx>
          <w:tblCellMar>
            <w:top w:w="0" w:type="dxa"/>
            <w:left w:w="108" w:type="dxa"/>
            <w:bottom w:w="0" w:type="dxa"/>
            <w:right w:w="108" w:type="dxa"/>
          </w:tblCellMar>
        </w:tblPrEx>
        <w:trPr>
          <w:trHeight w:val="925"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14:paraId="16F2725B">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default" w:ascii="宋体" w:hAnsi="宋体" w:eastAsia="宋体" w:cs="宋体"/>
                <w:color w:val="auto"/>
                <w:spacing w:val="-4"/>
                <w:kern w:val="0"/>
                <w:sz w:val="24"/>
                <w:szCs w:val="24"/>
                <w:highlight w:val="none"/>
                <w:lang w:val="en-US" w:eastAsia="zh-CN"/>
              </w:rPr>
            </w:pPr>
            <w:r>
              <w:rPr>
                <w:rFonts w:hint="eastAsia" w:ascii="宋体" w:hAnsi="宋体" w:cs="宋体"/>
                <w:color w:val="auto"/>
                <w:spacing w:val="-4"/>
                <w:kern w:val="0"/>
                <w:sz w:val="24"/>
                <w:szCs w:val="24"/>
                <w:highlight w:val="none"/>
                <w:lang w:val="en-US" w:eastAsia="zh-CN"/>
              </w:rPr>
              <w:t>6</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17CB7F7D">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szCs w:val="24"/>
                <w:highlight w:val="none"/>
                <w:lang w:eastAsia="zh-CN"/>
              </w:rPr>
            </w:pPr>
            <w:r>
              <w:rPr>
                <w:rFonts w:hint="eastAsia" w:ascii="宋体" w:hAnsi="宋体" w:eastAsia="宋体" w:cs="宋体"/>
                <w:color w:val="auto"/>
                <w:spacing w:val="-4"/>
                <w:kern w:val="0"/>
                <w:sz w:val="24"/>
                <w:szCs w:val="24"/>
                <w:highlight w:val="none"/>
                <w:lang w:eastAsia="zh-CN"/>
              </w:rPr>
              <w:t>落实政府采购政策需满足的资格要求</w:t>
            </w:r>
          </w:p>
        </w:tc>
        <w:tc>
          <w:tcPr>
            <w:tcW w:w="6791" w:type="dxa"/>
            <w:tcBorders>
              <w:top w:val="single" w:color="auto" w:sz="4" w:space="0"/>
              <w:left w:val="single" w:color="auto" w:sz="4" w:space="0"/>
              <w:bottom w:val="single" w:color="auto" w:sz="4" w:space="0"/>
              <w:right w:val="single" w:color="auto" w:sz="4" w:space="0"/>
            </w:tcBorders>
            <w:noWrap w:val="0"/>
            <w:vAlign w:val="center"/>
          </w:tcPr>
          <w:p w14:paraId="7AED6988">
            <w:pPr>
              <w:keepNext w:val="0"/>
              <w:keepLines w:val="0"/>
              <w:pageBreakBefore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本项目为专门面向中小微企业采购的项目,供应商应为中小微企业，或监狱企业，或残疾人福利性单位</w:t>
            </w:r>
            <w:r>
              <w:rPr>
                <w:rFonts w:hint="eastAsia" w:ascii="宋体" w:hAnsi="宋体" w:eastAsia="宋体" w:cs="宋体"/>
                <w:color w:val="auto"/>
                <w:sz w:val="24"/>
                <w:szCs w:val="24"/>
                <w:highlight w:val="none"/>
              </w:rPr>
              <w:t>；根据关于印发《政府采购促进中小企业发展管理办法》的通知（财库〔2020〕46号）及《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关于调整优化节能产品、环境标志产品政府采购执行机制的通知》（财库〔2019〕9号）的划分标准，本项目对应的中小企业划分标准所属行业为：其他未列明行业。</w:t>
            </w:r>
            <w:r>
              <w:rPr>
                <w:rFonts w:hint="eastAsia" w:ascii="宋体" w:hAnsi="宋体" w:eastAsia="宋体" w:cs="宋体"/>
                <w:b/>
                <w:bCs/>
                <w:color w:val="auto"/>
                <w:sz w:val="24"/>
                <w:highlight w:val="none"/>
                <w:lang w:val="zh-CN" w:eastAsia="zh-CN"/>
              </w:rPr>
              <w:t>（</w:t>
            </w:r>
            <w:r>
              <w:rPr>
                <w:rFonts w:hint="eastAsia" w:ascii="宋体" w:hAnsi="宋体" w:eastAsia="宋体" w:cs="宋体"/>
                <w:b/>
                <w:bCs/>
                <w:color w:val="auto"/>
                <w:sz w:val="24"/>
                <w:highlight w:val="none"/>
                <w:lang w:val="en-US" w:eastAsia="zh-CN"/>
              </w:rPr>
              <w:t>提供</w:t>
            </w:r>
            <w:r>
              <w:rPr>
                <w:rFonts w:hint="default" w:ascii="宋体" w:hAnsi="宋体" w:eastAsia="宋体" w:cs="宋体"/>
                <w:b/>
                <w:bCs/>
                <w:color w:val="auto"/>
                <w:sz w:val="24"/>
                <w:highlight w:val="none"/>
                <w:lang w:eastAsia="zh-CN"/>
              </w:rPr>
              <w:t>声明函</w:t>
            </w:r>
            <w:r>
              <w:rPr>
                <w:rFonts w:hint="eastAsia" w:ascii="宋体" w:hAnsi="宋体" w:eastAsia="宋体" w:cs="宋体"/>
                <w:b/>
                <w:bCs/>
                <w:color w:val="auto"/>
                <w:sz w:val="24"/>
                <w:highlight w:val="none"/>
                <w:lang w:val="en-US" w:eastAsia="zh-CN"/>
              </w:rPr>
              <w:t>并加盖公章）</w:t>
            </w:r>
          </w:p>
        </w:tc>
      </w:tr>
      <w:tr w14:paraId="41EEE3DE">
        <w:tblPrEx>
          <w:tblCellMar>
            <w:top w:w="0" w:type="dxa"/>
            <w:left w:w="108" w:type="dxa"/>
            <w:bottom w:w="0" w:type="dxa"/>
            <w:right w:w="108" w:type="dxa"/>
          </w:tblCellMar>
        </w:tblPrEx>
        <w:trPr>
          <w:trHeight w:val="1205"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14:paraId="2D36AF09">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cs="宋体"/>
                <w:color w:val="auto"/>
                <w:spacing w:val="-4"/>
                <w:kern w:val="0"/>
                <w:sz w:val="24"/>
                <w:szCs w:val="24"/>
                <w:highlight w:val="none"/>
                <w:lang w:val="en-US" w:eastAsia="zh-CN"/>
              </w:rPr>
              <w:t>7</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2611E033">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highlight w:val="none"/>
              </w:rPr>
            </w:pPr>
            <w:r>
              <w:rPr>
                <w:rFonts w:hint="eastAsia" w:ascii="宋体" w:hAnsi="宋体" w:eastAsia="宋体" w:cs="宋体"/>
                <w:color w:val="auto"/>
                <w:spacing w:val="-4"/>
                <w:kern w:val="0"/>
                <w:sz w:val="24"/>
                <w:szCs w:val="24"/>
                <w:highlight w:val="none"/>
                <w:lang w:val="en-US" w:eastAsia="zh-CN"/>
              </w:rPr>
              <w:t>法律、行政法规规定的其他条件</w:t>
            </w:r>
          </w:p>
        </w:tc>
        <w:tc>
          <w:tcPr>
            <w:tcW w:w="6791" w:type="dxa"/>
            <w:tcBorders>
              <w:top w:val="single" w:color="auto" w:sz="4" w:space="0"/>
              <w:left w:val="single" w:color="auto" w:sz="4" w:space="0"/>
              <w:bottom w:val="single" w:color="auto" w:sz="4" w:space="0"/>
              <w:right w:val="single" w:color="auto" w:sz="4" w:space="0"/>
            </w:tcBorders>
            <w:noWrap w:val="0"/>
            <w:vAlign w:val="center"/>
          </w:tcPr>
          <w:p w14:paraId="138E0A3C">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①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15556986">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highlight w:val="none"/>
                <w:lang w:val="zh-CN" w:eastAsia="zh-CN"/>
              </w:rPr>
              <w:t>（</w:t>
            </w:r>
            <w:r>
              <w:rPr>
                <w:rFonts w:hint="eastAsia" w:ascii="宋体" w:hAnsi="宋体" w:eastAsia="宋体" w:cs="宋体"/>
                <w:b/>
                <w:bCs/>
                <w:color w:val="auto"/>
                <w:sz w:val="24"/>
                <w:highlight w:val="none"/>
                <w:lang w:val="en-US" w:eastAsia="zh-CN"/>
              </w:rPr>
              <w:t>格式自拟并加盖公章）</w:t>
            </w:r>
          </w:p>
          <w:p w14:paraId="27716CAC">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②</w:t>
            </w:r>
            <w:r>
              <w:rPr>
                <w:rFonts w:hint="eastAsia" w:ascii="宋体" w:hAnsi="宋体"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在“中国执行信息公开网”未被列入失信被执行人名单；供应商在“信用中国”未被列入重大税收违法失信主体、在“中国政府采购网”中未被列入：政府采购严重违法失信行为记录名单。</w:t>
            </w:r>
            <w:r>
              <w:rPr>
                <w:rFonts w:hint="eastAsia" w:ascii="宋体" w:hAnsi="宋体" w:eastAsia="宋体" w:cs="宋体"/>
                <w:b/>
                <w:bCs/>
                <w:color w:val="auto"/>
                <w:kern w:val="2"/>
                <w:sz w:val="24"/>
                <w:szCs w:val="24"/>
                <w:highlight w:val="none"/>
                <w:lang w:val="en-US" w:eastAsia="zh-CN" w:bidi="ar-SA"/>
              </w:rPr>
              <w:t>（注：</w:t>
            </w:r>
            <w:r>
              <w:rPr>
                <w:rFonts w:hint="eastAsia" w:ascii="宋体" w:hAnsi="宋体" w:cs="宋体"/>
                <w:b/>
                <w:bCs/>
                <w:color w:val="auto"/>
                <w:kern w:val="2"/>
                <w:sz w:val="24"/>
                <w:szCs w:val="24"/>
                <w:highlight w:val="none"/>
                <w:lang w:val="en-US" w:eastAsia="zh-CN" w:bidi="ar-SA"/>
              </w:rPr>
              <w:t>以上网站均由采购人或采购代理机构在评审时查询，若供应商有不良信誉，视为不满足资格要求，响应文件无效</w:t>
            </w:r>
            <w:r>
              <w:rPr>
                <w:rFonts w:hint="eastAsia" w:ascii="宋体" w:hAnsi="宋体" w:eastAsia="宋体" w:cs="宋体"/>
                <w:b/>
                <w:bCs/>
                <w:color w:val="auto"/>
                <w:kern w:val="2"/>
                <w:sz w:val="24"/>
                <w:szCs w:val="24"/>
                <w:highlight w:val="none"/>
                <w:lang w:val="en-US" w:eastAsia="zh-CN" w:bidi="ar-SA"/>
              </w:rPr>
              <w:t>）</w:t>
            </w:r>
          </w:p>
        </w:tc>
      </w:tr>
      <w:tr w14:paraId="10B015F9">
        <w:tblPrEx>
          <w:tblCellMar>
            <w:top w:w="0" w:type="dxa"/>
            <w:left w:w="108" w:type="dxa"/>
            <w:bottom w:w="0" w:type="dxa"/>
            <w:right w:w="108" w:type="dxa"/>
          </w:tblCellMar>
        </w:tblPrEx>
        <w:trPr>
          <w:trHeight w:val="1205" w:hRule="atLeast"/>
          <w:jc w:val="center"/>
        </w:trPr>
        <w:tc>
          <w:tcPr>
            <w:tcW w:w="809" w:type="dxa"/>
            <w:tcBorders>
              <w:top w:val="single" w:color="auto" w:sz="4" w:space="0"/>
              <w:left w:val="single" w:color="auto" w:sz="4" w:space="0"/>
              <w:bottom w:val="single" w:color="auto" w:sz="4" w:space="0"/>
              <w:right w:val="single" w:color="auto" w:sz="4" w:space="0"/>
            </w:tcBorders>
            <w:noWrap w:val="0"/>
            <w:vAlign w:val="center"/>
          </w:tcPr>
          <w:p w14:paraId="4270509C">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default" w:ascii="宋体" w:hAnsi="宋体" w:cs="宋体"/>
                <w:color w:val="auto"/>
                <w:spacing w:val="-4"/>
                <w:kern w:val="0"/>
                <w:sz w:val="24"/>
                <w:szCs w:val="24"/>
                <w:highlight w:val="none"/>
                <w:lang w:val="en-US" w:eastAsia="zh-CN"/>
              </w:rPr>
            </w:pPr>
            <w:r>
              <w:rPr>
                <w:rFonts w:hint="eastAsia" w:ascii="宋体" w:hAnsi="宋体" w:cs="宋体"/>
                <w:color w:val="auto"/>
                <w:spacing w:val="-4"/>
                <w:kern w:val="0"/>
                <w:sz w:val="24"/>
                <w:szCs w:val="24"/>
                <w:highlight w:val="none"/>
                <w:lang w:val="en-US" w:eastAsia="zh-CN"/>
              </w:rPr>
              <w:t>8</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72A3684E">
            <w:pPr>
              <w:keepNext w:val="0"/>
              <w:keepLines w:val="0"/>
              <w:pageBreakBefore w:val="0"/>
              <w:widowControl/>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eastAsia="zh-CN"/>
              </w:rPr>
              <w:t>本项目的特定资格要求</w:t>
            </w:r>
          </w:p>
        </w:tc>
        <w:tc>
          <w:tcPr>
            <w:tcW w:w="6791" w:type="dxa"/>
            <w:tcBorders>
              <w:top w:val="single" w:color="auto" w:sz="4" w:space="0"/>
              <w:left w:val="single" w:color="auto" w:sz="4" w:space="0"/>
              <w:bottom w:val="single" w:color="auto" w:sz="4" w:space="0"/>
              <w:right w:val="single" w:color="auto" w:sz="4" w:space="0"/>
            </w:tcBorders>
            <w:noWrap w:val="0"/>
            <w:vAlign w:val="center"/>
          </w:tcPr>
          <w:p w14:paraId="77F4BF4B">
            <w:pPr>
              <w:pStyle w:val="51"/>
              <w:spacing w:before="31" w:line="385" w:lineRule="auto"/>
              <w:ind w:left="6" w:right="22" w:firstLine="12"/>
              <w:jc w:val="both"/>
              <w:rPr>
                <w:rFonts w:hint="eastAsia"/>
                <w:color w:val="auto"/>
                <w:sz w:val="21"/>
                <w:szCs w:val="21"/>
                <w:highlight w:val="none"/>
              </w:rPr>
            </w:pPr>
            <w:r>
              <w:rPr>
                <w:rFonts w:hint="eastAsia"/>
                <w:color w:val="auto"/>
                <w:sz w:val="21"/>
                <w:szCs w:val="21"/>
                <w:highlight w:val="none"/>
                <w:lang w:eastAsia="zh-CN"/>
              </w:rPr>
              <w:t>供应商具备二类及以上汽车维修资质</w:t>
            </w:r>
            <w:r>
              <w:rPr>
                <w:rFonts w:hint="eastAsia"/>
                <w:color w:val="auto"/>
                <w:sz w:val="21"/>
                <w:szCs w:val="21"/>
                <w:highlight w:val="none"/>
              </w:rPr>
              <w:t>，并经年检合格，需提供有加盖政府交通运输职能部门公章的机动车维修经营备案；</w:t>
            </w:r>
          </w:p>
          <w:p w14:paraId="465B3F56">
            <w:pPr>
              <w:pStyle w:val="15"/>
              <w:ind w:left="0" w:leftChars="0" w:firstLine="0" w:firstLineChars="0"/>
              <w:jc w:val="left"/>
              <w:rPr>
                <w:rFonts w:hint="eastAsia"/>
                <w:lang w:val="en-US" w:eastAsia="zh-CN"/>
              </w:rPr>
            </w:pPr>
            <w:r>
              <w:rPr>
                <w:rFonts w:hint="eastAsia" w:ascii="宋体" w:hAnsi="宋体" w:eastAsia="宋体" w:cs="宋体"/>
                <w:b/>
                <w:bCs/>
                <w:color w:val="auto"/>
                <w:sz w:val="24"/>
                <w:highlight w:val="none"/>
                <w:lang w:val="en-US" w:eastAsia="zh-CN"/>
              </w:rPr>
              <w:t>（提供扫描件并加盖公章）</w:t>
            </w:r>
          </w:p>
        </w:tc>
      </w:tr>
    </w:tbl>
    <w:p w14:paraId="6A0C1F10">
      <w:pPr>
        <w:keepNext w:val="0"/>
        <w:keepLines w:val="0"/>
        <w:pageBreakBefore w:val="0"/>
        <w:kinsoku/>
        <w:wordWrap/>
        <w:overflowPunct/>
        <w:topLinePunct w:val="0"/>
        <w:autoSpaceDN/>
        <w:bidi w:val="0"/>
        <w:snapToGrid/>
        <w:spacing w:line="460" w:lineRule="exact"/>
        <w:ind w:firstLine="482" w:firstLineChars="200"/>
        <w:textAlignment w:val="auto"/>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注：以上证明材料必须提供完整。</w:t>
      </w:r>
    </w:p>
    <w:p w14:paraId="66AEB733">
      <w:pPr>
        <w:keepNext w:val="0"/>
        <w:keepLines w:val="0"/>
        <w:pageBreakBefore w:val="0"/>
        <w:kinsoku/>
        <w:wordWrap/>
        <w:overflowPunct/>
        <w:topLinePunct w:val="0"/>
        <w:autoSpaceDN/>
        <w:bidi w:val="0"/>
        <w:snapToGrid/>
        <w:spacing w:line="460" w:lineRule="exact"/>
        <w:ind w:firstLine="482" w:firstLineChars="200"/>
        <w:textAlignment w:val="auto"/>
        <w:outlineLvl w:val="9"/>
        <w:rPr>
          <w:rFonts w:hint="eastAsia" w:ascii="宋体" w:hAnsi="宋体" w:eastAsia="宋体" w:cs="宋体"/>
          <w:color w:val="auto"/>
          <w:highlight w:val="none"/>
          <w:lang w:eastAsia="zh-CN"/>
        </w:rPr>
      </w:pPr>
      <w:r>
        <w:rPr>
          <w:rFonts w:hint="eastAsia" w:ascii="宋体" w:hAnsi="宋体" w:eastAsia="宋体" w:cs="宋体"/>
          <w:b/>
          <w:bCs/>
          <w:color w:val="auto"/>
          <w:sz w:val="24"/>
          <w:highlight w:val="none"/>
        </w:rPr>
        <w:br w:type="page"/>
      </w:r>
    </w:p>
    <w:p w14:paraId="69ECADE0">
      <w:pPr>
        <w:keepNext/>
        <w:keepLines/>
        <w:spacing w:line="500" w:lineRule="exact"/>
        <w:jc w:val="center"/>
        <w:rPr>
          <w:rFonts w:hint="eastAsia" w:ascii="宋体" w:hAnsi="宋体" w:eastAsia="宋体" w:cs="宋体"/>
          <w:b/>
          <w:bCs/>
          <w:color w:val="auto"/>
          <w:sz w:val="28"/>
          <w:szCs w:val="28"/>
          <w:highlight w:val="none"/>
        </w:rPr>
      </w:pPr>
      <w:bookmarkStart w:id="264" w:name="_Toc23093"/>
      <w:bookmarkStart w:id="265" w:name="_Toc19039"/>
      <w:bookmarkStart w:id="266" w:name="_Toc9817"/>
      <w:r>
        <w:rPr>
          <w:rFonts w:hint="eastAsia" w:ascii="宋体" w:hAnsi="宋体" w:eastAsia="宋体" w:cs="宋体"/>
          <w:b/>
          <w:bCs/>
          <w:color w:val="auto"/>
          <w:sz w:val="28"/>
          <w:szCs w:val="28"/>
          <w:highlight w:val="none"/>
        </w:rPr>
        <w:t>六、</w:t>
      </w:r>
      <w:r>
        <w:rPr>
          <w:rFonts w:hint="eastAsia" w:ascii="宋体" w:hAnsi="宋体" w:eastAsia="宋体" w:cs="宋体"/>
          <w:b/>
          <w:bCs/>
          <w:color w:val="auto"/>
          <w:sz w:val="28"/>
          <w:szCs w:val="28"/>
          <w:highlight w:val="none"/>
          <w:lang w:eastAsia="zh-CN"/>
        </w:rPr>
        <w:t>中小企业声明函</w:t>
      </w:r>
      <w:r>
        <w:rPr>
          <w:rFonts w:hint="eastAsia" w:ascii="宋体" w:hAnsi="宋体" w:eastAsia="宋体" w:cs="宋体"/>
          <w:b/>
          <w:bCs/>
          <w:color w:val="auto"/>
          <w:sz w:val="28"/>
          <w:szCs w:val="28"/>
          <w:highlight w:val="none"/>
        </w:rPr>
        <w:t>格式部分</w:t>
      </w:r>
      <w:bookmarkEnd w:id="264"/>
      <w:bookmarkEnd w:id="265"/>
      <w:bookmarkEnd w:id="266"/>
    </w:p>
    <w:p w14:paraId="5E8ED5E0">
      <w:pPr>
        <w:pStyle w:val="13"/>
        <w:spacing w:line="302" w:lineRule="auto"/>
        <w:ind w:right="415"/>
        <w:jc w:val="center"/>
        <w:rPr>
          <w:rFonts w:hint="eastAsia" w:ascii="宋体" w:hAnsi="宋体" w:eastAsia="宋体" w:cs="宋体"/>
          <w:b/>
          <w:bCs/>
          <w:color w:val="auto"/>
          <w:sz w:val="28"/>
          <w:szCs w:val="28"/>
          <w:highlight w:val="none"/>
        </w:rPr>
      </w:pPr>
    </w:p>
    <w:p w14:paraId="73B10710">
      <w:pPr>
        <w:pStyle w:val="31"/>
        <w:spacing w:line="500" w:lineRule="exact"/>
        <w:jc w:val="center"/>
        <w:outlineLvl w:val="9"/>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1、中小企业声明函</w:t>
      </w:r>
      <w:r>
        <w:rPr>
          <w:rFonts w:hint="eastAsia" w:ascii="宋体" w:hAnsi="宋体" w:eastAsia="宋体" w:cs="宋体"/>
          <w:b/>
          <w:color w:val="auto"/>
          <w:sz w:val="28"/>
          <w:szCs w:val="28"/>
          <w:highlight w:val="none"/>
          <w:lang w:eastAsia="zh-CN"/>
        </w:rPr>
        <w:t>（服务）</w:t>
      </w:r>
    </w:p>
    <w:p w14:paraId="0035EC97">
      <w:pPr>
        <w:pStyle w:val="31"/>
        <w:spacing w:line="500" w:lineRule="exact"/>
        <w:jc w:val="center"/>
        <w:outlineLvl w:val="9"/>
        <w:rPr>
          <w:rFonts w:hint="eastAsia" w:ascii="宋体" w:hAnsi="宋体" w:eastAsia="宋体" w:cs="宋体"/>
          <w:b/>
          <w:color w:val="auto"/>
          <w:sz w:val="28"/>
          <w:szCs w:val="28"/>
          <w:highlight w:val="none"/>
        </w:rPr>
      </w:pPr>
    </w:p>
    <w:p w14:paraId="753BFCCB">
      <w:pPr>
        <w:spacing w:line="360" w:lineRule="auto"/>
        <w:ind w:firstLine="504" w:firstLineChars="200"/>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本公司郑重声明，根据《政府采购促进中小企业发展管理办法》（财库〔2020〕46 号）的规定，本公司为参加</w:t>
      </w:r>
      <w:r>
        <w:rPr>
          <w:rFonts w:hint="eastAsia" w:ascii="宋体" w:hAnsi="宋体" w:eastAsia="宋体" w:cs="宋体"/>
          <w:color w:val="auto"/>
          <w:spacing w:val="6"/>
          <w:sz w:val="24"/>
          <w:szCs w:val="24"/>
          <w:highlight w:val="none"/>
          <w:u w:val="single"/>
        </w:rPr>
        <w:t xml:space="preserve"> （单位名称） </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u w:val="single"/>
        </w:rPr>
        <w:t xml:space="preserve"> （项目名称） </w:t>
      </w:r>
      <w:r>
        <w:rPr>
          <w:rFonts w:hint="eastAsia" w:ascii="宋体" w:hAnsi="宋体" w:eastAsia="宋体" w:cs="宋体"/>
          <w:color w:val="auto"/>
          <w:spacing w:val="6"/>
          <w:sz w:val="24"/>
          <w:szCs w:val="24"/>
          <w:highlight w:val="none"/>
        </w:rPr>
        <w:t>采购活动，</w:t>
      </w:r>
      <w:r>
        <w:rPr>
          <w:rFonts w:hint="eastAsia" w:ascii="宋体" w:hAnsi="宋体" w:eastAsia="宋体" w:cs="宋体"/>
          <w:color w:val="auto"/>
          <w:spacing w:val="6"/>
          <w:sz w:val="24"/>
          <w:szCs w:val="24"/>
          <w:highlight w:val="none"/>
          <w:lang w:val="en-US" w:eastAsia="zh-CN"/>
        </w:rPr>
        <w:t>服务全部由符合政策要求的中小企业承接</w:t>
      </w:r>
      <w:r>
        <w:rPr>
          <w:rFonts w:hint="eastAsia" w:ascii="宋体" w:hAnsi="宋体" w:eastAsia="宋体" w:cs="宋体"/>
          <w:color w:val="auto"/>
          <w:spacing w:val="6"/>
          <w:sz w:val="24"/>
          <w:szCs w:val="24"/>
          <w:highlight w:val="none"/>
        </w:rPr>
        <w:t>。相关企业的具体情况如下：</w:t>
      </w:r>
    </w:p>
    <w:p w14:paraId="2F2EB1C0">
      <w:pPr>
        <w:spacing w:line="360" w:lineRule="auto"/>
        <w:ind w:firstLine="504" w:firstLineChars="200"/>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u w:val="single"/>
        </w:rPr>
        <w:t xml:space="preserve"> </w:t>
      </w:r>
      <w:r>
        <w:rPr>
          <w:rFonts w:hint="eastAsia" w:ascii="宋体" w:hAnsi="宋体" w:cs="宋体"/>
          <w:color w:val="auto"/>
          <w:spacing w:val="6"/>
          <w:sz w:val="24"/>
          <w:szCs w:val="24"/>
          <w:highlight w:val="none"/>
          <w:u w:val="single"/>
          <w:lang w:eastAsia="zh-CN"/>
        </w:rPr>
        <w:t xml:space="preserve"> </w:t>
      </w:r>
      <w:r>
        <w:rPr>
          <w:rFonts w:hint="eastAsia" w:ascii="宋体" w:hAnsi="宋体" w:cs="宋体"/>
          <w:color w:val="auto"/>
          <w:spacing w:val="6"/>
          <w:sz w:val="24"/>
          <w:szCs w:val="24"/>
          <w:highlight w:val="none"/>
          <w:u w:val="single"/>
          <w:lang w:val="en-US" w:eastAsia="zh-CN"/>
        </w:rPr>
        <w:t xml:space="preserve"> （标的名称）</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，属于</w:t>
      </w:r>
      <w:r>
        <w:rPr>
          <w:rFonts w:hint="eastAsia" w:ascii="宋体" w:hAnsi="宋体" w:cs="宋体"/>
          <w:color w:val="auto"/>
          <w:spacing w:val="6"/>
          <w:sz w:val="24"/>
          <w:szCs w:val="24"/>
          <w:highlight w:val="none"/>
          <w:lang w:val="en-US" w:eastAsia="zh-CN"/>
        </w:rPr>
        <w:t xml:space="preserve"> </w:t>
      </w:r>
      <w:r>
        <w:rPr>
          <w:rFonts w:hint="eastAsia" w:ascii="宋体" w:hAnsi="宋体" w:cs="宋体"/>
          <w:color w:val="auto"/>
          <w:spacing w:val="6"/>
          <w:sz w:val="24"/>
          <w:szCs w:val="24"/>
          <w:highlight w:val="none"/>
          <w:u w:val="single"/>
          <w:lang w:val="en-US" w:eastAsia="zh-CN"/>
        </w:rPr>
        <w:t xml:space="preserve">  （采购文件中明确的所属行业）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；承</w:t>
      </w:r>
      <w:r>
        <w:rPr>
          <w:rFonts w:hint="eastAsia" w:ascii="宋体" w:hAnsi="宋体" w:cs="宋体"/>
          <w:color w:val="auto"/>
          <w:spacing w:val="6"/>
          <w:sz w:val="24"/>
          <w:szCs w:val="24"/>
          <w:highlight w:val="none"/>
          <w:lang w:eastAsia="zh-CN"/>
        </w:rPr>
        <w:t>接</w:t>
      </w:r>
      <w:r>
        <w:rPr>
          <w:rFonts w:hint="eastAsia" w:ascii="宋体" w:hAnsi="宋体" w:eastAsia="宋体" w:cs="宋体"/>
          <w:color w:val="auto"/>
          <w:spacing w:val="6"/>
          <w:sz w:val="24"/>
          <w:szCs w:val="24"/>
          <w:highlight w:val="none"/>
        </w:rPr>
        <w:t>企业为</w:t>
      </w:r>
      <w:r>
        <w:rPr>
          <w:rFonts w:hint="eastAsia" w:ascii="宋体" w:hAnsi="宋体" w:eastAsia="宋体" w:cs="宋体"/>
          <w:color w:val="auto"/>
          <w:spacing w:val="6"/>
          <w:sz w:val="24"/>
          <w:szCs w:val="24"/>
          <w:highlight w:val="none"/>
          <w:u w:val="single"/>
        </w:rPr>
        <w:t xml:space="preserve">（企业名称） </w:t>
      </w:r>
      <w:r>
        <w:rPr>
          <w:rFonts w:hint="eastAsia" w:ascii="宋体" w:hAnsi="宋体" w:eastAsia="宋体" w:cs="宋体"/>
          <w:color w:val="auto"/>
          <w:spacing w:val="6"/>
          <w:sz w:val="24"/>
          <w:szCs w:val="24"/>
          <w:highlight w:val="none"/>
        </w:rPr>
        <w:t>，从业人员</w:t>
      </w:r>
      <w:r>
        <w:rPr>
          <w:rFonts w:hint="eastAsia" w:ascii="宋体" w:hAnsi="宋体" w:eastAsia="宋体" w:cs="宋体"/>
          <w:color w:val="auto"/>
          <w:spacing w:val="6"/>
          <w:sz w:val="24"/>
          <w:szCs w:val="24"/>
          <w:highlight w:val="none"/>
          <w:u w:val="single"/>
        </w:rPr>
        <w:t xml:space="preserve"> </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人， 营业收入</w:t>
      </w:r>
      <w:r>
        <w:rPr>
          <w:rFonts w:hint="eastAsia" w:ascii="宋体" w:hAnsi="宋体" w:cs="宋体"/>
          <w:color w:val="auto"/>
          <w:spacing w:val="6"/>
          <w:sz w:val="24"/>
          <w:szCs w:val="24"/>
          <w:highlight w:val="none"/>
          <w:lang w:eastAsia="zh-CN"/>
        </w:rPr>
        <w:t>为</w:t>
      </w:r>
      <w:r>
        <w:rPr>
          <w:rFonts w:hint="eastAsia" w:ascii="宋体" w:hAnsi="宋体" w:eastAsia="宋体" w:cs="宋体"/>
          <w:color w:val="auto"/>
          <w:spacing w:val="6"/>
          <w:sz w:val="24"/>
          <w:szCs w:val="24"/>
          <w:highlight w:val="none"/>
          <w:u w:val="single"/>
        </w:rPr>
        <w:t xml:space="preserve"> </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万元，</w:t>
      </w:r>
      <w:r>
        <w:rPr>
          <w:rFonts w:hint="eastAsia" w:ascii="宋体" w:hAnsi="宋体" w:cs="宋体"/>
          <w:color w:val="auto"/>
          <w:spacing w:val="6"/>
          <w:sz w:val="24"/>
          <w:szCs w:val="24"/>
          <w:highlight w:val="none"/>
          <w:lang w:eastAsia="zh-CN"/>
        </w:rPr>
        <w:t>资产总额为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cs="宋体"/>
          <w:color w:val="auto"/>
          <w:spacing w:val="6"/>
          <w:sz w:val="24"/>
          <w:szCs w:val="24"/>
          <w:highlight w:val="none"/>
          <w:u w:val="none"/>
          <w:lang w:val="en-US" w:eastAsia="zh-CN"/>
        </w:rPr>
        <w:t>万元，</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（中型企业、小型企业、微型企业）</w:t>
      </w:r>
      <w:r>
        <w:rPr>
          <w:rFonts w:hint="eastAsia" w:ascii="宋体" w:hAnsi="宋体" w:eastAsia="宋体" w:cs="宋体"/>
          <w:color w:val="auto"/>
          <w:spacing w:val="6"/>
          <w:sz w:val="24"/>
          <w:szCs w:val="24"/>
          <w:highlight w:val="none"/>
        </w:rPr>
        <w:t xml:space="preserve">； </w:t>
      </w:r>
    </w:p>
    <w:p w14:paraId="1592F9DC">
      <w:pPr>
        <w:spacing w:line="360" w:lineRule="auto"/>
        <w:ind w:firstLine="504" w:firstLineChars="200"/>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 </w:t>
      </w:r>
    </w:p>
    <w:p w14:paraId="03094E53">
      <w:pPr>
        <w:spacing w:line="360" w:lineRule="auto"/>
        <w:ind w:firstLine="504" w:firstLineChars="200"/>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本企业对上述声明内容的真实性负责。 如有虚假，将依法承担相应责任。 </w:t>
      </w:r>
    </w:p>
    <w:p w14:paraId="3B026AAD">
      <w:pPr>
        <w:pStyle w:val="31"/>
        <w:spacing w:line="500" w:lineRule="exact"/>
        <w:ind w:right="-164" w:rightChars="-78" w:firstLine="964" w:firstLineChars="400"/>
        <w:jc w:val="right"/>
        <w:outlineLvl w:val="9"/>
        <w:rPr>
          <w:rFonts w:hint="eastAsia" w:ascii="宋体" w:hAnsi="宋体" w:eastAsia="宋体" w:cs="宋体"/>
          <w:b/>
          <w:bCs/>
          <w:color w:val="auto"/>
          <w:sz w:val="24"/>
          <w:szCs w:val="24"/>
          <w:highlight w:val="none"/>
        </w:rPr>
      </w:pPr>
    </w:p>
    <w:p w14:paraId="64A5C9E6">
      <w:pPr>
        <w:pStyle w:val="31"/>
        <w:spacing w:line="500" w:lineRule="exact"/>
        <w:ind w:right="-164" w:rightChars="-78" w:firstLine="964" w:firstLineChars="400"/>
        <w:jc w:val="right"/>
        <w:outlineLvl w:val="9"/>
        <w:rPr>
          <w:rFonts w:hint="eastAsia" w:ascii="宋体" w:hAnsi="宋体" w:eastAsia="宋体" w:cs="宋体"/>
          <w:b/>
          <w:bCs/>
          <w:color w:val="auto"/>
          <w:sz w:val="24"/>
          <w:szCs w:val="24"/>
          <w:highlight w:val="none"/>
        </w:rPr>
      </w:pPr>
      <w:bookmarkStart w:id="267" w:name="_Toc12444"/>
      <w:r>
        <w:rPr>
          <w:rFonts w:hint="eastAsia" w:ascii="宋体" w:hAnsi="宋体" w:cs="宋体"/>
          <w:b/>
          <w:bCs/>
          <w:color w:val="auto"/>
          <w:sz w:val="24"/>
          <w:szCs w:val="24"/>
          <w:highlight w:val="none"/>
          <w:lang w:eastAsia="zh-CN"/>
        </w:rPr>
        <w:t>企业名称</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盖章</w:t>
      </w:r>
      <w:r>
        <w:rPr>
          <w:rFonts w:hint="eastAsia" w:ascii="宋体" w:hAnsi="宋体" w:eastAsia="宋体" w:cs="宋体"/>
          <w:b/>
          <w:bCs/>
          <w:color w:val="auto"/>
          <w:sz w:val="24"/>
          <w:szCs w:val="24"/>
          <w:highlight w:val="none"/>
        </w:rPr>
        <w:t>）：______________________</w:t>
      </w:r>
      <w:bookmarkEnd w:id="267"/>
      <w:r>
        <w:rPr>
          <w:rFonts w:hint="eastAsia" w:ascii="宋体" w:hAnsi="宋体" w:eastAsia="宋体" w:cs="宋体"/>
          <w:b/>
          <w:bCs/>
          <w:color w:val="auto"/>
          <w:sz w:val="24"/>
          <w:szCs w:val="24"/>
          <w:highlight w:val="none"/>
        </w:rPr>
        <w:t xml:space="preserve">                         </w:t>
      </w:r>
    </w:p>
    <w:p w14:paraId="4414E872">
      <w:pPr>
        <w:pStyle w:val="31"/>
        <w:spacing w:line="500" w:lineRule="exact"/>
        <w:ind w:right="-164" w:rightChars="-78" w:firstLine="964" w:firstLineChars="400"/>
        <w:jc w:val="right"/>
        <w:outlineLvl w:val="9"/>
        <w:rPr>
          <w:rFonts w:hint="eastAsia" w:ascii="宋体" w:hAnsi="宋体" w:eastAsia="宋体" w:cs="宋体"/>
          <w:b/>
          <w:bCs/>
          <w:color w:val="auto"/>
          <w:sz w:val="24"/>
          <w:szCs w:val="24"/>
          <w:highlight w:val="none"/>
        </w:rPr>
      </w:pPr>
    </w:p>
    <w:p w14:paraId="45B623DA">
      <w:pPr>
        <w:pStyle w:val="31"/>
        <w:spacing w:line="500" w:lineRule="exact"/>
        <w:ind w:right="-164" w:rightChars="-78" w:firstLine="964" w:firstLineChars="400"/>
        <w:jc w:val="right"/>
        <w:outlineLvl w:val="9"/>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日期：</w:t>
      </w:r>
      <w:r>
        <w:rPr>
          <w:rFonts w:hint="eastAsia" w:ascii="宋体" w:hAnsi="宋体" w:eastAsia="宋体" w:cs="宋体"/>
          <w:b/>
          <w:bCs/>
          <w:color w:val="auto"/>
          <w:sz w:val="24"/>
          <w:szCs w:val="24"/>
          <w:highlight w:val="none"/>
        </w:rPr>
        <w:t>_________年______月______日</w:t>
      </w:r>
    </w:p>
    <w:p w14:paraId="146EC874">
      <w:pPr>
        <w:pStyle w:val="31"/>
        <w:spacing w:line="500" w:lineRule="exact"/>
        <w:ind w:firstLine="480" w:firstLineChars="200"/>
        <w:outlineLvl w:val="9"/>
        <w:rPr>
          <w:rFonts w:hint="eastAsia" w:ascii="宋体" w:hAnsi="宋体" w:eastAsia="宋体" w:cs="宋体"/>
          <w:color w:val="auto"/>
          <w:sz w:val="24"/>
          <w:szCs w:val="24"/>
          <w:highlight w:val="none"/>
        </w:rPr>
      </w:pPr>
    </w:p>
    <w:p w14:paraId="00BCB388">
      <w:pPr>
        <w:pStyle w:val="31"/>
        <w:spacing w:line="500" w:lineRule="exact"/>
        <w:ind w:firstLine="480" w:firstLineChars="200"/>
        <w:outlineLvl w:val="9"/>
        <w:rPr>
          <w:rFonts w:hint="eastAsia" w:ascii="宋体" w:hAnsi="宋体" w:eastAsia="宋体" w:cs="宋体"/>
          <w:color w:val="auto"/>
          <w:sz w:val="24"/>
          <w:szCs w:val="24"/>
          <w:highlight w:val="none"/>
        </w:rPr>
      </w:pPr>
    </w:p>
    <w:p w14:paraId="4A4B14BD">
      <w:pPr>
        <w:outlineLvl w:val="9"/>
        <w:rPr>
          <w:rFonts w:hint="eastAsia" w:ascii="宋体" w:hAnsi="宋体" w:eastAsia="宋体" w:cs="宋体"/>
          <w:color w:val="auto"/>
          <w:sz w:val="28"/>
          <w:szCs w:val="28"/>
          <w:highlight w:val="none"/>
        </w:rPr>
      </w:pPr>
    </w:p>
    <w:p w14:paraId="5297F2A3">
      <w:pPr>
        <w:pStyle w:val="15"/>
        <w:outlineLvl w:val="9"/>
        <w:rPr>
          <w:rFonts w:hint="eastAsia" w:ascii="宋体" w:hAnsi="宋体" w:eastAsia="宋体" w:cs="宋体"/>
          <w:color w:val="auto"/>
          <w:sz w:val="28"/>
          <w:szCs w:val="28"/>
          <w:highlight w:val="none"/>
        </w:rPr>
      </w:pPr>
    </w:p>
    <w:p w14:paraId="2F6EF91E">
      <w:pPr>
        <w:pStyle w:val="15"/>
        <w:ind w:left="0" w:leftChars="0" w:firstLine="0" w:firstLineChars="0"/>
        <w:outlineLvl w:val="9"/>
        <w:rPr>
          <w:rFonts w:hint="eastAsia" w:ascii="宋体" w:hAnsi="宋体" w:eastAsia="宋体" w:cs="宋体"/>
          <w:color w:val="auto"/>
          <w:sz w:val="28"/>
          <w:szCs w:val="28"/>
          <w:highlight w:val="none"/>
        </w:rPr>
      </w:pPr>
    </w:p>
    <w:p w14:paraId="164D12F1">
      <w:pPr>
        <w:widowControl/>
        <w:spacing w:line="360" w:lineRule="atLeast"/>
        <w:jc w:val="left"/>
        <w:outlineLvl w:val="9"/>
        <w:rPr>
          <w:rFonts w:ascii="宋体" w:hAnsi="宋体" w:cs="宋体"/>
          <w:b/>
          <w:bCs/>
          <w:color w:val="auto"/>
          <w:sz w:val="20"/>
          <w:szCs w:val="20"/>
          <w:highlight w:val="none"/>
        </w:rPr>
      </w:pPr>
      <w:r>
        <w:rPr>
          <w:rFonts w:hint="eastAsia"/>
          <w:b/>
          <w:bCs/>
          <w:color w:val="auto"/>
          <w:sz w:val="20"/>
          <w:szCs w:val="20"/>
          <w:highlight w:val="none"/>
          <w:lang w:eastAsia="zh-CN"/>
        </w:rPr>
        <w:t>注：</w:t>
      </w:r>
      <w:r>
        <w:rPr>
          <w:rFonts w:hint="eastAsia"/>
          <w:b/>
          <w:bCs/>
          <w:color w:val="auto"/>
          <w:sz w:val="20"/>
          <w:szCs w:val="20"/>
          <w:highlight w:val="none"/>
        </w:rPr>
        <w:t xml:space="preserve"> 从业人员、营业收入、资产总额填报上一年度数据，无上一年度数据的新成立企业可不填报。</w:t>
      </w:r>
    </w:p>
    <w:p w14:paraId="3F5CD7D3">
      <w:pPr>
        <w:pStyle w:val="15"/>
        <w:ind w:left="0" w:leftChars="0" w:firstLine="0" w:firstLineChars="0"/>
        <w:rPr>
          <w:rFonts w:hint="eastAsia" w:ascii="宋体" w:hAnsi="宋体" w:eastAsia="宋体" w:cs="宋体"/>
          <w:color w:val="auto"/>
          <w:sz w:val="28"/>
          <w:szCs w:val="28"/>
          <w:highlight w:val="none"/>
        </w:rPr>
      </w:pPr>
    </w:p>
    <w:p w14:paraId="5CF9D5C4">
      <w:pPr>
        <w:pStyle w:val="16"/>
        <w:rPr>
          <w:rFonts w:hint="eastAsia" w:ascii="宋体" w:hAnsi="宋体" w:eastAsia="宋体" w:cs="宋体"/>
          <w:color w:val="auto"/>
          <w:sz w:val="28"/>
          <w:szCs w:val="28"/>
          <w:highlight w:val="none"/>
        </w:rPr>
      </w:pPr>
    </w:p>
    <w:p w14:paraId="46D73D46">
      <w:pPr>
        <w:rPr>
          <w:rFonts w:hint="eastAsia"/>
          <w:color w:val="auto"/>
        </w:rPr>
      </w:pPr>
    </w:p>
    <w:p w14:paraId="4B6FD3D6">
      <w:pPr>
        <w:spacing w:before="180" w:line="22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2、残疾人福利性单位声明函</w:t>
      </w:r>
    </w:p>
    <w:p w14:paraId="43EE0A73">
      <w:pPr>
        <w:spacing w:before="180" w:line="220" w:lineRule="auto"/>
        <w:jc w:val="center"/>
        <w:rPr>
          <w:rFonts w:ascii="宋体" w:hAnsi="宋体" w:eastAsia="宋体" w:cs="宋体"/>
          <w:color w:val="auto"/>
          <w:sz w:val="24"/>
          <w:szCs w:val="24"/>
        </w:rPr>
      </w:pPr>
      <w:r>
        <w:rPr>
          <w:rFonts w:ascii="宋体" w:hAnsi="宋体" w:eastAsia="宋体" w:cs="宋体"/>
          <w:color w:val="auto"/>
          <w:spacing w:val="-2"/>
          <w:sz w:val="24"/>
          <w:szCs w:val="24"/>
        </w:rPr>
        <w:t>（不属于残疾人福利性单位的无需填写）</w:t>
      </w:r>
    </w:p>
    <w:p w14:paraId="32223844">
      <w:pPr>
        <w:pStyle w:val="31"/>
        <w:spacing w:line="500" w:lineRule="exact"/>
        <w:jc w:val="center"/>
        <w:outlineLvl w:val="9"/>
        <w:rPr>
          <w:rFonts w:hint="eastAsia" w:ascii="宋体" w:hAnsi="宋体" w:eastAsia="宋体" w:cs="宋体"/>
          <w:b/>
          <w:color w:val="auto"/>
          <w:sz w:val="24"/>
          <w:szCs w:val="24"/>
          <w:highlight w:val="none"/>
        </w:rPr>
      </w:pPr>
    </w:p>
    <w:p w14:paraId="0E2DD3DE">
      <w:pPr>
        <w:spacing w:line="360" w:lineRule="auto"/>
        <w:ind w:firstLine="504" w:firstLineChars="200"/>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〔2017〕141号</w:t>
      </w:r>
      <w:r>
        <w:rPr>
          <w:rFonts w:hint="eastAsia" w:ascii="宋体" w:hAnsi="宋体" w:eastAsia="宋体" w:cs="宋体"/>
          <w:color w:val="auto"/>
          <w:spacing w:val="6"/>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73F8B80">
      <w:pPr>
        <w:spacing w:line="360" w:lineRule="auto"/>
        <w:ind w:firstLine="504" w:firstLineChars="200"/>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727A6955">
      <w:pPr>
        <w:pStyle w:val="31"/>
        <w:spacing w:line="500" w:lineRule="exact"/>
        <w:ind w:right="-164" w:rightChars="-78" w:firstLine="1008" w:firstLineChars="400"/>
        <w:jc w:val="right"/>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6"/>
          <w:sz w:val="24"/>
          <w:szCs w:val="24"/>
          <w:highlight w:val="none"/>
          <w:lang w:val="en-US" w:eastAsia="zh-CN"/>
        </w:rPr>
        <w:t xml:space="preserve">     </w:t>
      </w:r>
    </w:p>
    <w:p w14:paraId="3216A572">
      <w:pPr>
        <w:pStyle w:val="31"/>
        <w:spacing w:line="500" w:lineRule="exact"/>
        <w:ind w:right="-164" w:rightChars="-78" w:firstLine="1012" w:firstLineChars="400"/>
        <w:jc w:val="right"/>
        <w:outlineLvl w:val="9"/>
        <w:rPr>
          <w:rFonts w:hint="eastAsia" w:ascii="宋体" w:hAnsi="宋体" w:eastAsia="宋体" w:cs="宋体"/>
          <w:b/>
          <w:bCs/>
          <w:color w:val="auto"/>
          <w:sz w:val="24"/>
          <w:szCs w:val="24"/>
          <w:highlight w:val="none"/>
        </w:rPr>
      </w:pPr>
      <w:bookmarkStart w:id="268" w:name="_Toc9525"/>
      <w:r>
        <w:rPr>
          <w:rFonts w:hint="eastAsia" w:ascii="宋体" w:hAnsi="宋体" w:cs="宋体"/>
          <w:b/>
          <w:bCs/>
          <w:color w:val="auto"/>
          <w:spacing w:val="6"/>
          <w:sz w:val="24"/>
          <w:szCs w:val="24"/>
          <w:highlight w:val="none"/>
          <w:lang w:eastAsia="zh-CN"/>
        </w:rPr>
        <w:t>供应商全称</w:t>
      </w:r>
      <w:r>
        <w:rPr>
          <w:rFonts w:hint="eastAsia" w:ascii="宋体" w:hAnsi="宋体" w:eastAsia="宋体" w:cs="宋体"/>
          <w:b/>
          <w:bCs/>
          <w:color w:val="auto"/>
          <w:sz w:val="24"/>
          <w:szCs w:val="24"/>
          <w:highlight w:val="none"/>
        </w:rPr>
        <w:t>：______________________（</w:t>
      </w:r>
      <w:r>
        <w:rPr>
          <w:rFonts w:hint="eastAsia" w:ascii="宋体" w:hAnsi="宋体" w:eastAsia="宋体" w:cs="宋体"/>
          <w:b/>
          <w:bCs/>
          <w:color w:val="auto"/>
          <w:sz w:val="24"/>
          <w:szCs w:val="24"/>
          <w:highlight w:val="none"/>
          <w:lang w:eastAsia="zh-CN"/>
        </w:rPr>
        <w:t>加盖</w:t>
      </w:r>
      <w:r>
        <w:rPr>
          <w:rFonts w:hint="eastAsia" w:ascii="宋体" w:hAnsi="宋体" w:cs="宋体"/>
          <w:b/>
          <w:bCs/>
          <w:color w:val="auto"/>
          <w:sz w:val="24"/>
          <w:szCs w:val="24"/>
          <w:highlight w:val="none"/>
          <w:lang w:eastAsia="zh-CN"/>
        </w:rPr>
        <w:t>单位</w:t>
      </w:r>
      <w:r>
        <w:rPr>
          <w:rFonts w:hint="eastAsia" w:ascii="宋体" w:hAnsi="宋体" w:eastAsia="宋体" w:cs="宋体"/>
          <w:b/>
          <w:bCs/>
          <w:color w:val="auto"/>
          <w:sz w:val="24"/>
          <w:szCs w:val="24"/>
          <w:highlight w:val="none"/>
          <w:lang w:eastAsia="zh-CN"/>
        </w:rPr>
        <w:t>公</w:t>
      </w:r>
      <w:r>
        <w:rPr>
          <w:rFonts w:hint="eastAsia" w:ascii="宋体" w:hAnsi="宋体" w:eastAsia="宋体" w:cs="宋体"/>
          <w:b/>
          <w:bCs/>
          <w:color w:val="auto"/>
          <w:sz w:val="24"/>
          <w:szCs w:val="24"/>
          <w:highlight w:val="none"/>
        </w:rPr>
        <w:t>章）</w:t>
      </w:r>
      <w:bookmarkEnd w:id="268"/>
      <w:r>
        <w:rPr>
          <w:rFonts w:hint="eastAsia" w:ascii="宋体" w:hAnsi="宋体" w:eastAsia="宋体" w:cs="宋体"/>
          <w:b/>
          <w:bCs/>
          <w:color w:val="auto"/>
          <w:sz w:val="24"/>
          <w:szCs w:val="24"/>
          <w:highlight w:val="none"/>
        </w:rPr>
        <w:t xml:space="preserve">                         </w:t>
      </w:r>
    </w:p>
    <w:p w14:paraId="47F1E3C0">
      <w:pPr>
        <w:pStyle w:val="31"/>
        <w:spacing w:line="500" w:lineRule="exact"/>
        <w:ind w:right="-164" w:rightChars="-78" w:firstLine="964" w:firstLineChars="400"/>
        <w:jc w:val="right"/>
        <w:outlineLvl w:val="9"/>
        <w:rPr>
          <w:rFonts w:hint="eastAsia" w:ascii="宋体" w:hAnsi="宋体" w:eastAsia="宋体" w:cs="宋体"/>
          <w:b/>
          <w:bCs/>
          <w:color w:val="auto"/>
          <w:sz w:val="24"/>
          <w:szCs w:val="24"/>
          <w:highlight w:val="none"/>
          <w:lang w:val="en-US" w:eastAsia="zh-CN"/>
        </w:rPr>
      </w:pPr>
    </w:p>
    <w:p w14:paraId="063FF0FA">
      <w:pPr>
        <w:pStyle w:val="31"/>
        <w:spacing w:line="500" w:lineRule="exact"/>
        <w:ind w:right="-164" w:rightChars="-78" w:firstLine="964" w:firstLineChars="400"/>
        <w:jc w:val="righ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日期：</w:t>
      </w:r>
      <w:r>
        <w:rPr>
          <w:rFonts w:hint="eastAsia" w:ascii="宋体" w:hAnsi="宋体" w:eastAsia="宋体" w:cs="宋体"/>
          <w:b/>
          <w:bCs/>
          <w:color w:val="auto"/>
          <w:sz w:val="24"/>
          <w:szCs w:val="24"/>
          <w:highlight w:val="none"/>
        </w:rPr>
        <w:t>_________年______月______日</w:t>
      </w:r>
    </w:p>
    <w:p w14:paraId="72D7C0D8">
      <w:pPr>
        <w:pStyle w:val="15"/>
        <w:ind w:firstLine="640"/>
        <w:outlineLvl w:val="9"/>
        <w:rPr>
          <w:rFonts w:hint="eastAsia" w:ascii="宋体" w:hAnsi="宋体" w:eastAsia="宋体" w:cs="宋体"/>
          <w:color w:val="auto"/>
          <w:highlight w:val="none"/>
        </w:rPr>
      </w:pPr>
    </w:p>
    <w:p w14:paraId="489DDDA4">
      <w:pPr>
        <w:pStyle w:val="31"/>
        <w:spacing w:line="500" w:lineRule="exact"/>
        <w:jc w:val="both"/>
        <w:outlineLvl w:val="9"/>
        <w:rPr>
          <w:rFonts w:hint="eastAsia" w:ascii="宋体" w:hAnsi="宋体" w:eastAsia="宋体" w:cs="宋体"/>
          <w:b/>
          <w:color w:val="auto"/>
          <w:sz w:val="28"/>
          <w:szCs w:val="28"/>
          <w:highlight w:val="none"/>
        </w:rPr>
      </w:pPr>
    </w:p>
    <w:p w14:paraId="6D544096">
      <w:pPr>
        <w:pStyle w:val="31"/>
        <w:spacing w:line="500" w:lineRule="exact"/>
        <w:jc w:val="both"/>
        <w:outlineLvl w:val="9"/>
        <w:rPr>
          <w:rFonts w:hint="eastAsia" w:ascii="宋体" w:hAnsi="宋体" w:eastAsia="宋体" w:cs="宋体"/>
          <w:b/>
          <w:color w:val="auto"/>
          <w:sz w:val="28"/>
          <w:szCs w:val="28"/>
          <w:highlight w:val="none"/>
        </w:rPr>
      </w:pPr>
    </w:p>
    <w:p w14:paraId="7725BAC6">
      <w:pPr>
        <w:pStyle w:val="31"/>
        <w:spacing w:line="500" w:lineRule="exact"/>
        <w:jc w:val="center"/>
        <w:outlineLvl w:val="9"/>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color w:val="auto"/>
          <w:kern w:val="2"/>
          <w:sz w:val="28"/>
          <w:szCs w:val="28"/>
          <w:highlight w:val="none"/>
          <w:lang w:val="en-US" w:eastAsia="zh-CN" w:bidi="ar-SA"/>
        </w:rPr>
        <w:t>3、监狱企业证明文件</w:t>
      </w:r>
    </w:p>
    <w:p w14:paraId="53705F92">
      <w:pPr>
        <w:pStyle w:val="31"/>
        <w:spacing w:line="500" w:lineRule="exact"/>
        <w:jc w:val="center"/>
        <w:outlineLvl w:val="9"/>
        <w:rPr>
          <w:rFonts w:hint="eastAsia" w:ascii="宋体" w:hAnsi="宋体" w:eastAsia="宋体" w:cs="宋体"/>
          <w:b/>
          <w:color w:val="auto"/>
          <w:sz w:val="28"/>
          <w:szCs w:val="28"/>
          <w:highlight w:val="none"/>
        </w:rPr>
      </w:pPr>
      <w:r>
        <w:rPr>
          <w:rFonts w:hint="eastAsia" w:ascii="宋体" w:hAnsi="宋体" w:eastAsia="宋体" w:cs="宋体"/>
          <w:color w:val="auto"/>
          <w:spacing w:val="-2"/>
          <w:sz w:val="24"/>
          <w:szCs w:val="24"/>
          <w:lang w:eastAsia="zh-CN"/>
        </w:rPr>
        <w:t>（</w:t>
      </w:r>
      <w:r>
        <w:rPr>
          <w:rFonts w:ascii="宋体" w:hAnsi="宋体" w:eastAsia="宋体" w:cs="宋体"/>
          <w:color w:val="auto"/>
          <w:spacing w:val="-2"/>
          <w:sz w:val="24"/>
          <w:szCs w:val="24"/>
        </w:rPr>
        <w:t>不属于</w:t>
      </w:r>
      <w:r>
        <w:rPr>
          <w:rFonts w:hint="eastAsia" w:ascii="宋体" w:hAnsi="宋体" w:eastAsia="宋体" w:cs="宋体"/>
          <w:color w:val="auto"/>
          <w:spacing w:val="-2"/>
          <w:sz w:val="24"/>
          <w:szCs w:val="24"/>
        </w:rPr>
        <w:t>监狱企业</w:t>
      </w:r>
      <w:r>
        <w:rPr>
          <w:rFonts w:ascii="宋体" w:hAnsi="宋体" w:eastAsia="宋体" w:cs="宋体"/>
          <w:color w:val="auto"/>
          <w:spacing w:val="-2"/>
          <w:sz w:val="24"/>
          <w:szCs w:val="24"/>
        </w:rPr>
        <w:t>的无需</w:t>
      </w:r>
      <w:r>
        <w:rPr>
          <w:rFonts w:hint="eastAsia" w:ascii="宋体" w:hAnsi="宋体" w:eastAsia="宋体" w:cs="宋体"/>
          <w:color w:val="auto"/>
          <w:spacing w:val="-2"/>
          <w:sz w:val="24"/>
          <w:szCs w:val="24"/>
          <w:lang w:eastAsia="zh-CN"/>
        </w:rPr>
        <w:t>提供</w:t>
      </w:r>
      <w:r>
        <w:rPr>
          <w:rFonts w:ascii="宋体" w:hAnsi="宋体" w:eastAsia="宋体" w:cs="宋体"/>
          <w:color w:val="auto"/>
          <w:spacing w:val="-2"/>
          <w:sz w:val="24"/>
          <w:szCs w:val="24"/>
        </w:rPr>
        <w:t>）</w:t>
      </w:r>
    </w:p>
    <w:p w14:paraId="3EAF4D58">
      <w:pPr>
        <w:spacing w:line="360" w:lineRule="auto"/>
        <w:ind w:firstLine="504" w:firstLineChars="200"/>
        <w:jc w:val="left"/>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C3F5992">
      <w:pPr>
        <w:shd w:val="clear" w:color="auto" w:fill="FFFFFF"/>
        <w:wordWrap w:val="0"/>
        <w:snapToGrid w:val="0"/>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pacing w:val="6"/>
          <w:sz w:val="24"/>
          <w:szCs w:val="24"/>
          <w:highlight w:val="none"/>
        </w:rPr>
        <w:t>监狱企业参加政府采购活动时，应当提供由省级以上监狱管理局、戒毒管理局（含新疆生产建设兵团）出具的属于监狱企业的证明文件</w:t>
      </w:r>
      <w:r>
        <w:rPr>
          <w:rFonts w:hint="eastAsia" w:ascii="宋体" w:hAnsi="宋体" w:eastAsia="宋体" w:cs="宋体"/>
          <w:color w:val="auto"/>
          <w:spacing w:val="6"/>
          <w:sz w:val="28"/>
          <w:szCs w:val="28"/>
          <w:highlight w:val="none"/>
        </w:rPr>
        <w:t>。</w:t>
      </w:r>
    </w:p>
    <w:p w14:paraId="121BF7CE">
      <w:pPr>
        <w:pStyle w:val="31"/>
        <w:spacing w:line="500" w:lineRule="exact"/>
        <w:ind w:right="-164" w:rightChars="-78" w:firstLine="1008" w:firstLineChars="400"/>
        <w:jc w:val="right"/>
        <w:outlineLvl w:val="9"/>
        <w:rPr>
          <w:rFonts w:hint="eastAsia" w:ascii="宋体" w:hAnsi="宋体" w:eastAsia="宋体" w:cs="宋体"/>
          <w:color w:val="auto"/>
          <w:spacing w:val="6"/>
          <w:sz w:val="24"/>
          <w:szCs w:val="24"/>
          <w:highlight w:val="none"/>
        </w:rPr>
      </w:pPr>
    </w:p>
    <w:p w14:paraId="6499C331">
      <w:pPr>
        <w:pStyle w:val="44"/>
        <w:ind w:left="0" w:leftChars="0" w:firstLine="0" w:firstLineChars="0"/>
        <w:rPr>
          <w:rFonts w:hint="eastAsia" w:ascii="宋体" w:hAnsi="宋体" w:eastAsia="宋体" w:cs="宋体"/>
          <w:b/>
          <w:bCs/>
          <w:color w:val="auto"/>
          <w:sz w:val="30"/>
          <w:szCs w:val="30"/>
          <w:highlight w:val="none"/>
        </w:rPr>
      </w:pPr>
    </w:p>
    <w:p w14:paraId="44C28BDA">
      <w:pPr>
        <w:spacing w:line="500" w:lineRule="exact"/>
        <w:rPr>
          <w:rFonts w:hint="eastAsia" w:ascii="宋体" w:hAnsi="宋体" w:eastAsia="宋体" w:cs="宋体"/>
          <w:b/>
          <w:color w:val="auto"/>
          <w:sz w:val="28"/>
          <w:szCs w:val="28"/>
          <w:highlight w:val="none"/>
          <w:lang w:eastAsia="zh-CN"/>
        </w:rPr>
      </w:pPr>
    </w:p>
    <w:p w14:paraId="0CE22995">
      <w:pPr>
        <w:spacing w:line="500" w:lineRule="exact"/>
        <w:rPr>
          <w:rFonts w:hint="eastAsia" w:ascii="宋体" w:hAnsi="宋体" w:eastAsia="宋体" w:cs="宋体"/>
          <w:b/>
          <w:color w:val="auto"/>
          <w:sz w:val="28"/>
          <w:szCs w:val="28"/>
          <w:highlight w:val="none"/>
          <w:lang w:eastAsia="zh-CN"/>
        </w:rPr>
      </w:pPr>
    </w:p>
    <w:p w14:paraId="01AF2927">
      <w:pPr>
        <w:spacing w:line="500" w:lineRule="exact"/>
        <w:jc w:val="center"/>
        <w:rPr>
          <w:rFonts w:ascii="宋体" w:hAnsi="宋体" w:eastAsia="宋体" w:cs="宋体"/>
          <w:color w:val="auto"/>
          <w:sz w:val="30"/>
          <w:szCs w:val="30"/>
        </w:rPr>
      </w:pPr>
      <w:r>
        <w:rPr>
          <w:rFonts w:hint="eastAsia" w:ascii="宋体" w:hAnsi="宋体" w:eastAsia="宋体" w:cs="宋体"/>
          <w:b/>
          <w:color w:val="auto"/>
          <w:sz w:val="28"/>
          <w:szCs w:val="28"/>
          <w:highlight w:val="none"/>
          <w:lang w:eastAsia="zh-CN"/>
        </w:rPr>
        <w:t>七、项目实施方案</w:t>
      </w:r>
      <w:r>
        <w:rPr>
          <w:rFonts w:ascii="宋体" w:hAnsi="宋体" w:eastAsia="宋体" w:cs="宋体"/>
          <w:b/>
          <w:bCs/>
          <w:color w:val="auto"/>
          <w:spacing w:val="-4"/>
          <w:sz w:val="30"/>
          <w:szCs w:val="30"/>
        </w:rPr>
        <w:t>（</w:t>
      </w:r>
      <w:r>
        <w:rPr>
          <w:rFonts w:hint="eastAsia" w:ascii="宋体" w:hAnsi="宋体" w:eastAsia="宋体" w:cs="宋体"/>
          <w:b/>
          <w:bCs/>
          <w:color w:val="auto"/>
          <w:spacing w:val="-4"/>
          <w:sz w:val="30"/>
          <w:szCs w:val="30"/>
        </w:rPr>
        <w:t>按照评分办法要求，格式自拟</w:t>
      </w:r>
      <w:r>
        <w:rPr>
          <w:rFonts w:ascii="宋体" w:hAnsi="宋体" w:eastAsia="宋体" w:cs="宋体"/>
          <w:b/>
          <w:bCs/>
          <w:color w:val="auto"/>
          <w:spacing w:val="-4"/>
          <w:sz w:val="30"/>
          <w:szCs w:val="30"/>
        </w:rPr>
        <w:t>）</w:t>
      </w:r>
    </w:p>
    <w:p w14:paraId="03FDAA3A">
      <w:pPr>
        <w:widowControl/>
        <w:adjustRightInd w:val="0"/>
        <w:snapToGrid w:val="0"/>
        <w:spacing w:line="336" w:lineRule="auto"/>
        <w:jc w:val="center"/>
        <w:rPr>
          <w:rFonts w:hint="eastAsia" w:ascii="宋体" w:hAnsi="宋体" w:eastAsia="宋体" w:cs="宋体"/>
          <w:b/>
          <w:color w:val="auto"/>
          <w:sz w:val="28"/>
          <w:szCs w:val="28"/>
          <w:highlight w:val="none"/>
          <w:lang w:eastAsia="zh-CN"/>
        </w:rPr>
      </w:pPr>
    </w:p>
    <w:p w14:paraId="24186804">
      <w:pPr>
        <w:widowControl/>
        <w:adjustRightInd w:val="0"/>
        <w:snapToGrid w:val="0"/>
        <w:spacing w:line="336" w:lineRule="auto"/>
        <w:jc w:val="center"/>
        <w:rPr>
          <w:rFonts w:hint="eastAsia" w:ascii="宋体" w:hAnsi="宋体" w:eastAsia="宋体" w:cs="宋体"/>
          <w:b/>
          <w:color w:val="auto"/>
          <w:sz w:val="28"/>
          <w:szCs w:val="28"/>
          <w:highlight w:val="none"/>
          <w:lang w:eastAsia="zh-CN"/>
        </w:rPr>
      </w:pPr>
    </w:p>
    <w:p w14:paraId="15B60C0D">
      <w:pPr>
        <w:widowControl/>
        <w:adjustRightInd w:val="0"/>
        <w:snapToGrid w:val="0"/>
        <w:spacing w:line="336"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八、综合实力（按照评分办法要求，格式自拟）</w:t>
      </w:r>
    </w:p>
    <w:p w14:paraId="627786C1">
      <w:pPr>
        <w:widowControl/>
        <w:adjustRightInd w:val="0"/>
        <w:snapToGrid w:val="0"/>
        <w:spacing w:line="336" w:lineRule="auto"/>
        <w:jc w:val="center"/>
        <w:rPr>
          <w:rFonts w:hint="eastAsia" w:ascii="宋体" w:hAnsi="宋体" w:eastAsia="宋体" w:cs="宋体"/>
          <w:b/>
          <w:color w:val="auto"/>
          <w:sz w:val="28"/>
          <w:szCs w:val="28"/>
          <w:highlight w:val="none"/>
          <w:lang w:eastAsia="zh-CN"/>
        </w:rPr>
      </w:pPr>
    </w:p>
    <w:p w14:paraId="64129C0F">
      <w:pPr>
        <w:widowControl/>
        <w:adjustRightInd w:val="0"/>
        <w:snapToGrid w:val="0"/>
        <w:spacing w:line="336" w:lineRule="auto"/>
        <w:jc w:val="center"/>
        <w:rPr>
          <w:rFonts w:hint="eastAsia" w:ascii="宋体" w:hAnsi="宋体" w:eastAsia="宋体" w:cs="宋体"/>
          <w:b/>
          <w:color w:val="auto"/>
          <w:sz w:val="28"/>
          <w:szCs w:val="28"/>
          <w:highlight w:val="none"/>
          <w:lang w:eastAsia="zh-CN"/>
        </w:rPr>
      </w:pPr>
    </w:p>
    <w:p w14:paraId="704ED49A">
      <w:pPr>
        <w:widowControl/>
        <w:numPr>
          <w:ilvl w:val="0"/>
          <w:numId w:val="5"/>
        </w:numPr>
        <w:adjustRightInd w:val="0"/>
        <w:snapToGrid w:val="0"/>
        <w:spacing w:line="336"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维修材料进货方案（按照评分办法要求，格式自拟）</w:t>
      </w:r>
    </w:p>
    <w:p w14:paraId="7BC0B65E">
      <w:pPr>
        <w:widowControl/>
        <w:numPr>
          <w:ilvl w:val="0"/>
          <w:numId w:val="0"/>
        </w:numPr>
        <w:adjustRightInd w:val="0"/>
        <w:snapToGrid w:val="0"/>
        <w:spacing w:line="336" w:lineRule="auto"/>
        <w:jc w:val="center"/>
        <w:rPr>
          <w:rFonts w:hint="eastAsia" w:ascii="宋体" w:hAnsi="宋体" w:eastAsia="宋体" w:cs="宋体"/>
          <w:b/>
          <w:color w:val="auto"/>
          <w:sz w:val="28"/>
          <w:szCs w:val="28"/>
          <w:highlight w:val="none"/>
          <w:lang w:eastAsia="zh-CN"/>
        </w:rPr>
      </w:pPr>
    </w:p>
    <w:p w14:paraId="3E60835D">
      <w:pPr>
        <w:widowControl/>
        <w:numPr>
          <w:ilvl w:val="0"/>
          <w:numId w:val="0"/>
        </w:numPr>
        <w:adjustRightInd w:val="0"/>
        <w:snapToGrid w:val="0"/>
        <w:spacing w:line="336" w:lineRule="auto"/>
        <w:jc w:val="center"/>
        <w:rPr>
          <w:rFonts w:hint="eastAsia" w:ascii="宋体" w:hAnsi="宋体" w:eastAsia="宋体" w:cs="宋体"/>
          <w:b/>
          <w:color w:val="auto"/>
          <w:sz w:val="28"/>
          <w:szCs w:val="28"/>
          <w:highlight w:val="none"/>
          <w:lang w:eastAsia="zh-CN"/>
        </w:rPr>
      </w:pPr>
    </w:p>
    <w:p w14:paraId="549DA78A">
      <w:pPr>
        <w:widowControl/>
        <w:adjustRightInd w:val="0"/>
        <w:snapToGrid w:val="0"/>
        <w:spacing w:line="336" w:lineRule="auto"/>
        <w:jc w:val="center"/>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eastAsia="zh-CN"/>
        </w:rPr>
        <w:t>十</w:t>
      </w:r>
      <w:r>
        <w:rPr>
          <w:rFonts w:hint="eastAsia" w:ascii="宋体" w:hAnsi="宋体" w:eastAsia="宋体" w:cs="宋体"/>
          <w:b/>
          <w:color w:val="auto"/>
          <w:sz w:val="28"/>
          <w:szCs w:val="28"/>
          <w:highlight w:val="none"/>
          <w:lang w:eastAsia="zh-CN"/>
        </w:rPr>
        <w:t>、类似业绩（按照评分办法要求，格式自拟）</w:t>
      </w:r>
    </w:p>
    <w:p w14:paraId="6CFF2BF7">
      <w:pPr>
        <w:widowControl/>
        <w:adjustRightInd w:val="0"/>
        <w:snapToGrid w:val="0"/>
        <w:spacing w:line="336" w:lineRule="auto"/>
        <w:jc w:val="center"/>
        <w:rPr>
          <w:rFonts w:hint="eastAsia" w:ascii="宋体" w:hAnsi="宋体" w:eastAsia="宋体" w:cs="宋体"/>
          <w:b/>
          <w:color w:val="auto"/>
          <w:sz w:val="28"/>
          <w:szCs w:val="28"/>
          <w:highlight w:val="none"/>
          <w:lang w:eastAsia="zh-CN"/>
        </w:rPr>
      </w:pPr>
    </w:p>
    <w:p w14:paraId="515D92FA">
      <w:pPr>
        <w:widowControl/>
        <w:adjustRightInd w:val="0"/>
        <w:snapToGrid w:val="0"/>
        <w:spacing w:line="336" w:lineRule="auto"/>
        <w:jc w:val="center"/>
        <w:rPr>
          <w:rFonts w:hint="eastAsia" w:ascii="宋体" w:hAnsi="宋体" w:eastAsia="宋体" w:cs="宋体"/>
          <w:b/>
          <w:color w:val="auto"/>
          <w:sz w:val="28"/>
          <w:szCs w:val="28"/>
          <w:highlight w:val="none"/>
          <w:lang w:eastAsia="zh-CN"/>
        </w:rPr>
      </w:pPr>
    </w:p>
    <w:p w14:paraId="54264942">
      <w:pPr>
        <w:widowControl/>
        <w:adjustRightInd w:val="0"/>
        <w:snapToGrid w:val="0"/>
        <w:spacing w:line="336" w:lineRule="auto"/>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eastAsia="zh-CN"/>
        </w:rPr>
        <w:t>十</w:t>
      </w:r>
      <w:r>
        <w:rPr>
          <w:rFonts w:hint="eastAsia" w:ascii="宋体" w:hAnsi="宋体" w:cs="宋体"/>
          <w:b/>
          <w:color w:val="auto"/>
          <w:sz w:val="28"/>
          <w:szCs w:val="28"/>
          <w:highlight w:val="none"/>
          <w:lang w:eastAsia="zh-CN"/>
        </w:rPr>
        <w:t>一</w:t>
      </w:r>
      <w:r>
        <w:rPr>
          <w:rFonts w:hint="eastAsia" w:ascii="宋体" w:hAnsi="宋体" w:eastAsia="宋体" w:cs="宋体"/>
          <w:b/>
          <w:color w:val="auto"/>
          <w:sz w:val="28"/>
          <w:szCs w:val="28"/>
          <w:highlight w:val="none"/>
          <w:lang w:eastAsia="zh-CN"/>
        </w:rPr>
        <w:t>、</w:t>
      </w:r>
      <w:r>
        <w:rPr>
          <w:rFonts w:hint="eastAsia" w:ascii="宋体" w:hAnsi="宋体" w:eastAsia="宋体" w:cs="宋体"/>
          <w:b/>
          <w:bCs/>
          <w:color w:val="auto"/>
          <w:sz w:val="28"/>
          <w:szCs w:val="28"/>
          <w:highlight w:val="none"/>
        </w:rPr>
        <w:t>竞争性磋商文件要求或供应商认为必要的资料</w:t>
      </w:r>
    </w:p>
    <w:p w14:paraId="0B4F7E43">
      <w:pPr>
        <w:widowControl/>
        <w:adjustRightInd w:val="0"/>
        <w:snapToGrid w:val="0"/>
        <w:spacing w:line="336" w:lineRule="auto"/>
        <w:jc w:val="center"/>
        <w:rPr>
          <w:rFonts w:hint="eastAsia" w:ascii="宋体" w:hAnsi="宋体" w:cs="宋体"/>
          <w:b w:val="0"/>
          <w:bCs w:val="0"/>
          <w:color w:val="auto"/>
          <w:sz w:val="28"/>
          <w:szCs w:val="28"/>
          <w:highlight w:val="none"/>
          <w:lang w:eastAsia="zh-CN"/>
        </w:rPr>
      </w:pPr>
      <w:r>
        <w:rPr>
          <w:rFonts w:hint="eastAsia" w:ascii="宋体" w:hAnsi="宋体" w:cs="宋体"/>
          <w:b w:val="0"/>
          <w:bCs w:val="0"/>
          <w:color w:val="auto"/>
          <w:sz w:val="28"/>
          <w:szCs w:val="28"/>
          <w:highlight w:val="none"/>
          <w:lang w:val="en-US" w:eastAsia="zh-CN"/>
        </w:rPr>
        <w:t>1.</w:t>
      </w:r>
      <w:r>
        <w:rPr>
          <w:rFonts w:hint="eastAsia" w:ascii="宋体" w:hAnsi="宋体" w:cs="宋体"/>
          <w:b w:val="0"/>
          <w:bCs w:val="0"/>
          <w:color w:val="auto"/>
          <w:sz w:val="28"/>
          <w:szCs w:val="28"/>
          <w:highlight w:val="none"/>
          <w:lang w:eastAsia="zh-CN"/>
        </w:rPr>
        <w:t>保密承诺（供应商自行提供保密承诺书）</w:t>
      </w:r>
    </w:p>
    <w:p w14:paraId="21613711">
      <w:pPr>
        <w:widowControl/>
        <w:adjustRightInd w:val="0"/>
        <w:snapToGrid w:val="0"/>
        <w:spacing w:line="336" w:lineRule="auto"/>
        <w:jc w:val="center"/>
        <w:rPr>
          <w:rFonts w:hint="default"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rPr>
        <w:t>竞争性磋商文件要求或供应商认为必要的资料</w:t>
      </w:r>
    </w:p>
    <w:p w14:paraId="269287CD">
      <w:pPr>
        <w:rPr>
          <w:rFonts w:hint="eastAsia" w:ascii="宋体" w:hAnsi="宋体" w:eastAsia="宋体" w:cs="宋体"/>
          <w:color w:val="auto"/>
          <w:highlight w:val="none"/>
          <w:lang w:eastAsia="zh-CN"/>
        </w:rPr>
      </w:pPr>
    </w:p>
    <w:sectPr>
      <w:headerReference r:id="rId13" w:type="default"/>
      <w:footerReference r:id="rId14" w:type="default"/>
      <w:pgSz w:w="11906" w:h="16838"/>
      <w:pgMar w:top="1417" w:right="1531" w:bottom="1417" w:left="1531" w:header="851" w:footer="1587"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10" w:usb3="00000000" w:csb0="00000000" w:csb1="0000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61CC3">
    <w:pPr>
      <w:pStyle w:val="24"/>
    </w:pPr>
  </w:p>
  <w:p w14:paraId="74EC3F29">
    <w:pPr>
      <w:pStyle w:val="24"/>
    </w:pPr>
  </w:p>
  <w:p w14:paraId="260BC136">
    <w:pPr>
      <w:pStyle w:val="24"/>
    </w:pPr>
  </w:p>
  <w:p w14:paraId="2478E194">
    <w:pPr>
      <w:pStyle w:val="24"/>
    </w:pPr>
  </w:p>
  <w:p w14:paraId="558E879E">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5C08F">
    <w:pPr>
      <w:pStyle w:val="2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D21E85">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BD21E85">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798854A4">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7E022">
    <w:pPr>
      <w:pStyle w:val="2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D0FB54">
                          <w:pPr>
                            <w:pStyle w:val="24"/>
                          </w:pPr>
                          <w:r>
                            <w:t xml:space="preserve">第 </w:t>
                          </w:r>
                          <w:r>
                            <w:fldChar w:fldCharType="begin"/>
                          </w:r>
                          <w:r>
                            <w:instrText xml:space="preserve"> PAGE  \* MERGEFORMAT </w:instrText>
                          </w:r>
                          <w:r>
                            <w:fldChar w:fldCharType="separate"/>
                          </w:r>
                          <w:r>
                            <w:t>25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D0FB54">
                    <w:pPr>
                      <w:pStyle w:val="24"/>
                    </w:pPr>
                    <w:r>
                      <w:t xml:space="preserve">第 </w:t>
                    </w:r>
                    <w:r>
                      <w:fldChar w:fldCharType="begin"/>
                    </w:r>
                    <w:r>
                      <w:instrText xml:space="preserve"> PAGE  \* MERGEFORMAT </w:instrText>
                    </w:r>
                    <w:r>
                      <w:fldChar w:fldCharType="separate"/>
                    </w:r>
                    <w:r>
                      <w:t>25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D994C">
    <w:pPr>
      <w:pStyle w:val="2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92F731">
                          <w:pPr>
                            <w:pStyle w:val="24"/>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992F731">
                    <w:pPr>
                      <w:pStyle w:val="24"/>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A6624">
    <w:pPr>
      <w:widowControl w:val="0"/>
      <w:tabs>
        <w:tab w:val="center" w:pos="4153"/>
        <w:tab w:val="right" w:pos="8306"/>
      </w:tabs>
      <w:snapToGrid w:val="0"/>
      <w:spacing w:line="240" w:lineRule="atLeast"/>
      <w:jc w:val="left"/>
      <w:rPr>
        <w:rFonts w:ascii="Calibri" w:hAnsi="Calibri" w:eastAsia="宋体" w:cs="Times New Roman"/>
        <w:kern w:val="2"/>
        <w:sz w:val="18"/>
        <w:szCs w:val="18"/>
        <w:lang w:val="en-US" w:eastAsia="zh-CN" w:bidi="ar-S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D4914">
    <w:pPr>
      <w:pStyle w:val="2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F9D02F">
                          <w:pPr>
                            <w:pStyle w:val="24"/>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4F9D02F">
                    <w:pPr>
                      <w:pStyle w:val="24"/>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523C6">
    <w:pPr>
      <w:pStyle w:val="24"/>
      <w:ind w:right="360" w:firstLine="360"/>
      <w:rPr>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ED9AF7">
                          <w:pPr>
                            <w:pStyle w:val="24"/>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9ED9AF7">
                    <w:pPr>
                      <w:pStyle w:val="24"/>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10703">
    <w:pPr>
      <w:pStyle w:val="26"/>
      <w:rPr>
        <w:rFonts w:hint="eastAsia"/>
        <w:lang w:eastAsia="zh-CN"/>
      </w:rPr>
    </w:pPr>
    <w:r>
      <w:rPr>
        <w:rFonts w:hint="eastAsia" w:eastAsia="宋体"/>
        <w:lang w:eastAsia="zh-CN"/>
      </w:rPr>
      <w:drawing>
        <wp:inline distT="0" distB="0" distL="114300" distR="114300">
          <wp:extent cx="536575" cy="237490"/>
          <wp:effectExtent l="0" t="0" r="0" b="10795"/>
          <wp:docPr id="4" name="图片 4" descr="众恒LOGOU"/>
          <wp:cNvGraphicFramePr/>
          <a:graphic xmlns:a="http://schemas.openxmlformats.org/drawingml/2006/main">
            <a:graphicData uri="http://schemas.openxmlformats.org/drawingml/2006/picture">
              <pic:pic xmlns:pic="http://schemas.openxmlformats.org/drawingml/2006/picture">
                <pic:nvPicPr>
                  <pic:cNvPr id="4" name="图片 4" descr="众恒LOGOU"/>
                  <pic:cNvPicPr/>
                </pic:nvPicPr>
                <pic:blipFill>
                  <a:blip r:embed="rId1"/>
                  <a:stretch>
                    <a:fillRect/>
                  </a:stretch>
                </pic:blipFill>
                <pic:spPr>
                  <a:xfrm>
                    <a:off x="0" y="0"/>
                    <a:ext cx="536575" cy="237490"/>
                  </a:xfrm>
                  <a:prstGeom prst="rect">
                    <a:avLst/>
                  </a:prstGeom>
                </pic:spPr>
              </pic:pic>
            </a:graphicData>
          </a:graphic>
        </wp:inline>
      </w:drawing>
    </w:r>
    <w:r>
      <w:rPr>
        <w:rFonts w:hint="eastAsia"/>
        <w:lang w:eastAsia="zh-CN"/>
      </w:rPr>
      <w:t>德宏众恒工程管理有限公司</w:t>
    </w:r>
    <w:r>
      <w:rPr>
        <w:rFonts w:hint="eastAsia"/>
        <w:lang w:val="en-US" w:eastAsia="zh-CN"/>
      </w:rPr>
      <w:t xml:space="preserve">                                                             </w:t>
    </w:r>
    <w:r>
      <w:rPr>
        <w:rFonts w:hint="eastAsia"/>
        <w:lang w:eastAsia="zh-CN"/>
      </w:rPr>
      <w:t>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F595A">
    <w:pPr>
      <w:pStyle w:val="26"/>
      <w:rPr>
        <w:rFonts w:hint="eastAsia" w:eastAsia="宋体"/>
        <w:lang w:eastAsia="zh-CN"/>
      </w:rPr>
    </w:pPr>
  </w:p>
  <w:p w14:paraId="1127854C">
    <w:pPr>
      <w:pStyle w:val="26"/>
      <w:rPr>
        <w:rFonts w:hint="eastAsia" w:eastAsia="宋体"/>
        <w:lang w:eastAsia="zh-CN"/>
      </w:rPr>
    </w:pPr>
  </w:p>
  <w:p w14:paraId="3F3A8C31">
    <w:pPr>
      <w:pStyle w:val="26"/>
      <w:rPr>
        <w:rFonts w:hint="eastAsia" w:eastAsia="宋体"/>
        <w:lang w:eastAsia="zh-CN"/>
      </w:rPr>
    </w:pPr>
  </w:p>
  <w:p w14:paraId="672A5222">
    <w:pPr>
      <w:pStyle w:val="26"/>
      <w:rPr>
        <w:rFonts w:hint="eastAsia" w:eastAsia="宋体"/>
        <w:lang w:eastAsia="zh-CN"/>
      </w:rPr>
    </w:pPr>
  </w:p>
  <w:p w14:paraId="196CE51C">
    <w:pPr>
      <w:pStyle w:val="26"/>
      <w:rPr>
        <w:rFonts w:hint="eastAsia"/>
        <w:lang w:eastAsia="zh-CN"/>
      </w:rPr>
    </w:pPr>
    <w:r>
      <w:rPr>
        <w:rFonts w:hint="eastAsia" w:eastAsia="宋体"/>
        <w:lang w:eastAsia="zh-CN"/>
      </w:rPr>
      <w:drawing>
        <wp:inline distT="0" distB="0" distL="114300" distR="114300">
          <wp:extent cx="536575" cy="237490"/>
          <wp:effectExtent l="0" t="0" r="0" b="10795"/>
          <wp:docPr id="1" name="图片 1" descr="众恒LOGOU"/>
          <wp:cNvGraphicFramePr/>
          <a:graphic xmlns:a="http://schemas.openxmlformats.org/drawingml/2006/main">
            <a:graphicData uri="http://schemas.openxmlformats.org/drawingml/2006/picture">
              <pic:pic xmlns:pic="http://schemas.openxmlformats.org/drawingml/2006/picture">
                <pic:nvPicPr>
                  <pic:cNvPr id="1" name="图片 1" descr="众恒LOGOU"/>
                  <pic:cNvPicPr/>
                </pic:nvPicPr>
                <pic:blipFill>
                  <a:blip r:embed="rId1"/>
                  <a:stretch>
                    <a:fillRect/>
                  </a:stretch>
                </pic:blipFill>
                <pic:spPr>
                  <a:xfrm>
                    <a:off x="0" y="0"/>
                    <a:ext cx="536575" cy="237490"/>
                  </a:xfrm>
                  <a:prstGeom prst="rect">
                    <a:avLst/>
                  </a:prstGeom>
                </pic:spPr>
              </pic:pic>
            </a:graphicData>
          </a:graphic>
        </wp:inline>
      </w:drawing>
    </w:r>
    <w:r>
      <w:rPr>
        <w:rFonts w:hint="eastAsia"/>
        <w:lang w:eastAsia="zh-CN"/>
      </w:rPr>
      <w:t>德宏众恒工程管理有限公司</w:t>
    </w:r>
    <w:r>
      <w:rPr>
        <w:rFonts w:hint="eastAsia"/>
        <w:lang w:val="en-US" w:eastAsia="zh-CN"/>
      </w:rPr>
      <w:t xml:space="preserve">                                                     </w:t>
    </w:r>
    <w:r>
      <w:rPr>
        <w:rFonts w:hint="eastAsia"/>
        <w:lang w:eastAsia="zh-CN"/>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7BD31">
    <w:pPr>
      <w:pStyle w:val="26"/>
      <w:rPr>
        <w:rFonts w:hint="eastAsia" w:eastAsia="宋体"/>
        <w:lang w:eastAsia="zh-CN"/>
      </w:rPr>
    </w:pPr>
  </w:p>
  <w:p w14:paraId="04374622">
    <w:pPr>
      <w:pStyle w:val="26"/>
      <w:jc w:val="left"/>
      <w:rPr>
        <w:rFonts w:hint="eastAsia"/>
        <w:lang w:eastAsia="zh-CN"/>
      </w:rPr>
    </w:pPr>
    <w:r>
      <w:rPr>
        <w:rFonts w:hint="eastAsia" w:eastAsia="宋体"/>
        <w:lang w:eastAsia="zh-CN"/>
      </w:rPr>
      <w:drawing>
        <wp:inline distT="0" distB="0" distL="114300" distR="114300">
          <wp:extent cx="536575" cy="237490"/>
          <wp:effectExtent l="0" t="0" r="0" b="10795"/>
          <wp:docPr id="3" name="图片 3" descr="众恒LOGOU"/>
          <wp:cNvGraphicFramePr/>
          <a:graphic xmlns:a="http://schemas.openxmlformats.org/drawingml/2006/main">
            <a:graphicData uri="http://schemas.openxmlformats.org/drawingml/2006/picture">
              <pic:pic xmlns:pic="http://schemas.openxmlformats.org/drawingml/2006/picture">
                <pic:nvPicPr>
                  <pic:cNvPr id="3" name="图片 3" descr="众恒LOGOU"/>
                  <pic:cNvPicPr/>
                </pic:nvPicPr>
                <pic:blipFill>
                  <a:blip r:embed="rId1"/>
                  <a:stretch>
                    <a:fillRect/>
                  </a:stretch>
                </pic:blipFill>
                <pic:spPr>
                  <a:xfrm>
                    <a:off x="0" y="0"/>
                    <a:ext cx="536575" cy="237490"/>
                  </a:xfrm>
                  <a:prstGeom prst="rect">
                    <a:avLst/>
                  </a:prstGeom>
                </pic:spPr>
              </pic:pic>
            </a:graphicData>
          </a:graphic>
        </wp:inline>
      </w:drawing>
    </w:r>
    <w:r>
      <w:rPr>
        <w:rFonts w:hint="eastAsia"/>
        <w:lang w:eastAsia="zh-CN"/>
      </w:rPr>
      <w:t>德宏众恒工程管理有限公司</w:t>
    </w:r>
    <w:r>
      <w:rPr>
        <w:rFonts w:hint="eastAsia"/>
        <w:lang w:val="en-US" w:eastAsia="zh-CN"/>
      </w:rPr>
      <w:t xml:space="preserve">                                                 </w:t>
    </w:r>
    <w:r>
      <w:rPr>
        <w:rFonts w:hint="eastAsia"/>
        <w:lang w:eastAsia="zh-CN"/>
      </w:rPr>
      <w:t>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556E8">
    <w:pPr>
      <w:pStyle w:val="26"/>
      <w:rPr>
        <w:rFonts w:hint="eastAsia"/>
        <w:lang w:eastAsia="zh-CN"/>
      </w:rPr>
    </w:pPr>
    <w:r>
      <w:rPr>
        <w:rFonts w:hint="eastAsia" w:eastAsia="宋体"/>
        <w:lang w:eastAsia="zh-CN"/>
      </w:rPr>
      <w:drawing>
        <wp:inline distT="0" distB="0" distL="114300" distR="114300">
          <wp:extent cx="536575" cy="237490"/>
          <wp:effectExtent l="0" t="0" r="0" b="10795"/>
          <wp:docPr id="6" name="图片 6" descr="众恒LOGOU"/>
          <wp:cNvGraphicFramePr/>
          <a:graphic xmlns:a="http://schemas.openxmlformats.org/drawingml/2006/main">
            <a:graphicData uri="http://schemas.openxmlformats.org/drawingml/2006/picture">
              <pic:pic xmlns:pic="http://schemas.openxmlformats.org/drawingml/2006/picture">
                <pic:nvPicPr>
                  <pic:cNvPr id="6" name="图片 6" descr="众恒LOGOU"/>
                  <pic:cNvPicPr/>
                </pic:nvPicPr>
                <pic:blipFill>
                  <a:blip r:embed="rId1"/>
                  <a:stretch>
                    <a:fillRect/>
                  </a:stretch>
                </pic:blipFill>
                <pic:spPr>
                  <a:xfrm>
                    <a:off x="0" y="0"/>
                    <a:ext cx="536575" cy="237490"/>
                  </a:xfrm>
                  <a:prstGeom prst="rect">
                    <a:avLst/>
                  </a:prstGeom>
                </pic:spPr>
              </pic:pic>
            </a:graphicData>
          </a:graphic>
        </wp:inline>
      </w:drawing>
    </w:r>
    <w:r>
      <w:rPr>
        <w:rFonts w:hint="eastAsia"/>
        <w:lang w:eastAsia="zh-CN"/>
      </w:rPr>
      <w:t>德宏众恒工程管理有限公司</w:t>
    </w:r>
    <w:r>
      <w:rPr>
        <w:rFonts w:hint="eastAsia"/>
        <w:lang w:val="en-US" w:eastAsia="zh-CN"/>
      </w:rPr>
      <w:t xml:space="preserve">                                                             </w:t>
    </w:r>
    <w:r>
      <w:rPr>
        <w:rFonts w:hint="eastAsia"/>
        <w:lang w:eastAsia="zh-CN"/>
      </w:rPr>
      <w:t>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88BA3">
    <w:pPr>
      <w:pStyle w:val="26"/>
      <w:rPr>
        <w:rFonts w:hint="eastAsia"/>
        <w:lang w:eastAsia="zh-CN"/>
      </w:rPr>
    </w:pPr>
    <w:r>
      <w:rPr>
        <w:rFonts w:hint="eastAsia" w:eastAsia="宋体"/>
        <w:lang w:eastAsia="zh-CN"/>
      </w:rPr>
      <w:drawing>
        <wp:inline distT="0" distB="0" distL="114300" distR="114300">
          <wp:extent cx="536575" cy="237490"/>
          <wp:effectExtent l="0" t="0" r="0" b="10795"/>
          <wp:docPr id="5" name="图片 5" descr="众恒LOGOU"/>
          <wp:cNvGraphicFramePr/>
          <a:graphic xmlns:a="http://schemas.openxmlformats.org/drawingml/2006/main">
            <a:graphicData uri="http://schemas.openxmlformats.org/drawingml/2006/picture">
              <pic:pic xmlns:pic="http://schemas.openxmlformats.org/drawingml/2006/picture">
                <pic:nvPicPr>
                  <pic:cNvPr id="5" name="图片 5" descr="众恒LOGOU"/>
                  <pic:cNvPicPr/>
                </pic:nvPicPr>
                <pic:blipFill>
                  <a:blip r:embed="rId1"/>
                  <a:stretch>
                    <a:fillRect/>
                  </a:stretch>
                </pic:blipFill>
                <pic:spPr>
                  <a:xfrm>
                    <a:off x="0" y="0"/>
                    <a:ext cx="536575" cy="237490"/>
                  </a:xfrm>
                  <a:prstGeom prst="rect">
                    <a:avLst/>
                  </a:prstGeom>
                </pic:spPr>
              </pic:pic>
            </a:graphicData>
          </a:graphic>
        </wp:inline>
      </w:drawing>
    </w:r>
    <w:r>
      <w:rPr>
        <w:rFonts w:hint="eastAsia"/>
        <w:lang w:eastAsia="zh-CN"/>
      </w:rPr>
      <w:t>德宏众恒工程管理有限公司</w:t>
    </w:r>
    <w:r>
      <w:rPr>
        <w:rFonts w:hint="eastAsia"/>
        <w:lang w:val="en-US" w:eastAsia="zh-CN"/>
      </w:rPr>
      <w:t xml:space="preserve">                                                        </w:t>
    </w:r>
    <w:r>
      <w:rPr>
        <w:rFonts w:hint="eastAsia"/>
        <w:lang w:eastAsia="zh-CN"/>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E0FCB2"/>
    <w:multiLevelType w:val="singleLevel"/>
    <w:tmpl w:val="A5E0FCB2"/>
    <w:lvl w:ilvl="0" w:tentative="0">
      <w:start w:val="4"/>
      <w:numFmt w:val="decimal"/>
      <w:lvlText w:val="%1."/>
      <w:lvlJc w:val="left"/>
      <w:pPr>
        <w:tabs>
          <w:tab w:val="left" w:pos="312"/>
        </w:tabs>
      </w:pPr>
    </w:lvl>
  </w:abstractNum>
  <w:abstractNum w:abstractNumId="1">
    <w:nsid w:val="D6A9E186"/>
    <w:multiLevelType w:val="singleLevel"/>
    <w:tmpl w:val="D6A9E186"/>
    <w:lvl w:ilvl="0" w:tentative="0">
      <w:start w:val="2"/>
      <w:numFmt w:val="chineseCounting"/>
      <w:suff w:val="space"/>
      <w:lvlText w:val="第%1章"/>
      <w:lvlJc w:val="left"/>
      <w:rPr>
        <w:rFonts w:hint="eastAsia"/>
      </w:rPr>
    </w:lvl>
  </w:abstractNum>
  <w:abstractNum w:abstractNumId="2">
    <w:nsid w:val="311D5600"/>
    <w:multiLevelType w:val="multilevel"/>
    <w:tmpl w:val="311D5600"/>
    <w:lvl w:ilvl="0" w:tentative="0">
      <w:start w:val="1"/>
      <w:numFmt w:val="decimal"/>
      <w:suff w:val="space"/>
      <w:lvlText w:val="第%1章"/>
      <w:lvlJc w:val="left"/>
      <w:pPr>
        <w:ind w:left="425" w:hanging="425"/>
      </w:pPr>
      <w:rPr>
        <w:rFonts w:hint="eastAsia"/>
      </w:rPr>
    </w:lvl>
    <w:lvl w:ilvl="1" w:tentative="0">
      <w:start w:val="1"/>
      <w:numFmt w:val="decimal"/>
      <w:suff w:val="space"/>
      <w:lvlText w:val="%1.%2"/>
      <w:lvlJc w:val="left"/>
      <w:pPr>
        <w:ind w:left="992" w:hanging="992"/>
      </w:pPr>
      <w:rPr>
        <w:rFonts w:hint="eastAsia"/>
      </w:rPr>
    </w:lvl>
    <w:lvl w:ilvl="2" w:tentative="0">
      <w:start w:val="1"/>
      <w:numFmt w:val="decimal"/>
      <w:suff w:val="space"/>
      <w:lvlText w:val="%1.%2.%3"/>
      <w:lvlJc w:val="left"/>
      <w:pPr>
        <w:ind w:left="567" w:hanging="567"/>
      </w:pPr>
      <w:rPr>
        <w:rFonts w:hint="eastAsia"/>
      </w:rPr>
    </w:lvl>
    <w:lvl w:ilvl="3" w:tentative="0">
      <w:start w:val="1"/>
      <w:numFmt w:val="decimal"/>
      <w:pStyle w:val="6"/>
      <w:suff w:val="space"/>
      <w:lvlText w:val="%1.%2.%3.%4"/>
      <w:lvlJc w:val="left"/>
      <w:pPr>
        <w:ind w:left="567" w:hanging="567"/>
      </w:pPr>
      <w:rPr>
        <w:rFonts w:hint="eastAsia"/>
      </w:rPr>
    </w:lvl>
    <w:lvl w:ilvl="4" w:tentative="0">
      <w:start w:val="1"/>
      <w:numFmt w:val="decimal"/>
      <w:suff w:val="space"/>
      <w:lvlText w:val="%1.%2.%3.%4.%5"/>
      <w:lvlJc w:val="left"/>
      <w:pPr>
        <w:ind w:left="567" w:hanging="567"/>
      </w:pPr>
      <w:rPr>
        <w:rFonts w:hint="eastAsia"/>
      </w:rPr>
    </w:lvl>
    <w:lvl w:ilvl="5" w:tentative="0">
      <w:start w:val="1"/>
      <w:numFmt w:val="decimal"/>
      <w:lvlText w:val="%1.%2.%3.%4.%5.%6"/>
      <w:lvlJc w:val="left"/>
      <w:pPr>
        <w:tabs>
          <w:tab w:val="left" w:pos="3260"/>
        </w:tabs>
        <w:ind w:left="567" w:hanging="567"/>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
    <w:nsid w:val="3EB697CF"/>
    <w:multiLevelType w:val="singleLevel"/>
    <w:tmpl w:val="3EB697CF"/>
    <w:lvl w:ilvl="0" w:tentative="0">
      <w:start w:val="1"/>
      <w:numFmt w:val="decimal"/>
      <w:lvlText w:val="%1."/>
      <w:lvlJc w:val="left"/>
      <w:pPr>
        <w:tabs>
          <w:tab w:val="left" w:pos="312"/>
        </w:tabs>
      </w:pPr>
    </w:lvl>
  </w:abstractNum>
  <w:abstractNum w:abstractNumId="4">
    <w:nsid w:val="4F3F68AD"/>
    <w:multiLevelType w:val="singleLevel"/>
    <w:tmpl w:val="4F3F68AD"/>
    <w:lvl w:ilvl="0" w:tentative="0">
      <w:start w:val="9"/>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0NTlkODEyNWI4MmZhZTc1MTk4MDEwYjM0MWVhNzEifQ=="/>
  </w:docVars>
  <w:rsids>
    <w:rsidRoot w:val="00172A27"/>
    <w:rsid w:val="00061DF1"/>
    <w:rsid w:val="000762ED"/>
    <w:rsid w:val="00091284"/>
    <w:rsid w:val="000E737D"/>
    <w:rsid w:val="000E7B1F"/>
    <w:rsid w:val="0010570D"/>
    <w:rsid w:val="00125861"/>
    <w:rsid w:val="001C048E"/>
    <w:rsid w:val="001C2FD3"/>
    <w:rsid w:val="00225378"/>
    <w:rsid w:val="0024308F"/>
    <w:rsid w:val="00275D1C"/>
    <w:rsid w:val="00296707"/>
    <w:rsid w:val="002A12E3"/>
    <w:rsid w:val="0035315E"/>
    <w:rsid w:val="00375950"/>
    <w:rsid w:val="003A6B66"/>
    <w:rsid w:val="003B5FE4"/>
    <w:rsid w:val="003C764E"/>
    <w:rsid w:val="0045603A"/>
    <w:rsid w:val="00517E11"/>
    <w:rsid w:val="00537211"/>
    <w:rsid w:val="005C2B96"/>
    <w:rsid w:val="005D2854"/>
    <w:rsid w:val="00641E35"/>
    <w:rsid w:val="00667D17"/>
    <w:rsid w:val="006B3571"/>
    <w:rsid w:val="00707B18"/>
    <w:rsid w:val="00762795"/>
    <w:rsid w:val="007B2459"/>
    <w:rsid w:val="0083414C"/>
    <w:rsid w:val="00846033"/>
    <w:rsid w:val="00871805"/>
    <w:rsid w:val="009F4C1B"/>
    <w:rsid w:val="00AD05B7"/>
    <w:rsid w:val="00AF1F10"/>
    <w:rsid w:val="00B22BA0"/>
    <w:rsid w:val="00B76409"/>
    <w:rsid w:val="00B85D13"/>
    <w:rsid w:val="00BE317A"/>
    <w:rsid w:val="00C14B91"/>
    <w:rsid w:val="00C621A8"/>
    <w:rsid w:val="00CA613C"/>
    <w:rsid w:val="00CB4289"/>
    <w:rsid w:val="00CB5A10"/>
    <w:rsid w:val="00D93C37"/>
    <w:rsid w:val="00DE5A71"/>
    <w:rsid w:val="00E97E29"/>
    <w:rsid w:val="00F568D6"/>
    <w:rsid w:val="00F66216"/>
    <w:rsid w:val="00FD699E"/>
    <w:rsid w:val="01011432"/>
    <w:rsid w:val="010A6538"/>
    <w:rsid w:val="011A24F4"/>
    <w:rsid w:val="01305281"/>
    <w:rsid w:val="01541EA9"/>
    <w:rsid w:val="0160034F"/>
    <w:rsid w:val="016025FC"/>
    <w:rsid w:val="016116BD"/>
    <w:rsid w:val="01671BDD"/>
    <w:rsid w:val="01852063"/>
    <w:rsid w:val="01875DDB"/>
    <w:rsid w:val="019D115B"/>
    <w:rsid w:val="01C6253C"/>
    <w:rsid w:val="01EC0334"/>
    <w:rsid w:val="023C4E17"/>
    <w:rsid w:val="024A0BB7"/>
    <w:rsid w:val="0261487E"/>
    <w:rsid w:val="02641C78"/>
    <w:rsid w:val="02671768"/>
    <w:rsid w:val="0278133D"/>
    <w:rsid w:val="02902A6D"/>
    <w:rsid w:val="02943927"/>
    <w:rsid w:val="02CB619B"/>
    <w:rsid w:val="02E62FD5"/>
    <w:rsid w:val="02F05C02"/>
    <w:rsid w:val="02FE20CD"/>
    <w:rsid w:val="03092820"/>
    <w:rsid w:val="0334293E"/>
    <w:rsid w:val="0337738D"/>
    <w:rsid w:val="03483348"/>
    <w:rsid w:val="03547F3F"/>
    <w:rsid w:val="03634626"/>
    <w:rsid w:val="0374413D"/>
    <w:rsid w:val="037D56E7"/>
    <w:rsid w:val="037E4FBC"/>
    <w:rsid w:val="038500F8"/>
    <w:rsid w:val="03C230FA"/>
    <w:rsid w:val="03D47B90"/>
    <w:rsid w:val="03FB660C"/>
    <w:rsid w:val="04011D9C"/>
    <w:rsid w:val="04267B2D"/>
    <w:rsid w:val="04584619"/>
    <w:rsid w:val="046027AB"/>
    <w:rsid w:val="046B4100"/>
    <w:rsid w:val="04874344"/>
    <w:rsid w:val="049D16DA"/>
    <w:rsid w:val="04A15406"/>
    <w:rsid w:val="04B74C29"/>
    <w:rsid w:val="04CE5ACF"/>
    <w:rsid w:val="04D806FC"/>
    <w:rsid w:val="04E2157A"/>
    <w:rsid w:val="04E5681B"/>
    <w:rsid w:val="04F419D9"/>
    <w:rsid w:val="04FA68C4"/>
    <w:rsid w:val="05033049"/>
    <w:rsid w:val="0509577A"/>
    <w:rsid w:val="051671DE"/>
    <w:rsid w:val="05171224"/>
    <w:rsid w:val="052676B9"/>
    <w:rsid w:val="05542478"/>
    <w:rsid w:val="055E32F7"/>
    <w:rsid w:val="055E6E53"/>
    <w:rsid w:val="05687CD1"/>
    <w:rsid w:val="05940AC6"/>
    <w:rsid w:val="05AE2325"/>
    <w:rsid w:val="05B72A07"/>
    <w:rsid w:val="05B7314F"/>
    <w:rsid w:val="05B95F1E"/>
    <w:rsid w:val="05C313AC"/>
    <w:rsid w:val="05DD1F05"/>
    <w:rsid w:val="05E732EC"/>
    <w:rsid w:val="05ED6429"/>
    <w:rsid w:val="05F72E03"/>
    <w:rsid w:val="061A5470"/>
    <w:rsid w:val="061B3687"/>
    <w:rsid w:val="06305334"/>
    <w:rsid w:val="0639166E"/>
    <w:rsid w:val="06401853"/>
    <w:rsid w:val="06451DC1"/>
    <w:rsid w:val="06473D8B"/>
    <w:rsid w:val="064E6EC7"/>
    <w:rsid w:val="06514B7E"/>
    <w:rsid w:val="065E7DA6"/>
    <w:rsid w:val="066F6E3E"/>
    <w:rsid w:val="06A72A7B"/>
    <w:rsid w:val="06BD7EC9"/>
    <w:rsid w:val="06F85085"/>
    <w:rsid w:val="07034156"/>
    <w:rsid w:val="07061550"/>
    <w:rsid w:val="071A4FFB"/>
    <w:rsid w:val="072C4C66"/>
    <w:rsid w:val="073C68CD"/>
    <w:rsid w:val="077B0190"/>
    <w:rsid w:val="0781151E"/>
    <w:rsid w:val="079E79DA"/>
    <w:rsid w:val="07A54CCF"/>
    <w:rsid w:val="07C02047"/>
    <w:rsid w:val="07E004AE"/>
    <w:rsid w:val="080D699D"/>
    <w:rsid w:val="08204893"/>
    <w:rsid w:val="082A5712"/>
    <w:rsid w:val="082C4FE6"/>
    <w:rsid w:val="083640B7"/>
    <w:rsid w:val="08381BDD"/>
    <w:rsid w:val="08420CAE"/>
    <w:rsid w:val="085E53BC"/>
    <w:rsid w:val="0871649E"/>
    <w:rsid w:val="08AA4F5E"/>
    <w:rsid w:val="08AB6853"/>
    <w:rsid w:val="08B47CD3"/>
    <w:rsid w:val="08BB45BC"/>
    <w:rsid w:val="08C305F9"/>
    <w:rsid w:val="08C711B3"/>
    <w:rsid w:val="08CB2A51"/>
    <w:rsid w:val="08D631A4"/>
    <w:rsid w:val="08EB30F3"/>
    <w:rsid w:val="08EC29C7"/>
    <w:rsid w:val="08F04266"/>
    <w:rsid w:val="08F63846"/>
    <w:rsid w:val="090E293E"/>
    <w:rsid w:val="091005E4"/>
    <w:rsid w:val="0911242E"/>
    <w:rsid w:val="092108C3"/>
    <w:rsid w:val="092403B3"/>
    <w:rsid w:val="092E1232"/>
    <w:rsid w:val="096B5FE2"/>
    <w:rsid w:val="09734E97"/>
    <w:rsid w:val="097F383C"/>
    <w:rsid w:val="098B21E0"/>
    <w:rsid w:val="09976DD7"/>
    <w:rsid w:val="099A2423"/>
    <w:rsid w:val="09AB4631"/>
    <w:rsid w:val="09B74D83"/>
    <w:rsid w:val="09D21BBD"/>
    <w:rsid w:val="09E62FC9"/>
    <w:rsid w:val="09EA6F07"/>
    <w:rsid w:val="09FE0B9B"/>
    <w:rsid w:val="0A0B43AB"/>
    <w:rsid w:val="0A150EC0"/>
    <w:rsid w:val="0A2A19F9"/>
    <w:rsid w:val="0A326B00"/>
    <w:rsid w:val="0A334D52"/>
    <w:rsid w:val="0A3B48B9"/>
    <w:rsid w:val="0A3B59B5"/>
    <w:rsid w:val="0A636CB9"/>
    <w:rsid w:val="0A680E2B"/>
    <w:rsid w:val="0A6F1B02"/>
    <w:rsid w:val="0A786C09"/>
    <w:rsid w:val="0A876E4C"/>
    <w:rsid w:val="0A96708F"/>
    <w:rsid w:val="0AC43BFC"/>
    <w:rsid w:val="0AC86E50"/>
    <w:rsid w:val="0AD927DA"/>
    <w:rsid w:val="0ADD4CBE"/>
    <w:rsid w:val="0AE25915"/>
    <w:rsid w:val="0AE95411"/>
    <w:rsid w:val="0AEA1189"/>
    <w:rsid w:val="0AF53DB5"/>
    <w:rsid w:val="0AFB5144"/>
    <w:rsid w:val="0B09160F"/>
    <w:rsid w:val="0B2B3C7B"/>
    <w:rsid w:val="0B464611"/>
    <w:rsid w:val="0B5331D2"/>
    <w:rsid w:val="0B5A4560"/>
    <w:rsid w:val="0B5D195B"/>
    <w:rsid w:val="0B6D4294"/>
    <w:rsid w:val="0B7A075E"/>
    <w:rsid w:val="0B815649"/>
    <w:rsid w:val="0BAD4690"/>
    <w:rsid w:val="0BC35C62"/>
    <w:rsid w:val="0BCB2D68"/>
    <w:rsid w:val="0BD31C1D"/>
    <w:rsid w:val="0BE0678F"/>
    <w:rsid w:val="0BE107DE"/>
    <w:rsid w:val="0BF422BF"/>
    <w:rsid w:val="0C0F6320"/>
    <w:rsid w:val="0C193AD3"/>
    <w:rsid w:val="0C1C1816"/>
    <w:rsid w:val="0C22507E"/>
    <w:rsid w:val="0C264442"/>
    <w:rsid w:val="0C364685"/>
    <w:rsid w:val="0C4D19CF"/>
    <w:rsid w:val="0C6A07D3"/>
    <w:rsid w:val="0C6C00A7"/>
    <w:rsid w:val="0C774C9E"/>
    <w:rsid w:val="0C7927C4"/>
    <w:rsid w:val="0C8D626F"/>
    <w:rsid w:val="0C9C6106"/>
    <w:rsid w:val="0CA02447"/>
    <w:rsid w:val="0CCA1272"/>
    <w:rsid w:val="0CD25E17"/>
    <w:rsid w:val="0CDD71F7"/>
    <w:rsid w:val="0CE42990"/>
    <w:rsid w:val="0CE73BD2"/>
    <w:rsid w:val="0CF12CA2"/>
    <w:rsid w:val="0CFB142B"/>
    <w:rsid w:val="0D0429D6"/>
    <w:rsid w:val="0D0522AA"/>
    <w:rsid w:val="0D26294C"/>
    <w:rsid w:val="0D466B4A"/>
    <w:rsid w:val="0D49663A"/>
    <w:rsid w:val="0D4E3C51"/>
    <w:rsid w:val="0D6671EC"/>
    <w:rsid w:val="0D6E60A1"/>
    <w:rsid w:val="0D703BC7"/>
    <w:rsid w:val="0D730CAF"/>
    <w:rsid w:val="0D75742F"/>
    <w:rsid w:val="0D7F7047"/>
    <w:rsid w:val="0D9351AF"/>
    <w:rsid w:val="0D9A6E96"/>
    <w:rsid w:val="0DB5782C"/>
    <w:rsid w:val="0DD26630"/>
    <w:rsid w:val="0DD759F4"/>
    <w:rsid w:val="0DF465A6"/>
    <w:rsid w:val="0E0407B3"/>
    <w:rsid w:val="0E1327A4"/>
    <w:rsid w:val="0E250E55"/>
    <w:rsid w:val="0E4137B5"/>
    <w:rsid w:val="0E4A08BC"/>
    <w:rsid w:val="0E511C4A"/>
    <w:rsid w:val="0E5C7CD8"/>
    <w:rsid w:val="0E682AF0"/>
    <w:rsid w:val="0E770F85"/>
    <w:rsid w:val="0EBC4BEA"/>
    <w:rsid w:val="0EC248F6"/>
    <w:rsid w:val="0EC56195"/>
    <w:rsid w:val="0EC87A33"/>
    <w:rsid w:val="0ECE329B"/>
    <w:rsid w:val="0ECE5049"/>
    <w:rsid w:val="0ED308B1"/>
    <w:rsid w:val="0EDE2DB2"/>
    <w:rsid w:val="0EE04D7C"/>
    <w:rsid w:val="0EE77EB9"/>
    <w:rsid w:val="0F032819"/>
    <w:rsid w:val="0F0942D3"/>
    <w:rsid w:val="0F0C5B71"/>
    <w:rsid w:val="0F1B7B63"/>
    <w:rsid w:val="0F334EAC"/>
    <w:rsid w:val="0F3375A2"/>
    <w:rsid w:val="0F3B08A5"/>
    <w:rsid w:val="0F615EBD"/>
    <w:rsid w:val="0F713C26"/>
    <w:rsid w:val="0F74055B"/>
    <w:rsid w:val="0F9D0EBF"/>
    <w:rsid w:val="0F9F69E6"/>
    <w:rsid w:val="0FAB0EE6"/>
    <w:rsid w:val="0FC44946"/>
    <w:rsid w:val="0FD6DF94"/>
    <w:rsid w:val="0FD99543"/>
    <w:rsid w:val="0FEB39D9"/>
    <w:rsid w:val="0FFC1742"/>
    <w:rsid w:val="100625C1"/>
    <w:rsid w:val="10086DF9"/>
    <w:rsid w:val="10090303"/>
    <w:rsid w:val="102A2753"/>
    <w:rsid w:val="104135F9"/>
    <w:rsid w:val="104430E9"/>
    <w:rsid w:val="105F7F23"/>
    <w:rsid w:val="10967DE9"/>
    <w:rsid w:val="10973B61"/>
    <w:rsid w:val="109B53FF"/>
    <w:rsid w:val="10A11BCB"/>
    <w:rsid w:val="10AA5642"/>
    <w:rsid w:val="10AF2C58"/>
    <w:rsid w:val="10C20BDE"/>
    <w:rsid w:val="10C85AC8"/>
    <w:rsid w:val="10EC5C5A"/>
    <w:rsid w:val="10F468BD"/>
    <w:rsid w:val="10FA4306"/>
    <w:rsid w:val="110A342B"/>
    <w:rsid w:val="11166833"/>
    <w:rsid w:val="111D7BC2"/>
    <w:rsid w:val="112847B9"/>
    <w:rsid w:val="112F5B47"/>
    <w:rsid w:val="11421D1E"/>
    <w:rsid w:val="11447845"/>
    <w:rsid w:val="114F7F97"/>
    <w:rsid w:val="11511F61"/>
    <w:rsid w:val="11621A79"/>
    <w:rsid w:val="116B06C0"/>
    <w:rsid w:val="117B2B3A"/>
    <w:rsid w:val="118045F5"/>
    <w:rsid w:val="11BC1869"/>
    <w:rsid w:val="11C444E1"/>
    <w:rsid w:val="11D64A53"/>
    <w:rsid w:val="11DA1F57"/>
    <w:rsid w:val="11E93F48"/>
    <w:rsid w:val="11EF68E3"/>
    <w:rsid w:val="11F52E75"/>
    <w:rsid w:val="11FD79F3"/>
    <w:rsid w:val="12371157"/>
    <w:rsid w:val="123D789E"/>
    <w:rsid w:val="124B075F"/>
    <w:rsid w:val="12695089"/>
    <w:rsid w:val="127557DC"/>
    <w:rsid w:val="127F48AC"/>
    <w:rsid w:val="12BB58E4"/>
    <w:rsid w:val="12DB02AB"/>
    <w:rsid w:val="12DB5F87"/>
    <w:rsid w:val="12EA441C"/>
    <w:rsid w:val="12ECBF6C"/>
    <w:rsid w:val="12FC7CAB"/>
    <w:rsid w:val="130354DD"/>
    <w:rsid w:val="1312127D"/>
    <w:rsid w:val="131B6383"/>
    <w:rsid w:val="133B6A25"/>
    <w:rsid w:val="133D09EF"/>
    <w:rsid w:val="13453400"/>
    <w:rsid w:val="134E6759"/>
    <w:rsid w:val="13637D2A"/>
    <w:rsid w:val="1367781A"/>
    <w:rsid w:val="136F66CF"/>
    <w:rsid w:val="1393674A"/>
    <w:rsid w:val="13A97E33"/>
    <w:rsid w:val="13BA2040"/>
    <w:rsid w:val="13CB0E42"/>
    <w:rsid w:val="13CE33F5"/>
    <w:rsid w:val="13E96737"/>
    <w:rsid w:val="13FF3EF7"/>
    <w:rsid w:val="14003C8B"/>
    <w:rsid w:val="14045069"/>
    <w:rsid w:val="14083E44"/>
    <w:rsid w:val="141D25CF"/>
    <w:rsid w:val="143B7785"/>
    <w:rsid w:val="14445DAD"/>
    <w:rsid w:val="144E09DA"/>
    <w:rsid w:val="146124BC"/>
    <w:rsid w:val="14702A30"/>
    <w:rsid w:val="147C08AF"/>
    <w:rsid w:val="14AE262C"/>
    <w:rsid w:val="14AF76CB"/>
    <w:rsid w:val="14B20F69"/>
    <w:rsid w:val="14B7032D"/>
    <w:rsid w:val="14E135FC"/>
    <w:rsid w:val="14E60C13"/>
    <w:rsid w:val="14F7697C"/>
    <w:rsid w:val="14F926F4"/>
    <w:rsid w:val="15033573"/>
    <w:rsid w:val="1505553D"/>
    <w:rsid w:val="15194DDF"/>
    <w:rsid w:val="151F78A1"/>
    <w:rsid w:val="15205ED3"/>
    <w:rsid w:val="1528122B"/>
    <w:rsid w:val="152A0AFF"/>
    <w:rsid w:val="153320AA"/>
    <w:rsid w:val="156404B5"/>
    <w:rsid w:val="15836462"/>
    <w:rsid w:val="15910B7E"/>
    <w:rsid w:val="159468C1"/>
    <w:rsid w:val="15A5462A"/>
    <w:rsid w:val="15AA7E92"/>
    <w:rsid w:val="15B64A89"/>
    <w:rsid w:val="15BD1974"/>
    <w:rsid w:val="15DF1EC2"/>
    <w:rsid w:val="15E2762C"/>
    <w:rsid w:val="15E769F0"/>
    <w:rsid w:val="15EE5FD1"/>
    <w:rsid w:val="160F07D7"/>
    <w:rsid w:val="161D2412"/>
    <w:rsid w:val="16282019"/>
    <w:rsid w:val="16311102"/>
    <w:rsid w:val="163F05DA"/>
    <w:rsid w:val="16461969"/>
    <w:rsid w:val="164B51D1"/>
    <w:rsid w:val="16557DFE"/>
    <w:rsid w:val="16564D8C"/>
    <w:rsid w:val="166AAE78"/>
    <w:rsid w:val="166E2C6E"/>
    <w:rsid w:val="167F30CD"/>
    <w:rsid w:val="16B035A9"/>
    <w:rsid w:val="16B7C41F"/>
    <w:rsid w:val="16C46D32"/>
    <w:rsid w:val="16CD3E38"/>
    <w:rsid w:val="16D03928"/>
    <w:rsid w:val="16DBADFC"/>
    <w:rsid w:val="16E66CA8"/>
    <w:rsid w:val="16EA49EA"/>
    <w:rsid w:val="16F2389F"/>
    <w:rsid w:val="16F32553"/>
    <w:rsid w:val="170D692B"/>
    <w:rsid w:val="17215F32"/>
    <w:rsid w:val="172C4647"/>
    <w:rsid w:val="173619DD"/>
    <w:rsid w:val="173914CE"/>
    <w:rsid w:val="17544559"/>
    <w:rsid w:val="177C13BA"/>
    <w:rsid w:val="177E5132"/>
    <w:rsid w:val="17832298"/>
    <w:rsid w:val="17946704"/>
    <w:rsid w:val="179D1A5D"/>
    <w:rsid w:val="17AA4179"/>
    <w:rsid w:val="17D2722C"/>
    <w:rsid w:val="17EB6C6C"/>
    <w:rsid w:val="17F13B56"/>
    <w:rsid w:val="183C74C7"/>
    <w:rsid w:val="183F0214"/>
    <w:rsid w:val="18624A54"/>
    <w:rsid w:val="186662F2"/>
    <w:rsid w:val="187224C5"/>
    <w:rsid w:val="189F35B2"/>
    <w:rsid w:val="18A40BC9"/>
    <w:rsid w:val="18B84674"/>
    <w:rsid w:val="18C4126B"/>
    <w:rsid w:val="18D56FD4"/>
    <w:rsid w:val="18E436BB"/>
    <w:rsid w:val="19031D93"/>
    <w:rsid w:val="192143D6"/>
    <w:rsid w:val="1941A688"/>
    <w:rsid w:val="19467ED2"/>
    <w:rsid w:val="194A5C14"/>
    <w:rsid w:val="19601E38"/>
    <w:rsid w:val="19687E48"/>
    <w:rsid w:val="197113F3"/>
    <w:rsid w:val="199064FF"/>
    <w:rsid w:val="199649B5"/>
    <w:rsid w:val="19B66E06"/>
    <w:rsid w:val="19BD0194"/>
    <w:rsid w:val="19C57049"/>
    <w:rsid w:val="19C86B39"/>
    <w:rsid w:val="19D21766"/>
    <w:rsid w:val="19E00326"/>
    <w:rsid w:val="19EF40C6"/>
    <w:rsid w:val="1A383CBF"/>
    <w:rsid w:val="1A385A6D"/>
    <w:rsid w:val="1A3A17E5"/>
    <w:rsid w:val="1A4B1C44"/>
    <w:rsid w:val="1A512FD2"/>
    <w:rsid w:val="1A54C5B6"/>
    <w:rsid w:val="1A5A116C"/>
    <w:rsid w:val="1A5D54D3"/>
    <w:rsid w:val="1A612244"/>
    <w:rsid w:val="1A622AE9"/>
    <w:rsid w:val="1A705206"/>
    <w:rsid w:val="1A766595"/>
    <w:rsid w:val="1A7BACCC"/>
    <w:rsid w:val="1A850A1D"/>
    <w:rsid w:val="1AA94BBC"/>
    <w:rsid w:val="1AB772D9"/>
    <w:rsid w:val="1AD75285"/>
    <w:rsid w:val="1ADA6B24"/>
    <w:rsid w:val="1ADD6614"/>
    <w:rsid w:val="1AE14356"/>
    <w:rsid w:val="1AE3657B"/>
    <w:rsid w:val="1AF5395E"/>
    <w:rsid w:val="1B0E5C1A"/>
    <w:rsid w:val="1B274F60"/>
    <w:rsid w:val="1B375D24"/>
    <w:rsid w:val="1B5C1563"/>
    <w:rsid w:val="1B5C1C2F"/>
    <w:rsid w:val="1BA57132"/>
    <w:rsid w:val="1BA809D0"/>
    <w:rsid w:val="1BAA0BEC"/>
    <w:rsid w:val="1BB235FD"/>
    <w:rsid w:val="1BBC2CEA"/>
    <w:rsid w:val="1BC021BE"/>
    <w:rsid w:val="1BC03F6C"/>
    <w:rsid w:val="1BC7354C"/>
    <w:rsid w:val="1BD512CB"/>
    <w:rsid w:val="1BE4346A"/>
    <w:rsid w:val="1BE7599C"/>
    <w:rsid w:val="1BE7774A"/>
    <w:rsid w:val="1BF41E67"/>
    <w:rsid w:val="1BF9122C"/>
    <w:rsid w:val="1BFB31F6"/>
    <w:rsid w:val="1BFD51C0"/>
    <w:rsid w:val="1C00080C"/>
    <w:rsid w:val="1C033E58"/>
    <w:rsid w:val="1C085913"/>
    <w:rsid w:val="1C093B64"/>
    <w:rsid w:val="1C1D316C"/>
    <w:rsid w:val="1C224C26"/>
    <w:rsid w:val="1C2344FA"/>
    <w:rsid w:val="1C330BE1"/>
    <w:rsid w:val="1C4F52EF"/>
    <w:rsid w:val="1C5648D0"/>
    <w:rsid w:val="1C5D5C5E"/>
    <w:rsid w:val="1C5F3784"/>
    <w:rsid w:val="1C69015F"/>
    <w:rsid w:val="1C7B60E4"/>
    <w:rsid w:val="1CAE1154"/>
    <w:rsid w:val="1CB3587E"/>
    <w:rsid w:val="1CD6156D"/>
    <w:rsid w:val="1CDD28FB"/>
    <w:rsid w:val="1CFD4D4B"/>
    <w:rsid w:val="1D004A18"/>
    <w:rsid w:val="1D1657BA"/>
    <w:rsid w:val="1D197915"/>
    <w:rsid w:val="1D2642A2"/>
    <w:rsid w:val="1D436C02"/>
    <w:rsid w:val="1D594678"/>
    <w:rsid w:val="1D682B0D"/>
    <w:rsid w:val="1D7BEEFE"/>
    <w:rsid w:val="1D817B01"/>
    <w:rsid w:val="1D8965DF"/>
    <w:rsid w:val="1D95371D"/>
    <w:rsid w:val="1D9B4C90"/>
    <w:rsid w:val="1DA1C08A"/>
    <w:rsid w:val="1DAA504A"/>
    <w:rsid w:val="1DB61906"/>
    <w:rsid w:val="1DBB0E8E"/>
    <w:rsid w:val="1DC55869"/>
    <w:rsid w:val="1DE15D88"/>
    <w:rsid w:val="1DED3012"/>
    <w:rsid w:val="1E0D0FBE"/>
    <w:rsid w:val="1E19739B"/>
    <w:rsid w:val="1E2527AC"/>
    <w:rsid w:val="1E25A68B"/>
    <w:rsid w:val="1E2A1B70"/>
    <w:rsid w:val="1E3D5D47"/>
    <w:rsid w:val="1E3E73CA"/>
    <w:rsid w:val="1E4A5D6E"/>
    <w:rsid w:val="1E5445C7"/>
    <w:rsid w:val="1E6257AE"/>
    <w:rsid w:val="1E6A6411"/>
    <w:rsid w:val="1E8219AC"/>
    <w:rsid w:val="1E890F8D"/>
    <w:rsid w:val="1EB458DE"/>
    <w:rsid w:val="1ED61CF8"/>
    <w:rsid w:val="1EE0E930"/>
    <w:rsid w:val="1EE7180F"/>
    <w:rsid w:val="1EEA12FF"/>
    <w:rsid w:val="1EEC5078"/>
    <w:rsid w:val="1EFF4DAB"/>
    <w:rsid w:val="1F0B19A2"/>
    <w:rsid w:val="1F152820"/>
    <w:rsid w:val="1F1A7E37"/>
    <w:rsid w:val="1F1D3483"/>
    <w:rsid w:val="1F282554"/>
    <w:rsid w:val="1F332CA6"/>
    <w:rsid w:val="1F422EEA"/>
    <w:rsid w:val="1F68A80A"/>
    <w:rsid w:val="1F73555D"/>
    <w:rsid w:val="1F7F413E"/>
    <w:rsid w:val="1F8B3294"/>
    <w:rsid w:val="1FA807DA"/>
    <w:rsid w:val="1FB060A5"/>
    <w:rsid w:val="1FD22A00"/>
    <w:rsid w:val="1FD2426D"/>
    <w:rsid w:val="1FD71884"/>
    <w:rsid w:val="1FD77AD6"/>
    <w:rsid w:val="1FEEBC19"/>
    <w:rsid w:val="20174376"/>
    <w:rsid w:val="2020322B"/>
    <w:rsid w:val="204C4020"/>
    <w:rsid w:val="206D21E8"/>
    <w:rsid w:val="207B66B3"/>
    <w:rsid w:val="208714FC"/>
    <w:rsid w:val="20A83220"/>
    <w:rsid w:val="20DA787E"/>
    <w:rsid w:val="20DE6C42"/>
    <w:rsid w:val="20E24984"/>
    <w:rsid w:val="20E701EC"/>
    <w:rsid w:val="210750B8"/>
    <w:rsid w:val="21162880"/>
    <w:rsid w:val="213351E0"/>
    <w:rsid w:val="213827F6"/>
    <w:rsid w:val="214747E7"/>
    <w:rsid w:val="21621621"/>
    <w:rsid w:val="217BE231"/>
    <w:rsid w:val="21871088"/>
    <w:rsid w:val="218E68BA"/>
    <w:rsid w:val="21964095"/>
    <w:rsid w:val="219A525F"/>
    <w:rsid w:val="219C708E"/>
    <w:rsid w:val="21A25EC1"/>
    <w:rsid w:val="21A41C3A"/>
    <w:rsid w:val="21A52376"/>
    <w:rsid w:val="21B31F33"/>
    <w:rsid w:val="21BA320B"/>
    <w:rsid w:val="21C10A3D"/>
    <w:rsid w:val="21CD73E2"/>
    <w:rsid w:val="21DA1AFF"/>
    <w:rsid w:val="21EE5BE9"/>
    <w:rsid w:val="21F4496F"/>
    <w:rsid w:val="221A1EFC"/>
    <w:rsid w:val="223B07F0"/>
    <w:rsid w:val="22521696"/>
    <w:rsid w:val="226A36DE"/>
    <w:rsid w:val="226A69DF"/>
    <w:rsid w:val="226D4721"/>
    <w:rsid w:val="229E2B2D"/>
    <w:rsid w:val="22B83BEE"/>
    <w:rsid w:val="22BB723B"/>
    <w:rsid w:val="22E04EF3"/>
    <w:rsid w:val="22EC5646"/>
    <w:rsid w:val="230B6414"/>
    <w:rsid w:val="23384D2F"/>
    <w:rsid w:val="233B037C"/>
    <w:rsid w:val="234C4337"/>
    <w:rsid w:val="23500424"/>
    <w:rsid w:val="235A6A54"/>
    <w:rsid w:val="23621DAC"/>
    <w:rsid w:val="236FE8B2"/>
    <w:rsid w:val="23781544"/>
    <w:rsid w:val="23782BB1"/>
    <w:rsid w:val="238E0DF3"/>
    <w:rsid w:val="238E494F"/>
    <w:rsid w:val="23A83981"/>
    <w:rsid w:val="23A979DB"/>
    <w:rsid w:val="23B048C6"/>
    <w:rsid w:val="23E97DD8"/>
    <w:rsid w:val="23FC7B0B"/>
    <w:rsid w:val="2413558A"/>
    <w:rsid w:val="24172B97"/>
    <w:rsid w:val="24194B61"/>
    <w:rsid w:val="241C6861"/>
    <w:rsid w:val="242A0B1C"/>
    <w:rsid w:val="242A28CA"/>
    <w:rsid w:val="242F7EE0"/>
    <w:rsid w:val="2446347C"/>
    <w:rsid w:val="24577437"/>
    <w:rsid w:val="248024EA"/>
    <w:rsid w:val="248875F1"/>
    <w:rsid w:val="248A15BB"/>
    <w:rsid w:val="248A5117"/>
    <w:rsid w:val="24AA57B9"/>
    <w:rsid w:val="24B14D99"/>
    <w:rsid w:val="24D6035C"/>
    <w:rsid w:val="24E30CCB"/>
    <w:rsid w:val="24E32A79"/>
    <w:rsid w:val="24E94533"/>
    <w:rsid w:val="24F42ED8"/>
    <w:rsid w:val="24FE78B3"/>
    <w:rsid w:val="2500362B"/>
    <w:rsid w:val="25270BB7"/>
    <w:rsid w:val="252E63EA"/>
    <w:rsid w:val="25407ECB"/>
    <w:rsid w:val="25470E2F"/>
    <w:rsid w:val="25585215"/>
    <w:rsid w:val="25627E42"/>
    <w:rsid w:val="256718FC"/>
    <w:rsid w:val="256C1998"/>
    <w:rsid w:val="25781413"/>
    <w:rsid w:val="25783B09"/>
    <w:rsid w:val="257D4C7B"/>
    <w:rsid w:val="258D6542"/>
    <w:rsid w:val="259721E1"/>
    <w:rsid w:val="25A0056E"/>
    <w:rsid w:val="25B20DC9"/>
    <w:rsid w:val="25B6018D"/>
    <w:rsid w:val="25C428AA"/>
    <w:rsid w:val="25DD571A"/>
    <w:rsid w:val="25DF1492"/>
    <w:rsid w:val="25E036DD"/>
    <w:rsid w:val="25E847EB"/>
    <w:rsid w:val="25E90563"/>
    <w:rsid w:val="25FF38E2"/>
    <w:rsid w:val="262B2929"/>
    <w:rsid w:val="264834DB"/>
    <w:rsid w:val="26527EB6"/>
    <w:rsid w:val="2653220D"/>
    <w:rsid w:val="266F0A68"/>
    <w:rsid w:val="268D7140"/>
    <w:rsid w:val="26A76454"/>
    <w:rsid w:val="26B02E2F"/>
    <w:rsid w:val="26B96187"/>
    <w:rsid w:val="26C40BE2"/>
    <w:rsid w:val="26EE0620"/>
    <w:rsid w:val="27076EF2"/>
    <w:rsid w:val="270D202F"/>
    <w:rsid w:val="27271343"/>
    <w:rsid w:val="27286E69"/>
    <w:rsid w:val="273B4DEE"/>
    <w:rsid w:val="27433CA3"/>
    <w:rsid w:val="27541A0C"/>
    <w:rsid w:val="27651E6B"/>
    <w:rsid w:val="27675BE3"/>
    <w:rsid w:val="276E2ACE"/>
    <w:rsid w:val="276F6846"/>
    <w:rsid w:val="27734537"/>
    <w:rsid w:val="27846795"/>
    <w:rsid w:val="278F0C96"/>
    <w:rsid w:val="27982240"/>
    <w:rsid w:val="27C10F21"/>
    <w:rsid w:val="27D668C5"/>
    <w:rsid w:val="27E17743"/>
    <w:rsid w:val="27E86D24"/>
    <w:rsid w:val="27EB1D1A"/>
    <w:rsid w:val="280C22E7"/>
    <w:rsid w:val="280F6544"/>
    <w:rsid w:val="2815563F"/>
    <w:rsid w:val="281D44F4"/>
    <w:rsid w:val="28333D17"/>
    <w:rsid w:val="283E4B96"/>
    <w:rsid w:val="2873044C"/>
    <w:rsid w:val="2874680A"/>
    <w:rsid w:val="288A7DDB"/>
    <w:rsid w:val="28926C90"/>
    <w:rsid w:val="28C055AB"/>
    <w:rsid w:val="28C5FA40"/>
    <w:rsid w:val="28D24B29"/>
    <w:rsid w:val="28D252DE"/>
    <w:rsid w:val="28D802C3"/>
    <w:rsid w:val="28E079FB"/>
    <w:rsid w:val="28EA087A"/>
    <w:rsid w:val="290431D0"/>
    <w:rsid w:val="290531FA"/>
    <w:rsid w:val="293B2E83"/>
    <w:rsid w:val="2940049A"/>
    <w:rsid w:val="29475CCC"/>
    <w:rsid w:val="294A57BC"/>
    <w:rsid w:val="29656152"/>
    <w:rsid w:val="29693E94"/>
    <w:rsid w:val="296F5223"/>
    <w:rsid w:val="2973261D"/>
    <w:rsid w:val="29804D3A"/>
    <w:rsid w:val="298A3E0B"/>
    <w:rsid w:val="29AE5D4B"/>
    <w:rsid w:val="29BF3AB4"/>
    <w:rsid w:val="29DD218D"/>
    <w:rsid w:val="29EB0119"/>
    <w:rsid w:val="29F32C1A"/>
    <w:rsid w:val="29FC6AB7"/>
    <w:rsid w:val="2A063491"/>
    <w:rsid w:val="2A0B7379"/>
    <w:rsid w:val="2A1E28C6"/>
    <w:rsid w:val="2A204B31"/>
    <w:rsid w:val="2A4D7312"/>
    <w:rsid w:val="2A51704C"/>
    <w:rsid w:val="2A5266D7"/>
    <w:rsid w:val="2A64465C"/>
    <w:rsid w:val="2A6B1546"/>
    <w:rsid w:val="2A9036A3"/>
    <w:rsid w:val="2AA33845"/>
    <w:rsid w:val="2AA36F32"/>
    <w:rsid w:val="2AB949A8"/>
    <w:rsid w:val="2ABC6246"/>
    <w:rsid w:val="2ADB491E"/>
    <w:rsid w:val="2AE5754B"/>
    <w:rsid w:val="2B0F6376"/>
    <w:rsid w:val="2B141BDE"/>
    <w:rsid w:val="2B1E480B"/>
    <w:rsid w:val="2B473D61"/>
    <w:rsid w:val="2B4D50F0"/>
    <w:rsid w:val="2B503DF1"/>
    <w:rsid w:val="2B520958"/>
    <w:rsid w:val="2B522706"/>
    <w:rsid w:val="2B591CE7"/>
    <w:rsid w:val="2B634913"/>
    <w:rsid w:val="2B6D7540"/>
    <w:rsid w:val="2B7C21E8"/>
    <w:rsid w:val="2B8F74B6"/>
    <w:rsid w:val="2B95783F"/>
    <w:rsid w:val="2B9D6077"/>
    <w:rsid w:val="2BEE242F"/>
    <w:rsid w:val="2BF37A45"/>
    <w:rsid w:val="2BFD08C4"/>
    <w:rsid w:val="2C077995"/>
    <w:rsid w:val="2C0E2AD1"/>
    <w:rsid w:val="2C155C0E"/>
    <w:rsid w:val="2C2A71DF"/>
    <w:rsid w:val="2C2E6CCF"/>
    <w:rsid w:val="2C365B84"/>
    <w:rsid w:val="2C576226"/>
    <w:rsid w:val="2C6E3570"/>
    <w:rsid w:val="2C736DD8"/>
    <w:rsid w:val="2C772424"/>
    <w:rsid w:val="2C8C3A98"/>
    <w:rsid w:val="2C951B35"/>
    <w:rsid w:val="2C994A91"/>
    <w:rsid w:val="2CBC252D"/>
    <w:rsid w:val="2CD5539D"/>
    <w:rsid w:val="2CF33142"/>
    <w:rsid w:val="2CF75313"/>
    <w:rsid w:val="2D03015C"/>
    <w:rsid w:val="2D2D6F87"/>
    <w:rsid w:val="2D404F0C"/>
    <w:rsid w:val="2D4C1B03"/>
    <w:rsid w:val="2D5409B8"/>
    <w:rsid w:val="2D682FE0"/>
    <w:rsid w:val="2D7B5F44"/>
    <w:rsid w:val="2DA01E4F"/>
    <w:rsid w:val="2DA74F8B"/>
    <w:rsid w:val="2DBC7DAB"/>
    <w:rsid w:val="2DCE15AF"/>
    <w:rsid w:val="2DCF6290"/>
    <w:rsid w:val="2DD65871"/>
    <w:rsid w:val="2DDC93B2"/>
    <w:rsid w:val="2DFD4BAB"/>
    <w:rsid w:val="2E0956DD"/>
    <w:rsid w:val="2E1D349F"/>
    <w:rsid w:val="2E20089A"/>
    <w:rsid w:val="2E2A34C6"/>
    <w:rsid w:val="2E3604E1"/>
    <w:rsid w:val="2E552C39"/>
    <w:rsid w:val="2E5F156F"/>
    <w:rsid w:val="2E5F7614"/>
    <w:rsid w:val="2E620EB2"/>
    <w:rsid w:val="2E6A6D80"/>
    <w:rsid w:val="2E84707B"/>
    <w:rsid w:val="2EA43279"/>
    <w:rsid w:val="2EAD5939"/>
    <w:rsid w:val="2ED973C6"/>
    <w:rsid w:val="2EFD4F49"/>
    <w:rsid w:val="2EFE6E2D"/>
    <w:rsid w:val="2F063F34"/>
    <w:rsid w:val="2F0B154A"/>
    <w:rsid w:val="2F124686"/>
    <w:rsid w:val="2F1F6DA3"/>
    <w:rsid w:val="2F2148C9"/>
    <w:rsid w:val="2F3B1E2F"/>
    <w:rsid w:val="2F725125"/>
    <w:rsid w:val="2F9432ED"/>
    <w:rsid w:val="2F994DA8"/>
    <w:rsid w:val="2F9B467C"/>
    <w:rsid w:val="2F9B60F6"/>
    <w:rsid w:val="2FB614B6"/>
    <w:rsid w:val="2FC5794B"/>
    <w:rsid w:val="2FDD2EE6"/>
    <w:rsid w:val="2FE57FED"/>
    <w:rsid w:val="2FE853E7"/>
    <w:rsid w:val="2FEA5603"/>
    <w:rsid w:val="2FEC3129"/>
    <w:rsid w:val="2FF56CFE"/>
    <w:rsid w:val="301B3A0F"/>
    <w:rsid w:val="302A5A00"/>
    <w:rsid w:val="30515682"/>
    <w:rsid w:val="30550CCF"/>
    <w:rsid w:val="30556F21"/>
    <w:rsid w:val="30676C54"/>
    <w:rsid w:val="30696528"/>
    <w:rsid w:val="307750E9"/>
    <w:rsid w:val="307A0735"/>
    <w:rsid w:val="30A12166"/>
    <w:rsid w:val="30A92647"/>
    <w:rsid w:val="30B21231"/>
    <w:rsid w:val="30FA3624"/>
    <w:rsid w:val="31104A72"/>
    <w:rsid w:val="3115045E"/>
    <w:rsid w:val="312468F3"/>
    <w:rsid w:val="312D57A8"/>
    <w:rsid w:val="3133995D"/>
    <w:rsid w:val="31397D2C"/>
    <w:rsid w:val="31572824"/>
    <w:rsid w:val="315F399E"/>
    <w:rsid w:val="317D63B1"/>
    <w:rsid w:val="31864EB8"/>
    <w:rsid w:val="3192385D"/>
    <w:rsid w:val="31964777"/>
    <w:rsid w:val="319B81E1"/>
    <w:rsid w:val="31D2634F"/>
    <w:rsid w:val="31D67BED"/>
    <w:rsid w:val="31FB7654"/>
    <w:rsid w:val="320D7387"/>
    <w:rsid w:val="322E23E8"/>
    <w:rsid w:val="32432DA9"/>
    <w:rsid w:val="324D4B23"/>
    <w:rsid w:val="324F5BF1"/>
    <w:rsid w:val="32560D2E"/>
    <w:rsid w:val="32586854"/>
    <w:rsid w:val="325A081E"/>
    <w:rsid w:val="3264E965"/>
    <w:rsid w:val="3267741E"/>
    <w:rsid w:val="32682E2A"/>
    <w:rsid w:val="327B0795"/>
    <w:rsid w:val="32827D75"/>
    <w:rsid w:val="32A61CB5"/>
    <w:rsid w:val="32A7158A"/>
    <w:rsid w:val="32AA4CB4"/>
    <w:rsid w:val="32AB4D6C"/>
    <w:rsid w:val="32B12408"/>
    <w:rsid w:val="32CC7242"/>
    <w:rsid w:val="32DA370D"/>
    <w:rsid w:val="33227D98"/>
    <w:rsid w:val="33305A23"/>
    <w:rsid w:val="333A61BF"/>
    <w:rsid w:val="3355548A"/>
    <w:rsid w:val="3361EA4E"/>
    <w:rsid w:val="33743B62"/>
    <w:rsid w:val="33857B1D"/>
    <w:rsid w:val="33A67A93"/>
    <w:rsid w:val="33B977C6"/>
    <w:rsid w:val="33D03E6C"/>
    <w:rsid w:val="33D4015C"/>
    <w:rsid w:val="33DA14EB"/>
    <w:rsid w:val="33E12879"/>
    <w:rsid w:val="340B78F6"/>
    <w:rsid w:val="341113B0"/>
    <w:rsid w:val="342F7A89"/>
    <w:rsid w:val="34337579"/>
    <w:rsid w:val="343706EB"/>
    <w:rsid w:val="345937DD"/>
    <w:rsid w:val="347100A1"/>
    <w:rsid w:val="3471DC49"/>
    <w:rsid w:val="34784F8C"/>
    <w:rsid w:val="347B4A7C"/>
    <w:rsid w:val="34847DD4"/>
    <w:rsid w:val="349B6ECC"/>
    <w:rsid w:val="34A02734"/>
    <w:rsid w:val="34A57D4B"/>
    <w:rsid w:val="34AD4D5E"/>
    <w:rsid w:val="34AF1B39"/>
    <w:rsid w:val="34B1049E"/>
    <w:rsid w:val="34B166F0"/>
    <w:rsid w:val="34B32468"/>
    <w:rsid w:val="34C401D1"/>
    <w:rsid w:val="34F13CB6"/>
    <w:rsid w:val="351A6043"/>
    <w:rsid w:val="3529272A"/>
    <w:rsid w:val="352C5D76"/>
    <w:rsid w:val="35372D39"/>
    <w:rsid w:val="35374E47"/>
    <w:rsid w:val="35494B7A"/>
    <w:rsid w:val="3558300F"/>
    <w:rsid w:val="355C665B"/>
    <w:rsid w:val="35610116"/>
    <w:rsid w:val="357A4D33"/>
    <w:rsid w:val="359202CF"/>
    <w:rsid w:val="35A87AF3"/>
    <w:rsid w:val="35AB75E3"/>
    <w:rsid w:val="35B77D36"/>
    <w:rsid w:val="35CD7559"/>
    <w:rsid w:val="35D72186"/>
    <w:rsid w:val="35DA1C76"/>
    <w:rsid w:val="35DB7EC8"/>
    <w:rsid w:val="35DC59EE"/>
    <w:rsid w:val="35E0728C"/>
    <w:rsid w:val="35E6686D"/>
    <w:rsid w:val="35F26FC0"/>
    <w:rsid w:val="361707D4"/>
    <w:rsid w:val="36392E40"/>
    <w:rsid w:val="36394BEF"/>
    <w:rsid w:val="36415851"/>
    <w:rsid w:val="366A4DA8"/>
    <w:rsid w:val="369577EC"/>
    <w:rsid w:val="36965B9D"/>
    <w:rsid w:val="36987B67"/>
    <w:rsid w:val="369E4A52"/>
    <w:rsid w:val="36E0506A"/>
    <w:rsid w:val="36E61D4C"/>
    <w:rsid w:val="36EF52AD"/>
    <w:rsid w:val="3700570C"/>
    <w:rsid w:val="37163E07"/>
    <w:rsid w:val="37265173"/>
    <w:rsid w:val="373F4487"/>
    <w:rsid w:val="37465815"/>
    <w:rsid w:val="376B7F48"/>
    <w:rsid w:val="376C4B50"/>
    <w:rsid w:val="378B3228"/>
    <w:rsid w:val="379E11AD"/>
    <w:rsid w:val="37B24C58"/>
    <w:rsid w:val="37B7401D"/>
    <w:rsid w:val="37C36E66"/>
    <w:rsid w:val="37C91FA2"/>
    <w:rsid w:val="37D90437"/>
    <w:rsid w:val="37E1109A"/>
    <w:rsid w:val="37E34E12"/>
    <w:rsid w:val="37EB1F18"/>
    <w:rsid w:val="380134EA"/>
    <w:rsid w:val="381A45AC"/>
    <w:rsid w:val="381C6576"/>
    <w:rsid w:val="38295D87"/>
    <w:rsid w:val="3837515E"/>
    <w:rsid w:val="383B0664"/>
    <w:rsid w:val="384D4981"/>
    <w:rsid w:val="38795776"/>
    <w:rsid w:val="387E003E"/>
    <w:rsid w:val="387F78E7"/>
    <w:rsid w:val="388F2DAC"/>
    <w:rsid w:val="3898AAA3"/>
    <w:rsid w:val="38A00F55"/>
    <w:rsid w:val="38A41C76"/>
    <w:rsid w:val="38DEF991"/>
    <w:rsid w:val="38E2156D"/>
    <w:rsid w:val="38E803A4"/>
    <w:rsid w:val="390E5EBF"/>
    <w:rsid w:val="39194863"/>
    <w:rsid w:val="392B4CC2"/>
    <w:rsid w:val="393618B9"/>
    <w:rsid w:val="39395448"/>
    <w:rsid w:val="393B0C7E"/>
    <w:rsid w:val="394E27EF"/>
    <w:rsid w:val="39551D3F"/>
    <w:rsid w:val="396106E4"/>
    <w:rsid w:val="398C3287"/>
    <w:rsid w:val="3995038E"/>
    <w:rsid w:val="39A6259B"/>
    <w:rsid w:val="39DE2449"/>
    <w:rsid w:val="3A0B389B"/>
    <w:rsid w:val="3A190FBF"/>
    <w:rsid w:val="3A296D28"/>
    <w:rsid w:val="3A347BA7"/>
    <w:rsid w:val="3A483652"/>
    <w:rsid w:val="3A5B15D7"/>
    <w:rsid w:val="3A5C70FE"/>
    <w:rsid w:val="3A62602C"/>
    <w:rsid w:val="3A704957"/>
    <w:rsid w:val="3A713E42"/>
    <w:rsid w:val="3A8DDC12"/>
    <w:rsid w:val="3A9C574C"/>
    <w:rsid w:val="3AC3717D"/>
    <w:rsid w:val="3ADC3D9A"/>
    <w:rsid w:val="3AEE244B"/>
    <w:rsid w:val="3AEF3ACE"/>
    <w:rsid w:val="3AF25BB6"/>
    <w:rsid w:val="3B021A53"/>
    <w:rsid w:val="3B043A1D"/>
    <w:rsid w:val="3B084B8F"/>
    <w:rsid w:val="3B0A6B5A"/>
    <w:rsid w:val="3B1F0857"/>
    <w:rsid w:val="3B31058A"/>
    <w:rsid w:val="3B43014D"/>
    <w:rsid w:val="3B443E1A"/>
    <w:rsid w:val="3B444A87"/>
    <w:rsid w:val="3B8701AA"/>
    <w:rsid w:val="3BA64AD4"/>
    <w:rsid w:val="3BB379B1"/>
    <w:rsid w:val="3BD86C58"/>
    <w:rsid w:val="3BF176A1"/>
    <w:rsid w:val="3BF35840"/>
    <w:rsid w:val="3BF55114"/>
    <w:rsid w:val="3C101F4E"/>
    <w:rsid w:val="3C1A7270"/>
    <w:rsid w:val="3C2FE3E3"/>
    <w:rsid w:val="3C3519B4"/>
    <w:rsid w:val="3C3519EC"/>
    <w:rsid w:val="3C3C71E7"/>
    <w:rsid w:val="3C3F0A85"/>
    <w:rsid w:val="3C4D4F50"/>
    <w:rsid w:val="3C706E90"/>
    <w:rsid w:val="3C9C1A33"/>
    <w:rsid w:val="3C9C5ED7"/>
    <w:rsid w:val="3CA8487C"/>
    <w:rsid w:val="3CB44FCF"/>
    <w:rsid w:val="3CB46D7D"/>
    <w:rsid w:val="3CC50F8A"/>
    <w:rsid w:val="3CE7A2A9"/>
    <w:rsid w:val="3CEB6EE5"/>
    <w:rsid w:val="3CF63839"/>
    <w:rsid w:val="3D3DC19B"/>
    <w:rsid w:val="3D483969"/>
    <w:rsid w:val="3D74650C"/>
    <w:rsid w:val="3D7AF630"/>
    <w:rsid w:val="3D7D1865"/>
    <w:rsid w:val="3D7E738B"/>
    <w:rsid w:val="3D8A3F82"/>
    <w:rsid w:val="3D8F3346"/>
    <w:rsid w:val="3D9372DA"/>
    <w:rsid w:val="3D9B618F"/>
    <w:rsid w:val="3D9F5407"/>
    <w:rsid w:val="3DA2751D"/>
    <w:rsid w:val="3DA37BAD"/>
    <w:rsid w:val="3DAA8AD0"/>
    <w:rsid w:val="3DAB63D2"/>
    <w:rsid w:val="3DB57251"/>
    <w:rsid w:val="3DBB413B"/>
    <w:rsid w:val="3E135D25"/>
    <w:rsid w:val="3E173A67"/>
    <w:rsid w:val="3E23240C"/>
    <w:rsid w:val="3E3A41F0"/>
    <w:rsid w:val="3E4660FB"/>
    <w:rsid w:val="3E530817"/>
    <w:rsid w:val="3E547A9F"/>
    <w:rsid w:val="3E66054B"/>
    <w:rsid w:val="3E9B4698"/>
    <w:rsid w:val="3EA00A69"/>
    <w:rsid w:val="3EBC016B"/>
    <w:rsid w:val="3ECB48C1"/>
    <w:rsid w:val="3ECD4126"/>
    <w:rsid w:val="3ED90D1D"/>
    <w:rsid w:val="3EDF57EF"/>
    <w:rsid w:val="3EEA2F2A"/>
    <w:rsid w:val="3F0B3B0D"/>
    <w:rsid w:val="3F426917"/>
    <w:rsid w:val="3F514D57"/>
    <w:rsid w:val="3F634A8A"/>
    <w:rsid w:val="3F93711E"/>
    <w:rsid w:val="3F9966FE"/>
    <w:rsid w:val="3FBC2F4A"/>
    <w:rsid w:val="3FC92B3F"/>
    <w:rsid w:val="3FDF9D55"/>
    <w:rsid w:val="3FF658FE"/>
    <w:rsid w:val="4001677D"/>
    <w:rsid w:val="400224F5"/>
    <w:rsid w:val="40061FE5"/>
    <w:rsid w:val="40140424"/>
    <w:rsid w:val="4037262A"/>
    <w:rsid w:val="403F2E01"/>
    <w:rsid w:val="405C1C05"/>
    <w:rsid w:val="406960D0"/>
    <w:rsid w:val="407056B1"/>
    <w:rsid w:val="40B05AAD"/>
    <w:rsid w:val="40BC08F6"/>
    <w:rsid w:val="40BC56CF"/>
    <w:rsid w:val="40C15F0C"/>
    <w:rsid w:val="40C6268A"/>
    <w:rsid w:val="40D5694D"/>
    <w:rsid w:val="40DF6392"/>
    <w:rsid w:val="40E37356"/>
    <w:rsid w:val="40E76B87"/>
    <w:rsid w:val="40F260C6"/>
    <w:rsid w:val="410302D3"/>
    <w:rsid w:val="41061B71"/>
    <w:rsid w:val="412F731A"/>
    <w:rsid w:val="41383010"/>
    <w:rsid w:val="417ACEC3"/>
    <w:rsid w:val="417B430D"/>
    <w:rsid w:val="419B050B"/>
    <w:rsid w:val="419D4283"/>
    <w:rsid w:val="41A575DC"/>
    <w:rsid w:val="41A76EB0"/>
    <w:rsid w:val="41A82C28"/>
    <w:rsid w:val="41E2438C"/>
    <w:rsid w:val="420D0D4A"/>
    <w:rsid w:val="42187DAE"/>
    <w:rsid w:val="421F738E"/>
    <w:rsid w:val="4220796D"/>
    <w:rsid w:val="422A188F"/>
    <w:rsid w:val="422C3859"/>
    <w:rsid w:val="422D09F2"/>
    <w:rsid w:val="424B3CDF"/>
    <w:rsid w:val="425025A0"/>
    <w:rsid w:val="425C580E"/>
    <w:rsid w:val="42845443"/>
    <w:rsid w:val="42870A90"/>
    <w:rsid w:val="42B850ED"/>
    <w:rsid w:val="42C43A92"/>
    <w:rsid w:val="42CA554C"/>
    <w:rsid w:val="42CB6BCE"/>
    <w:rsid w:val="42DD39C2"/>
    <w:rsid w:val="42E303BC"/>
    <w:rsid w:val="431C567C"/>
    <w:rsid w:val="431F6F1A"/>
    <w:rsid w:val="433E7706"/>
    <w:rsid w:val="434D1CD9"/>
    <w:rsid w:val="43544E16"/>
    <w:rsid w:val="43574906"/>
    <w:rsid w:val="43790D20"/>
    <w:rsid w:val="43B6787E"/>
    <w:rsid w:val="43EA74A8"/>
    <w:rsid w:val="44114AB5"/>
    <w:rsid w:val="441B3B85"/>
    <w:rsid w:val="443365C4"/>
    <w:rsid w:val="4439400C"/>
    <w:rsid w:val="44641089"/>
    <w:rsid w:val="447339C1"/>
    <w:rsid w:val="44760DBC"/>
    <w:rsid w:val="448C05DF"/>
    <w:rsid w:val="44AE67A8"/>
    <w:rsid w:val="44BA514C"/>
    <w:rsid w:val="44BD69EB"/>
    <w:rsid w:val="44C020F7"/>
    <w:rsid w:val="44E977E0"/>
    <w:rsid w:val="44FC39B7"/>
    <w:rsid w:val="45062140"/>
    <w:rsid w:val="45091C30"/>
    <w:rsid w:val="45482758"/>
    <w:rsid w:val="454D4212"/>
    <w:rsid w:val="455B692F"/>
    <w:rsid w:val="45613FC1"/>
    <w:rsid w:val="456F23DB"/>
    <w:rsid w:val="458B6AE9"/>
    <w:rsid w:val="45965BB9"/>
    <w:rsid w:val="45B24076"/>
    <w:rsid w:val="45B55914"/>
    <w:rsid w:val="45CC3389"/>
    <w:rsid w:val="45D109A0"/>
    <w:rsid w:val="45EBB4F9"/>
    <w:rsid w:val="45EE1552"/>
    <w:rsid w:val="46024FFD"/>
    <w:rsid w:val="46081EE8"/>
    <w:rsid w:val="46284338"/>
    <w:rsid w:val="462F56C6"/>
    <w:rsid w:val="46326F64"/>
    <w:rsid w:val="46496788"/>
    <w:rsid w:val="465F41FD"/>
    <w:rsid w:val="465F5FAB"/>
    <w:rsid w:val="46647A66"/>
    <w:rsid w:val="467D3578"/>
    <w:rsid w:val="468653C0"/>
    <w:rsid w:val="46873754"/>
    <w:rsid w:val="468E063F"/>
    <w:rsid w:val="46932F3D"/>
    <w:rsid w:val="46A460B4"/>
    <w:rsid w:val="46AE6F33"/>
    <w:rsid w:val="46B86BAF"/>
    <w:rsid w:val="46C87FF5"/>
    <w:rsid w:val="46D83FB0"/>
    <w:rsid w:val="46E110B6"/>
    <w:rsid w:val="46E5614C"/>
    <w:rsid w:val="46E82445"/>
    <w:rsid w:val="471D62BA"/>
    <w:rsid w:val="4723347D"/>
    <w:rsid w:val="47282841"/>
    <w:rsid w:val="4734568A"/>
    <w:rsid w:val="47356D0C"/>
    <w:rsid w:val="473F77E6"/>
    <w:rsid w:val="47535F40"/>
    <w:rsid w:val="475CE637"/>
    <w:rsid w:val="477C493B"/>
    <w:rsid w:val="478A52AA"/>
    <w:rsid w:val="47911556"/>
    <w:rsid w:val="479E2B03"/>
    <w:rsid w:val="47AD2D46"/>
    <w:rsid w:val="47B3ED92"/>
    <w:rsid w:val="47DAF015"/>
    <w:rsid w:val="47DE1152"/>
    <w:rsid w:val="47E32C0C"/>
    <w:rsid w:val="47E56984"/>
    <w:rsid w:val="47ED3A8B"/>
    <w:rsid w:val="480D3A23"/>
    <w:rsid w:val="4819662E"/>
    <w:rsid w:val="481D9CF5"/>
    <w:rsid w:val="48254FD3"/>
    <w:rsid w:val="48286871"/>
    <w:rsid w:val="483D056E"/>
    <w:rsid w:val="484A4A39"/>
    <w:rsid w:val="48626F1D"/>
    <w:rsid w:val="48643D4D"/>
    <w:rsid w:val="48650722"/>
    <w:rsid w:val="4876582E"/>
    <w:rsid w:val="488B752C"/>
    <w:rsid w:val="489F2FD7"/>
    <w:rsid w:val="48A203D1"/>
    <w:rsid w:val="48A51C70"/>
    <w:rsid w:val="48AA54D8"/>
    <w:rsid w:val="48BD5941"/>
    <w:rsid w:val="48C42A3E"/>
    <w:rsid w:val="48C4495F"/>
    <w:rsid w:val="48D656A8"/>
    <w:rsid w:val="490E2511"/>
    <w:rsid w:val="49191319"/>
    <w:rsid w:val="494607F5"/>
    <w:rsid w:val="494E134E"/>
    <w:rsid w:val="495F62C2"/>
    <w:rsid w:val="496B5ABD"/>
    <w:rsid w:val="498C71E6"/>
    <w:rsid w:val="499FDD5B"/>
    <w:rsid w:val="49CD76D0"/>
    <w:rsid w:val="49CF51F6"/>
    <w:rsid w:val="49D1077A"/>
    <w:rsid w:val="49DC7913"/>
    <w:rsid w:val="49F7474D"/>
    <w:rsid w:val="49F92273"/>
    <w:rsid w:val="49FE5ADB"/>
    <w:rsid w:val="4A0B3E41"/>
    <w:rsid w:val="4A162E25"/>
    <w:rsid w:val="4A2A68D0"/>
    <w:rsid w:val="4A437992"/>
    <w:rsid w:val="4A5C2802"/>
    <w:rsid w:val="4A633B90"/>
    <w:rsid w:val="4A6718D3"/>
    <w:rsid w:val="4A6F69D9"/>
    <w:rsid w:val="4A7D32A1"/>
    <w:rsid w:val="4A804742"/>
    <w:rsid w:val="4A965D14"/>
    <w:rsid w:val="4AA410A7"/>
    <w:rsid w:val="4AAF5028"/>
    <w:rsid w:val="4AE271AB"/>
    <w:rsid w:val="4AE7656F"/>
    <w:rsid w:val="4AEE062B"/>
    <w:rsid w:val="4AEE78FE"/>
    <w:rsid w:val="4B2F285E"/>
    <w:rsid w:val="4B313C8F"/>
    <w:rsid w:val="4B3519D1"/>
    <w:rsid w:val="4B4C2876"/>
    <w:rsid w:val="4B58121B"/>
    <w:rsid w:val="4B86222C"/>
    <w:rsid w:val="4B871B00"/>
    <w:rsid w:val="4B9A5CD8"/>
    <w:rsid w:val="4BAA3711"/>
    <w:rsid w:val="4BAD1567"/>
    <w:rsid w:val="4BAE52DF"/>
    <w:rsid w:val="4BBA394F"/>
    <w:rsid w:val="4BD95797"/>
    <w:rsid w:val="4BDC3BFA"/>
    <w:rsid w:val="4BDE5BC4"/>
    <w:rsid w:val="4BDF36EB"/>
    <w:rsid w:val="4BFF5B3B"/>
    <w:rsid w:val="4C0A0767"/>
    <w:rsid w:val="4C0D0258"/>
    <w:rsid w:val="4C196BFC"/>
    <w:rsid w:val="4C1C66ED"/>
    <w:rsid w:val="4C1E06B7"/>
    <w:rsid w:val="4C2832E3"/>
    <w:rsid w:val="4C46376A"/>
    <w:rsid w:val="4C4C4DC7"/>
    <w:rsid w:val="4C52210E"/>
    <w:rsid w:val="4C6065D9"/>
    <w:rsid w:val="4C6D0CF6"/>
    <w:rsid w:val="4C7474BF"/>
    <w:rsid w:val="4C7958ED"/>
    <w:rsid w:val="4CA00BE5"/>
    <w:rsid w:val="4CA87F80"/>
    <w:rsid w:val="4CC254E6"/>
    <w:rsid w:val="4CD40D75"/>
    <w:rsid w:val="4CDD7C2A"/>
    <w:rsid w:val="4CFA4C80"/>
    <w:rsid w:val="4D186EB4"/>
    <w:rsid w:val="4D2910C1"/>
    <w:rsid w:val="4D2E0486"/>
    <w:rsid w:val="4D357A66"/>
    <w:rsid w:val="4D3D2DBF"/>
    <w:rsid w:val="4D7F33D7"/>
    <w:rsid w:val="4DEE0D0D"/>
    <w:rsid w:val="4DFA480C"/>
    <w:rsid w:val="4DFF69D9"/>
    <w:rsid w:val="4E3B72FE"/>
    <w:rsid w:val="4E4A12EF"/>
    <w:rsid w:val="4E742810"/>
    <w:rsid w:val="4E7520E4"/>
    <w:rsid w:val="4E7D7917"/>
    <w:rsid w:val="4E802F63"/>
    <w:rsid w:val="4E825137"/>
    <w:rsid w:val="4E8642F1"/>
    <w:rsid w:val="4E944C60"/>
    <w:rsid w:val="4EDE412D"/>
    <w:rsid w:val="4EEA4880"/>
    <w:rsid w:val="4EF5336C"/>
    <w:rsid w:val="4F061705"/>
    <w:rsid w:val="4F193007"/>
    <w:rsid w:val="4F1F09CE"/>
    <w:rsid w:val="4F271630"/>
    <w:rsid w:val="4F38723B"/>
    <w:rsid w:val="4F3D0E54"/>
    <w:rsid w:val="4F3E697A"/>
    <w:rsid w:val="4F455F5A"/>
    <w:rsid w:val="4F462EA3"/>
    <w:rsid w:val="4F5103C4"/>
    <w:rsid w:val="4F734876"/>
    <w:rsid w:val="4F936CC6"/>
    <w:rsid w:val="4F9F1B0F"/>
    <w:rsid w:val="4F9F38BD"/>
    <w:rsid w:val="4FBA6199"/>
    <w:rsid w:val="4FCC21D8"/>
    <w:rsid w:val="4FD03A76"/>
    <w:rsid w:val="4FEC63D6"/>
    <w:rsid w:val="4FF09414"/>
    <w:rsid w:val="4FFA6D45"/>
    <w:rsid w:val="50100316"/>
    <w:rsid w:val="502142D2"/>
    <w:rsid w:val="505C7A00"/>
    <w:rsid w:val="50610B72"/>
    <w:rsid w:val="5066324F"/>
    <w:rsid w:val="506B7C43"/>
    <w:rsid w:val="506F14E1"/>
    <w:rsid w:val="50700DB5"/>
    <w:rsid w:val="50707007"/>
    <w:rsid w:val="507C3BFE"/>
    <w:rsid w:val="508D2B51"/>
    <w:rsid w:val="50A82C45"/>
    <w:rsid w:val="50B769E4"/>
    <w:rsid w:val="50B909AE"/>
    <w:rsid w:val="50BE7D72"/>
    <w:rsid w:val="50C0206C"/>
    <w:rsid w:val="50DE6667"/>
    <w:rsid w:val="50E27F05"/>
    <w:rsid w:val="50E772C9"/>
    <w:rsid w:val="50F32112"/>
    <w:rsid w:val="51071719"/>
    <w:rsid w:val="51335303"/>
    <w:rsid w:val="5133F78F"/>
    <w:rsid w:val="5148307B"/>
    <w:rsid w:val="51501312"/>
    <w:rsid w:val="51547A40"/>
    <w:rsid w:val="515801C7"/>
    <w:rsid w:val="516440C3"/>
    <w:rsid w:val="518C1C1F"/>
    <w:rsid w:val="51B03B5F"/>
    <w:rsid w:val="51C169E5"/>
    <w:rsid w:val="51D6A8AB"/>
    <w:rsid w:val="51DC2BA6"/>
    <w:rsid w:val="51DC4954"/>
    <w:rsid w:val="51E41A5B"/>
    <w:rsid w:val="51EC090F"/>
    <w:rsid w:val="51F16B32"/>
    <w:rsid w:val="52044A3D"/>
    <w:rsid w:val="522E2CD6"/>
    <w:rsid w:val="52495D62"/>
    <w:rsid w:val="524B3888"/>
    <w:rsid w:val="525B6B2A"/>
    <w:rsid w:val="5264773D"/>
    <w:rsid w:val="526A6404"/>
    <w:rsid w:val="527F1783"/>
    <w:rsid w:val="528C45CC"/>
    <w:rsid w:val="529A036B"/>
    <w:rsid w:val="529C0587"/>
    <w:rsid w:val="52B551A5"/>
    <w:rsid w:val="52C35B14"/>
    <w:rsid w:val="52D90E94"/>
    <w:rsid w:val="52ED2B91"/>
    <w:rsid w:val="5302663C"/>
    <w:rsid w:val="53071EA5"/>
    <w:rsid w:val="530F48B5"/>
    <w:rsid w:val="532A16EF"/>
    <w:rsid w:val="533C1422"/>
    <w:rsid w:val="53456529"/>
    <w:rsid w:val="5349426B"/>
    <w:rsid w:val="5358625C"/>
    <w:rsid w:val="53634C01"/>
    <w:rsid w:val="53642E53"/>
    <w:rsid w:val="536746F1"/>
    <w:rsid w:val="536E3CD2"/>
    <w:rsid w:val="537137C2"/>
    <w:rsid w:val="53786C46"/>
    <w:rsid w:val="5386726D"/>
    <w:rsid w:val="539354E6"/>
    <w:rsid w:val="539F20DD"/>
    <w:rsid w:val="53CBCE78"/>
    <w:rsid w:val="53F817ED"/>
    <w:rsid w:val="54056FC7"/>
    <w:rsid w:val="540939FA"/>
    <w:rsid w:val="54240834"/>
    <w:rsid w:val="542E16B3"/>
    <w:rsid w:val="54462559"/>
    <w:rsid w:val="545729B8"/>
    <w:rsid w:val="547D1CF3"/>
    <w:rsid w:val="549C03CB"/>
    <w:rsid w:val="54A2693E"/>
    <w:rsid w:val="54AB4AB2"/>
    <w:rsid w:val="54AD6A7C"/>
    <w:rsid w:val="54AEB1AD"/>
    <w:rsid w:val="54C811C0"/>
    <w:rsid w:val="54D20290"/>
    <w:rsid w:val="54F975CB"/>
    <w:rsid w:val="54FB1595"/>
    <w:rsid w:val="5500DB37"/>
    <w:rsid w:val="55175CA3"/>
    <w:rsid w:val="551E5284"/>
    <w:rsid w:val="55366A71"/>
    <w:rsid w:val="55456CB4"/>
    <w:rsid w:val="55805F3E"/>
    <w:rsid w:val="558C043F"/>
    <w:rsid w:val="559B4B26"/>
    <w:rsid w:val="55A439DB"/>
    <w:rsid w:val="55CE6CAA"/>
    <w:rsid w:val="55D6790C"/>
    <w:rsid w:val="55DA564E"/>
    <w:rsid w:val="55F10BEA"/>
    <w:rsid w:val="560449A0"/>
    <w:rsid w:val="56234B6F"/>
    <w:rsid w:val="562468CA"/>
    <w:rsid w:val="56265A41"/>
    <w:rsid w:val="56310FE7"/>
    <w:rsid w:val="56332FB1"/>
    <w:rsid w:val="563867C7"/>
    <w:rsid w:val="56503B63"/>
    <w:rsid w:val="56576C9F"/>
    <w:rsid w:val="565A678F"/>
    <w:rsid w:val="56674A08"/>
    <w:rsid w:val="567535C9"/>
    <w:rsid w:val="5683CD24"/>
    <w:rsid w:val="56A30136"/>
    <w:rsid w:val="56A95021"/>
    <w:rsid w:val="56A96DCF"/>
    <w:rsid w:val="56D26326"/>
    <w:rsid w:val="56D46542"/>
    <w:rsid w:val="56E542AB"/>
    <w:rsid w:val="56FA587C"/>
    <w:rsid w:val="570F1328"/>
    <w:rsid w:val="5727705B"/>
    <w:rsid w:val="572A4FC0"/>
    <w:rsid w:val="572A7F10"/>
    <w:rsid w:val="57376AD1"/>
    <w:rsid w:val="573D1FCA"/>
    <w:rsid w:val="57454E17"/>
    <w:rsid w:val="576D604E"/>
    <w:rsid w:val="576F1DC6"/>
    <w:rsid w:val="576F626A"/>
    <w:rsid w:val="577D3C16"/>
    <w:rsid w:val="578810DA"/>
    <w:rsid w:val="57914433"/>
    <w:rsid w:val="57917F8F"/>
    <w:rsid w:val="5797A762"/>
    <w:rsid w:val="57B91294"/>
    <w:rsid w:val="57BF2D4E"/>
    <w:rsid w:val="57D63BF4"/>
    <w:rsid w:val="57E04A72"/>
    <w:rsid w:val="57E26A3C"/>
    <w:rsid w:val="57E83927"/>
    <w:rsid w:val="58006EC2"/>
    <w:rsid w:val="580A7D41"/>
    <w:rsid w:val="58134E48"/>
    <w:rsid w:val="5814296E"/>
    <w:rsid w:val="581A4428"/>
    <w:rsid w:val="581B5AAA"/>
    <w:rsid w:val="582351DE"/>
    <w:rsid w:val="582E1C82"/>
    <w:rsid w:val="584E40D2"/>
    <w:rsid w:val="5851771E"/>
    <w:rsid w:val="58586CFE"/>
    <w:rsid w:val="58767185"/>
    <w:rsid w:val="58773629"/>
    <w:rsid w:val="5895585D"/>
    <w:rsid w:val="589C6BEB"/>
    <w:rsid w:val="58A665DF"/>
    <w:rsid w:val="58B6F939"/>
    <w:rsid w:val="58CE6FC1"/>
    <w:rsid w:val="58D2260D"/>
    <w:rsid w:val="58F06F37"/>
    <w:rsid w:val="59044790"/>
    <w:rsid w:val="5906675A"/>
    <w:rsid w:val="59122A32"/>
    <w:rsid w:val="59560B9C"/>
    <w:rsid w:val="596811C3"/>
    <w:rsid w:val="597C6A1D"/>
    <w:rsid w:val="59883613"/>
    <w:rsid w:val="59AC10B0"/>
    <w:rsid w:val="59B12B6A"/>
    <w:rsid w:val="59C67F57"/>
    <w:rsid w:val="59C934D1"/>
    <w:rsid w:val="59D625D1"/>
    <w:rsid w:val="59F667CF"/>
    <w:rsid w:val="5A0A04CC"/>
    <w:rsid w:val="5A11284A"/>
    <w:rsid w:val="5A20384C"/>
    <w:rsid w:val="5A276988"/>
    <w:rsid w:val="5A309447"/>
    <w:rsid w:val="5A4120AC"/>
    <w:rsid w:val="5A513A05"/>
    <w:rsid w:val="5A584D94"/>
    <w:rsid w:val="5A5D05FC"/>
    <w:rsid w:val="5A6E2809"/>
    <w:rsid w:val="5A8B5169"/>
    <w:rsid w:val="5AA75D1B"/>
    <w:rsid w:val="5AB53F94"/>
    <w:rsid w:val="5AC62645"/>
    <w:rsid w:val="5AD3266C"/>
    <w:rsid w:val="5ADF54B5"/>
    <w:rsid w:val="5AF70A51"/>
    <w:rsid w:val="5B061086"/>
    <w:rsid w:val="5B0B44FC"/>
    <w:rsid w:val="5B2829B8"/>
    <w:rsid w:val="5B392E17"/>
    <w:rsid w:val="5B5639C9"/>
    <w:rsid w:val="5B8F1474"/>
    <w:rsid w:val="5B922527"/>
    <w:rsid w:val="5BAD110F"/>
    <w:rsid w:val="5BAF6C35"/>
    <w:rsid w:val="5BC70423"/>
    <w:rsid w:val="5BCA22CF"/>
    <w:rsid w:val="5BD4669C"/>
    <w:rsid w:val="5BD7618C"/>
    <w:rsid w:val="5BE2525D"/>
    <w:rsid w:val="5C0351D3"/>
    <w:rsid w:val="5C036F81"/>
    <w:rsid w:val="5C1A2815"/>
    <w:rsid w:val="5C337866"/>
    <w:rsid w:val="5C417244"/>
    <w:rsid w:val="5C423F4D"/>
    <w:rsid w:val="5C492637"/>
    <w:rsid w:val="5C643EC4"/>
    <w:rsid w:val="5C6519EA"/>
    <w:rsid w:val="5CA442C0"/>
    <w:rsid w:val="5CB00EB7"/>
    <w:rsid w:val="5CD252D1"/>
    <w:rsid w:val="5CD728E8"/>
    <w:rsid w:val="5CDA23D8"/>
    <w:rsid w:val="5CDA384F"/>
    <w:rsid w:val="5CE78680"/>
    <w:rsid w:val="5D0C00B7"/>
    <w:rsid w:val="5D0C1F6C"/>
    <w:rsid w:val="5D1A27D4"/>
    <w:rsid w:val="5D1D22C5"/>
    <w:rsid w:val="5D1D6D54"/>
    <w:rsid w:val="5D283143"/>
    <w:rsid w:val="5D2B2C34"/>
    <w:rsid w:val="5D2D69AC"/>
    <w:rsid w:val="5D363A5E"/>
    <w:rsid w:val="5D4D6706"/>
    <w:rsid w:val="5D843C18"/>
    <w:rsid w:val="5D8777A4"/>
    <w:rsid w:val="5D883BE2"/>
    <w:rsid w:val="5DC7295C"/>
    <w:rsid w:val="5DC866D4"/>
    <w:rsid w:val="5DCF7A63"/>
    <w:rsid w:val="5DD9443E"/>
    <w:rsid w:val="5DE3706A"/>
    <w:rsid w:val="5DE828D3"/>
    <w:rsid w:val="5DEF5A0F"/>
    <w:rsid w:val="5DFE5C52"/>
    <w:rsid w:val="5E0F5D69"/>
    <w:rsid w:val="5E1216FE"/>
    <w:rsid w:val="5E361890"/>
    <w:rsid w:val="5E4A0A5D"/>
    <w:rsid w:val="5E550D0F"/>
    <w:rsid w:val="5E5D506F"/>
    <w:rsid w:val="5E5F25F9"/>
    <w:rsid w:val="5E693A13"/>
    <w:rsid w:val="5E6F6B50"/>
    <w:rsid w:val="5EA90246"/>
    <w:rsid w:val="5EFA28BD"/>
    <w:rsid w:val="5F0157EA"/>
    <w:rsid w:val="5F08322C"/>
    <w:rsid w:val="5F17346F"/>
    <w:rsid w:val="5F2B6F1B"/>
    <w:rsid w:val="5F3F29C6"/>
    <w:rsid w:val="5F4E49B7"/>
    <w:rsid w:val="5F557AF4"/>
    <w:rsid w:val="5F5F0972"/>
    <w:rsid w:val="5F661D01"/>
    <w:rsid w:val="5F8B5C0B"/>
    <w:rsid w:val="5F8D1984"/>
    <w:rsid w:val="5F9A7BFD"/>
    <w:rsid w:val="5FA97E40"/>
    <w:rsid w:val="5FAF380A"/>
    <w:rsid w:val="5FB011CE"/>
    <w:rsid w:val="5FB660FA"/>
    <w:rsid w:val="5FBA5715"/>
    <w:rsid w:val="5FBAA805"/>
    <w:rsid w:val="5FC90992"/>
    <w:rsid w:val="5FD27396"/>
    <w:rsid w:val="60011A2A"/>
    <w:rsid w:val="600F2399"/>
    <w:rsid w:val="60235E44"/>
    <w:rsid w:val="603911C4"/>
    <w:rsid w:val="60430294"/>
    <w:rsid w:val="60612574"/>
    <w:rsid w:val="60736021"/>
    <w:rsid w:val="608F5287"/>
    <w:rsid w:val="608F7035"/>
    <w:rsid w:val="60A01243"/>
    <w:rsid w:val="60B42F40"/>
    <w:rsid w:val="60BB607C"/>
    <w:rsid w:val="60C56EFB"/>
    <w:rsid w:val="60EF5D26"/>
    <w:rsid w:val="60F375C4"/>
    <w:rsid w:val="60FF240D"/>
    <w:rsid w:val="6110141F"/>
    <w:rsid w:val="611B4D6D"/>
    <w:rsid w:val="612E684E"/>
    <w:rsid w:val="613A51F3"/>
    <w:rsid w:val="613F6CAD"/>
    <w:rsid w:val="61493688"/>
    <w:rsid w:val="6155027F"/>
    <w:rsid w:val="616109D2"/>
    <w:rsid w:val="61843B36"/>
    <w:rsid w:val="618741B1"/>
    <w:rsid w:val="61C3168D"/>
    <w:rsid w:val="61D513C0"/>
    <w:rsid w:val="61E35E61"/>
    <w:rsid w:val="61EB0BE3"/>
    <w:rsid w:val="61F17AF9"/>
    <w:rsid w:val="62065A1D"/>
    <w:rsid w:val="62165C60"/>
    <w:rsid w:val="62353C0D"/>
    <w:rsid w:val="62481B92"/>
    <w:rsid w:val="62487DE4"/>
    <w:rsid w:val="624B3430"/>
    <w:rsid w:val="625E3163"/>
    <w:rsid w:val="626F35C2"/>
    <w:rsid w:val="62816E52"/>
    <w:rsid w:val="62897FE2"/>
    <w:rsid w:val="62976675"/>
    <w:rsid w:val="629B7F14"/>
    <w:rsid w:val="62B17737"/>
    <w:rsid w:val="62EE2739"/>
    <w:rsid w:val="62F12229"/>
    <w:rsid w:val="63071A4D"/>
    <w:rsid w:val="630A5099"/>
    <w:rsid w:val="633839B4"/>
    <w:rsid w:val="633C5725"/>
    <w:rsid w:val="633F2F95"/>
    <w:rsid w:val="6390559E"/>
    <w:rsid w:val="63927568"/>
    <w:rsid w:val="639A466F"/>
    <w:rsid w:val="63C01BA2"/>
    <w:rsid w:val="63C27722"/>
    <w:rsid w:val="63D23E09"/>
    <w:rsid w:val="63D336DD"/>
    <w:rsid w:val="63F7386F"/>
    <w:rsid w:val="63FF2724"/>
    <w:rsid w:val="640F6E0B"/>
    <w:rsid w:val="64176205"/>
    <w:rsid w:val="641A755E"/>
    <w:rsid w:val="64234664"/>
    <w:rsid w:val="64243F39"/>
    <w:rsid w:val="645667E8"/>
    <w:rsid w:val="645A5BAC"/>
    <w:rsid w:val="6468651B"/>
    <w:rsid w:val="647E5D3F"/>
    <w:rsid w:val="64874BF3"/>
    <w:rsid w:val="64B058C7"/>
    <w:rsid w:val="64BC40AA"/>
    <w:rsid w:val="64BDF2ED"/>
    <w:rsid w:val="64D63485"/>
    <w:rsid w:val="64DC4A2F"/>
    <w:rsid w:val="64F41B5D"/>
    <w:rsid w:val="65053D6A"/>
    <w:rsid w:val="650E0E71"/>
    <w:rsid w:val="65174BFC"/>
    <w:rsid w:val="651D5558"/>
    <w:rsid w:val="653E4D0B"/>
    <w:rsid w:val="65491EA9"/>
    <w:rsid w:val="656A3236"/>
    <w:rsid w:val="656D2F25"/>
    <w:rsid w:val="65711400"/>
    <w:rsid w:val="657B5DDA"/>
    <w:rsid w:val="65A76BCF"/>
    <w:rsid w:val="65B0A9D4"/>
    <w:rsid w:val="65B17A4E"/>
    <w:rsid w:val="65C15EE3"/>
    <w:rsid w:val="65E240AB"/>
    <w:rsid w:val="65F067C8"/>
    <w:rsid w:val="65F07AC3"/>
    <w:rsid w:val="66065FEC"/>
    <w:rsid w:val="6609788A"/>
    <w:rsid w:val="660C3D04"/>
    <w:rsid w:val="660F6AEA"/>
    <w:rsid w:val="6612673F"/>
    <w:rsid w:val="66287D10"/>
    <w:rsid w:val="66410DD2"/>
    <w:rsid w:val="66611474"/>
    <w:rsid w:val="666B5E4F"/>
    <w:rsid w:val="666F8AD4"/>
    <w:rsid w:val="667016B7"/>
    <w:rsid w:val="667A343E"/>
    <w:rsid w:val="667C1E0A"/>
    <w:rsid w:val="66AF3F8D"/>
    <w:rsid w:val="66C51A03"/>
    <w:rsid w:val="66CF1E96"/>
    <w:rsid w:val="66E77BCB"/>
    <w:rsid w:val="67065B78"/>
    <w:rsid w:val="672A3F5C"/>
    <w:rsid w:val="6744501E"/>
    <w:rsid w:val="67452B44"/>
    <w:rsid w:val="67486190"/>
    <w:rsid w:val="674F5770"/>
    <w:rsid w:val="676E5BF7"/>
    <w:rsid w:val="679338AF"/>
    <w:rsid w:val="67A41618"/>
    <w:rsid w:val="67C451BB"/>
    <w:rsid w:val="67CE0D8B"/>
    <w:rsid w:val="67D22629"/>
    <w:rsid w:val="67D409B1"/>
    <w:rsid w:val="67DC5256"/>
    <w:rsid w:val="67E97973"/>
    <w:rsid w:val="67EE31DB"/>
    <w:rsid w:val="67EE4F89"/>
    <w:rsid w:val="67F053D5"/>
    <w:rsid w:val="67FF7197"/>
    <w:rsid w:val="682B3AE8"/>
    <w:rsid w:val="68324E76"/>
    <w:rsid w:val="683706DE"/>
    <w:rsid w:val="683C592B"/>
    <w:rsid w:val="683F57E5"/>
    <w:rsid w:val="6841155D"/>
    <w:rsid w:val="685272C6"/>
    <w:rsid w:val="685F7C35"/>
    <w:rsid w:val="686B65DA"/>
    <w:rsid w:val="68784853"/>
    <w:rsid w:val="68880F3A"/>
    <w:rsid w:val="689F0032"/>
    <w:rsid w:val="68AF296B"/>
    <w:rsid w:val="68B65AA7"/>
    <w:rsid w:val="68CB7E74"/>
    <w:rsid w:val="69584DB0"/>
    <w:rsid w:val="6965127B"/>
    <w:rsid w:val="69790883"/>
    <w:rsid w:val="6985477F"/>
    <w:rsid w:val="69A00505"/>
    <w:rsid w:val="69AC0C58"/>
    <w:rsid w:val="69AC1B14"/>
    <w:rsid w:val="69D361E5"/>
    <w:rsid w:val="69D71BAE"/>
    <w:rsid w:val="69E20B1E"/>
    <w:rsid w:val="69E623BC"/>
    <w:rsid w:val="6A061712"/>
    <w:rsid w:val="6A0E2A76"/>
    <w:rsid w:val="6A276531"/>
    <w:rsid w:val="6A31115D"/>
    <w:rsid w:val="6A41B0C2"/>
    <w:rsid w:val="6A4964A7"/>
    <w:rsid w:val="6A6432E1"/>
    <w:rsid w:val="6A7C3593"/>
    <w:rsid w:val="6A890F99"/>
    <w:rsid w:val="6AA73316"/>
    <w:rsid w:val="6AD55F8D"/>
    <w:rsid w:val="6AEB57B0"/>
    <w:rsid w:val="6AED777A"/>
    <w:rsid w:val="6AF64881"/>
    <w:rsid w:val="6B0D1BCA"/>
    <w:rsid w:val="6B23319C"/>
    <w:rsid w:val="6B2667E8"/>
    <w:rsid w:val="6B3158B9"/>
    <w:rsid w:val="6B60577A"/>
    <w:rsid w:val="6B623CC4"/>
    <w:rsid w:val="6B792DBC"/>
    <w:rsid w:val="6B7E03D2"/>
    <w:rsid w:val="6B9145AA"/>
    <w:rsid w:val="6BA227CE"/>
    <w:rsid w:val="6BCA3618"/>
    <w:rsid w:val="6BD66460"/>
    <w:rsid w:val="6BDD334B"/>
    <w:rsid w:val="6BEC5C84"/>
    <w:rsid w:val="6BEF307E"/>
    <w:rsid w:val="6BF40694"/>
    <w:rsid w:val="6BFD1C3F"/>
    <w:rsid w:val="6C00528B"/>
    <w:rsid w:val="6C046B2A"/>
    <w:rsid w:val="6C156F89"/>
    <w:rsid w:val="6C172D01"/>
    <w:rsid w:val="6C256AA0"/>
    <w:rsid w:val="6C2947E2"/>
    <w:rsid w:val="6C30791F"/>
    <w:rsid w:val="6C313697"/>
    <w:rsid w:val="6C562B32"/>
    <w:rsid w:val="6C615D2A"/>
    <w:rsid w:val="6C67530A"/>
    <w:rsid w:val="6C6C1DA1"/>
    <w:rsid w:val="6C6F9921"/>
    <w:rsid w:val="6C7D068A"/>
    <w:rsid w:val="6C81461E"/>
    <w:rsid w:val="6C8163CC"/>
    <w:rsid w:val="6C820310"/>
    <w:rsid w:val="6C8639E2"/>
    <w:rsid w:val="6C9C3206"/>
    <w:rsid w:val="6CAD5413"/>
    <w:rsid w:val="6CC4275D"/>
    <w:rsid w:val="6CDE737B"/>
    <w:rsid w:val="6CFE17CB"/>
    <w:rsid w:val="6CFE8A70"/>
    <w:rsid w:val="6D022918"/>
    <w:rsid w:val="6D2F7BD6"/>
    <w:rsid w:val="6D4D2752"/>
    <w:rsid w:val="6D527D69"/>
    <w:rsid w:val="6D6C0E2A"/>
    <w:rsid w:val="6DB4457F"/>
    <w:rsid w:val="6DBD1FDD"/>
    <w:rsid w:val="6DC24EEE"/>
    <w:rsid w:val="6DDB1B0C"/>
    <w:rsid w:val="6DDD5884"/>
    <w:rsid w:val="6E0A419F"/>
    <w:rsid w:val="6E0C43BB"/>
    <w:rsid w:val="6E0C6169"/>
    <w:rsid w:val="6E162B44"/>
    <w:rsid w:val="6E58315D"/>
    <w:rsid w:val="6E5F44EB"/>
    <w:rsid w:val="6E900B48"/>
    <w:rsid w:val="6E906D9A"/>
    <w:rsid w:val="6EAD34A8"/>
    <w:rsid w:val="6EB72579"/>
    <w:rsid w:val="6ED0363B"/>
    <w:rsid w:val="6EEB3FD1"/>
    <w:rsid w:val="6EED5F9B"/>
    <w:rsid w:val="6F03131A"/>
    <w:rsid w:val="6F2F1DA8"/>
    <w:rsid w:val="6F32570B"/>
    <w:rsid w:val="6F411E43"/>
    <w:rsid w:val="6F433E0D"/>
    <w:rsid w:val="6F4436E1"/>
    <w:rsid w:val="6F4823B4"/>
    <w:rsid w:val="6F4F630E"/>
    <w:rsid w:val="6F55769C"/>
    <w:rsid w:val="6F593630"/>
    <w:rsid w:val="6F59718C"/>
    <w:rsid w:val="6F5E3021"/>
    <w:rsid w:val="6F7044D6"/>
    <w:rsid w:val="6F7246F2"/>
    <w:rsid w:val="6F865AA7"/>
    <w:rsid w:val="6F9C0E28"/>
    <w:rsid w:val="6FA974BB"/>
    <w:rsid w:val="6FAC3760"/>
    <w:rsid w:val="6FDA2E93"/>
    <w:rsid w:val="6FDE3B35"/>
    <w:rsid w:val="6FE4739E"/>
    <w:rsid w:val="70180EAF"/>
    <w:rsid w:val="70194B6E"/>
    <w:rsid w:val="7019691C"/>
    <w:rsid w:val="70291255"/>
    <w:rsid w:val="70587444"/>
    <w:rsid w:val="706C1141"/>
    <w:rsid w:val="7077F0C2"/>
    <w:rsid w:val="708244C1"/>
    <w:rsid w:val="70893AA1"/>
    <w:rsid w:val="708A15C7"/>
    <w:rsid w:val="70932B72"/>
    <w:rsid w:val="70A1528F"/>
    <w:rsid w:val="70BA75BE"/>
    <w:rsid w:val="70CC398E"/>
    <w:rsid w:val="70E150EF"/>
    <w:rsid w:val="70F76C5D"/>
    <w:rsid w:val="70F84783"/>
    <w:rsid w:val="70FA04FB"/>
    <w:rsid w:val="70FC4273"/>
    <w:rsid w:val="710475CC"/>
    <w:rsid w:val="710B2708"/>
    <w:rsid w:val="71145A61"/>
    <w:rsid w:val="713779A1"/>
    <w:rsid w:val="713A4D9B"/>
    <w:rsid w:val="71573B9F"/>
    <w:rsid w:val="715776FB"/>
    <w:rsid w:val="717B788E"/>
    <w:rsid w:val="71866233"/>
    <w:rsid w:val="71926986"/>
    <w:rsid w:val="719E532A"/>
    <w:rsid w:val="71A768D5"/>
    <w:rsid w:val="71AD37BF"/>
    <w:rsid w:val="71B52393"/>
    <w:rsid w:val="71D376CA"/>
    <w:rsid w:val="71D60F68"/>
    <w:rsid w:val="71DC5E53"/>
    <w:rsid w:val="71ED0060"/>
    <w:rsid w:val="721E646B"/>
    <w:rsid w:val="725D3437"/>
    <w:rsid w:val="72627E40"/>
    <w:rsid w:val="72834520"/>
    <w:rsid w:val="72842772"/>
    <w:rsid w:val="72964253"/>
    <w:rsid w:val="72A220E1"/>
    <w:rsid w:val="72D27981"/>
    <w:rsid w:val="72DC25AE"/>
    <w:rsid w:val="72E6342D"/>
    <w:rsid w:val="72E72D01"/>
    <w:rsid w:val="72F316A6"/>
    <w:rsid w:val="72F5541E"/>
    <w:rsid w:val="730D59E2"/>
    <w:rsid w:val="731F5A6E"/>
    <w:rsid w:val="7335AE59"/>
    <w:rsid w:val="733817AF"/>
    <w:rsid w:val="73552361"/>
    <w:rsid w:val="7364525A"/>
    <w:rsid w:val="73685BF0"/>
    <w:rsid w:val="73774085"/>
    <w:rsid w:val="73781BAB"/>
    <w:rsid w:val="7378BC27"/>
    <w:rsid w:val="738D38A8"/>
    <w:rsid w:val="73905147"/>
    <w:rsid w:val="73A82490"/>
    <w:rsid w:val="73B47087"/>
    <w:rsid w:val="73C80D84"/>
    <w:rsid w:val="73D2575F"/>
    <w:rsid w:val="73DC65DE"/>
    <w:rsid w:val="73E13BF4"/>
    <w:rsid w:val="73E536E4"/>
    <w:rsid w:val="74365CEE"/>
    <w:rsid w:val="743E2DF5"/>
    <w:rsid w:val="745148D6"/>
    <w:rsid w:val="745B25CA"/>
    <w:rsid w:val="7460720F"/>
    <w:rsid w:val="74650381"/>
    <w:rsid w:val="74792F01"/>
    <w:rsid w:val="747E0535"/>
    <w:rsid w:val="749D7B1B"/>
    <w:rsid w:val="74A013B9"/>
    <w:rsid w:val="74A23383"/>
    <w:rsid w:val="74BB61F3"/>
    <w:rsid w:val="74CA6436"/>
    <w:rsid w:val="74D9B346"/>
    <w:rsid w:val="74E4399C"/>
    <w:rsid w:val="751F373A"/>
    <w:rsid w:val="7521074C"/>
    <w:rsid w:val="75324707"/>
    <w:rsid w:val="753C5586"/>
    <w:rsid w:val="753D428C"/>
    <w:rsid w:val="753D4E5A"/>
    <w:rsid w:val="75510906"/>
    <w:rsid w:val="755521A4"/>
    <w:rsid w:val="75722A45"/>
    <w:rsid w:val="75742828"/>
    <w:rsid w:val="757D16FB"/>
    <w:rsid w:val="757F5787"/>
    <w:rsid w:val="758B02BC"/>
    <w:rsid w:val="75906E08"/>
    <w:rsid w:val="75930DAA"/>
    <w:rsid w:val="759F1CBD"/>
    <w:rsid w:val="75AB270C"/>
    <w:rsid w:val="75D752AF"/>
    <w:rsid w:val="75D92DD5"/>
    <w:rsid w:val="75E579CC"/>
    <w:rsid w:val="75E654AB"/>
    <w:rsid w:val="75EB2B08"/>
    <w:rsid w:val="75EB48B6"/>
    <w:rsid w:val="75F832A4"/>
    <w:rsid w:val="760D2A7F"/>
    <w:rsid w:val="761F2EF7"/>
    <w:rsid w:val="762F50EB"/>
    <w:rsid w:val="7637059D"/>
    <w:rsid w:val="76424E1E"/>
    <w:rsid w:val="76676633"/>
    <w:rsid w:val="766D176F"/>
    <w:rsid w:val="76766876"/>
    <w:rsid w:val="76854D0B"/>
    <w:rsid w:val="768A40CF"/>
    <w:rsid w:val="768C6099"/>
    <w:rsid w:val="768C7E47"/>
    <w:rsid w:val="76C27D0D"/>
    <w:rsid w:val="76C515AB"/>
    <w:rsid w:val="76C9109B"/>
    <w:rsid w:val="76CA0970"/>
    <w:rsid w:val="76D17F50"/>
    <w:rsid w:val="76E60F22"/>
    <w:rsid w:val="76F459ED"/>
    <w:rsid w:val="7706409E"/>
    <w:rsid w:val="77297D8C"/>
    <w:rsid w:val="772E6F13"/>
    <w:rsid w:val="773504DF"/>
    <w:rsid w:val="7746449A"/>
    <w:rsid w:val="775A7F45"/>
    <w:rsid w:val="77617526"/>
    <w:rsid w:val="77674410"/>
    <w:rsid w:val="776963DA"/>
    <w:rsid w:val="776B3F01"/>
    <w:rsid w:val="777F79AC"/>
    <w:rsid w:val="77813724"/>
    <w:rsid w:val="778E7BEF"/>
    <w:rsid w:val="77B70EF4"/>
    <w:rsid w:val="77B75398"/>
    <w:rsid w:val="77DF044B"/>
    <w:rsid w:val="77FA7033"/>
    <w:rsid w:val="780103C1"/>
    <w:rsid w:val="780A196C"/>
    <w:rsid w:val="78397B5B"/>
    <w:rsid w:val="78570929"/>
    <w:rsid w:val="78654DF4"/>
    <w:rsid w:val="786C6182"/>
    <w:rsid w:val="786D1EFA"/>
    <w:rsid w:val="78746DE5"/>
    <w:rsid w:val="78810918"/>
    <w:rsid w:val="78DB6E64"/>
    <w:rsid w:val="78F85C68"/>
    <w:rsid w:val="79030169"/>
    <w:rsid w:val="790740FD"/>
    <w:rsid w:val="790B6163"/>
    <w:rsid w:val="791D222E"/>
    <w:rsid w:val="795F1331"/>
    <w:rsid w:val="79694470"/>
    <w:rsid w:val="79711576"/>
    <w:rsid w:val="79766B8D"/>
    <w:rsid w:val="799F3431"/>
    <w:rsid w:val="79A47B9E"/>
    <w:rsid w:val="79C773E8"/>
    <w:rsid w:val="79FD2E0A"/>
    <w:rsid w:val="79FE74C8"/>
    <w:rsid w:val="7A180384"/>
    <w:rsid w:val="7A3B22B0"/>
    <w:rsid w:val="7A4A42A1"/>
    <w:rsid w:val="7A6730A5"/>
    <w:rsid w:val="7A8552D9"/>
    <w:rsid w:val="7AB23BF5"/>
    <w:rsid w:val="7AEB97AC"/>
    <w:rsid w:val="7AF91277"/>
    <w:rsid w:val="7B0A57DF"/>
    <w:rsid w:val="7B136D89"/>
    <w:rsid w:val="7B291485"/>
    <w:rsid w:val="7B305B9B"/>
    <w:rsid w:val="7B31720F"/>
    <w:rsid w:val="7B4231CA"/>
    <w:rsid w:val="7B6018A2"/>
    <w:rsid w:val="7B6C46EB"/>
    <w:rsid w:val="7B7440BF"/>
    <w:rsid w:val="7B756CD9"/>
    <w:rsid w:val="7B9D2AF7"/>
    <w:rsid w:val="7BABFE6C"/>
    <w:rsid w:val="7BAC4AE8"/>
    <w:rsid w:val="7BBD6CF5"/>
    <w:rsid w:val="7BD32074"/>
    <w:rsid w:val="7BD44DE2"/>
    <w:rsid w:val="7BE349AD"/>
    <w:rsid w:val="7BF1074D"/>
    <w:rsid w:val="7C06069C"/>
    <w:rsid w:val="7C1728A9"/>
    <w:rsid w:val="7C376AA7"/>
    <w:rsid w:val="7C5238E1"/>
    <w:rsid w:val="7C547659"/>
    <w:rsid w:val="7C792C1C"/>
    <w:rsid w:val="7C80044E"/>
    <w:rsid w:val="7C833A9B"/>
    <w:rsid w:val="7CA37C99"/>
    <w:rsid w:val="7CA51C63"/>
    <w:rsid w:val="7CA53A11"/>
    <w:rsid w:val="7CBC1D8E"/>
    <w:rsid w:val="7CD460A4"/>
    <w:rsid w:val="7CD75B94"/>
    <w:rsid w:val="7CE0713F"/>
    <w:rsid w:val="7D2A2168"/>
    <w:rsid w:val="7D5B0573"/>
    <w:rsid w:val="7D5F62B6"/>
    <w:rsid w:val="7D6E1D68"/>
    <w:rsid w:val="7D7BF059"/>
    <w:rsid w:val="7D893333"/>
    <w:rsid w:val="7D8E0949"/>
    <w:rsid w:val="7DBB7264"/>
    <w:rsid w:val="7DFF53A3"/>
    <w:rsid w:val="7E002952"/>
    <w:rsid w:val="7E2E5C88"/>
    <w:rsid w:val="7E5E656D"/>
    <w:rsid w:val="7E7713DD"/>
    <w:rsid w:val="7E81225C"/>
    <w:rsid w:val="7E8D29AE"/>
    <w:rsid w:val="7E933D3D"/>
    <w:rsid w:val="7E9A331D"/>
    <w:rsid w:val="7E9E696A"/>
    <w:rsid w:val="7E9F26E2"/>
    <w:rsid w:val="7EA65673"/>
    <w:rsid w:val="7EAA17B2"/>
    <w:rsid w:val="7EE66563"/>
    <w:rsid w:val="7EF46ED2"/>
    <w:rsid w:val="7EF70770"/>
    <w:rsid w:val="7EFF1FC3"/>
    <w:rsid w:val="7F2826D7"/>
    <w:rsid w:val="7F2A28F3"/>
    <w:rsid w:val="7F323556"/>
    <w:rsid w:val="7F360F8F"/>
    <w:rsid w:val="7F372A6A"/>
    <w:rsid w:val="7F4514DB"/>
    <w:rsid w:val="7F482D79"/>
    <w:rsid w:val="7F4A0674"/>
    <w:rsid w:val="7F633423"/>
    <w:rsid w:val="7F673200"/>
    <w:rsid w:val="7F7A235A"/>
    <w:rsid w:val="7F983D01"/>
    <w:rsid w:val="7FB5119D"/>
    <w:rsid w:val="7FBF6A56"/>
    <w:rsid w:val="7FCC7507"/>
    <w:rsid w:val="7FEC32EC"/>
    <w:rsid w:val="7FF058EB"/>
    <w:rsid w:val="7FFF5B2E"/>
    <w:rsid w:val="805E5926"/>
    <w:rsid w:val="815643BF"/>
    <w:rsid w:val="8295CD26"/>
    <w:rsid w:val="8363EAD4"/>
    <w:rsid w:val="83D898C5"/>
    <w:rsid w:val="83E9458C"/>
    <w:rsid w:val="860B3EFC"/>
    <w:rsid w:val="874005CD"/>
    <w:rsid w:val="8ABCA1A1"/>
    <w:rsid w:val="8AD8D890"/>
    <w:rsid w:val="8BBDC8E6"/>
    <w:rsid w:val="8C55F3FC"/>
    <w:rsid w:val="8EF40C44"/>
    <w:rsid w:val="8EF8BA1B"/>
    <w:rsid w:val="92B5A247"/>
    <w:rsid w:val="936EAD0D"/>
    <w:rsid w:val="957C06F4"/>
    <w:rsid w:val="97F0CDC2"/>
    <w:rsid w:val="9BB64DF1"/>
    <w:rsid w:val="9BFEFEAF"/>
    <w:rsid w:val="9C05DFE0"/>
    <w:rsid w:val="9DE7134A"/>
    <w:rsid w:val="9F832C71"/>
    <w:rsid w:val="A148B9FC"/>
    <w:rsid w:val="A1B54F9A"/>
    <w:rsid w:val="A20B5BFE"/>
    <w:rsid w:val="A2620495"/>
    <w:rsid w:val="A5AD5AAA"/>
    <w:rsid w:val="A6CC9B2D"/>
    <w:rsid w:val="A6CFE1C5"/>
    <w:rsid w:val="AB0A5A09"/>
    <w:rsid w:val="AC38EC22"/>
    <w:rsid w:val="AD96E1FF"/>
    <w:rsid w:val="ADF154F8"/>
    <w:rsid w:val="AE3D8E7A"/>
    <w:rsid w:val="AF09EDAD"/>
    <w:rsid w:val="AF114C03"/>
    <w:rsid w:val="AF4F82C5"/>
    <w:rsid w:val="AFA52C6B"/>
    <w:rsid w:val="B1658FFF"/>
    <w:rsid w:val="B242943B"/>
    <w:rsid w:val="B268DFA8"/>
    <w:rsid w:val="B423E22B"/>
    <w:rsid w:val="B5AA9173"/>
    <w:rsid w:val="B5BB2219"/>
    <w:rsid w:val="B61817E2"/>
    <w:rsid w:val="B61CC479"/>
    <w:rsid w:val="B6B0674C"/>
    <w:rsid w:val="B716D178"/>
    <w:rsid w:val="BA298437"/>
    <w:rsid w:val="BB36C46F"/>
    <w:rsid w:val="BBFECDA3"/>
    <w:rsid w:val="BBFF95F2"/>
    <w:rsid w:val="BD1ACD69"/>
    <w:rsid w:val="BDBACF81"/>
    <w:rsid w:val="BEC2C19C"/>
    <w:rsid w:val="BFA1D650"/>
    <w:rsid w:val="BFFF5440"/>
    <w:rsid w:val="C0930F4B"/>
    <w:rsid w:val="C24DE112"/>
    <w:rsid w:val="C2947565"/>
    <w:rsid w:val="C2A11ED1"/>
    <w:rsid w:val="C2F88305"/>
    <w:rsid w:val="C3A6906D"/>
    <w:rsid w:val="C44F1F38"/>
    <w:rsid w:val="C5A81AF2"/>
    <w:rsid w:val="C5E3E917"/>
    <w:rsid w:val="C71DE908"/>
    <w:rsid w:val="C77029C0"/>
    <w:rsid w:val="C80C04FB"/>
    <w:rsid w:val="C832F104"/>
    <w:rsid w:val="C9EA89C4"/>
    <w:rsid w:val="CAF18B30"/>
    <w:rsid w:val="D0210BE7"/>
    <w:rsid w:val="D1E2C150"/>
    <w:rsid w:val="D40941E5"/>
    <w:rsid w:val="D416F629"/>
    <w:rsid w:val="D4DCD51D"/>
    <w:rsid w:val="D5464B57"/>
    <w:rsid w:val="D6361503"/>
    <w:rsid w:val="D6F5047C"/>
    <w:rsid w:val="D76D5550"/>
    <w:rsid w:val="D7C1AD14"/>
    <w:rsid w:val="D89CAB4F"/>
    <w:rsid w:val="D913359B"/>
    <w:rsid w:val="D9C83C7D"/>
    <w:rsid w:val="DDCD6A8D"/>
    <w:rsid w:val="DF91D5B9"/>
    <w:rsid w:val="E0209AC8"/>
    <w:rsid w:val="E531F746"/>
    <w:rsid w:val="E64F45DD"/>
    <w:rsid w:val="E6BCF772"/>
    <w:rsid w:val="E736E4D4"/>
    <w:rsid w:val="E78D733A"/>
    <w:rsid w:val="EB72545F"/>
    <w:rsid w:val="EBEFB1F9"/>
    <w:rsid w:val="ED410E34"/>
    <w:rsid w:val="ED57FA41"/>
    <w:rsid w:val="F0884834"/>
    <w:rsid w:val="F2E97473"/>
    <w:rsid w:val="F3BB561F"/>
    <w:rsid w:val="F5486092"/>
    <w:rsid w:val="F5BF1E52"/>
    <w:rsid w:val="F7DF1A93"/>
    <w:rsid w:val="F7FFB557"/>
    <w:rsid w:val="F899E86B"/>
    <w:rsid w:val="FA83772A"/>
    <w:rsid w:val="FD3AC5E7"/>
    <w:rsid w:val="FDDED982"/>
    <w:rsid w:val="FE8A881A"/>
    <w:rsid w:val="FE900053"/>
    <w:rsid w:val="FEFDB2FA"/>
    <w:rsid w:val="FF08E2A3"/>
    <w:rsid w:val="FFD093B7"/>
    <w:rsid w:val="FFDFF85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widowControl/>
      <w:spacing w:before="240" w:beforeLines="0" w:after="60" w:afterLines="0"/>
      <w:jc w:val="left"/>
      <w:outlineLvl w:val="0"/>
    </w:pPr>
    <w:rPr>
      <w:rFonts w:ascii="Arial" w:hAnsi="Arial" w:eastAsia="宋体" w:cs="Times New Roman"/>
      <w:b/>
      <w:kern w:val="28"/>
      <w:sz w:val="28"/>
      <w:szCs w:val="20"/>
    </w:rPr>
  </w:style>
  <w:style w:type="paragraph" w:styleId="4">
    <w:name w:val="heading 2"/>
    <w:basedOn w:val="1"/>
    <w:next w:val="1"/>
    <w:qFormat/>
    <w:uiPriority w:val="0"/>
    <w:pPr>
      <w:keepNext/>
      <w:widowControl/>
      <w:spacing w:before="240" w:beforeLines="0" w:after="60" w:afterLines="0"/>
      <w:jc w:val="left"/>
      <w:outlineLvl w:val="1"/>
    </w:pPr>
    <w:rPr>
      <w:rFonts w:ascii="Arial" w:hAnsi="Arial" w:eastAsia="宋体" w:cs="Times New Roman"/>
      <w:b/>
      <w:i/>
      <w:kern w:val="0"/>
      <w:sz w:val="20"/>
      <w:szCs w:val="20"/>
    </w:rPr>
  </w:style>
  <w:style w:type="paragraph" w:styleId="5">
    <w:name w:val="heading 3"/>
    <w:basedOn w:val="1"/>
    <w:next w:val="1"/>
    <w:qFormat/>
    <w:uiPriority w:val="0"/>
    <w:pPr>
      <w:keepNext/>
      <w:widowControl/>
      <w:spacing w:before="240" w:beforeLines="0" w:after="60" w:afterLines="0"/>
      <w:jc w:val="left"/>
      <w:outlineLvl w:val="2"/>
    </w:pPr>
    <w:rPr>
      <w:rFonts w:ascii="Times New Roman" w:hAnsi="Times New Roman" w:eastAsia="宋体" w:cs="Times New Roman"/>
      <w:b/>
      <w:kern w:val="0"/>
      <w:sz w:val="20"/>
      <w:szCs w:val="20"/>
    </w:rPr>
  </w:style>
  <w:style w:type="paragraph" w:styleId="6">
    <w:name w:val="heading 4"/>
    <w:next w:val="1"/>
    <w:qFormat/>
    <w:uiPriority w:val="0"/>
    <w:pPr>
      <w:keepNext/>
      <w:keepLines/>
      <w:numPr>
        <w:ilvl w:val="3"/>
        <w:numId w:val="1"/>
      </w:numPr>
      <w:spacing w:before="200" w:line="400" w:lineRule="exact"/>
      <w:outlineLvl w:val="3"/>
    </w:pPr>
    <w:rPr>
      <w:rFonts w:ascii="Times New Roman" w:hAnsi="Times New Roman" w:eastAsia="黑体" w:cs="Times New Roman"/>
      <w:bCs/>
      <w:kern w:val="2"/>
      <w:sz w:val="24"/>
      <w:szCs w:val="28"/>
      <w:lang w:val="en-US" w:eastAsia="zh-CN" w:bidi="ar-SA"/>
    </w:rPr>
  </w:style>
  <w:style w:type="paragraph" w:styleId="7">
    <w:name w:val="heading 5"/>
    <w:next w:val="1"/>
    <w:qFormat/>
    <w:uiPriority w:val="0"/>
    <w:pPr>
      <w:keepNext/>
      <w:keepLines/>
      <w:widowControl w:val="0"/>
      <w:spacing w:before="280" w:after="290" w:line="376" w:lineRule="auto"/>
      <w:jc w:val="both"/>
      <w:outlineLvl w:val="4"/>
    </w:pPr>
    <w:rPr>
      <w:rFonts w:ascii="Times New Roman" w:hAnsi="Times New Roman" w:eastAsia="宋体" w:cs="Times New Roman"/>
      <w:b/>
      <w:bCs/>
      <w:kern w:val="2"/>
      <w:sz w:val="28"/>
      <w:szCs w:val="28"/>
      <w:lang w:val="en-US" w:eastAsia="zh-CN" w:bidi="ar-SA"/>
    </w:rPr>
  </w:style>
  <w:style w:type="paragraph" w:styleId="8">
    <w:name w:val="heading 6"/>
    <w:basedOn w:val="1"/>
    <w:next w:val="1"/>
    <w:qFormat/>
    <w:uiPriority w:val="0"/>
    <w:pPr>
      <w:keepNext/>
      <w:keepLines/>
      <w:spacing w:before="240" w:after="64" w:line="320" w:lineRule="atLeast"/>
      <w:outlineLvl w:val="5"/>
    </w:pPr>
    <w:rPr>
      <w:rFonts w:ascii="Arial" w:hAnsi="Arial" w:eastAsia="黑体"/>
      <w:b/>
      <w:bCs/>
    </w:rPr>
  </w:style>
  <w:style w:type="character" w:default="1" w:styleId="35">
    <w:name w:val="Default Paragraph Font"/>
    <w:qFormat/>
    <w:uiPriority w:val="0"/>
    <w:rPr>
      <w:rFonts w:ascii="Times New Roman" w:hAnsi="Times New Roman" w:eastAsia="宋体" w:cs="Times New Roman"/>
    </w:rPr>
  </w:style>
  <w:style w:type="table" w:default="1" w:styleId="33">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9">
    <w:name w:val="index 5"/>
    <w:basedOn w:val="1"/>
    <w:next w:val="1"/>
    <w:qFormat/>
    <w:uiPriority w:val="0"/>
    <w:pPr>
      <w:ind w:left="1680"/>
    </w:pPr>
  </w:style>
  <w:style w:type="paragraph" w:styleId="10">
    <w:name w:val="Document Map"/>
    <w:basedOn w:val="1"/>
    <w:link w:val="52"/>
    <w:qFormat/>
    <w:uiPriority w:val="0"/>
    <w:pPr>
      <w:shd w:val="clear" w:color="auto" w:fill="000080"/>
    </w:pPr>
    <w:rPr>
      <w:rFonts w:ascii="Calibri" w:hAnsi="Calibri" w:eastAsia="宋体" w:cs="Times New Roman"/>
      <w:szCs w:val="22"/>
    </w:rPr>
  </w:style>
  <w:style w:type="paragraph" w:styleId="11">
    <w:name w:val="toa heading"/>
    <w:basedOn w:val="1"/>
    <w:next w:val="1"/>
    <w:qFormat/>
    <w:uiPriority w:val="0"/>
    <w:pPr>
      <w:spacing w:before="120"/>
    </w:pPr>
    <w:rPr>
      <w:rFonts w:ascii="Cambria" w:hAnsi="Cambria" w:eastAsia="宋体" w:cs="Times New Roman"/>
      <w:sz w:val="24"/>
    </w:rPr>
  </w:style>
  <w:style w:type="paragraph" w:styleId="12">
    <w:name w:val="annotation text"/>
    <w:basedOn w:val="1"/>
    <w:link w:val="53"/>
    <w:qFormat/>
    <w:uiPriority w:val="0"/>
    <w:pPr>
      <w:jc w:val="left"/>
    </w:pPr>
    <w:rPr>
      <w:rFonts w:ascii="Calibri" w:hAnsi="Calibri" w:eastAsia="宋体" w:cs="Times New Roman"/>
      <w:szCs w:val="22"/>
    </w:rPr>
  </w:style>
  <w:style w:type="paragraph" w:styleId="13">
    <w:name w:val="Body Text"/>
    <w:basedOn w:val="1"/>
    <w:link w:val="54"/>
    <w:qFormat/>
    <w:uiPriority w:val="0"/>
    <w:pPr>
      <w:spacing w:line="360" w:lineRule="auto"/>
    </w:pPr>
    <w:rPr>
      <w:rFonts w:ascii="Calibri" w:hAnsi="Calibri" w:eastAsia="Helvetica Neue" w:cs="Times New Roman"/>
      <w:sz w:val="32"/>
    </w:rPr>
  </w:style>
  <w:style w:type="paragraph" w:styleId="14">
    <w:name w:val="Body Text Indent"/>
    <w:basedOn w:val="1"/>
    <w:next w:val="15"/>
    <w:link w:val="55"/>
    <w:qFormat/>
    <w:uiPriority w:val="0"/>
    <w:pPr>
      <w:ind w:firstLine="630"/>
    </w:pPr>
    <w:rPr>
      <w:rFonts w:ascii="Times New Roman" w:hAnsi="Times New Roman" w:eastAsia="宋体" w:cs="Times New Roman"/>
      <w:kern w:val="0"/>
      <w:sz w:val="32"/>
    </w:rPr>
  </w:style>
  <w:style w:type="paragraph" w:styleId="15">
    <w:name w:val="Body Text First Indent 2"/>
    <w:basedOn w:val="14"/>
    <w:next w:val="16"/>
    <w:link w:val="63"/>
    <w:qFormat/>
    <w:uiPriority w:val="0"/>
    <w:pPr>
      <w:spacing w:after="120"/>
      <w:ind w:left="420" w:leftChars="200" w:firstLine="420" w:firstLineChars="200"/>
    </w:pPr>
    <w:rPr>
      <w:rFonts w:ascii="Times New Roman" w:hAnsi="Times New Roman" w:eastAsia="宋体" w:cs="Times New Roman"/>
      <w:sz w:val="21"/>
    </w:rPr>
  </w:style>
  <w:style w:type="paragraph" w:styleId="16">
    <w:name w:val="Body Text First Indent"/>
    <w:basedOn w:val="13"/>
    <w:next w:val="1"/>
    <w:link w:val="62"/>
    <w:qFormat/>
    <w:uiPriority w:val="0"/>
    <w:pPr>
      <w:spacing w:line="312" w:lineRule="auto"/>
      <w:ind w:firstLine="420"/>
    </w:pPr>
    <w:rPr>
      <w:rFonts w:ascii="Times New Roman" w:hAnsi="Times New Roman" w:eastAsia="宋体" w:cs="Times New Roman"/>
    </w:rPr>
  </w:style>
  <w:style w:type="paragraph" w:styleId="17">
    <w:name w:val="Block Text"/>
    <w:basedOn w:val="1"/>
    <w:next w:val="1"/>
    <w:unhideWhenUsed/>
    <w:qFormat/>
    <w:uiPriority w:val="99"/>
    <w:pPr>
      <w:spacing w:after="120"/>
      <w:ind w:left="1440" w:leftChars="700" w:right="1440" w:rightChars="700"/>
    </w:pPr>
  </w:style>
  <w:style w:type="paragraph" w:styleId="18">
    <w:name w:val="toc 5"/>
    <w:basedOn w:val="1"/>
    <w:next w:val="1"/>
    <w:qFormat/>
    <w:uiPriority w:val="39"/>
    <w:pPr>
      <w:ind w:left="800" w:leftChars="800"/>
    </w:pPr>
  </w:style>
  <w:style w:type="paragraph" w:styleId="19">
    <w:name w:val="toc 3"/>
    <w:basedOn w:val="1"/>
    <w:next w:val="1"/>
    <w:qFormat/>
    <w:uiPriority w:val="0"/>
    <w:pPr>
      <w:ind w:left="840" w:leftChars="400"/>
    </w:pPr>
  </w:style>
  <w:style w:type="paragraph" w:styleId="20">
    <w:name w:val="Plain Text"/>
    <w:basedOn w:val="1"/>
    <w:next w:val="1"/>
    <w:link w:val="56"/>
    <w:qFormat/>
    <w:uiPriority w:val="0"/>
    <w:rPr>
      <w:rFonts w:ascii="宋体" w:hAnsi="Courier New" w:eastAsia="宋体" w:cs="Times New Roman"/>
      <w:szCs w:val="20"/>
    </w:rPr>
  </w:style>
  <w:style w:type="paragraph" w:styleId="21">
    <w:name w:val="Date"/>
    <w:basedOn w:val="1"/>
    <w:next w:val="1"/>
    <w:link w:val="57"/>
    <w:qFormat/>
    <w:uiPriority w:val="0"/>
    <w:pPr>
      <w:ind w:left="100" w:leftChars="2500"/>
    </w:pPr>
    <w:rPr>
      <w:rFonts w:ascii="Calibri" w:hAnsi="Calibri" w:eastAsia="宋体" w:cs="Times New Roman"/>
      <w:szCs w:val="22"/>
    </w:rPr>
  </w:style>
  <w:style w:type="paragraph" w:styleId="22">
    <w:name w:val="Body Text Indent 2"/>
    <w:basedOn w:val="1"/>
    <w:qFormat/>
    <w:uiPriority w:val="0"/>
    <w:pPr>
      <w:spacing w:line="60" w:lineRule="auto"/>
      <w:ind w:firstLine="128" w:firstLineChars="128"/>
    </w:pPr>
    <w:rPr>
      <w:rFonts w:ascii="仿宋_GB2312" w:eastAsia="仿宋_GB2312"/>
      <w:kern w:val="0"/>
      <w:sz w:val="24"/>
    </w:rPr>
  </w:style>
  <w:style w:type="paragraph" w:styleId="23">
    <w:name w:val="Balloon Text"/>
    <w:basedOn w:val="1"/>
    <w:link w:val="58"/>
    <w:qFormat/>
    <w:uiPriority w:val="0"/>
    <w:pPr>
      <w:widowControl/>
      <w:jc w:val="left"/>
    </w:pPr>
    <w:rPr>
      <w:rFonts w:ascii="Times New Roman" w:hAnsi="Times New Roman" w:eastAsia="宋体" w:cs="Times New Roman"/>
      <w:kern w:val="0"/>
      <w:sz w:val="18"/>
      <w:szCs w:val="18"/>
    </w:rPr>
  </w:style>
  <w:style w:type="paragraph" w:styleId="24">
    <w:name w:val="footer"/>
    <w:basedOn w:val="1"/>
    <w:link w:val="59"/>
    <w:qFormat/>
    <w:uiPriority w:val="0"/>
    <w:pPr>
      <w:tabs>
        <w:tab w:val="center" w:pos="4153"/>
        <w:tab w:val="right" w:pos="8306"/>
      </w:tabs>
      <w:snapToGrid w:val="0"/>
      <w:jc w:val="left"/>
    </w:pPr>
    <w:rPr>
      <w:rFonts w:ascii="Times New Roman" w:hAnsi="Times New Roman" w:eastAsia="宋体" w:cs="Times New Roman"/>
      <w:kern w:val="0"/>
      <w:sz w:val="18"/>
      <w:szCs w:val="18"/>
    </w:rPr>
  </w:style>
  <w:style w:type="paragraph" w:styleId="25">
    <w:name w:val="envelope return"/>
    <w:basedOn w:val="1"/>
    <w:qFormat/>
    <w:uiPriority w:val="0"/>
    <w:pPr>
      <w:snapToGrid w:val="0"/>
    </w:pPr>
    <w:rPr>
      <w:rFonts w:ascii="Arial" w:hAnsi="Arial"/>
    </w:rPr>
  </w:style>
  <w:style w:type="paragraph" w:styleId="26">
    <w:name w:val="header"/>
    <w:basedOn w:val="1"/>
    <w:link w:val="60"/>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eastAsia="宋体" w:cs="Times New Roman"/>
      <w:kern w:val="0"/>
      <w:sz w:val="18"/>
      <w:szCs w:val="18"/>
    </w:rPr>
  </w:style>
  <w:style w:type="paragraph" w:styleId="27">
    <w:name w:val="toc 1"/>
    <w:basedOn w:val="1"/>
    <w:next w:val="1"/>
    <w:qFormat/>
    <w:uiPriority w:val="0"/>
    <w:rPr>
      <w:rFonts w:ascii="Calibri" w:hAnsi="Calibri" w:eastAsia="宋体" w:cs="Times New Roman"/>
      <w:szCs w:val="22"/>
    </w:rPr>
  </w:style>
  <w:style w:type="paragraph" w:styleId="28">
    <w:name w:val="toc 2"/>
    <w:basedOn w:val="1"/>
    <w:next w:val="1"/>
    <w:qFormat/>
    <w:uiPriority w:val="39"/>
    <w:pPr>
      <w:ind w:left="420" w:leftChars="200"/>
    </w:pPr>
  </w:style>
  <w:style w:type="paragraph" w:styleId="29">
    <w:name w:val="Body Text 2"/>
    <w:basedOn w:val="1"/>
    <w:qFormat/>
    <w:uiPriority w:val="0"/>
    <w:rPr>
      <w:sz w:val="13"/>
      <w:szCs w:val="20"/>
    </w:rPr>
  </w:style>
  <w:style w:type="paragraph" w:styleId="3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1">
    <w:name w:val="Normal (Web)"/>
    <w:basedOn w:val="1"/>
    <w:qFormat/>
    <w:uiPriority w:val="0"/>
    <w:pPr>
      <w:widowControl/>
      <w:jc w:val="left"/>
    </w:pPr>
    <w:rPr>
      <w:rFonts w:ascii="Verdana" w:hAnsi="Verdana" w:cs="宋体"/>
      <w:kern w:val="0"/>
      <w:sz w:val="24"/>
    </w:rPr>
  </w:style>
  <w:style w:type="paragraph" w:styleId="32">
    <w:name w:val="Title"/>
    <w:basedOn w:val="1"/>
    <w:next w:val="1"/>
    <w:link w:val="61"/>
    <w:qFormat/>
    <w:uiPriority w:val="0"/>
    <w:pPr>
      <w:jc w:val="center"/>
      <w:outlineLvl w:val="0"/>
    </w:pPr>
    <w:rPr>
      <w:rFonts w:ascii="Cambria" w:hAnsi="Cambria" w:eastAsia="宋体" w:cs="Times New Roman"/>
      <w:b/>
      <w:szCs w:val="32"/>
    </w:rPr>
  </w:style>
  <w:style w:type="table" w:styleId="34">
    <w:name w:val="Table Grid"/>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0"/>
    <w:rPr>
      <w:b/>
      <w:bCs/>
    </w:rPr>
  </w:style>
  <w:style w:type="character" w:styleId="37">
    <w:name w:val="page number"/>
    <w:basedOn w:val="35"/>
    <w:qFormat/>
    <w:uiPriority w:val="0"/>
    <w:rPr>
      <w:rFonts w:ascii="Times New Roman" w:hAnsi="Times New Roman" w:eastAsia="宋体" w:cs="Times New Roman"/>
    </w:rPr>
  </w:style>
  <w:style w:type="character" w:styleId="38">
    <w:name w:val="Hyperlink"/>
    <w:basedOn w:val="35"/>
    <w:qFormat/>
    <w:uiPriority w:val="0"/>
    <w:rPr>
      <w:rFonts w:ascii="Times New Roman" w:hAnsi="Times New Roman" w:eastAsia="宋体" w:cs="Times New Roman"/>
      <w:color w:val="0000FF"/>
      <w:u w:val="single"/>
    </w:rPr>
  </w:style>
  <w:style w:type="paragraph" w:customStyle="1" w:styleId="39">
    <w:name w:val="正文1"/>
    <w:next w:val="1"/>
    <w:qFormat/>
    <w:uiPriority w:val="0"/>
    <w:pPr>
      <w:jc w:val="both"/>
    </w:pPr>
    <w:rPr>
      <w:rFonts w:ascii="Times New Roman" w:hAnsi="Times New Roman" w:eastAsia="宋体" w:cs="Times New Roman"/>
      <w:kern w:val="2"/>
      <w:sz w:val="21"/>
      <w:szCs w:val="21"/>
      <w:lang w:val="en-US" w:eastAsia="zh-CN" w:bidi="ar-SA"/>
    </w:rPr>
  </w:style>
  <w:style w:type="paragraph" w:customStyle="1" w:styleId="40">
    <w:name w:val="一级条标题"/>
    <w:basedOn w:val="41"/>
    <w:next w:val="42"/>
    <w:qFormat/>
    <w:uiPriority w:val="0"/>
    <w:pPr>
      <w:tabs>
        <w:tab w:val="left" w:pos="360"/>
        <w:tab w:val="left" w:pos="1035"/>
        <w:tab w:val="left" w:pos="1137"/>
        <w:tab w:val="left" w:pos="2577"/>
      </w:tabs>
      <w:spacing w:beforeLines="0" w:afterLines="0"/>
      <w:ind w:left="1035" w:hanging="570"/>
      <w:outlineLvl w:val="2"/>
    </w:pPr>
    <w:rPr>
      <w:rFonts w:ascii="Times New Roman" w:hAnsi="Times New Roman" w:eastAsia="宋体" w:cs="Times New Roman"/>
    </w:rPr>
  </w:style>
  <w:style w:type="paragraph" w:customStyle="1" w:styleId="41">
    <w:name w:val="章标题"/>
    <w:next w:val="1"/>
    <w:qFormat/>
    <w:uiPriority w:val="0"/>
    <w:pPr>
      <w:spacing w:beforeLines="50" w:afterLines="50"/>
      <w:jc w:val="both"/>
      <w:outlineLvl w:val="1"/>
    </w:pPr>
    <w:rPr>
      <w:rFonts w:ascii="黑体" w:hAnsi="Calibri" w:eastAsia="黑体" w:cs="Times New Roman"/>
      <w:sz w:val="21"/>
      <w:szCs w:val="22"/>
      <w:lang w:val="en-US" w:eastAsia="zh-CN" w:bidi="ar-SA"/>
    </w:rPr>
  </w:style>
  <w:style w:type="paragraph" w:customStyle="1" w:styleId="42">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43">
    <w:name w:val="reader-word-layer reader-word-s35-4"/>
    <w:qFormat/>
    <w:uiPriority w:val="0"/>
    <w:pPr>
      <w:spacing w:before="100" w:beforeAutospacing="1" w:after="100" w:afterAutospacing="1"/>
    </w:pPr>
    <w:rPr>
      <w:rFonts w:ascii="宋体" w:hAnsi="宋体" w:eastAsia="宋体" w:cs="宋体"/>
      <w:sz w:val="24"/>
      <w:szCs w:val="22"/>
      <w:lang w:val="en-US" w:eastAsia="zh-CN" w:bidi="ar-SA"/>
    </w:rPr>
  </w:style>
  <w:style w:type="paragraph" w:customStyle="1" w:styleId="44">
    <w:name w:val="Body Text Indent 21"/>
    <w:basedOn w:val="1"/>
    <w:qFormat/>
    <w:uiPriority w:val="0"/>
    <w:pPr>
      <w:spacing w:line="60" w:lineRule="auto"/>
      <w:ind w:firstLine="128" w:firstLineChars="128"/>
    </w:pPr>
    <w:rPr>
      <w:rFonts w:ascii="仿宋_GB2312" w:hAnsi="Calibri" w:eastAsia="仿宋_GB2312" w:cs="Times New Roman"/>
      <w:kern w:val="0"/>
      <w:sz w:val="24"/>
      <w:szCs w:val="22"/>
    </w:rPr>
  </w:style>
  <w:style w:type="paragraph" w:customStyle="1" w:styleId="45">
    <w:name w:val="Blockquote"/>
    <w:basedOn w:val="1"/>
    <w:qFormat/>
    <w:uiPriority w:val="0"/>
    <w:pPr>
      <w:autoSpaceDE w:val="0"/>
      <w:autoSpaceDN w:val="0"/>
      <w:adjustRightInd w:val="0"/>
      <w:spacing w:before="100" w:after="100"/>
      <w:ind w:left="360" w:right="360"/>
      <w:jc w:val="left"/>
    </w:pPr>
    <w:rPr>
      <w:rFonts w:ascii="Calibri" w:hAnsi="Calibri" w:eastAsia="宋体" w:cs="Times New Roman"/>
      <w:kern w:val="0"/>
      <w:sz w:val="24"/>
      <w:szCs w:val="20"/>
    </w:rPr>
  </w:style>
  <w:style w:type="paragraph" w:customStyle="1" w:styleId="46">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7">
    <w:name w:val="Default"/>
    <w:basedOn w:val="39"/>
    <w:qFormat/>
    <w:uiPriority w:val="0"/>
    <w:pPr>
      <w:widowControl w:val="0"/>
      <w:autoSpaceDE w:val="0"/>
      <w:autoSpaceDN w:val="0"/>
      <w:adjustRightInd w:val="0"/>
    </w:pPr>
    <w:rPr>
      <w:rFonts w:ascii="宋体" w:hAnsi="宋体" w:eastAsia="宋体" w:cs="Times New Roman"/>
      <w:color w:val="000000"/>
      <w:sz w:val="24"/>
      <w:szCs w:val="22"/>
      <w:lang w:val="en-US" w:eastAsia="zh-CN" w:bidi="ar-SA"/>
    </w:rPr>
  </w:style>
  <w:style w:type="paragraph" w:customStyle="1" w:styleId="48">
    <w:name w:val="WPSOffice手动目录 1"/>
    <w:qFormat/>
    <w:uiPriority w:val="0"/>
    <w:rPr>
      <w:rFonts w:ascii="Times New Roman" w:hAnsi="Times New Roman" w:eastAsia="宋体" w:cs="Times New Roman"/>
      <w:lang w:val="en-US" w:eastAsia="zh-CN" w:bidi="ar-SA"/>
    </w:rPr>
  </w:style>
  <w:style w:type="paragraph" w:customStyle="1" w:styleId="49">
    <w:name w:val="p0"/>
    <w:qFormat/>
    <w:uiPriority w:val="0"/>
    <w:pPr>
      <w:jc w:val="both"/>
    </w:pPr>
    <w:rPr>
      <w:rFonts w:ascii="Times New Roman" w:hAnsi="Times New Roman" w:eastAsia="宋体" w:cs="Times New Roman"/>
      <w:sz w:val="21"/>
      <w:szCs w:val="21"/>
      <w:lang w:val="en-US" w:eastAsia="zh-CN" w:bidi="ar-SA"/>
    </w:rPr>
  </w:style>
  <w:style w:type="paragraph" w:customStyle="1" w:styleId="50">
    <w:name w:val="_Style 2"/>
    <w:basedOn w:val="1"/>
    <w:qFormat/>
    <w:uiPriority w:val="0"/>
  </w:style>
  <w:style w:type="paragraph" w:customStyle="1" w:styleId="51">
    <w:name w:val="Table Text"/>
    <w:basedOn w:val="1"/>
    <w:semiHidden/>
    <w:qFormat/>
    <w:uiPriority w:val="0"/>
    <w:rPr>
      <w:rFonts w:ascii="宋体" w:hAnsi="宋体" w:eastAsia="宋体" w:cs="宋体"/>
      <w:sz w:val="24"/>
      <w:szCs w:val="24"/>
      <w:lang w:val="en-US" w:eastAsia="en-US" w:bidi="ar-SA"/>
    </w:rPr>
  </w:style>
  <w:style w:type="character" w:customStyle="1" w:styleId="52">
    <w:name w:val="文档结构图 Char"/>
    <w:basedOn w:val="35"/>
    <w:link w:val="10"/>
    <w:qFormat/>
    <w:uiPriority w:val="0"/>
    <w:rPr>
      <w:rFonts w:ascii="Calibri" w:hAnsi="Calibri" w:eastAsia="宋体" w:cs="Times New Roman"/>
      <w:kern w:val="2"/>
      <w:sz w:val="21"/>
      <w:szCs w:val="22"/>
      <w:shd w:val="clear" w:color="auto" w:fill="000080"/>
    </w:rPr>
  </w:style>
  <w:style w:type="character" w:customStyle="1" w:styleId="53">
    <w:name w:val="批注文字 Char"/>
    <w:basedOn w:val="35"/>
    <w:link w:val="12"/>
    <w:qFormat/>
    <w:uiPriority w:val="0"/>
    <w:rPr>
      <w:rFonts w:ascii="Calibri" w:hAnsi="Calibri" w:eastAsia="宋体" w:cs="Times New Roman"/>
      <w:kern w:val="2"/>
      <w:sz w:val="21"/>
      <w:szCs w:val="22"/>
    </w:rPr>
  </w:style>
  <w:style w:type="character" w:customStyle="1" w:styleId="54">
    <w:name w:val="正文文本 Char"/>
    <w:basedOn w:val="35"/>
    <w:link w:val="13"/>
    <w:qFormat/>
    <w:uiPriority w:val="0"/>
    <w:rPr>
      <w:rFonts w:ascii="Calibri" w:hAnsi="Calibri" w:eastAsia="Helvetica Neue" w:cs="Times New Roman"/>
      <w:kern w:val="2"/>
      <w:sz w:val="32"/>
      <w:szCs w:val="24"/>
    </w:rPr>
  </w:style>
  <w:style w:type="character" w:customStyle="1" w:styleId="55">
    <w:name w:val="正文文本缩进 Char"/>
    <w:basedOn w:val="35"/>
    <w:link w:val="14"/>
    <w:qFormat/>
    <w:uiPriority w:val="0"/>
    <w:rPr>
      <w:rFonts w:ascii="Times New Roman" w:hAnsi="Times New Roman" w:eastAsia="宋体" w:cs="Times New Roman"/>
      <w:sz w:val="32"/>
      <w:szCs w:val="24"/>
    </w:rPr>
  </w:style>
  <w:style w:type="character" w:customStyle="1" w:styleId="56">
    <w:name w:val="纯文本 Char"/>
    <w:basedOn w:val="35"/>
    <w:link w:val="20"/>
    <w:qFormat/>
    <w:uiPriority w:val="0"/>
    <w:rPr>
      <w:rFonts w:ascii="宋体" w:hAnsi="Courier New" w:eastAsia="宋体" w:cs="Times New Roman"/>
      <w:kern w:val="2"/>
      <w:sz w:val="21"/>
    </w:rPr>
  </w:style>
  <w:style w:type="character" w:customStyle="1" w:styleId="57">
    <w:name w:val="日期 Char"/>
    <w:basedOn w:val="35"/>
    <w:link w:val="21"/>
    <w:qFormat/>
    <w:uiPriority w:val="0"/>
    <w:rPr>
      <w:rFonts w:ascii="Calibri" w:hAnsi="Calibri" w:eastAsia="宋体" w:cs="Times New Roman"/>
      <w:kern w:val="2"/>
      <w:sz w:val="21"/>
      <w:szCs w:val="22"/>
    </w:rPr>
  </w:style>
  <w:style w:type="character" w:customStyle="1" w:styleId="58">
    <w:name w:val="批注框文本 Char"/>
    <w:basedOn w:val="35"/>
    <w:link w:val="23"/>
    <w:qFormat/>
    <w:uiPriority w:val="0"/>
    <w:rPr>
      <w:rFonts w:ascii="Times New Roman" w:hAnsi="Times New Roman" w:eastAsia="宋体" w:cs="Times New Roman"/>
      <w:sz w:val="18"/>
      <w:szCs w:val="18"/>
    </w:rPr>
  </w:style>
  <w:style w:type="character" w:customStyle="1" w:styleId="59">
    <w:name w:val="页脚 Char"/>
    <w:link w:val="24"/>
    <w:qFormat/>
    <w:uiPriority w:val="0"/>
    <w:rPr>
      <w:rFonts w:ascii="Times New Roman" w:hAnsi="Times New Roman" w:eastAsia="宋体" w:cs="Times New Roman"/>
      <w:sz w:val="18"/>
      <w:szCs w:val="18"/>
    </w:rPr>
  </w:style>
  <w:style w:type="character" w:customStyle="1" w:styleId="60">
    <w:name w:val="页眉 Char"/>
    <w:link w:val="26"/>
    <w:qFormat/>
    <w:uiPriority w:val="0"/>
    <w:rPr>
      <w:rFonts w:ascii="Times New Roman" w:hAnsi="Times New Roman" w:eastAsia="宋体" w:cs="Times New Roman"/>
      <w:sz w:val="18"/>
      <w:szCs w:val="18"/>
    </w:rPr>
  </w:style>
  <w:style w:type="character" w:customStyle="1" w:styleId="61">
    <w:name w:val="标题 Char"/>
    <w:basedOn w:val="35"/>
    <w:link w:val="32"/>
    <w:qFormat/>
    <w:uiPriority w:val="0"/>
    <w:rPr>
      <w:rFonts w:ascii="Cambria" w:hAnsi="Cambria" w:eastAsia="宋体" w:cs="Times New Roman"/>
      <w:b/>
      <w:kern w:val="2"/>
      <w:sz w:val="21"/>
      <w:szCs w:val="32"/>
    </w:rPr>
  </w:style>
  <w:style w:type="character" w:customStyle="1" w:styleId="62">
    <w:name w:val="正文首行缩进 Char"/>
    <w:basedOn w:val="54"/>
    <w:link w:val="16"/>
    <w:qFormat/>
    <w:uiPriority w:val="0"/>
    <w:rPr>
      <w:rFonts w:ascii="Times New Roman" w:hAnsi="Times New Roman" w:eastAsia="宋体" w:cs="Times New Roman"/>
    </w:rPr>
  </w:style>
  <w:style w:type="character" w:customStyle="1" w:styleId="63">
    <w:name w:val="正文首行缩进 2 Char"/>
    <w:basedOn w:val="55"/>
    <w:link w:val="15"/>
    <w:qFormat/>
    <w:uiPriority w:val="0"/>
    <w:rPr>
      <w:rFonts w:ascii="Times New Roman" w:hAnsi="Times New Roman" w:eastAsia="宋体" w:cs="Times New Roman"/>
      <w:sz w:val="21"/>
    </w:rPr>
  </w:style>
  <w:style w:type="character" w:customStyle="1" w:styleId="64">
    <w:name w:val="p141"/>
    <w:qFormat/>
    <w:uiPriority w:val="0"/>
    <w:rPr>
      <w:rFonts w:ascii="Times New Roman" w:hAnsi="Times New Roman" w:eastAsia="宋体" w:cs="Times New Roman"/>
      <w:sz w:val="21"/>
    </w:rPr>
  </w:style>
  <w:style w:type="character" w:customStyle="1" w:styleId="65">
    <w:name w:val="无"/>
    <w:qFormat/>
    <w:uiPriority w:val="0"/>
    <w:rPr>
      <w:rFonts w:ascii="Times New Roman" w:hAnsi="Times New Roman" w:eastAsia="宋体" w:cs="Times New Roman"/>
    </w:rPr>
  </w:style>
  <w:style w:type="character" w:customStyle="1" w:styleId="66">
    <w:name w:val="16"/>
    <w:qFormat/>
    <w:uiPriority w:val="0"/>
    <w:rPr>
      <w:rFonts w:hint="default" w:ascii="Times New Roman" w:hAnsi="Times New Roman" w:eastAsia="宋体" w:cs="Times New Roman"/>
      <w:b/>
      <w:bCs/>
      <w:sz w:val="32"/>
      <w:szCs w:val="32"/>
    </w:rPr>
  </w:style>
  <w:style w:type="table" w:customStyle="1" w:styleId="67">
    <w:name w:val="Table Normal"/>
    <w:unhideWhenUsed/>
    <w:qFormat/>
    <w:uiPriority w:val="0"/>
    <w:tblPr>
      <w:tblCellMar>
        <w:top w:w="0" w:type="dxa"/>
        <w:left w:w="0" w:type="dxa"/>
        <w:bottom w:w="0" w:type="dxa"/>
        <w:right w:w="0" w:type="dxa"/>
      </w:tblCellMar>
    </w:tblPr>
  </w:style>
  <w:style w:type="character" w:customStyle="1" w:styleId="68">
    <w:name w:val="font21"/>
    <w:basedOn w:val="35"/>
    <w:qFormat/>
    <w:uiPriority w:val="0"/>
    <w:rPr>
      <w:rFonts w:hint="default" w:ascii="Calibri" w:hAnsi="Calibri" w:cs="Calibri"/>
      <w:color w:val="000000"/>
      <w:sz w:val="21"/>
      <w:szCs w:val="21"/>
      <w:u w:val="none"/>
    </w:rPr>
  </w:style>
  <w:style w:type="character" w:customStyle="1" w:styleId="69">
    <w:name w:val="font31"/>
    <w:basedOn w:val="35"/>
    <w:qFormat/>
    <w:uiPriority w:val="0"/>
    <w:rPr>
      <w:rFonts w:hint="eastAsia" w:ascii="宋体" w:hAnsi="宋体" w:eastAsia="宋体" w:cs="宋体"/>
      <w:color w:val="000000"/>
      <w:sz w:val="21"/>
      <w:szCs w:val="21"/>
      <w:u w:val="none"/>
    </w:rPr>
  </w:style>
  <w:style w:type="paragraph" w:customStyle="1" w:styleId="70">
    <w:name w:val="方案正文"/>
    <w:basedOn w:val="1"/>
    <w:qFormat/>
    <w:uiPriority w:val="0"/>
    <w:pPr>
      <w:spacing w:line="360" w:lineRule="auto"/>
      <w:ind w:firstLine="480" w:firstLineChars="200"/>
    </w:pPr>
    <w:rPr>
      <w:rFonts w:ascii="宋体" w:hAnsi="宋体" w:eastAsia="宋体"/>
      <w:color w:val="000000"/>
      <w:kern w:val="0"/>
      <w:lang w:val="zh-CN"/>
    </w:rPr>
  </w:style>
  <w:style w:type="paragraph" w:customStyle="1" w:styleId="7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德宏州直属党政机关单位</Company>
  <Pages>71</Pages>
  <Words>14147</Words>
  <Characters>14885</Characters>
  <Lines>202</Lines>
  <Paragraphs>56</Paragraphs>
  <TotalTime>17</TotalTime>
  <ScaleCrop>false</ScaleCrop>
  <LinksUpToDate>false</LinksUpToDate>
  <CharactersWithSpaces>15047</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2022-07-28T18:30:00Z</dcterms:created>
  <dc:creator>Administrator</dc:creator>
  <cp:lastModifiedBy>Y。</cp:lastModifiedBy>
  <cp:lastPrinted>2025-08-13T07:57:55Z</cp:lastPrinted>
  <dcterms:modified xsi:type="dcterms:W3CDTF">2025-08-13T08:20:01Z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915309488AED4974872706DC2C87D3FB_13</vt:lpwstr>
  </property>
  <property fmtid="{D5CDD505-2E9C-101B-9397-08002B2CF9AE}" pid="4" name="KSOTemplateDocerSaveRecord">
    <vt:lpwstr>eyJoZGlkIjoiMmU0NTlkODEyNWI4MmZhZTc1MTk4MDEwYjM0MWVhNzEiLCJ1c2VySWQiOiI0Mzg0NTE4MDkifQ==</vt:lpwstr>
  </property>
</Properties>
</file>